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黑体" w:eastAsia="黑体"/>
          <w:sz w:val="32"/>
        </w:rPr>
      </w:pPr>
      <w:r>
        <w:rPr>
          <w:rFonts w:hint="eastAsia" w:ascii="黑体" w:hAnsi="黑体" w:eastAsia="黑体" w:cs="黑体"/>
          <w:b/>
          <w:sz w:val="36"/>
          <w:szCs w:val="36"/>
          <w:lang w:val="en-US" w:eastAsia="zh-CN"/>
        </w:rPr>
        <w:t>国网浙江电力送变电公司2025年原集体企业第二次物资授权框架公开招标采购（一事一授权）中标</w:t>
      </w:r>
      <w:r>
        <w:rPr>
          <w:rFonts w:hint="eastAsia" w:ascii="黑体" w:hAnsi="黑体" w:eastAsia="黑体" w:cs="黑体"/>
          <w:b/>
          <w:sz w:val="36"/>
          <w:szCs w:val="36"/>
          <w:lang w:eastAsia="zh-CN"/>
        </w:rPr>
        <w:t>候选人及否决原因公示</w:t>
      </w:r>
    </w:p>
    <w:p>
      <w:pPr>
        <w:spacing w:line="360" w:lineRule="auto"/>
        <w:jc w:val="center"/>
        <w:rPr>
          <w:rFonts w:hint="eastAsia" w:ascii="黑体" w:hAnsi="黑体" w:eastAsia="黑体" w:cs="宋体"/>
          <w:b/>
          <w:kern w:val="0"/>
          <w:sz w:val="32"/>
          <w:szCs w:val="32"/>
          <w:lang w:val="en-US" w:eastAsia="zh-CN"/>
        </w:rPr>
      </w:pPr>
      <w:r>
        <w:rPr>
          <w:rFonts w:hint="eastAsia" w:ascii="黑体" w:eastAsia="黑体"/>
          <w:sz w:val="32"/>
        </w:rPr>
        <w:t>项目编号：</w:t>
      </w:r>
      <w:r>
        <w:rPr>
          <w:rFonts w:hint="eastAsia" w:ascii="黑体" w:hAnsi="黑体" w:eastAsia="黑体" w:cs="宋体"/>
          <w:b/>
          <w:kern w:val="0"/>
          <w:sz w:val="32"/>
          <w:szCs w:val="32"/>
          <w:lang w:eastAsia="zh-CN"/>
        </w:rPr>
        <w:t>CY1125JS04-S005C</w:t>
      </w:r>
    </w:p>
    <w:p>
      <w:pPr>
        <w:bidi w:val="0"/>
        <w:rPr>
          <w:rFonts w:hint="eastAsia"/>
          <w:sz w:val="28"/>
          <w:szCs w:val="28"/>
          <w:lang w:val="en-US" w:eastAsia="zh-CN"/>
        </w:rPr>
      </w:pPr>
      <w:r>
        <w:rPr>
          <w:rFonts w:hint="eastAsia"/>
          <w:sz w:val="28"/>
          <w:szCs w:val="28"/>
        </w:rPr>
        <w:t>各相关投标人：</w:t>
      </w:r>
      <w:bookmarkStart w:id="0" w:name="_GoBack"/>
      <w:bookmarkEnd w:id="0"/>
    </w:p>
    <w:p>
      <w:pPr>
        <w:spacing w:line="580" w:lineRule="exact"/>
        <w:ind w:firstLine="600"/>
        <w:rPr>
          <w:rFonts w:hint="eastAsia" w:ascii="宋体" w:hAnsi="宋体" w:eastAsia="宋体" w:cs="宋体"/>
          <w:sz w:val="28"/>
          <w:szCs w:val="28"/>
        </w:rPr>
      </w:pPr>
      <w:r>
        <w:rPr>
          <w:rFonts w:hint="eastAsia" w:ascii="宋体" w:hAnsi="宋体" w:eastAsia="宋体" w:cs="宋体"/>
          <w:sz w:val="28"/>
          <w:szCs w:val="28"/>
          <w:lang w:val="en-US" w:eastAsia="zh-CN"/>
        </w:rPr>
        <w:t>国网浙江电力送变电公司2025年原集体企业第二次物资授权框架公开招标采购（一事一授权）</w:t>
      </w:r>
      <w:r>
        <w:rPr>
          <w:rFonts w:hint="eastAsia" w:ascii="宋体" w:hAnsi="宋体" w:eastAsia="宋体" w:cs="宋体"/>
          <w:sz w:val="28"/>
          <w:szCs w:val="28"/>
        </w:rPr>
        <w:t>评标工作已经结束，依据《中</w:t>
      </w:r>
      <w:r>
        <w:rPr>
          <w:rFonts w:hint="eastAsia" w:ascii="宋体" w:hAnsi="宋体" w:eastAsia="宋体" w:cs="宋体"/>
          <w:sz w:val="28"/>
          <w:szCs w:val="28"/>
          <w:lang w:val="en-US" w:eastAsia="zh-CN"/>
        </w:rPr>
        <w:t>国</w:t>
      </w:r>
      <w:r>
        <w:rPr>
          <w:rFonts w:hint="eastAsia" w:ascii="宋体" w:hAnsi="宋体" w:eastAsia="宋体" w:cs="宋体"/>
          <w:sz w:val="28"/>
          <w:szCs w:val="28"/>
        </w:rPr>
        <w:t>人民共和国招标投标法实施条例》、《招标公告和公示信息发布管理办法》对</w:t>
      </w:r>
      <w:r>
        <w:rPr>
          <w:rFonts w:hint="eastAsia" w:ascii="宋体" w:hAnsi="宋体" w:eastAsia="宋体" w:cs="宋体"/>
          <w:sz w:val="28"/>
          <w:szCs w:val="28"/>
          <w:lang w:val="en-US" w:eastAsia="zh-CN"/>
        </w:rPr>
        <w:t>中标</w:t>
      </w:r>
      <w:r>
        <w:rPr>
          <w:rFonts w:hint="eastAsia" w:ascii="宋体" w:hAnsi="宋体" w:eastAsia="宋体" w:cs="宋体"/>
          <w:sz w:val="28"/>
          <w:szCs w:val="28"/>
        </w:rPr>
        <w:t>候选人公示的规定，现将评标委员会推荐的</w:t>
      </w:r>
      <w:r>
        <w:rPr>
          <w:rFonts w:hint="eastAsia" w:ascii="宋体" w:hAnsi="宋体" w:eastAsia="宋体" w:cs="宋体"/>
          <w:sz w:val="28"/>
          <w:szCs w:val="28"/>
          <w:lang w:val="en-US" w:eastAsia="zh-CN"/>
        </w:rPr>
        <w:t>中标</w:t>
      </w:r>
      <w:r>
        <w:rPr>
          <w:rFonts w:hint="eastAsia" w:ascii="宋体" w:hAnsi="宋体" w:eastAsia="宋体" w:cs="宋体"/>
          <w:sz w:val="28"/>
          <w:szCs w:val="28"/>
        </w:rPr>
        <w:t>候选人予以公示，公示期3日。投标人或者其他利害关系人若对评标结果有异议的，请在</w:t>
      </w:r>
      <w:r>
        <w:rPr>
          <w:rFonts w:hint="eastAsia" w:ascii="宋体" w:hAnsi="宋体" w:eastAsia="宋体" w:cs="宋体"/>
          <w:sz w:val="28"/>
          <w:szCs w:val="28"/>
          <w:lang w:val="en-US" w:eastAsia="zh-CN"/>
        </w:rPr>
        <w:t>中标</w:t>
      </w:r>
      <w:r>
        <w:rPr>
          <w:rFonts w:hint="eastAsia" w:ascii="宋体" w:hAnsi="宋体" w:eastAsia="宋体" w:cs="宋体"/>
          <w:sz w:val="28"/>
          <w:szCs w:val="28"/>
        </w:rPr>
        <w:t>候选人公示期间以书面形式（传真）提出。</w:t>
      </w:r>
    </w:p>
    <w:tbl>
      <w:tblPr>
        <w:tblStyle w:val="4"/>
        <w:tblW w:w="8479"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90"/>
        <w:gridCol w:w="812"/>
        <w:gridCol w:w="516"/>
        <w:gridCol w:w="815"/>
        <w:gridCol w:w="1077"/>
        <w:gridCol w:w="367"/>
        <w:gridCol w:w="988"/>
        <w:gridCol w:w="1007"/>
        <w:gridCol w:w="1178"/>
        <w:gridCol w:w="72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599"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分标编号</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lang w:val="en-US"/>
              </w:rPr>
            </w:pPr>
            <w:r>
              <w:rPr>
                <w:rFonts w:hint="eastAsia" w:ascii="宋体" w:hAnsi="宋体" w:eastAsia="宋体" w:cs="宋体"/>
                <w:b/>
                <w:bCs/>
                <w:kern w:val="0"/>
                <w:sz w:val="18"/>
                <w:szCs w:val="18"/>
                <w:lang w:val="en-US" w:eastAsia="zh-CN"/>
              </w:rPr>
              <w:t>分标名称</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包号</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推荐的中标候选人</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投标报价（万元）或折扣率（%）</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lang w:val="en-US" w:eastAsia="zh-CN"/>
              </w:rPr>
            </w:pPr>
            <w:r>
              <w:rPr>
                <w:rFonts w:hint="eastAsia" w:ascii="宋体" w:hAnsi="宋体" w:eastAsia="宋体" w:cs="宋体"/>
                <w:b/>
                <w:bCs/>
                <w:kern w:val="0"/>
                <w:sz w:val="18"/>
                <w:szCs w:val="18"/>
                <w:lang w:val="en-US" w:eastAsia="zh-CN"/>
              </w:rPr>
              <w:t>排序</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质量（ 售</w:t>
            </w:r>
            <w:r>
              <w:rPr>
                <w:rFonts w:hint="eastAsia" w:ascii="宋体" w:hAnsi="宋体" w:eastAsia="宋体" w:cs="宋体"/>
                <w:b/>
                <w:bCs/>
                <w:kern w:val="0"/>
                <w:sz w:val="18"/>
                <w:szCs w:val="18"/>
              </w:rPr>
              <w:t>后服务</w:t>
            </w:r>
            <w:r>
              <w:rPr>
                <w:rFonts w:hint="eastAsia" w:ascii="宋体" w:hAnsi="宋体" w:eastAsia="宋体" w:cs="宋体"/>
                <w:b/>
                <w:bCs/>
                <w:kern w:val="0"/>
                <w:sz w:val="18"/>
                <w:szCs w:val="18"/>
              </w:rPr>
              <w:br w:type="textWrapping"/>
            </w:r>
            <w:r>
              <w:rPr>
                <w:rFonts w:hint="eastAsia" w:ascii="宋体" w:hAnsi="宋体" w:eastAsia="宋体" w:cs="宋体"/>
                <w:b/>
                <w:bCs/>
                <w:kern w:val="0"/>
                <w:sz w:val="18"/>
                <w:szCs w:val="18"/>
              </w:rPr>
              <w:t>承诺）</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交货期</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lang w:val="en-US" w:eastAsia="zh-CN"/>
              </w:rPr>
              <w:t>资格</w:t>
            </w:r>
            <w:r>
              <w:rPr>
                <w:rFonts w:hint="eastAsia" w:ascii="宋体" w:hAnsi="宋体" w:eastAsia="宋体" w:cs="宋体"/>
                <w:b/>
                <w:bCs/>
                <w:kern w:val="0"/>
                <w:sz w:val="18"/>
                <w:szCs w:val="18"/>
                <w:lang w:val="en-US" w:eastAsia="zh-CN"/>
              </w:rPr>
              <w:br w:type="textWrapping"/>
            </w:r>
            <w:r>
              <w:rPr>
                <w:rFonts w:hint="eastAsia" w:ascii="宋体" w:hAnsi="宋体" w:eastAsia="宋体" w:cs="宋体"/>
                <w:b/>
                <w:bCs/>
                <w:kern w:val="0"/>
                <w:sz w:val="18"/>
                <w:szCs w:val="18"/>
                <w:lang w:val="en-US" w:eastAsia="zh-CN"/>
              </w:rPr>
              <w:t>能力</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widowControl/>
              <w:jc w:val="center"/>
              <w:rPr>
                <w:rFonts w:hint="eastAsia" w:ascii="宋体" w:hAnsi="宋体" w:eastAsia="宋体" w:cs="宋体"/>
                <w:b/>
                <w:bCs/>
                <w:kern w:val="0"/>
                <w:sz w:val="18"/>
                <w:szCs w:val="18"/>
                <w:lang w:val="en-US" w:eastAsia="zh-CN"/>
              </w:rPr>
            </w:pPr>
            <w:r>
              <w:rPr>
                <w:rFonts w:hint="eastAsia" w:ascii="宋体" w:hAnsi="宋体" w:eastAsia="宋体" w:cs="宋体"/>
                <w:b/>
                <w:bCs/>
                <w:kern w:val="0"/>
                <w:sz w:val="18"/>
                <w:szCs w:val="18"/>
                <w:lang w:val="en-US" w:eastAsia="zh-CN"/>
              </w:rPr>
              <w:t>评标</w:t>
            </w:r>
            <w:r>
              <w:rPr>
                <w:rFonts w:hint="eastAsia" w:ascii="宋体" w:hAnsi="宋体" w:eastAsia="宋体" w:cs="宋体"/>
                <w:b/>
                <w:bCs/>
                <w:kern w:val="0"/>
                <w:sz w:val="18"/>
                <w:szCs w:val="18"/>
                <w:lang w:val="en-US" w:eastAsia="zh-CN"/>
              </w:rPr>
              <w:br w:type="textWrapping"/>
            </w:r>
            <w:r>
              <w:rPr>
                <w:rFonts w:hint="eastAsia" w:ascii="宋体" w:hAnsi="宋体" w:eastAsia="宋体" w:cs="宋体"/>
                <w:b/>
                <w:bCs/>
                <w:kern w:val="0"/>
                <w:sz w:val="18"/>
                <w:szCs w:val="18"/>
                <w:lang w:val="en-US" w:eastAsia="zh-CN"/>
              </w:rPr>
              <w:t>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CY1125JS04-S005C-001</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施工现场办公家具</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包1</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杭州梵美家具有限公司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83.23%</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CY1125JS04-S005C-002</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劳保用品</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包1</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金华通友物资贸易有限公司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83.00%</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CY1125JS04-S005C-003</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工作服</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包1</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东蒙集团有限公司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82.00%</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CY1125JS04-S005C-003</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工作服</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包2</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浙江天荒坪防护科技有限公司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88.70%</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CY1125JS04-S005C-003</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工作服</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包3</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宁波金鸟服饰有限公司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83.87%</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CY1125JS04-S005C-003</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工作服</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包4</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浙江天荒坪防护科技有限公司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84.50%</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CY1125JS04-S005C-003</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工作服</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18"/>
                <w:szCs w:val="18"/>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包5</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kern w:val="0"/>
                <w:sz w:val="22"/>
                <w:szCs w:val="22"/>
                <w:u w:val="none"/>
                <w:lang w:val="en-US" w:eastAsia="zh-CN" w:bidi="ar"/>
              </w:rPr>
              <w:t>浙江天荒坪防护科技有限公司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84.20%</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548" w:hRule="atLeast"/>
          <w:tblCellSpacing w:w="0" w:type="dxa"/>
        </w:trPr>
        <w:tc>
          <w:tcPr>
            <w:tcW w:w="99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CY1125JS04-S005C-003</w:t>
            </w:r>
          </w:p>
        </w:tc>
        <w:tc>
          <w:tcPr>
            <w:tcW w:w="81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工作服</w:t>
            </w:r>
          </w:p>
        </w:tc>
        <w:tc>
          <w:tcPr>
            <w:tcW w:w="51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包6</w:t>
            </w:r>
          </w:p>
        </w:tc>
        <w:tc>
          <w:tcPr>
            <w:tcW w:w="81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宁波雅戈尔服饰有限公司</w:t>
            </w:r>
          </w:p>
        </w:tc>
        <w:tc>
          <w:tcPr>
            <w:tcW w:w="107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85.00%</w:t>
            </w:r>
          </w:p>
        </w:tc>
        <w:tc>
          <w:tcPr>
            <w:tcW w:w="3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9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00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117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满足招标文件要求</w:t>
            </w:r>
          </w:p>
        </w:tc>
        <w:tc>
          <w:tcPr>
            <w:tcW w:w="72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综合排序第一名</w:t>
            </w:r>
          </w:p>
        </w:tc>
      </w:tr>
    </w:tbl>
    <w:p>
      <w:pPr>
        <w:spacing w:line="580" w:lineRule="exact"/>
        <w:ind w:firstLine="600"/>
        <w:rPr>
          <w:rFonts w:hint="eastAsia" w:ascii="宋体" w:hAnsi="宋体" w:cs="宋体"/>
          <w:sz w:val="28"/>
          <w:szCs w:val="28"/>
          <w:lang w:val="en-US" w:eastAsia="zh-CN"/>
        </w:rPr>
      </w:pPr>
      <w:r>
        <w:rPr>
          <w:rFonts w:hint="eastAsia" w:ascii="宋体" w:hAnsi="宋体" w:cs="宋体"/>
          <w:sz w:val="28"/>
          <w:szCs w:val="28"/>
          <w:lang w:val="en-US" w:eastAsia="zh-CN"/>
        </w:rPr>
        <w:t>投标人对以上结果如有异议，可以自公示之日起 3</w:t>
      </w:r>
      <w:r>
        <w:rPr>
          <w:rFonts w:hint="default" w:ascii="宋体" w:hAnsi="宋体" w:cs="宋体"/>
          <w:sz w:val="28"/>
          <w:szCs w:val="28"/>
          <w:lang w:val="en-US" w:eastAsia="zh-CN"/>
        </w:rPr>
        <w:t xml:space="preserve"> 日内</w:t>
      </w:r>
      <w:r>
        <w:rPr>
          <w:rFonts w:hint="eastAsia" w:ascii="宋体" w:hAnsi="宋体" w:cs="宋体"/>
          <w:sz w:val="28"/>
          <w:szCs w:val="28"/>
          <w:lang w:val="en-US" w:eastAsia="zh-CN"/>
        </w:rPr>
        <w:t>（2025年7月7日16：00前）</w:t>
      </w:r>
      <w:r>
        <w:rPr>
          <w:rFonts w:hint="default" w:ascii="宋体" w:hAnsi="宋体" w:cs="宋体"/>
          <w:sz w:val="28"/>
          <w:szCs w:val="28"/>
          <w:lang w:val="en-US" w:eastAsia="zh-CN"/>
        </w:rPr>
        <w:t>，以书面形式通过传真发送至0571-51213939</w:t>
      </w:r>
      <w:r>
        <w:rPr>
          <w:rFonts w:hint="eastAsia" w:ascii="宋体" w:hAnsi="宋体" w:cs="宋体"/>
          <w:sz w:val="28"/>
          <w:szCs w:val="28"/>
          <w:lang w:val="en-US" w:eastAsia="zh-CN"/>
        </w:rPr>
        <w:t>，</w:t>
      </w:r>
      <w:r>
        <w:rPr>
          <w:rFonts w:hint="default" w:ascii="宋体" w:hAnsi="宋体" w:cs="宋体"/>
          <w:sz w:val="28"/>
          <w:szCs w:val="28"/>
          <w:lang w:val="en-US" w:eastAsia="zh-CN"/>
        </w:rPr>
        <w:t>向招标人提出。</w:t>
      </w:r>
    </w:p>
    <w:p>
      <w:pPr>
        <w:spacing w:line="580" w:lineRule="exact"/>
        <w:ind w:firstLine="600"/>
        <w:rPr>
          <w:rFonts w:hint="eastAsia" w:ascii="宋体" w:hAnsi="宋体" w:cs="宋体"/>
          <w:sz w:val="28"/>
          <w:szCs w:val="28"/>
        </w:rPr>
      </w:pPr>
      <w:r>
        <w:rPr>
          <w:rFonts w:hint="eastAsia" w:ascii="宋体" w:hAnsi="宋体" w:cs="宋体"/>
          <w:sz w:val="28"/>
          <w:szCs w:val="28"/>
        </w:rPr>
        <w:t>根据招标投标法及相关法规规定，投标人和直接参与并且与招投标活动有着直接利害关系的当事人有异议的，有权依法进行异议，提出异议时应注意以下事项：</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1. 异议必须在中标结果公示结束前以书面形式传真提出。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2．应当提交异议书，并包括下列内容： </w:t>
      </w:r>
    </w:p>
    <w:p>
      <w:pPr>
        <w:spacing w:line="580" w:lineRule="exact"/>
        <w:ind w:firstLine="600"/>
        <w:rPr>
          <w:rFonts w:hint="eastAsia" w:ascii="宋体" w:hAnsi="宋体" w:cs="宋体"/>
          <w:sz w:val="28"/>
          <w:szCs w:val="28"/>
        </w:rPr>
      </w:pPr>
      <w:r>
        <w:rPr>
          <w:rFonts w:hint="eastAsia" w:ascii="宋体" w:hAnsi="宋体" w:cs="宋体"/>
          <w:sz w:val="28"/>
          <w:szCs w:val="28"/>
        </w:rPr>
        <w:t>（1）异议人的名称、地址、联系人及有效联系方式；</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（2）被异议人的名称；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（3）异议事项的基本事实；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（4）有效线索和相关证明材料。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3．异议人为法人的，异议书必须由其法定代表人或者授权代表签字并加盖公章，同时还需提交授权委托书；异议人为个人的，异议书必须由异议人本人签字，并附有效身份证明，由本人提交。 </w:t>
      </w:r>
    </w:p>
    <w:p>
      <w:pPr>
        <w:spacing w:line="580" w:lineRule="exact"/>
        <w:ind w:firstLine="600"/>
        <w:rPr>
          <w:rFonts w:hint="eastAsia" w:ascii="宋体" w:hAnsi="宋体" w:cs="宋体"/>
          <w:sz w:val="28"/>
          <w:szCs w:val="28"/>
        </w:rPr>
      </w:pPr>
      <w:r>
        <w:rPr>
          <w:rFonts w:hint="eastAsia" w:ascii="宋体" w:hAnsi="宋体" w:cs="宋体"/>
          <w:sz w:val="28"/>
          <w:szCs w:val="28"/>
        </w:rPr>
        <w:t xml:space="preserve">4．下列异议将不予接收：  </w:t>
      </w:r>
    </w:p>
    <w:p>
      <w:pPr>
        <w:spacing w:line="580" w:lineRule="exact"/>
        <w:ind w:firstLine="600"/>
        <w:rPr>
          <w:rFonts w:hint="eastAsia" w:ascii="宋体" w:hAnsi="宋体" w:cs="宋体"/>
          <w:sz w:val="28"/>
          <w:szCs w:val="28"/>
        </w:rPr>
      </w:pPr>
      <w:r>
        <w:rPr>
          <w:rFonts w:hint="eastAsia" w:ascii="宋体" w:hAnsi="宋体" w:cs="宋体"/>
          <w:sz w:val="28"/>
          <w:szCs w:val="28"/>
        </w:rPr>
        <w:t>（1）在中标结果公示结束后提出的；</w:t>
      </w:r>
    </w:p>
    <w:p>
      <w:pPr>
        <w:spacing w:line="580" w:lineRule="exact"/>
        <w:ind w:firstLine="600"/>
        <w:rPr>
          <w:rFonts w:hint="eastAsia" w:ascii="宋体" w:hAnsi="宋体" w:cs="宋体"/>
          <w:sz w:val="28"/>
          <w:szCs w:val="28"/>
        </w:rPr>
      </w:pPr>
      <w:r>
        <w:rPr>
          <w:rFonts w:hint="eastAsia" w:ascii="宋体" w:hAnsi="宋体" w:cs="宋体"/>
          <w:sz w:val="28"/>
          <w:szCs w:val="28"/>
        </w:rPr>
        <w:t>（2）异议人不能证明是所异议招标投标活动的投标人和直接参与并且与招投标活动有着直接利害关系的当事人；</w:t>
      </w:r>
    </w:p>
    <w:p>
      <w:pPr>
        <w:spacing w:line="580" w:lineRule="exact"/>
        <w:ind w:firstLine="600"/>
        <w:rPr>
          <w:rFonts w:hint="eastAsia" w:ascii="宋体" w:hAnsi="宋体" w:cs="宋体"/>
          <w:sz w:val="28"/>
          <w:szCs w:val="28"/>
        </w:rPr>
      </w:pPr>
      <w:r>
        <w:rPr>
          <w:rFonts w:hint="eastAsia" w:ascii="宋体" w:hAnsi="宋体" w:cs="宋体"/>
          <w:sz w:val="28"/>
          <w:szCs w:val="28"/>
        </w:rPr>
        <w:t>（3）异议事项不具体，且未提供有效线索，难以查证的；</w:t>
      </w:r>
    </w:p>
    <w:p>
      <w:pPr>
        <w:spacing w:line="580" w:lineRule="exact"/>
        <w:ind w:firstLine="600"/>
        <w:rPr>
          <w:rFonts w:hint="eastAsia" w:ascii="宋体" w:hAnsi="宋体" w:cs="宋体"/>
          <w:sz w:val="28"/>
          <w:szCs w:val="28"/>
        </w:rPr>
      </w:pPr>
      <w:r>
        <w:rPr>
          <w:rFonts w:hint="eastAsia" w:ascii="宋体" w:hAnsi="宋体" w:cs="宋体"/>
          <w:sz w:val="28"/>
          <w:szCs w:val="28"/>
        </w:rPr>
        <w:t>（4）对异议事项已经答复，且异议人没有提出新的证据的。</w:t>
      </w:r>
    </w:p>
    <w:p>
      <w:pPr>
        <w:spacing w:line="580" w:lineRule="exact"/>
        <w:ind w:firstLine="600"/>
        <w:rPr>
          <w:rFonts w:hint="eastAsia" w:ascii="宋体" w:hAnsi="宋体" w:cs="宋体"/>
          <w:sz w:val="28"/>
          <w:szCs w:val="28"/>
        </w:rPr>
      </w:pPr>
      <w:r>
        <w:rPr>
          <w:rFonts w:hint="eastAsia" w:ascii="宋体" w:hAnsi="宋体" w:cs="宋体"/>
          <w:sz w:val="28"/>
          <w:szCs w:val="28"/>
        </w:rPr>
        <w:t>5. 异议人不得以异议为名排挤竞争对手，进行虚假、恶意异议，阻碍招标投标活动的正常进行。</w:t>
      </w:r>
    </w:p>
    <w:p>
      <w:pPr>
        <w:pStyle w:val="3"/>
        <w:keepNext w:val="0"/>
        <w:keepLines w:val="0"/>
        <w:widowControl/>
        <w:suppressLineNumbers w:val="0"/>
        <w:ind w:firstLine="420" w:firstLineChars="0"/>
        <w:jc w:val="right"/>
        <w:rPr>
          <w:rFonts w:hint="eastAsia" w:ascii="方正仿宋_GBK" w:hAnsi="黑体" w:eastAsia="方正仿宋_GBK" w:cs="宋体"/>
          <w:kern w:val="0"/>
          <w:sz w:val="28"/>
          <w:szCs w:val="28"/>
        </w:rPr>
      </w:pPr>
      <w:r>
        <w:rPr>
          <w:rFonts w:hint="eastAsia" w:ascii="方正仿宋_GBK" w:hAnsi="黑体" w:eastAsia="方正仿宋_GBK" w:cs="宋体"/>
          <w:kern w:val="0"/>
          <w:sz w:val="28"/>
          <w:szCs w:val="28"/>
        </w:rPr>
        <w:t>浙电兰创（浙江）信息智能化科技有限公司</w:t>
      </w:r>
    </w:p>
    <w:p>
      <w:pPr>
        <w:pStyle w:val="3"/>
        <w:keepNext w:val="0"/>
        <w:keepLines w:val="0"/>
        <w:widowControl/>
        <w:suppressLineNumbers w:val="0"/>
        <w:jc w:val="right"/>
        <w:rPr>
          <w:rFonts w:hint="eastAsia" w:ascii="方正仿宋_GBK" w:hAnsi="方正仿宋_GBK" w:eastAsia="方正仿宋_GBK" w:cs="方正仿宋_GBK"/>
          <w:b/>
          <w:bCs/>
          <w:sz w:val="44"/>
          <w:szCs w:val="44"/>
          <w:lang w:val="en-US" w:eastAsia="zh-CN"/>
        </w:rPr>
      </w:pPr>
      <w:r>
        <w:rPr>
          <w:rFonts w:hint="eastAsia" w:ascii="方正仿宋_GBK" w:hAnsi="黑体" w:eastAsia="方正仿宋_GBK" w:cs="宋体"/>
          <w:kern w:val="0"/>
          <w:sz w:val="28"/>
          <w:szCs w:val="28"/>
          <w:lang w:val="en-US" w:eastAsia="zh-CN"/>
        </w:rPr>
        <w:t>2025年7月4日</w:t>
      </w:r>
      <w:r>
        <w:rPr>
          <w:rFonts w:hint="eastAsia" w:ascii="方正仿宋_GBK" w:hAnsi="方正仿宋_GBK" w:eastAsia="方正仿宋_GBK" w:cs="方正仿宋_GBK"/>
          <w:b/>
          <w:bCs/>
          <w:sz w:val="44"/>
          <w:szCs w:val="44"/>
          <w:lang w:val="en-US" w:eastAsia="zh-CN"/>
        </w:rPr>
        <w:br w:type="page"/>
      </w:r>
    </w:p>
    <w:p>
      <w:pPr>
        <w:pStyle w:val="3"/>
        <w:keepNext w:val="0"/>
        <w:keepLines w:val="0"/>
        <w:widowControl/>
        <w:suppressLineNumbers w:val="0"/>
        <w:jc w:val="center"/>
        <w:rPr>
          <w:rFonts w:hint="eastAsia" w:ascii="宋体" w:hAnsi="宋体" w:cs="宋体"/>
          <w:b/>
          <w:sz w:val="44"/>
        </w:rPr>
      </w:pPr>
      <w:r>
        <w:rPr>
          <w:rFonts w:hint="eastAsia" w:ascii="宋体" w:hAnsi="宋体" w:cs="宋体"/>
          <w:b/>
          <w:sz w:val="44"/>
          <w:lang w:val="en-US" w:eastAsia="zh-CN"/>
        </w:rPr>
        <w:t>国网浙江电力送变电公司2025年原集体企业第二次物资授权框架公开招标采购（一事一授权）</w:t>
      </w:r>
      <w:r>
        <w:rPr>
          <w:rFonts w:hint="eastAsia" w:ascii="宋体" w:hAnsi="宋体" w:cs="宋体"/>
          <w:b/>
          <w:sz w:val="44"/>
        </w:rPr>
        <w:t>否决投标原因公示</w:t>
      </w:r>
    </w:p>
    <w:p>
      <w:pPr>
        <w:pStyle w:val="3"/>
        <w:keepNext w:val="0"/>
        <w:keepLines w:val="0"/>
        <w:widowControl/>
        <w:suppressLineNumbers w:val="0"/>
        <w:ind w:left="600" w:hanging="480" w:hangingChars="200"/>
        <w:rPr>
          <w:rFonts w:ascii="仿宋_GB2312" w:eastAsia="仿宋_GB2312" w:cs="仿宋_GB2312"/>
          <w:sz w:val="30"/>
          <w:szCs w:val="30"/>
        </w:rPr>
      </w:pPr>
      <w:r>
        <w:rPr>
          <w:rFonts w:hint="eastAsia" w:ascii="宋体" w:hAnsi="宋体" w:cs="宋体"/>
          <w:szCs w:val="28"/>
        </w:rPr>
        <w:t>各潜在投标人</w:t>
      </w:r>
      <w:r>
        <w:rPr>
          <w:rFonts w:ascii="仿宋_GB2312" w:eastAsia="仿宋_GB2312" w:cs="仿宋_GB2312"/>
          <w:sz w:val="30"/>
          <w:szCs w:val="30"/>
        </w:rPr>
        <w:t>：</w:t>
      </w:r>
    </w:p>
    <w:p>
      <w:pPr>
        <w:ind w:firstLine="420" w:firstLineChars="200"/>
        <w:rPr>
          <w:rFonts w:hint="eastAsia" w:ascii="宋体" w:hAnsi="宋体" w:cs="宋体"/>
          <w:szCs w:val="28"/>
        </w:rPr>
      </w:pPr>
      <w:r>
        <w:rPr>
          <w:rFonts w:hint="eastAsia" w:ascii="宋体" w:hAnsi="宋体" w:cs="宋体"/>
          <w:szCs w:val="28"/>
          <w:lang w:val="en-US" w:eastAsia="zh-CN"/>
        </w:rPr>
        <w:t>国网浙江电力送变电公司2025年原集体企业第二次物资授权框架公开招标采购（一事一授权）</w:t>
      </w:r>
      <w:r>
        <w:rPr>
          <w:rFonts w:hint="eastAsia" w:ascii="宋体" w:hAnsi="宋体" w:cs="宋体"/>
          <w:szCs w:val="28"/>
        </w:rPr>
        <w:t>项目招标采购工作已完成，现将招评标有关主要否决投标原因公示如下。</w:t>
      </w:r>
    </w:p>
    <w:tbl>
      <w:tblPr>
        <w:tblStyle w:val="5"/>
        <w:tblpPr w:leftFromText="180" w:rightFromText="180" w:vertAnchor="text" w:horzAnchor="page" w:tblpX="1517" w:tblpY="355"/>
        <w:tblOverlap w:val="never"/>
        <w:tblW w:w="10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500"/>
        <w:gridCol w:w="1901"/>
        <w:gridCol w:w="2717"/>
        <w:gridCol w:w="3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04" w:type="dxa"/>
            <w:vAlign w:val="center"/>
          </w:tcPr>
          <w:p>
            <w:pPr>
              <w:widowControl/>
              <w:jc w:val="center"/>
              <w:rPr>
                <w:rFonts w:hint="default" w:ascii="仿宋_GB2312" w:eastAsia="仿宋_GB2312" w:cs="仿宋_GB2312"/>
                <w:sz w:val="30"/>
                <w:szCs w:val="30"/>
                <w:vertAlign w:val="baseline"/>
              </w:rPr>
            </w:pPr>
            <w:r>
              <w:rPr>
                <w:rFonts w:hint="eastAsia" w:ascii="宋体" w:hAnsi="宋体" w:cs="宋体"/>
                <w:b/>
                <w:sz w:val="24"/>
              </w:rPr>
              <w:t>序号</w:t>
            </w:r>
          </w:p>
        </w:tc>
        <w:tc>
          <w:tcPr>
            <w:tcW w:w="1500" w:type="dxa"/>
            <w:vAlign w:val="center"/>
          </w:tcPr>
          <w:p>
            <w:pPr>
              <w:widowControl/>
              <w:jc w:val="center"/>
              <w:rPr>
                <w:rFonts w:hint="eastAsia" w:ascii="方正仿宋_GBK" w:hAnsi="方正仿宋_GBK" w:eastAsia="方正仿宋_GBK" w:cs="方正仿宋_GBK"/>
                <w:kern w:val="0"/>
                <w:sz w:val="21"/>
                <w:szCs w:val="21"/>
                <w:lang w:val="en-US" w:eastAsia="zh-CN" w:bidi="ar"/>
              </w:rPr>
            </w:pPr>
            <w:r>
              <w:rPr>
                <w:rFonts w:hint="eastAsia" w:ascii="宋体" w:hAnsi="宋体" w:cs="宋体"/>
                <w:b/>
                <w:sz w:val="24"/>
              </w:rPr>
              <w:t>分标名称</w:t>
            </w:r>
          </w:p>
        </w:tc>
        <w:tc>
          <w:tcPr>
            <w:tcW w:w="1901" w:type="dxa"/>
            <w:vAlign w:val="center"/>
          </w:tcPr>
          <w:p>
            <w:pPr>
              <w:widowControl/>
              <w:jc w:val="center"/>
              <w:rPr>
                <w:rFonts w:hint="default" w:ascii="仿宋_GB2312" w:eastAsia="仿宋_GB2312" w:cs="仿宋_GB2312"/>
                <w:sz w:val="30"/>
                <w:szCs w:val="30"/>
                <w:vertAlign w:val="baseline"/>
              </w:rPr>
            </w:pPr>
            <w:r>
              <w:rPr>
                <w:rFonts w:hint="eastAsia" w:ascii="宋体" w:hAnsi="宋体" w:cs="宋体"/>
                <w:b/>
                <w:sz w:val="24"/>
              </w:rPr>
              <w:t>未进入详评原因</w:t>
            </w:r>
          </w:p>
        </w:tc>
        <w:tc>
          <w:tcPr>
            <w:tcW w:w="2717" w:type="dxa"/>
            <w:vAlign w:val="center"/>
          </w:tcPr>
          <w:p>
            <w:pPr>
              <w:widowControl/>
              <w:jc w:val="center"/>
              <w:rPr>
                <w:rFonts w:hint="default" w:ascii="仿宋_GB2312" w:eastAsia="仿宋_GB2312" w:cs="仿宋_GB2312"/>
                <w:sz w:val="30"/>
                <w:szCs w:val="30"/>
                <w:vertAlign w:val="baseline"/>
              </w:rPr>
            </w:pPr>
            <w:r>
              <w:rPr>
                <w:rFonts w:hint="eastAsia" w:ascii="宋体" w:hAnsi="宋体" w:cs="宋体"/>
                <w:b/>
                <w:sz w:val="24"/>
              </w:rPr>
              <w:t>未实质响应的投标人数量</w:t>
            </w:r>
          </w:p>
        </w:tc>
        <w:tc>
          <w:tcPr>
            <w:tcW w:w="3309" w:type="dxa"/>
            <w:vAlign w:val="center"/>
          </w:tcPr>
          <w:p>
            <w:pPr>
              <w:widowControl/>
              <w:jc w:val="center"/>
              <w:rPr>
                <w:rFonts w:hint="default" w:ascii="仿宋_GB2312" w:eastAsia="仿宋_GB2312" w:cs="仿宋_GB2312"/>
                <w:sz w:val="30"/>
                <w:szCs w:val="30"/>
                <w:vertAlign w:val="baseline"/>
              </w:rPr>
            </w:pPr>
            <w:r>
              <w:rPr>
                <w:rFonts w:hint="eastAsia" w:ascii="宋体" w:hAnsi="宋体" w:cs="宋体"/>
                <w:b/>
                <w:sz w:val="24"/>
              </w:rPr>
              <w:t>未实质响应的投标文件份数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1</w:t>
            </w:r>
          </w:p>
        </w:tc>
        <w:tc>
          <w:tcPr>
            <w:tcW w:w="1500" w:type="dxa"/>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工作服</w:t>
            </w:r>
          </w:p>
        </w:tc>
        <w:tc>
          <w:tcPr>
            <w:tcW w:w="1901"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iCs w:val="0"/>
                <w:color w:val="000000"/>
                <w:kern w:val="0"/>
                <w:sz w:val="22"/>
                <w:szCs w:val="22"/>
                <w:u w:val="none"/>
                <w:lang w:val="en-US" w:eastAsia="zh-CN" w:bidi="ar"/>
              </w:rPr>
              <w:t>格式内容</w:t>
            </w:r>
          </w:p>
        </w:tc>
        <w:tc>
          <w:tcPr>
            <w:tcW w:w="2717"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17</w:t>
            </w:r>
          </w:p>
        </w:tc>
        <w:tc>
          <w:tcPr>
            <w:tcW w:w="3309"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Pr>
          <w:p>
            <w:pPr>
              <w:pStyle w:val="3"/>
              <w:keepNext w:val="0"/>
              <w:keepLines w:val="0"/>
              <w:widowControl/>
              <w:numPr>
                <w:ilvl w:val="0"/>
                <w:numId w:val="0"/>
              </w:numPr>
              <w:suppressLineNumbers w:val="0"/>
              <w:ind w:right="0" w:rightChars="0"/>
              <w:jc w:val="center"/>
              <w:rPr>
                <w:rFonts w:hint="default"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c>
          <w:tcPr>
            <w:tcW w:w="1500" w:type="dxa"/>
            <w:vAlign w:val="center"/>
          </w:tcPr>
          <w:p>
            <w:pPr>
              <w:keepNext w:val="0"/>
              <w:keepLines w:val="0"/>
              <w:widowControl/>
              <w:numPr>
                <w:ilvl w:val="0"/>
                <w:numId w:val="0"/>
              </w:numPr>
              <w:suppressLineNumbers w:val="0"/>
              <w:ind w:right="0" w:rightChars="0"/>
              <w:rPr>
                <w:rFonts w:hint="eastAsia" w:ascii="仿宋_GB2312" w:eastAsia="仿宋_GB2312" w:cs="仿宋_GB2312"/>
                <w:sz w:val="30"/>
                <w:szCs w:val="30"/>
                <w:vertAlign w:val="baseline"/>
                <w:lang w:val="en-US" w:eastAsia="zh-CN"/>
              </w:rPr>
            </w:pPr>
            <w:r>
              <w:rPr>
                <w:rFonts w:hint="eastAsia" w:ascii="宋体" w:hAnsi="宋体" w:eastAsia="宋体" w:cs="宋体"/>
                <w:b/>
                <w:bCs/>
                <w:i w:val="0"/>
                <w:iCs w:val="0"/>
                <w:color w:val="000000"/>
                <w:kern w:val="0"/>
                <w:sz w:val="22"/>
                <w:szCs w:val="22"/>
                <w:u w:val="none"/>
                <w:lang w:val="en-US" w:eastAsia="zh-CN" w:bidi="ar"/>
              </w:rPr>
              <w:t>工作服</w:t>
            </w:r>
          </w:p>
        </w:tc>
        <w:tc>
          <w:tcPr>
            <w:tcW w:w="1901"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投标报价</w:t>
            </w:r>
          </w:p>
        </w:tc>
        <w:tc>
          <w:tcPr>
            <w:tcW w:w="2717"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c>
          <w:tcPr>
            <w:tcW w:w="3309"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Pr>
          <w:p>
            <w:pPr>
              <w:pStyle w:val="3"/>
              <w:keepNext w:val="0"/>
              <w:keepLines w:val="0"/>
              <w:widowControl/>
              <w:numPr>
                <w:ilvl w:val="0"/>
                <w:numId w:val="0"/>
              </w:numPr>
              <w:suppressLineNumbers w:val="0"/>
              <w:ind w:right="0" w:rightChars="0"/>
              <w:jc w:val="center"/>
              <w:rPr>
                <w:rFonts w:hint="default"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3</w:t>
            </w:r>
          </w:p>
        </w:tc>
        <w:tc>
          <w:tcPr>
            <w:tcW w:w="1500" w:type="dxa"/>
            <w:vAlign w:val="center"/>
          </w:tcPr>
          <w:p>
            <w:pPr>
              <w:keepNext w:val="0"/>
              <w:keepLines w:val="0"/>
              <w:widowControl/>
              <w:numPr>
                <w:ilvl w:val="0"/>
                <w:numId w:val="0"/>
              </w:numPr>
              <w:suppressLineNumbers w:val="0"/>
              <w:ind w:right="0" w:rightChars="0"/>
              <w:rPr>
                <w:rFonts w:hint="eastAsia" w:ascii="仿宋_GB2312" w:eastAsia="仿宋_GB2312" w:cs="仿宋_GB2312"/>
                <w:sz w:val="30"/>
                <w:szCs w:val="30"/>
                <w:vertAlign w:val="baseline"/>
                <w:lang w:val="en-US" w:eastAsia="zh-CN"/>
              </w:rPr>
            </w:pPr>
            <w:r>
              <w:rPr>
                <w:rFonts w:hint="eastAsia" w:ascii="宋体" w:hAnsi="宋体" w:eastAsia="宋体" w:cs="宋体"/>
                <w:b/>
                <w:bCs/>
                <w:i w:val="0"/>
                <w:iCs w:val="0"/>
                <w:color w:val="000000"/>
                <w:kern w:val="0"/>
                <w:sz w:val="22"/>
                <w:szCs w:val="22"/>
                <w:u w:val="none"/>
                <w:lang w:val="en-US" w:eastAsia="zh-CN" w:bidi="ar"/>
              </w:rPr>
              <w:t>工作服</w:t>
            </w:r>
          </w:p>
        </w:tc>
        <w:tc>
          <w:tcPr>
            <w:tcW w:w="1901"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投标偏差</w:t>
            </w:r>
          </w:p>
        </w:tc>
        <w:tc>
          <w:tcPr>
            <w:tcW w:w="2717"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c>
          <w:tcPr>
            <w:tcW w:w="3309"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Pr>
          <w:p>
            <w:pPr>
              <w:pStyle w:val="3"/>
              <w:keepNext w:val="0"/>
              <w:keepLines w:val="0"/>
              <w:widowControl/>
              <w:numPr>
                <w:ilvl w:val="0"/>
                <w:numId w:val="0"/>
              </w:numPr>
              <w:suppressLineNumbers w:val="0"/>
              <w:ind w:right="0" w:rightChars="0"/>
              <w:jc w:val="center"/>
              <w:rPr>
                <w:rFonts w:hint="default"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4</w:t>
            </w:r>
          </w:p>
        </w:tc>
        <w:tc>
          <w:tcPr>
            <w:tcW w:w="1500" w:type="dxa"/>
            <w:vAlign w:val="center"/>
          </w:tcPr>
          <w:p>
            <w:pPr>
              <w:keepNext w:val="0"/>
              <w:keepLines w:val="0"/>
              <w:widowControl/>
              <w:numPr>
                <w:ilvl w:val="0"/>
                <w:numId w:val="0"/>
              </w:numPr>
              <w:suppressLineNumbers w:val="0"/>
              <w:ind w:right="0" w:rightChars="0"/>
              <w:rPr>
                <w:rFonts w:hint="eastAsia" w:ascii="仿宋_GB2312" w:eastAsia="仿宋_GB2312" w:cs="仿宋_GB2312"/>
                <w:sz w:val="30"/>
                <w:szCs w:val="30"/>
                <w:vertAlign w:val="baseline"/>
                <w:lang w:val="en-US" w:eastAsia="zh-CN"/>
              </w:rPr>
            </w:pPr>
            <w:r>
              <w:rPr>
                <w:rFonts w:hint="eastAsia" w:ascii="宋体" w:hAnsi="宋体" w:eastAsia="宋体" w:cs="宋体"/>
                <w:b/>
                <w:bCs/>
                <w:i w:val="0"/>
                <w:iCs w:val="0"/>
                <w:color w:val="000000"/>
                <w:kern w:val="0"/>
                <w:sz w:val="22"/>
                <w:szCs w:val="22"/>
                <w:u w:val="none"/>
                <w:lang w:val="en-US" w:eastAsia="zh-CN" w:bidi="ar"/>
              </w:rPr>
              <w:t>工作服</w:t>
            </w:r>
          </w:p>
        </w:tc>
        <w:tc>
          <w:tcPr>
            <w:tcW w:w="1901" w:type="dxa"/>
            <w:vAlign w:val="center"/>
          </w:tcPr>
          <w:p>
            <w:pPr>
              <w:keepNext w:val="0"/>
              <w:keepLines w:val="0"/>
              <w:widowControl/>
              <w:suppressLineNumbers w:val="0"/>
              <w:jc w:val="left"/>
              <w:textAlignment w:val="center"/>
              <w:rPr>
                <w:rFonts w:hint="default" w:ascii="Calibri" w:hAnsi="Calibri" w:eastAsia="宋体" w:cs="Calibri"/>
                <w:i w:val="0"/>
                <w:color w:val="000000"/>
                <w:kern w:val="0"/>
                <w:sz w:val="24"/>
                <w:szCs w:val="24"/>
                <w:u w:val="none"/>
                <w:lang w:val="en-US" w:eastAsia="zh-CN" w:bidi="ar"/>
              </w:rPr>
            </w:pPr>
            <w:r>
              <w:rPr>
                <w:rFonts w:hint="eastAsia" w:ascii="宋体" w:hAnsi="宋体" w:eastAsia="宋体" w:cs="宋体"/>
                <w:i w:val="0"/>
                <w:iCs w:val="0"/>
                <w:color w:val="000000"/>
                <w:kern w:val="0"/>
                <w:sz w:val="22"/>
                <w:szCs w:val="22"/>
                <w:u w:val="none"/>
                <w:lang w:val="en-US" w:eastAsia="zh-CN" w:bidi="ar"/>
              </w:rPr>
              <w:t>资格不符</w:t>
            </w:r>
          </w:p>
        </w:tc>
        <w:tc>
          <w:tcPr>
            <w:tcW w:w="2717"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c>
          <w:tcPr>
            <w:tcW w:w="3309"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tcPr>
          <w:p>
            <w:pPr>
              <w:pStyle w:val="3"/>
              <w:keepNext w:val="0"/>
              <w:keepLines w:val="0"/>
              <w:widowControl/>
              <w:numPr>
                <w:ilvl w:val="0"/>
                <w:numId w:val="0"/>
              </w:numPr>
              <w:suppressLineNumbers w:val="0"/>
              <w:ind w:right="0" w:rightChars="0"/>
              <w:jc w:val="center"/>
              <w:rPr>
                <w:rFonts w:hint="default"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5</w:t>
            </w:r>
          </w:p>
        </w:tc>
        <w:tc>
          <w:tcPr>
            <w:tcW w:w="1500" w:type="dxa"/>
            <w:vAlign w:val="center"/>
          </w:tcPr>
          <w:p>
            <w:pPr>
              <w:keepNext w:val="0"/>
              <w:keepLines w:val="0"/>
              <w:widowControl/>
              <w:suppressLineNumbers w:val="0"/>
              <w:jc w:val="left"/>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劳保用品</w:t>
            </w:r>
          </w:p>
        </w:tc>
        <w:tc>
          <w:tcPr>
            <w:tcW w:w="1901"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投标偏差</w:t>
            </w:r>
          </w:p>
        </w:tc>
        <w:tc>
          <w:tcPr>
            <w:tcW w:w="2717"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c>
          <w:tcPr>
            <w:tcW w:w="3309" w:type="dxa"/>
            <w:vAlign w:val="center"/>
          </w:tcPr>
          <w:p>
            <w:pPr>
              <w:pStyle w:val="3"/>
              <w:keepNext w:val="0"/>
              <w:keepLines w:val="0"/>
              <w:widowControl/>
              <w:numPr>
                <w:ilvl w:val="0"/>
                <w:numId w:val="0"/>
              </w:numPr>
              <w:suppressLineNumbers w:val="0"/>
              <w:ind w:right="0" w:rightChars="0"/>
              <w:jc w:val="center"/>
              <w:rPr>
                <w:rFonts w:hint="eastAsia" w:ascii="仿宋_GB2312" w:eastAsia="仿宋_GB2312" w:cs="仿宋_GB2312"/>
                <w:sz w:val="30"/>
                <w:szCs w:val="30"/>
                <w:vertAlign w:val="baseline"/>
                <w:lang w:val="en-US" w:eastAsia="zh-CN"/>
              </w:rPr>
            </w:pPr>
            <w:r>
              <w:rPr>
                <w:rFonts w:hint="eastAsia" w:ascii="仿宋_GB2312" w:eastAsia="仿宋_GB2312" w:cs="仿宋_GB2312"/>
                <w:sz w:val="30"/>
                <w:szCs w:val="30"/>
                <w:vertAlign w:val="baseline"/>
                <w:lang w:val="en-US" w:eastAsia="zh-CN"/>
              </w:rPr>
              <w:t>2</w:t>
            </w:r>
          </w:p>
        </w:tc>
      </w:tr>
    </w:tbl>
    <w:p>
      <w:pPr>
        <w:adjustRightInd w:val="0"/>
        <w:snapToGrid w:val="0"/>
        <w:spacing w:line="360" w:lineRule="auto"/>
        <w:ind w:firstLine="420" w:firstLineChars="200"/>
        <w:rPr>
          <w:rFonts w:hint="eastAsia" w:ascii="宋体" w:hAnsi="宋体" w:cs="宋体"/>
          <w:szCs w:val="28"/>
        </w:rPr>
      </w:pPr>
      <w:r>
        <w:rPr>
          <w:rFonts w:hint="eastAsia" w:ascii="宋体" w:hAnsi="宋体" w:cs="宋体"/>
          <w:szCs w:val="28"/>
        </w:rPr>
        <w:t>特此公示。</w:t>
      </w:r>
    </w:p>
    <w:p>
      <w:pPr>
        <w:pStyle w:val="3"/>
        <w:keepNext w:val="0"/>
        <w:keepLines w:val="0"/>
        <w:widowControl/>
        <w:suppressLineNumbers w:val="0"/>
        <w:ind w:firstLine="420" w:firstLineChars="0"/>
        <w:jc w:val="right"/>
        <w:rPr>
          <w:rFonts w:hint="eastAsia" w:ascii="方正仿宋_GBK" w:hAnsi="黑体" w:eastAsia="方正仿宋_GBK" w:cs="宋体"/>
          <w:kern w:val="0"/>
          <w:sz w:val="28"/>
          <w:szCs w:val="28"/>
        </w:rPr>
      </w:pPr>
      <w:r>
        <w:rPr>
          <w:rFonts w:hint="eastAsia" w:ascii="方正仿宋_GBK" w:hAnsi="黑体" w:eastAsia="方正仿宋_GBK" w:cs="宋体"/>
          <w:kern w:val="0"/>
          <w:sz w:val="28"/>
          <w:szCs w:val="28"/>
        </w:rPr>
        <w:t>浙电兰创（浙江）信息智能化科技有限公司</w:t>
      </w:r>
    </w:p>
    <w:p>
      <w:pPr>
        <w:jc w:val="right"/>
        <w:rPr>
          <w:rFonts w:hint="eastAsia" w:ascii="方正仿宋_GBK" w:hAnsi="黑体" w:eastAsia="方正仿宋_GBK" w:cs="宋体"/>
          <w:kern w:val="0"/>
          <w:sz w:val="28"/>
          <w:szCs w:val="28"/>
          <w:lang w:val="en-US" w:eastAsia="zh-CN"/>
        </w:rPr>
        <w:sectPr>
          <w:type w:val="continuous"/>
          <w:pgSz w:w="11906" w:h="16838"/>
          <w:pgMar w:top="1440" w:right="1800" w:bottom="1440" w:left="1800" w:header="851" w:footer="992" w:gutter="0"/>
          <w:cols w:space="425" w:num="1"/>
          <w:docGrid w:type="lines" w:linePitch="312" w:charSpace="0"/>
        </w:sectPr>
      </w:pPr>
      <w:r>
        <w:rPr>
          <w:rFonts w:hint="eastAsia" w:ascii="方正仿宋_GBK" w:hAnsi="黑体" w:eastAsia="方正仿宋_GBK" w:cs="宋体"/>
          <w:kern w:val="0"/>
          <w:sz w:val="28"/>
          <w:szCs w:val="28"/>
          <w:lang w:val="en-US" w:eastAsia="zh-CN"/>
        </w:rPr>
        <w:t>2025年7月4日</w:t>
      </w:r>
    </w:p>
    <w:p>
      <w:pPr>
        <w:pStyle w:val="2"/>
        <w:rPr>
          <w:rFonts w:hint="eastAsia"/>
          <w:lang w:val="en-US" w:eastAsia="zh-CN"/>
        </w:rPr>
      </w:pP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3000509000000000000"/>
    <w:charset w:val="86"/>
    <w:family w:val="script"/>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A833B8"/>
    <w:rsid w:val="002C6F72"/>
    <w:rsid w:val="00822477"/>
    <w:rsid w:val="00995303"/>
    <w:rsid w:val="00EF4B78"/>
    <w:rsid w:val="00FD7FA7"/>
    <w:rsid w:val="01493542"/>
    <w:rsid w:val="01504E90"/>
    <w:rsid w:val="019176BC"/>
    <w:rsid w:val="01AD4D98"/>
    <w:rsid w:val="02843B5A"/>
    <w:rsid w:val="02EB78A6"/>
    <w:rsid w:val="033B0D09"/>
    <w:rsid w:val="040F7FF2"/>
    <w:rsid w:val="044D4D54"/>
    <w:rsid w:val="050B542A"/>
    <w:rsid w:val="05DD49F8"/>
    <w:rsid w:val="060979D3"/>
    <w:rsid w:val="060A7FB5"/>
    <w:rsid w:val="07461093"/>
    <w:rsid w:val="07BB58C4"/>
    <w:rsid w:val="08027D7F"/>
    <w:rsid w:val="080B144A"/>
    <w:rsid w:val="08510A19"/>
    <w:rsid w:val="08A24327"/>
    <w:rsid w:val="098C742A"/>
    <w:rsid w:val="09BD7AB7"/>
    <w:rsid w:val="0B2948C4"/>
    <w:rsid w:val="0B763AEC"/>
    <w:rsid w:val="0BAA3DC8"/>
    <w:rsid w:val="0C9A45BF"/>
    <w:rsid w:val="0CC17466"/>
    <w:rsid w:val="0CDD088C"/>
    <w:rsid w:val="0D1E4D79"/>
    <w:rsid w:val="0DF30699"/>
    <w:rsid w:val="0E9A575A"/>
    <w:rsid w:val="0F3C0E82"/>
    <w:rsid w:val="0F846F71"/>
    <w:rsid w:val="104C0514"/>
    <w:rsid w:val="10646B34"/>
    <w:rsid w:val="108F6D9D"/>
    <w:rsid w:val="109A2B3A"/>
    <w:rsid w:val="10F90C3F"/>
    <w:rsid w:val="117E3716"/>
    <w:rsid w:val="12364971"/>
    <w:rsid w:val="1367743C"/>
    <w:rsid w:val="148555EB"/>
    <w:rsid w:val="14AC5E91"/>
    <w:rsid w:val="14F75800"/>
    <w:rsid w:val="15E2718C"/>
    <w:rsid w:val="16467C4F"/>
    <w:rsid w:val="16D47DC4"/>
    <w:rsid w:val="178006BB"/>
    <w:rsid w:val="178B1385"/>
    <w:rsid w:val="17EB2540"/>
    <w:rsid w:val="18523B03"/>
    <w:rsid w:val="18E96D8D"/>
    <w:rsid w:val="18EC58EA"/>
    <w:rsid w:val="196A300A"/>
    <w:rsid w:val="1A0671D8"/>
    <w:rsid w:val="1A346D86"/>
    <w:rsid w:val="1A844C8A"/>
    <w:rsid w:val="1BC95622"/>
    <w:rsid w:val="1BD5204E"/>
    <w:rsid w:val="1C44425C"/>
    <w:rsid w:val="1C755FA0"/>
    <w:rsid w:val="1CB90634"/>
    <w:rsid w:val="1D2824BC"/>
    <w:rsid w:val="1D2912A6"/>
    <w:rsid w:val="1D6A093E"/>
    <w:rsid w:val="1D9659F7"/>
    <w:rsid w:val="1DC631F2"/>
    <w:rsid w:val="1DDC24E4"/>
    <w:rsid w:val="1DF65F12"/>
    <w:rsid w:val="1E4E3763"/>
    <w:rsid w:val="1F02408F"/>
    <w:rsid w:val="1F9E0FCB"/>
    <w:rsid w:val="1FCD3594"/>
    <w:rsid w:val="20806E2E"/>
    <w:rsid w:val="20A15129"/>
    <w:rsid w:val="20B65807"/>
    <w:rsid w:val="21935C8E"/>
    <w:rsid w:val="219F3C08"/>
    <w:rsid w:val="221074F0"/>
    <w:rsid w:val="231E7AFC"/>
    <w:rsid w:val="237E7C3D"/>
    <w:rsid w:val="24493AD5"/>
    <w:rsid w:val="24557502"/>
    <w:rsid w:val="24E9599D"/>
    <w:rsid w:val="261C3BF0"/>
    <w:rsid w:val="2630349B"/>
    <w:rsid w:val="263D091C"/>
    <w:rsid w:val="26807172"/>
    <w:rsid w:val="268707BB"/>
    <w:rsid w:val="26DD2165"/>
    <w:rsid w:val="272E116E"/>
    <w:rsid w:val="273913E7"/>
    <w:rsid w:val="275C5D8D"/>
    <w:rsid w:val="27642FBC"/>
    <w:rsid w:val="277253BE"/>
    <w:rsid w:val="28930AE9"/>
    <w:rsid w:val="28C004A1"/>
    <w:rsid w:val="28C3156D"/>
    <w:rsid w:val="28E1213C"/>
    <w:rsid w:val="29096484"/>
    <w:rsid w:val="2938529B"/>
    <w:rsid w:val="298016BA"/>
    <w:rsid w:val="2A164142"/>
    <w:rsid w:val="2B5642BA"/>
    <w:rsid w:val="2B5E7A57"/>
    <w:rsid w:val="2C7D2E64"/>
    <w:rsid w:val="2C947FE3"/>
    <w:rsid w:val="2CEF0B92"/>
    <w:rsid w:val="2D253C5C"/>
    <w:rsid w:val="2D647F24"/>
    <w:rsid w:val="2DAA3ED4"/>
    <w:rsid w:val="2E302449"/>
    <w:rsid w:val="2E60323F"/>
    <w:rsid w:val="2E997534"/>
    <w:rsid w:val="2F301AB6"/>
    <w:rsid w:val="2F361A59"/>
    <w:rsid w:val="2F780297"/>
    <w:rsid w:val="2FA968B0"/>
    <w:rsid w:val="2FB87799"/>
    <w:rsid w:val="300264B2"/>
    <w:rsid w:val="302263A8"/>
    <w:rsid w:val="3058488E"/>
    <w:rsid w:val="30696168"/>
    <w:rsid w:val="3092357D"/>
    <w:rsid w:val="30A32900"/>
    <w:rsid w:val="30DC551C"/>
    <w:rsid w:val="310919ED"/>
    <w:rsid w:val="315222D2"/>
    <w:rsid w:val="316636B2"/>
    <w:rsid w:val="31766D42"/>
    <w:rsid w:val="32116587"/>
    <w:rsid w:val="32FD1773"/>
    <w:rsid w:val="335279AB"/>
    <w:rsid w:val="339225E6"/>
    <w:rsid w:val="33ED3E43"/>
    <w:rsid w:val="340B3841"/>
    <w:rsid w:val="35134BCA"/>
    <w:rsid w:val="3546420A"/>
    <w:rsid w:val="355309F9"/>
    <w:rsid w:val="356C0D9A"/>
    <w:rsid w:val="360D61FB"/>
    <w:rsid w:val="36314BB9"/>
    <w:rsid w:val="366C7B4B"/>
    <w:rsid w:val="36B02DB3"/>
    <w:rsid w:val="36CB0321"/>
    <w:rsid w:val="36CF674C"/>
    <w:rsid w:val="374B7BA9"/>
    <w:rsid w:val="375F0FC3"/>
    <w:rsid w:val="379F6F85"/>
    <w:rsid w:val="380A31B3"/>
    <w:rsid w:val="38273849"/>
    <w:rsid w:val="38633360"/>
    <w:rsid w:val="387338E1"/>
    <w:rsid w:val="38A236A9"/>
    <w:rsid w:val="38C30057"/>
    <w:rsid w:val="393E4559"/>
    <w:rsid w:val="39AC1550"/>
    <w:rsid w:val="39BA0D30"/>
    <w:rsid w:val="3A34320B"/>
    <w:rsid w:val="3A4A1E05"/>
    <w:rsid w:val="3A993243"/>
    <w:rsid w:val="3ADA7855"/>
    <w:rsid w:val="3B417C44"/>
    <w:rsid w:val="3B5C1DA0"/>
    <w:rsid w:val="3BF61D95"/>
    <w:rsid w:val="3CBF5D5E"/>
    <w:rsid w:val="3CE022AD"/>
    <w:rsid w:val="3D5320B8"/>
    <w:rsid w:val="3E0618FC"/>
    <w:rsid w:val="3E074B2D"/>
    <w:rsid w:val="3E5B618C"/>
    <w:rsid w:val="3EAB2158"/>
    <w:rsid w:val="3ED265D6"/>
    <w:rsid w:val="3FA91F62"/>
    <w:rsid w:val="3FB00D99"/>
    <w:rsid w:val="400E0089"/>
    <w:rsid w:val="4034350B"/>
    <w:rsid w:val="404D1D40"/>
    <w:rsid w:val="408C737C"/>
    <w:rsid w:val="40F313F6"/>
    <w:rsid w:val="41311B35"/>
    <w:rsid w:val="414D0357"/>
    <w:rsid w:val="41781156"/>
    <w:rsid w:val="41CB6B2F"/>
    <w:rsid w:val="43FA01B2"/>
    <w:rsid w:val="4408651A"/>
    <w:rsid w:val="441A2B04"/>
    <w:rsid w:val="442609DC"/>
    <w:rsid w:val="447C127A"/>
    <w:rsid w:val="44D66D82"/>
    <w:rsid w:val="45B41FBC"/>
    <w:rsid w:val="460E5AB5"/>
    <w:rsid w:val="464E778B"/>
    <w:rsid w:val="46867EB9"/>
    <w:rsid w:val="46BF0AFF"/>
    <w:rsid w:val="46E53E83"/>
    <w:rsid w:val="46FD6304"/>
    <w:rsid w:val="48040098"/>
    <w:rsid w:val="488B13E3"/>
    <w:rsid w:val="48D97BBF"/>
    <w:rsid w:val="492839F1"/>
    <w:rsid w:val="49834FD0"/>
    <w:rsid w:val="49E06617"/>
    <w:rsid w:val="49E8315B"/>
    <w:rsid w:val="49FA2050"/>
    <w:rsid w:val="4A9B3A5B"/>
    <w:rsid w:val="4AAC19C9"/>
    <w:rsid w:val="4ACE486E"/>
    <w:rsid w:val="4BBA2DE9"/>
    <w:rsid w:val="4C0C4E56"/>
    <w:rsid w:val="4C6D4C9E"/>
    <w:rsid w:val="4CDC02CF"/>
    <w:rsid w:val="4D2451AD"/>
    <w:rsid w:val="4D3952B1"/>
    <w:rsid w:val="4D6F655E"/>
    <w:rsid w:val="4DCE4347"/>
    <w:rsid w:val="4DD37D73"/>
    <w:rsid w:val="4E4C13A7"/>
    <w:rsid w:val="4E5E5963"/>
    <w:rsid w:val="4E7E74FB"/>
    <w:rsid w:val="4EC45725"/>
    <w:rsid w:val="4ECA3444"/>
    <w:rsid w:val="4F3F478B"/>
    <w:rsid w:val="50732AD8"/>
    <w:rsid w:val="50981B94"/>
    <w:rsid w:val="514210BA"/>
    <w:rsid w:val="51A44CA5"/>
    <w:rsid w:val="522C1319"/>
    <w:rsid w:val="52DB6450"/>
    <w:rsid w:val="530439E2"/>
    <w:rsid w:val="536C25E0"/>
    <w:rsid w:val="539847C0"/>
    <w:rsid w:val="53BF296F"/>
    <w:rsid w:val="53E432BD"/>
    <w:rsid w:val="541049DF"/>
    <w:rsid w:val="5445120E"/>
    <w:rsid w:val="548831A3"/>
    <w:rsid w:val="54AF3419"/>
    <w:rsid w:val="54F559F7"/>
    <w:rsid w:val="54FB08F0"/>
    <w:rsid w:val="55CE2E40"/>
    <w:rsid w:val="55ED5307"/>
    <w:rsid w:val="565B4D4C"/>
    <w:rsid w:val="56A6510E"/>
    <w:rsid w:val="56B16554"/>
    <w:rsid w:val="573401EE"/>
    <w:rsid w:val="57674005"/>
    <w:rsid w:val="57F90655"/>
    <w:rsid w:val="58741C65"/>
    <w:rsid w:val="599D3F1B"/>
    <w:rsid w:val="59D76A17"/>
    <w:rsid w:val="59E25A2F"/>
    <w:rsid w:val="59FF2BA7"/>
    <w:rsid w:val="5B507AC7"/>
    <w:rsid w:val="5C220805"/>
    <w:rsid w:val="5CFC69FB"/>
    <w:rsid w:val="5DCF0D29"/>
    <w:rsid w:val="5E2779FF"/>
    <w:rsid w:val="5E401019"/>
    <w:rsid w:val="5F7F1F31"/>
    <w:rsid w:val="5FA7637A"/>
    <w:rsid w:val="5FCC4484"/>
    <w:rsid w:val="5FCC4F7F"/>
    <w:rsid w:val="600E35E9"/>
    <w:rsid w:val="61195414"/>
    <w:rsid w:val="613B4D4C"/>
    <w:rsid w:val="6170087C"/>
    <w:rsid w:val="61A03851"/>
    <w:rsid w:val="61E801CA"/>
    <w:rsid w:val="621254E6"/>
    <w:rsid w:val="6254714B"/>
    <w:rsid w:val="626F3515"/>
    <w:rsid w:val="6271171B"/>
    <w:rsid w:val="62D35DEA"/>
    <w:rsid w:val="633051A6"/>
    <w:rsid w:val="63305305"/>
    <w:rsid w:val="6378605D"/>
    <w:rsid w:val="63BE2754"/>
    <w:rsid w:val="640F5181"/>
    <w:rsid w:val="64727D0D"/>
    <w:rsid w:val="65B16A5C"/>
    <w:rsid w:val="661E3326"/>
    <w:rsid w:val="66A833B8"/>
    <w:rsid w:val="677B5FEA"/>
    <w:rsid w:val="67A20E93"/>
    <w:rsid w:val="67EE1D43"/>
    <w:rsid w:val="68887D27"/>
    <w:rsid w:val="688E332A"/>
    <w:rsid w:val="693F3D9A"/>
    <w:rsid w:val="69ED030E"/>
    <w:rsid w:val="6A63340F"/>
    <w:rsid w:val="6A797E48"/>
    <w:rsid w:val="6BAB02E4"/>
    <w:rsid w:val="6BBB0AFA"/>
    <w:rsid w:val="6BD070CB"/>
    <w:rsid w:val="6BED2F7A"/>
    <w:rsid w:val="6C6E1DA6"/>
    <w:rsid w:val="6D0E61CD"/>
    <w:rsid w:val="6D3B0194"/>
    <w:rsid w:val="6D5D4EF7"/>
    <w:rsid w:val="70B70159"/>
    <w:rsid w:val="70F2553E"/>
    <w:rsid w:val="717221F9"/>
    <w:rsid w:val="718A191B"/>
    <w:rsid w:val="71E84961"/>
    <w:rsid w:val="72CC2B48"/>
    <w:rsid w:val="732316C4"/>
    <w:rsid w:val="737362DC"/>
    <w:rsid w:val="74070A00"/>
    <w:rsid w:val="74A92A7E"/>
    <w:rsid w:val="74BB5E6F"/>
    <w:rsid w:val="75CC3366"/>
    <w:rsid w:val="76223E91"/>
    <w:rsid w:val="76986109"/>
    <w:rsid w:val="77132D26"/>
    <w:rsid w:val="77B83F01"/>
    <w:rsid w:val="77C15490"/>
    <w:rsid w:val="77CE66A0"/>
    <w:rsid w:val="787F424C"/>
    <w:rsid w:val="78A1501F"/>
    <w:rsid w:val="78CC04EB"/>
    <w:rsid w:val="78F2427D"/>
    <w:rsid w:val="79B15B85"/>
    <w:rsid w:val="79E36404"/>
    <w:rsid w:val="7A055D92"/>
    <w:rsid w:val="7A0603FC"/>
    <w:rsid w:val="7AB771FA"/>
    <w:rsid w:val="7AC479A6"/>
    <w:rsid w:val="7C3C07F7"/>
    <w:rsid w:val="7C87363A"/>
    <w:rsid w:val="7D533892"/>
    <w:rsid w:val="7DB73574"/>
    <w:rsid w:val="7DBF3D6A"/>
    <w:rsid w:val="7E2E473D"/>
    <w:rsid w:val="7E43704A"/>
    <w:rsid w:val="7E9D0929"/>
    <w:rsid w:val="7EBC5D37"/>
    <w:rsid w:val="7FC96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240" w:lineRule="auto"/>
      <w:ind w:firstLine="420" w:firstLineChars="0"/>
    </w:pPr>
    <w:rPr>
      <w:rFonts w:ascii="Calibri" w:hAnsi="Calibri" w:eastAsia="宋体"/>
      <w:sz w:val="21"/>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11"/>
    <w:basedOn w:val="6"/>
    <w:qFormat/>
    <w:uiPriority w:val="0"/>
    <w:rPr>
      <w:rFonts w:hint="eastAsia" w:ascii="宋体" w:hAnsi="宋体" w:eastAsia="宋体" w:cs="宋体"/>
      <w:color w:val="000000"/>
      <w:sz w:val="20"/>
      <w:szCs w:val="20"/>
      <w:u w:val="none"/>
    </w:rPr>
  </w:style>
  <w:style w:type="character" w:customStyle="1" w:styleId="8">
    <w:name w:val="font51"/>
    <w:basedOn w:val="6"/>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1</Company>
  <Pages>3</Pages>
  <Words>1033</Words>
  <Characters>1103</Characters>
  <Lines>0</Lines>
  <Paragraphs>0</Paragraphs>
  <TotalTime>0</TotalTime>
  <ScaleCrop>false</ScaleCrop>
  <LinksUpToDate>false</LinksUpToDate>
  <CharactersWithSpaces>1118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2025-06-30T01:12:00Z</dcterms:created>
  <dc:creator>13625</dc:creator>
  <cp:lastModifiedBy>13625</cp:lastModifiedBy>
  <dcterms:modified xsi:type="dcterms:W3CDTF">2025-07-04T06:04:17Z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B1BC9BA2B9174F92A95421EA66DA6489</vt:lpwstr>
  </property>
</Properties>
</file>