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20" w:firstLineChars="0"/>
        <w:jc w:val="center"/>
        <w:textAlignment w:val="auto"/>
        <w:outlineLvl w:val="9"/>
        <w:rPr>
          <w:rFonts w:hint="default" w:ascii="宋体" w:hAnsi="宋体" w:cs="宋体"/>
          <w:b w:val="0"/>
          <w:bCs w:val="0"/>
          <w:sz w:val="36"/>
          <w:szCs w:val="36"/>
          <w:u w:val="none"/>
          <w:lang w:val="en-US" w:eastAsia="zh-CN"/>
        </w:rPr>
      </w:pPr>
      <w:r>
        <w:rPr>
          <w:rFonts w:hint="eastAsia" w:ascii="宋体" w:hAnsi="宋体" w:cs="宋体"/>
          <w:b w:val="0"/>
          <w:bCs w:val="0"/>
          <w:sz w:val="36"/>
          <w:szCs w:val="36"/>
          <w:u w:val="none"/>
          <w:lang w:val="en-US" w:eastAsia="zh-CN"/>
        </w:rPr>
        <w:t>本钢设备</w:t>
      </w:r>
      <w:r>
        <w:rPr>
          <w:rFonts w:hint="eastAsia" w:ascii="宋体" w:hAnsi="宋体" w:eastAsia="宋体" w:cs="宋体"/>
          <w:b w:val="0"/>
          <w:bCs w:val="0"/>
          <w:sz w:val="36"/>
          <w:szCs w:val="36"/>
          <w:u w:val="none"/>
          <w:lang w:val="en-US" w:eastAsia="zh-CN"/>
        </w:rPr>
        <w:t>公司</w:t>
      </w:r>
      <w:r>
        <w:rPr>
          <w:rFonts w:hint="eastAsia" w:ascii="宋体" w:hAnsi="宋体" w:cs="宋体"/>
          <w:b w:val="0"/>
          <w:bCs w:val="0"/>
          <w:sz w:val="36"/>
          <w:szCs w:val="36"/>
          <w:u w:val="none"/>
          <w:lang w:val="en-US" w:eastAsia="zh-CN"/>
        </w:rPr>
        <w:t>-阀门（一）</w:t>
      </w:r>
    </w:p>
    <w:p>
      <w:pPr>
        <w:spacing w:line="560" w:lineRule="exact"/>
        <w:ind w:firstLine="420"/>
        <w:jc w:val="center"/>
        <w:rPr>
          <w:rFonts w:hint="eastAsia" w:ascii="宋体" w:hAnsi="宋体" w:cs="宋体"/>
          <w:sz w:val="36"/>
          <w:szCs w:val="36"/>
        </w:rPr>
      </w:pPr>
      <w:r>
        <w:rPr>
          <w:rFonts w:hint="eastAsia" w:ascii="宋体" w:hAnsi="宋体" w:cs="宋体"/>
          <w:b w:val="0"/>
          <w:bCs w:val="0"/>
          <w:sz w:val="36"/>
          <w:szCs w:val="36"/>
          <w:u w:val="none"/>
          <w:lang w:val="en-US" w:eastAsia="zh-CN"/>
        </w:rPr>
        <w:t>公开询比</w:t>
      </w:r>
      <w:r>
        <w:rPr>
          <w:rFonts w:hint="eastAsia" w:ascii="宋体" w:hAnsi="宋体" w:eastAsia="宋体" w:cs="宋体"/>
          <w:b w:val="0"/>
          <w:bCs w:val="0"/>
          <w:sz w:val="36"/>
          <w:szCs w:val="36"/>
          <w:u w:val="none"/>
        </w:rPr>
        <w:t>采购</w:t>
      </w:r>
      <w:r>
        <w:rPr>
          <w:rFonts w:hint="eastAsia" w:ascii="宋体" w:hAnsi="宋体" w:eastAsia="宋体" w:cs="宋体"/>
          <w:b w:val="0"/>
          <w:bCs w:val="0"/>
          <w:sz w:val="36"/>
          <w:szCs w:val="36"/>
          <w:u w:val="none"/>
          <w:lang w:eastAsia="zh-CN"/>
        </w:rPr>
        <w:t>方案</w:t>
      </w:r>
    </w:p>
    <w:p>
      <w:pPr>
        <w:pStyle w:val="4"/>
      </w:pPr>
    </w:p>
    <w:p>
      <w:pPr>
        <w:keepNext w:val="0"/>
        <w:keepLines w:val="0"/>
        <w:pageBreakBefore w:val="0"/>
        <w:widowControl w:val="0"/>
        <w:kinsoku/>
        <w:wordWrap/>
        <w:overflowPunct/>
        <w:topLinePunct w:val="0"/>
        <w:autoSpaceDE/>
        <w:autoSpaceDN/>
        <w:bidi w:val="0"/>
        <w:adjustRightInd/>
        <w:snapToGrid/>
        <w:spacing w:line="460" w:lineRule="exact"/>
        <w:ind w:firstLine="602" w:firstLineChars="200"/>
        <w:jc w:val="left"/>
        <w:textAlignment w:val="auto"/>
        <w:rPr>
          <w:rFonts w:ascii="仿宋" w:hAnsi="仿宋" w:eastAsia="仿宋" w:cs="仿宋"/>
          <w:b/>
          <w:bCs/>
          <w:sz w:val="30"/>
          <w:szCs w:val="30"/>
        </w:rPr>
      </w:pPr>
      <w:r>
        <w:rPr>
          <w:rFonts w:hint="eastAsia" w:ascii="仿宋" w:hAnsi="仿宋" w:eastAsia="仿宋" w:cs="仿宋"/>
          <w:b/>
          <w:bCs/>
          <w:sz w:val="30"/>
          <w:szCs w:val="30"/>
        </w:rPr>
        <w:t>一、项目信息</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bCs/>
          <w:sz w:val="30"/>
          <w:szCs w:val="30"/>
          <w:u w:val="none"/>
        </w:rPr>
        <w:t>本次</w:t>
      </w:r>
      <w:r>
        <w:rPr>
          <w:rFonts w:hint="eastAsia" w:ascii="仿宋" w:hAnsi="仿宋" w:eastAsia="仿宋" w:cs="仿宋"/>
          <w:bCs/>
          <w:sz w:val="30"/>
          <w:szCs w:val="30"/>
          <w:u w:val="none"/>
          <w:lang w:eastAsia="zh-CN"/>
        </w:rPr>
        <w:t>备件</w:t>
      </w:r>
      <w:r>
        <w:rPr>
          <w:rFonts w:hint="eastAsia" w:ascii="仿宋" w:hAnsi="仿宋" w:eastAsia="仿宋" w:cs="仿宋"/>
          <w:bCs/>
          <w:sz w:val="30"/>
          <w:szCs w:val="30"/>
          <w:highlight w:val="none"/>
          <w:u w:val="none"/>
          <w:lang w:eastAsia="zh-CN"/>
        </w:rPr>
        <w:t>公开询比</w:t>
      </w:r>
      <w:r>
        <w:rPr>
          <w:rFonts w:hint="eastAsia" w:ascii="仿宋" w:hAnsi="仿宋" w:eastAsia="仿宋" w:cs="仿宋"/>
          <w:bCs/>
          <w:sz w:val="30"/>
          <w:szCs w:val="30"/>
          <w:highlight w:val="none"/>
          <w:u w:val="none"/>
        </w:rPr>
        <w:t>采购案</w:t>
      </w:r>
      <w:r>
        <w:rPr>
          <w:rFonts w:hint="eastAsia" w:ascii="仿宋" w:hAnsi="仿宋" w:eastAsia="仿宋" w:cs="仿宋"/>
          <w:bCs/>
          <w:sz w:val="30"/>
          <w:szCs w:val="30"/>
          <w:u w:val="none"/>
          <w:lang w:eastAsia="zh-CN"/>
        </w:rPr>
        <w:t>是本钢（集团）设备工程有限公司</w:t>
      </w:r>
      <w:r>
        <w:rPr>
          <w:rFonts w:hint="eastAsia" w:ascii="仿宋" w:hAnsi="仿宋" w:eastAsia="仿宋" w:cs="仿宋"/>
          <w:bCs/>
          <w:sz w:val="30"/>
          <w:szCs w:val="30"/>
          <w:u w:val="none"/>
          <w:lang w:val="en-US" w:eastAsia="zh-CN"/>
        </w:rPr>
        <w:t>北营分公司承揽</w:t>
      </w:r>
      <w:r>
        <w:rPr>
          <w:rFonts w:hint="eastAsia" w:ascii="仿宋" w:hAnsi="仿宋" w:eastAsia="仿宋" w:cs="仿宋"/>
          <w:sz w:val="32"/>
          <w:szCs w:val="32"/>
        </w:rPr>
        <w:t>北营炼铁总厂360、400m2烧结机除尘系统改造项目</w:t>
      </w:r>
      <w:r>
        <w:rPr>
          <w:rFonts w:hint="eastAsia" w:ascii="仿宋" w:hAnsi="仿宋" w:eastAsia="仿宋" w:cs="仿宋"/>
          <w:bCs/>
          <w:sz w:val="30"/>
          <w:szCs w:val="30"/>
          <w:u w:val="none"/>
          <w:lang w:val="en-US" w:eastAsia="zh-CN"/>
        </w:rPr>
        <w:t>需用</w:t>
      </w:r>
      <w:bookmarkStart w:id="1" w:name="_GoBack"/>
      <w:bookmarkEnd w:id="1"/>
      <w:r>
        <w:rPr>
          <w:rFonts w:hint="eastAsia" w:ascii="仿宋" w:hAnsi="仿宋" w:eastAsia="仿宋" w:cs="仿宋"/>
          <w:bCs/>
          <w:sz w:val="30"/>
          <w:szCs w:val="30"/>
          <w:u w:val="none"/>
          <w:lang w:val="en-US" w:eastAsia="zh-CN"/>
        </w:rPr>
        <w:t>阀门</w:t>
      </w:r>
      <w:r>
        <w:rPr>
          <w:rFonts w:hint="eastAsia" w:ascii="仿宋" w:hAnsi="仿宋" w:eastAsia="仿宋" w:cs="仿宋"/>
          <w:sz w:val="30"/>
          <w:szCs w:val="30"/>
          <w:lang w:eastAsia="zh-CN"/>
        </w:rPr>
        <w:t>。</w:t>
      </w:r>
      <w:r>
        <w:rPr>
          <w:rFonts w:hint="eastAsia" w:ascii="仿宋" w:hAnsi="仿宋" w:eastAsia="仿宋" w:cs="仿宋"/>
          <w:bCs/>
          <w:sz w:val="30"/>
          <w:szCs w:val="30"/>
          <w:highlight w:val="none"/>
          <w:u w:val="none"/>
          <w:lang w:eastAsia="zh-CN"/>
        </w:rPr>
        <w:t>共</w:t>
      </w:r>
      <w:r>
        <w:rPr>
          <w:rFonts w:hint="eastAsia" w:ascii="仿宋" w:hAnsi="仿宋" w:eastAsia="仿宋" w:cs="仿宋"/>
          <w:bCs/>
          <w:sz w:val="30"/>
          <w:szCs w:val="30"/>
          <w:highlight w:val="none"/>
          <w:u w:val="none"/>
          <w:lang w:val="en-US" w:eastAsia="zh-CN"/>
        </w:rPr>
        <w:t>12</w:t>
      </w:r>
      <w:r>
        <w:rPr>
          <w:rFonts w:hint="eastAsia" w:ascii="仿宋" w:hAnsi="仿宋" w:eastAsia="仿宋" w:cs="仿宋"/>
          <w:bCs/>
          <w:sz w:val="30"/>
          <w:szCs w:val="30"/>
          <w:highlight w:val="none"/>
          <w:u w:val="none"/>
        </w:rPr>
        <w:t>项</w:t>
      </w:r>
      <w:r>
        <w:rPr>
          <w:rFonts w:hint="eastAsia" w:ascii="仿宋" w:hAnsi="仿宋" w:eastAsia="仿宋" w:cs="仿宋"/>
          <w:bCs/>
          <w:sz w:val="30"/>
          <w:szCs w:val="30"/>
          <w:u w:val="none"/>
        </w:rPr>
        <w:t>，</w:t>
      </w:r>
      <w:r>
        <w:rPr>
          <w:rFonts w:hint="eastAsia" w:ascii="仿宋" w:hAnsi="仿宋" w:eastAsia="仿宋" w:cs="仿宋"/>
          <w:bCs/>
          <w:color w:val="FF0000"/>
          <w:sz w:val="30"/>
          <w:szCs w:val="30"/>
          <w:u w:val="none"/>
          <w:lang w:val="en-US" w:eastAsia="zh-CN"/>
        </w:rPr>
        <w:t>最高投标限价为：535600元。</w:t>
      </w:r>
      <w:r>
        <w:rPr>
          <w:rFonts w:hint="eastAsia" w:ascii="仿宋" w:hAnsi="仿宋" w:eastAsia="仿宋" w:cs="仿宋"/>
          <w:bCs/>
          <w:sz w:val="28"/>
          <w:szCs w:val="28"/>
          <w:highlight w:val="none"/>
          <w:u w:val="none"/>
        </w:rPr>
        <w:t>具体</w:t>
      </w:r>
      <w:r>
        <w:rPr>
          <w:rFonts w:hint="eastAsia" w:ascii="仿宋" w:hAnsi="仿宋" w:eastAsia="仿宋" w:cs="仿宋"/>
          <w:bCs/>
          <w:sz w:val="28"/>
          <w:szCs w:val="28"/>
          <w:highlight w:val="none"/>
          <w:u w:val="none"/>
          <w:lang w:val="en-US" w:eastAsia="zh-CN"/>
        </w:rPr>
        <w:t>项目名称、规格、外形尺寸、</w:t>
      </w:r>
      <w:r>
        <w:rPr>
          <w:rFonts w:hint="eastAsia" w:ascii="仿宋" w:hAnsi="仿宋" w:eastAsia="仿宋" w:cs="仿宋"/>
          <w:bCs/>
          <w:sz w:val="28"/>
          <w:szCs w:val="28"/>
          <w:highlight w:val="none"/>
          <w:u w:val="none"/>
        </w:rPr>
        <w:t>材质</w:t>
      </w:r>
      <w:r>
        <w:rPr>
          <w:rFonts w:hint="eastAsia" w:ascii="仿宋" w:hAnsi="仿宋" w:eastAsia="仿宋" w:cs="仿宋"/>
          <w:bCs/>
          <w:sz w:val="28"/>
          <w:szCs w:val="28"/>
          <w:highlight w:val="none"/>
          <w:u w:val="none"/>
          <w:lang w:eastAsia="zh-CN"/>
        </w:rPr>
        <w:t>、计量单位、采购数量</w:t>
      </w:r>
      <w:r>
        <w:rPr>
          <w:rFonts w:hint="eastAsia" w:ascii="仿宋" w:hAnsi="仿宋" w:eastAsia="仿宋" w:cs="仿宋"/>
          <w:bCs/>
          <w:sz w:val="28"/>
          <w:szCs w:val="28"/>
          <w:highlight w:val="none"/>
          <w:u w:val="none"/>
        </w:rPr>
        <w:t>详见</w:t>
      </w:r>
      <w:r>
        <w:rPr>
          <w:rFonts w:hint="eastAsia" w:ascii="仿宋" w:hAnsi="仿宋" w:eastAsia="仿宋" w:cs="仿宋"/>
          <w:bCs/>
          <w:sz w:val="28"/>
          <w:szCs w:val="28"/>
          <w:highlight w:val="none"/>
          <w:u w:val="none"/>
          <w:lang w:eastAsia="zh-CN"/>
        </w:rPr>
        <w:t>公开询比</w:t>
      </w:r>
      <w:r>
        <w:rPr>
          <w:rFonts w:hint="eastAsia" w:ascii="仿宋" w:hAnsi="仿宋" w:eastAsia="仿宋" w:cs="仿宋"/>
          <w:sz w:val="28"/>
          <w:szCs w:val="28"/>
          <w:highlight w:val="none"/>
          <w:u w:val="none"/>
          <w:lang w:val="en-US" w:eastAsia="zh-CN"/>
        </w:rPr>
        <w:t>采购案及委托</w:t>
      </w:r>
      <w:r>
        <w:rPr>
          <w:rFonts w:hint="eastAsia" w:ascii="仿宋" w:hAnsi="仿宋" w:eastAsia="仿宋" w:cs="仿宋"/>
          <w:bCs/>
          <w:sz w:val="28"/>
          <w:szCs w:val="28"/>
          <w:highlight w:val="none"/>
          <w:u w:val="none"/>
        </w:rPr>
        <w:t>需求清单。</w:t>
      </w:r>
    </w:p>
    <w:p>
      <w:pPr>
        <w:keepNext w:val="0"/>
        <w:keepLines w:val="0"/>
        <w:pageBreakBefore w:val="0"/>
        <w:widowControl w:val="0"/>
        <w:kinsoku/>
        <w:wordWrap/>
        <w:overflowPunct/>
        <w:topLinePunct w:val="0"/>
        <w:autoSpaceDE/>
        <w:autoSpaceDN/>
        <w:bidi w:val="0"/>
        <w:adjustRightInd/>
        <w:snapToGrid/>
        <w:spacing w:line="460" w:lineRule="exact"/>
        <w:ind w:firstLine="602" w:firstLineChars="200"/>
        <w:jc w:val="left"/>
        <w:textAlignment w:val="auto"/>
        <w:rPr>
          <w:rFonts w:ascii="仿宋" w:hAnsi="仿宋" w:eastAsia="仿宋" w:cs="仿宋"/>
          <w:b/>
          <w:bCs/>
          <w:sz w:val="30"/>
          <w:szCs w:val="30"/>
        </w:rPr>
      </w:pPr>
      <w:r>
        <w:rPr>
          <w:rFonts w:hint="eastAsia" w:ascii="仿宋" w:hAnsi="仿宋" w:eastAsia="仿宋" w:cs="仿宋"/>
          <w:b/>
          <w:bCs/>
          <w:sz w:val="30"/>
          <w:szCs w:val="30"/>
        </w:rPr>
        <w:t>二、技术质量要求</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rightChars="0" w:firstLine="600" w:firstLineChars="200"/>
        <w:jc w:val="left"/>
        <w:textAlignment w:val="auto"/>
        <w:outlineLvl w:val="9"/>
        <w:rPr>
          <w:rFonts w:hint="eastAsia" w:ascii="仿宋" w:hAnsi="仿宋" w:eastAsia="仿宋" w:cs="仿宋"/>
          <w:b w:val="0"/>
          <w:bCs w:val="0"/>
          <w:sz w:val="30"/>
          <w:szCs w:val="30"/>
          <w:highlight w:val="none"/>
          <w:u w:val="none"/>
          <w:lang w:val="en-US" w:eastAsia="zh-CN"/>
        </w:rPr>
      </w:pPr>
      <w:r>
        <w:rPr>
          <w:rFonts w:hint="eastAsia" w:ascii="仿宋" w:hAnsi="仿宋" w:eastAsia="仿宋" w:cs="仿宋"/>
          <w:b w:val="0"/>
          <w:bCs w:val="0"/>
          <w:sz w:val="30"/>
          <w:szCs w:val="30"/>
          <w:highlight w:val="none"/>
          <w:u w:val="none"/>
          <w:lang w:val="en-US" w:eastAsia="zh-CN"/>
        </w:rPr>
        <w:t>1、该标件需要形成技术协议，制造标准符合《技术协议》要求，保证所供产品的规格、型号、技术参数及材质、尺寸精度等与《技术协议》所要求的备件相匹配，满足使用单位现场生产和质量要求。</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color w:val="000000"/>
          <w:sz w:val="30"/>
          <w:szCs w:val="30"/>
        </w:rPr>
      </w:pPr>
      <w:r>
        <w:rPr>
          <w:rFonts w:hint="eastAsia" w:ascii="仿宋" w:hAnsi="仿宋" w:eastAsia="仿宋" w:cs="仿宋"/>
          <w:b w:val="0"/>
          <w:bCs w:val="0"/>
          <w:sz w:val="30"/>
          <w:szCs w:val="30"/>
          <w:highlight w:val="none"/>
          <w:u w:val="none"/>
          <w:lang w:val="en-US" w:eastAsia="zh-CN"/>
        </w:rPr>
        <w:t>2、项目需求清单中，部分料号中的“规格型号”为非通用型号，供应商提报所供之备件需经使用单位确认与需求相符，为同一物料的可正常验收，否则需方根据具体情况选择退货、换货或终止合同。</w:t>
      </w:r>
    </w:p>
    <w:p>
      <w:pPr>
        <w:keepNext w:val="0"/>
        <w:keepLines w:val="0"/>
        <w:pageBreakBefore w:val="0"/>
        <w:widowControl w:val="0"/>
        <w:kinsoku/>
        <w:wordWrap/>
        <w:overflowPunct/>
        <w:topLinePunct w:val="0"/>
        <w:autoSpaceDE/>
        <w:autoSpaceDN/>
        <w:bidi w:val="0"/>
        <w:adjustRightInd/>
        <w:snapToGrid/>
        <w:spacing w:line="460" w:lineRule="exact"/>
        <w:ind w:firstLine="602" w:firstLineChars="200"/>
        <w:jc w:val="left"/>
        <w:textAlignment w:val="auto"/>
        <w:rPr>
          <w:rFonts w:ascii="仿宋" w:hAnsi="仿宋" w:eastAsia="仿宋" w:cs="仿宋"/>
          <w:b/>
          <w:bCs/>
          <w:sz w:val="30"/>
          <w:szCs w:val="30"/>
        </w:rPr>
      </w:pPr>
      <w:r>
        <w:rPr>
          <w:rFonts w:hint="eastAsia" w:ascii="仿宋" w:hAnsi="仿宋" w:eastAsia="仿宋" w:cs="仿宋"/>
          <w:b/>
          <w:bCs/>
          <w:sz w:val="30"/>
          <w:szCs w:val="30"/>
        </w:rPr>
        <w:t>三、供应商资格条件</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投标人必须按本要求具备相应资质、能力，并提交相关证明文件，作为其投标文件的一部分</w:t>
      </w:r>
      <w:r>
        <w:rPr>
          <w:rFonts w:hint="eastAsia" w:ascii="仿宋" w:hAnsi="仿宋" w:eastAsia="仿宋" w:cs="仿宋"/>
          <w:b/>
          <w:bCs/>
          <w:sz w:val="30"/>
          <w:szCs w:val="30"/>
        </w:rPr>
        <w:t>，</w:t>
      </w:r>
      <w:r>
        <w:rPr>
          <w:rFonts w:hint="eastAsia" w:ascii="仿宋" w:hAnsi="仿宋" w:eastAsia="仿宋" w:cs="仿宋"/>
          <w:sz w:val="30"/>
          <w:szCs w:val="30"/>
        </w:rPr>
        <w:t>以证明其有资格参加投标和中标后有履行合同的能力。</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color w:val="FF0000"/>
          <w:sz w:val="30"/>
          <w:szCs w:val="30"/>
        </w:rPr>
      </w:pPr>
      <w:r>
        <w:rPr>
          <w:rFonts w:hint="eastAsia" w:ascii="仿宋" w:hAnsi="仿宋" w:eastAsia="仿宋" w:cs="仿宋"/>
          <w:sz w:val="30"/>
          <w:szCs w:val="30"/>
        </w:rPr>
        <w:t>1、资格要求：具有合法营业执照法人或其他组织，与本次采购物料的专业或行业直接相关，投标方所提供的产品必须是全新且满足国标的合格产品。</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rPr>
        <w:t>2、投标企业类型：</w:t>
      </w:r>
      <w:r>
        <w:rPr>
          <w:rFonts w:hint="eastAsia" w:ascii="仿宋" w:hAnsi="仿宋" w:eastAsia="仿宋" w:cs="仿宋"/>
          <w:sz w:val="30"/>
          <w:szCs w:val="30"/>
          <w:lang w:val="en-US" w:eastAsia="zh-CN"/>
        </w:rPr>
        <w:t>生产型企业、流通型企业。</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rPr>
        <w:t>3、注册资金要求：</w:t>
      </w:r>
      <w:r>
        <w:rPr>
          <w:rFonts w:hint="eastAsia" w:ascii="仿宋" w:hAnsi="仿宋" w:eastAsia="仿宋" w:cs="仿宋"/>
          <w:b w:val="0"/>
          <w:bCs w:val="0"/>
          <w:sz w:val="30"/>
          <w:szCs w:val="30"/>
          <w:highlight w:val="none"/>
          <w:u w:val="none"/>
          <w:lang w:val="en-US" w:eastAsia="zh-CN"/>
        </w:rPr>
        <w:t>生产型企业、流通型企业注册资金需1000万元人民币（含）以上。</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4、质量/环境/安全体系要求：</w:t>
      </w:r>
      <w:r>
        <w:rPr>
          <w:rFonts w:hint="eastAsia" w:ascii="仿宋" w:hAnsi="仿宋" w:eastAsia="仿宋" w:cs="仿宋"/>
          <w:sz w:val="30"/>
          <w:szCs w:val="30"/>
          <w:lang w:val="en-US" w:eastAsia="zh-CN"/>
        </w:rPr>
        <w:t>生产型企业提供ISO9001质量体系认证，流通型无需提供质量体系认证。</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5、供货业绩：</w:t>
      </w:r>
      <w:r>
        <w:rPr>
          <w:rFonts w:hint="eastAsia" w:ascii="仿宋" w:hAnsi="仿宋" w:eastAsia="仿宋" w:cs="仿宋"/>
          <w:sz w:val="30"/>
          <w:szCs w:val="30"/>
          <w:lang w:val="en-US" w:eastAsia="zh-CN"/>
        </w:rPr>
        <w:t>提供在钢铁冶金、国网电力、石油化工行业（2022年起）近三年的电动蝶阀供货业绩（一份）且质量可靠。供货业绩必须提供合同及对应发票（合同及对应增值税发票等业绩资料按原件内容提供，便于核对真伪）。</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6、法定代表人或负责人为同一人或者存在控股、管理关系的不同投标人，不得参加同一标包投标或者未划分标包的同一招标项目投标。</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7、投标方具有便捷的运维条件和能力，确保所供产品长期稳定运行。投标方在经营过程中信誉良好，无违法经营和无不正当竞争行为。</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8、投标人应提供以下资质文件：（扫描件）</w:t>
      </w:r>
    </w:p>
    <w:p>
      <w:pPr>
        <w:keepNext w:val="0"/>
        <w:keepLines w:val="0"/>
        <w:pageBreakBefore w:val="0"/>
        <w:widowControl w:val="0"/>
        <w:kinsoku/>
        <w:wordWrap/>
        <w:overflowPunct/>
        <w:topLinePunct w:val="0"/>
        <w:autoSpaceDE/>
        <w:autoSpaceDN/>
        <w:bidi w:val="0"/>
        <w:adjustRightInd/>
        <w:snapToGrid/>
        <w:spacing w:line="460" w:lineRule="exact"/>
        <w:ind w:left="1332" w:leftChars="283" w:hanging="738" w:hangingChars="246"/>
        <w:textAlignment w:val="auto"/>
        <w:rPr>
          <w:rFonts w:ascii="仿宋" w:hAnsi="仿宋" w:eastAsia="仿宋" w:cs="仿宋"/>
          <w:sz w:val="30"/>
          <w:szCs w:val="30"/>
        </w:rPr>
      </w:pPr>
      <w:r>
        <w:rPr>
          <w:rFonts w:hint="eastAsia" w:ascii="仿宋" w:hAnsi="仿宋" w:eastAsia="仿宋" w:cs="仿宋"/>
          <w:sz w:val="30"/>
          <w:szCs w:val="30"/>
        </w:rPr>
        <w:t>（1）提供投标方（公司）营业执照，（非三证合一的，还需提供国税登记证、地税登记证、组织机构代码证）</w:t>
      </w:r>
    </w:p>
    <w:p>
      <w:pPr>
        <w:keepNext w:val="0"/>
        <w:keepLines w:val="0"/>
        <w:pageBreakBefore w:val="0"/>
        <w:widowControl w:val="0"/>
        <w:kinsoku/>
        <w:wordWrap/>
        <w:overflowPunct/>
        <w:topLinePunct w:val="0"/>
        <w:autoSpaceDE/>
        <w:autoSpaceDN/>
        <w:bidi w:val="0"/>
        <w:adjustRightInd/>
        <w:snapToGrid/>
        <w:spacing w:line="460" w:lineRule="exact"/>
        <w:ind w:left="1332" w:leftChars="283" w:hanging="738" w:hangingChars="246"/>
        <w:textAlignment w:val="auto"/>
        <w:rPr>
          <w:rFonts w:ascii="仿宋" w:hAnsi="仿宋" w:eastAsia="仿宋" w:cs="仿宋"/>
          <w:sz w:val="30"/>
          <w:szCs w:val="30"/>
        </w:rPr>
      </w:pPr>
      <w:r>
        <w:rPr>
          <w:rFonts w:hint="eastAsia" w:ascii="仿宋" w:hAnsi="仿宋" w:eastAsia="仿宋" w:cs="仿宋"/>
          <w:sz w:val="30"/>
          <w:szCs w:val="30"/>
        </w:rPr>
        <w:t>（</w:t>
      </w:r>
      <w:r>
        <w:rPr>
          <w:rFonts w:hint="eastAsia" w:ascii="仿宋" w:hAnsi="仿宋" w:eastAsia="仿宋" w:cs="仿宋"/>
          <w:sz w:val="30"/>
          <w:szCs w:val="30"/>
          <w:lang w:val="en-US" w:eastAsia="zh-CN"/>
        </w:rPr>
        <w:t>2</w:t>
      </w:r>
      <w:r>
        <w:rPr>
          <w:rFonts w:hint="eastAsia" w:ascii="仿宋" w:hAnsi="仿宋" w:eastAsia="仿宋" w:cs="仿宋"/>
          <w:sz w:val="30"/>
          <w:szCs w:val="30"/>
        </w:rPr>
        <w:t>）法定代表人身份证；</w:t>
      </w:r>
    </w:p>
    <w:p>
      <w:pPr>
        <w:keepNext w:val="0"/>
        <w:keepLines w:val="0"/>
        <w:pageBreakBefore w:val="0"/>
        <w:widowControl w:val="0"/>
        <w:kinsoku/>
        <w:wordWrap/>
        <w:overflowPunct/>
        <w:topLinePunct w:val="0"/>
        <w:autoSpaceDE/>
        <w:autoSpaceDN/>
        <w:bidi w:val="0"/>
        <w:adjustRightInd/>
        <w:snapToGrid/>
        <w:spacing w:line="460" w:lineRule="exact"/>
        <w:ind w:left="1332" w:leftChars="283" w:hanging="738" w:hangingChars="246"/>
        <w:textAlignment w:val="auto"/>
        <w:rPr>
          <w:rFonts w:ascii="仿宋" w:hAnsi="仿宋" w:eastAsia="仿宋" w:cs="仿宋"/>
          <w:sz w:val="30"/>
          <w:szCs w:val="30"/>
        </w:rPr>
      </w:pPr>
      <w:r>
        <w:rPr>
          <w:rFonts w:hint="eastAsia" w:ascii="仿宋" w:hAnsi="仿宋" w:eastAsia="仿宋" w:cs="仿宋"/>
          <w:sz w:val="30"/>
          <w:szCs w:val="30"/>
        </w:rPr>
        <w:t>（</w:t>
      </w:r>
      <w:r>
        <w:rPr>
          <w:rFonts w:hint="eastAsia" w:ascii="仿宋" w:hAnsi="仿宋" w:eastAsia="仿宋" w:cs="仿宋"/>
          <w:sz w:val="30"/>
          <w:szCs w:val="30"/>
          <w:lang w:val="en-US" w:eastAsia="zh-CN"/>
        </w:rPr>
        <w:t>3</w:t>
      </w:r>
      <w:r>
        <w:rPr>
          <w:rFonts w:hint="eastAsia" w:ascii="仿宋" w:hAnsi="仿宋" w:eastAsia="仿宋" w:cs="仿宋"/>
          <w:sz w:val="30"/>
          <w:szCs w:val="30"/>
        </w:rPr>
        <w:t>）授权委托人身份证；</w:t>
      </w:r>
    </w:p>
    <w:p>
      <w:pPr>
        <w:keepNext w:val="0"/>
        <w:keepLines w:val="0"/>
        <w:pageBreakBefore w:val="0"/>
        <w:widowControl w:val="0"/>
        <w:kinsoku/>
        <w:wordWrap/>
        <w:overflowPunct/>
        <w:topLinePunct w:val="0"/>
        <w:autoSpaceDE/>
        <w:autoSpaceDN/>
        <w:bidi w:val="0"/>
        <w:adjustRightInd/>
        <w:snapToGrid/>
        <w:spacing w:line="460" w:lineRule="exact"/>
        <w:ind w:left="1332" w:leftChars="283" w:hanging="738" w:hangingChars="246"/>
        <w:textAlignment w:val="auto"/>
        <w:rPr>
          <w:rFonts w:ascii="仿宋" w:hAnsi="仿宋" w:eastAsia="仿宋" w:cs="仿宋"/>
          <w:sz w:val="30"/>
          <w:szCs w:val="30"/>
        </w:rPr>
      </w:pPr>
      <w:r>
        <w:rPr>
          <w:rFonts w:hint="eastAsia" w:ascii="仿宋" w:hAnsi="仿宋" w:eastAsia="仿宋" w:cs="仿宋"/>
          <w:sz w:val="30"/>
          <w:szCs w:val="30"/>
        </w:rPr>
        <w:t>（</w:t>
      </w:r>
      <w:r>
        <w:rPr>
          <w:rFonts w:hint="eastAsia" w:ascii="仿宋" w:hAnsi="仿宋" w:eastAsia="仿宋" w:cs="仿宋"/>
          <w:sz w:val="30"/>
          <w:szCs w:val="30"/>
          <w:lang w:val="en-US" w:eastAsia="zh-CN"/>
        </w:rPr>
        <w:t>4</w:t>
      </w:r>
      <w:r>
        <w:rPr>
          <w:rFonts w:hint="eastAsia" w:ascii="仿宋" w:hAnsi="仿宋" w:eastAsia="仿宋" w:cs="仿宋"/>
          <w:sz w:val="30"/>
          <w:szCs w:val="30"/>
        </w:rPr>
        <w:t>）法人授权委托书；</w:t>
      </w:r>
    </w:p>
    <w:p>
      <w:pPr>
        <w:pStyle w:val="4"/>
        <w:keepNext w:val="0"/>
        <w:keepLines w:val="0"/>
        <w:pageBreakBefore w:val="0"/>
        <w:widowControl w:val="0"/>
        <w:kinsoku/>
        <w:wordWrap/>
        <w:overflowPunct/>
        <w:topLinePunct w:val="0"/>
        <w:autoSpaceDE/>
        <w:autoSpaceDN/>
        <w:bidi w:val="0"/>
        <w:adjustRightInd/>
        <w:snapToGrid/>
        <w:spacing w:line="460" w:lineRule="exact"/>
        <w:ind w:left="896" w:leftChars="284" w:hanging="300" w:hangingChars="1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供货业绩：提供在钢铁冶金、国网电力、石油化工行业（2022年起）近三年的电动蝶阀供货业绩（一份）且质量可靠。供货业绩必须提供合同及对应发票（合同及对应增值税发票等业绩资料按原件内容提供，便于核对真伪）。</w:t>
      </w:r>
    </w:p>
    <w:p>
      <w:pPr>
        <w:pStyle w:val="4"/>
        <w:keepNext w:val="0"/>
        <w:keepLines w:val="0"/>
        <w:pageBreakBefore w:val="0"/>
        <w:widowControl w:val="0"/>
        <w:kinsoku/>
        <w:wordWrap/>
        <w:overflowPunct/>
        <w:topLinePunct w:val="0"/>
        <w:autoSpaceDE/>
        <w:autoSpaceDN/>
        <w:bidi w:val="0"/>
        <w:adjustRightInd/>
        <w:snapToGrid/>
        <w:spacing w:line="460" w:lineRule="exact"/>
        <w:ind w:left="896" w:leftChars="284" w:hanging="300" w:hangingChars="1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（6）生产型企业提供ISO9001质量体系认证，流通型无需提供质量体系认证。</w:t>
      </w:r>
    </w:p>
    <w:p>
      <w:pPr>
        <w:pStyle w:val="4"/>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color w:val="FF0000"/>
          <w:sz w:val="30"/>
          <w:szCs w:val="30"/>
          <w:highlight w:val="none"/>
          <w:lang w:val="en-US" w:eastAsia="zh-CN"/>
        </w:rPr>
      </w:pPr>
      <w:r>
        <w:rPr>
          <w:rFonts w:hint="eastAsia" w:ascii="仿宋" w:hAnsi="仿宋" w:eastAsia="仿宋" w:cs="仿宋"/>
          <w:sz w:val="30"/>
          <w:szCs w:val="30"/>
          <w:lang w:val="en-US" w:eastAsia="zh-CN"/>
        </w:rPr>
        <w:t>（7）投标企业工商注册时间在12个月及以上。</w:t>
      </w:r>
    </w:p>
    <w:p>
      <w:pPr>
        <w:pStyle w:val="4"/>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default"/>
          <w:lang w:val="en-US" w:eastAsia="zh-CN"/>
        </w:rPr>
      </w:pPr>
      <w:r>
        <w:rPr>
          <w:rFonts w:hint="eastAsia" w:ascii="仿宋" w:hAnsi="仿宋" w:eastAsia="仿宋" w:cs="仿宋"/>
          <w:color w:val="FF0000"/>
          <w:sz w:val="30"/>
          <w:szCs w:val="30"/>
          <w:highlight w:val="none"/>
          <w:lang w:val="en-US" w:eastAsia="zh-CN"/>
        </w:rPr>
        <w:t>9、</w:t>
      </w:r>
      <w:r>
        <w:rPr>
          <w:rFonts w:hint="eastAsia" w:ascii="仿宋" w:hAnsi="仿宋" w:eastAsia="仿宋" w:cs="仿宋"/>
          <w:color w:val="FF0000"/>
          <w:sz w:val="30"/>
          <w:szCs w:val="30"/>
          <w:lang w:val="en-US" w:eastAsia="zh-CN"/>
        </w:rPr>
        <w:t>本次采购品牌为：江苏神通阀门股份有限公司、大众阀门集团能源股份有限公司、上海双高阀门（集团）有限公司、上海特一阀门制造有限公司、金峰流体科技集团有限公司、石家庄先楚核能装备股份有限公司。电动执行器品牌为：上海澳托克数字仪器有限公司、鞍山拜尔自控有限公司、重庆川仪自动化股份有限公司。投标方品牌及电动执行器品牌均需填写，不填写品牌或填写其他品牌，报价无效。</w:t>
      </w:r>
    </w:p>
    <w:p>
      <w:pPr>
        <w:keepNext w:val="0"/>
        <w:keepLines w:val="0"/>
        <w:pageBreakBefore w:val="0"/>
        <w:widowControl w:val="0"/>
        <w:kinsoku/>
        <w:wordWrap/>
        <w:overflowPunct/>
        <w:topLinePunct w:val="0"/>
        <w:autoSpaceDE/>
        <w:autoSpaceDN/>
        <w:bidi w:val="0"/>
        <w:adjustRightInd/>
        <w:snapToGrid/>
        <w:spacing w:line="460" w:lineRule="exact"/>
        <w:ind w:left="1332" w:leftChars="283" w:hanging="738" w:hangingChars="246"/>
        <w:textAlignment w:val="auto"/>
        <w:rPr>
          <w:rFonts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b/>
          <w:bCs/>
          <w:sz w:val="30"/>
          <w:szCs w:val="30"/>
        </w:rPr>
        <w:t>四、商务要求</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bookmarkStart w:id="0" w:name="OLE_LINK2"/>
      <w:r>
        <w:rPr>
          <w:rFonts w:hint="eastAsia" w:ascii="仿宋" w:hAnsi="仿宋" w:eastAsia="仿宋" w:cs="仿宋"/>
          <w:sz w:val="30"/>
          <w:szCs w:val="30"/>
        </w:rPr>
        <w:t>1、报价为不含税到厂价（含运费、包装等杂费），单价、总价清晰、准确，</w:t>
      </w:r>
      <w:r>
        <w:rPr>
          <w:rFonts w:hint="eastAsia" w:ascii="仿宋" w:hAnsi="仿宋" w:eastAsia="仿宋" w:cs="仿宋"/>
          <w:sz w:val="30"/>
          <w:szCs w:val="30"/>
          <w:highlight w:val="none"/>
          <w:u w:val="none"/>
        </w:rPr>
        <w:t>且注明有效期；</w:t>
      </w:r>
      <w:r>
        <w:rPr>
          <w:rFonts w:hint="eastAsia" w:ascii="仿宋" w:hAnsi="仿宋" w:eastAsia="仿宋" w:cs="仿宋"/>
          <w:sz w:val="30"/>
          <w:szCs w:val="30"/>
        </w:rPr>
        <w:t>增值税发票税率13%。本项目设最高投标限价</w:t>
      </w:r>
      <w:r>
        <w:rPr>
          <w:rFonts w:hint="eastAsia" w:ascii="仿宋" w:hAnsi="仿宋" w:eastAsia="仿宋" w:cs="仿宋"/>
          <w:sz w:val="30"/>
          <w:szCs w:val="30"/>
          <w:highlight w:val="none"/>
        </w:rPr>
        <w:t>，</w:t>
      </w:r>
      <w:r>
        <w:rPr>
          <w:rFonts w:hint="eastAsia" w:ascii="仿宋" w:hAnsi="仿宋" w:eastAsia="仿宋" w:cs="仿宋"/>
          <w:sz w:val="30"/>
          <w:szCs w:val="30"/>
        </w:rPr>
        <w:t>投标总价及单项价格都不能超最高限价，否则报价无效。</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2、质量要求：详见需求清单</w:t>
      </w:r>
    </w:p>
    <w:p>
      <w:pPr>
        <w:keepNext w:val="0"/>
        <w:keepLines w:val="0"/>
        <w:pageBreakBefore w:val="0"/>
        <w:widowControl w:val="0"/>
        <w:kinsoku/>
        <w:wordWrap/>
        <w:overflowPunct/>
        <w:topLinePunct w:val="0"/>
        <w:autoSpaceDE/>
        <w:autoSpaceDN/>
        <w:bidi w:val="0"/>
        <w:adjustRightInd/>
        <w:snapToGrid/>
        <w:spacing w:line="460" w:lineRule="exact"/>
        <w:ind w:firstLine="588" w:firstLineChars="196"/>
        <w:jc w:val="left"/>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4</w:t>
      </w:r>
      <w:r>
        <w:rPr>
          <w:rFonts w:hint="eastAsia" w:ascii="仿宋" w:hAnsi="仿宋" w:eastAsia="仿宋" w:cs="仿宋"/>
          <w:sz w:val="30"/>
          <w:szCs w:val="30"/>
        </w:rPr>
        <w:t>、交货期：</w:t>
      </w:r>
      <w:r>
        <w:rPr>
          <w:rFonts w:hint="eastAsia" w:ascii="仿宋" w:hAnsi="仿宋" w:eastAsia="仿宋" w:cs="仿宋"/>
          <w:bCs/>
          <w:sz w:val="30"/>
          <w:szCs w:val="30"/>
          <w:u w:val="none"/>
          <w:lang w:val="en-US" w:eastAsia="zh-CN"/>
        </w:rPr>
        <w:t>合同签订后20日内供货完毕。</w:t>
      </w:r>
    </w:p>
    <w:p>
      <w:pPr>
        <w:keepNext w:val="0"/>
        <w:keepLines w:val="0"/>
        <w:pageBreakBefore w:val="0"/>
        <w:widowControl w:val="0"/>
        <w:kinsoku/>
        <w:wordWrap/>
        <w:overflowPunct/>
        <w:topLinePunct w:val="0"/>
        <w:autoSpaceDE/>
        <w:autoSpaceDN/>
        <w:bidi w:val="0"/>
        <w:adjustRightInd/>
        <w:snapToGrid/>
        <w:spacing w:line="460" w:lineRule="exact"/>
        <w:ind w:firstLine="588" w:firstLineChars="196"/>
        <w:jc w:val="left"/>
        <w:textAlignment w:val="auto"/>
        <w:rPr>
          <w:rFonts w:hint="eastAsia" w:ascii="仿宋" w:hAnsi="仿宋" w:eastAsia="仿宋" w:cs="仿宋"/>
          <w:sz w:val="30"/>
          <w:szCs w:val="30"/>
        </w:rPr>
      </w:pPr>
      <w:r>
        <w:rPr>
          <w:rFonts w:hint="eastAsia" w:ascii="仿宋" w:hAnsi="仿宋" w:eastAsia="仿宋" w:cs="仿宋"/>
          <w:bCs/>
          <w:sz w:val="30"/>
          <w:szCs w:val="30"/>
          <w:lang w:val="en-US" w:eastAsia="zh-CN"/>
        </w:rPr>
        <w:t>5</w:t>
      </w:r>
      <w:r>
        <w:rPr>
          <w:rFonts w:hint="eastAsia" w:ascii="仿宋" w:hAnsi="仿宋" w:eastAsia="仿宋" w:cs="仿宋"/>
          <w:bCs/>
          <w:sz w:val="30"/>
          <w:szCs w:val="30"/>
        </w:rPr>
        <w:t>、付款方式</w:t>
      </w:r>
      <w:r>
        <w:rPr>
          <w:rFonts w:hint="eastAsia" w:ascii="仿宋" w:hAnsi="仿宋" w:eastAsia="仿宋" w:cs="仿宋"/>
          <w:sz w:val="30"/>
          <w:szCs w:val="30"/>
        </w:rPr>
        <w:t>：</w:t>
      </w:r>
      <w:r>
        <w:rPr>
          <w:rFonts w:hint="eastAsia" w:ascii="仿宋" w:hAnsi="仿宋" w:eastAsia="仿宋" w:cs="仿宋"/>
          <w:bCs/>
          <w:sz w:val="30"/>
          <w:szCs w:val="30"/>
          <w:u w:val="none"/>
          <w:lang w:val="en-US" w:eastAsia="zh-CN"/>
        </w:rPr>
        <w:t>签订合同后，供方开具全额增值税13%专用发票交需方挂账后，需方付30%预付款，货到验收合格后需方付65%到货款，质保期12个月，质保期内无任何质量异议，给付5%余款。支付方式：银行承兑汇票（承兑期6个月内）。</w:t>
      </w:r>
    </w:p>
    <w:p>
      <w:pPr>
        <w:keepNext w:val="0"/>
        <w:keepLines w:val="0"/>
        <w:pageBreakBefore w:val="0"/>
        <w:widowControl w:val="0"/>
        <w:kinsoku/>
        <w:wordWrap/>
        <w:overflowPunct/>
        <w:topLinePunct w:val="0"/>
        <w:autoSpaceDE/>
        <w:autoSpaceDN/>
        <w:bidi w:val="0"/>
        <w:adjustRightInd/>
        <w:snapToGrid/>
        <w:spacing w:line="460" w:lineRule="exact"/>
        <w:ind w:firstLine="588" w:firstLineChars="196"/>
        <w:jc w:val="left"/>
        <w:textAlignment w:val="auto"/>
        <w:rPr>
          <w:rFonts w:ascii="仿宋" w:hAnsi="仿宋" w:eastAsia="仿宋" w:cs="仿宋"/>
          <w:bCs/>
          <w:sz w:val="30"/>
          <w:szCs w:val="30"/>
        </w:rPr>
      </w:pPr>
      <w:r>
        <w:rPr>
          <w:rFonts w:hint="eastAsia" w:ascii="仿宋" w:hAnsi="仿宋" w:eastAsia="仿宋" w:cs="仿宋"/>
          <w:bCs/>
          <w:sz w:val="30"/>
          <w:szCs w:val="30"/>
          <w:lang w:val="en-US" w:eastAsia="zh-CN"/>
        </w:rPr>
        <w:t>6</w:t>
      </w:r>
      <w:r>
        <w:rPr>
          <w:rFonts w:hint="eastAsia" w:ascii="仿宋" w:hAnsi="仿宋" w:eastAsia="仿宋" w:cs="仿宋"/>
          <w:bCs/>
          <w:sz w:val="30"/>
          <w:szCs w:val="30"/>
        </w:rPr>
        <w:t>、</w:t>
      </w:r>
      <w:r>
        <w:rPr>
          <w:rFonts w:hint="eastAsia" w:ascii="仿宋" w:hAnsi="仿宋" w:eastAsia="仿宋" w:cs="仿宋"/>
          <w:sz w:val="30"/>
          <w:szCs w:val="30"/>
        </w:rPr>
        <w:t>交货地点：</w:t>
      </w:r>
      <w:r>
        <w:rPr>
          <w:rFonts w:hint="eastAsia" w:ascii="仿宋" w:hAnsi="仿宋" w:eastAsia="仿宋" w:cs="仿宋"/>
          <w:sz w:val="30"/>
          <w:szCs w:val="30"/>
          <w:highlight w:val="none"/>
          <w:u w:val="none"/>
          <w:lang w:eastAsia="zh-CN"/>
        </w:rPr>
        <w:t>需方指定地点</w:t>
      </w:r>
    </w:p>
    <w:p>
      <w:pPr>
        <w:keepNext w:val="0"/>
        <w:keepLines w:val="0"/>
        <w:pageBreakBefore w:val="0"/>
        <w:widowControl w:val="0"/>
        <w:kinsoku/>
        <w:wordWrap/>
        <w:overflowPunct/>
        <w:topLinePunct w:val="0"/>
        <w:autoSpaceDE/>
        <w:autoSpaceDN/>
        <w:bidi w:val="0"/>
        <w:adjustRightInd/>
        <w:snapToGrid/>
        <w:spacing w:line="460" w:lineRule="exact"/>
        <w:ind w:firstLine="588" w:firstLineChars="196"/>
        <w:textAlignment w:val="auto"/>
        <w:rPr>
          <w:rFonts w:ascii="仿宋" w:hAnsi="仿宋" w:eastAsia="仿宋" w:cs="仿宋"/>
          <w:bCs/>
          <w:sz w:val="30"/>
          <w:szCs w:val="30"/>
          <w:highlight w:val="lightGray"/>
        </w:rPr>
      </w:pPr>
      <w:r>
        <w:rPr>
          <w:rFonts w:hint="eastAsia" w:ascii="仿宋" w:hAnsi="仿宋" w:eastAsia="仿宋" w:cs="仿宋"/>
          <w:bCs/>
          <w:sz w:val="30"/>
          <w:szCs w:val="30"/>
          <w:lang w:val="en-US" w:eastAsia="zh-CN"/>
        </w:rPr>
        <w:t>7</w:t>
      </w:r>
      <w:r>
        <w:rPr>
          <w:rFonts w:hint="eastAsia" w:ascii="仿宋" w:hAnsi="仿宋" w:eastAsia="仿宋" w:cs="仿宋"/>
          <w:bCs/>
          <w:sz w:val="30"/>
          <w:szCs w:val="30"/>
        </w:rPr>
        <w:t>、运输方式：汽运运输，</w:t>
      </w:r>
      <w:r>
        <w:rPr>
          <w:rFonts w:hint="eastAsia" w:ascii="仿宋" w:hAnsi="仿宋" w:eastAsia="仿宋" w:cs="仿宋"/>
          <w:sz w:val="30"/>
          <w:szCs w:val="30"/>
        </w:rPr>
        <w:t>运费由出卖人承担，物权完全转移前所发生的一切损失和事故均由供方承担责任。</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lang w:val="en-US" w:eastAsia="zh-CN"/>
        </w:rPr>
        <w:t>8</w:t>
      </w:r>
      <w:r>
        <w:rPr>
          <w:rFonts w:hint="eastAsia" w:ascii="仿宋" w:hAnsi="仿宋" w:eastAsia="仿宋" w:cs="仿宋"/>
          <w:sz w:val="30"/>
          <w:szCs w:val="30"/>
        </w:rPr>
        <w:t>、对合同的响应、服务保障承诺等要求：中标方自收到双方签字盖章的文本合同后立即排产并按合同约定时间发货到指定地点，投标方具有便捷的运维条件和能力，确保所供材料达到标准要求；需要现场服务时，接到通知后本省24小时内、外省48小时内赶到指定使用现场服务、维修。</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9、违约责任：</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除不可抗拒的因素外，供方未能按约定期限交货的，每延迟交货一天向需方偿付未到货含税货款总额5‰的违约金，延期交货违约金最高不超过合同含税总金额的20%，并承担因延期交货给需方造成的损失；供方不能交货的（合同规定到货期后30日仍未交货的视为不能交货），需方有权解除与供方的合同，合同解除后，供方须7日内退还需方已经支付的全部款项，并承担合同含税总额30%的违约金，逾期未退回的应当按照银行同期利率向甲方支付利息。</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2）供方所供产品不符合规定的，如需方同意使用，应当按质论价并退回差价，让步接收供方承担自身物资价值2%但不低于500元的罚款；供方所供产品因质量问题需方不能使用的，供方负责换货，并承担调换货过程中产生的所有费用，不是产品质量引起的问题，供方协助需方进行处理。</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3）使用过程中因产品质量出现问题，由供方承担因此给需方造成的经济损失，包括但不限于：①因更换该产品产生的运输、采购等直接损失。②因该产品出现的质量问题造成需方停车、限产及预期可得利益等间接损失。</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4）运输过程中防护不当或因包装不规范造成产品受损等，但不影响使用的，对受损部分进行补偿但不低于500元。</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5）供方承诺所提供产品出现以次充好、假冒伪劣或贴牌产品，供方向需方支付合同含税总额30%的违约金，且需方有权解除合同，由供方承担由此造成的经济损失。</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6）供方应严格按照产品订单进行送货，需要相关产品附件及证明材料的必须随货同行（如为进口产品，提供的原产地证明、报关单必须真实有效），每延期一天扣款合同含税总额的1‰。</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7）如标的物达不到合同规定的质量标准，需方可随时要求供方退、换货物，造成的经济损失及人身伤害的，由供方承担全部赔偿责任。在质保期内出现质量问题，由此产生的材料检测费、运费等费用将由供方承担。因供方供货质量问题的，由供方免费更换。供方开具的发票不规范、不合法或涉嫌虚开，供方不仅要承担赔偿责任，而且必须履行开具合法发票的义务。</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8）其他未尽事宜，由供、需双方协商解决处理。</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10</w:t>
      </w:r>
      <w:r>
        <w:rPr>
          <w:rFonts w:hint="eastAsia" w:ascii="仿宋" w:hAnsi="仿宋" w:eastAsia="仿宋" w:cs="仿宋"/>
          <w:sz w:val="30"/>
          <w:szCs w:val="30"/>
        </w:rPr>
        <w:t>、争议解决诉讼地：本合同在履行过程中发生的争议，由双方当事人协商解决；协商不成的，依法向本溪市</w:t>
      </w:r>
      <w:r>
        <w:rPr>
          <w:rFonts w:hint="eastAsia" w:ascii="仿宋" w:hAnsi="仿宋" w:eastAsia="仿宋" w:cs="仿宋"/>
          <w:sz w:val="30"/>
          <w:szCs w:val="30"/>
          <w:lang w:val="en-US" w:eastAsia="zh-CN"/>
        </w:rPr>
        <w:t>有管辖权的</w:t>
      </w:r>
      <w:r>
        <w:rPr>
          <w:rFonts w:hint="eastAsia" w:ascii="仿宋" w:hAnsi="仿宋" w:eastAsia="仿宋" w:cs="仿宋"/>
          <w:sz w:val="30"/>
          <w:szCs w:val="30"/>
        </w:rPr>
        <w:t>人民法院起诉。</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lang w:val="en-US" w:eastAsia="zh-CN"/>
        </w:rPr>
        <w:t>1</w:t>
      </w:r>
      <w:r>
        <w:rPr>
          <w:rFonts w:hint="eastAsia" w:ascii="仿宋" w:hAnsi="仿宋" w:eastAsia="仿宋" w:cs="仿宋"/>
          <w:sz w:val="30"/>
          <w:szCs w:val="30"/>
        </w:rPr>
        <w:t>、其他约定事项：验收标准、方法及提出异议期限。</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（1）到货与合同签订的名称、型号不符，经厂矿确认与需求相符，为同一物资的可正常验收，否则供需双方根据具体情况选择退货、换货或终止合同；</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（2）供方到货包装内数量不足包装标明标准数量，按标准数量报验，若不及时补货，采购方有权按短缺量价值的2倍进行扣罚，扣罚款从应付款中扣除；</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（3）供方所供货物在质保期内出现质量问题，在不影响生产的情况下供方免费维修或更换；因质量问题给需方造成的直接和间接经济损失由供方承担。</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（4）供应商供货时必须同时提供材料对应的合格证/材质单，如确属疏忽缺失，需在5个工作日内提供，否则不予验收，退货处理，运费及装卸费由供应商承担。</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ascii="仿宋" w:hAnsi="仿宋" w:eastAsia="仿宋" w:cs="仿宋"/>
          <w:sz w:val="30"/>
          <w:szCs w:val="30"/>
        </w:rPr>
      </w:pPr>
      <w:r>
        <w:rPr>
          <w:rFonts w:hint="eastAsia" w:ascii="仿宋" w:hAnsi="仿宋" w:eastAsia="仿宋" w:cs="仿宋"/>
          <w:sz w:val="30"/>
          <w:szCs w:val="30"/>
        </w:rPr>
        <w:t>（5）供方接到需方退货、换货通知后，省内应在7个工作日，省外在15个工作日内将不合格品提走，因供方原因超期，需方有权收取仓储费用。</w:t>
      </w:r>
    </w:p>
    <w:bookmarkEnd w:id="0"/>
    <w:p>
      <w:pPr>
        <w:keepNext w:val="0"/>
        <w:keepLines w:val="0"/>
        <w:pageBreakBefore w:val="0"/>
        <w:widowControl w:val="0"/>
        <w:kinsoku/>
        <w:wordWrap/>
        <w:overflowPunct/>
        <w:topLinePunct w:val="0"/>
        <w:autoSpaceDE/>
        <w:autoSpaceDN/>
        <w:bidi w:val="0"/>
        <w:adjustRightInd/>
        <w:snapToGrid/>
        <w:spacing w:line="460" w:lineRule="exact"/>
        <w:ind w:firstLine="602" w:firstLineChars="200"/>
        <w:textAlignment w:val="auto"/>
        <w:rPr>
          <w:rFonts w:ascii="仿宋" w:hAnsi="仿宋" w:eastAsia="仿宋" w:cs="仿宋"/>
          <w:b/>
          <w:bCs/>
          <w:sz w:val="30"/>
          <w:szCs w:val="30"/>
        </w:rPr>
      </w:pPr>
      <w:r>
        <w:rPr>
          <w:rFonts w:hint="eastAsia" w:ascii="仿宋" w:hAnsi="仿宋" w:eastAsia="仿宋" w:cs="仿宋"/>
          <w:b/>
          <w:sz w:val="30"/>
          <w:szCs w:val="30"/>
        </w:rPr>
        <w:t>五、评标标准及中标成交原则</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1、本方案由本溪钢铁（集团）设备工程有限公司委托鞍钢</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ascii="仿宋" w:hAnsi="仿宋" w:eastAsia="仿宋" w:cs="仿宋"/>
          <w:bCs/>
          <w:sz w:val="30"/>
          <w:szCs w:val="30"/>
        </w:rPr>
      </w:pPr>
      <w:r>
        <w:rPr>
          <w:rFonts w:hint="eastAsia" w:ascii="仿宋" w:hAnsi="仿宋" w:eastAsia="仿宋" w:cs="仿宋"/>
          <w:sz w:val="30"/>
          <w:szCs w:val="30"/>
        </w:rPr>
        <w:t>招标有限公司本溪分公司进行的</w:t>
      </w:r>
      <w:r>
        <w:rPr>
          <w:rFonts w:hint="eastAsia" w:ascii="仿宋" w:hAnsi="仿宋" w:eastAsia="仿宋" w:cs="仿宋"/>
          <w:bCs/>
          <w:sz w:val="30"/>
          <w:szCs w:val="30"/>
        </w:rPr>
        <w:t>公开</w:t>
      </w:r>
      <w:r>
        <w:rPr>
          <w:rFonts w:hint="eastAsia" w:ascii="仿宋" w:hAnsi="仿宋" w:eastAsia="仿宋" w:cs="仿宋"/>
          <w:bCs/>
          <w:sz w:val="30"/>
          <w:szCs w:val="30"/>
          <w:lang w:val="en-US" w:eastAsia="zh-CN"/>
        </w:rPr>
        <w:t>询比</w:t>
      </w:r>
      <w:r>
        <w:rPr>
          <w:rFonts w:hint="eastAsia" w:ascii="仿宋" w:hAnsi="仿宋" w:eastAsia="仿宋" w:cs="仿宋"/>
          <w:bCs/>
          <w:sz w:val="30"/>
          <w:szCs w:val="30"/>
        </w:rPr>
        <w:t>，评标方法是经评审的最低投标价法。中标原则是在满足</w:t>
      </w:r>
      <w:r>
        <w:rPr>
          <w:rFonts w:hint="eastAsia" w:ascii="仿宋" w:hAnsi="仿宋" w:eastAsia="仿宋" w:cs="仿宋"/>
          <w:kern w:val="0"/>
          <w:sz w:val="30"/>
          <w:szCs w:val="30"/>
        </w:rPr>
        <w:t>质量要求和交货期的前提下单价合理，</w:t>
      </w:r>
      <w:r>
        <w:rPr>
          <w:rFonts w:hint="eastAsia" w:ascii="仿宋" w:hAnsi="仿宋" w:eastAsia="仿宋" w:cs="仿宋"/>
          <w:bCs/>
          <w:sz w:val="30"/>
          <w:szCs w:val="30"/>
        </w:rPr>
        <w:t>总项低价决标。</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2、若报价有明显低于成本价的，且无合理解释的，其投标将被否决（按废标处理）。</w:t>
      </w:r>
    </w:p>
    <w:p>
      <w:pPr>
        <w:pStyle w:val="4"/>
        <w:keepNext w:val="0"/>
        <w:keepLines w:val="0"/>
        <w:pageBreakBefore w:val="0"/>
        <w:widowControl w:val="0"/>
        <w:kinsoku/>
        <w:wordWrap/>
        <w:overflowPunct/>
        <w:topLinePunct w:val="0"/>
        <w:autoSpaceDE/>
        <w:autoSpaceDN/>
        <w:bidi w:val="0"/>
        <w:adjustRightInd/>
        <w:snapToGrid/>
        <w:spacing w:line="460" w:lineRule="exact"/>
        <w:ind w:firstLine="602" w:firstLineChars="200"/>
        <w:textAlignment w:val="auto"/>
        <w:rPr>
          <w:rFonts w:ascii="仿宋" w:hAnsi="仿宋" w:eastAsia="仿宋" w:cs="仿宋"/>
          <w:bCs/>
          <w:sz w:val="30"/>
          <w:szCs w:val="30"/>
        </w:rPr>
      </w:pPr>
      <w:r>
        <w:rPr>
          <w:rFonts w:hint="eastAsia" w:ascii="仿宋" w:hAnsi="仿宋" w:eastAsia="仿宋" w:cs="仿宋"/>
          <w:b/>
          <w:sz w:val="30"/>
          <w:szCs w:val="30"/>
        </w:rPr>
        <w:t>六、其它事宜</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1、本次公开</w:t>
      </w:r>
      <w:r>
        <w:rPr>
          <w:rFonts w:hint="eastAsia" w:ascii="仿宋" w:hAnsi="仿宋" w:eastAsia="仿宋" w:cs="仿宋"/>
          <w:sz w:val="30"/>
          <w:szCs w:val="30"/>
          <w:lang w:val="en-US" w:eastAsia="zh-CN"/>
        </w:rPr>
        <w:t>询比</w:t>
      </w:r>
      <w:r>
        <w:rPr>
          <w:rFonts w:hint="eastAsia" w:ascii="仿宋" w:hAnsi="仿宋" w:eastAsia="仿宋" w:cs="仿宋"/>
          <w:sz w:val="30"/>
          <w:szCs w:val="30"/>
        </w:rPr>
        <w:t>项目总项决标，1家中标。</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2、资格审核方式：本次公开</w:t>
      </w:r>
      <w:r>
        <w:rPr>
          <w:rFonts w:hint="eastAsia" w:ascii="仿宋" w:hAnsi="仿宋" w:eastAsia="仿宋" w:cs="仿宋"/>
          <w:sz w:val="30"/>
          <w:szCs w:val="30"/>
          <w:lang w:val="en-US" w:eastAsia="zh-CN"/>
        </w:rPr>
        <w:t>询比</w:t>
      </w:r>
      <w:r>
        <w:rPr>
          <w:rFonts w:hint="eastAsia" w:ascii="仿宋" w:hAnsi="仿宋" w:eastAsia="仿宋" w:cs="仿宋"/>
          <w:sz w:val="30"/>
          <w:szCs w:val="30"/>
        </w:rPr>
        <w:t>资格审核方式为资格后审，采用资料审核方式确定投标人资格。</w:t>
      </w:r>
    </w:p>
    <w:p>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sz w:val="30"/>
          <w:szCs w:val="30"/>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仿宋" w:hAnsi="仿宋" w:eastAsia="仿宋" w:cs="仿宋"/>
          <w:bCs/>
          <w:sz w:val="30"/>
          <w:szCs w:val="30"/>
          <w:highlight w:val="none"/>
          <w:u w:val="none"/>
          <w:lang w:val="en-US" w:eastAsia="zh-CN"/>
        </w:rPr>
      </w:pPr>
      <w:r>
        <w:rPr>
          <w:rFonts w:hint="eastAsia" w:ascii="仿宋" w:hAnsi="仿宋" w:eastAsia="仿宋" w:cs="仿宋"/>
          <w:bCs/>
          <w:sz w:val="30"/>
          <w:szCs w:val="30"/>
        </w:rPr>
        <w:t xml:space="preserve">需方联系人：  </w:t>
      </w:r>
      <w:r>
        <w:rPr>
          <w:rFonts w:hint="eastAsia" w:ascii="仿宋" w:hAnsi="仿宋" w:eastAsia="仿宋" w:cs="仿宋"/>
          <w:bCs/>
          <w:sz w:val="30"/>
          <w:szCs w:val="30"/>
          <w:lang w:val="en-US" w:eastAsia="zh-CN"/>
        </w:rPr>
        <w:t xml:space="preserve">    </w:t>
      </w:r>
      <w:r>
        <w:rPr>
          <w:rFonts w:hint="eastAsia" w:ascii="仿宋" w:hAnsi="仿宋" w:eastAsia="仿宋" w:cs="仿宋"/>
          <w:bCs/>
          <w:color w:val="auto"/>
          <w:sz w:val="30"/>
          <w:szCs w:val="30"/>
        </w:rPr>
        <w:t xml:space="preserve">技术   </w:t>
      </w:r>
      <w:r>
        <w:rPr>
          <w:rFonts w:hint="eastAsia" w:ascii="仿宋" w:hAnsi="仿宋" w:eastAsia="仿宋" w:cs="仿宋"/>
          <w:bCs/>
          <w:color w:val="auto"/>
          <w:sz w:val="30"/>
          <w:szCs w:val="30"/>
          <w:lang w:val="en-US" w:eastAsia="zh-CN"/>
        </w:rPr>
        <w:t>魏  刚</w:t>
      </w:r>
      <w:r>
        <w:rPr>
          <w:rFonts w:hint="eastAsia" w:ascii="仿宋" w:hAnsi="仿宋" w:eastAsia="仿宋" w:cs="仿宋"/>
          <w:bCs/>
          <w:sz w:val="30"/>
          <w:szCs w:val="30"/>
          <w:highlight w:val="none"/>
          <w:u w:val="none"/>
          <w:lang w:val="en-US" w:eastAsia="zh-CN"/>
        </w:rPr>
        <w:t xml:space="preserve">    电话：18004043215</w:t>
      </w:r>
    </w:p>
    <w:p>
      <w:pPr>
        <w:pStyle w:val="4"/>
        <w:keepNext w:val="0"/>
        <w:keepLines w:val="0"/>
        <w:pageBreakBefore w:val="0"/>
        <w:widowControl w:val="0"/>
        <w:kinsoku/>
        <w:wordWrap/>
        <w:overflowPunct/>
        <w:topLinePunct w:val="0"/>
        <w:autoSpaceDE/>
        <w:autoSpaceDN/>
        <w:bidi w:val="0"/>
        <w:adjustRightInd/>
        <w:snapToGrid/>
        <w:spacing w:line="460" w:lineRule="exact"/>
        <w:ind w:firstLine="300"/>
        <w:textAlignment w:val="auto"/>
        <w:rPr>
          <w:rFonts w:hint="default" w:ascii="仿宋" w:hAnsi="仿宋" w:eastAsia="仿宋" w:cs="仿宋"/>
          <w:bCs/>
          <w:sz w:val="30"/>
          <w:szCs w:val="30"/>
          <w:lang w:val="en-US" w:eastAsia="zh-CN"/>
        </w:rPr>
      </w:pPr>
      <w:r>
        <w:rPr>
          <w:rFonts w:hint="eastAsia" w:ascii="仿宋" w:hAnsi="仿宋" w:eastAsia="仿宋" w:cs="仿宋"/>
          <w:bCs/>
          <w:sz w:val="30"/>
          <w:szCs w:val="30"/>
        </w:rPr>
        <w:t xml:space="preserve">                业务   </w:t>
      </w:r>
      <w:r>
        <w:rPr>
          <w:rFonts w:hint="eastAsia" w:ascii="仿宋" w:hAnsi="仿宋" w:eastAsia="仿宋" w:cs="仿宋"/>
          <w:bCs/>
          <w:sz w:val="30"/>
          <w:szCs w:val="30"/>
          <w:lang w:val="en-US" w:eastAsia="zh-CN"/>
        </w:rPr>
        <w:t>李  楠</w:t>
      </w:r>
      <w:r>
        <w:rPr>
          <w:rFonts w:hint="eastAsia" w:ascii="仿宋" w:hAnsi="仿宋" w:eastAsia="仿宋" w:cs="仿宋"/>
          <w:bCs/>
          <w:sz w:val="30"/>
          <w:szCs w:val="30"/>
        </w:rPr>
        <w:t xml:space="preserve">  </w:t>
      </w:r>
      <w:r>
        <w:rPr>
          <w:rFonts w:hint="eastAsia" w:ascii="仿宋" w:hAnsi="仿宋" w:eastAsia="仿宋" w:cs="仿宋"/>
          <w:bCs/>
          <w:sz w:val="30"/>
          <w:szCs w:val="30"/>
          <w:lang w:val="en-US" w:eastAsia="zh-CN"/>
        </w:rPr>
        <w:t xml:space="preserve">  </w:t>
      </w:r>
      <w:r>
        <w:rPr>
          <w:rFonts w:hint="eastAsia" w:ascii="仿宋" w:hAnsi="仿宋" w:eastAsia="仿宋" w:cs="仿宋"/>
          <w:bCs/>
          <w:sz w:val="30"/>
          <w:szCs w:val="30"/>
        </w:rPr>
        <w:t>电话：</w:t>
      </w:r>
      <w:r>
        <w:rPr>
          <w:rFonts w:hint="eastAsia" w:ascii="仿宋" w:hAnsi="仿宋" w:eastAsia="仿宋" w:cs="仿宋"/>
          <w:bCs/>
          <w:sz w:val="30"/>
          <w:szCs w:val="30"/>
          <w:lang w:val="en-US" w:eastAsia="zh-CN"/>
        </w:rPr>
        <w:t>18041415288</w:t>
      </w:r>
    </w:p>
    <w:p>
      <w:pPr>
        <w:keepNext w:val="0"/>
        <w:keepLines w:val="0"/>
        <w:pageBreakBefore w:val="0"/>
        <w:widowControl w:val="0"/>
        <w:kinsoku/>
        <w:wordWrap/>
        <w:overflowPunct/>
        <w:topLinePunct w:val="0"/>
        <w:autoSpaceDE/>
        <w:autoSpaceDN/>
        <w:bidi w:val="0"/>
        <w:adjustRightInd/>
        <w:snapToGrid/>
        <w:spacing w:line="460" w:lineRule="exact"/>
        <w:ind w:firstLine="5400" w:firstLineChars="1800"/>
        <w:textAlignment w:val="auto"/>
        <w:rPr>
          <w:rFonts w:hint="eastAsia" w:ascii="仿宋" w:hAnsi="仿宋" w:eastAsia="仿宋" w:cs="仿宋"/>
          <w:bCs/>
          <w:sz w:val="30"/>
          <w:szCs w:val="30"/>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3600" w:firstLineChars="1200"/>
        <w:textAlignment w:val="auto"/>
        <w:rPr>
          <w:rFonts w:hint="default" w:ascii="仿宋" w:hAnsi="仿宋" w:eastAsia="仿宋" w:cs="仿宋"/>
          <w:bCs/>
          <w:sz w:val="30"/>
          <w:szCs w:val="30"/>
          <w:lang w:val="en-US" w:eastAsia="zh-CN"/>
        </w:rPr>
      </w:pPr>
      <w:r>
        <w:rPr>
          <w:rFonts w:hint="eastAsia" w:ascii="仿宋" w:hAnsi="仿宋" w:eastAsia="仿宋" w:cs="仿宋"/>
          <w:bCs/>
          <w:sz w:val="30"/>
          <w:szCs w:val="30"/>
          <w:lang w:val="en-US" w:eastAsia="zh-CN"/>
        </w:rPr>
        <w:t>本溪钢铁（集团）设备工程有限公司</w:t>
      </w:r>
    </w:p>
    <w:p/>
    <w:sectPr>
      <w:pgSz w:w="11906" w:h="16838"/>
      <w:pgMar w:top="1440" w:right="12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yMDQzY2QyMGZiOGM0YWVkZTJiNzU0ODU2NzZhNjcifQ=="/>
  </w:docVars>
  <w:rsids>
    <w:rsidRoot w:val="00000000"/>
    <w:rsid w:val="079B2617"/>
    <w:rsid w:val="19355358"/>
    <w:rsid w:val="1CBA043B"/>
    <w:rsid w:val="336D1C36"/>
    <w:rsid w:val="35215748"/>
    <w:rsid w:val="370747A7"/>
    <w:rsid w:val="40D11BE0"/>
    <w:rsid w:val="414C4599"/>
    <w:rsid w:val="4198247B"/>
    <w:rsid w:val="43770558"/>
    <w:rsid w:val="56FB2AFB"/>
    <w:rsid w:val="5DA31216"/>
    <w:rsid w:val="645E44DC"/>
    <w:rsid w:val="6D5F25D0"/>
    <w:rsid w:val="71AD3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rPr>
      <w:sz w:val="24"/>
      <w:szCs w:val="20"/>
    </w:rPr>
  </w:style>
  <w:style w:type="paragraph" w:customStyle="1" w:styleId="3">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4">
    <w:name w:val="Body Text First Indent"/>
    <w:basedOn w:val="2"/>
    <w:autoRedefine/>
    <w:qFormat/>
    <w:uiPriority w:val="0"/>
    <w:pPr>
      <w:spacing w:after="120"/>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3116</Words>
  <Characters>3183</Characters>
  <Lines>0</Lines>
  <Paragraphs>0</Paragraphs>
  <TotalTime>8</TotalTime>
  <ScaleCrop>false</ScaleCrop>
  <LinksUpToDate>false</LinksUpToDate>
  <CharactersWithSpaces>3230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2024-06-04T08:06:00Z</dcterms:created>
  <dc:creator>Administrator</dc:creator>
  <cp:lastModifiedBy>李楠</cp:lastModifiedBy>
  <cp:lastPrinted>2024-07-17T10:51:00Z</cp:lastPrinted>
  <dcterms:modified xsi:type="dcterms:W3CDTF">2024-07-17T11:46:28Z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CD2F593B231F4CDDA84873DDCAA6B9BF_12</vt:lpwstr>
  </property>
</Properties>
</file>