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6CB9A">
      <w:pPr>
        <w:bidi w:val="0"/>
        <w:rPr>
          <w:highlight w:val="none"/>
        </w:rPr>
      </w:pPr>
    </w:p>
    <w:p w14:paraId="7CC8768A">
      <w:pPr>
        <w:bidi w:val="0"/>
        <w:rPr>
          <w:highlight w:val="none"/>
        </w:rPr>
      </w:pPr>
    </w:p>
    <w:p w14:paraId="2F964C2F">
      <w:pPr>
        <w:bidi w:val="0"/>
        <w:rPr>
          <w:highlight w:val="none"/>
        </w:rPr>
      </w:pPr>
    </w:p>
    <w:p w14:paraId="41CB489E">
      <w:pPr>
        <w:bidi w:val="0"/>
        <w:rPr>
          <w:highlight w:val="none"/>
        </w:rPr>
      </w:pPr>
    </w:p>
    <w:p w14:paraId="669F9454">
      <w:pPr>
        <w:widowControl/>
        <w:snapToGrid w:val="0"/>
        <w:spacing w:line="300" w:lineRule="auto"/>
        <w:jc w:val="center"/>
        <w:rPr>
          <w:rFonts w:hint="default" w:ascii="仿宋" w:hAnsi="仿宋" w:eastAsia="仿宋" w:cs="仿宋"/>
          <w:b/>
          <w:bCs/>
          <w:color w:val="auto"/>
          <w:kern w:val="0"/>
          <w:sz w:val="64"/>
          <w:szCs w:val="64"/>
          <w:highlight w:val="none"/>
          <w:lang w:val="en" w:eastAsia="zh-CN"/>
        </w:rPr>
      </w:pPr>
      <w:r>
        <w:rPr>
          <w:rFonts w:hint="eastAsia" w:ascii="仿宋" w:hAnsi="仿宋" w:eastAsia="仿宋" w:cs="仿宋"/>
          <w:b/>
          <w:bCs/>
          <w:color w:val="auto"/>
          <w:kern w:val="0"/>
          <w:sz w:val="64"/>
          <w:szCs w:val="64"/>
          <w:highlight w:val="none"/>
          <w:lang w:val="en" w:eastAsia="zh-CN"/>
        </w:rPr>
        <w:t>汾阳市平原(三泉镇、阳城镇)农村集中供热项目无损检测工程</w:t>
      </w:r>
    </w:p>
    <w:p w14:paraId="503D7D02">
      <w:pPr>
        <w:bidi w:val="0"/>
        <w:rPr>
          <w:highlight w:val="none"/>
        </w:rPr>
      </w:pPr>
    </w:p>
    <w:p w14:paraId="7798E9A8">
      <w:pPr>
        <w:pStyle w:val="27"/>
        <w:rPr>
          <w:highlight w:val="none"/>
        </w:rPr>
      </w:pPr>
    </w:p>
    <w:p w14:paraId="1B158C0F">
      <w:pPr>
        <w:bidi w:val="0"/>
        <w:rPr>
          <w:highlight w:val="none"/>
        </w:rPr>
      </w:pPr>
    </w:p>
    <w:p w14:paraId="5AE17204">
      <w:pPr>
        <w:widowControl/>
        <w:snapToGrid w:val="0"/>
        <w:spacing w:line="300" w:lineRule="auto"/>
        <w:jc w:val="center"/>
        <w:rPr>
          <w:rFonts w:ascii="仿宋" w:hAnsi="仿宋" w:eastAsia="仿宋" w:cs="仿宋"/>
          <w:b/>
          <w:color w:val="auto"/>
          <w:kern w:val="0"/>
          <w:sz w:val="48"/>
          <w:szCs w:val="48"/>
          <w:highlight w:val="none"/>
        </w:rPr>
      </w:pPr>
      <w:r>
        <w:rPr>
          <w:rFonts w:hint="eastAsia" w:ascii="仿宋" w:hAnsi="仿宋" w:eastAsia="仿宋" w:cs="仿宋"/>
          <w:b/>
          <w:color w:val="auto"/>
          <w:sz w:val="96"/>
          <w:szCs w:val="96"/>
          <w:highlight w:val="none"/>
        </w:rPr>
        <w:t>招标文件</w:t>
      </w:r>
    </w:p>
    <w:p w14:paraId="384924F1">
      <w:pPr>
        <w:bidi w:val="0"/>
        <w:rPr>
          <w:rFonts w:hint="eastAsia"/>
          <w:highlight w:val="none"/>
          <w:lang w:eastAsia="zh-CN"/>
        </w:rPr>
      </w:pPr>
    </w:p>
    <w:p w14:paraId="464226AA">
      <w:pPr>
        <w:bidi w:val="0"/>
        <w:rPr>
          <w:highlight w:val="none"/>
        </w:rPr>
      </w:pPr>
      <w:r>
        <w:rPr>
          <w:rFonts w:hint="eastAsia"/>
          <w:highlight w:val="none"/>
        </w:rPr>
        <w:t xml:space="preserve"> </w:t>
      </w:r>
    </w:p>
    <w:p w14:paraId="193CD879">
      <w:pPr>
        <w:widowControl/>
        <w:snapToGrid w:val="0"/>
        <w:spacing w:line="300" w:lineRule="auto"/>
        <w:jc w:val="center"/>
        <w:rPr>
          <w:rFonts w:hint="eastAsia" w:ascii="仿宋" w:hAnsi="仿宋" w:eastAsia="仿宋" w:cs="仿宋"/>
          <w:b/>
          <w:bCs/>
          <w:color w:val="auto"/>
          <w:sz w:val="28"/>
          <w:szCs w:val="28"/>
          <w:highlight w:val="none"/>
          <w:u w:val="none"/>
          <w:lang w:eastAsia="zh-CN"/>
        </w:rPr>
      </w:pPr>
      <w:r>
        <w:rPr>
          <w:rFonts w:hint="eastAsia" w:ascii="仿宋" w:hAnsi="仿宋" w:eastAsia="仿宋" w:cs="仿宋"/>
          <w:b/>
          <w:bCs/>
          <w:color w:val="auto"/>
          <w:sz w:val="28"/>
          <w:szCs w:val="28"/>
          <w:highlight w:val="none"/>
          <w:u w:val="none"/>
        </w:rPr>
        <w:t>项目编号：</w:t>
      </w:r>
      <w:r>
        <w:rPr>
          <w:rFonts w:hint="eastAsia" w:ascii="仿宋" w:hAnsi="仿宋" w:eastAsia="仿宋" w:cs="仿宋"/>
          <w:b/>
          <w:bCs/>
          <w:color w:val="auto"/>
          <w:sz w:val="28"/>
          <w:szCs w:val="28"/>
          <w:highlight w:val="none"/>
          <w:u w:val="none"/>
          <w:lang w:eastAsia="zh-CN"/>
        </w:rPr>
        <w:t>1411822025CGK00228</w:t>
      </w:r>
    </w:p>
    <w:p w14:paraId="4CE83621">
      <w:pPr>
        <w:bidi w:val="0"/>
        <w:rPr>
          <w:highlight w:val="none"/>
        </w:rPr>
      </w:pPr>
    </w:p>
    <w:p w14:paraId="5BADDC10">
      <w:pPr>
        <w:bidi w:val="0"/>
        <w:rPr>
          <w:highlight w:val="none"/>
        </w:rPr>
      </w:pPr>
    </w:p>
    <w:p w14:paraId="35D06C0F">
      <w:pPr>
        <w:widowControl/>
        <w:snapToGrid w:val="0"/>
        <w:spacing w:line="300" w:lineRule="auto"/>
        <w:ind w:firstLine="1120" w:firstLineChars="400"/>
        <w:jc w:val="left"/>
        <w:rPr>
          <w:rFonts w:ascii="仿宋" w:hAnsi="仿宋" w:eastAsia="仿宋" w:cs="仿宋"/>
          <w:color w:val="auto"/>
          <w:sz w:val="28"/>
          <w:szCs w:val="28"/>
          <w:highlight w:val="none"/>
        </w:rPr>
      </w:pPr>
    </w:p>
    <w:p w14:paraId="655BD28B">
      <w:pPr>
        <w:pStyle w:val="59"/>
        <w:kinsoku w:val="0"/>
        <w:overflowPunct w:val="0"/>
        <w:spacing w:line="360" w:lineRule="auto"/>
        <w:jc w:val="center"/>
        <w:rPr>
          <w:rFonts w:hint="eastAsia" w:ascii="仿宋" w:hAnsi="仿宋" w:eastAsia="仿宋" w:cs="仿宋"/>
          <w:b/>
          <w:color w:val="auto"/>
          <w:sz w:val="32"/>
          <w:szCs w:val="32"/>
          <w:highlight w:val="none"/>
          <w:lang w:eastAsia="zh-CN"/>
        </w:rPr>
      </w:pPr>
    </w:p>
    <w:p w14:paraId="6A57376E">
      <w:pPr>
        <w:pStyle w:val="59"/>
        <w:keepNext w:val="0"/>
        <w:keepLines w:val="0"/>
        <w:pageBreakBefore w:val="0"/>
        <w:widowControl w:val="0"/>
        <w:kinsoku w:val="0"/>
        <w:wordWrap/>
        <w:overflowPunct w:val="0"/>
        <w:topLinePunct w:val="0"/>
        <w:autoSpaceDE w:val="0"/>
        <w:autoSpaceDN w:val="0"/>
        <w:bidi w:val="0"/>
        <w:adjustRightInd w:val="0"/>
        <w:snapToGrid/>
        <w:spacing w:line="480" w:lineRule="auto"/>
        <w:jc w:val="center"/>
        <w:textAlignment w:val="auto"/>
        <w:rPr>
          <w:rFonts w:hint="eastAsia" w:ascii="仿宋" w:hAnsi="仿宋" w:eastAsia="仿宋" w:cs="仿宋"/>
          <w:b/>
          <w:color w:val="auto"/>
          <w:sz w:val="32"/>
          <w:szCs w:val="32"/>
          <w:highlight w:val="none"/>
          <w:lang w:eastAsia="zh-CN"/>
        </w:rPr>
      </w:pPr>
    </w:p>
    <w:p w14:paraId="37B17E9C">
      <w:pPr>
        <w:pStyle w:val="59"/>
        <w:keepNext w:val="0"/>
        <w:keepLines w:val="0"/>
        <w:pageBreakBefore w:val="0"/>
        <w:widowControl w:val="0"/>
        <w:kinsoku w:val="0"/>
        <w:wordWrap/>
        <w:overflowPunct w:val="0"/>
        <w:topLinePunct w:val="0"/>
        <w:autoSpaceDE w:val="0"/>
        <w:autoSpaceDN w:val="0"/>
        <w:bidi w:val="0"/>
        <w:adjustRightInd w:val="0"/>
        <w:snapToGrid/>
        <w:spacing w:line="480" w:lineRule="auto"/>
        <w:jc w:val="center"/>
        <w:textAlignment w:val="auto"/>
        <w:rPr>
          <w:rFonts w:hint="eastAsia" w:ascii="仿宋" w:hAnsi="仿宋" w:eastAsia="仿宋" w:cs="仿宋"/>
          <w:b/>
          <w:color w:val="auto"/>
          <w:sz w:val="32"/>
          <w:szCs w:val="32"/>
          <w:highlight w:val="none"/>
          <w:lang w:eastAsia="zh-CN"/>
        </w:rPr>
      </w:pPr>
    </w:p>
    <w:p w14:paraId="486CAB34">
      <w:pPr>
        <w:pStyle w:val="59"/>
        <w:keepNext w:val="0"/>
        <w:keepLines w:val="0"/>
        <w:pageBreakBefore w:val="0"/>
        <w:widowControl w:val="0"/>
        <w:kinsoku w:val="0"/>
        <w:wordWrap/>
        <w:overflowPunct w:val="0"/>
        <w:topLinePunct w:val="0"/>
        <w:autoSpaceDE w:val="0"/>
        <w:autoSpaceDN w:val="0"/>
        <w:bidi w:val="0"/>
        <w:adjustRightInd w:val="0"/>
        <w:snapToGrid/>
        <w:spacing w:line="480" w:lineRule="auto"/>
        <w:jc w:val="center"/>
        <w:textAlignment w:val="auto"/>
        <w:rPr>
          <w:rFonts w:hint="eastAsia" w:ascii="仿宋" w:hAnsi="仿宋" w:eastAsia="仿宋" w:cs="仿宋"/>
          <w:b/>
          <w:color w:val="auto"/>
          <w:sz w:val="32"/>
          <w:szCs w:val="32"/>
          <w:highlight w:val="none"/>
          <w:lang w:eastAsia="zh-CN"/>
        </w:rPr>
      </w:pPr>
    </w:p>
    <w:p w14:paraId="0ABD32EF">
      <w:pPr>
        <w:pStyle w:val="59"/>
        <w:keepNext w:val="0"/>
        <w:keepLines w:val="0"/>
        <w:pageBreakBefore w:val="0"/>
        <w:widowControl w:val="0"/>
        <w:kinsoku w:val="0"/>
        <w:wordWrap/>
        <w:overflowPunct w:val="0"/>
        <w:topLinePunct w:val="0"/>
        <w:autoSpaceDE w:val="0"/>
        <w:autoSpaceDN w:val="0"/>
        <w:bidi w:val="0"/>
        <w:adjustRightInd w:val="0"/>
        <w:snapToGrid/>
        <w:spacing w:line="480" w:lineRule="auto"/>
        <w:jc w:val="center"/>
        <w:textAlignment w:val="auto"/>
        <w:rPr>
          <w:rFonts w:hint="eastAsia" w:ascii="仿宋" w:hAnsi="仿宋" w:eastAsia="仿宋" w:cs="仿宋"/>
          <w:b/>
          <w:color w:val="auto"/>
          <w:sz w:val="32"/>
          <w:szCs w:val="32"/>
          <w:highlight w:val="none"/>
          <w:lang w:eastAsia="zh-CN"/>
        </w:rPr>
      </w:pPr>
    </w:p>
    <w:p w14:paraId="42BA9ED5">
      <w:pPr>
        <w:pStyle w:val="59"/>
        <w:keepNext w:val="0"/>
        <w:keepLines w:val="0"/>
        <w:pageBreakBefore w:val="0"/>
        <w:widowControl w:val="0"/>
        <w:kinsoku w:val="0"/>
        <w:wordWrap/>
        <w:overflowPunct w:val="0"/>
        <w:topLinePunct w:val="0"/>
        <w:autoSpaceDE w:val="0"/>
        <w:autoSpaceDN w:val="0"/>
        <w:bidi w:val="0"/>
        <w:adjustRightInd w:val="0"/>
        <w:snapToGrid/>
        <w:spacing w:line="480" w:lineRule="auto"/>
        <w:ind w:firstLine="420" w:firstLineChars="0"/>
        <w:jc w:val="center"/>
        <w:textAlignment w:val="auto"/>
        <w:rPr>
          <w:rFonts w:hint="default" w:ascii="仿宋" w:hAnsi="仿宋" w:eastAsia="仿宋" w:cs="仿宋"/>
          <w:b/>
          <w:color w:val="auto"/>
          <w:sz w:val="32"/>
          <w:szCs w:val="32"/>
          <w:highlight w:val="none"/>
          <w:lang w:val="en" w:eastAsia="zh-CN"/>
        </w:rPr>
      </w:pPr>
      <w:r>
        <w:rPr>
          <w:rFonts w:hint="eastAsia" w:ascii="仿宋" w:hAnsi="仿宋" w:eastAsia="仿宋" w:cs="仿宋"/>
          <w:b/>
          <w:color w:val="auto"/>
          <w:sz w:val="32"/>
          <w:szCs w:val="32"/>
          <w:highlight w:val="none"/>
          <w:lang w:eastAsia="zh-CN"/>
        </w:rPr>
        <w:t>采购人</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汾阳市能源局</w:t>
      </w:r>
    </w:p>
    <w:p w14:paraId="16D9D18A">
      <w:pPr>
        <w:pStyle w:val="59"/>
        <w:keepNext w:val="0"/>
        <w:keepLines w:val="0"/>
        <w:pageBreakBefore w:val="0"/>
        <w:widowControl w:val="0"/>
        <w:kinsoku w:val="0"/>
        <w:wordWrap/>
        <w:overflowPunct w:val="0"/>
        <w:topLinePunct w:val="0"/>
        <w:autoSpaceDE w:val="0"/>
        <w:autoSpaceDN w:val="0"/>
        <w:bidi w:val="0"/>
        <w:adjustRightInd w:val="0"/>
        <w:snapToGrid/>
        <w:spacing w:line="480" w:lineRule="auto"/>
        <w:jc w:val="center"/>
        <w:textAlignment w:val="auto"/>
        <w:rPr>
          <w:rFonts w:hint="eastAsia" w:ascii="仿宋" w:hAnsi="仿宋" w:eastAsia="仿宋" w:cs="仿宋"/>
          <w:b/>
          <w:color w:val="auto"/>
          <w:sz w:val="32"/>
          <w:szCs w:val="32"/>
          <w:highlight w:val="none"/>
          <w:lang w:val="en" w:eastAsia="zh-CN"/>
        </w:rPr>
      </w:pPr>
      <w:r>
        <w:rPr>
          <w:rFonts w:hint="eastAsia" w:ascii="仿宋" w:hAnsi="仿宋" w:eastAsia="仿宋" w:cs="仿宋"/>
          <w:b/>
          <w:color w:val="auto"/>
          <w:sz w:val="32"/>
          <w:szCs w:val="32"/>
          <w:highlight w:val="none"/>
          <w:lang w:eastAsia="zh-CN"/>
        </w:rPr>
        <w:t>采购代理机构</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 w:eastAsia="zh-CN"/>
        </w:rPr>
        <w:t>山西交干工程项目管理有限公司</w:t>
      </w:r>
    </w:p>
    <w:p w14:paraId="733B8F7F">
      <w:pPr>
        <w:pStyle w:val="59"/>
        <w:keepNext w:val="0"/>
        <w:keepLines w:val="0"/>
        <w:pageBreakBefore w:val="0"/>
        <w:widowControl w:val="0"/>
        <w:kinsoku w:val="0"/>
        <w:wordWrap/>
        <w:overflowPunct w:val="0"/>
        <w:topLinePunct w:val="0"/>
        <w:autoSpaceDE w:val="0"/>
        <w:autoSpaceDN w:val="0"/>
        <w:bidi w:val="0"/>
        <w:adjustRightInd w:val="0"/>
        <w:snapToGrid/>
        <w:spacing w:line="480" w:lineRule="auto"/>
        <w:jc w:val="center"/>
        <w:textAlignment w:val="auto"/>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日期：</w:t>
      </w:r>
      <w:r>
        <w:rPr>
          <w:rFonts w:hint="eastAsia" w:ascii="仿宋" w:hAnsi="仿宋" w:eastAsia="仿宋" w:cs="仿宋"/>
          <w:b/>
          <w:color w:val="auto"/>
          <w:sz w:val="32"/>
          <w:szCs w:val="32"/>
          <w:highlight w:val="none"/>
          <w:lang w:val="en-US" w:eastAsia="zh-CN"/>
        </w:rPr>
        <w:t>2025年8月</w:t>
      </w:r>
    </w:p>
    <w:p w14:paraId="414766A6">
      <w:pPr>
        <w:rPr>
          <w:rFonts w:ascii="仿宋" w:hAnsi="仿宋" w:eastAsia="仿宋" w:cs="仿宋"/>
          <w:color w:val="auto"/>
          <w:kern w:val="0"/>
          <w:sz w:val="28"/>
          <w:szCs w:val="36"/>
          <w:highlight w:val="none"/>
        </w:rPr>
      </w:pPr>
      <w:r>
        <w:rPr>
          <w:rFonts w:hint="eastAsia" w:ascii="仿宋" w:hAnsi="仿宋" w:eastAsia="仿宋" w:cs="仿宋"/>
          <w:color w:val="auto"/>
          <w:kern w:val="0"/>
          <w:sz w:val="28"/>
          <w:szCs w:val="36"/>
          <w:highlight w:val="none"/>
        </w:rPr>
        <w:br w:type="page"/>
      </w:r>
    </w:p>
    <w:p w14:paraId="6463B3D5">
      <w:pPr>
        <w:widowControl/>
        <w:snapToGrid w:val="0"/>
        <w:spacing w:after="360" w:afterLines="150" w:line="360" w:lineRule="auto"/>
        <w:jc w:val="center"/>
        <w:rPr>
          <w:rFonts w:ascii="仿宋" w:hAnsi="仿宋" w:eastAsia="仿宋" w:cs="仿宋"/>
          <w:color w:val="auto"/>
          <w:kern w:val="0"/>
          <w:sz w:val="36"/>
          <w:szCs w:val="36"/>
          <w:highlight w:val="none"/>
        </w:rPr>
      </w:pPr>
      <w:r>
        <w:rPr>
          <w:rFonts w:hint="eastAsia" w:ascii="仿宋" w:hAnsi="仿宋" w:eastAsia="仿宋" w:cs="仿宋"/>
          <w:color w:val="auto"/>
          <w:kern w:val="0"/>
          <w:sz w:val="36"/>
          <w:szCs w:val="36"/>
          <w:highlight w:val="none"/>
        </w:rPr>
        <w:t>目     录</w:t>
      </w:r>
    </w:p>
    <w:p w14:paraId="032F430D">
      <w:pPr>
        <w:widowControl/>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第一部分  招标公告</w:t>
      </w:r>
    </w:p>
    <w:p w14:paraId="4528DA6C">
      <w:pPr>
        <w:widowControl/>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第二部分  投标人须知前附表</w:t>
      </w:r>
    </w:p>
    <w:p w14:paraId="24150EF8">
      <w:pPr>
        <w:widowControl/>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第三部分  投标人须知</w:t>
      </w:r>
    </w:p>
    <w:p w14:paraId="2EE40EC6">
      <w:pPr>
        <w:widowControl/>
        <w:snapToGrid w:val="0"/>
        <w:spacing w:line="360" w:lineRule="auto"/>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一、总则</w:t>
      </w:r>
    </w:p>
    <w:p w14:paraId="261B9B02">
      <w:pPr>
        <w:widowControl/>
        <w:snapToGrid w:val="0"/>
        <w:spacing w:line="360" w:lineRule="auto"/>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二、招标文件</w:t>
      </w:r>
    </w:p>
    <w:p w14:paraId="392AC8D3">
      <w:pPr>
        <w:widowControl/>
        <w:snapToGrid w:val="0"/>
        <w:spacing w:line="360" w:lineRule="auto"/>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三、投标文件</w:t>
      </w:r>
    </w:p>
    <w:p w14:paraId="6BD6ADDA">
      <w:pPr>
        <w:widowControl/>
        <w:snapToGrid w:val="0"/>
        <w:spacing w:line="360" w:lineRule="auto"/>
        <w:ind w:firstLine="240" w:firstLineChars="100"/>
        <w:jc w:val="left"/>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四、投标文件的递交</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签收与退回</w:t>
      </w:r>
    </w:p>
    <w:p w14:paraId="0731F2A2">
      <w:pPr>
        <w:widowControl/>
        <w:snapToGrid w:val="0"/>
        <w:spacing w:line="360" w:lineRule="auto"/>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五、开标</w:t>
      </w:r>
    </w:p>
    <w:p w14:paraId="3CF54DEF">
      <w:pPr>
        <w:widowControl/>
        <w:snapToGrid w:val="0"/>
        <w:spacing w:line="360" w:lineRule="auto"/>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六、评标程序和要求</w:t>
      </w:r>
    </w:p>
    <w:p w14:paraId="3112089D">
      <w:pPr>
        <w:widowControl/>
        <w:snapToGrid w:val="0"/>
        <w:spacing w:line="360" w:lineRule="auto"/>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七、签订合同</w:t>
      </w:r>
    </w:p>
    <w:p w14:paraId="34D33620">
      <w:pPr>
        <w:widowControl/>
        <w:snapToGrid w:val="0"/>
        <w:spacing w:line="360" w:lineRule="auto"/>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八、保密和披露</w:t>
      </w:r>
    </w:p>
    <w:p w14:paraId="17A2FF92">
      <w:pPr>
        <w:widowControl/>
        <w:snapToGrid w:val="0"/>
        <w:spacing w:line="360" w:lineRule="auto"/>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九、询问和质疑</w:t>
      </w:r>
    </w:p>
    <w:p w14:paraId="4283219F">
      <w:pPr>
        <w:widowControl/>
        <w:snapToGrid w:val="0"/>
        <w:spacing w:line="360" w:lineRule="auto"/>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十、相关政策要求</w:t>
      </w:r>
    </w:p>
    <w:p w14:paraId="5217B5E4">
      <w:pPr>
        <w:widowControl/>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第四部分 评标标准和评标方法</w:t>
      </w:r>
    </w:p>
    <w:p w14:paraId="2F0958BA">
      <w:pPr>
        <w:widowControl/>
        <w:snapToGrid w:val="0"/>
        <w:spacing w:line="360" w:lineRule="auto"/>
        <w:jc w:val="left"/>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 xml:space="preserve">第五部分 </w:t>
      </w:r>
      <w:r>
        <w:rPr>
          <w:rFonts w:hint="eastAsia" w:ascii="仿宋" w:hAnsi="仿宋" w:eastAsia="仿宋" w:cs="仿宋"/>
          <w:color w:val="auto"/>
          <w:kern w:val="0"/>
          <w:sz w:val="24"/>
          <w:highlight w:val="none"/>
          <w:lang w:val="en-US" w:eastAsia="zh-CN"/>
        </w:rPr>
        <w:t>商务技术要求</w:t>
      </w:r>
    </w:p>
    <w:p w14:paraId="7FAA3491">
      <w:pPr>
        <w:widowControl/>
        <w:snapToGrid w:val="0"/>
        <w:spacing w:line="360" w:lineRule="auto"/>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第六部分 </w:t>
      </w:r>
      <w:r>
        <w:rPr>
          <w:rFonts w:hint="eastAsia" w:ascii="仿宋" w:hAnsi="仿宋" w:eastAsia="仿宋" w:cs="仿宋"/>
          <w:color w:val="auto"/>
          <w:kern w:val="0"/>
          <w:sz w:val="24"/>
          <w:highlight w:val="none"/>
          <w:lang w:eastAsia="zh-CN"/>
        </w:rPr>
        <w:t>采购合同范本（供参考）</w:t>
      </w:r>
    </w:p>
    <w:p w14:paraId="65E95A04">
      <w:pPr>
        <w:widowControl/>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第七部分 投标文件格式</w:t>
      </w:r>
    </w:p>
    <w:p w14:paraId="24E55CBA">
      <w:pPr>
        <w:pStyle w:val="27"/>
        <w:rPr>
          <w:rFonts w:ascii="仿宋" w:hAnsi="仿宋" w:eastAsia="仿宋" w:cs="仿宋"/>
          <w:color w:val="auto"/>
          <w:sz w:val="28"/>
          <w:szCs w:val="30"/>
          <w:highlight w:val="none"/>
        </w:rPr>
      </w:pPr>
    </w:p>
    <w:p w14:paraId="64D997B7">
      <w:pPr>
        <w:pStyle w:val="27"/>
        <w:rPr>
          <w:rFonts w:ascii="仿宋" w:hAnsi="仿宋" w:eastAsia="仿宋" w:cs="仿宋"/>
          <w:color w:val="auto"/>
          <w:sz w:val="28"/>
          <w:szCs w:val="30"/>
          <w:highlight w:val="none"/>
        </w:rPr>
      </w:pPr>
    </w:p>
    <w:p w14:paraId="76694F0E">
      <w:pPr>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br w:type="page"/>
      </w:r>
    </w:p>
    <w:p w14:paraId="3F923DB8">
      <w:pPr>
        <w:keepNext w:val="0"/>
        <w:keepLines w:val="0"/>
        <w:pageBreakBefore w:val="0"/>
        <w:widowControl/>
        <w:tabs>
          <w:tab w:val="left" w:pos="2070"/>
          <w:tab w:val="center" w:pos="4365"/>
        </w:tabs>
        <w:kinsoku/>
        <w:wordWrap/>
        <w:overflowPunct/>
        <w:topLinePunct w:val="0"/>
        <w:autoSpaceDE/>
        <w:autoSpaceDN/>
        <w:bidi w:val="0"/>
        <w:adjustRightInd/>
        <w:snapToGrid w:val="0"/>
        <w:spacing w:line="360" w:lineRule="auto"/>
        <w:jc w:val="center"/>
        <w:textAlignment w:val="auto"/>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 xml:space="preserve">第一部分 </w:t>
      </w:r>
      <w:r>
        <w:rPr>
          <w:rFonts w:hint="eastAsia" w:ascii="仿宋" w:hAnsi="仿宋" w:eastAsia="仿宋" w:cs="仿宋"/>
          <w:b/>
          <w:color w:val="auto"/>
          <w:kern w:val="0"/>
          <w:sz w:val="36"/>
          <w:szCs w:val="36"/>
          <w:highlight w:val="none"/>
          <w:lang w:val="en-US" w:eastAsia="zh-CN"/>
        </w:rPr>
        <w:t xml:space="preserve"> </w:t>
      </w:r>
      <w:r>
        <w:rPr>
          <w:rFonts w:hint="eastAsia" w:ascii="仿宋" w:hAnsi="仿宋" w:eastAsia="仿宋" w:cs="仿宋"/>
          <w:b/>
          <w:color w:val="auto"/>
          <w:kern w:val="0"/>
          <w:sz w:val="36"/>
          <w:szCs w:val="36"/>
          <w:highlight w:val="none"/>
        </w:rPr>
        <w:t>招标公告</w:t>
      </w:r>
    </w:p>
    <w:p w14:paraId="0E101A9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619055E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汾阳市平原(三泉镇、阳城镇)农村集中供热项目无损检测工程</w:t>
      </w:r>
      <w:r>
        <w:rPr>
          <w:rFonts w:hint="eastAsia" w:ascii="仿宋" w:hAnsi="仿宋" w:eastAsia="仿宋" w:cs="仿宋"/>
          <w:color w:val="auto"/>
          <w:sz w:val="24"/>
          <w:highlight w:val="none"/>
        </w:rPr>
        <w:t>招标项目的潜在投标人应在政采云平台线上获取获取招标文件，并于2025年08月</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日 0</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:30（北京时间）前递交投标文件。</w:t>
      </w:r>
    </w:p>
    <w:p w14:paraId="1C4B1723">
      <w:pPr>
        <w:keepNext w:val="0"/>
        <w:keepLines w:val="0"/>
        <w:pageBreakBefore w:val="0"/>
        <w:widowControl w:val="0"/>
        <w:kinsoku/>
        <w:wordWrap/>
        <w:overflowPunct/>
        <w:topLinePunct w:val="0"/>
        <w:autoSpaceDE/>
        <w:autoSpaceDN/>
        <w:bidi w:val="0"/>
        <w:adjustRightInd/>
        <w:snapToGrid/>
        <w:spacing w:before="157" w:beforeLines="50" w:line="400" w:lineRule="exact"/>
        <w:textAlignment w:val="auto"/>
        <w:rPr>
          <w:rFonts w:ascii="仿宋" w:hAnsi="仿宋" w:eastAsia="仿宋" w:cs="仿宋"/>
          <w:b/>
          <w:bCs/>
          <w:color w:val="auto"/>
          <w:sz w:val="24"/>
          <w:highlight w:val="none"/>
        </w:rPr>
      </w:pPr>
      <w:bookmarkStart w:id="0" w:name="_Toc28359079"/>
      <w:bookmarkStart w:id="1" w:name="_Toc35393790"/>
      <w:bookmarkStart w:id="2" w:name="_Toc28359002"/>
      <w:bookmarkStart w:id="3" w:name="_Toc35393621"/>
      <w:bookmarkStart w:id="4" w:name="_Hlk24379207"/>
      <w:r>
        <w:rPr>
          <w:rFonts w:hint="eastAsia" w:ascii="仿宋" w:hAnsi="仿宋" w:eastAsia="仿宋" w:cs="仿宋"/>
          <w:b/>
          <w:bCs/>
          <w:color w:val="auto"/>
          <w:sz w:val="24"/>
          <w:highlight w:val="none"/>
        </w:rPr>
        <w:t>一、项目基本情况</w:t>
      </w:r>
      <w:bookmarkEnd w:id="0"/>
      <w:bookmarkEnd w:id="1"/>
      <w:bookmarkEnd w:id="2"/>
      <w:bookmarkEnd w:id="3"/>
    </w:p>
    <w:bookmarkEnd w:id="4"/>
    <w:p w14:paraId="26A7F314">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eastAsia="zh-CN"/>
        </w:rPr>
      </w:pPr>
      <w:bookmarkStart w:id="5" w:name="_Toc35393791"/>
      <w:bookmarkStart w:id="6" w:name="_Toc28359080"/>
      <w:bookmarkStart w:id="7" w:name="_Toc35393622"/>
      <w:bookmarkStart w:id="8" w:name="_Toc28359003"/>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1411822025CGK00228</w:t>
      </w:r>
    </w:p>
    <w:p w14:paraId="391978CC">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汾阳市平原(三泉镇、阳城镇)农村集中供热项目无损检测工程</w:t>
      </w:r>
      <w:r>
        <w:rPr>
          <w:rFonts w:hint="eastAsia" w:ascii="仿宋" w:hAnsi="仿宋" w:eastAsia="仿宋" w:cs="仿宋"/>
          <w:color w:val="auto"/>
          <w:sz w:val="24"/>
          <w:highlight w:val="none"/>
        </w:rPr>
        <w:t>       </w:t>
      </w:r>
    </w:p>
    <w:p w14:paraId="317CEDB5">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预算金额（元）：8997725</w:t>
      </w:r>
      <w:r>
        <w:rPr>
          <w:rFonts w:hint="eastAsia" w:ascii="仿宋" w:hAnsi="仿宋" w:eastAsia="仿宋" w:cs="仿宋"/>
          <w:color w:val="auto"/>
          <w:sz w:val="24"/>
          <w:highlight w:val="none"/>
          <w:lang w:val="en-US" w:eastAsia="zh-CN"/>
        </w:rPr>
        <w:t>。</w:t>
      </w:r>
    </w:p>
    <w:p w14:paraId="77C168BF">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最高限价（元）：</w:t>
      </w:r>
      <w:r>
        <w:rPr>
          <w:rFonts w:hint="eastAsia" w:ascii="仿宋" w:hAnsi="仿宋" w:eastAsia="仿宋" w:cs="仿宋"/>
          <w:color w:val="auto"/>
          <w:sz w:val="24"/>
          <w:highlight w:val="none"/>
          <w:lang w:val="en-US" w:eastAsia="zh-CN"/>
        </w:rPr>
        <w:t>包1：954360.00；包2：1342880.00；包3：880385.00；包4：706145.00；包5：1049180.00；包6：1205270.00；包7：1759340.00；包8：1100165.00</w:t>
      </w:r>
    </w:p>
    <w:p w14:paraId="6596A460">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p>
    <w:p w14:paraId="14195B0A">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采购需求：标项一</w:t>
      </w:r>
    </w:p>
    <w:p w14:paraId="783AFFA5">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标项名称：采购包1 </w:t>
      </w:r>
    </w:p>
    <w:p w14:paraId="6860258B">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数量：/</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预算金额（元）：954360</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简要规格描述或项目基本概况介绍、用途：为汾阳市平原(三泉镇、阳城镇)农村集中供热项目第一标段提供无损检测服务，并出具检验检测报告，详见商务技术要求。</w:t>
      </w:r>
    </w:p>
    <w:p w14:paraId="34A61C3C">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本项目兼投不兼中，为保证项目的服务质量，充分调动投标人做好项目的积极性，争先比优，同一投标人可以参与多个包的投标，但只能中标本项目中的一个包。同一投标人同时在不同的包综合得分排名第一，按照包号顺序由小到大中标1个包，之后包的中标人确定为该包综合得分排名第二的投标人，以此类推。</w:t>
      </w:r>
    </w:p>
    <w:p w14:paraId="727C017E">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例：同一投标人同时在第1包和第2包中综合得分均排名第一，该投标人不参加第2包的中标候选人排序。如果第2包参与排序的投标人数量不足3家，按废标处理。</w:t>
      </w:r>
    </w:p>
    <w:p w14:paraId="72B4941E">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p>
    <w:p w14:paraId="15451E6A">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标项二</w:t>
      </w:r>
    </w:p>
    <w:p w14:paraId="32F0F40B">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标项名称：采购包2 </w:t>
      </w:r>
    </w:p>
    <w:p w14:paraId="0FCC26CF">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数量：/</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预算金额（元）：1342880</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简要规格描述或项目基本概况介绍、用途：为汾阳市平原(三泉镇、阳城镇)农村集中供热项目第二、三标段提供无损检测服务，并出具检验检测报告，详见商务技术要求。</w:t>
      </w:r>
    </w:p>
    <w:p w14:paraId="7C6FF7BF">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本项目兼投不兼中，为保证项目的服务质量，充分调动投标人做好项目的积极性，争先比优，同一投标人可以参与多个包的投标，但只能中标本项目中的一个包。同一投标人同时在不同的包综合得分排名第一，按照包号顺序由小到大中标1个包，之后包的中标人确定为该包综合得分排名第二的投标人，以此类推。</w:t>
      </w:r>
    </w:p>
    <w:p w14:paraId="6CAAA7C8">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例：同一投标人同时在第1包和第2包中综合得分均排名第一，该投标人不参加第2包的中标候选人排序。如果第2包参与排序的投标人数量不足3家，按废标处理。</w:t>
      </w:r>
    </w:p>
    <w:p w14:paraId="55A71FAA">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p>
    <w:p w14:paraId="1206998B">
      <w:pPr>
        <w:pStyle w:val="2"/>
        <w:rPr>
          <w:rFonts w:hint="eastAsia"/>
          <w:lang w:val="en-US" w:eastAsia="zh-CN"/>
        </w:rPr>
      </w:pPr>
    </w:p>
    <w:p w14:paraId="7A4DCFD6">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标项三</w:t>
      </w:r>
    </w:p>
    <w:p w14:paraId="3D8F85D6">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标项名称：采购包3 </w:t>
      </w:r>
    </w:p>
    <w:p w14:paraId="0CF69AAA">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数量：/</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预算金额（元）：880385</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简要规格描述或项目基本概况介绍、用途：为汾阳市平原(三泉镇、阳城镇)农村集中供热项目第四标段提供无损检测服务，并出具检验检测报告，详见商务技术要求。</w:t>
      </w:r>
    </w:p>
    <w:p w14:paraId="5C0D2A7B">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本项目兼投不兼中，为保证项目的服务质量，充分调动投标人做好项目的积极性，争先比优，同一投标人可以参与多个包的投标，但只能中标本项目中的一个包。同一投标人同时在不同的包综合得分排名第一，按照包号顺序由小到大中标1个包，之后包的中标人确定为该包综合得分排名第二的投标人，以此类推。</w:t>
      </w:r>
    </w:p>
    <w:p w14:paraId="2BD26261">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例：同一投标人同时在第1包和第2包中综合得分均排名第一，该投标人不参加第2包的中标候选人排序。如果第2包参与排序的投标人数量不足3家，按废标处理。</w:t>
      </w:r>
    </w:p>
    <w:p w14:paraId="11E8E7F9">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p>
    <w:p w14:paraId="08367754">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标项四</w:t>
      </w:r>
    </w:p>
    <w:p w14:paraId="2510D537">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标项名称：采购包4 </w:t>
      </w:r>
    </w:p>
    <w:p w14:paraId="304552B4">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数量：/</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预算金额（元）：706145</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简要规格描述或项目基本概况介绍、用途：为汾阳市平原(三泉镇、阳城镇)农村集中供热项目第五标段提供无损检测服务，并出具检验检测报告，详见商务技术要求。</w:t>
      </w:r>
    </w:p>
    <w:p w14:paraId="20528F60">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本项目兼投不兼中，为保证项目的服务质量，充分调动投标人做好项目的积极性，争先比优，同一投标人可以参与多个包的投标，但只能中标本项目中的一个包。同一投标人同时在不同的包综合得分排名第一，按照包号顺序由小到大中标1个包，之后包的中标人确定为该包综合得分排名第二的投标人，以此类推。</w:t>
      </w:r>
    </w:p>
    <w:p w14:paraId="1921268E">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例：同一投标人同时在第1包和第2包中综合得分均排名第一，该投标人不参加第2包的中标候选人排序。如果第2包参与排序的投标人数量不足3家，按废标处理。</w:t>
      </w:r>
    </w:p>
    <w:p w14:paraId="786DF21E">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p>
    <w:p w14:paraId="1DFBEA55">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标项五</w:t>
      </w:r>
    </w:p>
    <w:p w14:paraId="2661EDC9">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标项名称：采购包5 </w:t>
      </w:r>
    </w:p>
    <w:p w14:paraId="1F85F7DE">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数量：/</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预算金额（元）：1049180</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简要规格描述或项目基本概况介绍、用途：为汾阳市平原(三泉镇、阳城镇)农村集中供热项目第六标段提供无损检测服务，并出具检验检测报告，详见商务技术要求。</w:t>
      </w:r>
    </w:p>
    <w:p w14:paraId="3669402C">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本项目兼投不兼中，为保证项目的服务质量，充分调动投标人做好项目的积极性，争先比优，同一投标人可以参与多个包的投标，但只能中标本项目中的一个包。同一投标人同时在不同的包综合得分排名第一，按照包号顺序由小到大中标1个包，之后包的中标人确定为该包综合得分排名第二的投标人，以此类推。</w:t>
      </w:r>
    </w:p>
    <w:p w14:paraId="50C6A29B">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例：同一投标人同时在第1包和第2包中综合得分均排名第一，该投标人不参加第2包的中标候选人排序。如果第2包参与排序的投标人数量不足3家，按废标处理。</w:t>
      </w:r>
    </w:p>
    <w:p w14:paraId="37D20255">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p>
    <w:p w14:paraId="3AF967CF">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标项六</w:t>
      </w:r>
    </w:p>
    <w:p w14:paraId="2B9BE086">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标项名称：采购包6 </w:t>
      </w:r>
    </w:p>
    <w:p w14:paraId="1C83B399">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数量：/</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预算金额（元）：1205270</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简要规格描述或项目基本概况介绍、用途：为汾阳市平原(三泉镇、阳城镇)农村集中供热项目第七、八标段提供无损检测服务，并出具检验检测报告，详见商务技术要求。</w:t>
      </w:r>
    </w:p>
    <w:p w14:paraId="28036D64">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本项目兼投不兼中，为保证项目的服务质量，充分调动投标人做好项目的积极性，争先比优，同一投标人可以参与多个包的投标，但只能中标本项目中的一个包。同一投标人同时在不同的包综合得分排名第一，按照包号顺序由小到大中标1个包，之后包的中标人确定为该包综合得分排名第二的投标人，以此类推。</w:t>
      </w:r>
    </w:p>
    <w:p w14:paraId="664FB32B">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例：同一投标人同时在第1包和第2包中综合得分均排名第一，该投标人不参加第2包的中标候选人排序。如果第2包参与排序的投标人数量不足3家，按废标处理。</w:t>
      </w:r>
    </w:p>
    <w:p w14:paraId="1EC0355D">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p>
    <w:p w14:paraId="6CA60AE8">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标项七</w:t>
      </w:r>
    </w:p>
    <w:p w14:paraId="7B84357C">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标项名称：采购包7 </w:t>
      </w:r>
    </w:p>
    <w:p w14:paraId="1FC49168">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数量：/</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预算金额（元）：1759340</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简要规格描述或项目基本概况介绍、用途：为汾阳市平原(三泉镇、阳城镇)农村集中供热项目第九标段提供无损检测服务，并出具检验检测报告，详见商务技术要求。</w:t>
      </w:r>
    </w:p>
    <w:p w14:paraId="32CFC016">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本项目兼投不兼中，为保证项目的服务质量，充分调动投标人做好项目的积极性，争先比优，同一投标人可以参与多个包的投标，但只能中标本项目中的一个包。同一投标人同时在不同的包综合得分排名第一，按照包号顺序由小到大中标1个包，之后包的中标人确定为该包综合得分排名第二的投标人，以此类推。</w:t>
      </w:r>
    </w:p>
    <w:p w14:paraId="0A620A36">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例：同一投标人同时在第1包和第2包中综合得分均排名第一，该投标人不参加第2包的中标候选人排序。如果第2包参与排序的投标人数量不足3家，按废标处理。</w:t>
      </w:r>
    </w:p>
    <w:p w14:paraId="7882A02F">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p>
    <w:p w14:paraId="024B00DC">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标项八</w:t>
      </w:r>
    </w:p>
    <w:p w14:paraId="71F53DFE">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标项名称：采购包8 </w:t>
      </w:r>
    </w:p>
    <w:p w14:paraId="45A7AB5A">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数量：/</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预算金额（元）：1100165</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简要规格描述或项目基本概况介绍、用途：为汾阳市平原(三泉镇、阳城镇)农村集中供热项目第十标段提供无损检测服务，并出具检验检测报告，详见商务技术要求。</w:t>
      </w:r>
    </w:p>
    <w:p w14:paraId="07A7B5F1">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本项目兼投不兼中，为保证项目的服务质量，充分调动投标人做好项目的积极性，争先比优，同一投标人可以参与多个包的投标，但只能中标本项目中的一个包。同一投标人同时在不同的包综合得分排名第一，按照包号顺序由小到大中标1个包，之后包的中标人确定为该包综合得分排名第二的投标人，以此类推。</w:t>
      </w:r>
    </w:p>
    <w:p w14:paraId="55254A9E">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例：同一投标人同时在第1包和第2包中综合得分均排名第一，该投标人不参加第2包的中标候选人排序。如果第2包参与排序的投标人数量不足3家，按废标处理。</w:t>
      </w:r>
    </w:p>
    <w:p w14:paraId="715B76F3">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p>
    <w:p w14:paraId="14328D7E">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服务期限：包1、2、3、4、5、6、7、8,从签订合同之日起算,至所有工程保修期结束且办妥竣工验收止,包括本工程的施工准备期、施工期、工程收尾期等全过程无损检测服务。</w:t>
      </w:r>
    </w:p>
    <w:p w14:paraId="14186CFB">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本项目（否）接受联合体投标。</w:t>
      </w:r>
    </w:p>
    <w:p w14:paraId="26B4521F">
      <w:pPr>
        <w:keepNext w:val="0"/>
        <w:keepLines w:val="0"/>
        <w:pageBreakBefore w:val="0"/>
        <w:kinsoku/>
        <w:overflowPunct/>
        <w:topLinePunct w:val="0"/>
        <w:autoSpaceDE/>
        <w:autoSpaceDN/>
        <w:bidi w:val="0"/>
        <w:adjustRightInd/>
        <w:snapToGrid/>
        <w:spacing w:line="400" w:lineRule="exact"/>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二、申请人的资格要求：</w:t>
      </w:r>
      <w:bookmarkEnd w:id="5"/>
      <w:bookmarkEnd w:id="6"/>
      <w:bookmarkEnd w:id="7"/>
      <w:bookmarkEnd w:id="8"/>
    </w:p>
    <w:p w14:paraId="5D68F55D">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val="en-US" w:eastAsia="zh-CN"/>
        </w:rPr>
      </w:pPr>
      <w:bookmarkStart w:id="9" w:name="_Toc28359004"/>
      <w:bookmarkStart w:id="10" w:name="_Toc35393792"/>
      <w:bookmarkStart w:id="11" w:name="_Toc28359081"/>
      <w:bookmarkStart w:id="12" w:name="_Toc35393623"/>
      <w:r>
        <w:rPr>
          <w:rFonts w:hint="eastAsia" w:ascii="仿宋" w:hAnsi="仿宋" w:eastAsia="仿宋" w:cs="仿宋"/>
          <w:color w:val="auto"/>
          <w:sz w:val="24"/>
          <w:highlight w:val="none"/>
          <w:lang w:val="en-US" w:eastAsia="zh-CN"/>
        </w:rPr>
        <w:t>1.满足《中华人民共和国政府采购法》第二十二条规定；        </w:t>
      </w:r>
    </w:p>
    <w:p w14:paraId="02B1ADF0">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2.落实政府采购政策需满足的资格要求：包1，2，3，4，5，6，7，8：本项目专门面向中小企业；      </w:t>
      </w:r>
    </w:p>
    <w:p w14:paraId="48F3B98F">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3.本项目的特定资格要求：</w:t>
      </w:r>
    </w:p>
    <w:p w14:paraId="4E87C19A">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包1、2、3、4、5、6、7、8】：投标人须具有市场监督管理部门颁发的特种设备检验检测机构核准证(CG-常规检测)，中国特种设备检验协会特种设备无损检测机构级别评定证书(C级及以上)，辐射安全许可证；拟派项目负责人应为本单位在职注册人员，提供人员社保凭证，须具备Ⅱ级及以上无损检测人员证（持证4年以上，同时具备RT、UT、PT、MT）。</w:t>
      </w:r>
    </w:p>
    <w:p w14:paraId="7773517A">
      <w:pPr>
        <w:keepNext w:val="0"/>
        <w:keepLines w:val="0"/>
        <w:pageBreakBefore w:val="0"/>
        <w:kinsoku/>
        <w:overflowPunct/>
        <w:topLinePunct w:val="0"/>
        <w:autoSpaceDE/>
        <w:autoSpaceDN/>
        <w:bidi w:val="0"/>
        <w:adjustRightInd/>
        <w:snapToGrid/>
        <w:spacing w:line="400" w:lineRule="exact"/>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三、获取招标文件</w:t>
      </w:r>
      <w:bookmarkEnd w:id="9"/>
      <w:bookmarkEnd w:id="10"/>
      <w:bookmarkEnd w:id="11"/>
      <w:bookmarkEnd w:id="12"/>
    </w:p>
    <w:p w14:paraId="10A6271A">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val="en-US" w:eastAsia="zh-CN"/>
        </w:rPr>
      </w:pPr>
      <w:bookmarkStart w:id="13" w:name="_Toc28359005"/>
      <w:bookmarkStart w:id="14" w:name="_Toc28359082"/>
      <w:bookmarkStart w:id="15" w:name="_Toc35393624"/>
      <w:bookmarkStart w:id="16" w:name="_Toc35393793"/>
      <w:r>
        <w:rPr>
          <w:rFonts w:hint="eastAsia" w:ascii="仿宋" w:hAnsi="仿宋" w:eastAsia="仿宋" w:cs="仿宋"/>
          <w:color w:val="auto"/>
          <w:sz w:val="24"/>
          <w:highlight w:val="none"/>
          <w:lang w:val="en-US" w:eastAsia="zh-CN"/>
        </w:rPr>
        <w:t>时间：2025年08月03日至2025年08月08日，每天上午00:00至12:00，下午12:00至23:59（北京时间，法定节假日除外）        </w:t>
      </w:r>
    </w:p>
    <w:p w14:paraId="297EC657">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地点：政采云平台线上获取      </w:t>
      </w:r>
    </w:p>
    <w:p w14:paraId="7D48AE08">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方式：在线获取       </w:t>
      </w:r>
    </w:p>
    <w:p w14:paraId="3BFBCE83">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售价（元）：0</w:t>
      </w:r>
    </w:p>
    <w:p w14:paraId="300E389D">
      <w:pPr>
        <w:keepNext w:val="0"/>
        <w:keepLines w:val="0"/>
        <w:pageBreakBefore w:val="0"/>
        <w:kinsoku/>
        <w:overflowPunct/>
        <w:topLinePunct w:val="0"/>
        <w:autoSpaceDE/>
        <w:autoSpaceDN/>
        <w:bidi w:val="0"/>
        <w:adjustRightInd/>
        <w:snapToGrid/>
        <w:spacing w:line="400" w:lineRule="exact"/>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四、</w:t>
      </w:r>
      <w:bookmarkEnd w:id="13"/>
      <w:bookmarkEnd w:id="14"/>
      <w:bookmarkEnd w:id="15"/>
      <w:bookmarkEnd w:id="16"/>
      <w:r>
        <w:rPr>
          <w:rFonts w:hint="eastAsia" w:ascii="仿宋" w:hAnsi="仿宋" w:eastAsia="仿宋" w:cs="仿宋"/>
          <w:b/>
          <w:bCs/>
          <w:color w:val="auto"/>
          <w:sz w:val="24"/>
          <w:highlight w:val="none"/>
        </w:rPr>
        <w:t>提交投标文件截止时间、开标时间和地点</w:t>
      </w:r>
    </w:p>
    <w:p w14:paraId="1E053FE7">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val="en-US" w:eastAsia="zh-CN"/>
        </w:rPr>
      </w:pPr>
      <w:bookmarkStart w:id="17" w:name="_Toc28359007"/>
      <w:bookmarkStart w:id="18" w:name="_Toc35393794"/>
      <w:bookmarkStart w:id="19" w:name="_Toc28359084"/>
      <w:bookmarkStart w:id="20" w:name="_Toc35393625"/>
      <w:r>
        <w:rPr>
          <w:rFonts w:hint="eastAsia" w:ascii="仿宋" w:hAnsi="仿宋" w:eastAsia="仿宋" w:cs="仿宋"/>
          <w:color w:val="auto"/>
          <w:sz w:val="24"/>
          <w:highlight w:val="none"/>
          <w:lang w:val="en-US" w:eastAsia="zh-CN"/>
        </w:rPr>
        <w:t>提交投标文件截止时间：2025年08月25日 08:30（北京时间）        </w:t>
      </w:r>
    </w:p>
    <w:p w14:paraId="7BD569CD">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投标地点（网址）：请登录政采云投标客户端投标     </w:t>
      </w:r>
    </w:p>
    <w:p w14:paraId="1C8AEBA7">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开标时间：2025年08月25日 08:30        </w:t>
      </w:r>
    </w:p>
    <w:p w14:paraId="5C2F6DC4">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开标地点：山西省太原市杏花岭区建设北路196号太铁广场A座1105开标室</w:t>
      </w:r>
    </w:p>
    <w:p w14:paraId="001E0FB7">
      <w:pPr>
        <w:keepNext w:val="0"/>
        <w:keepLines w:val="0"/>
        <w:pageBreakBefore w:val="0"/>
        <w:kinsoku/>
        <w:overflowPunct/>
        <w:topLinePunct w:val="0"/>
        <w:autoSpaceDE/>
        <w:autoSpaceDN/>
        <w:bidi w:val="0"/>
        <w:adjustRightInd/>
        <w:snapToGrid/>
        <w:spacing w:line="400" w:lineRule="exact"/>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五、公告期限</w:t>
      </w:r>
      <w:bookmarkEnd w:id="17"/>
      <w:bookmarkEnd w:id="18"/>
      <w:bookmarkEnd w:id="19"/>
      <w:bookmarkEnd w:id="20"/>
    </w:p>
    <w:p w14:paraId="19740FAE">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自本公告发布之日起5个工作日。</w:t>
      </w:r>
    </w:p>
    <w:p w14:paraId="68C65A84">
      <w:pPr>
        <w:keepNext w:val="0"/>
        <w:keepLines w:val="0"/>
        <w:pageBreakBefore w:val="0"/>
        <w:kinsoku/>
        <w:overflowPunct/>
        <w:topLinePunct w:val="0"/>
        <w:autoSpaceDE/>
        <w:autoSpaceDN/>
        <w:bidi w:val="0"/>
        <w:adjustRightInd/>
        <w:snapToGrid/>
        <w:spacing w:line="400" w:lineRule="exact"/>
        <w:textAlignment w:val="auto"/>
        <w:rPr>
          <w:rFonts w:ascii="仿宋" w:hAnsi="仿宋" w:eastAsia="仿宋" w:cs="仿宋"/>
          <w:b/>
          <w:bCs/>
          <w:color w:val="auto"/>
          <w:sz w:val="24"/>
          <w:highlight w:val="none"/>
        </w:rPr>
      </w:pPr>
      <w:bookmarkStart w:id="21" w:name="_Toc35393626"/>
      <w:bookmarkStart w:id="22" w:name="_Toc35393795"/>
      <w:r>
        <w:rPr>
          <w:rFonts w:hint="eastAsia" w:ascii="仿宋" w:hAnsi="仿宋" w:eastAsia="仿宋" w:cs="仿宋"/>
          <w:b/>
          <w:bCs/>
          <w:color w:val="auto"/>
          <w:sz w:val="24"/>
          <w:highlight w:val="none"/>
        </w:rPr>
        <w:t>六、其他补充事宜</w:t>
      </w:r>
      <w:bookmarkEnd w:id="21"/>
      <w:bookmarkEnd w:id="22"/>
    </w:p>
    <w:p w14:paraId="119A0EB3">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val="en-US" w:eastAsia="zh-CN"/>
        </w:rPr>
      </w:pPr>
      <w:bookmarkStart w:id="23" w:name="_Toc35393627"/>
      <w:bookmarkStart w:id="24" w:name="_Toc35393796"/>
      <w:bookmarkStart w:id="25" w:name="_Toc28359085"/>
      <w:bookmarkStart w:id="26" w:name="_Toc28359008"/>
      <w:r>
        <w:rPr>
          <w:rFonts w:hint="eastAsia" w:ascii="仿宋" w:hAnsi="仿宋" w:eastAsia="仿宋" w:cs="仿宋"/>
          <w:color w:val="auto"/>
          <w:sz w:val="24"/>
          <w:highlight w:val="none"/>
          <w:lang w:val="en-US" w:eastAsia="zh-CN"/>
        </w:rPr>
        <w:t>针对本项目的质疑需一次性提出，多次提出将不予受理。供应商参与山西省政府采购项目时，符合法定质疑条件的，通过政府采购平台进入“项目质疑管理”栏目向采购人、采购代理机构在线提起质疑。      </w:t>
      </w:r>
    </w:p>
    <w:p w14:paraId="255E15F0">
      <w:pPr>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代理费支付方式： 供应商支付 </w:t>
      </w:r>
    </w:p>
    <w:p w14:paraId="270D867F">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代理费收费标准： 参照《采购代理服务收费管理暂行办法》（计价格[2002]1980号）及国家发改办价格[2003]857号文件规定的收费标准的95.8%收取 </w:t>
      </w:r>
    </w:p>
    <w:p w14:paraId="7CE4EB7D">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代理费收费金额（元）： / </w:t>
      </w:r>
    </w:p>
    <w:p w14:paraId="5CA934FE">
      <w:pPr>
        <w:pStyle w:val="53"/>
        <w:keepNext w:val="0"/>
        <w:keepLines w:val="0"/>
        <w:pageBreakBefore w:val="0"/>
        <w:kinsoku/>
        <w:overflowPunct/>
        <w:topLinePunct w:val="0"/>
        <w:autoSpaceDE/>
        <w:autoSpaceDN/>
        <w:bidi w:val="0"/>
        <w:adjustRightInd/>
        <w:snapToGrid/>
        <w:spacing w:line="400" w:lineRule="exact"/>
        <w:ind w:firstLine="0" w:firstLineChars="0"/>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七、对本次招标提出询问，请按以下方式联系。</w:t>
      </w:r>
      <w:bookmarkEnd w:id="23"/>
      <w:bookmarkEnd w:id="24"/>
      <w:bookmarkEnd w:id="25"/>
      <w:bookmarkEnd w:id="26"/>
    </w:p>
    <w:p w14:paraId="2605F3C9">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1.采购人信息            </w:t>
      </w:r>
    </w:p>
    <w:p w14:paraId="1DF13778">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 称：汾阳市能源局           </w:t>
      </w:r>
    </w:p>
    <w:p w14:paraId="2B0D63A5">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 址：汾阳市东一环政务大厅         </w:t>
      </w:r>
    </w:p>
    <w:p w14:paraId="60F08A39">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联系方式：0358-7222416           </w:t>
      </w:r>
    </w:p>
    <w:p w14:paraId="3038AAE3">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2.采购代理机构信息            </w:t>
      </w:r>
    </w:p>
    <w:p w14:paraId="06AF2846">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 称：山西交干工程项目管理有限公司         </w:t>
      </w:r>
    </w:p>
    <w:p w14:paraId="1BB61D3A">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 址：太原市杏花岭区建设北路196号太铁广场A座1106室            </w:t>
      </w:r>
    </w:p>
    <w:p w14:paraId="2646673D">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联系方式：15135143181            </w:t>
      </w:r>
    </w:p>
    <w:p w14:paraId="09E7B408">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3.采购代理机构信息  </w:t>
      </w:r>
    </w:p>
    <w:p w14:paraId="2138E32E">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项目联系人：李女士   </w:t>
      </w:r>
    </w:p>
    <w:p w14:paraId="7F371D46">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电 话：15135143181</w:t>
      </w:r>
    </w:p>
    <w:p w14:paraId="731AC0E5">
      <w:pPr>
        <w:keepNext w:val="0"/>
        <w:keepLines w:val="0"/>
        <w:pageBreakBefore w:val="0"/>
        <w:widowControl/>
        <w:kinsoku/>
        <w:overflowPunct/>
        <w:topLinePunct w:val="0"/>
        <w:autoSpaceDE/>
        <w:autoSpaceDN/>
        <w:bidi w:val="0"/>
        <w:adjustRightInd/>
        <w:snapToGrid/>
        <w:spacing w:line="400" w:lineRule="exact"/>
        <w:jc w:val="center"/>
        <w:textAlignment w:val="auto"/>
        <w:outlineLvl w:val="0"/>
        <w:rPr>
          <w:rFonts w:hint="eastAsia" w:ascii="仿宋" w:hAnsi="仿宋" w:eastAsia="仿宋" w:cs="仿宋"/>
          <w:b/>
          <w:color w:val="auto"/>
          <w:kern w:val="0"/>
          <w:sz w:val="36"/>
          <w:szCs w:val="36"/>
          <w:highlight w:val="none"/>
        </w:rPr>
        <w:sectPr>
          <w:headerReference r:id="rId3" w:type="first"/>
          <w:footerReference r:id="rId5" w:type="first"/>
          <w:footerReference r:id="rId4" w:type="default"/>
          <w:pgSz w:w="11906" w:h="16838"/>
          <w:pgMar w:top="1417" w:right="1247" w:bottom="1417" w:left="1247" w:header="851" w:footer="992" w:gutter="0"/>
          <w:pgNumType w:fmt="decimal" w:start="1"/>
          <w:cols w:space="0" w:num="1"/>
          <w:titlePg/>
          <w:rtlGutter w:val="0"/>
          <w:docGrid w:linePitch="312" w:charSpace="0"/>
        </w:sectPr>
      </w:pPr>
    </w:p>
    <w:p w14:paraId="211A3FA6">
      <w:pPr>
        <w:widowControl/>
        <w:snapToGrid w:val="0"/>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第二部分  投标人须知前附表</w:t>
      </w:r>
    </w:p>
    <w:tbl>
      <w:tblPr>
        <w:tblStyle w:val="32"/>
        <w:tblW w:w="50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327"/>
        <w:gridCol w:w="6765"/>
      </w:tblGrid>
      <w:tr w14:paraId="4FE8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61" w:type="pct"/>
            <w:vAlign w:val="center"/>
          </w:tcPr>
          <w:p w14:paraId="2DDF04F4">
            <w:pPr>
              <w:pageBreakBefore w:val="0"/>
              <w:kinsoku/>
              <w:overflowPunct/>
              <w:bidi w:val="0"/>
              <w:adjustRightInd/>
              <w:snapToGrid/>
              <w:spacing w:line="240" w:lineRule="auto"/>
              <w:ind w:left="-105" w:leftChars="-50" w:right="-105" w:rightChars="-50"/>
              <w:jc w:val="center"/>
              <w:rPr>
                <w:rFonts w:ascii="仿宋" w:hAnsi="仿宋" w:eastAsia="仿宋" w:cs="仿宋"/>
                <w:b/>
                <w:bCs/>
                <w:color w:val="auto"/>
                <w:sz w:val="24"/>
                <w:highlight w:val="none"/>
              </w:rPr>
            </w:pPr>
            <w:bookmarkStart w:id="27" w:name="_Toc175644016"/>
            <w:bookmarkStart w:id="28" w:name="_Toc86202581"/>
            <w:r>
              <w:rPr>
                <w:rFonts w:hint="eastAsia" w:ascii="仿宋" w:hAnsi="仿宋" w:eastAsia="仿宋" w:cs="仿宋"/>
                <w:b/>
                <w:bCs/>
                <w:color w:val="auto"/>
                <w:sz w:val="24"/>
                <w:highlight w:val="none"/>
              </w:rPr>
              <w:t>序号</w:t>
            </w:r>
          </w:p>
        </w:tc>
        <w:tc>
          <w:tcPr>
            <w:tcW w:w="1187" w:type="pct"/>
            <w:vAlign w:val="center"/>
          </w:tcPr>
          <w:p w14:paraId="58516812">
            <w:pPr>
              <w:pageBreakBefore w:val="0"/>
              <w:kinsoku/>
              <w:overflowPunct/>
              <w:bidi w:val="0"/>
              <w:adjustRightInd/>
              <w:snapToGrid/>
              <w:spacing w:line="24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内容</w:t>
            </w:r>
          </w:p>
        </w:tc>
        <w:tc>
          <w:tcPr>
            <w:tcW w:w="3451" w:type="pct"/>
            <w:vAlign w:val="center"/>
          </w:tcPr>
          <w:p w14:paraId="171853E4">
            <w:pPr>
              <w:pageBreakBefore w:val="0"/>
              <w:kinsoku/>
              <w:overflowPunct/>
              <w:bidi w:val="0"/>
              <w:adjustRightInd/>
              <w:snapToGrid/>
              <w:spacing w:line="24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说明与要求</w:t>
            </w:r>
          </w:p>
        </w:tc>
      </w:tr>
      <w:tr w14:paraId="68E3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Align w:val="center"/>
          </w:tcPr>
          <w:p w14:paraId="6212B069">
            <w:pPr>
              <w:pageBreakBefore w:val="0"/>
              <w:kinsoku/>
              <w:overflowPunct/>
              <w:bidi w:val="0"/>
              <w:adjustRightInd/>
              <w:snapToGrid/>
              <w:spacing w:line="240" w:lineRule="auto"/>
              <w:jc w:val="center"/>
              <w:rPr>
                <w:rFonts w:ascii="仿宋" w:hAnsi="仿宋" w:eastAsia="仿宋" w:cs="仿宋"/>
                <w:b/>
                <w:bCs/>
                <w:color w:val="auto"/>
                <w:sz w:val="24"/>
                <w:highlight w:val="none"/>
              </w:rPr>
            </w:pPr>
            <w:r>
              <w:rPr>
                <w:rFonts w:hint="eastAsia" w:ascii="仿宋" w:hAnsi="仿宋" w:eastAsia="仿宋" w:cs="仿宋"/>
                <w:b w:val="0"/>
                <w:bCs w:val="0"/>
                <w:color w:val="auto"/>
                <w:kern w:val="2"/>
                <w:sz w:val="24"/>
                <w:szCs w:val="24"/>
                <w:highlight w:val="none"/>
                <w:lang w:val="en-US" w:eastAsia="zh-CN" w:bidi="ar-SA"/>
              </w:rPr>
              <w:t>1</w:t>
            </w:r>
          </w:p>
        </w:tc>
        <w:tc>
          <w:tcPr>
            <w:tcW w:w="1187" w:type="pct"/>
            <w:vAlign w:val="center"/>
          </w:tcPr>
          <w:p w14:paraId="1E10CC47">
            <w:pPr>
              <w:pStyle w:val="49"/>
              <w:keepNext w:val="0"/>
              <w:keepLines w:val="0"/>
              <w:pageBreakBefore w:val="0"/>
              <w:kinsoku/>
              <w:overflowPunct/>
              <w:bidi w:val="0"/>
              <w:adjustRightInd/>
              <w:snapToGrid/>
              <w:spacing w:before="0" w:after="0" w:line="240" w:lineRule="auto"/>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本项目预算金额及最高限价</w:t>
            </w:r>
          </w:p>
        </w:tc>
        <w:tc>
          <w:tcPr>
            <w:tcW w:w="3451" w:type="pct"/>
            <w:vAlign w:val="center"/>
          </w:tcPr>
          <w:p w14:paraId="3AED2F81">
            <w:pPr>
              <w:pStyle w:val="49"/>
              <w:keepNext w:val="0"/>
              <w:keepLines w:val="0"/>
              <w:pageBreakBefore w:val="0"/>
              <w:widowControl w:val="0"/>
              <w:kinsoku/>
              <w:wordWrap/>
              <w:overflowPunct/>
              <w:topLinePunct w:val="0"/>
              <w:autoSpaceDE/>
              <w:autoSpaceDN/>
              <w:bidi w:val="0"/>
              <w:adjustRightInd/>
              <w:snapToGrid/>
              <w:spacing w:before="0" w:after="100" w:line="240"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预算金额（元）：</w:t>
            </w:r>
            <w:r>
              <w:rPr>
                <w:rFonts w:hint="eastAsia" w:ascii="仿宋" w:hAnsi="仿宋" w:eastAsia="仿宋" w:cs="仿宋"/>
                <w:b w:val="0"/>
                <w:bCs w:val="0"/>
                <w:color w:val="auto"/>
                <w:sz w:val="24"/>
                <w:szCs w:val="24"/>
                <w:highlight w:val="none"/>
                <w:lang w:val="en-US" w:eastAsia="zh-CN"/>
              </w:rPr>
              <w:t>包1：954360.00；包2：1342880.00；包3：880385.00；包4：706145.00；包5：1049180.00；包6：1205270.00；包7：1759340.00；包8：1100165.00</w:t>
            </w:r>
          </w:p>
          <w:p w14:paraId="766CD9CF">
            <w:pPr>
              <w:pStyle w:val="49"/>
              <w:keepNext w:val="0"/>
              <w:keepLines w:val="0"/>
              <w:pageBreakBefore w:val="0"/>
              <w:widowControl w:val="0"/>
              <w:kinsoku/>
              <w:wordWrap/>
              <w:overflowPunct/>
              <w:topLinePunct w:val="0"/>
              <w:autoSpaceDE/>
              <w:autoSpaceDN/>
              <w:bidi w:val="0"/>
              <w:adjustRightInd/>
              <w:snapToGrid/>
              <w:spacing w:before="0" w:after="100" w:line="240"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最高限价（元）：</w:t>
            </w:r>
            <w:r>
              <w:rPr>
                <w:rFonts w:hint="eastAsia" w:ascii="仿宋" w:hAnsi="仿宋" w:eastAsia="仿宋" w:cs="仿宋"/>
                <w:b w:val="0"/>
                <w:bCs w:val="0"/>
                <w:color w:val="auto"/>
                <w:sz w:val="24"/>
                <w:szCs w:val="24"/>
                <w:highlight w:val="none"/>
                <w:lang w:val="en-US" w:eastAsia="zh-CN"/>
              </w:rPr>
              <w:t>包1：954360.00；包2：1342880.00；包3：880385.00；包4：706145.00；包5：1049180.00；包6：1205270.00；包7：1759340.00；包8：1100165.00。</w:t>
            </w:r>
          </w:p>
          <w:p w14:paraId="548B29F3">
            <w:pPr>
              <w:pStyle w:val="49"/>
              <w:keepNext w:val="0"/>
              <w:keepLines w:val="0"/>
              <w:pageBreakBefore w:val="0"/>
              <w:widowControl w:val="0"/>
              <w:kinsoku/>
              <w:wordWrap/>
              <w:overflowPunct/>
              <w:topLinePunct w:val="0"/>
              <w:autoSpaceDE/>
              <w:autoSpaceDN/>
              <w:bidi w:val="0"/>
              <w:adjustRightInd/>
              <w:snapToGrid/>
              <w:spacing w:before="0" w:after="100" w:line="240" w:lineRule="auto"/>
              <w:jc w:val="left"/>
              <w:textAlignment w:val="auto"/>
              <w:rPr>
                <w:rFonts w:hint="default" w:ascii="仿宋" w:hAnsi="仿宋" w:eastAsia="仿宋" w:cs="仿宋"/>
                <w:b w:val="0"/>
                <w:bCs w:val="0"/>
                <w:color w:val="auto"/>
                <w:sz w:val="24"/>
                <w:szCs w:val="24"/>
                <w:highlight w:val="none"/>
                <w:lang w:val="en-US"/>
              </w:rPr>
            </w:pPr>
            <w:r>
              <w:rPr>
                <w:rFonts w:hint="eastAsia" w:ascii="仿宋" w:hAnsi="仿宋" w:eastAsia="仿宋" w:cs="仿宋"/>
                <w:color w:val="auto"/>
                <w:sz w:val="24"/>
                <w:highlight w:val="none"/>
                <w:lang w:val="en-US" w:eastAsia="zh-CN"/>
              </w:rPr>
              <w:t>焊缝X射线探伤检测最高限价为 55 元/张，超声波探伤最高限价为37元/米。超声波探伤报价不计入投标总价并不参与价格分评审。</w:t>
            </w:r>
          </w:p>
          <w:p w14:paraId="48F3001F">
            <w:pPr>
              <w:pStyle w:val="49"/>
              <w:keepNext w:val="0"/>
              <w:keepLines w:val="0"/>
              <w:pageBreakBefore w:val="0"/>
              <w:widowControl w:val="0"/>
              <w:kinsoku/>
              <w:wordWrap/>
              <w:overflowPunct/>
              <w:topLinePunct w:val="0"/>
              <w:autoSpaceDE/>
              <w:autoSpaceDN/>
              <w:bidi w:val="0"/>
              <w:adjustRightInd/>
              <w:snapToGrid/>
              <w:spacing w:before="0" w:after="100" w:line="240" w:lineRule="auto"/>
              <w:jc w:val="left"/>
              <w:textAlignment w:val="auto"/>
              <w:rPr>
                <w:rFonts w:ascii="仿宋" w:hAnsi="仿宋" w:eastAsia="仿宋" w:cs="仿宋"/>
                <w:color w:val="auto"/>
                <w:sz w:val="24"/>
                <w:highlight w:val="none"/>
              </w:rPr>
            </w:pPr>
            <w:r>
              <w:rPr>
                <w:rFonts w:hint="eastAsia" w:ascii="仿宋" w:hAnsi="仿宋" w:eastAsia="仿宋" w:cs="仿宋"/>
                <w:b w:val="0"/>
                <w:bCs w:val="0"/>
                <w:color w:val="auto"/>
                <w:sz w:val="24"/>
                <w:szCs w:val="24"/>
                <w:highlight w:val="none"/>
              </w:rPr>
              <w:t>注：投标人的投标报价不得超过</w:t>
            </w:r>
            <w:r>
              <w:rPr>
                <w:rFonts w:hint="eastAsia" w:ascii="仿宋" w:hAnsi="仿宋" w:eastAsia="仿宋" w:cs="仿宋"/>
                <w:b w:val="0"/>
                <w:bCs w:val="0"/>
                <w:color w:val="auto"/>
                <w:sz w:val="24"/>
                <w:szCs w:val="24"/>
                <w:highlight w:val="none"/>
                <w:lang w:eastAsia="zh-CN"/>
              </w:rPr>
              <w:t>最高限价</w:t>
            </w:r>
            <w:r>
              <w:rPr>
                <w:rFonts w:hint="eastAsia" w:ascii="仿宋" w:hAnsi="仿宋" w:eastAsia="仿宋" w:cs="仿宋"/>
                <w:b w:val="0"/>
                <w:bCs w:val="0"/>
                <w:color w:val="auto"/>
                <w:sz w:val="24"/>
                <w:szCs w:val="24"/>
                <w:highlight w:val="none"/>
              </w:rPr>
              <w:t>，否则投标无效。</w:t>
            </w:r>
          </w:p>
        </w:tc>
      </w:tr>
      <w:tr w14:paraId="7B38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Align w:val="center"/>
          </w:tcPr>
          <w:p w14:paraId="1F7DA716">
            <w:pPr>
              <w:pageBreakBefore w:val="0"/>
              <w:kinsoku/>
              <w:overflowPunct/>
              <w:bidi w:val="0"/>
              <w:adjustRightInd/>
              <w:snapToGrid/>
              <w:spacing w:line="24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1187" w:type="pct"/>
            <w:vAlign w:val="center"/>
          </w:tcPr>
          <w:p w14:paraId="197585D7">
            <w:pPr>
              <w:pageBreakBefore w:val="0"/>
              <w:kinsoku/>
              <w:overflowPunct/>
              <w:bidi w:val="0"/>
              <w:adjustRightInd/>
              <w:snapToGrid/>
              <w:spacing w:line="24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是否允许联合体投标</w:t>
            </w:r>
          </w:p>
        </w:tc>
        <w:tc>
          <w:tcPr>
            <w:tcW w:w="3451" w:type="pct"/>
            <w:vAlign w:val="center"/>
          </w:tcPr>
          <w:p w14:paraId="793E4B72">
            <w:pPr>
              <w:pStyle w:val="20"/>
              <w:pageBreakBefore w:val="0"/>
              <w:kinsoku/>
              <w:overflowPunct/>
              <w:bidi w:val="0"/>
              <w:adjustRightInd/>
              <w:snapToGrid/>
              <w:spacing w:line="240" w:lineRule="auto"/>
              <w:rPr>
                <w:rFonts w:ascii="仿宋" w:hAnsi="仿宋" w:eastAsia="仿宋" w:cs="仿宋"/>
                <w:bCs/>
                <w:color w:val="auto"/>
                <w:sz w:val="24"/>
                <w:szCs w:val="24"/>
                <w:highlight w:val="none"/>
              </w:rPr>
            </w:pPr>
            <w:r>
              <w:rPr>
                <w:rFonts w:hint="eastAsia" w:ascii="仿宋" w:hAnsi="仿宋" w:eastAsia="仿宋" w:cs="仿宋"/>
                <w:bCs/>
                <w:color w:val="auto"/>
                <w:sz w:val="24"/>
                <w:highlight w:val="none"/>
              </w:rPr>
              <w:t>否</w:t>
            </w:r>
          </w:p>
        </w:tc>
      </w:tr>
      <w:tr w14:paraId="1815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Align w:val="center"/>
          </w:tcPr>
          <w:p w14:paraId="2ACF0EDB">
            <w:pPr>
              <w:pageBreakBefore w:val="0"/>
              <w:kinsoku/>
              <w:overflowPunct/>
              <w:bidi w:val="0"/>
              <w:adjustRightInd/>
              <w:snapToGrid/>
              <w:spacing w:line="24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1187" w:type="pct"/>
            <w:vAlign w:val="center"/>
          </w:tcPr>
          <w:p w14:paraId="4B163409">
            <w:pPr>
              <w:pageBreakBefore w:val="0"/>
              <w:kinsoku/>
              <w:overflowPunct/>
              <w:bidi w:val="0"/>
              <w:adjustRightInd/>
              <w:snapToGrid/>
              <w:spacing w:line="240" w:lineRule="auto"/>
              <w:ind w:left="-101" w:leftChars="-48" w:right="-94" w:rightChars="-45" w:firstLine="132" w:firstLineChars="55"/>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投标人应提交的资格证明文件</w:t>
            </w:r>
          </w:p>
        </w:tc>
        <w:tc>
          <w:tcPr>
            <w:tcW w:w="3451" w:type="pct"/>
            <w:vAlign w:val="center"/>
          </w:tcPr>
          <w:p w14:paraId="42C49C01">
            <w:pPr>
              <w:pStyle w:val="48"/>
              <w:keepNext w:val="0"/>
              <w:keepLines w:val="0"/>
              <w:pageBreakBefore w:val="0"/>
              <w:widowControl w:val="0"/>
              <w:kinsoku/>
              <w:wordWrap/>
              <w:overflowPunct/>
              <w:topLinePunct w:val="0"/>
              <w:autoSpaceDE/>
              <w:autoSpaceDN/>
              <w:bidi w:val="0"/>
              <w:adjustRightInd/>
              <w:snapToGrid/>
              <w:spacing w:before="100" w:line="24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r>
              <w:rPr>
                <w:rFonts w:hint="eastAsia" w:ascii="仿宋" w:hAnsi="仿宋" w:eastAsia="仿宋" w:cs="仿宋"/>
                <w:color w:val="auto"/>
                <w:sz w:val="24"/>
                <w:szCs w:val="24"/>
                <w:highlight w:val="none"/>
                <w:lang w:val="en-US" w:eastAsia="zh-CN"/>
              </w:rPr>
              <w:t>的承诺函</w:t>
            </w:r>
            <w:r>
              <w:rPr>
                <w:rFonts w:hint="eastAsia" w:ascii="仿宋" w:hAnsi="仿宋" w:eastAsia="仿宋" w:cs="仿宋"/>
                <w:color w:val="auto"/>
                <w:kern w:val="2"/>
                <w:sz w:val="24"/>
                <w:szCs w:val="24"/>
                <w:highlight w:val="none"/>
                <w:lang w:val="en-US" w:eastAsia="zh-CN" w:bidi="ar-SA"/>
              </w:rPr>
              <w:t>（见‘投标文件格式’）；</w:t>
            </w:r>
          </w:p>
          <w:p w14:paraId="7E40BCFA">
            <w:pPr>
              <w:pStyle w:val="48"/>
              <w:pageBreakBefore w:val="0"/>
              <w:kinsoku/>
              <w:overflowPunct/>
              <w:bidi w:val="0"/>
              <w:adjustRightInd/>
              <w:snapToGrid/>
              <w:spacing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kern w:val="2"/>
                <w:sz w:val="24"/>
                <w:szCs w:val="24"/>
                <w:highlight w:val="none"/>
                <w:lang w:val="en-US" w:eastAsia="zh-CN" w:bidi="ar-SA"/>
              </w:rPr>
              <w:t>具有良好的商业信誉和健全的财务会计制度的承诺函</w:t>
            </w: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w:t>
            </w:r>
          </w:p>
          <w:p w14:paraId="7C022CE6">
            <w:pPr>
              <w:pStyle w:val="48"/>
              <w:pageBreakBefore w:val="0"/>
              <w:kinsoku/>
              <w:overflowPunct/>
              <w:bidi w:val="0"/>
              <w:adjustRightInd/>
              <w:snapToGrid/>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lang w:val="en-US" w:eastAsia="zh-CN" w:bidi="ar-SA"/>
              </w:rPr>
              <w:t>具有履行合同所必需的设备和专业技术能力的承诺函</w:t>
            </w: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rPr>
              <w:t>格式’）；</w:t>
            </w:r>
          </w:p>
          <w:p w14:paraId="00B4CD86">
            <w:pPr>
              <w:pStyle w:val="48"/>
              <w:pageBreakBefore w:val="0"/>
              <w:kinsoku/>
              <w:overflowPunct/>
              <w:bidi w:val="0"/>
              <w:adjustRightInd/>
              <w:snapToGrid/>
              <w:spacing w:line="240" w:lineRule="auto"/>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kern w:val="2"/>
                <w:sz w:val="24"/>
                <w:szCs w:val="24"/>
                <w:highlight w:val="none"/>
                <w:lang w:val="en-US" w:eastAsia="zh-CN" w:bidi="ar-SA"/>
              </w:rPr>
              <w:t>有依法缴纳税收和社会保障资金的良好记录的承诺函</w:t>
            </w: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eastAsia="zh-CN"/>
              </w:rPr>
              <w:t>；</w:t>
            </w:r>
          </w:p>
          <w:p w14:paraId="7776C501">
            <w:pPr>
              <w:pStyle w:val="48"/>
              <w:pageBreakBefore w:val="0"/>
              <w:kinsoku/>
              <w:overflowPunct/>
              <w:bidi w:val="0"/>
              <w:adjustRightInd/>
              <w:snapToGrid/>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kern w:val="2"/>
                <w:sz w:val="24"/>
                <w:szCs w:val="24"/>
                <w:highlight w:val="none"/>
                <w:lang w:val="en-US" w:eastAsia="zh-CN" w:bidi="ar-SA"/>
              </w:rPr>
              <w:t>参加采购活动前三年内，在经营活动中没有重大违法记录的承诺函</w:t>
            </w: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rPr>
              <w:t>格式’）；</w:t>
            </w:r>
          </w:p>
          <w:p w14:paraId="2CEBB3FC">
            <w:pPr>
              <w:pStyle w:val="48"/>
              <w:pageBreakBefore w:val="0"/>
              <w:kinsoku/>
              <w:overflowPunct/>
              <w:bidi w:val="0"/>
              <w:adjustRightInd/>
              <w:snapToGrid/>
              <w:spacing w:line="240" w:lineRule="auto"/>
              <w:ind w:firstLine="0" w:firstLine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rPr>
              <w:t>6</w:t>
            </w:r>
            <w:r>
              <w:rPr>
                <w:rFonts w:hint="eastAsia" w:ascii="仿宋" w:hAnsi="仿宋" w:eastAsia="仿宋" w:cs="仿宋"/>
                <w:b w:val="0"/>
                <w:bCs w:val="0"/>
                <w:color w:val="auto"/>
                <w:sz w:val="24"/>
                <w:szCs w:val="24"/>
                <w:highlight w:val="none"/>
                <w:lang w:val="en-US" w:eastAsia="zh-CN"/>
              </w:rPr>
              <w:t>.单位负责人为同一人或者存在直接控股、管理关系的不同投标人，不得参加同一合同项下的政府招标活动的承诺函</w:t>
            </w: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rPr>
              <w:t>格式’）</w:t>
            </w:r>
          </w:p>
          <w:p w14:paraId="17B5142F">
            <w:pPr>
              <w:pStyle w:val="48"/>
              <w:pageBreakBefore w:val="0"/>
              <w:kinsoku/>
              <w:overflowPunct/>
              <w:bidi w:val="0"/>
              <w:adjustRightInd/>
              <w:snapToGrid/>
              <w:spacing w:line="240" w:lineRule="auto"/>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7.投标人廉洁自律承诺书</w:t>
            </w: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rPr>
              <w:t>格式’）</w:t>
            </w:r>
            <w:r>
              <w:rPr>
                <w:rFonts w:hint="eastAsia" w:ascii="仿宋" w:hAnsi="仿宋" w:eastAsia="仿宋" w:cs="仿宋"/>
                <w:color w:val="auto"/>
                <w:kern w:val="2"/>
                <w:sz w:val="24"/>
                <w:szCs w:val="24"/>
                <w:highlight w:val="none"/>
                <w:lang w:val="en-US" w:eastAsia="zh-CN" w:bidi="ar-SA"/>
              </w:rPr>
              <w:t>；</w:t>
            </w:r>
          </w:p>
          <w:p w14:paraId="2F39AE4A">
            <w:pPr>
              <w:pageBreakBefore w:val="0"/>
              <w:kinsoku/>
              <w:overflowPunct/>
              <w:bidi w:val="0"/>
              <w:adjustRightInd/>
              <w:snapToGrid/>
              <w:spacing w:line="24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8.投标人应具备法律、行政法规规定的其他条件：中小企业</w:t>
            </w:r>
          </w:p>
          <w:p w14:paraId="687C26EA">
            <w:pPr>
              <w:pageBreakBefore w:val="0"/>
              <w:kinsoku/>
              <w:overflowPunct/>
              <w:bidi w:val="0"/>
              <w:adjustRightInd/>
              <w:snapToGrid/>
              <w:spacing w:line="24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9.本项目的特定资格要</w:t>
            </w:r>
            <w:r>
              <w:rPr>
                <w:rFonts w:hint="eastAsia" w:ascii="仿宋" w:hAnsi="仿宋" w:eastAsia="仿宋" w:cs="仿宋"/>
                <w:color w:val="auto"/>
                <w:kern w:val="2"/>
                <w:sz w:val="24"/>
                <w:szCs w:val="24"/>
                <w:highlight w:val="none"/>
                <w:lang w:val="en-US" w:eastAsia="zh-CN" w:bidi="ar-SA"/>
              </w:rPr>
              <w:t>求：包1、2、3、4、5、6、7、8，投</w:t>
            </w:r>
            <w:r>
              <w:rPr>
                <w:rFonts w:hint="eastAsia" w:ascii="仿宋" w:hAnsi="仿宋" w:eastAsia="仿宋" w:cs="仿宋"/>
                <w:color w:val="auto"/>
                <w:sz w:val="24"/>
                <w:highlight w:val="none"/>
                <w:lang w:val="en-US" w:eastAsia="zh-CN"/>
              </w:rPr>
              <w:t>标人须具有市场监督管理部门颁发的特种设备检验检测机构核准证(CG-常规检测)，中国特种设备检验协会特种设备无损检测机构级别评定证书(C级及以上)，辐射安全许可证；拟派项目负责人应为本单位在职注册人员，提供人员社保凭证，须具备Ⅱ级及以上无损检测人员证（持证4年以上，同时具备RT、UT、PT、MT）。。</w:t>
            </w:r>
          </w:p>
          <w:p w14:paraId="5BF0A7DD">
            <w:pPr>
              <w:pStyle w:val="48"/>
              <w:pageBreakBefore w:val="0"/>
              <w:kinsoku/>
              <w:overflowPunct/>
              <w:bidi w:val="0"/>
              <w:adjustRightInd/>
              <w:snapToGrid/>
              <w:spacing w:line="24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10.投标</w:t>
            </w:r>
            <w:r>
              <w:rPr>
                <w:rFonts w:hint="eastAsia" w:ascii="仿宋" w:hAnsi="仿宋" w:eastAsia="仿宋" w:cs="仿宋"/>
                <w:color w:val="auto"/>
                <w:sz w:val="24"/>
                <w:highlight w:val="none"/>
              </w:rPr>
              <w:t>保证金</w:t>
            </w:r>
            <w:r>
              <w:rPr>
                <w:rFonts w:hint="eastAsia" w:ascii="仿宋" w:hAnsi="仿宋" w:eastAsia="仿宋" w:cs="仿宋"/>
                <w:color w:val="auto"/>
                <w:sz w:val="24"/>
                <w:highlight w:val="none"/>
                <w:lang w:val="en-US" w:eastAsia="zh-CN"/>
              </w:rPr>
              <w:t>提交</w:t>
            </w:r>
            <w:r>
              <w:rPr>
                <w:rFonts w:hint="eastAsia" w:ascii="仿宋" w:hAnsi="仿宋" w:eastAsia="仿宋" w:cs="仿宋"/>
                <w:color w:val="auto"/>
                <w:sz w:val="24"/>
                <w:highlight w:val="none"/>
              </w:rPr>
              <w:t>凭证（</w:t>
            </w:r>
            <w:r>
              <w:rPr>
                <w:rFonts w:hint="eastAsia" w:ascii="仿宋" w:hAnsi="仿宋" w:eastAsia="仿宋" w:cs="仿宋"/>
                <w:color w:val="auto"/>
                <w:sz w:val="24"/>
                <w:highlight w:val="none"/>
                <w:lang w:eastAsia="zh-CN"/>
              </w:rPr>
              <w:t>影印件或扫描件</w:t>
            </w:r>
            <w:r>
              <w:rPr>
                <w:rFonts w:hint="eastAsia" w:ascii="仿宋" w:hAnsi="仿宋" w:eastAsia="仿宋" w:cs="仿宋"/>
                <w:color w:val="auto"/>
                <w:sz w:val="24"/>
                <w:highlight w:val="none"/>
              </w:rPr>
              <w:t>须加盖</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公章）。</w:t>
            </w:r>
          </w:p>
          <w:p w14:paraId="0A4CA033">
            <w:pPr>
              <w:pStyle w:val="48"/>
              <w:pageBreakBefore w:val="0"/>
              <w:kinsoku/>
              <w:overflowPunct/>
              <w:bidi w:val="0"/>
              <w:adjustRightInd/>
              <w:snapToGrid/>
              <w:spacing w:line="24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投标保证金金额及提交要求：银行汇款和支票、转账、保函</w:t>
            </w:r>
          </w:p>
          <w:p w14:paraId="57A5967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包1：</w:t>
            </w:r>
            <w:r>
              <w:rPr>
                <w:rFonts w:hint="eastAsia" w:ascii="仿宋" w:hAnsi="仿宋" w:eastAsia="仿宋" w:cs="仿宋"/>
                <w:bCs/>
                <w:color w:val="000000" w:themeColor="text1"/>
                <w:sz w:val="24"/>
                <w:highlight w:val="none"/>
                <w14:textFill>
                  <w14:solidFill>
                    <w14:schemeClr w14:val="tx1"/>
                  </w14:solidFill>
                </w14:textFill>
              </w:rPr>
              <w:t>人民币（大写）</w:t>
            </w:r>
            <w:r>
              <w:rPr>
                <w:rFonts w:hint="eastAsia" w:ascii="仿宋" w:hAnsi="仿宋" w:eastAsia="仿宋" w:cs="仿宋"/>
                <w:bCs/>
                <w:color w:val="000000" w:themeColor="text1"/>
                <w:sz w:val="24"/>
                <w:highlight w:val="none"/>
                <w:lang w:val="en-US" w:eastAsia="zh-CN"/>
                <w14:textFill>
                  <w14:solidFill>
                    <w14:schemeClr w14:val="tx1"/>
                  </w14:solidFill>
                </w14:textFill>
              </w:rPr>
              <w:t>玖仟伍佰元整</w:t>
            </w:r>
          </w:p>
          <w:p w14:paraId="0D168FE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（小写）</w:t>
            </w:r>
            <w:r>
              <w:rPr>
                <w:rFonts w:hint="eastAsia" w:ascii="仿宋" w:hAnsi="仿宋" w:eastAsia="仿宋" w:cs="仿宋"/>
                <w:bCs/>
                <w:color w:val="000000" w:themeColor="text1"/>
                <w:sz w:val="24"/>
                <w:highlight w:val="none"/>
                <w:lang w:val="en-US" w:eastAsia="zh-CN"/>
                <w14:textFill>
                  <w14:solidFill>
                    <w14:schemeClr w14:val="tx1"/>
                  </w14:solidFill>
                </w14:textFill>
              </w:rPr>
              <w:t xml:space="preserve">¥9500元 </w:t>
            </w:r>
          </w:p>
          <w:p w14:paraId="417F8DC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包2：</w:t>
            </w:r>
            <w:r>
              <w:rPr>
                <w:rFonts w:hint="eastAsia" w:ascii="仿宋" w:hAnsi="仿宋" w:eastAsia="仿宋" w:cs="仿宋"/>
                <w:bCs/>
                <w:color w:val="000000" w:themeColor="text1"/>
                <w:sz w:val="24"/>
                <w:highlight w:val="none"/>
                <w14:textFill>
                  <w14:solidFill>
                    <w14:schemeClr w14:val="tx1"/>
                  </w14:solidFill>
                </w14:textFill>
              </w:rPr>
              <w:t>人民币（大写）</w:t>
            </w:r>
            <w:r>
              <w:rPr>
                <w:rFonts w:hint="eastAsia" w:ascii="仿宋" w:hAnsi="仿宋" w:eastAsia="仿宋" w:cs="仿宋"/>
                <w:bCs/>
                <w:color w:val="000000" w:themeColor="text1"/>
                <w:sz w:val="24"/>
                <w:highlight w:val="none"/>
                <w:lang w:val="en-US" w:eastAsia="zh-CN"/>
                <w14:textFill>
                  <w14:solidFill>
                    <w14:schemeClr w14:val="tx1"/>
                  </w14:solidFill>
                </w14:textFill>
              </w:rPr>
              <w:t>壹万叁仟元整</w:t>
            </w:r>
          </w:p>
          <w:p w14:paraId="173CA74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FF0000"/>
                <w:sz w:val="24"/>
                <w:highlight w:val="none"/>
                <w:lang w:val="en-US" w:eastAsia="zh-CN"/>
              </w:rPr>
            </w:pPr>
            <w:r>
              <w:rPr>
                <w:rFonts w:hint="eastAsia" w:ascii="仿宋" w:hAnsi="仿宋" w:eastAsia="仿宋" w:cs="仿宋"/>
                <w:bCs/>
                <w:color w:val="000000" w:themeColor="text1"/>
                <w:sz w:val="24"/>
                <w:highlight w:val="none"/>
                <w14:textFill>
                  <w14:solidFill>
                    <w14:schemeClr w14:val="tx1"/>
                  </w14:solidFill>
                </w14:textFill>
              </w:rPr>
              <w:t>（小写）</w:t>
            </w:r>
            <w:r>
              <w:rPr>
                <w:rFonts w:hint="eastAsia" w:ascii="仿宋" w:hAnsi="仿宋" w:eastAsia="仿宋" w:cs="仿宋"/>
                <w:bCs/>
                <w:color w:val="000000" w:themeColor="text1"/>
                <w:sz w:val="24"/>
                <w:highlight w:val="none"/>
                <w:lang w:val="en-US" w:eastAsia="zh-CN"/>
                <w14:textFill>
                  <w14:solidFill>
                    <w14:schemeClr w14:val="tx1"/>
                  </w14:solidFill>
                </w14:textFill>
              </w:rPr>
              <w:t xml:space="preserve">¥13000元 </w:t>
            </w:r>
            <w:r>
              <w:rPr>
                <w:rFonts w:hint="eastAsia" w:ascii="仿宋" w:hAnsi="仿宋" w:eastAsia="仿宋" w:cs="仿宋"/>
                <w:bCs/>
                <w:color w:val="FF0000"/>
                <w:sz w:val="24"/>
                <w:highlight w:val="none"/>
                <w:lang w:val="en-US" w:eastAsia="zh-CN"/>
              </w:rPr>
              <w:t xml:space="preserve"> </w:t>
            </w:r>
          </w:p>
          <w:p w14:paraId="18B1538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包3：</w:t>
            </w:r>
            <w:r>
              <w:rPr>
                <w:rFonts w:hint="eastAsia" w:ascii="仿宋" w:hAnsi="仿宋" w:eastAsia="仿宋" w:cs="仿宋"/>
                <w:bCs/>
                <w:color w:val="000000" w:themeColor="text1"/>
                <w:sz w:val="24"/>
                <w:highlight w:val="none"/>
                <w14:textFill>
                  <w14:solidFill>
                    <w14:schemeClr w14:val="tx1"/>
                  </w14:solidFill>
                </w14:textFill>
              </w:rPr>
              <w:t>人民币（大写）</w:t>
            </w:r>
            <w:r>
              <w:rPr>
                <w:rFonts w:hint="eastAsia" w:ascii="仿宋" w:hAnsi="仿宋" w:eastAsia="仿宋" w:cs="仿宋"/>
                <w:bCs/>
                <w:color w:val="000000" w:themeColor="text1"/>
                <w:sz w:val="24"/>
                <w:highlight w:val="none"/>
                <w:lang w:val="en-US" w:eastAsia="zh-CN"/>
                <w14:textFill>
                  <w14:solidFill>
                    <w14:schemeClr w14:val="tx1"/>
                  </w14:solidFill>
                </w14:textFill>
              </w:rPr>
              <w:t>捌仟捌佰元整</w:t>
            </w:r>
          </w:p>
          <w:p w14:paraId="73A74A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（小写）</w:t>
            </w:r>
            <w:r>
              <w:rPr>
                <w:rFonts w:hint="eastAsia" w:ascii="仿宋" w:hAnsi="仿宋" w:eastAsia="仿宋" w:cs="仿宋"/>
                <w:bCs/>
                <w:color w:val="000000" w:themeColor="text1"/>
                <w:sz w:val="24"/>
                <w:highlight w:val="none"/>
                <w:lang w:val="en-US" w:eastAsia="zh-CN"/>
                <w14:textFill>
                  <w14:solidFill>
                    <w14:schemeClr w14:val="tx1"/>
                  </w14:solidFill>
                </w14:textFill>
              </w:rPr>
              <w:t xml:space="preserve">¥8800元 </w:t>
            </w:r>
          </w:p>
          <w:p w14:paraId="69A74C3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包4：</w:t>
            </w:r>
            <w:r>
              <w:rPr>
                <w:rFonts w:hint="eastAsia" w:ascii="仿宋" w:hAnsi="仿宋" w:eastAsia="仿宋" w:cs="仿宋"/>
                <w:bCs/>
                <w:color w:val="000000" w:themeColor="text1"/>
                <w:sz w:val="24"/>
                <w:highlight w:val="none"/>
                <w14:textFill>
                  <w14:solidFill>
                    <w14:schemeClr w14:val="tx1"/>
                  </w14:solidFill>
                </w14:textFill>
              </w:rPr>
              <w:t>人民币（大写）</w:t>
            </w:r>
            <w:r>
              <w:rPr>
                <w:rFonts w:hint="eastAsia" w:ascii="仿宋" w:hAnsi="仿宋" w:eastAsia="仿宋" w:cs="仿宋"/>
                <w:bCs/>
                <w:color w:val="000000" w:themeColor="text1"/>
                <w:sz w:val="24"/>
                <w:highlight w:val="none"/>
                <w:lang w:val="en-US" w:eastAsia="zh-CN"/>
                <w14:textFill>
                  <w14:solidFill>
                    <w14:schemeClr w14:val="tx1"/>
                  </w14:solidFill>
                </w14:textFill>
              </w:rPr>
              <w:t>柒仟元整</w:t>
            </w:r>
          </w:p>
          <w:p w14:paraId="1768F05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（小写）</w:t>
            </w:r>
            <w:r>
              <w:rPr>
                <w:rFonts w:hint="eastAsia" w:ascii="仿宋" w:hAnsi="仿宋" w:eastAsia="仿宋" w:cs="仿宋"/>
                <w:bCs/>
                <w:color w:val="000000" w:themeColor="text1"/>
                <w:sz w:val="24"/>
                <w:highlight w:val="none"/>
                <w:lang w:val="en-US" w:eastAsia="zh-CN"/>
                <w14:textFill>
                  <w14:solidFill>
                    <w14:schemeClr w14:val="tx1"/>
                  </w14:solidFill>
                </w14:textFill>
              </w:rPr>
              <w:t>¥7000元</w:t>
            </w:r>
          </w:p>
          <w:p w14:paraId="6410837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包5：</w:t>
            </w:r>
            <w:r>
              <w:rPr>
                <w:rFonts w:hint="eastAsia" w:ascii="仿宋" w:hAnsi="仿宋" w:eastAsia="仿宋" w:cs="仿宋"/>
                <w:bCs/>
                <w:color w:val="000000" w:themeColor="text1"/>
                <w:sz w:val="24"/>
                <w:highlight w:val="none"/>
                <w14:textFill>
                  <w14:solidFill>
                    <w14:schemeClr w14:val="tx1"/>
                  </w14:solidFill>
                </w14:textFill>
              </w:rPr>
              <w:t>人民币（大写）</w:t>
            </w:r>
            <w:r>
              <w:rPr>
                <w:rFonts w:hint="eastAsia" w:ascii="仿宋" w:hAnsi="仿宋" w:eastAsia="仿宋" w:cs="仿宋"/>
                <w:bCs/>
                <w:color w:val="000000" w:themeColor="text1"/>
                <w:sz w:val="24"/>
                <w:highlight w:val="none"/>
                <w:lang w:val="en-US" w:eastAsia="zh-CN"/>
                <w14:textFill>
                  <w14:solidFill>
                    <w14:schemeClr w14:val="tx1"/>
                  </w14:solidFill>
                </w14:textFill>
              </w:rPr>
              <w:t>壹万元整</w:t>
            </w:r>
          </w:p>
          <w:p w14:paraId="2872C6F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（小写）</w:t>
            </w:r>
            <w:r>
              <w:rPr>
                <w:rFonts w:hint="eastAsia" w:ascii="仿宋" w:hAnsi="仿宋" w:eastAsia="仿宋" w:cs="仿宋"/>
                <w:bCs/>
                <w:color w:val="000000" w:themeColor="text1"/>
                <w:sz w:val="24"/>
                <w:highlight w:val="none"/>
                <w:lang w:val="en-US" w:eastAsia="zh-CN"/>
                <w14:textFill>
                  <w14:solidFill>
                    <w14:schemeClr w14:val="tx1"/>
                  </w14:solidFill>
                </w14:textFill>
              </w:rPr>
              <w:t>¥10000元</w:t>
            </w:r>
          </w:p>
          <w:p w14:paraId="18AD456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包6：</w:t>
            </w:r>
            <w:r>
              <w:rPr>
                <w:rFonts w:hint="eastAsia" w:ascii="仿宋" w:hAnsi="仿宋" w:eastAsia="仿宋" w:cs="仿宋"/>
                <w:bCs/>
                <w:color w:val="000000" w:themeColor="text1"/>
                <w:sz w:val="24"/>
                <w:highlight w:val="none"/>
                <w14:textFill>
                  <w14:solidFill>
                    <w14:schemeClr w14:val="tx1"/>
                  </w14:solidFill>
                </w14:textFill>
              </w:rPr>
              <w:t>人民币（大写）</w:t>
            </w:r>
            <w:r>
              <w:rPr>
                <w:rFonts w:hint="eastAsia" w:ascii="仿宋" w:hAnsi="仿宋" w:eastAsia="仿宋" w:cs="仿宋"/>
                <w:bCs/>
                <w:color w:val="000000" w:themeColor="text1"/>
                <w:sz w:val="24"/>
                <w:highlight w:val="none"/>
                <w:lang w:val="en-US" w:eastAsia="zh-CN"/>
                <w14:textFill>
                  <w14:solidFill>
                    <w14:schemeClr w14:val="tx1"/>
                  </w14:solidFill>
                </w14:textFill>
              </w:rPr>
              <w:t>壹万贰仟元整</w:t>
            </w:r>
          </w:p>
          <w:p w14:paraId="147EF7D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（小写）</w:t>
            </w:r>
            <w:r>
              <w:rPr>
                <w:rFonts w:hint="eastAsia" w:ascii="仿宋" w:hAnsi="仿宋" w:eastAsia="仿宋" w:cs="仿宋"/>
                <w:bCs/>
                <w:color w:val="000000" w:themeColor="text1"/>
                <w:sz w:val="24"/>
                <w:highlight w:val="none"/>
                <w:lang w:val="en-US" w:eastAsia="zh-CN"/>
                <w14:textFill>
                  <w14:solidFill>
                    <w14:schemeClr w14:val="tx1"/>
                  </w14:solidFill>
                </w14:textFill>
              </w:rPr>
              <w:t>¥12000元</w:t>
            </w:r>
          </w:p>
          <w:p w14:paraId="2E12DFC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包7：</w:t>
            </w:r>
            <w:r>
              <w:rPr>
                <w:rFonts w:hint="eastAsia" w:ascii="仿宋" w:hAnsi="仿宋" w:eastAsia="仿宋" w:cs="仿宋"/>
                <w:bCs/>
                <w:color w:val="000000" w:themeColor="text1"/>
                <w:sz w:val="24"/>
                <w:highlight w:val="none"/>
                <w14:textFill>
                  <w14:solidFill>
                    <w14:schemeClr w14:val="tx1"/>
                  </w14:solidFill>
                </w14:textFill>
              </w:rPr>
              <w:t>人民币（大写）</w:t>
            </w:r>
            <w:r>
              <w:rPr>
                <w:rFonts w:hint="eastAsia" w:ascii="仿宋" w:hAnsi="仿宋" w:eastAsia="仿宋" w:cs="仿宋"/>
                <w:bCs/>
                <w:color w:val="000000" w:themeColor="text1"/>
                <w:sz w:val="24"/>
                <w:highlight w:val="none"/>
                <w:lang w:val="en-US" w:eastAsia="zh-CN"/>
                <w14:textFill>
                  <w14:solidFill>
                    <w14:schemeClr w14:val="tx1"/>
                  </w14:solidFill>
                </w14:textFill>
              </w:rPr>
              <w:t>壹万柒仟元整</w:t>
            </w:r>
          </w:p>
          <w:p w14:paraId="16F54EA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（小写）</w:t>
            </w:r>
            <w:r>
              <w:rPr>
                <w:rFonts w:hint="eastAsia" w:ascii="仿宋" w:hAnsi="仿宋" w:eastAsia="仿宋" w:cs="仿宋"/>
                <w:bCs/>
                <w:color w:val="000000" w:themeColor="text1"/>
                <w:sz w:val="24"/>
                <w:highlight w:val="none"/>
                <w:lang w:val="en-US" w:eastAsia="zh-CN"/>
                <w14:textFill>
                  <w14:solidFill>
                    <w14:schemeClr w14:val="tx1"/>
                  </w14:solidFill>
                </w14:textFill>
              </w:rPr>
              <w:t>¥17000元</w:t>
            </w:r>
          </w:p>
          <w:p w14:paraId="507BB5B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包8：</w:t>
            </w:r>
            <w:r>
              <w:rPr>
                <w:rFonts w:hint="eastAsia" w:ascii="仿宋" w:hAnsi="仿宋" w:eastAsia="仿宋" w:cs="仿宋"/>
                <w:bCs/>
                <w:color w:val="000000" w:themeColor="text1"/>
                <w:sz w:val="24"/>
                <w:highlight w:val="none"/>
                <w14:textFill>
                  <w14:solidFill>
                    <w14:schemeClr w14:val="tx1"/>
                  </w14:solidFill>
                </w14:textFill>
              </w:rPr>
              <w:t>人民币（大写）</w:t>
            </w:r>
            <w:r>
              <w:rPr>
                <w:rFonts w:hint="eastAsia" w:ascii="仿宋" w:hAnsi="仿宋" w:eastAsia="仿宋" w:cs="仿宋"/>
                <w:bCs/>
                <w:color w:val="000000" w:themeColor="text1"/>
                <w:sz w:val="24"/>
                <w:highlight w:val="none"/>
                <w:lang w:val="en-US" w:eastAsia="zh-CN"/>
                <w14:textFill>
                  <w14:solidFill>
                    <w14:schemeClr w14:val="tx1"/>
                  </w14:solidFill>
                </w14:textFill>
              </w:rPr>
              <w:t>壹万壹仟元整</w:t>
            </w:r>
          </w:p>
          <w:p w14:paraId="58DFC53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（小写）</w:t>
            </w:r>
            <w:r>
              <w:rPr>
                <w:rFonts w:hint="eastAsia" w:ascii="仿宋" w:hAnsi="仿宋" w:eastAsia="仿宋" w:cs="仿宋"/>
                <w:bCs/>
                <w:color w:val="000000" w:themeColor="text1"/>
                <w:sz w:val="24"/>
                <w:highlight w:val="none"/>
                <w:lang w:val="en-US" w:eastAsia="zh-CN"/>
                <w14:textFill>
                  <w14:solidFill>
                    <w14:schemeClr w14:val="tx1"/>
                  </w14:solidFill>
                </w14:textFill>
              </w:rPr>
              <w:t>¥11000元</w:t>
            </w:r>
          </w:p>
          <w:p w14:paraId="5C024987">
            <w:pPr>
              <w:pStyle w:val="49"/>
              <w:keepNext w:val="0"/>
              <w:keepLines w:val="0"/>
              <w:pageBreakBefore w:val="0"/>
              <w:kinsoku/>
              <w:overflowPunct/>
              <w:bidi w:val="0"/>
              <w:adjustRightInd/>
              <w:snapToGrid/>
              <w:spacing w:before="0" w:after="0" w:line="240" w:lineRule="auto"/>
              <w:ind w:right="-94" w:rightChars="-45"/>
              <w:jc w:val="left"/>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kern w:val="0"/>
                <w:sz w:val="24"/>
                <w:highlight w:val="none"/>
                <w:lang w:eastAsia="zh-CN"/>
                <w14:textFill>
                  <w14:solidFill>
                    <w14:schemeClr w14:val="tx1"/>
                  </w14:solidFill>
                </w14:textFill>
              </w:rPr>
              <w:t>投标人</w:t>
            </w:r>
            <w:r>
              <w:rPr>
                <w:rFonts w:hint="eastAsia" w:ascii="仿宋" w:hAnsi="仿宋" w:eastAsia="仿宋" w:cs="仿宋"/>
                <w:b w:val="0"/>
                <w:color w:val="000000" w:themeColor="text1"/>
                <w:kern w:val="0"/>
                <w:sz w:val="24"/>
                <w:highlight w:val="none"/>
                <w:lang w:val="en-US" w:eastAsia="zh-CN"/>
                <w14:textFill>
                  <w14:solidFill>
                    <w14:schemeClr w14:val="tx1"/>
                  </w14:solidFill>
                </w14:textFill>
              </w:rPr>
              <w:t>在投标文件上传截止时间前</w:t>
            </w:r>
            <w:r>
              <w:rPr>
                <w:rFonts w:hint="eastAsia" w:ascii="仿宋" w:hAnsi="仿宋" w:eastAsia="仿宋" w:cs="仿宋"/>
                <w:b w:val="0"/>
                <w:bCs/>
                <w:color w:val="000000" w:themeColor="text1"/>
                <w:sz w:val="24"/>
                <w:szCs w:val="24"/>
                <w:highlight w:val="none"/>
                <w14:textFill>
                  <w14:solidFill>
                    <w14:schemeClr w14:val="tx1"/>
                  </w14:solidFill>
                </w14:textFill>
              </w:rPr>
              <w:t>，须将</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投标</w:t>
            </w:r>
            <w:r>
              <w:rPr>
                <w:rFonts w:hint="eastAsia" w:ascii="仿宋" w:hAnsi="仿宋" w:eastAsia="仿宋" w:cs="仿宋"/>
                <w:b w:val="0"/>
                <w:bCs/>
                <w:color w:val="000000" w:themeColor="text1"/>
                <w:sz w:val="24"/>
                <w:szCs w:val="24"/>
                <w:highlight w:val="none"/>
                <w14:textFill>
                  <w14:solidFill>
                    <w14:schemeClr w14:val="tx1"/>
                  </w14:solidFill>
                </w14:textFill>
              </w:rPr>
              <w:t>保证金采用支票（或网银转账）、汇票、本票或者金融机构、担保机构出具的保函等非现金形式提交。采用支票提交的，由</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b w:val="0"/>
                <w:bCs/>
                <w:color w:val="000000" w:themeColor="text1"/>
                <w:sz w:val="24"/>
                <w:szCs w:val="24"/>
                <w:highlight w:val="none"/>
                <w14:textFill>
                  <w14:solidFill>
                    <w14:schemeClr w14:val="tx1"/>
                  </w14:solidFill>
                </w14:textFill>
              </w:rPr>
              <w:t>开出（付款行为</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单位</w:t>
            </w:r>
            <w:r>
              <w:rPr>
                <w:rFonts w:hint="eastAsia" w:ascii="仿宋" w:hAnsi="仿宋" w:eastAsia="仿宋" w:cs="仿宋"/>
                <w:b w:val="0"/>
                <w:bCs/>
                <w:color w:val="000000" w:themeColor="text1"/>
                <w:sz w:val="24"/>
                <w:szCs w:val="24"/>
                <w:highlight w:val="none"/>
                <w14:textFill>
                  <w14:solidFill>
                    <w14:schemeClr w14:val="tx1"/>
                  </w14:solidFill>
                </w14:textFill>
              </w:rPr>
              <w:t>账户）；采用网银转账的，由</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b w:val="0"/>
                <w:bCs/>
                <w:color w:val="000000" w:themeColor="text1"/>
                <w:sz w:val="24"/>
                <w:szCs w:val="24"/>
                <w:highlight w:val="none"/>
                <w14:textFill>
                  <w14:solidFill>
                    <w14:schemeClr w14:val="tx1"/>
                  </w14:solidFill>
                </w14:textFill>
              </w:rPr>
              <w:t>通过</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单位</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基本</w:t>
            </w:r>
            <w:r>
              <w:rPr>
                <w:rFonts w:hint="eastAsia" w:ascii="仿宋" w:hAnsi="仿宋" w:eastAsia="仿宋" w:cs="仿宋"/>
                <w:b w:val="0"/>
                <w:bCs/>
                <w:color w:val="000000" w:themeColor="text1"/>
                <w:sz w:val="24"/>
                <w:szCs w:val="24"/>
                <w:highlight w:val="none"/>
                <w14:textFill>
                  <w14:solidFill>
                    <w14:schemeClr w14:val="tx1"/>
                  </w14:solidFill>
                </w14:textFill>
              </w:rPr>
              <w:t>账户网上银行转出；采用汇票、本票提交的，须从</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b w:val="0"/>
                <w:bCs/>
                <w:color w:val="000000" w:themeColor="text1"/>
                <w:sz w:val="24"/>
                <w:szCs w:val="24"/>
                <w:highlight w:val="none"/>
                <w14:textFill>
                  <w14:solidFill>
                    <w14:schemeClr w14:val="tx1"/>
                  </w14:solidFill>
                </w14:textFill>
              </w:rPr>
              <w:t>的</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单位</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基本</w:t>
            </w:r>
            <w:r>
              <w:rPr>
                <w:rFonts w:hint="eastAsia" w:ascii="仿宋" w:hAnsi="仿宋" w:eastAsia="仿宋" w:cs="仿宋"/>
                <w:b w:val="0"/>
                <w:bCs/>
                <w:color w:val="000000" w:themeColor="text1"/>
                <w:sz w:val="24"/>
                <w:szCs w:val="24"/>
                <w:highlight w:val="none"/>
                <w14:textFill>
                  <w14:solidFill>
                    <w14:schemeClr w14:val="tx1"/>
                  </w14:solidFill>
                </w14:textFill>
              </w:rPr>
              <w:t>账户银行开出；采用金融机构出具保函的，由从事金融业有关的金融中介机构开出；采用担保机构出具保函的，由银行或代办</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投标</w:t>
            </w:r>
            <w:r>
              <w:rPr>
                <w:rFonts w:hint="eastAsia" w:ascii="仿宋" w:hAnsi="仿宋" w:eastAsia="仿宋" w:cs="仿宋"/>
                <w:b w:val="0"/>
                <w:bCs/>
                <w:color w:val="000000" w:themeColor="text1"/>
                <w:sz w:val="24"/>
                <w:szCs w:val="24"/>
                <w:highlight w:val="none"/>
                <w14:textFill>
                  <w14:solidFill>
                    <w14:schemeClr w14:val="tx1"/>
                  </w14:solidFill>
                </w14:textFill>
              </w:rPr>
              <w:t>保函的担保公司开出。确保在</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投标</w:t>
            </w:r>
            <w:r>
              <w:rPr>
                <w:rFonts w:hint="eastAsia" w:ascii="仿宋" w:hAnsi="仿宋" w:eastAsia="仿宋" w:cs="仿宋"/>
                <w:b w:val="0"/>
                <w:bCs/>
                <w:color w:val="000000" w:themeColor="text1"/>
                <w:sz w:val="24"/>
                <w:szCs w:val="24"/>
                <w:highlight w:val="none"/>
                <w14:textFill>
                  <w14:solidFill>
                    <w14:schemeClr w14:val="tx1"/>
                  </w14:solidFill>
                </w14:textFill>
              </w:rPr>
              <w:t>文件开启之前</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提交</w:t>
            </w:r>
            <w:r>
              <w:rPr>
                <w:rFonts w:hint="eastAsia" w:ascii="仿宋" w:hAnsi="仿宋" w:eastAsia="仿宋" w:cs="仿宋"/>
                <w:b w:val="0"/>
                <w:bCs/>
                <w:color w:val="000000" w:themeColor="text1"/>
                <w:sz w:val="24"/>
                <w:szCs w:val="24"/>
                <w:highlight w:val="none"/>
                <w14:textFill>
                  <w14:solidFill>
                    <w14:schemeClr w14:val="tx1"/>
                  </w14:solidFill>
                </w14:textFill>
              </w:rPr>
              <w:t>到采购代理机构。</w:t>
            </w:r>
          </w:p>
          <w:p w14:paraId="3CCD92CE">
            <w:pPr>
              <w:pStyle w:val="49"/>
              <w:keepNext w:val="0"/>
              <w:keepLines w:val="0"/>
              <w:pageBreakBefore w:val="0"/>
              <w:kinsoku/>
              <w:overflowPunct/>
              <w:bidi w:val="0"/>
              <w:adjustRightInd/>
              <w:snapToGrid/>
              <w:spacing w:before="0" w:after="0" w:line="240" w:lineRule="auto"/>
              <w:ind w:right="-94" w:rightChars="-45"/>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公司全称：山西交干工程项目管理有限公司</w:t>
            </w:r>
          </w:p>
          <w:p w14:paraId="5BEB7C41">
            <w:pPr>
              <w:pStyle w:val="49"/>
              <w:keepNext w:val="0"/>
              <w:keepLines w:val="0"/>
              <w:pageBreakBefore w:val="0"/>
              <w:kinsoku/>
              <w:overflowPunct/>
              <w:bidi w:val="0"/>
              <w:adjustRightInd/>
              <w:snapToGrid/>
              <w:spacing w:before="0" w:after="0" w:line="240" w:lineRule="auto"/>
              <w:ind w:right="-94" w:rightChars="-45"/>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公司账号：0502124009000061492</w:t>
            </w:r>
          </w:p>
          <w:p w14:paraId="7751040D">
            <w:pPr>
              <w:pStyle w:val="49"/>
              <w:keepNext w:val="0"/>
              <w:keepLines w:val="0"/>
              <w:pageBreakBefore w:val="0"/>
              <w:kinsoku/>
              <w:overflowPunct/>
              <w:bidi w:val="0"/>
              <w:adjustRightInd/>
              <w:snapToGrid/>
              <w:spacing w:before="0" w:after="0" w:line="240" w:lineRule="auto"/>
              <w:ind w:right="-94" w:rightChars="-45"/>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 xml:space="preserve">银行开户行：中国工商银行股份有限公司太原世纪广场支行 </w:t>
            </w:r>
          </w:p>
          <w:p w14:paraId="2FA8E4EF">
            <w:pPr>
              <w:pStyle w:val="49"/>
              <w:keepNext w:val="0"/>
              <w:keepLines w:val="0"/>
              <w:pageBreakBefore w:val="0"/>
              <w:kinsoku/>
              <w:overflowPunct/>
              <w:bidi w:val="0"/>
              <w:adjustRightInd/>
              <w:snapToGrid/>
              <w:spacing w:before="0" w:after="0" w:line="240" w:lineRule="auto"/>
              <w:ind w:right="-94" w:rightChars="-45"/>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银行行号：102161000156</w:t>
            </w:r>
          </w:p>
          <w:p w14:paraId="0B4DBC1C">
            <w:pPr>
              <w:pStyle w:val="49"/>
              <w:keepNext w:val="0"/>
              <w:keepLines w:val="0"/>
              <w:pageBreakBefore w:val="0"/>
              <w:kinsoku/>
              <w:overflowPunct/>
              <w:bidi w:val="0"/>
              <w:adjustRightInd/>
              <w:snapToGrid/>
              <w:spacing w:before="0" w:after="0" w:line="240" w:lineRule="auto"/>
              <w:ind w:right="-94" w:rightChars="-45"/>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未按前述要求提交</w:t>
            </w:r>
            <w:r>
              <w:rPr>
                <w:rFonts w:hint="eastAsia" w:ascii="仿宋" w:hAnsi="仿宋" w:eastAsia="仿宋" w:cs="仿宋"/>
                <w:b w:val="0"/>
                <w:bCs w:val="0"/>
                <w:color w:val="auto"/>
                <w:sz w:val="24"/>
                <w:szCs w:val="24"/>
                <w:highlight w:val="none"/>
                <w:lang w:val="en-US" w:eastAsia="zh-CN"/>
              </w:rPr>
              <w:t>投标</w:t>
            </w:r>
            <w:r>
              <w:rPr>
                <w:rFonts w:hint="eastAsia" w:ascii="仿宋" w:hAnsi="仿宋" w:eastAsia="仿宋" w:cs="仿宋"/>
                <w:b w:val="0"/>
                <w:bCs w:val="0"/>
                <w:color w:val="auto"/>
                <w:sz w:val="24"/>
                <w:szCs w:val="24"/>
                <w:highlight w:val="none"/>
              </w:rPr>
              <w:t>保证金或未足额</w:t>
            </w:r>
            <w:r>
              <w:rPr>
                <w:rFonts w:hint="eastAsia" w:ascii="仿宋" w:hAnsi="仿宋" w:eastAsia="仿宋" w:cs="仿宋"/>
                <w:b w:val="0"/>
                <w:bCs w:val="0"/>
                <w:color w:val="auto"/>
                <w:sz w:val="24"/>
                <w:szCs w:val="24"/>
                <w:highlight w:val="none"/>
                <w:lang w:val="en-US" w:eastAsia="zh-CN"/>
              </w:rPr>
              <w:t>提交投标</w:t>
            </w:r>
            <w:r>
              <w:rPr>
                <w:rFonts w:hint="eastAsia" w:ascii="仿宋" w:hAnsi="仿宋" w:eastAsia="仿宋" w:cs="仿宋"/>
                <w:b w:val="0"/>
                <w:bCs w:val="0"/>
                <w:color w:val="auto"/>
                <w:sz w:val="24"/>
                <w:szCs w:val="24"/>
                <w:highlight w:val="none"/>
              </w:rPr>
              <w:t>保证金的，将被视为无效</w:t>
            </w:r>
            <w:r>
              <w:rPr>
                <w:rFonts w:hint="eastAsia" w:ascii="仿宋" w:hAnsi="仿宋" w:eastAsia="仿宋" w:cs="仿宋"/>
                <w:b w:val="0"/>
                <w:bCs w:val="0"/>
                <w:color w:val="auto"/>
                <w:sz w:val="24"/>
                <w:szCs w:val="24"/>
                <w:highlight w:val="none"/>
                <w:lang w:val="en-US" w:eastAsia="zh-CN"/>
              </w:rPr>
              <w:t>投标</w:t>
            </w:r>
            <w:r>
              <w:rPr>
                <w:rFonts w:hint="eastAsia" w:ascii="仿宋" w:hAnsi="仿宋" w:eastAsia="仿宋" w:cs="仿宋"/>
                <w:b w:val="0"/>
                <w:bCs w:val="0"/>
                <w:color w:val="auto"/>
                <w:sz w:val="24"/>
                <w:szCs w:val="24"/>
                <w:highlight w:val="none"/>
              </w:rPr>
              <w:t>。</w:t>
            </w:r>
          </w:p>
          <w:p w14:paraId="7A803F3C">
            <w:pPr>
              <w:pageBreakBefore w:val="0"/>
              <w:kinsoku/>
              <w:overflowPunct/>
              <w:bidi w:val="0"/>
              <w:adjustRightInd/>
              <w:snapToGrid/>
              <w:spacing w:line="240" w:lineRule="auto"/>
              <w:rPr>
                <w:rFonts w:hint="eastAsia" w:ascii="仿宋" w:hAnsi="仿宋" w:eastAsia="仿宋" w:cs="仿宋"/>
                <w:b/>
                <w:bCs/>
                <w:color w:val="auto"/>
                <w:sz w:val="24"/>
                <w:highlight w:val="none"/>
              </w:rPr>
            </w:pPr>
            <w:r>
              <w:rPr>
                <w:rFonts w:hint="eastAsia" w:ascii="仿宋" w:hAnsi="仿宋" w:eastAsia="仿宋" w:cs="仿宋"/>
                <w:b w:val="0"/>
                <w:bCs w:val="0"/>
                <w:color w:val="auto"/>
                <w:sz w:val="24"/>
                <w:szCs w:val="24"/>
                <w:highlight w:val="none"/>
                <w:lang w:eastAsia="zh-CN"/>
              </w:rPr>
              <w:t>投标人</w:t>
            </w:r>
            <w:r>
              <w:rPr>
                <w:rFonts w:hint="eastAsia" w:ascii="仿宋" w:hAnsi="仿宋" w:eastAsia="仿宋" w:cs="仿宋"/>
                <w:b w:val="0"/>
                <w:bCs w:val="0"/>
                <w:color w:val="auto"/>
                <w:sz w:val="24"/>
                <w:szCs w:val="24"/>
                <w:highlight w:val="none"/>
                <w:lang w:val="en-US" w:eastAsia="zh-CN"/>
              </w:rPr>
              <w:t>提交投标</w:t>
            </w:r>
            <w:r>
              <w:rPr>
                <w:rFonts w:hint="eastAsia" w:ascii="仿宋" w:hAnsi="仿宋" w:eastAsia="仿宋" w:cs="仿宋"/>
                <w:b w:val="0"/>
                <w:bCs w:val="0"/>
                <w:color w:val="auto"/>
                <w:sz w:val="24"/>
                <w:szCs w:val="24"/>
                <w:highlight w:val="none"/>
              </w:rPr>
              <w:t>保证金时，</w:t>
            </w:r>
            <w:r>
              <w:rPr>
                <w:rFonts w:hint="eastAsia" w:ascii="仿宋" w:hAnsi="仿宋" w:eastAsia="仿宋" w:cs="仿宋"/>
                <w:b w:val="0"/>
                <w:bCs w:val="0"/>
                <w:color w:val="auto"/>
                <w:sz w:val="24"/>
                <w:szCs w:val="24"/>
                <w:highlight w:val="none"/>
                <w:lang w:val="en-US" w:eastAsia="zh-CN"/>
              </w:rPr>
              <w:t>须</w:t>
            </w:r>
            <w:r>
              <w:rPr>
                <w:rFonts w:hint="eastAsia" w:ascii="仿宋" w:hAnsi="仿宋" w:eastAsia="仿宋" w:cs="仿宋"/>
                <w:b w:val="0"/>
                <w:bCs w:val="0"/>
                <w:color w:val="auto"/>
                <w:sz w:val="24"/>
                <w:szCs w:val="24"/>
                <w:highlight w:val="none"/>
              </w:rPr>
              <w:t>在凭单用途栏中注明项目编号</w:t>
            </w:r>
            <w:r>
              <w:rPr>
                <w:rFonts w:hint="eastAsia" w:ascii="仿宋" w:hAnsi="仿宋" w:eastAsia="仿宋" w:cs="仿宋"/>
                <w:b w:val="0"/>
                <w:bCs w:val="0"/>
                <w:color w:val="auto"/>
                <w:sz w:val="24"/>
                <w:szCs w:val="24"/>
                <w:highlight w:val="none"/>
                <w:lang w:eastAsia="zh-CN"/>
              </w:rPr>
              <w:t>和项目名称</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项目名称</w:t>
            </w:r>
            <w:r>
              <w:rPr>
                <w:rFonts w:hint="eastAsia" w:ascii="仿宋" w:hAnsi="仿宋" w:eastAsia="仿宋" w:cs="仿宋"/>
                <w:b w:val="0"/>
                <w:bCs w:val="0"/>
                <w:color w:val="auto"/>
                <w:sz w:val="24"/>
                <w:szCs w:val="24"/>
                <w:highlight w:val="none"/>
              </w:rPr>
              <w:t>可简写）。</w:t>
            </w:r>
          </w:p>
          <w:p w14:paraId="75B0F786">
            <w:pPr>
              <w:pageBreakBefore w:val="0"/>
              <w:kinsoku/>
              <w:overflowPunct/>
              <w:bidi w:val="0"/>
              <w:adjustRightInd/>
              <w:snapToGrid/>
              <w:spacing w:line="24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以上资格证明文件，若有一项未提供或无效，将导致其不具备</w:t>
            </w:r>
            <w:r>
              <w:rPr>
                <w:rFonts w:hint="eastAsia" w:ascii="仿宋" w:hAnsi="仿宋" w:eastAsia="仿宋" w:cs="仿宋"/>
                <w:b/>
                <w:bCs/>
                <w:color w:val="auto"/>
                <w:sz w:val="24"/>
                <w:highlight w:val="none"/>
                <w:lang w:val="en-US" w:eastAsia="zh-CN"/>
              </w:rPr>
              <w:t>投标</w:t>
            </w:r>
            <w:r>
              <w:rPr>
                <w:rFonts w:hint="eastAsia" w:ascii="仿宋" w:hAnsi="仿宋" w:eastAsia="仿宋" w:cs="仿宋"/>
                <w:b/>
                <w:bCs/>
                <w:color w:val="auto"/>
                <w:sz w:val="24"/>
                <w:highlight w:val="none"/>
              </w:rPr>
              <w:t>资格，且不允许在</w:t>
            </w:r>
            <w:r>
              <w:rPr>
                <w:rFonts w:hint="eastAsia" w:ascii="仿宋" w:hAnsi="仿宋" w:eastAsia="仿宋" w:cs="仿宋"/>
                <w:b/>
                <w:bCs/>
                <w:color w:val="auto"/>
                <w:sz w:val="24"/>
                <w:highlight w:val="none"/>
                <w:lang w:val="en-US" w:eastAsia="zh-CN"/>
              </w:rPr>
              <w:t>开标</w:t>
            </w:r>
            <w:r>
              <w:rPr>
                <w:rFonts w:hint="eastAsia" w:ascii="仿宋" w:hAnsi="仿宋" w:eastAsia="仿宋" w:cs="仿宋"/>
                <w:b/>
                <w:bCs/>
                <w:color w:val="auto"/>
                <w:sz w:val="24"/>
                <w:highlight w:val="none"/>
              </w:rPr>
              <w:t>后补正。</w:t>
            </w:r>
          </w:p>
          <w:p w14:paraId="4178B0D1">
            <w:pPr>
              <w:keepNext w:val="0"/>
              <w:keepLines w:val="0"/>
              <w:pageBreakBefore w:val="0"/>
              <w:widowControl w:val="0"/>
              <w:kinsoku/>
              <w:wordWrap/>
              <w:overflowPunct/>
              <w:topLinePunct w:val="0"/>
              <w:autoSpaceDE/>
              <w:autoSpaceDN/>
              <w:bidi w:val="0"/>
              <w:adjustRightInd/>
              <w:snapToGrid/>
              <w:spacing w:after="100" w:line="240" w:lineRule="auto"/>
              <w:textAlignment w:val="auto"/>
              <w:rPr>
                <w:rFonts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11.评审小组</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rPr>
              <w:t>会议开始后对</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的信用信息进行查询，通过“信用中国”网站（http://www.creditchina.gov.cn）、中国政府采购网（http://www.ccgp.gov.cn）查询相关主体信用记录</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违规处罚情况</w:t>
            </w:r>
            <w:r>
              <w:rPr>
                <w:rFonts w:hint="eastAsia" w:ascii="仿宋" w:hAnsi="仿宋" w:eastAsia="仿宋" w:cs="仿宋"/>
                <w:color w:val="auto"/>
                <w:sz w:val="24"/>
                <w:szCs w:val="24"/>
                <w:highlight w:val="none"/>
              </w:rPr>
              <w:t>，截止时间为</w:t>
            </w:r>
            <w:r>
              <w:rPr>
                <w:rFonts w:hint="eastAsia" w:ascii="仿宋" w:hAnsi="仿宋" w:eastAsia="仿宋" w:cs="仿宋"/>
                <w:color w:val="auto"/>
                <w:sz w:val="24"/>
                <w:szCs w:val="24"/>
                <w:highlight w:val="none"/>
                <w:lang w:val="en-US" w:eastAsia="zh-CN"/>
              </w:rPr>
              <w:t>开标</w:t>
            </w:r>
            <w:r>
              <w:rPr>
                <w:rFonts w:hint="eastAsia" w:ascii="仿宋" w:hAnsi="仿宋" w:eastAsia="仿宋" w:cs="仿宋"/>
                <w:color w:val="auto"/>
                <w:sz w:val="24"/>
                <w:szCs w:val="24"/>
                <w:highlight w:val="none"/>
              </w:rPr>
              <w:t>当日；</w:t>
            </w:r>
            <w:r>
              <w:rPr>
                <w:rFonts w:hint="eastAsia" w:ascii="仿宋" w:hAnsi="仿宋" w:eastAsia="仿宋" w:cs="仿宋"/>
                <w:color w:val="auto"/>
                <w:kern w:val="0"/>
                <w:sz w:val="24"/>
                <w:szCs w:val="24"/>
                <w:highlight w:val="none"/>
                <w:lang w:val="en-US" w:eastAsia="zh-CN" w:bidi="ar-SA"/>
              </w:rPr>
              <w:t>查询内容为“信用中国”网上的</w:t>
            </w:r>
            <w:r>
              <w:rPr>
                <w:rFonts w:hint="eastAsia" w:ascii="仿宋" w:hAnsi="仿宋" w:eastAsia="仿宋" w:cs="仿宋"/>
                <w:color w:val="auto"/>
                <w:kern w:val="2"/>
                <w:sz w:val="24"/>
                <w:szCs w:val="24"/>
                <w:highlight w:val="none"/>
                <w:lang w:val="en-US" w:eastAsia="zh-CN" w:bidi="ar-SA"/>
              </w:rPr>
              <w:t>失信被执行人、重大税收违法案件等</w:t>
            </w:r>
            <w:r>
              <w:rPr>
                <w:rFonts w:hint="eastAsia" w:ascii="仿宋" w:hAnsi="仿宋" w:eastAsia="仿宋" w:cs="仿宋"/>
                <w:color w:val="auto"/>
                <w:kern w:val="0"/>
                <w:sz w:val="24"/>
                <w:szCs w:val="24"/>
                <w:highlight w:val="none"/>
                <w:lang w:val="en-US" w:eastAsia="zh-CN" w:bidi="ar-SA"/>
              </w:rPr>
              <w:t>记录情况、中国政府采购网上的政府采购严重违法失信行为信息记录情况</w:t>
            </w:r>
            <w:r>
              <w:rPr>
                <w:rFonts w:hint="eastAsia" w:ascii="仿宋" w:hAnsi="仿宋" w:eastAsia="仿宋" w:cs="仿宋"/>
                <w:color w:val="auto"/>
                <w:sz w:val="24"/>
                <w:szCs w:val="24"/>
                <w:highlight w:val="none"/>
              </w:rPr>
              <w:t>。查询后存在问题的将对</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文件做无效</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处理。（此项资格证明文件无需</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w:t>
            </w:r>
          </w:p>
        </w:tc>
      </w:tr>
      <w:tr w14:paraId="0014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Align w:val="center"/>
          </w:tcPr>
          <w:p w14:paraId="3CDA4DDC">
            <w:pPr>
              <w:pageBreakBefore w:val="0"/>
              <w:kinsoku/>
              <w:overflowPunct/>
              <w:bidi w:val="0"/>
              <w:adjustRightInd/>
              <w:snapToGrid/>
              <w:spacing w:line="24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4</w:t>
            </w:r>
          </w:p>
        </w:tc>
        <w:tc>
          <w:tcPr>
            <w:tcW w:w="1187" w:type="pct"/>
            <w:vAlign w:val="center"/>
          </w:tcPr>
          <w:p w14:paraId="6D379D31">
            <w:pPr>
              <w:pageBreakBefore w:val="0"/>
              <w:kinsoku/>
              <w:overflowPunct/>
              <w:bidi w:val="0"/>
              <w:adjustRightInd/>
              <w:snapToGrid/>
              <w:spacing w:line="240" w:lineRule="auto"/>
              <w:ind w:left="-101" w:leftChars="-48" w:right="-94" w:rightChars="-45" w:firstLine="132" w:firstLineChars="55"/>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投标人应提交的商务、技术文件</w:t>
            </w:r>
          </w:p>
        </w:tc>
        <w:tc>
          <w:tcPr>
            <w:tcW w:w="3451" w:type="pct"/>
            <w:vAlign w:val="center"/>
          </w:tcPr>
          <w:p w14:paraId="00D38871">
            <w:pPr>
              <w:pStyle w:val="48"/>
              <w:keepNext w:val="0"/>
              <w:keepLines w:val="0"/>
              <w:pageBreakBefore w:val="0"/>
              <w:widowControl w:val="0"/>
              <w:kinsoku/>
              <w:wordWrap/>
              <w:overflowPunct/>
              <w:topLinePunct w:val="0"/>
              <w:autoSpaceDE/>
              <w:autoSpaceDN/>
              <w:bidi w:val="0"/>
              <w:adjustRightInd/>
              <w:snapToGrid/>
              <w:spacing w:before="100" w:line="240" w:lineRule="auto"/>
              <w:ind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1．法定代表人（</w:t>
            </w:r>
            <w:r>
              <w:rPr>
                <w:rFonts w:hint="eastAsia" w:ascii="仿宋" w:hAnsi="仿宋" w:eastAsia="仿宋" w:cs="仿宋"/>
                <w:color w:val="auto"/>
                <w:sz w:val="24"/>
                <w:szCs w:val="24"/>
                <w:highlight w:val="none"/>
              </w:rPr>
              <w:t>负责人</w:t>
            </w:r>
            <w:r>
              <w:rPr>
                <w:rFonts w:hint="eastAsia" w:ascii="仿宋" w:hAnsi="仿宋" w:eastAsia="仿宋" w:cs="仿宋"/>
                <w:color w:val="auto"/>
                <w:kern w:val="0"/>
                <w:sz w:val="24"/>
                <w:szCs w:val="24"/>
                <w:highlight w:val="none"/>
              </w:rPr>
              <w:t>）身份证明书（见‘</w:t>
            </w:r>
            <w:r>
              <w:rPr>
                <w:rFonts w:hint="eastAsia" w:ascii="仿宋" w:hAnsi="仿宋" w:eastAsia="仿宋" w:cs="仿宋"/>
                <w:color w:val="auto"/>
                <w:kern w:val="0"/>
                <w:sz w:val="24"/>
                <w:szCs w:val="24"/>
                <w:highlight w:val="none"/>
                <w:lang w:val="en-US" w:eastAsia="zh-CN"/>
              </w:rPr>
              <w:t>投标文件</w:t>
            </w:r>
            <w:r>
              <w:rPr>
                <w:rFonts w:hint="eastAsia" w:ascii="仿宋" w:hAnsi="仿宋" w:eastAsia="仿宋" w:cs="仿宋"/>
                <w:color w:val="auto"/>
                <w:kern w:val="0"/>
                <w:sz w:val="24"/>
                <w:szCs w:val="24"/>
                <w:highlight w:val="none"/>
              </w:rPr>
              <w:t xml:space="preserve">格式’）； </w:t>
            </w:r>
          </w:p>
          <w:p w14:paraId="4346830B">
            <w:pPr>
              <w:keepNext w:val="0"/>
              <w:keepLines w:val="0"/>
              <w:pageBreakBefore w:val="0"/>
              <w:widowControl w:val="0"/>
              <w:tabs>
                <w:tab w:val="left" w:pos="567"/>
              </w:tabs>
              <w:kinsoku/>
              <w:wordWrap/>
              <w:overflowPunct/>
              <w:topLinePunct/>
              <w:autoSpaceDE w:val="0"/>
              <w:autoSpaceDN w:val="0"/>
              <w:bidi w:val="0"/>
              <w:adjustRightInd/>
              <w:snapToGri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2．法定代表人（负责人）授权委托书（见‘</w:t>
            </w:r>
            <w:r>
              <w:rPr>
                <w:rFonts w:hint="eastAsia" w:ascii="仿宋" w:hAnsi="仿宋" w:eastAsia="仿宋" w:cs="仿宋"/>
                <w:color w:val="auto"/>
                <w:kern w:val="0"/>
                <w:sz w:val="24"/>
                <w:szCs w:val="24"/>
                <w:highlight w:val="none"/>
                <w:lang w:val="en-US" w:eastAsia="zh-CN"/>
              </w:rPr>
              <w:t>投标文件</w:t>
            </w:r>
            <w:r>
              <w:rPr>
                <w:rFonts w:hint="eastAsia" w:ascii="仿宋" w:hAnsi="仿宋" w:eastAsia="仿宋" w:cs="仿宋"/>
                <w:color w:val="auto"/>
                <w:kern w:val="0"/>
                <w:sz w:val="24"/>
                <w:szCs w:val="24"/>
                <w:highlight w:val="none"/>
              </w:rPr>
              <w:t>格式’）</w:t>
            </w:r>
            <w:r>
              <w:rPr>
                <w:rFonts w:hint="eastAsia" w:ascii="仿宋" w:hAnsi="仿宋" w:eastAsia="仿宋" w:cs="仿宋"/>
                <w:color w:val="auto"/>
                <w:kern w:val="0"/>
                <w:sz w:val="24"/>
                <w:szCs w:val="24"/>
                <w:highlight w:val="none"/>
                <w:lang w:eastAsia="zh-CN"/>
              </w:rPr>
              <w:t>；</w:t>
            </w:r>
          </w:p>
          <w:p w14:paraId="086B4FBF">
            <w:pPr>
              <w:keepNext w:val="0"/>
              <w:keepLines w:val="0"/>
              <w:pageBreakBefore w:val="0"/>
              <w:widowControl w:val="0"/>
              <w:tabs>
                <w:tab w:val="left" w:pos="567"/>
              </w:tabs>
              <w:kinsoku/>
              <w:wordWrap/>
              <w:overflowPunct/>
              <w:topLinePunct/>
              <w:autoSpaceDE w:val="0"/>
              <w:autoSpaceDN w:val="0"/>
              <w:bidi w:val="0"/>
              <w:adjustRightInd/>
              <w:snapToGri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若</w:t>
            </w:r>
            <w:r>
              <w:rPr>
                <w:rFonts w:hint="eastAsia" w:ascii="仿宋" w:hAnsi="仿宋" w:eastAsia="仿宋" w:cs="仿宋"/>
                <w:color w:val="auto"/>
                <w:kern w:val="0"/>
                <w:sz w:val="24"/>
                <w:szCs w:val="24"/>
                <w:highlight w:val="none"/>
                <w:lang w:val="en-US" w:eastAsia="zh-CN"/>
              </w:rPr>
              <w:t>授权代表</w:t>
            </w:r>
            <w:r>
              <w:rPr>
                <w:rFonts w:hint="eastAsia" w:ascii="仿宋" w:hAnsi="仿宋" w:eastAsia="仿宋" w:cs="仿宋"/>
                <w:color w:val="auto"/>
                <w:kern w:val="0"/>
                <w:sz w:val="24"/>
                <w:szCs w:val="24"/>
                <w:highlight w:val="none"/>
              </w:rPr>
              <w:t>为法定代表人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负责人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的可不提供；</w:t>
            </w:r>
          </w:p>
          <w:p w14:paraId="096260DC">
            <w:pPr>
              <w:keepNext w:val="0"/>
              <w:keepLines w:val="0"/>
              <w:pageBreakBefore w:val="0"/>
              <w:widowControl w:val="0"/>
              <w:tabs>
                <w:tab w:val="left" w:pos="567"/>
              </w:tabs>
              <w:kinsoku/>
              <w:wordWrap/>
              <w:overflowPunct/>
              <w:topLinePunct/>
              <w:autoSpaceDE w:val="0"/>
              <w:autoSpaceDN w:val="0"/>
              <w:bidi w:val="0"/>
              <w:adjustRightInd/>
              <w:snapToGri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函（见‘</w:t>
            </w:r>
            <w:r>
              <w:rPr>
                <w:rFonts w:hint="eastAsia" w:ascii="仿宋" w:hAnsi="仿宋" w:eastAsia="仿宋" w:cs="仿宋"/>
                <w:color w:val="auto"/>
                <w:kern w:val="0"/>
                <w:sz w:val="24"/>
                <w:szCs w:val="24"/>
                <w:highlight w:val="none"/>
                <w:lang w:val="en-US" w:eastAsia="zh-CN"/>
              </w:rPr>
              <w:t>投标文件</w:t>
            </w:r>
            <w:r>
              <w:rPr>
                <w:rFonts w:hint="eastAsia" w:ascii="仿宋" w:hAnsi="仿宋" w:eastAsia="仿宋" w:cs="仿宋"/>
                <w:color w:val="auto"/>
                <w:kern w:val="0"/>
                <w:sz w:val="24"/>
                <w:szCs w:val="24"/>
                <w:highlight w:val="none"/>
              </w:rPr>
              <w:t>格式’）；</w:t>
            </w:r>
          </w:p>
          <w:p w14:paraId="56557F89">
            <w:pPr>
              <w:keepNext w:val="0"/>
              <w:keepLines w:val="0"/>
              <w:pageBreakBefore w:val="0"/>
              <w:widowControl w:val="0"/>
              <w:tabs>
                <w:tab w:val="left" w:pos="567"/>
              </w:tabs>
              <w:kinsoku/>
              <w:wordWrap/>
              <w:overflowPunct/>
              <w:topLinePunct/>
              <w:autoSpaceDE w:val="0"/>
              <w:autoSpaceDN w:val="0"/>
              <w:bidi w:val="0"/>
              <w:adjustRightInd/>
              <w:snapToGri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开标</w:t>
            </w:r>
            <w:r>
              <w:rPr>
                <w:rFonts w:hint="eastAsia" w:ascii="仿宋" w:hAnsi="仿宋" w:eastAsia="仿宋" w:cs="仿宋"/>
                <w:color w:val="auto"/>
                <w:kern w:val="0"/>
                <w:sz w:val="24"/>
                <w:szCs w:val="24"/>
                <w:highlight w:val="none"/>
              </w:rPr>
              <w:t>一览表(见‘</w:t>
            </w:r>
            <w:r>
              <w:rPr>
                <w:rFonts w:hint="eastAsia" w:ascii="仿宋" w:hAnsi="仿宋" w:eastAsia="仿宋" w:cs="仿宋"/>
                <w:color w:val="auto"/>
                <w:kern w:val="0"/>
                <w:sz w:val="24"/>
                <w:szCs w:val="24"/>
                <w:highlight w:val="none"/>
                <w:lang w:val="en-US" w:eastAsia="zh-CN"/>
              </w:rPr>
              <w:t>投标文件</w:t>
            </w:r>
            <w:r>
              <w:rPr>
                <w:rFonts w:hint="eastAsia" w:ascii="仿宋" w:hAnsi="仿宋" w:eastAsia="仿宋" w:cs="仿宋"/>
                <w:color w:val="auto"/>
                <w:kern w:val="0"/>
                <w:sz w:val="24"/>
                <w:szCs w:val="24"/>
                <w:highlight w:val="none"/>
              </w:rPr>
              <w:t>格式’)；</w:t>
            </w:r>
          </w:p>
          <w:p w14:paraId="13347303">
            <w:pPr>
              <w:keepNext w:val="0"/>
              <w:keepLines w:val="0"/>
              <w:pageBreakBefore w:val="0"/>
              <w:widowControl w:val="0"/>
              <w:tabs>
                <w:tab w:val="left" w:pos="567"/>
              </w:tabs>
              <w:kinsoku/>
              <w:wordWrap/>
              <w:overflowPunct/>
              <w:topLinePunct/>
              <w:autoSpaceDE w:val="0"/>
              <w:autoSpaceDN w:val="0"/>
              <w:bidi w:val="0"/>
              <w:adjustRightInd/>
              <w:snapToGrid/>
              <w:spacing w:line="240" w:lineRule="auto"/>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分项报价明细表</w:t>
            </w:r>
            <w:r>
              <w:rPr>
                <w:rFonts w:hint="eastAsia" w:ascii="仿宋" w:hAnsi="仿宋" w:eastAsia="仿宋" w:cs="仿宋"/>
                <w:color w:val="auto"/>
                <w:kern w:val="0"/>
                <w:sz w:val="24"/>
                <w:szCs w:val="24"/>
                <w:highlight w:val="none"/>
              </w:rPr>
              <w:t>(见‘</w:t>
            </w:r>
            <w:r>
              <w:rPr>
                <w:rFonts w:hint="eastAsia" w:ascii="仿宋" w:hAnsi="仿宋" w:eastAsia="仿宋" w:cs="仿宋"/>
                <w:color w:val="auto"/>
                <w:kern w:val="0"/>
                <w:sz w:val="24"/>
                <w:szCs w:val="24"/>
                <w:highlight w:val="none"/>
                <w:lang w:val="en-US" w:eastAsia="zh-CN"/>
              </w:rPr>
              <w:t>投标文件</w:t>
            </w:r>
            <w:r>
              <w:rPr>
                <w:rFonts w:hint="eastAsia" w:ascii="仿宋" w:hAnsi="仿宋" w:eastAsia="仿宋" w:cs="仿宋"/>
                <w:color w:val="auto"/>
                <w:kern w:val="0"/>
                <w:sz w:val="24"/>
                <w:szCs w:val="24"/>
                <w:highlight w:val="none"/>
              </w:rPr>
              <w:t>格式’)；</w:t>
            </w:r>
          </w:p>
          <w:p w14:paraId="652CE3E2">
            <w:pPr>
              <w:keepNext w:val="0"/>
              <w:keepLines w:val="0"/>
              <w:pageBreakBefore w:val="0"/>
              <w:widowControl w:val="0"/>
              <w:tabs>
                <w:tab w:val="left" w:pos="567"/>
              </w:tabs>
              <w:kinsoku/>
              <w:wordWrap/>
              <w:overflowPunct/>
              <w:topLinePunct/>
              <w:autoSpaceDE w:val="0"/>
              <w:autoSpaceDN w:val="0"/>
              <w:bidi w:val="0"/>
              <w:adjustRightInd/>
              <w:snapToGri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6．商务条款响应表（见‘</w:t>
            </w:r>
            <w:r>
              <w:rPr>
                <w:rFonts w:hint="eastAsia" w:ascii="仿宋" w:hAnsi="仿宋" w:eastAsia="仿宋" w:cs="仿宋"/>
                <w:color w:val="auto"/>
                <w:kern w:val="0"/>
                <w:sz w:val="24"/>
                <w:szCs w:val="24"/>
                <w:highlight w:val="none"/>
                <w:lang w:val="en-US" w:eastAsia="zh-CN"/>
              </w:rPr>
              <w:t>投标文件</w:t>
            </w:r>
            <w:r>
              <w:rPr>
                <w:rFonts w:hint="eastAsia" w:ascii="仿宋" w:hAnsi="仿宋" w:eastAsia="仿宋" w:cs="仿宋"/>
                <w:color w:val="auto"/>
                <w:kern w:val="0"/>
                <w:sz w:val="24"/>
                <w:szCs w:val="24"/>
                <w:highlight w:val="none"/>
              </w:rPr>
              <w:t>格式’）；</w:t>
            </w:r>
          </w:p>
          <w:p w14:paraId="6A4AD3B6">
            <w:pPr>
              <w:keepNext w:val="0"/>
              <w:keepLines w:val="0"/>
              <w:pageBreakBefore w:val="0"/>
              <w:widowControl w:val="0"/>
              <w:tabs>
                <w:tab w:val="left" w:pos="567"/>
              </w:tabs>
              <w:kinsoku/>
              <w:wordWrap/>
              <w:overflowPunct/>
              <w:topLinePunct/>
              <w:autoSpaceDE w:val="0"/>
              <w:autoSpaceDN w:val="0"/>
              <w:bidi w:val="0"/>
              <w:adjustRightInd/>
              <w:snapToGrid/>
              <w:spacing w:line="24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技术</w:t>
            </w:r>
            <w:r>
              <w:rPr>
                <w:rFonts w:hint="eastAsia" w:ascii="仿宋" w:hAnsi="仿宋" w:eastAsia="仿宋" w:cs="仿宋"/>
                <w:color w:val="auto"/>
                <w:kern w:val="0"/>
                <w:sz w:val="24"/>
                <w:szCs w:val="24"/>
                <w:highlight w:val="none"/>
              </w:rPr>
              <w:t>规范响应及偏离表（见‘</w:t>
            </w:r>
            <w:r>
              <w:rPr>
                <w:rFonts w:hint="eastAsia" w:ascii="仿宋" w:hAnsi="仿宋" w:eastAsia="仿宋" w:cs="仿宋"/>
                <w:color w:val="auto"/>
                <w:kern w:val="0"/>
                <w:sz w:val="24"/>
                <w:szCs w:val="24"/>
                <w:highlight w:val="none"/>
                <w:lang w:val="en-US" w:eastAsia="zh-CN"/>
              </w:rPr>
              <w:t>投标文件</w:t>
            </w:r>
            <w:r>
              <w:rPr>
                <w:rFonts w:hint="eastAsia" w:ascii="仿宋" w:hAnsi="仿宋" w:eastAsia="仿宋" w:cs="仿宋"/>
                <w:color w:val="auto"/>
                <w:kern w:val="0"/>
                <w:sz w:val="24"/>
                <w:szCs w:val="24"/>
                <w:highlight w:val="none"/>
              </w:rPr>
              <w:t>格式’）；</w:t>
            </w:r>
          </w:p>
          <w:p w14:paraId="52B774ED">
            <w:pPr>
              <w:keepNext w:val="0"/>
              <w:keepLines w:val="0"/>
              <w:pageBreakBefore w:val="0"/>
              <w:widowControl w:val="0"/>
              <w:numPr>
                <w:ilvl w:val="0"/>
                <w:numId w:val="0"/>
              </w:numPr>
              <w:tabs>
                <w:tab w:val="left" w:pos="567"/>
              </w:tabs>
              <w:kinsoku/>
              <w:wordWrap/>
              <w:overflowPunct/>
              <w:topLinePunct/>
              <w:autoSpaceDE w:val="0"/>
              <w:autoSpaceDN w:val="0"/>
              <w:bidi w:val="0"/>
              <w:adjustRightInd/>
              <w:snapToGrid/>
              <w:spacing w:line="240" w:lineRule="auto"/>
              <w:ind w:firstLine="240" w:firstLineChars="1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8</w:t>
            </w:r>
            <w:r>
              <w:rPr>
                <w:rFonts w:hint="eastAsia" w:ascii="仿宋" w:hAnsi="仿宋" w:eastAsia="仿宋" w:cs="仿宋"/>
                <w:kern w:val="0"/>
                <w:sz w:val="24"/>
                <w:szCs w:val="24"/>
                <w:highlight w:val="none"/>
              </w:rPr>
              <w:t>．</w:t>
            </w:r>
            <w:r>
              <w:rPr>
                <w:rFonts w:hint="eastAsia" w:ascii="仿宋" w:hAnsi="仿宋" w:eastAsia="仿宋" w:cs="仿宋"/>
                <w:color w:val="000000"/>
                <w:kern w:val="0"/>
                <w:sz w:val="24"/>
                <w:szCs w:val="24"/>
                <w:highlight w:val="none"/>
                <w:lang w:val="en-US" w:eastAsia="zh-CN"/>
              </w:rPr>
              <w:t>投标</w:t>
            </w:r>
            <w:r>
              <w:rPr>
                <w:rFonts w:hint="eastAsia" w:ascii="仿宋" w:hAnsi="仿宋" w:eastAsia="仿宋" w:cs="仿宋"/>
                <w:color w:val="000000"/>
                <w:kern w:val="0"/>
                <w:sz w:val="24"/>
                <w:szCs w:val="24"/>
                <w:highlight w:val="none"/>
                <w:lang w:eastAsia="zh-CN"/>
              </w:rPr>
              <w:t>文件递交</w:t>
            </w:r>
            <w:r>
              <w:rPr>
                <w:rFonts w:hint="eastAsia" w:ascii="仿宋" w:hAnsi="仿宋" w:eastAsia="仿宋" w:cs="仿宋"/>
                <w:color w:val="000000"/>
                <w:kern w:val="0"/>
                <w:sz w:val="24"/>
                <w:szCs w:val="24"/>
                <w:highlight w:val="none"/>
              </w:rPr>
              <w:t>截止日前</w:t>
            </w:r>
            <w:r>
              <w:rPr>
                <w:rFonts w:hint="eastAsia" w:ascii="仿宋" w:hAnsi="仿宋" w:eastAsia="仿宋" w:cs="仿宋"/>
                <w:color w:val="000000"/>
                <w:kern w:val="0"/>
                <w:sz w:val="24"/>
                <w:szCs w:val="24"/>
                <w:highlight w:val="none"/>
                <w:lang w:val="en-US" w:eastAsia="zh-CN"/>
              </w:rPr>
              <w:t>五</w:t>
            </w:r>
            <w:r>
              <w:rPr>
                <w:rFonts w:hint="eastAsia" w:ascii="仿宋" w:hAnsi="仿宋" w:eastAsia="仿宋" w:cs="仿宋"/>
                <w:color w:val="000000"/>
                <w:kern w:val="0"/>
                <w:sz w:val="24"/>
                <w:szCs w:val="24"/>
                <w:highlight w:val="none"/>
              </w:rPr>
              <w:t>年内</w:t>
            </w:r>
            <w:r>
              <w:rPr>
                <w:rFonts w:hint="default" w:ascii="仿宋" w:hAnsi="仿宋" w:eastAsia="仿宋" w:cs="仿宋"/>
                <w:color w:val="000000"/>
                <w:kern w:val="0"/>
                <w:sz w:val="24"/>
                <w:szCs w:val="24"/>
                <w:highlight w:val="none"/>
                <w:lang w:val="en" w:eastAsia="zh-CN"/>
              </w:rPr>
              <w:t>类似</w:t>
            </w:r>
            <w:r>
              <w:rPr>
                <w:rFonts w:hint="eastAsia" w:ascii="仿宋" w:hAnsi="仿宋" w:eastAsia="仿宋" w:cs="仿宋"/>
                <w:color w:val="000000"/>
                <w:kern w:val="0"/>
                <w:sz w:val="24"/>
                <w:szCs w:val="24"/>
                <w:highlight w:val="none"/>
              </w:rPr>
              <w:t>项目相关证明资料</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见‘</w:t>
            </w:r>
            <w:r>
              <w:rPr>
                <w:rFonts w:hint="eastAsia" w:ascii="仿宋" w:hAnsi="仿宋" w:eastAsia="仿宋" w:cs="仿宋"/>
                <w:kern w:val="0"/>
                <w:sz w:val="24"/>
                <w:szCs w:val="24"/>
                <w:highlight w:val="none"/>
                <w:lang w:val="en-US" w:eastAsia="zh-CN"/>
              </w:rPr>
              <w:t>投标文件</w:t>
            </w:r>
            <w:r>
              <w:rPr>
                <w:rFonts w:hint="eastAsia" w:ascii="仿宋" w:hAnsi="仿宋" w:eastAsia="仿宋" w:cs="仿宋"/>
                <w:kern w:val="0"/>
                <w:sz w:val="24"/>
                <w:szCs w:val="24"/>
                <w:highlight w:val="none"/>
              </w:rPr>
              <w:t>格式’</w:t>
            </w:r>
            <w:r>
              <w:rPr>
                <w:rFonts w:hint="eastAsia" w:ascii="仿宋" w:hAnsi="仿宋" w:eastAsia="仿宋" w:cs="仿宋"/>
                <w:kern w:val="0"/>
                <w:sz w:val="24"/>
                <w:szCs w:val="24"/>
                <w:highlight w:val="none"/>
                <w:lang w:eastAsia="zh-CN"/>
              </w:rPr>
              <w:t>）</w:t>
            </w:r>
            <w:r>
              <w:rPr>
                <w:rFonts w:hint="eastAsia" w:ascii="仿宋" w:hAnsi="仿宋" w:eastAsia="仿宋" w:cs="仿宋"/>
                <w:color w:val="000000"/>
                <w:kern w:val="0"/>
                <w:sz w:val="24"/>
                <w:szCs w:val="24"/>
                <w:highlight w:val="none"/>
              </w:rPr>
              <w:t>；</w:t>
            </w:r>
          </w:p>
          <w:p w14:paraId="7103F048">
            <w:pPr>
              <w:keepNext w:val="0"/>
              <w:keepLines w:val="0"/>
              <w:pageBreakBefore w:val="0"/>
              <w:widowControl w:val="0"/>
              <w:tabs>
                <w:tab w:val="left" w:pos="567"/>
              </w:tabs>
              <w:kinsoku/>
              <w:wordWrap/>
              <w:overflowPunct/>
              <w:topLinePunct/>
              <w:autoSpaceDE w:val="0"/>
              <w:autoSpaceDN w:val="0"/>
              <w:bidi w:val="0"/>
              <w:adjustRightInd/>
              <w:snapToGrid/>
              <w:spacing w:line="240" w:lineRule="auto"/>
              <w:ind w:firstLine="240" w:firstLineChars="1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技术方案；</w:t>
            </w:r>
          </w:p>
          <w:p w14:paraId="00AC97E8">
            <w:pPr>
              <w:keepNext w:val="0"/>
              <w:keepLines w:val="0"/>
              <w:pageBreakBefore w:val="0"/>
              <w:widowControl w:val="0"/>
              <w:tabs>
                <w:tab w:val="left" w:pos="567"/>
              </w:tabs>
              <w:kinsoku/>
              <w:wordWrap/>
              <w:overflowPunct/>
              <w:topLinePunct/>
              <w:autoSpaceDE w:val="0"/>
              <w:autoSpaceDN w:val="0"/>
              <w:bidi w:val="0"/>
              <w:adjustRightInd/>
              <w:snapToGrid/>
              <w:spacing w:line="240" w:lineRule="auto"/>
              <w:ind w:firstLine="240" w:firstLineChars="1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拟投入本项目的人员情况</w:t>
            </w:r>
            <w:r>
              <w:rPr>
                <w:rFonts w:hint="eastAsia" w:ascii="仿宋" w:hAnsi="仿宋" w:eastAsia="仿宋" w:cs="仿宋"/>
                <w:color w:val="auto"/>
                <w:kern w:val="0"/>
                <w:sz w:val="24"/>
                <w:szCs w:val="24"/>
                <w:highlight w:val="none"/>
              </w:rPr>
              <w:t>；</w:t>
            </w:r>
          </w:p>
          <w:p w14:paraId="292510E0">
            <w:pPr>
              <w:keepNext w:val="0"/>
              <w:keepLines w:val="0"/>
              <w:pageBreakBefore w:val="0"/>
              <w:widowControl w:val="0"/>
              <w:tabs>
                <w:tab w:val="left" w:pos="567"/>
              </w:tabs>
              <w:kinsoku/>
              <w:wordWrap/>
              <w:overflowPunct/>
              <w:topLinePunct/>
              <w:autoSpaceDE w:val="0"/>
              <w:autoSpaceDN w:val="0"/>
              <w:bidi w:val="0"/>
              <w:adjustRightInd/>
              <w:snapToGrid/>
              <w:spacing w:line="240" w:lineRule="auto"/>
              <w:ind w:firstLine="240" w:firstLineChars="100"/>
              <w:textAlignment w:val="auto"/>
              <w:rPr>
                <w:rFonts w:hint="eastAsia" w:ascii="仿宋" w:hAnsi="仿宋" w:eastAsia="仿宋" w:cs="仿宋"/>
                <w:sz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sz w:val="24"/>
                <w:highlight w:val="none"/>
              </w:rPr>
              <w:t>.</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认为需要提供的其他商务、技术</w:t>
            </w:r>
            <w:r>
              <w:rPr>
                <w:rFonts w:hint="eastAsia" w:ascii="仿宋" w:hAnsi="仿宋" w:eastAsia="仿宋" w:cs="仿宋"/>
                <w:sz w:val="24"/>
                <w:highlight w:val="none"/>
                <w:lang w:eastAsia="zh-CN"/>
              </w:rPr>
              <w:t>资料</w:t>
            </w:r>
            <w:r>
              <w:rPr>
                <w:rFonts w:hint="eastAsia" w:ascii="仿宋" w:hAnsi="仿宋" w:eastAsia="仿宋" w:cs="仿宋"/>
                <w:sz w:val="24"/>
                <w:highlight w:val="none"/>
              </w:rPr>
              <w:t>。</w:t>
            </w:r>
          </w:p>
          <w:p w14:paraId="2F70714C">
            <w:pPr>
              <w:pageBreakBefore w:val="0"/>
              <w:kinsoku/>
              <w:overflowPunct/>
              <w:bidi w:val="0"/>
              <w:adjustRightInd/>
              <w:snapToGrid/>
              <w:spacing w:line="240" w:lineRule="auto"/>
              <w:ind w:firstLine="240" w:firstLineChars="100"/>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sz w:val="24"/>
                <w:highlight w:val="none"/>
                <w:lang w:eastAsia="zh-CN"/>
              </w:rPr>
              <w:t>政策性要求（如有）</w:t>
            </w:r>
          </w:p>
          <w:p w14:paraId="659D97E7">
            <w:pPr>
              <w:keepNext w:val="0"/>
              <w:keepLines w:val="0"/>
              <w:pageBreakBefore w:val="0"/>
              <w:widowControl w:val="0"/>
              <w:kinsoku/>
              <w:wordWrap/>
              <w:overflowPunct/>
              <w:topLinePunct w:val="0"/>
              <w:autoSpaceDE/>
              <w:autoSpaceDN/>
              <w:bidi w:val="0"/>
              <w:adjustRightInd/>
              <w:snapToGrid/>
              <w:spacing w:after="100" w:line="240" w:lineRule="auto"/>
              <w:textAlignment w:val="auto"/>
              <w:rPr>
                <w:rFonts w:ascii="仿宋" w:hAnsi="仿宋" w:eastAsia="仿宋" w:cs="仿宋"/>
                <w:color w:val="auto"/>
                <w:kern w:val="0"/>
                <w:sz w:val="24"/>
                <w:szCs w:val="24"/>
                <w:highlight w:val="none"/>
                <w:lang w:val="en-US" w:eastAsia="zh-CN" w:bidi="ar-SA"/>
              </w:rPr>
            </w:pPr>
            <w:r>
              <w:rPr>
                <w:rFonts w:hint="eastAsia" w:ascii="仿宋" w:hAnsi="仿宋" w:eastAsia="仿宋" w:cs="仿宋"/>
                <w:b/>
                <w:kern w:val="0"/>
                <w:sz w:val="24"/>
                <w:szCs w:val="24"/>
                <w:highlight w:val="none"/>
              </w:rPr>
              <w:t>加</w:t>
            </w:r>
            <w:r>
              <w:rPr>
                <w:rFonts w:hint="eastAsia" w:ascii="仿宋" w:hAnsi="仿宋" w:eastAsia="仿宋" w:cs="仿宋"/>
                <w:sz w:val="24"/>
                <w:szCs w:val="24"/>
                <w:highlight w:val="none"/>
                <w:lang w:eastAsia="zh-CN"/>
              </w:rPr>
              <w:t>★</w:t>
            </w:r>
            <w:r>
              <w:rPr>
                <w:rFonts w:hint="eastAsia" w:ascii="仿宋" w:hAnsi="仿宋" w:eastAsia="仿宋" w:cs="仿宋"/>
                <w:b/>
                <w:kern w:val="0"/>
                <w:sz w:val="24"/>
                <w:szCs w:val="24"/>
                <w:highlight w:val="none"/>
              </w:rPr>
              <w:t>的商务、技术文件若有一项未提供或无效，将导致其不具备</w:t>
            </w:r>
            <w:r>
              <w:rPr>
                <w:rFonts w:hint="eastAsia" w:ascii="仿宋" w:hAnsi="仿宋" w:eastAsia="仿宋" w:cs="仿宋"/>
                <w:b/>
                <w:kern w:val="0"/>
                <w:sz w:val="24"/>
                <w:szCs w:val="24"/>
                <w:highlight w:val="none"/>
                <w:lang w:val="en-US" w:eastAsia="zh-CN"/>
              </w:rPr>
              <w:t>投标</w:t>
            </w:r>
            <w:r>
              <w:rPr>
                <w:rFonts w:hint="eastAsia" w:ascii="仿宋" w:hAnsi="仿宋" w:eastAsia="仿宋" w:cs="仿宋"/>
                <w:b/>
                <w:kern w:val="0"/>
                <w:sz w:val="24"/>
                <w:szCs w:val="24"/>
                <w:highlight w:val="none"/>
              </w:rPr>
              <w:t>资格，且不允许在</w:t>
            </w:r>
            <w:r>
              <w:rPr>
                <w:rFonts w:hint="eastAsia" w:ascii="仿宋" w:hAnsi="仿宋" w:eastAsia="仿宋" w:cs="仿宋"/>
                <w:b/>
                <w:kern w:val="0"/>
                <w:sz w:val="24"/>
                <w:szCs w:val="24"/>
                <w:highlight w:val="none"/>
                <w:lang w:val="en-US" w:eastAsia="zh-CN"/>
              </w:rPr>
              <w:t>开标</w:t>
            </w:r>
            <w:r>
              <w:rPr>
                <w:rFonts w:hint="eastAsia" w:ascii="仿宋" w:hAnsi="仿宋" w:eastAsia="仿宋" w:cs="仿宋"/>
                <w:b/>
                <w:kern w:val="0"/>
                <w:sz w:val="24"/>
                <w:szCs w:val="24"/>
                <w:highlight w:val="none"/>
              </w:rPr>
              <w:t>后补正。</w:t>
            </w:r>
          </w:p>
        </w:tc>
      </w:tr>
      <w:tr w14:paraId="60BD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Align w:val="center"/>
          </w:tcPr>
          <w:p w14:paraId="5BBD712A">
            <w:pPr>
              <w:pageBreakBefore w:val="0"/>
              <w:kinsoku/>
              <w:overflowPunct/>
              <w:bidi w:val="0"/>
              <w:adjustRightInd/>
              <w:snapToGrid/>
              <w:spacing w:line="24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5</w:t>
            </w:r>
          </w:p>
        </w:tc>
        <w:tc>
          <w:tcPr>
            <w:tcW w:w="1187" w:type="pct"/>
            <w:vAlign w:val="center"/>
          </w:tcPr>
          <w:p w14:paraId="4159200D">
            <w:pPr>
              <w:pageBreakBefore w:val="0"/>
              <w:kinsoku/>
              <w:overflowPunct/>
              <w:bidi w:val="0"/>
              <w:adjustRightInd/>
              <w:snapToGrid/>
              <w:spacing w:line="240" w:lineRule="auto"/>
              <w:ind w:left="-101" w:leftChars="-48" w:right="-94" w:rightChars="-45" w:firstLine="132" w:firstLineChars="55"/>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政府采购相关政策要求</w:t>
            </w:r>
          </w:p>
        </w:tc>
        <w:tc>
          <w:tcPr>
            <w:tcW w:w="3451" w:type="pct"/>
            <w:vAlign w:val="center"/>
          </w:tcPr>
          <w:p w14:paraId="4BFCDC2A">
            <w:pPr>
              <w:pStyle w:val="48"/>
              <w:keepNext w:val="0"/>
              <w:keepLines w:val="0"/>
              <w:pageBreakBefore w:val="0"/>
              <w:widowControl w:val="0"/>
              <w:kinsoku/>
              <w:wordWrap/>
              <w:overflowPunct/>
              <w:topLinePunct w:val="0"/>
              <w:autoSpaceDE/>
              <w:autoSpaceDN/>
              <w:bidi w:val="0"/>
              <w:adjustRightInd/>
              <w:snapToGrid/>
              <w:spacing w:before="100"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采购货物未特别</w:t>
            </w:r>
            <w:r>
              <w:rPr>
                <w:rFonts w:hint="eastAsia" w:ascii="仿宋" w:hAnsi="仿宋" w:eastAsia="仿宋" w:cs="仿宋"/>
                <w:color w:val="000000"/>
                <w:sz w:val="24"/>
                <w:szCs w:val="24"/>
                <w:highlight w:val="none"/>
              </w:rPr>
              <w:t>注明</w:t>
            </w:r>
            <w:r>
              <w:rPr>
                <w:rFonts w:hint="eastAsia" w:ascii="仿宋" w:hAnsi="仿宋" w:eastAsia="仿宋" w:cs="仿宋"/>
                <w:sz w:val="24"/>
                <w:szCs w:val="24"/>
                <w:highlight w:val="none"/>
              </w:rPr>
              <w:t>“进口产品”字样的，均必须采购国产产品，即非“通过中国海关报关验放进入中国境内且产自关境外的产品”，采购</w:t>
            </w:r>
            <w:r>
              <w:rPr>
                <w:rFonts w:hint="eastAsia" w:ascii="仿宋" w:hAnsi="仿宋" w:eastAsia="仿宋" w:cs="仿宋"/>
                <w:sz w:val="24"/>
                <w:szCs w:val="24"/>
                <w:highlight w:val="none"/>
                <w:lang w:val="en-US" w:eastAsia="zh-CN"/>
              </w:rPr>
              <w:t>货物</w:t>
            </w:r>
            <w:r>
              <w:rPr>
                <w:rFonts w:hint="eastAsia" w:ascii="仿宋" w:hAnsi="仿宋" w:eastAsia="仿宋" w:cs="仿宋"/>
                <w:sz w:val="24"/>
                <w:szCs w:val="24"/>
                <w:highlight w:val="none"/>
              </w:rPr>
              <w:t>各项技术标准必须符合国家强制性标准。特别注明“进口产品”字样的，优先采购向我国企业转让技术、与我国企业签订消化吸收再创新方案的</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的进口产品，如果有能够满足采购需求的国产产品参与，应当按照公平竞争的原则进行评审。</w:t>
            </w:r>
          </w:p>
          <w:p w14:paraId="759F5934">
            <w:pPr>
              <w:keepNext w:val="0"/>
              <w:keepLines w:val="0"/>
              <w:pageBreakBefore w:val="0"/>
              <w:widowControl w:val="0"/>
              <w:numPr>
                <w:ilvl w:val="0"/>
                <w:numId w:val="0"/>
              </w:numPr>
              <w:kinsoku/>
              <w:wordWrap/>
              <w:overflowPunct/>
              <w:bidi w:val="0"/>
              <w:adjustRightInd/>
              <w:snapToGrid/>
              <w:spacing w:line="240" w:lineRule="auto"/>
              <w:ind w:left="0" w:leftChars="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采购货物中如含“台式计算机、便携式计算机和平板式微型计算机、激光打印机、针式打印机、液晶显示器、制冷压缩机、空调机组、专用制冷空调设备、镇流器、空调机、电热水器、普通照明用双端荧光灯、电视设备、视频设备以及便器、水嘴等”，属于国家强制性采购产品，必须提供所投产品获得国家确定的认证机构出具的、处于有效期之内的节能产品认证证书。</w:t>
            </w:r>
          </w:p>
          <w:p w14:paraId="0C606C4A">
            <w:pPr>
              <w:keepNext w:val="0"/>
              <w:keepLines w:val="0"/>
              <w:pageBreakBefore w:val="0"/>
              <w:widowControl w:val="0"/>
              <w:kinsoku/>
              <w:wordWrap/>
              <w:overflowPunct/>
              <w:bidi w:val="0"/>
              <w:adjustRightInd/>
              <w:snapToGrid/>
              <w:spacing w:line="240" w:lineRule="auto"/>
              <w:ind w:left="0" w:leftChars="0"/>
              <w:textAlignment w:val="auto"/>
              <w:rPr>
                <w:rFonts w:hint="eastAsia" w:ascii="仿宋" w:hAnsi="仿宋" w:eastAsia="仿宋" w:cs="仿宋"/>
                <w:sz w:val="24"/>
                <w:highlight w:val="none"/>
              </w:rPr>
            </w:pPr>
            <w:r>
              <w:rPr>
                <w:rFonts w:hint="eastAsia" w:ascii="仿宋" w:hAnsi="仿宋" w:eastAsia="仿宋" w:cs="仿宋"/>
                <w:sz w:val="24"/>
                <w:highlight w:val="none"/>
              </w:rPr>
              <w:t>3．采购项目中如含有计算机，必须预装正版操作系统软件产品；项目中所采购的其它软件必须为正版软件。</w:t>
            </w:r>
          </w:p>
          <w:p w14:paraId="6380F912">
            <w:pPr>
              <w:keepNext w:val="0"/>
              <w:keepLines w:val="0"/>
              <w:pageBreakBefore w:val="0"/>
              <w:widowControl w:val="0"/>
              <w:kinsoku/>
              <w:wordWrap/>
              <w:overflowPunct/>
              <w:bidi w:val="0"/>
              <w:adjustRightInd/>
              <w:snapToGrid/>
              <w:spacing w:line="240" w:lineRule="auto"/>
              <w:ind w:left="0" w:leftChars="0"/>
              <w:textAlignment w:val="auto"/>
              <w:rPr>
                <w:rFonts w:hint="eastAsia" w:ascii="仿宋" w:hAnsi="仿宋" w:eastAsia="仿宋" w:cs="仿宋"/>
                <w:b/>
                <w:sz w:val="24"/>
                <w:highlight w:val="none"/>
              </w:rPr>
            </w:pPr>
            <w:r>
              <w:rPr>
                <w:rFonts w:hint="eastAsia" w:ascii="仿宋" w:hAnsi="仿宋" w:eastAsia="仿宋" w:cs="仿宋"/>
                <w:sz w:val="24"/>
                <w:highlight w:val="none"/>
              </w:rPr>
              <w:t>4．采购货物中如含有财政部会同有关部门制定下发的《信息安全产品强制性认证目录》中的产品，须提供中国信息安全认证中心按国家标准认证颁发的有效认证证书</w:t>
            </w:r>
            <w:r>
              <w:rPr>
                <w:rFonts w:hint="eastAsia" w:ascii="仿宋" w:hAnsi="仿宋" w:eastAsia="仿宋" w:cs="仿宋"/>
                <w:b/>
                <w:sz w:val="24"/>
                <w:highlight w:val="none"/>
              </w:rPr>
              <w:t>。</w:t>
            </w:r>
          </w:p>
          <w:p w14:paraId="6288C7A7">
            <w:pPr>
              <w:keepNext w:val="0"/>
              <w:keepLines w:val="0"/>
              <w:pageBreakBefore w:val="0"/>
              <w:widowControl w:val="0"/>
              <w:kinsoku/>
              <w:wordWrap/>
              <w:overflowPunct/>
              <w:bidi w:val="0"/>
              <w:adjustRightInd/>
              <w:snapToGrid/>
              <w:spacing w:line="240" w:lineRule="auto"/>
              <w:ind w:left="0" w:leftChars="0"/>
              <w:textAlignment w:val="auto"/>
              <w:rPr>
                <w:rFonts w:hint="eastAsia" w:ascii="仿宋" w:hAnsi="仿宋" w:eastAsia="仿宋" w:cs="仿宋"/>
                <w:sz w:val="24"/>
                <w:highlight w:val="none"/>
              </w:rPr>
            </w:pPr>
            <w:r>
              <w:rPr>
                <w:rFonts w:hint="eastAsia" w:ascii="仿宋" w:hAnsi="仿宋" w:eastAsia="仿宋" w:cs="仿宋"/>
                <w:b/>
                <w:sz w:val="24"/>
                <w:highlight w:val="none"/>
                <w:lang w:val="en-US" w:eastAsia="zh-CN"/>
              </w:rPr>
              <w:t>投标人</w:t>
            </w:r>
            <w:r>
              <w:rPr>
                <w:rFonts w:hint="eastAsia" w:ascii="仿宋" w:hAnsi="仿宋" w:eastAsia="仿宋" w:cs="仿宋"/>
                <w:b/>
                <w:sz w:val="24"/>
                <w:highlight w:val="none"/>
              </w:rPr>
              <w:t>参加本次</w:t>
            </w:r>
            <w:r>
              <w:rPr>
                <w:rFonts w:hint="eastAsia" w:ascii="仿宋" w:hAnsi="仿宋" w:eastAsia="仿宋" w:cs="仿宋"/>
                <w:b/>
                <w:sz w:val="24"/>
                <w:highlight w:val="none"/>
                <w:lang w:val="en-US" w:eastAsia="zh-CN"/>
              </w:rPr>
              <w:t>采购</w:t>
            </w:r>
            <w:r>
              <w:rPr>
                <w:rFonts w:hint="eastAsia" w:ascii="仿宋" w:hAnsi="仿宋" w:eastAsia="仿宋" w:cs="仿宋"/>
                <w:b/>
                <w:sz w:val="24"/>
                <w:highlight w:val="none"/>
              </w:rPr>
              <w:t>活动，如涉及上述1-4项要求，均应作出实质性响应，否则将导致</w:t>
            </w:r>
            <w:r>
              <w:rPr>
                <w:rFonts w:hint="eastAsia" w:ascii="仿宋" w:hAnsi="仿宋" w:eastAsia="仿宋" w:cs="仿宋"/>
                <w:b/>
                <w:sz w:val="24"/>
                <w:highlight w:val="none"/>
                <w:lang w:val="en-US" w:eastAsia="zh-CN"/>
              </w:rPr>
              <w:t>响应</w:t>
            </w:r>
            <w:r>
              <w:rPr>
                <w:rFonts w:hint="eastAsia" w:ascii="仿宋" w:hAnsi="仿宋" w:eastAsia="仿宋" w:cs="仿宋"/>
                <w:b/>
                <w:sz w:val="24"/>
                <w:highlight w:val="none"/>
              </w:rPr>
              <w:t>无效。</w:t>
            </w:r>
            <w:r>
              <w:rPr>
                <w:rFonts w:hint="eastAsia" w:ascii="仿宋" w:hAnsi="仿宋" w:eastAsia="仿宋" w:cs="仿宋"/>
                <w:b/>
                <w:bCs/>
                <w:sz w:val="24"/>
                <w:highlight w:val="none"/>
              </w:rPr>
              <w:t>如项目不涉及，可不提供。</w:t>
            </w:r>
          </w:p>
          <w:p w14:paraId="18098550">
            <w:pPr>
              <w:pageBreakBefore w:val="0"/>
              <w:kinsoku/>
              <w:overflowPunct/>
              <w:bidi w:val="0"/>
              <w:adjustRightInd/>
              <w:snapToGrid/>
              <w:spacing w:line="240" w:lineRule="auto"/>
              <w:ind w:left="63" w:leftChars="30" w:firstLine="4" w:firstLineChars="2"/>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中小微企业参加本项目：</w:t>
            </w:r>
          </w:p>
          <w:p w14:paraId="3D603868">
            <w:pPr>
              <w:pageBreakBefore w:val="0"/>
              <w:kinsoku/>
              <w:overflowPunct/>
              <w:bidi w:val="0"/>
              <w:adjustRightInd/>
              <w:snapToGrid/>
              <w:spacing w:line="240" w:lineRule="auto"/>
              <w:ind w:left="63" w:leftChars="30" w:firstLine="4" w:firstLineChars="2"/>
              <w:rPr>
                <w:rFonts w:hint="eastAsia" w:ascii="仿宋" w:hAnsi="仿宋" w:eastAsia="仿宋" w:cs="仿宋"/>
                <w:sz w:val="24"/>
                <w:highlight w:val="none"/>
              </w:rPr>
            </w:pPr>
            <w:r>
              <w:rPr>
                <w:rFonts w:hint="eastAsia" w:ascii="仿宋" w:hAnsi="仿宋" w:eastAsia="仿宋" w:cs="仿宋"/>
                <w:sz w:val="24"/>
                <w:highlight w:val="none"/>
              </w:rPr>
              <w:t>须按照财政部、工业和信息化部发布</w:t>
            </w:r>
            <w:r>
              <w:rPr>
                <w:rFonts w:hint="eastAsia" w:ascii="仿宋" w:hAnsi="仿宋" w:eastAsia="仿宋" w:cs="仿宋"/>
                <w:sz w:val="24"/>
                <w:highlight w:val="none"/>
                <w:lang w:eastAsia="zh-CN"/>
              </w:rPr>
              <w:t>的</w:t>
            </w:r>
            <w:r>
              <w:rPr>
                <w:rFonts w:hint="eastAsia" w:ascii="仿宋" w:hAnsi="仿宋" w:eastAsia="仿宋" w:cs="仿宋"/>
                <w:sz w:val="24"/>
                <w:highlight w:val="none"/>
              </w:rPr>
              <w:t>《关于印发&lt;政府采购促进中小企业发展管理办法&gt;的通知》(财库〔2020〕46号</w:t>
            </w:r>
            <w:r>
              <w:rPr>
                <w:rFonts w:hint="eastAsia" w:ascii="仿宋" w:hAnsi="仿宋" w:eastAsia="仿宋" w:cs="仿宋"/>
                <w:sz w:val="24"/>
                <w:highlight w:val="none"/>
                <w:lang w:eastAsia="zh-CN"/>
              </w:rPr>
              <w:t>），并依据</w:t>
            </w:r>
            <w:r>
              <w:rPr>
                <w:rFonts w:hint="eastAsia" w:ascii="仿宋" w:hAnsi="仿宋" w:eastAsia="仿宋" w:cs="仿宋"/>
                <w:sz w:val="24"/>
                <w:highlight w:val="none"/>
              </w:rPr>
              <w:t>工信部联【2011】300号《中小企业划型标准规定》的标准</w:t>
            </w:r>
            <w:r>
              <w:rPr>
                <w:rFonts w:hint="eastAsia" w:ascii="仿宋" w:hAnsi="仿宋" w:eastAsia="仿宋" w:cs="仿宋"/>
                <w:sz w:val="24"/>
                <w:highlight w:val="none"/>
                <w:lang w:eastAsia="zh-CN"/>
              </w:rPr>
              <w:t>，</w:t>
            </w:r>
            <w:r>
              <w:rPr>
                <w:rFonts w:hint="eastAsia" w:ascii="仿宋" w:hAnsi="仿宋" w:eastAsia="仿宋" w:cs="仿宋"/>
                <w:sz w:val="24"/>
                <w:highlight w:val="none"/>
              </w:rPr>
              <w:t>如实填写《中小企业声明函》</w:t>
            </w:r>
            <w:r>
              <w:rPr>
                <w:rFonts w:hint="eastAsia" w:ascii="仿宋" w:hAnsi="仿宋" w:eastAsia="仿宋" w:cs="仿宋"/>
                <w:sz w:val="24"/>
                <w:highlight w:val="none"/>
                <w:lang w:eastAsia="zh-CN"/>
              </w:rPr>
              <w:t>。</w:t>
            </w:r>
          </w:p>
          <w:p w14:paraId="6AC49CAE">
            <w:pPr>
              <w:pageBreakBefore w:val="0"/>
              <w:kinsoku/>
              <w:overflowPunct/>
              <w:bidi w:val="0"/>
              <w:adjustRightInd/>
              <w:snapToGrid/>
              <w:spacing w:line="240" w:lineRule="auto"/>
              <w:ind w:left="63" w:leftChars="30" w:firstLine="4" w:firstLineChars="2"/>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．残疾人福利单位参加本项目：</w:t>
            </w:r>
          </w:p>
          <w:p w14:paraId="4B1F4BD7">
            <w:pPr>
              <w:pageBreakBefore w:val="0"/>
              <w:kinsoku/>
              <w:overflowPunct/>
              <w:bidi w:val="0"/>
              <w:adjustRightInd/>
              <w:snapToGrid/>
              <w:spacing w:line="240" w:lineRule="auto"/>
              <w:ind w:left="63" w:leftChars="30" w:firstLine="4" w:firstLineChars="2"/>
              <w:rPr>
                <w:rFonts w:hint="eastAsia" w:ascii="仿宋" w:hAnsi="仿宋" w:eastAsia="仿宋" w:cs="仿宋"/>
                <w:sz w:val="24"/>
                <w:highlight w:val="none"/>
              </w:rPr>
            </w:pPr>
            <w:r>
              <w:rPr>
                <w:rFonts w:hint="eastAsia" w:ascii="仿宋" w:hAnsi="仿宋" w:eastAsia="仿宋" w:cs="仿宋"/>
                <w:sz w:val="24"/>
                <w:highlight w:val="none"/>
              </w:rPr>
              <w:t>依据《三部门联合发布关于促进残疾人就业政府采购政策的通知》（财库[2017]141号）第三条规定，</w:t>
            </w:r>
            <w:r>
              <w:rPr>
                <w:rFonts w:hint="eastAsia" w:ascii="仿宋" w:hAnsi="仿宋" w:eastAsia="仿宋" w:cs="仿宋"/>
                <w:sz w:val="24"/>
                <w:highlight w:val="none"/>
                <w:lang w:val="en-US" w:eastAsia="zh-CN"/>
              </w:rPr>
              <w:t>需附</w:t>
            </w:r>
            <w:r>
              <w:rPr>
                <w:rFonts w:hint="eastAsia" w:ascii="仿宋" w:hAnsi="仿宋" w:eastAsia="仿宋" w:cs="仿宋"/>
                <w:sz w:val="24"/>
                <w:highlight w:val="none"/>
              </w:rPr>
              <w:t>残疾人福利性单位声明函</w:t>
            </w:r>
            <w:r>
              <w:rPr>
                <w:rFonts w:hint="eastAsia" w:ascii="仿宋" w:hAnsi="仿宋" w:eastAsia="仿宋" w:cs="仿宋"/>
                <w:sz w:val="24"/>
                <w:highlight w:val="none"/>
                <w:lang w:eastAsia="zh-CN"/>
              </w:rPr>
              <w:t>。</w:t>
            </w:r>
          </w:p>
          <w:p w14:paraId="77E9CE9F">
            <w:pPr>
              <w:pageBreakBefore w:val="0"/>
              <w:kinsoku/>
              <w:overflowPunct/>
              <w:bidi w:val="0"/>
              <w:adjustRightInd/>
              <w:snapToGrid/>
              <w:spacing w:line="240" w:lineRule="auto"/>
              <w:ind w:left="63" w:leftChars="30" w:firstLine="4" w:firstLineChars="2"/>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．监狱企业参加本项目：</w:t>
            </w:r>
          </w:p>
          <w:p w14:paraId="52298C67">
            <w:pPr>
              <w:pageBreakBefore w:val="0"/>
              <w:kinsoku/>
              <w:overflowPunct/>
              <w:bidi w:val="0"/>
              <w:adjustRightInd/>
              <w:snapToGrid/>
              <w:spacing w:line="240" w:lineRule="auto"/>
              <w:ind w:left="63" w:leftChars="30" w:firstLine="4" w:firstLineChars="2"/>
              <w:rPr>
                <w:rFonts w:hint="eastAsia" w:ascii="仿宋" w:hAnsi="仿宋" w:eastAsia="仿宋" w:cs="仿宋"/>
                <w:sz w:val="24"/>
                <w:highlight w:val="none"/>
                <w:lang w:val="en-US" w:eastAsia="zh-CN"/>
              </w:rPr>
            </w:pPr>
            <w:r>
              <w:rPr>
                <w:rFonts w:hint="eastAsia" w:ascii="仿宋" w:hAnsi="仿宋" w:eastAsia="仿宋" w:cs="仿宋"/>
                <w:sz w:val="24"/>
                <w:highlight w:val="none"/>
              </w:rPr>
              <w:t>依据《财政部司法部关于政府采购支持监狱企业发展有关问题的通知》(财库〔2014〕68号)规定，</w:t>
            </w:r>
            <w:r>
              <w:rPr>
                <w:rFonts w:hint="eastAsia" w:ascii="仿宋" w:hAnsi="仿宋" w:eastAsia="仿宋" w:cs="仿宋"/>
                <w:sz w:val="24"/>
                <w:highlight w:val="none"/>
                <w:lang w:val="en-US" w:eastAsia="zh-CN"/>
              </w:rPr>
              <w:t>须提供相关证明材料。</w:t>
            </w:r>
          </w:p>
          <w:p w14:paraId="43F28A99">
            <w:pPr>
              <w:pageBreakBefore w:val="0"/>
              <w:kinsoku/>
              <w:overflowPunct/>
              <w:bidi w:val="0"/>
              <w:adjustRightInd/>
              <w:snapToGrid/>
              <w:spacing w:line="240" w:lineRule="auto"/>
              <w:ind w:left="63" w:leftChars="30" w:firstLine="4" w:firstLineChars="2"/>
              <w:rPr>
                <w:rFonts w:hint="eastAsia" w:ascii="仿宋" w:hAnsi="仿宋" w:eastAsia="仿宋" w:cs="仿宋"/>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.联合体参加本项目：</w:t>
            </w:r>
          </w:p>
          <w:p w14:paraId="158D3B43">
            <w:pPr>
              <w:pageBreakBefore w:val="0"/>
              <w:kinsoku/>
              <w:overflowPunct/>
              <w:bidi w:val="0"/>
              <w:adjustRightInd/>
              <w:snapToGrid/>
              <w:spacing w:line="240" w:lineRule="auto"/>
              <w:ind w:left="63" w:leftChars="30" w:firstLine="4" w:firstLineChars="2"/>
              <w:rPr>
                <w:rFonts w:hint="eastAsia" w:ascii="仿宋" w:hAnsi="仿宋" w:eastAsia="仿宋" w:cs="仿宋"/>
                <w:sz w:val="24"/>
                <w:highlight w:val="none"/>
                <w:lang w:val="en-US" w:eastAsia="zh-CN"/>
              </w:rPr>
            </w:pPr>
            <w:r>
              <w:rPr>
                <w:rFonts w:hint="eastAsia" w:ascii="仿宋" w:hAnsi="仿宋" w:eastAsia="仿宋" w:cs="仿宋"/>
                <w:sz w:val="24"/>
                <w:highlight w:val="none"/>
              </w:rPr>
              <w:t>如本项目</w:t>
            </w:r>
            <w:r>
              <w:rPr>
                <w:rFonts w:hint="eastAsia" w:ascii="仿宋" w:hAnsi="仿宋" w:eastAsia="仿宋" w:cs="仿宋"/>
                <w:sz w:val="24"/>
                <w:highlight w:val="none"/>
                <w:lang w:val="en-US" w:eastAsia="zh-CN"/>
              </w:rPr>
              <w:t>为</w:t>
            </w:r>
            <w:r>
              <w:rPr>
                <w:rFonts w:hint="eastAsia" w:ascii="仿宋" w:hAnsi="仿宋" w:eastAsia="仿宋" w:cs="仿宋"/>
                <w:sz w:val="24"/>
                <w:highlight w:val="none"/>
              </w:rPr>
              <w:t>接受大中型企业与小微企业组成联合体或者允许大中型企业向一家或者多家小微企业分包的采购项目</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需附《联合体投标协议书》。</w:t>
            </w:r>
          </w:p>
          <w:p w14:paraId="2DB5DB19">
            <w:pPr>
              <w:pageBreakBefore w:val="0"/>
              <w:kinsoku/>
              <w:overflowPunct/>
              <w:bidi w:val="0"/>
              <w:adjustRightInd/>
              <w:snapToGrid/>
              <w:spacing w:line="240" w:lineRule="auto"/>
              <w:ind w:left="63" w:leftChars="30" w:firstLine="4" w:firstLineChars="2"/>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9.创新产品参加的项目</w:t>
            </w:r>
          </w:p>
          <w:p w14:paraId="4A0065E9">
            <w:pPr>
              <w:pageBreakBefore w:val="0"/>
              <w:kinsoku/>
              <w:overflowPunct/>
              <w:bidi w:val="0"/>
              <w:adjustRightInd/>
              <w:snapToGrid/>
              <w:spacing w:line="240" w:lineRule="auto"/>
              <w:ind w:left="63" w:leftChars="30" w:firstLine="4" w:firstLineChars="2"/>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根据《政府采购支持创新产品和服务实施细则》（晋财购【2019】19号）应在投标文件中填写《创新产品或创新服务明细表》，并提供《山西省创新产品和服务推荐清单》。</w:t>
            </w:r>
          </w:p>
          <w:p w14:paraId="1D0FFCFE">
            <w:pPr>
              <w:pageBreakBefore w:val="0"/>
              <w:kinsoku/>
              <w:overflowPunct/>
              <w:bidi w:val="0"/>
              <w:adjustRightInd/>
              <w:snapToGrid/>
              <w:spacing w:line="240" w:lineRule="auto"/>
              <w:ind w:left="63" w:leftChars="30" w:firstLine="4" w:firstLineChars="2"/>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10.商品包装和快递包装</w:t>
            </w:r>
          </w:p>
          <w:p w14:paraId="1A314786">
            <w:pPr>
              <w:pageBreakBefore w:val="0"/>
              <w:kinsoku/>
              <w:overflowPunct/>
              <w:bidi w:val="0"/>
              <w:adjustRightInd/>
              <w:snapToGrid/>
              <w:spacing w:line="240" w:lineRule="auto"/>
              <w:ind w:left="63" w:leftChars="30" w:firstLine="4" w:firstLineChars="2"/>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本文件列出商品包装和快递包装要求的，投标人需填写商品包装和快递包装承诺函，承诺商品包装符合《商品包装政府采购需求标准（试行）》，快递包装符合《快递包装政府采购需求标准（试行）》。</w:t>
            </w:r>
          </w:p>
          <w:p w14:paraId="4E82F873">
            <w:pPr>
              <w:keepNext w:val="0"/>
              <w:keepLines w:val="0"/>
              <w:pageBreakBefore w:val="0"/>
              <w:widowControl w:val="0"/>
              <w:kinsoku/>
              <w:wordWrap/>
              <w:overflowPunct/>
              <w:topLinePunct w:val="0"/>
              <w:autoSpaceDE/>
              <w:autoSpaceDN/>
              <w:bidi w:val="0"/>
              <w:adjustRightInd/>
              <w:snapToGrid/>
              <w:spacing w:after="100" w:line="240" w:lineRule="auto"/>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本项目所属行业为：其他未列明行业</w:t>
            </w:r>
          </w:p>
          <w:p w14:paraId="138B491C">
            <w:pPr>
              <w:keepNext w:val="0"/>
              <w:keepLines w:val="0"/>
              <w:pageBreakBefore w:val="0"/>
              <w:widowControl w:val="0"/>
              <w:kinsoku/>
              <w:wordWrap/>
              <w:overflowPunct/>
              <w:bidi w:val="0"/>
              <w:adjustRightInd/>
              <w:snapToGrid/>
              <w:spacing w:line="240" w:lineRule="auto"/>
              <w:ind w:left="0" w:leftChars="0" w:firstLine="5" w:firstLineChars="2"/>
              <w:textAlignment w:val="auto"/>
              <w:rPr>
                <w:rFonts w:hint="eastAsia" w:ascii="仿宋" w:hAnsi="仿宋" w:eastAsia="仿宋" w:cs="仿宋"/>
                <w:b/>
                <w:sz w:val="24"/>
                <w:highlight w:val="none"/>
              </w:rPr>
            </w:pPr>
            <w:r>
              <w:rPr>
                <w:rFonts w:hint="eastAsia" w:ascii="仿宋" w:hAnsi="仿宋" w:eastAsia="仿宋" w:cs="仿宋"/>
                <w:b/>
                <w:sz w:val="24"/>
                <w:highlight w:val="none"/>
              </w:rPr>
              <w:t>注：</w:t>
            </w:r>
          </w:p>
          <w:p w14:paraId="59EE51BF">
            <w:pPr>
              <w:keepNext w:val="0"/>
              <w:keepLines w:val="0"/>
              <w:pageBreakBefore w:val="0"/>
              <w:widowControl w:val="0"/>
              <w:kinsoku/>
              <w:wordWrap/>
              <w:overflowPunct/>
              <w:topLinePunct w:val="0"/>
              <w:autoSpaceDE/>
              <w:autoSpaceDN/>
              <w:bidi w:val="0"/>
              <w:adjustRightInd/>
              <w:snapToGrid/>
              <w:spacing w:after="100" w:line="240" w:lineRule="auto"/>
              <w:textAlignment w:val="auto"/>
              <w:rPr>
                <w:rFonts w:ascii="仿宋" w:hAnsi="仿宋" w:eastAsia="仿宋" w:cs="仿宋"/>
                <w:b/>
                <w:color w:val="auto"/>
                <w:kern w:val="0"/>
                <w:sz w:val="24"/>
                <w:szCs w:val="24"/>
                <w:highlight w:val="none"/>
                <w:lang w:val="en-US" w:eastAsia="zh-CN" w:bidi="ar-SA"/>
              </w:rPr>
            </w:pPr>
            <w:r>
              <w:rPr>
                <w:rFonts w:hint="eastAsia" w:ascii="仿宋" w:hAnsi="仿宋" w:eastAsia="仿宋" w:cs="仿宋"/>
                <w:sz w:val="24"/>
                <w:highlight w:val="none"/>
              </w:rPr>
              <w:t>如本项目（包）是专门面向小微企业或残疾人企业或监狱企业或需要由联合体</w:t>
            </w:r>
            <w:r>
              <w:rPr>
                <w:rFonts w:hint="eastAsia" w:ascii="仿宋" w:hAnsi="仿宋" w:eastAsia="仿宋" w:cs="仿宋"/>
                <w:sz w:val="24"/>
                <w:highlight w:val="none"/>
                <w:lang w:val="en-US" w:eastAsia="zh-CN"/>
              </w:rPr>
              <w:t>投标</w:t>
            </w:r>
            <w:r>
              <w:rPr>
                <w:rFonts w:hint="eastAsia" w:ascii="仿宋" w:hAnsi="仿宋" w:eastAsia="仿宋" w:cs="仿宋"/>
                <w:sz w:val="24"/>
                <w:highlight w:val="none"/>
              </w:rPr>
              <w:t>的采购项目，本项第5-8</w:t>
            </w:r>
            <w:r>
              <w:rPr>
                <w:rFonts w:hint="eastAsia" w:ascii="仿宋" w:hAnsi="仿宋" w:eastAsia="仿宋" w:cs="仿宋"/>
                <w:sz w:val="24"/>
                <w:highlight w:val="none"/>
                <w:lang w:val="en-US" w:eastAsia="zh-CN"/>
              </w:rPr>
              <w:t>条</w:t>
            </w:r>
            <w:r>
              <w:rPr>
                <w:rFonts w:hint="eastAsia" w:ascii="仿宋" w:hAnsi="仿宋" w:eastAsia="仿宋" w:cs="仿宋"/>
                <w:sz w:val="24"/>
                <w:highlight w:val="none"/>
              </w:rPr>
              <w:t>应作为资格证明文件与本表第5项内容一并提交，否则</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无效。</w:t>
            </w:r>
          </w:p>
        </w:tc>
      </w:tr>
      <w:tr w14:paraId="2093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Align w:val="center"/>
          </w:tcPr>
          <w:p w14:paraId="0A91E2ED">
            <w:pPr>
              <w:pageBreakBefore w:val="0"/>
              <w:kinsoku/>
              <w:overflowPunct/>
              <w:bidi w:val="0"/>
              <w:adjustRightInd/>
              <w:snapToGrid/>
              <w:spacing w:line="24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6</w:t>
            </w:r>
          </w:p>
        </w:tc>
        <w:tc>
          <w:tcPr>
            <w:tcW w:w="1187" w:type="pct"/>
            <w:vAlign w:val="center"/>
          </w:tcPr>
          <w:p w14:paraId="2DD61B36">
            <w:pPr>
              <w:pageBreakBefore w:val="0"/>
              <w:kinsoku/>
              <w:overflowPunct/>
              <w:bidi w:val="0"/>
              <w:adjustRightInd/>
              <w:snapToGrid/>
              <w:spacing w:line="240" w:lineRule="auto"/>
              <w:ind w:firstLine="240" w:firstLineChars="100"/>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投标有效期</w:t>
            </w:r>
          </w:p>
        </w:tc>
        <w:tc>
          <w:tcPr>
            <w:tcW w:w="3451" w:type="pct"/>
            <w:vAlign w:val="center"/>
          </w:tcPr>
          <w:p w14:paraId="7D7AA009">
            <w:pPr>
              <w:pageBreakBefore w:val="0"/>
              <w:kinsoku/>
              <w:overflowPunct/>
              <w:bidi w:val="0"/>
              <w:adjustRightInd/>
              <w:snapToGrid/>
              <w:spacing w:line="240" w:lineRule="auto"/>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90日历天（从提交投标文件截止之日起计算）</w:t>
            </w:r>
          </w:p>
        </w:tc>
      </w:tr>
      <w:tr w14:paraId="35E4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1" w:type="pct"/>
            <w:vAlign w:val="center"/>
          </w:tcPr>
          <w:p w14:paraId="3AAA7E9C">
            <w:pPr>
              <w:pageBreakBefore w:val="0"/>
              <w:kinsoku/>
              <w:overflowPunct/>
              <w:bidi w:val="0"/>
              <w:adjustRightInd/>
              <w:snapToGrid/>
              <w:spacing w:line="240" w:lineRule="auto"/>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7</w:t>
            </w:r>
          </w:p>
        </w:tc>
        <w:tc>
          <w:tcPr>
            <w:tcW w:w="1187" w:type="pct"/>
            <w:vAlign w:val="center"/>
          </w:tcPr>
          <w:p w14:paraId="22D2D66A">
            <w:pPr>
              <w:pageBreakBefore w:val="0"/>
              <w:kinsoku/>
              <w:overflowPunct/>
              <w:bidi w:val="0"/>
              <w:adjustRightInd/>
              <w:snapToGrid/>
              <w:spacing w:line="240" w:lineRule="auto"/>
              <w:ind w:left="-105" w:leftChars="-50" w:right="-105" w:rightChars="-50"/>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构成</w:t>
            </w:r>
          </w:p>
        </w:tc>
        <w:tc>
          <w:tcPr>
            <w:tcW w:w="3451" w:type="pct"/>
            <w:vAlign w:val="center"/>
          </w:tcPr>
          <w:p w14:paraId="47128D87">
            <w:pPr>
              <w:pStyle w:val="61"/>
              <w:keepNext w:val="0"/>
              <w:keepLines w:val="0"/>
              <w:pageBreakBefore w:val="0"/>
              <w:kinsoku/>
              <w:overflowPunct/>
              <w:bidi w:val="0"/>
              <w:adjustRightInd/>
              <w:snapToGrid/>
              <w:spacing w:before="0" w:after="0" w:line="240" w:lineRule="auto"/>
              <w:rPr>
                <w:rFonts w:ascii="仿宋" w:hAnsi="仿宋" w:eastAsia="仿宋" w:cs="仿宋"/>
                <w:b w:val="0"/>
                <w:bCs w:val="0"/>
                <w:color w:val="auto"/>
                <w:kern w:val="2"/>
                <w:sz w:val="24"/>
                <w:szCs w:val="24"/>
                <w:highlight w:val="none"/>
                <w:lang w:val="en-US" w:eastAsia="zh-CN" w:bidi="ar-SA"/>
              </w:rPr>
            </w:pPr>
            <w:r>
              <w:rPr>
                <w:rFonts w:hint="eastAsia" w:ascii="仿宋" w:hAnsi="仿宋" w:eastAsia="仿宋" w:cs="仿宋"/>
                <w:bCs/>
                <w:color w:val="auto"/>
                <w:sz w:val="24"/>
                <w:szCs w:val="24"/>
                <w:highlight w:val="none"/>
              </w:rPr>
              <w:t>本</w:t>
            </w:r>
            <w:r>
              <w:rPr>
                <w:rFonts w:hint="eastAsia" w:ascii="仿宋" w:hAnsi="仿宋" w:eastAsia="仿宋" w:cs="仿宋"/>
                <w:bCs/>
                <w:color w:val="auto"/>
                <w:sz w:val="24"/>
                <w:szCs w:val="24"/>
                <w:highlight w:val="none"/>
                <w:lang w:eastAsia="zh-CN"/>
              </w:rPr>
              <w:t>招标</w:t>
            </w:r>
            <w:r>
              <w:rPr>
                <w:rFonts w:hint="eastAsia" w:ascii="仿宋" w:hAnsi="仿宋" w:eastAsia="仿宋" w:cs="仿宋"/>
                <w:bCs/>
                <w:color w:val="auto"/>
                <w:sz w:val="24"/>
                <w:szCs w:val="24"/>
                <w:highlight w:val="none"/>
              </w:rPr>
              <w:t>项目的</w:t>
            </w:r>
            <w:r>
              <w:rPr>
                <w:rFonts w:hint="eastAsia" w:ascii="仿宋" w:hAnsi="仿宋" w:eastAsia="仿宋" w:cs="仿宋"/>
                <w:color w:val="auto"/>
                <w:sz w:val="24"/>
                <w:highlight w:val="none"/>
                <w:lang w:eastAsia="zh-CN"/>
              </w:rPr>
              <w:t>评审小组</w:t>
            </w:r>
            <w:r>
              <w:rPr>
                <w:rFonts w:hint="eastAsia" w:ascii="仿宋" w:hAnsi="仿宋" w:eastAsia="仿宋" w:cs="仿宋"/>
                <w:bCs/>
                <w:color w:val="auto"/>
                <w:sz w:val="24"/>
                <w:szCs w:val="24"/>
                <w:highlight w:val="none"/>
              </w:rPr>
              <w:t>成员由</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5</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人组成，其中评审专家</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4</w:t>
            </w:r>
            <w:r>
              <w:rPr>
                <w:rFonts w:hint="eastAsia" w:ascii="仿宋" w:hAnsi="仿宋" w:eastAsia="仿宋" w:cs="仿宋"/>
                <w:bCs/>
                <w:color w:val="auto"/>
                <w:sz w:val="24"/>
                <w:szCs w:val="24"/>
                <w:highlight w:val="none"/>
              </w:rPr>
              <w:t>人，</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代表</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1</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人。</w:t>
            </w:r>
          </w:p>
        </w:tc>
      </w:tr>
      <w:tr w14:paraId="6FF4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Align w:val="center"/>
          </w:tcPr>
          <w:p w14:paraId="0A80C8D9">
            <w:pPr>
              <w:pageBreakBefore w:val="0"/>
              <w:kinsoku/>
              <w:overflowPunct/>
              <w:bidi w:val="0"/>
              <w:adjustRightInd/>
              <w:snapToGrid/>
              <w:spacing w:line="240" w:lineRule="auto"/>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8</w:t>
            </w:r>
          </w:p>
        </w:tc>
        <w:tc>
          <w:tcPr>
            <w:tcW w:w="1187" w:type="pct"/>
            <w:vAlign w:val="center"/>
          </w:tcPr>
          <w:p w14:paraId="596FDF61">
            <w:pPr>
              <w:pageBreakBefore w:val="0"/>
              <w:kinsoku/>
              <w:overflowPunct/>
              <w:bidi w:val="0"/>
              <w:adjustRightInd/>
              <w:snapToGrid/>
              <w:spacing w:line="240" w:lineRule="auto"/>
              <w:ind w:left="-105" w:leftChars="-50" w:right="-105" w:rightChars="-50"/>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现场勘查</w:t>
            </w:r>
          </w:p>
        </w:tc>
        <w:tc>
          <w:tcPr>
            <w:tcW w:w="3451" w:type="pct"/>
            <w:vAlign w:val="center"/>
          </w:tcPr>
          <w:p w14:paraId="790289C9">
            <w:pPr>
              <w:pStyle w:val="61"/>
              <w:keepNext w:val="0"/>
              <w:keepLines w:val="0"/>
              <w:pageBreakBefore w:val="0"/>
              <w:kinsoku/>
              <w:overflowPunct/>
              <w:bidi w:val="0"/>
              <w:adjustRightInd/>
              <w:snapToGrid/>
              <w:spacing w:before="0" w:after="0" w:line="240" w:lineRule="auto"/>
              <w:rPr>
                <w:rFonts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kern w:val="0"/>
                <w:sz w:val="24"/>
                <w:highlight w:val="none"/>
              </w:rPr>
              <w:t>招标文件提供期限截止后，如需要，书面通知</w:t>
            </w:r>
          </w:p>
        </w:tc>
      </w:tr>
      <w:tr w14:paraId="5D45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Align w:val="center"/>
          </w:tcPr>
          <w:p w14:paraId="6E14E6E1">
            <w:pPr>
              <w:pageBreakBefore w:val="0"/>
              <w:kinsoku/>
              <w:overflowPunct/>
              <w:bidi w:val="0"/>
              <w:adjustRightInd/>
              <w:snapToGrid/>
              <w:spacing w:line="240" w:lineRule="auto"/>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9</w:t>
            </w:r>
          </w:p>
        </w:tc>
        <w:tc>
          <w:tcPr>
            <w:tcW w:w="1187" w:type="pct"/>
            <w:vAlign w:val="center"/>
          </w:tcPr>
          <w:p w14:paraId="06C1A5B9">
            <w:pPr>
              <w:pageBreakBefore w:val="0"/>
              <w:kinsoku/>
              <w:overflowPunct/>
              <w:bidi w:val="0"/>
              <w:adjustRightInd/>
              <w:snapToGrid/>
              <w:spacing w:line="240" w:lineRule="auto"/>
              <w:ind w:left="-105" w:leftChars="-50" w:right="-105" w:rightChars="-50"/>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标前答疑</w:t>
            </w:r>
          </w:p>
        </w:tc>
        <w:tc>
          <w:tcPr>
            <w:tcW w:w="3451" w:type="pct"/>
            <w:vAlign w:val="center"/>
          </w:tcPr>
          <w:p w14:paraId="0C897757">
            <w:pPr>
              <w:pStyle w:val="61"/>
              <w:keepNext w:val="0"/>
              <w:keepLines w:val="0"/>
              <w:pageBreakBefore w:val="0"/>
              <w:kinsoku/>
              <w:overflowPunct/>
              <w:bidi w:val="0"/>
              <w:adjustRightInd/>
              <w:snapToGrid/>
              <w:spacing w:before="0" w:after="0" w:line="240" w:lineRule="auto"/>
              <w:rPr>
                <w:rFonts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kern w:val="0"/>
                <w:sz w:val="24"/>
                <w:highlight w:val="none"/>
              </w:rPr>
              <w:t>招标文件提供期限截止后，如需要，书面通知</w:t>
            </w:r>
          </w:p>
        </w:tc>
      </w:tr>
      <w:tr w14:paraId="5704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Align w:val="center"/>
          </w:tcPr>
          <w:p w14:paraId="418B8159">
            <w:pPr>
              <w:pageBreakBefore w:val="0"/>
              <w:kinsoku/>
              <w:overflowPunct/>
              <w:bidi w:val="0"/>
              <w:adjustRightInd/>
              <w:snapToGrid/>
              <w:spacing w:line="240" w:lineRule="auto"/>
              <w:jc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10</w:t>
            </w:r>
          </w:p>
        </w:tc>
        <w:tc>
          <w:tcPr>
            <w:tcW w:w="1187" w:type="pct"/>
            <w:vAlign w:val="center"/>
          </w:tcPr>
          <w:p w14:paraId="3E5FCE7C">
            <w:pPr>
              <w:pageBreakBefore w:val="0"/>
              <w:kinsoku/>
              <w:overflowPunct/>
              <w:bidi w:val="0"/>
              <w:adjustRightInd/>
              <w:snapToGrid/>
              <w:spacing w:line="240" w:lineRule="auto"/>
              <w:ind w:left="-105" w:leftChars="-50" w:right="-105" w:rightChars="-50"/>
              <w:jc w:val="cente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招标文件</w:t>
            </w:r>
          </w:p>
          <w:p w14:paraId="5219D09F">
            <w:pPr>
              <w:pageBreakBefore w:val="0"/>
              <w:kinsoku/>
              <w:overflowPunct/>
              <w:bidi w:val="0"/>
              <w:adjustRightInd/>
              <w:snapToGrid/>
              <w:spacing w:line="240" w:lineRule="auto"/>
              <w:ind w:left="-105" w:leftChars="-50" w:right="-105" w:rightChars="-50"/>
              <w:jc w:val="center"/>
              <w:textAlignment w:val="baseline"/>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发出的方式</w:t>
            </w:r>
          </w:p>
        </w:tc>
        <w:tc>
          <w:tcPr>
            <w:tcW w:w="3451" w:type="pct"/>
            <w:vAlign w:val="center"/>
          </w:tcPr>
          <w:p w14:paraId="2541C899">
            <w:pPr>
              <w:pStyle w:val="66"/>
              <w:pageBreakBefore w:val="0"/>
              <w:widowControl/>
              <w:kinsoku/>
              <w:wordWrap w:val="0"/>
              <w:overflowPunct/>
              <w:bidi w:val="0"/>
              <w:adjustRightInd/>
              <w:snapToGrid/>
              <w:spacing w:before="0" w:after="0" w:line="240" w:lineRule="auto"/>
              <w:rPr>
                <w:rFonts w:ascii="仿宋" w:hAnsi="仿宋" w:eastAsia="仿宋" w:cs="仿宋"/>
                <w:b w:val="0"/>
                <w:bCs w:val="0"/>
                <w:color w:val="auto"/>
                <w:kern w:val="0"/>
                <w:sz w:val="24"/>
                <w:szCs w:val="32"/>
                <w:highlight w:val="none"/>
                <w:lang w:val="en-US" w:eastAsia="zh-CN" w:bidi="ar-SA"/>
              </w:rPr>
            </w:pPr>
            <w:r>
              <w:rPr>
                <w:rFonts w:hint="eastAsia" w:ascii="仿宋" w:hAnsi="仿宋" w:eastAsia="仿宋" w:cs="仿宋"/>
                <w:color w:val="auto"/>
                <w:sz w:val="24"/>
                <w:szCs w:val="24"/>
                <w:highlight w:val="none"/>
              </w:rPr>
              <w:t>招标文件在山西政府采购平台（https://login.sxzfcg.zcygov.cn/user-login/#/login）发布，投标人应及时获取。因投标人自身原因未及时获取招标文件导致的任何后果，由投标人自行承担。</w:t>
            </w:r>
          </w:p>
        </w:tc>
      </w:tr>
      <w:tr w14:paraId="78F3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Align w:val="center"/>
          </w:tcPr>
          <w:p w14:paraId="7EB699C1">
            <w:pPr>
              <w:pageBreakBefore w:val="0"/>
              <w:kinsoku/>
              <w:overflowPunct/>
              <w:bidi w:val="0"/>
              <w:adjustRightInd/>
              <w:snapToGrid/>
              <w:spacing w:line="240" w:lineRule="auto"/>
              <w:ind w:left="-105" w:leftChars="-50" w:right="-105" w:rightChars="-50"/>
              <w:jc w:val="center"/>
              <w:textAlignment w:val="baseline"/>
              <w:rPr>
                <w:rFonts w:hint="default" w:ascii="仿宋" w:hAnsi="仿宋" w:eastAsia="仿宋" w:cs="仿宋"/>
                <w:b/>
                <w:bCs/>
                <w:color w:val="auto"/>
                <w:sz w:val="24"/>
                <w:highlight w:val="none"/>
                <w:lang w:val="en-US" w:eastAsia="zh-CN"/>
              </w:rPr>
            </w:pPr>
            <w:r>
              <w:rPr>
                <w:rStyle w:val="101"/>
                <w:rFonts w:hint="eastAsia" w:ascii="仿宋" w:hAnsi="仿宋" w:eastAsia="仿宋" w:cs="仿宋"/>
                <w:b/>
                <w:bCs/>
                <w:color w:val="auto"/>
                <w:sz w:val="24"/>
                <w:highlight w:val="none"/>
                <w:lang w:val="en-US" w:eastAsia="zh-CN"/>
              </w:rPr>
              <w:t>11</w:t>
            </w:r>
          </w:p>
        </w:tc>
        <w:tc>
          <w:tcPr>
            <w:tcW w:w="1187" w:type="pct"/>
            <w:vAlign w:val="center"/>
          </w:tcPr>
          <w:p w14:paraId="2F329B3F">
            <w:pPr>
              <w:pageBreakBefore w:val="0"/>
              <w:widowControl/>
              <w:kinsoku/>
              <w:overflowPunct/>
              <w:bidi w:val="0"/>
              <w:adjustRightInd/>
              <w:snapToGrid/>
              <w:spacing w:line="24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递交投标文件的时间和地点</w:t>
            </w:r>
          </w:p>
        </w:tc>
        <w:tc>
          <w:tcPr>
            <w:tcW w:w="3451" w:type="pct"/>
            <w:vAlign w:val="center"/>
          </w:tcPr>
          <w:p w14:paraId="72B324FC">
            <w:pPr>
              <w:pStyle w:val="48"/>
              <w:keepNext w:val="0"/>
              <w:keepLines w:val="0"/>
              <w:pageBreakBefore w:val="0"/>
              <w:widowControl w:val="0"/>
              <w:kinsoku/>
              <w:wordWrap/>
              <w:overflowPunct/>
              <w:topLinePunct w:val="0"/>
              <w:autoSpaceDE/>
              <w:autoSpaceDN/>
              <w:bidi w:val="0"/>
              <w:adjustRightInd/>
              <w:snapToGrid/>
              <w:spacing w:before="100" w:line="240" w:lineRule="auto"/>
              <w:ind w:firstLine="0" w:firstLineChars="0"/>
              <w:textAlignment w:val="auto"/>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截止时间：</w:t>
            </w:r>
            <w:r>
              <w:rPr>
                <w:rFonts w:hint="eastAsia" w:ascii="仿宋" w:hAnsi="仿宋" w:eastAsia="仿宋" w:cs="仿宋"/>
                <w:color w:val="auto"/>
                <w:sz w:val="24"/>
                <w:highlight w:val="none"/>
                <w:u w:val="none"/>
              </w:rPr>
              <w:t>202</w:t>
            </w:r>
            <w:r>
              <w:rPr>
                <w:rFonts w:hint="eastAsia" w:ascii="仿宋" w:hAnsi="仿宋" w:eastAsia="仿宋" w:cs="仿宋"/>
                <w:color w:val="auto"/>
                <w:sz w:val="24"/>
                <w:highlight w:val="none"/>
                <w:u w:val="none"/>
                <w:lang w:val="en-US" w:eastAsia="zh-CN"/>
              </w:rPr>
              <w:t>5</w:t>
            </w:r>
            <w:r>
              <w:rPr>
                <w:rFonts w:hint="eastAsia" w:ascii="仿宋" w:hAnsi="仿宋" w:eastAsia="仿宋" w:cs="仿宋"/>
                <w:color w:val="auto"/>
                <w:sz w:val="24"/>
                <w:highlight w:val="none"/>
                <w:u w:val="none"/>
              </w:rPr>
              <w:t>年</w:t>
            </w:r>
            <w:r>
              <w:rPr>
                <w:rFonts w:hint="eastAsia" w:ascii="仿宋" w:hAnsi="仿宋" w:eastAsia="仿宋" w:cs="仿宋"/>
                <w:color w:val="auto"/>
                <w:sz w:val="24"/>
                <w:highlight w:val="none"/>
                <w:u w:val="none"/>
                <w:lang w:val="en-US" w:eastAsia="zh-CN"/>
              </w:rPr>
              <w:t>8</w:t>
            </w:r>
            <w:r>
              <w:rPr>
                <w:rFonts w:hint="eastAsia" w:ascii="仿宋" w:hAnsi="仿宋" w:eastAsia="仿宋" w:cs="仿宋"/>
                <w:color w:val="auto"/>
                <w:sz w:val="24"/>
                <w:highlight w:val="none"/>
                <w:u w:val="none"/>
              </w:rPr>
              <w:t>月</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highlight w:val="none"/>
                <w:u w:val="none"/>
              </w:rPr>
              <w:t>日</w:t>
            </w:r>
            <w:r>
              <w:rPr>
                <w:rFonts w:hint="eastAsia" w:ascii="仿宋" w:hAnsi="仿宋" w:eastAsia="仿宋" w:cs="仿宋"/>
                <w:color w:val="auto"/>
                <w:sz w:val="24"/>
                <w:highlight w:val="none"/>
                <w:u w:val="none"/>
                <w:lang w:val="en-US" w:eastAsia="zh-CN"/>
              </w:rPr>
              <w:t>8</w:t>
            </w:r>
            <w:r>
              <w:rPr>
                <w:rFonts w:hint="eastAsia" w:ascii="仿宋" w:hAnsi="仿宋" w:eastAsia="仿宋" w:cs="仿宋"/>
                <w:color w:val="auto"/>
                <w:sz w:val="24"/>
                <w:highlight w:val="none"/>
                <w:u w:val="none"/>
              </w:rPr>
              <w:t>点</w:t>
            </w:r>
            <w:r>
              <w:rPr>
                <w:rFonts w:hint="eastAsia" w:ascii="仿宋" w:hAnsi="仿宋" w:eastAsia="仿宋" w:cs="仿宋"/>
                <w:color w:val="auto"/>
                <w:sz w:val="24"/>
                <w:highlight w:val="none"/>
                <w:u w:val="none"/>
                <w:lang w:val="en-US" w:eastAsia="zh-CN"/>
              </w:rPr>
              <w:t>30</w:t>
            </w:r>
            <w:r>
              <w:rPr>
                <w:rFonts w:hint="eastAsia" w:ascii="仿宋" w:hAnsi="仿宋" w:eastAsia="仿宋" w:cs="仿宋"/>
                <w:color w:val="auto"/>
                <w:sz w:val="24"/>
                <w:highlight w:val="none"/>
                <w:u w:val="none"/>
              </w:rPr>
              <w:t>分</w:t>
            </w:r>
            <w:r>
              <w:rPr>
                <w:rFonts w:hint="eastAsia" w:ascii="仿宋" w:hAnsi="仿宋" w:eastAsia="仿宋" w:cs="仿宋"/>
                <w:bCs/>
                <w:color w:val="auto"/>
                <w:sz w:val="24"/>
                <w:highlight w:val="none"/>
                <w:u w:val="none"/>
              </w:rPr>
              <w:t>（</w:t>
            </w:r>
            <w:r>
              <w:rPr>
                <w:rFonts w:hint="eastAsia" w:ascii="仿宋" w:hAnsi="仿宋" w:eastAsia="仿宋" w:cs="仿宋"/>
                <w:bCs/>
                <w:color w:val="auto"/>
                <w:sz w:val="24"/>
                <w:highlight w:val="none"/>
              </w:rPr>
              <w:t>北京时间）</w:t>
            </w:r>
          </w:p>
          <w:p w14:paraId="705DEA8E">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highlight w:val="none"/>
              </w:rPr>
              <w:t>递交地点：山西政府采购平台（http://www.ccgp-shanxi.gov.cn/home.html），上传加密的电子报价文件。</w:t>
            </w:r>
          </w:p>
        </w:tc>
      </w:tr>
      <w:tr w14:paraId="1A5B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Align w:val="center"/>
          </w:tcPr>
          <w:p w14:paraId="71BFD3D1">
            <w:pPr>
              <w:pageBreakBefore w:val="0"/>
              <w:kinsoku/>
              <w:overflowPunct/>
              <w:bidi w:val="0"/>
              <w:adjustRightInd/>
              <w:snapToGrid/>
              <w:spacing w:line="240" w:lineRule="auto"/>
              <w:ind w:left="-105" w:leftChars="-50" w:right="-105" w:rightChars="-50"/>
              <w:jc w:val="center"/>
              <w:textAlignment w:val="baseline"/>
              <w:rPr>
                <w:rFonts w:hint="default" w:ascii="仿宋" w:hAnsi="仿宋" w:eastAsia="仿宋" w:cs="仿宋"/>
                <w:b/>
                <w:bCs/>
                <w:color w:val="auto"/>
                <w:sz w:val="24"/>
                <w:highlight w:val="none"/>
                <w:lang w:val="en-US" w:eastAsia="zh-CN"/>
              </w:rPr>
            </w:pPr>
            <w:r>
              <w:rPr>
                <w:rStyle w:val="101"/>
                <w:rFonts w:hint="eastAsia" w:ascii="仿宋" w:hAnsi="仿宋" w:eastAsia="仿宋" w:cs="仿宋"/>
                <w:b/>
                <w:bCs/>
                <w:color w:val="auto"/>
                <w:sz w:val="24"/>
                <w:highlight w:val="none"/>
                <w:lang w:val="en-US" w:eastAsia="zh-CN"/>
              </w:rPr>
              <w:t>12</w:t>
            </w:r>
          </w:p>
        </w:tc>
        <w:tc>
          <w:tcPr>
            <w:tcW w:w="1187" w:type="pct"/>
            <w:vAlign w:val="center"/>
          </w:tcPr>
          <w:p w14:paraId="7FE5973F">
            <w:pPr>
              <w:pageBreakBefore w:val="0"/>
              <w:widowControl/>
              <w:kinsoku/>
              <w:overflowPunct/>
              <w:bidi w:val="0"/>
              <w:adjustRightInd/>
              <w:snapToGrid/>
              <w:spacing w:line="24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开标时间和地点</w:t>
            </w:r>
          </w:p>
        </w:tc>
        <w:tc>
          <w:tcPr>
            <w:tcW w:w="3451" w:type="pct"/>
            <w:vAlign w:val="center"/>
          </w:tcPr>
          <w:p w14:paraId="4B6829E4">
            <w:pPr>
              <w:pStyle w:val="48"/>
              <w:keepNext w:val="0"/>
              <w:keepLines w:val="0"/>
              <w:pageBreakBefore w:val="0"/>
              <w:widowControl w:val="0"/>
              <w:kinsoku/>
              <w:wordWrap/>
              <w:overflowPunct/>
              <w:topLinePunct w:val="0"/>
              <w:autoSpaceDE/>
              <w:autoSpaceDN/>
              <w:bidi w:val="0"/>
              <w:adjustRightInd/>
              <w:snapToGrid/>
              <w:spacing w:before="100" w:line="240" w:lineRule="auto"/>
              <w:ind w:firstLine="0" w:firstLineChars="0"/>
              <w:textAlignment w:val="auto"/>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开标时间：</w:t>
            </w:r>
            <w:r>
              <w:rPr>
                <w:rFonts w:hint="eastAsia" w:ascii="仿宋" w:hAnsi="仿宋" w:eastAsia="仿宋" w:cs="仿宋"/>
                <w:color w:val="auto"/>
                <w:sz w:val="24"/>
                <w:highlight w:val="none"/>
                <w:u w:val="none"/>
              </w:rPr>
              <w:t>202</w:t>
            </w:r>
            <w:r>
              <w:rPr>
                <w:rFonts w:hint="eastAsia" w:ascii="仿宋" w:hAnsi="仿宋" w:eastAsia="仿宋" w:cs="仿宋"/>
                <w:color w:val="auto"/>
                <w:sz w:val="24"/>
                <w:highlight w:val="none"/>
                <w:u w:val="none"/>
                <w:lang w:val="en-US" w:eastAsia="zh-CN"/>
              </w:rPr>
              <w:t>5</w:t>
            </w:r>
            <w:r>
              <w:rPr>
                <w:rFonts w:hint="eastAsia" w:ascii="仿宋" w:hAnsi="仿宋" w:eastAsia="仿宋" w:cs="仿宋"/>
                <w:color w:val="auto"/>
                <w:sz w:val="24"/>
                <w:highlight w:val="none"/>
                <w:u w:val="none"/>
              </w:rPr>
              <w:t>年</w:t>
            </w:r>
            <w:r>
              <w:rPr>
                <w:rFonts w:hint="eastAsia" w:ascii="仿宋" w:hAnsi="仿宋" w:eastAsia="仿宋" w:cs="仿宋"/>
                <w:color w:val="auto"/>
                <w:sz w:val="24"/>
                <w:highlight w:val="none"/>
                <w:u w:val="none"/>
                <w:lang w:val="en-US" w:eastAsia="zh-CN"/>
              </w:rPr>
              <w:t>8</w:t>
            </w:r>
            <w:r>
              <w:rPr>
                <w:rFonts w:hint="eastAsia" w:ascii="仿宋" w:hAnsi="仿宋" w:eastAsia="仿宋" w:cs="仿宋"/>
                <w:color w:val="auto"/>
                <w:sz w:val="24"/>
                <w:highlight w:val="none"/>
                <w:u w:val="none"/>
              </w:rPr>
              <w:t>月</w:t>
            </w:r>
            <w:r>
              <w:rPr>
                <w:rFonts w:hint="eastAsia" w:ascii="仿宋" w:hAnsi="仿宋" w:eastAsia="仿宋" w:cs="仿宋"/>
                <w:color w:val="auto"/>
                <w:sz w:val="24"/>
                <w:highlight w:val="none"/>
                <w:u w:val="none"/>
                <w:lang w:val="en-US" w:eastAsia="zh-CN"/>
              </w:rPr>
              <w:t>25</w:t>
            </w:r>
            <w:r>
              <w:rPr>
                <w:rFonts w:hint="eastAsia" w:ascii="仿宋" w:hAnsi="仿宋" w:eastAsia="仿宋" w:cs="仿宋"/>
                <w:color w:val="auto"/>
                <w:sz w:val="24"/>
                <w:highlight w:val="none"/>
                <w:u w:val="none"/>
              </w:rPr>
              <w:t>日</w:t>
            </w:r>
            <w:r>
              <w:rPr>
                <w:rFonts w:hint="eastAsia" w:ascii="仿宋" w:hAnsi="仿宋" w:eastAsia="仿宋" w:cs="仿宋"/>
                <w:color w:val="auto"/>
                <w:sz w:val="24"/>
                <w:highlight w:val="none"/>
                <w:u w:val="none"/>
                <w:lang w:val="en-US" w:eastAsia="zh-CN"/>
              </w:rPr>
              <w:t>8</w:t>
            </w:r>
            <w:r>
              <w:rPr>
                <w:rFonts w:hint="eastAsia" w:ascii="仿宋" w:hAnsi="仿宋" w:eastAsia="仿宋" w:cs="仿宋"/>
                <w:color w:val="auto"/>
                <w:sz w:val="24"/>
                <w:highlight w:val="none"/>
                <w:u w:val="none"/>
              </w:rPr>
              <w:t>点</w:t>
            </w:r>
            <w:r>
              <w:rPr>
                <w:rFonts w:hint="eastAsia" w:ascii="仿宋" w:hAnsi="仿宋" w:eastAsia="仿宋" w:cs="仿宋"/>
                <w:color w:val="auto"/>
                <w:sz w:val="24"/>
                <w:highlight w:val="none"/>
                <w:u w:val="none"/>
                <w:lang w:val="en-US" w:eastAsia="zh-CN"/>
              </w:rPr>
              <w:t>3</w:t>
            </w:r>
            <w:bookmarkStart w:id="56" w:name="_GoBack"/>
            <w:bookmarkEnd w:id="56"/>
            <w:r>
              <w:rPr>
                <w:rFonts w:hint="eastAsia" w:ascii="仿宋" w:hAnsi="仿宋" w:eastAsia="仿宋" w:cs="仿宋"/>
                <w:color w:val="auto"/>
                <w:sz w:val="24"/>
                <w:highlight w:val="none"/>
                <w:u w:val="none"/>
                <w:lang w:val="en-US" w:eastAsia="zh-CN"/>
              </w:rPr>
              <w:t>0</w:t>
            </w:r>
            <w:r>
              <w:rPr>
                <w:rFonts w:hint="eastAsia" w:ascii="仿宋" w:hAnsi="仿宋" w:eastAsia="仿宋" w:cs="仿宋"/>
                <w:color w:val="auto"/>
                <w:sz w:val="24"/>
                <w:highlight w:val="none"/>
                <w:u w:val="none"/>
              </w:rPr>
              <w:t>分</w:t>
            </w:r>
            <w:r>
              <w:rPr>
                <w:rFonts w:hint="eastAsia" w:ascii="仿宋" w:hAnsi="仿宋" w:eastAsia="仿宋" w:cs="仿宋"/>
                <w:bCs/>
                <w:color w:val="auto"/>
                <w:sz w:val="24"/>
                <w:highlight w:val="none"/>
                <w:u w:val="none"/>
              </w:rPr>
              <w:t>（</w:t>
            </w:r>
            <w:r>
              <w:rPr>
                <w:rFonts w:hint="eastAsia" w:ascii="仿宋" w:hAnsi="仿宋" w:eastAsia="仿宋" w:cs="仿宋"/>
                <w:bCs/>
                <w:color w:val="auto"/>
                <w:sz w:val="24"/>
                <w:highlight w:val="none"/>
              </w:rPr>
              <w:t>北京时间）</w:t>
            </w:r>
          </w:p>
          <w:p w14:paraId="5AAA902C">
            <w:pPr>
              <w:keepNext w:val="0"/>
              <w:keepLines w:val="0"/>
              <w:pageBreakBefore w:val="0"/>
              <w:widowControl w:val="0"/>
              <w:kinsoku/>
              <w:wordWrap/>
              <w:overflowPunct/>
              <w:topLinePunct w:val="0"/>
              <w:autoSpaceDE/>
              <w:autoSpaceDN/>
              <w:bidi w:val="0"/>
              <w:adjustRightInd/>
              <w:snapToGrid/>
              <w:spacing w:after="100" w:line="24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highlight w:val="none"/>
              </w:rPr>
              <w:t>地点：山西政采云平台投标客户端(http://www. ccgp-shanxi.gov.cn)</w:t>
            </w:r>
          </w:p>
        </w:tc>
      </w:tr>
      <w:tr w14:paraId="78A2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Align w:val="center"/>
          </w:tcPr>
          <w:p w14:paraId="66AB2452">
            <w:pPr>
              <w:pageBreakBefore w:val="0"/>
              <w:kinsoku/>
              <w:overflowPunct/>
              <w:bidi w:val="0"/>
              <w:adjustRightInd/>
              <w:snapToGrid/>
              <w:spacing w:line="240" w:lineRule="auto"/>
              <w:ind w:left="-105" w:leftChars="-50" w:right="-105" w:rightChars="-50"/>
              <w:jc w:val="center"/>
              <w:textAlignment w:val="baseline"/>
              <w:rPr>
                <w:rFonts w:hint="eastAsia" w:ascii="仿宋" w:hAnsi="仿宋" w:eastAsia="仿宋" w:cs="仿宋"/>
                <w:b/>
                <w:bCs/>
                <w:color w:val="auto"/>
                <w:sz w:val="24"/>
                <w:highlight w:val="none"/>
                <w:lang w:eastAsia="zh-CN"/>
              </w:rPr>
            </w:pPr>
            <w:r>
              <w:rPr>
                <w:rStyle w:val="101"/>
                <w:rFonts w:hint="eastAsia" w:ascii="仿宋" w:hAnsi="仿宋" w:eastAsia="仿宋" w:cs="仿宋"/>
                <w:b/>
                <w:bCs/>
                <w:color w:val="auto"/>
                <w:sz w:val="24"/>
                <w:highlight w:val="none"/>
              </w:rPr>
              <w:t>1</w:t>
            </w:r>
            <w:r>
              <w:rPr>
                <w:rStyle w:val="101"/>
                <w:rFonts w:hint="eastAsia" w:ascii="仿宋" w:hAnsi="仿宋" w:eastAsia="仿宋" w:cs="仿宋"/>
                <w:b/>
                <w:bCs/>
                <w:color w:val="auto"/>
                <w:sz w:val="24"/>
                <w:highlight w:val="none"/>
                <w:lang w:val="en-US" w:eastAsia="zh-CN"/>
              </w:rPr>
              <w:t>3</w:t>
            </w:r>
          </w:p>
        </w:tc>
        <w:tc>
          <w:tcPr>
            <w:tcW w:w="1187" w:type="pct"/>
            <w:vAlign w:val="center"/>
          </w:tcPr>
          <w:p w14:paraId="7B148F7C">
            <w:pPr>
              <w:pageBreakBefore w:val="0"/>
              <w:widowControl/>
              <w:kinsoku/>
              <w:overflowPunct/>
              <w:bidi w:val="0"/>
              <w:adjustRightInd/>
              <w:snapToGrid/>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其他要求</w:t>
            </w:r>
          </w:p>
        </w:tc>
        <w:tc>
          <w:tcPr>
            <w:tcW w:w="3451" w:type="pct"/>
            <w:vAlign w:val="center"/>
          </w:tcPr>
          <w:p w14:paraId="769D8618">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en-US" w:eastAsia="zh-CN"/>
              </w:rPr>
            </w:pPr>
            <w:r>
              <w:rPr>
                <w:rFonts w:hint="eastAsia" w:ascii="仿宋" w:hAnsi="仿宋" w:eastAsia="仿宋" w:cs="仿宋"/>
                <w:color w:val="auto"/>
                <w:kern w:val="0"/>
                <w:sz w:val="24"/>
                <w:highlight w:val="none"/>
              </w:rPr>
              <w:t>当本</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须知前附表和</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须知中的内容和条款有冲突或不一致时，以本</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须知前附表为准。</w:t>
            </w:r>
          </w:p>
        </w:tc>
      </w:tr>
      <w:tr w14:paraId="487E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Align w:val="center"/>
          </w:tcPr>
          <w:p w14:paraId="695C43CC">
            <w:pPr>
              <w:pageBreakBefore w:val="0"/>
              <w:kinsoku/>
              <w:overflowPunct/>
              <w:bidi w:val="0"/>
              <w:adjustRightInd/>
              <w:snapToGrid/>
              <w:spacing w:line="240" w:lineRule="auto"/>
              <w:ind w:left="-105" w:leftChars="-50" w:right="-105" w:rightChars="-50"/>
              <w:jc w:val="center"/>
              <w:textAlignment w:val="baseline"/>
              <w:rPr>
                <w:rStyle w:val="101"/>
                <w:rFonts w:hint="default" w:ascii="仿宋" w:hAnsi="仿宋" w:eastAsia="仿宋" w:cs="仿宋"/>
                <w:b/>
                <w:bCs/>
                <w:color w:val="auto"/>
                <w:sz w:val="24"/>
                <w:highlight w:val="none"/>
                <w:lang w:val="en-US" w:eastAsia="zh-CN"/>
              </w:rPr>
            </w:pPr>
            <w:r>
              <w:rPr>
                <w:rStyle w:val="101"/>
                <w:rFonts w:hint="eastAsia" w:ascii="仿宋" w:hAnsi="仿宋" w:eastAsia="仿宋" w:cs="仿宋"/>
                <w:b/>
                <w:bCs/>
                <w:color w:val="auto"/>
                <w:sz w:val="24"/>
                <w:highlight w:val="none"/>
                <w:lang w:val="en-US" w:eastAsia="zh-CN"/>
              </w:rPr>
              <w:t>14</w:t>
            </w:r>
          </w:p>
        </w:tc>
        <w:tc>
          <w:tcPr>
            <w:tcW w:w="1187" w:type="pct"/>
            <w:vAlign w:val="center"/>
          </w:tcPr>
          <w:p w14:paraId="6C268D31">
            <w:pPr>
              <w:pageBreakBefore w:val="0"/>
              <w:widowControl/>
              <w:kinsoku/>
              <w:overflowPunct/>
              <w:bidi w:val="0"/>
              <w:adjustRightInd/>
              <w:snapToGrid/>
              <w:spacing w:line="24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中标服务费</w:t>
            </w:r>
          </w:p>
        </w:tc>
        <w:tc>
          <w:tcPr>
            <w:tcW w:w="3451" w:type="pct"/>
            <w:vAlign w:val="center"/>
          </w:tcPr>
          <w:p w14:paraId="652CFD6D">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中标服务费由中标人缴纳，</w:t>
            </w:r>
            <w:r>
              <w:rPr>
                <w:rFonts w:hint="eastAsia" w:ascii="仿宋" w:hAnsi="仿宋" w:eastAsia="仿宋" w:cs="仿宋"/>
                <w:color w:val="auto"/>
                <w:sz w:val="24"/>
                <w:highlight w:val="none"/>
              </w:rPr>
              <w:t>中标服务费</w:t>
            </w:r>
            <w:r>
              <w:rPr>
                <w:rFonts w:hint="eastAsia" w:ascii="仿宋" w:hAnsi="仿宋" w:eastAsia="仿宋" w:cs="仿宋"/>
                <w:color w:val="auto"/>
                <w:sz w:val="24"/>
                <w:highlight w:val="none"/>
                <w:lang w:val="en-US" w:eastAsia="zh-CN"/>
              </w:rPr>
              <w:t>参照《采购代理服务收费管理暂行办法》（计价格[2002]1980号）及国家发改办价格[2003]857号文件规定的收费标准的95.8%收取</w:t>
            </w:r>
          </w:p>
        </w:tc>
      </w:tr>
    </w:tbl>
    <w:p w14:paraId="1FF2A88F">
      <w:pPr>
        <w:rPr>
          <w:rFonts w:ascii="仿宋" w:hAnsi="仿宋" w:eastAsia="仿宋" w:cs="仿宋"/>
          <w:color w:val="auto"/>
          <w:highlight w:val="none"/>
        </w:rPr>
      </w:pPr>
      <w:r>
        <w:rPr>
          <w:rFonts w:ascii="仿宋" w:hAnsi="仿宋" w:eastAsia="仿宋" w:cs="仿宋"/>
          <w:color w:val="auto"/>
          <w:highlight w:val="none"/>
        </w:rPr>
        <w:br w:type="page"/>
      </w:r>
    </w:p>
    <w:p w14:paraId="3D2DBBF3">
      <w:pPr>
        <w:spacing w:line="360" w:lineRule="auto"/>
        <w:jc w:val="center"/>
        <w:rPr>
          <w:rFonts w:hint="eastAsia" w:ascii="仿宋" w:hAnsi="仿宋" w:eastAsia="仿宋" w:cs="仿宋"/>
          <w:b/>
          <w:bCs/>
          <w:color w:val="000000"/>
          <w:spacing w:val="20"/>
          <w:kern w:val="0"/>
          <w:sz w:val="32"/>
          <w:szCs w:val="32"/>
          <w:highlight w:val="none"/>
        </w:rPr>
      </w:pPr>
      <w:r>
        <w:rPr>
          <w:rFonts w:hint="eastAsia" w:ascii="仿宋" w:hAnsi="仿宋" w:eastAsia="仿宋" w:cs="仿宋"/>
          <w:b/>
          <w:bCs/>
          <w:color w:val="000000"/>
          <w:spacing w:val="20"/>
          <w:kern w:val="0"/>
          <w:sz w:val="32"/>
          <w:szCs w:val="32"/>
          <w:highlight w:val="none"/>
        </w:rPr>
        <w:t>电子</w:t>
      </w:r>
      <w:r>
        <w:rPr>
          <w:rFonts w:hint="eastAsia" w:ascii="仿宋" w:hAnsi="仿宋" w:eastAsia="仿宋" w:cs="仿宋"/>
          <w:b/>
          <w:bCs/>
          <w:color w:val="000000"/>
          <w:spacing w:val="20"/>
          <w:kern w:val="0"/>
          <w:sz w:val="32"/>
          <w:szCs w:val="32"/>
          <w:highlight w:val="none"/>
          <w:lang w:val="en-US" w:eastAsia="zh-CN"/>
        </w:rPr>
        <w:t>响应</w:t>
      </w:r>
      <w:r>
        <w:rPr>
          <w:rFonts w:hint="eastAsia" w:ascii="仿宋" w:hAnsi="仿宋" w:eastAsia="仿宋" w:cs="仿宋"/>
          <w:b/>
          <w:bCs/>
          <w:color w:val="000000"/>
          <w:spacing w:val="20"/>
          <w:kern w:val="0"/>
          <w:sz w:val="32"/>
          <w:szCs w:val="32"/>
          <w:highlight w:val="none"/>
        </w:rPr>
        <w:t>须知附表</w:t>
      </w:r>
    </w:p>
    <w:tbl>
      <w:tblPr>
        <w:tblStyle w:val="32"/>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365"/>
        <w:gridCol w:w="7526"/>
      </w:tblGrid>
      <w:tr w14:paraId="69C2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16" w:type="dxa"/>
            <w:noWrap w:val="0"/>
            <w:vAlign w:val="center"/>
          </w:tcPr>
          <w:p w14:paraId="75D08D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1365" w:type="dxa"/>
            <w:noWrap w:val="0"/>
            <w:vAlign w:val="center"/>
          </w:tcPr>
          <w:p w14:paraId="223FBD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条款名称</w:t>
            </w:r>
          </w:p>
        </w:tc>
        <w:tc>
          <w:tcPr>
            <w:tcW w:w="7527" w:type="dxa"/>
            <w:noWrap w:val="0"/>
            <w:vAlign w:val="center"/>
          </w:tcPr>
          <w:p w14:paraId="0B1B35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编列内容</w:t>
            </w:r>
          </w:p>
        </w:tc>
      </w:tr>
      <w:tr w14:paraId="2BD10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16" w:type="dxa"/>
            <w:noWrap w:val="0"/>
            <w:vAlign w:val="center"/>
          </w:tcPr>
          <w:p w14:paraId="68D1F2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1</w:t>
            </w:r>
          </w:p>
        </w:tc>
        <w:tc>
          <w:tcPr>
            <w:tcW w:w="1365" w:type="dxa"/>
            <w:noWrap w:val="0"/>
            <w:vAlign w:val="center"/>
          </w:tcPr>
          <w:p w14:paraId="4BA1BF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eastAsia="zh-CN"/>
              </w:rPr>
              <w:t>投标文件</w:t>
            </w:r>
            <w:r>
              <w:rPr>
                <w:rFonts w:hint="eastAsia" w:ascii="仿宋" w:hAnsi="仿宋" w:eastAsia="仿宋" w:cs="仿宋"/>
                <w:color w:val="000000"/>
                <w:sz w:val="24"/>
                <w:szCs w:val="24"/>
                <w:highlight w:val="none"/>
              </w:rPr>
              <w:t>编制</w:t>
            </w:r>
          </w:p>
        </w:tc>
        <w:tc>
          <w:tcPr>
            <w:tcW w:w="7527" w:type="dxa"/>
            <w:noWrap w:val="0"/>
            <w:vAlign w:val="center"/>
          </w:tcPr>
          <w:p w14:paraId="26953351">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1.1投标人应使用政采云系统的投标文件编制工具，按照操作手册编制电子投标文件，并使用数字证书（CA）按照招标文件规定签字、盖章。同时使用数字证书（CA）对投标文件进行加密。</w:t>
            </w:r>
          </w:p>
          <w:p w14:paraId="2A9D4F1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1.2在上传电子投标文件时，需对应系统中每个模块要求，形成独立的PDF格式文件，按照指定对应模块，逐条完成上传，保存后提交。</w:t>
            </w:r>
          </w:p>
          <w:p w14:paraId="7310A08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1.3电子投标文件所附各类证件、证书、证明，均随投标文件统一编排页码进行上传。</w:t>
            </w:r>
          </w:p>
        </w:tc>
      </w:tr>
      <w:tr w14:paraId="45EA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16" w:type="dxa"/>
            <w:noWrap w:val="0"/>
            <w:vAlign w:val="center"/>
          </w:tcPr>
          <w:p w14:paraId="6B36E4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p>
        </w:tc>
        <w:tc>
          <w:tcPr>
            <w:tcW w:w="1365" w:type="dxa"/>
            <w:noWrap w:val="0"/>
            <w:vAlign w:val="center"/>
          </w:tcPr>
          <w:p w14:paraId="596323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电子投标文件解密</w:t>
            </w:r>
          </w:p>
        </w:tc>
        <w:tc>
          <w:tcPr>
            <w:tcW w:w="7527" w:type="dxa"/>
            <w:noWrap w:val="0"/>
            <w:vAlign w:val="center"/>
          </w:tcPr>
          <w:p w14:paraId="1C5EE4E7">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2.1在招标文件规定的开标时间后，采购代理机构会在政采云系统发出解密指令，投标人在收到解密指令后，须使用加密投标文件时所使用的数字证书（CA）对已递交（上传）的电子投标文件进行解密（可远程解密）。</w:t>
            </w:r>
          </w:p>
          <w:p w14:paraId="4248756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2.2电子投标文件解密时间：</w:t>
            </w:r>
            <w:r>
              <w:rPr>
                <w:rFonts w:hint="eastAsia" w:ascii="仿宋" w:hAnsi="仿宋" w:eastAsia="仿宋" w:cs="仿宋"/>
                <w:color w:val="000000"/>
                <w:sz w:val="24"/>
                <w:szCs w:val="24"/>
                <w:highlight w:val="none"/>
                <w:u w:val="single"/>
                <w:lang w:val="en-US" w:eastAsia="zh-CN"/>
              </w:rPr>
              <w:t xml:space="preserve"> 30</w:t>
            </w:r>
            <w:r>
              <w:rPr>
                <w:rFonts w:hint="eastAsia" w:ascii="仿宋" w:hAnsi="仿宋" w:eastAsia="仿宋" w:cs="仿宋"/>
                <w:color w:val="000000"/>
                <w:sz w:val="24"/>
                <w:szCs w:val="24"/>
                <w:highlight w:val="none"/>
                <w:lang w:val="en-US" w:eastAsia="zh-CN"/>
              </w:rPr>
              <w:t>分钟</w:t>
            </w:r>
          </w:p>
          <w:p w14:paraId="63F80F3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2.3电子投标文件解密流程：使用用户名密码或电子CA登录政采云系统→项目采购→开标评标→找到对应项目→解密→输入CA密码→开始下载→解密完成。</w:t>
            </w:r>
          </w:p>
          <w:p w14:paraId="522C289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2.4因投标人原因造成投标文件未解密的，视为撤销其投标文件，包括以下情形：</w:t>
            </w:r>
          </w:p>
          <w:p w14:paraId="7E92070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（1)投标人未在规定时间内解密投标文件的；</w:t>
            </w:r>
          </w:p>
          <w:p w14:paraId="2FAF3A0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（2)投标人使用非本次投标加密用CA数字证书解密的；</w:t>
            </w:r>
          </w:p>
          <w:p w14:paraId="77A3AF9E">
            <w:pPr>
              <w:keepNext w:val="0"/>
              <w:keepLines w:val="0"/>
              <w:pageBreakBefore w:val="0"/>
              <w:widowControl w:val="0"/>
              <w:kinsoku/>
              <w:wordWrap/>
              <w:overflowPunct/>
              <w:topLinePunct w:val="0"/>
              <w:autoSpaceDE/>
              <w:autoSpaceDN/>
              <w:bidi w:val="0"/>
              <w:adjustRightInd/>
              <w:snapToGrid/>
              <w:spacing w:after="100" w:line="240" w:lineRule="auto"/>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（3)投标人使用的CA数字证书属于注销或无效或损坏的。</w:t>
            </w:r>
          </w:p>
        </w:tc>
      </w:tr>
      <w:tr w14:paraId="59B3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16" w:type="dxa"/>
            <w:noWrap w:val="0"/>
            <w:vAlign w:val="center"/>
          </w:tcPr>
          <w:p w14:paraId="3B3E67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1365" w:type="dxa"/>
            <w:noWrap w:val="0"/>
            <w:vAlign w:val="center"/>
          </w:tcPr>
          <w:p w14:paraId="691748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其他</w:t>
            </w:r>
          </w:p>
        </w:tc>
        <w:tc>
          <w:tcPr>
            <w:tcW w:w="7527" w:type="dxa"/>
            <w:noWrap w:val="0"/>
            <w:vAlign w:val="center"/>
          </w:tcPr>
          <w:p w14:paraId="757FB65C">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3.1本项目采购活动的全过程，均采用电子形式进行。在评审过程中，当政采云系统出现异常情形时，经请示财政部门同意后，采购代理机构可采用其他方式进行评审活动。</w:t>
            </w:r>
          </w:p>
          <w:p w14:paraId="0E43A822">
            <w:pPr>
              <w:keepNext w:val="0"/>
              <w:keepLines w:val="0"/>
              <w:pageBreakBefore w:val="0"/>
              <w:widowControl w:val="0"/>
              <w:kinsoku/>
              <w:wordWrap/>
              <w:overflowPunct/>
              <w:topLinePunct w:val="0"/>
              <w:autoSpaceDE/>
              <w:autoSpaceDN/>
              <w:bidi w:val="0"/>
              <w:adjustRightInd/>
              <w:snapToGrid/>
              <w:spacing w:after="100" w:line="240" w:lineRule="auto"/>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3.2待系统恢复后，采购代理机构须把线下开启、评审结果数据录入政采云系统。</w:t>
            </w:r>
          </w:p>
        </w:tc>
      </w:tr>
    </w:tbl>
    <w:p w14:paraId="26F0A9A4">
      <w:pPr>
        <w:rPr>
          <w:rFonts w:ascii="仿宋" w:hAnsi="仿宋" w:eastAsia="仿宋" w:cs="仿宋"/>
          <w:color w:val="auto"/>
          <w:highlight w:val="none"/>
        </w:rPr>
      </w:pPr>
      <w:bookmarkStart w:id="29" w:name="_Toc21360"/>
      <w:bookmarkStart w:id="30" w:name="_Toc2961"/>
      <w:bookmarkStart w:id="31" w:name="_Toc20141"/>
      <w:r>
        <w:rPr>
          <w:rFonts w:hint="eastAsia" w:ascii="仿宋" w:hAnsi="仿宋" w:eastAsia="仿宋" w:cs="仿宋"/>
          <w:sz w:val="24"/>
          <w:szCs w:val="24"/>
          <w:highlight w:val="none"/>
        </w:rPr>
        <w:t>注：本表内容与</w:t>
      </w:r>
      <w:r>
        <w:rPr>
          <w:rFonts w:hint="eastAsia" w:ascii="仿宋" w:hAnsi="仿宋" w:eastAsia="仿宋" w:cs="仿宋"/>
          <w:sz w:val="24"/>
          <w:szCs w:val="24"/>
          <w:highlight w:val="none"/>
          <w:lang w:val="en-US" w:eastAsia="zh-CN"/>
        </w:rPr>
        <w:t>投标人</w:t>
      </w:r>
      <w:r>
        <w:rPr>
          <w:rFonts w:hint="eastAsia" w:ascii="仿宋" w:hAnsi="仿宋" w:eastAsia="仿宋" w:cs="仿宋"/>
          <w:sz w:val="24"/>
          <w:szCs w:val="24"/>
          <w:highlight w:val="none"/>
        </w:rPr>
        <w:t>须知内容不一致的，以本表内容为准。</w:t>
      </w:r>
      <w:bookmarkEnd w:id="29"/>
      <w:bookmarkEnd w:id="30"/>
      <w:bookmarkEnd w:id="31"/>
      <w:r>
        <w:rPr>
          <w:rFonts w:hint="eastAsia" w:ascii="仿宋" w:hAnsi="仿宋" w:eastAsia="仿宋" w:cs="仿宋"/>
          <w:sz w:val="24"/>
          <w:szCs w:val="24"/>
          <w:highlight w:val="none"/>
          <w:lang w:val="en-US" w:eastAsia="zh-CN"/>
        </w:rPr>
        <w:t>解密流程与本表不一致的，以政采云解密流程为准。</w:t>
      </w:r>
    </w:p>
    <w:p w14:paraId="567330AD">
      <w:pPr>
        <w:rPr>
          <w:rFonts w:ascii="仿宋" w:hAnsi="仿宋" w:eastAsia="仿宋" w:cs="仿宋"/>
          <w:color w:val="auto"/>
          <w:highlight w:val="none"/>
        </w:rPr>
      </w:pPr>
    </w:p>
    <w:p w14:paraId="65AF438C">
      <w:pPr>
        <w:rPr>
          <w:rFonts w:ascii="仿宋" w:hAnsi="仿宋" w:eastAsia="仿宋" w:cs="仿宋"/>
          <w:color w:val="auto"/>
          <w:highlight w:val="none"/>
        </w:rPr>
      </w:pPr>
      <w:r>
        <w:rPr>
          <w:rFonts w:hint="eastAsia" w:ascii="仿宋" w:hAnsi="仿宋" w:eastAsia="仿宋" w:cs="仿宋"/>
          <w:color w:val="auto"/>
          <w:highlight w:val="none"/>
        </w:rPr>
        <w:br w:type="page"/>
      </w:r>
    </w:p>
    <w:p w14:paraId="2C7356D2">
      <w:pPr>
        <w:widowControl/>
        <w:snapToGrid w:val="0"/>
        <w:spacing w:line="360" w:lineRule="auto"/>
        <w:ind w:firstLine="301" w:firstLineChars="100"/>
        <w:jc w:val="center"/>
        <w:outlineLvl w:val="0"/>
        <w:rPr>
          <w:rFonts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第三部分  投标人须知</w:t>
      </w:r>
    </w:p>
    <w:p w14:paraId="73EF3133">
      <w:pPr>
        <w:snapToGrid w:val="0"/>
        <w:spacing w:line="360" w:lineRule="auto"/>
        <w:ind w:firstLine="301" w:firstLineChars="100"/>
        <w:outlineLvl w:val="1"/>
        <w:rPr>
          <w:rFonts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一、总则</w:t>
      </w:r>
      <w:bookmarkEnd w:id="27"/>
    </w:p>
    <w:p w14:paraId="3ECA52FD">
      <w:pPr>
        <w:tabs>
          <w:tab w:val="left" w:pos="737"/>
        </w:tabs>
        <w:snapToGrid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1. 适用范围</w:t>
      </w:r>
    </w:p>
    <w:p w14:paraId="16E7F778">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本招标文件适用于本次招标活动的全过程。</w:t>
      </w:r>
    </w:p>
    <w:p w14:paraId="7EC38FBA">
      <w:pPr>
        <w:tabs>
          <w:tab w:val="left" w:pos="0"/>
        </w:tabs>
        <w:snapToGrid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2. 定义</w:t>
      </w:r>
    </w:p>
    <w:p w14:paraId="39933536">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：指依法进行本次招标活动的采购单位。即：</w:t>
      </w:r>
      <w:r>
        <w:rPr>
          <w:rFonts w:hint="eastAsia" w:ascii="仿宋" w:hAnsi="仿宋" w:eastAsia="仿宋" w:cs="仿宋"/>
          <w:color w:val="auto"/>
          <w:sz w:val="24"/>
          <w:highlight w:val="none"/>
          <w:lang w:val="en" w:eastAsia="zh-CN"/>
        </w:rPr>
        <w:t>汾阳市能源局</w:t>
      </w:r>
      <w:r>
        <w:rPr>
          <w:rFonts w:hint="eastAsia" w:ascii="仿宋" w:hAnsi="仿宋" w:eastAsia="仿宋" w:cs="仿宋"/>
          <w:color w:val="auto"/>
          <w:kern w:val="0"/>
          <w:sz w:val="24"/>
          <w:highlight w:val="none"/>
        </w:rPr>
        <w:t>。</w:t>
      </w:r>
    </w:p>
    <w:p w14:paraId="1EDC1BC0">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 xml:space="preserve">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kern w:val="0"/>
          <w:sz w:val="24"/>
          <w:highlight w:val="none"/>
        </w:rPr>
        <w:t>：指在</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委托的范围内依法开展</w:t>
      </w:r>
      <w:r>
        <w:rPr>
          <w:rFonts w:hint="eastAsia" w:ascii="仿宋" w:hAnsi="仿宋" w:eastAsia="仿宋" w:cs="仿宋"/>
          <w:color w:val="auto"/>
          <w:kern w:val="0"/>
          <w:sz w:val="24"/>
          <w:highlight w:val="none"/>
          <w:lang w:eastAsia="zh-CN"/>
        </w:rPr>
        <w:t>招标</w:t>
      </w:r>
      <w:r>
        <w:rPr>
          <w:rFonts w:hint="eastAsia" w:ascii="仿宋" w:hAnsi="仿宋" w:eastAsia="仿宋" w:cs="仿宋"/>
          <w:color w:val="auto"/>
          <w:kern w:val="0"/>
          <w:sz w:val="24"/>
          <w:highlight w:val="none"/>
        </w:rPr>
        <w:t>活动，组织本次招标活动的执行机构，即“</w:t>
      </w:r>
      <w:r>
        <w:rPr>
          <w:rFonts w:hint="eastAsia" w:ascii="仿宋" w:hAnsi="仿宋" w:eastAsia="仿宋" w:cs="仿宋"/>
          <w:color w:val="auto"/>
          <w:kern w:val="0"/>
          <w:sz w:val="24"/>
          <w:highlight w:val="none"/>
          <w:lang w:val="en" w:eastAsia="zh-CN"/>
        </w:rPr>
        <w:t>山西交干工程项目管理有限公司</w:t>
      </w:r>
      <w:r>
        <w:rPr>
          <w:rFonts w:hint="eastAsia" w:ascii="仿宋" w:hAnsi="仿宋" w:eastAsia="仿宋" w:cs="仿宋"/>
          <w:color w:val="auto"/>
          <w:kern w:val="0"/>
          <w:sz w:val="24"/>
          <w:highlight w:val="none"/>
        </w:rPr>
        <w:t>”。</w:t>
      </w:r>
    </w:p>
    <w:p w14:paraId="785B0ABB">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2.3投标人：指参加本次招投标活动的法人、其他组织或者自然人。</w:t>
      </w:r>
    </w:p>
    <w:p w14:paraId="64C005B6">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2.4潜在投标人：指符合本招标文件各项规定的投标人。</w:t>
      </w:r>
    </w:p>
    <w:p w14:paraId="142124B4">
      <w:pPr>
        <w:tabs>
          <w:tab w:val="left" w:pos="567"/>
        </w:tabs>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kern w:val="0"/>
          <w:sz w:val="24"/>
          <w:highlight w:val="none"/>
        </w:rPr>
        <w:t>2.5投标人：指响应本招标文件规定并提供投标文件参加投标竞争的投标人。</w:t>
      </w:r>
    </w:p>
    <w:p w14:paraId="7E0D237B">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2.6货物：指投标人按招标文件商务服务要求，向</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提供的各种物品及其他有关技术资料和材料。</w:t>
      </w:r>
    </w:p>
    <w:p w14:paraId="02015466">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2.7服务：指招标文件所表述的投标人须向</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提供的服务和应当履行的承诺和义务。指如货物的运输、保险、安装、调试、技术援助、培训等以及本招标文件和合同中规定由投标人承担的其他义务。</w:t>
      </w:r>
    </w:p>
    <w:p w14:paraId="27330E65">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2.8招标文件：是</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根据相关法律法规和</w:t>
      </w:r>
      <w:r>
        <w:rPr>
          <w:rFonts w:hint="eastAsia" w:ascii="仿宋" w:hAnsi="仿宋" w:eastAsia="仿宋" w:cs="仿宋"/>
          <w:color w:val="auto"/>
          <w:kern w:val="0"/>
          <w:sz w:val="24"/>
          <w:highlight w:val="none"/>
          <w:lang w:eastAsia="zh-CN"/>
        </w:rPr>
        <w:t>采购人招标</w:t>
      </w:r>
      <w:r>
        <w:rPr>
          <w:rFonts w:hint="eastAsia" w:ascii="仿宋" w:hAnsi="仿宋" w:eastAsia="仿宋" w:cs="仿宋"/>
          <w:color w:val="auto"/>
          <w:kern w:val="0"/>
          <w:sz w:val="24"/>
          <w:highlight w:val="none"/>
        </w:rPr>
        <w:t>需求制定的向潜在投标人发出并告知项目需求、招标投标活动规则和合同条件等信息的要约文件，是项目招标投标活动的主要依据，对招标投标活动各方均具有法律约束力。</w:t>
      </w:r>
    </w:p>
    <w:p w14:paraId="5966268F">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2.9投标文件：是指投标人应招标文件的条件和要求，按规定编制并按时递交的响应性文件。</w:t>
      </w:r>
    </w:p>
    <w:p w14:paraId="6E1FA6E2">
      <w:pPr>
        <w:tabs>
          <w:tab w:val="left" w:pos="0"/>
        </w:tabs>
        <w:snapToGrid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 合格投标人的条件</w:t>
      </w:r>
    </w:p>
    <w:p w14:paraId="24605A83">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3.1参加本次</w:t>
      </w:r>
      <w:r>
        <w:rPr>
          <w:rFonts w:hint="eastAsia" w:ascii="仿宋" w:hAnsi="仿宋" w:eastAsia="仿宋" w:cs="仿宋"/>
          <w:color w:val="auto"/>
          <w:kern w:val="0"/>
          <w:sz w:val="24"/>
          <w:highlight w:val="none"/>
          <w:lang w:eastAsia="zh-CN"/>
        </w:rPr>
        <w:t>招标</w:t>
      </w:r>
      <w:r>
        <w:rPr>
          <w:rFonts w:hint="eastAsia" w:ascii="仿宋" w:hAnsi="仿宋" w:eastAsia="仿宋" w:cs="仿宋"/>
          <w:color w:val="auto"/>
          <w:kern w:val="0"/>
          <w:sz w:val="24"/>
          <w:highlight w:val="none"/>
        </w:rPr>
        <w:t>活动的投标人应当具备投标人须知前附表要求的条件，并提供相应的资格证明文件。</w:t>
      </w:r>
    </w:p>
    <w:p w14:paraId="6135BC46">
      <w:pPr>
        <w:tabs>
          <w:tab w:val="left" w:pos="567"/>
        </w:tabs>
        <w:snapToGrid w:val="0"/>
        <w:spacing w:line="360" w:lineRule="auto"/>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3.2</w:t>
      </w:r>
      <w:r>
        <w:rPr>
          <w:rFonts w:hint="eastAsia" w:ascii="仿宋" w:hAnsi="仿宋" w:eastAsia="仿宋" w:cs="仿宋"/>
          <w:color w:val="auto"/>
          <w:sz w:val="24"/>
          <w:highlight w:val="none"/>
        </w:rPr>
        <w:t>单位负责人为同一人或者存在直接控股、管理关系的不同投标人，不得参加同一合同项下的政府</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rPr>
        <w:t>活动</w:t>
      </w:r>
      <w:r>
        <w:rPr>
          <w:rFonts w:hint="eastAsia" w:ascii="仿宋" w:hAnsi="仿宋" w:eastAsia="仿宋" w:cs="仿宋"/>
          <w:color w:val="auto"/>
          <w:sz w:val="24"/>
          <w:highlight w:val="none"/>
          <w:lang w:eastAsia="zh-CN"/>
        </w:rPr>
        <w:t>。</w:t>
      </w:r>
    </w:p>
    <w:p w14:paraId="39F6E403">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3.3为本项目提供整体设计、规范编制或者项目管理、监理、检测等服务的投标人，不得再参加本项目的投标。</w:t>
      </w:r>
    </w:p>
    <w:p w14:paraId="1E7B3892">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本项目是否允许由两个以上投标人组成一个联合体以一个投标人身份共同参加投标（见前附表）。</w:t>
      </w:r>
    </w:p>
    <w:p w14:paraId="433D728E">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.1 联合体各方均应当符合投标人须知前附表中规定的条件，联合体各方均应按照本部分3.1条的要求提供相关材料。</w:t>
      </w:r>
    </w:p>
    <w:p w14:paraId="0C97BBAE">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根据</w:t>
      </w:r>
      <w:r>
        <w:rPr>
          <w:rFonts w:hint="eastAsia" w:ascii="仿宋" w:hAnsi="仿宋" w:eastAsia="仿宋" w:cs="仿宋"/>
          <w:color w:val="auto"/>
          <w:kern w:val="0"/>
          <w:sz w:val="24"/>
          <w:highlight w:val="none"/>
          <w:lang w:eastAsia="zh-CN"/>
        </w:rPr>
        <w:t>招标</w:t>
      </w:r>
      <w:r>
        <w:rPr>
          <w:rFonts w:hint="eastAsia" w:ascii="仿宋" w:hAnsi="仿宋" w:eastAsia="仿宋" w:cs="仿宋"/>
          <w:color w:val="auto"/>
          <w:kern w:val="0"/>
          <w:sz w:val="24"/>
          <w:highlight w:val="none"/>
        </w:rPr>
        <w:t>项目的特殊性规定投标人特殊要求和法律、行政法规规定的其他条件的，联合体各方中至少应当有一方符合</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规定的条件。联合体各方的</w:t>
      </w:r>
      <w:r>
        <w:rPr>
          <w:rFonts w:hint="default" w:ascii="仿宋" w:hAnsi="仿宋" w:eastAsia="仿宋" w:cs="仿宋"/>
          <w:color w:val="auto"/>
          <w:kern w:val="0"/>
          <w:sz w:val="24"/>
          <w:highlight w:val="none"/>
          <w:lang w:val="en"/>
        </w:rPr>
        <w:t>类似</w:t>
      </w:r>
      <w:r>
        <w:rPr>
          <w:rFonts w:hint="eastAsia" w:ascii="仿宋" w:hAnsi="仿宋" w:eastAsia="仿宋" w:cs="仿宋"/>
          <w:color w:val="auto"/>
          <w:kern w:val="0"/>
          <w:sz w:val="24"/>
          <w:highlight w:val="none"/>
        </w:rPr>
        <w:t>资质按照资质等级较低的确定联合体资质等级。联合体各方不得再单独参加或者与其他投标人另外组成联合体参加本项目同一合同项下的投标。（不允许联合体参与投标的投标人，可不提供。）</w:t>
      </w:r>
    </w:p>
    <w:p w14:paraId="7DCD2F9B">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.3 联合体各方之间应当签订联合投标协议，明确约定联合体各方承担的工作和相应的责任，并将联合投标协议连同投标文件一并提交，联合投标协议格式见本招标文件第七部分投标文件格式。（不允许联合体参与投标的投标人，可不提供。）</w:t>
      </w:r>
    </w:p>
    <w:p w14:paraId="125C2D10">
      <w:pPr>
        <w:tabs>
          <w:tab w:val="left" w:pos="567"/>
        </w:tabs>
        <w:snapToGrid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4. 投标费用</w:t>
      </w:r>
    </w:p>
    <w:p w14:paraId="732CDD19">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4.1投标人应承担准备和参加投标有关的所有费用，</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和</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在任何情况下均无义务和责任承担这些费用。</w:t>
      </w:r>
    </w:p>
    <w:p w14:paraId="619DBEEC">
      <w:pPr>
        <w:tabs>
          <w:tab w:val="left" w:pos="567"/>
        </w:tabs>
        <w:snapToGrid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5. 招标要求</w:t>
      </w:r>
    </w:p>
    <w:p w14:paraId="7065E5EE">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5.1</w:t>
      </w:r>
      <w:r>
        <w:rPr>
          <w:rFonts w:hint="eastAsia" w:ascii="仿宋" w:hAnsi="仿宋" w:eastAsia="仿宋" w:cs="仿宋"/>
          <w:b/>
          <w:bCs/>
          <w:color w:val="auto"/>
          <w:kern w:val="0"/>
          <w:sz w:val="24"/>
          <w:highlight w:val="none"/>
        </w:rPr>
        <w:t>投标人所提供的货物、所需服务与技术方案被</w:t>
      </w:r>
      <w:r>
        <w:rPr>
          <w:rFonts w:hint="eastAsia" w:ascii="仿宋" w:hAnsi="仿宋" w:eastAsia="仿宋" w:cs="仿宋"/>
          <w:b/>
          <w:bCs/>
          <w:color w:val="auto"/>
          <w:kern w:val="0"/>
          <w:sz w:val="24"/>
          <w:highlight w:val="none"/>
          <w:lang w:eastAsia="zh-CN"/>
        </w:rPr>
        <w:t>采购人</w:t>
      </w:r>
      <w:r>
        <w:rPr>
          <w:rFonts w:hint="eastAsia" w:ascii="仿宋" w:hAnsi="仿宋" w:eastAsia="仿宋" w:cs="仿宋"/>
          <w:b/>
          <w:bCs/>
          <w:color w:val="auto"/>
          <w:kern w:val="0"/>
          <w:sz w:val="24"/>
          <w:highlight w:val="none"/>
        </w:rPr>
        <w:t>采用时，中标投标人应负责免费将中标货物送至</w:t>
      </w:r>
      <w:r>
        <w:rPr>
          <w:rFonts w:hint="eastAsia" w:ascii="仿宋" w:hAnsi="仿宋" w:eastAsia="仿宋" w:cs="仿宋"/>
          <w:b/>
          <w:bCs/>
          <w:color w:val="auto"/>
          <w:kern w:val="0"/>
          <w:sz w:val="24"/>
          <w:highlight w:val="none"/>
          <w:lang w:eastAsia="zh-CN"/>
        </w:rPr>
        <w:t>采购人</w:t>
      </w:r>
      <w:r>
        <w:rPr>
          <w:rFonts w:hint="eastAsia" w:ascii="仿宋" w:hAnsi="仿宋" w:eastAsia="仿宋" w:cs="仿宋"/>
          <w:b/>
          <w:bCs/>
          <w:color w:val="auto"/>
          <w:kern w:val="0"/>
          <w:sz w:val="24"/>
          <w:highlight w:val="none"/>
        </w:rPr>
        <w:t>指定位置，免费进行安装、调试、培训，并认真履行合同规定的相关条款的约定</w:t>
      </w:r>
      <w:r>
        <w:rPr>
          <w:rFonts w:hint="eastAsia" w:ascii="仿宋" w:hAnsi="仿宋" w:eastAsia="仿宋" w:cs="仿宋"/>
          <w:color w:val="auto"/>
          <w:kern w:val="0"/>
          <w:sz w:val="24"/>
          <w:highlight w:val="none"/>
        </w:rPr>
        <w:t>。</w:t>
      </w:r>
    </w:p>
    <w:p w14:paraId="490B35BB">
      <w:pPr>
        <w:tabs>
          <w:tab w:val="left" w:pos="567"/>
        </w:tabs>
        <w:snapToGrid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6. 通知</w:t>
      </w:r>
    </w:p>
    <w:p w14:paraId="33C60E70">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6.1对与本项目有关的通知，</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将在</w:t>
      </w:r>
      <w:r>
        <w:rPr>
          <w:rFonts w:hint="eastAsia" w:ascii="仿宋" w:hAnsi="仿宋" w:eastAsia="仿宋" w:cs="仿宋"/>
          <w:b/>
          <w:bCs/>
          <w:color w:val="auto"/>
          <w:kern w:val="0"/>
          <w:sz w:val="24"/>
          <w:highlight w:val="none"/>
          <w:u w:val="single"/>
        </w:rPr>
        <w:t>山西政府采购平台政采云系统中</w:t>
      </w:r>
      <w:r>
        <w:rPr>
          <w:rFonts w:hint="eastAsia" w:ascii="仿宋" w:hAnsi="仿宋" w:eastAsia="仿宋" w:cs="仿宋"/>
          <w:color w:val="auto"/>
          <w:kern w:val="0"/>
          <w:sz w:val="24"/>
          <w:highlight w:val="none"/>
        </w:rPr>
        <w:t>上传通知，因线路故障导致通知延迟送达或无法查看，</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或代理机构将不承担任何责任，有关的</w:t>
      </w:r>
      <w:r>
        <w:rPr>
          <w:rFonts w:hint="eastAsia" w:ascii="仿宋" w:hAnsi="仿宋" w:eastAsia="仿宋" w:cs="仿宋"/>
          <w:color w:val="auto"/>
          <w:kern w:val="0"/>
          <w:sz w:val="24"/>
          <w:highlight w:val="none"/>
          <w:lang w:val="en-US" w:eastAsia="zh-CN"/>
        </w:rPr>
        <w:t>招标</w:t>
      </w:r>
      <w:r>
        <w:rPr>
          <w:rFonts w:hint="eastAsia" w:ascii="仿宋" w:hAnsi="仿宋" w:eastAsia="仿宋" w:cs="仿宋"/>
          <w:color w:val="auto"/>
          <w:kern w:val="0"/>
          <w:sz w:val="24"/>
          <w:highlight w:val="none"/>
        </w:rPr>
        <w:t>活动可以继续有效地进行。</w:t>
      </w:r>
    </w:p>
    <w:p w14:paraId="05317635">
      <w:pPr>
        <w:snapToGrid w:val="0"/>
        <w:spacing w:line="360" w:lineRule="auto"/>
        <w:ind w:firstLine="482" w:firstLineChars="200"/>
        <w:outlineLvl w:val="1"/>
        <w:rPr>
          <w:rFonts w:ascii="仿宋" w:hAnsi="仿宋" w:eastAsia="仿宋" w:cs="仿宋"/>
          <w:b/>
          <w:color w:val="auto"/>
          <w:kern w:val="0"/>
          <w:sz w:val="24"/>
          <w:highlight w:val="none"/>
        </w:rPr>
      </w:pPr>
      <w:bookmarkStart w:id="32" w:name="_Toc175644017"/>
      <w:r>
        <w:rPr>
          <w:rFonts w:hint="eastAsia" w:ascii="仿宋" w:hAnsi="仿宋" w:eastAsia="仿宋" w:cs="仿宋"/>
          <w:b/>
          <w:color w:val="auto"/>
          <w:kern w:val="0"/>
          <w:sz w:val="24"/>
          <w:highlight w:val="none"/>
        </w:rPr>
        <w:t>二、招标文件</w:t>
      </w:r>
      <w:bookmarkEnd w:id="32"/>
    </w:p>
    <w:p w14:paraId="29488C8B">
      <w:pPr>
        <w:tabs>
          <w:tab w:val="left" w:pos="0"/>
        </w:tabs>
        <w:snapToGrid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7. 招标文件的构成</w:t>
      </w:r>
    </w:p>
    <w:p w14:paraId="5D620212">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7.1 招标文件由下列七部分内容组成：</w:t>
      </w:r>
    </w:p>
    <w:p w14:paraId="471962B1">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第一部分 招标公告；</w:t>
      </w:r>
    </w:p>
    <w:p w14:paraId="5944028B">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第二部分 投标人须知前附表；</w:t>
      </w:r>
    </w:p>
    <w:p w14:paraId="136EAA61">
      <w:pPr>
        <w:snapToGrid w:val="0"/>
        <w:spacing w:line="360" w:lineRule="auto"/>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第三部分 投标</w:t>
      </w:r>
      <w:r>
        <w:rPr>
          <w:rFonts w:hint="eastAsia" w:ascii="仿宋" w:hAnsi="仿宋" w:eastAsia="仿宋" w:cs="仿宋"/>
          <w:color w:val="auto"/>
          <w:kern w:val="0"/>
          <w:sz w:val="24"/>
          <w:highlight w:val="none"/>
          <w:lang w:val="en-US" w:eastAsia="zh-CN"/>
        </w:rPr>
        <w:t>人</w:t>
      </w:r>
      <w:r>
        <w:rPr>
          <w:rFonts w:hint="eastAsia" w:ascii="仿宋" w:hAnsi="仿宋" w:eastAsia="仿宋" w:cs="仿宋"/>
          <w:color w:val="auto"/>
          <w:kern w:val="0"/>
          <w:sz w:val="24"/>
          <w:highlight w:val="none"/>
        </w:rPr>
        <w:t>须知</w:t>
      </w:r>
      <w:r>
        <w:rPr>
          <w:rFonts w:hint="eastAsia" w:ascii="仿宋" w:hAnsi="仿宋" w:eastAsia="仿宋" w:cs="仿宋"/>
          <w:color w:val="auto"/>
          <w:kern w:val="0"/>
          <w:sz w:val="24"/>
          <w:highlight w:val="none"/>
          <w:lang w:eastAsia="zh-CN"/>
        </w:rPr>
        <w:t>；</w:t>
      </w:r>
    </w:p>
    <w:p w14:paraId="58B58EAB">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第四部分 评标标准和评标方法；</w:t>
      </w:r>
    </w:p>
    <w:p w14:paraId="4502D2F3">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第五部分 </w:t>
      </w:r>
      <w:r>
        <w:rPr>
          <w:rFonts w:hint="eastAsia" w:ascii="仿宋" w:hAnsi="仿宋" w:eastAsia="仿宋" w:cs="仿宋"/>
          <w:color w:val="auto"/>
          <w:kern w:val="0"/>
          <w:sz w:val="24"/>
          <w:highlight w:val="none"/>
          <w:lang w:val="en-US" w:eastAsia="zh-CN"/>
        </w:rPr>
        <w:t>商务技术要求</w:t>
      </w:r>
      <w:r>
        <w:rPr>
          <w:rFonts w:hint="eastAsia" w:ascii="仿宋" w:hAnsi="仿宋" w:eastAsia="仿宋" w:cs="仿宋"/>
          <w:color w:val="auto"/>
          <w:kern w:val="0"/>
          <w:sz w:val="24"/>
          <w:highlight w:val="none"/>
        </w:rPr>
        <w:t>；</w:t>
      </w:r>
    </w:p>
    <w:p w14:paraId="2ADBEC78">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第六部分 </w:t>
      </w:r>
      <w:r>
        <w:rPr>
          <w:rFonts w:hint="eastAsia" w:ascii="仿宋" w:hAnsi="仿宋" w:eastAsia="仿宋" w:cs="仿宋"/>
          <w:color w:val="auto"/>
          <w:kern w:val="0"/>
          <w:sz w:val="24"/>
          <w:highlight w:val="none"/>
          <w:lang w:eastAsia="zh-CN"/>
        </w:rPr>
        <w:t>采购合同范本</w:t>
      </w:r>
      <w:r>
        <w:rPr>
          <w:rFonts w:hint="eastAsia" w:ascii="仿宋" w:hAnsi="仿宋" w:eastAsia="仿宋" w:cs="仿宋"/>
          <w:color w:val="auto"/>
          <w:kern w:val="0"/>
          <w:sz w:val="24"/>
          <w:highlight w:val="none"/>
        </w:rPr>
        <w:t>；</w:t>
      </w:r>
    </w:p>
    <w:p w14:paraId="201FE2D0">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第七部分 投标文件格式。</w:t>
      </w:r>
    </w:p>
    <w:p w14:paraId="478CFE0B">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7.2 投标人应详细阅读招标文件的全部内容，如果没有按照招标文件要求提交全部资料或者没有对招标文件在各方面都做出实质性响应，有可能被确定为无效投标。</w:t>
      </w:r>
    </w:p>
    <w:p w14:paraId="436F22DE">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7.3 除非特殊要求，招标文件不单独提供招标项目使用地的自然环境、气候条件、公用设施等情况，投标人被视为熟悉上述与履行合同有关的一切情况。</w:t>
      </w:r>
    </w:p>
    <w:p w14:paraId="656C2494">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7.4 招标文件未作须知明示，而又有法律、法规规定的，</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将依据相关法律法规的规定进行解释。</w:t>
      </w:r>
    </w:p>
    <w:p w14:paraId="047A620A">
      <w:pPr>
        <w:snapToGrid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8．招标文件的澄清和修改</w:t>
      </w:r>
    </w:p>
    <w:p w14:paraId="0E1438FD">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8.1澄清、修改时间：</w:t>
      </w:r>
      <w:r>
        <w:rPr>
          <w:rFonts w:hint="eastAsia" w:ascii="仿宋" w:hAnsi="仿宋" w:eastAsia="仿宋" w:cs="仿宋"/>
          <w:color w:val="auto"/>
          <w:sz w:val="24"/>
          <w:highlight w:val="none"/>
        </w:rPr>
        <w:t>提交投标文件截止日之前，</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或者</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可以对已发出的招标文件进行必要的澄清或者修改，</w:t>
      </w:r>
      <w:r>
        <w:rPr>
          <w:rFonts w:hint="eastAsia" w:ascii="仿宋" w:hAnsi="仿宋" w:eastAsia="仿宋" w:cs="仿宋"/>
          <w:color w:val="auto"/>
          <w:sz w:val="24"/>
          <w:highlight w:val="none"/>
        </w:rPr>
        <w:t>其内容作为招标文件的组成部分</w:t>
      </w:r>
      <w:r>
        <w:rPr>
          <w:rFonts w:hint="eastAsia" w:ascii="仿宋" w:hAnsi="仿宋" w:eastAsia="仿宋" w:cs="仿宋"/>
          <w:color w:val="auto"/>
          <w:kern w:val="0"/>
          <w:sz w:val="24"/>
          <w:highlight w:val="none"/>
        </w:rPr>
        <w:t>。澄清或者修改的内容可能影响投标文件编制的，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eastAsia="zh-CN"/>
        </w:rPr>
        <w:t>采购人</w:t>
      </w:r>
      <w:r>
        <w:rPr>
          <w:rFonts w:hint="eastAsia" w:ascii="仿宋" w:hAnsi="仿宋" w:eastAsia="仿宋" w:cs="仿宋"/>
          <w:color w:val="auto"/>
          <w:kern w:val="0"/>
          <w:sz w:val="24"/>
          <w:highlight w:val="none"/>
        </w:rPr>
        <w:t>应当在投标截止时间至少15日前，</w:t>
      </w:r>
      <w:r>
        <w:rPr>
          <w:rFonts w:hint="eastAsia" w:ascii="仿宋" w:hAnsi="仿宋" w:eastAsia="仿宋" w:cs="仿宋"/>
          <w:color w:val="auto"/>
          <w:kern w:val="0"/>
          <w:sz w:val="24"/>
          <w:highlight w:val="none"/>
          <w:lang w:val="en-US" w:eastAsia="zh-CN"/>
        </w:rPr>
        <w:t>在</w:t>
      </w:r>
      <w:r>
        <w:rPr>
          <w:rFonts w:hint="eastAsia" w:ascii="仿宋" w:hAnsi="仿宋" w:eastAsia="仿宋" w:cs="仿宋"/>
          <w:color w:val="auto"/>
          <w:sz w:val="24"/>
          <w:highlight w:val="none"/>
          <w:u w:val="none"/>
          <w:lang w:val="en-US" w:eastAsia="zh-CN"/>
        </w:rPr>
        <w:t>线上</w:t>
      </w:r>
      <w:r>
        <w:rPr>
          <w:rFonts w:hint="eastAsia" w:ascii="仿宋" w:hAnsi="仿宋" w:eastAsia="仿宋" w:cs="仿宋"/>
          <w:color w:val="auto"/>
          <w:kern w:val="0"/>
          <w:sz w:val="24"/>
          <w:highlight w:val="none"/>
        </w:rPr>
        <w:t>通知所有获取招标文件的潜在投标人；不足15日的，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eastAsia="zh-CN"/>
        </w:rPr>
        <w:t>采购人</w:t>
      </w:r>
      <w:r>
        <w:rPr>
          <w:rFonts w:hint="eastAsia" w:ascii="仿宋" w:hAnsi="仿宋" w:eastAsia="仿宋" w:cs="仿宋"/>
          <w:color w:val="auto"/>
          <w:kern w:val="0"/>
          <w:sz w:val="24"/>
          <w:highlight w:val="none"/>
        </w:rPr>
        <w:t>应当顺延提交投标文件的截止时间</w:t>
      </w:r>
      <w:r>
        <w:rPr>
          <w:rFonts w:hint="eastAsia" w:ascii="仿宋" w:hAnsi="仿宋" w:eastAsia="仿宋" w:cs="仿宋"/>
          <w:color w:val="auto"/>
          <w:sz w:val="24"/>
          <w:highlight w:val="none"/>
        </w:rPr>
        <w:t>，并且在</w:t>
      </w:r>
      <w:r>
        <w:rPr>
          <w:rFonts w:hint="eastAsia" w:ascii="仿宋" w:hAnsi="仿宋" w:eastAsia="仿宋" w:cs="仿宋"/>
          <w:color w:val="auto"/>
          <w:sz w:val="24"/>
          <w:highlight w:val="none"/>
          <w:u w:val="single"/>
        </w:rPr>
        <w:t>山西省政府采购网</w:t>
      </w:r>
      <w:r>
        <w:rPr>
          <w:rFonts w:hint="eastAsia" w:ascii="仿宋" w:hAnsi="仿宋" w:eastAsia="仿宋" w:cs="仿宋"/>
          <w:color w:val="auto"/>
          <w:sz w:val="24"/>
          <w:highlight w:val="none"/>
        </w:rPr>
        <w:t>发布变更公告。</w:t>
      </w:r>
    </w:p>
    <w:p w14:paraId="414FF075">
      <w:pPr>
        <w:pStyle w:val="51"/>
        <w:spacing w:line="360" w:lineRule="auto"/>
        <w:ind w:left="0" w:firstLine="480" w:firstLineChars="20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8.2澄清修改的补充文件中包括原提出的问题及问题的说明意见，但不包括问题的来源。</w:t>
      </w:r>
    </w:p>
    <w:p w14:paraId="02A10D44">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8.3投标人澄清要求的提交：投标人认为招标文件使自己的权益受到损害的，可以在知道或应当知其权益受到损害之日起7个工作日内，以电子形式向</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提出质疑和询问。投标人提出的询问，</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应当在3个工作日内对投标人依法提出的询问做出答复。投标人提出的质疑，</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应当在收到投标人的电子质疑后7个工作日内，做出答复，但答复的内容不涉及商业秘密。</w:t>
      </w:r>
    </w:p>
    <w:p w14:paraId="7E1B3580">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8.4澄清、修改及其它答复的效力：</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或者</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一旦对招标文件做出澄清、修改或进行其它答复，即刻发生效力，有关的补充文件，应当作为招标文件的组成部分，对所有潜在投标人均具有约束力。</w:t>
      </w:r>
    </w:p>
    <w:p w14:paraId="7E53CD06">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8.5</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或者</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可以在招标文件提供期限截止后，组织已获取招标文件的潜在投标人</w:t>
      </w:r>
      <w:r>
        <w:rPr>
          <w:rFonts w:hint="eastAsia" w:ascii="仿宋" w:hAnsi="仿宋" w:eastAsia="仿宋" w:cs="仿宋"/>
          <w:color w:val="auto"/>
          <w:sz w:val="24"/>
          <w:highlight w:val="none"/>
        </w:rPr>
        <w:t>现场勘查</w:t>
      </w:r>
      <w:r>
        <w:rPr>
          <w:rFonts w:hint="eastAsia" w:ascii="仿宋" w:hAnsi="仿宋" w:eastAsia="仿宋" w:cs="仿宋"/>
          <w:color w:val="auto"/>
          <w:kern w:val="0"/>
          <w:sz w:val="24"/>
          <w:highlight w:val="none"/>
        </w:rPr>
        <w:t>或者召开标前答疑会。是否组织</w:t>
      </w:r>
      <w:r>
        <w:rPr>
          <w:rFonts w:hint="eastAsia" w:ascii="仿宋" w:hAnsi="仿宋" w:eastAsia="仿宋" w:cs="仿宋"/>
          <w:color w:val="auto"/>
          <w:sz w:val="24"/>
          <w:highlight w:val="none"/>
        </w:rPr>
        <w:t>现场勘查</w:t>
      </w:r>
      <w:r>
        <w:rPr>
          <w:rFonts w:hint="eastAsia" w:ascii="仿宋" w:hAnsi="仿宋" w:eastAsia="仿宋" w:cs="仿宋"/>
          <w:color w:val="auto"/>
          <w:kern w:val="0"/>
          <w:sz w:val="24"/>
          <w:highlight w:val="none"/>
        </w:rPr>
        <w:t>或者召开答疑会的，详见投标人前附表第</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项。而无论</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是否安排踏勘现场，潜在投标人均应当将相关的因素作为投标所应当考虑或依据的因素。</w:t>
      </w:r>
    </w:p>
    <w:p w14:paraId="133B73A8">
      <w:pPr>
        <w:snapToGrid w:val="0"/>
        <w:spacing w:line="360" w:lineRule="auto"/>
        <w:ind w:firstLine="482" w:firstLineChars="200"/>
        <w:outlineLvl w:val="1"/>
        <w:rPr>
          <w:rFonts w:ascii="仿宋" w:hAnsi="仿宋" w:eastAsia="仿宋" w:cs="仿宋"/>
          <w:b/>
          <w:color w:val="auto"/>
          <w:kern w:val="0"/>
          <w:sz w:val="24"/>
          <w:highlight w:val="none"/>
        </w:rPr>
      </w:pPr>
      <w:bookmarkStart w:id="33" w:name="_Toc175644018"/>
      <w:r>
        <w:rPr>
          <w:rFonts w:hint="eastAsia" w:ascii="仿宋" w:hAnsi="仿宋" w:eastAsia="仿宋" w:cs="仿宋"/>
          <w:b/>
          <w:color w:val="auto"/>
          <w:kern w:val="0"/>
          <w:sz w:val="24"/>
          <w:highlight w:val="none"/>
        </w:rPr>
        <w:t>三、投标文件</w:t>
      </w:r>
      <w:bookmarkEnd w:id="33"/>
      <w:r>
        <w:rPr>
          <w:rFonts w:hint="eastAsia" w:ascii="仿宋" w:hAnsi="仿宋" w:eastAsia="仿宋" w:cs="仿宋"/>
          <w:b/>
          <w:color w:val="auto"/>
          <w:kern w:val="0"/>
          <w:sz w:val="24"/>
          <w:highlight w:val="none"/>
        </w:rPr>
        <w:t xml:space="preserve"> </w:t>
      </w:r>
    </w:p>
    <w:p w14:paraId="1170D81A">
      <w:pPr>
        <w:tabs>
          <w:tab w:val="left" w:pos="0"/>
        </w:tabs>
        <w:snapToGrid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9. 投标文件的语言和计量单位</w:t>
      </w:r>
    </w:p>
    <w:p w14:paraId="5ED26D00">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9.1投标人提交的投标文件（包括技术文件、图纸中的说明等）以及投标人与</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就有关投标的所有往来函电均应使用中文简体字。</w:t>
      </w:r>
    </w:p>
    <w:p w14:paraId="0382E187">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9.2投标文件所使用的计量单位，应使用国家法定计量单位。</w:t>
      </w:r>
    </w:p>
    <w:p w14:paraId="5B6BBB0C">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9.3原版为外文的证书类文件，以及由外国人做出的本人签名、外国公司的名称或外国印章等可以是外文，但应当提供中文翻译文件并加盖投标人公章。必要时</w:t>
      </w:r>
      <w:r>
        <w:rPr>
          <w:rFonts w:hint="eastAsia" w:ascii="仿宋" w:hAnsi="仿宋" w:eastAsia="仿宋" w:cs="仿宋"/>
          <w:color w:val="auto"/>
          <w:sz w:val="24"/>
          <w:highlight w:val="none"/>
          <w:lang w:eastAsia="zh-CN"/>
        </w:rPr>
        <w:t>评审小组</w:t>
      </w:r>
      <w:r>
        <w:rPr>
          <w:rFonts w:hint="eastAsia" w:ascii="仿宋" w:hAnsi="仿宋" w:eastAsia="仿宋" w:cs="仿宋"/>
          <w:color w:val="auto"/>
          <w:kern w:val="0"/>
          <w:sz w:val="24"/>
          <w:highlight w:val="none"/>
        </w:rPr>
        <w:t>可以要求投标人提供附有公证书的中文翻译文件或者与原版文件签章相一致的中文翻译文件。否则，产生的不利后果由投标人承担。</w:t>
      </w:r>
    </w:p>
    <w:p w14:paraId="694C04C9">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原版为外文的证书类、证明类文件，与投标人名称或其它实际情况不符的，投标人应当提供相关证明文件。</w:t>
      </w:r>
    </w:p>
    <w:p w14:paraId="504CD6B8">
      <w:pPr>
        <w:tabs>
          <w:tab w:val="left" w:pos="0"/>
        </w:tabs>
        <w:snapToGrid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10.投标文件的组成及相关要求</w:t>
      </w:r>
    </w:p>
    <w:p w14:paraId="44B75ECF">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10.1投标文件分为资格证明文件和商务服务文件两部分。</w:t>
      </w:r>
    </w:p>
    <w:p w14:paraId="66550615">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本次招标，投标人应按投标人须知前附表要求，提交资格证明文件和商务服务文件及投标人自行编写的其他文件。</w:t>
      </w:r>
    </w:p>
    <w:p w14:paraId="25B9D16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10.2投标文件其他要求</w:t>
      </w:r>
    </w:p>
    <w:p w14:paraId="49D95D39">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10.2.1编排要求</w:t>
      </w:r>
    </w:p>
    <w:p w14:paraId="6C8F935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按照招标文件第七部分格式要求和编排顺序，统一编目、正序编排页码。由于编排混乱导致投标文件被误读或查找不到，其责任应当由投标人承担。</w:t>
      </w:r>
    </w:p>
    <w:p w14:paraId="1A788B5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10.2.2格式要求</w:t>
      </w:r>
    </w:p>
    <w:p w14:paraId="60325EF2">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本招标文件第七部分已提供“投标文件格式”的，必须严格按照格式要求编制（投标人可以对所提供的格式进行扩展，但不得更改格式内容），没有提供格式的，投标人自拟。</w:t>
      </w:r>
    </w:p>
    <w:p w14:paraId="6CE39C3C">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10.3投标保证金</w:t>
      </w:r>
    </w:p>
    <w:p w14:paraId="20C7AE59">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10.3.1投标人应提交的投标保证金金额和提交方式详见前附表。</w:t>
      </w:r>
      <w:r>
        <w:rPr>
          <w:rFonts w:hint="eastAsia" w:ascii="仿宋" w:hAnsi="仿宋" w:eastAsia="仿宋" w:cs="仿宋"/>
          <w:b/>
          <w:color w:val="auto"/>
          <w:kern w:val="0"/>
          <w:sz w:val="24"/>
          <w:highlight w:val="none"/>
        </w:rPr>
        <w:t>未按要求提交投标保证金的，投标无效。</w:t>
      </w:r>
    </w:p>
    <w:p w14:paraId="392B9D22">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bCs/>
          <w:color w:val="auto"/>
          <w:kern w:val="0"/>
          <w:sz w:val="24"/>
          <w:highlight w:val="none"/>
        </w:rPr>
        <w:t>10.3.2投标人在投标截止时间前撤回已提交的投标文件的，</w:t>
      </w:r>
      <w:r>
        <w:rPr>
          <w:rFonts w:hint="eastAsia" w:ascii="仿宋" w:hAnsi="仿宋" w:eastAsia="仿宋" w:cs="仿宋"/>
          <w:bCs/>
          <w:color w:val="auto"/>
          <w:kern w:val="0"/>
          <w:sz w:val="24"/>
          <w:highlight w:val="none"/>
          <w:lang w:eastAsia="zh-CN"/>
        </w:rPr>
        <w:t>采购代理机构</w:t>
      </w:r>
      <w:r>
        <w:rPr>
          <w:rFonts w:hint="eastAsia" w:ascii="仿宋" w:hAnsi="仿宋" w:eastAsia="仿宋" w:cs="仿宋"/>
          <w:bCs/>
          <w:color w:val="auto"/>
          <w:kern w:val="0"/>
          <w:sz w:val="24"/>
          <w:highlight w:val="none"/>
        </w:rPr>
        <w:t>应当自收到投标人书面撤回通知之日起5个工作日内，退还已收取的投标保证金，但因投标人自身原因导致无法及时退还的除外。</w:t>
      </w:r>
    </w:p>
    <w:p w14:paraId="277C6880">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10.3.3</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应当自中标通知书发出</w:t>
      </w:r>
      <w:r>
        <w:rPr>
          <w:rFonts w:hint="eastAsia" w:ascii="仿宋" w:hAnsi="仿宋" w:eastAsia="仿宋" w:cs="仿宋"/>
          <w:bCs/>
          <w:color w:val="auto"/>
          <w:kern w:val="0"/>
          <w:sz w:val="24"/>
          <w:highlight w:val="none"/>
        </w:rPr>
        <w:t>之日起</w:t>
      </w:r>
      <w:r>
        <w:rPr>
          <w:rFonts w:hint="eastAsia" w:ascii="仿宋" w:hAnsi="仿宋" w:eastAsia="仿宋" w:cs="仿宋"/>
          <w:color w:val="auto"/>
          <w:kern w:val="0"/>
          <w:sz w:val="24"/>
          <w:highlight w:val="none"/>
        </w:rPr>
        <w:t>5个工作日内退还未中标人的投标保证金，自采购合同签订</w:t>
      </w:r>
      <w:r>
        <w:rPr>
          <w:rFonts w:hint="eastAsia" w:ascii="仿宋" w:hAnsi="仿宋" w:eastAsia="仿宋" w:cs="仿宋"/>
          <w:bCs/>
          <w:color w:val="auto"/>
          <w:kern w:val="0"/>
          <w:sz w:val="24"/>
          <w:highlight w:val="none"/>
        </w:rPr>
        <w:t>之日起</w:t>
      </w:r>
      <w:r>
        <w:rPr>
          <w:rFonts w:hint="eastAsia" w:ascii="仿宋" w:hAnsi="仿宋" w:eastAsia="仿宋" w:cs="仿宋"/>
          <w:color w:val="auto"/>
          <w:kern w:val="0"/>
          <w:sz w:val="24"/>
          <w:highlight w:val="none"/>
        </w:rPr>
        <w:t>5个工作日内退还中标人的投标保证金</w:t>
      </w:r>
      <w:r>
        <w:rPr>
          <w:rFonts w:hint="eastAsia" w:ascii="仿宋" w:hAnsi="仿宋" w:eastAsia="仿宋" w:cs="仿宋"/>
          <w:bCs/>
          <w:color w:val="auto"/>
          <w:kern w:val="0"/>
          <w:sz w:val="24"/>
          <w:highlight w:val="none"/>
        </w:rPr>
        <w:t>，但因投标人自身原因导致无法及时退还的除外。</w:t>
      </w:r>
    </w:p>
    <w:p w14:paraId="4F7775F0">
      <w:pPr>
        <w:snapToGrid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color w:val="auto"/>
          <w:kern w:val="0"/>
          <w:sz w:val="24"/>
          <w:highlight w:val="none"/>
        </w:rPr>
        <w:t>10.3.4</w:t>
      </w:r>
      <w:r>
        <w:rPr>
          <w:rFonts w:hint="eastAsia" w:ascii="仿宋" w:hAnsi="仿宋" w:eastAsia="仿宋" w:cs="仿宋"/>
          <w:bCs/>
          <w:color w:val="auto"/>
          <w:kern w:val="0"/>
          <w:sz w:val="24"/>
          <w:highlight w:val="none"/>
        </w:rPr>
        <w:t>有下列情形之一的，投标保证金不予退还：</w:t>
      </w:r>
    </w:p>
    <w:p w14:paraId="685F1C13">
      <w:pPr>
        <w:snapToGrid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10.3.4.1投标人在提交投标文件截止时间后撤回投标文件的；</w:t>
      </w:r>
    </w:p>
    <w:p w14:paraId="7465181A">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10.3.4.2投标人在投标文件中提供虚假材料的；</w:t>
      </w:r>
    </w:p>
    <w:p w14:paraId="0F7B4E67">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10.3.4.3除因不可抗力或招标文件认可的情形外，中标投标人不与</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签订合同的；</w:t>
      </w:r>
    </w:p>
    <w:p w14:paraId="6BD60ABD">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10.3.4.4投标人与</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、其他投标人或者</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恶意串通的；</w:t>
      </w:r>
    </w:p>
    <w:p w14:paraId="5B32E545">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10.3.4.5招标文件规定的其他情形。</w:t>
      </w:r>
    </w:p>
    <w:p w14:paraId="39C265E4">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10.4投标报价</w:t>
      </w:r>
    </w:p>
    <w:p w14:paraId="2195A642">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10.4.1所有投标报价均以“</w:t>
      </w:r>
      <w:r>
        <w:rPr>
          <w:rFonts w:hint="eastAsia" w:ascii="仿宋" w:hAnsi="仿宋" w:eastAsia="仿宋" w:cs="仿宋"/>
          <w:bCs/>
          <w:color w:val="auto"/>
          <w:kern w:val="0"/>
          <w:sz w:val="24"/>
          <w:highlight w:val="none"/>
        </w:rPr>
        <w:t>人民币元</w:t>
      </w:r>
      <w:r>
        <w:rPr>
          <w:rFonts w:hint="eastAsia" w:ascii="仿宋" w:hAnsi="仿宋" w:eastAsia="仿宋" w:cs="仿宋"/>
          <w:color w:val="auto"/>
          <w:kern w:val="0"/>
          <w:sz w:val="24"/>
          <w:highlight w:val="none"/>
        </w:rPr>
        <w:t>”为计算单位。只要投报了一个确定数额的总价，无论分项价格是否全部填报了相应的金额，报价应被视为已经包含了但并不限于各项购买货物及其包装、运送、安装调试、验收、技术培训、保险和服务等所有相关费用。在其它情况下，由于分项报价填报不完整、不清楚或存在其它任何失误，所导致的任何不利后果均应当由投标人自行承担。</w:t>
      </w:r>
    </w:p>
    <w:p w14:paraId="667D98F3">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10.4.2投标人应按总价及其他事项认真填报开标一览表。</w:t>
      </w:r>
    </w:p>
    <w:p w14:paraId="2423445A">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10.4.3投标人应对整包内容分别填报，不得拆包分项投标。</w:t>
      </w:r>
    </w:p>
    <w:p w14:paraId="1B73383F">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10.4.4本次招标不接受可选择或可调整的投标和报价。</w:t>
      </w:r>
    </w:p>
    <w:p w14:paraId="24D62D7D">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10.4.5投标人对投标报价若有说明应在开标一览表显著处注明，只有开标时唱出的报价优惠承诺才会在评标时予以考虑。</w:t>
      </w:r>
    </w:p>
    <w:p w14:paraId="5778C760">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10.4.6投标的报价优惠承诺应对应开标一览表、投标货物数量价格表等提供相应的明细清单。除报价优惠承诺外，任何超出招标文件要求而额外赠送的软硬件设备等其他形式的优惠，在评标时将不作为价格折算的必备条件。</w:t>
      </w:r>
    </w:p>
    <w:p w14:paraId="6BACEB63">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10.4.7对于有配件、耗材、选件、备件和特殊工具的货物，还应填报投标货物配件、耗材、选件、备件及特殊工具清单，注明品牌、型号、产地、功能、单价、批量折扣等内容，格式由投标人自行设计。</w:t>
      </w:r>
    </w:p>
    <w:p w14:paraId="7485E25B">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10.4.8本项目采用综合评分法，最低报价不能作为中标的保证。</w:t>
      </w:r>
    </w:p>
    <w:p w14:paraId="420D0AF4">
      <w:pPr>
        <w:tabs>
          <w:tab w:val="left" w:pos="0"/>
        </w:tabs>
        <w:snapToGrid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11.投标内容填写说明</w:t>
      </w:r>
    </w:p>
    <w:p w14:paraId="3660972B">
      <w:pPr>
        <w:spacing w:line="360" w:lineRule="auto"/>
        <w:ind w:firstLine="494" w:firstLineChars="20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11.1 投标人应详细阅读招标文件的全部内容，投标文件应对本招标文件中的内容做出实质性和完整性的响应。</w:t>
      </w:r>
    </w:p>
    <w:p w14:paraId="5AFE83B8">
      <w:pPr>
        <w:spacing w:line="360" w:lineRule="auto"/>
        <w:ind w:firstLine="494" w:firstLineChars="20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11.2 招标文件有固定格式要求且须知前附表中标“*”项的须按第七部分提供的统一格式逐项填写，不准留有空白项；无相应内容可填的项，须填写“无”、“未测试”、“没有相应指标”明确的回答。投标文件未按规定提交或留有空项，将被视为不完整响应的投标文件，其投标文件将被拒绝。</w:t>
      </w:r>
    </w:p>
    <w:p w14:paraId="39DA19F7">
      <w:pPr>
        <w:spacing w:line="360" w:lineRule="auto"/>
        <w:ind w:firstLine="494" w:firstLineChars="20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11.3投标人必须保证投标文件所提供的全部资料真实有效，并接受</w:t>
      </w:r>
      <w:r>
        <w:rPr>
          <w:rFonts w:hint="eastAsia" w:ascii="仿宋" w:hAnsi="仿宋" w:eastAsia="仿宋" w:cs="仿宋"/>
          <w:color w:val="auto"/>
          <w:sz w:val="24"/>
          <w:highlight w:val="none"/>
          <w:lang w:eastAsia="zh-CN"/>
        </w:rPr>
        <w:t>评审小组</w:t>
      </w:r>
      <w:r>
        <w:rPr>
          <w:rFonts w:hint="eastAsia" w:ascii="仿宋" w:hAnsi="仿宋" w:eastAsia="仿宋" w:cs="仿宋"/>
          <w:color w:val="auto"/>
          <w:kern w:val="0"/>
          <w:sz w:val="24"/>
          <w:highlight w:val="none"/>
        </w:rPr>
        <w:t>对其中任何资料进一步审查的要求，且承担相应的法律责任。</w:t>
      </w:r>
    </w:p>
    <w:p w14:paraId="1385CAF2">
      <w:pPr>
        <w:tabs>
          <w:tab w:val="left" w:pos="0"/>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因投标文件字迹潦草、提交资料不清晰或表达不清楚所引起的不利后果由投标人承担。</w:t>
      </w:r>
    </w:p>
    <w:p w14:paraId="115D97FA">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投标人须注意：为合理节约</w:t>
      </w:r>
      <w:r>
        <w:rPr>
          <w:rFonts w:hint="eastAsia" w:ascii="仿宋" w:hAnsi="仿宋" w:eastAsia="仿宋" w:cs="仿宋"/>
          <w:color w:val="auto"/>
          <w:kern w:val="0"/>
          <w:sz w:val="24"/>
          <w:highlight w:val="none"/>
          <w:lang w:eastAsia="zh-CN"/>
        </w:rPr>
        <w:t>招标</w:t>
      </w:r>
      <w:r>
        <w:rPr>
          <w:rFonts w:hint="eastAsia" w:ascii="仿宋" w:hAnsi="仿宋" w:eastAsia="仿宋" w:cs="仿宋"/>
          <w:color w:val="auto"/>
          <w:kern w:val="0"/>
          <w:sz w:val="24"/>
          <w:highlight w:val="none"/>
        </w:rPr>
        <w:t>评审成本，提倡诚实信用的投标行为，特别要求投标人应本着诚信精神，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的事项，一旦在评审中被发现存在重大偏离或被认定为属于重大偏离，则评委会有权决定对该投标予以拒绝。</w:t>
      </w:r>
    </w:p>
    <w:p w14:paraId="6A935F56">
      <w:pPr>
        <w:tabs>
          <w:tab w:val="left" w:pos="0"/>
        </w:tabs>
        <w:snapToGrid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12.投标文件的有效期</w:t>
      </w:r>
    </w:p>
    <w:p w14:paraId="1C6E9003">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12.1本项目投标文件的有效期见投标人须知前附表。有效期短于该规定期限的投标文件投标无效。</w:t>
      </w:r>
    </w:p>
    <w:p w14:paraId="3D96CED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12.2投标有效期从提交投标文件的截止之日起算。投标文件中承诺的投标有效期应当不少于招标文件中载明的投标有效期。投标有效期内投标人撤销投标文件的，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可以不退还投标保证金。</w:t>
      </w:r>
    </w:p>
    <w:p w14:paraId="5BFD5D5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12.3如果出现特殊情况，</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可要求投标人将投标有效期延长一段时间，这种要求和投标人的答复以书面形式进行。投标人可以拒绝这种要求，而不被没收投标保证金。同意延长投标有效期时，本须知关于投标保证金的退还与没收规定仍适用。</w:t>
      </w:r>
    </w:p>
    <w:p w14:paraId="11C85CD5">
      <w:pPr>
        <w:tabs>
          <w:tab w:val="left" w:pos="0"/>
        </w:tabs>
        <w:snapToGrid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13. 投标文件的签署及规定</w:t>
      </w:r>
    </w:p>
    <w:p w14:paraId="18AFA918">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13.1组成投标文件的各项文件均应遵守本条。</w:t>
      </w:r>
    </w:p>
    <w:p w14:paraId="25166987">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13.2投标人在投标文件及相关文件的签订、履行、通知等事项的书面文件中的“单位盖章”、“印章”、“公章”等处均仅指与投标人名称全称相一致的标准公章，不得使用其它（如带有“专用章”等字样）的印章，否则作为无效投标处理。</w:t>
      </w:r>
    </w:p>
    <w:p w14:paraId="125823F2">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13.3投标人应在投标文件中按照招标文件要求，在指定的位置签字（盖章）、加盖公章，否则作为无效投标处理。</w:t>
      </w:r>
    </w:p>
    <w:p w14:paraId="48776A43">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13.4投标文件应字迹清楚、内容齐全、不得涂改或增删。如有修改和增删，必须有投标人公章及法定代表人或其授权的投标人代表签字或盖章。</w:t>
      </w:r>
    </w:p>
    <w:p w14:paraId="429E8AC4">
      <w:pPr>
        <w:snapToGrid w:val="0"/>
        <w:spacing w:line="360" w:lineRule="auto"/>
        <w:ind w:firstLine="482" w:firstLineChars="200"/>
        <w:outlineLvl w:val="1"/>
        <w:rPr>
          <w:rFonts w:ascii="仿宋" w:hAnsi="仿宋" w:eastAsia="仿宋" w:cs="仿宋"/>
          <w:b/>
          <w:color w:val="auto"/>
          <w:kern w:val="0"/>
          <w:sz w:val="24"/>
          <w:highlight w:val="none"/>
        </w:rPr>
      </w:pPr>
      <w:bookmarkStart w:id="34" w:name="_Toc175644019"/>
      <w:r>
        <w:rPr>
          <w:rFonts w:hint="eastAsia" w:ascii="仿宋" w:hAnsi="仿宋" w:eastAsia="仿宋" w:cs="仿宋"/>
          <w:b/>
          <w:color w:val="auto"/>
          <w:kern w:val="0"/>
          <w:sz w:val="24"/>
          <w:highlight w:val="none"/>
        </w:rPr>
        <w:t>四、</w:t>
      </w:r>
      <w:bookmarkEnd w:id="34"/>
      <w:r>
        <w:rPr>
          <w:rFonts w:hint="eastAsia" w:ascii="仿宋" w:hAnsi="仿宋" w:eastAsia="仿宋" w:cs="仿宋"/>
          <w:b/>
          <w:color w:val="auto"/>
          <w:kern w:val="0"/>
          <w:sz w:val="24"/>
          <w:highlight w:val="none"/>
        </w:rPr>
        <w:t>投标文件的递交、签收与退回</w:t>
      </w:r>
    </w:p>
    <w:p w14:paraId="217DA021">
      <w:pPr>
        <w:tabs>
          <w:tab w:val="left" w:pos="0"/>
        </w:tabs>
        <w:snapToGrid w:val="0"/>
        <w:spacing w:line="360" w:lineRule="auto"/>
        <w:ind w:firstLine="480" w:firstLineChars="200"/>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 xml:space="preserve">14.1本次招标以电子投标文件为准 </w:t>
      </w:r>
    </w:p>
    <w:p w14:paraId="4F333C19">
      <w:pPr>
        <w:tabs>
          <w:tab w:val="left" w:pos="0"/>
        </w:tabs>
        <w:snapToGrid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15.开标时间</w:t>
      </w:r>
    </w:p>
    <w:p w14:paraId="59CB22D3">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15.1投标文件</w:t>
      </w:r>
      <w:r>
        <w:rPr>
          <w:rFonts w:hint="eastAsia" w:ascii="仿宋" w:hAnsi="仿宋" w:eastAsia="仿宋" w:cs="仿宋"/>
          <w:color w:val="auto"/>
          <w:kern w:val="0"/>
          <w:sz w:val="24"/>
          <w:highlight w:val="none"/>
          <w:lang w:val="en-US" w:eastAsia="zh-CN"/>
        </w:rPr>
        <w:t>解密时间</w:t>
      </w:r>
      <w:r>
        <w:rPr>
          <w:rFonts w:hint="eastAsia" w:ascii="仿宋" w:hAnsi="仿宋" w:eastAsia="仿宋" w:cs="仿宋"/>
          <w:color w:val="auto"/>
          <w:kern w:val="0"/>
          <w:sz w:val="24"/>
          <w:highlight w:val="none"/>
        </w:rPr>
        <w:t>截止时间即为开标时间。</w:t>
      </w:r>
    </w:p>
    <w:p w14:paraId="617061FA">
      <w:pPr>
        <w:tabs>
          <w:tab w:val="left" w:pos="0"/>
        </w:tabs>
        <w:snapToGrid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16. 投标文件的补充、修改和撤回</w:t>
      </w:r>
    </w:p>
    <w:p w14:paraId="13904DA9">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16.1投标人在投标文件递交截止时间前，可以对所递交的投标文件进行补充、修改或者撤回，并以电子方式上传至山西省政府采购政采云平台。补充、修改的内容作为投标文件的组成部分。补充、修改的内容与投标文件不一致的，以补充、修改的内容为准。</w:t>
      </w:r>
    </w:p>
    <w:p w14:paraId="24BCEE99">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16.</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在投标文件递交截止时间之后，投标人不得对其投标文件进行补充、修改或撤回。</w:t>
      </w:r>
    </w:p>
    <w:p w14:paraId="2E0303E3">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16.</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投标人撤标投标文件的要求应由投标人法定代表或投标人代表签署的书面形式提出，否则不予撤回。</w:t>
      </w:r>
    </w:p>
    <w:p w14:paraId="36DF4ABE">
      <w:pPr>
        <w:snapToGrid w:val="0"/>
        <w:spacing w:line="360" w:lineRule="auto"/>
        <w:ind w:firstLine="482" w:firstLineChars="200"/>
        <w:outlineLvl w:val="1"/>
        <w:rPr>
          <w:rFonts w:ascii="仿宋" w:hAnsi="仿宋" w:eastAsia="仿宋" w:cs="仿宋"/>
          <w:b/>
          <w:color w:val="auto"/>
          <w:kern w:val="0"/>
          <w:sz w:val="24"/>
          <w:highlight w:val="none"/>
        </w:rPr>
      </w:pPr>
      <w:bookmarkStart w:id="35" w:name="_Toc175644020"/>
      <w:r>
        <w:rPr>
          <w:rFonts w:hint="eastAsia" w:ascii="仿宋" w:hAnsi="仿宋" w:eastAsia="仿宋" w:cs="仿宋"/>
          <w:b/>
          <w:color w:val="auto"/>
          <w:kern w:val="0"/>
          <w:sz w:val="24"/>
          <w:highlight w:val="none"/>
        </w:rPr>
        <w:t>五、开标</w:t>
      </w:r>
      <w:bookmarkEnd w:id="35"/>
      <w:r>
        <w:rPr>
          <w:rFonts w:hint="eastAsia" w:ascii="仿宋" w:hAnsi="仿宋" w:eastAsia="仿宋" w:cs="仿宋"/>
          <w:b/>
          <w:color w:val="auto"/>
          <w:kern w:val="0"/>
          <w:sz w:val="24"/>
          <w:highlight w:val="none"/>
        </w:rPr>
        <w:t xml:space="preserve"> </w:t>
      </w:r>
    </w:p>
    <w:p w14:paraId="02F7FBD6">
      <w:pPr>
        <w:tabs>
          <w:tab w:val="left" w:pos="0"/>
        </w:tabs>
        <w:snapToGrid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17.开标及其有关事项</w:t>
      </w:r>
    </w:p>
    <w:p w14:paraId="6D662C5F">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17.1</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在招标文件确定的提交投标文件截止时间的同一时间与招标文件预先确定的地点</w:t>
      </w:r>
      <w:r>
        <w:rPr>
          <w:rFonts w:hint="eastAsia" w:ascii="仿宋" w:hAnsi="仿宋" w:eastAsia="仿宋" w:cs="仿宋"/>
          <w:bCs/>
          <w:color w:val="auto"/>
          <w:kern w:val="0"/>
          <w:sz w:val="24"/>
          <w:highlight w:val="none"/>
        </w:rPr>
        <w:t>组织</w:t>
      </w:r>
      <w:r>
        <w:rPr>
          <w:rFonts w:hint="eastAsia" w:ascii="仿宋" w:hAnsi="仿宋" w:eastAsia="仿宋" w:cs="仿宋"/>
          <w:color w:val="auto"/>
          <w:kern w:val="0"/>
          <w:sz w:val="24"/>
          <w:highlight w:val="none"/>
        </w:rPr>
        <w:t>公开开标活动，</w:t>
      </w:r>
      <w:r>
        <w:rPr>
          <w:rFonts w:hint="eastAsia" w:ascii="仿宋" w:hAnsi="仿宋" w:eastAsia="仿宋" w:cs="仿宋"/>
          <w:bCs/>
          <w:color w:val="auto"/>
          <w:kern w:val="0"/>
          <w:sz w:val="24"/>
          <w:highlight w:val="none"/>
        </w:rPr>
        <w:t>并且对开标、评标现场活动进行全程录音录像。录音录像应当清晰可辨，音像资料作为</w:t>
      </w:r>
      <w:r>
        <w:rPr>
          <w:rFonts w:hint="eastAsia" w:ascii="仿宋" w:hAnsi="仿宋" w:eastAsia="仿宋" w:cs="仿宋"/>
          <w:bCs/>
          <w:color w:val="auto"/>
          <w:kern w:val="0"/>
          <w:sz w:val="24"/>
          <w:highlight w:val="none"/>
          <w:lang w:eastAsia="zh-CN"/>
        </w:rPr>
        <w:t>招标</w:t>
      </w:r>
      <w:r>
        <w:rPr>
          <w:rFonts w:hint="eastAsia" w:ascii="仿宋" w:hAnsi="仿宋" w:eastAsia="仿宋" w:cs="仿宋"/>
          <w:bCs/>
          <w:color w:val="auto"/>
          <w:kern w:val="0"/>
          <w:sz w:val="24"/>
          <w:highlight w:val="none"/>
        </w:rPr>
        <w:t>文件一并存档。</w:t>
      </w:r>
    </w:p>
    <w:p w14:paraId="3D936EDD">
      <w:pPr>
        <w:tabs>
          <w:tab w:val="left" w:pos="567"/>
        </w:tabs>
        <w:snapToGrid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color w:val="auto"/>
          <w:kern w:val="0"/>
          <w:sz w:val="24"/>
          <w:highlight w:val="none"/>
        </w:rPr>
        <w:t>17.2</w:t>
      </w:r>
      <w:r>
        <w:rPr>
          <w:rFonts w:hint="eastAsia" w:ascii="仿宋" w:hAnsi="仿宋" w:eastAsia="仿宋" w:cs="仿宋"/>
          <w:bCs/>
          <w:color w:val="auto"/>
          <w:kern w:val="0"/>
          <w:sz w:val="24"/>
          <w:highlight w:val="none"/>
        </w:rPr>
        <w:t>开标会议由</w:t>
      </w:r>
      <w:r>
        <w:rPr>
          <w:rFonts w:hint="eastAsia" w:ascii="仿宋" w:hAnsi="仿宋" w:eastAsia="仿宋" w:cs="仿宋"/>
          <w:bCs/>
          <w:color w:val="auto"/>
          <w:kern w:val="0"/>
          <w:sz w:val="24"/>
          <w:highlight w:val="none"/>
          <w:lang w:eastAsia="zh-CN"/>
        </w:rPr>
        <w:t>采购代理机构</w:t>
      </w:r>
      <w:r>
        <w:rPr>
          <w:rFonts w:hint="eastAsia" w:ascii="仿宋" w:hAnsi="仿宋" w:eastAsia="仿宋" w:cs="仿宋"/>
          <w:bCs/>
          <w:color w:val="auto"/>
          <w:kern w:val="0"/>
          <w:sz w:val="24"/>
          <w:highlight w:val="none"/>
        </w:rPr>
        <w:t>主持。</w:t>
      </w:r>
    </w:p>
    <w:p w14:paraId="2CEA6F61">
      <w:pPr>
        <w:tabs>
          <w:tab w:val="left" w:pos="567"/>
        </w:tabs>
        <w:snapToGrid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17.3</w:t>
      </w:r>
      <w:r>
        <w:rPr>
          <w:rFonts w:hint="eastAsia" w:ascii="仿宋" w:hAnsi="仿宋" w:eastAsia="仿宋" w:cs="仿宋"/>
          <w:color w:val="auto"/>
          <w:sz w:val="24"/>
          <w:highlight w:val="none"/>
          <w:lang w:eastAsia="zh-CN"/>
        </w:rPr>
        <w:t>评审小组</w:t>
      </w:r>
      <w:r>
        <w:rPr>
          <w:rFonts w:hint="eastAsia" w:ascii="仿宋" w:hAnsi="仿宋" w:eastAsia="仿宋" w:cs="仿宋"/>
          <w:bCs/>
          <w:color w:val="auto"/>
          <w:kern w:val="0"/>
          <w:sz w:val="24"/>
          <w:highlight w:val="none"/>
        </w:rPr>
        <w:t>成员和参与评标的</w:t>
      </w:r>
      <w:r>
        <w:rPr>
          <w:rFonts w:hint="eastAsia" w:ascii="仿宋" w:hAnsi="仿宋" w:eastAsia="仿宋" w:cs="仿宋"/>
          <w:bCs/>
          <w:color w:val="auto"/>
          <w:kern w:val="0"/>
          <w:sz w:val="24"/>
          <w:highlight w:val="none"/>
          <w:lang w:eastAsia="zh-CN"/>
        </w:rPr>
        <w:t>采购人</w:t>
      </w:r>
      <w:r>
        <w:rPr>
          <w:rFonts w:hint="eastAsia" w:ascii="仿宋" w:hAnsi="仿宋" w:eastAsia="仿宋" w:cs="仿宋"/>
          <w:bCs/>
          <w:color w:val="auto"/>
          <w:kern w:val="0"/>
          <w:sz w:val="24"/>
          <w:highlight w:val="none"/>
        </w:rPr>
        <w:t>代表不得参加开标活动。</w:t>
      </w:r>
    </w:p>
    <w:p w14:paraId="2935A0C2">
      <w:pPr>
        <w:tabs>
          <w:tab w:val="left" w:pos="567"/>
        </w:tabs>
        <w:snapToGrid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color w:val="auto"/>
          <w:kern w:val="0"/>
          <w:sz w:val="24"/>
          <w:highlight w:val="none"/>
        </w:rPr>
        <w:t>17.</w:t>
      </w:r>
      <w:r>
        <w:rPr>
          <w:rFonts w:hint="eastAsia" w:ascii="仿宋" w:hAnsi="仿宋" w:eastAsia="仿宋" w:cs="仿宋"/>
          <w:color w:val="auto"/>
          <w:kern w:val="0"/>
          <w:sz w:val="24"/>
          <w:highlight w:val="none"/>
          <w:lang w:val="en-US" w:eastAsia="zh-CN"/>
        </w:rPr>
        <w:t>4</w:t>
      </w:r>
      <w:r>
        <w:rPr>
          <w:rFonts w:hint="eastAsia" w:ascii="仿宋" w:hAnsi="仿宋" w:eastAsia="仿宋" w:cs="仿宋"/>
          <w:b/>
          <w:bCs/>
          <w:color w:val="auto"/>
          <w:kern w:val="0"/>
          <w:sz w:val="24"/>
          <w:highlight w:val="none"/>
        </w:rPr>
        <w:t>投标人不足3家的不得开标。</w:t>
      </w:r>
    </w:p>
    <w:p w14:paraId="68BDB018">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bCs/>
          <w:color w:val="auto"/>
          <w:kern w:val="0"/>
          <w:sz w:val="24"/>
          <w:highlight w:val="none"/>
        </w:rPr>
        <w:t>17.</w:t>
      </w:r>
      <w:r>
        <w:rPr>
          <w:rFonts w:hint="eastAsia" w:ascii="仿宋" w:hAnsi="仿宋" w:eastAsia="仿宋" w:cs="仿宋"/>
          <w:bCs/>
          <w:color w:val="auto"/>
          <w:kern w:val="0"/>
          <w:sz w:val="24"/>
          <w:highlight w:val="none"/>
          <w:lang w:val="en-US" w:eastAsia="zh-CN"/>
        </w:rPr>
        <w:t>5</w:t>
      </w:r>
      <w:r>
        <w:rPr>
          <w:rFonts w:hint="eastAsia" w:ascii="仿宋" w:hAnsi="仿宋" w:eastAsia="仿宋" w:cs="仿宋"/>
          <w:bCs/>
          <w:color w:val="auto"/>
          <w:kern w:val="0"/>
          <w:sz w:val="24"/>
          <w:highlight w:val="none"/>
        </w:rPr>
        <w:t>投标人代表对开标过程和开标记录有疑义，以及认为</w:t>
      </w:r>
      <w:r>
        <w:rPr>
          <w:rFonts w:hint="eastAsia" w:ascii="仿宋" w:hAnsi="仿宋" w:eastAsia="仿宋" w:cs="仿宋"/>
          <w:bCs/>
          <w:color w:val="auto"/>
          <w:kern w:val="0"/>
          <w:sz w:val="24"/>
          <w:highlight w:val="none"/>
          <w:lang w:eastAsia="zh-CN"/>
        </w:rPr>
        <w:t>采购人</w:t>
      </w:r>
      <w:r>
        <w:rPr>
          <w:rFonts w:hint="eastAsia" w:ascii="仿宋" w:hAnsi="仿宋" w:eastAsia="仿宋" w:cs="仿宋"/>
          <w:bCs/>
          <w:color w:val="auto"/>
          <w:kern w:val="0"/>
          <w:sz w:val="24"/>
          <w:highlight w:val="none"/>
        </w:rPr>
        <w:t>、</w:t>
      </w:r>
      <w:r>
        <w:rPr>
          <w:rFonts w:hint="eastAsia" w:ascii="仿宋" w:hAnsi="仿宋" w:eastAsia="仿宋" w:cs="仿宋"/>
          <w:bCs/>
          <w:color w:val="auto"/>
          <w:kern w:val="0"/>
          <w:sz w:val="24"/>
          <w:highlight w:val="none"/>
          <w:lang w:eastAsia="zh-CN"/>
        </w:rPr>
        <w:t>采购代理机构</w:t>
      </w:r>
      <w:r>
        <w:rPr>
          <w:rFonts w:hint="eastAsia" w:ascii="仿宋" w:hAnsi="仿宋" w:eastAsia="仿宋" w:cs="仿宋"/>
          <w:bCs/>
          <w:color w:val="auto"/>
          <w:kern w:val="0"/>
          <w:sz w:val="24"/>
          <w:highlight w:val="none"/>
        </w:rPr>
        <w:t>相关工作人员有需要回避的情形的，应当场提出询问或者回避申请。</w:t>
      </w:r>
      <w:r>
        <w:rPr>
          <w:rFonts w:hint="eastAsia" w:ascii="仿宋" w:hAnsi="仿宋" w:eastAsia="仿宋" w:cs="仿宋"/>
          <w:bCs/>
          <w:color w:val="auto"/>
          <w:kern w:val="0"/>
          <w:sz w:val="24"/>
          <w:highlight w:val="none"/>
          <w:lang w:eastAsia="zh-CN"/>
        </w:rPr>
        <w:t>采购人</w:t>
      </w:r>
      <w:r>
        <w:rPr>
          <w:rFonts w:hint="eastAsia" w:ascii="仿宋" w:hAnsi="仿宋" w:eastAsia="仿宋" w:cs="仿宋"/>
          <w:bCs/>
          <w:color w:val="auto"/>
          <w:kern w:val="0"/>
          <w:sz w:val="24"/>
          <w:highlight w:val="none"/>
        </w:rPr>
        <w:t>、</w:t>
      </w:r>
      <w:r>
        <w:rPr>
          <w:rFonts w:hint="eastAsia" w:ascii="仿宋" w:hAnsi="仿宋" w:eastAsia="仿宋" w:cs="仿宋"/>
          <w:bCs/>
          <w:color w:val="auto"/>
          <w:kern w:val="0"/>
          <w:sz w:val="24"/>
          <w:highlight w:val="none"/>
          <w:lang w:eastAsia="zh-CN"/>
        </w:rPr>
        <w:t>采购代理机构</w:t>
      </w:r>
      <w:r>
        <w:rPr>
          <w:rFonts w:hint="eastAsia" w:ascii="仿宋" w:hAnsi="仿宋" w:eastAsia="仿宋" w:cs="仿宋"/>
          <w:bCs/>
          <w:color w:val="auto"/>
          <w:kern w:val="0"/>
          <w:sz w:val="24"/>
          <w:highlight w:val="none"/>
        </w:rPr>
        <w:t>对投标人代表提出的询问或者回避申请应当及时处理。</w:t>
      </w:r>
    </w:p>
    <w:p w14:paraId="60B20101">
      <w:pPr>
        <w:tabs>
          <w:tab w:val="left" w:pos="567"/>
        </w:tabs>
        <w:snapToGrid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17.</w:t>
      </w:r>
      <w:r>
        <w:rPr>
          <w:rFonts w:hint="eastAsia" w:ascii="仿宋" w:hAnsi="仿宋" w:eastAsia="仿宋" w:cs="仿宋"/>
          <w:bCs/>
          <w:color w:val="auto"/>
          <w:kern w:val="0"/>
          <w:sz w:val="24"/>
          <w:highlight w:val="none"/>
          <w:lang w:val="en-US" w:eastAsia="zh-CN"/>
        </w:rPr>
        <w:t>6</w:t>
      </w:r>
      <w:r>
        <w:rPr>
          <w:rFonts w:hint="eastAsia" w:ascii="仿宋" w:hAnsi="仿宋" w:eastAsia="仿宋" w:cs="仿宋"/>
          <w:bCs/>
          <w:color w:val="auto"/>
          <w:kern w:val="0"/>
          <w:sz w:val="24"/>
          <w:highlight w:val="none"/>
        </w:rPr>
        <w:t>投标人未参加开标的，视同认可开标结果。</w:t>
      </w:r>
    </w:p>
    <w:p w14:paraId="0F331D3F">
      <w:pPr>
        <w:snapToGrid w:val="0"/>
        <w:spacing w:line="360" w:lineRule="auto"/>
        <w:ind w:firstLine="482" w:firstLineChars="200"/>
        <w:outlineLvl w:val="1"/>
        <w:rPr>
          <w:rFonts w:ascii="仿宋" w:hAnsi="仿宋" w:eastAsia="仿宋" w:cs="仿宋"/>
          <w:b/>
          <w:color w:val="auto"/>
          <w:kern w:val="0"/>
          <w:sz w:val="24"/>
          <w:highlight w:val="none"/>
        </w:rPr>
      </w:pPr>
      <w:bookmarkStart w:id="36" w:name="_Toc175644021"/>
      <w:r>
        <w:rPr>
          <w:rFonts w:hint="eastAsia" w:ascii="仿宋" w:hAnsi="仿宋" w:eastAsia="仿宋" w:cs="仿宋"/>
          <w:b/>
          <w:color w:val="auto"/>
          <w:kern w:val="0"/>
          <w:sz w:val="24"/>
          <w:highlight w:val="none"/>
        </w:rPr>
        <w:t>六、评标程序和要求</w:t>
      </w:r>
      <w:bookmarkEnd w:id="36"/>
    </w:p>
    <w:p w14:paraId="4C1CD83F">
      <w:pPr>
        <w:tabs>
          <w:tab w:val="left" w:pos="0"/>
        </w:tabs>
        <w:snapToGrid w:val="0"/>
        <w:spacing w:line="360" w:lineRule="auto"/>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18．</w:t>
      </w:r>
      <w:r>
        <w:rPr>
          <w:rFonts w:hint="eastAsia" w:ascii="仿宋" w:hAnsi="仿宋" w:eastAsia="仿宋" w:cs="仿宋"/>
          <w:bCs/>
          <w:color w:val="auto"/>
          <w:kern w:val="0"/>
          <w:sz w:val="24"/>
          <w:highlight w:val="none"/>
        </w:rPr>
        <w:t>组建资格证明文件审查小组和商务服务</w:t>
      </w:r>
      <w:r>
        <w:rPr>
          <w:rFonts w:hint="eastAsia" w:ascii="仿宋" w:hAnsi="仿宋" w:eastAsia="仿宋" w:cs="仿宋"/>
          <w:color w:val="auto"/>
          <w:sz w:val="24"/>
          <w:highlight w:val="none"/>
          <w:lang w:eastAsia="zh-CN"/>
        </w:rPr>
        <w:t>评审小组</w:t>
      </w:r>
    </w:p>
    <w:p w14:paraId="38FB0B2C">
      <w:pPr>
        <w:tabs>
          <w:tab w:val="left" w:pos="567"/>
        </w:tabs>
        <w:snapToGrid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18.1组建资格证明文件审查小组</w:t>
      </w:r>
    </w:p>
    <w:p w14:paraId="70ABC11C">
      <w:pPr>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资格审查小组对投标人的资格证明文件的有效性、符合性进行审核。</w:t>
      </w:r>
    </w:p>
    <w:p w14:paraId="4BD49118">
      <w:pPr>
        <w:tabs>
          <w:tab w:val="left" w:pos="567"/>
        </w:tabs>
        <w:snapToGrid w:val="0"/>
        <w:spacing w:line="360" w:lineRule="auto"/>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18.2组建</w:t>
      </w:r>
      <w:r>
        <w:rPr>
          <w:rFonts w:hint="eastAsia" w:ascii="仿宋" w:hAnsi="仿宋" w:eastAsia="仿宋" w:cs="仿宋"/>
          <w:color w:val="auto"/>
          <w:sz w:val="24"/>
          <w:highlight w:val="none"/>
          <w:lang w:eastAsia="zh-CN"/>
        </w:rPr>
        <w:t>评审小组</w:t>
      </w:r>
    </w:p>
    <w:p w14:paraId="756D971C">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18.2.1</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根据有关法律法规和本招标文件的规定，结合本招标项目的特点组建</w:t>
      </w:r>
      <w:r>
        <w:rPr>
          <w:rFonts w:hint="eastAsia" w:ascii="仿宋" w:hAnsi="仿宋" w:eastAsia="仿宋" w:cs="仿宋"/>
          <w:color w:val="auto"/>
          <w:sz w:val="24"/>
          <w:highlight w:val="none"/>
          <w:lang w:eastAsia="zh-CN"/>
        </w:rPr>
        <w:t>评审小组</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lang w:eastAsia="zh-CN"/>
        </w:rPr>
        <w:t>评审小组</w:t>
      </w:r>
      <w:r>
        <w:rPr>
          <w:rFonts w:hint="eastAsia" w:ascii="仿宋" w:hAnsi="仿宋" w:eastAsia="仿宋" w:cs="仿宋"/>
          <w:color w:val="auto"/>
          <w:kern w:val="0"/>
          <w:sz w:val="24"/>
          <w:highlight w:val="none"/>
        </w:rPr>
        <w:t>由</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代表和评审专家共</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人单数组成，其中评审专家不得少于成员总数的三分之二。</w:t>
      </w:r>
    </w:p>
    <w:p w14:paraId="571241CD">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18.2.2</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对3家及以上资格性审查合格投标人的商务服务文件进行符合性审查，并对符合性审查合格的3家及以上投标人的商务服务文件，按照招标文件中规定的评标标准和评标办法进行评估和比较。</w:t>
      </w:r>
    </w:p>
    <w:p w14:paraId="3C88B1C0">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18.2.3评审专家对本单位的</w:t>
      </w:r>
      <w:r>
        <w:rPr>
          <w:rFonts w:hint="eastAsia" w:ascii="仿宋" w:hAnsi="仿宋" w:eastAsia="仿宋" w:cs="仿宋"/>
          <w:color w:val="auto"/>
          <w:kern w:val="0"/>
          <w:sz w:val="24"/>
          <w:highlight w:val="none"/>
          <w:lang w:eastAsia="zh-CN"/>
        </w:rPr>
        <w:t>招标</w:t>
      </w:r>
      <w:r>
        <w:rPr>
          <w:rFonts w:hint="eastAsia" w:ascii="仿宋" w:hAnsi="仿宋" w:eastAsia="仿宋" w:cs="仿宋"/>
          <w:color w:val="auto"/>
          <w:kern w:val="0"/>
          <w:sz w:val="24"/>
          <w:highlight w:val="none"/>
        </w:rPr>
        <w:t>项目只能作为</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代表参与评标，法律规定的情形除外。</w:t>
      </w:r>
    </w:p>
    <w:p w14:paraId="4A803FF7">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18.2.4</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工作人员不得参加由本机构代理的政府采购项目的评标。</w:t>
      </w:r>
    </w:p>
    <w:p w14:paraId="2950CEB3">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18.2.5</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成员名单在评标结果公告前应当保密。</w:t>
      </w:r>
    </w:p>
    <w:p w14:paraId="382776CD">
      <w:pPr>
        <w:tabs>
          <w:tab w:val="left" w:pos="567"/>
        </w:tabs>
        <w:snapToGrid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color w:val="auto"/>
          <w:kern w:val="0"/>
          <w:sz w:val="24"/>
          <w:highlight w:val="none"/>
        </w:rPr>
        <w:t>18.2.6评审专家由</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从山西省政府采购评审专家库中，通过随机方式抽取。对技术复杂、专业性强的采购项目，通过随机方式难以确定合适评审专家的，</w:t>
      </w:r>
      <w:r>
        <w:rPr>
          <w:rFonts w:hint="eastAsia" w:ascii="仿宋" w:hAnsi="仿宋" w:eastAsia="仿宋" w:cs="仿宋"/>
          <w:bCs/>
          <w:color w:val="auto"/>
          <w:kern w:val="0"/>
          <w:sz w:val="24"/>
          <w:highlight w:val="none"/>
        </w:rPr>
        <w:t>经主管预算单位同意，</w:t>
      </w:r>
      <w:r>
        <w:rPr>
          <w:rFonts w:hint="eastAsia" w:ascii="仿宋" w:hAnsi="仿宋" w:eastAsia="仿宋" w:cs="仿宋"/>
          <w:bCs/>
          <w:color w:val="auto"/>
          <w:kern w:val="0"/>
          <w:sz w:val="24"/>
          <w:highlight w:val="none"/>
          <w:lang w:eastAsia="zh-CN"/>
        </w:rPr>
        <w:t>采购人</w:t>
      </w:r>
      <w:r>
        <w:rPr>
          <w:rFonts w:hint="eastAsia" w:ascii="仿宋" w:hAnsi="仿宋" w:eastAsia="仿宋" w:cs="仿宋"/>
          <w:bCs/>
          <w:color w:val="auto"/>
          <w:kern w:val="0"/>
          <w:sz w:val="24"/>
          <w:highlight w:val="none"/>
        </w:rPr>
        <w:t>可以自行选定相应专业领域的评审专家。</w:t>
      </w:r>
    </w:p>
    <w:p w14:paraId="2377ABED">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18.2.7评标中因</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成员缺席、回避或者健康等特殊原因导致</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组成不符合相关法律规定的，代理机构应当依法补足后继续评标。被更换的</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成员所作出的评标意见无效。</w:t>
      </w:r>
    </w:p>
    <w:p w14:paraId="0511CE1F">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18.2.8无法及时补足</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成员的，代理机构应当停止评标活动，封存所有投标文件和开标、评标资料，依法重新组建</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进行评标。原</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所作出的评标意见无效。</w:t>
      </w:r>
    </w:p>
    <w:p w14:paraId="7163BB6A">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18.2.9代理机构应当将变更、重新组建</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的情况予以记录，并随</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一并存档。</w:t>
      </w:r>
    </w:p>
    <w:p w14:paraId="2721CD9C">
      <w:pPr>
        <w:tabs>
          <w:tab w:val="left" w:pos="0"/>
        </w:tabs>
        <w:snapToGrid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19．评审</w:t>
      </w:r>
    </w:p>
    <w:p w14:paraId="60888113">
      <w:pPr>
        <w:tabs>
          <w:tab w:val="left" w:pos="0"/>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投标文件的评审分资格证明文件的评审和商务服务文件的评审。</w:t>
      </w:r>
    </w:p>
    <w:p w14:paraId="6AD326F1">
      <w:pPr>
        <w:tabs>
          <w:tab w:val="left" w:pos="0"/>
        </w:tabs>
        <w:snapToGrid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19.1资格证明文件的审核</w:t>
      </w:r>
    </w:p>
    <w:p w14:paraId="54877410">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19.1.1公开招标项目开标结束后，</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lang w:val="en-US" w:eastAsia="zh-CN"/>
        </w:rPr>
        <w:t>与采购人</w:t>
      </w:r>
      <w:r>
        <w:rPr>
          <w:rFonts w:hint="eastAsia" w:ascii="仿宋" w:hAnsi="仿宋" w:eastAsia="仿宋" w:cs="仿宋"/>
          <w:color w:val="auto"/>
          <w:kern w:val="0"/>
          <w:sz w:val="24"/>
          <w:highlight w:val="none"/>
        </w:rPr>
        <w:t>依法按照招标文件中规定的评审办法对投标人的资格证明文件的有效性、符合性进行审查，以确定各投标人是否是符合招标文件要求的合格投标人。合格投标人不足3家的，不得进行商务服务评标。</w:t>
      </w:r>
    </w:p>
    <w:p w14:paraId="491214ED">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19.1.2</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对投标文件的判定，只依据投标人的资格性证明文件内容本身（需要进行网上查询核实的证明材料除外）。</w:t>
      </w:r>
    </w:p>
    <w:p w14:paraId="5B04983A">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19.1.3对前附表中有资格、资信不合格的或未对其要求做出明确响应的，</w:t>
      </w:r>
      <w:r>
        <w:rPr>
          <w:rFonts w:hint="eastAsia" w:ascii="仿宋" w:hAnsi="仿宋" w:eastAsia="仿宋" w:cs="仿宋"/>
          <w:b/>
          <w:color w:val="auto"/>
          <w:kern w:val="0"/>
          <w:sz w:val="24"/>
          <w:highlight w:val="none"/>
        </w:rPr>
        <w:t>将作无效投标处理。</w:t>
      </w:r>
    </w:p>
    <w:p w14:paraId="7E919F87">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19.1.4为保证投标的公开、公正、公平，投标人资格证明文件若有缺失或不符，开标后不允许补正或修正，且投标无效。</w:t>
      </w:r>
    </w:p>
    <w:p w14:paraId="70C2C5E5">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19.1.5代理机构对模糊不清的或存在疑问的资格性证明文件，在不影响投标是否有效的前提下，须经投标人进行电子澄清或说明。</w:t>
      </w:r>
    </w:p>
    <w:p w14:paraId="4C0411B8">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19.1.6代理机构对投标人的资格审查进行记录、编写资格证明文件审查报告，并签字确认，与招标文件一并存档。</w:t>
      </w:r>
    </w:p>
    <w:p w14:paraId="32896525">
      <w:pPr>
        <w:tabs>
          <w:tab w:val="left" w:pos="567"/>
        </w:tabs>
        <w:snapToGrid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19. 2 商务服务文件符合性审查</w:t>
      </w:r>
    </w:p>
    <w:p w14:paraId="0CE2D07E">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19.2.1审查、评价投标人商务服务文件是否符合招标文件的商务服务文件等实质性要求。</w:t>
      </w:r>
    </w:p>
    <w:p w14:paraId="026F49DC">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19.2.1.1</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发现招标文件存在歧义、重大缺陷导致评标工作无法进行，或者招标文件内容违反国家有关强制性规定的，应当停止评标工作，与</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或者</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沟通并作书面记录。代理机构确认后，应当修改招标文件，重新组织</w:t>
      </w:r>
      <w:r>
        <w:rPr>
          <w:rFonts w:hint="eastAsia" w:ascii="仿宋" w:hAnsi="仿宋" w:eastAsia="仿宋" w:cs="仿宋"/>
          <w:color w:val="auto"/>
          <w:kern w:val="0"/>
          <w:sz w:val="24"/>
          <w:highlight w:val="none"/>
          <w:lang w:eastAsia="zh-CN"/>
        </w:rPr>
        <w:t>招标</w:t>
      </w:r>
      <w:r>
        <w:rPr>
          <w:rFonts w:hint="eastAsia" w:ascii="仿宋" w:hAnsi="仿宋" w:eastAsia="仿宋" w:cs="仿宋"/>
          <w:color w:val="auto"/>
          <w:kern w:val="0"/>
          <w:sz w:val="24"/>
          <w:highlight w:val="none"/>
        </w:rPr>
        <w:t>活动。</w:t>
      </w:r>
    </w:p>
    <w:p w14:paraId="3F4E76CA">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19.2.1.2</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应当对3家及以上资格性审查合格的投标人的商务服务文件进行符合性审查，以确定其是否满足招标文件的实质性要求。</w:t>
      </w:r>
    </w:p>
    <w:p w14:paraId="763C4050">
      <w:pPr>
        <w:tabs>
          <w:tab w:val="left" w:pos="567"/>
        </w:tabs>
        <w:snapToGrid w:val="0"/>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19.2.1.3满足招标文件实质性要求的商务服务文件是指投标人的商务服务文件中的签署、商务与技术响应是否与招标文件的要求相符，并经</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认定没有重大偏离或保留的商务服务文件。</w:t>
      </w:r>
    </w:p>
    <w:p w14:paraId="1EEB0D1D">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19.2.1.4重大偏离系指商务服务文件中的签署、盖章及投标货物/服务名称、数量执行标准、交货时间、交货地点、款项付款方式、履约保证金、质保期、服务要求及验收标准等与招标文件要求不一致或产品质量、技术指标等明显不能满足招标文件要求，而且限制了</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的权利或投标人的义务，纠正这些偏离将对其他实质上响应招标要求的投标人的竞争地位产生不公正的影响。包括但不限于：</w:t>
      </w:r>
    </w:p>
    <w:p w14:paraId="37E573CE">
      <w:pPr>
        <w:tabs>
          <w:tab w:val="left" w:pos="737"/>
          <w:tab w:val="left" w:pos="1200"/>
        </w:tabs>
        <w:adjustRightInd w:val="0"/>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A．本文件中带★号的商务、服务文件未实质上响应；</w:t>
      </w:r>
    </w:p>
    <w:p w14:paraId="19697E7E">
      <w:pPr>
        <w:tabs>
          <w:tab w:val="left" w:pos="737"/>
          <w:tab w:val="left" w:pos="1200"/>
        </w:tabs>
        <w:adjustRightInd w:val="0"/>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B．未按招标文件的规定签署、盖章的；</w:t>
      </w:r>
    </w:p>
    <w:p w14:paraId="73BC6B76">
      <w:pPr>
        <w:tabs>
          <w:tab w:val="left" w:pos="737"/>
          <w:tab w:val="left" w:pos="1200"/>
        </w:tabs>
        <w:adjustRightInd w:val="0"/>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C．未按照招标文件规定报价的；报价超过招标文件中规定的预算金额或者最高限价的；</w:t>
      </w:r>
    </w:p>
    <w:p w14:paraId="64AB64C7">
      <w:pPr>
        <w:tabs>
          <w:tab w:val="left" w:pos="737"/>
          <w:tab w:val="left" w:pos="1200"/>
        </w:tabs>
        <w:adjustRightInd w:val="0"/>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D．“开标一览表”中与招标文件要求不符的；</w:t>
      </w:r>
    </w:p>
    <w:p w14:paraId="43A9891C">
      <w:pPr>
        <w:tabs>
          <w:tab w:val="left" w:pos="737"/>
          <w:tab w:val="left" w:pos="1200"/>
        </w:tabs>
        <w:adjustRightInd w:val="0"/>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E．“开标一览表”中内容与投标文件商务服务文件中相应内容不一致的（包括“商务条款响应表”），以“开标一览表”内容为准；</w:t>
      </w:r>
    </w:p>
    <w:p w14:paraId="505A2006">
      <w:pPr>
        <w:tabs>
          <w:tab w:val="left" w:pos="737"/>
          <w:tab w:val="left" w:pos="1200"/>
        </w:tabs>
        <w:adjustRightInd w:val="0"/>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F．不符合招标文件中有关分包、转包规定的；</w:t>
      </w:r>
    </w:p>
    <w:p w14:paraId="0582DEFD">
      <w:pPr>
        <w:tabs>
          <w:tab w:val="left" w:pos="737"/>
          <w:tab w:val="left" w:pos="1200"/>
        </w:tabs>
        <w:adjustRightInd w:val="0"/>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G．投标文件含有</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不能接受的附加条件的；</w:t>
      </w:r>
    </w:p>
    <w:p w14:paraId="44DFAD50">
      <w:pPr>
        <w:tabs>
          <w:tab w:val="left" w:pos="737"/>
          <w:tab w:val="left" w:pos="1200"/>
        </w:tabs>
        <w:adjustRightInd w:val="0"/>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H．不符合招标文件中规定的其他实质性要求。</w:t>
      </w:r>
    </w:p>
    <w:p w14:paraId="2840B306">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19.2.1.5重大偏离不允许在开标后修正。</w:t>
      </w:r>
    </w:p>
    <w:p w14:paraId="6C28F813">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19.2.1.6如果投标人的商务服务文件没有实质上响应招标文件的要求，</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将作无效投标处理，投标人不得再对其进行任何修正从而使其投标成为实质上响应的投标。</w:t>
      </w:r>
    </w:p>
    <w:p w14:paraId="45CE26A6">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19.2.1.7细微偏差是指在实质上响应招标文件要求，但在个别地方存在漏项或者提供了不完整的技术信息和数据等情况，并且补正这些遗漏或者不完整不会对其他投标人造成不公平的结果。细微偏差不影响投标人商务服务文件的有效性。</w:t>
      </w:r>
    </w:p>
    <w:p w14:paraId="4AB9C093">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19.2.1.8投标报价出现前后不一致的，按照下列规定修正：</w:t>
      </w:r>
    </w:p>
    <w:p w14:paraId="698DE72D">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（1）开标一览表内容与投标人商务服务文件中相应内容不一致的，以开标一览表为准；</w:t>
      </w:r>
    </w:p>
    <w:p w14:paraId="0592BB25">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（2）大写金额和小写金额不一致的，以大写金额为准；</w:t>
      </w:r>
    </w:p>
    <w:p w14:paraId="7FE779C4">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（3）单价金额小数点或者百分比有明显错位的，以开标一览表的总价为准；</w:t>
      </w:r>
    </w:p>
    <w:p w14:paraId="18C6AB0A">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同时出现两种以上不一致的，按照前款规定的顺序修正。修正后的报价经投标人确认后产生约束力，投标人不确认的，其投标无效。</w:t>
      </w:r>
    </w:p>
    <w:p w14:paraId="2CBF5584">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19.2.1.9采用最低评标价法评标时，除了算术修正和落实政府采购政策需进行的价格扣除外，不能对投标人的投标价格进行任何调整。</w:t>
      </w:r>
    </w:p>
    <w:p w14:paraId="515BA2C8">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19.2.2要求投标人对商务服务文件有关事项作出澄清或者说明。</w:t>
      </w:r>
    </w:p>
    <w:p w14:paraId="35DB2CE2">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19.2.2.1对于投标人商务服务文件中含义不明确、</w:t>
      </w:r>
      <w:r>
        <w:rPr>
          <w:rFonts w:hint="default" w:ascii="仿宋" w:hAnsi="仿宋" w:eastAsia="仿宋" w:cs="仿宋"/>
          <w:color w:val="auto"/>
          <w:kern w:val="0"/>
          <w:sz w:val="24"/>
          <w:highlight w:val="none"/>
          <w:lang w:val="en"/>
        </w:rPr>
        <w:t>类似</w:t>
      </w:r>
      <w:r>
        <w:rPr>
          <w:rFonts w:hint="eastAsia" w:ascii="仿宋" w:hAnsi="仿宋" w:eastAsia="仿宋" w:cs="仿宋"/>
          <w:color w:val="auto"/>
          <w:kern w:val="0"/>
          <w:sz w:val="24"/>
          <w:highlight w:val="none"/>
        </w:rPr>
        <w:t>问题表述不一致或者有明显文字和计算错误的内容，</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应当以书面形式要求投标人作出必要的澄清、说明或者补正。</w:t>
      </w:r>
    </w:p>
    <w:p w14:paraId="6D77E3E6">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19.2.2.2投标人的澄清、说明或者补正应当采用书面形式，并加盖公章，或者由法定代表人或其授权的代表签字。投标人的澄清、说明或者补正不得超出其的投标范围或者改变其商务服务文件的实质性内容。</w:t>
      </w:r>
    </w:p>
    <w:p w14:paraId="0A3FC08C">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19.2.2.3</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将允许投标人澄清、说明或者补正商务服务文件中不构成重大偏离、微小的、非正规、不一致或不规则的地方，但这些修改不能影响其他投标人的名次排列。</w:t>
      </w:r>
    </w:p>
    <w:p w14:paraId="6D905CD1">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19.2.2.4</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应当将其作为无效投标处理。</w:t>
      </w:r>
    </w:p>
    <w:p w14:paraId="4D9175B8">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19.2.3</w:t>
      </w:r>
      <w:r>
        <w:rPr>
          <w:rFonts w:hint="eastAsia" w:ascii="仿宋" w:hAnsi="仿宋" w:eastAsia="仿宋" w:cs="仿宋"/>
          <w:b/>
          <w:bCs/>
          <w:color w:val="auto"/>
          <w:kern w:val="0"/>
          <w:sz w:val="24"/>
          <w:highlight w:val="none"/>
        </w:rPr>
        <w:t>对投标人的商务服务文件进行比较和评价</w:t>
      </w:r>
    </w:p>
    <w:p w14:paraId="613BFBE1">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19.2.3.1</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对投标文件的比较和评判，只依据投标人的商务服务文件内容本身，不依据任何外来证明（招标文件中需要提交样品的情形除外）。</w:t>
      </w:r>
    </w:p>
    <w:p w14:paraId="3DCCF168">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19.2.3.2</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应当按照招标文件中规定的评标标准和评标方法，对3家及以上符合性审查合格投标人的投标文件进行商务和服务评估，综合比较与评价。</w:t>
      </w:r>
    </w:p>
    <w:p w14:paraId="34957B69">
      <w:pPr>
        <w:tabs>
          <w:tab w:val="left" w:pos="0"/>
        </w:tabs>
        <w:snapToGrid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20. 评审复核</w:t>
      </w:r>
    </w:p>
    <w:p w14:paraId="10A9E675">
      <w:pPr>
        <w:tabs>
          <w:tab w:val="left" w:pos="0"/>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评标结果汇总完成后，除下列情形外，任何人不得修改评标结果：</w:t>
      </w:r>
    </w:p>
    <w:p w14:paraId="74F3BB88">
      <w:pPr>
        <w:tabs>
          <w:tab w:val="left" w:pos="0"/>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（一）分值汇总计算错误的；</w:t>
      </w:r>
    </w:p>
    <w:p w14:paraId="722FCCB7">
      <w:pPr>
        <w:tabs>
          <w:tab w:val="left" w:pos="0"/>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（二）分项评分超出评分标准范围的；</w:t>
      </w:r>
    </w:p>
    <w:p w14:paraId="22F7AF2F">
      <w:pPr>
        <w:tabs>
          <w:tab w:val="left" w:pos="0"/>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（三）</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成员对客观评审因素评分不一致的；</w:t>
      </w:r>
    </w:p>
    <w:p w14:paraId="0381CFC7">
      <w:pPr>
        <w:tabs>
          <w:tab w:val="left" w:pos="0"/>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评标报告签署前，经复核发现存在以上情形之一的，</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应当当场修改评标结果，并在评标报告中记载；评标报告签署后，代理机构发现存在以上情形之一的，应当组织原</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进行重新评审，重新评审改变评标结果的，书面报告本级财政部门。</w:t>
      </w:r>
    </w:p>
    <w:p w14:paraId="1FD2F394">
      <w:pPr>
        <w:tabs>
          <w:tab w:val="left" w:pos="0"/>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投标人对本条第一款情形提出质疑的，</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可以组织原</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进行重新评审，重新评审改变评标结果的，应当书面报告本级财政部门。</w:t>
      </w:r>
    </w:p>
    <w:p w14:paraId="70DC100D">
      <w:pPr>
        <w:tabs>
          <w:tab w:val="left" w:pos="0"/>
        </w:tabs>
        <w:snapToGrid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21. 确定中标候选人名单和中标人</w:t>
      </w:r>
    </w:p>
    <w:p w14:paraId="696B255F">
      <w:pPr>
        <w:tabs>
          <w:tab w:val="left" w:pos="0"/>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21.1确定中标候选人顺序</w:t>
      </w:r>
    </w:p>
    <w:p w14:paraId="25BF48C9">
      <w:pPr>
        <w:tabs>
          <w:tab w:val="left" w:pos="0"/>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21.1.1采用综合评分法的，采用下列原则</w:t>
      </w:r>
    </w:p>
    <w:p w14:paraId="6AECDECC">
      <w:pPr>
        <w:tabs>
          <w:tab w:val="left" w:pos="0"/>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21.1.1.1按评审后投标人的综合得分由高到低顺序排列。</w:t>
      </w:r>
    </w:p>
    <w:p w14:paraId="645A5E89">
      <w:pPr>
        <w:tabs>
          <w:tab w:val="left" w:pos="0"/>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21.1.1.2综合得分相同的，按投标报价由低到高顺序排列。</w:t>
      </w:r>
    </w:p>
    <w:p w14:paraId="3084886F">
      <w:pPr>
        <w:tabs>
          <w:tab w:val="left" w:pos="0"/>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21.1.1.3综合得分且投标报价相同的并列，投标人的商务服务文件满足招标文件全部实质性要求，第一中标候选人按照技术、服务等因素得分较高顺序排列。</w:t>
      </w:r>
    </w:p>
    <w:p w14:paraId="62821750">
      <w:pPr>
        <w:tabs>
          <w:tab w:val="left" w:pos="0"/>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21.1.1.4投标人提供相同品牌产品且通过资格审查、符合性审查的不同投标人参加同一合同项下投标的，</w:t>
      </w:r>
      <w:r>
        <w:rPr>
          <w:rFonts w:hint="eastAsia" w:ascii="仿宋" w:hAnsi="仿宋" w:eastAsia="仿宋" w:cs="仿宋"/>
          <w:bCs/>
          <w:color w:val="auto"/>
          <w:kern w:val="0"/>
          <w:sz w:val="24"/>
          <w:highlight w:val="none"/>
        </w:rPr>
        <w:t>按一家投标人计算</w:t>
      </w:r>
      <w:r>
        <w:rPr>
          <w:rFonts w:hint="eastAsia" w:ascii="仿宋" w:hAnsi="仿宋" w:eastAsia="仿宋" w:cs="仿宋"/>
          <w:color w:val="auto"/>
          <w:kern w:val="0"/>
          <w:sz w:val="24"/>
          <w:highlight w:val="none"/>
        </w:rPr>
        <w:t>，评审后</w:t>
      </w:r>
      <w:r>
        <w:rPr>
          <w:rFonts w:hint="eastAsia" w:ascii="仿宋" w:hAnsi="仿宋" w:eastAsia="仿宋" w:cs="仿宋"/>
          <w:bCs/>
          <w:color w:val="auto"/>
          <w:kern w:val="0"/>
          <w:sz w:val="24"/>
          <w:highlight w:val="none"/>
        </w:rPr>
        <w:t>得分最高的同品牌投标人获得中标候选人推荐资格</w:t>
      </w:r>
      <w:r>
        <w:rPr>
          <w:rFonts w:hint="eastAsia" w:ascii="仿宋" w:hAnsi="仿宋" w:eastAsia="仿宋" w:cs="仿宋"/>
          <w:color w:val="auto"/>
          <w:kern w:val="0"/>
          <w:sz w:val="24"/>
          <w:highlight w:val="none"/>
        </w:rPr>
        <w:t>；评审得分相同的，由</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主任当众采取随机抽取方式确定一个投标人获得中标人推荐资格，其他同品牌投标人不作为中标候选人。</w:t>
      </w:r>
    </w:p>
    <w:p w14:paraId="552125A8">
      <w:pPr>
        <w:tabs>
          <w:tab w:val="left" w:pos="0"/>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21.1.2采用评审基准价法的，采用下列原则确定中标候选人顺序。</w:t>
      </w:r>
    </w:p>
    <w:p w14:paraId="40850ACB">
      <w:pPr>
        <w:tabs>
          <w:tab w:val="left" w:pos="0"/>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21.1.2.1按投标报价得分由高到低顺序排列。</w:t>
      </w:r>
    </w:p>
    <w:p w14:paraId="10CB9883">
      <w:pPr>
        <w:tabs>
          <w:tab w:val="left" w:pos="0"/>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21.1.2.2投标报价相同的并列。投标人的商务服务文件满足招标文件全部实质性要求，按照技术、服务等因素的优劣进行排列。</w:t>
      </w:r>
    </w:p>
    <w:p w14:paraId="2EB3E539">
      <w:pPr>
        <w:tabs>
          <w:tab w:val="left" w:pos="0"/>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21.1.2.3提供相同品牌产品的不同投标人参加同一合同项下投标的，以其中通过资格审查、符合性审查且报价最低的参加评标；报价相同的，由</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主任当众采取随机抽取方式确定一个参加评标的投标人，其他投标无效。</w:t>
      </w:r>
    </w:p>
    <w:p w14:paraId="630089BE">
      <w:pPr>
        <w:tabs>
          <w:tab w:val="left" w:pos="0"/>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21.3确定中标人</w:t>
      </w:r>
    </w:p>
    <w:p w14:paraId="5BC92344">
      <w:pPr>
        <w:tabs>
          <w:tab w:val="left" w:pos="0"/>
        </w:tabs>
        <w:snapToGrid w:val="0"/>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本次招标，</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授权</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确定中标人。</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按照21.1、21.2原则确定中标人。</w:t>
      </w:r>
    </w:p>
    <w:p w14:paraId="1D376067">
      <w:pPr>
        <w:tabs>
          <w:tab w:val="left" w:pos="0"/>
        </w:tabs>
        <w:snapToGrid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22. 编写评标报告</w:t>
      </w:r>
    </w:p>
    <w:p w14:paraId="76B047B0">
      <w:pPr>
        <w:tabs>
          <w:tab w:val="left" w:pos="0"/>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22.1</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根据全体成员签字的原始评标记录和评标结果编写商务服务文件评标报告。评标报告应当包括以下内容：</w:t>
      </w:r>
    </w:p>
    <w:p w14:paraId="74E65CF6">
      <w:pPr>
        <w:tabs>
          <w:tab w:val="left" w:pos="0"/>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（一）招标公告刊登的媒体名称、开标日期和地点；</w:t>
      </w:r>
    </w:p>
    <w:p w14:paraId="1FAF6EB0">
      <w:pPr>
        <w:tabs>
          <w:tab w:val="left" w:pos="0"/>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w:t>
      </w:r>
      <w:r>
        <w:rPr>
          <w:rFonts w:hint="eastAsia" w:ascii="仿宋" w:hAnsi="仿宋" w:eastAsia="仿宋" w:cs="仿宋"/>
          <w:bCs/>
          <w:color w:val="auto"/>
          <w:kern w:val="0"/>
          <w:sz w:val="24"/>
          <w:highlight w:val="none"/>
        </w:rPr>
        <w:t>投标人名单</w:t>
      </w:r>
      <w:r>
        <w:rPr>
          <w:rFonts w:hint="eastAsia" w:ascii="仿宋" w:hAnsi="仿宋" w:eastAsia="仿宋" w:cs="仿宋"/>
          <w:color w:val="auto"/>
          <w:kern w:val="0"/>
          <w:sz w:val="24"/>
          <w:highlight w:val="none"/>
        </w:rPr>
        <w:t>和</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成员名单；</w:t>
      </w:r>
    </w:p>
    <w:p w14:paraId="5D655BBB">
      <w:pPr>
        <w:tabs>
          <w:tab w:val="left" w:pos="0"/>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（三）评标方法和标准；</w:t>
      </w:r>
    </w:p>
    <w:p w14:paraId="07C2E1A5">
      <w:pPr>
        <w:tabs>
          <w:tab w:val="left" w:pos="0"/>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（四）开标记录和评标情况及说明，包括无效投标人名单及原因；</w:t>
      </w:r>
    </w:p>
    <w:p w14:paraId="09FE22AD">
      <w:pPr>
        <w:tabs>
          <w:tab w:val="left" w:pos="0"/>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（五）评标结果，</w:t>
      </w:r>
      <w:r>
        <w:rPr>
          <w:rFonts w:hint="eastAsia" w:ascii="仿宋" w:hAnsi="仿宋" w:eastAsia="仿宋" w:cs="仿宋"/>
          <w:bCs/>
          <w:color w:val="auto"/>
          <w:kern w:val="0"/>
          <w:sz w:val="24"/>
          <w:highlight w:val="none"/>
        </w:rPr>
        <w:t>确定的中标候选人名单、经</w:t>
      </w:r>
      <w:r>
        <w:rPr>
          <w:rFonts w:hint="eastAsia" w:ascii="仿宋" w:hAnsi="仿宋" w:eastAsia="仿宋" w:cs="仿宋"/>
          <w:bCs/>
          <w:color w:val="auto"/>
          <w:kern w:val="0"/>
          <w:sz w:val="24"/>
          <w:highlight w:val="none"/>
          <w:lang w:eastAsia="zh-CN"/>
        </w:rPr>
        <w:t>采购人</w:t>
      </w:r>
      <w:r>
        <w:rPr>
          <w:rFonts w:hint="eastAsia" w:ascii="仿宋" w:hAnsi="仿宋" w:eastAsia="仿宋" w:cs="仿宋"/>
          <w:bCs/>
          <w:color w:val="auto"/>
          <w:kern w:val="0"/>
          <w:sz w:val="24"/>
          <w:highlight w:val="none"/>
        </w:rPr>
        <w:t>委托直接确定的中标人；</w:t>
      </w:r>
    </w:p>
    <w:p w14:paraId="32988840">
      <w:pPr>
        <w:tabs>
          <w:tab w:val="left" w:pos="0"/>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bCs/>
          <w:color w:val="auto"/>
          <w:kern w:val="0"/>
          <w:sz w:val="24"/>
          <w:highlight w:val="none"/>
        </w:rPr>
        <w:t>（六）其他需要说明的情况，包括评标过程中投标人根据</w:t>
      </w:r>
      <w:r>
        <w:rPr>
          <w:rFonts w:hint="eastAsia" w:ascii="仿宋" w:hAnsi="仿宋" w:eastAsia="仿宋" w:cs="仿宋"/>
          <w:bCs/>
          <w:color w:val="auto"/>
          <w:kern w:val="0"/>
          <w:sz w:val="24"/>
          <w:highlight w:val="none"/>
          <w:lang w:eastAsia="zh-CN"/>
        </w:rPr>
        <w:t>评审小组</w:t>
      </w:r>
      <w:r>
        <w:rPr>
          <w:rFonts w:hint="eastAsia" w:ascii="仿宋" w:hAnsi="仿宋" w:eastAsia="仿宋" w:cs="仿宋"/>
          <w:bCs/>
          <w:color w:val="auto"/>
          <w:kern w:val="0"/>
          <w:sz w:val="24"/>
          <w:highlight w:val="none"/>
        </w:rPr>
        <w:t>要求进行的澄清、说明或者补正，</w:t>
      </w:r>
      <w:r>
        <w:rPr>
          <w:rFonts w:hint="eastAsia" w:ascii="仿宋" w:hAnsi="仿宋" w:eastAsia="仿宋" w:cs="仿宋"/>
          <w:bCs/>
          <w:color w:val="auto"/>
          <w:kern w:val="0"/>
          <w:sz w:val="24"/>
          <w:highlight w:val="none"/>
          <w:lang w:eastAsia="zh-CN"/>
        </w:rPr>
        <w:t>评审小组</w:t>
      </w:r>
      <w:r>
        <w:rPr>
          <w:rFonts w:hint="eastAsia" w:ascii="仿宋" w:hAnsi="仿宋" w:eastAsia="仿宋" w:cs="仿宋"/>
          <w:bCs/>
          <w:color w:val="auto"/>
          <w:kern w:val="0"/>
          <w:sz w:val="24"/>
          <w:highlight w:val="none"/>
        </w:rPr>
        <w:t xml:space="preserve">成员的更换等。 </w:t>
      </w:r>
    </w:p>
    <w:p w14:paraId="39CFD9F0">
      <w:pPr>
        <w:tabs>
          <w:tab w:val="left" w:pos="0"/>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22.2</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成员对需要共同认定的事项存在争议的，应当按照少数服从多数的原则作出结论。持不同意见的</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成员应当在评标报告上签署不同意见及理由，否则视为同意评标报告。</w:t>
      </w:r>
    </w:p>
    <w:p w14:paraId="2A4EF9DB">
      <w:pPr>
        <w:tabs>
          <w:tab w:val="left" w:pos="0"/>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22.3评标报告由全体评标成员共同签字确认。</w:t>
      </w:r>
    </w:p>
    <w:p w14:paraId="2EEDCA70">
      <w:pPr>
        <w:tabs>
          <w:tab w:val="left" w:pos="0"/>
        </w:tabs>
        <w:snapToGrid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23. 评标过程保密</w:t>
      </w:r>
    </w:p>
    <w:p w14:paraId="11A00781">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23.1 </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应当采取必要措施，保证评标在严格保密的情况下进行。除</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代表、评标现场组织人员，</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的其他工作人员以及与评标工作无关的人员不得进入评标现场。</w:t>
      </w:r>
    </w:p>
    <w:p w14:paraId="66606945">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23.2开标之后，直到授予中标人合同止，凡是属于审查、澄清、评价和比较投标的有关资料以及授标意向等，均不得向投标人或其他与评标无关的人员透露。</w:t>
      </w:r>
      <w:r>
        <w:rPr>
          <w:rFonts w:hint="eastAsia" w:ascii="仿宋" w:hAnsi="仿宋" w:eastAsia="仿宋" w:cs="仿宋"/>
          <w:b/>
          <w:bCs/>
          <w:color w:val="auto"/>
          <w:kern w:val="0"/>
          <w:sz w:val="24"/>
          <w:highlight w:val="none"/>
        </w:rPr>
        <w:t>有关人员对评标情况以及在评标过程中获悉的国家秘密、商业秘密负有保密责任。</w:t>
      </w:r>
    </w:p>
    <w:p w14:paraId="07AE3F6C">
      <w:pPr>
        <w:tabs>
          <w:tab w:val="left" w:pos="0"/>
        </w:tabs>
        <w:snapToGrid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24. 关于投标人非实质性响应滞后发现的处理规则</w:t>
      </w:r>
    </w:p>
    <w:p w14:paraId="0AC450C3">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无论基于何种原因，各项本应做拒绝投标处理的情形，即便未被及时发现而使该投标人进入评审或其它后续程序，包括已经签约的情形。一旦被发现存在上述情形，</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或代理机构均有权依法决定取消该投标人的此前评议结果，或决定对该投标予以拒绝，并有权采取相应的补救及纠正措施。</w:t>
      </w:r>
    </w:p>
    <w:p w14:paraId="69D9E5F2">
      <w:pPr>
        <w:tabs>
          <w:tab w:val="left" w:pos="0"/>
        </w:tabs>
        <w:snapToGrid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25. 无效投标与无效评标</w:t>
      </w:r>
    </w:p>
    <w:p w14:paraId="03DA4149">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25.1投标人存在下列情况之一的，投标无效:</w:t>
      </w:r>
    </w:p>
    <w:p w14:paraId="4CBDD46C">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（一）未按照招标文件的规定提交投标保证金的；</w:t>
      </w:r>
    </w:p>
    <w:p w14:paraId="51AE71A0">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（二）投标文件未按招标文件要求签署、盖章的；</w:t>
      </w:r>
    </w:p>
    <w:p w14:paraId="7BE3204E">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（三）不具备招标文件中规定的资格要求的；</w:t>
      </w:r>
    </w:p>
    <w:p w14:paraId="1644DBC4">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（四）报价超过招标文件中规定的预算金额或者最高限价的；</w:t>
      </w:r>
    </w:p>
    <w:p w14:paraId="00592474">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（五）投标文件含有</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不能接受的附加条件的;</w:t>
      </w:r>
    </w:p>
    <w:p w14:paraId="64A09787">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（六）法律、法规和招标文件规定的其他无效情形。</w:t>
      </w:r>
    </w:p>
    <w:p w14:paraId="21D0EDC6">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25.2有下列情形之一的，视为投标人串通投标，其投标无效：</w:t>
      </w:r>
    </w:p>
    <w:p w14:paraId="75419ACE">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（一）不同投标人的投标文件由同一单位或者个人编制；</w:t>
      </w:r>
    </w:p>
    <w:p w14:paraId="52103B9D">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（二）不同投标人委托同一单位或者个人办理投标事宜；</w:t>
      </w:r>
    </w:p>
    <w:p w14:paraId="530F4B50">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（三）不同投标人的投标文件载明的项目管理成员或者联系人员为同一人；</w:t>
      </w:r>
    </w:p>
    <w:p w14:paraId="09AC294D">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（四）不同投标人的投标文件异常一致或者投标报价呈规律性差异；</w:t>
      </w:r>
    </w:p>
    <w:p w14:paraId="72E91437">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（五）不同投标人的投标文件相互混装；</w:t>
      </w:r>
    </w:p>
    <w:p w14:paraId="2041CF32">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（六）不同投标人的投标保证金从同一单位或者个人的账户转出。</w:t>
      </w:r>
    </w:p>
    <w:p w14:paraId="333071DC">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25.3</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或者其成员存在下列情形导致评标结果无效的，</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可以重新组建</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进行评标，并书面报告本级财政部门，但采购合同已经履行的除外：</w:t>
      </w:r>
    </w:p>
    <w:p w14:paraId="233357D9">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组成不符合《政府采购货物和服务招标投标管理办法》规定的；</w:t>
      </w:r>
    </w:p>
    <w:p w14:paraId="66A25B0E">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（二）有《政府采购货物和服务招标投标管理办法》第六十二条第一至五项情形的；</w:t>
      </w:r>
    </w:p>
    <w:p w14:paraId="6EC65934">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（三）</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及其成员独立评标受到非法干预的；</w:t>
      </w:r>
    </w:p>
    <w:p w14:paraId="04939C02">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（四）有《中华人民共和国政府采购法实施条例》第七十五条规定的违法行为的。</w:t>
      </w:r>
    </w:p>
    <w:p w14:paraId="0CAAC2BC">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有违法违规行为的原</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成员不得参加重新组建的</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w:t>
      </w:r>
    </w:p>
    <w:p w14:paraId="3A527963">
      <w:pPr>
        <w:tabs>
          <w:tab w:val="left" w:pos="567"/>
        </w:tabs>
        <w:snapToGrid w:val="0"/>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26．</w:t>
      </w:r>
      <w:r>
        <w:rPr>
          <w:rFonts w:hint="eastAsia" w:ascii="仿宋" w:hAnsi="仿宋" w:eastAsia="仿宋" w:cs="仿宋"/>
          <w:b/>
          <w:color w:val="auto"/>
          <w:kern w:val="0"/>
          <w:sz w:val="24"/>
          <w:highlight w:val="none"/>
          <w:lang w:eastAsia="zh-CN"/>
        </w:rPr>
        <w:t>招标</w:t>
      </w:r>
      <w:r>
        <w:rPr>
          <w:rFonts w:hint="eastAsia" w:ascii="仿宋" w:hAnsi="仿宋" w:eastAsia="仿宋" w:cs="仿宋"/>
          <w:b/>
          <w:color w:val="auto"/>
          <w:kern w:val="0"/>
          <w:sz w:val="24"/>
          <w:highlight w:val="none"/>
        </w:rPr>
        <w:t>项目终止与处理</w:t>
      </w:r>
    </w:p>
    <w:p w14:paraId="56ED74B5">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26.1</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在发布招标公告、资格预审公告或者发出投标邀请书后，除因重大变故</w:t>
      </w:r>
      <w:r>
        <w:rPr>
          <w:rFonts w:hint="eastAsia" w:ascii="仿宋" w:hAnsi="仿宋" w:eastAsia="仿宋" w:cs="仿宋"/>
          <w:color w:val="auto"/>
          <w:kern w:val="0"/>
          <w:sz w:val="24"/>
          <w:highlight w:val="none"/>
          <w:lang w:eastAsia="zh-CN"/>
        </w:rPr>
        <w:t>招标</w:t>
      </w:r>
      <w:r>
        <w:rPr>
          <w:rFonts w:hint="eastAsia" w:ascii="仿宋" w:hAnsi="仿宋" w:eastAsia="仿宋" w:cs="仿宋"/>
          <w:color w:val="auto"/>
          <w:kern w:val="0"/>
          <w:sz w:val="24"/>
          <w:highlight w:val="none"/>
        </w:rPr>
        <w:t>任务取消情况外，不得擅自终止招标活动。</w:t>
      </w:r>
    </w:p>
    <w:p w14:paraId="51B495F6">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终止招标的，代理机构应当及时在原公告发布媒体上发布终止公告，以书面形式通知已经获取招标文件、资格预审文件或者被邀请的潜在投标人，并将项目实施情况和</w:t>
      </w:r>
      <w:r>
        <w:rPr>
          <w:rFonts w:hint="eastAsia" w:ascii="仿宋" w:hAnsi="仿宋" w:eastAsia="仿宋" w:cs="仿宋"/>
          <w:color w:val="auto"/>
          <w:kern w:val="0"/>
          <w:sz w:val="24"/>
          <w:highlight w:val="none"/>
          <w:lang w:eastAsia="zh-CN"/>
        </w:rPr>
        <w:t>招标</w:t>
      </w:r>
      <w:r>
        <w:rPr>
          <w:rFonts w:hint="eastAsia" w:ascii="仿宋" w:hAnsi="仿宋" w:eastAsia="仿宋" w:cs="仿宋"/>
          <w:color w:val="auto"/>
          <w:kern w:val="0"/>
          <w:sz w:val="24"/>
          <w:highlight w:val="none"/>
        </w:rPr>
        <w:t>任务取消原因报告本级财政部门。已经收取招标文件费用或者投标保证金的，</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或者</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应当在终止</w:t>
      </w:r>
      <w:r>
        <w:rPr>
          <w:rFonts w:hint="eastAsia" w:ascii="仿宋" w:hAnsi="仿宋" w:eastAsia="仿宋" w:cs="仿宋"/>
          <w:color w:val="auto"/>
          <w:kern w:val="0"/>
          <w:sz w:val="24"/>
          <w:highlight w:val="none"/>
          <w:lang w:eastAsia="zh-CN"/>
        </w:rPr>
        <w:t>招标</w:t>
      </w:r>
      <w:r>
        <w:rPr>
          <w:rFonts w:hint="eastAsia" w:ascii="仿宋" w:hAnsi="仿宋" w:eastAsia="仿宋" w:cs="仿宋"/>
          <w:color w:val="auto"/>
          <w:kern w:val="0"/>
          <w:sz w:val="24"/>
          <w:highlight w:val="none"/>
        </w:rPr>
        <w:t>活动后5个工作日内，退还所收取的招标文件费用和所收取的投标保证金。</w:t>
      </w:r>
    </w:p>
    <w:p w14:paraId="630CFE7F">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26.2公开招标数额标准以上的</w:t>
      </w:r>
      <w:r>
        <w:rPr>
          <w:rFonts w:hint="eastAsia" w:ascii="仿宋" w:hAnsi="仿宋" w:eastAsia="仿宋" w:cs="仿宋"/>
          <w:color w:val="auto"/>
          <w:kern w:val="0"/>
          <w:sz w:val="24"/>
          <w:highlight w:val="none"/>
          <w:lang w:eastAsia="zh-CN"/>
        </w:rPr>
        <w:t>招标</w:t>
      </w:r>
      <w:r>
        <w:rPr>
          <w:rFonts w:hint="eastAsia" w:ascii="仿宋" w:hAnsi="仿宋" w:eastAsia="仿宋" w:cs="仿宋"/>
          <w:color w:val="auto"/>
          <w:kern w:val="0"/>
          <w:sz w:val="24"/>
          <w:highlight w:val="none"/>
        </w:rPr>
        <w:t>项目（如分包按包计），投标截止后投标人不足3家或者通过资格审查或符合性审查的投标人不足3家的，除</w:t>
      </w:r>
      <w:r>
        <w:rPr>
          <w:rFonts w:hint="eastAsia" w:ascii="仿宋" w:hAnsi="仿宋" w:eastAsia="仿宋" w:cs="仿宋"/>
          <w:color w:val="auto"/>
          <w:kern w:val="0"/>
          <w:sz w:val="24"/>
          <w:highlight w:val="none"/>
          <w:lang w:eastAsia="zh-CN"/>
        </w:rPr>
        <w:t>招标</w:t>
      </w:r>
      <w:r>
        <w:rPr>
          <w:rFonts w:hint="eastAsia" w:ascii="仿宋" w:hAnsi="仿宋" w:eastAsia="仿宋" w:cs="仿宋"/>
          <w:color w:val="auto"/>
          <w:kern w:val="0"/>
          <w:sz w:val="24"/>
          <w:highlight w:val="none"/>
        </w:rPr>
        <w:t>任务取消情形外，按照以下方式处理：</w:t>
      </w:r>
    </w:p>
    <w:p w14:paraId="5A83A02E">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（一）招标文件存在不合理条款或者招标程序不符合规定的，</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改正后依法重新招标；</w:t>
      </w:r>
    </w:p>
    <w:p w14:paraId="2C924C7E">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（二）招标文件没有不合理条款、招标程序符合规定，需要采用其他</w:t>
      </w:r>
      <w:r>
        <w:rPr>
          <w:rFonts w:hint="eastAsia" w:ascii="仿宋" w:hAnsi="仿宋" w:eastAsia="仿宋" w:cs="仿宋"/>
          <w:color w:val="auto"/>
          <w:kern w:val="0"/>
          <w:sz w:val="24"/>
          <w:highlight w:val="none"/>
          <w:lang w:eastAsia="zh-CN"/>
        </w:rPr>
        <w:t>招标</w:t>
      </w:r>
      <w:r>
        <w:rPr>
          <w:rFonts w:hint="eastAsia" w:ascii="仿宋" w:hAnsi="仿宋" w:eastAsia="仿宋" w:cs="仿宋"/>
          <w:color w:val="auto"/>
          <w:kern w:val="0"/>
          <w:sz w:val="24"/>
          <w:highlight w:val="none"/>
        </w:rPr>
        <w:t>方式</w:t>
      </w:r>
      <w:r>
        <w:rPr>
          <w:rFonts w:hint="eastAsia" w:ascii="仿宋" w:hAnsi="仿宋" w:eastAsia="仿宋" w:cs="仿宋"/>
          <w:color w:val="auto"/>
          <w:kern w:val="0"/>
          <w:sz w:val="24"/>
          <w:highlight w:val="none"/>
          <w:lang w:eastAsia="zh-CN"/>
        </w:rPr>
        <w:t>招标</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应当依法报财政部门批准。</w:t>
      </w:r>
    </w:p>
    <w:p w14:paraId="0D626704">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招标</w:t>
      </w:r>
      <w:r>
        <w:rPr>
          <w:rFonts w:hint="eastAsia" w:ascii="仿宋" w:hAnsi="仿宋" w:eastAsia="仿宋" w:cs="仿宋"/>
          <w:color w:val="auto"/>
          <w:kern w:val="0"/>
          <w:sz w:val="24"/>
          <w:highlight w:val="none"/>
        </w:rPr>
        <w:t>项目（按包计）终止后，</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应做出书面报告；代理机构应当将废标原因通知所有投标人，并依法重新组织</w:t>
      </w:r>
      <w:r>
        <w:rPr>
          <w:rFonts w:hint="eastAsia" w:ascii="仿宋" w:hAnsi="仿宋" w:eastAsia="仿宋" w:cs="仿宋"/>
          <w:color w:val="auto"/>
          <w:kern w:val="0"/>
          <w:sz w:val="24"/>
          <w:highlight w:val="none"/>
          <w:lang w:eastAsia="zh-CN"/>
        </w:rPr>
        <w:t>招标</w:t>
      </w:r>
      <w:r>
        <w:rPr>
          <w:rFonts w:hint="eastAsia" w:ascii="仿宋" w:hAnsi="仿宋" w:eastAsia="仿宋" w:cs="仿宋"/>
          <w:color w:val="auto"/>
          <w:kern w:val="0"/>
          <w:sz w:val="24"/>
          <w:highlight w:val="none"/>
        </w:rPr>
        <w:t>活动。</w:t>
      </w:r>
    </w:p>
    <w:p w14:paraId="6D9D49A3">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26.3</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发现招标文件存在歧义、重大缺陷导致评标工作无法进行，或者招标文件内容违反国家有关强制性规定的，应当停止评标工作，与</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沟通并作书面记录。</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确认后，应当修改招标文件，重新组织</w:t>
      </w:r>
      <w:r>
        <w:rPr>
          <w:rFonts w:hint="eastAsia" w:ascii="仿宋" w:hAnsi="仿宋" w:eastAsia="仿宋" w:cs="仿宋"/>
          <w:color w:val="auto"/>
          <w:kern w:val="0"/>
          <w:sz w:val="24"/>
          <w:highlight w:val="none"/>
          <w:lang w:eastAsia="zh-CN"/>
        </w:rPr>
        <w:t>招标</w:t>
      </w:r>
      <w:r>
        <w:rPr>
          <w:rFonts w:hint="eastAsia" w:ascii="仿宋" w:hAnsi="仿宋" w:eastAsia="仿宋" w:cs="仿宋"/>
          <w:color w:val="auto"/>
          <w:kern w:val="0"/>
          <w:sz w:val="24"/>
          <w:highlight w:val="none"/>
        </w:rPr>
        <w:t>活动。</w:t>
      </w:r>
    </w:p>
    <w:p w14:paraId="7DD58597">
      <w:pPr>
        <w:tabs>
          <w:tab w:val="left" w:pos="0"/>
        </w:tabs>
        <w:snapToGrid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27. 中标结果公告</w:t>
      </w:r>
    </w:p>
    <w:p w14:paraId="380CE117">
      <w:pPr>
        <w:tabs>
          <w:tab w:val="left" w:pos="0"/>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27.1代理机构应当自中标人确定之日起2个工作日内，在省级以上财政部门指定的媒体上公告中标结果，招标文件应当随中标结果同时公告。</w:t>
      </w:r>
    </w:p>
    <w:p w14:paraId="5A87C935">
      <w:pPr>
        <w:tabs>
          <w:tab w:val="left" w:pos="0"/>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27.2中标结果公告内容应当包括</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及其委托的代理机构的名称、地址、联系方式，项目名称和</w:t>
      </w:r>
      <w:r>
        <w:rPr>
          <w:rFonts w:hint="eastAsia" w:ascii="仿宋" w:hAnsi="仿宋" w:eastAsia="仿宋" w:cs="仿宋"/>
          <w:color w:val="auto"/>
          <w:kern w:val="0"/>
          <w:sz w:val="24"/>
          <w:highlight w:val="none"/>
          <w:lang w:eastAsia="zh-CN"/>
        </w:rPr>
        <w:t>项目编号</w:t>
      </w:r>
      <w:r>
        <w:rPr>
          <w:rFonts w:hint="eastAsia" w:ascii="仿宋" w:hAnsi="仿宋" w:eastAsia="仿宋" w:cs="仿宋"/>
          <w:color w:val="auto"/>
          <w:kern w:val="0"/>
          <w:sz w:val="24"/>
          <w:highlight w:val="none"/>
        </w:rPr>
        <w:t>、项目编号，中标人名称、地址和中标金额，主要中标标的的名称、规格型号、数量、单价、服务要求，中标公告期限以及评审专家名单。</w:t>
      </w:r>
    </w:p>
    <w:p w14:paraId="181DE596">
      <w:pPr>
        <w:tabs>
          <w:tab w:val="left" w:pos="0"/>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27.3中标公告期限为1个工作日。</w:t>
      </w:r>
    </w:p>
    <w:p w14:paraId="3270F914">
      <w:pPr>
        <w:tabs>
          <w:tab w:val="left" w:pos="0"/>
        </w:tabs>
        <w:snapToGrid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28．中标通知</w:t>
      </w:r>
    </w:p>
    <w:p w14:paraId="0D771274">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28.1在公告中标结果的同时，</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应当向中标人发出中标通知书；对未通过资格审查的投标人，应当告知其未通过的原因；采用综合评分法评审的，还应当告知未中标人本人的评审得分与排序。</w:t>
      </w:r>
    </w:p>
    <w:p w14:paraId="695030AA">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28.2中标通知书发出后，</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不得违法改变中标结果，中标人无正当理由不得放弃中标。</w:t>
      </w:r>
    </w:p>
    <w:p w14:paraId="7508A544">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28.3中标通知书是合同的组成部分。</w:t>
      </w:r>
    </w:p>
    <w:p w14:paraId="7764E50E">
      <w:pPr>
        <w:tabs>
          <w:tab w:val="left" w:pos="0"/>
        </w:tabs>
        <w:snapToGrid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29</w:t>
      </w:r>
      <w:r>
        <w:rPr>
          <w:rFonts w:hint="eastAsia" w:ascii="仿宋" w:hAnsi="仿宋" w:eastAsia="仿宋" w:cs="仿宋"/>
          <w:b/>
          <w:color w:val="C00000"/>
          <w:kern w:val="0"/>
          <w:sz w:val="24"/>
          <w:highlight w:val="none"/>
        </w:rPr>
        <w:t>.</w:t>
      </w:r>
      <w:r>
        <w:rPr>
          <w:rFonts w:hint="eastAsia" w:ascii="仿宋" w:hAnsi="仿宋" w:eastAsia="仿宋" w:cs="仿宋"/>
          <w:b/>
          <w:color w:val="auto"/>
          <w:kern w:val="0"/>
          <w:sz w:val="24"/>
          <w:highlight w:val="none"/>
        </w:rPr>
        <w:t>中标服务费</w:t>
      </w:r>
    </w:p>
    <w:p w14:paraId="04DED76A">
      <w:pPr>
        <w:pStyle w:val="44"/>
        <w:spacing w:line="360" w:lineRule="auto"/>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29.1 </w:t>
      </w:r>
      <w:r>
        <w:rPr>
          <w:rFonts w:hint="eastAsia" w:ascii="仿宋" w:hAnsi="仿宋" w:eastAsia="仿宋" w:cs="仿宋"/>
          <w:color w:val="auto"/>
          <w:kern w:val="0"/>
          <w:sz w:val="24"/>
          <w:highlight w:val="none"/>
          <w:lang w:eastAsia="zh-CN"/>
        </w:rPr>
        <w:t>招标</w:t>
      </w:r>
      <w:r>
        <w:rPr>
          <w:rFonts w:hint="eastAsia" w:ascii="仿宋" w:hAnsi="仿宋" w:eastAsia="仿宋" w:cs="仿宋"/>
          <w:color w:val="auto"/>
          <w:kern w:val="0"/>
          <w:sz w:val="24"/>
          <w:highlight w:val="none"/>
        </w:rPr>
        <w:t>项目中标服务费由中标人缴纳，</w:t>
      </w:r>
      <w:r>
        <w:rPr>
          <w:rFonts w:hint="eastAsia" w:ascii="仿宋" w:hAnsi="仿宋" w:eastAsia="仿宋" w:cs="仿宋"/>
          <w:color w:val="auto"/>
          <w:sz w:val="24"/>
          <w:highlight w:val="none"/>
        </w:rPr>
        <w:t>中标服务费</w:t>
      </w:r>
      <w:r>
        <w:rPr>
          <w:rFonts w:hint="eastAsia" w:ascii="仿宋" w:hAnsi="仿宋" w:eastAsia="仿宋" w:cs="仿宋"/>
          <w:color w:val="auto"/>
          <w:sz w:val="24"/>
          <w:highlight w:val="none"/>
          <w:lang w:val="en-US" w:eastAsia="zh-CN"/>
        </w:rPr>
        <w:t>参照《采购代理服务收费管理暂行办法》（计价格[2002]1980号）及国家发改办价格[2003]857号文件规定的收费标准的95.8%收取</w:t>
      </w:r>
      <w:r>
        <w:rPr>
          <w:rFonts w:hint="eastAsia" w:ascii="仿宋" w:hAnsi="仿宋" w:eastAsia="仿宋" w:cs="仿宋"/>
          <w:color w:val="auto"/>
          <w:kern w:val="0"/>
          <w:sz w:val="24"/>
          <w:highlight w:val="none"/>
          <w:lang w:eastAsia="zh-CN"/>
        </w:rPr>
        <w:t>。</w:t>
      </w:r>
    </w:p>
    <w:p w14:paraId="44808A15">
      <w:pPr>
        <w:pStyle w:val="44"/>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29.2 中标人在签订合同后，向代理机构一次性付清中标服务费</w:t>
      </w:r>
      <w:r>
        <w:rPr>
          <w:rFonts w:hint="eastAsia" w:ascii="仿宋" w:hAnsi="仿宋" w:eastAsia="仿宋" w:cs="仿宋"/>
          <w:color w:val="auto"/>
          <w:kern w:val="0"/>
          <w:sz w:val="24"/>
          <w:highlight w:val="none"/>
          <w:lang w:eastAsia="zh-CN"/>
        </w:rPr>
        <w:t>。</w:t>
      </w:r>
    </w:p>
    <w:p w14:paraId="2283C6F3">
      <w:pPr>
        <w:snapToGrid w:val="0"/>
        <w:spacing w:line="360" w:lineRule="auto"/>
        <w:ind w:firstLine="482" w:firstLineChars="200"/>
        <w:outlineLvl w:val="1"/>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七. 签订合同</w:t>
      </w:r>
    </w:p>
    <w:p w14:paraId="65E1C0C4">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30.签订合同</w:t>
      </w:r>
    </w:p>
    <w:p w14:paraId="4D2681C0">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w:t>
      </w:r>
      <w:r>
        <w:rPr>
          <w:rFonts w:hint="eastAsia" w:ascii="仿宋" w:hAnsi="仿宋" w:eastAsia="仿宋" w:cs="仿宋"/>
          <w:color w:val="C00000"/>
          <w:kern w:val="0"/>
          <w:sz w:val="24"/>
          <w:highlight w:val="none"/>
        </w:rPr>
        <w:t>.</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应当自中标通知书发出之日起30日内，按照招标文件和中标人投标文件的规定及评标过程中的有关澄清、说明或者补正文件的内容，与中标人签订书面合同。所签订的合同不得对招标文件确定的事项和中标人的投标文件作实质性修改。</w:t>
      </w:r>
    </w:p>
    <w:p w14:paraId="43BA392D">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不得向中标人提出任何不合理的要求作为签订合同的条件。</w:t>
      </w:r>
    </w:p>
    <w:p w14:paraId="0030DA9B">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30.3在合同履行中，</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如需追加与合同标的相同的货物，在不改变合同其他条款的前提下，</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 xml:space="preserve">可与中标人协商签订补充合同，但所有补充合同的采购金额不得超过原合同金额的百分之十。 </w:t>
      </w:r>
    </w:p>
    <w:p w14:paraId="70C28936">
      <w:pPr>
        <w:pStyle w:val="64"/>
        <w:snapToGrid w:val="0"/>
        <w:spacing w:line="360" w:lineRule="auto"/>
        <w:ind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30.4投标人根据招标文件的规定和</w:t>
      </w:r>
      <w:r>
        <w:rPr>
          <w:rFonts w:hint="eastAsia" w:ascii="仿宋" w:hAnsi="仿宋" w:eastAsia="仿宋" w:cs="仿宋"/>
          <w:color w:val="auto"/>
          <w:kern w:val="0"/>
          <w:sz w:val="24"/>
          <w:szCs w:val="24"/>
          <w:highlight w:val="none"/>
          <w:lang w:eastAsia="zh-CN"/>
        </w:rPr>
        <w:t>招标</w:t>
      </w:r>
      <w:r>
        <w:rPr>
          <w:rFonts w:hint="eastAsia" w:ascii="仿宋" w:hAnsi="仿宋" w:eastAsia="仿宋" w:cs="仿宋"/>
          <w:color w:val="auto"/>
          <w:kern w:val="0"/>
          <w:sz w:val="24"/>
          <w:szCs w:val="24"/>
          <w:highlight w:val="none"/>
        </w:rPr>
        <w:t>项目的实际情况，拟在中标后将中标项目的非主体、非关键性工作分包的，应当在投标文件中载明分包承担主体，分包承担主体应当具备相应资质条件且不得再次分包。</w:t>
      </w:r>
    </w:p>
    <w:p w14:paraId="5F827B34">
      <w:pPr>
        <w:pStyle w:val="64"/>
        <w:snapToGrid w:val="0"/>
        <w:spacing w:line="360" w:lineRule="auto"/>
        <w:ind w:firstLine="480" w:firstLineChars="20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30.5中标人一旦中标，未经</w:t>
      </w:r>
      <w:r>
        <w:rPr>
          <w:rFonts w:hint="eastAsia" w:ascii="仿宋" w:hAnsi="仿宋" w:eastAsia="仿宋" w:cs="仿宋"/>
          <w:color w:val="auto"/>
          <w:kern w:val="0"/>
          <w:sz w:val="24"/>
          <w:szCs w:val="24"/>
          <w:highlight w:val="none"/>
          <w:lang w:eastAsia="zh-CN"/>
        </w:rPr>
        <w:t>采购人</w:t>
      </w:r>
      <w:r>
        <w:rPr>
          <w:rFonts w:hint="eastAsia" w:ascii="仿宋" w:hAnsi="仿宋" w:eastAsia="仿宋" w:cs="仿宋"/>
          <w:color w:val="auto"/>
          <w:kern w:val="0"/>
          <w:sz w:val="24"/>
          <w:szCs w:val="24"/>
          <w:highlight w:val="none"/>
        </w:rPr>
        <w:t>事先给予书面同意不得转包、分包，亦不得将合同全部及任何权利、义务向第三方转让，除符合《政府采购促进中小企业发展暂行办法》相关规定外，其他情形将被视为严重违约。</w:t>
      </w:r>
      <w:r>
        <w:rPr>
          <w:rFonts w:hint="eastAsia" w:ascii="仿宋" w:hAnsi="仿宋" w:eastAsia="仿宋" w:cs="仿宋"/>
          <w:color w:val="auto"/>
          <w:kern w:val="0"/>
          <w:sz w:val="24"/>
          <w:highlight w:val="none"/>
        </w:rPr>
        <w:t>或</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 xml:space="preserve">有权决定按照中标人中标后毁标、终止或解除合同等依约处理。 </w:t>
      </w:r>
    </w:p>
    <w:p w14:paraId="16AFD1F9">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30.6</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与中标人应当根据合同的约定依法履行合同义务。</w:t>
      </w:r>
    </w:p>
    <w:p w14:paraId="1E793CDC">
      <w:pPr>
        <w:tabs>
          <w:tab w:val="left" w:pos="567"/>
        </w:tabs>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30.7中标人应当自合同或补充合同签订之日起五个工作日内，将合同副本一份报代理机构存档，</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同时在</w:t>
      </w:r>
      <w:r>
        <w:rPr>
          <w:rFonts w:hint="eastAsia" w:ascii="仿宋" w:hAnsi="仿宋" w:eastAsia="仿宋" w:cs="仿宋"/>
          <w:b/>
          <w:color w:val="auto"/>
          <w:kern w:val="0"/>
          <w:sz w:val="24"/>
          <w:highlight w:val="none"/>
        </w:rPr>
        <w:t>山西省政府采购网</w:t>
      </w:r>
      <w:r>
        <w:rPr>
          <w:rFonts w:hint="eastAsia" w:ascii="仿宋" w:hAnsi="仿宋" w:eastAsia="仿宋" w:cs="仿宋"/>
          <w:color w:val="auto"/>
          <w:kern w:val="0"/>
          <w:sz w:val="24"/>
          <w:highlight w:val="none"/>
        </w:rPr>
        <w:t>进行公示。</w:t>
      </w:r>
    </w:p>
    <w:p w14:paraId="33C94305">
      <w:pPr>
        <w:snapToGrid w:val="0"/>
        <w:spacing w:line="360" w:lineRule="auto"/>
        <w:ind w:firstLine="482" w:firstLineChars="200"/>
        <w:outlineLvl w:val="1"/>
        <w:rPr>
          <w:rFonts w:ascii="仿宋" w:hAnsi="仿宋" w:eastAsia="仿宋" w:cs="仿宋"/>
          <w:b/>
          <w:color w:val="auto"/>
          <w:kern w:val="0"/>
          <w:sz w:val="24"/>
          <w:highlight w:val="none"/>
        </w:rPr>
      </w:pPr>
      <w:bookmarkStart w:id="37" w:name="_Toc175644024"/>
      <w:r>
        <w:rPr>
          <w:rFonts w:hint="eastAsia" w:ascii="仿宋" w:hAnsi="仿宋" w:eastAsia="仿宋" w:cs="仿宋"/>
          <w:b/>
          <w:color w:val="auto"/>
          <w:kern w:val="0"/>
          <w:sz w:val="24"/>
          <w:highlight w:val="none"/>
        </w:rPr>
        <w:t>八、保密和披露</w:t>
      </w:r>
      <w:bookmarkEnd w:id="37"/>
    </w:p>
    <w:p w14:paraId="42D26D37">
      <w:pPr>
        <w:snapToGrid w:val="0"/>
        <w:spacing w:line="444"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31.保密</w:t>
      </w:r>
    </w:p>
    <w:p w14:paraId="2A918909">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31.1潜在投标人自领取招标文件之日起，须承诺承担本招标项目项下保密义务，不得将因本次招标获得的信息向第三人外传。</w:t>
      </w:r>
    </w:p>
    <w:p w14:paraId="117B639B">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bCs/>
          <w:color w:val="auto"/>
          <w:kern w:val="0"/>
          <w:sz w:val="24"/>
          <w:highlight w:val="none"/>
        </w:rPr>
        <w:t>31.2有关人员对评标情况以及在评标过程中获悉的国家秘密、商业秘密负有保密责任。</w:t>
      </w:r>
    </w:p>
    <w:p w14:paraId="554468B0">
      <w:pPr>
        <w:snapToGrid w:val="0"/>
        <w:spacing w:line="444"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32.披露</w:t>
      </w:r>
    </w:p>
    <w:p w14:paraId="14D70009">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32.1</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或代理机构有权将投标人提供的所有资料向政府有关部门或评审标书的有关人员披露。</w:t>
      </w:r>
    </w:p>
    <w:p w14:paraId="47786513">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32.2在代理机构认为适当时、国家机关调查、审查、审计时以及其他符合法律规定的情形下，代理机构（或</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）无须事先征求投标人/中标人同意而可以披露关于</w:t>
      </w:r>
      <w:r>
        <w:rPr>
          <w:rFonts w:hint="eastAsia" w:ascii="仿宋" w:hAnsi="仿宋" w:eastAsia="仿宋" w:cs="仿宋"/>
          <w:color w:val="auto"/>
          <w:kern w:val="0"/>
          <w:sz w:val="24"/>
          <w:highlight w:val="none"/>
          <w:lang w:eastAsia="zh-CN"/>
        </w:rPr>
        <w:t>招标</w:t>
      </w:r>
      <w:r>
        <w:rPr>
          <w:rFonts w:hint="eastAsia" w:ascii="仿宋" w:hAnsi="仿宋" w:eastAsia="仿宋" w:cs="仿宋"/>
          <w:color w:val="auto"/>
          <w:kern w:val="0"/>
          <w:sz w:val="24"/>
          <w:highlight w:val="none"/>
        </w:rPr>
        <w:t>过程、合同文本、签署情况的资料、投标人/中标人的名称及地址、投标文件的有关信息以及补充条款等，但应当在合理的必要范围内。对任何已经公布过的内容或与之内容相同的资料，以及投标人/中标人已经泄露或公开的，无须再承担保密责任。</w:t>
      </w:r>
    </w:p>
    <w:p w14:paraId="69F0147D">
      <w:pPr>
        <w:snapToGrid w:val="0"/>
        <w:spacing w:line="444" w:lineRule="exact"/>
        <w:ind w:firstLine="482" w:firstLineChars="200"/>
        <w:outlineLvl w:val="1"/>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九、询问和质疑</w:t>
      </w:r>
    </w:p>
    <w:p w14:paraId="1A456E73">
      <w:pPr>
        <w:snapToGrid w:val="0"/>
        <w:spacing w:line="444"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33.投标人有权就招标事宜提出询问和质疑。</w:t>
      </w:r>
    </w:p>
    <w:p w14:paraId="01750CD6">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33.1 招标程序受《中华人民共和国政府采购法》、《中华人民共和国政府采购法实施条例》、《政府采购货物和服务招标投标管理办法》和相关法律法规的约束，并受到严格的内部监督，以确保授予合同过程的公平公正。</w:t>
      </w:r>
    </w:p>
    <w:p w14:paraId="6A4DD510">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33.2 投标人对招标文件条款或商务、技术参数有异议的，应当在开标前通过澄清或修改程序提出。</w:t>
      </w:r>
    </w:p>
    <w:p w14:paraId="7EC27F6B">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33.3 投标人对</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在法定质疑期内一次性提出针对同一</w:t>
      </w:r>
      <w:r>
        <w:rPr>
          <w:rFonts w:hint="eastAsia" w:ascii="仿宋" w:hAnsi="仿宋" w:eastAsia="仿宋" w:cs="仿宋"/>
          <w:color w:val="auto"/>
          <w:kern w:val="0"/>
          <w:sz w:val="24"/>
          <w:highlight w:val="none"/>
          <w:lang w:eastAsia="zh-CN"/>
        </w:rPr>
        <w:t>招标</w:t>
      </w:r>
      <w:r>
        <w:rPr>
          <w:rFonts w:hint="eastAsia" w:ascii="仿宋" w:hAnsi="仿宋" w:eastAsia="仿宋" w:cs="仿宋"/>
          <w:color w:val="auto"/>
          <w:kern w:val="0"/>
          <w:sz w:val="24"/>
          <w:highlight w:val="none"/>
        </w:rPr>
        <w:t>程序环节的质疑。</w:t>
      </w:r>
    </w:p>
    <w:p w14:paraId="213BBD1B">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33.4 投标人认为招标文件、</w:t>
      </w:r>
      <w:r>
        <w:rPr>
          <w:rFonts w:hint="eastAsia" w:ascii="仿宋" w:hAnsi="仿宋" w:eastAsia="仿宋" w:cs="仿宋"/>
          <w:color w:val="auto"/>
          <w:kern w:val="0"/>
          <w:sz w:val="24"/>
          <w:highlight w:val="none"/>
          <w:lang w:eastAsia="zh-CN"/>
        </w:rPr>
        <w:t>招标</w:t>
      </w:r>
      <w:r>
        <w:rPr>
          <w:rFonts w:hint="eastAsia" w:ascii="仿宋" w:hAnsi="仿宋" w:eastAsia="仿宋" w:cs="仿宋"/>
          <w:color w:val="auto"/>
          <w:kern w:val="0"/>
          <w:sz w:val="24"/>
          <w:highlight w:val="none"/>
        </w:rPr>
        <w:t>过程、中标或者中标成交结果使自己的合法权益受到损害的，可以在知道或者应知其权益受到损害之日起7个工作日内，以书面形式向</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提出质疑。</w:t>
      </w:r>
    </w:p>
    <w:p w14:paraId="3B032FF7">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33.5 潜在投标人已依法获取其可质疑的</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的，可以对该文件提出质疑。对招标文件提出质疑的，在获取招标文件或者招标公告期限届满之日起7个工作日内提出。</w:t>
      </w:r>
    </w:p>
    <w:p w14:paraId="2A05793C">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33.6质疑应当以书面形式向代理机构提出，经法定代表人签字并加盖公章。</w:t>
      </w:r>
    </w:p>
    <w:p w14:paraId="34254D23">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33.7 投标人提出质疑应当提交质疑函和必要的证明材料。质疑函应当包括以下主要内容：</w:t>
      </w:r>
    </w:p>
    <w:p w14:paraId="7DA00E3A">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33.7.1投标人的姓名或者名称、地址、邮编、联系人及联系电话；</w:t>
      </w:r>
    </w:p>
    <w:p w14:paraId="182A6272">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33.7.2质疑项目名称、编号、包号（若分包）；</w:t>
      </w:r>
    </w:p>
    <w:p w14:paraId="6BEF24E2">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33.7.3具体、明确的质疑事项和与质疑事项相关的请求；</w:t>
      </w:r>
    </w:p>
    <w:p w14:paraId="273C239F">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33.7.4事实依据；</w:t>
      </w:r>
    </w:p>
    <w:p w14:paraId="225DD9E2">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33.7.5必要的法律依据；</w:t>
      </w:r>
    </w:p>
    <w:p w14:paraId="3E543DEB">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33.7.6提出质疑的日期。</w:t>
      </w:r>
    </w:p>
    <w:p w14:paraId="6FEA9D61">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投标人为自然人的，应当由本人签字；投标人为法人或者其他组织的，应当由法定代表人、主要负责人或者其授权代表签字或者盖章，并加盖公章。</w:t>
      </w:r>
    </w:p>
    <w:p w14:paraId="78134533">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33.8 质疑应按照“谁主张、谁举证”的原则，质疑书应当附相关证明材料。质疑材料应为简体中文，一式二份。</w:t>
      </w:r>
    </w:p>
    <w:p w14:paraId="1D4E341C">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33.9有下列情形之一的，属于无效质疑，代理机构可不予受理：</w:t>
      </w:r>
    </w:p>
    <w:p w14:paraId="4683FB57">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33.9.1未在有效期限内提出质疑的；</w:t>
      </w:r>
    </w:p>
    <w:p w14:paraId="25DD6D38">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33.9.2质疑未以书面形式提出的；</w:t>
      </w:r>
    </w:p>
    <w:p w14:paraId="16E967D6">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33.9.3所提交材料未明示属于质疑材料的；</w:t>
      </w:r>
    </w:p>
    <w:p w14:paraId="0F98B535">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33.9.4质疑书没有法定代表人签章并加盖单位公章的；质疑书由参加</w:t>
      </w:r>
      <w:r>
        <w:rPr>
          <w:rFonts w:hint="eastAsia" w:ascii="仿宋" w:hAnsi="仿宋" w:eastAsia="仿宋" w:cs="仿宋"/>
          <w:color w:val="auto"/>
          <w:kern w:val="0"/>
          <w:sz w:val="24"/>
          <w:highlight w:val="none"/>
          <w:lang w:eastAsia="zh-CN"/>
        </w:rPr>
        <w:t>招标</w:t>
      </w:r>
      <w:r>
        <w:rPr>
          <w:rFonts w:hint="eastAsia" w:ascii="仿宋" w:hAnsi="仿宋" w:eastAsia="仿宋" w:cs="仿宋"/>
          <w:color w:val="auto"/>
          <w:kern w:val="0"/>
          <w:sz w:val="24"/>
          <w:highlight w:val="none"/>
        </w:rPr>
        <w:t>项目的授权代表签署本人姓名或印盖本人姓名章，但没有法定代表人特别授权的；</w:t>
      </w:r>
    </w:p>
    <w:p w14:paraId="2FE7B60A">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33.9.5质疑书未提供有效联系人或联系方式的；</w:t>
      </w:r>
    </w:p>
    <w:p w14:paraId="55C0C876">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33.8.6质疑事项已经进入投诉或者行政复议或者诉讼程序的；</w:t>
      </w:r>
    </w:p>
    <w:p w14:paraId="60726D42">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33.9.7质疑书未附相关证明材料，被视为无有效证据支持的；</w:t>
      </w:r>
    </w:p>
    <w:p w14:paraId="359F55CC">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33.9.8投标人对招标文件条款或技术参数有异议，未在开标前通过澄清或修改程序提出，并且投标人已经参与投标，而于开标后对招标文件提出质疑的；</w:t>
      </w:r>
    </w:p>
    <w:p w14:paraId="7737AC20">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33.9.9在提出本次质疑前半年内连续三次质疑而无事实依据的；</w:t>
      </w:r>
    </w:p>
    <w:p w14:paraId="34724BB5">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33.9.10其它不符合受理条件的情形。</w:t>
      </w:r>
    </w:p>
    <w:p w14:paraId="052645C5">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33.10</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不得拒收质疑投标人在法定质疑期内发出的质疑函，应当在收到质疑函后7个工作日内做出答复，并以书面形式通知质疑投标人和其他有关投标人。</w:t>
      </w:r>
    </w:p>
    <w:p w14:paraId="3F7A420B">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33.11投标人对评审过程、中标结果提出质疑的，</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可以组织原</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协助答复质疑。</w:t>
      </w:r>
    </w:p>
    <w:p w14:paraId="336960EC">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33.12质疑答复应当包含以下内容：</w:t>
      </w:r>
    </w:p>
    <w:p w14:paraId="65278FEB">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质疑投标人的姓名或者名称；收到质疑函的日期、质疑项目名称及编号；质疑事项、质疑答复的具体内容、事实依据和法律依据；告知质疑投标人依法投诉的权利；质疑答复人名称；答复质疑的日期。质疑答复的内容不得涉及商业秘密。</w:t>
      </w:r>
    </w:p>
    <w:p w14:paraId="0323E30E">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33.13</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认为投标人质疑不成立，或者成立但未对中标结果构成影响的，继续开展</w:t>
      </w:r>
      <w:r>
        <w:rPr>
          <w:rFonts w:hint="eastAsia" w:ascii="仿宋" w:hAnsi="仿宋" w:eastAsia="仿宋" w:cs="仿宋"/>
          <w:color w:val="auto"/>
          <w:kern w:val="0"/>
          <w:sz w:val="24"/>
          <w:highlight w:val="none"/>
          <w:lang w:eastAsia="zh-CN"/>
        </w:rPr>
        <w:t>招标</w:t>
      </w:r>
      <w:r>
        <w:rPr>
          <w:rFonts w:hint="eastAsia" w:ascii="仿宋" w:hAnsi="仿宋" w:eastAsia="仿宋" w:cs="仿宋"/>
          <w:color w:val="auto"/>
          <w:kern w:val="0"/>
          <w:sz w:val="24"/>
          <w:highlight w:val="none"/>
        </w:rPr>
        <w:t>活动；认为投标人质疑成立且影响或者可能影响中标结果的，按照下列情况处理：</w:t>
      </w:r>
    </w:p>
    <w:p w14:paraId="2D4854FF">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33.13.1对招标文件提出的质疑，依法通过澄清或者修改可以继续开展招标活动；否则应当修改招标文件后重新开展活动。</w:t>
      </w:r>
    </w:p>
    <w:p w14:paraId="7EF784B9">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33.13.2对招标过程、中标结果提出的质疑，合格投标人符合法定数量时，可以从合格的中标候选人中另行确定中标人的，应当依法另行确定中标人；否则应当重新开展招标活动。</w:t>
      </w:r>
    </w:p>
    <w:p w14:paraId="6935F4B1">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质疑答复导致中标结果改变的，</w:t>
      </w:r>
      <w:r>
        <w:rPr>
          <w:rFonts w:hint="eastAsia" w:ascii="仿宋" w:hAnsi="仿宋" w:eastAsia="仿宋" w:cs="仿宋"/>
          <w:color w:val="auto"/>
          <w:kern w:val="0"/>
          <w:sz w:val="24"/>
          <w:highlight w:val="none"/>
          <w:lang w:eastAsia="zh-CN"/>
        </w:rPr>
        <w:t>招标</w:t>
      </w:r>
      <w:r>
        <w:rPr>
          <w:rFonts w:hint="eastAsia" w:ascii="仿宋" w:hAnsi="仿宋" w:eastAsia="仿宋" w:cs="仿宋"/>
          <w:color w:val="auto"/>
          <w:kern w:val="0"/>
          <w:sz w:val="24"/>
          <w:highlight w:val="none"/>
        </w:rPr>
        <w:t>或者</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应当将有关情况书面报告本机财政部门。</w:t>
      </w:r>
    </w:p>
    <w:p w14:paraId="6A29BD80">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33.14质疑投标人对</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、代理机构的答复不满意，或者代理机构未在规定的时间内做出答复的，可以在答复期满后15个工作日内向政府采购监管部门投诉。</w:t>
      </w:r>
    </w:p>
    <w:p w14:paraId="2ECE880F">
      <w:pPr>
        <w:snapToGrid w:val="0"/>
        <w:spacing w:line="444"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33.15接收质疑函的联系方式</w:t>
      </w:r>
    </w:p>
    <w:p w14:paraId="3BF62D66">
      <w:pPr>
        <w:snapToGrid w:val="0"/>
        <w:spacing w:line="444" w:lineRule="exact"/>
        <w:ind w:firstLine="480" w:firstLineChars="200"/>
        <w:rPr>
          <w:rFonts w:hint="eastAsia" w:ascii="仿宋" w:hAnsi="仿宋" w:eastAsia="仿宋" w:cs="仿宋"/>
          <w:color w:val="auto"/>
          <w:kern w:val="0"/>
          <w:sz w:val="24"/>
          <w:highlight w:val="none"/>
          <w:lang w:val="en" w:eastAsia="zh-CN"/>
        </w:rPr>
      </w:pPr>
      <w:r>
        <w:rPr>
          <w:rFonts w:hint="eastAsia" w:ascii="仿宋" w:hAnsi="仿宋" w:eastAsia="仿宋" w:cs="仿宋"/>
          <w:color w:val="auto"/>
          <w:kern w:val="0"/>
          <w:sz w:val="24"/>
          <w:highlight w:val="none"/>
        </w:rPr>
        <w:t>联系单位：</w:t>
      </w:r>
      <w:r>
        <w:rPr>
          <w:rFonts w:hint="eastAsia" w:ascii="仿宋" w:hAnsi="仿宋" w:eastAsia="仿宋" w:cs="仿宋"/>
          <w:color w:val="auto"/>
          <w:kern w:val="0"/>
          <w:sz w:val="24"/>
          <w:highlight w:val="none"/>
          <w:lang w:val="en" w:eastAsia="zh-CN"/>
        </w:rPr>
        <w:t>山西交干工程项目管理有限公司</w:t>
      </w:r>
    </w:p>
    <w:p w14:paraId="3116F7F1">
      <w:pPr>
        <w:snapToGrid w:val="0"/>
        <w:spacing w:line="444"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rPr>
        <w:t>单位地址：</w:t>
      </w:r>
      <w:r>
        <w:rPr>
          <w:rFonts w:hint="eastAsia" w:ascii="仿宋" w:hAnsi="仿宋" w:eastAsia="仿宋" w:cs="仿宋"/>
          <w:color w:val="auto"/>
          <w:sz w:val="24"/>
          <w:highlight w:val="none"/>
          <w:lang w:eastAsia="zh-CN"/>
        </w:rPr>
        <w:t>太原市杏花岭区建设北路196号太铁广场A座1106室</w:t>
      </w:r>
    </w:p>
    <w:p w14:paraId="24FB3C9C">
      <w:pPr>
        <w:snapToGrid w:val="0"/>
        <w:spacing w:line="444" w:lineRule="exact"/>
        <w:ind w:firstLine="480" w:firstLineChars="200"/>
        <w:rPr>
          <w:rFonts w:hint="default" w:ascii="仿宋" w:hAnsi="仿宋" w:eastAsia="仿宋" w:cs="仿宋"/>
          <w:color w:val="auto"/>
          <w:kern w:val="0"/>
          <w:sz w:val="24"/>
          <w:highlight w:val="none"/>
          <w:lang w:val="en" w:eastAsia="zh-CN"/>
        </w:rPr>
      </w:pPr>
      <w:r>
        <w:rPr>
          <w:rFonts w:hint="eastAsia" w:ascii="仿宋" w:hAnsi="仿宋" w:eastAsia="仿宋" w:cs="仿宋"/>
          <w:color w:val="auto"/>
          <w:kern w:val="0"/>
          <w:sz w:val="24"/>
          <w:highlight w:val="none"/>
        </w:rPr>
        <w:t>联 系 人：</w:t>
      </w:r>
      <w:r>
        <w:rPr>
          <w:rFonts w:hint="eastAsia" w:ascii="仿宋" w:hAnsi="仿宋" w:eastAsia="仿宋" w:cs="仿宋"/>
          <w:color w:val="auto"/>
          <w:sz w:val="24"/>
          <w:highlight w:val="none"/>
          <w:lang w:val="en-US" w:eastAsia="zh-CN"/>
        </w:rPr>
        <w:t>李女士</w:t>
      </w:r>
    </w:p>
    <w:p w14:paraId="06AD1390">
      <w:pPr>
        <w:snapToGrid w:val="0"/>
        <w:spacing w:line="444"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联系电话：</w:t>
      </w:r>
      <w:r>
        <w:rPr>
          <w:rFonts w:hint="eastAsia" w:ascii="仿宋" w:hAnsi="仿宋" w:eastAsia="仿宋" w:cs="仿宋"/>
          <w:color w:val="auto"/>
          <w:kern w:val="0"/>
          <w:sz w:val="24"/>
          <w:highlight w:val="none"/>
          <w:lang w:val="en-US" w:eastAsia="zh-CN"/>
        </w:rPr>
        <w:t>15135143181</w:t>
      </w:r>
    </w:p>
    <w:p w14:paraId="3B55AD4C">
      <w:pPr>
        <w:snapToGrid w:val="0"/>
        <w:spacing w:line="444" w:lineRule="exact"/>
        <w:ind w:firstLine="482" w:firstLineChars="200"/>
        <w:outlineLvl w:val="1"/>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十、</w:t>
      </w:r>
      <w:bookmarkEnd w:id="28"/>
      <w:r>
        <w:rPr>
          <w:rFonts w:hint="eastAsia" w:ascii="仿宋" w:hAnsi="仿宋" w:eastAsia="仿宋" w:cs="仿宋"/>
          <w:b/>
          <w:color w:val="auto"/>
          <w:kern w:val="0"/>
          <w:sz w:val="24"/>
          <w:highlight w:val="none"/>
        </w:rPr>
        <w:t>相关政策要求</w:t>
      </w:r>
    </w:p>
    <w:p w14:paraId="1620A3BB">
      <w:pPr>
        <w:snapToGrid w:val="0"/>
        <w:spacing w:line="444"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采购货物未特别注明“进口产品”字样的，均必须采购国产产品，即非“通过中国海关报关验放进入中国境内且产自关境外的产品”，采购产品各项技术标准必须符合国家强制性标准。特别注明“进口产品”字样的，优先采购向我国企业转让技术、与我国企业签订消化吸收再创新方案的</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的进口产品，如果有能够满足采购需求的国产产品参与，应当按照公平竞争的原则进行评审。</w:t>
      </w:r>
    </w:p>
    <w:p w14:paraId="19AA8B76">
      <w:pPr>
        <w:snapToGrid w:val="0"/>
        <w:spacing w:line="444"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采购货物中如含“台式计算机、便携式计算机和平板式微型计算机、激光打印机、针式打印机、液晶显示器、制冷压缩机、空调机组、专用制冷空调设备、镇流器、空调机、电热水器、普通照明用双端荧光灯、电视设备、视频设备以及便器、水嘴等”，属于国家强制性采购产品，必须提供所投产品获得国家确定的认证机构出具的、处于有效期之内的节能产品认证证书。</w:t>
      </w:r>
    </w:p>
    <w:p w14:paraId="3FC5A379">
      <w:pPr>
        <w:snapToGrid w:val="0"/>
        <w:spacing w:line="444"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3．采购项目中如含有计算机，必须预装正版操作系统软件产品；项目中所采购的其它软件必须为正版软件。</w:t>
      </w:r>
    </w:p>
    <w:p w14:paraId="654E1950">
      <w:pPr>
        <w:snapToGrid w:val="0"/>
        <w:spacing w:line="444"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4．采购货物中如含有财政部会同有关部门制定下发的《信息安全产品强制性认证目录》中的产品，须提供中国信息安全认证中心按国家标准认证颁发的有效认证证书。</w:t>
      </w:r>
    </w:p>
    <w:p w14:paraId="453AE240">
      <w:pPr>
        <w:snapToGrid w:val="0"/>
        <w:spacing w:line="444"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中小微企业参加本项目：</w:t>
      </w:r>
    </w:p>
    <w:p w14:paraId="41359467">
      <w:pPr>
        <w:snapToGrid w:val="0"/>
        <w:spacing w:line="444"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须按照财政部、工业和信息化部发布</w:t>
      </w:r>
      <w:r>
        <w:rPr>
          <w:rFonts w:hint="eastAsia" w:ascii="仿宋" w:hAnsi="仿宋" w:eastAsia="仿宋" w:cs="仿宋"/>
          <w:color w:val="auto"/>
          <w:kern w:val="0"/>
          <w:sz w:val="24"/>
          <w:highlight w:val="none"/>
          <w:lang w:eastAsia="zh-CN"/>
        </w:rPr>
        <w:t>的</w:t>
      </w:r>
      <w:r>
        <w:rPr>
          <w:rFonts w:hint="eastAsia" w:ascii="仿宋" w:hAnsi="仿宋" w:eastAsia="仿宋" w:cs="仿宋"/>
          <w:color w:val="auto"/>
          <w:kern w:val="0"/>
          <w:sz w:val="24"/>
          <w:highlight w:val="none"/>
        </w:rPr>
        <w:t>《关于印发&lt;政府采购促进中小企业发展管理办法&gt;的通知》(财库〔2020〕46号</w:t>
      </w:r>
      <w:r>
        <w:rPr>
          <w:rFonts w:hint="eastAsia" w:ascii="仿宋" w:hAnsi="仿宋" w:eastAsia="仿宋" w:cs="仿宋"/>
          <w:color w:val="auto"/>
          <w:kern w:val="0"/>
          <w:sz w:val="24"/>
          <w:highlight w:val="none"/>
          <w:lang w:eastAsia="zh-CN"/>
        </w:rPr>
        <w:t>），并依据</w:t>
      </w:r>
      <w:r>
        <w:rPr>
          <w:rFonts w:hint="eastAsia" w:ascii="仿宋" w:hAnsi="仿宋" w:eastAsia="仿宋" w:cs="仿宋"/>
          <w:color w:val="auto"/>
          <w:kern w:val="0"/>
          <w:sz w:val="24"/>
          <w:highlight w:val="none"/>
        </w:rPr>
        <w:t>工信部联【2011】300号《中小企业划型标准规定》的标准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如实填写《中小企业声明函》</w:t>
      </w:r>
      <w:r>
        <w:rPr>
          <w:rFonts w:hint="eastAsia" w:ascii="仿宋" w:hAnsi="仿宋" w:eastAsia="仿宋" w:cs="仿宋"/>
          <w:color w:val="auto"/>
          <w:kern w:val="0"/>
          <w:sz w:val="24"/>
          <w:highlight w:val="none"/>
          <w:lang w:eastAsia="zh-CN"/>
        </w:rPr>
        <w:t>。</w:t>
      </w:r>
    </w:p>
    <w:p w14:paraId="1C8BFDF5">
      <w:pPr>
        <w:snapToGrid w:val="0"/>
        <w:spacing w:line="444"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．残疾人福利单位参加本项目：</w:t>
      </w:r>
    </w:p>
    <w:p w14:paraId="2474CCF6">
      <w:pPr>
        <w:snapToGrid w:val="0"/>
        <w:spacing w:line="444"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依据《三部门联合发布关于促进残疾人就业政府采购政策的通知》（财库[2017]141号）第三条规定，</w:t>
      </w:r>
      <w:r>
        <w:rPr>
          <w:rFonts w:hint="eastAsia" w:ascii="仿宋" w:hAnsi="仿宋" w:eastAsia="仿宋" w:cs="仿宋"/>
          <w:color w:val="auto"/>
          <w:kern w:val="0"/>
          <w:sz w:val="24"/>
          <w:highlight w:val="none"/>
          <w:lang w:val="en-US" w:eastAsia="zh-CN"/>
        </w:rPr>
        <w:t>需附</w:t>
      </w:r>
      <w:r>
        <w:rPr>
          <w:rFonts w:hint="eastAsia" w:ascii="仿宋" w:hAnsi="仿宋" w:eastAsia="仿宋" w:cs="仿宋"/>
          <w:color w:val="auto"/>
          <w:kern w:val="0"/>
          <w:sz w:val="24"/>
          <w:highlight w:val="none"/>
        </w:rPr>
        <w:t>残疾人福利性单位声明函</w:t>
      </w:r>
      <w:r>
        <w:rPr>
          <w:rFonts w:hint="eastAsia" w:ascii="仿宋" w:hAnsi="仿宋" w:eastAsia="仿宋" w:cs="仿宋"/>
          <w:color w:val="auto"/>
          <w:kern w:val="0"/>
          <w:sz w:val="24"/>
          <w:highlight w:val="none"/>
          <w:lang w:eastAsia="zh-CN"/>
        </w:rPr>
        <w:t>。</w:t>
      </w:r>
    </w:p>
    <w:p w14:paraId="45970631">
      <w:pPr>
        <w:snapToGrid w:val="0"/>
        <w:spacing w:line="444"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．监狱企业参加本项目：</w:t>
      </w:r>
    </w:p>
    <w:p w14:paraId="2B6A7724">
      <w:pPr>
        <w:snapToGrid w:val="0"/>
        <w:spacing w:line="444"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依据《财政部司法部关于政府采购支持监狱企业发展有关问题的通知》(财库〔2014〕68号)规定，</w:t>
      </w:r>
      <w:r>
        <w:rPr>
          <w:rFonts w:hint="eastAsia" w:ascii="仿宋" w:hAnsi="仿宋" w:eastAsia="仿宋" w:cs="仿宋"/>
          <w:color w:val="auto"/>
          <w:kern w:val="0"/>
          <w:sz w:val="24"/>
          <w:highlight w:val="none"/>
          <w:lang w:val="en-US" w:eastAsia="zh-CN"/>
        </w:rPr>
        <w:t>须提供相关证明材料。</w:t>
      </w:r>
    </w:p>
    <w:p w14:paraId="388388B9">
      <w:pPr>
        <w:snapToGrid w:val="0"/>
        <w:spacing w:line="444"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.联合体参加本项目：</w:t>
      </w:r>
    </w:p>
    <w:p w14:paraId="19CEC106">
      <w:pPr>
        <w:snapToGrid w:val="0"/>
        <w:spacing w:line="444"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如本项目</w:t>
      </w:r>
      <w:r>
        <w:rPr>
          <w:rFonts w:hint="eastAsia" w:ascii="仿宋" w:hAnsi="仿宋" w:eastAsia="仿宋" w:cs="仿宋"/>
          <w:color w:val="auto"/>
          <w:kern w:val="0"/>
          <w:sz w:val="24"/>
          <w:highlight w:val="none"/>
          <w:lang w:val="en-US" w:eastAsia="zh-CN"/>
        </w:rPr>
        <w:t>为</w:t>
      </w:r>
      <w:r>
        <w:rPr>
          <w:rFonts w:hint="eastAsia" w:ascii="仿宋" w:hAnsi="仿宋" w:eastAsia="仿宋" w:cs="仿宋"/>
          <w:color w:val="auto"/>
          <w:kern w:val="0"/>
          <w:sz w:val="24"/>
          <w:highlight w:val="none"/>
        </w:rPr>
        <w:t>接受大中型企业与小微企业组成联合体或者允许大中型企业向一家或者多家小微企业分包的采购项目</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需附《联合体投标协议书》。</w:t>
      </w:r>
      <w:bookmarkStart w:id="38" w:name="_Toc175644026"/>
    </w:p>
    <w:p w14:paraId="445925A4">
      <w:pPr>
        <w:snapToGrid w:val="0"/>
        <w:spacing w:line="444"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9.创新产品参加的项目</w:t>
      </w:r>
    </w:p>
    <w:p w14:paraId="45DA0A62">
      <w:pPr>
        <w:snapToGrid w:val="0"/>
        <w:spacing w:line="444"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根据《政府采购支持创新产品和服务实施细则》（晋财购【2019】19号）应在投标文件中填写《创新产品或创新服务明细表》，并提供《山西省创新产品和服务推荐清单》。</w:t>
      </w:r>
    </w:p>
    <w:p w14:paraId="348A239C">
      <w:pPr>
        <w:snapToGrid w:val="0"/>
        <w:spacing w:line="444"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10.商品包装和快递包装</w:t>
      </w:r>
    </w:p>
    <w:p w14:paraId="7E771AE4">
      <w:pPr>
        <w:snapToGrid w:val="0"/>
        <w:spacing w:line="444" w:lineRule="exact"/>
        <w:ind w:firstLine="480" w:firstLineChars="200"/>
        <w:rPr>
          <w:ins w:id="0" w:author="460d815a5fa04980ab9b7c1174e39cf6" w:date="2022-08-26T15:56:00Z"/>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本文件列出商品包装和快递包装要求的，投标人需填写商品包装和快递包装承诺函，承诺商品包装符合《商品包装政府采购需求标准（试行）》，快递包装符合《快递包装政府采购需求标准（试行）》。</w:t>
      </w:r>
    </w:p>
    <w:p w14:paraId="5E5C2966">
      <w:pPr>
        <w:pStyle w:val="27"/>
        <w:rPr>
          <w:highlight w:val="none"/>
        </w:rPr>
      </w:pPr>
    </w:p>
    <w:p w14:paraId="0898EBCA">
      <w:pPr>
        <w:rPr>
          <w:rFonts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br w:type="page"/>
      </w:r>
    </w:p>
    <w:bookmarkEnd w:id="38"/>
    <w:p w14:paraId="4A306957">
      <w:pPr>
        <w:widowControl/>
        <w:snapToGrid w:val="0"/>
        <w:spacing w:line="360" w:lineRule="auto"/>
        <w:jc w:val="center"/>
        <w:outlineLvl w:val="0"/>
        <w:rPr>
          <w:rFonts w:hint="eastAsia" w:ascii="仿宋" w:hAnsi="仿宋" w:eastAsia="仿宋" w:cs="仿宋"/>
          <w:b/>
          <w:color w:val="auto"/>
          <w:kern w:val="0"/>
          <w:sz w:val="30"/>
          <w:szCs w:val="30"/>
          <w:highlight w:val="none"/>
          <w:lang w:eastAsia="zh-CN"/>
        </w:rPr>
      </w:pPr>
      <w:r>
        <w:rPr>
          <w:rFonts w:hint="eastAsia" w:ascii="仿宋" w:hAnsi="仿宋" w:eastAsia="仿宋" w:cs="仿宋"/>
          <w:b/>
          <w:color w:val="auto"/>
          <w:kern w:val="0"/>
          <w:sz w:val="30"/>
          <w:szCs w:val="30"/>
          <w:highlight w:val="none"/>
        </w:rPr>
        <w:t>第四部分  评标标准和评标方法</w:t>
      </w:r>
    </w:p>
    <w:p w14:paraId="6CD106BD">
      <w:pPr>
        <w:widowControl/>
        <w:snapToGrid w:val="0"/>
        <w:spacing w:line="360" w:lineRule="auto"/>
        <w:ind w:firstLine="482" w:firstLineChars="200"/>
        <w:rPr>
          <w:rFonts w:hint="eastAsia" w:ascii="仿宋" w:hAnsi="仿宋" w:eastAsia="仿宋" w:cs="仿宋"/>
          <w:b/>
          <w:color w:val="auto"/>
          <w:kern w:val="0"/>
          <w:sz w:val="24"/>
          <w:highlight w:val="none"/>
          <w:lang w:eastAsia="zh-CN"/>
        </w:rPr>
      </w:pPr>
      <w:r>
        <w:rPr>
          <w:rFonts w:hint="eastAsia" w:ascii="仿宋" w:hAnsi="仿宋" w:eastAsia="仿宋" w:cs="仿宋"/>
          <w:b/>
          <w:color w:val="auto"/>
          <w:kern w:val="0"/>
          <w:sz w:val="24"/>
          <w:highlight w:val="none"/>
        </w:rPr>
        <w:t>一、资格审查内容及标准</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lang w:val="en-US" w:eastAsia="zh-CN"/>
        </w:rPr>
        <w:t>各包通用</w:t>
      </w:r>
      <w:r>
        <w:rPr>
          <w:rFonts w:hint="eastAsia" w:ascii="仿宋" w:hAnsi="仿宋" w:eastAsia="仿宋" w:cs="仿宋"/>
          <w:b/>
          <w:color w:val="auto"/>
          <w:kern w:val="0"/>
          <w:sz w:val="24"/>
          <w:highlight w:val="none"/>
          <w:lang w:eastAsia="zh-CN"/>
        </w:rPr>
        <w:t>）</w:t>
      </w:r>
    </w:p>
    <w:tbl>
      <w:tblPr>
        <w:tblStyle w:val="32"/>
        <w:tblW w:w="51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290"/>
        <w:gridCol w:w="3098"/>
        <w:gridCol w:w="4869"/>
      </w:tblGrid>
      <w:tr w14:paraId="4288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jc w:val="center"/>
        </w:trPr>
        <w:tc>
          <w:tcPr>
            <w:tcW w:w="326" w:type="pct"/>
            <w:noWrap w:val="0"/>
            <w:vAlign w:val="center"/>
          </w:tcPr>
          <w:p w14:paraId="34DAD89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651" w:type="pct"/>
            <w:noWrap w:val="0"/>
            <w:vAlign w:val="center"/>
          </w:tcPr>
          <w:p w14:paraId="3702D58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类型</w:t>
            </w:r>
          </w:p>
        </w:tc>
        <w:tc>
          <w:tcPr>
            <w:tcW w:w="1564" w:type="pct"/>
            <w:noWrap w:val="0"/>
            <w:vAlign w:val="center"/>
          </w:tcPr>
          <w:p w14:paraId="239E611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审查要求</w:t>
            </w:r>
          </w:p>
        </w:tc>
        <w:tc>
          <w:tcPr>
            <w:tcW w:w="2458" w:type="pct"/>
            <w:noWrap w:val="0"/>
            <w:vAlign w:val="center"/>
          </w:tcPr>
          <w:p w14:paraId="5149BBC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要求说明</w:t>
            </w:r>
          </w:p>
        </w:tc>
      </w:tr>
      <w:tr w14:paraId="1000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326" w:type="pct"/>
            <w:noWrap w:val="0"/>
            <w:vAlign w:val="center"/>
          </w:tcPr>
          <w:p w14:paraId="25371B1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51" w:type="pct"/>
            <w:noWrap w:val="0"/>
            <w:vAlign w:val="center"/>
          </w:tcPr>
          <w:p w14:paraId="33CDFA0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营业执照</w:t>
            </w:r>
          </w:p>
        </w:tc>
        <w:tc>
          <w:tcPr>
            <w:tcW w:w="1564" w:type="pct"/>
            <w:noWrap w:val="0"/>
            <w:vAlign w:val="center"/>
          </w:tcPr>
          <w:p w14:paraId="574075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具有独立承担民事责任的能力</w:t>
            </w:r>
          </w:p>
        </w:tc>
        <w:tc>
          <w:tcPr>
            <w:tcW w:w="2458" w:type="pct"/>
            <w:noWrap w:val="0"/>
            <w:vAlign w:val="center"/>
          </w:tcPr>
          <w:p w14:paraId="14A6C81C">
            <w:pPr>
              <w:pStyle w:val="1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rPr>
              <w:t>提供供应商信用承诺书。</w:t>
            </w:r>
            <w:r>
              <w:rPr>
                <w:rFonts w:hint="eastAsia" w:ascii="仿宋" w:hAnsi="仿宋" w:eastAsia="仿宋" w:cs="仿宋"/>
                <w:color w:val="auto"/>
                <w:kern w:val="2"/>
                <w:sz w:val="21"/>
                <w:szCs w:val="21"/>
                <w:highlight w:val="none"/>
                <w:lang w:val="en-US" w:eastAsia="zh-CN"/>
              </w:rPr>
              <w:br w:type="textWrapping"/>
            </w:r>
            <w:r>
              <w:rPr>
                <w:rFonts w:hint="eastAsia" w:ascii="仿宋" w:hAnsi="仿宋" w:eastAsia="仿宋" w:cs="仿宋"/>
                <w:color w:val="auto"/>
                <w:kern w:val="2"/>
                <w:sz w:val="21"/>
                <w:szCs w:val="21"/>
                <w:highlight w:val="none"/>
                <w:lang w:val="en-US" w:eastAsia="zh-CN"/>
              </w:rPr>
              <w:t>以上证明材料须符合要求、有效、完整。否则，响应无效。</w:t>
            </w:r>
          </w:p>
        </w:tc>
      </w:tr>
      <w:tr w14:paraId="69A8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326" w:type="pct"/>
            <w:noWrap w:val="0"/>
            <w:vAlign w:val="center"/>
          </w:tcPr>
          <w:p w14:paraId="2252D20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651" w:type="pct"/>
            <w:noWrap w:val="0"/>
            <w:vAlign w:val="center"/>
          </w:tcPr>
          <w:p w14:paraId="4A12FABB">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财务报告</w:t>
            </w:r>
          </w:p>
        </w:tc>
        <w:tc>
          <w:tcPr>
            <w:tcW w:w="1564" w:type="pct"/>
            <w:noWrap w:val="0"/>
            <w:vAlign w:val="center"/>
          </w:tcPr>
          <w:p w14:paraId="4EE48F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具有良好的商业信誉和健全的财务会计制度</w:t>
            </w:r>
          </w:p>
        </w:tc>
        <w:tc>
          <w:tcPr>
            <w:tcW w:w="2458" w:type="pct"/>
            <w:noWrap w:val="0"/>
            <w:vAlign w:val="center"/>
          </w:tcPr>
          <w:p w14:paraId="66A52A8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提供</w:t>
            </w:r>
            <w:r>
              <w:rPr>
                <w:rFonts w:hint="eastAsia" w:ascii="仿宋" w:hAnsi="仿宋" w:eastAsia="仿宋" w:cs="仿宋"/>
                <w:color w:val="auto"/>
                <w:kern w:val="2"/>
                <w:sz w:val="21"/>
                <w:szCs w:val="21"/>
                <w:highlight w:val="none"/>
                <w:lang w:val="en-US" w:eastAsia="zh-CN"/>
              </w:rPr>
              <w:t>供应商</w:t>
            </w:r>
            <w:r>
              <w:rPr>
                <w:rFonts w:hint="eastAsia" w:ascii="仿宋" w:hAnsi="仿宋" w:eastAsia="仿宋" w:cs="仿宋"/>
                <w:color w:val="auto"/>
                <w:szCs w:val="21"/>
                <w:highlight w:val="none"/>
                <w:lang w:val="en-US" w:eastAsia="zh-CN"/>
              </w:rPr>
              <w:t>信用承诺书。</w:t>
            </w:r>
            <w:r>
              <w:rPr>
                <w:rFonts w:hint="eastAsia" w:ascii="仿宋" w:hAnsi="仿宋" w:eastAsia="仿宋" w:cs="仿宋"/>
                <w:color w:val="auto"/>
                <w:szCs w:val="21"/>
                <w:highlight w:val="none"/>
                <w:lang w:val="en-US" w:eastAsia="zh-CN"/>
              </w:rPr>
              <w:br w:type="textWrapping"/>
            </w:r>
            <w:r>
              <w:rPr>
                <w:rFonts w:hint="eastAsia" w:ascii="仿宋" w:hAnsi="仿宋" w:eastAsia="仿宋" w:cs="仿宋"/>
                <w:color w:val="auto"/>
                <w:szCs w:val="21"/>
                <w:highlight w:val="none"/>
                <w:lang w:val="en-US" w:eastAsia="zh-CN"/>
              </w:rPr>
              <w:t>以上证明材料须符合要求、有效、完整。否则，响应无效。</w:t>
            </w:r>
          </w:p>
        </w:tc>
      </w:tr>
      <w:tr w14:paraId="7D89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6" w:type="pct"/>
            <w:noWrap w:val="0"/>
            <w:vAlign w:val="center"/>
          </w:tcPr>
          <w:p w14:paraId="4B91B8B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651" w:type="pct"/>
            <w:noWrap w:val="0"/>
            <w:vAlign w:val="center"/>
          </w:tcPr>
          <w:p w14:paraId="70E0C0D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基本资质</w:t>
            </w:r>
          </w:p>
        </w:tc>
        <w:tc>
          <w:tcPr>
            <w:tcW w:w="1564" w:type="pct"/>
            <w:noWrap w:val="0"/>
            <w:vAlign w:val="center"/>
          </w:tcPr>
          <w:p w14:paraId="286FB6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具有履行合同所必需的设备和专业技术能力</w:t>
            </w:r>
          </w:p>
        </w:tc>
        <w:tc>
          <w:tcPr>
            <w:tcW w:w="2458" w:type="pct"/>
            <w:noWrap w:val="0"/>
            <w:vAlign w:val="center"/>
          </w:tcPr>
          <w:p w14:paraId="6B89362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提供</w:t>
            </w:r>
            <w:r>
              <w:rPr>
                <w:rFonts w:hint="eastAsia" w:ascii="仿宋" w:hAnsi="仿宋" w:eastAsia="仿宋" w:cs="仿宋"/>
                <w:color w:val="auto"/>
                <w:kern w:val="2"/>
                <w:sz w:val="21"/>
                <w:szCs w:val="21"/>
                <w:highlight w:val="none"/>
                <w:lang w:val="en-US" w:eastAsia="zh-CN"/>
              </w:rPr>
              <w:t>供应商</w:t>
            </w:r>
            <w:r>
              <w:rPr>
                <w:rFonts w:hint="eastAsia" w:ascii="仿宋" w:hAnsi="仿宋" w:eastAsia="仿宋" w:cs="仿宋"/>
                <w:color w:val="auto"/>
                <w:szCs w:val="21"/>
                <w:highlight w:val="none"/>
                <w:lang w:val="en-US" w:eastAsia="zh-CN"/>
              </w:rPr>
              <w:t>信用承诺书。</w:t>
            </w:r>
            <w:r>
              <w:rPr>
                <w:rFonts w:hint="eastAsia" w:ascii="仿宋" w:hAnsi="仿宋" w:eastAsia="仿宋" w:cs="仿宋"/>
                <w:color w:val="auto"/>
                <w:szCs w:val="21"/>
                <w:highlight w:val="none"/>
                <w:lang w:val="en-US" w:eastAsia="zh-CN"/>
              </w:rPr>
              <w:br w:type="textWrapping"/>
            </w:r>
            <w:r>
              <w:rPr>
                <w:rFonts w:hint="eastAsia" w:ascii="仿宋" w:hAnsi="仿宋" w:eastAsia="仿宋" w:cs="仿宋"/>
                <w:color w:val="auto"/>
                <w:szCs w:val="21"/>
                <w:highlight w:val="none"/>
                <w:lang w:val="en-US" w:eastAsia="zh-CN"/>
              </w:rPr>
              <w:t>以上证明材料须符合要求、有效、完整。否则，响应无效。</w:t>
            </w:r>
          </w:p>
        </w:tc>
      </w:tr>
      <w:tr w14:paraId="1EC0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326" w:type="pct"/>
            <w:noWrap w:val="0"/>
            <w:vAlign w:val="center"/>
          </w:tcPr>
          <w:p w14:paraId="5FDB2AA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651" w:type="pct"/>
            <w:noWrap w:val="0"/>
            <w:vAlign w:val="center"/>
          </w:tcPr>
          <w:p w14:paraId="4378D13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基本资质</w:t>
            </w:r>
          </w:p>
        </w:tc>
        <w:tc>
          <w:tcPr>
            <w:tcW w:w="1564" w:type="pct"/>
            <w:noWrap w:val="0"/>
            <w:vAlign w:val="center"/>
          </w:tcPr>
          <w:p w14:paraId="564BE0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有依法缴纳税收和社会保障资金的良好记录</w:t>
            </w:r>
          </w:p>
        </w:tc>
        <w:tc>
          <w:tcPr>
            <w:tcW w:w="2458" w:type="pct"/>
            <w:noWrap w:val="0"/>
            <w:vAlign w:val="center"/>
          </w:tcPr>
          <w:p w14:paraId="251EBEA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提供</w:t>
            </w:r>
            <w:r>
              <w:rPr>
                <w:rFonts w:hint="eastAsia" w:ascii="仿宋" w:hAnsi="仿宋" w:eastAsia="仿宋" w:cs="仿宋"/>
                <w:color w:val="auto"/>
                <w:kern w:val="2"/>
                <w:sz w:val="21"/>
                <w:szCs w:val="21"/>
                <w:highlight w:val="none"/>
                <w:lang w:val="en-US" w:eastAsia="zh-CN"/>
              </w:rPr>
              <w:t>供应商</w:t>
            </w:r>
            <w:r>
              <w:rPr>
                <w:rFonts w:hint="eastAsia" w:ascii="仿宋" w:hAnsi="仿宋" w:eastAsia="仿宋" w:cs="仿宋"/>
                <w:color w:val="auto"/>
                <w:szCs w:val="21"/>
                <w:highlight w:val="none"/>
                <w:lang w:val="en-US" w:eastAsia="zh-CN"/>
              </w:rPr>
              <w:t>信用承诺书。</w:t>
            </w:r>
            <w:r>
              <w:rPr>
                <w:rFonts w:hint="eastAsia" w:ascii="仿宋" w:hAnsi="仿宋" w:eastAsia="仿宋" w:cs="仿宋"/>
                <w:color w:val="auto"/>
                <w:szCs w:val="21"/>
                <w:highlight w:val="none"/>
                <w:lang w:val="en-US" w:eastAsia="zh-CN"/>
              </w:rPr>
              <w:br w:type="textWrapping"/>
            </w:r>
            <w:r>
              <w:rPr>
                <w:rFonts w:hint="eastAsia" w:ascii="仿宋" w:hAnsi="仿宋" w:eastAsia="仿宋" w:cs="仿宋"/>
                <w:color w:val="auto"/>
                <w:szCs w:val="21"/>
                <w:highlight w:val="none"/>
                <w:lang w:val="en-US" w:eastAsia="zh-CN"/>
              </w:rPr>
              <w:t>以上证明材料须符合要求、有效、完整。否则，响应无效。</w:t>
            </w:r>
          </w:p>
        </w:tc>
      </w:tr>
      <w:tr w14:paraId="5CAB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26" w:type="pct"/>
            <w:noWrap w:val="0"/>
            <w:vAlign w:val="center"/>
          </w:tcPr>
          <w:p w14:paraId="4120947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651" w:type="pct"/>
            <w:noWrap w:val="0"/>
            <w:vAlign w:val="center"/>
          </w:tcPr>
          <w:p w14:paraId="7572C69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基本资质</w:t>
            </w:r>
          </w:p>
        </w:tc>
        <w:tc>
          <w:tcPr>
            <w:tcW w:w="1564" w:type="pct"/>
            <w:noWrap w:val="0"/>
            <w:vAlign w:val="center"/>
          </w:tcPr>
          <w:p w14:paraId="0B863B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参加政府采购活动前三年内，在经营活动中没有重大违法记录</w:t>
            </w:r>
          </w:p>
          <w:p w14:paraId="2F34F8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highlight w:val="none"/>
              </w:rPr>
            </w:pPr>
          </w:p>
        </w:tc>
        <w:tc>
          <w:tcPr>
            <w:tcW w:w="2458" w:type="pct"/>
            <w:noWrap w:val="0"/>
            <w:vAlign w:val="center"/>
          </w:tcPr>
          <w:p w14:paraId="1476277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提供</w:t>
            </w:r>
            <w:r>
              <w:rPr>
                <w:rFonts w:hint="eastAsia" w:ascii="仿宋" w:hAnsi="仿宋" w:eastAsia="仿宋" w:cs="仿宋"/>
                <w:color w:val="auto"/>
                <w:kern w:val="2"/>
                <w:sz w:val="21"/>
                <w:szCs w:val="21"/>
                <w:highlight w:val="none"/>
                <w:lang w:val="en-US" w:eastAsia="zh-CN"/>
              </w:rPr>
              <w:t>供应商</w:t>
            </w:r>
            <w:r>
              <w:rPr>
                <w:rFonts w:hint="eastAsia" w:ascii="仿宋" w:hAnsi="仿宋" w:eastAsia="仿宋" w:cs="仿宋"/>
                <w:color w:val="auto"/>
                <w:highlight w:val="none"/>
                <w:lang w:val="en-US" w:eastAsia="zh-CN"/>
              </w:rPr>
              <w:t>信用承诺书。</w:t>
            </w:r>
            <w:r>
              <w:rPr>
                <w:rFonts w:hint="eastAsia" w:ascii="仿宋" w:hAnsi="仿宋" w:eastAsia="仿宋" w:cs="仿宋"/>
                <w:color w:val="auto"/>
                <w:highlight w:val="none"/>
                <w:lang w:val="en-US" w:eastAsia="zh-CN"/>
              </w:rPr>
              <w:br w:type="textWrapping"/>
            </w:r>
            <w:r>
              <w:rPr>
                <w:rFonts w:hint="eastAsia" w:ascii="仿宋" w:hAnsi="仿宋" w:eastAsia="仿宋" w:cs="仿宋"/>
                <w:color w:val="auto"/>
                <w:highlight w:val="none"/>
                <w:lang w:val="en-US" w:eastAsia="zh-CN"/>
              </w:rPr>
              <w:t>以上证明材料须符合要求、有效、完整。否则，响应无效。</w:t>
            </w:r>
          </w:p>
        </w:tc>
      </w:tr>
      <w:tr w14:paraId="58B2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326" w:type="pct"/>
            <w:noWrap w:val="0"/>
            <w:vAlign w:val="center"/>
          </w:tcPr>
          <w:p w14:paraId="0CFFE48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651" w:type="pct"/>
            <w:noWrap w:val="0"/>
            <w:vAlign w:val="center"/>
          </w:tcPr>
          <w:p w14:paraId="04EF40F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采购政策</w:t>
            </w:r>
          </w:p>
        </w:tc>
        <w:tc>
          <w:tcPr>
            <w:tcW w:w="1564" w:type="pct"/>
            <w:noWrap w:val="0"/>
            <w:vAlign w:val="center"/>
          </w:tcPr>
          <w:p w14:paraId="60E419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供应商应为中小企业。</w:t>
            </w:r>
          </w:p>
        </w:tc>
        <w:tc>
          <w:tcPr>
            <w:tcW w:w="2458" w:type="pct"/>
            <w:noWrap w:val="0"/>
            <w:vAlign w:val="center"/>
          </w:tcPr>
          <w:p w14:paraId="6416EC5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请根据要求单独上传《中小企业声明函》。格式以采购文件要求为准。</w:t>
            </w:r>
          </w:p>
        </w:tc>
      </w:tr>
      <w:tr w14:paraId="7068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326" w:type="pct"/>
            <w:noWrap w:val="0"/>
            <w:vAlign w:val="center"/>
          </w:tcPr>
          <w:p w14:paraId="0FA2DF4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7</w:t>
            </w:r>
          </w:p>
        </w:tc>
        <w:tc>
          <w:tcPr>
            <w:tcW w:w="651" w:type="pct"/>
            <w:noWrap w:val="0"/>
            <w:vAlign w:val="center"/>
          </w:tcPr>
          <w:p w14:paraId="508C37B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基本资质</w:t>
            </w:r>
          </w:p>
        </w:tc>
        <w:tc>
          <w:tcPr>
            <w:tcW w:w="1564" w:type="pct"/>
            <w:noWrap w:val="0"/>
            <w:vAlign w:val="center"/>
          </w:tcPr>
          <w:p w14:paraId="39E60B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对单位负责人为同一人或者存在直接控股、管理关系的不同投标人，不得参加同一合同项下的政府招标活动的承诺函</w:t>
            </w:r>
            <w:r>
              <w:rPr>
                <w:rFonts w:hint="eastAsia" w:ascii="仿宋" w:hAnsi="仿宋" w:eastAsia="仿宋" w:cs="仿宋"/>
                <w:color w:val="auto"/>
                <w:szCs w:val="21"/>
                <w:highlight w:val="none"/>
                <w:lang w:eastAsia="zh-CN"/>
              </w:rPr>
              <w:t>进行审查</w:t>
            </w:r>
          </w:p>
        </w:tc>
        <w:tc>
          <w:tcPr>
            <w:tcW w:w="2458" w:type="pct"/>
            <w:noWrap w:val="0"/>
            <w:vAlign w:val="center"/>
          </w:tcPr>
          <w:p w14:paraId="7C95412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提供投标人信用承诺书。</w:t>
            </w:r>
            <w:r>
              <w:rPr>
                <w:rFonts w:hint="eastAsia" w:ascii="仿宋" w:hAnsi="仿宋" w:eastAsia="仿宋" w:cs="仿宋"/>
                <w:color w:val="auto"/>
                <w:highlight w:val="none"/>
                <w:lang w:val="en-US" w:eastAsia="zh-CN"/>
              </w:rPr>
              <w:br w:type="textWrapping"/>
            </w:r>
            <w:r>
              <w:rPr>
                <w:rFonts w:hint="eastAsia" w:ascii="仿宋" w:hAnsi="仿宋" w:eastAsia="仿宋" w:cs="仿宋"/>
                <w:color w:val="auto"/>
                <w:highlight w:val="none"/>
                <w:lang w:val="en-US" w:eastAsia="zh-CN"/>
              </w:rPr>
              <w:t>以上证明材料须符合要求、有效、完整。否则，响应无效。</w:t>
            </w:r>
          </w:p>
        </w:tc>
      </w:tr>
      <w:tr w14:paraId="13F7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326" w:type="pct"/>
            <w:noWrap w:val="0"/>
            <w:vAlign w:val="center"/>
          </w:tcPr>
          <w:p w14:paraId="1BF5F7D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8</w:t>
            </w:r>
          </w:p>
        </w:tc>
        <w:tc>
          <w:tcPr>
            <w:tcW w:w="651" w:type="pct"/>
            <w:noWrap w:val="0"/>
            <w:vAlign w:val="center"/>
          </w:tcPr>
          <w:p w14:paraId="544ADDD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基本资质</w:t>
            </w:r>
          </w:p>
        </w:tc>
        <w:tc>
          <w:tcPr>
            <w:tcW w:w="1564" w:type="pct"/>
            <w:noWrap w:val="0"/>
            <w:vAlign w:val="center"/>
          </w:tcPr>
          <w:p w14:paraId="1B7B49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w:t>
            </w:r>
            <w:r>
              <w:rPr>
                <w:rFonts w:hint="eastAsia" w:ascii="仿宋" w:hAnsi="仿宋" w:eastAsia="仿宋" w:cs="仿宋"/>
                <w:color w:val="auto"/>
                <w:szCs w:val="21"/>
                <w:highlight w:val="none"/>
                <w:lang w:eastAsia="zh-CN"/>
              </w:rPr>
              <w:t>投标人</w:t>
            </w:r>
            <w:r>
              <w:rPr>
                <w:rFonts w:hint="eastAsia" w:ascii="仿宋" w:hAnsi="仿宋" w:eastAsia="仿宋" w:cs="仿宋"/>
                <w:color w:val="auto"/>
                <w:szCs w:val="21"/>
                <w:highlight w:val="none"/>
              </w:rPr>
              <w:t>提供的廉洁自律承诺书的完整性、符合性进行审查</w:t>
            </w:r>
          </w:p>
        </w:tc>
        <w:tc>
          <w:tcPr>
            <w:tcW w:w="2458" w:type="pct"/>
            <w:noWrap w:val="0"/>
            <w:vAlign w:val="center"/>
          </w:tcPr>
          <w:p w14:paraId="54B334C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w:t>
            </w:r>
            <w:r>
              <w:rPr>
                <w:rFonts w:hint="eastAsia" w:ascii="仿宋" w:hAnsi="仿宋" w:eastAsia="仿宋" w:cs="仿宋"/>
                <w:color w:val="auto"/>
                <w:szCs w:val="21"/>
                <w:highlight w:val="none"/>
                <w:lang w:eastAsia="zh-CN"/>
              </w:rPr>
              <w:t>投标人</w:t>
            </w:r>
            <w:r>
              <w:rPr>
                <w:rFonts w:hint="eastAsia" w:ascii="仿宋" w:hAnsi="仿宋" w:eastAsia="仿宋" w:cs="仿宋"/>
                <w:color w:val="auto"/>
                <w:szCs w:val="21"/>
                <w:highlight w:val="none"/>
              </w:rPr>
              <w:t>廉洁自律承诺书；</w:t>
            </w:r>
          </w:p>
          <w:p w14:paraId="1A6BAFD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承诺书须内容完整、签署符合要求，</w:t>
            </w:r>
            <w:r>
              <w:rPr>
                <w:rFonts w:hint="eastAsia" w:ascii="仿宋" w:hAnsi="仿宋" w:eastAsia="仿宋" w:cs="仿宋"/>
                <w:color w:val="000000"/>
                <w:sz w:val="21"/>
                <w:szCs w:val="21"/>
                <w:highlight w:val="none"/>
                <w:lang w:val="en-US" w:eastAsia="zh-CN"/>
              </w:rPr>
              <w:t>按招标文件要求签字、盖章</w:t>
            </w:r>
            <w:r>
              <w:rPr>
                <w:rFonts w:hint="eastAsia" w:ascii="仿宋" w:hAnsi="仿宋" w:eastAsia="仿宋" w:cs="仿宋"/>
                <w:color w:val="auto"/>
                <w:szCs w:val="21"/>
                <w:highlight w:val="none"/>
              </w:rPr>
              <w:t>。否则，响应无效。</w:t>
            </w:r>
          </w:p>
        </w:tc>
      </w:tr>
      <w:tr w14:paraId="5480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326" w:type="pct"/>
            <w:noWrap w:val="0"/>
            <w:vAlign w:val="center"/>
          </w:tcPr>
          <w:p w14:paraId="741874E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9</w:t>
            </w:r>
          </w:p>
        </w:tc>
        <w:tc>
          <w:tcPr>
            <w:tcW w:w="651" w:type="pct"/>
            <w:noWrap w:val="0"/>
            <w:vAlign w:val="center"/>
          </w:tcPr>
          <w:p w14:paraId="5F262751">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63" w:leftChars="-30" w:right="-63" w:rightChars="-3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基本资质</w:t>
            </w:r>
          </w:p>
        </w:tc>
        <w:tc>
          <w:tcPr>
            <w:tcW w:w="1564" w:type="pct"/>
            <w:noWrap w:val="0"/>
            <w:vAlign w:val="center"/>
          </w:tcPr>
          <w:p w14:paraId="61CD82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对</w:t>
            </w:r>
            <w:r>
              <w:rPr>
                <w:rFonts w:hint="eastAsia" w:ascii="仿宋" w:hAnsi="仿宋" w:eastAsia="仿宋" w:cs="仿宋"/>
                <w:color w:val="auto"/>
                <w:kern w:val="0"/>
                <w:szCs w:val="21"/>
                <w:highlight w:val="none"/>
                <w:lang w:eastAsia="zh-CN"/>
              </w:rPr>
              <w:t>投标人</w:t>
            </w:r>
            <w:r>
              <w:rPr>
                <w:rFonts w:hint="eastAsia" w:ascii="仿宋" w:hAnsi="仿宋" w:eastAsia="仿宋" w:cs="仿宋"/>
                <w:color w:val="auto"/>
                <w:kern w:val="0"/>
                <w:szCs w:val="21"/>
                <w:highlight w:val="none"/>
              </w:rPr>
              <w:t>提交的</w:t>
            </w:r>
            <w:r>
              <w:rPr>
                <w:rFonts w:hint="eastAsia" w:ascii="仿宋" w:hAnsi="仿宋" w:eastAsia="仿宋" w:cs="仿宋"/>
                <w:color w:val="auto"/>
                <w:kern w:val="0"/>
                <w:szCs w:val="21"/>
                <w:highlight w:val="none"/>
                <w:lang w:eastAsia="zh-CN"/>
              </w:rPr>
              <w:t>投标保证金</w:t>
            </w:r>
            <w:r>
              <w:rPr>
                <w:rFonts w:hint="eastAsia" w:ascii="仿宋" w:hAnsi="仿宋" w:eastAsia="仿宋" w:cs="仿宋"/>
                <w:color w:val="auto"/>
                <w:kern w:val="0"/>
                <w:szCs w:val="21"/>
                <w:highlight w:val="none"/>
              </w:rPr>
              <w:t>进行审查</w:t>
            </w:r>
          </w:p>
        </w:tc>
        <w:tc>
          <w:tcPr>
            <w:tcW w:w="2458" w:type="pct"/>
            <w:noWrap w:val="0"/>
            <w:vAlign w:val="center"/>
          </w:tcPr>
          <w:p w14:paraId="2CDC21F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w:t>
            </w:r>
            <w:r>
              <w:rPr>
                <w:rFonts w:hint="eastAsia" w:ascii="仿宋" w:hAnsi="仿宋" w:eastAsia="仿宋" w:cs="仿宋"/>
                <w:color w:val="auto"/>
                <w:kern w:val="0"/>
                <w:szCs w:val="21"/>
                <w:highlight w:val="none"/>
                <w:lang w:eastAsia="zh-CN"/>
              </w:rPr>
              <w:t>投标保证金</w:t>
            </w:r>
            <w:r>
              <w:rPr>
                <w:rFonts w:hint="eastAsia" w:ascii="仿宋" w:hAnsi="仿宋" w:eastAsia="仿宋" w:cs="仿宋"/>
                <w:color w:val="auto"/>
                <w:kern w:val="0"/>
                <w:szCs w:val="21"/>
                <w:highlight w:val="none"/>
              </w:rPr>
              <w:t>提交凭据；</w:t>
            </w:r>
          </w:p>
          <w:p w14:paraId="665EB94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eastAsia="zh-CN"/>
              </w:rPr>
              <w:t>投标保证金</w:t>
            </w:r>
            <w:r>
              <w:rPr>
                <w:rFonts w:hint="eastAsia" w:ascii="仿宋" w:hAnsi="仿宋" w:eastAsia="仿宋" w:cs="仿宋"/>
                <w:color w:val="auto"/>
                <w:kern w:val="0"/>
                <w:szCs w:val="21"/>
                <w:highlight w:val="none"/>
              </w:rPr>
              <w:t>须按照</w:t>
            </w:r>
            <w:r>
              <w:rPr>
                <w:rFonts w:hint="eastAsia" w:ascii="仿宋" w:hAnsi="仿宋" w:eastAsia="仿宋" w:cs="仿宋"/>
                <w:color w:val="auto"/>
                <w:kern w:val="0"/>
                <w:szCs w:val="21"/>
                <w:highlight w:val="none"/>
                <w:lang w:eastAsia="zh-CN"/>
              </w:rPr>
              <w:t>招标</w:t>
            </w:r>
            <w:r>
              <w:rPr>
                <w:rFonts w:hint="eastAsia" w:ascii="仿宋" w:hAnsi="仿宋" w:eastAsia="仿宋" w:cs="仿宋"/>
                <w:color w:val="auto"/>
                <w:kern w:val="0"/>
                <w:szCs w:val="21"/>
                <w:highlight w:val="none"/>
              </w:rPr>
              <w:t>文件前附表要求在递交</w:t>
            </w:r>
            <w:r>
              <w:rPr>
                <w:rFonts w:hint="eastAsia" w:ascii="仿宋" w:hAnsi="仿宋" w:eastAsia="仿宋" w:cs="仿宋"/>
                <w:color w:val="auto"/>
                <w:kern w:val="0"/>
                <w:szCs w:val="21"/>
                <w:highlight w:val="none"/>
                <w:lang w:eastAsia="zh-CN"/>
              </w:rPr>
              <w:t>投标</w:t>
            </w:r>
            <w:r>
              <w:rPr>
                <w:rFonts w:hint="eastAsia" w:ascii="仿宋" w:hAnsi="仿宋" w:eastAsia="仿宋" w:cs="仿宋"/>
                <w:color w:val="auto"/>
                <w:kern w:val="0"/>
                <w:szCs w:val="21"/>
                <w:highlight w:val="none"/>
              </w:rPr>
              <w:t>文件截止时间前足额提交</w:t>
            </w:r>
            <w:r>
              <w:rPr>
                <w:rFonts w:hint="eastAsia" w:ascii="仿宋" w:hAnsi="仿宋" w:eastAsia="仿宋" w:cs="仿宋"/>
                <w:color w:val="auto"/>
                <w:kern w:val="0"/>
                <w:szCs w:val="21"/>
                <w:highlight w:val="none"/>
                <w:lang w:eastAsia="zh-CN"/>
              </w:rPr>
              <w:t>并加盖公章</w:t>
            </w:r>
            <w:r>
              <w:rPr>
                <w:rFonts w:hint="eastAsia" w:ascii="仿宋" w:hAnsi="仿宋" w:eastAsia="仿宋" w:cs="仿宋"/>
                <w:color w:val="auto"/>
                <w:szCs w:val="21"/>
                <w:highlight w:val="none"/>
              </w:rPr>
              <w:t>。否则，响应无效。</w:t>
            </w:r>
          </w:p>
        </w:tc>
      </w:tr>
      <w:tr w14:paraId="6396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26" w:type="pct"/>
            <w:noWrap w:val="0"/>
            <w:vAlign w:val="center"/>
          </w:tcPr>
          <w:p w14:paraId="5BB8A95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651" w:type="pct"/>
            <w:noWrap w:val="0"/>
            <w:vAlign w:val="center"/>
          </w:tcPr>
          <w:p w14:paraId="41ABB88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Cs w:val="21"/>
                <w:highlight w:val="none"/>
                <w:lang w:val="en-US" w:eastAsia="zh-CN"/>
              </w:rPr>
              <w:t>特定</w:t>
            </w:r>
            <w:r>
              <w:rPr>
                <w:rFonts w:hint="eastAsia" w:ascii="仿宋" w:hAnsi="仿宋" w:eastAsia="仿宋" w:cs="仿宋"/>
                <w:color w:val="auto"/>
                <w:szCs w:val="21"/>
                <w:highlight w:val="none"/>
              </w:rPr>
              <w:t>资质</w:t>
            </w:r>
          </w:p>
        </w:tc>
        <w:tc>
          <w:tcPr>
            <w:tcW w:w="1564" w:type="pct"/>
            <w:noWrap w:val="0"/>
            <w:vAlign w:val="center"/>
          </w:tcPr>
          <w:p w14:paraId="7EA9BC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投标人须具有市场监督管理部门颁发的特种设备检验检测机构核准证(CG-常规检测)，中国特种设备检验协会特种设备无损检测机构级别评定证书(C级及以上)，辐射安全许可证；拟派项目负责人应为本单位在职注册人员，提供人员社保凭证，须具备Ⅱ级及以上无损检测人员证（持证4年以上，同时具备RT、UT、PT、MT）</w:t>
            </w:r>
          </w:p>
        </w:tc>
        <w:tc>
          <w:tcPr>
            <w:tcW w:w="2458" w:type="pct"/>
            <w:noWrap w:val="0"/>
            <w:vAlign w:val="center"/>
          </w:tcPr>
          <w:p w14:paraId="6456304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特定资格要求证明材料须按招标文件要求提供。</w:t>
            </w:r>
          </w:p>
          <w:p w14:paraId="5B6347F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特定资格要求证明材料须完整、有效。</w:t>
            </w:r>
          </w:p>
          <w:p w14:paraId="4507793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特定资格要求证明材料须按招标文件要求加盖投标人公章。</w:t>
            </w:r>
          </w:p>
          <w:p w14:paraId="1AE4A7F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highlight w:val="none"/>
                <w:lang w:val="en-US" w:eastAsia="zh-CN"/>
              </w:rPr>
            </w:pPr>
            <w:r>
              <w:rPr>
                <w:rFonts w:hint="eastAsia" w:ascii="仿宋" w:hAnsi="仿宋" w:eastAsia="仿宋" w:cs="仿宋"/>
                <w:color w:val="auto"/>
                <w:kern w:val="0"/>
                <w:szCs w:val="21"/>
                <w:highlight w:val="none"/>
                <w:lang w:val="en-US" w:eastAsia="zh-CN"/>
              </w:rPr>
              <w:t>不符合以上要求的或未提供的，响应无效。</w:t>
            </w:r>
          </w:p>
        </w:tc>
      </w:tr>
    </w:tbl>
    <w:p w14:paraId="61FCA0C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说明：</w:t>
      </w:r>
    </w:p>
    <w:p w14:paraId="05FBE44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除上述内容外，投标人提供的其他材料，不作为资格审查的内容。</w:t>
      </w:r>
    </w:p>
    <w:p w14:paraId="2E552CA6">
      <w:pPr>
        <w:pStyle w:val="64"/>
        <w:snapToGrid w:val="0"/>
        <w:spacing w:line="360" w:lineRule="auto"/>
        <w:ind w:firstLine="241" w:firstLineChars="1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二、符合性审查的内容及标准</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lang w:val="en-US" w:eastAsia="zh-CN"/>
        </w:rPr>
        <w:t>各包通用</w:t>
      </w:r>
      <w:r>
        <w:rPr>
          <w:rFonts w:hint="eastAsia" w:ascii="仿宋" w:hAnsi="仿宋" w:eastAsia="仿宋" w:cs="仿宋"/>
          <w:b/>
          <w:color w:val="auto"/>
          <w:kern w:val="0"/>
          <w:sz w:val="24"/>
          <w:highlight w:val="none"/>
          <w:lang w:eastAsia="zh-CN"/>
        </w:rPr>
        <w:t>）</w:t>
      </w:r>
    </w:p>
    <w:tbl>
      <w:tblPr>
        <w:tblStyle w:val="32"/>
        <w:tblW w:w="51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1511"/>
        <w:gridCol w:w="2072"/>
        <w:gridCol w:w="5680"/>
      </w:tblGrid>
      <w:tr w14:paraId="7D1A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 w:type="pct"/>
            <w:vAlign w:val="center"/>
          </w:tcPr>
          <w:p w14:paraId="7F82E9E8">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764" w:type="pct"/>
            <w:vAlign w:val="center"/>
          </w:tcPr>
          <w:p w14:paraId="4ED8DBE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21"/>
                <w:szCs w:val="21"/>
                <w:highlight w:val="none"/>
                <w:lang w:eastAsia="zh-CN"/>
              </w:rPr>
            </w:pPr>
            <w:r>
              <w:rPr>
                <w:rFonts w:hint="eastAsia" w:ascii="仿宋" w:hAnsi="仿宋" w:eastAsia="仿宋" w:cs="仿宋"/>
                <w:b/>
                <w:bCs/>
                <w:color w:val="auto"/>
                <w:kern w:val="0"/>
                <w:sz w:val="21"/>
                <w:szCs w:val="21"/>
                <w:highlight w:val="none"/>
                <w:lang w:eastAsia="zh-CN"/>
              </w:rPr>
              <w:t>类型</w:t>
            </w:r>
          </w:p>
        </w:tc>
        <w:tc>
          <w:tcPr>
            <w:tcW w:w="1048" w:type="pct"/>
            <w:vAlign w:val="center"/>
          </w:tcPr>
          <w:p w14:paraId="05D0AA1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21"/>
                <w:szCs w:val="21"/>
                <w:highlight w:val="none"/>
                <w:lang w:eastAsia="zh-CN"/>
              </w:rPr>
            </w:pPr>
            <w:r>
              <w:rPr>
                <w:rFonts w:hint="eastAsia" w:ascii="仿宋" w:hAnsi="仿宋" w:eastAsia="仿宋" w:cs="仿宋"/>
                <w:b/>
                <w:bCs/>
                <w:color w:val="auto"/>
                <w:kern w:val="0"/>
                <w:sz w:val="21"/>
                <w:szCs w:val="21"/>
                <w:highlight w:val="none"/>
                <w:lang w:eastAsia="zh-CN"/>
              </w:rPr>
              <w:t>要求</w:t>
            </w:r>
          </w:p>
        </w:tc>
        <w:tc>
          <w:tcPr>
            <w:tcW w:w="2873" w:type="pct"/>
            <w:vAlign w:val="center"/>
          </w:tcPr>
          <w:p w14:paraId="2F79464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21"/>
                <w:szCs w:val="21"/>
                <w:highlight w:val="none"/>
                <w:lang w:eastAsia="zh-CN"/>
              </w:rPr>
            </w:pPr>
            <w:r>
              <w:rPr>
                <w:rFonts w:hint="eastAsia" w:ascii="仿宋" w:hAnsi="仿宋" w:eastAsia="仿宋" w:cs="仿宋"/>
                <w:b/>
                <w:bCs/>
                <w:color w:val="auto"/>
                <w:kern w:val="0"/>
                <w:sz w:val="21"/>
                <w:szCs w:val="21"/>
                <w:highlight w:val="none"/>
                <w:lang w:eastAsia="zh-CN"/>
              </w:rPr>
              <w:t>要求说明</w:t>
            </w:r>
          </w:p>
        </w:tc>
      </w:tr>
      <w:tr w14:paraId="0A30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13" w:type="pct"/>
            <w:vAlign w:val="center"/>
          </w:tcPr>
          <w:p w14:paraId="727811F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sz w:val="21"/>
                <w:szCs w:val="21"/>
                <w:highlight w:val="none"/>
              </w:rPr>
              <w:t>1</w:t>
            </w:r>
          </w:p>
        </w:tc>
        <w:tc>
          <w:tcPr>
            <w:tcW w:w="764" w:type="pct"/>
            <w:vAlign w:val="center"/>
          </w:tcPr>
          <w:p w14:paraId="778EDA3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63" w:leftChars="-30" w:right="-63" w:rightChars="-30"/>
              <w:jc w:val="center"/>
              <w:textAlignment w:val="auto"/>
              <w:rPr>
                <w:rStyle w:val="101"/>
                <w:rFonts w:hint="eastAsia" w:ascii="仿宋" w:hAnsi="仿宋" w:eastAsia="仿宋" w:cs="仿宋"/>
                <w:color w:val="auto"/>
                <w:kern w:val="0"/>
                <w:sz w:val="21"/>
                <w:szCs w:val="21"/>
                <w:highlight w:val="none"/>
              </w:rPr>
            </w:pPr>
            <w:r>
              <w:rPr>
                <w:rFonts w:hint="eastAsia" w:ascii="仿宋" w:hAnsi="仿宋" w:eastAsia="仿宋" w:cs="仿宋"/>
                <w:sz w:val="21"/>
                <w:szCs w:val="21"/>
                <w:highlight w:val="none"/>
                <w:lang w:val="en-US" w:eastAsia="zh-CN"/>
              </w:rPr>
              <w:t>商务资信</w:t>
            </w:r>
          </w:p>
        </w:tc>
        <w:tc>
          <w:tcPr>
            <w:tcW w:w="1048" w:type="pct"/>
            <w:vAlign w:val="center"/>
          </w:tcPr>
          <w:p w14:paraId="5B5CF0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101"/>
                <w:rFonts w:hint="eastAsia" w:ascii="仿宋" w:hAnsi="仿宋" w:eastAsia="仿宋" w:cs="仿宋"/>
                <w:color w:val="auto"/>
                <w:kern w:val="0"/>
                <w:sz w:val="21"/>
                <w:szCs w:val="21"/>
                <w:highlight w:val="none"/>
              </w:rPr>
            </w:pPr>
            <w:r>
              <w:rPr>
                <w:rFonts w:hint="eastAsia" w:ascii="仿宋" w:hAnsi="仿宋" w:eastAsia="仿宋" w:cs="仿宋"/>
                <w:color w:val="000000"/>
                <w:sz w:val="21"/>
                <w:szCs w:val="21"/>
                <w:highlight w:val="none"/>
                <w:lang w:val="en-US" w:eastAsia="zh-CN"/>
              </w:rPr>
              <w:t>对投标人提供的法定代表人（负责人）身份证明文件进行审查</w:t>
            </w:r>
          </w:p>
        </w:tc>
        <w:tc>
          <w:tcPr>
            <w:tcW w:w="2873" w:type="pct"/>
            <w:vAlign w:val="center"/>
          </w:tcPr>
          <w:p w14:paraId="13EBD0F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1.1证明文件须按招标文件中提供的格式填写，且内容完整、准确、真实、有效。</w:t>
            </w:r>
          </w:p>
          <w:p w14:paraId="5CBFE14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1.2证明文件须按招标文件要求签字、盖章。</w:t>
            </w:r>
          </w:p>
          <w:p w14:paraId="55F53B4B">
            <w:pPr>
              <w:keepNext w:val="0"/>
              <w:keepLines w:val="0"/>
              <w:pageBreakBefore w:val="0"/>
              <w:widowControl w:val="0"/>
              <w:kinsoku/>
              <w:wordWrap/>
              <w:overflowPunct/>
              <w:topLinePunct w:val="0"/>
              <w:autoSpaceDE/>
              <w:autoSpaceDN/>
              <w:bidi w:val="0"/>
              <w:adjustRightInd/>
              <w:snapToGrid/>
              <w:spacing w:line="240" w:lineRule="auto"/>
              <w:textAlignment w:val="auto"/>
              <w:rPr>
                <w:rStyle w:val="101"/>
                <w:rFonts w:hint="eastAsia" w:ascii="仿宋" w:hAnsi="仿宋" w:eastAsia="仿宋" w:cs="仿宋"/>
                <w:color w:val="auto"/>
                <w:kern w:val="0"/>
                <w:sz w:val="21"/>
                <w:szCs w:val="21"/>
                <w:highlight w:val="none"/>
              </w:rPr>
            </w:pPr>
            <w:r>
              <w:rPr>
                <w:rFonts w:hint="eastAsia" w:ascii="仿宋" w:hAnsi="仿宋" w:eastAsia="仿宋" w:cs="仿宋"/>
                <w:color w:val="000000"/>
                <w:sz w:val="21"/>
                <w:szCs w:val="21"/>
                <w:highlight w:val="none"/>
                <w:lang w:val="en-US" w:eastAsia="zh-CN"/>
              </w:rPr>
              <w:t>1.3</w:t>
            </w:r>
            <w:r>
              <w:rPr>
                <w:rFonts w:hint="eastAsia" w:ascii="仿宋" w:hAnsi="仿宋" w:eastAsia="仿宋" w:cs="仿宋"/>
                <w:sz w:val="21"/>
                <w:szCs w:val="21"/>
                <w:highlight w:val="none"/>
                <w:lang w:val="en-US" w:eastAsia="zh-CN"/>
              </w:rPr>
              <w:t>不符合以上要求的或未提供的</w:t>
            </w:r>
            <w:r>
              <w:rPr>
                <w:rFonts w:hint="eastAsia" w:ascii="仿宋" w:hAnsi="仿宋" w:eastAsia="仿宋" w:cs="仿宋"/>
                <w:color w:val="000000"/>
                <w:sz w:val="21"/>
                <w:szCs w:val="21"/>
                <w:highlight w:val="none"/>
                <w:lang w:val="en-US" w:eastAsia="zh-CN"/>
              </w:rPr>
              <w:t>，响应无效。</w:t>
            </w:r>
          </w:p>
        </w:tc>
      </w:tr>
      <w:tr w14:paraId="55F8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313" w:type="pct"/>
            <w:vAlign w:val="center"/>
          </w:tcPr>
          <w:p w14:paraId="363B838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2</w:t>
            </w:r>
          </w:p>
        </w:tc>
        <w:tc>
          <w:tcPr>
            <w:tcW w:w="764" w:type="pct"/>
            <w:vAlign w:val="center"/>
          </w:tcPr>
          <w:p w14:paraId="43EF3A9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63" w:leftChars="-30" w:right="-63" w:rightChars="-30"/>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sz w:val="21"/>
                <w:szCs w:val="21"/>
                <w:highlight w:val="none"/>
                <w:lang w:val="en-US" w:eastAsia="zh-CN"/>
              </w:rPr>
              <w:t>商务资信</w:t>
            </w:r>
          </w:p>
        </w:tc>
        <w:tc>
          <w:tcPr>
            <w:tcW w:w="1048" w:type="pct"/>
            <w:vAlign w:val="center"/>
          </w:tcPr>
          <w:p w14:paraId="48BEEC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000000"/>
                <w:sz w:val="21"/>
                <w:szCs w:val="21"/>
                <w:highlight w:val="none"/>
                <w:lang w:val="en-US" w:eastAsia="zh-CN"/>
              </w:rPr>
              <w:t>对投标人提供的法定代表人（负责人）授权委托书证明文件进行审查</w:t>
            </w:r>
          </w:p>
        </w:tc>
        <w:tc>
          <w:tcPr>
            <w:tcW w:w="2873" w:type="pct"/>
            <w:vAlign w:val="center"/>
          </w:tcPr>
          <w:p w14:paraId="7BD14A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2.1证明文件须按招标文件中提供的格式填写，且内容完整、准确、真实、有效。</w:t>
            </w:r>
          </w:p>
          <w:p w14:paraId="747B1F6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2.2证明文件须按招标文件要求签字、盖章。</w:t>
            </w:r>
          </w:p>
          <w:p w14:paraId="49C615C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000000"/>
                <w:sz w:val="21"/>
                <w:szCs w:val="21"/>
                <w:highlight w:val="none"/>
                <w:lang w:val="en-US" w:eastAsia="zh-CN"/>
              </w:rPr>
              <w:t>2.3</w:t>
            </w:r>
            <w:r>
              <w:rPr>
                <w:rFonts w:hint="eastAsia" w:ascii="仿宋" w:hAnsi="仿宋" w:eastAsia="仿宋" w:cs="仿宋"/>
                <w:sz w:val="21"/>
                <w:szCs w:val="21"/>
                <w:highlight w:val="none"/>
                <w:lang w:val="en-US" w:eastAsia="zh-CN"/>
              </w:rPr>
              <w:t>不符合以上要求的或未提供的</w:t>
            </w:r>
            <w:r>
              <w:rPr>
                <w:rFonts w:hint="eastAsia" w:ascii="仿宋" w:hAnsi="仿宋" w:eastAsia="仿宋" w:cs="仿宋"/>
                <w:color w:val="000000"/>
                <w:sz w:val="21"/>
                <w:szCs w:val="21"/>
                <w:highlight w:val="none"/>
                <w:lang w:val="en-US" w:eastAsia="zh-CN"/>
              </w:rPr>
              <w:t>，响应无效。</w:t>
            </w:r>
          </w:p>
        </w:tc>
      </w:tr>
      <w:tr w14:paraId="2DA9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13" w:type="pct"/>
            <w:vAlign w:val="center"/>
          </w:tcPr>
          <w:p w14:paraId="08E7327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w:t>
            </w:r>
          </w:p>
        </w:tc>
        <w:tc>
          <w:tcPr>
            <w:tcW w:w="764" w:type="pct"/>
            <w:vAlign w:val="center"/>
          </w:tcPr>
          <w:p w14:paraId="7503021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63" w:leftChars="-30" w:right="-63" w:rightChars="-30"/>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sz w:val="21"/>
                <w:szCs w:val="21"/>
                <w:highlight w:val="none"/>
                <w:lang w:val="en-US" w:eastAsia="zh-CN"/>
              </w:rPr>
              <w:t>商务资信</w:t>
            </w:r>
          </w:p>
        </w:tc>
        <w:tc>
          <w:tcPr>
            <w:tcW w:w="1048" w:type="pct"/>
            <w:vAlign w:val="center"/>
          </w:tcPr>
          <w:p w14:paraId="2BDC5A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000000"/>
                <w:sz w:val="21"/>
                <w:szCs w:val="21"/>
                <w:highlight w:val="none"/>
                <w:lang w:val="en-US" w:eastAsia="zh-CN"/>
              </w:rPr>
              <w:t>对投标人提供的投标函进行审查</w:t>
            </w:r>
          </w:p>
        </w:tc>
        <w:tc>
          <w:tcPr>
            <w:tcW w:w="2873" w:type="pct"/>
            <w:vAlign w:val="center"/>
          </w:tcPr>
          <w:p w14:paraId="7860A6E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3.1投标函须按招标文件中提供的格式填写，且内容完整、准确、真实、有效。</w:t>
            </w:r>
          </w:p>
          <w:p w14:paraId="21896A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3.2投标函须按招标文件要求签字、盖章。</w:t>
            </w:r>
          </w:p>
          <w:p w14:paraId="6888A95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000000"/>
                <w:sz w:val="21"/>
                <w:szCs w:val="21"/>
                <w:highlight w:val="none"/>
                <w:lang w:val="en-US" w:eastAsia="zh-CN"/>
              </w:rPr>
              <w:t>3.3</w:t>
            </w:r>
            <w:r>
              <w:rPr>
                <w:rFonts w:hint="eastAsia" w:ascii="仿宋" w:hAnsi="仿宋" w:eastAsia="仿宋" w:cs="仿宋"/>
                <w:sz w:val="21"/>
                <w:szCs w:val="21"/>
                <w:highlight w:val="none"/>
                <w:lang w:val="en-US" w:eastAsia="zh-CN"/>
              </w:rPr>
              <w:t>不符合以上要求的或未提供的</w:t>
            </w:r>
            <w:r>
              <w:rPr>
                <w:rFonts w:hint="eastAsia" w:ascii="仿宋" w:hAnsi="仿宋" w:eastAsia="仿宋" w:cs="仿宋"/>
                <w:color w:val="000000"/>
                <w:sz w:val="21"/>
                <w:szCs w:val="21"/>
                <w:highlight w:val="none"/>
                <w:lang w:val="en-US" w:eastAsia="zh-CN"/>
              </w:rPr>
              <w:t>，响应无效。</w:t>
            </w:r>
          </w:p>
        </w:tc>
      </w:tr>
      <w:tr w14:paraId="55C6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3" w:type="pct"/>
            <w:vAlign w:val="center"/>
          </w:tcPr>
          <w:p w14:paraId="1CC340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p>
        </w:tc>
        <w:tc>
          <w:tcPr>
            <w:tcW w:w="764" w:type="pct"/>
            <w:vAlign w:val="center"/>
          </w:tcPr>
          <w:p w14:paraId="70F8831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63" w:leftChars="-30" w:right="-63" w:rightChars="-30"/>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sz w:val="21"/>
                <w:szCs w:val="21"/>
                <w:highlight w:val="none"/>
                <w:lang w:val="en-US" w:eastAsia="zh-CN"/>
              </w:rPr>
              <w:t>报价</w:t>
            </w:r>
          </w:p>
        </w:tc>
        <w:tc>
          <w:tcPr>
            <w:tcW w:w="1048" w:type="pct"/>
            <w:vAlign w:val="center"/>
          </w:tcPr>
          <w:p w14:paraId="5619E5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000000"/>
                <w:sz w:val="21"/>
                <w:szCs w:val="21"/>
                <w:highlight w:val="none"/>
                <w:lang w:val="en-US" w:eastAsia="zh-CN"/>
              </w:rPr>
              <w:t>对投标人提供的报价一览表进行审查</w:t>
            </w:r>
          </w:p>
        </w:tc>
        <w:tc>
          <w:tcPr>
            <w:tcW w:w="2873" w:type="pct"/>
            <w:vAlign w:val="center"/>
          </w:tcPr>
          <w:p w14:paraId="1FD6549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4.1报价一览表须按招标文件中提供的格式填写，且内容完整、准确、无漏项、无缺项、无</w:t>
            </w:r>
            <w:r>
              <w:rPr>
                <w:rFonts w:hint="eastAsia" w:ascii="仿宋" w:hAnsi="仿宋" w:eastAsia="仿宋" w:cs="仿宋"/>
                <w:color w:val="000000"/>
                <w:sz w:val="21"/>
                <w:szCs w:val="21"/>
                <w:highlight w:val="none"/>
              </w:rPr>
              <w:t>可选择或可调整报价</w:t>
            </w:r>
            <w:r>
              <w:rPr>
                <w:rFonts w:hint="eastAsia" w:ascii="仿宋" w:hAnsi="仿宋" w:eastAsia="仿宋" w:cs="仿宋"/>
                <w:color w:val="000000"/>
                <w:sz w:val="21"/>
                <w:szCs w:val="21"/>
                <w:highlight w:val="none"/>
                <w:lang w:val="en-US" w:eastAsia="zh-CN"/>
              </w:rPr>
              <w:t>。</w:t>
            </w:r>
          </w:p>
          <w:p w14:paraId="1A97AAB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4.2报价一览表须按招标文件要求签字、盖章。</w:t>
            </w:r>
          </w:p>
          <w:p w14:paraId="448A47B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000000"/>
                <w:sz w:val="21"/>
                <w:szCs w:val="21"/>
                <w:highlight w:val="none"/>
                <w:lang w:val="en-US" w:eastAsia="zh-CN"/>
              </w:rPr>
              <w:t>4.3不符合以上要求的，响应无效。</w:t>
            </w:r>
          </w:p>
        </w:tc>
      </w:tr>
      <w:tr w14:paraId="1A12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313" w:type="pct"/>
            <w:vAlign w:val="center"/>
          </w:tcPr>
          <w:p w14:paraId="203540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5</w:t>
            </w:r>
          </w:p>
        </w:tc>
        <w:tc>
          <w:tcPr>
            <w:tcW w:w="764" w:type="pct"/>
            <w:vAlign w:val="center"/>
          </w:tcPr>
          <w:p w14:paraId="5470747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63" w:leftChars="-30" w:right="-63" w:rightChars="-3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 w:val="21"/>
                <w:szCs w:val="21"/>
                <w:highlight w:val="none"/>
                <w:lang w:val="en-US" w:eastAsia="zh-CN"/>
              </w:rPr>
              <w:t>商务资信</w:t>
            </w:r>
          </w:p>
        </w:tc>
        <w:tc>
          <w:tcPr>
            <w:tcW w:w="1048" w:type="pct"/>
            <w:vAlign w:val="center"/>
          </w:tcPr>
          <w:p w14:paraId="3CBB84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对投标人提供的商务条款响应表的响应情况进行审查</w:t>
            </w:r>
          </w:p>
        </w:tc>
        <w:tc>
          <w:tcPr>
            <w:tcW w:w="2873" w:type="pct"/>
            <w:vAlign w:val="center"/>
          </w:tcPr>
          <w:p w14:paraId="7B174A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5.1响应表须按招标文件中提供的格式填写，且响应内容完整、准确、真实、有效，无空项、漏项。</w:t>
            </w:r>
          </w:p>
          <w:p w14:paraId="0CD062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5.2响应表须按招标文件要求签字、盖章。</w:t>
            </w:r>
          </w:p>
          <w:p w14:paraId="5C05BF9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5.3</w:t>
            </w:r>
            <w:r>
              <w:rPr>
                <w:rFonts w:hint="eastAsia" w:ascii="仿宋" w:hAnsi="仿宋" w:eastAsia="仿宋" w:cs="仿宋"/>
                <w:color w:val="auto"/>
                <w:sz w:val="21"/>
                <w:szCs w:val="21"/>
                <w:highlight w:val="none"/>
              </w:rPr>
              <w:t>对</w:t>
            </w:r>
            <w:r>
              <w:rPr>
                <w:rFonts w:hint="eastAsia" w:ascii="仿宋" w:hAnsi="仿宋" w:eastAsia="仿宋" w:cs="仿宋"/>
                <w:color w:val="auto"/>
                <w:sz w:val="21"/>
                <w:szCs w:val="21"/>
                <w:highlight w:val="none"/>
                <w:lang w:val="en-US" w:eastAsia="zh-CN"/>
              </w:rPr>
              <w:t>招标文件的商务要求全部</w:t>
            </w:r>
            <w:r>
              <w:rPr>
                <w:rFonts w:hint="eastAsia" w:ascii="仿宋" w:hAnsi="仿宋" w:eastAsia="仿宋" w:cs="仿宋"/>
                <w:color w:val="auto"/>
                <w:sz w:val="21"/>
                <w:szCs w:val="21"/>
                <w:highlight w:val="none"/>
              </w:rPr>
              <w:t>做出实质性响应。</w:t>
            </w:r>
          </w:p>
          <w:p w14:paraId="57D582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5.4不符合以上要求的或未提供的，响应无效。</w:t>
            </w:r>
          </w:p>
        </w:tc>
      </w:tr>
      <w:tr w14:paraId="01797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13" w:type="pct"/>
            <w:vAlign w:val="center"/>
          </w:tcPr>
          <w:p w14:paraId="2D97C5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6</w:t>
            </w:r>
          </w:p>
        </w:tc>
        <w:tc>
          <w:tcPr>
            <w:tcW w:w="764" w:type="pct"/>
            <w:vAlign w:val="center"/>
          </w:tcPr>
          <w:p w14:paraId="7F6105F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63" w:leftChars="-30" w:right="-63" w:rightChars="-3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 w:val="21"/>
                <w:szCs w:val="21"/>
                <w:highlight w:val="none"/>
                <w:lang w:val="en-US" w:eastAsia="zh-CN"/>
              </w:rPr>
              <w:t>技术</w:t>
            </w:r>
          </w:p>
        </w:tc>
        <w:tc>
          <w:tcPr>
            <w:tcW w:w="1048" w:type="pct"/>
            <w:vAlign w:val="center"/>
          </w:tcPr>
          <w:p w14:paraId="674B93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对投标人提供的技术规范响应及偏离表的响应情况进行审查</w:t>
            </w:r>
          </w:p>
        </w:tc>
        <w:tc>
          <w:tcPr>
            <w:tcW w:w="2873" w:type="pct"/>
            <w:vAlign w:val="center"/>
          </w:tcPr>
          <w:p w14:paraId="0FC658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6.1技术规范响应及偏离表须按招标文件中提供的格式填写，且响应内容完整、准确、真实、有效，无空项、漏项。</w:t>
            </w:r>
          </w:p>
          <w:p w14:paraId="4E7FC76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6.2技术规范响应及偏离表须按招标文件要求签字、盖章。</w:t>
            </w:r>
          </w:p>
          <w:p w14:paraId="4046BCD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6.3对招标文件第五部分“服务要求”中的内容作出实质性响应。</w:t>
            </w:r>
          </w:p>
          <w:p w14:paraId="7E8713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6.4不符合以上要求的，或负偏离响应内容经评审小组共同认定属重大技术负偏离的，或未提供偏离表的，响应均无效。</w:t>
            </w:r>
          </w:p>
        </w:tc>
      </w:tr>
    </w:tbl>
    <w:p w14:paraId="431BA705">
      <w:pPr>
        <w:pStyle w:val="64"/>
        <w:snapToGrid w:val="0"/>
        <w:spacing w:line="360" w:lineRule="auto"/>
        <w:ind w:left="1080" w:hanging="1080" w:hangingChars="45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50AC8808">
      <w:pPr>
        <w:pStyle w:val="64"/>
        <w:snapToGrid w:val="0"/>
        <w:spacing w:line="360" w:lineRule="auto"/>
        <w:ind w:left="2" w:firstLine="420" w:firstLineChars="175"/>
        <w:jc w:val="left"/>
        <w:rPr>
          <w:rFonts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1.符合性审查的内容，经</w:t>
      </w:r>
      <w:r>
        <w:rPr>
          <w:rFonts w:hint="eastAsia" w:ascii="仿宋" w:hAnsi="仿宋" w:eastAsia="仿宋" w:cs="仿宋"/>
          <w:color w:val="auto"/>
          <w:spacing w:val="0"/>
          <w:sz w:val="24"/>
          <w:szCs w:val="24"/>
          <w:highlight w:val="none"/>
          <w:lang w:eastAsia="zh-CN"/>
        </w:rPr>
        <w:t>评审小组</w:t>
      </w:r>
      <w:r>
        <w:rPr>
          <w:rFonts w:hint="eastAsia" w:ascii="仿宋" w:hAnsi="仿宋" w:eastAsia="仿宋" w:cs="仿宋"/>
          <w:color w:val="auto"/>
          <w:spacing w:val="0"/>
          <w:sz w:val="24"/>
          <w:szCs w:val="24"/>
          <w:highlight w:val="none"/>
        </w:rPr>
        <w:t>共同认定没有做出实质性、符合性响应的，将导致投标无效。</w:t>
      </w:r>
    </w:p>
    <w:p w14:paraId="6E9E2E79">
      <w:pPr>
        <w:pStyle w:val="64"/>
        <w:snapToGrid w:val="0"/>
        <w:spacing w:line="360" w:lineRule="auto"/>
        <w:ind w:left="2" w:firstLine="420" w:firstLineChars="175"/>
        <w:jc w:val="left"/>
        <w:rPr>
          <w:rFonts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2.审查时，对特殊情况的处理</w:t>
      </w:r>
      <w:r>
        <w:rPr>
          <w:rFonts w:hint="eastAsia" w:ascii="仿宋" w:hAnsi="仿宋" w:eastAsia="仿宋" w:cs="仿宋"/>
          <w:color w:val="auto"/>
          <w:spacing w:val="0"/>
          <w:sz w:val="24"/>
          <w:szCs w:val="24"/>
          <w:highlight w:val="none"/>
          <w:lang w:eastAsia="zh-CN"/>
        </w:rPr>
        <w:t>评审小组</w:t>
      </w:r>
      <w:r>
        <w:rPr>
          <w:rFonts w:hint="eastAsia" w:ascii="仿宋" w:hAnsi="仿宋" w:eastAsia="仿宋" w:cs="仿宋"/>
          <w:color w:val="auto"/>
          <w:spacing w:val="0"/>
          <w:sz w:val="24"/>
          <w:szCs w:val="24"/>
          <w:highlight w:val="none"/>
        </w:rPr>
        <w:t>要遵循招标文件第三部分投标人须知第25条规定的原则。</w:t>
      </w:r>
    </w:p>
    <w:p w14:paraId="6AA1A0B3">
      <w:pPr>
        <w:pStyle w:val="64"/>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三、落实政府采购政策性要求的评审内容及标准</w:t>
      </w:r>
      <w:r>
        <w:rPr>
          <w:rFonts w:hint="eastAsia" w:ascii="仿宋" w:hAnsi="仿宋" w:eastAsia="仿宋" w:cs="仿宋"/>
          <w:b/>
          <w:color w:val="auto"/>
          <w:sz w:val="24"/>
          <w:szCs w:val="24"/>
          <w:highlight w:val="none"/>
          <w:lang w:eastAsia="zh-CN"/>
        </w:rPr>
        <w:t>。</w:t>
      </w:r>
    </w:p>
    <w:p w14:paraId="635FFA27">
      <w:pPr>
        <w:pStyle w:val="64"/>
        <w:keepNext w:val="0"/>
        <w:keepLines w:val="0"/>
        <w:pageBreakBefore w:val="0"/>
        <w:kinsoku/>
        <w:wordWrap/>
        <w:overflowPunct/>
        <w:topLinePunct w:val="0"/>
        <w:autoSpaceDE/>
        <w:autoSpaceDN/>
        <w:bidi w:val="0"/>
        <w:adjustRightInd/>
        <w:snapToGrid/>
        <w:spacing w:line="360" w:lineRule="auto"/>
        <w:ind w:left="2" w:firstLine="420" w:firstLineChars="175"/>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3.1</w:t>
      </w:r>
      <w:r>
        <w:rPr>
          <w:rFonts w:hint="default" w:ascii="仿宋" w:hAnsi="仿宋" w:eastAsia="仿宋" w:cs="仿宋"/>
          <w:color w:val="auto"/>
          <w:sz w:val="24"/>
          <w:szCs w:val="24"/>
          <w:highlight w:val="none"/>
        </w:rPr>
        <w:t>依据政府采购的相关规定，如果</w:t>
      </w:r>
      <w:r>
        <w:rPr>
          <w:rFonts w:hint="default" w:ascii="仿宋" w:hAnsi="仿宋" w:eastAsia="仿宋" w:cs="仿宋"/>
          <w:color w:val="auto"/>
          <w:sz w:val="24"/>
          <w:szCs w:val="24"/>
          <w:highlight w:val="none"/>
          <w:lang w:eastAsia="zh-CN"/>
        </w:rPr>
        <w:t>投标人</w:t>
      </w:r>
      <w:r>
        <w:rPr>
          <w:rFonts w:hint="default" w:ascii="仿宋" w:hAnsi="仿宋" w:eastAsia="仿宋" w:cs="仿宋"/>
          <w:color w:val="auto"/>
          <w:sz w:val="24"/>
          <w:szCs w:val="24"/>
          <w:highlight w:val="none"/>
        </w:rPr>
        <w:t>或所提供的货物满足下述要求并经</w:t>
      </w:r>
      <w:r>
        <w:rPr>
          <w:rFonts w:hint="eastAsia" w:ascii="仿宋" w:hAnsi="仿宋" w:eastAsia="仿宋" w:cs="仿宋"/>
          <w:color w:val="auto"/>
          <w:sz w:val="24"/>
          <w:szCs w:val="24"/>
          <w:highlight w:val="none"/>
          <w:lang w:val="en-US" w:eastAsia="zh-CN"/>
        </w:rPr>
        <w:t>评审小组</w:t>
      </w:r>
      <w:r>
        <w:rPr>
          <w:rFonts w:hint="default" w:ascii="仿宋" w:hAnsi="仿宋" w:eastAsia="仿宋" w:cs="仿宋"/>
          <w:color w:val="auto"/>
          <w:sz w:val="24"/>
          <w:szCs w:val="24"/>
          <w:highlight w:val="none"/>
        </w:rPr>
        <w:t>全体成员集体认定通过，予以考虑执行。</w:t>
      </w:r>
    </w:p>
    <w:p w14:paraId="7EBBF20E">
      <w:pPr>
        <w:pStyle w:val="64"/>
        <w:keepNext w:val="0"/>
        <w:keepLines w:val="0"/>
        <w:pageBreakBefore w:val="0"/>
        <w:kinsoku/>
        <w:wordWrap/>
        <w:overflowPunct/>
        <w:topLinePunct w:val="0"/>
        <w:autoSpaceDE/>
        <w:autoSpaceDN/>
        <w:bidi w:val="0"/>
        <w:adjustRightInd/>
        <w:snapToGrid/>
        <w:spacing w:line="360" w:lineRule="auto"/>
        <w:ind w:left="2" w:firstLine="420" w:firstLineChars="175"/>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中小微企业参加本项目：</w:t>
      </w:r>
    </w:p>
    <w:p w14:paraId="1EABC009">
      <w:pPr>
        <w:pStyle w:val="64"/>
        <w:keepNext w:val="0"/>
        <w:keepLines w:val="0"/>
        <w:pageBreakBefore w:val="0"/>
        <w:kinsoku/>
        <w:wordWrap/>
        <w:overflowPunct/>
        <w:topLinePunct w:val="0"/>
        <w:autoSpaceDE/>
        <w:autoSpaceDN/>
        <w:bidi w:val="0"/>
        <w:adjustRightInd/>
        <w:snapToGrid/>
        <w:spacing w:line="360" w:lineRule="auto"/>
        <w:ind w:left="2" w:firstLine="420" w:firstLineChars="175"/>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须按照财政部、工业和信息化部发布</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《关于印发&lt;政府采购促进中小企业发展管理办法&gt;的通知》(财库〔2020〕46号</w:t>
      </w:r>
      <w:r>
        <w:rPr>
          <w:rFonts w:hint="eastAsia" w:ascii="仿宋" w:hAnsi="仿宋" w:eastAsia="仿宋" w:cs="仿宋"/>
          <w:color w:val="auto"/>
          <w:sz w:val="24"/>
          <w:szCs w:val="24"/>
          <w:highlight w:val="none"/>
          <w:lang w:eastAsia="zh-CN"/>
        </w:rPr>
        <w:t>），并依据</w:t>
      </w:r>
      <w:r>
        <w:rPr>
          <w:rFonts w:hint="eastAsia" w:ascii="仿宋" w:hAnsi="仿宋" w:eastAsia="仿宋" w:cs="仿宋"/>
          <w:color w:val="auto"/>
          <w:sz w:val="24"/>
          <w:szCs w:val="24"/>
          <w:highlight w:val="none"/>
        </w:rPr>
        <w:t>工信部联【2011】300号《中小企业划型标准规定》的标准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如实填写《中小企业声明函》</w:t>
      </w:r>
      <w:r>
        <w:rPr>
          <w:rFonts w:hint="eastAsia" w:ascii="仿宋" w:hAnsi="仿宋" w:eastAsia="仿宋" w:cs="仿宋"/>
          <w:color w:val="auto"/>
          <w:sz w:val="24"/>
          <w:szCs w:val="24"/>
          <w:highlight w:val="none"/>
          <w:lang w:eastAsia="zh-CN"/>
        </w:rPr>
        <w:t>。</w:t>
      </w:r>
    </w:p>
    <w:p w14:paraId="0D4F4BAA">
      <w:pPr>
        <w:pStyle w:val="64"/>
        <w:keepNext w:val="0"/>
        <w:keepLines w:val="0"/>
        <w:pageBreakBefore w:val="0"/>
        <w:kinsoku/>
        <w:wordWrap/>
        <w:overflowPunct/>
        <w:topLinePunct w:val="0"/>
        <w:autoSpaceDE/>
        <w:autoSpaceDN/>
        <w:bidi w:val="0"/>
        <w:adjustRightInd/>
        <w:snapToGrid/>
        <w:spacing w:line="360" w:lineRule="auto"/>
        <w:ind w:left="2" w:firstLine="420" w:firstLineChars="175"/>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对于经主管预算单位统筹后未预留份额专门面向中小企业采购的采购项目，以及预留份额项目中的非预留部分采购包，应当对符合《关于印发&lt;政府采购促进中小企业发展管理办法&gt;的通知》(财库〔202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46</w:t>
      </w:r>
      <w:r>
        <w:rPr>
          <w:rFonts w:hint="eastAsia" w:ascii="仿宋" w:hAnsi="仿宋" w:eastAsia="仿宋" w:cs="仿宋"/>
          <w:color w:val="auto"/>
          <w:sz w:val="24"/>
          <w:szCs w:val="24"/>
          <w:highlight w:val="none"/>
        </w:rPr>
        <w:t>号）规定的小微企业报价</w:t>
      </w:r>
      <w:r>
        <w:rPr>
          <w:rFonts w:hint="eastAsia" w:ascii="仿宋" w:hAnsi="仿宋" w:eastAsia="仿宋" w:cs="仿宋"/>
          <w:color w:val="auto"/>
          <w:sz w:val="24"/>
          <w:szCs w:val="24"/>
          <w:highlight w:val="none"/>
          <w:lang w:val="en-US" w:eastAsia="zh-CN"/>
        </w:rPr>
        <w:t>按照《</w:t>
      </w:r>
      <w:r>
        <w:rPr>
          <w:rFonts w:hint="eastAsia" w:ascii="仿宋" w:hAnsi="仿宋" w:eastAsia="仿宋" w:cs="仿宋"/>
          <w:color w:val="auto"/>
          <w:sz w:val="24"/>
          <w:szCs w:val="24"/>
          <w:highlight w:val="none"/>
        </w:rPr>
        <w:t>关于进一步加大政府采购支持中小企业力度的通知</w:t>
      </w:r>
      <w:r>
        <w:rPr>
          <w:rFonts w:hint="eastAsia" w:ascii="仿宋" w:hAnsi="仿宋" w:eastAsia="仿宋" w:cs="仿宋"/>
          <w:color w:val="auto"/>
          <w:sz w:val="24"/>
          <w:szCs w:val="24"/>
          <w:highlight w:val="none"/>
          <w:lang w:eastAsia="zh-CN"/>
        </w:rPr>
        <w:t>》(财库〔202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lang w:eastAsia="zh-CN"/>
        </w:rPr>
        <w:t>号）</w:t>
      </w:r>
      <w:r>
        <w:rPr>
          <w:rFonts w:hint="eastAsia" w:ascii="仿宋" w:hAnsi="仿宋" w:eastAsia="仿宋" w:cs="仿宋"/>
          <w:color w:val="auto"/>
          <w:sz w:val="24"/>
          <w:szCs w:val="24"/>
          <w:highlight w:val="none"/>
        </w:rPr>
        <w:t>给予</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的扣除，用扣除后的价格参加评审。</w:t>
      </w:r>
    </w:p>
    <w:p w14:paraId="2D4F218D">
      <w:pPr>
        <w:pStyle w:val="64"/>
        <w:keepNext w:val="0"/>
        <w:keepLines w:val="0"/>
        <w:pageBreakBefore w:val="0"/>
        <w:kinsoku/>
        <w:wordWrap/>
        <w:overflowPunct/>
        <w:topLinePunct w:val="0"/>
        <w:autoSpaceDE/>
        <w:autoSpaceDN/>
        <w:bidi w:val="0"/>
        <w:adjustRightInd/>
        <w:snapToGrid/>
        <w:spacing w:line="360" w:lineRule="auto"/>
        <w:ind w:left="2" w:firstLine="420" w:firstLineChars="175"/>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残疾人福利单位参加本项目：</w:t>
      </w:r>
    </w:p>
    <w:p w14:paraId="18FBCBC6">
      <w:pPr>
        <w:pStyle w:val="64"/>
        <w:keepNext w:val="0"/>
        <w:keepLines w:val="0"/>
        <w:pageBreakBefore w:val="0"/>
        <w:kinsoku/>
        <w:wordWrap/>
        <w:overflowPunct/>
        <w:topLinePunct w:val="0"/>
        <w:autoSpaceDE/>
        <w:autoSpaceDN/>
        <w:bidi w:val="0"/>
        <w:adjustRightInd/>
        <w:snapToGrid/>
        <w:spacing w:line="360" w:lineRule="auto"/>
        <w:ind w:left="2" w:firstLine="420" w:firstLineChars="175"/>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三部门联合发布关于促进残疾人就业政府采购政策的通知》（财库[2017]141号）第三条规定，在政府采购活动中，残疾人福利性单位视同小型、微型企业，享受预留份额、评审中价格扣除等促进中小企业发展的政府采购政策。报价给予</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的扣除，用扣除后的价格参加评审。</w:t>
      </w:r>
    </w:p>
    <w:p w14:paraId="20092349">
      <w:pPr>
        <w:pStyle w:val="64"/>
        <w:keepNext w:val="0"/>
        <w:keepLines w:val="0"/>
        <w:pageBreakBefore w:val="0"/>
        <w:kinsoku/>
        <w:wordWrap/>
        <w:overflowPunct/>
        <w:topLinePunct w:val="0"/>
        <w:autoSpaceDE/>
        <w:autoSpaceDN/>
        <w:bidi w:val="0"/>
        <w:adjustRightInd/>
        <w:snapToGrid/>
        <w:spacing w:line="360" w:lineRule="auto"/>
        <w:ind w:left="2" w:firstLine="420" w:firstLineChars="175"/>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rPr>
        <w:t>监狱企业参加本项目：</w:t>
      </w:r>
    </w:p>
    <w:p w14:paraId="47C8E32C">
      <w:pPr>
        <w:pStyle w:val="64"/>
        <w:keepNext w:val="0"/>
        <w:keepLines w:val="0"/>
        <w:pageBreakBefore w:val="0"/>
        <w:kinsoku/>
        <w:wordWrap/>
        <w:overflowPunct/>
        <w:topLinePunct w:val="0"/>
        <w:autoSpaceDE/>
        <w:autoSpaceDN/>
        <w:bidi w:val="0"/>
        <w:adjustRightInd/>
        <w:snapToGrid/>
        <w:spacing w:line="360" w:lineRule="auto"/>
        <w:ind w:left="2" w:firstLine="420" w:firstLineChars="175"/>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财政部司法部关于政府采购支持监狱企业发展有关问题的通知》(财库〔2014〕68号)规定，监狱企业视同小型、微型企业，享受预留份额、评审中价格扣除等政府采购促进中小企业发展的政府采购政策。报价给予</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的扣除，用扣除后的价格参加评审。</w:t>
      </w:r>
    </w:p>
    <w:p w14:paraId="17C5C06C">
      <w:pPr>
        <w:pStyle w:val="64"/>
        <w:keepNext w:val="0"/>
        <w:keepLines w:val="0"/>
        <w:pageBreakBefore w:val="0"/>
        <w:kinsoku/>
        <w:wordWrap/>
        <w:overflowPunct/>
        <w:topLinePunct w:val="0"/>
        <w:autoSpaceDE/>
        <w:autoSpaceDN/>
        <w:bidi w:val="0"/>
        <w:adjustRightInd/>
        <w:snapToGrid/>
        <w:spacing w:line="360" w:lineRule="auto"/>
        <w:ind w:left="2" w:firstLine="420" w:firstLineChars="175"/>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联合体参加本项目：</w:t>
      </w:r>
    </w:p>
    <w:p w14:paraId="4E565E01">
      <w:pPr>
        <w:pStyle w:val="64"/>
        <w:keepNext w:val="0"/>
        <w:keepLines w:val="0"/>
        <w:pageBreakBefore w:val="0"/>
        <w:kinsoku/>
        <w:wordWrap/>
        <w:overflowPunct/>
        <w:topLinePunct w:val="0"/>
        <w:autoSpaceDE/>
        <w:autoSpaceDN/>
        <w:bidi w:val="0"/>
        <w:adjustRightInd/>
        <w:snapToGrid/>
        <w:spacing w:line="360" w:lineRule="auto"/>
        <w:ind w:left="2" w:firstLine="420" w:firstLineChars="175"/>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如本项目</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w:t>
      </w:r>
      <w:r>
        <w:rPr>
          <w:rFonts w:hint="eastAsia" w:ascii="仿宋" w:hAnsi="仿宋" w:eastAsia="仿宋" w:cs="仿宋"/>
          <w:color w:val="auto"/>
          <w:sz w:val="24"/>
          <w:szCs w:val="24"/>
          <w:highlight w:val="none"/>
          <w:lang w:val="en-US" w:eastAsia="zh-CN"/>
        </w:rPr>
        <w:t>按照《</w:t>
      </w:r>
      <w:r>
        <w:rPr>
          <w:rFonts w:hint="eastAsia" w:ascii="仿宋" w:hAnsi="仿宋" w:eastAsia="仿宋" w:cs="仿宋"/>
          <w:color w:val="auto"/>
          <w:sz w:val="24"/>
          <w:szCs w:val="24"/>
          <w:highlight w:val="none"/>
        </w:rPr>
        <w:t>关于进一步加大政府采购支持中小企业力度的通知</w:t>
      </w:r>
      <w:r>
        <w:rPr>
          <w:rFonts w:hint="eastAsia" w:ascii="仿宋" w:hAnsi="仿宋" w:eastAsia="仿宋" w:cs="仿宋"/>
          <w:color w:val="auto"/>
          <w:sz w:val="24"/>
          <w:szCs w:val="24"/>
          <w:highlight w:val="none"/>
          <w:lang w:eastAsia="zh-CN"/>
        </w:rPr>
        <w:t>》(财库〔202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lang w:eastAsia="zh-CN"/>
        </w:rPr>
        <w:t>号）</w:t>
      </w:r>
      <w:r>
        <w:rPr>
          <w:rFonts w:hint="eastAsia" w:ascii="仿宋" w:hAnsi="仿宋" w:eastAsia="仿宋" w:cs="仿宋"/>
          <w:color w:val="auto"/>
          <w:sz w:val="24"/>
          <w:szCs w:val="24"/>
          <w:highlight w:val="none"/>
        </w:rPr>
        <w:t>给予</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的扣除，用扣除后的价格参加评审。</w:t>
      </w:r>
    </w:p>
    <w:p w14:paraId="7FACD64D">
      <w:pPr>
        <w:pStyle w:val="64"/>
        <w:keepNext w:val="0"/>
        <w:keepLines w:val="0"/>
        <w:pageBreakBefore w:val="0"/>
        <w:kinsoku/>
        <w:wordWrap/>
        <w:overflowPunct/>
        <w:topLinePunct w:val="0"/>
        <w:autoSpaceDE/>
        <w:autoSpaceDN/>
        <w:bidi w:val="0"/>
        <w:adjustRightInd/>
        <w:snapToGrid/>
        <w:spacing w:line="360" w:lineRule="auto"/>
        <w:ind w:left="2" w:firstLine="420" w:firstLineChars="175"/>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3.6创新产品参加本项目</w:t>
      </w:r>
    </w:p>
    <w:p w14:paraId="4DD38F78">
      <w:pPr>
        <w:pStyle w:val="64"/>
        <w:keepNext w:val="0"/>
        <w:keepLines w:val="0"/>
        <w:pageBreakBefore w:val="0"/>
        <w:kinsoku/>
        <w:wordWrap/>
        <w:overflowPunct/>
        <w:topLinePunct w:val="0"/>
        <w:autoSpaceDE/>
        <w:autoSpaceDN/>
        <w:bidi w:val="0"/>
        <w:adjustRightInd/>
        <w:snapToGrid/>
        <w:spacing w:line="360" w:lineRule="auto"/>
        <w:ind w:left="2" w:firstLine="420" w:firstLineChars="175"/>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根据《政府采购支持创新产品和服务实施细则》（晋财购【2019】19号）第十三条规定，对符合创新要求的货物或服务的</w:t>
      </w:r>
      <w:r>
        <w:rPr>
          <w:rFonts w:hint="eastAsia" w:ascii="仿宋" w:hAnsi="仿宋" w:eastAsia="仿宋" w:cs="仿宋"/>
          <w:color w:val="auto"/>
          <w:sz w:val="24"/>
          <w:szCs w:val="24"/>
          <w:highlight w:val="none"/>
        </w:rPr>
        <w:t>报价给予</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的扣除，用扣除后的价格参加评审。</w:t>
      </w:r>
    </w:p>
    <w:p w14:paraId="63F6B224">
      <w:pPr>
        <w:pStyle w:val="64"/>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四、无效投标的情形</w:t>
      </w:r>
    </w:p>
    <w:p w14:paraId="35D5E96E">
      <w:pPr>
        <w:pStyle w:val="64"/>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未通过资格性、符合性审查的投标文件为无效投标。</w:t>
      </w:r>
    </w:p>
    <w:p w14:paraId="60AB608E">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bCs/>
          <w:color w:val="auto"/>
          <w:kern w:val="0"/>
          <w:sz w:val="24"/>
          <w:highlight w:val="none"/>
        </w:rPr>
      </w:pPr>
      <w:r>
        <w:rPr>
          <w:rFonts w:hint="eastAsia" w:ascii="仿宋" w:hAnsi="仿宋" w:eastAsia="仿宋" w:cs="仿宋"/>
          <w:b/>
          <w:color w:val="auto"/>
          <w:sz w:val="24"/>
          <w:highlight w:val="none"/>
        </w:rPr>
        <w:t>五、</w:t>
      </w:r>
      <w:r>
        <w:rPr>
          <w:rFonts w:hint="eastAsia" w:ascii="仿宋" w:hAnsi="仿宋" w:eastAsia="仿宋" w:cs="仿宋"/>
          <w:b/>
          <w:bCs/>
          <w:color w:val="auto"/>
          <w:kern w:val="0"/>
          <w:sz w:val="24"/>
          <w:highlight w:val="none"/>
        </w:rPr>
        <w:t>评分细则</w:t>
      </w:r>
    </w:p>
    <w:p w14:paraId="74C8631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本次评标采用综合评分法，投标文件满足招标文件全部实质性要求，且按照评分细则的量化指标进行评审（具体评分见综合评分法评分细则），由</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按照得分进行排序，推荐第一名为中标人。若发生得分相同的情况，报价低者排名在前，如果报价也相同，技术部分得分高者排名在前。</w:t>
      </w:r>
    </w:p>
    <w:p w14:paraId="2C19E6ED">
      <w:pP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br w:type="page"/>
      </w:r>
    </w:p>
    <w:p w14:paraId="58E575DD">
      <w:pPr>
        <w:widowControl/>
        <w:snapToGrid w:val="0"/>
        <w:spacing w:line="360" w:lineRule="auto"/>
        <w:ind w:firstLine="482" w:firstLineChars="200"/>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rPr>
        <w:t>综合评分法评分细则</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各包通用</w:t>
      </w:r>
      <w:r>
        <w:rPr>
          <w:rFonts w:hint="eastAsia" w:ascii="仿宋" w:hAnsi="仿宋" w:eastAsia="仿宋" w:cs="仿宋"/>
          <w:b/>
          <w:bCs/>
          <w:color w:val="auto"/>
          <w:kern w:val="0"/>
          <w:sz w:val="24"/>
          <w:szCs w:val="24"/>
          <w:highlight w:val="none"/>
          <w:lang w:eastAsia="zh-CN"/>
        </w:rPr>
        <w:t>）</w:t>
      </w:r>
    </w:p>
    <w:tbl>
      <w:tblPr>
        <w:tblStyle w:val="32"/>
        <w:tblW w:w="10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0"/>
      </w:tblGrid>
      <w:tr w14:paraId="35750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0" w:type="dxa"/>
            <w:tcBorders>
              <w:top w:val="single" w:color="auto" w:sz="4" w:space="0"/>
              <w:left w:val="single" w:color="auto" w:sz="4" w:space="0"/>
              <w:bottom w:val="single" w:color="auto" w:sz="4" w:space="0"/>
              <w:right w:val="single" w:color="auto" w:sz="4" w:space="0"/>
            </w:tcBorders>
            <w:noWrap w:val="0"/>
            <w:vAlign w:val="center"/>
          </w:tcPr>
          <w:p w14:paraId="39F6F40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pacing w:val="6"/>
                <w:sz w:val="21"/>
                <w:szCs w:val="21"/>
                <w:highlight w:val="none"/>
              </w:rPr>
            </w:pPr>
            <w:r>
              <w:rPr>
                <w:rFonts w:hint="eastAsia" w:ascii="仿宋" w:hAnsi="仿宋" w:eastAsia="仿宋" w:cs="仿宋"/>
                <w:b/>
                <w:bCs/>
                <w:spacing w:val="6"/>
                <w:sz w:val="21"/>
                <w:szCs w:val="21"/>
                <w:highlight w:val="none"/>
              </w:rPr>
              <w:t>一、商务部分</w:t>
            </w:r>
            <w:r>
              <w:rPr>
                <w:rFonts w:hint="eastAsia" w:ascii="仿宋" w:hAnsi="仿宋" w:eastAsia="仿宋" w:cs="仿宋"/>
                <w:b/>
                <w:spacing w:val="6"/>
                <w:sz w:val="21"/>
                <w:szCs w:val="21"/>
                <w:highlight w:val="none"/>
              </w:rPr>
              <w:t>（</w:t>
            </w:r>
            <w:r>
              <w:rPr>
                <w:rFonts w:hint="eastAsia" w:ascii="仿宋" w:hAnsi="仿宋" w:eastAsia="仿宋" w:cs="仿宋"/>
                <w:b/>
                <w:spacing w:val="6"/>
                <w:sz w:val="21"/>
                <w:szCs w:val="21"/>
                <w:highlight w:val="none"/>
                <w:lang w:val="en-US" w:eastAsia="zh-CN"/>
              </w:rPr>
              <w:t>40</w:t>
            </w:r>
            <w:r>
              <w:rPr>
                <w:rFonts w:hint="eastAsia" w:ascii="仿宋" w:hAnsi="仿宋" w:eastAsia="仿宋" w:cs="仿宋"/>
                <w:b/>
                <w:spacing w:val="6"/>
                <w:sz w:val="21"/>
                <w:szCs w:val="21"/>
                <w:highlight w:val="none"/>
              </w:rPr>
              <w:t>分）（</w:t>
            </w:r>
            <w:r>
              <w:rPr>
                <w:rFonts w:hint="eastAsia" w:ascii="仿宋" w:hAnsi="仿宋" w:eastAsia="仿宋" w:cs="仿宋"/>
                <w:b/>
                <w:bCs/>
                <w:spacing w:val="6"/>
                <w:sz w:val="21"/>
                <w:szCs w:val="21"/>
                <w:highlight w:val="none"/>
                <w:lang w:eastAsia="zh-CN"/>
              </w:rPr>
              <w:t>评审小组</w:t>
            </w:r>
            <w:r>
              <w:rPr>
                <w:rFonts w:hint="eastAsia" w:ascii="仿宋" w:hAnsi="仿宋" w:eastAsia="仿宋" w:cs="仿宋"/>
                <w:b/>
                <w:bCs/>
                <w:spacing w:val="6"/>
                <w:sz w:val="21"/>
                <w:szCs w:val="21"/>
                <w:highlight w:val="none"/>
              </w:rPr>
              <w:t>共同认定）</w:t>
            </w:r>
          </w:p>
        </w:tc>
      </w:tr>
      <w:tr w14:paraId="726E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10010" w:type="dxa"/>
            <w:tcBorders>
              <w:top w:val="single" w:color="auto" w:sz="4" w:space="0"/>
              <w:left w:val="single" w:color="auto" w:sz="4" w:space="0"/>
              <w:bottom w:val="single" w:color="auto" w:sz="4" w:space="0"/>
              <w:right w:val="single" w:color="auto" w:sz="4" w:space="0"/>
            </w:tcBorders>
            <w:noWrap w:val="0"/>
            <w:vAlign w:val="center"/>
          </w:tcPr>
          <w:p w14:paraId="00552D37">
            <w:pPr>
              <w:snapToGrid w:val="0"/>
              <w:spacing w:line="420" w:lineRule="exact"/>
              <w:rPr>
                <w:rFonts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企业</w:t>
            </w:r>
            <w:r>
              <w:rPr>
                <w:rFonts w:hint="eastAsia" w:ascii="仿宋" w:hAnsi="仿宋" w:eastAsia="仿宋" w:cs="仿宋"/>
                <w:szCs w:val="21"/>
                <w:highlight w:val="none"/>
              </w:rPr>
              <w:t>业绩（</w:t>
            </w:r>
            <w:r>
              <w:rPr>
                <w:rFonts w:hint="eastAsia" w:ascii="仿宋" w:hAnsi="仿宋" w:eastAsia="仿宋" w:cs="仿宋"/>
                <w:szCs w:val="21"/>
                <w:highlight w:val="none"/>
                <w:lang w:val="en-US" w:eastAsia="zh-CN"/>
              </w:rPr>
              <w:t>30</w:t>
            </w:r>
            <w:r>
              <w:rPr>
                <w:rFonts w:hint="eastAsia" w:ascii="仿宋" w:hAnsi="仿宋" w:eastAsia="仿宋" w:cs="仿宋"/>
                <w:szCs w:val="21"/>
                <w:highlight w:val="none"/>
              </w:rPr>
              <w:t>分）</w:t>
            </w:r>
          </w:p>
          <w:p w14:paraId="53F73E6E">
            <w:pPr>
              <w:snapToGrid w:val="0"/>
              <w:spacing w:line="420" w:lineRule="exact"/>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rPr>
              <w:t>类似项目合同是以提供的</w:t>
            </w:r>
            <w:r>
              <w:rPr>
                <w:rFonts w:hint="eastAsia" w:ascii="仿宋" w:hAnsi="仿宋" w:eastAsia="仿宋" w:cs="仿宋"/>
                <w:szCs w:val="21"/>
                <w:highlight w:val="none"/>
                <w:lang w:eastAsia="zh-CN"/>
              </w:rPr>
              <w:t>投标人</w:t>
            </w:r>
            <w:r>
              <w:rPr>
                <w:rFonts w:hint="eastAsia" w:ascii="仿宋" w:hAnsi="仿宋" w:eastAsia="仿宋" w:cs="仿宋"/>
                <w:szCs w:val="21"/>
                <w:highlight w:val="none"/>
              </w:rPr>
              <w:t>自身合同为准，提供</w:t>
            </w:r>
            <w:r>
              <w:rPr>
                <w:rFonts w:hint="eastAsia" w:ascii="仿宋" w:hAnsi="仿宋" w:eastAsia="仿宋" w:cs="仿宋"/>
                <w:szCs w:val="21"/>
                <w:highlight w:val="none"/>
                <w:lang w:eastAsia="zh-CN"/>
              </w:rPr>
              <w:t>投标</w:t>
            </w:r>
            <w:r>
              <w:rPr>
                <w:rFonts w:hint="eastAsia" w:ascii="仿宋" w:hAnsi="仿宋" w:eastAsia="仿宋" w:cs="仿宋"/>
                <w:szCs w:val="21"/>
                <w:highlight w:val="none"/>
              </w:rPr>
              <w:t>截止时间前</w:t>
            </w:r>
            <w:r>
              <w:rPr>
                <w:rFonts w:hint="eastAsia" w:ascii="仿宋" w:hAnsi="仿宋" w:eastAsia="仿宋" w:cs="仿宋"/>
                <w:szCs w:val="21"/>
                <w:highlight w:val="none"/>
                <w:lang w:val="en-US" w:eastAsia="zh-CN"/>
              </w:rPr>
              <w:t>五</w:t>
            </w:r>
            <w:r>
              <w:rPr>
                <w:rFonts w:hint="eastAsia" w:ascii="仿宋" w:hAnsi="仿宋" w:eastAsia="仿宋" w:cs="仿宋"/>
                <w:szCs w:val="21"/>
                <w:highlight w:val="none"/>
              </w:rPr>
              <w:t>年内，与</w:t>
            </w:r>
            <w:r>
              <w:rPr>
                <w:rFonts w:hint="eastAsia" w:ascii="仿宋" w:hAnsi="仿宋" w:eastAsia="仿宋" w:cs="仿宋"/>
                <w:szCs w:val="21"/>
                <w:highlight w:val="none"/>
                <w:lang w:val="en-US" w:eastAsia="zh-CN"/>
              </w:rPr>
              <w:t>客户</w:t>
            </w:r>
            <w:r>
              <w:rPr>
                <w:rFonts w:hint="eastAsia" w:ascii="仿宋" w:hAnsi="仿宋" w:eastAsia="仿宋" w:cs="仿宋"/>
                <w:szCs w:val="21"/>
                <w:highlight w:val="none"/>
              </w:rPr>
              <w:t>签订的合同首页、</w:t>
            </w:r>
            <w:r>
              <w:rPr>
                <w:rFonts w:hint="eastAsia" w:ascii="仿宋" w:hAnsi="仿宋" w:eastAsia="仿宋" w:cs="仿宋"/>
                <w:szCs w:val="21"/>
                <w:highlight w:val="none"/>
                <w:lang w:val="en-US" w:eastAsia="zh-CN"/>
              </w:rPr>
              <w:t>合同服务内容</w:t>
            </w:r>
            <w:r>
              <w:rPr>
                <w:rFonts w:hint="eastAsia" w:ascii="仿宋" w:hAnsi="仿宋" w:eastAsia="仿宋" w:cs="仿宋"/>
                <w:color w:val="FF0000"/>
                <w:szCs w:val="21"/>
                <w:highlight w:val="none"/>
              </w:rPr>
              <w:t>、</w:t>
            </w:r>
            <w:r>
              <w:rPr>
                <w:rFonts w:hint="eastAsia" w:ascii="仿宋" w:hAnsi="仿宋" w:eastAsia="仿宋" w:cs="仿宋"/>
                <w:szCs w:val="21"/>
                <w:highlight w:val="none"/>
              </w:rPr>
              <w:t>签字盖章页作为证明。</w:t>
            </w:r>
            <w:r>
              <w:rPr>
                <w:rFonts w:hint="eastAsia" w:ascii="仿宋" w:hAnsi="仿宋" w:eastAsia="仿宋" w:cs="仿宋"/>
                <w:szCs w:val="21"/>
                <w:highlight w:val="none"/>
                <w:lang w:val="en-US" w:eastAsia="zh-CN"/>
              </w:rPr>
              <w:t xml:space="preserve"> </w:t>
            </w:r>
          </w:p>
          <w:p w14:paraId="44FC25A2">
            <w:pPr>
              <w:snapToGrid w:val="0"/>
              <w:spacing w:line="420" w:lineRule="exact"/>
              <w:ind w:firstLine="420" w:firstLineChars="200"/>
              <w:rPr>
                <w:rFonts w:hint="default" w:ascii="仿宋" w:hAnsi="仿宋" w:eastAsia="仿宋" w:cs="仿宋"/>
                <w:sz w:val="21"/>
                <w:szCs w:val="21"/>
                <w:highlight w:val="none"/>
                <w:lang w:val="en-US" w:eastAsia="zh-CN"/>
              </w:rPr>
            </w:pPr>
            <w:r>
              <w:rPr>
                <w:rFonts w:hint="eastAsia" w:ascii="仿宋" w:hAnsi="仿宋" w:eastAsia="仿宋" w:cs="仿宋"/>
                <w:szCs w:val="21"/>
                <w:highlight w:val="none"/>
              </w:rPr>
              <w:t>每提供一个在投标截止日期</w:t>
            </w:r>
            <w:r>
              <w:rPr>
                <w:rFonts w:hint="eastAsia" w:ascii="仿宋" w:hAnsi="仿宋" w:eastAsia="仿宋" w:cs="仿宋"/>
                <w:szCs w:val="21"/>
                <w:highlight w:val="none"/>
                <w:lang w:val="en-US" w:eastAsia="zh-CN"/>
              </w:rPr>
              <w:t>前五</w:t>
            </w:r>
            <w:r>
              <w:rPr>
                <w:rFonts w:hint="eastAsia" w:ascii="仿宋" w:hAnsi="仿宋" w:eastAsia="仿宋" w:cs="仿宋"/>
                <w:szCs w:val="21"/>
                <w:highlight w:val="none"/>
              </w:rPr>
              <w:t>年内签署的</w:t>
            </w:r>
            <w:r>
              <w:rPr>
                <w:rFonts w:hint="default" w:ascii="仿宋" w:hAnsi="仿宋" w:eastAsia="仿宋" w:cs="仿宋"/>
                <w:szCs w:val="21"/>
                <w:highlight w:val="none"/>
                <w:lang w:val="en"/>
              </w:rPr>
              <w:t>类似</w:t>
            </w:r>
            <w:r>
              <w:rPr>
                <w:rFonts w:hint="eastAsia" w:ascii="仿宋" w:hAnsi="仿宋" w:eastAsia="仿宋" w:cs="仿宋"/>
                <w:szCs w:val="21"/>
                <w:highlight w:val="none"/>
              </w:rPr>
              <w:t>合同</w:t>
            </w:r>
            <w:r>
              <w:rPr>
                <w:rFonts w:hint="eastAsia" w:ascii="仿宋" w:hAnsi="仿宋" w:eastAsia="仿宋" w:cs="仿宋"/>
                <w:szCs w:val="21"/>
                <w:highlight w:val="none"/>
                <w:lang w:val="en-US" w:eastAsia="zh-CN"/>
              </w:rPr>
              <w:t>得5</w:t>
            </w:r>
            <w:r>
              <w:rPr>
                <w:rFonts w:hint="eastAsia" w:ascii="仿宋" w:hAnsi="仿宋" w:eastAsia="仿宋" w:cs="仿宋"/>
                <w:szCs w:val="21"/>
                <w:highlight w:val="none"/>
              </w:rPr>
              <w:t>分，最高得分为</w:t>
            </w:r>
            <w:r>
              <w:rPr>
                <w:rFonts w:hint="eastAsia" w:ascii="仿宋" w:hAnsi="仿宋" w:eastAsia="仿宋" w:cs="仿宋"/>
                <w:szCs w:val="21"/>
                <w:highlight w:val="none"/>
                <w:lang w:val="en-US" w:eastAsia="zh-CN"/>
              </w:rPr>
              <w:t>30</w:t>
            </w:r>
            <w:r>
              <w:rPr>
                <w:rFonts w:hint="eastAsia" w:ascii="仿宋" w:hAnsi="仿宋" w:eastAsia="仿宋" w:cs="仿宋"/>
                <w:szCs w:val="21"/>
                <w:highlight w:val="none"/>
              </w:rPr>
              <w:t>分。</w:t>
            </w:r>
            <w:r>
              <w:rPr>
                <w:rFonts w:hint="eastAsia" w:ascii="仿宋" w:hAnsi="仿宋" w:eastAsia="仿宋" w:cs="仿宋"/>
                <w:b/>
                <w:bCs/>
                <w:szCs w:val="21"/>
                <w:highlight w:val="none"/>
                <w:lang w:val="en-US" w:eastAsia="zh-CN"/>
              </w:rPr>
              <w:t>类似项目包括无损检测类项目</w:t>
            </w:r>
            <w:r>
              <w:rPr>
                <w:rFonts w:hint="eastAsia" w:ascii="仿宋" w:hAnsi="仿宋" w:eastAsia="仿宋" w:cs="仿宋"/>
                <w:szCs w:val="21"/>
                <w:highlight w:val="none"/>
                <w:lang w:val="en-US" w:eastAsia="zh-CN"/>
              </w:rPr>
              <w:t xml:space="preserve">。  </w:t>
            </w:r>
          </w:p>
        </w:tc>
      </w:tr>
      <w:tr w14:paraId="3459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0010" w:type="dxa"/>
            <w:tcBorders>
              <w:top w:val="single" w:color="auto" w:sz="4" w:space="0"/>
              <w:left w:val="single" w:color="auto" w:sz="4" w:space="0"/>
              <w:bottom w:val="single" w:color="auto" w:sz="4" w:space="0"/>
              <w:right w:val="single" w:color="auto" w:sz="4" w:space="0"/>
            </w:tcBorders>
            <w:noWrap w:val="0"/>
            <w:vAlign w:val="center"/>
          </w:tcPr>
          <w:p w14:paraId="619F9856">
            <w:pPr>
              <w:snapToGrid w:val="0"/>
              <w:spacing w:line="420" w:lineRule="exact"/>
              <w:rPr>
                <w:rFonts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项目组成员</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分）</w:t>
            </w:r>
          </w:p>
          <w:p w14:paraId="11A47B07">
            <w:pPr>
              <w:snapToGrid w:val="0"/>
              <w:spacing w:line="420" w:lineRule="exact"/>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 xml:space="preserve">  拟投入本项目的人员（除项目负责人外），每有一人具有无损检测Ⅱ级及以上（Ut或Rt）资格得1分，最高得10分。</w:t>
            </w:r>
          </w:p>
        </w:tc>
      </w:tr>
      <w:tr w14:paraId="1744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0" w:type="dxa"/>
            <w:tcBorders>
              <w:top w:val="single" w:color="auto" w:sz="4" w:space="0"/>
              <w:left w:val="single" w:color="auto" w:sz="4" w:space="0"/>
              <w:bottom w:val="single" w:color="auto" w:sz="4" w:space="0"/>
              <w:right w:val="single" w:color="auto" w:sz="4" w:space="0"/>
            </w:tcBorders>
            <w:noWrap w:val="0"/>
            <w:vAlign w:val="center"/>
          </w:tcPr>
          <w:p w14:paraId="1B24F40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lang w:eastAsia="zh-CN"/>
              </w:rPr>
              <w:t>二</w:t>
            </w:r>
            <w:r>
              <w:rPr>
                <w:rFonts w:hint="eastAsia" w:ascii="仿宋" w:hAnsi="仿宋" w:eastAsia="仿宋" w:cs="仿宋"/>
                <w:b/>
                <w:bCs/>
                <w:spacing w:val="6"/>
                <w:sz w:val="21"/>
                <w:szCs w:val="21"/>
                <w:highlight w:val="none"/>
              </w:rPr>
              <w:t>、</w:t>
            </w:r>
            <w:r>
              <w:rPr>
                <w:rFonts w:hint="eastAsia" w:ascii="仿宋" w:hAnsi="仿宋" w:eastAsia="仿宋" w:cs="仿宋"/>
                <w:b/>
                <w:bCs/>
                <w:spacing w:val="6"/>
                <w:sz w:val="21"/>
                <w:szCs w:val="21"/>
                <w:highlight w:val="none"/>
                <w:lang w:eastAsia="zh-CN"/>
              </w:rPr>
              <w:t>技术部分</w:t>
            </w:r>
            <w:r>
              <w:rPr>
                <w:rFonts w:hint="eastAsia" w:ascii="仿宋" w:hAnsi="仿宋" w:eastAsia="仿宋" w:cs="仿宋"/>
                <w:b/>
                <w:bCs/>
                <w:spacing w:val="6"/>
                <w:sz w:val="21"/>
                <w:szCs w:val="21"/>
                <w:highlight w:val="none"/>
              </w:rPr>
              <w:t>（</w:t>
            </w:r>
            <w:r>
              <w:rPr>
                <w:rFonts w:hint="eastAsia" w:ascii="仿宋" w:hAnsi="仿宋" w:eastAsia="仿宋" w:cs="仿宋"/>
                <w:b/>
                <w:bCs/>
                <w:spacing w:val="6"/>
                <w:sz w:val="21"/>
                <w:szCs w:val="21"/>
                <w:highlight w:val="none"/>
                <w:lang w:val="en-US" w:eastAsia="zh-CN"/>
              </w:rPr>
              <w:t>50</w:t>
            </w:r>
            <w:r>
              <w:rPr>
                <w:rFonts w:hint="eastAsia" w:ascii="仿宋" w:hAnsi="仿宋" w:eastAsia="仿宋" w:cs="仿宋"/>
                <w:b/>
                <w:bCs/>
                <w:spacing w:val="6"/>
                <w:sz w:val="21"/>
                <w:szCs w:val="21"/>
                <w:highlight w:val="none"/>
              </w:rPr>
              <w:t>分)</w:t>
            </w:r>
          </w:p>
        </w:tc>
      </w:tr>
      <w:tr w14:paraId="4F56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10010" w:type="dxa"/>
            <w:tcBorders>
              <w:top w:val="single" w:color="auto" w:sz="4" w:space="0"/>
              <w:left w:val="single" w:color="auto" w:sz="4" w:space="0"/>
              <w:bottom w:val="single" w:color="auto" w:sz="4" w:space="0"/>
              <w:right w:val="single" w:color="auto" w:sz="4" w:space="0"/>
            </w:tcBorders>
            <w:noWrap w:val="0"/>
            <w:vAlign w:val="center"/>
          </w:tcPr>
          <w:p w14:paraId="1927D909">
            <w:pPr>
              <w:numPr>
                <w:ilvl w:val="0"/>
                <w:numId w:val="0"/>
              </w:numPr>
              <w:snapToGrid w:val="0"/>
              <w:spacing w:line="360" w:lineRule="auto"/>
              <w:rPr>
                <w:rFonts w:hint="eastAsia" w:ascii="仿宋" w:hAnsi="仿宋" w:eastAsia="仿宋" w:cs="仿宋"/>
                <w:szCs w:val="21"/>
                <w:highlight w:val="none"/>
                <w:lang w:val="en-US" w:eastAsia="zh-CN"/>
              </w:rPr>
            </w:pPr>
            <w:r>
              <w:rPr>
                <w:rFonts w:hint="eastAsia" w:ascii="仿宋" w:hAnsi="仿宋" w:eastAsia="仿宋" w:cs="仿宋"/>
                <w:kern w:val="2"/>
                <w:sz w:val="21"/>
                <w:szCs w:val="21"/>
                <w:highlight w:val="none"/>
                <w:lang w:val="en-US" w:eastAsia="zh-CN" w:bidi="ar-SA"/>
              </w:rPr>
              <w:t>1、</w:t>
            </w:r>
            <w:r>
              <w:rPr>
                <w:rFonts w:hint="eastAsia" w:ascii="仿宋" w:hAnsi="仿宋" w:eastAsia="仿宋" w:cs="仿宋"/>
                <w:szCs w:val="21"/>
                <w:highlight w:val="none"/>
                <w:lang w:val="en-US" w:eastAsia="zh-CN"/>
              </w:rPr>
              <w:t>检测方案（10分）</w:t>
            </w:r>
          </w:p>
          <w:p w14:paraId="095707FD">
            <w:pPr>
              <w:widowControl/>
              <w:wordWrap w:val="0"/>
              <w:topLinePunct/>
              <w:adjustRightInd w:val="0"/>
              <w:spacing w:line="360" w:lineRule="auto"/>
              <w:ind w:firstLine="420" w:firstLineChars="200"/>
              <w:jc w:val="left"/>
              <w:outlineLvl w:val="3"/>
              <w:rPr>
                <w:rFonts w:hint="eastAsia" w:ascii="仿宋" w:hAnsi="仿宋" w:eastAsia="仿宋" w:cs="仿宋"/>
                <w:highlight w:val="none"/>
                <w:lang w:val="en-US" w:eastAsia="zh-CN"/>
              </w:rPr>
            </w:pPr>
            <w:r>
              <w:rPr>
                <w:rFonts w:hint="eastAsia" w:ascii="仿宋" w:hAnsi="仿宋" w:eastAsia="仿宋" w:cs="仿宋"/>
                <w:highlight w:val="none"/>
                <w:lang w:val="en-US" w:eastAsia="zh-CN"/>
              </w:rPr>
              <w:t>对投标人投标文件所阐述的</w:t>
            </w:r>
            <w:r>
              <w:rPr>
                <w:rFonts w:hint="eastAsia" w:ascii="仿宋" w:hAnsi="仿宋" w:eastAsia="仿宋" w:cs="仿宋"/>
                <w:szCs w:val="21"/>
                <w:highlight w:val="none"/>
                <w:lang w:val="en-US" w:eastAsia="zh-CN"/>
              </w:rPr>
              <w:t>检测方案</w:t>
            </w:r>
            <w:r>
              <w:rPr>
                <w:rFonts w:hint="eastAsia" w:ascii="仿宋" w:hAnsi="仿宋" w:eastAsia="仿宋" w:cs="仿宋"/>
                <w:highlight w:val="none"/>
                <w:lang w:val="en-US" w:eastAsia="zh-CN"/>
              </w:rPr>
              <w:t>内容完善情况、结构清晰程度、实现思路、实施周期等内容进行综合评定。</w:t>
            </w:r>
          </w:p>
          <w:p w14:paraId="3C94A152">
            <w:pPr>
              <w:snapToGrid w:val="0"/>
              <w:spacing w:line="420" w:lineRule="exact"/>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①方案全面合理、针对性强、具有实际可操作性得10分；</w:t>
            </w:r>
          </w:p>
          <w:p w14:paraId="36E4F32D">
            <w:pPr>
              <w:snapToGrid w:val="0"/>
              <w:spacing w:line="420" w:lineRule="exact"/>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②方案较全面合理、针对性较强、可行性较强得7分；</w:t>
            </w:r>
          </w:p>
          <w:p w14:paraId="2A0735C4">
            <w:pPr>
              <w:snapToGrid w:val="0"/>
              <w:spacing w:line="420" w:lineRule="exact"/>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③方案基本合理、针对性较弱、可行性一般得4分；</w:t>
            </w:r>
          </w:p>
          <w:p w14:paraId="6235C24A">
            <w:pPr>
              <w:snapToGrid w:val="0"/>
              <w:spacing w:line="420" w:lineRule="exact"/>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④方案较差、针对性弱、可行性差得2分。</w:t>
            </w:r>
          </w:p>
          <w:p w14:paraId="08E80A2D">
            <w:pPr>
              <w:snapToGrid w:val="0"/>
              <w:spacing w:line="420" w:lineRule="exact"/>
              <w:ind w:firstLine="420" w:firstLineChars="200"/>
              <w:rPr>
                <w:rFonts w:hint="default" w:eastAsia="仿宋"/>
                <w:highlight w:val="none"/>
                <w:lang w:val="en-US" w:eastAsia="zh-CN"/>
              </w:rPr>
            </w:pPr>
            <w:r>
              <w:rPr>
                <w:rFonts w:hint="eastAsia" w:ascii="仿宋" w:hAnsi="仿宋" w:eastAsia="仿宋" w:cs="仿宋"/>
                <w:szCs w:val="21"/>
                <w:highlight w:val="none"/>
                <w:lang w:val="en-US" w:eastAsia="zh-CN"/>
              </w:rPr>
              <w:t xml:space="preserve">⑤不提供不得分  </w:t>
            </w:r>
            <w:r>
              <w:rPr>
                <w:rFonts w:hint="eastAsia" w:ascii="仿宋" w:hAnsi="仿宋" w:eastAsia="仿宋" w:cs="仿宋"/>
                <w:bCs/>
                <w:color w:val="FF0000"/>
                <w:kern w:val="0"/>
                <w:sz w:val="21"/>
                <w:szCs w:val="21"/>
                <w:highlight w:val="none"/>
                <w:lang w:val="en-US" w:eastAsia="zh-CN"/>
              </w:rPr>
              <w:t xml:space="preserve"> </w:t>
            </w:r>
          </w:p>
        </w:tc>
      </w:tr>
      <w:tr w14:paraId="3587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10010" w:type="dxa"/>
            <w:tcBorders>
              <w:top w:val="single" w:color="auto" w:sz="4" w:space="0"/>
              <w:left w:val="single" w:color="auto" w:sz="4" w:space="0"/>
              <w:bottom w:val="single" w:color="auto" w:sz="4" w:space="0"/>
              <w:right w:val="single" w:color="auto" w:sz="4" w:space="0"/>
            </w:tcBorders>
            <w:noWrap w:val="0"/>
            <w:vAlign w:val="center"/>
          </w:tcPr>
          <w:p w14:paraId="1EFBFC4C">
            <w:pPr>
              <w:numPr>
                <w:ilvl w:val="0"/>
                <w:numId w:val="0"/>
              </w:numPr>
              <w:spacing w:line="360" w:lineRule="auto"/>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2、检测质量保证措施（</w:t>
            </w:r>
            <w:r>
              <w:rPr>
                <w:rFonts w:hint="eastAsia" w:ascii="仿宋" w:hAnsi="仿宋" w:eastAsia="仿宋" w:cs="仿宋"/>
                <w:kern w:val="2"/>
                <w:sz w:val="21"/>
                <w:szCs w:val="21"/>
                <w:highlight w:val="none"/>
                <w:lang w:val="en-US" w:eastAsia="zh-CN" w:bidi="ar-SA"/>
              </w:rPr>
              <w:t>10分</w:t>
            </w:r>
            <w:r>
              <w:rPr>
                <w:rFonts w:hint="eastAsia" w:ascii="仿宋" w:hAnsi="仿宋" w:eastAsia="仿宋" w:cs="仿宋"/>
                <w:szCs w:val="21"/>
                <w:highlight w:val="none"/>
                <w:lang w:val="en-US" w:eastAsia="zh-CN"/>
              </w:rPr>
              <w:t>）</w:t>
            </w:r>
          </w:p>
          <w:p w14:paraId="1924A50B">
            <w:pPr>
              <w:spacing w:line="360" w:lineRule="auto"/>
              <w:ind w:firstLine="420" w:firstLineChars="200"/>
              <w:rPr>
                <w:rFonts w:hint="eastAsia" w:ascii="仿宋" w:hAnsi="仿宋" w:eastAsia="仿宋" w:cs="仿宋"/>
                <w:bCs/>
                <w:kern w:val="0"/>
                <w:sz w:val="21"/>
                <w:szCs w:val="21"/>
                <w:highlight w:val="none"/>
                <w:lang w:val="en-US" w:eastAsia="zh-CN"/>
              </w:rPr>
            </w:pPr>
            <w:r>
              <w:rPr>
                <w:rFonts w:hint="eastAsia" w:ascii="仿宋" w:hAnsi="仿宋" w:eastAsia="仿宋" w:cs="仿宋"/>
                <w:highlight w:val="none"/>
                <w:lang w:val="en-US" w:eastAsia="zh-CN"/>
              </w:rPr>
              <w:t>对投标人</w:t>
            </w:r>
            <w:r>
              <w:rPr>
                <w:rFonts w:hint="eastAsia" w:ascii="仿宋" w:hAnsi="仿宋" w:eastAsia="仿宋" w:cs="仿宋"/>
                <w:bCs/>
                <w:kern w:val="0"/>
                <w:sz w:val="21"/>
                <w:szCs w:val="21"/>
                <w:highlight w:val="none"/>
                <w:lang w:val="en-US" w:eastAsia="zh-CN"/>
              </w:rPr>
              <w:t>提供的</w:t>
            </w:r>
            <w:r>
              <w:rPr>
                <w:rFonts w:hint="eastAsia" w:ascii="仿宋" w:hAnsi="仿宋" w:eastAsia="仿宋" w:cs="仿宋"/>
                <w:szCs w:val="21"/>
                <w:highlight w:val="none"/>
                <w:lang w:val="en-US" w:eastAsia="zh-CN"/>
              </w:rPr>
              <w:t>检测</w:t>
            </w:r>
            <w:r>
              <w:rPr>
                <w:rFonts w:hint="eastAsia" w:ascii="仿宋" w:hAnsi="仿宋" w:eastAsia="仿宋" w:cs="仿宋"/>
                <w:bCs/>
                <w:kern w:val="0"/>
                <w:sz w:val="21"/>
                <w:szCs w:val="21"/>
                <w:highlight w:val="none"/>
                <w:lang w:eastAsia="zh-CN"/>
              </w:rPr>
              <w:t>质量保证措施</w:t>
            </w:r>
            <w:r>
              <w:rPr>
                <w:rFonts w:hint="eastAsia" w:ascii="仿宋" w:hAnsi="仿宋" w:eastAsia="仿宋" w:cs="仿宋"/>
                <w:bCs/>
                <w:kern w:val="0"/>
                <w:sz w:val="21"/>
                <w:szCs w:val="21"/>
                <w:highlight w:val="none"/>
                <w:lang w:val="en-US" w:eastAsia="zh-CN"/>
              </w:rPr>
              <w:t>（其中包括但不限于质量目标、质量控制、组织流程等）内容进行综合评价。</w:t>
            </w:r>
          </w:p>
          <w:p w14:paraId="460F282F">
            <w:pPr>
              <w:snapToGrid w:val="0"/>
              <w:spacing w:line="420" w:lineRule="exact"/>
              <w:ind w:firstLine="420" w:firstLineChars="200"/>
              <w:rPr>
                <w:rFonts w:hint="default" w:ascii="仿宋" w:hAnsi="仿宋" w:eastAsia="仿宋" w:cs="仿宋"/>
                <w:szCs w:val="21"/>
                <w:highlight w:val="none"/>
                <w:lang w:val="en-US" w:eastAsia="zh-CN"/>
              </w:rPr>
            </w:pPr>
            <w:r>
              <w:rPr>
                <w:rFonts w:hint="default" w:ascii="仿宋" w:hAnsi="仿宋" w:eastAsia="仿宋" w:cs="仿宋"/>
                <w:szCs w:val="21"/>
                <w:highlight w:val="none"/>
                <w:lang w:val="en-US" w:eastAsia="zh-CN"/>
              </w:rPr>
              <w:t>①项目质量保证措施完善、科学、合理得</w:t>
            </w:r>
            <w:r>
              <w:rPr>
                <w:rFonts w:hint="eastAsia" w:ascii="仿宋" w:hAnsi="仿宋" w:eastAsia="仿宋" w:cs="仿宋"/>
                <w:szCs w:val="21"/>
                <w:highlight w:val="none"/>
                <w:lang w:val="en-US" w:eastAsia="zh-CN"/>
              </w:rPr>
              <w:t>10</w:t>
            </w:r>
            <w:r>
              <w:rPr>
                <w:rFonts w:hint="default" w:ascii="仿宋" w:hAnsi="仿宋" w:eastAsia="仿宋" w:cs="仿宋"/>
                <w:szCs w:val="21"/>
                <w:highlight w:val="none"/>
                <w:lang w:val="en-US" w:eastAsia="zh-CN"/>
              </w:rPr>
              <w:t>分；</w:t>
            </w:r>
          </w:p>
          <w:p w14:paraId="22A7779B">
            <w:pPr>
              <w:snapToGrid w:val="0"/>
              <w:spacing w:line="420" w:lineRule="exact"/>
              <w:ind w:firstLine="420" w:firstLineChars="200"/>
              <w:rPr>
                <w:rFonts w:hint="default" w:ascii="仿宋" w:hAnsi="仿宋" w:eastAsia="仿宋" w:cs="仿宋"/>
                <w:szCs w:val="21"/>
                <w:highlight w:val="none"/>
                <w:lang w:val="en-US" w:eastAsia="zh-CN"/>
              </w:rPr>
            </w:pPr>
            <w:r>
              <w:rPr>
                <w:rFonts w:hint="default" w:ascii="仿宋" w:hAnsi="仿宋" w:eastAsia="仿宋" w:cs="仿宋"/>
                <w:szCs w:val="21"/>
                <w:highlight w:val="none"/>
                <w:lang w:val="en-US" w:eastAsia="zh-CN"/>
              </w:rPr>
              <w:t>②项目质量保证措施较完善、较科学、较合理得</w:t>
            </w:r>
            <w:r>
              <w:rPr>
                <w:rFonts w:hint="eastAsia" w:ascii="仿宋" w:hAnsi="仿宋" w:eastAsia="仿宋" w:cs="仿宋"/>
                <w:szCs w:val="21"/>
                <w:highlight w:val="none"/>
                <w:lang w:val="en-US" w:eastAsia="zh-CN"/>
              </w:rPr>
              <w:t>7</w:t>
            </w:r>
            <w:r>
              <w:rPr>
                <w:rFonts w:hint="default" w:ascii="仿宋" w:hAnsi="仿宋" w:eastAsia="仿宋" w:cs="仿宋"/>
                <w:szCs w:val="21"/>
                <w:highlight w:val="none"/>
                <w:lang w:val="en-US" w:eastAsia="zh-CN"/>
              </w:rPr>
              <w:t>分；</w:t>
            </w:r>
          </w:p>
          <w:p w14:paraId="227F530E">
            <w:pPr>
              <w:snapToGrid w:val="0"/>
              <w:spacing w:line="420" w:lineRule="exact"/>
              <w:ind w:firstLine="420" w:firstLineChars="200"/>
              <w:rPr>
                <w:rFonts w:hint="default" w:ascii="仿宋" w:hAnsi="仿宋" w:eastAsia="仿宋" w:cs="仿宋"/>
                <w:szCs w:val="21"/>
                <w:highlight w:val="none"/>
                <w:lang w:val="en-US" w:eastAsia="zh-CN"/>
              </w:rPr>
            </w:pPr>
            <w:r>
              <w:rPr>
                <w:rFonts w:hint="default" w:ascii="仿宋" w:hAnsi="仿宋" w:eastAsia="仿宋" w:cs="仿宋"/>
                <w:szCs w:val="21"/>
                <w:highlight w:val="none"/>
                <w:lang w:val="en-US" w:eastAsia="zh-CN"/>
              </w:rPr>
              <w:t>③项目质量保证措施基本合理得</w:t>
            </w:r>
            <w:r>
              <w:rPr>
                <w:rFonts w:hint="eastAsia" w:ascii="仿宋" w:hAnsi="仿宋" w:eastAsia="仿宋" w:cs="仿宋"/>
                <w:szCs w:val="21"/>
                <w:highlight w:val="none"/>
                <w:lang w:val="en-US" w:eastAsia="zh-CN"/>
              </w:rPr>
              <w:t>4</w:t>
            </w:r>
            <w:r>
              <w:rPr>
                <w:rFonts w:hint="default" w:ascii="仿宋" w:hAnsi="仿宋" w:eastAsia="仿宋" w:cs="仿宋"/>
                <w:szCs w:val="21"/>
                <w:highlight w:val="none"/>
                <w:lang w:val="en-US" w:eastAsia="zh-CN"/>
              </w:rPr>
              <w:t>分。</w:t>
            </w:r>
          </w:p>
          <w:p w14:paraId="6F76DE2C">
            <w:pPr>
              <w:snapToGrid w:val="0"/>
              <w:spacing w:line="420" w:lineRule="exact"/>
              <w:ind w:firstLine="420" w:firstLineChars="200"/>
              <w:rPr>
                <w:rFonts w:hint="eastAsia" w:eastAsia="仿宋"/>
                <w:highlight w:val="none"/>
                <w:lang w:val="en-US" w:eastAsia="zh-CN"/>
              </w:rPr>
            </w:pPr>
            <w:r>
              <w:rPr>
                <w:rFonts w:hint="default" w:ascii="仿宋" w:hAnsi="仿宋" w:eastAsia="仿宋" w:cs="仿宋"/>
                <w:szCs w:val="21"/>
                <w:highlight w:val="none"/>
                <w:lang w:val="en-US" w:eastAsia="zh-CN"/>
              </w:rPr>
              <w:t>④不提供不得分</w:t>
            </w:r>
          </w:p>
        </w:tc>
      </w:tr>
      <w:tr w14:paraId="5F0A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010" w:type="dxa"/>
            <w:tcBorders>
              <w:top w:val="single" w:color="auto" w:sz="4" w:space="0"/>
              <w:left w:val="single" w:color="auto" w:sz="4" w:space="0"/>
              <w:bottom w:val="single" w:color="auto" w:sz="4" w:space="0"/>
              <w:right w:val="single" w:color="auto" w:sz="4" w:space="0"/>
            </w:tcBorders>
            <w:noWrap w:val="0"/>
            <w:vAlign w:val="center"/>
          </w:tcPr>
          <w:p w14:paraId="247BB622">
            <w:pPr>
              <w:spacing w:line="360" w:lineRule="auto"/>
              <w:rPr>
                <w:rFonts w:hint="eastAsia" w:ascii="仿宋" w:hAnsi="仿宋" w:eastAsia="仿宋" w:cs="仿宋"/>
                <w:bCs/>
                <w:kern w:val="0"/>
                <w:sz w:val="21"/>
                <w:szCs w:val="21"/>
                <w:highlight w:val="none"/>
                <w:lang w:val="en-US" w:eastAsia="zh-CN"/>
              </w:rPr>
            </w:pPr>
            <w:r>
              <w:rPr>
                <w:rFonts w:hint="eastAsia" w:ascii="仿宋" w:hAnsi="仿宋" w:eastAsia="仿宋" w:cs="仿宋"/>
                <w:kern w:val="2"/>
                <w:sz w:val="21"/>
                <w:szCs w:val="21"/>
                <w:highlight w:val="none"/>
                <w:lang w:val="en-US" w:eastAsia="zh-CN" w:bidi="ar-SA"/>
              </w:rPr>
              <w:t>3、</w:t>
            </w:r>
            <w:r>
              <w:rPr>
                <w:rFonts w:hint="eastAsia" w:ascii="仿宋" w:hAnsi="仿宋" w:eastAsia="仿宋" w:cs="仿宋"/>
                <w:bCs/>
                <w:kern w:val="0"/>
                <w:sz w:val="21"/>
                <w:szCs w:val="21"/>
                <w:highlight w:val="none"/>
                <w:lang w:val="en-US" w:eastAsia="zh-CN"/>
              </w:rPr>
              <w:t>安全文明施工措施（10分）</w:t>
            </w:r>
          </w:p>
          <w:p w14:paraId="239F9FF6">
            <w:pPr>
              <w:numPr>
                <w:ilvl w:val="0"/>
                <w:numId w:val="0"/>
              </w:numPr>
              <w:spacing w:line="360" w:lineRule="auto"/>
              <w:ind w:firstLine="420" w:firstLineChars="200"/>
              <w:rPr>
                <w:rFonts w:hint="eastAsia" w:ascii="仿宋" w:hAnsi="仿宋" w:eastAsia="仿宋" w:cs="仿宋"/>
                <w:bCs/>
                <w:kern w:val="0"/>
                <w:sz w:val="21"/>
                <w:szCs w:val="21"/>
                <w:highlight w:val="none"/>
                <w:lang w:val="en-US" w:eastAsia="zh-CN"/>
              </w:rPr>
            </w:pPr>
            <w:r>
              <w:rPr>
                <w:rFonts w:hint="eastAsia" w:ascii="仿宋" w:hAnsi="仿宋" w:eastAsia="仿宋" w:cs="仿宋"/>
                <w:highlight w:val="none"/>
                <w:lang w:val="en-US" w:eastAsia="zh-CN"/>
              </w:rPr>
              <w:t>对投标人</w:t>
            </w:r>
            <w:r>
              <w:rPr>
                <w:rFonts w:hint="eastAsia" w:ascii="仿宋" w:hAnsi="仿宋" w:eastAsia="仿宋" w:cs="仿宋"/>
                <w:bCs/>
                <w:kern w:val="0"/>
                <w:sz w:val="21"/>
                <w:szCs w:val="21"/>
                <w:highlight w:val="none"/>
                <w:lang w:val="en-US" w:eastAsia="zh-CN"/>
              </w:rPr>
              <w:t>提供的安全文明施工措施（其中包括但不限于现场采取的安全、环保、消防、文明等施工措施）内容进行综合评价。</w:t>
            </w:r>
          </w:p>
          <w:p w14:paraId="121F79C9">
            <w:pPr>
              <w:numPr>
                <w:ilvl w:val="0"/>
                <w:numId w:val="0"/>
              </w:numPr>
              <w:spacing w:line="360" w:lineRule="auto"/>
              <w:ind w:firstLine="420" w:firstLineChars="200"/>
              <w:rPr>
                <w:rFonts w:hint="default" w:ascii="仿宋" w:hAnsi="仿宋" w:eastAsia="仿宋" w:cs="仿宋"/>
                <w:bCs/>
                <w:kern w:val="0"/>
                <w:sz w:val="21"/>
                <w:szCs w:val="21"/>
                <w:highlight w:val="none"/>
                <w:lang w:val="en-US" w:eastAsia="zh-CN"/>
              </w:rPr>
            </w:pPr>
            <w:r>
              <w:rPr>
                <w:rFonts w:hint="default" w:ascii="仿宋" w:hAnsi="仿宋" w:eastAsia="仿宋" w:cs="仿宋"/>
                <w:bCs/>
                <w:kern w:val="0"/>
                <w:sz w:val="21"/>
                <w:szCs w:val="21"/>
                <w:highlight w:val="none"/>
                <w:lang w:val="en-US" w:eastAsia="zh-CN"/>
              </w:rPr>
              <w:t>①项目安全</w:t>
            </w:r>
            <w:r>
              <w:rPr>
                <w:rFonts w:hint="eastAsia" w:ascii="仿宋" w:hAnsi="仿宋" w:eastAsia="仿宋" w:cs="仿宋"/>
                <w:bCs/>
                <w:kern w:val="0"/>
                <w:sz w:val="21"/>
                <w:szCs w:val="21"/>
                <w:highlight w:val="none"/>
                <w:lang w:val="en-US" w:eastAsia="zh-CN"/>
              </w:rPr>
              <w:t>文明施工措施</w:t>
            </w:r>
            <w:r>
              <w:rPr>
                <w:rFonts w:hint="default" w:ascii="仿宋" w:hAnsi="仿宋" w:eastAsia="仿宋" w:cs="仿宋"/>
                <w:bCs/>
                <w:kern w:val="0"/>
                <w:sz w:val="21"/>
                <w:szCs w:val="21"/>
                <w:highlight w:val="none"/>
                <w:lang w:val="en-US" w:eastAsia="zh-CN"/>
              </w:rPr>
              <w:t>完善、科学、合理得</w:t>
            </w:r>
            <w:r>
              <w:rPr>
                <w:rFonts w:hint="eastAsia" w:ascii="仿宋" w:hAnsi="仿宋" w:eastAsia="仿宋" w:cs="仿宋"/>
                <w:bCs/>
                <w:kern w:val="0"/>
                <w:sz w:val="21"/>
                <w:szCs w:val="21"/>
                <w:highlight w:val="none"/>
                <w:lang w:val="en-US" w:eastAsia="zh-CN"/>
              </w:rPr>
              <w:t>10</w:t>
            </w:r>
            <w:r>
              <w:rPr>
                <w:rFonts w:hint="default" w:ascii="仿宋" w:hAnsi="仿宋" w:eastAsia="仿宋" w:cs="仿宋"/>
                <w:bCs/>
                <w:kern w:val="0"/>
                <w:sz w:val="21"/>
                <w:szCs w:val="21"/>
                <w:highlight w:val="none"/>
                <w:lang w:val="en-US" w:eastAsia="zh-CN"/>
              </w:rPr>
              <w:t>分；</w:t>
            </w:r>
          </w:p>
          <w:p w14:paraId="280F5A87">
            <w:pPr>
              <w:numPr>
                <w:ilvl w:val="0"/>
                <w:numId w:val="0"/>
              </w:numPr>
              <w:spacing w:line="360" w:lineRule="auto"/>
              <w:ind w:firstLine="420" w:firstLineChars="200"/>
              <w:rPr>
                <w:rFonts w:hint="default" w:ascii="仿宋" w:hAnsi="仿宋" w:eastAsia="仿宋" w:cs="仿宋"/>
                <w:bCs/>
                <w:kern w:val="0"/>
                <w:sz w:val="21"/>
                <w:szCs w:val="21"/>
                <w:highlight w:val="none"/>
                <w:lang w:val="en-US" w:eastAsia="zh-CN"/>
              </w:rPr>
            </w:pPr>
            <w:r>
              <w:rPr>
                <w:rFonts w:hint="default" w:ascii="仿宋" w:hAnsi="仿宋" w:eastAsia="仿宋" w:cs="仿宋"/>
                <w:bCs/>
                <w:kern w:val="0"/>
                <w:sz w:val="21"/>
                <w:szCs w:val="21"/>
                <w:highlight w:val="none"/>
                <w:lang w:val="en-US" w:eastAsia="zh-CN"/>
              </w:rPr>
              <w:t>②项目安全</w:t>
            </w:r>
            <w:r>
              <w:rPr>
                <w:rFonts w:hint="eastAsia" w:ascii="仿宋" w:hAnsi="仿宋" w:eastAsia="仿宋" w:cs="仿宋"/>
                <w:bCs/>
                <w:kern w:val="0"/>
                <w:sz w:val="21"/>
                <w:szCs w:val="21"/>
                <w:highlight w:val="none"/>
                <w:lang w:val="en-US" w:eastAsia="zh-CN"/>
              </w:rPr>
              <w:t>文明施工措施</w:t>
            </w:r>
            <w:r>
              <w:rPr>
                <w:rFonts w:hint="default" w:ascii="仿宋" w:hAnsi="仿宋" w:eastAsia="仿宋" w:cs="仿宋"/>
                <w:bCs/>
                <w:kern w:val="0"/>
                <w:sz w:val="21"/>
                <w:szCs w:val="21"/>
                <w:highlight w:val="none"/>
                <w:lang w:val="en-US" w:eastAsia="zh-CN"/>
              </w:rPr>
              <w:t>完善、较科学、较合理得</w:t>
            </w:r>
            <w:r>
              <w:rPr>
                <w:rFonts w:hint="eastAsia" w:ascii="仿宋" w:hAnsi="仿宋" w:eastAsia="仿宋" w:cs="仿宋"/>
                <w:bCs/>
                <w:kern w:val="0"/>
                <w:sz w:val="21"/>
                <w:szCs w:val="21"/>
                <w:highlight w:val="none"/>
                <w:lang w:val="en-US" w:eastAsia="zh-CN"/>
              </w:rPr>
              <w:t>7</w:t>
            </w:r>
            <w:r>
              <w:rPr>
                <w:rFonts w:hint="default" w:ascii="仿宋" w:hAnsi="仿宋" w:eastAsia="仿宋" w:cs="仿宋"/>
                <w:bCs/>
                <w:kern w:val="0"/>
                <w:sz w:val="21"/>
                <w:szCs w:val="21"/>
                <w:highlight w:val="none"/>
                <w:lang w:val="en-US" w:eastAsia="zh-CN"/>
              </w:rPr>
              <w:t>分；</w:t>
            </w:r>
          </w:p>
          <w:p w14:paraId="0B9B6366">
            <w:pPr>
              <w:numPr>
                <w:ilvl w:val="0"/>
                <w:numId w:val="0"/>
              </w:numPr>
              <w:spacing w:line="360" w:lineRule="auto"/>
              <w:ind w:firstLine="420" w:firstLineChars="200"/>
              <w:rPr>
                <w:rFonts w:hint="default" w:ascii="仿宋" w:hAnsi="仿宋" w:eastAsia="仿宋" w:cs="仿宋"/>
                <w:bCs/>
                <w:kern w:val="0"/>
                <w:sz w:val="21"/>
                <w:szCs w:val="21"/>
                <w:highlight w:val="none"/>
                <w:lang w:val="en-US" w:eastAsia="zh-CN"/>
              </w:rPr>
            </w:pPr>
            <w:r>
              <w:rPr>
                <w:rFonts w:hint="default" w:ascii="仿宋" w:hAnsi="仿宋" w:eastAsia="仿宋" w:cs="仿宋"/>
                <w:bCs/>
                <w:kern w:val="0"/>
                <w:sz w:val="21"/>
                <w:szCs w:val="21"/>
                <w:highlight w:val="none"/>
                <w:lang w:val="en-US" w:eastAsia="zh-CN"/>
              </w:rPr>
              <w:t>③项目安全</w:t>
            </w:r>
            <w:r>
              <w:rPr>
                <w:rFonts w:hint="eastAsia" w:ascii="仿宋" w:hAnsi="仿宋" w:eastAsia="仿宋" w:cs="仿宋"/>
                <w:bCs/>
                <w:kern w:val="0"/>
                <w:sz w:val="21"/>
                <w:szCs w:val="21"/>
                <w:highlight w:val="none"/>
                <w:lang w:val="en-US" w:eastAsia="zh-CN"/>
              </w:rPr>
              <w:t>文明施工措施</w:t>
            </w:r>
            <w:r>
              <w:rPr>
                <w:rFonts w:hint="default" w:ascii="仿宋" w:hAnsi="仿宋" w:eastAsia="仿宋" w:cs="仿宋"/>
                <w:bCs/>
                <w:kern w:val="0"/>
                <w:sz w:val="21"/>
                <w:szCs w:val="21"/>
                <w:highlight w:val="none"/>
                <w:lang w:val="en-US" w:eastAsia="zh-CN"/>
              </w:rPr>
              <w:t>基本合理得</w:t>
            </w:r>
            <w:r>
              <w:rPr>
                <w:rFonts w:hint="eastAsia" w:ascii="仿宋" w:hAnsi="仿宋" w:eastAsia="仿宋" w:cs="仿宋"/>
                <w:bCs/>
                <w:kern w:val="0"/>
                <w:sz w:val="21"/>
                <w:szCs w:val="21"/>
                <w:highlight w:val="none"/>
                <w:lang w:val="en-US" w:eastAsia="zh-CN"/>
              </w:rPr>
              <w:t>4</w:t>
            </w:r>
            <w:r>
              <w:rPr>
                <w:rFonts w:hint="default" w:ascii="仿宋" w:hAnsi="仿宋" w:eastAsia="仿宋" w:cs="仿宋"/>
                <w:bCs/>
                <w:kern w:val="0"/>
                <w:sz w:val="21"/>
                <w:szCs w:val="21"/>
                <w:highlight w:val="none"/>
                <w:lang w:val="en-US" w:eastAsia="zh-CN"/>
              </w:rPr>
              <w:t>分。</w:t>
            </w:r>
          </w:p>
          <w:p w14:paraId="664F9FBC">
            <w:pPr>
              <w:pStyle w:val="23"/>
              <w:numPr>
                <w:ilvl w:val="0"/>
                <w:numId w:val="0"/>
              </w:numPr>
              <w:spacing w:line="360" w:lineRule="auto"/>
              <w:ind w:firstLine="420" w:firstLineChars="200"/>
              <w:rPr>
                <w:rFonts w:hint="eastAsia"/>
                <w:highlight w:val="none"/>
                <w:lang w:eastAsia="zh-CN"/>
              </w:rPr>
            </w:pPr>
            <w:r>
              <w:rPr>
                <w:rFonts w:hint="default" w:ascii="仿宋" w:hAnsi="仿宋" w:eastAsia="仿宋" w:cs="仿宋"/>
                <w:bCs/>
                <w:kern w:val="0"/>
                <w:sz w:val="21"/>
                <w:szCs w:val="21"/>
                <w:highlight w:val="none"/>
                <w:lang w:val="en-US" w:eastAsia="zh-CN"/>
              </w:rPr>
              <w:t>④不提供不得分</w:t>
            </w:r>
          </w:p>
        </w:tc>
      </w:tr>
      <w:tr w14:paraId="26B25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10" w:type="dxa"/>
            <w:tcBorders>
              <w:top w:val="single" w:color="auto" w:sz="4" w:space="0"/>
              <w:left w:val="single" w:color="auto" w:sz="4" w:space="0"/>
              <w:bottom w:val="single" w:color="auto" w:sz="4" w:space="0"/>
              <w:right w:val="single" w:color="auto" w:sz="4" w:space="0"/>
            </w:tcBorders>
            <w:noWrap w:val="0"/>
            <w:vAlign w:val="center"/>
          </w:tcPr>
          <w:p w14:paraId="57AA039A">
            <w:pPr>
              <w:spacing w:line="440" w:lineRule="exact"/>
              <w:rPr>
                <w:rFonts w:hint="eastAsia" w:ascii="仿宋" w:hAnsi="仿宋" w:eastAsia="仿宋" w:cs="仿宋"/>
                <w:bCs/>
                <w:kern w:val="0"/>
                <w:sz w:val="21"/>
                <w:szCs w:val="21"/>
                <w:highlight w:val="none"/>
                <w:lang w:eastAsia="zh-CN"/>
              </w:rPr>
            </w:pPr>
            <w:r>
              <w:rPr>
                <w:rFonts w:hint="eastAsia" w:ascii="仿宋" w:hAnsi="仿宋" w:eastAsia="仿宋" w:cs="仿宋"/>
                <w:bCs/>
                <w:kern w:val="0"/>
                <w:sz w:val="21"/>
                <w:szCs w:val="21"/>
                <w:highlight w:val="none"/>
                <w:lang w:val="en-US" w:eastAsia="zh-CN"/>
              </w:rPr>
              <w:t>4</w:t>
            </w: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lang w:val="en-US" w:eastAsia="zh-CN"/>
              </w:rPr>
              <w:t>服务进度计划保障</w:t>
            </w:r>
            <w:r>
              <w:rPr>
                <w:rFonts w:hint="eastAsia" w:ascii="仿宋" w:hAnsi="仿宋" w:eastAsia="仿宋" w:cs="仿宋"/>
                <w:bCs/>
                <w:kern w:val="0"/>
                <w:sz w:val="21"/>
                <w:szCs w:val="21"/>
                <w:highlight w:val="none"/>
                <w:lang w:eastAsia="zh-CN"/>
              </w:rPr>
              <w:t>措施</w:t>
            </w:r>
            <w:r>
              <w:rPr>
                <w:rFonts w:hint="eastAsia" w:ascii="仿宋" w:hAnsi="仿宋" w:eastAsia="仿宋" w:cs="仿宋"/>
                <w:szCs w:val="21"/>
                <w:highlight w:val="none"/>
                <w:lang w:val="en-US" w:eastAsia="zh-CN"/>
              </w:rPr>
              <w:t>（</w:t>
            </w:r>
            <w:r>
              <w:rPr>
                <w:rFonts w:hint="eastAsia" w:ascii="仿宋" w:hAnsi="仿宋" w:eastAsia="仿宋" w:cs="仿宋"/>
                <w:kern w:val="2"/>
                <w:sz w:val="21"/>
                <w:szCs w:val="21"/>
                <w:highlight w:val="none"/>
                <w:lang w:val="en-US" w:eastAsia="zh-CN" w:bidi="ar-SA"/>
              </w:rPr>
              <w:t>10分</w:t>
            </w:r>
            <w:r>
              <w:rPr>
                <w:rFonts w:hint="eastAsia" w:ascii="仿宋" w:hAnsi="仿宋" w:eastAsia="仿宋" w:cs="仿宋"/>
                <w:szCs w:val="21"/>
                <w:highlight w:val="none"/>
                <w:lang w:val="en-US" w:eastAsia="zh-CN"/>
              </w:rPr>
              <w:t>）</w:t>
            </w:r>
          </w:p>
          <w:p w14:paraId="3272087E">
            <w:pPr>
              <w:numPr>
                <w:ilvl w:val="0"/>
                <w:numId w:val="0"/>
              </w:numPr>
              <w:spacing w:line="360" w:lineRule="auto"/>
              <w:ind w:firstLine="420" w:firstLineChars="200"/>
              <w:rPr>
                <w:rFonts w:hint="eastAsia" w:ascii="仿宋" w:hAnsi="仿宋" w:eastAsia="仿宋" w:cs="仿宋"/>
                <w:bCs/>
                <w:kern w:val="0"/>
                <w:sz w:val="21"/>
                <w:szCs w:val="21"/>
                <w:highlight w:val="none"/>
                <w:lang w:val="en-US" w:eastAsia="zh-CN"/>
              </w:rPr>
            </w:pPr>
            <w:r>
              <w:rPr>
                <w:rFonts w:hint="eastAsia" w:ascii="仿宋" w:hAnsi="仿宋" w:eastAsia="仿宋" w:cs="仿宋"/>
                <w:highlight w:val="none"/>
                <w:lang w:val="en-US" w:eastAsia="zh-CN"/>
              </w:rPr>
              <w:t>对</w:t>
            </w:r>
            <w:r>
              <w:rPr>
                <w:rFonts w:hint="eastAsia" w:ascii="仿宋" w:hAnsi="仿宋" w:eastAsia="仿宋" w:cs="仿宋"/>
                <w:bCs/>
                <w:kern w:val="0"/>
                <w:sz w:val="21"/>
                <w:szCs w:val="21"/>
                <w:highlight w:val="none"/>
                <w:lang w:val="en-US" w:eastAsia="zh-CN"/>
              </w:rPr>
              <w:t>投保人提供的服务进度计划保障</w:t>
            </w:r>
            <w:r>
              <w:rPr>
                <w:rFonts w:hint="eastAsia" w:ascii="仿宋" w:hAnsi="仿宋" w:eastAsia="仿宋" w:cs="仿宋"/>
                <w:bCs/>
                <w:kern w:val="0"/>
                <w:sz w:val="21"/>
                <w:szCs w:val="21"/>
                <w:highlight w:val="none"/>
                <w:lang w:eastAsia="zh-CN"/>
              </w:rPr>
              <w:t>措施</w:t>
            </w:r>
            <w:r>
              <w:rPr>
                <w:rFonts w:hint="eastAsia" w:ascii="仿宋" w:hAnsi="仿宋" w:eastAsia="仿宋" w:cs="仿宋"/>
                <w:bCs/>
                <w:kern w:val="0"/>
                <w:sz w:val="21"/>
                <w:szCs w:val="21"/>
                <w:highlight w:val="none"/>
                <w:lang w:val="en-US" w:eastAsia="zh-CN"/>
              </w:rPr>
              <w:t>（其中包括但不限于</w:t>
            </w:r>
            <w:r>
              <w:rPr>
                <w:rFonts w:hint="eastAsia" w:ascii="仿宋" w:hAnsi="仿宋" w:eastAsia="仿宋" w:cs="仿宋"/>
                <w:bCs/>
                <w:kern w:val="0"/>
                <w:sz w:val="21"/>
                <w:szCs w:val="21"/>
                <w:highlight w:val="none"/>
                <w:lang w:eastAsia="zh-CN"/>
              </w:rPr>
              <w:t>总进度安排计划</w:t>
            </w:r>
            <w:r>
              <w:rPr>
                <w:rFonts w:hint="eastAsia" w:ascii="仿宋" w:hAnsi="仿宋" w:eastAsia="仿宋" w:cs="仿宋"/>
                <w:bCs/>
                <w:kern w:val="0"/>
                <w:sz w:val="21"/>
                <w:szCs w:val="21"/>
                <w:highlight w:val="none"/>
                <w:lang w:val="en-US" w:eastAsia="zh-CN"/>
              </w:rPr>
              <w:t>、</w:t>
            </w:r>
            <w:r>
              <w:rPr>
                <w:rFonts w:hint="eastAsia" w:ascii="仿宋" w:hAnsi="仿宋" w:eastAsia="仿宋" w:cs="仿宋"/>
                <w:bCs/>
                <w:kern w:val="0"/>
                <w:sz w:val="21"/>
                <w:szCs w:val="21"/>
                <w:highlight w:val="none"/>
                <w:lang w:eastAsia="zh-CN"/>
              </w:rPr>
              <w:t>各阶段进度控制</w:t>
            </w:r>
            <w:r>
              <w:rPr>
                <w:rFonts w:hint="eastAsia" w:ascii="仿宋" w:hAnsi="仿宋" w:eastAsia="仿宋" w:cs="仿宋"/>
                <w:bCs/>
                <w:kern w:val="0"/>
                <w:sz w:val="21"/>
                <w:szCs w:val="21"/>
                <w:highlight w:val="none"/>
                <w:lang w:val="en-US" w:eastAsia="zh-CN"/>
              </w:rPr>
              <w:t>等）内容进行综合评价。</w:t>
            </w:r>
          </w:p>
          <w:p w14:paraId="7396B698">
            <w:pPr>
              <w:numPr>
                <w:ilvl w:val="0"/>
                <w:numId w:val="0"/>
              </w:numPr>
              <w:spacing w:line="360" w:lineRule="auto"/>
              <w:ind w:firstLine="420" w:firstLineChars="200"/>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①工作进度安排具体、合理可行、保证措施完善得10分；</w:t>
            </w:r>
          </w:p>
          <w:p w14:paraId="6AF09F1D">
            <w:pPr>
              <w:numPr>
                <w:ilvl w:val="0"/>
                <w:numId w:val="0"/>
              </w:numPr>
              <w:spacing w:line="360" w:lineRule="auto"/>
              <w:ind w:firstLine="420" w:firstLineChars="200"/>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②工作进度安排较为合理、保证措施较完善得7分；</w:t>
            </w:r>
          </w:p>
          <w:p w14:paraId="0836A8EA">
            <w:pPr>
              <w:numPr>
                <w:ilvl w:val="0"/>
                <w:numId w:val="0"/>
              </w:numPr>
              <w:spacing w:line="360" w:lineRule="auto"/>
              <w:ind w:firstLine="420" w:firstLineChars="200"/>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③工作进度安排基本合理、保证措施基本可行得4分。</w:t>
            </w:r>
          </w:p>
          <w:p w14:paraId="133564FA">
            <w:pPr>
              <w:numPr>
                <w:ilvl w:val="0"/>
                <w:numId w:val="0"/>
              </w:numPr>
              <w:spacing w:line="360" w:lineRule="auto"/>
              <w:ind w:firstLine="420" w:firstLineChars="200"/>
              <w:rPr>
                <w:rFonts w:hint="default"/>
                <w:highlight w:val="none"/>
                <w:lang w:val="en-US" w:eastAsia="zh-CN"/>
              </w:rPr>
            </w:pPr>
            <w:r>
              <w:rPr>
                <w:rFonts w:hint="eastAsia" w:ascii="仿宋" w:hAnsi="仿宋" w:eastAsia="仿宋" w:cs="仿宋"/>
                <w:bCs/>
                <w:kern w:val="0"/>
                <w:sz w:val="21"/>
                <w:szCs w:val="21"/>
                <w:highlight w:val="none"/>
                <w:lang w:val="en-US" w:eastAsia="zh-CN"/>
              </w:rPr>
              <w:t>④不提供不得分</w:t>
            </w:r>
          </w:p>
        </w:tc>
      </w:tr>
      <w:tr w14:paraId="4F8A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010" w:type="dxa"/>
            <w:tcBorders>
              <w:top w:val="single" w:color="auto" w:sz="4" w:space="0"/>
              <w:left w:val="single" w:color="auto" w:sz="4" w:space="0"/>
              <w:bottom w:val="single" w:color="auto" w:sz="4" w:space="0"/>
              <w:right w:val="single" w:color="auto" w:sz="4" w:space="0"/>
            </w:tcBorders>
            <w:noWrap w:val="0"/>
            <w:vAlign w:val="center"/>
          </w:tcPr>
          <w:p w14:paraId="7C5BF19E">
            <w:pPr>
              <w:snapToGrid w:val="0"/>
              <w:spacing w:line="420" w:lineRule="exact"/>
              <w:rPr>
                <w:rFonts w:hint="eastAsia" w:ascii="仿宋" w:hAnsi="仿宋" w:eastAsia="仿宋" w:cs="仿宋"/>
                <w:szCs w:val="21"/>
                <w:highlight w:val="none"/>
                <w:lang w:val="en-US" w:eastAsia="zh-CN"/>
              </w:rPr>
            </w:pPr>
            <w:r>
              <w:rPr>
                <w:rFonts w:hint="eastAsia" w:ascii="仿宋" w:hAnsi="仿宋" w:eastAsia="仿宋" w:cs="仿宋"/>
                <w:bCs/>
                <w:kern w:val="0"/>
                <w:sz w:val="21"/>
                <w:szCs w:val="21"/>
                <w:highlight w:val="none"/>
                <w:lang w:val="en-US" w:eastAsia="zh-CN"/>
              </w:rPr>
              <w:t>5、</w:t>
            </w:r>
            <w:r>
              <w:rPr>
                <w:rFonts w:hint="eastAsia" w:ascii="仿宋" w:hAnsi="仿宋" w:eastAsia="仿宋" w:cs="仿宋"/>
                <w:szCs w:val="21"/>
                <w:highlight w:val="none"/>
                <w:lang w:val="en-US" w:eastAsia="zh-CN"/>
              </w:rPr>
              <w:t>服务承诺及合理化建议</w:t>
            </w:r>
            <w:r>
              <w:rPr>
                <w:rFonts w:hint="eastAsia" w:ascii="仿宋" w:hAnsi="仿宋" w:eastAsia="仿宋" w:cs="仿宋"/>
                <w:bCs/>
                <w:kern w:val="0"/>
                <w:sz w:val="21"/>
                <w:szCs w:val="21"/>
                <w:highlight w:val="none"/>
                <w:lang w:eastAsia="zh-CN"/>
              </w:rPr>
              <w:t>（</w:t>
            </w:r>
            <w:r>
              <w:rPr>
                <w:rFonts w:hint="eastAsia" w:ascii="仿宋" w:hAnsi="仿宋" w:eastAsia="仿宋" w:cs="仿宋"/>
                <w:bCs/>
                <w:kern w:val="0"/>
                <w:sz w:val="21"/>
                <w:szCs w:val="21"/>
                <w:highlight w:val="none"/>
                <w:lang w:val="en-US" w:eastAsia="zh-CN"/>
              </w:rPr>
              <w:t>10</w:t>
            </w:r>
            <w:r>
              <w:rPr>
                <w:rFonts w:hint="eastAsia" w:ascii="仿宋" w:hAnsi="仿宋" w:eastAsia="仿宋" w:cs="仿宋"/>
                <w:bCs/>
                <w:kern w:val="0"/>
                <w:sz w:val="21"/>
                <w:szCs w:val="21"/>
                <w:highlight w:val="none"/>
                <w:lang w:eastAsia="zh-CN"/>
              </w:rPr>
              <w:t>分）</w:t>
            </w:r>
          </w:p>
          <w:p w14:paraId="2B6251CE">
            <w:pPr>
              <w:snapToGrid w:val="0"/>
              <w:spacing w:line="420" w:lineRule="exact"/>
              <w:ind w:firstLine="420" w:firstLineChars="200"/>
              <w:rPr>
                <w:rFonts w:hint="eastAsia" w:ascii="仿宋" w:hAnsi="仿宋" w:eastAsia="仿宋" w:cs="仿宋"/>
                <w:szCs w:val="21"/>
                <w:highlight w:val="none"/>
                <w:lang w:val="en-US" w:eastAsia="zh-CN"/>
              </w:rPr>
            </w:pPr>
            <w:r>
              <w:rPr>
                <w:rFonts w:hint="eastAsia" w:ascii="仿宋" w:hAnsi="仿宋" w:eastAsia="仿宋" w:cs="仿宋"/>
                <w:highlight w:val="none"/>
                <w:lang w:val="en-US" w:eastAsia="zh-CN"/>
              </w:rPr>
              <w:t>对供应商提供的</w:t>
            </w:r>
            <w:r>
              <w:rPr>
                <w:rFonts w:hint="eastAsia" w:ascii="仿宋" w:hAnsi="仿宋" w:eastAsia="仿宋" w:cs="仿宋"/>
                <w:szCs w:val="21"/>
                <w:highlight w:val="none"/>
                <w:lang w:val="en-US" w:eastAsia="zh-CN"/>
              </w:rPr>
              <w:t>服务承诺是否完善、响应时间是否迅速、后续服务措施是否有力、合理，及时处理实施过程中的相关技术问题等的承诺进行评分。</w:t>
            </w:r>
          </w:p>
          <w:p w14:paraId="0B81910A">
            <w:pPr>
              <w:snapToGrid w:val="0"/>
              <w:spacing w:line="420" w:lineRule="exact"/>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①内容全面、合理、利于本项目实施得10分；</w:t>
            </w:r>
          </w:p>
          <w:p w14:paraId="2886531D">
            <w:pPr>
              <w:snapToGrid w:val="0"/>
              <w:spacing w:line="420" w:lineRule="exact"/>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②内容较为全面、合理、利于本项目实施得7分；</w:t>
            </w:r>
          </w:p>
          <w:p w14:paraId="13592A9D">
            <w:pPr>
              <w:snapToGrid w:val="0"/>
              <w:spacing w:line="420" w:lineRule="exact"/>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③内容基本全面、合理、基本可利于本项目实施得4分。</w:t>
            </w:r>
          </w:p>
          <w:p w14:paraId="694F8B65">
            <w:pPr>
              <w:spacing w:line="440" w:lineRule="exact"/>
              <w:ind w:firstLine="420" w:firstLineChars="200"/>
              <w:rPr>
                <w:rFonts w:hint="default"/>
                <w:highlight w:val="none"/>
                <w:lang w:val="en-US" w:eastAsia="zh-CN"/>
              </w:rPr>
            </w:pPr>
            <w:r>
              <w:rPr>
                <w:rFonts w:hint="eastAsia" w:ascii="仿宋" w:hAnsi="仿宋" w:eastAsia="仿宋" w:cs="仿宋"/>
                <w:szCs w:val="21"/>
                <w:highlight w:val="none"/>
                <w:lang w:val="en-US" w:eastAsia="zh-CN"/>
              </w:rPr>
              <w:t>④不提供不得分</w:t>
            </w:r>
            <w:r>
              <w:rPr>
                <w:rFonts w:hint="eastAsia" w:ascii="仿宋" w:hAnsi="仿宋" w:eastAsia="仿宋" w:cs="仿宋"/>
                <w:bCs/>
                <w:color w:val="auto"/>
                <w:kern w:val="0"/>
                <w:sz w:val="21"/>
                <w:szCs w:val="21"/>
                <w:highlight w:val="none"/>
                <w:lang w:eastAsia="zh-CN"/>
              </w:rPr>
              <w:t>。</w:t>
            </w:r>
          </w:p>
        </w:tc>
      </w:tr>
      <w:tr w14:paraId="3E88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0010" w:type="dxa"/>
            <w:tcBorders>
              <w:top w:val="single" w:color="auto" w:sz="4" w:space="0"/>
              <w:left w:val="single" w:color="auto" w:sz="4" w:space="0"/>
              <w:bottom w:val="single" w:color="auto" w:sz="4" w:space="0"/>
              <w:right w:val="single" w:color="auto" w:sz="4" w:space="0"/>
            </w:tcBorders>
            <w:noWrap w:val="0"/>
            <w:vAlign w:val="center"/>
          </w:tcPr>
          <w:p w14:paraId="5B5D6118">
            <w:pPr>
              <w:widowControl/>
              <w:spacing w:line="440" w:lineRule="exact"/>
              <w:rPr>
                <w:rFonts w:hint="eastAsia" w:ascii="仿宋" w:hAnsi="仿宋" w:eastAsia="仿宋" w:cs="仿宋"/>
                <w:spacing w:val="6"/>
                <w:sz w:val="21"/>
                <w:szCs w:val="21"/>
                <w:highlight w:val="none"/>
              </w:rPr>
            </w:pPr>
            <w:r>
              <w:rPr>
                <w:rFonts w:hint="eastAsia" w:ascii="仿宋" w:hAnsi="仿宋" w:eastAsia="仿宋" w:cs="仿宋"/>
                <w:b/>
                <w:bCs/>
                <w:spacing w:val="6"/>
                <w:sz w:val="21"/>
                <w:szCs w:val="21"/>
                <w:highlight w:val="none"/>
                <w:lang w:eastAsia="zh-CN"/>
              </w:rPr>
              <w:t>三</w:t>
            </w:r>
            <w:r>
              <w:rPr>
                <w:rFonts w:hint="eastAsia" w:ascii="仿宋" w:hAnsi="仿宋" w:eastAsia="仿宋" w:cs="仿宋"/>
                <w:b/>
                <w:bCs/>
                <w:spacing w:val="6"/>
                <w:sz w:val="21"/>
                <w:szCs w:val="21"/>
                <w:highlight w:val="none"/>
              </w:rPr>
              <w:t>、价格部分（投标报价）（</w:t>
            </w:r>
            <w:r>
              <w:rPr>
                <w:rFonts w:hint="eastAsia" w:ascii="仿宋" w:hAnsi="仿宋" w:eastAsia="仿宋" w:cs="仿宋"/>
                <w:b/>
                <w:bCs/>
                <w:spacing w:val="6"/>
                <w:sz w:val="21"/>
                <w:szCs w:val="21"/>
                <w:highlight w:val="none"/>
                <w:lang w:val="en-US" w:eastAsia="zh-CN"/>
              </w:rPr>
              <w:t>10</w:t>
            </w:r>
            <w:r>
              <w:rPr>
                <w:rFonts w:hint="eastAsia" w:ascii="仿宋" w:hAnsi="仿宋" w:eastAsia="仿宋" w:cs="仿宋"/>
                <w:b/>
                <w:bCs/>
                <w:spacing w:val="6"/>
                <w:sz w:val="21"/>
                <w:szCs w:val="21"/>
                <w:highlight w:val="none"/>
              </w:rPr>
              <w:t>分）</w:t>
            </w:r>
          </w:p>
        </w:tc>
      </w:tr>
      <w:tr w14:paraId="7B67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0010" w:type="dxa"/>
            <w:tcBorders>
              <w:top w:val="single" w:color="auto" w:sz="4" w:space="0"/>
              <w:left w:val="single" w:color="auto" w:sz="4" w:space="0"/>
              <w:bottom w:val="single" w:color="auto" w:sz="4" w:space="0"/>
              <w:right w:val="single" w:color="auto" w:sz="4" w:space="0"/>
            </w:tcBorders>
            <w:noWrap w:val="0"/>
            <w:vAlign w:val="center"/>
          </w:tcPr>
          <w:p w14:paraId="7A97846F">
            <w:pPr>
              <w:widowControl/>
              <w:spacing w:line="440" w:lineRule="exact"/>
              <w:ind w:firstLine="435" w:firstLineChars="196"/>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满足招标文件要求且投标价格最低的投标报价为评标基准价，其价格分为满分</w:t>
            </w:r>
            <w:r>
              <w:rPr>
                <w:rFonts w:hint="eastAsia" w:ascii="仿宋" w:hAnsi="仿宋" w:eastAsia="仿宋" w:cs="仿宋"/>
                <w:spacing w:val="6"/>
                <w:sz w:val="21"/>
                <w:szCs w:val="21"/>
                <w:highlight w:val="none"/>
                <w:lang w:val="en-US" w:eastAsia="zh-CN"/>
              </w:rPr>
              <w:t>10</w:t>
            </w:r>
            <w:r>
              <w:rPr>
                <w:rFonts w:hint="eastAsia" w:ascii="仿宋" w:hAnsi="仿宋" w:eastAsia="仿宋" w:cs="仿宋"/>
                <w:spacing w:val="6"/>
                <w:sz w:val="21"/>
                <w:szCs w:val="21"/>
                <w:highlight w:val="none"/>
              </w:rPr>
              <w:t>分。其他投标人的价格分统一按照下列公式计算：</w:t>
            </w:r>
          </w:p>
          <w:p w14:paraId="4A0A9282">
            <w:pPr>
              <w:widowControl/>
              <w:spacing w:line="440" w:lineRule="exact"/>
              <w:ind w:firstLine="435" w:firstLineChars="196"/>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投标报价得分=（评标基准价/投标报价）*</w:t>
            </w:r>
            <w:r>
              <w:rPr>
                <w:rFonts w:hint="eastAsia" w:ascii="仿宋" w:hAnsi="仿宋" w:eastAsia="仿宋" w:cs="仿宋"/>
                <w:spacing w:val="6"/>
                <w:sz w:val="21"/>
                <w:szCs w:val="21"/>
                <w:highlight w:val="none"/>
                <w:lang w:val="en-US" w:eastAsia="zh-CN"/>
              </w:rPr>
              <w:t>100</w:t>
            </w:r>
            <w:r>
              <w:rPr>
                <w:rFonts w:hint="eastAsia" w:ascii="仿宋" w:hAnsi="仿宋" w:eastAsia="仿宋" w:cs="仿宋"/>
                <w:spacing w:val="6"/>
                <w:sz w:val="21"/>
                <w:szCs w:val="21"/>
                <w:highlight w:val="none"/>
                <w:lang w:eastAsia="zh-CN"/>
              </w:rPr>
              <w:t>%</w:t>
            </w:r>
            <w:r>
              <w:rPr>
                <w:rFonts w:hint="eastAsia" w:ascii="仿宋" w:hAnsi="仿宋" w:eastAsia="仿宋" w:cs="仿宋"/>
                <w:spacing w:val="6"/>
                <w:sz w:val="21"/>
                <w:szCs w:val="21"/>
                <w:highlight w:val="none"/>
              </w:rPr>
              <w:t>*</w:t>
            </w:r>
            <w:r>
              <w:rPr>
                <w:rFonts w:hint="eastAsia" w:ascii="仿宋" w:hAnsi="仿宋" w:eastAsia="仿宋" w:cs="仿宋"/>
                <w:spacing w:val="6"/>
                <w:sz w:val="21"/>
                <w:szCs w:val="21"/>
                <w:highlight w:val="none"/>
                <w:lang w:val="en-US" w:eastAsia="zh-CN"/>
              </w:rPr>
              <w:t>10</w:t>
            </w:r>
          </w:p>
        </w:tc>
      </w:tr>
    </w:tbl>
    <w:p w14:paraId="744B3947">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rPr>
        <w:t>注：</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lang w:val="en-US" w:eastAsia="zh-CN"/>
        </w:rPr>
        <w:t>本项目中兼投不兼中，为保证项目的服务质量，充分调动投标人做好项目的积极性，争先比优，同一投标人可以参与多个包的投标，但只能中标本项目中的一个包。同一投标人同时在不同的包综合得分排名第一，按照包号顺序由小到大中标1个包，之后包的中标人确定为该包综合得分排名第二的投标人，以此类推。</w:t>
      </w:r>
    </w:p>
    <w:p w14:paraId="666EF12B">
      <w:pPr>
        <w:keepNext w:val="0"/>
        <w:keepLines w:val="0"/>
        <w:pageBreakBefore w:val="0"/>
        <w:kinsoku/>
        <w:overflowPunct/>
        <w:topLinePunct w:val="0"/>
        <w:autoSpaceDE/>
        <w:autoSpaceDN/>
        <w:bidi w:val="0"/>
        <w:adjustRightInd/>
        <w:snapToGrid/>
        <w:spacing w:line="24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例：同一投标人同时在第1包和第2包中综合得分均排名第一，该投标人不参加第2包的中标候选人排序。如果第2包参与排序的投标人数量不足3家，按废标处理。</w:t>
      </w:r>
    </w:p>
    <w:p w14:paraId="0C62FE3B">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）招标文件内没有规定的评标标准不得作为评审的依据；</w:t>
      </w:r>
    </w:p>
    <w:p w14:paraId="1E50CB64">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）所有打分分值小数位按四舍五入保留2位计算。</w:t>
      </w:r>
    </w:p>
    <w:p w14:paraId="3E5FA47A">
      <w:pPr>
        <w:widowControl/>
        <w:numPr>
          <w:ilvl w:val="0"/>
          <w:numId w:val="0"/>
        </w:numPr>
        <w:spacing w:line="360" w:lineRule="auto"/>
        <w:jc w:val="center"/>
        <w:textAlignment w:val="center"/>
        <w:outlineLvl w:val="0"/>
        <w:rPr>
          <w:rStyle w:val="101"/>
          <w:rFonts w:hint="eastAsia" w:ascii="仿宋" w:hAnsi="仿宋" w:eastAsia="仿宋" w:cs="仿宋"/>
          <w:b/>
          <w:bCs/>
          <w:color w:val="auto"/>
          <w:kern w:val="0"/>
          <w:sz w:val="32"/>
          <w:szCs w:val="32"/>
          <w:highlight w:val="none"/>
        </w:rPr>
        <w:sectPr>
          <w:headerReference r:id="rId6" w:type="first"/>
          <w:footerReference r:id="rId8" w:type="first"/>
          <w:footerReference r:id="rId7" w:type="default"/>
          <w:pgSz w:w="11906" w:h="16838"/>
          <w:pgMar w:top="1417" w:right="1247" w:bottom="1417" w:left="1247" w:header="851" w:footer="992" w:gutter="0"/>
          <w:pgNumType w:fmt="decimal"/>
          <w:cols w:space="0" w:num="1"/>
          <w:titlePg/>
          <w:rtlGutter w:val="0"/>
          <w:docGrid w:linePitch="312" w:charSpace="0"/>
        </w:sectPr>
      </w:pPr>
    </w:p>
    <w:p w14:paraId="2B66A1C4">
      <w:pPr>
        <w:keepNext w:val="0"/>
        <w:keepLines w:val="0"/>
        <w:pageBreakBefore w:val="0"/>
        <w:widowControl/>
        <w:numPr>
          <w:ilvl w:val="0"/>
          <w:numId w:val="0"/>
        </w:numPr>
        <w:kinsoku/>
        <w:wordWrap/>
        <w:overflowPunct/>
        <w:topLinePunct w:val="0"/>
        <w:autoSpaceDE/>
        <w:autoSpaceDN/>
        <w:bidi w:val="0"/>
        <w:adjustRightInd/>
        <w:snapToGrid/>
        <w:spacing w:after="469" w:afterLines="150" w:line="240" w:lineRule="auto"/>
        <w:jc w:val="center"/>
        <w:textAlignment w:val="center"/>
        <w:outlineLvl w:val="0"/>
        <w:rPr>
          <w:rStyle w:val="101"/>
          <w:rFonts w:hint="eastAsia" w:ascii="仿宋" w:hAnsi="仿宋" w:eastAsia="仿宋" w:cs="仿宋"/>
          <w:b/>
          <w:bCs/>
          <w:color w:val="auto"/>
          <w:kern w:val="0"/>
          <w:sz w:val="32"/>
          <w:szCs w:val="32"/>
          <w:highlight w:val="none"/>
        </w:rPr>
      </w:pPr>
      <w:r>
        <w:rPr>
          <w:rStyle w:val="101"/>
          <w:rFonts w:hint="eastAsia" w:ascii="仿宋" w:hAnsi="仿宋" w:eastAsia="仿宋" w:cs="仿宋"/>
          <w:b/>
          <w:bCs/>
          <w:color w:val="auto"/>
          <w:kern w:val="0"/>
          <w:sz w:val="32"/>
          <w:szCs w:val="32"/>
          <w:highlight w:val="none"/>
          <w:lang w:eastAsia="zh-CN"/>
        </w:rPr>
        <w:t>第五部分</w:t>
      </w:r>
      <w:r>
        <w:rPr>
          <w:rStyle w:val="101"/>
          <w:rFonts w:hint="eastAsia" w:ascii="仿宋" w:hAnsi="仿宋" w:eastAsia="仿宋" w:cs="仿宋"/>
          <w:b/>
          <w:bCs/>
          <w:color w:val="auto"/>
          <w:kern w:val="0"/>
          <w:sz w:val="32"/>
          <w:szCs w:val="32"/>
          <w:highlight w:val="none"/>
          <w:lang w:val="en-US" w:eastAsia="zh-CN"/>
        </w:rPr>
        <w:t xml:space="preserve"> </w:t>
      </w:r>
      <w:r>
        <w:rPr>
          <w:rStyle w:val="101"/>
          <w:rFonts w:hint="eastAsia" w:ascii="仿宋" w:hAnsi="仿宋" w:eastAsia="仿宋" w:cs="仿宋"/>
          <w:b/>
          <w:bCs/>
          <w:color w:val="auto"/>
          <w:kern w:val="0"/>
          <w:sz w:val="32"/>
          <w:szCs w:val="32"/>
          <w:highlight w:val="none"/>
        </w:rPr>
        <w:t xml:space="preserve"> </w:t>
      </w:r>
      <w:r>
        <w:rPr>
          <w:rStyle w:val="101"/>
          <w:rFonts w:hint="eastAsia" w:ascii="仿宋" w:hAnsi="仿宋" w:eastAsia="仿宋" w:cs="仿宋"/>
          <w:b/>
          <w:bCs/>
          <w:color w:val="auto"/>
          <w:kern w:val="0"/>
          <w:sz w:val="32"/>
          <w:szCs w:val="32"/>
          <w:highlight w:val="none"/>
          <w:lang w:val="en-US" w:eastAsia="zh-CN"/>
        </w:rPr>
        <w:t>商务技术</w:t>
      </w:r>
      <w:r>
        <w:rPr>
          <w:rStyle w:val="101"/>
          <w:rFonts w:hint="eastAsia" w:ascii="仿宋" w:hAnsi="仿宋" w:eastAsia="仿宋" w:cs="仿宋"/>
          <w:b/>
          <w:bCs/>
          <w:color w:val="auto"/>
          <w:kern w:val="0"/>
          <w:sz w:val="32"/>
          <w:szCs w:val="32"/>
          <w:highlight w:val="none"/>
        </w:rPr>
        <w:t>要求</w:t>
      </w:r>
    </w:p>
    <w:p w14:paraId="3E2E2CB7">
      <w:pPr>
        <w:pStyle w:val="64"/>
        <w:keepNext w:val="0"/>
        <w:keepLines w:val="0"/>
        <w:pageBreakBefore w:val="0"/>
        <w:kinsoku/>
        <w:wordWrap/>
        <w:overflowPunct/>
        <w:topLinePunct w:val="0"/>
        <w:autoSpaceDE/>
        <w:autoSpaceDN/>
        <w:bidi w:val="0"/>
        <w:adjustRightInd/>
        <w:snapToGrid/>
        <w:spacing w:line="360" w:lineRule="auto"/>
        <w:ind w:left="2" w:firstLine="422" w:firstLineChars="175"/>
        <w:jc w:val="left"/>
        <w:textAlignment w:val="auto"/>
        <w:rPr>
          <w:rFonts w:hint="eastAsia" w:ascii="仿宋" w:hAnsi="仿宋" w:eastAsia="仿宋" w:cs="仿宋"/>
          <w:b/>
          <w:bCs/>
          <w:color w:val="000000"/>
          <w:sz w:val="24"/>
          <w:szCs w:val="24"/>
          <w:highlight w:val="none"/>
        </w:rPr>
      </w:pPr>
      <w:bookmarkStart w:id="39" w:name="_Toc19747"/>
      <w:bookmarkStart w:id="40" w:name="_Toc31341"/>
      <w:bookmarkStart w:id="41" w:name="_Toc14672"/>
      <w:bookmarkStart w:id="42" w:name="_Toc747"/>
      <w:r>
        <w:rPr>
          <w:rFonts w:hint="eastAsia" w:ascii="仿宋" w:hAnsi="仿宋" w:eastAsia="仿宋" w:cs="仿宋"/>
          <w:b/>
          <w:bCs/>
          <w:color w:val="000000"/>
          <w:sz w:val="24"/>
          <w:szCs w:val="24"/>
          <w:highlight w:val="none"/>
        </w:rPr>
        <w:t>一、</w:t>
      </w:r>
      <w:bookmarkEnd w:id="39"/>
      <w:bookmarkEnd w:id="40"/>
      <w:bookmarkEnd w:id="41"/>
      <w:bookmarkEnd w:id="42"/>
      <w:bookmarkStart w:id="43" w:name="_Toc23469"/>
      <w:bookmarkStart w:id="44" w:name="_Toc23649"/>
      <w:bookmarkStart w:id="45" w:name="_Toc14851"/>
      <w:bookmarkStart w:id="46" w:name="_Toc18842"/>
      <w:r>
        <w:rPr>
          <w:rFonts w:hint="eastAsia" w:ascii="仿宋" w:hAnsi="仿宋" w:eastAsia="仿宋" w:cs="仿宋"/>
          <w:b/>
          <w:bCs/>
          <w:color w:val="000000"/>
          <w:sz w:val="24"/>
          <w:szCs w:val="24"/>
          <w:highlight w:val="none"/>
        </w:rPr>
        <w:t>项目名称</w:t>
      </w:r>
    </w:p>
    <w:p w14:paraId="3A0DFB1E">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color w:val="auto"/>
          <w:sz w:val="24"/>
          <w:highlight w:val="none"/>
          <w:lang w:val="en" w:eastAsia="zh-CN"/>
        </w:rPr>
        <w:t>汾阳市平原(三泉镇、阳城镇)农村集中供热项目无损检测工程</w:t>
      </w:r>
      <w:r>
        <w:rPr>
          <w:rFonts w:hint="eastAsia" w:ascii="仿宋" w:hAnsi="仿宋" w:eastAsia="仿宋" w:cs="仿宋"/>
          <w:b w:val="0"/>
          <w:bCs w:val="0"/>
          <w:sz w:val="24"/>
          <w:szCs w:val="24"/>
          <w:highlight w:val="none"/>
          <w:lang w:val="en-US" w:eastAsia="zh-CN"/>
        </w:rPr>
        <w:t>。</w:t>
      </w:r>
    </w:p>
    <w:p w14:paraId="4549DD88">
      <w:pPr>
        <w:spacing w:line="360" w:lineRule="auto"/>
        <w:ind w:firstLine="48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二、项目背景</w:t>
      </w:r>
    </w:p>
    <w:p w14:paraId="6B511740">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firstLine="480" w:firstLineChars="200"/>
        <w:jc w:val="both"/>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 w:eastAsia="zh-CN"/>
        </w:rPr>
        <w:t>汾阳市平原(三泉镇、阳城镇)农村集中供热项目供热范围为汾阳市三泉镇、阳城镇45个自然村约157万平方米。主要建设内容为铺设一次管网2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val="en" w:eastAsia="zh-CN"/>
        </w:rPr>
        <w:t>88km，管径为DN600~DN150;新建46座热力站，其中3MW热力站 30座，6MW 热力站12座，9MW热力站4座;新建金塔山供热首站1座，中继泵站2座。</w:t>
      </w:r>
    </w:p>
    <w:bookmarkEnd w:id="43"/>
    <w:bookmarkEnd w:id="44"/>
    <w:bookmarkEnd w:id="45"/>
    <w:bookmarkEnd w:id="46"/>
    <w:p w14:paraId="29915A8C">
      <w:pPr>
        <w:spacing w:line="360" w:lineRule="auto"/>
        <w:ind w:firstLine="480"/>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三、商务要求</w:t>
      </w:r>
    </w:p>
    <w:p w14:paraId="1CB061E1">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firstLine="480" w:firstLineChars="20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1、服务期限：包1、2、3、4、5、6、7、8,从签订合同之日起算,至所有工程保修期结束且办妥竣工验收止,包括本工程的施工准备期、施工期、工程收尾期等全过程无损检测服务。</w:t>
      </w:r>
    </w:p>
    <w:p w14:paraId="795F6DED">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firstLine="480" w:firstLineChars="20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2、服务地点：采购人指定地点。</w:t>
      </w:r>
    </w:p>
    <w:p w14:paraId="5D61A198">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firstLine="480" w:firstLineChars="200"/>
        <w:jc w:val="both"/>
        <w:textAlignment w:val="auto"/>
        <w:rPr>
          <w:rFonts w:hint="eastAsia" w:ascii="仿宋" w:hAnsi="仿宋" w:eastAsia="仿宋" w:cs="仿宋"/>
          <w:color w:val="auto"/>
          <w:sz w:val="24"/>
          <w:highlight w:val="none"/>
          <w:lang w:val="en-US" w:eastAsia="zh-CN"/>
        </w:rPr>
      </w:pPr>
      <w:bookmarkStart w:id="47" w:name="_Toc29315"/>
      <w:bookmarkStart w:id="48" w:name="_Toc18111"/>
      <w:bookmarkStart w:id="49" w:name="_Toc3276"/>
      <w:bookmarkStart w:id="50" w:name="_Toc19672"/>
      <w:r>
        <w:rPr>
          <w:rFonts w:hint="eastAsia" w:ascii="仿宋" w:hAnsi="仿宋" w:eastAsia="仿宋" w:cs="仿宋"/>
          <w:color w:val="auto"/>
          <w:sz w:val="24"/>
          <w:highlight w:val="none"/>
          <w:lang w:val="en-US" w:eastAsia="zh-CN"/>
        </w:rPr>
        <w:t>3、质量标准：</w:t>
      </w:r>
      <w:bookmarkEnd w:id="47"/>
      <w:bookmarkEnd w:id="48"/>
      <w:bookmarkEnd w:id="49"/>
      <w:bookmarkEnd w:id="50"/>
      <w:r>
        <w:rPr>
          <w:rFonts w:hint="eastAsia" w:ascii="仿宋" w:hAnsi="仿宋" w:eastAsia="仿宋" w:cs="仿宋"/>
          <w:color w:val="auto"/>
          <w:sz w:val="24"/>
          <w:highlight w:val="none"/>
          <w:lang w:val="en-US" w:eastAsia="zh-CN"/>
        </w:rPr>
        <w:t>符合国家及行业相关标准，并通过相关部门验收。</w:t>
      </w:r>
    </w:p>
    <w:p w14:paraId="627269B9">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firstLine="480" w:firstLineChars="20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4、付款方式：按照合同约定方式付款。</w:t>
      </w:r>
    </w:p>
    <w:p w14:paraId="4988C284">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firstLine="480" w:firstLineChars="200"/>
        <w:jc w:val="both"/>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5、其他未尽事宜以实际签订合同为准。</w:t>
      </w:r>
    </w:p>
    <w:p w14:paraId="286D14BC">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firstLine="498" w:firstLineChars="200"/>
        <w:jc w:val="both"/>
        <w:textAlignment w:val="auto"/>
        <w:rPr>
          <w:rFonts w:hint="eastAsia" w:ascii="宋体" w:hAnsi="宋体" w:eastAsia="宋体" w:cs="宋体"/>
          <w:b/>
          <w:bCs/>
          <w:color w:val="auto"/>
          <w:spacing w:val="9"/>
          <w:sz w:val="23"/>
          <w:szCs w:val="23"/>
          <w:highlight w:val="none"/>
        </w:rPr>
      </w:pPr>
      <w:r>
        <w:rPr>
          <w:rFonts w:hint="eastAsia" w:ascii="宋体" w:hAnsi="宋体" w:eastAsia="宋体" w:cs="宋体"/>
          <w:b/>
          <w:bCs/>
          <w:color w:val="auto"/>
          <w:spacing w:val="9"/>
          <w:sz w:val="23"/>
          <w:szCs w:val="23"/>
          <w:highlight w:val="none"/>
          <w:lang w:val="en-US" w:eastAsia="zh-CN"/>
        </w:rPr>
        <w:t>四、</w:t>
      </w:r>
      <w:r>
        <w:rPr>
          <w:rFonts w:hint="eastAsia" w:ascii="宋体" w:hAnsi="宋体" w:eastAsia="宋体" w:cs="宋体"/>
          <w:b/>
          <w:bCs/>
          <w:color w:val="auto"/>
          <w:spacing w:val="9"/>
          <w:sz w:val="23"/>
          <w:szCs w:val="23"/>
          <w:highlight w:val="none"/>
        </w:rPr>
        <w:t>最高限价</w:t>
      </w:r>
    </w:p>
    <w:p w14:paraId="0E52F3F4">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firstLine="480" w:firstLineChars="200"/>
        <w:jc w:val="both"/>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1、包1：954360.00元；包2：1342880.00元；包3：880385.00元；包4：706145.00元；包5：1049180.00元；包6：1205270.00元；包7：1759340.00元；包8：1100165.00元。焊缝X射线探伤检测最高限价为 55 元/张，超声波探伤最高限价为37元/米。超声波探伤报价不计入投标总价并不参与价格分评审。</w:t>
      </w:r>
    </w:p>
    <w:p w14:paraId="01340AA4">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firstLine="480" w:firstLineChars="20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2、预估检测数量：</w:t>
      </w:r>
    </w:p>
    <w:p w14:paraId="1EEF1292">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firstLine="480" w:firstLineChars="20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包1：17352张；包2：24416张；包3：16007张；包4：12839张；包5：19076张</w:t>
      </w:r>
    </w:p>
    <w:p w14:paraId="03A393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包6：21914张；包7：31988张；包8：20003张。</w:t>
      </w:r>
    </w:p>
    <w:p w14:paraId="5DC591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3、本项目全部采用焊缝X射线探伤检测，</w:t>
      </w:r>
      <w:r>
        <w:rPr>
          <w:rFonts w:hint="default" w:ascii="仿宋" w:hAnsi="仿宋" w:eastAsia="仿宋" w:cs="仿宋"/>
          <w:color w:val="auto"/>
          <w:sz w:val="24"/>
          <w:highlight w:val="none"/>
          <w:lang w:val="en-US" w:eastAsia="zh-CN"/>
        </w:rPr>
        <w:t>无法采用射线探伤的焊口,采用超声波探伤</w:t>
      </w:r>
      <w:r>
        <w:rPr>
          <w:rFonts w:hint="eastAsia" w:ascii="仿宋" w:hAnsi="仿宋" w:eastAsia="仿宋" w:cs="仿宋"/>
          <w:color w:val="auto"/>
          <w:sz w:val="24"/>
          <w:highlight w:val="none"/>
          <w:lang w:val="en-US" w:eastAsia="zh-CN"/>
        </w:rPr>
        <w:t>，工程量据实结算。</w:t>
      </w:r>
    </w:p>
    <w:p w14:paraId="0185DDF3">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firstLine="498" w:firstLineChars="200"/>
        <w:jc w:val="both"/>
        <w:textAlignment w:val="auto"/>
        <w:rPr>
          <w:rFonts w:hint="eastAsia" w:ascii="宋体" w:hAnsi="宋体" w:cs="宋体"/>
          <w:b/>
          <w:bCs/>
          <w:color w:val="auto"/>
          <w:spacing w:val="9"/>
          <w:sz w:val="23"/>
          <w:szCs w:val="23"/>
          <w:highlight w:val="none"/>
          <w:lang w:val="en-US" w:eastAsia="zh-CN"/>
        </w:rPr>
      </w:pPr>
      <w:r>
        <w:rPr>
          <w:rFonts w:hint="eastAsia" w:ascii="宋体" w:hAnsi="宋体" w:eastAsia="宋体" w:cs="宋体"/>
          <w:b/>
          <w:bCs/>
          <w:color w:val="auto"/>
          <w:spacing w:val="9"/>
          <w:sz w:val="23"/>
          <w:szCs w:val="23"/>
          <w:highlight w:val="none"/>
          <w:lang w:val="en-US" w:eastAsia="zh-CN"/>
        </w:rPr>
        <w:t>五、</w:t>
      </w:r>
      <w:r>
        <w:rPr>
          <w:rFonts w:hint="eastAsia" w:ascii="宋体" w:hAnsi="宋体" w:cs="宋体"/>
          <w:b/>
          <w:bCs/>
          <w:color w:val="auto"/>
          <w:spacing w:val="9"/>
          <w:sz w:val="23"/>
          <w:szCs w:val="23"/>
          <w:highlight w:val="none"/>
          <w:lang w:val="en-US" w:eastAsia="zh-CN"/>
        </w:rPr>
        <w:t>检测要求</w:t>
      </w:r>
    </w:p>
    <w:p w14:paraId="576DDEF0">
      <w:pPr>
        <w:tabs>
          <w:tab w:val="left" w:pos="811"/>
        </w:tabs>
        <w:bidi w:val="0"/>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1、一次管网无损检测按照《城镇供热管网工程施工及验收规范》CJJ28-2014执行。</w:t>
      </w:r>
    </w:p>
    <w:p w14:paraId="7F43F1CA">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firstLine="480" w:firstLineChars="20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(1)干线管道与设备、管件连接处和折点处的焊缝应进行100%射线探伤。</w:t>
      </w:r>
    </w:p>
    <w:p w14:paraId="677E405E">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firstLine="480" w:firstLineChars="20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(2)穿越铁路、公路的管道在路基两侧各10m范围内,穿越江、河或湖等的管道在岸边各10m范围内的焊缝应进行100%射线探伤。</w:t>
      </w:r>
    </w:p>
    <w:p w14:paraId="6E11B968">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firstLine="480" w:firstLineChars="20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(3)其余位置处管道要求进行100%射线探伤。</w:t>
      </w:r>
    </w:p>
    <w:p w14:paraId="2B2FFB34">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firstLine="480" w:firstLineChars="200"/>
        <w:jc w:val="both"/>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(4)射线探伤不得小于现行国家标准《无损检测金属管道熔化焊环向对接接头射线照相检测方法》GB/T12605-2008的Ⅱ级质量要求。且每个焊工不应少于一个焊缝。</w:t>
      </w:r>
    </w:p>
    <w:p w14:paraId="6C8D1947">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firstLine="480" w:firstLineChars="200"/>
        <w:jc w:val="both"/>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2、</w:t>
      </w:r>
      <w:r>
        <w:rPr>
          <w:rFonts w:hint="default" w:ascii="仿宋" w:hAnsi="仿宋" w:eastAsia="仿宋" w:cs="仿宋"/>
          <w:color w:val="auto"/>
          <w:sz w:val="24"/>
          <w:highlight w:val="none"/>
          <w:lang w:val="en-US" w:eastAsia="zh-CN"/>
        </w:rPr>
        <w:t>二次</w:t>
      </w:r>
      <w:r>
        <w:rPr>
          <w:rFonts w:hint="eastAsia" w:ascii="仿宋" w:hAnsi="仿宋" w:eastAsia="仿宋" w:cs="仿宋"/>
          <w:color w:val="auto"/>
          <w:sz w:val="24"/>
          <w:highlight w:val="none"/>
          <w:lang w:val="en-US" w:eastAsia="zh-CN"/>
        </w:rPr>
        <w:t>管</w:t>
      </w:r>
      <w:r>
        <w:rPr>
          <w:rFonts w:hint="default" w:ascii="仿宋" w:hAnsi="仿宋" w:eastAsia="仿宋" w:cs="仿宋"/>
          <w:color w:val="auto"/>
          <w:sz w:val="24"/>
          <w:highlight w:val="none"/>
          <w:lang w:val="en-US" w:eastAsia="zh-CN"/>
        </w:rPr>
        <w:t>网无损检测按照《城镇供热管网工程施工及验收规范》CJJ28-2014执行。</w:t>
      </w:r>
    </w:p>
    <w:p w14:paraId="497DFECA">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firstLine="480" w:firstLineChars="200"/>
        <w:jc w:val="both"/>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(1)干线管道与设备、管件连接处和折点处的焊缝应进行100%射线探伤。</w:t>
      </w:r>
    </w:p>
    <w:p w14:paraId="6A7D69EF">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firstLine="480" w:firstLineChars="200"/>
        <w:jc w:val="both"/>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(2)穿越铁路、公路的管道在路基两侧各10</w:t>
      </w:r>
      <w:r>
        <w:rPr>
          <w:rFonts w:hint="eastAsia" w:ascii="仿宋" w:hAnsi="仿宋" w:eastAsia="仿宋" w:cs="仿宋"/>
          <w:color w:val="auto"/>
          <w:sz w:val="24"/>
          <w:highlight w:val="none"/>
          <w:lang w:val="en-US" w:eastAsia="zh-CN"/>
        </w:rPr>
        <w:t>m</w:t>
      </w:r>
      <w:r>
        <w:rPr>
          <w:rFonts w:hint="default" w:ascii="仿宋" w:hAnsi="仿宋" w:eastAsia="仿宋" w:cs="仿宋"/>
          <w:color w:val="auto"/>
          <w:sz w:val="24"/>
          <w:highlight w:val="none"/>
          <w:lang w:val="en-US" w:eastAsia="zh-CN"/>
        </w:rPr>
        <w:t>范围内,穿越江、河或湖等的管道在岸边各10</w:t>
      </w:r>
      <w:r>
        <w:rPr>
          <w:rFonts w:hint="eastAsia" w:ascii="仿宋" w:hAnsi="仿宋" w:eastAsia="仿宋" w:cs="仿宋"/>
          <w:color w:val="auto"/>
          <w:sz w:val="24"/>
          <w:highlight w:val="none"/>
          <w:lang w:val="en-US" w:eastAsia="zh-CN"/>
        </w:rPr>
        <w:t>m</w:t>
      </w:r>
      <w:r>
        <w:rPr>
          <w:rFonts w:hint="default" w:ascii="仿宋" w:hAnsi="仿宋" w:eastAsia="仿宋" w:cs="仿宋"/>
          <w:color w:val="auto"/>
          <w:sz w:val="24"/>
          <w:highlight w:val="none"/>
          <w:lang w:val="en-US" w:eastAsia="zh-CN"/>
        </w:rPr>
        <w:t>范围内的焊缝应进行100%射线探伤。</w:t>
      </w:r>
    </w:p>
    <w:p w14:paraId="2D5B0037">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firstLine="480" w:firstLineChars="200"/>
        <w:jc w:val="both"/>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(3)其余位置处管道要求进行50%射线探伤,其中:与相邻建、构筑物基础净距不满足《城镇直埋热水管道技术规程》CJJ/T81表4.1.2要求的的管道，要求进行100%探伤。</w:t>
      </w:r>
    </w:p>
    <w:p w14:paraId="10AE0646">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firstLine="480" w:firstLineChars="200"/>
        <w:jc w:val="both"/>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(4)射线探伤不得小于现行国家标准《无损检测金属管道熔化焊环向对接接头射线照相检测方法》GB/T12605-2008的1级质量要求。且每个焊工不应少于一个焊缝。</w:t>
      </w:r>
    </w:p>
    <w:p w14:paraId="48D97B77">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firstLine="480" w:firstLineChars="200"/>
        <w:jc w:val="both"/>
        <w:textAlignment w:val="auto"/>
        <w:rPr>
          <w:rFonts w:hint="eastAsia"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(5)无法采用射线探伤的焊口,采用超声波探伤,超声波探伤不得小于现行国家标准《焊缝无损检测超声检测技术、检测等级和评定》GB/T11345的I级质量要求</w:t>
      </w:r>
      <w:r>
        <w:rPr>
          <w:rFonts w:hint="eastAsia" w:ascii="仿宋" w:hAnsi="仿宋" w:eastAsia="仿宋" w:cs="仿宋"/>
          <w:color w:val="auto"/>
          <w:sz w:val="24"/>
          <w:highlight w:val="none"/>
          <w:lang w:val="en-US" w:eastAsia="zh-CN"/>
        </w:rPr>
        <w:t>和《无损检测金属管道熔化焊环向对接接头射线照相检测方法》GB/T12605-2008的I级</w:t>
      </w:r>
      <w:r>
        <w:rPr>
          <w:rFonts w:hint="default" w:ascii="仿宋" w:hAnsi="仿宋" w:eastAsia="仿宋" w:cs="仿宋"/>
          <w:color w:val="auto"/>
          <w:sz w:val="24"/>
          <w:highlight w:val="none"/>
          <w:lang w:val="en-US" w:eastAsia="zh-CN"/>
        </w:rPr>
        <w:t>质量要求。并应按规范要求进行射线探伤复检，复检数量应为超声波探伤数量的20%。</w:t>
      </w:r>
      <w:r>
        <w:rPr>
          <w:rFonts w:hint="eastAsia" w:ascii="仿宋" w:hAnsi="仿宋" w:eastAsia="仿宋" w:cs="仿宋"/>
          <w:color w:val="auto"/>
          <w:sz w:val="24"/>
          <w:highlight w:val="none"/>
          <w:lang w:val="en-US" w:eastAsia="zh-CN"/>
        </w:rPr>
        <w:br w:type="page"/>
      </w:r>
    </w:p>
    <w:p w14:paraId="6B5C65F8">
      <w:pPr>
        <w:widowControl/>
        <w:snapToGrid w:val="0"/>
        <w:spacing w:line="360" w:lineRule="auto"/>
        <w:jc w:val="center"/>
        <w:outlineLvl w:val="0"/>
        <w:rPr>
          <w:rFonts w:ascii="Arial"/>
          <w:sz w:val="21"/>
          <w:highlight w:val="none"/>
        </w:rPr>
      </w:pPr>
      <w:r>
        <w:rPr>
          <w:rFonts w:hint="eastAsia" w:ascii="仿宋" w:hAnsi="仿宋" w:eastAsia="仿宋" w:cs="仿宋"/>
          <w:b/>
          <w:color w:val="auto"/>
          <w:kern w:val="0"/>
          <w:sz w:val="36"/>
          <w:szCs w:val="36"/>
          <w:highlight w:val="none"/>
          <w:lang w:val="en-US" w:eastAsia="zh-CN"/>
        </w:rPr>
        <w:t>第六部分</w:t>
      </w:r>
      <w:r>
        <w:rPr>
          <w:rFonts w:hint="eastAsia" w:ascii="仿宋" w:hAnsi="仿宋" w:eastAsia="仿宋" w:cs="仿宋"/>
          <w:b/>
          <w:color w:val="auto"/>
          <w:kern w:val="0"/>
          <w:sz w:val="36"/>
          <w:szCs w:val="36"/>
          <w:highlight w:val="none"/>
        </w:rPr>
        <w:t xml:space="preserve">  </w:t>
      </w:r>
      <w:bookmarkStart w:id="51" w:name="_Toc175644061"/>
      <w:r>
        <w:rPr>
          <w:rFonts w:hint="eastAsia" w:ascii="仿宋" w:hAnsi="仿宋" w:eastAsia="仿宋" w:cs="仿宋"/>
          <w:b/>
          <w:color w:val="auto"/>
          <w:kern w:val="0"/>
          <w:sz w:val="36"/>
          <w:szCs w:val="36"/>
          <w:highlight w:val="none"/>
          <w:lang w:eastAsia="zh-CN"/>
        </w:rPr>
        <w:t>采购</w:t>
      </w:r>
      <w:r>
        <w:rPr>
          <w:rFonts w:hint="eastAsia" w:ascii="仿宋" w:hAnsi="仿宋" w:eastAsia="仿宋" w:cs="仿宋"/>
          <w:b/>
          <w:color w:val="auto"/>
          <w:kern w:val="0"/>
          <w:sz w:val="36"/>
          <w:szCs w:val="36"/>
          <w:highlight w:val="none"/>
        </w:rPr>
        <w:t>合同</w:t>
      </w:r>
      <w:r>
        <w:rPr>
          <w:rFonts w:hint="eastAsia" w:ascii="仿宋" w:hAnsi="仿宋" w:eastAsia="仿宋" w:cs="仿宋"/>
          <w:b/>
          <w:color w:val="auto"/>
          <w:kern w:val="0"/>
          <w:sz w:val="36"/>
          <w:szCs w:val="36"/>
          <w:highlight w:val="none"/>
          <w:lang w:eastAsia="zh-CN"/>
        </w:rPr>
        <w:t>范本</w:t>
      </w:r>
      <w:r>
        <w:rPr>
          <w:rStyle w:val="101"/>
          <w:rFonts w:hint="eastAsia" w:ascii="仿宋" w:hAnsi="仿宋" w:eastAsia="仿宋" w:cs="仿宋"/>
          <w:b/>
          <w:bCs/>
          <w:color w:val="auto"/>
          <w:sz w:val="32"/>
          <w:szCs w:val="32"/>
          <w:highlight w:val="none"/>
        </w:rPr>
        <w:t>（供参考）</w:t>
      </w:r>
    </w:p>
    <w:p w14:paraId="5D56E349">
      <w:pPr>
        <w:spacing w:before="215" w:line="376" w:lineRule="auto"/>
        <w:ind w:firstLine="610"/>
        <w:jc w:val="both"/>
        <w:rPr>
          <w:rFonts w:hint="eastAsia" w:ascii="仿宋" w:hAnsi="仿宋" w:eastAsia="仿宋" w:cs="仿宋"/>
          <w:spacing w:val="24"/>
          <w:sz w:val="24"/>
          <w:szCs w:val="24"/>
          <w:highlight w:val="none"/>
        </w:rPr>
      </w:pPr>
      <w:r>
        <w:rPr>
          <w:rFonts w:hint="eastAsia" w:ascii="仿宋" w:hAnsi="仿宋" w:eastAsia="仿宋" w:cs="仿宋"/>
          <w:spacing w:val="24"/>
          <w:sz w:val="24"/>
          <w:szCs w:val="24"/>
          <w:highlight w:val="none"/>
        </w:rPr>
        <w:t>甲方(购买主体):</w:t>
      </w:r>
      <w:r>
        <w:rPr>
          <w:rFonts w:hint="eastAsia" w:ascii="仿宋" w:hAnsi="仿宋" w:eastAsia="仿宋" w:cs="仿宋"/>
          <w:spacing w:val="24"/>
          <w:sz w:val="24"/>
          <w:szCs w:val="24"/>
          <w:highlight w:val="none"/>
          <w:u w:val="single"/>
        </w:rPr>
        <w:t xml:space="preserve">                    </w:t>
      </w:r>
      <w:r>
        <w:rPr>
          <w:rFonts w:hint="eastAsia" w:ascii="仿宋" w:hAnsi="仿宋" w:eastAsia="仿宋" w:cs="仿宋"/>
          <w:spacing w:val="24"/>
          <w:sz w:val="24"/>
          <w:szCs w:val="24"/>
          <w:highlight w:val="none"/>
        </w:rPr>
        <w:t xml:space="preserve">           </w:t>
      </w:r>
    </w:p>
    <w:p w14:paraId="3ABDE980">
      <w:pPr>
        <w:spacing w:before="215" w:line="376" w:lineRule="auto"/>
        <w:ind w:firstLine="610"/>
        <w:jc w:val="both"/>
        <w:rPr>
          <w:rFonts w:hint="eastAsia" w:ascii="仿宋" w:hAnsi="仿宋" w:eastAsia="仿宋" w:cs="仿宋"/>
          <w:spacing w:val="24"/>
          <w:sz w:val="24"/>
          <w:szCs w:val="24"/>
          <w:highlight w:val="none"/>
        </w:rPr>
      </w:pPr>
      <w:r>
        <w:rPr>
          <w:rFonts w:hint="eastAsia" w:ascii="仿宋" w:hAnsi="仿宋" w:eastAsia="仿宋" w:cs="仿宋"/>
          <w:spacing w:val="24"/>
          <w:sz w:val="24"/>
          <w:szCs w:val="24"/>
          <w:highlight w:val="none"/>
        </w:rPr>
        <w:t>地址：</w:t>
      </w:r>
      <w:r>
        <w:rPr>
          <w:rFonts w:hint="eastAsia" w:ascii="仿宋" w:hAnsi="仿宋" w:eastAsia="仿宋" w:cs="仿宋"/>
          <w:spacing w:val="24"/>
          <w:sz w:val="24"/>
          <w:szCs w:val="24"/>
          <w:highlight w:val="none"/>
          <w:u w:val="single"/>
        </w:rPr>
        <w:t xml:space="preserve">                            </w:t>
      </w:r>
      <w:r>
        <w:rPr>
          <w:rFonts w:hint="eastAsia" w:ascii="仿宋" w:hAnsi="仿宋" w:eastAsia="仿宋" w:cs="仿宋"/>
          <w:spacing w:val="24"/>
          <w:sz w:val="24"/>
          <w:szCs w:val="24"/>
          <w:highlight w:val="none"/>
        </w:rPr>
        <w:t xml:space="preserve">              </w:t>
      </w:r>
    </w:p>
    <w:p w14:paraId="6CDD743C">
      <w:pPr>
        <w:spacing w:before="215" w:line="376" w:lineRule="auto"/>
        <w:ind w:firstLine="610"/>
        <w:jc w:val="both"/>
        <w:rPr>
          <w:rFonts w:hint="eastAsia" w:ascii="仿宋" w:hAnsi="仿宋" w:eastAsia="仿宋" w:cs="仿宋"/>
          <w:spacing w:val="24"/>
          <w:sz w:val="24"/>
          <w:szCs w:val="24"/>
          <w:highlight w:val="none"/>
        </w:rPr>
      </w:pPr>
      <w:r>
        <w:rPr>
          <w:rFonts w:hint="eastAsia" w:ascii="仿宋" w:hAnsi="仿宋" w:eastAsia="仿宋" w:cs="仿宋"/>
          <w:spacing w:val="24"/>
          <w:sz w:val="24"/>
          <w:szCs w:val="24"/>
          <w:highlight w:val="none"/>
        </w:rPr>
        <w:t>乙方(承接主体):</w:t>
      </w:r>
      <w:r>
        <w:rPr>
          <w:rFonts w:hint="eastAsia" w:ascii="仿宋" w:hAnsi="仿宋" w:eastAsia="仿宋" w:cs="仿宋"/>
          <w:spacing w:val="24"/>
          <w:sz w:val="24"/>
          <w:szCs w:val="24"/>
          <w:highlight w:val="none"/>
          <w:u w:val="single"/>
        </w:rPr>
        <w:t xml:space="preserve">                    </w:t>
      </w:r>
      <w:r>
        <w:rPr>
          <w:rFonts w:hint="eastAsia" w:ascii="仿宋" w:hAnsi="仿宋" w:eastAsia="仿宋" w:cs="仿宋"/>
          <w:spacing w:val="24"/>
          <w:sz w:val="24"/>
          <w:szCs w:val="24"/>
          <w:highlight w:val="none"/>
        </w:rPr>
        <w:t xml:space="preserve">         </w:t>
      </w:r>
    </w:p>
    <w:p w14:paraId="710B4F8A">
      <w:pPr>
        <w:spacing w:before="215" w:line="376" w:lineRule="auto"/>
        <w:ind w:firstLine="610"/>
        <w:jc w:val="both"/>
        <w:rPr>
          <w:rFonts w:hint="eastAsia" w:ascii="仿宋" w:hAnsi="仿宋" w:eastAsia="仿宋" w:cs="仿宋"/>
          <w:spacing w:val="24"/>
          <w:sz w:val="24"/>
          <w:szCs w:val="24"/>
          <w:highlight w:val="none"/>
        </w:rPr>
      </w:pPr>
      <w:r>
        <w:rPr>
          <w:rFonts w:hint="eastAsia" w:ascii="仿宋" w:hAnsi="仿宋" w:eastAsia="仿宋" w:cs="仿宋"/>
          <w:spacing w:val="24"/>
          <w:sz w:val="24"/>
          <w:szCs w:val="24"/>
          <w:highlight w:val="none"/>
        </w:rPr>
        <w:t>地址：</w:t>
      </w:r>
      <w:r>
        <w:rPr>
          <w:rFonts w:hint="eastAsia" w:ascii="仿宋" w:hAnsi="仿宋" w:eastAsia="仿宋" w:cs="仿宋"/>
          <w:spacing w:val="24"/>
          <w:sz w:val="24"/>
          <w:szCs w:val="24"/>
          <w:highlight w:val="none"/>
          <w:u w:val="single"/>
        </w:rPr>
        <w:t xml:space="preserve">                            </w:t>
      </w:r>
      <w:r>
        <w:rPr>
          <w:rFonts w:hint="eastAsia" w:ascii="仿宋" w:hAnsi="仿宋" w:eastAsia="仿宋" w:cs="仿宋"/>
          <w:spacing w:val="24"/>
          <w:sz w:val="24"/>
          <w:szCs w:val="24"/>
          <w:highlight w:val="none"/>
        </w:rPr>
        <w:t xml:space="preserve">              </w:t>
      </w:r>
    </w:p>
    <w:p w14:paraId="53C41D1F">
      <w:pPr>
        <w:spacing w:before="215" w:line="376" w:lineRule="auto"/>
        <w:ind w:firstLine="610"/>
        <w:jc w:val="both"/>
        <w:rPr>
          <w:rFonts w:hint="eastAsia" w:ascii="仿宋" w:hAnsi="仿宋" w:eastAsia="仿宋" w:cs="仿宋"/>
          <w:sz w:val="24"/>
          <w:szCs w:val="24"/>
          <w:highlight w:val="none"/>
        </w:rPr>
      </w:pPr>
      <w:r>
        <w:rPr>
          <w:rFonts w:hint="eastAsia" w:ascii="仿宋" w:hAnsi="仿宋" w:eastAsia="仿宋" w:cs="仿宋"/>
          <w:spacing w:val="24"/>
          <w:sz w:val="24"/>
          <w:szCs w:val="24"/>
          <w:highlight w:val="none"/>
        </w:rPr>
        <w:t>根据《中华人民共和国民法典》《中华人民共和国政府</w:t>
      </w:r>
      <w:r>
        <w:rPr>
          <w:rFonts w:hint="eastAsia" w:ascii="仿宋" w:hAnsi="仿宋" w:eastAsia="仿宋" w:cs="仿宋"/>
          <w:spacing w:val="23"/>
          <w:sz w:val="24"/>
          <w:szCs w:val="24"/>
          <w:highlight w:val="none"/>
        </w:rPr>
        <w:t>采购</w:t>
      </w:r>
      <w:r>
        <w:rPr>
          <w:rFonts w:hint="eastAsia" w:ascii="仿宋" w:hAnsi="仿宋" w:eastAsia="仿宋" w:cs="仿宋"/>
          <w:sz w:val="24"/>
          <w:szCs w:val="24"/>
          <w:highlight w:val="none"/>
        </w:rPr>
        <w:t xml:space="preserve"> </w:t>
      </w:r>
      <w:r>
        <w:rPr>
          <w:rFonts w:hint="eastAsia" w:ascii="仿宋" w:hAnsi="仿宋" w:eastAsia="仿宋" w:cs="仿宋"/>
          <w:spacing w:val="13"/>
          <w:sz w:val="24"/>
          <w:szCs w:val="24"/>
          <w:highlight w:val="none"/>
        </w:rPr>
        <w:t>法》《政府购买服务管理办法》和《山西省人民政府办公厅关</w:t>
      </w:r>
      <w:r>
        <w:rPr>
          <w:rFonts w:hint="eastAsia" w:ascii="仿宋" w:hAnsi="仿宋" w:eastAsia="仿宋" w:cs="仿宋"/>
          <w:spacing w:val="12"/>
          <w:sz w:val="24"/>
          <w:szCs w:val="24"/>
          <w:highlight w:val="none"/>
        </w:rPr>
        <w:t>于印</w:t>
      </w:r>
      <w:r>
        <w:rPr>
          <w:rFonts w:hint="eastAsia" w:ascii="仿宋" w:hAnsi="仿宋" w:eastAsia="仿宋" w:cs="仿宋"/>
          <w:sz w:val="24"/>
          <w:szCs w:val="24"/>
          <w:highlight w:val="none"/>
        </w:rPr>
        <w:t xml:space="preserve"> </w:t>
      </w:r>
      <w:r>
        <w:rPr>
          <w:rFonts w:hint="eastAsia" w:ascii="仿宋" w:hAnsi="仿宋" w:eastAsia="仿宋" w:cs="仿宋"/>
          <w:spacing w:val="23"/>
          <w:sz w:val="24"/>
          <w:szCs w:val="24"/>
          <w:highlight w:val="none"/>
        </w:rPr>
        <w:t>发山西省政府购买服务实施办法的通知》和《山西省财政厅山西</w:t>
      </w:r>
      <w:r>
        <w:rPr>
          <w:rFonts w:hint="eastAsia" w:ascii="仿宋" w:hAnsi="仿宋" w:eastAsia="仿宋" w:cs="仿宋"/>
          <w:spacing w:val="2"/>
          <w:sz w:val="24"/>
          <w:szCs w:val="24"/>
          <w:highlight w:val="none"/>
        </w:rPr>
        <w:t xml:space="preserve"> </w:t>
      </w:r>
      <w:r>
        <w:rPr>
          <w:rFonts w:hint="eastAsia" w:ascii="仿宋" w:hAnsi="仿宋" w:eastAsia="仿宋" w:cs="仿宋"/>
          <w:spacing w:val="29"/>
          <w:sz w:val="24"/>
          <w:szCs w:val="24"/>
          <w:highlight w:val="none"/>
        </w:rPr>
        <w:t>省市场监管局关于规范政府购买服务合同管理有关问题的通知》</w:t>
      </w:r>
      <w:r>
        <w:rPr>
          <w:rFonts w:hint="eastAsia" w:ascii="仿宋" w:hAnsi="仿宋" w:eastAsia="仿宋" w:cs="仿宋"/>
          <w:spacing w:val="12"/>
          <w:sz w:val="24"/>
          <w:szCs w:val="24"/>
          <w:highlight w:val="none"/>
        </w:rPr>
        <w:t>等相关规定，为保证政府购买服务实效，明确双方的权利</w:t>
      </w:r>
      <w:r>
        <w:rPr>
          <w:rFonts w:hint="eastAsia" w:ascii="仿宋" w:hAnsi="仿宋" w:eastAsia="仿宋" w:cs="仿宋"/>
          <w:spacing w:val="11"/>
          <w:sz w:val="24"/>
          <w:szCs w:val="24"/>
          <w:highlight w:val="none"/>
        </w:rPr>
        <w:t>义务，甲</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乙双方在平等、自愿、协商一致的基础上，现就</w:t>
      </w:r>
      <w:r>
        <w:rPr>
          <w:rFonts w:hint="eastAsia" w:ascii="仿宋" w:hAnsi="仿宋" w:eastAsia="仿宋" w:cs="仿宋"/>
          <w:spacing w:val="9"/>
          <w:sz w:val="24"/>
          <w:szCs w:val="24"/>
          <w:highlight w:val="none"/>
          <w:u w:val="single" w:color="auto"/>
        </w:rPr>
        <w:t xml:space="preserve">            </w:t>
      </w:r>
      <w:r>
        <w:rPr>
          <w:rFonts w:hint="eastAsia" w:ascii="仿宋" w:hAnsi="仿宋" w:eastAsia="仿宋" w:cs="仿宋"/>
          <w:spacing w:val="-27"/>
          <w:sz w:val="24"/>
          <w:szCs w:val="24"/>
          <w:highlight w:val="none"/>
        </w:rPr>
        <w:t xml:space="preserve"> </w:t>
      </w:r>
      <w:r>
        <w:rPr>
          <w:rFonts w:hint="eastAsia" w:ascii="仿宋" w:hAnsi="仿宋" w:eastAsia="仿宋" w:cs="仿宋"/>
          <w:spacing w:val="9"/>
          <w:sz w:val="24"/>
          <w:szCs w:val="24"/>
          <w:highlight w:val="none"/>
        </w:rPr>
        <w:t>(</w:t>
      </w:r>
      <w:r>
        <w:rPr>
          <w:rFonts w:hint="eastAsia" w:ascii="仿宋" w:hAnsi="仿宋" w:eastAsia="仿宋" w:cs="仿宋"/>
          <w:spacing w:val="-23"/>
          <w:sz w:val="24"/>
          <w:szCs w:val="24"/>
          <w:highlight w:val="none"/>
        </w:rPr>
        <w:t xml:space="preserve"> </w:t>
      </w:r>
      <w:r>
        <w:rPr>
          <w:rFonts w:hint="eastAsia" w:ascii="仿宋" w:hAnsi="仿宋" w:eastAsia="仿宋" w:cs="仿宋"/>
          <w:spacing w:val="9"/>
          <w:sz w:val="24"/>
          <w:szCs w:val="24"/>
          <w:highlight w:val="none"/>
        </w:rPr>
        <w:t>项</w:t>
      </w:r>
      <w:r>
        <w:rPr>
          <w:rFonts w:hint="eastAsia" w:ascii="仿宋" w:hAnsi="仿宋" w:eastAsia="仿宋" w:cs="仿宋"/>
          <w:spacing w:val="7"/>
          <w:sz w:val="24"/>
          <w:szCs w:val="24"/>
          <w:highlight w:val="none"/>
        </w:rPr>
        <w:t>目名称)达成如下合同，以兹共同遵守：</w:t>
      </w:r>
    </w:p>
    <w:p w14:paraId="3778AEAF">
      <w:pPr>
        <w:spacing w:before="253" w:line="222" w:lineRule="auto"/>
        <w:ind w:left="614"/>
        <w:outlineLvl w:val="0"/>
        <w:rPr>
          <w:rFonts w:hint="eastAsia" w:ascii="仿宋" w:hAnsi="仿宋" w:eastAsia="仿宋" w:cs="仿宋"/>
          <w:sz w:val="24"/>
          <w:szCs w:val="24"/>
          <w:highlight w:val="none"/>
        </w:rPr>
      </w:pPr>
      <w:r>
        <w:rPr>
          <w:rFonts w:hint="eastAsia" w:ascii="仿宋" w:hAnsi="仿宋" w:eastAsia="仿宋" w:cs="仿宋"/>
          <w:b/>
          <w:bCs/>
          <w:spacing w:val="-15"/>
          <w:sz w:val="24"/>
          <w:szCs w:val="24"/>
          <w:highlight w:val="none"/>
        </w:rPr>
        <w:t>一、项目名称及内容</w:t>
      </w:r>
    </w:p>
    <w:p w14:paraId="2F129C67">
      <w:pPr>
        <w:spacing w:before="215" w:line="376" w:lineRule="auto"/>
        <w:ind w:firstLine="610"/>
        <w:jc w:val="both"/>
        <w:rPr>
          <w:rFonts w:hint="eastAsia" w:ascii="仿宋" w:hAnsi="仿宋" w:eastAsia="仿宋" w:cs="仿宋"/>
          <w:spacing w:val="24"/>
          <w:sz w:val="24"/>
          <w:szCs w:val="24"/>
          <w:highlight w:val="none"/>
        </w:rPr>
      </w:pPr>
      <w:r>
        <w:rPr>
          <w:rFonts w:hint="eastAsia" w:ascii="仿宋" w:hAnsi="仿宋" w:eastAsia="仿宋" w:cs="仿宋"/>
          <w:spacing w:val="24"/>
          <w:sz w:val="24"/>
          <w:szCs w:val="24"/>
          <w:highlight w:val="none"/>
        </w:rPr>
        <w:t>(一)项目名称：</w:t>
      </w:r>
    </w:p>
    <w:p w14:paraId="45D12AEA">
      <w:pPr>
        <w:spacing w:before="215" w:line="376" w:lineRule="auto"/>
        <w:ind w:firstLine="610"/>
        <w:jc w:val="both"/>
        <w:rPr>
          <w:rFonts w:hint="eastAsia" w:ascii="仿宋" w:hAnsi="仿宋" w:eastAsia="仿宋" w:cs="仿宋"/>
          <w:spacing w:val="24"/>
          <w:sz w:val="24"/>
          <w:szCs w:val="24"/>
          <w:highlight w:val="none"/>
        </w:rPr>
      </w:pPr>
      <w:r>
        <w:rPr>
          <w:rFonts w:hint="eastAsia" w:ascii="仿宋" w:hAnsi="仿宋" w:eastAsia="仿宋" w:cs="仿宋"/>
          <w:spacing w:val="24"/>
          <w:sz w:val="24"/>
          <w:szCs w:val="24"/>
          <w:highlight w:val="none"/>
        </w:rPr>
        <w:t>(二)项目内容：</w:t>
      </w:r>
    </w:p>
    <w:p w14:paraId="3554C05E">
      <w:pPr>
        <w:spacing w:before="206" w:line="221" w:lineRule="auto"/>
        <w:ind w:left="614"/>
        <w:outlineLvl w:val="0"/>
        <w:rPr>
          <w:rFonts w:hint="eastAsia" w:ascii="仿宋" w:hAnsi="仿宋" w:eastAsia="仿宋" w:cs="仿宋"/>
          <w:sz w:val="24"/>
          <w:szCs w:val="24"/>
          <w:highlight w:val="none"/>
        </w:rPr>
      </w:pPr>
      <w:r>
        <w:rPr>
          <w:rFonts w:hint="eastAsia" w:ascii="仿宋" w:hAnsi="仿宋" w:eastAsia="仿宋" w:cs="仿宋"/>
          <w:b/>
          <w:bCs/>
          <w:spacing w:val="-15"/>
          <w:sz w:val="24"/>
          <w:szCs w:val="24"/>
          <w:highlight w:val="none"/>
        </w:rPr>
        <w:t>二、服务项目及要求</w:t>
      </w:r>
    </w:p>
    <w:p w14:paraId="410D45AE">
      <w:pPr>
        <w:spacing w:before="215" w:line="376" w:lineRule="auto"/>
        <w:ind w:firstLine="610"/>
        <w:jc w:val="both"/>
        <w:rPr>
          <w:rFonts w:hint="eastAsia" w:ascii="仿宋" w:hAnsi="仿宋" w:eastAsia="仿宋" w:cs="仿宋"/>
          <w:spacing w:val="24"/>
          <w:sz w:val="24"/>
          <w:szCs w:val="24"/>
          <w:highlight w:val="none"/>
        </w:rPr>
      </w:pPr>
      <w:r>
        <w:rPr>
          <w:rFonts w:hint="eastAsia" w:ascii="仿宋" w:hAnsi="仿宋" w:eastAsia="仿宋" w:cs="仿宋"/>
          <w:spacing w:val="24"/>
          <w:sz w:val="24"/>
          <w:szCs w:val="24"/>
          <w:highlight w:val="none"/>
        </w:rPr>
        <w:t>(一)服务对象：</w:t>
      </w:r>
    </w:p>
    <w:p w14:paraId="577F68EA">
      <w:pPr>
        <w:spacing w:before="215" w:line="376" w:lineRule="auto"/>
        <w:ind w:firstLine="610"/>
        <w:jc w:val="both"/>
        <w:rPr>
          <w:rFonts w:hint="eastAsia" w:ascii="仿宋" w:hAnsi="仿宋" w:eastAsia="仿宋" w:cs="仿宋"/>
          <w:spacing w:val="24"/>
          <w:sz w:val="24"/>
          <w:szCs w:val="24"/>
          <w:highlight w:val="none"/>
        </w:rPr>
      </w:pPr>
      <w:r>
        <w:rPr>
          <w:rFonts w:hint="eastAsia" w:ascii="仿宋" w:hAnsi="仿宋" w:eastAsia="仿宋" w:cs="仿宋"/>
          <w:spacing w:val="24"/>
          <w:sz w:val="24"/>
          <w:szCs w:val="24"/>
          <w:highlight w:val="none"/>
        </w:rPr>
        <w:t>(二)合同期限：合同期限为</w:t>
      </w:r>
      <w:r>
        <w:rPr>
          <w:rFonts w:hint="eastAsia" w:ascii="仿宋" w:hAnsi="仿宋" w:eastAsia="仿宋" w:cs="仿宋"/>
          <w:spacing w:val="24"/>
          <w:sz w:val="24"/>
          <w:szCs w:val="24"/>
          <w:highlight w:val="none"/>
          <w:u w:val="single"/>
        </w:rPr>
        <w:t xml:space="preserve">      </w:t>
      </w:r>
      <w:r>
        <w:rPr>
          <w:rFonts w:hint="eastAsia" w:ascii="仿宋" w:hAnsi="仿宋" w:eastAsia="仿宋" w:cs="仿宋"/>
          <w:spacing w:val="24"/>
          <w:sz w:val="24"/>
          <w:szCs w:val="24"/>
          <w:highlight w:val="none"/>
        </w:rPr>
        <w:t>年(月/日),自</w:t>
      </w:r>
      <w:r>
        <w:rPr>
          <w:rFonts w:hint="eastAsia" w:ascii="仿宋" w:hAnsi="仿宋" w:eastAsia="仿宋" w:cs="仿宋"/>
          <w:spacing w:val="24"/>
          <w:sz w:val="24"/>
          <w:szCs w:val="24"/>
          <w:highlight w:val="none"/>
          <w:u w:val="single"/>
        </w:rPr>
        <w:t xml:space="preserve">     </w:t>
      </w:r>
      <w:r>
        <w:rPr>
          <w:rFonts w:hint="eastAsia" w:ascii="仿宋" w:hAnsi="仿宋" w:eastAsia="仿宋" w:cs="仿宋"/>
          <w:spacing w:val="24"/>
          <w:sz w:val="24"/>
          <w:szCs w:val="24"/>
          <w:highlight w:val="none"/>
        </w:rPr>
        <w:t xml:space="preserve">年  </w:t>
      </w:r>
      <w:r>
        <w:rPr>
          <w:rFonts w:hint="eastAsia" w:ascii="仿宋" w:hAnsi="仿宋" w:eastAsia="仿宋" w:cs="仿宋"/>
          <w:spacing w:val="24"/>
          <w:sz w:val="24"/>
          <w:szCs w:val="24"/>
          <w:highlight w:val="none"/>
          <w:u w:val="single"/>
        </w:rPr>
        <w:t xml:space="preserve">   </w:t>
      </w:r>
      <w:r>
        <w:rPr>
          <w:rFonts w:hint="eastAsia" w:ascii="仿宋" w:hAnsi="仿宋" w:eastAsia="仿宋" w:cs="仿宋"/>
          <w:spacing w:val="24"/>
          <w:sz w:val="24"/>
          <w:szCs w:val="24"/>
          <w:highlight w:val="none"/>
        </w:rPr>
        <w:t xml:space="preserve">  月</w:t>
      </w:r>
      <w:r>
        <w:rPr>
          <w:rFonts w:hint="eastAsia" w:ascii="仿宋" w:hAnsi="仿宋" w:eastAsia="仿宋" w:cs="仿宋"/>
          <w:spacing w:val="24"/>
          <w:sz w:val="24"/>
          <w:szCs w:val="24"/>
          <w:highlight w:val="none"/>
          <w:u w:val="single"/>
        </w:rPr>
        <w:t xml:space="preserve">   </w:t>
      </w:r>
      <w:r>
        <w:rPr>
          <w:rFonts w:hint="eastAsia" w:ascii="仿宋" w:hAnsi="仿宋" w:eastAsia="仿宋" w:cs="仿宋"/>
          <w:spacing w:val="24"/>
          <w:sz w:val="24"/>
          <w:szCs w:val="24"/>
          <w:highlight w:val="none"/>
        </w:rPr>
        <w:t>日起至</w:t>
      </w:r>
      <w:r>
        <w:rPr>
          <w:rFonts w:hint="eastAsia" w:ascii="仿宋" w:hAnsi="仿宋" w:eastAsia="仿宋" w:cs="仿宋"/>
          <w:spacing w:val="24"/>
          <w:sz w:val="24"/>
          <w:szCs w:val="24"/>
          <w:highlight w:val="none"/>
          <w:u w:val="single"/>
        </w:rPr>
        <w:t xml:space="preserve">   </w:t>
      </w:r>
      <w:r>
        <w:rPr>
          <w:rFonts w:hint="eastAsia" w:ascii="仿宋" w:hAnsi="仿宋" w:eastAsia="仿宋" w:cs="仿宋"/>
          <w:spacing w:val="24"/>
          <w:sz w:val="24"/>
          <w:szCs w:val="24"/>
          <w:highlight w:val="none"/>
        </w:rPr>
        <w:t xml:space="preserve">年 </w:t>
      </w:r>
      <w:r>
        <w:rPr>
          <w:rFonts w:hint="eastAsia" w:ascii="仿宋" w:hAnsi="仿宋" w:eastAsia="仿宋" w:cs="仿宋"/>
          <w:spacing w:val="24"/>
          <w:sz w:val="24"/>
          <w:szCs w:val="24"/>
          <w:highlight w:val="none"/>
          <w:u w:val="single"/>
        </w:rPr>
        <w:t xml:space="preserve">   </w:t>
      </w:r>
      <w:r>
        <w:rPr>
          <w:rFonts w:hint="eastAsia" w:ascii="仿宋" w:hAnsi="仿宋" w:eastAsia="仿宋" w:cs="仿宋"/>
          <w:spacing w:val="24"/>
          <w:sz w:val="24"/>
          <w:szCs w:val="24"/>
          <w:highlight w:val="none"/>
        </w:rPr>
        <w:t>月</w:t>
      </w:r>
      <w:r>
        <w:rPr>
          <w:rFonts w:hint="eastAsia" w:ascii="仿宋" w:hAnsi="仿宋" w:eastAsia="仿宋" w:cs="仿宋"/>
          <w:spacing w:val="24"/>
          <w:sz w:val="24"/>
          <w:szCs w:val="24"/>
          <w:highlight w:val="none"/>
          <w:u w:val="single"/>
        </w:rPr>
        <w:t xml:space="preserve">   </w:t>
      </w:r>
      <w:r>
        <w:rPr>
          <w:rFonts w:hint="eastAsia" w:ascii="仿宋" w:hAnsi="仿宋" w:eastAsia="仿宋" w:cs="仿宋"/>
          <w:spacing w:val="24"/>
          <w:sz w:val="24"/>
          <w:szCs w:val="24"/>
          <w:highlight w:val="none"/>
        </w:rPr>
        <w:t>日止。</w:t>
      </w:r>
    </w:p>
    <w:p w14:paraId="550A7742">
      <w:pPr>
        <w:spacing w:before="215" w:line="376" w:lineRule="auto"/>
        <w:ind w:firstLine="610"/>
        <w:jc w:val="both"/>
        <w:rPr>
          <w:rFonts w:hint="eastAsia" w:ascii="仿宋" w:hAnsi="仿宋" w:eastAsia="仿宋" w:cs="仿宋"/>
          <w:spacing w:val="24"/>
          <w:sz w:val="24"/>
          <w:szCs w:val="24"/>
          <w:highlight w:val="none"/>
        </w:rPr>
      </w:pPr>
      <w:r>
        <w:rPr>
          <w:rFonts w:hint="eastAsia" w:ascii="仿宋" w:hAnsi="仿宋" w:eastAsia="仿宋" w:cs="仿宋"/>
          <w:spacing w:val="24"/>
          <w:sz w:val="24"/>
          <w:szCs w:val="24"/>
          <w:highlight w:val="none"/>
        </w:rPr>
        <w:t>(三)服务时间：</w:t>
      </w:r>
    </w:p>
    <w:p w14:paraId="0BE45179">
      <w:pPr>
        <w:spacing w:before="215" w:line="376" w:lineRule="auto"/>
        <w:ind w:firstLine="610"/>
        <w:jc w:val="both"/>
        <w:rPr>
          <w:rFonts w:hint="eastAsia" w:ascii="仿宋" w:hAnsi="仿宋" w:eastAsia="仿宋" w:cs="仿宋"/>
          <w:spacing w:val="24"/>
          <w:sz w:val="24"/>
          <w:szCs w:val="24"/>
          <w:highlight w:val="none"/>
        </w:rPr>
      </w:pPr>
      <w:r>
        <w:rPr>
          <w:rFonts w:hint="eastAsia" w:ascii="仿宋" w:hAnsi="仿宋" w:eastAsia="仿宋" w:cs="仿宋"/>
          <w:spacing w:val="24"/>
          <w:sz w:val="24"/>
          <w:szCs w:val="24"/>
          <w:highlight w:val="none"/>
        </w:rPr>
        <w:t>(四)服务数量：</w:t>
      </w:r>
    </w:p>
    <w:p w14:paraId="1C3EB70B">
      <w:pPr>
        <w:spacing w:before="215" w:line="376" w:lineRule="auto"/>
        <w:ind w:firstLine="610"/>
        <w:jc w:val="both"/>
        <w:rPr>
          <w:rFonts w:hint="eastAsia" w:ascii="仿宋" w:hAnsi="仿宋" w:eastAsia="仿宋" w:cs="仿宋"/>
          <w:spacing w:val="24"/>
          <w:sz w:val="24"/>
          <w:szCs w:val="24"/>
          <w:highlight w:val="none"/>
        </w:rPr>
      </w:pPr>
      <w:r>
        <w:rPr>
          <w:rFonts w:hint="eastAsia" w:ascii="仿宋" w:hAnsi="仿宋" w:eastAsia="仿宋" w:cs="仿宋"/>
          <w:spacing w:val="24"/>
          <w:sz w:val="24"/>
          <w:szCs w:val="24"/>
          <w:highlight w:val="none"/>
        </w:rPr>
        <w:t>(五)服务标准：</w:t>
      </w:r>
    </w:p>
    <w:p w14:paraId="6000D571">
      <w:pPr>
        <w:spacing w:before="215" w:line="376" w:lineRule="auto"/>
        <w:ind w:firstLine="610"/>
        <w:jc w:val="both"/>
        <w:rPr>
          <w:rFonts w:hint="eastAsia" w:ascii="仿宋" w:hAnsi="仿宋" w:eastAsia="仿宋" w:cs="仿宋"/>
          <w:spacing w:val="24"/>
          <w:sz w:val="24"/>
          <w:szCs w:val="24"/>
          <w:highlight w:val="none"/>
        </w:rPr>
      </w:pPr>
      <w:r>
        <w:rPr>
          <w:rFonts w:hint="eastAsia" w:ascii="仿宋" w:hAnsi="仿宋" w:eastAsia="仿宋" w:cs="仿宋"/>
          <w:spacing w:val="24"/>
          <w:sz w:val="24"/>
          <w:szCs w:val="24"/>
          <w:highlight w:val="none"/>
        </w:rPr>
        <w:t>(六)提供服务的地点：</w:t>
      </w:r>
    </w:p>
    <w:p w14:paraId="62C0EF62">
      <w:pPr>
        <w:spacing w:before="215" w:line="376" w:lineRule="auto"/>
        <w:ind w:firstLine="610"/>
        <w:jc w:val="both"/>
        <w:rPr>
          <w:rFonts w:hint="eastAsia" w:ascii="仿宋" w:hAnsi="仿宋" w:eastAsia="仿宋" w:cs="仿宋"/>
          <w:spacing w:val="24"/>
          <w:sz w:val="24"/>
          <w:szCs w:val="24"/>
          <w:highlight w:val="none"/>
        </w:rPr>
      </w:pPr>
      <w:r>
        <w:rPr>
          <w:rFonts w:hint="eastAsia" w:ascii="仿宋" w:hAnsi="仿宋" w:eastAsia="仿宋" w:cs="仿宋"/>
          <w:spacing w:val="24"/>
          <w:sz w:val="24"/>
          <w:szCs w:val="24"/>
          <w:highlight w:val="none"/>
        </w:rPr>
        <w:t>(七)提供服务的形式：</w:t>
      </w:r>
    </w:p>
    <w:p w14:paraId="6E87EC8C">
      <w:pPr>
        <w:spacing w:before="225" w:line="222" w:lineRule="auto"/>
        <w:ind w:left="649"/>
        <w:outlineLvl w:val="0"/>
        <w:rPr>
          <w:rFonts w:hint="eastAsia" w:ascii="仿宋" w:hAnsi="仿宋" w:eastAsia="仿宋" w:cs="仿宋"/>
          <w:sz w:val="24"/>
          <w:szCs w:val="24"/>
          <w:highlight w:val="none"/>
        </w:rPr>
      </w:pPr>
      <w:r>
        <w:rPr>
          <w:rFonts w:hint="eastAsia" w:ascii="仿宋" w:hAnsi="仿宋" w:eastAsia="仿宋" w:cs="仿宋"/>
          <w:b/>
          <w:bCs/>
          <w:spacing w:val="-17"/>
          <w:sz w:val="24"/>
          <w:szCs w:val="24"/>
          <w:highlight w:val="none"/>
        </w:rPr>
        <w:t>三、合同金额</w:t>
      </w:r>
    </w:p>
    <w:p w14:paraId="3555885D">
      <w:pPr>
        <w:pStyle w:val="2"/>
        <w:spacing w:before="188" w:line="224" w:lineRule="auto"/>
        <w:ind w:firstLine="690" w:firstLineChars="300"/>
        <w:jc w:val="both"/>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本合同服务费总金额为人民币(大写):</w:t>
      </w:r>
      <w:r>
        <w:rPr>
          <w:rFonts w:hint="eastAsia" w:ascii="仿宋" w:hAnsi="仿宋" w:eastAsia="仿宋" w:cs="仿宋"/>
          <w:position w:val="-4"/>
          <w:sz w:val="24"/>
          <w:szCs w:val="24"/>
          <w:highlight w:val="none"/>
        </w:rPr>
        <w:drawing>
          <wp:inline distT="0" distB="0" distL="114300" distR="114300">
            <wp:extent cx="463550" cy="9525"/>
            <wp:effectExtent l="0" t="0" r="0" b="0"/>
            <wp:docPr id="10" name="图片 1"/>
            <wp:cNvGraphicFramePr/>
            <a:graphic xmlns:a="http://schemas.openxmlformats.org/drawingml/2006/main">
              <a:graphicData uri="http://schemas.openxmlformats.org/drawingml/2006/picture">
                <pic:pic xmlns:pic="http://schemas.openxmlformats.org/drawingml/2006/picture">
                  <pic:nvPicPr>
                    <pic:cNvPr id="10" name="图片 1"/>
                    <pic:cNvPicPr/>
                  </pic:nvPicPr>
                  <pic:blipFill>
                    <a:blip r:embed="rId12"/>
                    <a:stretch>
                      <a:fillRect/>
                    </a:stretch>
                  </pic:blipFill>
                  <pic:spPr>
                    <a:xfrm>
                      <a:off x="0" y="0"/>
                      <a:ext cx="463550" cy="9525"/>
                    </a:xfrm>
                    <a:prstGeom prst="rect">
                      <a:avLst/>
                    </a:prstGeom>
                    <a:noFill/>
                    <a:ln>
                      <a:noFill/>
                    </a:ln>
                  </pic:spPr>
                </pic:pic>
              </a:graphicData>
            </a:graphic>
          </wp:inline>
        </w:drawing>
      </w:r>
      <w:r>
        <w:rPr>
          <w:rFonts w:hint="eastAsia" w:ascii="仿宋" w:hAnsi="仿宋" w:eastAsia="仿宋" w:cs="仿宋"/>
          <w:spacing w:val="-86"/>
          <w:sz w:val="24"/>
          <w:szCs w:val="24"/>
          <w:highlight w:val="none"/>
        </w:rPr>
        <w:t xml:space="preserve"> </w:t>
      </w:r>
      <w:r>
        <w:rPr>
          <w:rFonts w:hint="eastAsia" w:ascii="仿宋" w:hAnsi="仿宋" w:eastAsia="仿宋" w:cs="仿宋"/>
          <w:spacing w:val="-5"/>
          <w:position w:val="1"/>
          <w:sz w:val="24"/>
          <w:szCs w:val="24"/>
          <w:highlight w:val="none"/>
        </w:rPr>
        <w:t>元(Y</w:t>
      </w:r>
      <w:r>
        <w:rPr>
          <w:rFonts w:hint="eastAsia" w:ascii="仿宋" w:hAnsi="仿宋" w:eastAsia="仿宋" w:cs="仿宋"/>
          <w:spacing w:val="64"/>
          <w:position w:val="1"/>
          <w:sz w:val="24"/>
          <w:szCs w:val="24"/>
          <w:highlight w:val="none"/>
        </w:rPr>
        <w:t xml:space="preserve"> </w:t>
      </w:r>
      <w:r>
        <w:rPr>
          <w:rFonts w:hint="eastAsia" w:ascii="仿宋" w:hAnsi="仿宋" w:eastAsia="仿宋" w:cs="仿宋"/>
          <w:spacing w:val="12"/>
          <w:position w:val="1"/>
          <w:sz w:val="24"/>
          <w:szCs w:val="24"/>
          <w:highlight w:val="none"/>
          <w:u w:val="single" w:color="auto"/>
        </w:rPr>
        <w:t xml:space="preserve">    </w:t>
      </w:r>
      <w:r>
        <w:rPr>
          <w:rFonts w:hint="eastAsia" w:ascii="仿宋" w:hAnsi="仿宋" w:eastAsia="仿宋" w:cs="仿宋"/>
          <w:spacing w:val="-138"/>
          <w:position w:val="1"/>
          <w:sz w:val="24"/>
          <w:szCs w:val="24"/>
          <w:highlight w:val="none"/>
        </w:rPr>
        <w:t xml:space="preserve"> </w:t>
      </w:r>
      <w:r>
        <w:rPr>
          <w:rFonts w:hint="eastAsia" w:ascii="仿宋" w:hAnsi="仿宋" w:eastAsia="仿宋" w:cs="仿宋"/>
          <w:spacing w:val="-5"/>
          <w:position w:val="1"/>
          <w:sz w:val="24"/>
          <w:szCs w:val="24"/>
          <w:highlight w:val="none"/>
        </w:rPr>
        <w:t>元)。</w:t>
      </w:r>
    </w:p>
    <w:p w14:paraId="67186436">
      <w:pPr>
        <w:spacing w:before="214" w:line="221" w:lineRule="auto"/>
        <w:ind w:left="649"/>
        <w:outlineLvl w:val="0"/>
        <w:rPr>
          <w:rFonts w:hint="eastAsia" w:ascii="仿宋" w:hAnsi="仿宋" w:eastAsia="仿宋" w:cs="仿宋"/>
          <w:sz w:val="24"/>
          <w:szCs w:val="24"/>
          <w:highlight w:val="none"/>
        </w:rPr>
      </w:pPr>
      <w:r>
        <w:rPr>
          <w:rFonts w:hint="eastAsia" w:ascii="仿宋" w:hAnsi="仿宋" w:eastAsia="仿宋" w:cs="仿宋"/>
          <w:b/>
          <w:bCs/>
          <w:spacing w:val="-18"/>
          <w:sz w:val="24"/>
          <w:szCs w:val="24"/>
          <w:highlight w:val="none"/>
        </w:rPr>
        <w:t>四、付款方式</w:t>
      </w:r>
    </w:p>
    <w:p w14:paraId="791A4B27">
      <w:pPr>
        <w:spacing w:before="242" w:line="220" w:lineRule="auto"/>
        <w:ind w:left="649"/>
        <w:rPr>
          <w:rFonts w:hint="eastAsia" w:ascii="仿宋" w:hAnsi="仿宋" w:eastAsia="仿宋" w:cs="仿宋"/>
          <w:sz w:val="24"/>
          <w:szCs w:val="24"/>
          <w:highlight w:val="none"/>
        </w:rPr>
      </w:pPr>
      <w:r>
        <w:rPr>
          <w:rFonts w:hint="eastAsia" w:ascii="仿宋" w:hAnsi="仿宋" w:eastAsia="仿宋" w:cs="仿宋"/>
          <w:b/>
          <w:bCs/>
          <w:spacing w:val="-1"/>
          <w:sz w:val="24"/>
          <w:szCs w:val="24"/>
          <w:highlight w:val="none"/>
        </w:rPr>
        <w:t>(一)甲乙双方协商一致，采取以下第(</w:t>
      </w:r>
      <w:r>
        <w:rPr>
          <w:rFonts w:hint="eastAsia" w:ascii="仿宋" w:hAnsi="仿宋" w:eastAsia="仿宋" w:cs="仿宋"/>
          <w:spacing w:val="28"/>
          <w:sz w:val="24"/>
          <w:szCs w:val="24"/>
          <w:highlight w:val="none"/>
        </w:rPr>
        <w:t xml:space="preserve">   </w:t>
      </w:r>
      <w:r>
        <w:rPr>
          <w:rFonts w:hint="eastAsia" w:ascii="仿宋" w:hAnsi="仿宋" w:eastAsia="仿宋" w:cs="仿宋"/>
          <w:b/>
          <w:bCs/>
          <w:spacing w:val="-1"/>
          <w:sz w:val="24"/>
          <w:szCs w:val="24"/>
          <w:highlight w:val="none"/>
        </w:rPr>
        <w:t>)种付款方式：</w:t>
      </w:r>
    </w:p>
    <w:p w14:paraId="2967DEE8">
      <w:pPr>
        <w:spacing w:before="243" w:line="220" w:lineRule="auto"/>
        <w:ind w:left="644"/>
        <w:rPr>
          <w:rFonts w:hint="eastAsia" w:ascii="仿宋" w:hAnsi="仿宋" w:eastAsia="仿宋" w:cs="仿宋"/>
          <w:sz w:val="24"/>
          <w:szCs w:val="24"/>
          <w:highlight w:val="none"/>
        </w:rPr>
      </w:pPr>
      <w:r>
        <w:rPr>
          <w:rFonts w:hint="eastAsia" w:ascii="仿宋" w:hAnsi="仿宋" w:eastAsia="仿宋" w:cs="仿宋"/>
          <w:sz w:val="24"/>
          <w:szCs w:val="24"/>
          <w:highlight w:val="none"/>
        </w:rPr>
        <w:t>1.一次性付款：</w:t>
      </w:r>
    </w:p>
    <w:p w14:paraId="07CCE76D">
      <w:pPr>
        <w:spacing w:before="222" w:line="365" w:lineRule="auto"/>
        <w:ind w:left="644"/>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乙方履约完毕经甲方验收合格后</w:t>
      </w:r>
      <w:r>
        <w:rPr>
          <w:rFonts w:hint="eastAsia" w:ascii="仿宋" w:hAnsi="仿宋" w:eastAsia="仿宋" w:cs="仿宋"/>
          <w:spacing w:val="7"/>
          <w:sz w:val="24"/>
          <w:szCs w:val="24"/>
          <w:highlight w:val="none"/>
          <w:u w:val="single" w:color="auto"/>
        </w:rPr>
        <w:t xml:space="preserve">   </w:t>
      </w:r>
      <w:r>
        <w:rPr>
          <w:rFonts w:hint="eastAsia" w:ascii="仿宋" w:hAnsi="仿宋" w:eastAsia="仿宋" w:cs="仿宋"/>
          <w:spacing w:val="7"/>
          <w:sz w:val="24"/>
          <w:szCs w:val="24"/>
          <w:highlight w:val="none"/>
        </w:rPr>
        <w:t xml:space="preserve"> 日内， 一次性支付全部服务费。</w:t>
      </w:r>
    </w:p>
    <w:p w14:paraId="4E95AA2A">
      <w:pPr>
        <w:spacing w:before="246" w:line="223" w:lineRule="auto"/>
        <w:ind w:left="649"/>
        <w:outlineLvl w:val="0"/>
        <w:rPr>
          <w:rFonts w:hint="eastAsia" w:ascii="仿宋" w:hAnsi="仿宋" w:eastAsia="仿宋" w:cs="仿宋"/>
          <w:sz w:val="24"/>
          <w:szCs w:val="24"/>
          <w:highlight w:val="none"/>
        </w:rPr>
      </w:pPr>
      <w:r>
        <w:rPr>
          <w:rFonts w:hint="eastAsia" w:ascii="仿宋" w:hAnsi="仿宋" w:eastAsia="仿宋" w:cs="仿宋"/>
          <w:b/>
          <w:bCs/>
          <w:spacing w:val="-3"/>
          <w:sz w:val="24"/>
          <w:szCs w:val="24"/>
          <w:highlight w:val="none"/>
        </w:rPr>
        <w:t>2.分期支付：</w:t>
      </w:r>
    </w:p>
    <w:p w14:paraId="2F87EE3C">
      <w:pPr>
        <w:spacing w:before="231" w:line="222" w:lineRule="auto"/>
        <w:ind w:left="644"/>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(1)按年/按季度/按月支付等额的服务费；</w:t>
      </w:r>
    </w:p>
    <w:p w14:paraId="0701031A">
      <w:pPr>
        <w:spacing w:before="219" w:line="366" w:lineRule="auto"/>
        <w:ind w:left="644"/>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(2)合同签订后</w:t>
      </w:r>
      <w:r>
        <w:rPr>
          <w:rFonts w:hint="eastAsia" w:ascii="仿宋" w:hAnsi="仿宋" w:eastAsia="仿宋" w:cs="仿宋"/>
          <w:spacing w:val="-86"/>
          <w:sz w:val="24"/>
          <w:szCs w:val="24"/>
          <w:highlight w:val="none"/>
        </w:rPr>
        <w:t xml:space="preserve"> </w:t>
      </w:r>
      <w:r>
        <w:rPr>
          <w:rFonts w:hint="eastAsia" w:ascii="仿宋" w:hAnsi="仿宋" w:eastAsia="仿宋" w:cs="仿宋"/>
          <w:spacing w:val="30"/>
          <w:sz w:val="24"/>
          <w:szCs w:val="24"/>
          <w:highlight w:val="none"/>
          <w:u w:val="single" w:color="auto"/>
        </w:rPr>
        <w:t xml:space="preserve">   </w:t>
      </w:r>
      <w:r>
        <w:rPr>
          <w:rFonts w:hint="eastAsia" w:ascii="仿宋" w:hAnsi="仿宋" w:eastAsia="仿宋" w:cs="仿宋"/>
          <w:spacing w:val="-100"/>
          <w:sz w:val="24"/>
          <w:szCs w:val="24"/>
          <w:highlight w:val="none"/>
        </w:rPr>
        <w:t xml:space="preserve"> </w:t>
      </w:r>
      <w:r>
        <w:rPr>
          <w:rFonts w:hint="eastAsia" w:ascii="仿宋" w:hAnsi="仿宋" w:eastAsia="仿宋" w:cs="仿宋"/>
          <w:spacing w:val="11"/>
          <w:sz w:val="24"/>
          <w:szCs w:val="24"/>
          <w:highlight w:val="none"/>
        </w:rPr>
        <w:t>日内，甲方向乙方支付</w:t>
      </w:r>
      <w:r>
        <w:rPr>
          <w:rFonts w:hint="eastAsia" w:ascii="仿宋" w:hAnsi="仿宋" w:eastAsia="仿宋" w:cs="仿宋"/>
          <w:spacing w:val="11"/>
          <w:sz w:val="24"/>
          <w:szCs w:val="24"/>
          <w:highlight w:val="none"/>
          <w:u w:val="single" w:color="auto"/>
        </w:rPr>
        <w:t xml:space="preserve">    </w:t>
      </w:r>
      <w:r>
        <w:rPr>
          <w:rFonts w:hint="eastAsia" w:ascii="仿宋" w:hAnsi="仿宋" w:eastAsia="仿宋" w:cs="仿宋"/>
          <w:spacing w:val="-130"/>
          <w:sz w:val="24"/>
          <w:szCs w:val="24"/>
          <w:highlight w:val="none"/>
        </w:rPr>
        <w:t xml:space="preserve"> </w:t>
      </w:r>
      <w:r>
        <w:rPr>
          <w:rFonts w:hint="eastAsia" w:ascii="仿宋" w:hAnsi="仿宋" w:eastAsia="仿宋" w:cs="仿宋"/>
          <w:spacing w:val="11"/>
          <w:sz w:val="24"/>
          <w:szCs w:val="24"/>
          <w:highlight w:val="none"/>
        </w:rPr>
        <w:t>元</w:t>
      </w:r>
      <w:r>
        <w:rPr>
          <w:rFonts w:hint="eastAsia" w:ascii="仿宋" w:hAnsi="仿宋" w:eastAsia="仿宋" w:cs="仿宋"/>
          <w:spacing w:val="10"/>
          <w:sz w:val="24"/>
          <w:szCs w:val="24"/>
          <w:highlight w:val="none"/>
        </w:rPr>
        <w:t>(或合同总</w:t>
      </w:r>
      <w:r>
        <w:rPr>
          <w:rFonts w:hint="eastAsia" w:ascii="仿宋" w:hAnsi="仿宋" w:eastAsia="仿宋" w:cs="仿宋"/>
          <w:spacing w:val="8"/>
          <w:sz w:val="24"/>
          <w:szCs w:val="24"/>
          <w:highlight w:val="none"/>
        </w:rPr>
        <w:t>额的</w:t>
      </w:r>
      <w:r>
        <w:rPr>
          <w:rFonts w:hint="eastAsia" w:ascii="仿宋" w:hAnsi="仿宋" w:eastAsia="仿宋" w:cs="仿宋"/>
          <w:spacing w:val="-141"/>
          <w:sz w:val="24"/>
          <w:szCs w:val="24"/>
          <w:highlight w:val="none"/>
        </w:rPr>
        <w:t xml:space="preserve"> </w:t>
      </w:r>
      <w:r>
        <w:rPr>
          <w:rFonts w:hint="eastAsia" w:ascii="仿宋" w:hAnsi="仿宋" w:eastAsia="仿宋" w:cs="仿宋"/>
          <w:spacing w:val="12"/>
          <w:sz w:val="24"/>
          <w:szCs w:val="24"/>
          <w:highlight w:val="none"/>
          <w:u w:val="single" w:color="auto"/>
        </w:rPr>
        <w:t xml:space="preserve">    </w:t>
      </w:r>
      <w:r>
        <w:rPr>
          <w:rFonts w:hint="eastAsia" w:ascii="仿宋" w:hAnsi="仿宋" w:eastAsia="仿宋" w:cs="仿宋"/>
          <w:spacing w:val="-128"/>
          <w:sz w:val="24"/>
          <w:szCs w:val="24"/>
          <w:highlight w:val="none"/>
        </w:rPr>
        <w:t xml:space="preserve"> </w:t>
      </w:r>
      <w:r>
        <w:rPr>
          <w:rFonts w:hint="eastAsia" w:ascii="仿宋" w:hAnsi="仿宋" w:eastAsia="仿宋" w:cs="仿宋"/>
          <w:spacing w:val="8"/>
          <w:sz w:val="24"/>
          <w:szCs w:val="24"/>
          <w:highlight w:val="none"/>
        </w:rPr>
        <w:t>%);在交成果后</w:t>
      </w:r>
      <w:r>
        <w:rPr>
          <w:rFonts w:hint="eastAsia" w:ascii="仿宋" w:hAnsi="仿宋" w:eastAsia="仿宋" w:cs="仿宋"/>
          <w:spacing w:val="8"/>
          <w:sz w:val="24"/>
          <w:szCs w:val="24"/>
          <w:highlight w:val="none"/>
          <w:u w:val="single" w:color="auto"/>
        </w:rPr>
        <w:t xml:space="preserve">    </w:t>
      </w:r>
      <w:r>
        <w:rPr>
          <w:rFonts w:hint="eastAsia" w:ascii="仿宋" w:hAnsi="仿宋" w:eastAsia="仿宋" w:cs="仿宋"/>
          <w:spacing w:val="-70"/>
          <w:sz w:val="24"/>
          <w:szCs w:val="24"/>
          <w:highlight w:val="none"/>
        </w:rPr>
        <w:t xml:space="preserve"> </w:t>
      </w:r>
      <w:r>
        <w:rPr>
          <w:rFonts w:hint="eastAsia" w:ascii="仿宋" w:hAnsi="仿宋" w:eastAsia="仿宋" w:cs="仿宋"/>
          <w:spacing w:val="8"/>
          <w:sz w:val="24"/>
          <w:szCs w:val="24"/>
          <w:highlight w:val="none"/>
        </w:rPr>
        <w:t>日内，支付服务费总额的</w:t>
      </w:r>
      <w:r>
        <w:rPr>
          <w:rFonts w:hint="eastAsia" w:ascii="仿宋" w:hAnsi="仿宋" w:eastAsia="仿宋" w:cs="仿宋"/>
          <w:spacing w:val="8"/>
          <w:sz w:val="24"/>
          <w:szCs w:val="24"/>
          <w:highlight w:val="none"/>
          <w:u w:val="single" w:color="auto"/>
        </w:rPr>
        <w:t xml:space="preserve">    </w:t>
      </w:r>
      <w:r>
        <w:rPr>
          <w:rFonts w:hint="eastAsia" w:ascii="仿宋" w:hAnsi="仿宋" w:eastAsia="仿宋" w:cs="仿宋"/>
          <w:spacing w:val="8"/>
          <w:sz w:val="24"/>
          <w:szCs w:val="24"/>
          <w:highlight w:val="none"/>
        </w:rPr>
        <w:t>%;</w:t>
      </w:r>
    </w:p>
    <w:p w14:paraId="5F4851A8">
      <w:pPr>
        <w:spacing w:before="228" w:line="222" w:lineRule="auto"/>
        <w:ind w:left="644"/>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(3)按进度支付服务费；</w:t>
      </w:r>
    </w:p>
    <w:p w14:paraId="755B53DC">
      <w:pPr>
        <w:spacing w:before="256" w:line="221" w:lineRule="auto"/>
        <w:ind w:left="644"/>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(本条款内容可根据政府购买服务内容予以细化)</w:t>
      </w:r>
    </w:p>
    <w:p w14:paraId="197ADF80">
      <w:pPr>
        <w:spacing w:before="221" w:line="223" w:lineRule="auto"/>
        <w:ind w:left="649"/>
        <w:rPr>
          <w:rFonts w:hint="eastAsia" w:ascii="仿宋" w:hAnsi="仿宋" w:eastAsia="仿宋" w:cs="仿宋"/>
          <w:sz w:val="24"/>
          <w:szCs w:val="24"/>
          <w:highlight w:val="none"/>
        </w:rPr>
      </w:pPr>
      <w:r>
        <w:rPr>
          <w:rFonts w:hint="eastAsia" w:ascii="仿宋" w:hAnsi="仿宋" w:eastAsia="仿宋" w:cs="仿宋"/>
          <w:b/>
          <w:bCs/>
          <w:spacing w:val="-7"/>
          <w:sz w:val="24"/>
          <w:szCs w:val="24"/>
          <w:highlight w:val="none"/>
        </w:rPr>
        <w:t>(二)支付方式：</w:t>
      </w:r>
    </w:p>
    <w:p w14:paraId="6E62D6B6">
      <w:pPr>
        <w:spacing w:before="231" w:line="222" w:lineRule="auto"/>
        <w:ind w:left="644"/>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1.支付方式：银行转账。</w:t>
      </w:r>
    </w:p>
    <w:p w14:paraId="40A919F6">
      <w:pPr>
        <w:spacing w:before="231" w:line="222" w:lineRule="auto"/>
        <w:ind w:left="644"/>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2. 乙方账户信息如下：</w:t>
      </w:r>
    </w:p>
    <w:p w14:paraId="2CFEF771">
      <w:pPr>
        <w:spacing w:before="231" w:line="222" w:lineRule="auto"/>
        <w:ind w:left="644"/>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收款人名称：</w:t>
      </w:r>
      <w:r>
        <w:rPr>
          <w:rFonts w:hint="eastAsia" w:ascii="仿宋" w:hAnsi="仿宋" w:eastAsia="仿宋" w:cs="仿宋"/>
          <w:spacing w:val="3"/>
          <w:sz w:val="24"/>
          <w:szCs w:val="24"/>
          <w:highlight w:val="none"/>
          <w:u w:val="single"/>
        </w:rPr>
        <w:t xml:space="preserve">             </w:t>
      </w:r>
      <w:r>
        <w:rPr>
          <w:rFonts w:hint="eastAsia" w:ascii="仿宋" w:hAnsi="仿宋" w:eastAsia="仿宋" w:cs="仿宋"/>
          <w:spacing w:val="3"/>
          <w:sz w:val="24"/>
          <w:szCs w:val="24"/>
          <w:highlight w:val="none"/>
        </w:rPr>
        <w:t xml:space="preserve">         </w:t>
      </w:r>
      <w:r>
        <w:rPr>
          <w:rFonts w:hint="eastAsia" w:ascii="仿宋" w:hAnsi="仿宋" w:eastAsia="仿宋" w:cs="仿宋"/>
          <w:spacing w:val="3"/>
          <w:sz w:val="24"/>
          <w:szCs w:val="24"/>
          <w:highlight w:val="none"/>
          <w:lang w:val="en-US" w:eastAsia="zh-CN"/>
        </w:rPr>
        <w:t xml:space="preserve">  </w:t>
      </w:r>
      <w:r>
        <w:rPr>
          <w:rFonts w:hint="eastAsia" w:ascii="仿宋" w:hAnsi="仿宋" w:eastAsia="仿宋" w:cs="仿宋"/>
          <w:spacing w:val="3"/>
          <w:sz w:val="24"/>
          <w:szCs w:val="24"/>
          <w:highlight w:val="none"/>
        </w:rPr>
        <w:t xml:space="preserve">       </w:t>
      </w:r>
    </w:p>
    <w:p w14:paraId="2A5F42D1">
      <w:pPr>
        <w:spacing w:before="231" w:line="222" w:lineRule="auto"/>
        <w:ind w:left="644"/>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开户银行：</w:t>
      </w:r>
      <w:r>
        <w:rPr>
          <w:rFonts w:hint="eastAsia" w:ascii="仿宋" w:hAnsi="仿宋" w:eastAsia="仿宋" w:cs="仿宋"/>
          <w:spacing w:val="3"/>
          <w:sz w:val="24"/>
          <w:szCs w:val="24"/>
          <w:highlight w:val="none"/>
          <w:u w:val="single"/>
        </w:rPr>
        <w:t xml:space="preserve">               </w:t>
      </w:r>
      <w:r>
        <w:rPr>
          <w:rFonts w:hint="eastAsia" w:ascii="仿宋" w:hAnsi="仿宋" w:eastAsia="仿宋" w:cs="仿宋"/>
          <w:spacing w:val="3"/>
          <w:sz w:val="24"/>
          <w:szCs w:val="24"/>
          <w:highlight w:val="none"/>
        </w:rPr>
        <w:t xml:space="preserve">                 </w:t>
      </w:r>
    </w:p>
    <w:p w14:paraId="317D5E8C">
      <w:pPr>
        <w:spacing w:before="231" w:line="222" w:lineRule="auto"/>
        <w:ind w:left="644"/>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 xml:space="preserve">账    号： </w:t>
      </w:r>
      <w:r>
        <w:rPr>
          <w:rFonts w:hint="eastAsia" w:ascii="仿宋" w:hAnsi="仿宋" w:eastAsia="仿宋" w:cs="仿宋"/>
          <w:spacing w:val="3"/>
          <w:sz w:val="24"/>
          <w:szCs w:val="24"/>
          <w:highlight w:val="none"/>
          <w:u w:val="single"/>
        </w:rPr>
        <w:t xml:space="preserve">_             </w:t>
      </w:r>
      <w:r>
        <w:rPr>
          <w:rFonts w:hint="eastAsia" w:ascii="仿宋" w:hAnsi="仿宋" w:eastAsia="仿宋" w:cs="仿宋"/>
          <w:spacing w:val="3"/>
          <w:sz w:val="24"/>
          <w:szCs w:val="24"/>
          <w:highlight w:val="none"/>
        </w:rPr>
        <w:t xml:space="preserve">     </w:t>
      </w:r>
      <w:r>
        <w:rPr>
          <w:rFonts w:hint="eastAsia" w:ascii="仿宋" w:hAnsi="仿宋" w:eastAsia="仿宋" w:cs="仿宋"/>
          <w:spacing w:val="3"/>
          <w:sz w:val="24"/>
          <w:szCs w:val="24"/>
          <w:highlight w:val="none"/>
          <w:lang w:val="en-US" w:eastAsia="zh-CN"/>
        </w:rPr>
        <w:t xml:space="preserve">          </w:t>
      </w:r>
      <w:r>
        <w:rPr>
          <w:rFonts w:hint="eastAsia" w:ascii="仿宋" w:hAnsi="仿宋" w:eastAsia="仿宋" w:cs="仿宋"/>
          <w:spacing w:val="3"/>
          <w:sz w:val="24"/>
          <w:szCs w:val="24"/>
          <w:highlight w:val="none"/>
        </w:rPr>
        <w:t xml:space="preserve">    </w:t>
      </w:r>
      <w:r>
        <w:rPr>
          <w:rFonts w:hint="eastAsia" w:ascii="仿宋" w:hAnsi="仿宋" w:eastAsia="仿宋" w:cs="仿宋"/>
          <w:spacing w:val="2"/>
          <w:sz w:val="24"/>
          <w:szCs w:val="24"/>
          <w:highlight w:val="none"/>
        </w:rPr>
        <w:t xml:space="preserve">                  </w:t>
      </w:r>
      <w:r>
        <w:rPr>
          <w:rFonts w:hint="eastAsia" w:ascii="仿宋" w:hAnsi="仿宋" w:eastAsia="仿宋" w:cs="仿宋"/>
          <w:spacing w:val="1"/>
          <w:sz w:val="24"/>
          <w:szCs w:val="24"/>
          <w:highlight w:val="none"/>
        </w:rPr>
        <w:t xml:space="preserve">     </w:t>
      </w:r>
    </w:p>
    <w:p w14:paraId="78A14BEC">
      <w:pPr>
        <w:spacing w:before="147" w:line="221" w:lineRule="auto"/>
        <w:ind w:left="439" w:firstLine="205" w:firstLineChars="100"/>
        <w:outlineLvl w:val="0"/>
        <w:rPr>
          <w:rFonts w:hint="eastAsia" w:ascii="仿宋" w:hAnsi="仿宋" w:eastAsia="仿宋" w:cs="仿宋"/>
          <w:sz w:val="24"/>
          <w:szCs w:val="24"/>
          <w:highlight w:val="none"/>
        </w:rPr>
      </w:pPr>
      <w:r>
        <w:rPr>
          <w:rFonts w:hint="eastAsia" w:ascii="仿宋" w:hAnsi="仿宋" w:eastAsia="仿宋" w:cs="仿宋"/>
          <w:b/>
          <w:bCs/>
          <w:spacing w:val="-18"/>
          <w:sz w:val="24"/>
          <w:szCs w:val="24"/>
          <w:highlight w:val="none"/>
        </w:rPr>
        <w:t>五、绩效评价</w:t>
      </w:r>
    </w:p>
    <w:p w14:paraId="5651D6D7">
      <w:pPr>
        <w:spacing w:before="240" w:line="225" w:lineRule="auto"/>
        <w:ind w:left="439" w:firstLine="259" w:firstLineChars="100"/>
        <w:rPr>
          <w:rFonts w:hint="eastAsia" w:ascii="仿宋" w:hAnsi="仿宋" w:eastAsia="仿宋" w:cs="仿宋"/>
          <w:sz w:val="24"/>
          <w:szCs w:val="24"/>
          <w:highlight w:val="none"/>
        </w:rPr>
      </w:pPr>
      <w:r>
        <w:rPr>
          <w:rFonts w:hint="eastAsia" w:ascii="仿宋" w:hAnsi="仿宋" w:eastAsia="仿宋" w:cs="仿宋"/>
          <w:b/>
          <w:bCs/>
          <w:spacing w:val="9"/>
          <w:sz w:val="24"/>
          <w:szCs w:val="24"/>
          <w:highlight w:val="none"/>
        </w:rPr>
        <w:t>(一)服务质量绩效目标</w:t>
      </w:r>
    </w:p>
    <w:p w14:paraId="05962281">
      <w:pPr>
        <w:spacing w:before="230" w:line="222" w:lineRule="auto"/>
        <w:ind w:left="434" w:firstLine="268" w:firstLineChars="100"/>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(总体目标)</w:t>
      </w:r>
    </w:p>
    <w:p w14:paraId="2E433324">
      <w:pPr>
        <w:spacing w:before="220" w:line="223" w:lineRule="auto"/>
        <w:ind w:left="439" w:firstLine="259" w:firstLineChars="100"/>
        <w:rPr>
          <w:rFonts w:hint="eastAsia" w:ascii="仿宋" w:hAnsi="仿宋" w:eastAsia="仿宋" w:cs="仿宋"/>
          <w:sz w:val="24"/>
          <w:szCs w:val="24"/>
          <w:highlight w:val="none"/>
        </w:rPr>
      </w:pPr>
      <w:r>
        <w:rPr>
          <w:rFonts w:hint="eastAsia" w:ascii="仿宋" w:hAnsi="仿宋" w:eastAsia="仿宋" w:cs="仿宋"/>
          <w:b/>
          <w:bCs/>
          <w:spacing w:val="9"/>
          <w:sz w:val="24"/>
          <w:szCs w:val="24"/>
          <w:highlight w:val="none"/>
        </w:rPr>
        <w:t>(二)服务质量评价指标</w:t>
      </w:r>
    </w:p>
    <w:p w14:paraId="2C4E5A26">
      <w:pPr>
        <w:spacing w:before="247" w:line="222" w:lineRule="auto"/>
        <w:ind w:left="434" w:firstLine="252" w:firstLineChars="100"/>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1.数量指标</w:t>
      </w:r>
    </w:p>
    <w:p w14:paraId="06042B9C">
      <w:pPr>
        <w:spacing w:before="229" w:line="222" w:lineRule="auto"/>
        <w:ind w:left="434" w:firstLine="268" w:firstLineChars="100"/>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(具体指标)</w:t>
      </w:r>
    </w:p>
    <w:p w14:paraId="68C79091">
      <w:pPr>
        <w:spacing w:before="239" w:line="222" w:lineRule="auto"/>
        <w:ind w:left="434" w:firstLine="268" w:firstLineChars="100"/>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2.质量指标</w:t>
      </w:r>
    </w:p>
    <w:p w14:paraId="7FA53B33">
      <w:pPr>
        <w:spacing w:before="240" w:line="222" w:lineRule="auto"/>
        <w:ind w:left="434" w:firstLine="268" w:firstLineChars="100"/>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(具体指标)</w:t>
      </w:r>
    </w:p>
    <w:p w14:paraId="5EC4AD97">
      <w:pPr>
        <w:spacing w:before="219" w:line="222" w:lineRule="auto"/>
        <w:ind w:left="434" w:firstLine="262" w:firstLineChars="100"/>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3.时效指标</w:t>
      </w:r>
    </w:p>
    <w:p w14:paraId="3631F194">
      <w:pPr>
        <w:spacing w:before="249" w:line="222" w:lineRule="auto"/>
        <w:ind w:left="434" w:firstLine="268" w:firstLineChars="100"/>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(具体指标)</w:t>
      </w:r>
    </w:p>
    <w:p w14:paraId="7189C694">
      <w:pPr>
        <w:spacing w:before="219" w:line="222" w:lineRule="auto"/>
        <w:ind w:left="434" w:firstLine="268" w:firstLineChars="100"/>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4.成本指标</w:t>
      </w:r>
    </w:p>
    <w:p w14:paraId="0D84BE0A">
      <w:pPr>
        <w:spacing w:before="250" w:line="222" w:lineRule="auto"/>
        <w:ind w:left="434" w:firstLine="268" w:firstLineChars="100"/>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(具体指标)</w:t>
      </w:r>
    </w:p>
    <w:p w14:paraId="2C186FCE">
      <w:pPr>
        <w:spacing w:before="228" w:line="600" w:lineRule="exact"/>
        <w:ind w:left="434" w:firstLine="262" w:firstLineChars="100"/>
        <w:rPr>
          <w:rFonts w:hint="eastAsia" w:ascii="仿宋" w:hAnsi="仿宋" w:eastAsia="仿宋" w:cs="仿宋"/>
          <w:sz w:val="24"/>
          <w:szCs w:val="24"/>
          <w:highlight w:val="none"/>
        </w:rPr>
      </w:pPr>
      <w:r>
        <w:rPr>
          <w:rFonts w:hint="eastAsia" w:ascii="仿宋" w:hAnsi="仿宋" w:eastAsia="仿宋" w:cs="仿宋"/>
          <w:spacing w:val="11"/>
          <w:position w:val="22"/>
          <w:sz w:val="24"/>
          <w:szCs w:val="24"/>
          <w:highlight w:val="none"/>
        </w:rPr>
        <w:t>5.满意度指标</w:t>
      </w:r>
    </w:p>
    <w:p w14:paraId="74426CE7">
      <w:pPr>
        <w:spacing w:before="1" w:line="222" w:lineRule="auto"/>
        <w:ind w:left="434" w:firstLine="268" w:firstLineChars="100"/>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(具体指标)</w:t>
      </w:r>
    </w:p>
    <w:p w14:paraId="798848B9">
      <w:pPr>
        <w:spacing w:before="215" w:line="222" w:lineRule="auto"/>
        <w:ind w:left="439" w:firstLine="203" w:firstLineChars="100"/>
        <w:outlineLvl w:val="0"/>
        <w:rPr>
          <w:rFonts w:hint="eastAsia" w:ascii="仿宋" w:hAnsi="仿宋" w:eastAsia="仿宋" w:cs="仿宋"/>
          <w:sz w:val="24"/>
          <w:szCs w:val="24"/>
          <w:highlight w:val="none"/>
        </w:rPr>
      </w:pPr>
      <w:r>
        <w:rPr>
          <w:rFonts w:hint="eastAsia" w:ascii="仿宋" w:hAnsi="仿宋" w:eastAsia="仿宋" w:cs="仿宋"/>
          <w:b/>
          <w:bCs/>
          <w:spacing w:val="-19"/>
          <w:sz w:val="24"/>
          <w:szCs w:val="24"/>
          <w:highlight w:val="none"/>
        </w:rPr>
        <w:t>六、项目验收</w:t>
      </w:r>
    </w:p>
    <w:p w14:paraId="12667732">
      <w:pPr>
        <w:spacing w:before="233" w:line="600" w:lineRule="exact"/>
        <w:ind w:left="434" w:firstLine="252" w:firstLineChars="100"/>
        <w:rPr>
          <w:rFonts w:hint="eastAsia" w:ascii="仿宋" w:hAnsi="仿宋" w:eastAsia="仿宋" w:cs="仿宋"/>
          <w:sz w:val="24"/>
          <w:szCs w:val="24"/>
          <w:highlight w:val="none"/>
        </w:rPr>
      </w:pPr>
      <w:r>
        <w:rPr>
          <w:rFonts w:hint="eastAsia" w:ascii="仿宋" w:hAnsi="仿宋" w:eastAsia="仿宋" w:cs="仿宋"/>
          <w:spacing w:val="6"/>
          <w:position w:val="22"/>
          <w:sz w:val="24"/>
          <w:szCs w:val="24"/>
          <w:highlight w:val="none"/>
        </w:rPr>
        <w:t>(一)验收内容</w:t>
      </w:r>
    </w:p>
    <w:p w14:paraId="21548429">
      <w:pPr>
        <w:spacing w:line="222" w:lineRule="auto"/>
        <w:ind w:left="434" w:firstLine="254" w:firstLineChars="100"/>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(二)结果应用</w:t>
      </w:r>
    </w:p>
    <w:p w14:paraId="0A51928E">
      <w:pPr>
        <w:spacing w:before="240" w:line="222" w:lineRule="auto"/>
        <w:ind w:left="434" w:firstLine="272" w:firstLineChars="100"/>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(具体载明评价指标验收结果与合同资金挂钩的约定等)</w:t>
      </w:r>
    </w:p>
    <w:p w14:paraId="5DE17B92">
      <w:pPr>
        <w:numPr>
          <w:ilvl w:val="0"/>
          <w:numId w:val="1"/>
        </w:numPr>
        <w:spacing w:before="224" w:line="221" w:lineRule="auto"/>
        <w:ind w:left="439" w:firstLine="221" w:firstLineChars="100"/>
        <w:outlineLvl w:val="0"/>
        <w:rPr>
          <w:rFonts w:hint="eastAsia" w:ascii="仿宋" w:hAnsi="仿宋" w:eastAsia="仿宋" w:cs="仿宋"/>
          <w:b/>
          <w:bCs/>
          <w:spacing w:val="-10"/>
          <w:sz w:val="24"/>
          <w:szCs w:val="24"/>
          <w:highlight w:val="none"/>
        </w:rPr>
      </w:pPr>
      <w:r>
        <w:rPr>
          <w:rFonts w:hint="eastAsia" w:ascii="仿宋" w:hAnsi="仿宋" w:eastAsia="仿宋" w:cs="仿宋"/>
          <w:b/>
          <w:bCs/>
          <w:spacing w:val="-10"/>
          <w:sz w:val="24"/>
          <w:szCs w:val="24"/>
          <w:highlight w:val="none"/>
        </w:rPr>
        <w:t>甲乙双方权责</w:t>
      </w:r>
    </w:p>
    <w:p w14:paraId="6B9364AD">
      <w:pPr>
        <w:spacing w:before="98" w:line="222" w:lineRule="auto"/>
        <w:ind w:firstLine="544" w:firstLineChars="200"/>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(具体约定甲乙双方有关权责)</w:t>
      </w:r>
    </w:p>
    <w:p w14:paraId="704D2BBB">
      <w:pPr>
        <w:spacing w:before="225" w:line="222" w:lineRule="auto"/>
        <w:ind w:left="679"/>
        <w:outlineLvl w:val="0"/>
        <w:rPr>
          <w:rFonts w:hint="eastAsia" w:ascii="仿宋" w:hAnsi="仿宋" w:eastAsia="仿宋" w:cs="仿宋"/>
          <w:sz w:val="24"/>
          <w:szCs w:val="24"/>
          <w:highlight w:val="none"/>
        </w:rPr>
      </w:pPr>
      <w:r>
        <w:rPr>
          <w:rFonts w:hint="eastAsia" w:ascii="仿宋" w:hAnsi="仿宋" w:eastAsia="仿宋" w:cs="仿宋"/>
          <w:b/>
          <w:bCs/>
          <w:spacing w:val="-13"/>
          <w:sz w:val="24"/>
          <w:szCs w:val="24"/>
          <w:highlight w:val="none"/>
        </w:rPr>
        <w:t>八、合同的变更、终止和解除</w:t>
      </w:r>
    </w:p>
    <w:p w14:paraId="1BB7BFDE">
      <w:pPr>
        <w:spacing w:before="241" w:line="590" w:lineRule="exact"/>
        <w:ind w:right="64" w:firstLine="524" w:firstLineChars="200"/>
        <w:jc w:val="both"/>
        <w:rPr>
          <w:rFonts w:hint="eastAsia" w:ascii="仿宋" w:hAnsi="仿宋" w:eastAsia="仿宋" w:cs="仿宋"/>
          <w:spacing w:val="11"/>
          <w:position w:val="21"/>
          <w:sz w:val="24"/>
          <w:szCs w:val="24"/>
          <w:highlight w:val="none"/>
        </w:rPr>
      </w:pPr>
      <w:r>
        <w:rPr>
          <w:rFonts w:hint="eastAsia" w:ascii="仿宋" w:hAnsi="仿宋" w:eastAsia="仿宋" w:cs="仿宋"/>
          <w:spacing w:val="11"/>
          <w:position w:val="21"/>
          <w:sz w:val="24"/>
          <w:szCs w:val="24"/>
          <w:highlight w:val="none"/>
        </w:rPr>
        <w:t>(一)本合同未尽事宜，经双方协商可签订补充协议，补充协议与本合同具有同等法律效力，约定不同的，以补充协议为准。</w:t>
      </w:r>
    </w:p>
    <w:p w14:paraId="7215DA46">
      <w:pPr>
        <w:spacing w:before="241" w:line="590" w:lineRule="exact"/>
        <w:ind w:right="64" w:firstLine="524" w:firstLineChars="200"/>
        <w:jc w:val="both"/>
        <w:rPr>
          <w:rFonts w:hint="eastAsia" w:ascii="仿宋" w:hAnsi="仿宋" w:eastAsia="仿宋" w:cs="仿宋"/>
          <w:spacing w:val="11"/>
          <w:position w:val="21"/>
          <w:sz w:val="24"/>
          <w:szCs w:val="24"/>
          <w:highlight w:val="none"/>
        </w:rPr>
      </w:pPr>
      <w:r>
        <w:rPr>
          <w:rFonts w:hint="eastAsia" w:ascii="仿宋" w:hAnsi="仿宋" w:eastAsia="仿宋" w:cs="仿宋"/>
          <w:spacing w:val="11"/>
          <w:position w:val="21"/>
          <w:sz w:val="24"/>
          <w:szCs w:val="24"/>
          <w:highlight w:val="none"/>
        </w:rPr>
        <w:t>(二)因发生不可抗力等原因导致本合同无法履行或无继续 履行的必要的，双方可协商解除合同且互不承担违约责任。除上述约定外，任何一方不得擅自解除本合同。</w:t>
      </w:r>
    </w:p>
    <w:p w14:paraId="4E038470">
      <w:pPr>
        <w:spacing w:before="241" w:line="590" w:lineRule="exact"/>
        <w:ind w:right="64" w:firstLine="524" w:firstLineChars="200"/>
        <w:jc w:val="both"/>
        <w:rPr>
          <w:rFonts w:hint="eastAsia" w:ascii="仿宋" w:hAnsi="仿宋" w:eastAsia="仿宋" w:cs="仿宋"/>
          <w:spacing w:val="11"/>
          <w:position w:val="21"/>
          <w:sz w:val="24"/>
          <w:szCs w:val="24"/>
          <w:highlight w:val="none"/>
        </w:rPr>
      </w:pPr>
      <w:r>
        <w:rPr>
          <w:rFonts w:hint="eastAsia" w:ascii="仿宋" w:hAnsi="仿宋" w:eastAsia="仿宋" w:cs="仿宋"/>
          <w:spacing w:val="11"/>
          <w:position w:val="21"/>
          <w:sz w:val="24"/>
          <w:szCs w:val="24"/>
          <w:highlight w:val="none"/>
        </w:rPr>
        <w:t>(三)(若合同存在附条件生效的条款，应予以载明。)</w:t>
      </w:r>
    </w:p>
    <w:p w14:paraId="6B5D9B4C">
      <w:pPr>
        <w:spacing w:before="241" w:line="590" w:lineRule="exact"/>
        <w:ind w:right="64" w:firstLine="524" w:firstLineChars="200"/>
        <w:jc w:val="both"/>
        <w:rPr>
          <w:rFonts w:hint="eastAsia" w:ascii="仿宋" w:hAnsi="仿宋" w:eastAsia="仿宋" w:cs="仿宋"/>
          <w:spacing w:val="11"/>
          <w:position w:val="21"/>
          <w:sz w:val="24"/>
          <w:szCs w:val="24"/>
          <w:highlight w:val="none"/>
        </w:rPr>
      </w:pPr>
      <w:r>
        <w:rPr>
          <w:rFonts w:hint="eastAsia" w:ascii="仿宋" w:hAnsi="仿宋" w:eastAsia="仿宋" w:cs="仿宋"/>
          <w:spacing w:val="11"/>
          <w:position w:val="21"/>
          <w:sz w:val="24"/>
          <w:szCs w:val="24"/>
          <w:highlight w:val="none"/>
        </w:rPr>
        <w:t>(四)(其他需要约定的事项)</w:t>
      </w:r>
    </w:p>
    <w:p w14:paraId="61E6A2BB">
      <w:pPr>
        <w:spacing w:before="229" w:line="222" w:lineRule="auto"/>
        <w:ind w:left="679"/>
        <w:outlineLvl w:val="0"/>
        <w:rPr>
          <w:rFonts w:hint="eastAsia" w:ascii="仿宋" w:hAnsi="仿宋" w:eastAsia="仿宋" w:cs="仿宋"/>
          <w:sz w:val="24"/>
          <w:szCs w:val="24"/>
          <w:highlight w:val="none"/>
        </w:rPr>
      </w:pPr>
      <w:r>
        <w:rPr>
          <w:rFonts w:hint="eastAsia" w:ascii="仿宋" w:hAnsi="仿宋" w:eastAsia="仿宋" w:cs="仿宋"/>
          <w:b/>
          <w:bCs/>
          <w:spacing w:val="-20"/>
          <w:sz w:val="24"/>
          <w:szCs w:val="24"/>
          <w:highlight w:val="none"/>
        </w:rPr>
        <w:t>九、知识产权</w:t>
      </w:r>
    </w:p>
    <w:p w14:paraId="043F5876">
      <w:pPr>
        <w:numPr>
          <w:ilvl w:val="0"/>
          <w:numId w:val="0"/>
        </w:numPr>
        <w:spacing w:before="246" w:line="363" w:lineRule="auto"/>
        <w:ind w:right="59" w:rightChars="0" w:firstLine="524" w:firstLineChars="200"/>
        <w:rPr>
          <w:rFonts w:hint="eastAsia" w:ascii="仿宋" w:hAnsi="仿宋" w:eastAsia="仿宋" w:cs="仿宋"/>
          <w:spacing w:val="11"/>
          <w:sz w:val="24"/>
          <w:szCs w:val="24"/>
          <w:highlight w:val="none"/>
        </w:rPr>
      </w:pPr>
      <w:r>
        <w:rPr>
          <w:rFonts w:hint="eastAsia" w:ascii="仿宋" w:hAnsi="仿宋" w:eastAsia="仿宋" w:cs="仿宋"/>
          <w:spacing w:val="11"/>
          <w:sz w:val="24"/>
          <w:szCs w:val="24"/>
          <w:highlight w:val="none"/>
        </w:rPr>
        <w:t>(一)乙方保证甲方在使用成交服务时，不承担任何涉及知识产权法律诉讼的责任。</w:t>
      </w:r>
    </w:p>
    <w:p w14:paraId="71BB26D2">
      <w:pPr>
        <w:numPr>
          <w:ilvl w:val="0"/>
          <w:numId w:val="2"/>
        </w:numPr>
        <w:spacing w:before="246" w:line="363" w:lineRule="auto"/>
        <w:ind w:right="59" w:firstLine="524" w:firstLineChars="200"/>
        <w:rPr>
          <w:rFonts w:hint="eastAsia" w:ascii="仿宋" w:hAnsi="仿宋" w:eastAsia="仿宋" w:cs="仿宋"/>
          <w:spacing w:val="4"/>
          <w:sz w:val="24"/>
          <w:szCs w:val="24"/>
          <w:highlight w:val="none"/>
        </w:rPr>
      </w:pPr>
      <w:r>
        <w:rPr>
          <w:rFonts w:hint="eastAsia" w:ascii="仿宋" w:hAnsi="仿宋" w:eastAsia="仿宋" w:cs="仿宋"/>
          <w:spacing w:val="11"/>
          <w:sz w:val="24"/>
          <w:szCs w:val="24"/>
          <w:highlight w:val="none"/>
        </w:rPr>
        <w:t>乙方保证其提供的内容拥有合法的知识产权或授权，其</w:t>
      </w:r>
      <w:r>
        <w:rPr>
          <w:rFonts w:hint="eastAsia" w:ascii="仿宋" w:hAnsi="仿宋" w:eastAsia="仿宋" w:cs="仿宋"/>
          <w:spacing w:val="13"/>
          <w:sz w:val="24"/>
          <w:szCs w:val="24"/>
          <w:highlight w:val="none"/>
        </w:rPr>
        <w:t xml:space="preserve"> 权利义务不涉及第三人，没有任何侵权，若乙方所作</w:t>
      </w:r>
      <w:r>
        <w:rPr>
          <w:rFonts w:hint="eastAsia" w:ascii="仿宋" w:hAnsi="仿宋" w:eastAsia="仿宋" w:cs="仿宋"/>
          <w:spacing w:val="12"/>
          <w:sz w:val="24"/>
          <w:szCs w:val="24"/>
          <w:highlight w:val="none"/>
        </w:rPr>
        <w:t>的设计造成</w:t>
      </w:r>
      <w:r>
        <w:rPr>
          <w:rFonts w:hint="eastAsia" w:ascii="仿宋" w:hAnsi="仿宋" w:eastAsia="仿宋" w:cs="仿宋"/>
          <w:sz w:val="24"/>
          <w:szCs w:val="24"/>
          <w:highlight w:val="none"/>
        </w:rPr>
        <w:t xml:space="preserve"> </w:t>
      </w:r>
      <w:r>
        <w:rPr>
          <w:rFonts w:hint="eastAsia" w:ascii="仿宋" w:hAnsi="仿宋" w:eastAsia="仿宋" w:cs="仿宋"/>
          <w:spacing w:val="12"/>
          <w:sz w:val="24"/>
          <w:szCs w:val="24"/>
          <w:highlight w:val="none"/>
        </w:rPr>
        <w:t>任何第三方的专利权、商标权、著作权或其他受保护的权利的侵</w:t>
      </w:r>
      <w:r>
        <w:rPr>
          <w:rFonts w:hint="eastAsia" w:ascii="仿宋" w:hAnsi="仿宋" w:eastAsia="仿宋" w:cs="仿宋"/>
          <w:spacing w:val="11"/>
          <w:sz w:val="24"/>
          <w:szCs w:val="24"/>
          <w:highlight w:val="none"/>
        </w:rPr>
        <w:t xml:space="preserve"> </w:t>
      </w:r>
      <w:r>
        <w:rPr>
          <w:rFonts w:hint="eastAsia" w:ascii="仿宋" w:hAnsi="仿宋" w:eastAsia="仿宋" w:cs="仿宋"/>
          <w:spacing w:val="24"/>
          <w:sz w:val="24"/>
          <w:szCs w:val="24"/>
          <w:highlight w:val="none"/>
        </w:rPr>
        <w:t>犯，则所引起的一切索赔和诉讼由乙方承担并负责支付损害赔</w:t>
      </w:r>
      <w:r>
        <w:rPr>
          <w:rFonts w:hint="eastAsia" w:ascii="仿宋" w:hAnsi="仿宋" w:eastAsia="仿宋" w:cs="仿宋"/>
          <w:spacing w:val="1"/>
          <w:sz w:val="24"/>
          <w:szCs w:val="24"/>
          <w:highlight w:val="none"/>
        </w:rPr>
        <w:t xml:space="preserve"> </w:t>
      </w:r>
      <w:r>
        <w:rPr>
          <w:rFonts w:hint="eastAsia" w:ascii="仿宋" w:hAnsi="仿宋" w:eastAsia="仿宋" w:cs="仿宋"/>
          <w:spacing w:val="13"/>
          <w:sz w:val="24"/>
          <w:szCs w:val="24"/>
          <w:highlight w:val="none"/>
        </w:rPr>
        <w:t>偿、诉讼费、律师费等一切费用。若发生以上情况并</w:t>
      </w:r>
      <w:r>
        <w:rPr>
          <w:rFonts w:hint="eastAsia" w:ascii="仿宋" w:hAnsi="仿宋" w:eastAsia="仿宋" w:cs="仿宋"/>
          <w:spacing w:val="12"/>
          <w:sz w:val="24"/>
          <w:szCs w:val="24"/>
          <w:highlight w:val="none"/>
        </w:rPr>
        <w:t>给甲方造成</w:t>
      </w:r>
      <w:r>
        <w:rPr>
          <w:rFonts w:hint="eastAsia" w:ascii="仿宋" w:hAnsi="仿宋" w:eastAsia="仿宋" w:cs="仿宋"/>
          <w:spacing w:val="4"/>
          <w:sz w:val="24"/>
          <w:szCs w:val="24"/>
          <w:highlight w:val="none"/>
        </w:rPr>
        <w:t>损失，乙方应负法律责任，甲方有权依法向乙方索赔并追究责任。</w:t>
      </w:r>
    </w:p>
    <w:p w14:paraId="0683848D">
      <w:pPr>
        <w:numPr>
          <w:ilvl w:val="0"/>
          <w:numId w:val="2"/>
        </w:numPr>
        <w:spacing w:before="246" w:line="363" w:lineRule="auto"/>
        <w:ind w:right="59" w:firstLine="536" w:firstLineChars="200"/>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(其他需要约定的事项)</w:t>
      </w:r>
    </w:p>
    <w:p w14:paraId="3260044E">
      <w:pPr>
        <w:spacing w:before="246" w:line="221" w:lineRule="auto"/>
        <w:ind w:left="679"/>
        <w:rPr>
          <w:rFonts w:hint="eastAsia" w:ascii="仿宋" w:hAnsi="仿宋" w:eastAsia="仿宋" w:cs="仿宋"/>
          <w:sz w:val="24"/>
          <w:szCs w:val="24"/>
          <w:highlight w:val="none"/>
        </w:rPr>
      </w:pPr>
      <w:r>
        <w:rPr>
          <w:rFonts w:hint="eastAsia" w:ascii="仿宋" w:hAnsi="仿宋" w:eastAsia="仿宋" w:cs="仿宋"/>
          <w:b/>
          <w:bCs/>
          <w:spacing w:val="-19"/>
          <w:sz w:val="24"/>
          <w:szCs w:val="24"/>
          <w:highlight w:val="none"/>
        </w:rPr>
        <w:t>十、违约责任</w:t>
      </w:r>
    </w:p>
    <w:p w14:paraId="71F367D2">
      <w:pPr>
        <w:spacing w:before="235" w:line="598" w:lineRule="exact"/>
        <w:ind w:right="64" w:firstLine="532" w:firstLineChars="200"/>
        <w:jc w:val="both"/>
        <w:rPr>
          <w:rFonts w:hint="eastAsia" w:ascii="仿宋" w:hAnsi="仿宋" w:eastAsia="仿宋" w:cs="仿宋"/>
          <w:sz w:val="24"/>
          <w:szCs w:val="24"/>
          <w:highlight w:val="none"/>
        </w:rPr>
      </w:pPr>
      <w:r>
        <w:rPr>
          <w:rFonts w:hint="eastAsia" w:ascii="仿宋" w:hAnsi="仿宋" w:eastAsia="仿宋" w:cs="仿宋"/>
          <w:spacing w:val="13"/>
          <w:sz w:val="24"/>
          <w:szCs w:val="24"/>
          <w:highlight w:val="none"/>
        </w:rPr>
        <w:t>(一)依据《中华人民共和国民法典》、《中华人民共和国政府采购法》的相关条款和本合同约定，乙方未全面履行合同义务或者发生违约，甲方有权终止合同，依法向乙方进行经济索赔，并报 请政府采购监督管理机关进行相应的行政处罚。甲方违约的，应当赔偿给乙方造成的经济损失。</w:t>
      </w:r>
    </w:p>
    <w:p w14:paraId="127C88A8">
      <w:pPr>
        <w:spacing w:before="239" w:line="222" w:lineRule="auto"/>
        <w:ind w:left="620"/>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(二)(其他需要约定的事项)</w:t>
      </w:r>
    </w:p>
    <w:p w14:paraId="3A808E52">
      <w:pPr>
        <w:spacing w:before="214" w:line="221" w:lineRule="auto"/>
        <w:ind w:left="624"/>
        <w:rPr>
          <w:rFonts w:hint="eastAsia" w:ascii="仿宋" w:hAnsi="仿宋" w:eastAsia="仿宋" w:cs="仿宋"/>
          <w:sz w:val="24"/>
          <w:szCs w:val="24"/>
          <w:highlight w:val="none"/>
        </w:rPr>
      </w:pPr>
      <w:r>
        <w:rPr>
          <w:rFonts w:hint="eastAsia" w:ascii="仿宋" w:hAnsi="仿宋" w:eastAsia="仿宋" w:cs="仿宋"/>
          <w:b/>
          <w:bCs/>
          <w:spacing w:val="-23"/>
          <w:sz w:val="24"/>
          <w:szCs w:val="24"/>
          <w:highlight w:val="none"/>
        </w:rPr>
        <w:t>十一、保密条款</w:t>
      </w:r>
    </w:p>
    <w:p w14:paraId="1EB62D7B">
      <w:pPr>
        <w:spacing w:before="235" w:line="598" w:lineRule="exact"/>
        <w:ind w:right="64" w:firstLine="532" w:firstLineChars="200"/>
        <w:jc w:val="both"/>
        <w:rPr>
          <w:rFonts w:hint="eastAsia" w:ascii="仿宋" w:hAnsi="仿宋" w:eastAsia="仿宋" w:cs="仿宋"/>
          <w:spacing w:val="13"/>
          <w:sz w:val="24"/>
          <w:szCs w:val="24"/>
          <w:highlight w:val="none"/>
        </w:rPr>
      </w:pPr>
      <w:r>
        <w:rPr>
          <w:rFonts w:hint="eastAsia" w:ascii="仿宋" w:hAnsi="仿宋" w:eastAsia="仿宋" w:cs="仿宋"/>
          <w:spacing w:val="13"/>
          <w:sz w:val="24"/>
          <w:szCs w:val="24"/>
          <w:highlight w:val="none"/>
        </w:rPr>
        <w:t>乙方及其项目参加人员应就合同履行过程中了解到、涉及 到、搜集到甲方技术信息、经验信息以及其他尚未公开的有关信 息、资料负有保密义务，并采取相应的保密措施，如发生以上情况，甲方有权索赔。乙方应承担的保密义务包括但不限于：</w:t>
      </w:r>
    </w:p>
    <w:p w14:paraId="7D2A37C3">
      <w:pPr>
        <w:spacing w:before="235" w:line="598" w:lineRule="exact"/>
        <w:ind w:right="64" w:firstLine="532" w:firstLineChars="200"/>
        <w:jc w:val="both"/>
        <w:rPr>
          <w:rFonts w:hint="eastAsia" w:ascii="仿宋" w:hAnsi="仿宋" w:eastAsia="仿宋" w:cs="仿宋"/>
          <w:spacing w:val="13"/>
          <w:sz w:val="24"/>
          <w:szCs w:val="24"/>
          <w:highlight w:val="none"/>
        </w:rPr>
      </w:pPr>
      <w:r>
        <w:rPr>
          <w:rFonts w:hint="eastAsia" w:ascii="仿宋" w:hAnsi="仿宋" w:eastAsia="仿宋" w:cs="仿宋"/>
          <w:spacing w:val="13"/>
          <w:sz w:val="24"/>
          <w:szCs w:val="24"/>
          <w:highlight w:val="none"/>
        </w:rPr>
        <w:t>(一)未经甲方书面同意，不得将上述信息、资料披露给任何第三人；</w:t>
      </w:r>
    </w:p>
    <w:p w14:paraId="7E2AF860">
      <w:pPr>
        <w:spacing w:before="235" w:line="598" w:lineRule="exact"/>
        <w:ind w:right="64" w:firstLine="532" w:firstLineChars="200"/>
        <w:jc w:val="both"/>
        <w:rPr>
          <w:rFonts w:hint="eastAsia" w:ascii="仿宋" w:hAnsi="仿宋" w:eastAsia="仿宋" w:cs="仿宋"/>
          <w:spacing w:val="13"/>
          <w:sz w:val="24"/>
          <w:szCs w:val="24"/>
          <w:highlight w:val="none"/>
        </w:rPr>
      </w:pPr>
      <w:r>
        <w:rPr>
          <w:rFonts w:hint="eastAsia" w:ascii="仿宋" w:hAnsi="仿宋" w:eastAsia="仿宋" w:cs="仿宋"/>
          <w:spacing w:val="13"/>
          <w:sz w:val="24"/>
          <w:szCs w:val="24"/>
          <w:highlight w:val="none"/>
        </w:rPr>
        <w:t>(二)不得将上述信息、资料用于本合同以外的其他目的；</w:t>
      </w:r>
    </w:p>
    <w:p w14:paraId="3B437C33">
      <w:pPr>
        <w:spacing w:before="235" w:line="598" w:lineRule="exact"/>
        <w:ind w:right="64" w:firstLine="532" w:firstLineChars="200"/>
        <w:jc w:val="both"/>
        <w:rPr>
          <w:rFonts w:hint="eastAsia" w:ascii="仿宋" w:hAnsi="仿宋" w:eastAsia="仿宋" w:cs="仿宋"/>
          <w:spacing w:val="13"/>
          <w:sz w:val="24"/>
          <w:szCs w:val="24"/>
          <w:highlight w:val="none"/>
        </w:rPr>
      </w:pPr>
      <w:r>
        <w:rPr>
          <w:rFonts w:hint="eastAsia" w:ascii="仿宋" w:hAnsi="仿宋" w:eastAsia="仿宋" w:cs="仿宋"/>
          <w:spacing w:val="13"/>
          <w:sz w:val="24"/>
          <w:szCs w:val="24"/>
          <w:highlight w:val="none"/>
        </w:rPr>
        <w:t>(三)在本合同终止或解除后或按甲方要求，及时将上述信息、资料返还甲方，或按甲方要求作适当处理。</w:t>
      </w:r>
    </w:p>
    <w:p w14:paraId="27F78CFA">
      <w:pPr>
        <w:spacing w:before="235" w:line="598" w:lineRule="exact"/>
        <w:ind w:right="64" w:firstLine="532" w:firstLineChars="200"/>
        <w:jc w:val="both"/>
        <w:rPr>
          <w:rFonts w:hint="eastAsia" w:ascii="仿宋" w:hAnsi="仿宋" w:eastAsia="仿宋" w:cs="仿宋"/>
          <w:spacing w:val="13"/>
          <w:sz w:val="24"/>
          <w:szCs w:val="24"/>
          <w:highlight w:val="none"/>
        </w:rPr>
      </w:pPr>
      <w:r>
        <w:rPr>
          <w:rFonts w:hint="eastAsia" w:ascii="仿宋" w:hAnsi="仿宋" w:eastAsia="仿宋" w:cs="仿宋"/>
          <w:spacing w:val="13"/>
          <w:sz w:val="24"/>
          <w:szCs w:val="24"/>
          <w:highlight w:val="none"/>
        </w:rPr>
        <w:t>(四)本合同项下的保密义务约定至相关信息、资料正式向社 会公开之日或甲方书面解除乙方本合同项下保密义务之日起终止。</w:t>
      </w:r>
    </w:p>
    <w:p w14:paraId="147CA120">
      <w:pPr>
        <w:spacing w:before="235" w:line="598" w:lineRule="exact"/>
        <w:ind w:right="64" w:firstLine="532" w:firstLineChars="200"/>
        <w:jc w:val="both"/>
        <w:rPr>
          <w:rFonts w:hint="eastAsia" w:ascii="仿宋" w:hAnsi="仿宋" w:eastAsia="仿宋" w:cs="仿宋"/>
          <w:spacing w:val="13"/>
          <w:sz w:val="24"/>
          <w:szCs w:val="24"/>
          <w:highlight w:val="none"/>
        </w:rPr>
      </w:pPr>
      <w:r>
        <w:rPr>
          <w:rFonts w:hint="eastAsia" w:ascii="仿宋" w:hAnsi="仿宋" w:eastAsia="仿宋" w:cs="仿宋"/>
          <w:spacing w:val="13"/>
          <w:sz w:val="24"/>
          <w:szCs w:val="24"/>
          <w:highlight w:val="none"/>
        </w:rPr>
        <w:t>(五)本条约定在本合同终止后仍然继续有效，且不受合同解除、终止或无效的影响。</w:t>
      </w:r>
    </w:p>
    <w:p w14:paraId="3AB77BD6">
      <w:pPr>
        <w:spacing w:before="235" w:line="598" w:lineRule="exact"/>
        <w:ind w:right="64" w:firstLine="532" w:firstLineChars="200"/>
        <w:jc w:val="both"/>
        <w:rPr>
          <w:rFonts w:hint="eastAsia" w:ascii="仿宋" w:hAnsi="仿宋" w:eastAsia="仿宋" w:cs="仿宋"/>
          <w:spacing w:val="13"/>
          <w:sz w:val="24"/>
          <w:szCs w:val="24"/>
          <w:highlight w:val="none"/>
        </w:rPr>
      </w:pPr>
      <w:r>
        <w:rPr>
          <w:rFonts w:hint="eastAsia" w:ascii="仿宋" w:hAnsi="仿宋" w:eastAsia="仿宋" w:cs="仿宋"/>
          <w:spacing w:val="13"/>
          <w:sz w:val="24"/>
          <w:szCs w:val="24"/>
          <w:highlight w:val="none"/>
        </w:rPr>
        <w:t>(六)(其他需要约定的事项)</w:t>
      </w:r>
    </w:p>
    <w:p w14:paraId="033B5570">
      <w:pPr>
        <w:spacing w:before="235" w:line="598" w:lineRule="exact"/>
        <w:ind w:right="64" w:firstLine="532" w:firstLineChars="200"/>
        <w:jc w:val="both"/>
        <w:rPr>
          <w:rFonts w:hint="eastAsia" w:ascii="仿宋" w:hAnsi="仿宋" w:eastAsia="仿宋" w:cs="仿宋"/>
          <w:spacing w:val="13"/>
          <w:sz w:val="24"/>
          <w:szCs w:val="24"/>
          <w:highlight w:val="none"/>
        </w:rPr>
      </w:pPr>
      <w:r>
        <w:rPr>
          <w:rFonts w:hint="eastAsia" w:ascii="仿宋" w:hAnsi="仿宋" w:eastAsia="仿宋" w:cs="仿宋"/>
          <w:spacing w:val="13"/>
          <w:sz w:val="24"/>
          <w:szCs w:val="24"/>
          <w:highlight w:val="none"/>
        </w:rPr>
        <w:t>十二、不可抗力</w:t>
      </w:r>
    </w:p>
    <w:p w14:paraId="235543E7">
      <w:pPr>
        <w:spacing w:before="235" w:line="598" w:lineRule="exact"/>
        <w:ind w:right="64" w:firstLine="532" w:firstLineChars="200"/>
        <w:jc w:val="both"/>
        <w:rPr>
          <w:rFonts w:hint="eastAsia" w:ascii="仿宋" w:hAnsi="仿宋" w:eastAsia="仿宋" w:cs="仿宋"/>
          <w:spacing w:val="13"/>
          <w:sz w:val="24"/>
          <w:szCs w:val="24"/>
          <w:highlight w:val="none"/>
        </w:rPr>
      </w:pPr>
      <w:r>
        <w:rPr>
          <w:rFonts w:hint="eastAsia" w:ascii="仿宋" w:hAnsi="仿宋" w:eastAsia="仿宋" w:cs="仿宋"/>
          <w:spacing w:val="13"/>
          <w:sz w:val="24"/>
          <w:szCs w:val="24"/>
          <w:highlight w:val="none"/>
        </w:rPr>
        <w:t>(一)当发生不可抗力事件而导致其中一方不能履行合同时，应依据不可抗力对其造成的影响部分或全部免除责任，但因迟延履行后发生不可抗力的除外；</w:t>
      </w:r>
    </w:p>
    <w:p w14:paraId="29BDAF8F">
      <w:pPr>
        <w:spacing w:before="213" w:line="363" w:lineRule="auto"/>
        <w:ind w:right="33" w:firstLine="669"/>
        <w:jc w:val="both"/>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(二)任何一方由于不可抗力不能履行合同的，应及时通知对</w:t>
      </w:r>
      <w:r>
        <w:rPr>
          <w:rFonts w:hint="eastAsia" w:ascii="仿宋" w:hAnsi="仿宋" w:eastAsia="仿宋" w:cs="仿宋"/>
          <w:spacing w:val="13"/>
          <w:sz w:val="24"/>
          <w:szCs w:val="24"/>
          <w:highlight w:val="none"/>
        </w:rPr>
        <w:t xml:space="preserve"> </w:t>
      </w:r>
      <w:r>
        <w:rPr>
          <w:rFonts w:hint="eastAsia" w:ascii="仿宋" w:hAnsi="仿宋" w:eastAsia="仿宋" w:cs="仿宋"/>
          <w:spacing w:val="25"/>
          <w:sz w:val="24"/>
          <w:szCs w:val="24"/>
          <w:highlight w:val="none"/>
        </w:rPr>
        <w:t>方并采取有效措施防止损失扩大。遭受不可抗力的一方应在事</w:t>
      </w:r>
      <w:r>
        <w:rPr>
          <w:rFonts w:hint="eastAsia" w:ascii="仿宋" w:hAnsi="仿宋" w:eastAsia="仿宋" w:cs="仿宋"/>
          <w:spacing w:val="9"/>
          <w:sz w:val="24"/>
          <w:szCs w:val="24"/>
          <w:highlight w:val="none"/>
        </w:rPr>
        <w:t xml:space="preserve"> </w:t>
      </w:r>
      <w:r>
        <w:rPr>
          <w:rFonts w:hint="eastAsia" w:ascii="仿宋" w:hAnsi="仿宋" w:eastAsia="仿宋" w:cs="仿宋"/>
          <w:spacing w:val="12"/>
          <w:sz w:val="24"/>
          <w:szCs w:val="24"/>
          <w:highlight w:val="none"/>
        </w:rPr>
        <w:t>件发生后</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97"/>
          <w:sz w:val="24"/>
          <w:szCs w:val="24"/>
          <w:highlight w:val="none"/>
        </w:rPr>
        <w:t xml:space="preserve"> </w:t>
      </w:r>
      <w:r>
        <w:rPr>
          <w:rFonts w:hint="eastAsia" w:ascii="仿宋" w:hAnsi="仿宋" w:eastAsia="仿宋" w:cs="仿宋"/>
          <w:spacing w:val="12"/>
          <w:sz w:val="24"/>
          <w:szCs w:val="24"/>
          <w:highlight w:val="none"/>
        </w:rPr>
        <w:t>日内向对方提供该不可抗力事件的详细情况，在取</w:t>
      </w:r>
      <w:r>
        <w:rPr>
          <w:rFonts w:hint="eastAsia" w:ascii="仿宋" w:hAnsi="仿宋" w:eastAsia="仿宋" w:cs="仿宋"/>
          <w:sz w:val="24"/>
          <w:szCs w:val="24"/>
          <w:highlight w:val="none"/>
        </w:rPr>
        <w:t xml:space="preserve"> </w:t>
      </w:r>
      <w:r>
        <w:rPr>
          <w:rFonts w:hint="eastAsia" w:ascii="仿宋" w:hAnsi="仿宋" w:eastAsia="仿宋" w:cs="仿宋"/>
          <w:spacing w:val="13"/>
          <w:sz w:val="24"/>
          <w:szCs w:val="24"/>
          <w:highlight w:val="none"/>
        </w:rPr>
        <w:t>得有关机构的不可抗力证明或双方谅解确认后，允许延期履行或</w:t>
      </w:r>
      <w:r>
        <w:rPr>
          <w:rFonts w:hint="eastAsia" w:ascii="仿宋" w:hAnsi="仿宋" w:eastAsia="仿宋" w:cs="仿宋"/>
          <w:spacing w:val="3"/>
          <w:sz w:val="24"/>
          <w:szCs w:val="24"/>
          <w:highlight w:val="none"/>
        </w:rPr>
        <w:t>修订合同。</w:t>
      </w:r>
    </w:p>
    <w:p w14:paraId="1BC416D0">
      <w:pPr>
        <w:spacing w:before="240" w:line="362" w:lineRule="auto"/>
        <w:ind w:right="13" w:firstLine="669"/>
        <w:jc w:val="both"/>
        <w:rPr>
          <w:rFonts w:hint="eastAsia" w:ascii="仿宋" w:hAnsi="仿宋" w:eastAsia="仿宋" w:cs="仿宋"/>
          <w:sz w:val="24"/>
          <w:szCs w:val="24"/>
          <w:highlight w:val="none"/>
        </w:rPr>
      </w:pPr>
      <w:r>
        <w:rPr>
          <w:rFonts w:hint="eastAsia" w:ascii="仿宋" w:hAnsi="仿宋" w:eastAsia="仿宋" w:cs="仿宋"/>
          <w:spacing w:val="24"/>
          <w:sz w:val="24"/>
          <w:szCs w:val="24"/>
          <w:highlight w:val="none"/>
        </w:rPr>
        <w:t>(三)因不可抗力导致双方均发生损失的，双方各自承担损</w:t>
      </w:r>
      <w:r>
        <w:rPr>
          <w:rFonts w:hint="eastAsia" w:ascii="仿宋" w:hAnsi="仿宋" w:eastAsia="仿宋" w:cs="仿宋"/>
          <w:spacing w:val="10"/>
          <w:sz w:val="24"/>
          <w:szCs w:val="24"/>
          <w:highlight w:val="none"/>
        </w:rPr>
        <w:t xml:space="preserve"> </w:t>
      </w:r>
      <w:r>
        <w:rPr>
          <w:rFonts w:hint="eastAsia" w:ascii="仿宋" w:hAnsi="仿宋" w:eastAsia="仿宋" w:cs="仿宋"/>
          <w:spacing w:val="14"/>
          <w:sz w:val="24"/>
          <w:szCs w:val="24"/>
          <w:highlight w:val="none"/>
        </w:rPr>
        <w:t>失；不可抗力结束后，经甲乙双方协商确认合同仍有继</w:t>
      </w:r>
      <w:r>
        <w:rPr>
          <w:rFonts w:hint="eastAsia" w:ascii="仿宋" w:hAnsi="仿宋" w:eastAsia="仿宋" w:cs="仿宋"/>
          <w:spacing w:val="13"/>
          <w:sz w:val="24"/>
          <w:szCs w:val="24"/>
          <w:highlight w:val="none"/>
        </w:rPr>
        <w:t>续履行的</w:t>
      </w:r>
      <w:r>
        <w:rPr>
          <w:rFonts w:hint="eastAsia" w:ascii="仿宋" w:hAnsi="仿宋" w:eastAsia="仿宋" w:cs="仿宋"/>
          <w:spacing w:val="1"/>
          <w:sz w:val="24"/>
          <w:szCs w:val="24"/>
          <w:highlight w:val="none"/>
        </w:rPr>
        <w:t>必要的，双方均应积极履行合同。</w:t>
      </w:r>
    </w:p>
    <w:p w14:paraId="216C028F">
      <w:pPr>
        <w:spacing w:before="232" w:line="222" w:lineRule="auto"/>
        <w:ind w:left="669"/>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(四)(其他需要约定的事项)</w:t>
      </w:r>
    </w:p>
    <w:p w14:paraId="786DC751">
      <w:pPr>
        <w:spacing w:before="257" w:line="222" w:lineRule="auto"/>
        <w:ind w:left="674"/>
        <w:rPr>
          <w:rFonts w:hint="eastAsia" w:ascii="仿宋" w:hAnsi="仿宋" w:eastAsia="仿宋" w:cs="仿宋"/>
          <w:sz w:val="24"/>
          <w:szCs w:val="24"/>
          <w:highlight w:val="none"/>
        </w:rPr>
      </w:pPr>
      <w:r>
        <w:rPr>
          <w:rFonts w:hint="eastAsia" w:ascii="仿宋" w:hAnsi="仿宋" w:eastAsia="仿宋" w:cs="仿宋"/>
          <w:b/>
          <w:bCs/>
          <w:spacing w:val="-14"/>
          <w:sz w:val="24"/>
          <w:szCs w:val="24"/>
          <w:highlight w:val="none"/>
        </w:rPr>
        <w:t>十三、争议解决</w:t>
      </w:r>
    </w:p>
    <w:p w14:paraId="268D08F1">
      <w:pPr>
        <w:spacing w:before="240" w:line="362" w:lineRule="auto"/>
        <w:ind w:right="13" w:firstLine="669"/>
        <w:jc w:val="both"/>
        <w:rPr>
          <w:rFonts w:hint="eastAsia" w:ascii="仿宋" w:hAnsi="仿宋" w:eastAsia="仿宋" w:cs="仿宋"/>
          <w:spacing w:val="24"/>
          <w:sz w:val="24"/>
          <w:szCs w:val="24"/>
          <w:highlight w:val="none"/>
        </w:rPr>
      </w:pPr>
      <w:r>
        <w:rPr>
          <w:rFonts w:hint="eastAsia" w:ascii="仿宋" w:hAnsi="仿宋" w:eastAsia="仿宋" w:cs="仿宋"/>
          <w:spacing w:val="24"/>
          <w:sz w:val="24"/>
          <w:szCs w:val="24"/>
          <w:highlight w:val="none"/>
        </w:rPr>
        <w:t>(一)当履行本合同发生争议时，双方应友好协商解决。无法协商达成一致的，任何一方均可向</w:t>
      </w:r>
      <w:r>
        <w:rPr>
          <w:rFonts w:hint="eastAsia" w:ascii="仿宋" w:hAnsi="仿宋" w:eastAsia="仿宋" w:cs="仿宋"/>
          <w:spacing w:val="24"/>
          <w:sz w:val="24"/>
          <w:szCs w:val="24"/>
          <w:highlight w:val="none"/>
          <w:u w:val="single"/>
        </w:rPr>
        <w:t xml:space="preserve">        </w:t>
      </w:r>
      <w:r>
        <w:rPr>
          <w:rFonts w:hint="eastAsia" w:ascii="仿宋" w:hAnsi="仿宋" w:eastAsia="仿宋" w:cs="仿宋"/>
          <w:spacing w:val="24"/>
          <w:sz w:val="24"/>
          <w:szCs w:val="24"/>
          <w:highlight w:val="none"/>
        </w:rPr>
        <w:t xml:space="preserve"> 人民法院提起诉讼。</w:t>
      </w:r>
    </w:p>
    <w:p w14:paraId="5C433EBD">
      <w:pPr>
        <w:spacing w:before="240" w:line="362" w:lineRule="auto"/>
        <w:ind w:right="13" w:firstLine="669"/>
        <w:jc w:val="both"/>
        <w:rPr>
          <w:rFonts w:hint="eastAsia" w:ascii="仿宋" w:hAnsi="仿宋" w:eastAsia="仿宋" w:cs="仿宋"/>
          <w:spacing w:val="24"/>
          <w:sz w:val="24"/>
          <w:szCs w:val="24"/>
          <w:highlight w:val="none"/>
        </w:rPr>
      </w:pPr>
      <w:r>
        <w:rPr>
          <w:rFonts w:hint="eastAsia" w:ascii="仿宋" w:hAnsi="仿宋" w:eastAsia="仿宋" w:cs="仿宋"/>
          <w:spacing w:val="24"/>
          <w:sz w:val="24"/>
          <w:szCs w:val="24"/>
          <w:highlight w:val="none"/>
        </w:rPr>
        <w:t>(二)(其他需要约定的事项)</w:t>
      </w:r>
    </w:p>
    <w:p w14:paraId="6E8275F7">
      <w:pPr>
        <w:spacing w:before="219" w:line="222" w:lineRule="auto"/>
        <w:ind w:left="674"/>
        <w:rPr>
          <w:rFonts w:hint="eastAsia" w:ascii="仿宋" w:hAnsi="仿宋" w:eastAsia="仿宋" w:cs="仿宋"/>
          <w:sz w:val="24"/>
          <w:szCs w:val="24"/>
          <w:highlight w:val="none"/>
        </w:rPr>
      </w:pPr>
      <w:r>
        <w:rPr>
          <w:rFonts w:hint="eastAsia" w:ascii="仿宋" w:hAnsi="仿宋" w:eastAsia="仿宋" w:cs="仿宋"/>
          <w:b/>
          <w:bCs/>
          <w:spacing w:val="-25"/>
          <w:sz w:val="24"/>
          <w:szCs w:val="24"/>
          <w:highlight w:val="none"/>
        </w:rPr>
        <w:t>十四、其他</w:t>
      </w:r>
    </w:p>
    <w:p w14:paraId="5F18E06E">
      <w:pPr>
        <w:spacing w:before="213" w:line="363" w:lineRule="auto"/>
        <w:ind w:right="33" w:firstLine="669"/>
        <w:jc w:val="both"/>
        <w:rPr>
          <w:rFonts w:hint="eastAsia" w:ascii="仿宋" w:hAnsi="仿宋" w:eastAsia="仿宋" w:cs="仿宋"/>
          <w:spacing w:val="11"/>
          <w:sz w:val="24"/>
          <w:szCs w:val="24"/>
          <w:highlight w:val="none"/>
        </w:rPr>
      </w:pPr>
      <w:r>
        <w:rPr>
          <w:rFonts w:hint="eastAsia" w:ascii="仿宋" w:hAnsi="仿宋" w:eastAsia="仿宋" w:cs="仿宋"/>
          <w:spacing w:val="11"/>
          <w:sz w:val="24"/>
          <w:szCs w:val="24"/>
          <w:highlight w:val="none"/>
        </w:rPr>
        <w:t>(一)本合同中的保密条款、知识产权条款、争议解决条款长期有效，不随本合同的终止、无效、被撤销而失效。</w:t>
      </w:r>
    </w:p>
    <w:p w14:paraId="5A559E35">
      <w:pPr>
        <w:spacing w:before="213" w:line="363" w:lineRule="auto"/>
        <w:ind w:right="33" w:firstLine="669"/>
        <w:jc w:val="both"/>
        <w:rPr>
          <w:rFonts w:hint="eastAsia" w:ascii="仿宋" w:hAnsi="仿宋" w:eastAsia="仿宋" w:cs="仿宋"/>
          <w:spacing w:val="11"/>
          <w:sz w:val="24"/>
          <w:szCs w:val="24"/>
          <w:highlight w:val="none"/>
        </w:rPr>
      </w:pPr>
      <w:r>
        <w:rPr>
          <w:rFonts w:hint="eastAsia" w:ascii="仿宋" w:hAnsi="仿宋" w:eastAsia="仿宋" w:cs="仿宋"/>
          <w:spacing w:val="11"/>
          <w:sz w:val="24"/>
          <w:szCs w:val="24"/>
          <w:highlight w:val="none"/>
        </w:rPr>
        <w:t>(二)本合同所有附件及政府采购文件均为合同的有效组成部分，与本合同具有同等法律效力。</w:t>
      </w:r>
    </w:p>
    <w:p w14:paraId="049DF782">
      <w:pPr>
        <w:spacing w:before="213" w:line="363" w:lineRule="auto"/>
        <w:ind w:right="33" w:firstLine="669"/>
        <w:jc w:val="both"/>
        <w:rPr>
          <w:rFonts w:hint="eastAsia" w:ascii="仿宋" w:hAnsi="仿宋" w:eastAsia="仿宋" w:cs="仿宋"/>
          <w:spacing w:val="11"/>
          <w:sz w:val="24"/>
          <w:szCs w:val="24"/>
          <w:highlight w:val="none"/>
        </w:rPr>
      </w:pPr>
      <w:r>
        <w:rPr>
          <w:rFonts w:hint="eastAsia" w:ascii="仿宋" w:hAnsi="仿宋" w:eastAsia="仿宋" w:cs="仿宋"/>
          <w:spacing w:val="11"/>
          <w:sz w:val="24"/>
          <w:szCs w:val="24"/>
          <w:highlight w:val="none"/>
        </w:rPr>
        <w:t>(三)本合同自甲乙双方法人代表或其授权代表签字盖章后生效。</w:t>
      </w:r>
    </w:p>
    <w:p w14:paraId="27F30199">
      <w:pPr>
        <w:spacing w:before="213" w:line="363" w:lineRule="auto"/>
        <w:ind w:right="33" w:firstLine="669"/>
        <w:jc w:val="both"/>
        <w:rPr>
          <w:rFonts w:hint="eastAsia" w:ascii="仿宋" w:hAnsi="仿宋" w:eastAsia="仿宋" w:cs="仿宋"/>
          <w:spacing w:val="11"/>
          <w:sz w:val="24"/>
          <w:szCs w:val="24"/>
          <w:highlight w:val="none"/>
        </w:rPr>
      </w:pPr>
      <w:r>
        <w:rPr>
          <w:rFonts w:hint="eastAsia" w:ascii="仿宋" w:hAnsi="仿宋" w:eastAsia="仿宋" w:cs="仿宋"/>
          <w:spacing w:val="11"/>
          <w:sz w:val="24"/>
          <w:szCs w:val="24"/>
          <w:highlight w:val="none"/>
          <w:lang w:eastAsia="zh-CN"/>
        </w:rPr>
        <w:t>（</w:t>
      </w:r>
      <w:r>
        <w:rPr>
          <w:rFonts w:hint="eastAsia" w:ascii="仿宋" w:hAnsi="仿宋" w:eastAsia="仿宋" w:cs="仿宋"/>
          <w:spacing w:val="11"/>
          <w:sz w:val="24"/>
          <w:szCs w:val="24"/>
          <w:highlight w:val="none"/>
        </w:rPr>
        <w:t>四)本合同一式</w:t>
      </w:r>
      <w:r>
        <w:rPr>
          <w:rFonts w:hint="eastAsia" w:ascii="仿宋" w:hAnsi="仿宋" w:eastAsia="仿宋" w:cs="仿宋"/>
          <w:spacing w:val="11"/>
          <w:sz w:val="24"/>
          <w:szCs w:val="24"/>
          <w:highlight w:val="none"/>
          <w:u w:val="single"/>
        </w:rPr>
        <w:t xml:space="preserve">     </w:t>
      </w:r>
      <w:r>
        <w:rPr>
          <w:rFonts w:hint="eastAsia" w:ascii="仿宋" w:hAnsi="仿宋" w:eastAsia="仿宋" w:cs="仿宋"/>
          <w:spacing w:val="11"/>
          <w:sz w:val="24"/>
          <w:szCs w:val="24"/>
          <w:highlight w:val="none"/>
        </w:rPr>
        <w:t xml:space="preserve">份，其中，甲方执 </w:t>
      </w:r>
      <w:r>
        <w:rPr>
          <w:rFonts w:hint="eastAsia" w:ascii="仿宋" w:hAnsi="仿宋" w:eastAsia="仿宋" w:cs="仿宋"/>
          <w:spacing w:val="11"/>
          <w:sz w:val="24"/>
          <w:szCs w:val="24"/>
          <w:highlight w:val="none"/>
          <w:u w:val="single"/>
        </w:rPr>
        <w:t xml:space="preserve">   </w:t>
      </w:r>
      <w:r>
        <w:rPr>
          <w:rFonts w:hint="eastAsia" w:ascii="仿宋" w:hAnsi="仿宋" w:eastAsia="仿宋" w:cs="仿宋"/>
          <w:spacing w:val="11"/>
          <w:sz w:val="24"/>
          <w:szCs w:val="24"/>
          <w:highlight w:val="none"/>
        </w:rPr>
        <w:t xml:space="preserve"> 份，乙方执</w:t>
      </w:r>
      <w:r>
        <w:rPr>
          <w:rFonts w:hint="eastAsia" w:ascii="仿宋" w:hAnsi="仿宋" w:eastAsia="仿宋" w:cs="仿宋"/>
          <w:spacing w:val="11"/>
          <w:sz w:val="24"/>
          <w:szCs w:val="24"/>
          <w:highlight w:val="none"/>
          <w:u w:val="single"/>
        </w:rPr>
        <w:t xml:space="preserve">    </w:t>
      </w:r>
      <w:r>
        <w:rPr>
          <w:rFonts w:hint="eastAsia" w:ascii="仿宋" w:hAnsi="仿宋" w:eastAsia="仿宋" w:cs="仿宋"/>
          <w:spacing w:val="11"/>
          <w:sz w:val="24"/>
          <w:szCs w:val="24"/>
          <w:highlight w:val="none"/>
        </w:rPr>
        <w:t>份，</w:t>
      </w:r>
    </w:p>
    <w:p w14:paraId="199E0CF6">
      <w:pPr>
        <w:spacing w:before="213" w:line="363" w:lineRule="auto"/>
        <w:ind w:right="33"/>
        <w:jc w:val="both"/>
        <w:rPr>
          <w:rFonts w:hint="eastAsia" w:ascii="仿宋" w:hAnsi="仿宋" w:eastAsia="仿宋" w:cs="仿宋"/>
          <w:spacing w:val="11"/>
          <w:sz w:val="24"/>
          <w:szCs w:val="24"/>
          <w:highlight w:val="none"/>
        </w:rPr>
      </w:pPr>
      <w:r>
        <w:rPr>
          <w:rFonts w:hint="eastAsia" w:ascii="仿宋" w:hAnsi="仿宋" w:eastAsia="仿宋" w:cs="仿宋"/>
          <w:spacing w:val="11"/>
          <w:sz w:val="24"/>
          <w:szCs w:val="24"/>
          <w:highlight w:val="none"/>
        </w:rPr>
        <w:t>具有同等法律效力。</w:t>
      </w:r>
    </w:p>
    <w:p w14:paraId="03B52171">
      <w:pPr>
        <w:spacing w:before="213" w:line="363" w:lineRule="auto"/>
        <w:ind w:right="33" w:firstLine="669"/>
        <w:jc w:val="both"/>
        <w:rPr>
          <w:rFonts w:hint="eastAsia" w:ascii="仿宋" w:hAnsi="仿宋" w:eastAsia="仿宋" w:cs="仿宋"/>
          <w:spacing w:val="11"/>
          <w:sz w:val="24"/>
          <w:szCs w:val="24"/>
          <w:highlight w:val="none"/>
        </w:rPr>
      </w:pPr>
      <w:r>
        <w:rPr>
          <w:rFonts w:hint="eastAsia" w:ascii="仿宋" w:hAnsi="仿宋" w:eastAsia="仿宋" w:cs="仿宋"/>
          <w:spacing w:val="11"/>
          <w:sz w:val="24"/>
          <w:szCs w:val="24"/>
          <w:highlight w:val="none"/>
        </w:rPr>
        <w:t>(五)(其他需要约定的事项)</w:t>
      </w:r>
    </w:p>
    <w:p w14:paraId="3054051C">
      <w:pPr>
        <w:spacing w:before="213" w:line="363" w:lineRule="auto"/>
        <w:ind w:right="33" w:firstLine="669"/>
        <w:jc w:val="both"/>
        <w:rPr>
          <w:rFonts w:hint="eastAsia" w:ascii="仿宋" w:hAnsi="仿宋" w:eastAsia="仿宋" w:cs="仿宋"/>
          <w:spacing w:val="11"/>
          <w:sz w:val="24"/>
          <w:szCs w:val="24"/>
          <w:highlight w:val="none"/>
        </w:rPr>
      </w:pPr>
    </w:p>
    <w:p w14:paraId="76C74067">
      <w:pPr>
        <w:spacing w:before="213" w:line="363" w:lineRule="auto"/>
        <w:ind w:right="33" w:firstLine="669"/>
        <w:jc w:val="both"/>
        <w:rPr>
          <w:rFonts w:hint="eastAsia" w:ascii="仿宋" w:hAnsi="仿宋" w:eastAsia="仿宋" w:cs="仿宋"/>
          <w:spacing w:val="11"/>
          <w:sz w:val="24"/>
          <w:szCs w:val="24"/>
          <w:highlight w:val="none"/>
        </w:rPr>
      </w:pPr>
    </w:p>
    <w:p w14:paraId="01883C2D">
      <w:pPr>
        <w:spacing w:before="201" w:line="213" w:lineRule="auto"/>
        <w:ind w:left="654"/>
        <w:rPr>
          <w:rFonts w:hint="eastAsia" w:ascii="仿宋" w:hAnsi="仿宋" w:eastAsia="仿宋" w:cs="仿宋"/>
          <w:sz w:val="24"/>
          <w:szCs w:val="24"/>
          <w:highlight w:val="none"/>
        </w:rPr>
      </w:pPr>
      <w:r>
        <w:rPr>
          <w:rFonts w:hint="eastAsia" w:ascii="仿宋" w:hAnsi="仿宋" w:eastAsia="仿宋" w:cs="仿宋"/>
          <w:b/>
          <w:bCs/>
          <w:spacing w:val="-8"/>
          <w:sz w:val="24"/>
          <w:szCs w:val="24"/>
          <w:highlight w:val="none"/>
        </w:rPr>
        <w:t>十五、合同附件(若有附件应注明，并注明附件名称)</w:t>
      </w:r>
    </w:p>
    <w:p w14:paraId="6F0E30E2">
      <w:pPr>
        <w:spacing w:line="266" w:lineRule="auto"/>
        <w:rPr>
          <w:rFonts w:hint="eastAsia" w:ascii="仿宋" w:hAnsi="仿宋" w:eastAsia="仿宋" w:cs="仿宋"/>
          <w:sz w:val="24"/>
          <w:szCs w:val="24"/>
          <w:highlight w:val="none"/>
        </w:rPr>
      </w:pPr>
    </w:p>
    <w:p w14:paraId="0C9D4D61">
      <w:pPr>
        <w:spacing w:line="266" w:lineRule="auto"/>
        <w:rPr>
          <w:rFonts w:hint="eastAsia" w:ascii="仿宋" w:hAnsi="仿宋" w:eastAsia="仿宋" w:cs="仿宋"/>
          <w:sz w:val="24"/>
          <w:szCs w:val="24"/>
          <w:highlight w:val="none"/>
        </w:rPr>
      </w:pPr>
    </w:p>
    <w:p w14:paraId="2206A2A1">
      <w:pPr>
        <w:spacing w:line="266" w:lineRule="auto"/>
        <w:rPr>
          <w:rFonts w:hint="eastAsia" w:ascii="仿宋" w:hAnsi="仿宋" w:eastAsia="仿宋" w:cs="仿宋"/>
          <w:sz w:val="24"/>
          <w:szCs w:val="24"/>
          <w:highlight w:val="none"/>
        </w:rPr>
      </w:pPr>
    </w:p>
    <w:p w14:paraId="25E161E3">
      <w:pPr>
        <w:spacing w:line="266" w:lineRule="auto"/>
        <w:rPr>
          <w:rFonts w:hint="eastAsia" w:ascii="仿宋" w:hAnsi="仿宋" w:eastAsia="仿宋" w:cs="仿宋"/>
          <w:sz w:val="24"/>
          <w:szCs w:val="24"/>
          <w:highlight w:val="none"/>
        </w:rPr>
      </w:pPr>
    </w:p>
    <w:p w14:paraId="3FE3DF8F">
      <w:pPr>
        <w:spacing w:line="267" w:lineRule="auto"/>
        <w:rPr>
          <w:rFonts w:hint="eastAsia" w:ascii="仿宋" w:hAnsi="仿宋" w:eastAsia="仿宋" w:cs="仿宋"/>
          <w:sz w:val="24"/>
          <w:szCs w:val="24"/>
          <w:highlight w:val="none"/>
        </w:rPr>
      </w:pPr>
    </w:p>
    <w:p w14:paraId="1024835B">
      <w:pPr>
        <w:spacing w:before="101" w:line="234" w:lineRule="auto"/>
        <w:ind w:left="649"/>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rPr>
        <w:t xml:space="preserve">甲方(公章):            </w:t>
      </w:r>
      <w:r>
        <w:rPr>
          <w:rFonts w:hint="eastAsia" w:ascii="仿宋" w:hAnsi="仿宋" w:eastAsia="仿宋" w:cs="仿宋"/>
          <w:spacing w:val="5"/>
          <w:sz w:val="24"/>
          <w:szCs w:val="24"/>
          <w:highlight w:val="none"/>
          <w:lang w:val="en-US" w:eastAsia="zh-CN"/>
        </w:rPr>
        <w:t xml:space="preserve">         </w:t>
      </w:r>
      <w:r>
        <w:rPr>
          <w:rFonts w:hint="eastAsia" w:ascii="仿宋" w:hAnsi="仿宋" w:eastAsia="仿宋" w:cs="仿宋"/>
          <w:spacing w:val="5"/>
          <w:sz w:val="24"/>
          <w:szCs w:val="24"/>
          <w:highlight w:val="none"/>
        </w:rPr>
        <w:t xml:space="preserve">   乙方(公章):</w:t>
      </w:r>
    </w:p>
    <w:p w14:paraId="19FCD0A8">
      <w:pPr>
        <w:spacing w:before="101" w:line="234" w:lineRule="auto"/>
        <w:ind w:left="649"/>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rPr>
        <w:t xml:space="preserve">单位名称：                   </w:t>
      </w:r>
      <w:r>
        <w:rPr>
          <w:rFonts w:hint="eastAsia" w:ascii="仿宋" w:hAnsi="仿宋" w:eastAsia="仿宋" w:cs="仿宋"/>
          <w:spacing w:val="5"/>
          <w:sz w:val="24"/>
          <w:szCs w:val="24"/>
          <w:highlight w:val="none"/>
          <w:lang w:val="en-US" w:eastAsia="zh-CN"/>
        </w:rPr>
        <w:t xml:space="preserve">      </w:t>
      </w:r>
      <w:r>
        <w:rPr>
          <w:rFonts w:hint="eastAsia" w:ascii="仿宋" w:hAnsi="仿宋" w:eastAsia="仿宋" w:cs="仿宋"/>
          <w:spacing w:val="5"/>
          <w:sz w:val="24"/>
          <w:szCs w:val="24"/>
          <w:highlight w:val="none"/>
        </w:rPr>
        <w:t>单位名称：</w:t>
      </w:r>
    </w:p>
    <w:p w14:paraId="2AA2C39E">
      <w:pPr>
        <w:spacing w:before="101" w:line="234" w:lineRule="auto"/>
        <w:ind w:left="649"/>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rPr>
        <w:t xml:space="preserve">法定代表人或授权代表：       </w:t>
      </w:r>
      <w:r>
        <w:rPr>
          <w:rFonts w:hint="eastAsia" w:ascii="仿宋" w:hAnsi="仿宋" w:eastAsia="仿宋" w:cs="仿宋"/>
          <w:spacing w:val="5"/>
          <w:sz w:val="24"/>
          <w:szCs w:val="24"/>
          <w:highlight w:val="none"/>
          <w:lang w:val="en-US" w:eastAsia="zh-CN"/>
        </w:rPr>
        <w:t xml:space="preserve">      </w:t>
      </w:r>
      <w:r>
        <w:rPr>
          <w:rFonts w:hint="eastAsia" w:ascii="仿宋" w:hAnsi="仿宋" w:eastAsia="仿宋" w:cs="仿宋"/>
          <w:spacing w:val="5"/>
          <w:sz w:val="24"/>
          <w:szCs w:val="24"/>
          <w:highlight w:val="none"/>
        </w:rPr>
        <w:t>法定代表人或授权代表：</w:t>
      </w:r>
    </w:p>
    <w:p w14:paraId="36465C05">
      <w:pPr>
        <w:spacing w:before="101" w:line="234" w:lineRule="auto"/>
        <w:ind w:left="649"/>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rPr>
        <w:t xml:space="preserve">联系方式：                 </w:t>
      </w:r>
      <w:r>
        <w:rPr>
          <w:rFonts w:hint="eastAsia" w:ascii="仿宋" w:hAnsi="仿宋" w:eastAsia="仿宋" w:cs="仿宋"/>
          <w:spacing w:val="5"/>
          <w:sz w:val="24"/>
          <w:szCs w:val="24"/>
          <w:highlight w:val="none"/>
          <w:lang w:val="en-US" w:eastAsia="zh-CN"/>
        </w:rPr>
        <w:t xml:space="preserve">        </w:t>
      </w:r>
      <w:r>
        <w:rPr>
          <w:rFonts w:hint="eastAsia" w:ascii="仿宋" w:hAnsi="仿宋" w:eastAsia="仿宋" w:cs="仿宋"/>
          <w:spacing w:val="5"/>
          <w:sz w:val="24"/>
          <w:szCs w:val="24"/>
          <w:highlight w:val="none"/>
        </w:rPr>
        <w:t>联系方式：</w:t>
      </w:r>
    </w:p>
    <w:p w14:paraId="717D9FA0">
      <w:pPr>
        <w:spacing w:before="101" w:line="234" w:lineRule="auto"/>
        <w:ind w:left="649"/>
        <w:rPr>
          <w:rFonts w:hint="eastAsia" w:ascii="仿宋" w:hAnsi="仿宋" w:eastAsia="仿宋" w:cs="仿宋"/>
          <w:spacing w:val="5"/>
          <w:sz w:val="24"/>
          <w:szCs w:val="24"/>
          <w:highlight w:val="none"/>
          <w:lang w:val="en-US" w:eastAsia="zh-CN"/>
        </w:rPr>
      </w:pPr>
    </w:p>
    <w:p w14:paraId="58759A2E">
      <w:pPr>
        <w:spacing w:before="101" w:line="234" w:lineRule="auto"/>
        <w:ind w:left="649"/>
        <w:rPr>
          <w:rFonts w:hint="default" w:ascii="仿宋" w:hAnsi="仿宋" w:eastAsia="仿宋" w:cs="仿宋"/>
          <w:spacing w:val="5"/>
          <w:sz w:val="24"/>
          <w:szCs w:val="24"/>
          <w:highlight w:val="none"/>
          <w:lang w:val="en-US" w:eastAsia="zh-CN"/>
        </w:rPr>
      </w:pPr>
      <w:r>
        <w:rPr>
          <w:rFonts w:hint="eastAsia" w:ascii="仿宋" w:hAnsi="仿宋" w:eastAsia="仿宋" w:cs="仿宋"/>
          <w:spacing w:val="5"/>
          <w:sz w:val="24"/>
          <w:szCs w:val="24"/>
          <w:highlight w:val="none"/>
          <w:lang w:val="en-US" w:eastAsia="zh-CN"/>
        </w:rPr>
        <w:t>签约时间：                          签约时间：</w:t>
      </w:r>
    </w:p>
    <w:p w14:paraId="58B68556">
      <w:pPr>
        <w:spacing w:before="101" w:line="234" w:lineRule="auto"/>
        <w:ind w:left="649"/>
        <w:rPr>
          <w:rFonts w:hint="eastAsia" w:ascii="仿宋" w:hAnsi="仿宋" w:eastAsia="仿宋" w:cs="仿宋"/>
          <w:spacing w:val="5"/>
          <w:sz w:val="24"/>
          <w:szCs w:val="24"/>
          <w:highlight w:val="none"/>
        </w:rPr>
      </w:pPr>
    </w:p>
    <w:p w14:paraId="5040FD0B">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宋体"/>
          <w:b/>
          <w:bCs/>
          <w:kern w:val="44"/>
          <w:sz w:val="24"/>
          <w:highlight w:val="none"/>
        </w:rPr>
      </w:pPr>
    </w:p>
    <w:p w14:paraId="6993C1B2">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宋体"/>
          <w:b/>
          <w:bCs/>
          <w:kern w:val="44"/>
          <w:sz w:val="24"/>
          <w:highlight w:val="none"/>
        </w:rPr>
      </w:pPr>
    </w:p>
    <w:p w14:paraId="54AE2A00">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宋体"/>
          <w:b/>
          <w:bCs/>
          <w:kern w:val="44"/>
          <w:sz w:val="24"/>
          <w:highlight w:val="none"/>
        </w:rPr>
      </w:pPr>
    </w:p>
    <w:p w14:paraId="0445A7D3">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宋体"/>
          <w:b/>
          <w:bCs/>
          <w:kern w:val="44"/>
          <w:sz w:val="24"/>
          <w:highlight w:val="none"/>
        </w:rPr>
      </w:pPr>
    </w:p>
    <w:p w14:paraId="075F5C2E">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宋体"/>
          <w:b/>
          <w:bCs/>
          <w:kern w:val="44"/>
          <w:sz w:val="24"/>
          <w:highlight w:val="none"/>
        </w:rPr>
        <w:t>注：经双方协商，在不改变合同实质性内容的基础上，可采用其他合同格式。</w:t>
      </w:r>
      <w:r>
        <w:rPr>
          <w:rFonts w:hint="eastAsia" w:ascii="仿宋" w:hAnsi="仿宋" w:eastAsia="仿宋" w:cs="仿宋"/>
          <w:color w:val="000000" w:themeColor="text1"/>
          <w:sz w:val="24"/>
          <w:szCs w:val="24"/>
          <w:highlight w:val="none"/>
          <w14:textFill>
            <w14:solidFill>
              <w14:schemeClr w14:val="tx1"/>
            </w14:solidFill>
          </w14:textFill>
        </w:rPr>
        <w:br w:type="page"/>
      </w:r>
    </w:p>
    <w:p w14:paraId="3CCF5B63">
      <w:pPr>
        <w:widowControl/>
        <w:snapToGrid w:val="0"/>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 xml:space="preserve">第七部分  </w:t>
      </w:r>
      <w:bookmarkStart w:id="52" w:name="_Toc86202632"/>
      <w:r>
        <w:rPr>
          <w:rFonts w:hint="eastAsia" w:ascii="仿宋" w:hAnsi="仿宋" w:eastAsia="仿宋" w:cs="仿宋"/>
          <w:b/>
          <w:color w:val="auto"/>
          <w:kern w:val="0"/>
          <w:sz w:val="36"/>
          <w:szCs w:val="36"/>
          <w:highlight w:val="none"/>
        </w:rPr>
        <w:t>投标文件格式</w:t>
      </w:r>
      <w:bookmarkEnd w:id="51"/>
      <w:bookmarkEnd w:id="52"/>
    </w:p>
    <w:p w14:paraId="45C1FA4A">
      <w:pPr>
        <w:widowControl/>
        <w:snapToGrid w:val="0"/>
        <w:spacing w:line="360" w:lineRule="auto"/>
        <w:jc w:val="left"/>
        <w:rPr>
          <w:rFonts w:ascii="仿宋" w:hAnsi="仿宋" w:eastAsia="仿宋" w:cs="仿宋"/>
          <w:color w:val="auto"/>
          <w:kern w:val="0"/>
          <w:sz w:val="28"/>
          <w:highlight w:val="none"/>
        </w:rPr>
      </w:pPr>
    </w:p>
    <w:p w14:paraId="14EA4B32">
      <w:pPr>
        <w:widowControl/>
        <w:tabs>
          <w:tab w:val="left" w:pos="-737"/>
        </w:tabs>
        <w:snapToGrid w:val="0"/>
        <w:spacing w:line="360" w:lineRule="auto"/>
        <w:ind w:firstLine="180"/>
        <w:jc w:val="left"/>
        <w:rPr>
          <w:rFonts w:ascii="仿宋" w:hAnsi="仿宋" w:eastAsia="仿宋" w:cs="仿宋"/>
          <w:color w:val="auto"/>
          <w:kern w:val="0"/>
          <w:sz w:val="28"/>
          <w:szCs w:val="36"/>
          <w:highlight w:val="none"/>
        </w:rPr>
      </w:pPr>
      <w:bookmarkStart w:id="53" w:name="_Toc175644062"/>
      <w:bookmarkStart w:id="54" w:name="_Toc86202633"/>
      <w:r>
        <w:rPr>
          <w:rFonts w:hint="eastAsia" w:ascii="仿宋" w:hAnsi="仿宋" w:eastAsia="仿宋" w:cs="仿宋"/>
          <w:b/>
          <w:color w:val="auto"/>
          <w:kern w:val="0"/>
          <w:sz w:val="28"/>
          <w:szCs w:val="36"/>
          <w:highlight w:val="none"/>
        </w:rPr>
        <w:t>一、</w:t>
      </w:r>
      <w:r>
        <w:rPr>
          <w:rFonts w:hint="eastAsia" w:ascii="仿宋" w:hAnsi="仿宋" w:eastAsia="仿宋" w:cs="仿宋"/>
          <w:b/>
          <w:color w:val="auto"/>
          <w:kern w:val="0"/>
          <w:sz w:val="28"/>
          <w:szCs w:val="14"/>
          <w:highlight w:val="none"/>
        </w:rPr>
        <w:t> </w:t>
      </w:r>
      <w:r>
        <w:rPr>
          <w:rFonts w:hint="eastAsia" w:ascii="仿宋" w:hAnsi="仿宋" w:eastAsia="仿宋" w:cs="仿宋"/>
          <w:b/>
          <w:color w:val="auto"/>
          <w:kern w:val="0"/>
          <w:sz w:val="28"/>
          <w:szCs w:val="28"/>
          <w:highlight w:val="none"/>
        </w:rPr>
        <w:t>投标人提交投标文件须知</w:t>
      </w:r>
      <w:bookmarkEnd w:id="53"/>
      <w:bookmarkEnd w:id="54"/>
    </w:p>
    <w:p w14:paraId="4F52B973">
      <w:pPr>
        <w:widowControl/>
        <w:tabs>
          <w:tab w:val="left" w:pos="0"/>
        </w:tabs>
        <w:snapToGrid w:val="0"/>
        <w:spacing w:line="360" w:lineRule="auto"/>
        <w:ind w:firstLine="624"/>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投标人应严格按照以下顺序填写和提交下述规定的全部格式文件以及其他有关资料，混乱的编排导致投标文件被误读或查找不到，后果由投标人承担。</w:t>
      </w:r>
    </w:p>
    <w:p w14:paraId="7BACC98F">
      <w:pPr>
        <w:widowControl/>
        <w:tabs>
          <w:tab w:val="left" w:pos="0"/>
        </w:tabs>
        <w:snapToGrid w:val="0"/>
        <w:spacing w:line="360" w:lineRule="auto"/>
        <w:ind w:firstLine="624"/>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所附表格中要求回答的全部问题和信息都必须正面回答。</w:t>
      </w:r>
    </w:p>
    <w:p w14:paraId="1B0A93BB">
      <w:pPr>
        <w:widowControl/>
        <w:tabs>
          <w:tab w:val="left" w:pos="0"/>
        </w:tabs>
        <w:snapToGrid w:val="0"/>
        <w:spacing w:line="360" w:lineRule="auto"/>
        <w:ind w:firstLine="624"/>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资格声明的签字人应保证全部声明和问题的回答是真实的和准确的。</w:t>
      </w:r>
    </w:p>
    <w:p w14:paraId="4D9ED792">
      <w:pPr>
        <w:widowControl/>
        <w:tabs>
          <w:tab w:val="left" w:pos="0"/>
        </w:tabs>
        <w:snapToGrid w:val="0"/>
        <w:spacing w:line="360" w:lineRule="auto"/>
        <w:ind w:firstLine="624"/>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4. </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将应用投标人提交的资料并根据自己的判断，决定投标人履行合同的合格性及能力。</w:t>
      </w:r>
    </w:p>
    <w:p w14:paraId="558A7D9E">
      <w:pPr>
        <w:widowControl/>
        <w:tabs>
          <w:tab w:val="left" w:pos="0"/>
        </w:tabs>
        <w:snapToGrid w:val="0"/>
        <w:spacing w:line="360" w:lineRule="auto"/>
        <w:ind w:firstLine="624"/>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 投标人提交的材料将被妥善保存，但不退还。</w:t>
      </w:r>
    </w:p>
    <w:p w14:paraId="5B8F9BCC">
      <w:pPr>
        <w:widowControl/>
        <w:tabs>
          <w:tab w:val="left" w:pos="0"/>
        </w:tabs>
        <w:snapToGrid w:val="0"/>
        <w:spacing w:line="360" w:lineRule="auto"/>
        <w:ind w:firstLine="624"/>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 全部文件应按投标人须知中规定的语言和份数提交。</w:t>
      </w:r>
    </w:p>
    <w:p w14:paraId="1682B102">
      <w:pPr>
        <w:widowControl/>
        <w:tabs>
          <w:tab w:val="left" w:pos="4000"/>
        </w:tabs>
        <w:snapToGrid w:val="0"/>
        <w:spacing w:line="360" w:lineRule="auto"/>
        <w:jc w:val="left"/>
        <w:rPr>
          <w:rFonts w:ascii="仿宋" w:hAnsi="仿宋" w:eastAsia="仿宋" w:cs="仿宋"/>
          <w:color w:val="auto"/>
          <w:kern w:val="0"/>
          <w:sz w:val="28"/>
          <w:highlight w:val="none"/>
        </w:rPr>
      </w:pPr>
      <w:r>
        <w:rPr>
          <w:rFonts w:hint="eastAsia" w:ascii="仿宋" w:hAnsi="仿宋" w:eastAsia="仿宋" w:cs="仿宋"/>
          <w:color w:val="auto"/>
          <w:kern w:val="0"/>
          <w:sz w:val="28"/>
          <w:highlight w:val="none"/>
        </w:rPr>
        <w:br w:type="page"/>
      </w:r>
      <w:r>
        <w:rPr>
          <w:rFonts w:hint="eastAsia" w:ascii="仿宋" w:hAnsi="仿宋" w:eastAsia="仿宋" w:cs="仿宋"/>
          <w:color w:val="auto"/>
          <w:kern w:val="0"/>
          <w:sz w:val="28"/>
          <w:highlight w:val="none"/>
        </w:rPr>
        <w:t>投标文件封面格式</w:t>
      </w:r>
    </w:p>
    <w:p w14:paraId="652DB095">
      <w:pPr>
        <w:widowControl/>
        <w:snapToGrid w:val="0"/>
        <w:spacing w:line="360" w:lineRule="auto"/>
        <w:jc w:val="right"/>
        <w:rPr>
          <w:rFonts w:ascii="仿宋" w:hAnsi="仿宋" w:eastAsia="仿宋" w:cs="仿宋"/>
          <w:color w:val="auto"/>
          <w:kern w:val="0"/>
          <w:sz w:val="28"/>
          <w:szCs w:val="32"/>
          <w:highlight w:val="none"/>
        </w:rPr>
      </w:pPr>
    </w:p>
    <w:p w14:paraId="225E3F12">
      <w:pPr>
        <w:widowControl/>
        <w:snapToGrid w:val="0"/>
        <w:spacing w:line="360" w:lineRule="auto"/>
        <w:jc w:val="right"/>
        <w:rPr>
          <w:rFonts w:ascii="仿宋" w:hAnsi="仿宋" w:eastAsia="仿宋" w:cs="仿宋"/>
          <w:color w:val="auto"/>
          <w:kern w:val="0"/>
          <w:sz w:val="28"/>
          <w:szCs w:val="32"/>
          <w:highlight w:val="none"/>
        </w:rPr>
      </w:pPr>
      <w:r>
        <w:rPr>
          <w:rFonts w:hint="eastAsia" w:ascii="仿宋" w:hAnsi="仿宋" w:eastAsia="仿宋" w:cs="仿宋"/>
          <w:color w:val="auto"/>
          <w:kern w:val="0"/>
          <w:sz w:val="28"/>
          <w:szCs w:val="32"/>
          <w:highlight w:val="none"/>
        </w:rPr>
        <w:t>（正</w:t>
      </w:r>
      <w:r>
        <w:rPr>
          <w:rFonts w:hint="eastAsia" w:ascii="仿宋" w:hAnsi="仿宋" w:eastAsia="仿宋" w:cs="仿宋"/>
          <w:color w:val="auto"/>
          <w:kern w:val="0"/>
          <w:sz w:val="28"/>
          <w:szCs w:val="36"/>
          <w:highlight w:val="none"/>
        </w:rPr>
        <w:t>/</w:t>
      </w:r>
      <w:r>
        <w:rPr>
          <w:rFonts w:hint="eastAsia" w:ascii="仿宋" w:hAnsi="仿宋" w:eastAsia="仿宋" w:cs="仿宋"/>
          <w:color w:val="auto"/>
          <w:kern w:val="0"/>
          <w:sz w:val="28"/>
          <w:szCs w:val="32"/>
          <w:highlight w:val="none"/>
        </w:rPr>
        <w:t>副）本</w:t>
      </w:r>
    </w:p>
    <w:p w14:paraId="3F8493E1">
      <w:pPr>
        <w:widowControl/>
        <w:snapToGrid w:val="0"/>
        <w:spacing w:line="360" w:lineRule="auto"/>
        <w:jc w:val="right"/>
        <w:rPr>
          <w:rFonts w:ascii="仿宋" w:hAnsi="仿宋" w:eastAsia="仿宋" w:cs="仿宋"/>
          <w:color w:val="auto"/>
          <w:kern w:val="0"/>
          <w:sz w:val="28"/>
          <w:szCs w:val="32"/>
          <w:highlight w:val="none"/>
        </w:rPr>
      </w:pPr>
    </w:p>
    <w:p w14:paraId="295501B2">
      <w:pPr>
        <w:widowControl/>
        <w:snapToGrid w:val="0"/>
        <w:spacing w:line="360" w:lineRule="auto"/>
        <w:jc w:val="center"/>
        <w:rPr>
          <w:rFonts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投  标  文  件</w:t>
      </w:r>
    </w:p>
    <w:p w14:paraId="0A731AF2">
      <w:pPr>
        <w:widowControl/>
        <w:snapToGrid w:val="0"/>
        <w:spacing w:line="360" w:lineRule="auto"/>
        <w:jc w:val="center"/>
        <w:rPr>
          <w:rFonts w:ascii="仿宋" w:hAnsi="仿宋" w:eastAsia="仿宋" w:cs="仿宋"/>
          <w:b/>
          <w:color w:val="auto"/>
          <w:kern w:val="0"/>
          <w:sz w:val="44"/>
          <w:szCs w:val="44"/>
          <w:highlight w:val="none"/>
        </w:rPr>
      </w:pPr>
    </w:p>
    <w:p w14:paraId="7141F501">
      <w:pPr>
        <w:widowControl/>
        <w:snapToGrid w:val="0"/>
        <w:spacing w:line="360" w:lineRule="auto"/>
        <w:jc w:val="left"/>
        <w:rPr>
          <w:rFonts w:ascii="仿宋" w:hAnsi="仿宋" w:eastAsia="仿宋" w:cs="仿宋"/>
          <w:color w:val="auto"/>
          <w:kern w:val="0"/>
          <w:sz w:val="28"/>
          <w:szCs w:val="30"/>
          <w:highlight w:val="none"/>
        </w:rPr>
      </w:pPr>
    </w:p>
    <w:p w14:paraId="0D3E57B2">
      <w:pPr>
        <w:widowControl/>
        <w:snapToGrid w:val="0"/>
        <w:spacing w:line="360" w:lineRule="auto"/>
        <w:ind w:firstLine="560" w:firstLineChars="200"/>
        <w:jc w:val="left"/>
        <w:rPr>
          <w:rFonts w:hint="eastAsia" w:ascii="仿宋" w:hAnsi="仿宋" w:eastAsia="仿宋" w:cs="仿宋"/>
          <w:color w:val="auto"/>
          <w:kern w:val="0"/>
          <w:sz w:val="28"/>
          <w:szCs w:val="30"/>
          <w:highlight w:val="none"/>
        </w:rPr>
      </w:pPr>
      <w:r>
        <w:rPr>
          <w:rFonts w:hint="eastAsia" w:ascii="仿宋" w:hAnsi="仿宋" w:eastAsia="仿宋" w:cs="仿宋"/>
          <w:color w:val="auto"/>
          <w:kern w:val="0"/>
          <w:sz w:val="28"/>
          <w:szCs w:val="30"/>
          <w:highlight w:val="none"/>
        </w:rPr>
        <w:t>项目名称：</w:t>
      </w:r>
    </w:p>
    <w:p w14:paraId="451EB08B">
      <w:pPr>
        <w:widowControl/>
        <w:snapToGrid w:val="0"/>
        <w:spacing w:line="360" w:lineRule="auto"/>
        <w:ind w:firstLine="560" w:firstLineChars="200"/>
        <w:jc w:val="left"/>
        <w:rPr>
          <w:rFonts w:ascii="仿宋" w:hAnsi="仿宋" w:eastAsia="仿宋" w:cs="仿宋"/>
          <w:color w:val="auto"/>
          <w:kern w:val="0"/>
          <w:sz w:val="28"/>
          <w:szCs w:val="30"/>
          <w:highlight w:val="none"/>
        </w:rPr>
      </w:pPr>
      <w:r>
        <w:rPr>
          <w:rFonts w:hint="eastAsia" w:ascii="仿宋" w:hAnsi="仿宋" w:eastAsia="仿宋" w:cs="仿宋"/>
          <w:color w:val="auto"/>
          <w:kern w:val="0"/>
          <w:sz w:val="28"/>
          <w:szCs w:val="30"/>
          <w:highlight w:val="none"/>
        </w:rPr>
        <w:t>项目编号：</w:t>
      </w:r>
    </w:p>
    <w:p w14:paraId="17ABD330">
      <w:pPr>
        <w:pStyle w:val="10"/>
        <w:rPr>
          <w:rFonts w:ascii="仿宋" w:hAnsi="仿宋" w:eastAsia="仿宋" w:cs="仿宋"/>
          <w:color w:val="auto"/>
          <w:highlight w:val="none"/>
        </w:rPr>
      </w:pPr>
    </w:p>
    <w:p w14:paraId="3E5932F8">
      <w:pPr>
        <w:pStyle w:val="27"/>
        <w:rPr>
          <w:rFonts w:ascii="仿宋" w:hAnsi="仿宋" w:eastAsia="仿宋" w:cs="仿宋"/>
          <w:color w:val="auto"/>
          <w:highlight w:val="none"/>
        </w:rPr>
      </w:pPr>
    </w:p>
    <w:p w14:paraId="178AF74B">
      <w:pPr>
        <w:pStyle w:val="27"/>
        <w:rPr>
          <w:rFonts w:ascii="仿宋" w:hAnsi="仿宋" w:eastAsia="仿宋" w:cs="仿宋"/>
          <w:color w:val="auto"/>
          <w:highlight w:val="none"/>
        </w:rPr>
      </w:pPr>
    </w:p>
    <w:p w14:paraId="066BDA18">
      <w:pPr>
        <w:widowControl/>
        <w:snapToGrid w:val="0"/>
        <w:spacing w:line="360" w:lineRule="auto"/>
        <w:jc w:val="left"/>
        <w:rPr>
          <w:rFonts w:ascii="仿宋" w:hAnsi="仿宋" w:eastAsia="仿宋" w:cs="仿宋"/>
          <w:b/>
          <w:color w:val="auto"/>
          <w:kern w:val="0"/>
          <w:sz w:val="44"/>
          <w:szCs w:val="44"/>
          <w:highlight w:val="none"/>
        </w:rPr>
      </w:pPr>
    </w:p>
    <w:p w14:paraId="0566254C">
      <w:pPr>
        <w:widowControl/>
        <w:snapToGrid w:val="0"/>
        <w:spacing w:line="360" w:lineRule="auto"/>
        <w:jc w:val="left"/>
        <w:rPr>
          <w:rFonts w:ascii="仿宋" w:hAnsi="仿宋" w:eastAsia="仿宋" w:cs="仿宋"/>
          <w:color w:val="auto"/>
          <w:kern w:val="0"/>
          <w:sz w:val="28"/>
          <w:highlight w:val="none"/>
        </w:rPr>
      </w:pPr>
    </w:p>
    <w:p w14:paraId="10C01043">
      <w:pPr>
        <w:widowControl/>
        <w:snapToGrid w:val="0"/>
        <w:spacing w:line="360" w:lineRule="auto"/>
        <w:jc w:val="left"/>
        <w:rPr>
          <w:rFonts w:ascii="仿宋" w:hAnsi="仿宋" w:eastAsia="仿宋" w:cs="仿宋"/>
          <w:color w:val="auto"/>
          <w:kern w:val="0"/>
          <w:sz w:val="28"/>
          <w:highlight w:val="none"/>
        </w:rPr>
      </w:pPr>
    </w:p>
    <w:p w14:paraId="43E276C6">
      <w:pPr>
        <w:widowControl/>
        <w:snapToGrid w:val="0"/>
        <w:spacing w:line="360" w:lineRule="auto"/>
        <w:jc w:val="center"/>
        <w:rPr>
          <w:rFonts w:ascii="仿宋" w:hAnsi="仿宋" w:eastAsia="仿宋" w:cs="仿宋"/>
          <w:color w:val="auto"/>
          <w:kern w:val="0"/>
          <w:sz w:val="30"/>
          <w:szCs w:val="30"/>
          <w:highlight w:val="none"/>
          <w:u w:val="single"/>
        </w:rPr>
      </w:pPr>
      <w:r>
        <w:rPr>
          <w:rFonts w:hint="eastAsia" w:ascii="仿宋" w:hAnsi="仿宋" w:eastAsia="仿宋" w:cs="仿宋"/>
          <w:color w:val="auto"/>
          <w:kern w:val="0"/>
          <w:sz w:val="30"/>
          <w:szCs w:val="30"/>
          <w:highlight w:val="none"/>
        </w:rPr>
        <w:t xml:space="preserve">投标人全称： </w:t>
      </w:r>
      <w:r>
        <w:rPr>
          <w:rFonts w:hint="eastAsia" w:ascii="仿宋" w:hAnsi="仿宋" w:eastAsia="仿宋" w:cs="仿宋"/>
          <w:color w:val="auto"/>
          <w:kern w:val="0"/>
          <w:sz w:val="30"/>
          <w:szCs w:val="30"/>
          <w:highlight w:val="none"/>
          <w:u w:val="single"/>
        </w:rPr>
        <w:t xml:space="preserve">               </w:t>
      </w:r>
      <w:r>
        <w:rPr>
          <w:rFonts w:hint="eastAsia" w:ascii="仿宋" w:hAnsi="仿宋" w:eastAsia="仿宋" w:cs="仿宋"/>
          <w:color w:val="auto"/>
          <w:kern w:val="0"/>
          <w:sz w:val="30"/>
          <w:szCs w:val="30"/>
          <w:highlight w:val="none"/>
        </w:rPr>
        <w:t>（盖章）</w:t>
      </w:r>
    </w:p>
    <w:p w14:paraId="5AE67370">
      <w:pPr>
        <w:widowControl/>
        <w:snapToGrid w:val="0"/>
        <w:spacing w:line="360" w:lineRule="auto"/>
        <w:jc w:val="center"/>
        <w:rPr>
          <w:rFonts w:ascii="仿宋" w:hAnsi="仿宋" w:eastAsia="仿宋" w:cs="仿宋"/>
          <w:color w:val="auto"/>
          <w:kern w:val="0"/>
          <w:sz w:val="30"/>
          <w:szCs w:val="30"/>
          <w:highlight w:val="none"/>
          <w:u w:val="single"/>
        </w:rPr>
      </w:pPr>
      <w:r>
        <w:rPr>
          <w:rFonts w:hint="eastAsia" w:ascii="仿宋" w:hAnsi="仿宋" w:eastAsia="仿宋" w:cs="仿宋"/>
          <w:color w:val="auto"/>
          <w:kern w:val="0"/>
          <w:sz w:val="30"/>
          <w:szCs w:val="30"/>
          <w:highlight w:val="none"/>
        </w:rPr>
        <w:t>法定代表人或授权代表：</w:t>
      </w:r>
      <w:r>
        <w:rPr>
          <w:rFonts w:hint="eastAsia" w:ascii="仿宋" w:hAnsi="仿宋" w:eastAsia="仿宋" w:cs="仿宋"/>
          <w:color w:val="auto"/>
          <w:kern w:val="0"/>
          <w:sz w:val="30"/>
          <w:szCs w:val="30"/>
          <w:highlight w:val="none"/>
          <w:u w:val="single"/>
        </w:rPr>
        <w:t xml:space="preserve">                </w:t>
      </w:r>
      <w:r>
        <w:rPr>
          <w:rFonts w:hint="eastAsia" w:ascii="仿宋" w:hAnsi="仿宋" w:eastAsia="仿宋" w:cs="仿宋"/>
          <w:color w:val="auto"/>
          <w:kern w:val="0"/>
          <w:sz w:val="30"/>
          <w:szCs w:val="30"/>
          <w:highlight w:val="none"/>
        </w:rPr>
        <w:t>（签字或盖章）</w:t>
      </w:r>
    </w:p>
    <w:p w14:paraId="76E78D2D">
      <w:pPr>
        <w:widowControl/>
        <w:snapToGrid w:val="0"/>
        <w:spacing w:line="360" w:lineRule="auto"/>
        <w:rPr>
          <w:rFonts w:ascii="仿宋" w:hAnsi="仿宋" w:eastAsia="仿宋" w:cs="仿宋"/>
          <w:color w:val="auto"/>
          <w:kern w:val="0"/>
          <w:sz w:val="30"/>
          <w:szCs w:val="30"/>
          <w:highlight w:val="none"/>
          <w:u w:val="single"/>
        </w:rPr>
      </w:pPr>
    </w:p>
    <w:p w14:paraId="012EF10F">
      <w:pPr>
        <w:widowControl/>
        <w:snapToGrid w:val="0"/>
        <w:spacing w:line="360" w:lineRule="auto"/>
        <w:rPr>
          <w:rFonts w:ascii="仿宋" w:hAnsi="仿宋" w:eastAsia="仿宋" w:cs="仿宋"/>
          <w:color w:val="auto"/>
          <w:kern w:val="0"/>
          <w:sz w:val="30"/>
          <w:szCs w:val="30"/>
          <w:highlight w:val="none"/>
          <w:u w:val="single"/>
        </w:rPr>
      </w:pPr>
    </w:p>
    <w:p w14:paraId="7040DB9A">
      <w:pPr>
        <w:widowControl/>
        <w:snapToGrid w:val="0"/>
        <w:spacing w:line="360" w:lineRule="auto"/>
        <w:rPr>
          <w:rFonts w:ascii="仿宋" w:hAnsi="仿宋" w:eastAsia="仿宋" w:cs="仿宋"/>
          <w:color w:val="auto"/>
          <w:kern w:val="0"/>
          <w:sz w:val="30"/>
          <w:szCs w:val="30"/>
          <w:highlight w:val="none"/>
          <w:u w:val="single"/>
        </w:rPr>
      </w:pPr>
    </w:p>
    <w:p w14:paraId="463ADD88">
      <w:pPr>
        <w:widowControl/>
        <w:snapToGrid w:val="0"/>
        <w:spacing w:line="360" w:lineRule="auto"/>
        <w:jc w:val="center"/>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二〇二   年   月   日</w:t>
      </w:r>
    </w:p>
    <w:p w14:paraId="43ED02A8">
      <w:pPr>
        <w:pStyle w:val="10"/>
        <w:rPr>
          <w:rFonts w:ascii="仿宋" w:hAnsi="仿宋" w:eastAsia="仿宋" w:cs="仿宋"/>
          <w:color w:val="auto"/>
          <w:highlight w:val="none"/>
        </w:rPr>
      </w:pPr>
    </w:p>
    <w:p w14:paraId="6EA97CB7">
      <w:pPr>
        <w:spacing w:line="360" w:lineRule="auto"/>
        <w:jc w:val="center"/>
        <w:rPr>
          <w:rFonts w:hint="eastAsia" w:ascii="仿宋" w:hAnsi="仿宋" w:eastAsia="仿宋" w:cs="仿宋"/>
          <w:b/>
          <w:bCs/>
          <w:color w:val="auto"/>
          <w:sz w:val="36"/>
          <w:szCs w:val="36"/>
          <w:highlight w:val="none"/>
        </w:rPr>
      </w:pPr>
    </w:p>
    <w:p w14:paraId="35923605">
      <w:pPr>
        <w:spacing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     录</w:t>
      </w:r>
    </w:p>
    <w:p w14:paraId="2DC07BF7">
      <w:pPr>
        <w:spacing w:line="360" w:lineRule="auto"/>
        <w:jc w:val="left"/>
        <w:rPr>
          <w:rFonts w:hint="eastAsia" w:ascii="仿宋" w:hAnsi="仿宋" w:eastAsia="仿宋" w:cs="仿宋"/>
          <w:bCs/>
          <w:color w:val="auto"/>
          <w:sz w:val="24"/>
          <w:highlight w:val="none"/>
        </w:rPr>
      </w:pPr>
    </w:p>
    <w:p w14:paraId="317BA928">
      <w:pPr>
        <w:spacing w:line="360" w:lineRule="auto"/>
        <w:jc w:val="left"/>
        <w:rPr>
          <w:rFonts w:hint="eastAsia" w:ascii="仿宋" w:hAnsi="仿宋" w:eastAsia="仿宋" w:cs="仿宋"/>
          <w:bCs/>
          <w:color w:val="auto"/>
          <w:sz w:val="24"/>
          <w:highlight w:val="none"/>
        </w:rPr>
      </w:pPr>
    </w:p>
    <w:p w14:paraId="59A2744F">
      <w:pPr>
        <w:spacing w:line="360" w:lineRule="auto"/>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目录格式</w:t>
      </w:r>
      <w:r>
        <w:rPr>
          <w:rFonts w:hint="eastAsia" w:ascii="仿宋" w:hAnsi="仿宋" w:eastAsia="仿宋" w:cs="仿宋"/>
          <w:bCs/>
          <w:color w:val="auto"/>
          <w:sz w:val="24"/>
          <w:highlight w:val="none"/>
          <w:lang w:eastAsia="zh-CN"/>
        </w:rPr>
        <w:t>自拟</w:t>
      </w:r>
    </w:p>
    <w:p w14:paraId="5F3137B1">
      <w:pPr>
        <w:pStyle w:val="20"/>
        <w:snapToGrid w:val="0"/>
        <w:spacing w:line="360" w:lineRule="auto"/>
        <w:ind w:firstLine="723" w:firstLineChars="200"/>
        <w:rPr>
          <w:rFonts w:ascii="仿宋" w:hAnsi="仿宋" w:eastAsia="仿宋" w:cs="仿宋"/>
          <w:b/>
          <w:bCs/>
          <w:color w:val="auto"/>
          <w:kern w:val="44"/>
          <w:sz w:val="24"/>
          <w:highlight w:val="none"/>
        </w:rPr>
      </w:pPr>
      <w:r>
        <w:rPr>
          <w:rFonts w:hint="eastAsia" w:ascii="仿宋" w:hAnsi="仿宋" w:eastAsia="仿宋" w:cs="仿宋"/>
          <w:b/>
          <w:color w:val="auto"/>
          <w:kern w:val="0"/>
          <w:sz w:val="36"/>
          <w:szCs w:val="36"/>
          <w:highlight w:val="none"/>
        </w:rPr>
        <w:br w:type="page"/>
      </w:r>
    </w:p>
    <w:p w14:paraId="314847F9">
      <w:pPr>
        <w:widowControl/>
        <w:snapToGrid w:val="0"/>
        <w:spacing w:line="360" w:lineRule="auto"/>
        <w:jc w:val="center"/>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资格证明文件</w:t>
      </w:r>
    </w:p>
    <w:p w14:paraId="69AEE7F6">
      <w:pPr>
        <w:snapToGrid w:val="0"/>
        <w:spacing w:line="360" w:lineRule="auto"/>
        <w:outlineLvl w:val="2"/>
        <w:rPr>
          <w:rFonts w:hint="eastAsia" w:ascii="仿宋" w:hAnsi="仿宋" w:eastAsia="仿宋" w:cs="仿宋"/>
          <w:b/>
          <w:sz w:val="24"/>
          <w:highlight w:val="none"/>
        </w:rPr>
      </w:pPr>
      <w:r>
        <w:rPr>
          <w:rFonts w:hint="eastAsia" w:ascii="仿宋" w:hAnsi="仿宋" w:eastAsia="仿宋" w:cs="仿宋"/>
          <w:b/>
          <w:color w:val="000000"/>
          <w:kern w:val="0"/>
          <w:sz w:val="24"/>
          <w:highlight w:val="none"/>
        </w:rPr>
        <w:t>1．</w:t>
      </w:r>
      <w:r>
        <w:rPr>
          <w:rFonts w:hint="eastAsia" w:ascii="仿宋" w:hAnsi="仿宋" w:eastAsia="仿宋" w:cs="仿宋"/>
          <w:b/>
          <w:color w:val="000000"/>
          <w:kern w:val="0"/>
          <w:sz w:val="24"/>
          <w:highlight w:val="none"/>
          <w:lang w:val="en-US" w:eastAsia="zh-CN"/>
        </w:rPr>
        <w:t>具有</w:t>
      </w:r>
      <w:r>
        <w:rPr>
          <w:rFonts w:hint="eastAsia" w:ascii="仿宋" w:hAnsi="仿宋" w:eastAsia="仿宋" w:cs="仿宋"/>
          <w:b/>
          <w:sz w:val="24"/>
          <w:highlight w:val="none"/>
        </w:rPr>
        <w:t>独立承担民事责任的能力</w:t>
      </w:r>
      <w:r>
        <w:rPr>
          <w:rFonts w:hint="eastAsia" w:ascii="仿宋" w:hAnsi="仿宋" w:eastAsia="仿宋" w:cs="仿宋"/>
          <w:b/>
          <w:sz w:val="24"/>
          <w:highlight w:val="none"/>
          <w:lang w:val="en-US" w:eastAsia="zh-CN"/>
        </w:rPr>
        <w:t>的承诺函</w:t>
      </w:r>
    </w:p>
    <w:p w14:paraId="0D5DE3F3">
      <w:pPr>
        <w:snapToGrid w:val="0"/>
        <w:spacing w:line="360" w:lineRule="auto"/>
        <w:jc w:val="center"/>
        <w:outlineLvl w:val="9"/>
        <w:rPr>
          <w:rFonts w:hint="eastAsia" w:ascii="仿宋" w:hAnsi="仿宋" w:eastAsia="仿宋" w:cs="仿宋"/>
          <w:b/>
          <w:color w:val="000000"/>
          <w:kern w:val="0"/>
          <w:sz w:val="24"/>
          <w:highlight w:val="none"/>
          <w:lang w:val="en-US" w:eastAsia="zh-CN"/>
        </w:rPr>
      </w:pPr>
    </w:p>
    <w:p w14:paraId="42B7EB65">
      <w:pPr>
        <w:snapToGrid w:val="0"/>
        <w:spacing w:line="360" w:lineRule="auto"/>
        <w:jc w:val="center"/>
        <w:outlineLvl w:val="9"/>
        <w:rPr>
          <w:rFonts w:hint="eastAsia" w:ascii="仿宋" w:hAnsi="仿宋" w:eastAsia="仿宋" w:cs="仿宋"/>
          <w:sz w:val="24"/>
          <w:highlight w:val="none"/>
          <w:u w:val="single"/>
        </w:rPr>
      </w:pPr>
      <w:r>
        <w:rPr>
          <w:rFonts w:hint="eastAsia" w:ascii="仿宋" w:hAnsi="仿宋" w:eastAsia="仿宋" w:cs="仿宋"/>
          <w:b/>
          <w:color w:val="000000"/>
          <w:kern w:val="0"/>
          <w:sz w:val="24"/>
          <w:highlight w:val="none"/>
          <w:lang w:val="en-US" w:eastAsia="zh-CN"/>
        </w:rPr>
        <w:t>投标人具有</w:t>
      </w:r>
      <w:r>
        <w:rPr>
          <w:rFonts w:hint="eastAsia" w:ascii="仿宋" w:hAnsi="仿宋" w:eastAsia="仿宋" w:cs="仿宋"/>
          <w:b/>
          <w:sz w:val="24"/>
          <w:highlight w:val="none"/>
        </w:rPr>
        <w:t>独立承担民事责任的能力</w:t>
      </w:r>
      <w:r>
        <w:rPr>
          <w:rFonts w:hint="eastAsia" w:ascii="仿宋" w:hAnsi="仿宋" w:eastAsia="仿宋" w:cs="仿宋"/>
          <w:b/>
          <w:sz w:val="24"/>
          <w:highlight w:val="none"/>
          <w:lang w:val="en-US" w:eastAsia="zh-CN"/>
        </w:rPr>
        <w:t>的承诺函</w:t>
      </w:r>
    </w:p>
    <w:p w14:paraId="47B205DD">
      <w:pPr>
        <w:outlineLvl w:val="9"/>
        <w:rPr>
          <w:rFonts w:hint="eastAsia" w:ascii="仿宋" w:hAnsi="仿宋" w:eastAsia="仿宋" w:cs="仿宋"/>
          <w:sz w:val="24"/>
          <w:highlight w:val="none"/>
          <w:u w:val="single"/>
        </w:rPr>
      </w:pPr>
    </w:p>
    <w:p w14:paraId="2D838934">
      <w:pPr>
        <w:outlineLvl w:val="9"/>
        <w:rPr>
          <w:rFonts w:hint="eastAsia" w:ascii="仿宋" w:hAnsi="仿宋" w:eastAsia="仿宋" w:cs="仿宋"/>
          <w:sz w:val="24"/>
          <w:highlight w:val="none"/>
          <w:u w:val="single"/>
        </w:rPr>
      </w:pPr>
      <w:r>
        <w:rPr>
          <w:rFonts w:hint="eastAsia" w:ascii="仿宋" w:hAnsi="仿宋" w:eastAsia="仿宋" w:cs="仿宋"/>
          <w:sz w:val="24"/>
          <w:highlight w:val="none"/>
          <w:u w:val="single"/>
        </w:rPr>
        <w:t xml:space="preserve"> </w:t>
      </w:r>
      <w:r>
        <w:rPr>
          <w:rFonts w:hint="eastAsia" w:ascii="仿宋" w:hAnsi="仿宋" w:eastAsia="仿宋" w:cs="仿宋"/>
          <w:color w:val="auto"/>
          <w:sz w:val="24"/>
          <w:highlight w:val="none"/>
          <w:u w:val="single"/>
          <w:lang w:eastAsia="zh-CN"/>
        </w:rPr>
        <w:t>（采购人名称）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none"/>
        </w:rPr>
        <w:t>：</w:t>
      </w:r>
    </w:p>
    <w:p w14:paraId="6D6ABCB3">
      <w:pPr>
        <w:widowControl/>
        <w:snapToGrid w:val="0"/>
        <w:spacing w:line="360" w:lineRule="auto"/>
        <w:ind w:firstLine="480" w:firstLineChars="200"/>
        <w:outlineLvl w:val="9"/>
        <w:rPr>
          <w:rFonts w:hint="eastAsia" w:ascii="仿宋" w:hAnsi="仿宋" w:eastAsia="仿宋" w:cs="仿宋"/>
          <w:sz w:val="24"/>
          <w:highlight w:val="none"/>
        </w:rPr>
      </w:pPr>
    </w:p>
    <w:p w14:paraId="2CABC93F">
      <w:pPr>
        <w:widowControl/>
        <w:snapToGrid w:val="0"/>
        <w:spacing w:line="360" w:lineRule="auto"/>
        <w:ind w:firstLine="480" w:firstLineChars="200"/>
        <w:outlineLvl w:val="9"/>
        <w:rPr>
          <w:rFonts w:hint="eastAsia" w:ascii="仿宋" w:hAnsi="仿宋" w:eastAsia="仿宋" w:cs="仿宋"/>
          <w:sz w:val="24"/>
          <w:highlight w:val="none"/>
          <w:lang w:eastAsia="zh-CN"/>
        </w:rPr>
      </w:pPr>
      <w:r>
        <w:rPr>
          <w:rFonts w:hint="eastAsia" w:ascii="仿宋" w:hAnsi="仿宋" w:eastAsia="仿宋" w:cs="仿宋"/>
          <w:sz w:val="24"/>
          <w:highlight w:val="none"/>
        </w:rPr>
        <w:t>本</w:t>
      </w: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现参与</w:t>
      </w:r>
      <w:r>
        <w:rPr>
          <w:rFonts w:hint="eastAsia" w:ascii="仿宋" w:hAnsi="仿宋" w:eastAsia="仿宋" w:cs="仿宋"/>
          <w:sz w:val="24"/>
          <w:highlight w:val="none"/>
          <w:lang w:val="en-US" w:eastAsia="zh-CN"/>
        </w:rPr>
        <w:t>贵单位组织的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项目（项目编号：</w:t>
      </w:r>
      <w:r>
        <w:rPr>
          <w:rFonts w:hint="eastAsia" w:ascii="仿宋" w:hAnsi="仿宋" w:eastAsia="仿宋" w:cs="仿宋"/>
          <w:sz w:val="24"/>
          <w:highlight w:val="none"/>
          <w:u w:val="single"/>
        </w:rPr>
        <w:t xml:space="preserve">       </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lang w:val="en-US" w:eastAsia="zh-CN"/>
        </w:rPr>
        <w:t xml:space="preserve">    </w:t>
      </w:r>
      <w:r>
        <w:rPr>
          <w:rFonts w:hint="eastAsia" w:ascii="仿宋" w:hAnsi="仿宋" w:eastAsia="仿宋" w:cs="仿宋"/>
          <w:sz w:val="24"/>
          <w:highlight w:val="none"/>
        </w:rPr>
        <w:t>）的采购活动</w:t>
      </w:r>
      <w:r>
        <w:rPr>
          <w:rFonts w:hint="eastAsia" w:ascii="仿宋" w:hAnsi="仿宋" w:eastAsia="仿宋" w:cs="仿宋"/>
          <w:sz w:val="24"/>
          <w:highlight w:val="none"/>
          <w:lang w:eastAsia="zh-CN"/>
        </w:rPr>
        <w:t>。</w:t>
      </w:r>
      <w:r>
        <w:rPr>
          <w:rFonts w:hint="eastAsia" w:ascii="仿宋" w:hAnsi="仿宋" w:eastAsia="仿宋" w:cs="仿宋"/>
          <w:sz w:val="24"/>
          <w:highlight w:val="none"/>
        </w:rPr>
        <w:t>依据</w:t>
      </w:r>
      <w:r>
        <w:rPr>
          <w:rFonts w:hint="eastAsia" w:ascii="仿宋" w:hAnsi="仿宋" w:eastAsia="仿宋" w:cs="仿宋"/>
          <w:sz w:val="24"/>
          <w:highlight w:val="none"/>
          <w:lang w:val="en-US" w:eastAsia="zh-CN"/>
        </w:rPr>
        <w:t>招标文件</w:t>
      </w:r>
      <w:r>
        <w:rPr>
          <w:rFonts w:hint="eastAsia" w:ascii="仿宋" w:hAnsi="仿宋" w:eastAsia="仿宋" w:cs="仿宋"/>
          <w:sz w:val="24"/>
          <w:highlight w:val="none"/>
        </w:rPr>
        <w:t>相关规定，</w:t>
      </w:r>
      <w:r>
        <w:rPr>
          <w:rFonts w:hint="eastAsia" w:ascii="仿宋" w:hAnsi="仿宋" w:eastAsia="仿宋" w:cs="仿宋"/>
          <w:sz w:val="24"/>
          <w:highlight w:val="none"/>
          <w:lang w:val="en-US" w:eastAsia="zh-CN"/>
        </w:rPr>
        <w:t>现</w:t>
      </w:r>
      <w:r>
        <w:rPr>
          <w:rFonts w:hint="eastAsia" w:ascii="仿宋" w:hAnsi="仿宋" w:eastAsia="仿宋" w:cs="仿宋"/>
          <w:sz w:val="24"/>
          <w:highlight w:val="none"/>
        </w:rPr>
        <w:t>郑重承诺：我方</w:t>
      </w:r>
      <w:r>
        <w:rPr>
          <w:rFonts w:hint="eastAsia" w:ascii="仿宋" w:hAnsi="仿宋" w:eastAsia="仿宋" w:cs="仿宋"/>
          <w:sz w:val="24"/>
          <w:highlight w:val="none"/>
          <w:lang w:val="en-US" w:eastAsia="zh-CN"/>
        </w:rPr>
        <w:t>具有有效的营业执照或事业单位法人证书或自然人身份证明或其他非企业组织证明文件及有效的开户许可证，能</w:t>
      </w:r>
      <w:r>
        <w:rPr>
          <w:rFonts w:hint="eastAsia" w:ascii="仿宋" w:hAnsi="仿宋" w:eastAsia="仿宋" w:cs="仿宋"/>
          <w:sz w:val="24"/>
          <w:highlight w:val="none"/>
        </w:rPr>
        <w:t>独立承担民事责任的能力</w:t>
      </w:r>
      <w:r>
        <w:rPr>
          <w:rFonts w:hint="eastAsia" w:ascii="仿宋" w:hAnsi="仿宋" w:eastAsia="仿宋" w:cs="仿宋"/>
          <w:sz w:val="24"/>
          <w:highlight w:val="none"/>
          <w:lang w:eastAsia="zh-CN"/>
        </w:rPr>
        <w:t>。</w:t>
      </w:r>
    </w:p>
    <w:p w14:paraId="5A58927E">
      <w:pPr>
        <w:widowControl/>
        <w:snapToGrid w:val="0"/>
        <w:spacing w:line="360" w:lineRule="auto"/>
        <w:ind w:firstLine="480" w:firstLineChars="200"/>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基本信息如下：</w:t>
      </w:r>
    </w:p>
    <w:p w14:paraId="2F5984E8">
      <w:pPr>
        <w:widowControl/>
        <w:snapToGrid w:val="0"/>
        <w:spacing w:line="360" w:lineRule="auto"/>
        <w:ind w:firstLine="480" w:firstLineChars="200"/>
        <w:outlineLvl w:val="9"/>
        <w:rPr>
          <w:rFonts w:hint="eastAsia" w:ascii="仿宋" w:hAnsi="仿宋" w:eastAsia="仿宋" w:cs="仿宋"/>
          <w:sz w:val="24"/>
          <w:highlight w:val="none"/>
          <w:u w:val="none"/>
          <w:lang w:eastAsia="zh-CN"/>
        </w:rPr>
      </w:pPr>
      <w:r>
        <w:rPr>
          <w:rFonts w:hint="eastAsia" w:ascii="仿宋" w:hAnsi="仿宋" w:eastAsia="仿宋" w:cs="仿宋"/>
          <w:sz w:val="24"/>
          <w:highlight w:val="none"/>
          <w:lang w:val="en-US" w:eastAsia="zh-CN"/>
        </w:rPr>
        <w:t>名称为：</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none"/>
          <w:lang w:val="en-US" w:eastAsia="zh-CN"/>
        </w:rPr>
        <w:t>，</w:t>
      </w:r>
      <w:r>
        <w:rPr>
          <w:rFonts w:hint="eastAsia" w:ascii="仿宋" w:hAnsi="仿宋" w:eastAsia="仿宋" w:cs="仿宋"/>
          <w:sz w:val="24"/>
          <w:highlight w:val="none"/>
          <w:lang w:val="en-US" w:eastAsia="zh-CN"/>
        </w:rPr>
        <w:t>统一社会信用代码为：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none"/>
          <w:lang w:eastAsia="zh-CN"/>
        </w:rPr>
        <w:t>；</w:t>
      </w:r>
      <w:r>
        <w:rPr>
          <w:rFonts w:hint="eastAsia" w:ascii="仿宋" w:hAnsi="仿宋" w:eastAsia="仿宋" w:cs="仿宋"/>
          <w:sz w:val="24"/>
          <w:highlight w:val="none"/>
          <w:u w:val="none"/>
          <w:lang w:val="en-US" w:eastAsia="zh-CN"/>
        </w:rPr>
        <w:t>法定代表人（负责人）为：</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en-US" w:eastAsia="zh-CN"/>
        </w:rPr>
        <w:t xml:space="preserve"> ；营业期限为:</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none"/>
          <w:lang w:val="en-US" w:eastAsia="zh-CN"/>
        </w:rPr>
        <w:t>；</w:t>
      </w:r>
      <w:r>
        <w:rPr>
          <w:rFonts w:hint="eastAsia" w:ascii="仿宋" w:hAnsi="仿宋" w:eastAsia="仿宋" w:cs="仿宋"/>
          <w:sz w:val="24"/>
          <w:highlight w:val="none"/>
          <w:lang w:val="en-US" w:eastAsia="zh-CN"/>
        </w:rPr>
        <w:t>基本开户银行为：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none"/>
          <w:lang w:eastAsia="zh-CN"/>
        </w:rPr>
        <w:t>；</w:t>
      </w:r>
      <w:r>
        <w:rPr>
          <w:rFonts w:hint="eastAsia" w:ascii="仿宋" w:hAnsi="仿宋" w:eastAsia="仿宋" w:cs="仿宋"/>
          <w:sz w:val="24"/>
          <w:highlight w:val="none"/>
          <w:u w:val="none"/>
          <w:lang w:val="en-US" w:eastAsia="zh-CN"/>
        </w:rPr>
        <w:t>账号为：</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none"/>
          <w:lang w:eastAsia="zh-CN"/>
        </w:rPr>
        <w:t>。</w:t>
      </w:r>
    </w:p>
    <w:p w14:paraId="48FAFC2E">
      <w:pPr>
        <w:widowControl/>
        <w:snapToGrid w:val="0"/>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u w:val="none"/>
          <w:lang w:val="en-US" w:eastAsia="zh-CN"/>
        </w:rPr>
        <w:t>以上承诺信息</w:t>
      </w:r>
      <w:r>
        <w:rPr>
          <w:rFonts w:hint="eastAsia" w:ascii="仿宋" w:hAnsi="仿宋" w:eastAsia="仿宋" w:cs="仿宋"/>
          <w:sz w:val="24"/>
          <w:highlight w:val="none"/>
        </w:rPr>
        <w:t>如有虚假或隐瞒，我方愿意承担一切后果，并不再寻求任何旨在减轻或免除</w:t>
      </w:r>
      <w:r>
        <w:rPr>
          <w:rFonts w:hint="eastAsia" w:ascii="仿宋" w:hAnsi="仿宋" w:eastAsia="仿宋" w:cs="仿宋"/>
          <w:sz w:val="24"/>
          <w:highlight w:val="none"/>
          <w:lang w:val="en-US" w:eastAsia="zh-CN"/>
        </w:rPr>
        <w:t>法律</w:t>
      </w:r>
      <w:r>
        <w:rPr>
          <w:rFonts w:hint="eastAsia" w:ascii="仿宋" w:hAnsi="仿宋" w:eastAsia="仿宋" w:cs="仿宋"/>
          <w:sz w:val="24"/>
          <w:highlight w:val="none"/>
        </w:rPr>
        <w:t xml:space="preserve">责任的辩解。 </w:t>
      </w:r>
    </w:p>
    <w:p w14:paraId="65646834">
      <w:pPr>
        <w:widowControl/>
        <w:snapToGrid w:val="0"/>
        <w:spacing w:line="360" w:lineRule="auto"/>
        <w:ind w:firstLine="480" w:firstLineChars="200"/>
        <w:outlineLvl w:val="9"/>
        <w:rPr>
          <w:rFonts w:hint="eastAsia" w:ascii="仿宋" w:hAnsi="仿宋" w:eastAsia="仿宋" w:cs="仿宋"/>
          <w:highlight w:val="none"/>
        </w:rPr>
      </w:pPr>
      <w:r>
        <w:rPr>
          <w:rFonts w:hint="eastAsia" w:ascii="仿宋" w:hAnsi="仿宋" w:eastAsia="仿宋" w:cs="仿宋"/>
          <w:sz w:val="24"/>
          <w:highlight w:val="none"/>
        </w:rPr>
        <w:t>特此承诺。</w:t>
      </w:r>
    </w:p>
    <w:p w14:paraId="4D59950A">
      <w:pPr>
        <w:widowControl/>
        <w:snapToGrid w:val="0"/>
        <w:spacing w:line="360" w:lineRule="auto"/>
        <w:ind w:firstLine="480" w:firstLineChars="200"/>
        <w:outlineLvl w:val="9"/>
        <w:rPr>
          <w:rFonts w:hint="eastAsia" w:ascii="仿宋" w:hAnsi="仿宋" w:eastAsia="仿宋" w:cs="仿宋"/>
          <w:sz w:val="24"/>
          <w:highlight w:val="none"/>
        </w:rPr>
      </w:pPr>
    </w:p>
    <w:p w14:paraId="4BECC606">
      <w:pPr>
        <w:widowControl/>
        <w:snapToGrid w:val="0"/>
        <w:spacing w:line="360" w:lineRule="auto"/>
        <w:ind w:firstLine="480" w:firstLineChars="200"/>
        <w:outlineLvl w:val="9"/>
        <w:rPr>
          <w:rFonts w:hint="eastAsia" w:ascii="仿宋" w:hAnsi="仿宋" w:eastAsia="仿宋" w:cs="仿宋"/>
          <w:sz w:val="24"/>
          <w:highlight w:val="none"/>
        </w:rPr>
      </w:pPr>
    </w:p>
    <w:p w14:paraId="6AA52EBC">
      <w:pPr>
        <w:snapToGrid w:val="0"/>
        <w:spacing w:line="480" w:lineRule="exact"/>
        <w:ind w:firstLine="3120" w:firstLineChars="1300"/>
        <w:jc w:val="both"/>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（盖章）</w:t>
      </w:r>
    </w:p>
    <w:p w14:paraId="5AA73E8F">
      <w:pPr>
        <w:snapToGrid w:val="0"/>
        <w:spacing w:line="480" w:lineRule="exact"/>
        <w:ind w:firstLine="3120" w:firstLineChars="1300"/>
        <w:jc w:val="both"/>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法定</w:t>
      </w:r>
      <w:r>
        <w:rPr>
          <w:rFonts w:hint="eastAsia" w:ascii="仿宋" w:hAnsi="仿宋" w:eastAsia="仿宋" w:cs="仿宋"/>
          <w:sz w:val="24"/>
          <w:highlight w:val="none"/>
        </w:rPr>
        <w:t>代表人</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负责人</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（签字或盖章）</w:t>
      </w:r>
    </w:p>
    <w:p w14:paraId="41BEA944">
      <w:pPr>
        <w:snapToGrid w:val="0"/>
        <w:spacing w:line="480" w:lineRule="exact"/>
        <w:ind w:firstLine="3120" w:firstLineChars="1300"/>
        <w:jc w:val="both"/>
        <w:outlineLvl w:val="9"/>
        <w:rPr>
          <w:rFonts w:hint="eastAsia" w:ascii="仿宋" w:hAnsi="仿宋" w:eastAsia="仿宋" w:cs="仿宋"/>
          <w:sz w:val="24"/>
          <w:highlight w:val="none"/>
        </w:rPr>
      </w:pPr>
      <w:r>
        <w:rPr>
          <w:rFonts w:hint="eastAsia" w:ascii="仿宋" w:hAnsi="仿宋" w:eastAsia="仿宋" w:cs="仿宋"/>
          <w:sz w:val="24"/>
          <w:highlight w:val="none"/>
        </w:rPr>
        <w:t>日      期：</w:t>
      </w:r>
    </w:p>
    <w:p w14:paraId="077A97AA">
      <w:pPr>
        <w:widowControl w:val="0"/>
        <w:spacing w:line="360" w:lineRule="auto"/>
        <w:ind w:firstLine="240" w:firstLineChars="100"/>
        <w:jc w:val="both"/>
        <w:outlineLvl w:val="9"/>
        <w:rPr>
          <w:rFonts w:hint="eastAsia" w:ascii="仿宋" w:hAnsi="仿宋" w:eastAsia="仿宋" w:cs="仿宋"/>
          <w:kern w:val="2"/>
          <w:sz w:val="24"/>
          <w:szCs w:val="24"/>
          <w:highlight w:val="none"/>
          <w:lang w:val="en-US" w:eastAsia="zh-CN" w:bidi="ar-SA"/>
        </w:rPr>
      </w:pPr>
    </w:p>
    <w:p w14:paraId="71BEBBB5">
      <w:pPr>
        <w:widowControl/>
        <w:snapToGrid w:val="0"/>
        <w:spacing w:line="360" w:lineRule="auto"/>
        <w:outlineLvl w:val="9"/>
        <w:rPr>
          <w:rFonts w:hint="eastAsia" w:ascii="仿宋" w:hAnsi="仿宋" w:eastAsia="仿宋" w:cs="仿宋"/>
          <w:color w:val="000000"/>
          <w:kern w:val="0"/>
          <w:sz w:val="24"/>
          <w:highlight w:val="none"/>
        </w:rPr>
      </w:pPr>
    </w:p>
    <w:p w14:paraId="0B88896C">
      <w:pPr>
        <w:snapToGrid w:val="0"/>
        <w:spacing w:line="360" w:lineRule="auto"/>
        <w:outlineLvl w:val="2"/>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br w:type="page"/>
      </w:r>
      <w:r>
        <w:rPr>
          <w:rFonts w:hint="eastAsia" w:ascii="仿宋" w:hAnsi="仿宋" w:eastAsia="仿宋" w:cs="仿宋"/>
          <w:b/>
          <w:color w:val="000000"/>
          <w:kern w:val="0"/>
          <w:sz w:val="24"/>
          <w:highlight w:val="none"/>
        </w:rPr>
        <w:t>2．</w:t>
      </w:r>
      <w:r>
        <w:rPr>
          <w:rFonts w:hint="eastAsia" w:ascii="仿宋" w:hAnsi="仿宋" w:eastAsia="仿宋" w:cs="仿宋"/>
          <w:b/>
          <w:color w:val="000000"/>
          <w:kern w:val="0"/>
          <w:sz w:val="24"/>
          <w:highlight w:val="none"/>
          <w:lang w:val="en-US" w:eastAsia="zh-CN"/>
        </w:rPr>
        <w:t>具有良好的商业信誉和</w:t>
      </w:r>
      <w:r>
        <w:rPr>
          <w:rFonts w:hint="eastAsia" w:ascii="仿宋" w:hAnsi="仿宋" w:eastAsia="仿宋" w:cs="仿宋"/>
          <w:b/>
          <w:sz w:val="24"/>
          <w:highlight w:val="none"/>
        </w:rPr>
        <w:t>健全的财务会计制度</w:t>
      </w:r>
      <w:r>
        <w:rPr>
          <w:rFonts w:hint="eastAsia" w:ascii="仿宋" w:hAnsi="仿宋" w:eastAsia="仿宋" w:cs="仿宋"/>
          <w:b/>
          <w:sz w:val="24"/>
          <w:highlight w:val="none"/>
          <w:lang w:val="en-US" w:eastAsia="zh-CN"/>
        </w:rPr>
        <w:t>的承诺函</w:t>
      </w:r>
    </w:p>
    <w:p w14:paraId="509ACABD">
      <w:pPr>
        <w:jc w:val="center"/>
        <w:outlineLvl w:val="9"/>
        <w:rPr>
          <w:rFonts w:hint="eastAsia" w:ascii="仿宋" w:hAnsi="仿宋" w:eastAsia="仿宋" w:cs="仿宋"/>
          <w:b/>
          <w:color w:val="000000"/>
          <w:kern w:val="0"/>
          <w:sz w:val="24"/>
          <w:highlight w:val="none"/>
          <w:lang w:val="en-US" w:eastAsia="zh-CN"/>
        </w:rPr>
      </w:pPr>
    </w:p>
    <w:p w14:paraId="4E9685E7">
      <w:pPr>
        <w:jc w:val="center"/>
        <w:outlineLvl w:val="9"/>
        <w:rPr>
          <w:rFonts w:hint="eastAsia" w:ascii="仿宋" w:hAnsi="仿宋" w:eastAsia="仿宋" w:cs="仿宋"/>
          <w:sz w:val="24"/>
          <w:highlight w:val="none"/>
          <w:u w:val="single"/>
        </w:rPr>
      </w:pPr>
      <w:r>
        <w:rPr>
          <w:rFonts w:hint="eastAsia" w:ascii="仿宋" w:hAnsi="仿宋" w:eastAsia="仿宋" w:cs="仿宋"/>
          <w:b/>
          <w:color w:val="000000"/>
          <w:kern w:val="0"/>
          <w:sz w:val="24"/>
          <w:highlight w:val="none"/>
          <w:lang w:val="en-US" w:eastAsia="zh-CN"/>
        </w:rPr>
        <w:t>投标人具有良好的商业信誉和</w:t>
      </w:r>
      <w:r>
        <w:rPr>
          <w:rFonts w:hint="eastAsia" w:ascii="仿宋" w:hAnsi="仿宋" w:eastAsia="仿宋" w:cs="仿宋"/>
          <w:b/>
          <w:sz w:val="24"/>
          <w:highlight w:val="none"/>
        </w:rPr>
        <w:t>健全的财务会计制度</w:t>
      </w:r>
      <w:r>
        <w:rPr>
          <w:rFonts w:hint="eastAsia" w:ascii="仿宋" w:hAnsi="仿宋" w:eastAsia="仿宋" w:cs="仿宋"/>
          <w:b/>
          <w:sz w:val="24"/>
          <w:highlight w:val="none"/>
          <w:lang w:val="en-US" w:eastAsia="zh-CN"/>
        </w:rPr>
        <w:t>的承诺函</w:t>
      </w:r>
    </w:p>
    <w:p w14:paraId="24A12B38">
      <w:pPr>
        <w:outlineLvl w:val="9"/>
        <w:rPr>
          <w:rFonts w:hint="eastAsia" w:ascii="仿宋" w:hAnsi="仿宋" w:eastAsia="仿宋" w:cs="仿宋"/>
          <w:sz w:val="24"/>
          <w:highlight w:val="none"/>
          <w:u w:val="single"/>
        </w:rPr>
      </w:pPr>
    </w:p>
    <w:p w14:paraId="2E5240FA">
      <w:pPr>
        <w:outlineLvl w:val="9"/>
        <w:rPr>
          <w:rFonts w:hint="eastAsia" w:ascii="仿宋" w:hAnsi="仿宋" w:eastAsia="仿宋" w:cs="仿宋"/>
          <w:sz w:val="24"/>
          <w:highlight w:val="none"/>
          <w:u w:val="single"/>
        </w:rPr>
      </w:pPr>
      <w:r>
        <w:rPr>
          <w:rFonts w:hint="eastAsia" w:ascii="仿宋" w:hAnsi="仿宋" w:eastAsia="仿宋" w:cs="仿宋"/>
          <w:sz w:val="24"/>
          <w:highlight w:val="none"/>
          <w:u w:val="single"/>
        </w:rPr>
        <w:t xml:space="preserve"> </w:t>
      </w:r>
      <w:r>
        <w:rPr>
          <w:rFonts w:hint="eastAsia" w:ascii="仿宋" w:hAnsi="仿宋" w:eastAsia="仿宋" w:cs="仿宋"/>
          <w:color w:val="auto"/>
          <w:sz w:val="24"/>
          <w:highlight w:val="none"/>
          <w:u w:val="single"/>
          <w:lang w:eastAsia="zh-CN"/>
        </w:rPr>
        <w:t>（采购人名称）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none"/>
        </w:rPr>
        <w:t>：</w:t>
      </w:r>
    </w:p>
    <w:p w14:paraId="58D94960">
      <w:pPr>
        <w:widowControl/>
        <w:snapToGrid w:val="0"/>
        <w:spacing w:line="360" w:lineRule="auto"/>
        <w:ind w:firstLine="480" w:firstLineChars="200"/>
        <w:outlineLvl w:val="9"/>
        <w:rPr>
          <w:rFonts w:hint="eastAsia" w:ascii="仿宋" w:hAnsi="仿宋" w:eastAsia="仿宋" w:cs="仿宋"/>
          <w:sz w:val="24"/>
          <w:highlight w:val="none"/>
        </w:rPr>
      </w:pPr>
    </w:p>
    <w:p w14:paraId="3A9BE009">
      <w:pPr>
        <w:widowControl/>
        <w:snapToGrid w:val="0"/>
        <w:spacing w:line="360" w:lineRule="auto"/>
        <w:ind w:left="239" w:leftChars="114" w:firstLine="240" w:firstLineChars="100"/>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rPr>
        <w:t>本</w:t>
      </w: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现参与</w:t>
      </w:r>
      <w:r>
        <w:rPr>
          <w:rFonts w:hint="eastAsia" w:ascii="仿宋" w:hAnsi="仿宋" w:eastAsia="仿宋" w:cs="仿宋"/>
          <w:sz w:val="24"/>
          <w:highlight w:val="none"/>
          <w:lang w:val="en-US" w:eastAsia="zh-CN"/>
        </w:rPr>
        <w:t>贵单位组织的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项目（项目编号：</w:t>
      </w:r>
      <w:r>
        <w:rPr>
          <w:rFonts w:hint="eastAsia" w:ascii="仿宋" w:hAnsi="仿宋" w:eastAsia="仿宋" w:cs="仿宋"/>
          <w:sz w:val="24"/>
          <w:highlight w:val="none"/>
          <w:u w:val="single"/>
        </w:rPr>
        <w:t xml:space="preserve">      </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lang w:val="en-US" w:eastAsia="zh-CN"/>
        </w:rPr>
        <w:t xml:space="preserve">     </w:t>
      </w:r>
      <w:r>
        <w:rPr>
          <w:rFonts w:hint="eastAsia" w:ascii="仿宋" w:hAnsi="仿宋" w:eastAsia="仿宋" w:cs="仿宋"/>
          <w:color w:val="000000"/>
          <w:kern w:val="0"/>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的采购活动</w:t>
      </w:r>
      <w:r>
        <w:rPr>
          <w:rFonts w:hint="eastAsia" w:ascii="仿宋" w:hAnsi="仿宋" w:eastAsia="仿宋" w:cs="仿宋"/>
          <w:sz w:val="24"/>
          <w:highlight w:val="none"/>
          <w:lang w:eastAsia="zh-CN"/>
        </w:rPr>
        <w:t>。</w:t>
      </w:r>
      <w:r>
        <w:rPr>
          <w:rFonts w:hint="eastAsia" w:ascii="仿宋" w:hAnsi="仿宋" w:eastAsia="仿宋" w:cs="仿宋"/>
          <w:sz w:val="24"/>
          <w:highlight w:val="none"/>
        </w:rPr>
        <w:t>依据</w:t>
      </w:r>
      <w:r>
        <w:rPr>
          <w:rFonts w:hint="eastAsia" w:ascii="仿宋" w:hAnsi="仿宋" w:eastAsia="仿宋" w:cs="仿宋"/>
          <w:sz w:val="24"/>
          <w:highlight w:val="none"/>
          <w:lang w:val="en-US" w:eastAsia="zh-CN"/>
        </w:rPr>
        <w:t>招标文件</w:t>
      </w:r>
      <w:r>
        <w:rPr>
          <w:rFonts w:hint="eastAsia" w:ascii="仿宋" w:hAnsi="仿宋" w:eastAsia="仿宋" w:cs="仿宋"/>
          <w:sz w:val="24"/>
          <w:highlight w:val="none"/>
        </w:rPr>
        <w:t>相关规定，</w:t>
      </w:r>
      <w:r>
        <w:rPr>
          <w:rFonts w:hint="eastAsia" w:ascii="仿宋" w:hAnsi="仿宋" w:eastAsia="仿宋" w:cs="仿宋"/>
          <w:sz w:val="24"/>
          <w:highlight w:val="none"/>
          <w:lang w:val="en-US" w:eastAsia="zh-CN"/>
        </w:rPr>
        <w:t>现</w:t>
      </w:r>
      <w:r>
        <w:rPr>
          <w:rFonts w:hint="eastAsia" w:ascii="仿宋" w:hAnsi="仿宋" w:eastAsia="仿宋" w:cs="仿宋"/>
          <w:sz w:val="24"/>
          <w:highlight w:val="none"/>
        </w:rPr>
        <w:t>郑重承诺：</w:t>
      </w:r>
      <w:r>
        <w:rPr>
          <w:rFonts w:hint="eastAsia" w:ascii="仿宋" w:hAnsi="仿宋" w:eastAsia="仿宋" w:cs="仿宋"/>
          <w:sz w:val="24"/>
          <w:highlight w:val="none"/>
          <w:lang w:val="en-US" w:eastAsia="zh-CN"/>
        </w:rPr>
        <w:t>我方具有通过具备审计资格的第三方出具的2024或2025年度合格且有效的财务审计报告或在基本户开户银行出具的无不良记录资信证明等文件</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商业信誉良好，财务制度健全。</w:t>
      </w:r>
    </w:p>
    <w:p w14:paraId="39965492">
      <w:pPr>
        <w:widowControl/>
        <w:snapToGrid w:val="0"/>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u w:val="none"/>
          <w:lang w:val="en-US" w:eastAsia="zh-CN"/>
        </w:rPr>
        <w:t>以上承诺信息</w:t>
      </w:r>
      <w:r>
        <w:rPr>
          <w:rFonts w:hint="eastAsia" w:ascii="仿宋" w:hAnsi="仿宋" w:eastAsia="仿宋" w:cs="仿宋"/>
          <w:sz w:val="24"/>
          <w:highlight w:val="none"/>
        </w:rPr>
        <w:t>如有虚假或隐瞒，我方愿意承担一切后果，并不再寻求任何旨在减轻或免除</w:t>
      </w:r>
      <w:r>
        <w:rPr>
          <w:rFonts w:hint="eastAsia" w:ascii="仿宋" w:hAnsi="仿宋" w:eastAsia="仿宋" w:cs="仿宋"/>
          <w:sz w:val="24"/>
          <w:highlight w:val="none"/>
          <w:lang w:val="en-US" w:eastAsia="zh-CN"/>
        </w:rPr>
        <w:t>法律</w:t>
      </w:r>
      <w:r>
        <w:rPr>
          <w:rFonts w:hint="eastAsia" w:ascii="仿宋" w:hAnsi="仿宋" w:eastAsia="仿宋" w:cs="仿宋"/>
          <w:sz w:val="24"/>
          <w:highlight w:val="none"/>
        </w:rPr>
        <w:t xml:space="preserve">责任的辩解。 </w:t>
      </w:r>
    </w:p>
    <w:p w14:paraId="704FABEF">
      <w:pPr>
        <w:widowControl/>
        <w:snapToGrid w:val="0"/>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629EDE29">
      <w:pPr>
        <w:widowControl/>
        <w:snapToGrid w:val="0"/>
        <w:spacing w:line="360" w:lineRule="auto"/>
        <w:ind w:firstLine="480" w:firstLineChars="200"/>
        <w:outlineLvl w:val="9"/>
        <w:rPr>
          <w:rFonts w:hint="eastAsia" w:ascii="仿宋" w:hAnsi="仿宋" w:eastAsia="仿宋" w:cs="仿宋"/>
          <w:highlight w:val="none"/>
        </w:rPr>
      </w:pPr>
      <w:r>
        <w:rPr>
          <w:rFonts w:hint="eastAsia" w:ascii="仿宋" w:hAnsi="仿宋" w:eastAsia="仿宋" w:cs="仿宋"/>
          <w:sz w:val="24"/>
          <w:highlight w:val="none"/>
        </w:rPr>
        <w:t>特此承诺。</w:t>
      </w:r>
    </w:p>
    <w:p w14:paraId="2C11844B">
      <w:pPr>
        <w:widowControl/>
        <w:snapToGrid w:val="0"/>
        <w:spacing w:line="360" w:lineRule="auto"/>
        <w:ind w:firstLine="480" w:firstLineChars="200"/>
        <w:outlineLvl w:val="9"/>
        <w:rPr>
          <w:rFonts w:hint="eastAsia" w:ascii="仿宋" w:hAnsi="仿宋" w:eastAsia="仿宋" w:cs="仿宋"/>
          <w:sz w:val="24"/>
          <w:highlight w:val="none"/>
        </w:rPr>
      </w:pPr>
    </w:p>
    <w:p w14:paraId="39E90F14">
      <w:pPr>
        <w:widowControl/>
        <w:snapToGrid w:val="0"/>
        <w:spacing w:line="360" w:lineRule="auto"/>
        <w:ind w:firstLine="480" w:firstLineChars="200"/>
        <w:outlineLvl w:val="9"/>
        <w:rPr>
          <w:rFonts w:hint="eastAsia" w:ascii="仿宋" w:hAnsi="仿宋" w:eastAsia="仿宋" w:cs="仿宋"/>
          <w:sz w:val="24"/>
          <w:highlight w:val="none"/>
        </w:rPr>
      </w:pPr>
    </w:p>
    <w:p w14:paraId="38C34D38">
      <w:pPr>
        <w:snapToGrid w:val="0"/>
        <w:spacing w:line="480" w:lineRule="exact"/>
        <w:ind w:firstLine="3120" w:firstLineChars="1300"/>
        <w:jc w:val="both"/>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（盖章）</w:t>
      </w:r>
    </w:p>
    <w:p w14:paraId="4466A946">
      <w:pPr>
        <w:snapToGrid w:val="0"/>
        <w:spacing w:line="480" w:lineRule="exact"/>
        <w:ind w:firstLine="3120" w:firstLineChars="1300"/>
        <w:jc w:val="both"/>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法定</w:t>
      </w:r>
      <w:r>
        <w:rPr>
          <w:rFonts w:hint="eastAsia" w:ascii="仿宋" w:hAnsi="仿宋" w:eastAsia="仿宋" w:cs="仿宋"/>
          <w:sz w:val="24"/>
          <w:highlight w:val="none"/>
        </w:rPr>
        <w:t>代表人</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负责人</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（签字或盖章）</w:t>
      </w:r>
    </w:p>
    <w:p w14:paraId="2E26951A">
      <w:pPr>
        <w:snapToGrid w:val="0"/>
        <w:spacing w:line="480" w:lineRule="exact"/>
        <w:ind w:firstLine="3120" w:firstLineChars="1300"/>
        <w:jc w:val="both"/>
        <w:outlineLvl w:val="9"/>
        <w:rPr>
          <w:rFonts w:hint="eastAsia" w:ascii="仿宋" w:hAnsi="仿宋" w:eastAsia="仿宋" w:cs="仿宋"/>
          <w:sz w:val="24"/>
          <w:highlight w:val="none"/>
        </w:rPr>
      </w:pPr>
      <w:r>
        <w:rPr>
          <w:rFonts w:hint="eastAsia" w:ascii="仿宋" w:hAnsi="仿宋" w:eastAsia="仿宋" w:cs="仿宋"/>
          <w:sz w:val="24"/>
          <w:highlight w:val="none"/>
        </w:rPr>
        <w:t>日      期：</w:t>
      </w:r>
    </w:p>
    <w:p w14:paraId="5E6A0B85">
      <w:pPr>
        <w:spacing w:line="480" w:lineRule="exact"/>
        <w:outlineLvl w:val="9"/>
        <w:rPr>
          <w:rFonts w:hint="eastAsia" w:ascii="仿宋" w:hAnsi="仿宋" w:eastAsia="仿宋" w:cs="仿宋"/>
          <w:sz w:val="24"/>
          <w:highlight w:val="none"/>
        </w:rPr>
      </w:pPr>
    </w:p>
    <w:p w14:paraId="33814334">
      <w:pPr>
        <w:widowControl/>
        <w:snapToGrid w:val="0"/>
        <w:spacing w:line="360" w:lineRule="auto"/>
        <w:outlineLvl w:val="9"/>
        <w:rPr>
          <w:rFonts w:hint="eastAsia" w:ascii="仿宋" w:hAnsi="仿宋" w:eastAsia="仿宋" w:cs="仿宋"/>
          <w:b/>
          <w:color w:val="000000"/>
          <w:kern w:val="0"/>
          <w:sz w:val="24"/>
          <w:highlight w:val="none"/>
        </w:rPr>
      </w:pPr>
    </w:p>
    <w:p w14:paraId="4B878020">
      <w:pPr>
        <w:snapToGrid w:val="0"/>
        <w:spacing w:line="360" w:lineRule="auto"/>
        <w:outlineLvl w:val="2"/>
        <w:rPr>
          <w:rFonts w:hint="eastAsia" w:ascii="仿宋" w:hAnsi="仿宋" w:eastAsia="仿宋" w:cs="仿宋"/>
          <w:b/>
          <w:color w:val="000000"/>
          <w:kern w:val="0"/>
          <w:sz w:val="24"/>
          <w:highlight w:val="none"/>
          <w:lang w:eastAsia="zh-CN"/>
        </w:rPr>
      </w:pPr>
      <w:r>
        <w:rPr>
          <w:rFonts w:hint="eastAsia" w:ascii="仿宋" w:hAnsi="仿宋" w:eastAsia="仿宋" w:cs="仿宋"/>
          <w:b/>
          <w:color w:val="000000"/>
          <w:kern w:val="0"/>
          <w:sz w:val="24"/>
          <w:highlight w:val="none"/>
        </w:rPr>
        <w:br w:type="page"/>
      </w:r>
      <w:r>
        <w:rPr>
          <w:rFonts w:hint="eastAsia" w:ascii="仿宋" w:hAnsi="仿宋" w:eastAsia="仿宋" w:cs="仿宋"/>
          <w:b/>
          <w:color w:val="000000"/>
          <w:kern w:val="0"/>
          <w:sz w:val="24"/>
          <w:highlight w:val="none"/>
          <w:lang w:val="en-US" w:eastAsia="zh-CN"/>
        </w:rPr>
        <w:t>3</w:t>
      </w:r>
      <w:r>
        <w:rPr>
          <w:rFonts w:hint="eastAsia" w:ascii="仿宋" w:hAnsi="仿宋" w:eastAsia="仿宋" w:cs="仿宋"/>
          <w:b/>
          <w:color w:val="000000"/>
          <w:kern w:val="0"/>
          <w:sz w:val="24"/>
          <w:highlight w:val="none"/>
        </w:rPr>
        <w:t>．</w:t>
      </w:r>
      <w:r>
        <w:rPr>
          <w:rFonts w:hint="eastAsia" w:ascii="仿宋" w:hAnsi="仿宋" w:eastAsia="仿宋" w:cs="仿宋"/>
          <w:b/>
          <w:sz w:val="24"/>
          <w:highlight w:val="none"/>
        </w:rPr>
        <w:t>具有</w:t>
      </w:r>
      <w:r>
        <w:rPr>
          <w:rFonts w:hint="eastAsia" w:ascii="仿宋" w:hAnsi="仿宋" w:eastAsia="仿宋" w:cs="仿宋"/>
          <w:b/>
          <w:color w:val="000000"/>
          <w:kern w:val="0"/>
          <w:sz w:val="24"/>
          <w:highlight w:val="none"/>
        </w:rPr>
        <w:t>履行合同所必需的设备和专业技术能力</w:t>
      </w:r>
      <w:r>
        <w:rPr>
          <w:rFonts w:hint="eastAsia" w:ascii="仿宋" w:hAnsi="仿宋" w:eastAsia="仿宋" w:cs="仿宋"/>
          <w:b/>
          <w:color w:val="000000"/>
          <w:kern w:val="0"/>
          <w:sz w:val="24"/>
          <w:highlight w:val="none"/>
          <w:lang w:val="en-US" w:eastAsia="zh-CN"/>
        </w:rPr>
        <w:t>承诺函</w:t>
      </w:r>
    </w:p>
    <w:p w14:paraId="4C931956">
      <w:pPr>
        <w:widowControl/>
        <w:spacing w:line="330" w:lineRule="atLeast"/>
        <w:jc w:val="left"/>
        <w:outlineLvl w:val="9"/>
        <w:rPr>
          <w:rFonts w:hint="eastAsia" w:ascii="仿宋" w:hAnsi="仿宋" w:eastAsia="仿宋" w:cs="仿宋"/>
          <w:kern w:val="0"/>
          <w:sz w:val="21"/>
          <w:szCs w:val="21"/>
          <w:highlight w:val="none"/>
          <w:lang w:val="en-US" w:eastAsia="zh-CN" w:bidi="ar-SA"/>
        </w:rPr>
      </w:pPr>
    </w:p>
    <w:p w14:paraId="13FC81A8">
      <w:pPr>
        <w:keepNext/>
        <w:jc w:val="center"/>
        <w:outlineLvl w:val="9"/>
        <w:rPr>
          <w:rFonts w:hint="eastAsia" w:ascii="仿宋" w:hAnsi="仿宋" w:eastAsia="仿宋" w:cs="仿宋"/>
          <w:b/>
          <w:spacing w:val="20"/>
          <w:sz w:val="24"/>
          <w:highlight w:val="none"/>
        </w:rPr>
      </w:pPr>
      <w:r>
        <w:rPr>
          <w:rFonts w:hint="eastAsia" w:ascii="仿宋" w:hAnsi="仿宋" w:eastAsia="仿宋" w:cs="仿宋"/>
          <w:b/>
          <w:spacing w:val="20"/>
          <w:sz w:val="24"/>
          <w:highlight w:val="none"/>
          <w:lang w:val="en-US" w:eastAsia="zh-CN"/>
        </w:rPr>
        <w:t>投标人</w:t>
      </w:r>
      <w:r>
        <w:rPr>
          <w:rFonts w:hint="eastAsia" w:ascii="仿宋" w:hAnsi="仿宋" w:eastAsia="仿宋" w:cs="仿宋"/>
          <w:b/>
          <w:color w:val="000000"/>
          <w:kern w:val="0"/>
          <w:sz w:val="24"/>
          <w:highlight w:val="none"/>
        </w:rPr>
        <w:t>具有履行合同所必需的设备和专业技术能力</w:t>
      </w:r>
      <w:r>
        <w:rPr>
          <w:rFonts w:hint="eastAsia" w:ascii="仿宋" w:hAnsi="仿宋" w:eastAsia="仿宋" w:cs="仿宋"/>
          <w:b/>
          <w:color w:val="000000"/>
          <w:kern w:val="0"/>
          <w:sz w:val="24"/>
          <w:highlight w:val="none"/>
          <w:lang w:val="en-US" w:eastAsia="zh-CN"/>
        </w:rPr>
        <w:t>承诺函</w:t>
      </w:r>
    </w:p>
    <w:p w14:paraId="7D093C63">
      <w:pPr>
        <w:keepNext/>
        <w:outlineLvl w:val="9"/>
        <w:rPr>
          <w:rFonts w:hint="eastAsia" w:ascii="仿宋" w:hAnsi="仿宋" w:eastAsia="仿宋" w:cs="仿宋"/>
          <w:sz w:val="24"/>
          <w:highlight w:val="none"/>
        </w:rPr>
      </w:pPr>
    </w:p>
    <w:p w14:paraId="38CDED67">
      <w:pPr>
        <w:keepNext/>
        <w:widowControl w:val="0"/>
        <w:spacing w:line="330" w:lineRule="atLeast"/>
        <w:jc w:val="left"/>
        <w:outlineLvl w:val="9"/>
        <w:rPr>
          <w:rFonts w:hint="eastAsia" w:ascii="仿宋" w:hAnsi="仿宋" w:eastAsia="仿宋" w:cs="仿宋"/>
          <w:kern w:val="0"/>
          <w:sz w:val="21"/>
          <w:szCs w:val="21"/>
          <w:highlight w:val="none"/>
          <w:lang w:val="en-US" w:eastAsia="zh-CN" w:bidi="ar-SA"/>
        </w:rPr>
      </w:pPr>
    </w:p>
    <w:p w14:paraId="1A20F6FA">
      <w:pPr>
        <w:keepNext/>
        <w:outlineLvl w:val="9"/>
        <w:rPr>
          <w:rFonts w:hint="eastAsia" w:ascii="仿宋" w:hAnsi="仿宋" w:eastAsia="仿宋" w:cs="仿宋"/>
          <w:sz w:val="24"/>
          <w:highlight w:val="none"/>
          <w:u w:val="single"/>
        </w:rPr>
      </w:pPr>
      <w:r>
        <w:rPr>
          <w:rFonts w:hint="eastAsia" w:ascii="仿宋" w:hAnsi="仿宋" w:eastAsia="仿宋" w:cs="仿宋"/>
          <w:sz w:val="24"/>
          <w:highlight w:val="none"/>
          <w:u w:val="single"/>
        </w:rPr>
        <w:t xml:space="preserve"> </w:t>
      </w:r>
      <w:r>
        <w:rPr>
          <w:rFonts w:hint="eastAsia" w:ascii="仿宋" w:hAnsi="仿宋" w:eastAsia="仿宋" w:cs="仿宋"/>
          <w:color w:val="auto"/>
          <w:sz w:val="24"/>
          <w:highlight w:val="none"/>
          <w:u w:val="single"/>
          <w:lang w:eastAsia="zh-CN"/>
        </w:rPr>
        <w:t>（采购人名称）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none"/>
        </w:rPr>
        <w:t>：</w:t>
      </w:r>
    </w:p>
    <w:p w14:paraId="3DEDB680">
      <w:pPr>
        <w:keepNext/>
        <w:widowControl w:val="0"/>
        <w:spacing w:line="330" w:lineRule="atLeast"/>
        <w:jc w:val="left"/>
        <w:outlineLvl w:val="9"/>
        <w:rPr>
          <w:rFonts w:hint="eastAsia" w:ascii="仿宋" w:hAnsi="仿宋" w:eastAsia="仿宋" w:cs="仿宋"/>
          <w:kern w:val="0"/>
          <w:sz w:val="21"/>
          <w:szCs w:val="21"/>
          <w:highlight w:val="none"/>
          <w:lang w:val="en-US" w:eastAsia="zh-CN" w:bidi="ar-SA"/>
        </w:rPr>
      </w:pPr>
    </w:p>
    <w:p w14:paraId="48E7A468">
      <w:pPr>
        <w:keepNext/>
        <w:snapToGrid w:val="0"/>
        <w:spacing w:line="480" w:lineRule="exact"/>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本</w:t>
      </w: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现参与</w:t>
      </w:r>
      <w:r>
        <w:rPr>
          <w:rFonts w:hint="eastAsia" w:ascii="仿宋" w:hAnsi="仿宋" w:eastAsia="仿宋" w:cs="仿宋"/>
          <w:sz w:val="24"/>
          <w:highlight w:val="none"/>
          <w:lang w:val="en-US" w:eastAsia="zh-CN"/>
        </w:rPr>
        <w:t>贵单位组织的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）的采购活动</w:t>
      </w:r>
      <w:r>
        <w:rPr>
          <w:rFonts w:hint="eastAsia" w:ascii="仿宋" w:hAnsi="仿宋" w:eastAsia="仿宋" w:cs="仿宋"/>
          <w:sz w:val="24"/>
          <w:highlight w:val="none"/>
          <w:lang w:eastAsia="zh-CN"/>
        </w:rPr>
        <w:t>。</w:t>
      </w:r>
      <w:r>
        <w:rPr>
          <w:rFonts w:hint="eastAsia" w:ascii="仿宋" w:hAnsi="仿宋" w:eastAsia="仿宋" w:cs="仿宋"/>
          <w:sz w:val="24"/>
          <w:highlight w:val="none"/>
        </w:rPr>
        <w:t>依据</w:t>
      </w:r>
      <w:r>
        <w:rPr>
          <w:rFonts w:hint="eastAsia" w:ascii="仿宋" w:hAnsi="仿宋" w:eastAsia="仿宋" w:cs="仿宋"/>
          <w:sz w:val="24"/>
          <w:highlight w:val="none"/>
          <w:lang w:val="en-US" w:eastAsia="zh-CN"/>
        </w:rPr>
        <w:t>招标文件</w:t>
      </w:r>
      <w:r>
        <w:rPr>
          <w:rFonts w:hint="eastAsia" w:ascii="仿宋" w:hAnsi="仿宋" w:eastAsia="仿宋" w:cs="仿宋"/>
          <w:sz w:val="24"/>
          <w:highlight w:val="none"/>
        </w:rPr>
        <w:t>相关规定，</w:t>
      </w:r>
      <w:r>
        <w:rPr>
          <w:rFonts w:hint="eastAsia" w:ascii="仿宋" w:hAnsi="仿宋" w:eastAsia="仿宋" w:cs="仿宋"/>
          <w:sz w:val="24"/>
          <w:highlight w:val="none"/>
          <w:lang w:val="en-US" w:eastAsia="zh-CN"/>
        </w:rPr>
        <w:t>现</w:t>
      </w:r>
      <w:r>
        <w:rPr>
          <w:rFonts w:hint="eastAsia" w:ascii="仿宋" w:hAnsi="仿宋" w:eastAsia="仿宋" w:cs="仿宋"/>
          <w:sz w:val="24"/>
          <w:highlight w:val="none"/>
        </w:rPr>
        <w:t>郑重承诺：</w:t>
      </w:r>
      <w:r>
        <w:rPr>
          <w:rFonts w:hint="eastAsia" w:ascii="仿宋" w:hAnsi="仿宋" w:eastAsia="仿宋" w:cs="仿宋"/>
          <w:sz w:val="24"/>
          <w:highlight w:val="none"/>
          <w:lang w:val="en-US" w:eastAsia="zh-CN"/>
        </w:rPr>
        <w:t>我方</w:t>
      </w:r>
      <w:r>
        <w:rPr>
          <w:rFonts w:hint="eastAsia" w:ascii="仿宋" w:hAnsi="仿宋" w:eastAsia="仿宋" w:cs="仿宋"/>
          <w:sz w:val="24"/>
          <w:highlight w:val="none"/>
        </w:rPr>
        <w:t>具备履行合同所必需的设备和专业技术能力。</w:t>
      </w:r>
    </w:p>
    <w:p w14:paraId="1CDE8DD6">
      <w:pPr>
        <w:widowControl/>
        <w:snapToGrid w:val="0"/>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u w:val="none"/>
          <w:lang w:val="en-US" w:eastAsia="zh-CN"/>
        </w:rPr>
        <w:t>以上承诺信息</w:t>
      </w:r>
      <w:r>
        <w:rPr>
          <w:rFonts w:hint="eastAsia" w:ascii="仿宋" w:hAnsi="仿宋" w:eastAsia="仿宋" w:cs="仿宋"/>
          <w:sz w:val="24"/>
          <w:highlight w:val="none"/>
        </w:rPr>
        <w:t>如有虚假或隐瞒，我方愿意承担一切后果，并不再寻求任何旨在减轻或免除</w:t>
      </w:r>
      <w:r>
        <w:rPr>
          <w:rFonts w:hint="eastAsia" w:ascii="仿宋" w:hAnsi="仿宋" w:eastAsia="仿宋" w:cs="仿宋"/>
          <w:sz w:val="24"/>
          <w:highlight w:val="none"/>
          <w:lang w:val="en-US" w:eastAsia="zh-CN"/>
        </w:rPr>
        <w:t>法律</w:t>
      </w:r>
      <w:r>
        <w:rPr>
          <w:rFonts w:hint="eastAsia" w:ascii="仿宋" w:hAnsi="仿宋" w:eastAsia="仿宋" w:cs="仿宋"/>
          <w:sz w:val="24"/>
          <w:highlight w:val="none"/>
        </w:rPr>
        <w:t xml:space="preserve">责任的辩解。 </w:t>
      </w:r>
    </w:p>
    <w:p w14:paraId="71E92657">
      <w:pPr>
        <w:keepNext/>
        <w:snapToGrid w:val="0"/>
        <w:spacing w:line="480" w:lineRule="exact"/>
        <w:ind w:firstLine="480" w:firstLineChars="200"/>
        <w:outlineLvl w:val="9"/>
        <w:rPr>
          <w:rFonts w:hint="eastAsia" w:ascii="仿宋" w:hAnsi="仿宋" w:eastAsia="仿宋" w:cs="仿宋"/>
          <w:sz w:val="24"/>
          <w:highlight w:val="none"/>
          <w:lang w:eastAsia="zh-CN"/>
        </w:rPr>
      </w:pPr>
      <w:r>
        <w:rPr>
          <w:rFonts w:hint="eastAsia" w:ascii="仿宋" w:hAnsi="仿宋" w:eastAsia="仿宋" w:cs="仿宋"/>
          <w:sz w:val="24"/>
          <w:highlight w:val="none"/>
        </w:rPr>
        <w:t>特此</w:t>
      </w:r>
      <w:r>
        <w:rPr>
          <w:rFonts w:hint="eastAsia" w:ascii="仿宋" w:hAnsi="仿宋" w:eastAsia="仿宋" w:cs="仿宋"/>
          <w:sz w:val="24"/>
          <w:highlight w:val="none"/>
          <w:lang w:val="en-US" w:eastAsia="zh-CN"/>
        </w:rPr>
        <w:t>承诺</w:t>
      </w:r>
    </w:p>
    <w:p w14:paraId="62C416F0">
      <w:pPr>
        <w:keepNext/>
        <w:ind w:firstLine="3369" w:firstLineChars="1404"/>
        <w:outlineLvl w:val="9"/>
        <w:rPr>
          <w:rFonts w:hint="eastAsia" w:ascii="仿宋" w:hAnsi="仿宋" w:eastAsia="仿宋" w:cs="仿宋"/>
          <w:sz w:val="24"/>
          <w:highlight w:val="none"/>
        </w:rPr>
      </w:pPr>
    </w:p>
    <w:p w14:paraId="3E815887">
      <w:pPr>
        <w:keepNext/>
        <w:ind w:firstLine="3369" w:firstLineChars="1404"/>
        <w:outlineLvl w:val="9"/>
        <w:rPr>
          <w:rFonts w:hint="eastAsia" w:ascii="仿宋" w:hAnsi="仿宋" w:eastAsia="仿宋" w:cs="仿宋"/>
          <w:sz w:val="24"/>
          <w:highlight w:val="none"/>
        </w:rPr>
      </w:pPr>
    </w:p>
    <w:p w14:paraId="33B9A110">
      <w:pPr>
        <w:keepNext/>
        <w:ind w:firstLine="3369" w:firstLineChars="1404"/>
        <w:outlineLvl w:val="9"/>
        <w:rPr>
          <w:rFonts w:hint="eastAsia" w:ascii="仿宋" w:hAnsi="仿宋" w:eastAsia="仿宋" w:cs="仿宋"/>
          <w:sz w:val="24"/>
          <w:highlight w:val="none"/>
        </w:rPr>
      </w:pPr>
    </w:p>
    <w:p w14:paraId="7A0DE267">
      <w:pPr>
        <w:keepNext/>
        <w:widowControl w:val="0"/>
        <w:spacing w:line="330" w:lineRule="atLeast"/>
        <w:jc w:val="left"/>
        <w:outlineLvl w:val="9"/>
        <w:rPr>
          <w:rFonts w:hint="eastAsia" w:ascii="仿宋" w:hAnsi="仿宋" w:eastAsia="仿宋" w:cs="仿宋"/>
          <w:kern w:val="0"/>
          <w:sz w:val="21"/>
          <w:szCs w:val="21"/>
          <w:highlight w:val="none"/>
          <w:lang w:val="en-US" w:eastAsia="zh-CN" w:bidi="ar-SA"/>
        </w:rPr>
      </w:pPr>
    </w:p>
    <w:p w14:paraId="18ED8B9A">
      <w:pPr>
        <w:keepNext/>
        <w:widowControl w:val="0"/>
        <w:spacing w:line="330" w:lineRule="atLeast"/>
        <w:jc w:val="left"/>
        <w:outlineLvl w:val="9"/>
        <w:rPr>
          <w:rFonts w:hint="eastAsia" w:ascii="仿宋" w:hAnsi="仿宋" w:eastAsia="仿宋" w:cs="仿宋"/>
          <w:kern w:val="0"/>
          <w:sz w:val="21"/>
          <w:szCs w:val="21"/>
          <w:highlight w:val="none"/>
          <w:lang w:val="en-US" w:eastAsia="zh-CN" w:bidi="ar-SA"/>
        </w:rPr>
      </w:pPr>
    </w:p>
    <w:p w14:paraId="7469E0C9">
      <w:pPr>
        <w:keepNext/>
        <w:ind w:firstLine="3369" w:firstLineChars="1404"/>
        <w:outlineLvl w:val="9"/>
        <w:rPr>
          <w:rFonts w:hint="eastAsia" w:ascii="仿宋" w:hAnsi="仿宋" w:eastAsia="仿宋" w:cs="仿宋"/>
          <w:sz w:val="24"/>
          <w:highlight w:val="none"/>
        </w:rPr>
      </w:pPr>
    </w:p>
    <w:p w14:paraId="7CAF131A">
      <w:pPr>
        <w:keepNext/>
        <w:ind w:firstLine="3369" w:firstLineChars="1404"/>
        <w:outlineLvl w:val="9"/>
        <w:rPr>
          <w:rFonts w:hint="eastAsia" w:ascii="仿宋" w:hAnsi="仿宋" w:eastAsia="仿宋" w:cs="仿宋"/>
          <w:sz w:val="24"/>
          <w:highlight w:val="none"/>
        </w:rPr>
      </w:pPr>
    </w:p>
    <w:p w14:paraId="110F0ED1">
      <w:pPr>
        <w:snapToGrid w:val="0"/>
        <w:spacing w:line="480" w:lineRule="exact"/>
        <w:ind w:firstLine="3120" w:firstLineChars="1300"/>
        <w:jc w:val="both"/>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（盖章）</w:t>
      </w:r>
    </w:p>
    <w:p w14:paraId="396FBDB1">
      <w:pPr>
        <w:snapToGrid w:val="0"/>
        <w:spacing w:line="480" w:lineRule="exact"/>
        <w:ind w:firstLine="3120" w:firstLineChars="1300"/>
        <w:jc w:val="both"/>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法定</w:t>
      </w:r>
      <w:r>
        <w:rPr>
          <w:rFonts w:hint="eastAsia" w:ascii="仿宋" w:hAnsi="仿宋" w:eastAsia="仿宋" w:cs="仿宋"/>
          <w:sz w:val="24"/>
          <w:highlight w:val="none"/>
        </w:rPr>
        <w:t>代表人</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负责人</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（签字或盖章）</w:t>
      </w:r>
    </w:p>
    <w:p w14:paraId="060FDC21">
      <w:pPr>
        <w:snapToGrid w:val="0"/>
        <w:spacing w:line="480" w:lineRule="exact"/>
        <w:ind w:firstLine="3120" w:firstLineChars="1300"/>
        <w:jc w:val="both"/>
        <w:outlineLvl w:val="9"/>
        <w:rPr>
          <w:rFonts w:hint="eastAsia" w:ascii="仿宋" w:hAnsi="仿宋" w:eastAsia="仿宋" w:cs="仿宋"/>
          <w:sz w:val="24"/>
          <w:highlight w:val="none"/>
        </w:rPr>
      </w:pPr>
      <w:r>
        <w:rPr>
          <w:rFonts w:hint="eastAsia" w:ascii="仿宋" w:hAnsi="仿宋" w:eastAsia="仿宋" w:cs="仿宋"/>
          <w:sz w:val="24"/>
          <w:highlight w:val="none"/>
        </w:rPr>
        <w:t>日      期：</w:t>
      </w:r>
    </w:p>
    <w:p w14:paraId="4C932F8E">
      <w:pPr>
        <w:widowControl/>
        <w:snapToGrid w:val="0"/>
        <w:spacing w:line="360" w:lineRule="auto"/>
        <w:outlineLvl w:val="9"/>
        <w:rPr>
          <w:rFonts w:hint="eastAsia" w:ascii="仿宋" w:hAnsi="仿宋" w:eastAsia="仿宋" w:cs="仿宋"/>
          <w:b/>
          <w:color w:val="000000"/>
          <w:kern w:val="0"/>
          <w:sz w:val="24"/>
          <w:highlight w:val="none"/>
        </w:rPr>
      </w:pPr>
    </w:p>
    <w:p w14:paraId="3CD35C28">
      <w:pPr>
        <w:snapToGrid w:val="0"/>
        <w:spacing w:line="360" w:lineRule="auto"/>
        <w:outlineLvl w:val="2"/>
        <w:rPr>
          <w:rFonts w:hint="eastAsia" w:ascii="仿宋" w:hAnsi="仿宋" w:eastAsia="仿宋" w:cs="仿宋"/>
          <w:b/>
          <w:kern w:val="0"/>
          <w:sz w:val="24"/>
          <w:highlight w:val="none"/>
          <w:lang w:val="en-US" w:eastAsia="zh-CN"/>
        </w:rPr>
      </w:pPr>
      <w:r>
        <w:rPr>
          <w:rFonts w:hint="eastAsia" w:ascii="仿宋" w:hAnsi="仿宋" w:eastAsia="仿宋" w:cs="仿宋"/>
          <w:b/>
          <w:color w:val="000000"/>
          <w:kern w:val="0"/>
          <w:sz w:val="24"/>
          <w:highlight w:val="none"/>
          <w:lang w:val="en-US" w:eastAsia="zh-CN"/>
        </w:rPr>
        <w:br w:type="page"/>
      </w:r>
      <w:r>
        <w:rPr>
          <w:rFonts w:hint="eastAsia" w:ascii="仿宋" w:hAnsi="仿宋" w:eastAsia="仿宋" w:cs="仿宋"/>
          <w:b/>
          <w:color w:val="000000"/>
          <w:kern w:val="0"/>
          <w:sz w:val="24"/>
          <w:highlight w:val="none"/>
          <w:lang w:val="en-US" w:eastAsia="zh-CN"/>
        </w:rPr>
        <w:t>4</w:t>
      </w:r>
      <w:r>
        <w:rPr>
          <w:rFonts w:hint="eastAsia" w:ascii="仿宋" w:hAnsi="仿宋" w:eastAsia="仿宋" w:cs="仿宋"/>
          <w:b/>
          <w:color w:val="000000"/>
          <w:kern w:val="0"/>
          <w:sz w:val="24"/>
          <w:highlight w:val="none"/>
        </w:rPr>
        <w:t>．具有</w:t>
      </w:r>
      <w:r>
        <w:rPr>
          <w:rFonts w:hint="eastAsia" w:ascii="仿宋" w:hAnsi="仿宋" w:eastAsia="仿宋" w:cs="仿宋"/>
          <w:b/>
          <w:kern w:val="0"/>
          <w:sz w:val="24"/>
          <w:highlight w:val="none"/>
        </w:rPr>
        <w:t>依法缴纳税收和社会保障资金的</w:t>
      </w:r>
      <w:r>
        <w:rPr>
          <w:rFonts w:hint="eastAsia" w:ascii="仿宋" w:hAnsi="仿宋" w:eastAsia="仿宋" w:cs="仿宋"/>
          <w:b/>
          <w:kern w:val="0"/>
          <w:sz w:val="24"/>
          <w:highlight w:val="none"/>
          <w:lang w:val="en-US" w:eastAsia="zh-CN"/>
        </w:rPr>
        <w:t>良好记录的承诺函</w:t>
      </w:r>
    </w:p>
    <w:p w14:paraId="70F4C7DB">
      <w:pPr>
        <w:jc w:val="center"/>
        <w:outlineLvl w:val="9"/>
        <w:rPr>
          <w:rFonts w:hint="eastAsia" w:ascii="仿宋" w:hAnsi="仿宋" w:eastAsia="仿宋" w:cs="仿宋"/>
          <w:b/>
          <w:color w:val="000000"/>
          <w:kern w:val="0"/>
          <w:sz w:val="24"/>
          <w:highlight w:val="none"/>
          <w:lang w:val="en-US" w:eastAsia="zh-CN"/>
        </w:rPr>
      </w:pPr>
    </w:p>
    <w:p w14:paraId="22E203EC">
      <w:pPr>
        <w:jc w:val="center"/>
        <w:outlineLvl w:val="9"/>
        <w:rPr>
          <w:rFonts w:hint="eastAsia" w:ascii="仿宋" w:hAnsi="仿宋" w:eastAsia="仿宋" w:cs="仿宋"/>
          <w:b/>
          <w:color w:val="000000"/>
          <w:kern w:val="0"/>
          <w:sz w:val="24"/>
          <w:highlight w:val="none"/>
          <w:lang w:val="en-US" w:eastAsia="zh-CN"/>
        </w:rPr>
      </w:pPr>
      <w:r>
        <w:rPr>
          <w:rFonts w:hint="eastAsia" w:ascii="仿宋" w:hAnsi="仿宋" w:eastAsia="仿宋" w:cs="仿宋"/>
          <w:b/>
          <w:color w:val="000000"/>
          <w:kern w:val="0"/>
          <w:sz w:val="24"/>
          <w:highlight w:val="none"/>
          <w:lang w:val="en-US" w:eastAsia="zh-CN"/>
        </w:rPr>
        <w:t>投标人</w:t>
      </w:r>
      <w:r>
        <w:rPr>
          <w:rFonts w:hint="eastAsia" w:ascii="仿宋" w:hAnsi="仿宋" w:eastAsia="仿宋" w:cs="仿宋"/>
          <w:b/>
          <w:kern w:val="0"/>
          <w:sz w:val="24"/>
          <w:highlight w:val="none"/>
        </w:rPr>
        <w:t>具有依法缴纳税收和社会保障资金的</w:t>
      </w:r>
      <w:r>
        <w:rPr>
          <w:rFonts w:hint="eastAsia" w:ascii="仿宋" w:hAnsi="仿宋" w:eastAsia="仿宋" w:cs="仿宋"/>
          <w:b/>
          <w:kern w:val="0"/>
          <w:sz w:val="24"/>
          <w:highlight w:val="none"/>
          <w:lang w:val="en-US" w:eastAsia="zh-CN"/>
        </w:rPr>
        <w:t>良好记录的承诺函</w:t>
      </w:r>
    </w:p>
    <w:p w14:paraId="233F0B4B">
      <w:pPr>
        <w:outlineLvl w:val="9"/>
        <w:rPr>
          <w:rFonts w:hint="eastAsia" w:ascii="仿宋" w:hAnsi="仿宋" w:eastAsia="仿宋" w:cs="仿宋"/>
          <w:highlight w:val="none"/>
        </w:rPr>
      </w:pPr>
    </w:p>
    <w:p w14:paraId="499EAA87">
      <w:pPr>
        <w:outlineLvl w:val="9"/>
        <w:rPr>
          <w:rFonts w:hint="eastAsia" w:ascii="仿宋" w:hAnsi="仿宋" w:eastAsia="仿宋" w:cs="仿宋"/>
          <w:sz w:val="24"/>
          <w:highlight w:val="none"/>
          <w:u w:val="single"/>
        </w:rPr>
      </w:pPr>
      <w:r>
        <w:rPr>
          <w:rFonts w:hint="eastAsia" w:ascii="仿宋" w:hAnsi="仿宋" w:eastAsia="仿宋" w:cs="仿宋"/>
          <w:sz w:val="24"/>
          <w:highlight w:val="none"/>
          <w:u w:val="single"/>
        </w:rPr>
        <w:t xml:space="preserve"> </w:t>
      </w:r>
      <w:r>
        <w:rPr>
          <w:rFonts w:hint="eastAsia" w:ascii="仿宋" w:hAnsi="仿宋" w:eastAsia="仿宋" w:cs="仿宋"/>
          <w:color w:val="auto"/>
          <w:sz w:val="24"/>
          <w:highlight w:val="none"/>
          <w:u w:val="single"/>
          <w:lang w:eastAsia="zh-CN"/>
        </w:rPr>
        <w:t>（采购人名称）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none"/>
        </w:rPr>
        <w:t>：</w:t>
      </w:r>
    </w:p>
    <w:p w14:paraId="3C89870E">
      <w:pPr>
        <w:widowControl/>
        <w:snapToGrid w:val="0"/>
        <w:spacing w:line="360" w:lineRule="auto"/>
        <w:ind w:firstLine="480" w:firstLineChars="200"/>
        <w:outlineLvl w:val="9"/>
        <w:rPr>
          <w:rFonts w:hint="eastAsia" w:ascii="仿宋" w:hAnsi="仿宋" w:eastAsia="仿宋" w:cs="仿宋"/>
          <w:sz w:val="24"/>
          <w:highlight w:val="none"/>
        </w:rPr>
      </w:pPr>
    </w:p>
    <w:p w14:paraId="444C71CA">
      <w:pPr>
        <w:widowControl/>
        <w:snapToGrid w:val="0"/>
        <w:spacing w:line="360" w:lineRule="auto"/>
        <w:ind w:firstLine="480" w:firstLineChars="200"/>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rPr>
        <w:t>本</w:t>
      </w: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现参与</w:t>
      </w:r>
      <w:r>
        <w:rPr>
          <w:rFonts w:hint="eastAsia" w:ascii="仿宋" w:hAnsi="仿宋" w:eastAsia="仿宋" w:cs="仿宋"/>
          <w:sz w:val="24"/>
          <w:highlight w:val="none"/>
          <w:lang w:val="en-US" w:eastAsia="zh-CN"/>
        </w:rPr>
        <w:t>单位组织的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u w:val="none"/>
          <w:lang w:val="en-US" w:eastAsia="zh-CN"/>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的采购活动</w:t>
      </w:r>
      <w:r>
        <w:rPr>
          <w:rFonts w:hint="eastAsia" w:ascii="仿宋" w:hAnsi="仿宋" w:eastAsia="仿宋" w:cs="仿宋"/>
          <w:sz w:val="24"/>
          <w:highlight w:val="none"/>
          <w:lang w:eastAsia="zh-CN"/>
        </w:rPr>
        <w:t>。</w:t>
      </w:r>
      <w:r>
        <w:rPr>
          <w:rFonts w:hint="eastAsia" w:ascii="仿宋" w:hAnsi="仿宋" w:eastAsia="仿宋" w:cs="仿宋"/>
          <w:sz w:val="24"/>
          <w:highlight w:val="none"/>
        </w:rPr>
        <w:t>依据</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文件相关规定，</w:t>
      </w:r>
      <w:r>
        <w:rPr>
          <w:rFonts w:hint="eastAsia" w:ascii="仿宋" w:hAnsi="仿宋" w:eastAsia="仿宋" w:cs="仿宋"/>
          <w:sz w:val="24"/>
          <w:highlight w:val="none"/>
          <w:lang w:val="en-US" w:eastAsia="zh-CN"/>
        </w:rPr>
        <w:t>现</w:t>
      </w:r>
      <w:r>
        <w:rPr>
          <w:rFonts w:hint="eastAsia" w:ascii="仿宋" w:hAnsi="仿宋" w:eastAsia="仿宋" w:cs="仿宋"/>
          <w:sz w:val="24"/>
          <w:highlight w:val="none"/>
        </w:rPr>
        <w:t>郑重承诺：</w:t>
      </w:r>
      <w:r>
        <w:rPr>
          <w:rFonts w:hint="eastAsia" w:ascii="仿宋" w:hAnsi="仿宋" w:eastAsia="仿宋" w:cs="仿宋"/>
          <w:sz w:val="24"/>
          <w:highlight w:val="none"/>
          <w:lang w:val="en-US" w:eastAsia="zh-CN"/>
        </w:rPr>
        <w:t>我方在参加本次采购活动前严格依法缴纳税收或依法享受国家免税优惠政策，并依法给单位职工缴纳社会保障金或依法不需要缴纳社会保障资金的证明文件。</w:t>
      </w:r>
    </w:p>
    <w:p w14:paraId="1FCBD5B4">
      <w:pPr>
        <w:widowControl/>
        <w:snapToGrid w:val="0"/>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u w:val="none"/>
          <w:lang w:val="en-US" w:eastAsia="zh-CN"/>
        </w:rPr>
        <w:t>以上承诺信息</w:t>
      </w:r>
      <w:r>
        <w:rPr>
          <w:rFonts w:hint="eastAsia" w:ascii="仿宋" w:hAnsi="仿宋" w:eastAsia="仿宋" w:cs="仿宋"/>
          <w:sz w:val="24"/>
          <w:highlight w:val="none"/>
        </w:rPr>
        <w:t>如有虚假或隐瞒，我方愿意承担一切后果，并不再寻求任何旨在减轻或免除</w:t>
      </w:r>
      <w:r>
        <w:rPr>
          <w:rFonts w:hint="eastAsia" w:ascii="仿宋" w:hAnsi="仿宋" w:eastAsia="仿宋" w:cs="仿宋"/>
          <w:sz w:val="24"/>
          <w:highlight w:val="none"/>
          <w:lang w:val="en-US" w:eastAsia="zh-CN"/>
        </w:rPr>
        <w:t>法律</w:t>
      </w:r>
      <w:r>
        <w:rPr>
          <w:rFonts w:hint="eastAsia" w:ascii="仿宋" w:hAnsi="仿宋" w:eastAsia="仿宋" w:cs="仿宋"/>
          <w:sz w:val="24"/>
          <w:highlight w:val="none"/>
        </w:rPr>
        <w:t xml:space="preserve">责任的辩解。 </w:t>
      </w:r>
    </w:p>
    <w:p w14:paraId="6FEEF6B8">
      <w:pPr>
        <w:widowControl/>
        <w:snapToGrid w:val="0"/>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12FBE98A">
      <w:pPr>
        <w:widowControl/>
        <w:snapToGrid w:val="0"/>
        <w:spacing w:line="360" w:lineRule="auto"/>
        <w:ind w:firstLine="480" w:firstLineChars="200"/>
        <w:outlineLvl w:val="9"/>
        <w:rPr>
          <w:rFonts w:hint="eastAsia" w:ascii="仿宋" w:hAnsi="仿宋" w:eastAsia="仿宋" w:cs="仿宋"/>
          <w:highlight w:val="none"/>
        </w:rPr>
      </w:pPr>
      <w:r>
        <w:rPr>
          <w:rFonts w:hint="eastAsia" w:ascii="仿宋" w:hAnsi="仿宋" w:eastAsia="仿宋" w:cs="仿宋"/>
          <w:sz w:val="24"/>
          <w:highlight w:val="none"/>
        </w:rPr>
        <w:t>特此承诺。</w:t>
      </w:r>
    </w:p>
    <w:p w14:paraId="7C61D809">
      <w:pPr>
        <w:widowControl/>
        <w:snapToGrid w:val="0"/>
        <w:spacing w:line="360" w:lineRule="auto"/>
        <w:ind w:firstLine="480" w:firstLineChars="200"/>
        <w:outlineLvl w:val="9"/>
        <w:rPr>
          <w:rFonts w:hint="eastAsia" w:ascii="仿宋" w:hAnsi="仿宋" w:eastAsia="仿宋" w:cs="仿宋"/>
          <w:sz w:val="24"/>
          <w:highlight w:val="none"/>
        </w:rPr>
      </w:pPr>
    </w:p>
    <w:p w14:paraId="77F76737">
      <w:pPr>
        <w:widowControl/>
        <w:snapToGrid w:val="0"/>
        <w:spacing w:line="360" w:lineRule="auto"/>
        <w:ind w:firstLine="480" w:firstLineChars="200"/>
        <w:outlineLvl w:val="9"/>
        <w:rPr>
          <w:rFonts w:hint="eastAsia" w:ascii="仿宋" w:hAnsi="仿宋" w:eastAsia="仿宋" w:cs="仿宋"/>
          <w:sz w:val="24"/>
          <w:highlight w:val="none"/>
        </w:rPr>
      </w:pPr>
    </w:p>
    <w:p w14:paraId="7E272A11">
      <w:pPr>
        <w:snapToGrid w:val="0"/>
        <w:spacing w:line="480" w:lineRule="exact"/>
        <w:ind w:firstLine="3120" w:firstLineChars="1300"/>
        <w:jc w:val="both"/>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（盖章）</w:t>
      </w:r>
    </w:p>
    <w:p w14:paraId="6C478D27">
      <w:pPr>
        <w:snapToGrid w:val="0"/>
        <w:spacing w:line="480" w:lineRule="exact"/>
        <w:ind w:firstLine="3120" w:firstLineChars="1300"/>
        <w:jc w:val="both"/>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法定</w:t>
      </w:r>
      <w:r>
        <w:rPr>
          <w:rFonts w:hint="eastAsia" w:ascii="仿宋" w:hAnsi="仿宋" w:eastAsia="仿宋" w:cs="仿宋"/>
          <w:sz w:val="24"/>
          <w:highlight w:val="none"/>
        </w:rPr>
        <w:t>代表人</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负责人</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（签字或盖章）</w:t>
      </w:r>
    </w:p>
    <w:p w14:paraId="02A58848">
      <w:pPr>
        <w:snapToGrid w:val="0"/>
        <w:spacing w:line="480" w:lineRule="exact"/>
        <w:ind w:firstLine="3120" w:firstLineChars="1300"/>
        <w:jc w:val="both"/>
        <w:outlineLvl w:val="9"/>
        <w:rPr>
          <w:rFonts w:hint="eastAsia" w:ascii="仿宋" w:hAnsi="仿宋" w:eastAsia="仿宋" w:cs="仿宋"/>
          <w:sz w:val="24"/>
          <w:highlight w:val="none"/>
        </w:rPr>
      </w:pPr>
      <w:r>
        <w:rPr>
          <w:rFonts w:hint="eastAsia" w:ascii="仿宋" w:hAnsi="仿宋" w:eastAsia="仿宋" w:cs="仿宋"/>
          <w:sz w:val="24"/>
          <w:highlight w:val="none"/>
        </w:rPr>
        <w:t>日      期：</w:t>
      </w:r>
    </w:p>
    <w:p w14:paraId="74A69E22">
      <w:pPr>
        <w:spacing w:line="480" w:lineRule="exact"/>
        <w:outlineLvl w:val="9"/>
        <w:rPr>
          <w:rFonts w:hint="eastAsia" w:ascii="仿宋" w:hAnsi="仿宋" w:eastAsia="仿宋" w:cs="仿宋"/>
          <w:sz w:val="24"/>
          <w:highlight w:val="none"/>
        </w:rPr>
      </w:pPr>
    </w:p>
    <w:p w14:paraId="1923742A">
      <w:pPr>
        <w:snapToGrid w:val="0"/>
        <w:spacing w:line="360" w:lineRule="auto"/>
        <w:outlineLvl w:val="9"/>
        <w:rPr>
          <w:rFonts w:hint="eastAsia" w:ascii="仿宋" w:hAnsi="仿宋" w:eastAsia="仿宋" w:cs="仿宋"/>
          <w:kern w:val="0"/>
          <w:szCs w:val="21"/>
          <w:highlight w:val="none"/>
        </w:rPr>
      </w:pPr>
    </w:p>
    <w:p w14:paraId="5BF45FB0">
      <w:pPr>
        <w:snapToGrid w:val="0"/>
        <w:spacing w:line="360" w:lineRule="auto"/>
        <w:outlineLvl w:val="2"/>
        <w:rPr>
          <w:rFonts w:hint="eastAsia" w:ascii="仿宋" w:hAnsi="仿宋" w:eastAsia="仿宋" w:cs="仿宋"/>
          <w:sz w:val="24"/>
          <w:highlight w:val="none"/>
          <w:lang w:eastAsia="zh-CN"/>
        </w:rPr>
      </w:pPr>
      <w:r>
        <w:rPr>
          <w:rFonts w:hint="eastAsia" w:ascii="仿宋" w:hAnsi="仿宋" w:eastAsia="仿宋" w:cs="仿宋"/>
          <w:b/>
          <w:color w:val="000000"/>
          <w:kern w:val="0"/>
          <w:sz w:val="24"/>
          <w:highlight w:val="none"/>
        </w:rPr>
        <w:br w:type="page"/>
      </w:r>
      <w:r>
        <w:rPr>
          <w:rFonts w:hint="eastAsia" w:ascii="仿宋" w:hAnsi="仿宋" w:eastAsia="仿宋" w:cs="仿宋"/>
          <w:b/>
          <w:color w:val="000000"/>
          <w:kern w:val="0"/>
          <w:sz w:val="24"/>
          <w:highlight w:val="none"/>
        </w:rPr>
        <w:t>5．</w:t>
      </w:r>
      <w:r>
        <w:rPr>
          <w:rFonts w:hint="eastAsia" w:ascii="仿宋" w:hAnsi="仿宋" w:eastAsia="仿宋" w:cs="仿宋"/>
          <w:b/>
          <w:bCs/>
          <w:sz w:val="24"/>
          <w:highlight w:val="none"/>
        </w:rPr>
        <w:t>参加</w:t>
      </w:r>
      <w:r>
        <w:rPr>
          <w:rFonts w:hint="eastAsia" w:ascii="仿宋" w:hAnsi="仿宋" w:eastAsia="仿宋" w:cs="仿宋"/>
          <w:b/>
          <w:bCs/>
          <w:sz w:val="24"/>
          <w:highlight w:val="none"/>
          <w:lang w:val="en-US" w:eastAsia="zh-CN"/>
        </w:rPr>
        <w:t>本次</w:t>
      </w:r>
      <w:r>
        <w:rPr>
          <w:rFonts w:hint="eastAsia" w:ascii="仿宋" w:hAnsi="仿宋" w:eastAsia="仿宋" w:cs="仿宋"/>
          <w:b/>
          <w:bCs/>
          <w:sz w:val="24"/>
          <w:highlight w:val="none"/>
        </w:rPr>
        <w:t>采购活动前三年内，在经营活动中没有重大违法记录</w:t>
      </w:r>
      <w:r>
        <w:rPr>
          <w:rFonts w:hint="eastAsia" w:ascii="仿宋" w:hAnsi="仿宋" w:eastAsia="仿宋" w:cs="仿宋"/>
          <w:b/>
          <w:bCs/>
          <w:sz w:val="24"/>
          <w:highlight w:val="none"/>
          <w:lang w:val="en-US" w:eastAsia="zh-CN"/>
        </w:rPr>
        <w:t>承诺函</w:t>
      </w:r>
    </w:p>
    <w:p w14:paraId="1E889FD1">
      <w:pPr>
        <w:keepNext/>
        <w:jc w:val="center"/>
        <w:outlineLvl w:val="9"/>
        <w:rPr>
          <w:rFonts w:hint="eastAsia" w:ascii="仿宋" w:hAnsi="仿宋" w:eastAsia="仿宋" w:cs="仿宋"/>
          <w:b/>
          <w:spacing w:val="0"/>
          <w:sz w:val="24"/>
          <w:highlight w:val="none"/>
        </w:rPr>
      </w:pPr>
    </w:p>
    <w:p w14:paraId="231BCA7F">
      <w:pPr>
        <w:keepNext/>
        <w:jc w:val="center"/>
        <w:outlineLvl w:val="9"/>
        <w:rPr>
          <w:rFonts w:hint="eastAsia" w:ascii="仿宋" w:hAnsi="仿宋" w:eastAsia="仿宋" w:cs="仿宋"/>
          <w:b/>
          <w:spacing w:val="20"/>
          <w:sz w:val="24"/>
          <w:highlight w:val="none"/>
          <w:lang w:val="en-US" w:eastAsia="zh-CN"/>
        </w:rPr>
      </w:pPr>
      <w:r>
        <w:rPr>
          <w:rFonts w:hint="eastAsia" w:ascii="仿宋" w:hAnsi="仿宋" w:eastAsia="仿宋" w:cs="仿宋"/>
          <w:b/>
          <w:spacing w:val="0"/>
          <w:sz w:val="24"/>
          <w:highlight w:val="none"/>
          <w:lang w:val="en-US" w:eastAsia="zh-CN"/>
        </w:rPr>
        <w:t>投标人</w:t>
      </w:r>
      <w:r>
        <w:rPr>
          <w:rFonts w:hint="eastAsia" w:ascii="仿宋" w:hAnsi="仿宋" w:eastAsia="仿宋" w:cs="仿宋"/>
          <w:b/>
          <w:bCs/>
          <w:sz w:val="24"/>
          <w:highlight w:val="none"/>
        </w:rPr>
        <w:t>参加</w:t>
      </w:r>
      <w:r>
        <w:rPr>
          <w:rFonts w:hint="eastAsia" w:ascii="仿宋" w:hAnsi="仿宋" w:eastAsia="仿宋" w:cs="仿宋"/>
          <w:b/>
          <w:bCs/>
          <w:sz w:val="24"/>
          <w:highlight w:val="none"/>
          <w:lang w:val="en-US" w:eastAsia="zh-CN"/>
        </w:rPr>
        <w:t>本次</w:t>
      </w:r>
      <w:r>
        <w:rPr>
          <w:rFonts w:hint="eastAsia" w:ascii="仿宋" w:hAnsi="仿宋" w:eastAsia="仿宋" w:cs="仿宋"/>
          <w:b/>
          <w:bCs/>
          <w:sz w:val="24"/>
          <w:highlight w:val="none"/>
        </w:rPr>
        <w:t>采购活动前三年内，在经营活动中没有重大违法记录</w:t>
      </w:r>
      <w:r>
        <w:rPr>
          <w:rFonts w:hint="eastAsia" w:ascii="仿宋" w:hAnsi="仿宋" w:eastAsia="仿宋" w:cs="仿宋"/>
          <w:b/>
          <w:bCs/>
          <w:sz w:val="24"/>
          <w:highlight w:val="none"/>
          <w:lang w:val="en-US" w:eastAsia="zh-CN"/>
        </w:rPr>
        <w:t>承诺函</w:t>
      </w:r>
    </w:p>
    <w:p w14:paraId="3615D6EC">
      <w:pPr>
        <w:keepNext/>
        <w:widowControl w:val="0"/>
        <w:spacing w:line="330" w:lineRule="atLeast"/>
        <w:jc w:val="left"/>
        <w:outlineLvl w:val="9"/>
        <w:rPr>
          <w:rFonts w:hint="eastAsia" w:ascii="仿宋" w:hAnsi="仿宋" w:eastAsia="仿宋" w:cs="仿宋"/>
          <w:kern w:val="0"/>
          <w:sz w:val="21"/>
          <w:szCs w:val="21"/>
          <w:highlight w:val="none"/>
          <w:lang w:val="en-US" w:eastAsia="zh-CN" w:bidi="ar-SA"/>
        </w:rPr>
      </w:pPr>
    </w:p>
    <w:p w14:paraId="35ADE4ED">
      <w:pPr>
        <w:keepNext/>
        <w:outlineLvl w:val="9"/>
        <w:rPr>
          <w:rFonts w:hint="eastAsia" w:ascii="仿宋" w:hAnsi="仿宋" w:eastAsia="仿宋" w:cs="仿宋"/>
          <w:sz w:val="24"/>
          <w:highlight w:val="none"/>
          <w:u w:val="single"/>
        </w:rPr>
      </w:pPr>
      <w:r>
        <w:rPr>
          <w:rFonts w:hint="eastAsia" w:ascii="仿宋" w:hAnsi="仿宋" w:eastAsia="仿宋" w:cs="仿宋"/>
          <w:sz w:val="24"/>
          <w:highlight w:val="none"/>
          <w:u w:val="single"/>
        </w:rPr>
        <w:t xml:space="preserve">  </w:t>
      </w:r>
      <w:r>
        <w:rPr>
          <w:rFonts w:hint="eastAsia" w:ascii="仿宋" w:hAnsi="仿宋" w:eastAsia="仿宋" w:cs="仿宋"/>
          <w:color w:val="auto"/>
          <w:sz w:val="24"/>
          <w:highlight w:val="none"/>
          <w:u w:val="single"/>
          <w:lang w:eastAsia="zh-CN"/>
        </w:rPr>
        <w:t>（采购人名称）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none"/>
        </w:rPr>
        <w:t>：</w:t>
      </w:r>
    </w:p>
    <w:p w14:paraId="128D2A07">
      <w:pPr>
        <w:keepNext/>
        <w:widowControl w:val="0"/>
        <w:snapToGrid w:val="0"/>
        <w:spacing w:line="520" w:lineRule="exact"/>
        <w:ind w:firstLine="480" w:firstLineChars="200"/>
        <w:jc w:val="left"/>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本投标人现参与贵单位组织的</w:t>
      </w:r>
      <w:r>
        <w:rPr>
          <w:rFonts w:hint="eastAsia" w:ascii="仿宋" w:hAnsi="仿宋" w:eastAsia="仿宋" w:cs="仿宋"/>
          <w:kern w:val="2"/>
          <w:sz w:val="24"/>
          <w:szCs w:val="24"/>
          <w:highlight w:val="none"/>
          <w:u w:val="single"/>
          <w:lang w:val="en-US" w:eastAsia="zh-CN" w:bidi="ar-SA"/>
        </w:rPr>
        <w:t xml:space="preserve">            </w:t>
      </w:r>
      <w:r>
        <w:rPr>
          <w:rFonts w:hint="eastAsia" w:ascii="仿宋" w:hAnsi="仿宋" w:eastAsia="仿宋" w:cs="仿宋"/>
          <w:kern w:val="2"/>
          <w:sz w:val="24"/>
          <w:szCs w:val="24"/>
          <w:highlight w:val="none"/>
          <w:lang w:val="en-US" w:eastAsia="zh-CN" w:bidi="ar-SA"/>
        </w:rPr>
        <w:t>项目（项目编号：</w:t>
      </w:r>
      <w:r>
        <w:rPr>
          <w:rFonts w:hint="eastAsia" w:ascii="仿宋" w:hAnsi="仿宋" w:eastAsia="仿宋" w:cs="仿宋"/>
          <w:kern w:val="2"/>
          <w:sz w:val="24"/>
          <w:szCs w:val="24"/>
          <w:highlight w:val="none"/>
          <w:u w:val="single"/>
          <w:lang w:val="en-US" w:eastAsia="zh-CN" w:bidi="ar-SA"/>
        </w:rPr>
        <w:t xml:space="preserve">           </w:t>
      </w:r>
      <w:r>
        <w:rPr>
          <w:rFonts w:hint="eastAsia" w:ascii="仿宋" w:hAnsi="仿宋" w:eastAsia="仿宋" w:cs="仿宋"/>
          <w:kern w:val="2"/>
          <w:sz w:val="24"/>
          <w:szCs w:val="24"/>
          <w:highlight w:val="none"/>
          <w:lang w:val="en-US" w:eastAsia="zh-CN" w:bidi="ar-SA"/>
        </w:rPr>
        <w:t>）的采购活动。依据</w:t>
      </w:r>
      <w:r>
        <w:rPr>
          <w:rFonts w:hint="eastAsia" w:ascii="仿宋" w:hAnsi="仿宋" w:eastAsia="仿宋" w:cs="仿宋"/>
          <w:kern w:val="2"/>
          <w:sz w:val="24"/>
          <w:szCs w:val="28"/>
          <w:highlight w:val="none"/>
          <w:lang w:val="en-US" w:eastAsia="zh-CN" w:bidi="ar-SA"/>
        </w:rPr>
        <w:t>招标文件</w:t>
      </w:r>
      <w:r>
        <w:rPr>
          <w:rFonts w:hint="eastAsia" w:ascii="仿宋" w:hAnsi="仿宋" w:eastAsia="仿宋" w:cs="仿宋"/>
          <w:kern w:val="2"/>
          <w:sz w:val="24"/>
          <w:szCs w:val="24"/>
          <w:highlight w:val="none"/>
          <w:lang w:val="en-US" w:eastAsia="zh-CN" w:bidi="ar-SA"/>
        </w:rPr>
        <w:t>相关规定，现郑重承诺：我方在参加本次采购活动前三年内，在经营活动中无重大违法记录（因违法经营受到刑事处罚或者责令停产停业、吊销许可证或者执照、较大数额罚款等行政处罚。）；经查证，本公司在信用中国网（http://www.creditchina.gov.cn）的信用信息中失信被执行人、重大税收违法案件当事人名单均为0记录；在中国政府采购网（http://www.ccgp.gov.cn）中的政府采购严重违法失信行为信息记录也为0记录。</w:t>
      </w:r>
    </w:p>
    <w:p w14:paraId="312A22FE">
      <w:pPr>
        <w:keepNext/>
        <w:widowControl w:val="0"/>
        <w:snapToGrid w:val="0"/>
        <w:spacing w:line="520" w:lineRule="exact"/>
        <w:ind w:firstLine="480" w:firstLineChars="200"/>
        <w:jc w:val="left"/>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以上承诺信息如有虚假或隐瞒，我方愿意承担一切后果，并不再寻求任何旨在减轻或免除法律责任的辩解。 </w:t>
      </w:r>
    </w:p>
    <w:p w14:paraId="0AE9BCD9">
      <w:pPr>
        <w:keepNext/>
        <w:widowControl w:val="0"/>
        <w:snapToGrid w:val="0"/>
        <w:spacing w:line="520" w:lineRule="exact"/>
        <w:ind w:firstLine="480" w:firstLineChars="200"/>
        <w:jc w:val="left"/>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特此承诺</w:t>
      </w:r>
    </w:p>
    <w:p w14:paraId="5D9C7B0B">
      <w:pPr>
        <w:keepNext/>
        <w:widowControl w:val="0"/>
        <w:snapToGrid w:val="0"/>
        <w:spacing w:line="520" w:lineRule="exact"/>
        <w:ind w:firstLine="480" w:firstLineChars="200"/>
        <w:jc w:val="center"/>
        <w:outlineLvl w:val="9"/>
        <w:rPr>
          <w:rFonts w:hint="eastAsia" w:ascii="仿宋" w:hAnsi="仿宋" w:eastAsia="仿宋" w:cs="仿宋"/>
          <w:kern w:val="2"/>
          <w:sz w:val="24"/>
          <w:szCs w:val="24"/>
          <w:highlight w:val="none"/>
          <w:lang w:val="en-US" w:eastAsia="zh-CN" w:bidi="ar-SA"/>
        </w:rPr>
      </w:pPr>
    </w:p>
    <w:p w14:paraId="2DFE700E">
      <w:pPr>
        <w:keepNext/>
        <w:widowControl w:val="0"/>
        <w:snapToGrid w:val="0"/>
        <w:spacing w:line="520" w:lineRule="exact"/>
        <w:ind w:firstLine="480" w:firstLineChars="200"/>
        <w:jc w:val="center"/>
        <w:outlineLvl w:val="9"/>
        <w:rPr>
          <w:rFonts w:hint="eastAsia" w:ascii="仿宋" w:hAnsi="仿宋" w:eastAsia="仿宋" w:cs="仿宋"/>
          <w:kern w:val="2"/>
          <w:sz w:val="24"/>
          <w:szCs w:val="24"/>
          <w:highlight w:val="none"/>
          <w:lang w:val="en-US" w:eastAsia="zh-CN" w:bidi="ar-SA"/>
        </w:rPr>
      </w:pPr>
    </w:p>
    <w:p w14:paraId="1F0C77B7">
      <w:pPr>
        <w:keepNext/>
        <w:widowControl w:val="0"/>
        <w:snapToGrid w:val="0"/>
        <w:spacing w:line="520" w:lineRule="exact"/>
        <w:ind w:firstLine="480" w:firstLineChars="200"/>
        <w:jc w:val="center"/>
        <w:outlineLvl w:val="9"/>
        <w:rPr>
          <w:rFonts w:hint="eastAsia" w:ascii="仿宋" w:hAnsi="仿宋" w:eastAsia="仿宋" w:cs="仿宋"/>
          <w:kern w:val="2"/>
          <w:sz w:val="24"/>
          <w:szCs w:val="24"/>
          <w:highlight w:val="none"/>
          <w:lang w:val="en-US" w:eastAsia="zh-CN" w:bidi="ar-SA"/>
        </w:rPr>
      </w:pPr>
    </w:p>
    <w:p w14:paraId="1129D320">
      <w:pPr>
        <w:keepNext/>
        <w:widowControl w:val="0"/>
        <w:snapToGrid w:val="0"/>
        <w:spacing w:line="520" w:lineRule="exact"/>
        <w:ind w:firstLine="480" w:firstLineChars="200"/>
        <w:jc w:val="center"/>
        <w:outlineLvl w:val="9"/>
        <w:rPr>
          <w:rFonts w:hint="eastAsia" w:ascii="仿宋" w:hAnsi="仿宋" w:eastAsia="仿宋" w:cs="仿宋"/>
          <w:kern w:val="2"/>
          <w:sz w:val="24"/>
          <w:szCs w:val="24"/>
          <w:highlight w:val="none"/>
          <w:lang w:val="en-US" w:eastAsia="zh-CN" w:bidi="ar-SA"/>
        </w:rPr>
      </w:pPr>
    </w:p>
    <w:p w14:paraId="4573FB42">
      <w:pPr>
        <w:snapToGrid w:val="0"/>
        <w:spacing w:line="480" w:lineRule="exact"/>
        <w:ind w:firstLine="3120" w:firstLineChars="1300"/>
        <w:jc w:val="both"/>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（盖章）</w:t>
      </w:r>
    </w:p>
    <w:p w14:paraId="2D3E3D79">
      <w:pPr>
        <w:snapToGrid w:val="0"/>
        <w:spacing w:line="480" w:lineRule="exact"/>
        <w:ind w:firstLine="3120" w:firstLineChars="1300"/>
        <w:jc w:val="both"/>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法定</w:t>
      </w:r>
      <w:r>
        <w:rPr>
          <w:rFonts w:hint="eastAsia" w:ascii="仿宋" w:hAnsi="仿宋" w:eastAsia="仿宋" w:cs="仿宋"/>
          <w:sz w:val="24"/>
          <w:highlight w:val="none"/>
        </w:rPr>
        <w:t>代表人</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负责人</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（签字或盖章）</w:t>
      </w:r>
    </w:p>
    <w:p w14:paraId="3DD29D3E">
      <w:pPr>
        <w:snapToGrid w:val="0"/>
        <w:spacing w:line="480" w:lineRule="exact"/>
        <w:ind w:firstLine="3120" w:firstLineChars="1300"/>
        <w:jc w:val="both"/>
        <w:outlineLvl w:val="9"/>
        <w:rPr>
          <w:rFonts w:hint="eastAsia" w:ascii="仿宋" w:hAnsi="仿宋" w:eastAsia="仿宋" w:cs="仿宋"/>
          <w:sz w:val="24"/>
          <w:highlight w:val="none"/>
        </w:rPr>
      </w:pPr>
      <w:r>
        <w:rPr>
          <w:rFonts w:hint="eastAsia" w:ascii="仿宋" w:hAnsi="仿宋" w:eastAsia="仿宋" w:cs="仿宋"/>
          <w:sz w:val="24"/>
          <w:highlight w:val="none"/>
        </w:rPr>
        <w:t>日      期：</w:t>
      </w:r>
    </w:p>
    <w:p w14:paraId="6D9BEA9D">
      <w:pPr>
        <w:snapToGrid w:val="0"/>
        <w:spacing w:line="360" w:lineRule="auto"/>
        <w:outlineLvl w:val="9"/>
        <w:rPr>
          <w:rFonts w:hint="eastAsia" w:ascii="仿宋" w:hAnsi="仿宋" w:eastAsia="仿宋" w:cs="仿宋"/>
          <w:sz w:val="24"/>
          <w:highlight w:val="none"/>
        </w:rPr>
      </w:pPr>
    </w:p>
    <w:p w14:paraId="133B60A0">
      <w:pPr>
        <w:snapToGrid w:val="0"/>
        <w:spacing w:line="360" w:lineRule="auto"/>
        <w:outlineLvl w:val="9"/>
        <w:rPr>
          <w:rFonts w:hint="eastAsia" w:ascii="仿宋" w:hAnsi="仿宋" w:eastAsia="仿宋" w:cs="仿宋"/>
          <w:sz w:val="24"/>
          <w:highlight w:val="none"/>
        </w:rPr>
      </w:pPr>
    </w:p>
    <w:p w14:paraId="06589A2B">
      <w:pP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br w:type="page"/>
      </w:r>
    </w:p>
    <w:p w14:paraId="041A9C30">
      <w:pPr>
        <w:snapToGrid w:val="0"/>
        <w:spacing w:line="360" w:lineRule="auto"/>
        <w:outlineLvl w:val="2"/>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lang w:val="en-US" w:eastAsia="zh-CN"/>
        </w:rPr>
        <w:t>6．单位负责人为同一人或者存在直接控股、管理关系的不同投标人，不得参加同一合同项下的政府招标活动</w:t>
      </w:r>
      <w:r>
        <w:rPr>
          <w:rFonts w:hint="eastAsia" w:ascii="仿宋" w:hAnsi="仿宋" w:eastAsia="仿宋" w:cs="仿宋"/>
          <w:b/>
          <w:color w:val="000000"/>
          <w:kern w:val="0"/>
          <w:sz w:val="24"/>
          <w:highlight w:val="none"/>
        </w:rPr>
        <w:t>的承诺函</w:t>
      </w:r>
    </w:p>
    <w:p w14:paraId="7DD11596">
      <w:pPr>
        <w:snapToGrid w:val="0"/>
        <w:spacing w:line="400" w:lineRule="exact"/>
        <w:jc w:val="left"/>
        <w:rPr>
          <w:b/>
          <w:color w:val="000000"/>
          <w:kern w:val="0"/>
          <w:sz w:val="24"/>
          <w:highlight w:val="none"/>
        </w:rPr>
      </w:pPr>
    </w:p>
    <w:p w14:paraId="6D2FE4CF">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单位负责人为同一人或者存在直接控股、管理关系的不同投标人，不得参加同一合同项下的政府招标活动的承诺函</w:t>
      </w:r>
    </w:p>
    <w:p w14:paraId="61F640B4">
      <w:pPr>
        <w:keepNext w:val="0"/>
        <w:keepLines w:val="0"/>
        <w:pageBreakBefore w:val="0"/>
        <w:widowControl w:val="0"/>
        <w:kinsoku/>
        <w:wordWrap/>
        <w:overflowPunct/>
        <w:topLinePunct w:val="0"/>
        <w:autoSpaceDE/>
        <w:autoSpaceDN/>
        <w:bidi w:val="0"/>
        <w:adjustRightInd/>
        <w:snapToGrid/>
        <w:spacing w:line="360" w:lineRule="auto"/>
        <w:textAlignment w:val="auto"/>
        <w:rPr>
          <w:sz w:val="24"/>
          <w:highlight w:val="none"/>
          <w:u w:val="single"/>
        </w:rPr>
      </w:pPr>
      <w:r>
        <w:rPr>
          <w:rFonts w:hint="eastAsia" w:ascii="仿宋" w:hAnsi="仿宋" w:eastAsia="仿宋" w:cs="仿宋"/>
          <w:sz w:val="24"/>
          <w:highlight w:val="none"/>
          <w:u w:val="single"/>
        </w:rPr>
        <w:t xml:space="preserve">  </w:t>
      </w:r>
      <w:r>
        <w:rPr>
          <w:rFonts w:hint="eastAsia" w:ascii="仿宋" w:hAnsi="仿宋" w:eastAsia="仿宋" w:cs="仿宋"/>
          <w:color w:val="auto"/>
          <w:sz w:val="24"/>
          <w:highlight w:val="none"/>
          <w:u w:val="single"/>
          <w:lang w:eastAsia="zh-CN"/>
        </w:rPr>
        <w:t>（采购人名称）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none"/>
        </w:rPr>
        <w:t>：</w:t>
      </w:r>
    </w:p>
    <w:p w14:paraId="59354626">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p>
    <w:p w14:paraId="0D359ACD">
      <w:pPr>
        <w:keepNext w:val="0"/>
        <w:keepLines w:val="0"/>
        <w:pageBreakBefore w:val="0"/>
        <w:widowControl w:val="0"/>
        <w:kinsoku/>
        <w:wordWrap/>
        <w:overflowPunct/>
        <w:topLinePunct w:val="0"/>
        <w:autoSpaceDE/>
        <w:autoSpaceDN/>
        <w:bidi w:val="0"/>
        <w:adjustRightInd/>
        <w:snapToGrid/>
        <w:spacing w:line="360" w:lineRule="auto"/>
        <w:ind w:left="239" w:leftChars="114"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现参与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lang w:val="en-US" w:eastAsia="zh-CN"/>
        </w:rPr>
        <w:br w:type="textWrapping"/>
      </w:r>
      <w:r>
        <w:rPr>
          <w:rFonts w:hint="eastAsia" w:ascii="仿宋" w:hAnsi="仿宋" w:eastAsia="仿宋" w:cs="仿宋"/>
          <w:sz w:val="24"/>
          <w:highlight w:val="none"/>
          <w:u w:val="none"/>
          <w:lang w:val="en-US" w:eastAsia="zh-CN"/>
        </w:rPr>
        <w:t>）</w:t>
      </w:r>
      <w:r>
        <w:rPr>
          <w:rFonts w:hint="eastAsia" w:ascii="仿宋" w:hAnsi="仿宋" w:eastAsia="仿宋" w:cs="仿宋"/>
          <w:sz w:val="24"/>
          <w:szCs w:val="24"/>
          <w:highlight w:val="none"/>
        </w:rPr>
        <w:t>的采购活动，现承诺本</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不存在与单位负责人为同一人或者存在直接控股、管理关系的不同投标人，不得参加同一合同项下的政府招标活动的情形。</w:t>
      </w:r>
    </w:p>
    <w:p w14:paraId="0D1A56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以上承诺信息如有虚假或隐瞒，我方愿意承担一切后果，并不再寻求任何旨在减轻或免除法律责任的辩解。 </w:t>
      </w:r>
    </w:p>
    <w:p w14:paraId="026EDF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p>
    <w:p w14:paraId="073F81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特此声明</w:t>
      </w:r>
    </w:p>
    <w:p w14:paraId="07F05D74">
      <w:pPr>
        <w:spacing w:line="360" w:lineRule="auto"/>
        <w:ind w:firstLine="480" w:firstLineChars="200"/>
        <w:rPr>
          <w:rFonts w:hint="eastAsia" w:ascii="仿宋" w:hAnsi="仿宋" w:eastAsia="仿宋" w:cs="仿宋"/>
          <w:sz w:val="24"/>
          <w:szCs w:val="24"/>
          <w:highlight w:val="none"/>
        </w:rPr>
      </w:pPr>
    </w:p>
    <w:p w14:paraId="0C9832F4">
      <w:pPr>
        <w:spacing w:line="360" w:lineRule="auto"/>
        <w:rPr>
          <w:rFonts w:hint="eastAsia" w:ascii="仿宋" w:hAnsi="仿宋" w:eastAsia="仿宋" w:cs="仿宋"/>
          <w:sz w:val="24"/>
          <w:szCs w:val="24"/>
          <w:highlight w:val="none"/>
        </w:rPr>
      </w:pPr>
    </w:p>
    <w:p w14:paraId="07A39948">
      <w:pPr>
        <w:bidi w:val="0"/>
        <w:rPr>
          <w:rFonts w:hint="eastAsia" w:ascii="仿宋" w:hAnsi="仿宋" w:eastAsia="仿宋" w:cs="仿宋"/>
          <w:sz w:val="24"/>
          <w:szCs w:val="24"/>
          <w:highlight w:val="none"/>
        </w:rPr>
      </w:pPr>
    </w:p>
    <w:p w14:paraId="0466DDCC">
      <w:pPr>
        <w:snapToGrid w:val="0"/>
        <w:spacing w:line="480" w:lineRule="exact"/>
        <w:ind w:firstLine="3120" w:firstLineChars="1300"/>
        <w:jc w:val="both"/>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（盖章）</w:t>
      </w:r>
    </w:p>
    <w:p w14:paraId="6C6EB4A3">
      <w:pPr>
        <w:snapToGrid w:val="0"/>
        <w:spacing w:line="480" w:lineRule="exact"/>
        <w:ind w:firstLine="3120" w:firstLineChars="1300"/>
        <w:jc w:val="both"/>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法定</w:t>
      </w:r>
      <w:r>
        <w:rPr>
          <w:rFonts w:hint="eastAsia" w:ascii="仿宋" w:hAnsi="仿宋" w:eastAsia="仿宋" w:cs="仿宋"/>
          <w:sz w:val="24"/>
          <w:highlight w:val="none"/>
        </w:rPr>
        <w:t>代表人</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负责人</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（签字或盖章）</w:t>
      </w:r>
    </w:p>
    <w:p w14:paraId="0B33976F">
      <w:pPr>
        <w:snapToGrid w:val="0"/>
        <w:spacing w:line="480" w:lineRule="exact"/>
        <w:ind w:firstLine="3120" w:firstLineChars="1300"/>
        <w:jc w:val="both"/>
        <w:outlineLvl w:val="9"/>
        <w:rPr>
          <w:rFonts w:hint="eastAsia" w:ascii="仿宋" w:hAnsi="仿宋" w:eastAsia="仿宋" w:cs="仿宋"/>
          <w:sz w:val="24"/>
          <w:highlight w:val="none"/>
        </w:rPr>
      </w:pPr>
      <w:r>
        <w:rPr>
          <w:rFonts w:hint="eastAsia" w:ascii="仿宋" w:hAnsi="仿宋" w:eastAsia="仿宋" w:cs="仿宋"/>
          <w:sz w:val="24"/>
          <w:highlight w:val="none"/>
        </w:rPr>
        <w:t>日      期：</w:t>
      </w:r>
    </w:p>
    <w:p w14:paraId="27944DA4">
      <w:pPr>
        <w:rPr>
          <w:rFonts w:hint="eastAsia"/>
          <w:highlight w:val="none"/>
          <w:lang w:val="en-US" w:eastAsia="zh-CN"/>
        </w:rPr>
      </w:pPr>
      <w:r>
        <w:rPr>
          <w:rFonts w:hint="eastAsia"/>
          <w:highlight w:val="none"/>
          <w:lang w:val="en-US" w:eastAsia="zh-CN"/>
        </w:rPr>
        <w:br w:type="page"/>
      </w:r>
    </w:p>
    <w:p w14:paraId="67CD3FF7">
      <w:pPr>
        <w:snapToGrid w:val="0"/>
        <w:spacing w:line="360" w:lineRule="auto"/>
        <w:outlineLvl w:val="2"/>
        <w:rPr>
          <w:rFonts w:hint="eastAsia" w:ascii="仿宋" w:hAnsi="仿宋" w:eastAsia="仿宋" w:cs="仿宋"/>
          <w:kern w:val="0"/>
          <w:sz w:val="24"/>
          <w:szCs w:val="21"/>
          <w:highlight w:val="none"/>
          <w:lang w:val="en-US" w:eastAsia="zh-CN" w:bidi="ar-SA"/>
        </w:rPr>
      </w:pPr>
      <w:r>
        <w:rPr>
          <w:rFonts w:hint="eastAsia" w:ascii="仿宋" w:hAnsi="仿宋" w:eastAsia="仿宋" w:cs="仿宋"/>
          <w:b/>
          <w:color w:val="000000"/>
          <w:kern w:val="0"/>
          <w:sz w:val="24"/>
          <w:highlight w:val="none"/>
          <w:lang w:val="en-US" w:eastAsia="zh-CN"/>
        </w:rPr>
        <w:t>7．投标</w:t>
      </w:r>
      <w:r>
        <w:rPr>
          <w:rFonts w:hint="eastAsia" w:ascii="仿宋" w:hAnsi="仿宋" w:eastAsia="仿宋" w:cs="仿宋"/>
          <w:b/>
          <w:color w:val="000000"/>
          <w:kern w:val="0"/>
          <w:sz w:val="24"/>
          <w:szCs w:val="24"/>
          <w:highlight w:val="none"/>
          <w:lang w:val="en-US" w:eastAsia="zh-CN" w:bidi="ar-SA"/>
        </w:rPr>
        <w:t>人</w:t>
      </w:r>
      <w:r>
        <w:rPr>
          <w:rFonts w:hint="eastAsia" w:ascii="仿宋" w:hAnsi="仿宋" w:eastAsia="仿宋" w:cs="仿宋"/>
          <w:b/>
          <w:color w:val="000000"/>
          <w:kern w:val="0"/>
          <w:sz w:val="24"/>
          <w:szCs w:val="21"/>
          <w:highlight w:val="none"/>
          <w:lang w:val="en-US" w:eastAsia="zh-CN" w:bidi="ar-SA"/>
        </w:rPr>
        <w:t>廉洁自律承诺书</w:t>
      </w:r>
    </w:p>
    <w:p w14:paraId="79C5307A">
      <w:pPr>
        <w:keepNext/>
        <w:jc w:val="center"/>
        <w:outlineLvl w:val="9"/>
        <w:rPr>
          <w:rFonts w:hint="eastAsia" w:ascii="仿宋" w:hAnsi="仿宋" w:eastAsia="仿宋" w:cs="仿宋"/>
          <w:b/>
          <w:spacing w:val="20"/>
          <w:sz w:val="24"/>
          <w:highlight w:val="none"/>
        </w:rPr>
      </w:pPr>
    </w:p>
    <w:p w14:paraId="60C021A2">
      <w:pPr>
        <w:keepNext/>
        <w:jc w:val="center"/>
        <w:outlineLvl w:val="9"/>
        <w:rPr>
          <w:rFonts w:hint="eastAsia" w:ascii="仿宋" w:hAnsi="仿宋" w:eastAsia="仿宋" w:cs="仿宋"/>
          <w:b/>
          <w:spacing w:val="20"/>
          <w:sz w:val="24"/>
          <w:highlight w:val="none"/>
        </w:rPr>
      </w:pPr>
      <w:r>
        <w:rPr>
          <w:rFonts w:hint="eastAsia" w:ascii="仿宋" w:hAnsi="仿宋" w:eastAsia="仿宋" w:cs="仿宋"/>
          <w:b/>
          <w:spacing w:val="20"/>
          <w:sz w:val="24"/>
          <w:highlight w:val="none"/>
          <w:lang w:eastAsia="zh-CN"/>
        </w:rPr>
        <w:t>投标人</w:t>
      </w:r>
      <w:r>
        <w:rPr>
          <w:rFonts w:hint="eastAsia" w:ascii="仿宋" w:hAnsi="仿宋" w:eastAsia="仿宋" w:cs="仿宋"/>
          <w:b/>
          <w:spacing w:val="20"/>
          <w:sz w:val="24"/>
          <w:highlight w:val="none"/>
        </w:rPr>
        <w:t>廉洁自律承诺书</w:t>
      </w:r>
    </w:p>
    <w:p w14:paraId="69EC955A">
      <w:pPr>
        <w:keepNext/>
        <w:spacing w:line="360" w:lineRule="auto"/>
        <w:outlineLvl w:val="9"/>
        <w:rPr>
          <w:rFonts w:hint="eastAsia" w:ascii="仿宋" w:hAnsi="仿宋" w:eastAsia="仿宋" w:cs="仿宋"/>
          <w:sz w:val="24"/>
          <w:highlight w:val="none"/>
          <w:u w:val="single"/>
        </w:rPr>
      </w:pPr>
    </w:p>
    <w:p w14:paraId="687E740C">
      <w:pPr>
        <w:keepNext/>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4"/>
          <w:highlight w:val="none"/>
          <w:u w:val="single"/>
        </w:rPr>
      </w:pPr>
      <w:r>
        <w:rPr>
          <w:rFonts w:hint="eastAsia" w:ascii="仿宋" w:hAnsi="仿宋" w:eastAsia="仿宋" w:cs="仿宋"/>
          <w:sz w:val="24"/>
          <w:highlight w:val="none"/>
          <w:u w:val="single"/>
        </w:rPr>
        <w:t xml:space="preserve">  </w:t>
      </w:r>
      <w:r>
        <w:rPr>
          <w:rFonts w:hint="eastAsia" w:ascii="仿宋" w:hAnsi="仿宋" w:eastAsia="仿宋" w:cs="仿宋"/>
          <w:color w:val="auto"/>
          <w:sz w:val="24"/>
          <w:highlight w:val="none"/>
          <w:u w:val="single"/>
          <w:lang w:eastAsia="zh-CN"/>
        </w:rPr>
        <w:t>（采购人名称）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none"/>
        </w:rPr>
        <w:t>：</w:t>
      </w:r>
    </w:p>
    <w:p w14:paraId="223B2E86">
      <w:pPr>
        <w:keepNext/>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为维护本次</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工作的正常秩序，本公司特郑重承诺如下： </w:t>
      </w:r>
    </w:p>
    <w:p w14:paraId="0BE37774">
      <w:pPr>
        <w:keepNext/>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一、严格按照</w:t>
      </w:r>
      <w:r>
        <w:rPr>
          <w:rFonts w:hint="eastAsia" w:ascii="仿宋" w:hAnsi="仿宋" w:eastAsia="仿宋" w:cs="仿宋"/>
          <w:sz w:val="24"/>
          <w:highlight w:val="none"/>
          <w:lang w:val="en-US" w:eastAsia="zh-CN"/>
        </w:rPr>
        <w:t>采购人的</w:t>
      </w:r>
      <w:r>
        <w:rPr>
          <w:rFonts w:hint="eastAsia" w:ascii="仿宋" w:hAnsi="仿宋" w:eastAsia="仿宋" w:cs="仿宋"/>
          <w:sz w:val="24"/>
          <w:highlight w:val="none"/>
        </w:rPr>
        <w:t>有关</w:t>
      </w:r>
      <w:r>
        <w:rPr>
          <w:rFonts w:hint="eastAsia" w:ascii="仿宋" w:hAnsi="仿宋" w:eastAsia="仿宋" w:cs="仿宋"/>
          <w:sz w:val="24"/>
          <w:highlight w:val="none"/>
          <w:lang w:val="en-US" w:eastAsia="zh-CN"/>
        </w:rPr>
        <w:t>规定</w:t>
      </w:r>
      <w:r>
        <w:rPr>
          <w:rFonts w:hint="eastAsia" w:ascii="仿宋" w:hAnsi="仿宋" w:eastAsia="仿宋" w:cs="仿宋"/>
          <w:sz w:val="24"/>
          <w:highlight w:val="none"/>
        </w:rPr>
        <w:t>及</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文件的规定，规范本公司的行为，保证做到合法参与本次采购活动、正当竞争、廉洁经营。</w:t>
      </w:r>
    </w:p>
    <w:p w14:paraId="71EA6381">
      <w:pPr>
        <w:keepNext/>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二、本公司保证在本次采购工作中做到： </w:t>
      </w:r>
    </w:p>
    <w:p w14:paraId="578FC1FC">
      <w:pPr>
        <w:keepNext/>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1．不与其他</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相互串通参与</w:t>
      </w:r>
      <w:r>
        <w:rPr>
          <w:rFonts w:hint="eastAsia" w:ascii="仿宋" w:hAnsi="仿宋" w:eastAsia="仿宋" w:cs="仿宋"/>
          <w:sz w:val="24"/>
          <w:highlight w:val="none"/>
          <w:lang w:val="en-US" w:eastAsia="zh-CN"/>
        </w:rPr>
        <w:t>本采购项目</w:t>
      </w:r>
      <w:r>
        <w:rPr>
          <w:rFonts w:hint="eastAsia" w:ascii="仿宋" w:hAnsi="仿宋" w:eastAsia="仿宋" w:cs="仿宋"/>
          <w:sz w:val="24"/>
          <w:highlight w:val="none"/>
        </w:rPr>
        <w:t>、陪标，损害贵单位的合法权益； </w:t>
      </w:r>
    </w:p>
    <w:p w14:paraId="4B42AB1F">
      <w:pPr>
        <w:keepNext/>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2．不与用户串通参与</w:t>
      </w:r>
      <w:r>
        <w:rPr>
          <w:rFonts w:hint="eastAsia" w:ascii="仿宋" w:hAnsi="仿宋" w:eastAsia="仿宋" w:cs="仿宋"/>
          <w:sz w:val="24"/>
          <w:highlight w:val="none"/>
          <w:lang w:val="en-US" w:eastAsia="zh-CN"/>
        </w:rPr>
        <w:t>本采购项目</w:t>
      </w:r>
      <w:r>
        <w:rPr>
          <w:rFonts w:hint="eastAsia" w:ascii="仿宋" w:hAnsi="仿宋" w:eastAsia="仿宋" w:cs="仿宋"/>
          <w:sz w:val="24"/>
          <w:highlight w:val="none"/>
        </w:rPr>
        <w:t>，损害</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利益或他人的合法权益；</w:t>
      </w:r>
    </w:p>
    <w:p w14:paraId="1493D328">
      <w:pPr>
        <w:keepNext/>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3．不以向用户、采购代理机构或者</w:t>
      </w:r>
      <w:r>
        <w:rPr>
          <w:rFonts w:hint="eastAsia" w:ascii="仿宋" w:hAnsi="仿宋" w:eastAsia="仿宋" w:cs="仿宋"/>
          <w:sz w:val="24"/>
          <w:highlight w:val="none"/>
          <w:lang w:val="en-US" w:eastAsia="zh-CN"/>
        </w:rPr>
        <w:t>评审组</w:t>
      </w:r>
      <w:r>
        <w:rPr>
          <w:rFonts w:hint="eastAsia" w:ascii="仿宋" w:hAnsi="仿宋" w:eastAsia="仿宋" w:cs="仿宋"/>
          <w:sz w:val="24"/>
          <w:highlight w:val="none"/>
        </w:rPr>
        <w:t>成员行贿的手段谋取成交；（包括送礼金礼品、有价证券、购物券、回扣、佣金、咨询费、劳务费、赞助费、宣传费、支付旅游费用、报销各种消费凭证、宴请、娱乐等）；</w:t>
      </w:r>
    </w:p>
    <w:p w14:paraId="1F59AD15">
      <w:pPr>
        <w:keepNext/>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4．不利用他人名义参与</w:t>
      </w:r>
      <w:r>
        <w:rPr>
          <w:rFonts w:hint="eastAsia" w:ascii="仿宋" w:hAnsi="仿宋" w:eastAsia="仿宋" w:cs="仿宋"/>
          <w:sz w:val="24"/>
          <w:highlight w:val="none"/>
          <w:lang w:val="en-US" w:eastAsia="zh-CN"/>
        </w:rPr>
        <w:t>本采购项目</w:t>
      </w:r>
      <w:r>
        <w:rPr>
          <w:rFonts w:hint="eastAsia" w:ascii="仿宋" w:hAnsi="仿宋" w:eastAsia="仿宋" w:cs="仿宋"/>
          <w:sz w:val="24"/>
          <w:highlight w:val="none"/>
        </w:rPr>
        <w:t>或者以其他方式弄虚作假，谋取成交；</w:t>
      </w:r>
    </w:p>
    <w:p w14:paraId="4D49149F">
      <w:pPr>
        <w:keepNext/>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5．保证不以其他任何方式扰乱本次采购工作；</w:t>
      </w:r>
    </w:p>
    <w:p w14:paraId="194C0E9B">
      <w:pPr>
        <w:keepNext/>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6．保证严格遵守采购会议纪律。</w:t>
      </w:r>
    </w:p>
    <w:p w14:paraId="0AAD47B6">
      <w:pPr>
        <w:keepNext/>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三、我公司承诺在本次采购活动中，如有违反以上第二条中的行为，同意贵方上报主管部门，按</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有关</w:t>
      </w:r>
      <w:r>
        <w:rPr>
          <w:rFonts w:hint="eastAsia" w:ascii="仿宋" w:hAnsi="仿宋" w:eastAsia="仿宋" w:cs="仿宋"/>
          <w:sz w:val="24"/>
          <w:highlight w:val="none"/>
          <w:lang w:val="en-US" w:eastAsia="zh-CN"/>
        </w:rPr>
        <w:t>规定</w:t>
      </w:r>
      <w:r>
        <w:rPr>
          <w:rFonts w:hint="eastAsia" w:ascii="仿宋" w:hAnsi="仿宋" w:eastAsia="仿宋" w:cs="仿宋"/>
          <w:sz w:val="24"/>
          <w:highlight w:val="none"/>
        </w:rPr>
        <w:t>和</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文件之规定，给予进入不良信誉记录、扣除保证金等惩罚，我公司及项目参与人员完全接受。</w:t>
      </w:r>
    </w:p>
    <w:p w14:paraId="50D68B14">
      <w:pPr>
        <w:keepNext/>
        <w:spacing w:line="360" w:lineRule="auto"/>
        <w:outlineLvl w:val="9"/>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268ECB7F">
      <w:pPr>
        <w:snapToGrid w:val="0"/>
        <w:spacing w:line="480" w:lineRule="exact"/>
        <w:ind w:firstLine="3120" w:firstLineChars="1300"/>
        <w:jc w:val="both"/>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（盖章）</w:t>
      </w:r>
    </w:p>
    <w:p w14:paraId="460F2761">
      <w:pPr>
        <w:snapToGrid w:val="0"/>
        <w:spacing w:line="480" w:lineRule="exact"/>
        <w:ind w:firstLine="3120" w:firstLineChars="1300"/>
        <w:jc w:val="both"/>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法定</w:t>
      </w:r>
      <w:r>
        <w:rPr>
          <w:rFonts w:hint="eastAsia" w:ascii="仿宋" w:hAnsi="仿宋" w:eastAsia="仿宋" w:cs="仿宋"/>
          <w:sz w:val="24"/>
          <w:highlight w:val="none"/>
        </w:rPr>
        <w:t>代表人</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负责人</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（签字或盖章）</w:t>
      </w:r>
    </w:p>
    <w:p w14:paraId="63F80FAA">
      <w:pPr>
        <w:snapToGrid w:val="0"/>
        <w:spacing w:line="480" w:lineRule="exact"/>
        <w:ind w:firstLine="3120" w:firstLineChars="1300"/>
        <w:jc w:val="both"/>
        <w:outlineLvl w:val="9"/>
        <w:rPr>
          <w:rFonts w:hint="eastAsia" w:ascii="仿宋" w:hAnsi="仿宋" w:eastAsia="仿宋" w:cs="仿宋"/>
          <w:sz w:val="24"/>
          <w:highlight w:val="none"/>
        </w:rPr>
      </w:pPr>
      <w:r>
        <w:rPr>
          <w:rFonts w:hint="eastAsia" w:ascii="仿宋" w:hAnsi="仿宋" w:eastAsia="仿宋" w:cs="仿宋"/>
          <w:sz w:val="24"/>
          <w:highlight w:val="none"/>
        </w:rPr>
        <w:t>日      期：</w:t>
      </w:r>
    </w:p>
    <w:p w14:paraId="6AC86697">
      <w:pPr>
        <w:bidi w:val="0"/>
        <w:rPr>
          <w:rFonts w:hint="eastAsia"/>
          <w:highlight w:val="none"/>
          <w:lang w:val="en-US" w:eastAsia="zh-CN"/>
        </w:rPr>
      </w:pPr>
      <w:r>
        <w:rPr>
          <w:rFonts w:hint="eastAsia"/>
          <w:highlight w:val="none"/>
          <w:lang w:val="en-US" w:eastAsia="zh-CN"/>
        </w:rPr>
        <w:br w:type="page"/>
      </w:r>
    </w:p>
    <w:p w14:paraId="70156FE0">
      <w:pPr>
        <w:snapToGrid w:val="0"/>
        <w:spacing w:line="360" w:lineRule="auto"/>
        <w:outlineLvl w:val="2"/>
        <w:rPr>
          <w:rFonts w:hint="eastAsia" w:ascii="仿宋" w:hAnsi="仿宋" w:eastAsia="仿宋" w:cs="仿宋"/>
          <w:b/>
          <w:color w:val="auto"/>
          <w:kern w:val="0"/>
          <w:sz w:val="24"/>
          <w:highlight w:val="none"/>
        </w:rPr>
      </w:pPr>
      <w:r>
        <w:rPr>
          <w:rFonts w:hint="eastAsia" w:ascii="仿宋" w:hAnsi="仿宋" w:eastAsia="仿宋" w:cs="仿宋"/>
          <w:b/>
          <w:bCs/>
          <w:color w:val="000000"/>
          <w:sz w:val="24"/>
          <w:highlight w:val="none"/>
          <w:lang w:val="en-US" w:eastAsia="zh-CN"/>
        </w:rPr>
        <w:t>8</w:t>
      </w:r>
      <w:r>
        <w:rPr>
          <w:rFonts w:hint="eastAsia" w:ascii="仿宋" w:hAnsi="仿宋" w:eastAsia="仿宋" w:cs="仿宋"/>
          <w:b/>
          <w:color w:val="000000"/>
          <w:kern w:val="0"/>
          <w:sz w:val="24"/>
          <w:highlight w:val="none"/>
        </w:rPr>
        <w:t>．</w:t>
      </w:r>
      <w:r>
        <w:rPr>
          <w:rFonts w:hint="eastAsia" w:ascii="仿宋" w:hAnsi="仿宋" w:eastAsia="仿宋" w:cs="仿宋"/>
          <w:b/>
          <w:bCs/>
          <w:color w:val="000000"/>
          <w:kern w:val="0"/>
          <w:sz w:val="24"/>
          <w:szCs w:val="21"/>
          <w:highlight w:val="none"/>
          <w:lang w:val="en-US" w:eastAsia="zh-CN" w:bidi="ar-SA"/>
        </w:rPr>
        <w:t>投标人应</w:t>
      </w:r>
      <w:r>
        <w:rPr>
          <w:rFonts w:hint="eastAsia" w:ascii="仿宋" w:hAnsi="仿宋" w:eastAsia="仿宋" w:cs="仿宋"/>
          <w:b/>
          <w:bCs/>
          <w:color w:val="000000"/>
          <w:kern w:val="2"/>
          <w:sz w:val="24"/>
          <w:szCs w:val="24"/>
          <w:highlight w:val="none"/>
          <w:lang w:val="en-US" w:eastAsia="zh-CN" w:bidi="ar-SA"/>
        </w:rPr>
        <w:t>具备法律、行政法规规定的其他条件证明文件</w:t>
      </w:r>
    </w:p>
    <w:p w14:paraId="743D63E8">
      <w:pPr>
        <w:bidi w:val="0"/>
        <w:rPr>
          <w:rFonts w:hint="eastAsia"/>
          <w:highlight w:val="none"/>
          <w:lang w:val="en-US" w:eastAsia="zh-CN"/>
        </w:rPr>
      </w:pPr>
    </w:p>
    <w:p w14:paraId="650EFF61">
      <w:pPr>
        <w:bidi w:val="0"/>
        <w:rPr>
          <w:rFonts w:hint="eastAsia"/>
          <w:highlight w:val="none"/>
          <w:lang w:val="en-US" w:eastAsia="zh-CN"/>
        </w:rPr>
      </w:pPr>
    </w:p>
    <w:p w14:paraId="564B1A27">
      <w:pPr>
        <w:pStyle w:val="23"/>
        <w:rPr>
          <w:rFonts w:hint="eastAsia"/>
          <w:highlight w:val="none"/>
          <w:lang w:val="en-US" w:eastAsia="zh-CN"/>
        </w:rPr>
      </w:pPr>
    </w:p>
    <w:p w14:paraId="16366C8A">
      <w:pPr>
        <w:snapToGrid w:val="0"/>
        <w:spacing w:line="360" w:lineRule="auto"/>
        <w:outlineLvl w:val="2"/>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color w:val="000000"/>
          <w:kern w:val="0"/>
          <w:sz w:val="24"/>
          <w:szCs w:val="21"/>
          <w:highlight w:val="none"/>
          <w:lang w:val="en-US" w:eastAsia="zh-CN" w:bidi="ar-SA"/>
        </w:rPr>
        <w:t>9</w:t>
      </w:r>
      <w:r>
        <w:rPr>
          <w:rFonts w:hint="eastAsia" w:ascii="仿宋" w:hAnsi="仿宋" w:eastAsia="仿宋" w:cs="仿宋"/>
          <w:b/>
          <w:color w:val="000000"/>
          <w:kern w:val="0"/>
          <w:sz w:val="24"/>
          <w:highlight w:val="none"/>
        </w:rPr>
        <w:t>．</w:t>
      </w:r>
      <w:r>
        <w:rPr>
          <w:rFonts w:hint="eastAsia" w:ascii="仿宋" w:hAnsi="仿宋" w:eastAsia="仿宋" w:cs="仿宋"/>
          <w:b/>
          <w:bCs/>
          <w:color w:val="000000"/>
          <w:kern w:val="2"/>
          <w:sz w:val="24"/>
          <w:szCs w:val="24"/>
          <w:highlight w:val="none"/>
          <w:lang w:val="en-US" w:eastAsia="zh-CN" w:bidi="ar-SA"/>
        </w:rPr>
        <w:t>投标人应具备的特定资格要求证明材料</w:t>
      </w:r>
      <w:r>
        <w:rPr>
          <w:rFonts w:hint="eastAsia" w:ascii="仿宋" w:hAnsi="仿宋" w:eastAsia="仿宋" w:cs="仿宋"/>
          <w:b/>
          <w:bCs/>
          <w:color w:val="000000"/>
          <w:sz w:val="24"/>
          <w:highlight w:val="none"/>
        </w:rPr>
        <w:t>（加盖</w:t>
      </w:r>
      <w:r>
        <w:rPr>
          <w:rFonts w:hint="eastAsia" w:ascii="仿宋" w:hAnsi="仿宋" w:eastAsia="仿宋" w:cs="仿宋"/>
          <w:b/>
          <w:bCs/>
          <w:color w:val="000000"/>
          <w:sz w:val="24"/>
          <w:highlight w:val="none"/>
          <w:lang w:val="en-US" w:eastAsia="zh-CN"/>
        </w:rPr>
        <w:t>投标人</w:t>
      </w:r>
      <w:r>
        <w:rPr>
          <w:rFonts w:hint="eastAsia" w:ascii="仿宋" w:hAnsi="仿宋" w:eastAsia="仿宋" w:cs="仿宋"/>
          <w:b/>
          <w:bCs/>
          <w:color w:val="000000"/>
          <w:sz w:val="24"/>
          <w:highlight w:val="none"/>
        </w:rPr>
        <w:t>公章）</w:t>
      </w:r>
    </w:p>
    <w:p w14:paraId="1BBE404A">
      <w:pPr>
        <w:numPr>
          <w:ilvl w:val="0"/>
          <w:numId w:val="0"/>
        </w:numPr>
        <w:snapToGrid w:val="0"/>
        <w:spacing w:line="360" w:lineRule="auto"/>
        <w:outlineLvl w:val="9"/>
        <w:rPr>
          <w:rFonts w:hint="eastAsia" w:ascii="仿宋" w:hAnsi="仿宋" w:eastAsia="仿宋" w:cs="仿宋"/>
          <w:b/>
          <w:bCs/>
          <w:kern w:val="0"/>
          <w:sz w:val="24"/>
          <w:szCs w:val="24"/>
          <w:highlight w:val="none"/>
          <w:lang w:val="en-US" w:eastAsia="zh-CN"/>
        </w:rPr>
      </w:pPr>
    </w:p>
    <w:p w14:paraId="0343CD90">
      <w:pPr>
        <w:numPr>
          <w:ilvl w:val="0"/>
          <w:numId w:val="0"/>
        </w:numPr>
        <w:snapToGrid w:val="0"/>
        <w:spacing w:line="360" w:lineRule="auto"/>
        <w:outlineLvl w:val="9"/>
        <w:rPr>
          <w:rFonts w:hint="eastAsia" w:ascii="仿宋" w:hAnsi="仿宋" w:eastAsia="仿宋" w:cs="仿宋"/>
          <w:b/>
          <w:bCs/>
          <w:kern w:val="0"/>
          <w:sz w:val="24"/>
          <w:szCs w:val="24"/>
          <w:highlight w:val="none"/>
          <w:lang w:val="en-US" w:eastAsia="zh-CN"/>
        </w:rPr>
      </w:pPr>
    </w:p>
    <w:p w14:paraId="6B5E0880">
      <w:pPr>
        <w:snapToGrid w:val="0"/>
        <w:spacing w:line="360" w:lineRule="auto"/>
        <w:outlineLvl w:val="2"/>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10</w:t>
      </w:r>
      <w:r>
        <w:rPr>
          <w:rFonts w:hint="eastAsia" w:ascii="仿宋" w:hAnsi="仿宋" w:eastAsia="仿宋" w:cs="仿宋"/>
          <w:b/>
          <w:color w:val="000000"/>
          <w:kern w:val="0"/>
          <w:sz w:val="24"/>
          <w:highlight w:val="none"/>
          <w:lang w:val="en-US" w:eastAsia="zh-CN"/>
        </w:rPr>
        <w:t>.</w:t>
      </w:r>
      <w:r>
        <w:rPr>
          <w:rFonts w:hint="eastAsia" w:ascii="仿宋" w:hAnsi="仿宋" w:eastAsia="仿宋" w:cs="仿宋"/>
          <w:b/>
          <w:bCs/>
          <w:color w:val="000000"/>
          <w:sz w:val="24"/>
          <w:highlight w:val="none"/>
          <w:lang w:val="en-US" w:eastAsia="zh-CN"/>
        </w:rPr>
        <w:t>投标</w:t>
      </w:r>
      <w:r>
        <w:rPr>
          <w:rFonts w:hint="eastAsia" w:ascii="仿宋" w:hAnsi="仿宋" w:eastAsia="仿宋" w:cs="仿宋"/>
          <w:b/>
          <w:bCs/>
          <w:color w:val="000000"/>
          <w:sz w:val="24"/>
          <w:highlight w:val="none"/>
        </w:rPr>
        <w:t>保证金</w:t>
      </w:r>
      <w:r>
        <w:rPr>
          <w:rFonts w:hint="eastAsia" w:ascii="仿宋" w:hAnsi="仿宋" w:eastAsia="仿宋" w:cs="仿宋"/>
          <w:b/>
          <w:bCs/>
          <w:color w:val="000000"/>
          <w:sz w:val="24"/>
          <w:highlight w:val="none"/>
          <w:lang w:val="en-US" w:eastAsia="zh-CN"/>
        </w:rPr>
        <w:t>提交</w:t>
      </w:r>
      <w:r>
        <w:rPr>
          <w:rFonts w:hint="eastAsia" w:ascii="仿宋" w:hAnsi="仿宋" w:eastAsia="仿宋" w:cs="仿宋"/>
          <w:b/>
          <w:bCs/>
          <w:color w:val="000000"/>
          <w:sz w:val="24"/>
          <w:highlight w:val="none"/>
        </w:rPr>
        <w:t>凭证（加盖</w:t>
      </w:r>
      <w:r>
        <w:rPr>
          <w:rFonts w:hint="eastAsia" w:ascii="仿宋" w:hAnsi="仿宋" w:eastAsia="仿宋" w:cs="仿宋"/>
          <w:b/>
          <w:bCs/>
          <w:color w:val="000000"/>
          <w:sz w:val="24"/>
          <w:highlight w:val="none"/>
          <w:lang w:val="en-US" w:eastAsia="zh-CN"/>
        </w:rPr>
        <w:t>投标人</w:t>
      </w:r>
      <w:r>
        <w:rPr>
          <w:rFonts w:hint="eastAsia" w:ascii="仿宋" w:hAnsi="仿宋" w:eastAsia="仿宋" w:cs="仿宋"/>
          <w:b/>
          <w:bCs/>
          <w:color w:val="000000"/>
          <w:sz w:val="24"/>
          <w:highlight w:val="none"/>
        </w:rPr>
        <w:t>公章）</w:t>
      </w:r>
    </w:p>
    <w:p w14:paraId="5DB5D98E">
      <w:pPr>
        <w:outlineLvl w:val="9"/>
        <w:rPr>
          <w:rFonts w:hint="eastAsia" w:ascii="仿宋" w:hAnsi="仿宋" w:eastAsia="仿宋" w:cs="仿宋"/>
          <w:highlight w:val="none"/>
          <w:lang w:val="en-US" w:eastAsia="zh-CN"/>
        </w:rPr>
      </w:pPr>
    </w:p>
    <w:p w14:paraId="21BE4CFB">
      <w:pPr>
        <w:numPr>
          <w:ilvl w:val="0"/>
          <w:numId w:val="0"/>
        </w:numPr>
        <w:snapToGrid w:val="0"/>
        <w:spacing w:line="360" w:lineRule="auto"/>
        <w:outlineLvl w:val="9"/>
        <w:rPr>
          <w:rFonts w:hint="eastAsia" w:ascii="仿宋" w:hAnsi="仿宋" w:eastAsia="仿宋" w:cs="仿宋"/>
          <w:b/>
          <w:bCs/>
          <w:color w:val="000000"/>
          <w:sz w:val="24"/>
          <w:highlight w:val="none"/>
          <w:lang w:val="en-US" w:eastAsia="zh-CN"/>
        </w:rPr>
      </w:pPr>
    </w:p>
    <w:p w14:paraId="33BD032E">
      <w:pPr>
        <w:widowControl/>
        <w:spacing w:line="520" w:lineRule="atLeast"/>
        <w:rPr>
          <w:rFonts w:ascii="仿宋" w:hAnsi="仿宋" w:eastAsia="仿宋" w:cs="仿宋"/>
          <w:b/>
          <w:color w:val="auto"/>
          <w:kern w:val="0"/>
          <w:sz w:val="24"/>
          <w:highlight w:val="none"/>
        </w:rPr>
      </w:pPr>
    </w:p>
    <w:p w14:paraId="7587CDA8">
      <w:pPr>
        <w:widowControl/>
        <w:spacing w:line="520" w:lineRule="atLeast"/>
        <w:rPr>
          <w:rFonts w:ascii="仿宋" w:hAnsi="仿宋" w:eastAsia="仿宋" w:cs="仿宋"/>
          <w:color w:val="auto"/>
          <w:kern w:val="0"/>
          <w:sz w:val="28"/>
          <w:highlight w:val="none"/>
        </w:rPr>
      </w:pPr>
    </w:p>
    <w:p w14:paraId="475C3EA1">
      <w:pPr>
        <w:widowControl/>
        <w:spacing w:line="520" w:lineRule="atLeast"/>
        <w:rPr>
          <w:rFonts w:ascii="仿宋" w:hAnsi="仿宋" w:eastAsia="仿宋" w:cs="仿宋"/>
          <w:color w:val="auto"/>
          <w:kern w:val="0"/>
          <w:sz w:val="28"/>
          <w:highlight w:val="none"/>
        </w:rPr>
      </w:pPr>
    </w:p>
    <w:p w14:paraId="6235B178">
      <w:pPr>
        <w:widowControl/>
        <w:spacing w:line="520" w:lineRule="atLeast"/>
        <w:rPr>
          <w:rFonts w:ascii="仿宋" w:hAnsi="仿宋" w:eastAsia="仿宋" w:cs="仿宋"/>
          <w:color w:val="auto"/>
          <w:kern w:val="0"/>
          <w:sz w:val="28"/>
          <w:highlight w:val="none"/>
        </w:rPr>
      </w:pPr>
    </w:p>
    <w:p w14:paraId="6AE2793D">
      <w:pPr>
        <w:spacing w:line="360" w:lineRule="auto"/>
        <w:jc w:val="center"/>
        <w:rPr>
          <w:rFonts w:ascii="仿宋" w:hAnsi="仿宋" w:eastAsia="仿宋" w:cs="仿宋"/>
          <w:b/>
          <w:bCs/>
          <w:color w:val="auto"/>
          <w:sz w:val="36"/>
          <w:szCs w:val="36"/>
          <w:highlight w:val="none"/>
        </w:rPr>
      </w:pPr>
      <w:r>
        <w:rPr>
          <w:rFonts w:hint="eastAsia" w:ascii="仿宋" w:hAnsi="仿宋" w:eastAsia="仿宋" w:cs="仿宋"/>
          <w:color w:val="auto"/>
          <w:kern w:val="0"/>
          <w:sz w:val="28"/>
          <w:highlight w:val="none"/>
        </w:rPr>
        <w:br w:type="page"/>
      </w:r>
    </w:p>
    <w:p w14:paraId="6CAF0902">
      <w:pPr>
        <w:widowControl/>
        <w:snapToGrid w:val="0"/>
        <w:spacing w:line="360" w:lineRule="auto"/>
        <w:jc w:val="center"/>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w:t>
      </w:r>
      <w:r>
        <w:rPr>
          <w:rFonts w:hint="eastAsia" w:ascii="仿宋" w:hAnsi="仿宋" w:eastAsia="仿宋" w:cs="仿宋"/>
          <w:b/>
          <w:color w:val="auto"/>
          <w:kern w:val="0"/>
          <w:sz w:val="36"/>
          <w:szCs w:val="36"/>
          <w:highlight w:val="none"/>
          <w:lang w:eastAsia="zh-CN"/>
        </w:rPr>
        <w:t>技术</w:t>
      </w:r>
      <w:r>
        <w:rPr>
          <w:rFonts w:hint="eastAsia" w:ascii="仿宋" w:hAnsi="仿宋" w:eastAsia="仿宋" w:cs="仿宋"/>
          <w:b/>
          <w:color w:val="auto"/>
          <w:kern w:val="0"/>
          <w:sz w:val="36"/>
          <w:szCs w:val="36"/>
          <w:highlight w:val="none"/>
        </w:rPr>
        <w:t>部分</w:t>
      </w:r>
    </w:p>
    <w:p w14:paraId="6CE22856">
      <w:pPr>
        <w:snapToGrid w:val="0"/>
        <w:spacing w:line="360" w:lineRule="auto"/>
        <w:outlineLvl w:val="2"/>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1．法定代表人（负责人）身份证明书格式</w:t>
      </w:r>
    </w:p>
    <w:p w14:paraId="3034073F">
      <w:pPr>
        <w:widowControl/>
        <w:snapToGrid w:val="0"/>
        <w:spacing w:line="360" w:lineRule="auto"/>
        <w:ind w:left="562" w:hanging="562" w:hangingChars="200"/>
        <w:jc w:val="cente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 xml:space="preserve">法定代表人（负责人）身份证明书 </w:t>
      </w:r>
    </w:p>
    <w:p w14:paraId="6E6CA96B">
      <w:pPr>
        <w:widowControl/>
        <w:snapToGrid w:val="0"/>
        <w:spacing w:line="360" w:lineRule="auto"/>
        <w:ind w:firstLine="562" w:firstLineChars="200"/>
        <w:jc w:val="left"/>
        <w:rPr>
          <w:rFonts w:ascii="仿宋" w:hAnsi="仿宋" w:eastAsia="仿宋" w:cs="仿宋"/>
          <w:b/>
          <w:color w:val="auto"/>
          <w:kern w:val="0"/>
          <w:sz w:val="28"/>
          <w:highlight w:val="none"/>
        </w:rPr>
      </w:pPr>
    </w:p>
    <w:p w14:paraId="096E13DC">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mc:AlternateContent>
          <mc:Choice Requires="wps">
            <w:drawing>
              <wp:anchor distT="0" distB="0" distL="114300" distR="114300" simplePos="0" relativeHeight="251667456" behindDoc="0" locked="0" layoutInCell="1" allowOverlap="1">
                <wp:simplePos x="0" y="0"/>
                <wp:positionH relativeFrom="column">
                  <wp:posOffset>1231900</wp:posOffset>
                </wp:positionH>
                <wp:positionV relativeFrom="paragraph">
                  <wp:posOffset>193675</wp:posOffset>
                </wp:positionV>
                <wp:extent cx="4114800" cy="0"/>
                <wp:effectExtent l="0" t="0" r="0" b="0"/>
                <wp:wrapNone/>
                <wp:docPr id="8" name="Line 3"/>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Line 3" o:spid="_x0000_s1026" o:spt="20" style="position:absolute;left:0pt;margin-left:97pt;margin-top:15.25pt;height:0pt;width:324pt;z-index:251667456;mso-width-relative:page;mso-height-relative:page;" filled="f" stroked="t" coordsize="21600,21600" o:gfxdata="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njVPtUAAAAJAQAADwAAAAAAAAABACAAAAAiAAAAZHJz&#10;L2Rvd25yZXYueG1sUEsBAhQAFAAAAAgAh07iQMKa3QbOAQAArQMAAA4AAAAAAAAAAQAgAAAAJAEA&#10;AGRycy9lMm9Eb2MueG1sUEsFBgAAAAAGAAYAWQEAAGQFAAAAAA==&#10;">
                <v:fill on="f" focussize="0,0"/>
                <v:stroke color="#000000" joinstyle="round"/>
                <v:imagedata o:title=""/>
                <o:lock v:ext="edit" aspectratio="f"/>
              </v:line>
            </w:pict>
          </mc:Fallback>
        </mc:AlternateContent>
      </w:r>
      <w:r>
        <w:rPr>
          <w:rFonts w:hint="eastAsia" w:ascii="仿宋" w:hAnsi="仿宋" w:eastAsia="仿宋" w:cs="仿宋"/>
          <w:color w:val="auto"/>
          <w:kern w:val="0"/>
          <w:sz w:val="24"/>
          <w:highlight w:val="none"/>
        </w:rPr>
        <w:t>单位名称：</w:t>
      </w:r>
    </w:p>
    <w:p w14:paraId="4E5444D7">
      <w:pPr>
        <w:widowControl/>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201295</wp:posOffset>
                </wp:positionV>
                <wp:extent cx="4114800" cy="0"/>
                <wp:effectExtent l="0" t="0" r="0" b="0"/>
                <wp:wrapNone/>
                <wp:docPr id="7" name="Line 2"/>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Line 2" o:spid="_x0000_s1026" o:spt="20" style="position:absolute;left:0pt;margin-left:99pt;margin-top:15.85pt;height:0pt;width:324pt;z-index:251664384;mso-width-relative:page;mso-height-relative:page;" filled="f" stroked="t" coordsize="21600,21600" o:gfxdata="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nznKfWAAAACQEAAA8AAAAAAAAAAQAgAAAAIgAAAGRy&#10;cy9kb3ducmV2LnhtbFBLAQIUABQAAAAIAIdO4kBltaxazgEAAK0DAAAOAAAAAAAAAAEAIAAAACUB&#10;AABkcnMvZTJvRG9jLnhtbFBLBQYAAAAABgAGAFkBAABlBQAAAAA=&#10;">
                <v:fill on="f" focussize="0,0"/>
                <v:stroke color="#000000" joinstyle="round"/>
                <v:imagedata o:title=""/>
                <o:lock v:ext="edit" aspectratio="f"/>
              </v:line>
            </w:pict>
          </mc:Fallback>
        </mc:AlternateContent>
      </w:r>
      <w:r>
        <w:rPr>
          <w:rFonts w:hint="eastAsia" w:ascii="仿宋" w:hAnsi="仿宋" w:eastAsia="仿宋" w:cs="仿宋"/>
          <w:color w:val="auto"/>
          <w:kern w:val="0"/>
          <w:sz w:val="24"/>
          <w:highlight w:val="none"/>
        </w:rPr>
        <w:t xml:space="preserve">    单位性质：</w:t>
      </w:r>
    </w:p>
    <w:p w14:paraId="66C1B0DC">
      <w:pPr>
        <w:widowControl/>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mc:AlternateContent>
          <mc:Choice Requires="wps">
            <w:drawing>
              <wp:anchor distT="0" distB="0" distL="114300" distR="114300" simplePos="0" relativeHeight="251665408" behindDoc="0" locked="0" layoutInCell="1" allowOverlap="1">
                <wp:simplePos x="0" y="0"/>
                <wp:positionH relativeFrom="column">
                  <wp:posOffset>1231900</wp:posOffset>
                </wp:positionH>
                <wp:positionV relativeFrom="paragraph">
                  <wp:posOffset>201295</wp:posOffset>
                </wp:positionV>
                <wp:extent cx="4114800" cy="0"/>
                <wp:effectExtent l="0" t="0" r="0" b="0"/>
                <wp:wrapNone/>
                <wp:docPr id="6" name="Line 3"/>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Line 3" o:spid="_x0000_s1026" o:spt="20" style="position:absolute;left:0pt;margin-left:97pt;margin-top:15.85pt;height:0pt;width:324pt;z-index:251665408;mso-width-relative:page;mso-height-relative:page;" filled="f" stroked="t" coordsize="21600,21600" o:gfxdata="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5/WZe1gAAAAkBAAAPAAAAAAAAAAEAIAAAACIAAABk&#10;cnMvZG93bnJldi54bWxQSwECFAAUAAAACACHTuJAdTB8188BAACtAwAADgAAAAAAAAABACAAAAAl&#10;AQAAZHJzL2Uyb0RvYy54bWxQSwUGAAAAAAYABgBZAQAAZgUAAAAA&#10;">
                <v:fill on="f" focussize="0,0"/>
                <v:stroke color="#000000" joinstyle="round"/>
                <v:imagedata o:title=""/>
                <o:lock v:ext="edit" aspectratio="f"/>
              </v:line>
            </w:pict>
          </mc:Fallback>
        </mc:AlternateContent>
      </w:r>
      <w:r>
        <w:rPr>
          <w:rFonts w:hint="eastAsia" w:ascii="仿宋" w:hAnsi="仿宋" w:eastAsia="仿宋" w:cs="仿宋"/>
          <w:color w:val="auto"/>
          <w:kern w:val="0"/>
          <w:sz w:val="24"/>
          <w:highlight w:val="none"/>
        </w:rPr>
        <w:t xml:space="preserve">    地    址：</w:t>
      </w:r>
    </w:p>
    <w:p w14:paraId="15ADA707">
      <w:pPr>
        <w:widowControl/>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mc:AlternateContent>
          <mc:Choice Requires="wps">
            <w:drawing>
              <wp:anchor distT="0" distB="0" distL="114300" distR="114300" simplePos="0" relativeHeight="251666432" behindDoc="0" locked="0" layoutInCell="1" allowOverlap="1">
                <wp:simplePos x="0" y="0"/>
                <wp:positionH relativeFrom="column">
                  <wp:posOffset>1257300</wp:posOffset>
                </wp:positionH>
                <wp:positionV relativeFrom="paragraph">
                  <wp:posOffset>203200</wp:posOffset>
                </wp:positionV>
                <wp:extent cx="4114800" cy="0"/>
                <wp:effectExtent l="0" t="0" r="0" b="0"/>
                <wp:wrapNone/>
                <wp:docPr id="5" name="Line 4"/>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Line 4" o:spid="_x0000_s1026" o:spt="20" style="position:absolute;left:0pt;margin-left:99pt;margin-top:16pt;height:0pt;width:324pt;z-index:251666432;mso-width-relative:page;mso-height-relative:page;" filled="f" stroked="t" coordsize="21600,21600" o:gfxdata="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RKdpE1AAAAAkBAAAPAAAAAAAAAAEAIAAAACIAAABkcnMv&#10;ZG93bnJldi54bWxQSwECFAAUAAAACACHTuJACGPrWc4BAACtAwAADgAAAAAAAAABACAAAAAjAQAA&#10;ZHJzL2Uyb0RvYy54bWxQSwUGAAAAAAYABgBZAQAAYwUAAAAA&#10;">
                <v:fill on="f" focussize="0,0"/>
                <v:stroke color="#000000" joinstyle="round"/>
                <v:imagedata o:title=""/>
                <o:lock v:ext="edit" aspectratio="f"/>
              </v:line>
            </w:pict>
          </mc:Fallback>
        </mc:AlternateContent>
      </w:r>
      <w:r>
        <w:rPr>
          <w:rFonts w:hint="eastAsia" w:ascii="仿宋" w:hAnsi="仿宋" w:eastAsia="仿宋" w:cs="仿宋"/>
          <w:color w:val="auto"/>
          <w:kern w:val="0"/>
          <w:sz w:val="24"/>
          <w:highlight w:val="none"/>
        </w:rPr>
        <w:t xml:space="preserve">    成立时间：               年    月    日</w:t>
      </w:r>
    </w:p>
    <w:p w14:paraId="45DCDF0D">
      <w:pPr>
        <w:widowControl/>
        <w:snapToGrid w:val="0"/>
        <w:spacing w:line="360" w:lineRule="auto"/>
        <w:jc w:val="left"/>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mc:AlternateContent>
          <mc:Choice Requires="wps">
            <w:drawing>
              <wp:anchor distT="0" distB="0" distL="114300" distR="114300" simplePos="0" relativeHeight="251668480" behindDoc="0" locked="0" layoutInCell="1" allowOverlap="1">
                <wp:simplePos x="0" y="0"/>
                <wp:positionH relativeFrom="column">
                  <wp:posOffset>1257300</wp:posOffset>
                </wp:positionH>
                <wp:positionV relativeFrom="paragraph">
                  <wp:posOffset>193040</wp:posOffset>
                </wp:positionV>
                <wp:extent cx="4114800" cy="0"/>
                <wp:effectExtent l="0" t="0" r="0" b="0"/>
                <wp:wrapNone/>
                <wp:docPr id="4" name="Line 3"/>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Line 3" o:spid="_x0000_s1026" o:spt="20" style="position:absolute;left:0pt;margin-left:99pt;margin-top:15.2pt;height:0pt;width:324pt;z-index:251668480;mso-width-relative:page;mso-height-relative:page;" filled="f" stroked="t" coordsize="21600,21600" o:gfxdata="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yK9hdUAAAAJAQAADwAAAAAAAAABACAAAAAiAAAAZHJz&#10;L2Rvd25yZXYueG1sUEsBAhQAFAAAAAgAh07iQBLRZ3bOAQAArQMAAA4AAAAAAAAAAQAgAAAAJAEA&#10;AGRycy9lMm9Eb2MueG1sUEsFBgAAAAAGAAYAWQEAAGQFAAAAAA==&#10;">
                <v:fill on="f" focussize="0,0"/>
                <v:stroke color="#000000" joinstyle="round"/>
                <v:imagedata o:title=""/>
                <o:lock v:ext="edit" aspectratio="f"/>
              </v:line>
            </w:pict>
          </mc:Fallback>
        </mc:AlternateContent>
      </w:r>
      <w:r>
        <w:rPr>
          <w:rFonts w:hint="eastAsia" w:ascii="仿宋" w:hAnsi="仿宋" w:eastAsia="仿宋" w:cs="仿宋"/>
          <w:color w:val="auto"/>
          <w:kern w:val="0"/>
          <w:sz w:val="24"/>
          <w:highlight w:val="none"/>
        </w:rPr>
        <w:t xml:space="preserve">    经营期限：</w:t>
      </w:r>
    </w:p>
    <w:p w14:paraId="0724F218">
      <w:pPr>
        <w:widowControl/>
        <w:snapToGrid w:val="0"/>
        <w:spacing w:line="360" w:lineRule="auto"/>
        <w:ind w:firstLine="480"/>
        <w:jc w:val="left"/>
        <w:rPr>
          <w:rFonts w:ascii="仿宋" w:hAnsi="仿宋" w:eastAsia="仿宋" w:cs="仿宋"/>
          <w:b w:val="0"/>
          <w:bCs w:val="0"/>
          <w:color w:val="auto"/>
          <w:kern w:val="0"/>
          <w:sz w:val="24"/>
          <w:highlight w:val="none"/>
          <w:u w:val="thick"/>
        </w:rPr>
      </w:pPr>
      <w:r>
        <w:rPr>
          <w:rFonts w:hint="eastAsia" w:ascii="仿宋" w:hAnsi="仿宋" w:eastAsia="仿宋" w:cs="仿宋"/>
          <w:color w:val="auto"/>
          <w:kern w:val="0"/>
          <w:sz w:val="24"/>
          <w:highlight w:val="none"/>
        </w:rPr>
        <w:t xml:space="preserve">姓    名：  </w:t>
      </w:r>
      <w:r>
        <w:rPr>
          <w:rFonts w:hint="eastAsia" w:ascii="仿宋" w:hAnsi="仿宋" w:eastAsia="仿宋" w:cs="仿宋"/>
          <w:b w:val="0"/>
          <w:bCs w:val="0"/>
          <w:color w:val="auto"/>
          <w:kern w:val="0"/>
          <w:sz w:val="24"/>
          <w:highlight w:val="none"/>
          <w:u w:val="none"/>
        </w:rPr>
        <w:t xml:space="preserve">            性  别：         </w:t>
      </w:r>
    </w:p>
    <w:p w14:paraId="6702831F">
      <w:pPr>
        <w:widowControl/>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mc:AlternateContent>
          <mc:Choice Requires="wps">
            <w:drawing>
              <wp:anchor distT="0" distB="0" distL="114300" distR="114300" simplePos="0" relativeHeight="251669504" behindDoc="0" locked="0" layoutInCell="1" allowOverlap="1">
                <wp:simplePos x="0" y="0"/>
                <wp:positionH relativeFrom="column">
                  <wp:posOffset>1257300</wp:posOffset>
                </wp:positionH>
                <wp:positionV relativeFrom="paragraph">
                  <wp:posOffset>185420</wp:posOffset>
                </wp:positionV>
                <wp:extent cx="4114800" cy="0"/>
                <wp:effectExtent l="0" t="0" r="0" b="0"/>
                <wp:wrapNone/>
                <wp:docPr id="2" name="Line 3"/>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Line 3" o:spid="_x0000_s1026" o:spt="20" style="position:absolute;left:0pt;margin-left:99pt;margin-top:14.6pt;height:0pt;width:324pt;z-index:251669504;mso-width-relative:page;mso-height-relative:page;" filled="f" stroked="t" coordsize="21600,21600" o:gfxdata="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fcZZ9UAAAAJAQAADwAAAAAAAAABACAAAAAiAAAAZHJz&#10;L2Rvd25yZXYueG1sUEsBAhQAFAAAAAgAh07iQPr0Ok7OAQAArQMAAA4AAAAAAAAAAQAgAAAAJAEA&#10;AGRycy9lMm9Eb2MueG1sUEsFBgAAAAAGAAYAWQEAAGQFAAAAAA==&#10;">
                <v:fill on="f" focussize="0,0"/>
                <v:stroke color="#000000" joinstyle="round"/>
                <v:imagedata o:title=""/>
                <o:lock v:ext="edit" aspectratio="f"/>
              </v:line>
            </w:pict>
          </mc:Fallback>
        </mc:AlternateContent>
      </w:r>
      <w:r>
        <w:rPr>
          <w:rFonts w:hint="eastAsia" w:ascii="仿宋" w:hAnsi="仿宋" w:eastAsia="仿宋" w:cs="仿宋"/>
          <w:color w:val="auto"/>
          <w:kern w:val="0"/>
          <w:sz w:val="24"/>
          <w:highlight w:val="none"/>
        </w:rPr>
        <w:t xml:space="preserve">    年    龄：              职  务： </w:t>
      </w:r>
    </w:p>
    <w:p w14:paraId="3A3E99E3">
      <w:pPr>
        <w:widowControl/>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mc:AlternateContent>
          <mc:Choice Requires="wps">
            <w:drawing>
              <wp:anchor distT="0" distB="0" distL="114300" distR="114300" simplePos="0" relativeHeight="251663360" behindDoc="0" locked="0" layoutInCell="1" allowOverlap="1">
                <wp:simplePos x="0" y="0"/>
                <wp:positionH relativeFrom="column">
                  <wp:posOffset>463550</wp:posOffset>
                </wp:positionH>
                <wp:positionV relativeFrom="paragraph">
                  <wp:posOffset>206375</wp:posOffset>
                </wp:positionV>
                <wp:extent cx="2400300" cy="0"/>
                <wp:effectExtent l="0" t="0" r="0" b="0"/>
                <wp:wrapNone/>
                <wp:docPr id="1" name="Line 6"/>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a:effectLst/>
                      </wps:spPr>
                      <wps:bodyPr/>
                    </wps:wsp>
                  </a:graphicData>
                </a:graphic>
              </wp:anchor>
            </w:drawing>
          </mc:Choice>
          <mc:Fallback>
            <w:pict>
              <v:line id="Line 6" o:spid="_x0000_s1026" o:spt="20" style="position:absolute;left:0pt;margin-left:36.5pt;margin-top:16.25pt;height:0pt;width:189pt;z-index:251663360;mso-width-relative:page;mso-height-relative:page;" filled="f" stroked="t" coordsize="21600,21600" o:gfxdata="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2bOCm1QAAAAgBAAAPAAAAAAAAAAEAIAAAACIAAABkcnMv&#10;ZG93bnJldi54bWxQSwECFAAUAAAACACHTuJATJusZs0BAACtAwAADgAAAAAAAAABACAAAAAkAQAA&#10;ZHJzL2Uyb0RvYy54bWxQSwUGAAAAAAYABgBZAQAAYwUAAAAA&#10;">
                <v:fill on="f" focussize="0,0"/>
                <v:stroke color="#000000" joinstyle="round"/>
                <v:imagedata o:title=""/>
                <o:lock v:ext="edit" aspectratio="f"/>
              </v:line>
            </w:pict>
          </mc:Fallback>
        </mc:AlternateContent>
      </w:r>
      <w:r>
        <w:rPr>
          <w:rFonts w:hint="eastAsia" w:ascii="仿宋" w:hAnsi="仿宋" w:eastAsia="仿宋" w:cs="仿宋"/>
          <w:color w:val="auto"/>
          <w:kern w:val="0"/>
          <w:sz w:val="24"/>
          <w:highlight w:val="none"/>
        </w:rPr>
        <w:t xml:space="preserve">    系       （投标人名称）          的法定代表人。</w:t>
      </w:r>
    </w:p>
    <w:p w14:paraId="3BE9DB44">
      <w:pPr>
        <w:widowControl/>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p>
    <w:p w14:paraId="417DAFAE">
      <w:pPr>
        <w:widowControl/>
        <w:snapToGrid w:val="0"/>
        <w:spacing w:line="360" w:lineRule="auto"/>
        <w:ind w:firstLine="960" w:firstLineChars="4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特此证明。</w:t>
      </w:r>
    </w:p>
    <w:p w14:paraId="38CB1D8F">
      <w:pPr>
        <w:widowControl/>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投标人名称：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（盖章）</w:t>
      </w:r>
    </w:p>
    <w:p w14:paraId="428D0756">
      <w:pPr>
        <w:widowControl/>
        <w:tabs>
          <w:tab w:val="left" w:pos="4000"/>
        </w:tabs>
        <w:snapToGrid w:val="0"/>
        <w:spacing w:line="480" w:lineRule="auto"/>
        <w:ind w:firstLine="3393" w:firstLineChars="1414"/>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(签字或盖章)</w:t>
      </w:r>
    </w:p>
    <w:p w14:paraId="4FF55F26">
      <w:pPr>
        <w:widowControl/>
        <w:tabs>
          <w:tab w:val="left" w:pos="4000"/>
        </w:tabs>
        <w:snapToGrid w:val="0"/>
        <w:spacing w:line="480" w:lineRule="auto"/>
        <w:ind w:firstLine="3393" w:firstLineChars="1414"/>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　期：</w:t>
      </w:r>
    </w:p>
    <w:p w14:paraId="5AA1B756">
      <w:pPr>
        <w:spacing w:line="360" w:lineRule="auto"/>
        <w:rPr>
          <w:rFonts w:ascii="仿宋" w:hAnsi="仿宋" w:eastAsia="仿宋" w:cs="仿宋"/>
          <w:color w:val="auto"/>
          <w:kern w:val="0"/>
          <w:sz w:val="24"/>
          <w:highlight w:val="none"/>
        </w:rPr>
      </w:pPr>
    </w:p>
    <w:p w14:paraId="2BA82E4F">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附法定代表人第二代身份证正反面复印件。</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14:paraId="3FFA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4615" w:type="dxa"/>
          </w:tcPr>
          <w:p w14:paraId="563733B8">
            <w:pPr>
              <w:spacing w:line="360" w:lineRule="auto"/>
              <w:rPr>
                <w:rFonts w:ascii="仿宋" w:hAnsi="仿宋" w:eastAsia="仿宋" w:cs="仿宋"/>
                <w:color w:val="auto"/>
                <w:sz w:val="24"/>
                <w:highlight w:val="none"/>
              </w:rPr>
            </w:pPr>
          </w:p>
        </w:tc>
        <w:tc>
          <w:tcPr>
            <w:tcW w:w="4615" w:type="dxa"/>
          </w:tcPr>
          <w:p w14:paraId="6CABD2BC">
            <w:pPr>
              <w:spacing w:line="360" w:lineRule="auto"/>
              <w:rPr>
                <w:rFonts w:ascii="仿宋" w:hAnsi="仿宋" w:eastAsia="仿宋" w:cs="仿宋"/>
                <w:color w:val="auto"/>
                <w:sz w:val="24"/>
                <w:highlight w:val="none"/>
              </w:rPr>
            </w:pPr>
          </w:p>
        </w:tc>
      </w:tr>
    </w:tbl>
    <w:p w14:paraId="7567B8AB">
      <w:pPr>
        <w:snapToGrid w:val="0"/>
        <w:spacing w:line="360" w:lineRule="auto"/>
        <w:outlineLvl w:val="2"/>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br w:type="page"/>
      </w:r>
      <w:r>
        <w:rPr>
          <w:rFonts w:hint="eastAsia" w:ascii="仿宋" w:hAnsi="仿宋" w:eastAsia="仿宋" w:cs="仿宋"/>
          <w:b/>
          <w:color w:val="auto"/>
          <w:kern w:val="0"/>
          <w:sz w:val="24"/>
          <w:highlight w:val="none"/>
        </w:rPr>
        <w:t>2．法定代表人（负责人）授权委托书</w:t>
      </w:r>
      <w:r>
        <w:rPr>
          <w:rFonts w:hint="eastAsia" w:ascii="仿宋" w:hAnsi="仿宋" w:eastAsia="仿宋" w:cs="仿宋"/>
          <w:b/>
          <w:sz w:val="24"/>
          <w:highlight w:val="none"/>
        </w:rPr>
        <w:t>格式</w:t>
      </w:r>
    </w:p>
    <w:p w14:paraId="14CC473C">
      <w:pPr>
        <w:widowControl/>
        <w:snapToGrid w:val="0"/>
        <w:spacing w:line="360" w:lineRule="auto"/>
        <w:ind w:left="562" w:hanging="562" w:hangingChars="200"/>
        <w:jc w:val="cente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法定代表人（负责人）授权委托书</w:t>
      </w:r>
    </w:p>
    <w:p w14:paraId="1A1ED9DB">
      <w:pPr>
        <w:widowControl/>
        <w:snapToGrid w:val="0"/>
        <w:spacing w:line="360" w:lineRule="auto"/>
        <w:jc w:val="left"/>
        <w:rPr>
          <w:rFonts w:ascii="仿宋" w:hAnsi="仿宋" w:eastAsia="仿宋" w:cs="仿宋"/>
          <w:color w:val="auto"/>
          <w:kern w:val="0"/>
          <w:sz w:val="28"/>
          <w:szCs w:val="21"/>
          <w:highlight w:val="none"/>
        </w:rPr>
      </w:pPr>
    </w:p>
    <w:p w14:paraId="74DF902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（采购人名称）</w:t>
      </w:r>
      <w:r>
        <w:rPr>
          <w:rFonts w:hint="eastAsia" w:ascii="仿宋" w:hAnsi="仿宋" w:eastAsia="仿宋" w:cs="仿宋"/>
          <w:color w:val="auto"/>
          <w:sz w:val="24"/>
          <w:highlight w:val="none"/>
          <w:u w:val="single"/>
        </w:rPr>
        <w:t>：</w:t>
      </w:r>
    </w:p>
    <w:p w14:paraId="649125B5">
      <w:pPr>
        <w:widowControl/>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本授权书声明：注册于</w:t>
      </w:r>
      <w:r>
        <w:rPr>
          <w:rFonts w:hint="eastAsia" w:ascii="仿宋" w:hAnsi="仿宋" w:eastAsia="仿宋" w:cs="仿宋"/>
          <w:color w:val="auto"/>
          <w:kern w:val="0"/>
          <w:sz w:val="24"/>
          <w:highlight w:val="none"/>
          <w:u w:val="single"/>
        </w:rPr>
        <w:t xml:space="preserve">             （投标人住址）</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u w:val="single"/>
        </w:rPr>
        <w:t xml:space="preserve">               （投标人名称）</w:t>
      </w:r>
      <w:r>
        <w:rPr>
          <w:rFonts w:hint="eastAsia" w:ascii="仿宋" w:hAnsi="仿宋" w:eastAsia="仿宋" w:cs="仿宋"/>
          <w:color w:val="auto"/>
          <w:kern w:val="0"/>
          <w:sz w:val="24"/>
          <w:highlight w:val="none"/>
        </w:rPr>
        <w:t>法定代表人</w:t>
      </w:r>
      <w:r>
        <w:rPr>
          <w:rFonts w:hint="eastAsia" w:ascii="仿宋" w:hAnsi="仿宋" w:eastAsia="仿宋" w:cs="仿宋"/>
          <w:color w:val="auto"/>
          <w:kern w:val="0"/>
          <w:sz w:val="24"/>
          <w:highlight w:val="none"/>
          <w:u w:val="single"/>
        </w:rPr>
        <w:t xml:space="preserve">        （法定代表人姓名、职务）</w:t>
      </w:r>
      <w:r>
        <w:rPr>
          <w:rFonts w:hint="eastAsia" w:ascii="仿宋" w:hAnsi="仿宋" w:eastAsia="仿宋" w:cs="仿宋"/>
          <w:color w:val="auto"/>
          <w:kern w:val="0"/>
          <w:sz w:val="24"/>
          <w:highlight w:val="none"/>
        </w:rPr>
        <w:t>代表本公司授权在下面签字的</w:t>
      </w:r>
      <w:r>
        <w:rPr>
          <w:rFonts w:hint="eastAsia" w:ascii="仿宋" w:hAnsi="仿宋" w:eastAsia="仿宋" w:cs="仿宋"/>
          <w:color w:val="auto"/>
          <w:kern w:val="0"/>
          <w:sz w:val="24"/>
          <w:highlight w:val="none"/>
          <w:u w:val="single"/>
        </w:rPr>
        <w:t xml:space="preserve">     （被授权人姓名、职务）</w:t>
      </w:r>
      <w:r>
        <w:rPr>
          <w:rFonts w:hint="eastAsia" w:ascii="仿宋" w:hAnsi="仿宋" w:eastAsia="仿宋" w:cs="仿宋"/>
          <w:color w:val="auto"/>
          <w:kern w:val="0"/>
          <w:sz w:val="24"/>
          <w:highlight w:val="none"/>
        </w:rPr>
        <w:t>为本公司的合法代理人，就贵方组织的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项目，</w:t>
      </w:r>
      <w:r>
        <w:rPr>
          <w:rFonts w:hint="eastAsia" w:ascii="仿宋" w:hAnsi="仿宋" w:eastAsia="仿宋" w:cs="仿宋"/>
          <w:color w:val="auto"/>
          <w:kern w:val="0"/>
          <w:sz w:val="24"/>
          <w:highlight w:val="none"/>
          <w:lang w:eastAsia="zh-CN"/>
        </w:rPr>
        <w:t>项目</w:t>
      </w:r>
      <w:r>
        <w:rPr>
          <w:rFonts w:hint="eastAsia" w:ascii="仿宋" w:hAnsi="仿宋" w:eastAsia="仿宋" w:cs="仿宋"/>
          <w:color w:val="auto"/>
          <w:kern w:val="0"/>
          <w:sz w:val="24"/>
          <w:highlight w:val="none"/>
        </w:rPr>
        <w:t>编号：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sz w:val="24"/>
          <w:highlight w:val="none"/>
          <w:lang w:val="en-US" w:eastAsia="zh-CN"/>
        </w:rPr>
        <w:t>包号：</w:t>
      </w:r>
      <w:r>
        <w:rPr>
          <w:rFonts w:hint="eastAsia" w:ascii="仿宋" w:hAnsi="仿宋" w:eastAsia="仿宋" w:cs="仿宋"/>
          <w:sz w:val="24"/>
          <w:highlight w:val="none"/>
          <w:u w:val="single"/>
          <w:lang w:val="en-US" w:eastAsia="zh-CN"/>
        </w:rPr>
        <w:t xml:space="preserve">     </w:t>
      </w:r>
      <w:r>
        <w:rPr>
          <w:rFonts w:hint="eastAsia" w:ascii="仿宋" w:hAnsi="仿宋" w:eastAsia="仿宋" w:cs="仿宋"/>
          <w:color w:val="auto"/>
          <w:kern w:val="0"/>
          <w:sz w:val="24"/>
          <w:highlight w:val="none"/>
        </w:rPr>
        <w:t>以本公司名义处理一切与之有关的事务。</w:t>
      </w:r>
    </w:p>
    <w:p w14:paraId="069933FF">
      <w:pPr>
        <w:widowControl/>
        <w:snapToGrid w:val="0"/>
        <w:spacing w:line="360" w:lineRule="auto"/>
        <w:ind w:firstLine="480"/>
        <w:jc w:val="left"/>
        <w:rPr>
          <w:rFonts w:ascii="仿宋" w:hAnsi="仿宋" w:eastAsia="仿宋" w:cs="仿宋"/>
          <w:color w:val="auto"/>
          <w:kern w:val="0"/>
          <w:sz w:val="24"/>
          <w:highlight w:val="none"/>
        </w:rPr>
      </w:pPr>
    </w:p>
    <w:p w14:paraId="63D7066A">
      <w:pPr>
        <w:widowControl/>
        <w:snapToGrid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本授权书于    年   月  日起签字生效。</w:t>
      </w:r>
    </w:p>
    <w:p w14:paraId="24E06728">
      <w:pPr>
        <w:widowControl/>
        <w:snapToGrid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特此声明</w:t>
      </w:r>
    </w:p>
    <w:p w14:paraId="3B8147F4">
      <w:pPr>
        <w:widowControl/>
        <w:snapToGrid w:val="0"/>
        <w:spacing w:line="480" w:lineRule="auto"/>
        <w:ind w:firstLine="3684" w:firstLineChars="1535"/>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投标人名称：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（盖章）</w:t>
      </w:r>
    </w:p>
    <w:p w14:paraId="59DBD1B3">
      <w:pPr>
        <w:widowControl/>
        <w:snapToGrid w:val="0"/>
        <w:spacing w:line="48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法定代表人：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（签字）</w:t>
      </w:r>
    </w:p>
    <w:p w14:paraId="12D8739F">
      <w:pPr>
        <w:widowControl/>
        <w:snapToGrid w:val="0"/>
        <w:spacing w:line="48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被授权人代表：</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（签字）                                                  </w:t>
      </w:r>
    </w:p>
    <w:p w14:paraId="40B68AE7">
      <w:pPr>
        <w:widowControl/>
        <w:tabs>
          <w:tab w:val="left" w:pos="730"/>
        </w:tabs>
        <w:snapToGrid w:val="0"/>
        <w:spacing w:line="360" w:lineRule="auto"/>
        <w:rPr>
          <w:rFonts w:ascii="仿宋" w:hAnsi="仿宋" w:eastAsia="仿宋" w:cs="仿宋"/>
          <w:color w:val="auto"/>
          <w:kern w:val="0"/>
          <w:sz w:val="24"/>
          <w:highlight w:val="none"/>
        </w:rPr>
      </w:pPr>
    </w:p>
    <w:p w14:paraId="03BBD069">
      <w:pPr>
        <w:widowControl/>
        <w:tabs>
          <w:tab w:val="left" w:pos="730"/>
        </w:tabs>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附被授权人第二代身份证正反面复印件。</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14:paraId="42C7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4615" w:type="dxa"/>
          </w:tcPr>
          <w:p w14:paraId="2859351B">
            <w:pPr>
              <w:spacing w:line="360" w:lineRule="auto"/>
              <w:rPr>
                <w:rFonts w:ascii="仿宋" w:hAnsi="仿宋" w:eastAsia="仿宋" w:cs="仿宋"/>
                <w:color w:val="auto"/>
                <w:sz w:val="24"/>
                <w:highlight w:val="none"/>
              </w:rPr>
            </w:pPr>
          </w:p>
        </w:tc>
        <w:tc>
          <w:tcPr>
            <w:tcW w:w="4615" w:type="dxa"/>
          </w:tcPr>
          <w:p w14:paraId="48A25D86">
            <w:pPr>
              <w:spacing w:line="360" w:lineRule="auto"/>
              <w:rPr>
                <w:rFonts w:ascii="仿宋" w:hAnsi="仿宋" w:eastAsia="仿宋" w:cs="仿宋"/>
                <w:color w:val="auto"/>
                <w:sz w:val="24"/>
                <w:highlight w:val="none"/>
              </w:rPr>
            </w:pPr>
          </w:p>
        </w:tc>
      </w:tr>
    </w:tbl>
    <w:p w14:paraId="5A07E61F">
      <w:pPr>
        <w:widowControl/>
        <w:snapToGrid w:val="0"/>
        <w:spacing w:line="360" w:lineRule="auto"/>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注：</w:t>
      </w:r>
    </w:p>
    <w:p w14:paraId="4B9845FC">
      <w:pPr>
        <w:widowControl/>
        <w:snapToGrid w:val="0"/>
        <w:spacing w:line="360" w:lineRule="auto"/>
        <w:ind w:firstLine="482" w:firstLineChars="20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 xml:space="preserve">1. 除可填报项目外，对本法定代表人授权委托书的任何修改将被视为未实质性响应投标，从而导致该投标被拒绝； </w:t>
      </w:r>
    </w:p>
    <w:p w14:paraId="74DE0F8F">
      <w:pPr>
        <w:widowControl/>
        <w:tabs>
          <w:tab w:val="left" w:pos="567"/>
        </w:tabs>
        <w:snapToGrid w:val="0"/>
        <w:spacing w:line="360" w:lineRule="auto"/>
        <w:ind w:firstLine="482" w:firstLineChars="200"/>
        <w:jc w:val="lef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2. 若投标人代表为法定代表人（负责人）的可不提供。</w:t>
      </w:r>
    </w:p>
    <w:p w14:paraId="7480890F">
      <w:pPr>
        <w:snapToGrid w:val="0"/>
        <w:spacing w:line="360" w:lineRule="auto"/>
        <w:outlineLvl w:val="2"/>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br w:type="page"/>
      </w:r>
      <w:r>
        <w:rPr>
          <w:rFonts w:hint="eastAsia" w:ascii="仿宋" w:hAnsi="仿宋" w:eastAsia="仿宋" w:cs="仿宋"/>
          <w:b/>
          <w:color w:val="auto"/>
          <w:kern w:val="0"/>
          <w:sz w:val="24"/>
          <w:highlight w:val="none"/>
        </w:rPr>
        <w:t>3．投标函</w:t>
      </w:r>
      <w:r>
        <w:rPr>
          <w:rFonts w:hint="eastAsia" w:ascii="仿宋" w:hAnsi="仿宋" w:eastAsia="仿宋" w:cs="仿宋"/>
          <w:b/>
          <w:sz w:val="24"/>
          <w:highlight w:val="none"/>
        </w:rPr>
        <w:t>格式</w:t>
      </w:r>
    </w:p>
    <w:p w14:paraId="18403800">
      <w:pPr>
        <w:spacing w:line="480" w:lineRule="exact"/>
        <w:jc w:val="center"/>
        <w:outlineLvl w:val="9"/>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投  标  函</w:t>
      </w:r>
    </w:p>
    <w:p w14:paraId="3E4806ED">
      <w:pPr>
        <w:widowControl/>
        <w:tabs>
          <w:tab w:val="left" w:pos="4860"/>
        </w:tabs>
        <w:snapToGrid w:val="0"/>
        <w:spacing w:line="360" w:lineRule="auto"/>
        <w:rPr>
          <w:rFonts w:ascii="仿宋" w:hAnsi="仿宋" w:eastAsia="仿宋" w:cs="仿宋"/>
          <w:color w:val="auto"/>
          <w:kern w:val="0"/>
          <w:sz w:val="24"/>
          <w:highlight w:val="none"/>
          <w:u w:val="single"/>
        </w:rPr>
      </w:pPr>
    </w:p>
    <w:p w14:paraId="708AEE3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（采购人名称）</w:t>
      </w:r>
      <w:r>
        <w:rPr>
          <w:rFonts w:hint="eastAsia" w:ascii="仿宋" w:hAnsi="仿宋" w:eastAsia="仿宋" w:cs="仿宋"/>
          <w:color w:val="auto"/>
          <w:sz w:val="24"/>
          <w:highlight w:val="none"/>
          <w:u w:val="single"/>
        </w:rPr>
        <w:t>：</w:t>
      </w:r>
    </w:p>
    <w:p w14:paraId="595DB5A7">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rPr>
        <w:t xml:space="preserve">                （投标人全称）</w:t>
      </w:r>
      <w:r>
        <w:rPr>
          <w:rFonts w:hint="eastAsia" w:ascii="仿宋" w:hAnsi="仿宋" w:eastAsia="仿宋" w:cs="仿宋"/>
          <w:color w:val="auto"/>
          <w:kern w:val="0"/>
          <w:sz w:val="24"/>
          <w:highlight w:val="none"/>
        </w:rPr>
        <w:t>授权</w:t>
      </w:r>
      <w:r>
        <w:rPr>
          <w:rFonts w:hint="eastAsia" w:ascii="仿宋" w:hAnsi="仿宋" w:eastAsia="仿宋" w:cs="仿宋"/>
          <w:color w:val="auto"/>
          <w:kern w:val="0"/>
          <w:sz w:val="24"/>
          <w:highlight w:val="none"/>
          <w:u w:val="single"/>
        </w:rPr>
        <w:t xml:space="preserve">              （投标人代表姓名、职务)</w:t>
      </w:r>
      <w:r>
        <w:rPr>
          <w:rFonts w:hint="eastAsia" w:ascii="仿宋" w:hAnsi="仿宋" w:eastAsia="仿宋" w:cs="仿宋"/>
          <w:color w:val="auto"/>
          <w:kern w:val="0"/>
          <w:sz w:val="24"/>
          <w:highlight w:val="none"/>
        </w:rPr>
        <w:t>为我方代表，参加贵方组织的</w:t>
      </w:r>
      <w:r>
        <w:rPr>
          <w:rFonts w:hint="eastAsia" w:ascii="仿宋" w:hAnsi="仿宋" w:eastAsia="仿宋" w:cs="仿宋"/>
          <w:color w:val="auto"/>
          <w:kern w:val="0"/>
          <w:sz w:val="24"/>
          <w:highlight w:val="none"/>
          <w:u w:val="single"/>
        </w:rPr>
        <w:t xml:space="preserve">               （项目名称）</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项目</w:t>
      </w:r>
      <w:r>
        <w:rPr>
          <w:rFonts w:hint="eastAsia" w:ascii="仿宋" w:hAnsi="仿宋" w:eastAsia="仿宋" w:cs="仿宋"/>
          <w:color w:val="auto"/>
          <w:kern w:val="0"/>
          <w:sz w:val="24"/>
          <w:highlight w:val="none"/>
          <w:u w:val="single"/>
        </w:rPr>
        <w:t>编号）</w:t>
      </w:r>
      <w:r>
        <w:rPr>
          <w:rFonts w:hint="eastAsia" w:ascii="仿宋" w:hAnsi="仿宋" w:eastAsia="仿宋" w:cs="仿宋"/>
          <w:sz w:val="24"/>
          <w:highlight w:val="none"/>
          <w:u w:val="single"/>
          <w:lang w:val="en-US" w:eastAsia="zh-CN"/>
        </w:rPr>
        <w:t xml:space="preserve">  </w:t>
      </w:r>
      <w:r>
        <w:rPr>
          <w:rFonts w:hint="eastAsia" w:ascii="仿宋" w:hAnsi="仿宋" w:eastAsia="仿宋" w:cs="仿宋"/>
          <w:color w:val="auto"/>
          <w:kern w:val="0"/>
          <w:sz w:val="24"/>
          <w:highlight w:val="none"/>
        </w:rPr>
        <w:t>招标的有关活动，并对此项目进行投标。为此：</w:t>
      </w:r>
    </w:p>
    <w:p w14:paraId="2BE38726">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1．我方同意在本项目招标文件中规定的投标文件递交截止之日起</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个日历天内遵守本投标文件中的承诺且在此期限期满之前均具有约束力。</w:t>
      </w:r>
    </w:p>
    <w:p w14:paraId="4494A2D4">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2．我方承诺已经具备《中华人民共和国政府采购法》中规定的参加政府采购活动的投标人应当具备的全部条件。</w:t>
      </w:r>
    </w:p>
    <w:p w14:paraId="0AAE1E9C">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3．提供投标须知规定的全部投标文件，包括投标文件正本、副本。</w:t>
      </w:r>
    </w:p>
    <w:p w14:paraId="1B74728F">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4．按招标文件要求提供和交付的货物和服务的投标报价详见开标一览表。</w:t>
      </w:r>
    </w:p>
    <w:p w14:paraId="7149C128">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5．我方承诺：完全理解并接受投标报价超过预算金额时，投标将被拒绝。</w:t>
      </w:r>
    </w:p>
    <w:p w14:paraId="0E250B23">
      <w:pPr>
        <w:keepNext w:val="0"/>
        <w:keepLines w:val="0"/>
        <w:pageBreakBefore w:val="0"/>
        <w:widowControl/>
        <w:tabs>
          <w:tab w:val="left" w:pos="1680"/>
        </w:tabs>
        <w:kinsoku/>
        <w:wordWrap/>
        <w:overflowPunct/>
        <w:topLinePunct w:val="0"/>
        <w:autoSpaceDE/>
        <w:autoSpaceDN/>
        <w:bidi w:val="0"/>
        <w:adjustRightInd/>
        <w:snapToGrid w:val="0"/>
        <w:spacing w:line="40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6．保证忠实地执行双方所签订的合同，并承担合同规定的责任和义务。</w:t>
      </w:r>
    </w:p>
    <w:p w14:paraId="4CC36D7E">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7．承诺完全满足和响应招标文件中的各项商务和服务要求，若有偏差，已在投标文件商务和技术条款偏离表中予以明确特别说明。</w:t>
      </w:r>
    </w:p>
    <w:p w14:paraId="2857B726">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8．保证遵守招标文件的规定。</w:t>
      </w:r>
    </w:p>
    <w:p w14:paraId="33F873C4">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9．如果在开标后规定的投标有效期内撤回投标，我方的投标保证金可被贵方没收。</w:t>
      </w:r>
    </w:p>
    <w:p w14:paraId="25A481A7">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10．我方完全理解贵方不接受可选择性投标。</w:t>
      </w:r>
    </w:p>
    <w:p w14:paraId="0AF00C20">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11．我方愿意向贵方提供任何与本项投标有关的数据、情况和技术资料。若贵方需要，我方愿意提供我方做出的一切承诺的证明材料。</w:t>
      </w:r>
    </w:p>
    <w:p w14:paraId="5F0AC391">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12．我方已详细审核全部投标文件，包括投标文件修改书（如有的话）、参考资料及有关附件，确认无误。</w:t>
      </w:r>
    </w:p>
    <w:p w14:paraId="461AE4BC">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13．我方承诺：</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若需追加采购本项目招标文件所列货物及相关服务的，在不改变合同其他实质性条款的前提下，按相同或更优惠的折扣率保证供货。</w:t>
      </w:r>
    </w:p>
    <w:p w14:paraId="55498028">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14．我方承诺接受招标文件中《合同条款》的全部条款且无任何异议。</w:t>
      </w:r>
    </w:p>
    <w:p w14:paraId="78FA3EC6">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1FAF52A">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（1）提供虚假材料谋取中标、成交的；</w:t>
      </w:r>
    </w:p>
    <w:p w14:paraId="01EB8FE8">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（2）采取不正当手段诋毁、排挤其他投标人的；</w:t>
      </w:r>
    </w:p>
    <w:p w14:paraId="35243CEB">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（3）与</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、其它投标人或者代理机构工作人员恶意串通的；</w:t>
      </w:r>
    </w:p>
    <w:p w14:paraId="570407B0">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（4）向</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、代理机构工作人员行贿或者提供其他不正当利益的；</w:t>
      </w:r>
    </w:p>
    <w:p w14:paraId="7A82CFA6">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（5）开标后撤回投标的；</w:t>
      </w:r>
    </w:p>
    <w:p w14:paraId="384A1C56">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（6）在评标期间，影响代理机构或</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正常履行职责的；</w:t>
      </w:r>
    </w:p>
    <w:p w14:paraId="01A24F05">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（7）未经代理机构同意，在采购过程中与</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进行协商投标的；</w:t>
      </w:r>
    </w:p>
    <w:p w14:paraId="38EAB2A5">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（8）中标后未按招标文件、投标文件及相关承诺规定签约或与</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订立背离合同实质性内容的其它协议的；</w:t>
      </w:r>
    </w:p>
    <w:p w14:paraId="3DB2CF95">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（9）未按招标文件规定和合同约定履行义务的；</w:t>
      </w:r>
    </w:p>
    <w:p w14:paraId="4F051E28">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（10）拒绝有关部门监督检查或提供虚假情况的；</w:t>
      </w:r>
    </w:p>
    <w:p w14:paraId="244E69BD">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（11）违犯法律法规规定的其他行为。</w:t>
      </w:r>
    </w:p>
    <w:p w14:paraId="2C172CB1">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所有有关本投标的一切往来联系方式为：</w:t>
      </w:r>
    </w:p>
    <w:p w14:paraId="05509CF6">
      <w:pPr>
        <w:widowControl/>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 xml:space="preserve">                            邮编：</w:t>
      </w:r>
      <w:r>
        <w:rPr>
          <w:rFonts w:hint="eastAsia" w:ascii="仿宋" w:hAnsi="仿宋" w:eastAsia="仿宋" w:cs="仿宋"/>
          <w:color w:val="auto"/>
          <w:kern w:val="0"/>
          <w:sz w:val="24"/>
          <w:highlight w:val="none"/>
        </w:rPr>
        <w:tab/>
      </w:r>
    </w:p>
    <w:p w14:paraId="722514A7">
      <w:pPr>
        <w:widowControl/>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 xml:space="preserve">                            传真：</w:t>
      </w:r>
    </w:p>
    <w:p w14:paraId="0BF0F9FB">
      <w:pPr>
        <w:widowControl/>
        <w:tabs>
          <w:tab w:val="left" w:pos="480"/>
        </w:tabs>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投标人代表联系电话：                （办公）         （移动）</w:t>
      </w:r>
    </w:p>
    <w:p w14:paraId="2D4948E0">
      <w:pPr>
        <w:widowControl/>
        <w:tabs>
          <w:tab w:val="left" w:pos="480"/>
        </w:tabs>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E-mail:</w:t>
      </w:r>
    </w:p>
    <w:p w14:paraId="6CC09F02">
      <w:pPr>
        <w:pStyle w:val="27"/>
        <w:rPr>
          <w:rFonts w:ascii="仿宋" w:hAnsi="仿宋" w:eastAsia="仿宋" w:cs="仿宋"/>
          <w:color w:val="auto"/>
          <w:highlight w:val="none"/>
        </w:rPr>
      </w:pPr>
    </w:p>
    <w:p w14:paraId="0D59A5A8">
      <w:pPr>
        <w:widowControl/>
        <w:tabs>
          <w:tab w:val="left" w:pos="4000"/>
        </w:tabs>
        <w:snapToGrid w:val="0"/>
        <w:spacing w:line="48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投标人名称：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(盖章)</w:t>
      </w:r>
    </w:p>
    <w:p w14:paraId="4B6B8242">
      <w:pPr>
        <w:widowControl/>
        <w:tabs>
          <w:tab w:val="left" w:pos="4000"/>
        </w:tabs>
        <w:snapToGrid w:val="0"/>
        <w:spacing w:line="48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投标人代表：</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(签字)</w:t>
      </w:r>
    </w:p>
    <w:p w14:paraId="1CBCA40C">
      <w:pPr>
        <w:widowControl/>
        <w:tabs>
          <w:tab w:val="left" w:pos="4000"/>
        </w:tabs>
        <w:snapToGrid w:val="0"/>
        <w:spacing w:line="48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日　期：</w:t>
      </w:r>
    </w:p>
    <w:p w14:paraId="6A1C4963">
      <w:pPr>
        <w:widowControl/>
        <w:snapToGrid w:val="0"/>
        <w:spacing w:line="360" w:lineRule="auto"/>
        <w:jc w:val="left"/>
        <w:rPr>
          <w:rFonts w:ascii="仿宋" w:hAnsi="仿宋" w:eastAsia="仿宋" w:cs="仿宋"/>
          <w:color w:val="auto"/>
          <w:kern w:val="0"/>
          <w:sz w:val="24"/>
          <w:highlight w:val="none"/>
        </w:rPr>
      </w:pPr>
    </w:p>
    <w:p w14:paraId="5A51D297">
      <w:pPr>
        <w:widowControl/>
        <w:snapToGrid w:val="0"/>
        <w:spacing w:line="360" w:lineRule="auto"/>
        <w:ind w:firstLine="482" w:firstLineChars="20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注：除可填报项目外，对本投标函内容的修改将被视为非实质性响应投标，从而导致该投标被拒绝。</w:t>
      </w:r>
    </w:p>
    <w:p w14:paraId="7F01AB4A">
      <w:pPr>
        <w:widowControl/>
        <w:snapToGrid w:val="0"/>
        <w:spacing w:line="360" w:lineRule="auto"/>
        <w:jc w:val="left"/>
        <w:rPr>
          <w:rFonts w:ascii="仿宋" w:hAnsi="仿宋" w:eastAsia="仿宋" w:cs="仿宋"/>
          <w:color w:val="auto"/>
          <w:kern w:val="0"/>
          <w:sz w:val="24"/>
          <w:highlight w:val="none"/>
        </w:rPr>
      </w:pPr>
    </w:p>
    <w:p w14:paraId="14999F1A">
      <w:pPr>
        <w:widowControl/>
        <w:snapToGrid w:val="0"/>
        <w:spacing w:line="360" w:lineRule="auto"/>
        <w:jc w:val="left"/>
        <w:rPr>
          <w:rFonts w:ascii="仿宋" w:hAnsi="仿宋" w:eastAsia="仿宋" w:cs="仿宋"/>
          <w:color w:val="auto"/>
          <w:kern w:val="0"/>
          <w:sz w:val="24"/>
          <w:highlight w:val="none"/>
        </w:rPr>
      </w:pPr>
    </w:p>
    <w:p w14:paraId="749404D8">
      <w:pPr>
        <w:snapToGrid w:val="0"/>
        <w:spacing w:line="360" w:lineRule="auto"/>
        <w:outlineLvl w:val="2"/>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br w:type="page"/>
      </w:r>
      <w:r>
        <w:rPr>
          <w:rFonts w:hint="eastAsia" w:ascii="仿宋" w:hAnsi="仿宋" w:eastAsia="仿宋" w:cs="仿宋"/>
          <w:b/>
          <w:color w:val="auto"/>
          <w:kern w:val="0"/>
          <w:sz w:val="24"/>
          <w:highlight w:val="none"/>
        </w:rPr>
        <w:t>4．开标</w:t>
      </w:r>
      <w:r>
        <w:rPr>
          <w:rFonts w:hint="eastAsia" w:ascii="仿宋" w:hAnsi="仿宋" w:eastAsia="仿宋" w:cs="仿宋"/>
          <w:b/>
          <w:sz w:val="24"/>
          <w:highlight w:val="none"/>
        </w:rPr>
        <w:t>一览表</w:t>
      </w:r>
      <w:r>
        <w:rPr>
          <w:rFonts w:hint="eastAsia" w:ascii="仿宋" w:hAnsi="仿宋" w:eastAsia="仿宋" w:cs="仿宋"/>
          <w:b/>
          <w:color w:val="auto"/>
          <w:kern w:val="0"/>
          <w:sz w:val="24"/>
          <w:highlight w:val="none"/>
        </w:rPr>
        <w:t>格式</w:t>
      </w:r>
    </w:p>
    <w:p w14:paraId="3B06295B">
      <w:pPr>
        <w:tabs>
          <w:tab w:val="left" w:pos="4000"/>
        </w:tabs>
        <w:spacing w:line="360" w:lineRule="auto"/>
        <w:ind w:firstLine="188" w:firstLineChars="78"/>
        <w:jc w:val="left"/>
        <w:rPr>
          <w:rFonts w:hint="eastAsia" w:ascii="仿宋" w:hAnsi="仿宋" w:eastAsia="仿宋" w:cs="仿宋"/>
          <w:b/>
          <w:color w:val="auto"/>
          <w:kern w:val="0"/>
          <w:sz w:val="24"/>
          <w:highlight w:val="none"/>
        </w:rPr>
      </w:pPr>
    </w:p>
    <w:p w14:paraId="050B9D8A">
      <w:pPr>
        <w:tabs>
          <w:tab w:val="left" w:pos="4000"/>
        </w:tabs>
        <w:spacing w:line="360" w:lineRule="auto"/>
        <w:ind w:firstLine="187" w:firstLineChars="78"/>
        <w:jc w:val="left"/>
        <w:rPr>
          <w:rFonts w:hint="eastAsia" w:ascii="仿宋" w:hAnsi="仿宋" w:eastAsia="仿宋" w:cs="仿宋"/>
          <w:sz w:val="24"/>
          <w:highlight w:val="none"/>
          <w:lang w:val="en-US" w:eastAsia="zh-CN"/>
        </w:rPr>
      </w:pPr>
      <w:r>
        <w:rPr>
          <w:rStyle w:val="101"/>
          <w:rFonts w:hint="eastAsia" w:ascii="仿宋" w:hAnsi="仿宋" w:eastAsia="仿宋" w:cs="仿宋"/>
          <w:sz w:val="24"/>
          <w:highlight w:val="none"/>
        </w:rPr>
        <w:t>项目名称：</w:t>
      </w:r>
    </w:p>
    <w:p w14:paraId="7B08B527">
      <w:pPr>
        <w:tabs>
          <w:tab w:val="left" w:pos="4000"/>
        </w:tabs>
        <w:spacing w:line="360" w:lineRule="auto"/>
        <w:ind w:firstLine="187" w:firstLineChars="78"/>
        <w:jc w:val="left"/>
        <w:rPr>
          <w:rStyle w:val="101"/>
          <w:rFonts w:ascii="仿宋" w:hAnsi="仿宋" w:eastAsia="仿宋" w:cs="仿宋"/>
          <w:sz w:val="24"/>
          <w:highlight w:val="none"/>
        </w:rPr>
      </w:pPr>
      <w:r>
        <w:rPr>
          <w:rStyle w:val="101"/>
          <w:rFonts w:hint="eastAsia" w:ascii="仿宋" w:hAnsi="仿宋" w:eastAsia="仿宋" w:cs="仿宋"/>
          <w:sz w:val="24"/>
          <w:highlight w:val="none"/>
        </w:rPr>
        <w:t>项目编号：</w:t>
      </w:r>
    </w:p>
    <w:p w14:paraId="13C6E535">
      <w:pPr>
        <w:tabs>
          <w:tab w:val="left" w:pos="4000"/>
        </w:tabs>
        <w:spacing w:line="360" w:lineRule="auto"/>
        <w:ind w:firstLine="218" w:firstLineChars="78"/>
        <w:jc w:val="right"/>
        <w:rPr>
          <w:rStyle w:val="101"/>
          <w:rFonts w:ascii="仿宋" w:hAnsi="仿宋" w:eastAsia="仿宋" w:cs="仿宋"/>
          <w:highlight w:val="none"/>
        </w:rPr>
      </w:pPr>
      <w:r>
        <w:rPr>
          <w:rStyle w:val="101"/>
          <w:rFonts w:hint="eastAsia" w:ascii="仿宋" w:hAnsi="仿宋" w:eastAsia="仿宋" w:cs="仿宋"/>
          <w:spacing w:val="20"/>
          <w:sz w:val="24"/>
          <w:highlight w:val="none"/>
        </w:rPr>
        <w:t>人民币：元</w:t>
      </w:r>
    </w:p>
    <w:tbl>
      <w:tblPr>
        <w:tblStyle w:val="32"/>
        <w:tblW w:w="93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48"/>
        <w:gridCol w:w="6600"/>
      </w:tblGrid>
      <w:tr w14:paraId="77361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2748" w:type="dxa"/>
            <w:tcBorders>
              <w:top w:val="single" w:color="000000" w:sz="4" w:space="0"/>
              <w:left w:val="single" w:color="000000" w:sz="4" w:space="0"/>
              <w:bottom w:val="single" w:color="000000" w:sz="4" w:space="0"/>
              <w:right w:val="single" w:color="000000" w:sz="4" w:space="0"/>
            </w:tcBorders>
            <w:vAlign w:val="center"/>
          </w:tcPr>
          <w:p w14:paraId="2922C79B">
            <w:pPr>
              <w:spacing w:line="360" w:lineRule="auto"/>
              <w:jc w:val="center"/>
              <w:rPr>
                <w:rStyle w:val="101"/>
                <w:rFonts w:ascii="仿宋" w:hAnsi="仿宋" w:eastAsia="仿宋" w:cs="仿宋"/>
                <w:spacing w:val="20"/>
                <w:sz w:val="24"/>
                <w:highlight w:val="none"/>
              </w:rPr>
            </w:pPr>
            <w:r>
              <w:rPr>
                <w:rStyle w:val="101"/>
                <w:rFonts w:hint="eastAsia" w:ascii="仿宋" w:hAnsi="仿宋" w:eastAsia="仿宋" w:cs="仿宋"/>
                <w:spacing w:val="20"/>
                <w:sz w:val="24"/>
                <w:highlight w:val="none"/>
                <w:lang w:val="en-US" w:eastAsia="zh-CN"/>
              </w:rPr>
              <w:t>单价</w:t>
            </w:r>
            <w:r>
              <w:rPr>
                <w:rStyle w:val="101"/>
                <w:rFonts w:hint="eastAsia" w:ascii="仿宋" w:hAnsi="仿宋" w:eastAsia="仿宋" w:cs="仿宋"/>
                <w:spacing w:val="20"/>
                <w:sz w:val="24"/>
                <w:highlight w:val="none"/>
              </w:rPr>
              <w:t>（含税价）</w:t>
            </w:r>
          </w:p>
        </w:tc>
        <w:tc>
          <w:tcPr>
            <w:tcW w:w="6600" w:type="dxa"/>
            <w:tcBorders>
              <w:top w:val="single" w:color="000000" w:sz="4" w:space="0"/>
              <w:left w:val="single" w:color="000000" w:sz="4" w:space="0"/>
              <w:bottom w:val="single" w:color="000000" w:sz="4" w:space="0"/>
              <w:right w:val="single" w:color="000000" w:sz="4" w:space="0"/>
            </w:tcBorders>
            <w:vAlign w:val="center"/>
          </w:tcPr>
          <w:p w14:paraId="7F1E29B2">
            <w:pPr>
              <w:spacing w:line="360" w:lineRule="auto"/>
              <w:ind w:right="210" w:rightChars="1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焊缝X射线探伤检测：   元/张</w:t>
            </w:r>
          </w:p>
          <w:p w14:paraId="38DC5415">
            <w:pPr>
              <w:pStyle w:val="2"/>
              <w:ind w:firstLine="480" w:firstLineChars="200"/>
              <w:rPr>
                <w:rFonts w:hint="eastAsia" w:ascii="仿宋" w:hAnsi="仿宋" w:eastAsia="仿宋" w:cs="仿宋"/>
                <w:color w:val="auto"/>
                <w:sz w:val="24"/>
                <w:highlight w:val="none"/>
                <w:lang w:val="en-US" w:eastAsia="zh-CN"/>
              </w:rPr>
            </w:pPr>
          </w:p>
          <w:p w14:paraId="55EB52F7">
            <w:pPr>
              <w:pStyle w:val="2"/>
              <w:rPr>
                <w:rFonts w:hint="default"/>
                <w:highlight w:val="none"/>
                <w:lang w:val="en-US"/>
              </w:rPr>
            </w:pPr>
            <w:r>
              <w:rPr>
                <w:rFonts w:hint="eastAsia" w:ascii="仿宋" w:hAnsi="仿宋" w:eastAsia="仿宋" w:cs="仿宋"/>
                <w:color w:val="auto"/>
                <w:sz w:val="24"/>
                <w:highlight w:val="none"/>
                <w:lang w:val="en-US" w:eastAsia="zh-CN"/>
              </w:rPr>
              <w:t>超声波探伤：    元/米</w:t>
            </w:r>
          </w:p>
        </w:tc>
      </w:tr>
      <w:tr w14:paraId="44B13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jc w:val="center"/>
        </w:trPr>
        <w:tc>
          <w:tcPr>
            <w:tcW w:w="2748" w:type="dxa"/>
            <w:tcBorders>
              <w:top w:val="single" w:color="000000" w:sz="4" w:space="0"/>
              <w:left w:val="single" w:color="000000" w:sz="4" w:space="0"/>
              <w:bottom w:val="single" w:color="000000" w:sz="4" w:space="0"/>
              <w:right w:val="single" w:color="000000" w:sz="4" w:space="0"/>
            </w:tcBorders>
            <w:vAlign w:val="center"/>
          </w:tcPr>
          <w:p w14:paraId="4075B03E">
            <w:pPr>
              <w:spacing w:line="360" w:lineRule="auto"/>
              <w:jc w:val="center"/>
              <w:rPr>
                <w:rStyle w:val="101"/>
                <w:rFonts w:hint="default" w:ascii="仿宋" w:hAnsi="仿宋" w:eastAsia="仿宋" w:cs="仿宋"/>
                <w:spacing w:val="20"/>
                <w:sz w:val="24"/>
                <w:highlight w:val="none"/>
                <w:lang w:val="en-US" w:eastAsia="zh-CN"/>
              </w:rPr>
            </w:pPr>
            <w:r>
              <w:rPr>
                <w:rStyle w:val="101"/>
                <w:rFonts w:hint="eastAsia" w:ascii="仿宋" w:hAnsi="仿宋" w:eastAsia="仿宋" w:cs="仿宋"/>
                <w:spacing w:val="20"/>
                <w:sz w:val="24"/>
                <w:highlight w:val="none"/>
                <w:lang w:val="en-US" w:eastAsia="zh-CN"/>
              </w:rPr>
              <w:t>投标总价</w:t>
            </w:r>
            <w:r>
              <w:rPr>
                <w:rStyle w:val="101"/>
                <w:rFonts w:hint="eastAsia" w:ascii="仿宋" w:hAnsi="仿宋" w:eastAsia="仿宋" w:cs="仿宋"/>
                <w:spacing w:val="20"/>
                <w:sz w:val="24"/>
                <w:highlight w:val="none"/>
              </w:rPr>
              <w:t>（含税价）</w:t>
            </w:r>
          </w:p>
        </w:tc>
        <w:tc>
          <w:tcPr>
            <w:tcW w:w="6600" w:type="dxa"/>
            <w:tcBorders>
              <w:top w:val="single" w:color="000000" w:sz="4" w:space="0"/>
              <w:left w:val="single" w:color="000000" w:sz="4" w:space="0"/>
              <w:bottom w:val="single" w:color="000000" w:sz="4" w:space="0"/>
              <w:right w:val="single" w:color="000000" w:sz="4" w:space="0"/>
            </w:tcBorders>
            <w:vAlign w:val="center"/>
          </w:tcPr>
          <w:p w14:paraId="351A78A7">
            <w:pPr>
              <w:spacing w:line="360" w:lineRule="auto"/>
              <w:ind w:left="210" w:leftChars="100" w:right="210" w:rightChars="100"/>
              <w:rPr>
                <w:rFonts w:hint="eastAsia" w:ascii="仿宋" w:hAnsi="仿宋" w:eastAsia="仿宋" w:cs="仿宋"/>
                <w:color w:val="auto"/>
                <w:sz w:val="24"/>
                <w:highlight w:val="none"/>
                <w:lang w:val="en-US" w:eastAsia="zh-CN"/>
              </w:rPr>
            </w:pPr>
          </w:p>
        </w:tc>
      </w:tr>
      <w:tr w14:paraId="5A0A4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jc w:val="center"/>
        </w:trPr>
        <w:tc>
          <w:tcPr>
            <w:tcW w:w="2748" w:type="dxa"/>
            <w:tcBorders>
              <w:top w:val="single" w:color="000000" w:sz="4" w:space="0"/>
              <w:left w:val="single" w:color="000000" w:sz="4" w:space="0"/>
              <w:bottom w:val="single" w:color="000000" w:sz="4" w:space="0"/>
              <w:right w:val="single" w:color="000000" w:sz="4" w:space="0"/>
            </w:tcBorders>
            <w:vAlign w:val="center"/>
          </w:tcPr>
          <w:p w14:paraId="2BE2C466">
            <w:pPr>
              <w:spacing w:line="360" w:lineRule="auto"/>
              <w:jc w:val="center"/>
              <w:rPr>
                <w:rStyle w:val="101"/>
                <w:rFonts w:hint="default" w:ascii="仿宋" w:hAnsi="仿宋" w:eastAsia="仿宋" w:cs="仿宋"/>
                <w:sz w:val="24"/>
                <w:highlight w:val="none"/>
                <w:lang w:val="en-US" w:eastAsia="zh-CN"/>
              </w:rPr>
            </w:pPr>
            <w:r>
              <w:rPr>
                <w:rStyle w:val="101"/>
                <w:rFonts w:hint="eastAsia" w:ascii="仿宋" w:hAnsi="仿宋" w:eastAsia="仿宋" w:cs="仿宋"/>
                <w:spacing w:val="20"/>
                <w:sz w:val="24"/>
                <w:highlight w:val="none"/>
                <w:lang w:val="en-US" w:eastAsia="zh-CN"/>
              </w:rPr>
              <w:t>服务期限</w:t>
            </w:r>
          </w:p>
        </w:tc>
        <w:tc>
          <w:tcPr>
            <w:tcW w:w="6600" w:type="dxa"/>
            <w:tcBorders>
              <w:top w:val="single" w:color="000000" w:sz="4" w:space="0"/>
              <w:left w:val="single" w:color="000000" w:sz="4" w:space="0"/>
              <w:bottom w:val="single" w:color="000000" w:sz="4" w:space="0"/>
              <w:right w:val="single" w:color="000000" w:sz="4" w:space="0"/>
            </w:tcBorders>
            <w:vAlign w:val="center"/>
          </w:tcPr>
          <w:p w14:paraId="6747E272">
            <w:pPr>
              <w:spacing w:line="360" w:lineRule="auto"/>
              <w:ind w:left="210" w:leftChars="100" w:right="210" w:rightChars="100"/>
              <w:jc w:val="center"/>
              <w:rPr>
                <w:rStyle w:val="101"/>
                <w:rFonts w:ascii="仿宋" w:hAnsi="仿宋" w:eastAsia="仿宋" w:cs="仿宋"/>
                <w:bCs/>
                <w:spacing w:val="20"/>
                <w:sz w:val="24"/>
                <w:highlight w:val="none"/>
                <w:u w:val="single"/>
              </w:rPr>
            </w:pPr>
          </w:p>
        </w:tc>
      </w:tr>
      <w:tr w14:paraId="7FB82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jc w:val="center"/>
        </w:trPr>
        <w:tc>
          <w:tcPr>
            <w:tcW w:w="2748" w:type="dxa"/>
            <w:tcBorders>
              <w:top w:val="single" w:color="000000" w:sz="4" w:space="0"/>
              <w:left w:val="single" w:color="000000" w:sz="4" w:space="0"/>
              <w:bottom w:val="single" w:color="000000" w:sz="4" w:space="0"/>
              <w:right w:val="single" w:color="000000" w:sz="4" w:space="0"/>
            </w:tcBorders>
            <w:vAlign w:val="center"/>
          </w:tcPr>
          <w:p w14:paraId="23388DDF">
            <w:pPr>
              <w:spacing w:line="360" w:lineRule="auto"/>
              <w:jc w:val="center"/>
              <w:rPr>
                <w:rStyle w:val="101"/>
                <w:rFonts w:hint="default" w:ascii="仿宋" w:hAnsi="仿宋" w:eastAsia="仿宋" w:cs="仿宋"/>
                <w:spacing w:val="20"/>
                <w:sz w:val="24"/>
                <w:highlight w:val="none"/>
                <w:lang w:val="en-US" w:eastAsia="zh-CN"/>
              </w:rPr>
            </w:pPr>
            <w:r>
              <w:rPr>
                <w:rStyle w:val="101"/>
                <w:rFonts w:hint="eastAsia" w:ascii="仿宋" w:hAnsi="仿宋" w:eastAsia="仿宋" w:cs="仿宋"/>
                <w:spacing w:val="20"/>
                <w:sz w:val="24"/>
                <w:highlight w:val="none"/>
                <w:lang w:val="en-US" w:eastAsia="zh-CN"/>
              </w:rPr>
              <w:t>项目负责人</w:t>
            </w:r>
          </w:p>
        </w:tc>
        <w:tc>
          <w:tcPr>
            <w:tcW w:w="6600" w:type="dxa"/>
            <w:tcBorders>
              <w:top w:val="single" w:color="000000" w:sz="4" w:space="0"/>
              <w:left w:val="single" w:color="000000" w:sz="4" w:space="0"/>
              <w:bottom w:val="single" w:color="000000" w:sz="4" w:space="0"/>
              <w:right w:val="single" w:color="000000" w:sz="4" w:space="0"/>
            </w:tcBorders>
            <w:vAlign w:val="center"/>
          </w:tcPr>
          <w:p w14:paraId="5AF23842">
            <w:pPr>
              <w:spacing w:line="360" w:lineRule="auto"/>
              <w:ind w:left="210" w:leftChars="100" w:right="210" w:rightChars="100"/>
              <w:jc w:val="center"/>
              <w:rPr>
                <w:rStyle w:val="101"/>
                <w:rFonts w:ascii="仿宋" w:hAnsi="仿宋" w:eastAsia="仿宋" w:cs="仿宋"/>
                <w:bCs/>
                <w:spacing w:val="20"/>
                <w:sz w:val="24"/>
                <w:highlight w:val="none"/>
                <w:u w:val="single"/>
              </w:rPr>
            </w:pPr>
          </w:p>
        </w:tc>
      </w:tr>
      <w:tr w14:paraId="04421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2748" w:type="dxa"/>
            <w:tcBorders>
              <w:top w:val="single" w:color="000000" w:sz="4" w:space="0"/>
              <w:left w:val="single" w:color="000000" w:sz="4" w:space="0"/>
              <w:bottom w:val="single" w:color="000000" w:sz="4" w:space="0"/>
              <w:right w:val="single" w:color="000000" w:sz="4" w:space="0"/>
            </w:tcBorders>
            <w:vAlign w:val="center"/>
          </w:tcPr>
          <w:p w14:paraId="7228ED45">
            <w:pPr>
              <w:spacing w:line="360" w:lineRule="auto"/>
              <w:jc w:val="center"/>
              <w:rPr>
                <w:rStyle w:val="101"/>
                <w:rFonts w:ascii="仿宋" w:hAnsi="仿宋" w:eastAsia="仿宋" w:cs="仿宋"/>
                <w:spacing w:val="20"/>
                <w:sz w:val="24"/>
                <w:highlight w:val="none"/>
              </w:rPr>
            </w:pPr>
            <w:r>
              <w:rPr>
                <w:rStyle w:val="101"/>
                <w:rFonts w:hint="eastAsia" w:ascii="仿宋" w:hAnsi="仿宋" w:eastAsia="仿宋" w:cs="仿宋"/>
                <w:spacing w:val="20"/>
                <w:sz w:val="24"/>
                <w:highlight w:val="none"/>
              </w:rPr>
              <w:t>备注</w:t>
            </w:r>
          </w:p>
        </w:tc>
        <w:tc>
          <w:tcPr>
            <w:tcW w:w="6600" w:type="dxa"/>
            <w:tcBorders>
              <w:top w:val="single" w:color="000000" w:sz="4" w:space="0"/>
              <w:left w:val="single" w:color="000000" w:sz="4" w:space="0"/>
              <w:bottom w:val="single" w:color="000000" w:sz="4" w:space="0"/>
              <w:right w:val="single" w:color="000000" w:sz="4" w:space="0"/>
            </w:tcBorders>
            <w:vAlign w:val="center"/>
          </w:tcPr>
          <w:p w14:paraId="0620404F">
            <w:pPr>
              <w:spacing w:line="360" w:lineRule="auto"/>
              <w:ind w:left="210" w:leftChars="100" w:right="210" w:rightChars="100"/>
              <w:jc w:val="left"/>
              <w:rPr>
                <w:rStyle w:val="101"/>
                <w:rFonts w:hint="default" w:ascii="仿宋" w:hAnsi="仿宋" w:eastAsia="仿宋" w:cs="仿宋"/>
                <w:spacing w:val="20"/>
                <w:sz w:val="24"/>
                <w:highlight w:val="none"/>
                <w:lang w:val="en-US" w:eastAsia="zh-CN"/>
              </w:rPr>
            </w:pPr>
            <w:r>
              <w:rPr>
                <w:rStyle w:val="101"/>
                <w:rFonts w:hint="eastAsia" w:ascii="仿宋" w:hAnsi="仿宋" w:eastAsia="仿宋" w:cs="仿宋"/>
                <w:spacing w:val="20"/>
                <w:sz w:val="24"/>
                <w:highlight w:val="none"/>
                <w:lang w:val="en-US" w:eastAsia="zh-CN"/>
              </w:rPr>
              <w:t>投标单价及投标</w:t>
            </w:r>
            <w:r>
              <w:rPr>
                <w:rStyle w:val="101"/>
                <w:rFonts w:hint="eastAsia" w:ascii="仿宋" w:hAnsi="仿宋" w:eastAsia="仿宋" w:cs="仿宋"/>
                <w:spacing w:val="20"/>
                <w:sz w:val="24"/>
                <w:highlight w:val="none"/>
              </w:rPr>
              <w:t>总价不得超过该项目的最高限价，否则否决其报价。</w:t>
            </w:r>
            <w:r>
              <w:rPr>
                <w:rStyle w:val="101"/>
                <w:rFonts w:hint="eastAsia" w:ascii="仿宋" w:hAnsi="仿宋" w:eastAsia="仿宋" w:cs="仿宋"/>
                <w:spacing w:val="20"/>
                <w:sz w:val="24"/>
                <w:highlight w:val="none"/>
                <w:lang w:val="en-US" w:eastAsia="zh-CN"/>
              </w:rPr>
              <w:t>超声波探伤检测报价不计入投标总价并不参与价格分计算。</w:t>
            </w:r>
          </w:p>
        </w:tc>
      </w:tr>
    </w:tbl>
    <w:p w14:paraId="7A9D89DF">
      <w:pPr>
        <w:spacing w:before="156" w:beforeLines="50" w:line="360" w:lineRule="auto"/>
        <w:ind w:firstLine="560" w:firstLineChars="200"/>
        <w:jc w:val="left"/>
        <w:rPr>
          <w:rStyle w:val="101"/>
          <w:rFonts w:ascii="仿宋" w:hAnsi="仿宋" w:eastAsia="仿宋" w:cs="仿宋"/>
          <w:spacing w:val="20"/>
          <w:sz w:val="24"/>
          <w:highlight w:val="none"/>
        </w:rPr>
      </w:pPr>
      <w:r>
        <w:rPr>
          <w:rStyle w:val="101"/>
          <w:rFonts w:hint="eastAsia" w:ascii="仿宋" w:hAnsi="仿宋" w:eastAsia="仿宋" w:cs="仿宋"/>
          <w:spacing w:val="20"/>
          <w:sz w:val="24"/>
          <w:highlight w:val="none"/>
        </w:rPr>
        <w:t>注:报价应包括</w:t>
      </w:r>
      <w:r>
        <w:rPr>
          <w:rStyle w:val="101"/>
          <w:rFonts w:hint="eastAsia" w:ascii="仿宋" w:hAnsi="仿宋" w:eastAsia="仿宋" w:cs="仿宋"/>
          <w:spacing w:val="20"/>
          <w:sz w:val="24"/>
          <w:highlight w:val="none"/>
          <w:lang w:eastAsia="zh-CN"/>
        </w:rPr>
        <w:t>招标</w:t>
      </w:r>
      <w:r>
        <w:rPr>
          <w:rStyle w:val="101"/>
          <w:rFonts w:hint="eastAsia" w:ascii="仿宋" w:hAnsi="仿宋" w:eastAsia="仿宋" w:cs="仿宋"/>
          <w:spacing w:val="20"/>
          <w:sz w:val="24"/>
          <w:highlight w:val="none"/>
        </w:rPr>
        <w:t>文件所规定的采购范围内的全部内容。</w:t>
      </w:r>
    </w:p>
    <w:p w14:paraId="431F6893">
      <w:pPr>
        <w:tabs>
          <w:tab w:val="left" w:pos="4000"/>
        </w:tabs>
        <w:spacing w:line="360" w:lineRule="auto"/>
        <w:ind w:firstLine="3050" w:firstLineChars="1271"/>
        <w:jc w:val="left"/>
        <w:rPr>
          <w:rStyle w:val="101"/>
          <w:rFonts w:ascii="仿宋" w:hAnsi="仿宋" w:eastAsia="仿宋" w:cs="仿宋"/>
          <w:sz w:val="24"/>
          <w:highlight w:val="none"/>
        </w:rPr>
      </w:pPr>
    </w:p>
    <w:p w14:paraId="79E49195">
      <w:pPr>
        <w:tabs>
          <w:tab w:val="left" w:pos="4000"/>
        </w:tabs>
        <w:spacing w:line="360" w:lineRule="auto"/>
        <w:ind w:firstLine="3050" w:firstLineChars="1271"/>
        <w:jc w:val="left"/>
        <w:rPr>
          <w:rStyle w:val="101"/>
          <w:rFonts w:ascii="仿宋" w:hAnsi="仿宋" w:eastAsia="仿宋" w:cs="仿宋"/>
          <w:sz w:val="24"/>
          <w:highlight w:val="none"/>
        </w:rPr>
      </w:pPr>
      <w:r>
        <w:rPr>
          <w:rStyle w:val="101"/>
          <w:rFonts w:hint="eastAsia" w:ascii="仿宋" w:hAnsi="仿宋" w:eastAsia="仿宋" w:cs="仿宋"/>
          <w:sz w:val="24"/>
          <w:highlight w:val="none"/>
          <w:lang w:eastAsia="zh-CN"/>
        </w:rPr>
        <w:t>投标人</w:t>
      </w:r>
      <w:r>
        <w:rPr>
          <w:rStyle w:val="101"/>
          <w:rFonts w:hint="eastAsia" w:ascii="仿宋" w:hAnsi="仿宋" w:eastAsia="仿宋" w:cs="仿宋"/>
          <w:sz w:val="24"/>
          <w:highlight w:val="none"/>
        </w:rPr>
        <w:t>名称：</w:t>
      </w:r>
      <w:r>
        <w:rPr>
          <w:rStyle w:val="101"/>
          <w:rFonts w:hint="eastAsia" w:ascii="仿宋" w:hAnsi="仿宋" w:eastAsia="仿宋" w:cs="仿宋"/>
          <w:sz w:val="24"/>
          <w:highlight w:val="none"/>
          <w:u w:val="single" w:color="000000"/>
        </w:rPr>
        <w:t xml:space="preserve">                   </w:t>
      </w:r>
      <w:r>
        <w:rPr>
          <w:rStyle w:val="101"/>
          <w:rFonts w:hint="eastAsia" w:ascii="仿宋" w:hAnsi="仿宋" w:eastAsia="仿宋" w:cs="仿宋"/>
          <w:sz w:val="24"/>
          <w:highlight w:val="none"/>
        </w:rPr>
        <w:t>（</w:t>
      </w:r>
      <w:r>
        <w:rPr>
          <w:rFonts w:hint="eastAsia" w:ascii="仿宋" w:hAnsi="仿宋" w:eastAsia="仿宋" w:cs="仿宋"/>
          <w:sz w:val="24"/>
          <w:highlight w:val="none"/>
        </w:rPr>
        <w:t>全称并加盖公章</w:t>
      </w:r>
      <w:r>
        <w:rPr>
          <w:rStyle w:val="101"/>
          <w:rFonts w:hint="eastAsia" w:ascii="仿宋" w:hAnsi="仿宋" w:eastAsia="仿宋" w:cs="仿宋"/>
          <w:sz w:val="24"/>
          <w:highlight w:val="none"/>
        </w:rPr>
        <w:t>）</w:t>
      </w:r>
    </w:p>
    <w:p w14:paraId="4707CAAC">
      <w:pPr>
        <w:tabs>
          <w:tab w:val="left" w:pos="4000"/>
        </w:tabs>
        <w:spacing w:line="360" w:lineRule="auto"/>
        <w:jc w:val="center"/>
        <w:rPr>
          <w:rStyle w:val="101"/>
          <w:rFonts w:ascii="仿宋" w:hAnsi="仿宋" w:eastAsia="仿宋" w:cs="仿宋"/>
          <w:sz w:val="24"/>
          <w:highlight w:val="none"/>
        </w:rPr>
      </w:pPr>
      <w:r>
        <w:rPr>
          <w:rStyle w:val="101"/>
          <w:rFonts w:hint="eastAsia" w:ascii="仿宋" w:hAnsi="仿宋" w:eastAsia="仿宋" w:cs="仿宋"/>
          <w:sz w:val="24"/>
          <w:highlight w:val="none"/>
        </w:rPr>
        <w:t>法定代表人（负责人）或</w:t>
      </w:r>
      <w:r>
        <w:rPr>
          <w:rStyle w:val="101"/>
          <w:rFonts w:hint="eastAsia" w:ascii="仿宋" w:hAnsi="仿宋" w:eastAsia="仿宋" w:cs="仿宋"/>
          <w:sz w:val="24"/>
          <w:highlight w:val="none"/>
          <w:lang w:eastAsia="zh-CN"/>
        </w:rPr>
        <w:t>投标人</w:t>
      </w:r>
      <w:r>
        <w:rPr>
          <w:rStyle w:val="101"/>
          <w:rFonts w:hint="eastAsia" w:ascii="仿宋" w:hAnsi="仿宋" w:eastAsia="仿宋" w:cs="仿宋"/>
          <w:sz w:val="24"/>
          <w:highlight w:val="none"/>
        </w:rPr>
        <w:t>代表：</w:t>
      </w:r>
      <w:r>
        <w:rPr>
          <w:rStyle w:val="101"/>
          <w:rFonts w:hint="eastAsia" w:ascii="仿宋" w:hAnsi="仿宋" w:eastAsia="仿宋" w:cs="仿宋"/>
          <w:sz w:val="24"/>
          <w:highlight w:val="none"/>
          <w:u w:val="single" w:color="000000"/>
        </w:rPr>
        <w:t xml:space="preserve">     </w:t>
      </w:r>
      <w:r>
        <w:rPr>
          <w:rStyle w:val="101"/>
          <w:rFonts w:hint="eastAsia" w:ascii="仿宋" w:hAnsi="仿宋" w:eastAsia="仿宋" w:cs="仿宋"/>
          <w:sz w:val="24"/>
          <w:highlight w:val="none"/>
        </w:rPr>
        <w:t>（签字或盖章）</w:t>
      </w:r>
    </w:p>
    <w:p w14:paraId="11A43781">
      <w:pPr>
        <w:tabs>
          <w:tab w:val="left" w:pos="4000"/>
        </w:tabs>
        <w:spacing w:line="360" w:lineRule="auto"/>
        <w:ind w:firstLine="3050" w:firstLineChars="1271"/>
        <w:jc w:val="left"/>
        <w:rPr>
          <w:rStyle w:val="101"/>
          <w:rFonts w:hint="eastAsia" w:ascii="仿宋" w:hAnsi="仿宋" w:eastAsia="仿宋" w:cs="仿宋"/>
          <w:sz w:val="24"/>
          <w:highlight w:val="none"/>
        </w:rPr>
      </w:pPr>
      <w:r>
        <w:rPr>
          <w:rStyle w:val="101"/>
          <w:rFonts w:hint="eastAsia" w:ascii="仿宋" w:hAnsi="仿宋" w:eastAsia="仿宋" w:cs="仿宋"/>
          <w:sz w:val="24"/>
          <w:highlight w:val="none"/>
        </w:rPr>
        <w:t>日  期：      年    月    日</w:t>
      </w:r>
    </w:p>
    <w:p w14:paraId="295E4D92">
      <w:pPr>
        <w:rPr>
          <w:rStyle w:val="101"/>
          <w:rFonts w:hint="eastAsia" w:ascii="仿宋" w:hAnsi="仿宋" w:eastAsia="仿宋" w:cs="仿宋"/>
          <w:sz w:val="24"/>
          <w:highlight w:val="none"/>
        </w:rPr>
      </w:pPr>
      <w:r>
        <w:rPr>
          <w:rStyle w:val="101"/>
          <w:rFonts w:hint="eastAsia" w:ascii="仿宋" w:hAnsi="仿宋" w:eastAsia="仿宋" w:cs="仿宋"/>
          <w:sz w:val="24"/>
          <w:highlight w:val="none"/>
        </w:rPr>
        <w:br w:type="page"/>
      </w:r>
    </w:p>
    <w:p w14:paraId="75658F35">
      <w:pPr>
        <w:pStyle w:val="5"/>
        <w:rPr>
          <w:highlight w:val="none"/>
        </w:rPr>
        <w:sectPr>
          <w:footerReference r:id="rId9" w:type="default"/>
          <w:pgSz w:w="11906" w:h="16838"/>
          <w:pgMar w:top="1440" w:right="1080" w:bottom="1440" w:left="1080" w:header="851" w:footer="992" w:gutter="0"/>
          <w:pgNumType w:fmt="decimal"/>
          <w:cols w:space="0" w:num="1"/>
          <w:docGrid w:type="lines" w:linePitch="312" w:charSpace="0"/>
        </w:sectPr>
      </w:pPr>
    </w:p>
    <w:p w14:paraId="5BB54C39">
      <w:pPr>
        <w:rPr>
          <w:rFonts w:hint="eastAsia" w:ascii="仿宋" w:hAnsi="仿宋" w:eastAsia="仿宋" w:cs="仿宋"/>
          <w:b/>
          <w:color w:val="auto"/>
          <w:kern w:val="0"/>
          <w:sz w:val="24"/>
          <w:highlight w:val="none"/>
        </w:rPr>
      </w:pPr>
    </w:p>
    <w:p w14:paraId="5406F783">
      <w:pPr>
        <w:numPr>
          <w:ilvl w:val="0"/>
          <w:numId w:val="3"/>
        </w:numPr>
        <w:snapToGrid w:val="0"/>
        <w:spacing w:line="360" w:lineRule="auto"/>
        <w:outlineLvl w:val="2"/>
        <w:rPr>
          <w:rFonts w:hint="eastAsia" w:ascii="仿宋" w:hAnsi="仿宋" w:eastAsia="仿宋" w:cs="仿宋"/>
          <w:b/>
          <w:color w:val="auto"/>
          <w:kern w:val="0"/>
          <w:sz w:val="24"/>
          <w:highlight w:val="none"/>
          <w:lang w:eastAsia="zh-CN"/>
        </w:rPr>
      </w:pPr>
      <w:r>
        <w:rPr>
          <w:rFonts w:hint="eastAsia" w:ascii="仿宋" w:hAnsi="仿宋" w:eastAsia="仿宋" w:cs="仿宋"/>
          <w:b/>
          <w:color w:val="auto"/>
          <w:kern w:val="0"/>
          <w:sz w:val="24"/>
          <w:highlight w:val="none"/>
          <w:lang w:val="en-US" w:eastAsia="zh-CN"/>
        </w:rPr>
        <w:t xml:space="preserve"> </w:t>
      </w:r>
      <w:r>
        <w:rPr>
          <w:rFonts w:hint="eastAsia" w:ascii="仿宋" w:hAnsi="仿宋" w:eastAsia="仿宋" w:cs="仿宋"/>
          <w:b/>
          <w:color w:val="auto"/>
          <w:kern w:val="0"/>
          <w:sz w:val="24"/>
          <w:highlight w:val="none"/>
          <w:lang w:eastAsia="zh-CN"/>
        </w:rPr>
        <w:t>分项报价明细表（</w:t>
      </w:r>
      <w:r>
        <w:rPr>
          <w:rFonts w:hint="eastAsia" w:ascii="仿宋" w:hAnsi="仿宋" w:eastAsia="仿宋" w:cs="仿宋"/>
          <w:b/>
          <w:color w:val="auto"/>
          <w:kern w:val="0"/>
          <w:sz w:val="24"/>
          <w:highlight w:val="none"/>
          <w:lang w:val="en-US" w:eastAsia="zh-CN"/>
        </w:rPr>
        <w:t>格式自拟</w:t>
      </w:r>
      <w:r>
        <w:rPr>
          <w:rFonts w:hint="eastAsia" w:ascii="仿宋" w:hAnsi="仿宋" w:eastAsia="仿宋" w:cs="仿宋"/>
          <w:b/>
          <w:color w:val="auto"/>
          <w:kern w:val="0"/>
          <w:sz w:val="24"/>
          <w:highlight w:val="none"/>
          <w:lang w:eastAsia="zh-CN"/>
        </w:rPr>
        <w:t>）</w:t>
      </w:r>
    </w:p>
    <w:p w14:paraId="3399F0D9">
      <w:pPr>
        <w:rPr>
          <w:rFonts w:hint="eastAsia"/>
          <w:highlight w:val="none"/>
          <w:lang w:eastAsia="zh-CN"/>
        </w:rPr>
      </w:pPr>
      <w:r>
        <w:rPr>
          <w:rFonts w:hint="eastAsia"/>
          <w:highlight w:val="none"/>
          <w:lang w:eastAsia="zh-CN"/>
        </w:rPr>
        <w:br w:type="page"/>
      </w:r>
    </w:p>
    <w:p w14:paraId="7B741509">
      <w:pPr>
        <w:rPr>
          <w:rFonts w:hint="eastAsia" w:ascii="仿宋" w:hAnsi="仿宋" w:eastAsia="仿宋" w:cs="仿宋"/>
          <w:b/>
          <w:color w:val="auto"/>
          <w:kern w:val="0"/>
          <w:sz w:val="24"/>
          <w:highlight w:val="none"/>
          <w:lang w:eastAsia="zh-CN"/>
        </w:rPr>
        <w:sectPr>
          <w:footerReference r:id="rId10" w:type="default"/>
          <w:pgSz w:w="11906" w:h="16838"/>
          <w:pgMar w:top="1417" w:right="1247" w:bottom="1417" w:left="1247" w:header="851" w:footer="992" w:gutter="0"/>
          <w:pgNumType w:fmt="decimal"/>
          <w:cols w:space="0" w:num="1"/>
          <w:titlePg/>
          <w:rtlGutter w:val="0"/>
          <w:docGrid w:linePitch="312" w:charSpace="0"/>
        </w:sectPr>
      </w:pPr>
    </w:p>
    <w:p w14:paraId="7BD8110B">
      <w:pPr>
        <w:pStyle w:val="41"/>
        <w:rPr>
          <w:rFonts w:hint="eastAsia"/>
          <w:highlight w:val="none"/>
          <w:lang w:eastAsia="zh-CN"/>
        </w:rPr>
      </w:pPr>
    </w:p>
    <w:p w14:paraId="67B41EEC">
      <w:pPr>
        <w:snapToGrid w:val="0"/>
        <w:spacing w:line="360" w:lineRule="auto"/>
        <w:outlineLvl w:val="2"/>
        <w:rPr>
          <w:rFonts w:ascii="仿宋" w:hAnsi="仿宋" w:eastAsia="仿宋" w:cs="仿宋"/>
          <w:color w:val="auto"/>
          <w:highlight w:val="none"/>
        </w:rPr>
      </w:pP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rPr>
        <w:t>．商务</w:t>
      </w:r>
      <w:r>
        <w:rPr>
          <w:rFonts w:hint="eastAsia" w:ascii="仿宋" w:hAnsi="仿宋" w:eastAsia="仿宋" w:cs="仿宋"/>
          <w:b/>
          <w:sz w:val="24"/>
          <w:highlight w:val="none"/>
        </w:rPr>
        <w:t>条款</w:t>
      </w:r>
      <w:r>
        <w:rPr>
          <w:rFonts w:hint="eastAsia" w:ascii="仿宋" w:hAnsi="仿宋" w:eastAsia="仿宋" w:cs="仿宋"/>
          <w:b/>
          <w:color w:val="auto"/>
          <w:kern w:val="0"/>
          <w:sz w:val="24"/>
          <w:highlight w:val="none"/>
        </w:rPr>
        <w:t>响应表格式</w:t>
      </w:r>
    </w:p>
    <w:p w14:paraId="434362E6">
      <w:pPr>
        <w:snapToGrid w:val="0"/>
        <w:spacing w:line="360" w:lineRule="auto"/>
        <w:jc w:val="center"/>
        <w:outlineLvl w:val="9"/>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商务条款响应表</w:t>
      </w:r>
    </w:p>
    <w:tbl>
      <w:tblPr>
        <w:tblStyle w:val="3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3432"/>
        <w:gridCol w:w="2899"/>
        <w:gridCol w:w="1249"/>
        <w:gridCol w:w="1249"/>
      </w:tblGrid>
      <w:tr w14:paraId="23CF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10" w:type="pct"/>
            <w:vAlign w:val="center"/>
          </w:tcPr>
          <w:p w14:paraId="3E2E62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783" w:type="pct"/>
            <w:vAlign w:val="center"/>
          </w:tcPr>
          <w:p w14:paraId="6EAF32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招标文件商务要求</w:t>
            </w:r>
          </w:p>
        </w:tc>
        <w:tc>
          <w:tcPr>
            <w:tcW w:w="1506" w:type="pct"/>
            <w:vAlign w:val="center"/>
          </w:tcPr>
          <w:p w14:paraId="3510CF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投标文件的对应响应</w:t>
            </w:r>
          </w:p>
        </w:tc>
        <w:tc>
          <w:tcPr>
            <w:tcW w:w="649" w:type="pct"/>
            <w:vAlign w:val="center"/>
          </w:tcPr>
          <w:p w14:paraId="593AF9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偏离情况</w:t>
            </w:r>
          </w:p>
        </w:tc>
        <w:tc>
          <w:tcPr>
            <w:tcW w:w="649" w:type="pct"/>
            <w:vAlign w:val="center"/>
          </w:tcPr>
          <w:p w14:paraId="0045CA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2900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10" w:type="pct"/>
            <w:vAlign w:val="center"/>
          </w:tcPr>
          <w:p w14:paraId="791073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783" w:type="pct"/>
            <w:vAlign w:val="center"/>
          </w:tcPr>
          <w:p w14:paraId="542E67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kern w:val="0"/>
                <w:sz w:val="24"/>
                <w:highlight w:val="none"/>
              </w:rPr>
            </w:pPr>
          </w:p>
        </w:tc>
        <w:tc>
          <w:tcPr>
            <w:tcW w:w="1506" w:type="pct"/>
            <w:vAlign w:val="center"/>
          </w:tcPr>
          <w:p w14:paraId="0ED664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649" w:type="pct"/>
            <w:vAlign w:val="center"/>
          </w:tcPr>
          <w:p w14:paraId="1E69E7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649" w:type="pct"/>
            <w:vAlign w:val="center"/>
          </w:tcPr>
          <w:p w14:paraId="3C8C29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r>
      <w:tr w14:paraId="7A42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10" w:type="pct"/>
            <w:vAlign w:val="center"/>
          </w:tcPr>
          <w:p w14:paraId="61A3BD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783" w:type="pct"/>
            <w:vAlign w:val="center"/>
          </w:tcPr>
          <w:p w14:paraId="2DDE2E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kern w:val="0"/>
                <w:sz w:val="24"/>
                <w:highlight w:val="none"/>
              </w:rPr>
            </w:pPr>
          </w:p>
        </w:tc>
        <w:tc>
          <w:tcPr>
            <w:tcW w:w="1506" w:type="pct"/>
            <w:vAlign w:val="center"/>
          </w:tcPr>
          <w:p w14:paraId="7991DD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649" w:type="pct"/>
            <w:vAlign w:val="center"/>
          </w:tcPr>
          <w:p w14:paraId="1505A6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649" w:type="pct"/>
            <w:vAlign w:val="center"/>
          </w:tcPr>
          <w:p w14:paraId="3B7418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r>
      <w:tr w14:paraId="080F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10" w:type="pct"/>
            <w:vAlign w:val="center"/>
          </w:tcPr>
          <w:p w14:paraId="41B707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783" w:type="pct"/>
            <w:vAlign w:val="center"/>
          </w:tcPr>
          <w:p w14:paraId="07E581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kern w:val="0"/>
                <w:sz w:val="24"/>
                <w:highlight w:val="none"/>
              </w:rPr>
            </w:pPr>
          </w:p>
        </w:tc>
        <w:tc>
          <w:tcPr>
            <w:tcW w:w="1506" w:type="pct"/>
            <w:vAlign w:val="center"/>
          </w:tcPr>
          <w:p w14:paraId="2F00B3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649" w:type="pct"/>
            <w:vAlign w:val="center"/>
          </w:tcPr>
          <w:p w14:paraId="748830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649" w:type="pct"/>
            <w:vAlign w:val="center"/>
          </w:tcPr>
          <w:p w14:paraId="475A39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r>
      <w:tr w14:paraId="00D1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10" w:type="pct"/>
            <w:vAlign w:val="center"/>
          </w:tcPr>
          <w:p w14:paraId="6A4F11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783" w:type="pct"/>
            <w:vAlign w:val="center"/>
          </w:tcPr>
          <w:p w14:paraId="02B8CA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highlight w:val="none"/>
              </w:rPr>
            </w:pPr>
          </w:p>
        </w:tc>
        <w:tc>
          <w:tcPr>
            <w:tcW w:w="1506" w:type="pct"/>
            <w:vAlign w:val="center"/>
          </w:tcPr>
          <w:p w14:paraId="5A5AEA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649" w:type="pct"/>
            <w:vAlign w:val="center"/>
          </w:tcPr>
          <w:p w14:paraId="032D01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649" w:type="pct"/>
            <w:vAlign w:val="center"/>
          </w:tcPr>
          <w:p w14:paraId="4B84FF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r>
      <w:tr w14:paraId="44A46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10" w:type="pct"/>
            <w:vAlign w:val="center"/>
          </w:tcPr>
          <w:p w14:paraId="157612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783" w:type="pct"/>
            <w:vAlign w:val="center"/>
          </w:tcPr>
          <w:p w14:paraId="6C9537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highlight w:val="none"/>
              </w:rPr>
            </w:pPr>
          </w:p>
        </w:tc>
        <w:tc>
          <w:tcPr>
            <w:tcW w:w="1506" w:type="pct"/>
            <w:vAlign w:val="center"/>
          </w:tcPr>
          <w:p w14:paraId="460E75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649" w:type="pct"/>
            <w:vAlign w:val="center"/>
          </w:tcPr>
          <w:p w14:paraId="70EA6C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649" w:type="pct"/>
            <w:vAlign w:val="center"/>
          </w:tcPr>
          <w:p w14:paraId="664BCB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r>
      <w:tr w14:paraId="4F54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410" w:type="pct"/>
            <w:vAlign w:val="center"/>
          </w:tcPr>
          <w:p w14:paraId="5FA650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783" w:type="pct"/>
            <w:vAlign w:val="center"/>
          </w:tcPr>
          <w:p w14:paraId="00618A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kern w:val="0"/>
                <w:sz w:val="24"/>
                <w:highlight w:val="none"/>
              </w:rPr>
            </w:pPr>
          </w:p>
        </w:tc>
        <w:tc>
          <w:tcPr>
            <w:tcW w:w="1506" w:type="pct"/>
            <w:vAlign w:val="center"/>
          </w:tcPr>
          <w:p w14:paraId="51AEED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649" w:type="pct"/>
            <w:vAlign w:val="center"/>
          </w:tcPr>
          <w:p w14:paraId="38BE7B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649" w:type="pct"/>
            <w:vAlign w:val="center"/>
          </w:tcPr>
          <w:p w14:paraId="0FE913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r>
      <w:tr w14:paraId="631D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10" w:type="pct"/>
            <w:vAlign w:val="center"/>
          </w:tcPr>
          <w:p w14:paraId="109A24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783" w:type="pct"/>
            <w:vAlign w:val="center"/>
          </w:tcPr>
          <w:p w14:paraId="6EAA77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kern w:val="0"/>
                <w:sz w:val="24"/>
                <w:highlight w:val="none"/>
              </w:rPr>
            </w:pPr>
          </w:p>
        </w:tc>
        <w:tc>
          <w:tcPr>
            <w:tcW w:w="1506" w:type="pct"/>
            <w:vAlign w:val="center"/>
          </w:tcPr>
          <w:p w14:paraId="2A8ECD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649" w:type="pct"/>
            <w:vAlign w:val="center"/>
          </w:tcPr>
          <w:p w14:paraId="3AED59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649" w:type="pct"/>
            <w:vAlign w:val="center"/>
          </w:tcPr>
          <w:p w14:paraId="673C06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r>
    </w:tbl>
    <w:p w14:paraId="5A13CB15">
      <w:pPr>
        <w:widowControl/>
        <w:tabs>
          <w:tab w:val="left" w:pos="4000"/>
        </w:tabs>
        <w:snapToGrid w:val="0"/>
        <w:spacing w:line="360" w:lineRule="auto"/>
        <w:ind w:firstLine="3967" w:firstLineChars="1653"/>
        <w:jc w:val="left"/>
        <w:rPr>
          <w:rFonts w:hint="eastAsia" w:ascii="仿宋" w:hAnsi="仿宋" w:eastAsia="仿宋" w:cs="仿宋"/>
          <w:color w:val="auto"/>
          <w:kern w:val="0"/>
          <w:sz w:val="24"/>
          <w:highlight w:val="none"/>
        </w:rPr>
      </w:pPr>
    </w:p>
    <w:p w14:paraId="7897D471">
      <w:pPr>
        <w:widowControl/>
        <w:tabs>
          <w:tab w:val="left" w:pos="4000"/>
        </w:tabs>
        <w:snapToGrid w:val="0"/>
        <w:spacing w:line="360" w:lineRule="auto"/>
        <w:ind w:firstLine="3967" w:firstLineChars="1653"/>
        <w:jc w:val="left"/>
        <w:rPr>
          <w:rFonts w:hint="eastAsia" w:ascii="仿宋" w:hAnsi="仿宋" w:eastAsia="仿宋" w:cs="仿宋"/>
          <w:color w:val="auto"/>
          <w:kern w:val="0"/>
          <w:sz w:val="24"/>
          <w:highlight w:val="none"/>
        </w:rPr>
      </w:pPr>
    </w:p>
    <w:p w14:paraId="7EEFFF5F">
      <w:pPr>
        <w:widowControl/>
        <w:tabs>
          <w:tab w:val="left" w:pos="4000"/>
        </w:tabs>
        <w:snapToGrid w:val="0"/>
        <w:spacing w:line="360" w:lineRule="auto"/>
        <w:ind w:firstLine="3967" w:firstLineChars="1653"/>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投标人名称：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(盖章)</w:t>
      </w:r>
    </w:p>
    <w:p w14:paraId="39580FD2">
      <w:pPr>
        <w:widowControl/>
        <w:tabs>
          <w:tab w:val="left" w:pos="4000"/>
        </w:tabs>
        <w:snapToGrid w:val="0"/>
        <w:spacing w:line="360" w:lineRule="auto"/>
        <w:ind w:firstLine="3967" w:firstLineChars="1653"/>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投标人代表：</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(签字或盖章)</w:t>
      </w:r>
    </w:p>
    <w:p w14:paraId="4E621427">
      <w:pPr>
        <w:widowControl/>
        <w:tabs>
          <w:tab w:val="left" w:pos="4000"/>
        </w:tabs>
        <w:snapToGrid w:val="0"/>
        <w:spacing w:line="360" w:lineRule="auto"/>
        <w:ind w:firstLine="3967" w:firstLineChars="1653"/>
        <w:jc w:val="left"/>
        <w:rPr>
          <w:rFonts w:ascii="仿宋" w:hAnsi="仿宋" w:eastAsia="仿宋" w:cs="仿宋"/>
          <w:b/>
          <w:color w:val="auto"/>
          <w:kern w:val="0"/>
          <w:sz w:val="24"/>
          <w:highlight w:val="none"/>
        </w:rPr>
      </w:pPr>
      <w:r>
        <w:rPr>
          <w:rFonts w:hint="eastAsia" w:ascii="仿宋" w:hAnsi="仿宋" w:eastAsia="仿宋" w:cs="仿宋"/>
          <w:color w:val="auto"/>
          <w:sz w:val="24"/>
          <w:highlight w:val="none"/>
        </w:rPr>
        <w:t>日     期：</w:t>
      </w:r>
    </w:p>
    <w:p w14:paraId="29BAE4D0">
      <w:pPr>
        <w:snapToGrid w:val="0"/>
        <w:spacing w:line="360" w:lineRule="auto"/>
        <w:outlineLvl w:val="2"/>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br w:type="page"/>
      </w:r>
      <w:r>
        <w:rPr>
          <w:rFonts w:hint="eastAsia" w:ascii="仿宋" w:hAnsi="仿宋" w:eastAsia="仿宋" w:cs="仿宋"/>
          <w:b/>
          <w:color w:val="auto"/>
          <w:kern w:val="0"/>
          <w:sz w:val="24"/>
          <w:highlight w:val="none"/>
          <w:lang w:val="en-US" w:eastAsia="zh-CN"/>
        </w:rPr>
        <w:t>7</w:t>
      </w:r>
      <w:r>
        <w:rPr>
          <w:rFonts w:hint="eastAsia" w:ascii="仿宋" w:hAnsi="仿宋" w:eastAsia="仿宋" w:cs="仿宋"/>
          <w:b/>
          <w:color w:val="auto"/>
          <w:kern w:val="0"/>
          <w:sz w:val="24"/>
          <w:highlight w:val="none"/>
        </w:rPr>
        <w:t>．</w:t>
      </w:r>
      <w:r>
        <w:rPr>
          <w:rFonts w:hint="eastAsia" w:ascii="仿宋" w:hAnsi="仿宋" w:eastAsia="仿宋" w:cs="仿宋"/>
          <w:b/>
          <w:color w:val="auto"/>
          <w:kern w:val="0"/>
          <w:sz w:val="24"/>
          <w:highlight w:val="none"/>
          <w:lang w:eastAsia="zh-CN"/>
        </w:rPr>
        <w:t>技术</w:t>
      </w:r>
      <w:r>
        <w:rPr>
          <w:rFonts w:hint="eastAsia" w:ascii="仿宋" w:hAnsi="仿宋" w:eastAsia="仿宋" w:cs="仿宋"/>
          <w:b/>
          <w:sz w:val="24"/>
          <w:highlight w:val="none"/>
        </w:rPr>
        <w:t>规范</w:t>
      </w:r>
      <w:r>
        <w:rPr>
          <w:rFonts w:hint="eastAsia" w:ascii="仿宋" w:hAnsi="仿宋" w:eastAsia="仿宋" w:cs="仿宋"/>
          <w:b/>
          <w:color w:val="auto"/>
          <w:kern w:val="0"/>
          <w:sz w:val="24"/>
          <w:highlight w:val="none"/>
        </w:rPr>
        <w:t>响应及偏离表格式</w:t>
      </w:r>
    </w:p>
    <w:p w14:paraId="4060C6D7">
      <w:pPr>
        <w:snapToGrid w:val="0"/>
        <w:spacing w:line="360" w:lineRule="auto"/>
        <w:jc w:val="center"/>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技术</w:t>
      </w:r>
      <w:r>
        <w:rPr>
          <w:rFonts w:hint="eastAsia" w:ascii="仿宋" w:hAnsi="仿宋" w:eastAsia="仿宋" w:cs="仿宋"/>
          <w:b/>
          <w:bCs/>
          <w:color w:val="auto"/>
          <w:sz w:val="28"/>
          <w:szCs w:val="28"/>
          <w:highlight w:val="none"/>
        </w:rPr>
        <w:t>规范响应及偏离表</w:t>
      </w:r>
    </w:p>
    <w:tbl>
      <w:tblPr>
        <w:tblStyle w:val="32"/>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976"/>
        <w:gridCol w:w="2931"/>
        <w:gridCol w:w="2285"/>
        <w:gridCol w:w="1988"/>
        <w:gridCol w:w="1282"/>
      </w:tblGrid>
      <w:tr w14:paraId="7831D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516" w:type="pct"/>
            <w:tcBorders>
              <w:top w:val="single" w:color="000000" w:sz="6" w:space="0"/>
              <w:left w:val="single" w:color="000000" w:sz="6" w:space="0"/>
              <w:bottom w:val="single" w:color="000000" w:sz="6" w:space="0"/>
              <w:right w:val="single" w:color="auto" w:sz="4" w:space="0"/>
            </w:tcBorders>
            <w:vAlign w:val="center"/>
          </w:tcPr>
          <w:p w14:paraId="02C6D6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548" w:type="pct"/>
            <w:tcBorders>
              <w:top w:val="single" w:color="000000" w:sz="6" w:space="0"/>
              <w:left w:val="single" w:color="000000" w:sz="6" w:space="0"/>
              <w:bottom w:val="single" w:color="000000" w:sz="6" w:space="0"/>
              <w:right w:val="single" w:color="000000" w:sz="6" w:space="0"/>
            </w:tcBorders>
            <w:vAlign w:val="center"/>
          </w:tcPr>
          <w:p w14:paraId="19F062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招标文件</w:t>
            </w:r>
            <w:r>
              <w:rPr>
                <w:rFonts w:hint="eastAsia" w:ascii="仿宋" w:hAnsi="仿宋" w:eastAsia="仿宋" w:cs="仿宋"/>
                <w:color w:val="auto"/>
                <w:kern w:val="0"/>
                <w:sz w:val="24"/>
                <w:szCs w:val="24"/>
                <w:highlight w:val="none"/>
                <w:lang w:val="en-US" w:eastAsia="zh-CN"/>
              </w:rPr>
              <w:t>技术部分</w:t>
            </w:r>
            <w:r>
              <w:rPr>
                <w:rFonts w:hint="eastAsia" w:ascii="仿宋" w:hAnsi="仿宋" w:eastAsia="仿宋" w:cs="仿宋"/>
                <w:color w:val="auto"/>
                <w:kern w:val="0"/>
                <w:sz w:val="24"/>
                <w:szCs w:val="24"/>
                <w:highlight w:val="none"/>
              </w:rPr>
              <w:t>要求</w:t>
            </w:r>
          </w:p>
        </w:tc>
        <w:tc>
          <w:tcPr>
            <w:tcW w:w="1207" w:type="pct"/>
            <w:tcBorders>
              <w:top w:val="single" w:color="000000" w:sz="6" w:space="0"/>
              <w:left w:val="single" w:color="000000" w:sz="6" w:space="0"/>
              <w:bottom w:val="single" w:color="000000" w:sz="6" w:space="0"/>
              <w:right w:val="single" w:color="000000" w:sz="6" w:space="0"/>
            </w:tcBorders>
            <w:vAlign w:val="center"/>
          </w:tcPr>
          <w:p w14:paraId="22B323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投标文件对应</w:t>
            </w:r>
            <w:r>
              <w:rPr>
                <w:rFonts w:hint="eastAsia" w:ascii="仿宋" w:hAnsi="仿宋" w:eastAsia="仿宋" w:cs="仿宋"/>
                <w:color w:val="auto"/>
                <w:kern w:val="0"/>
                <w:sz w:val="24"/>
                <w:szCs w:val="24"/>
                <w:highlight w:val="none"/>
                <w:lang w:eastAsia="zh-CN"/>
              </w:rPr>
              <w:t>响应</w:t>
            </w:r>
          </w:p>
        </w:tc>
        <w:tc>
          <w:tcPr>
            <w:tcW w:w="1050" w:type="pct"/>
            <w:tcBorders>
              <w:top w:val="single" w:color="000000" w:sz="6" w:space="0"/>
              <w:left w:val="single" w:color="000000" w:sz="6" w:space="0"/>
              <w:bottom w:val="single" w:color="000000" w:sz="6" w:space="0"/>
              <w:right w:val="single" w:color="000000" w:sz="6" w:space="0"/>
            </w:tcBorders>
            <w:vAlign w:val="center"/>
          </w:tcPr>
          <w:p w14:paraId="31ADDD3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偏离情况</w:t>
            </w:r>
          </w:p>
        </w:tc>
        <w:tc>
          <w:tcPr>
            <w:tcW w:w="677" w:type="pct"/>
            <w:tcBorders>
              <w:top w:val="single" w:color="000000" w:sz="6" w:space="0"/>
              <w:left w:val="single" w:color="000000" w:sz="6" w:space="0"/>
              <w:bottom w:val="single" w:color="000000" w:sz="6" w:space="0"/>
              <w:right w:val="single" w:color="000000" w:sz="6" w:space="0"/>
            </w:tcBorders>
            <w:vAlign w:val="center"/>
          </w:tcPr>
          <w:p w14:paraId="4280E9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0D4B5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516" w:type="pct"/>
            <w:tcBorders>
              <w:top w:val="single" w:color="000000" w:sz="6" w:space="0"/>
              <w:left w:val="single" w:color="000000" w:sz="6" w:space="0"/>
              <w:bottom w:val="single" w:color="000000" w:sz="6" w:space="0"/>
              <w:right w:val="single" w:color="auto" w:sz="4" w:space="0"/>
            </w:tcBorders>
            <w:vAlign w:val="center"/>
          </w:tcPr>
          <w:p w14:paraId="663D872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548" w:type="pct"/>
            <w:tcBorders>
              <w:top w:val="single" w:color="000000" w:sz="6" w:space="0"/>
              <w:left w:val="single" w:color="000000" w:sz="6" w:space="0"/>
              <w:bottom w:val="single" w:color="000000" w:sz="6" w:space="0"/>
              <w:right w:val="single" w:color="000000" w:sz="6" w:space="0"/>
            </w:tcBorders>
            <w:vAlign w:val="center"/>
          </w:tcPr>
          <w:p w14:paraId="7018195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c>
          <w:tcPr>
            <w:tcW w:w="1207" w:type="pct"/>
            <w:tcBorders>
              <w:top w:val="single" w:color="000000" w:sz="6" w:space="0"/>
              <w:left w:val="single" w:color="000000" w:sz="6" w:space="0"/>
              <w:bottom w:val="single" w:color="000000" w:sz="6" w:space="0"/>
              <w:right w:val="single" w:color="000000" w:sz="6" w:space="0"/>
            </w:tcBorders>
            <w:vAlign w:val="center"/>
          </w:tcPr>
          <w:p w14:paraId="08550F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c>
          <w:tcPr>
            <w:tcW w:w="1050" w:type="pct"/>
            <w:tcBorders>
              <w:top w:val="single" w:color="000000" w:sz="6" w:space="0"/>
              <w:left w:val="single" w:color="000000" w:sz="6" w:space="0"/>
              <w:bottom w:val="single" w:color="000000" w:sz="6" w:space="0"/>
              <w:right w:val="single" w:color="000000" w:sz="6" w:space="0"/>
            </w:tcBorders>
            <w:vAlign w:val="center"/>
          </w:tcPr>
          <w:p w14:paraId="4F3DA9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c>
          <w:tcPr>
            <w:tcW w:w="677" w:type="pct"/>
            <w:tcBorders>
              <w:top w:val="single" w:color="000000" w:sz="6" w:space="0"/>
              <w:left w:val="single" w:color="000000" w:sz="6" w:space="0"/>
              <w:bottom w:val="single" w:color="000000" w:sz="6" w:space="0"/>
              <w:right w:val="single" w:color="000000" w:sz="6" w:space="0"/>
            </w:tcBorders>
            <w:vAlign w:val="center"/>
          </w:tcPr>
          <w:p w14:paraId="597410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r>
      <w:tr w14:paraId="0AE3D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516" w:type="pct"/>
            <w:tcBorders>
              <w:top w:val="single" w:color="000000" w:sz="6" w:space="0"/>
              <w:left w:val="single" w:color="000000" w:sz="6" w:space="0"/>
              <w:bottom w:val="single" w:color="000000" w:sz="6" w:space="0"/>
              <w:right w:val="single" w:color="auto" w:sz="4" w:space="0"/>
            </w:tcBorders>
            <w:vAlign w:val="center"/>
          </w:tcPr>
          <w:p w14:paraId="51B2885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48" w:type="pct"/>
            <w:tcBorders>
              <w:top w:val="single" w:color="000000" w:sz="6" w:space="0"/>
              <w:left w:val="single" w:color="000000" w:sz="6" w:space="0"/>
              <w:bottom w:val="single" w:color="000000" w:sz="6" w:space="0"/>
              <w:right w:val="single" w:color="000000" w:sz="6" w:space="0"/>
            </w:tcBorders>
            <w:vAlign w:val="center"/>
          </w:tcPr>
          <w:p w14:paraId="319CE8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c>
          <w:tcPr>
            <w:tcW w:w="1207" w:type="pct"/>
            <w:tcBorders>
              <w:top w:val="single" w:color="000000" w:sz="6" w:space="0"/>
              <w:left w:val="single" w:color="000000" w:sz="6" w:space="0"/>
              <w:bottom w:val="single" w:color="000000" w:sz="6" w:space="0"/>
              <w:right w:val="single" w:color="000000" w:sz="6" w:space="0"/>
            </w:tcBorders>
            <w:vAlign w:val="center"/>
          </w:tcPr>
          <w:p w14:paraId="110626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c>
          <w:tcPr>
            <w:tcW w:w="1050" w:type="pct"/>
            <w:tcBorders>
              <w:top w:val="single" w:color="000000" w:sz="6" w:space="0"/>
              <w:left w:val="single" w:color="000000" w:sz="6" w:space="0"/>
              <w:bottom w:val="single" w:color="000000" w:sz="6" w:space="0"/>
              <w:right w:val="single" w:color="000000" w:sz="6" w:space="0"/>
            </w:tcBorders>
            <w:vAlign w:val="center"/>
          </w:tcPr>
          <w:p w14:paraId="18097B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c>
          <w:tcPr>
            <w:tcW w:w="677" w:type="pct"/>
            <w:tcBorders>
              <w:top w:val="single" w:color="000000" w:sz="6" w:space="0"/>
              <w:left w:val="single" w:color="000000" w:sz="6" w:space="0"/>
              <w:bottom w:val="single" w:color="000000" w:sz="6" w:space="0"/>
              <w:right w:val="single" w:color="000000" w:sz="6" w:space="0"/>
            </w:tcBorders>
            <w:vAlign w:val="center"/>
          </w:tcPr>
          <w:p w14:paraId="7B93617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r>
      <w:tr w14:paraId="5CE29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516" w:type="pct"/>
            <w:tcBorders>
              <w:top w:val="single" w:color="000000" w:sz="6" w:space="0"/>
              <w:left w:val="single" w:color="000000" w:sz="6" w:space="0"/>
              <w:bottom w:val="single" w:color="000000" w:sz="6" w:space="0"/>
              <w:right w:val="single" w:color="auto" w:sz="4" w:space="0"/>
            </w:tcBorders>
            <w:vAlign w:val="center"/>
          </w:tcPr>
          <w:p w14:paraId="465005B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548" w:type="pct"/>
            <w:tcBorders>
              <w:top w:val="single" w:color="000000" w:sz="6" w:space="0"/>
              <w:left w:val="single" w:color="000000" w:sz="6" w:space="0"/>
              <w:bottom w:val="single" w:color="000000" w:sz="6" w:space="0"/>
              <w:right w:val="single" w:color="000000" w:sz="6" w:space="0"/>
            </w:tcBorders>
            <w:vAlign w:val="center"/>
          </w:tcPr>
          <w:p w14:paraId="6EAC553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c>
          <w:tcPr>
            <w:tcW w:w="1207" w:type="pct"/>
            <w:tcBorders>
              <w:top w:val="single" w:color="000000" w:sz="6" w:space="0"/>
              <w:left w:val="single" w:color="000000" w:sz="6" w:space="0"/>
              <w:bottom w:val="single" w:color="000000" w:sz="6" w:space="0"/>
              <w:right w:val="single" w:color="000000" w:sz="6" w:space="0"/>
            </w:tcBorders>
            <w:vAlign w:val="center"/>
          </w:tcPr>
          <w:p w14:paraId="0462C5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c>
          <w:tcPr>
            <w:tcW w:w="1050" w:type="pct"/>
            <w:tcBorders>
              <w:top w:val="single" w:color="000000" w:sz="6" w:space="0"/>
              <w:left w:val="single" w:color="000000" w:sz="6" w:space="0"/>
              <w:bottom w:val="single" w:color="000000" w:sz="6" w:space="0"/>
              <w:right w:val="single" w:color="000000" w:sz="6" w:space="0"/>
            </w:tcBorders>
            <w:vAlign w:val="center"/>
          </w:tcPr>
          <w:p w14:paraId="1E62DA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c>
          <w:tcPr>
            <w:tcW w:w="677" w:type="pct"/>
            <w:tcBorders>
              <w:top w:val="single" w:color="000000" w:sz="6" w:space="0"/>
              <w:left w:val="single" w:color="000000" w:sz="6" w:space="0"/>
              <w:bottom w:val="single" w:color="000000" w:sz="6" w:space="0"/>
              <w:right w:val="single" w:color="000000" w:sz="6" w:space="0"/>
            </w:tcBorders>
            <w:vAlign w:val="center"/>
          </w:tcPr>
          <w:p w14:paraId="4AAC96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r>
      <w:tr w14:paraId="2167D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516" w:type="pct"/>
            <w:tcBorders>
              <w:top w:val="single" w:color="000000" w:sz="6" w:space="0"/>
              <w:left w:val="single" w:color="000000" w:sz="6" w:space="0"/>
              <w:bottom w:val="single" w:color="000000" w:sz="6" w:space="0"/>
              <w:right w:val="single" w:color="auto" w:sz="4" w:space="0"/>
            </w:tcBorders>
            <w:vAlign w:val="center"/>
          </w:tcPr>
          <w:p w14:paraId="472BF2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548" w:type="pct"/>
            <w:tcBorders>
              <w:top w:val="single" w:color="000000" w:sz="6" w:space="0"/>
              <w:left w:val="single" w:color="000000" w:sz="6" w:space="0"/>
              <w:bottom w:val="single" w:color="000000" w:sz="6" w:space="0"/>
              <w:right w:val="single" w:color="000000" w:sz="6" w:space="0"/>
            </w:tcBorders>
            <w:vAlign w:val="center"/>
          </w:tcPr>
          <w:p w14:paraId="54CBA8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p w14:paraId="23B14B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 </w:t>
            </w:r>
          </w:p>
        </w:tc>
        <w:tc>
          <w:tcPr>
            <w:tcW w:w="1207" w:type="pct"/>
            <w:tcBorders>
              <w:top w:val="single" w:color="000000" w:sz="6" w:space="0"/>
              <w:left w:val="single" w:color="000000" w:sz="6" w:space="0"/>
              <w:bottom w:val="single" w:color="000000" w:sz="6" w:space="0"/>
              <w:right w:val="single" w:color="000000" w:sz="6" w:space="0"/>
            </w:tcBorders>
            <w:vAlign w:val="center"/>
          </w:tcPr>
          <w:p w14:paraId="141C99A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c>
          <w:tcPr>
            <w:tcW w:w="1050" w:type="pct"/>
            <w:tcBorders>
              <w:top w:val="single" w:color="000000" w:sz="6" w:space="0"/>
              <w:left w:val="single" w:color="000000" w:sz="6" w:space="0"/>
              <w:bottom w:val="single" w:color="000000" w:sz="6" w:space="0"/>
              <w:right w:val="single" w:color="000000" w:sz="6" w:space="0"/>
            </w:tcBorders>
            <w:vAlign w:val="center"/>
          </w:tcPr>
          <w:p w14:paraId="2C23647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c>
          <w:tcPr>
            <w:tcW w:w="677" w:type="pct"/>
            <w:tcBorders>
              <w:top w:val="single" w:color="000000" w:sz="6" w:space="0"/>
              <w:left w:val="single" w:color="000000" w:sz="6" w:space="0"/>
              <w:bottom w:val="single" w:color="000000" w:sz="6" w:space="0"/>
              <w:right w:val="single" w:color="000000" w:sz="6" w:space="0"/>
            </w:tcBorders>
            <w:vAlign w:val="center"/>
          </w:tcPr>
          <w:p w14:paraId="3CCDA5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r>
      <w:tr w14:paraId="46EAB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516" w:type="pct"/>
            <w:tcBorders>
              <w:top w:val="single" w:color="000000" w:sz="6" w:space="0"/>
              <w:left w:val="single" w:color="000000" w:sz="6" w:space="0"/>
              <w:bottom w:val="single" w:color="000000" w:sz="6" w:space="0"/>
              <w:right w:val="single" w:color="auto" w:sz="4" w:space="0"/>
            </w:tcBorders>
            <w:vAlign w:val="center"/>
          </w:tcPr>
          <w:p w14:paraId="20BE56E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c>
          <w:tcPr>
            <w:tcW w:w="1548" w:type="pct"/>
            <w:tcBorders>
              <w:top w:val="single" w:color="000000" w:sz="6" w:space="0"/>
              <w:left w:val="single" w:color="000000" w:sz="6" w:space="0"/>
              <w:bottom w:val="single" w:color="000000" w:sz="6" w:space="0"/>
              <w:right w:val="single" w:color="000000" w:sz="6" w:space="0"/>
            </w:tcBorders>
            <w:vAlign w:val="center"/>
          </w:tcPr>
          <w:p w14:paraId="5BCB21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c>
          <w:tcPr>
            <w:tcW w:w="1207" w:type="pct"/>
            <w:tcBorders>
              <w:top w:val="single" w:color="000000" w:sz="6" w:space="0"/>
              <w:left w:val="single" w:color="000000" w:sz="6" w:space="0"/>
              <w:bottom w:val="single" w:color="000000" w:sz="6" w:space="0"/>
              <w:right w:val="single" w:color="000000" w:sz="6" w:space="0"/>
            </w:tcBorders>
            <w:vAlign w:val="center"/>
          </w:tcPr>
          <w:p w14:paraId="48CE17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c>
          <w:tcPr>
            <w:tcW w:w="1050" w:type="pct"/>
            <w:tcBorders>
              <w:top w:val="single" w:color="000000" w:sz="6" w:space="0"/>
              <w:left w:val="single" w:color="000000" w:sz="6" w:space="0"/>
              <w:bottom w:val="single" w:color="000000" w:sz="6" w:space="0"/>
              <w:right w:val="single" w:color="000000" w:sz="6" w:space="0"/>
            </w:tcBorders>
            <w:vAlign w:val="center"/>
          </w:tcPr>
          <w:p w14:paraId="2A77D1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c>
          <w:tcPr>
            <w:tcW w:w="677" w:type="pct"/>
            <w:tcBorders>
              <w:top w:val="single" w:color="000000" w:sz="6" w:space="0"/>
              <w:left w:val="single" w:color="000000" w:sz="6" w:space="0"/>
              <w:bottom w:val="single" w:color="000000" w:sz="6" w:space="0"/>
              <w:right w:val="single" w:color="000000" w:sz="6" w:space="0"/>
            </w:tcBorders>
            <w:vAlign w:val="center"/>
          </w:tcPr>
          <w:p w14:paraId="2A6BBF5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r>
      <w:tr w14:paraId="43F4D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516" w:type="pct"/>
            <w:tcBorders>
              <w:top w:val="single" w:color="000000" w:sz="6" w:space="0"/>
              <w:left w:val="single" w:color="000000" w:sz="6" w:space="0"/>
              <w:bottom w:val="single" w:color="000000" w:sz="6" w:space="0"/>
              <w:right w:val="single" w:color="auto" w:sz="4" w:space="0"/>
            </w:tcBorders>
            <w:vAlign w:val="center"/>
          </w:tcPr>
          <w:p w14:paraId="118C39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c>
          <w:tcPr>
            <w:tcW w:w="1548" w:type="pct"/>
            <w:tcBorders>
              <w:top w:val="single" w:color="000000" w:sz="6" w:space="0"/>
              <w:left w:val="single" w:color="000000" w:sz="6" w:space="0"/>
              <w:bottom w:val="single" w:color="000000" w:sz="6" w:space="0"/>
              <w:right w:val="single" w:color="000000" w:sz="6" w:space="0"/>
            </w:tcBorders>
            <w:vAlign w:val="center"/>
          </w:tcPr>
          <w:p w14:paraId="53D55D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c>
          <w:tcPr>
            <w:tcW w:w="1207" w:type="pct"/>
            <w:tcBorders>
              <w:top w:val="single" w:color="000000" w:sz="6" w:space="0"/>
              <w:left w:val="single" w:color="000000" w:sz="6" w:space="0"/>
              <w:bottom w:val="single" w:color="000000" w:sz="6" w:space="0"/>
              <w:right w:val="single" w:color="000000" w:sz="6" w:space="0"/>
            </w:tcBorders>
            <w:vAlign w:val="center"/>
          </w:tcPr>
          <w:p w14:paraId="51292E7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c>
          <w:tcPr>
            <w:tcW w:w="1050" w:type="pct"/>
            <w:tcBorders>
              <w:top w:val="single" w:color="000000" w:sz="6" w:space="0"/>
              <w:left w:val="single" w:color="000000" w:sz="6" w:space="0"/>
              <w:bottom w:val="single" w:color="000000" w:sz="6" w:space="0"/>
              <w:right w:val="single" w:color="000000" w:sz="6" w:space="0"/>
            </w:tcBorders>
            <w:vAlign w:val="center"/>
          </w:tcPr>
          <w:p w14:paraId="64750C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c>
          <w:tcPr>
            <w:tcW w:w="677" w:type="pct"/>
            <w:tcBorders>
              <w:top w:val="single" w:color="000000" w:sz="6" w:space="0"/>
              <w:left w:val="single" w:color="000000" w:sz="6" w:space="0"/>
              <w:bottom w:val="single" w:color="000000" w:sz="6" w:space="0"/>
              <w:right w:val="single" w:color="000000" w:sz="6" w:space="0"/>
            </w:tcBorders>
            <w:vAlign w:val="center"/>
          </w:tcPr>
          <w:p w14:paraId="6A364F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r>
      <w:tr w14:paraId="4DBFB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516" w:type="pct"/>
            <w:tcBorders>
              <w:top w:val="single" w:color="000000" w:sz="6" w:space="0"/>
              <w:left w:val="single" w:color="000000" w:sz="6" w:space="0"/>
              <w:bottom w:val="single" w:color="000000" w:sz="6" w:space="0"/>
              <w:right w:val="single" w:color="auto" w:sz="4" w:space="0"/>
            </w:tcBorders>
            <w:vAlign w:val="center"/>
          </w:tcPr>
          <w:p w14:paraId="22779A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c>
          <w:tcPr>
            <w:tcW w:w="1548" w:type="pct"/>
            <w:tcBorders>
              <w:top w:val="single" w:color="000000" w:sz="6" w:space="0"/>
              <w:left w:val="single" w:color="000000" w:sz="6" w:space="0"/>
              <w:bottom w:val="single" w:color="000000" w:sz="6" w:space="0"/>
              <w:right w:val="single" w:color="000000" w:sz="6" w:space="0"/>
            </w:tcBorders>
            <w:vAlign w:val="center"/>
          </w:tcPr>
          <w:p w14:paraId="4BBCF3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c>
          <w:tcPr>
            <w:tcW w:w="1207" w:type="pct"/>
            <w:tcBorders>
              <w:top w:val="single" w:color="000000" w:sz="6" w:space="0"/>
              <w:left w:val="single" w:color="000000" w:sz="6" w:space="0"/>
              <w:bottom w:val="single" w:color="000000" w:sz="6" w:space="0"/>
              <w:right w:val="single" w:color="000000" w:sz="6" w:space="0"/>
            </w:tcBorders>
            <w:vAlign w:val="center"/>
          </w:tcPr>
          <w:p w14:paraId="7E5818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c>
          <w:tcPr>
            <w:tcW w:w="1050" w:type="pct"/>
            <w:tcBorders>
              <w:top w:val="single" w:color="000000" w:sz="6" w:space="0"/>
              <w:left w:val="single" w:color="000000" w:sz="6" w:space="0"/>
              <w:bottom w:val="single" w:color="000000" w:sz="6" w:space="0"/>
              <w:right w:val="single" w:color="000000" w:sz="6" w:space="0"/>
            </w:tcBorders>
            <w:vAlign w:val="center"/>
          </w:tcPr>
          <w:p w14:paraId="0D9DD8F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c>
          <w:tcPr>
            <w:tcW w:w="677" w:type="pct"/>
            <w:tcBorders>
              <w:top w:val="single" w:color="000000" w:sz="6" w:space="0"/>
              <w:left w:val="single" w:color="000000" w:sz="6" w:space="0"/>
              <w:bottom w:val="single" w:color="000000" w:sz="6" w:space="0"/>
              <w:right w:val="single" w:color="000000" w:sz="6" w:space="0"/>
            </w:tcBorders>
            <w:vAlign w:val="center"/>
          </w:tcPr>
          <w:p w14:paraId="626492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r>
      <w:tr w14:paraId="48BBB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516" w:type="pct"/>
            <w:tcBorders>
              <w:top w:val="single" w:color="000000" w:sz="6" w:space="0"/>
              <w:left w:val="single" w:color="000000" w:sz="6" w:space="0"/>
              <w:bottom w:val="single" w:color="000000" w:sz="6" w:space="0"/>
              <w:right w:val="single" w:color="auto" w:sz="4" w:space="0"/>
            </w:tcBorders>
            <w:vAlign w:val="center"/>
          </w:tcPr>
          <w:p w14:paraId="3DBF5E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c>
          <w:tcPr>
            <w:tcW w:w="1548" w:type="pct"/>
            <w:tcBorders>
              <w:top w:val="single" w:color="000000" w:sz="6" w:space="0"/>
              <w:left w:val="single" w:color="000000" w:sz="6" w:space="0"/>
              <w:bottom w:val="single" w:color="000000" w:sz="6" w:space="0"/>
              <w:right w:val="single" w:color="000000" w:sz="6" w:space="0"/>
            </w:tcBorders>
            <w:vAlign w:val="center"/>
          </w:tcPr>
          <w:p w14:paraId="7BD1914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c>
          <w:tcPr>
            <w:tcW w:w="1207" w:type="pct"/>
            <w:tcBorders>
              <w:top w:val="single" w:color="000000" w:sz="6" w:space="0"/>
              <w:left w:val="single" w:color="000000" w:sz="6" w:space="0"/>
              <w:bottom w:val="single" w:color="000000" w:sz="6" w:space="0"/>
              <w:right w:val="single" w:color="000000" w:sz="6" w:space="0"/>
            </w:tcBorders>
            <w:vAlign w:val="center"/>
          </w:tcPr>
          <w:p w14:paraId="0D5D4C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c>
          <w:tcPr>
            <w:tcW w:w="1050" w:type="pct"/>
            <w:tcBorders>
              <w:top w:val="single" w:color="000000" w:sz="6" w:space="0"/>
              <w:left w:val="single" w:color="000000" w:sz="6" w:space="0"/>
              <w:bottom w:val="single" w:color="000000" w:sz="6" w:space="0"/>
              <w:right w:val="single" w:color="000000" w:sz="6" w:space="0"/>
            </w:tcBorders>
            <w:vAlign w:val="center"/>
          </w:tcPr>
          <w:p w14:paraId="36115D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c>
          <w:tcPr>
            <w:tcW w:w="677" w:type="pct"/>
            <w:tcBorders>
              <w:top w:val="single" w:color="000000" w:sz="6" w:space="0"/>
              <w:left w:val="single" w:color="000000" w:sz="6" w:space="0"/>
              <w:bottom w:val="single" w:color="000000" w:sz="6" w:space="0"/>
              <w:right w:val="single" w:color="000000" w:sz="6" w:space="0"/>
            </w:tcBorders>
            <w:vAlign w:val="center"/>
          </w:tcPr>
          <w:p w14:paraId="79E4D23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r>
      <w:tr w14:paraId="4B7DF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516" w:type="pct"/>
            <w:tcBorders>
              <w:top w:val="single" w:color="000000" w:sz="6" w:space="0"/>
              <w:left w:val="single" w:color="000000" w:sz="6" w:space="0"/>
              <w:bottom w:val="single" w:color="000000" w:sz="6" w:space="0"/>
              <w:right w:val="single" w:color="auto" w:sz="4" w:space="0"/>
            </w:tcBorders>
            <w:vAlign w:val="center"/>
          </w:tcPr>
          <w:p w14:paraId="7C7F15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c>
          <w:tcPr>
            <w:tcW w:w="1548" w:type="pct"/>
            <w:tcBorders>
              <w:top w:val="single" w:color="000000" w:sz="6" w:space="0"/>
              <w:left w:val="single" w:color="000000" w:sz="6" w:space="0"/>
              <w:bottom w:val="single" w:color="000000" w:sz="6" w:space="0"/>
              <w:right w:val="single" w:color="000000" w:sz="6" w:space="0"/>
            </w:tcBorders>
            <w:vAlign w:val="center"/>
          </w:tcPr>
          <w:p w14:paraId="4EE356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c>
          <w:tcPr>
            <w:tcW w:w="1207" w:type="pct"/>
            <w:tcBorders>
              <w:top w:val="single" w:color="000000" w:sz="6" w:space="0"/>
              <w:left w:val="single" w:color="000000" w:sz="6" w:space="0"/>
              <w:bottom w:val="single" w:color="000000" w:sz="6" w:space="0"/>
              <w:right w:val="single" w:color="000000" w:sz="6" w:space="0"/>
            </w:tcBorders>
            <w:vAlign w:val="center"/>
          </w:tcPr>
          <w:p w14:paraId="155D98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c>
          <w:tcPr>
            <w:tcW w:w="1050" w:type="pct"/>
            <w:tcBorders>
              <w:top w:val="single" w:color="000000" w:sz="6" w:space="0"/>
              <w:left w:val="single" w:color="000000" w:sz="6" w:space="0"/>
              <w:bottom w:val="single" w:color="000000" w:sz="6" w:space="0"/>
              <w:right w:val="single" w:color="000000" w:sz="6" w:space="0"/>
            </w:tcBorders>
            <w:vAlign w:val="center"/>
          </w:tcPr>
          <w:p w14:paraId="1D47C0F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c>
          <w:tcPr>
            <w:tcW w:w="677" w:type="pct"/>
            <w:tcBorders>
              <w:top w:val="single" w:color="000000" w:sz="6" w:space="0"/>
              <w:left w:val="single" w:color="000000" w:sz="6" w:space="0"/>
              <w:bottom w:val="single" w:color="000000" w:sz="6" w:space="0"/>
              <w:right w:val="single" w:color="000000" w:sz="6" w:space="0"/>
            </w:tcBorders>
            <w:vAlign w:val="center"/>
          </w:tcPr>
          <w:p w14:paraId="46AA9A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仿宋"/>
                <w:color w:val="auto"/>
                <w:kern w:val="0"/>
                <w:sz w:val="24"/>
                <w:szCs w:val="24"/>
                <w:highlight w:val="none"/>
              </w:rPr>
            </w:pPr>
          </w:p>
        </w:tc>
      </w:tr>
    </w:tbl>
    <w:p w14:paraId="23D775F6">
      <w:pPr>
        <w:widowControl/>
        <w:tabs>
          <w:tab w:val="left" w:pos="4000"/>
        </w:tabs>
        <w:snapToGrid w:val="0"/>
        <w:spacing w:line="360" w:lineRule="auto"/>
        <w:ind w:firstLine="3967" w:firstLineChars="1653"/>
        <w:jc w:val="left"/>
        <w:rPr>
          <w:rFonts w:hint="eastAsia" w:ascii="仿宋" w:hAnsi="仿宋" w:eastAsia="仿宋" w:cs="仿宋"/>
          <w:color w:val="auto"/>
          <w:kern w:val="0"/>
          <w:sz w:val="24"/>
          <w:highlight w:val="none"/>
        </w:rPr>
      </w:pPr>
    </w:p>
    <w:p w14:paraId="173C60DD">
      <w:pPr>
        <w:widowControl/>
        <w:tabs>
          <w:tab w:val="left" w:pos="4000"/>
        </w:tabs>
        <w:snapToGrid w:val="0"/>
        <w:spacing w:line="360" w:lineRule="auto"/>
        <w:ind w:firstLine="3967" w:firstLineChars="1653"/>
        <w:jc w:val="left"/>
        <w:rPr>
          <w:rFonts w:hint="eastAsia" w:ascii="仿宋" w:hAnsi="仿宋" w:eastAsia="仿宋" w:cs="仿宋"/>
          <w:color w:val="auto"/>
          <w:kern w:val="0"/>
          <w:sz w:val="24"/>
          <w:highlight w:val="none"/>
        </w:rPr>
      </w:pPr>
    </w:p>
    <w:p w14:paraId="33B372CB">
      <w:pPr>
        <w:widowControl/>
        <w:tabs>
          <w:tab w:val="left" w:pos="4000"/>
        </w:tabs>
        <w:snapToGrid w:val="0"/>
        <w:spacing w:line="360" w:lineRule="auto"/>
        <w:ind w:firstLine="3967" w:firstLineChars="1653"/>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投标人名称：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(盖章)</w:t>
      </w:r>
    </w:p>
    <w:p w14:paraId="2AE79CB0">
      <w:pPr>
        <w:widowControl/>
        <w:tabs>
          <w:tab w:val="left" w:pos="4000"/>
        </w:tabs>
        <w:snapToGrid w:val="0"/>
        <w:spacing w:line="360" w:lineRule="auto"/>
        <w:ind w:firstLine="3967" w:firstLineChars="1653"/>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投标人代表：</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(签字或盖章)</w:t>
      </w:r>
    </w:p>
    <w:p w14:paraId="002E0B0A">
      <w:pPr>
        <w:widowControl/>
        <w:tabs>
          <w:tab w:val="left" w:pos="4000"/>
        </w:tabs>
        <w:snapToGrid w:val="0"/>
        <w:spacing w:line="360" w:lineRule="auto"/>
        <w:ind w:firstLine="3967" w:firstLineChars="1653"/>
        <w:jc w:val="left"/>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3839D9C5">
      <w:pPr>
        <w:snapToGrid w:val="0"/>
        <w:spacing w:line="360" w:lineRule="auto"/>
        <w:outlineLvl w:val="2"/>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br w:type="page"/>
      </w:r>
      <w:r>
        <w:rPr>
          <w:rFonts w:hint="eastAsia" w:ascii="仿宋" w:hAnsi="仿宋" w:eastAsia="仿宋" w:cs="仿宋"/>
          <w:b/>
          <w:color w:val="auto"/>
          <w:kern w:val="0"/>
          <w:sz w:val="24"/>
          <w:highlight w:val="none"/>
          <w:lang w:val="en-US" w:eastAsia="zh-CN"/>
        </w:rPr>
        <w:t>8</w:t>
      </w:r>
      <w:r>
        <w:rPr>
          <w:rFonts w:hint="eastAsia" w:ascii="仿宋" w:hAnsi="仿宋" w:eastAsia="仿宋" w:cs="仿宋"/>
          <w:b/>
          <w:color w:val="auto"/>
          <w:kern w:val="0"/>
          <w:sz w:val="24"/>
          <w:highlight w:val="none"/>
        </w:rPr>
        <w:t>．投标</w:t>
      </w:r>
      <w:r>
        <w:rPr>
          <w:rFonts w:hint="eastAsia" w:ascii="仿宋" w:hAnsi="仿宋" w:eastAsia="仿宋" w:cs="仿宋"/>
          <w:b/>
          <w:sz w:val="24"/>
          <w:highlight w:val="none"/>
        </w:rPr>
        <w:t>文件</w:t>
      </w:r>
      <w:r>
        <w:rPr>
          <w:rFonts w:hint="eastAsia" w:ascii="仿宋" w:hAnsi="仿宋" w:eastAsia="仿宋" w:cs="仿宋"/>
          <w:b/>
          <w:color w:val="auto"/>
          <w:kern w:val="0"/>
          <w:sz w:val="24"/>
          <w:highlight w:val="none"/>
        </w:rPr>
        <w:t>递交截止日前</w:t>
      </w:r>
      <w:r>
        <w:rPr>
          <w:rFonts w:hint="eastAsia" w:ascii="仿宋" w:hAnsi="仿宋" w:eastAsia="仿宋" w:cs="仿宋"/>
          <w:b/>
          <w:color w:val="auto"/>
          <w:kern w:val="0"/>
          <w:sz w:val="24"/>
          <w:highlight w:val="none"/>
          <w:lang w:val="en-US" w:eastAsia="zh-CN"/>
        </w:rPr>
        <w:t>五年</w:t>
      </w:r>
      <w:r>
        <w:rPr>
          <w:rFonts w:hint="eastAsia" w:ascii="仿宋" w:hAnsi="仿宋" w:eastAsia="仿宋" w:cs="仿宋"/>
          <w:b/>
          <w:color w:val="auto"/>
          <w:kern w:val="0"/>
          <w:sz w:val="24"/>
          <w:highlight w:val="none"/>
        </w:rPr>
        <w:t>内</w:t>
      </w:r>
      <w:r>
        <w:rPr>
          <w:rFonts w:hint="default" w:ascii="仿宋" w:hAnsi="仿宋" w:eastAsia="仿宋" w:cs="仿宋"/>
          <w:b/>
          <w:color w:val="auto"/>
          <w:kern w:val="0"/>
          <w:sz w:val="24"/>
          <w:highlight w:val="none"/>
          <w:lang w:val="en"/>
        </w:rPr>
        <w:t>类似</w:t>
      </w:r>
      <w:r>
        <w:rPr>
          <w:rFonts w:hint="eastAsia" w:ascii="仿宋" w:hAnsi="仿宋" w:eastAsia="仿宋" w:cs="仿宋"/>
          <w:b/>
          <w:color w:val="auto"/>
          <w:kern w:val="0"/>
          <w:sz w:val="24"/>
          <w:highlight w:val="none"/>
        </w:rPr>
        <w:t>项目相关证明资料格式</w:t>
      </w:r>
    </w:p>
    <w:p w14:paraId="31C39C92">
      <w:pPr>
        <w:spacing w:line="480" w:lineRule="exact"/>
        <w:jc w:val="center"/>
        <w:outlineLvl w:val="9"/>
        <w:rPr>
          <w:rFonts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rPr>
        <w:t>前</w:t>
      </w:r>
      <w:r>
        <w:rPr>
          <w:rFonts w:hint="eastAsia" w:ascii="仿宋" w:hAnsi="仿宋" w:eastAsia="仿宋" w:cs="仿宋"/>
          <w:b/>
          <w:color w:val="auto"/>
          <w:kern w:val="0"/>
          <w:sz w:val="28"/>
          <w:szCs w:val="28"/>
          <w:highlight w:val="none"/>
          <w:lang w:val="en-US" w:eastAsia="zh-CN"/>
        </w:rPr>
        <w:t>五年</w:t>
      </w:r>
      <w:r>
        <w:rPr>
          <w:rFonts w:hint="eastAsia" w:ascii="仿宋" w:hAnsi="仿宋" w:eastAsia="仿宋" w:cs="仿宋"/>
          <w:b/>
          <w:color w:val="auto"/>
          <w:kern w:val="0"/>
          <w:sz w:val="28"/>
          <w:szCs w:val="28"/>
          <w:highlight w:val="none"/>
        </w:rPr>
        <w:t>内</w:t>
      </w:r>
      <w:r>
        <w:rPr>
          <w:rFonts w:hint="default" w:ascii="仿宋" w:hAnsi="仿宋" w:eastAsia="仿宋" w:cs="仿宋"/>
          <w:b/>
          <w:color w:val="auto"/>
          <w:kern w:val="0"/>
          <w:sz w:val="28"/>
          <w:szCs w:val="28"/>
          <w:highlight w:val="none"/>
          <w:lang w:val="en"/>
        </w:rPr>
        <w:t>类似</w:t>
      </w:r>
      <w:r>
        <w:rPr>
          <w:rFonts w:hint="eastAsia" w:ascii="仿宋" w:hAnsi="仿宋" w:eastAsia="仿宋" w:cs="仿宋"/>
          <w:b/>
          <w:color w:val="auto"/>
          <w:kern w:val="0"/>
          <w:sz w:val="28"/>
          <w:szCs w:val="28"/>
          <w:highlight w:val="none"/>
        </w:rPr>
        <w:t>项目列表</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2394"/>
        <w:gridCol w:w="1421"/>
        <w:gridCol w:w="1502"/>
        <w:gridCol w:w="1689"/>
        <w:gridCol w:w="880"/>
      </w:tblGrid>
      <w:tr w14:paraId="518F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2" w:type="pct"/>
            <w:vAlign w:val="center"/>
          </w:tcPr>
          <w:p w14:paraId="6D0AC7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使用单位</w:t>
            </w:r>
          </w:p>
        </w:tc>
        <w:tc>
          <w:tcPr>
            <w:tcW w:w="1243" w:type="pct"/>
            <w:vAlign w:val="center"/>
          </w:tcPr>
          <w:p w14:paraId="562609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738" w:type="pct"/>
            <w:vAlign w:val="center"/>
          </w:tcPr>
          <w:p w14:paraId="219BC5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合同金额</w:t>
            </w:r>
          </w:p>
        </w:tc>
        <w:tc>
          <w:tcPr>
            <w:tcW w:w="780" w:type="pct"/>
            <w:vAlign w:val="center"/>
          </w:tcPr>
          <w:p w14:paraId="0656E1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联系人</w:t>
            </w:r>
          </w:p>
        </w:tc>
        <w:tc>
          <w:tcPr>
            <w:tcW w:w="877" w:type="pct"/>
            <w:vAlign w:val="center"/>
          </w:tcPr>
          <w:p w14:paraId="67D66B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457" w:type="pct"/>
            <w:vAlign w:val="center"/>
          </w:tcPr>
          <w:p w14:paraId="224DD9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09B4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2" w:type="pct"/>
            <w:vAlign w:val="center"/>
          </w:tcPr>
          <w:p w14:paraId="1ACB28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1243" w:type="pct"/>
            <w:vAlign w:val="center"/>
          </w:tcPr>
          <w:p w14:paraId="68BAB6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738" w:type="pct"/>
            <w:vAlign w:val="center"/>
          </w:tcPr>
          <w:p w14:paraId="76D0CD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780" w:type="pct"/>
            <w:vAlign w:val="center"/>
          </w:tcPr>
          <w:p w14:paraId="21E772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877" w:type="pct"/>
            <w:vAlign w:val="center"/>
          </w:tcPr>
          <w:p w14:paraId="63335A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457" w:type="pct"/>
            <w:vAlign w:val="center"/>
          </w:tcPr>
          <w:p w14:paraId="3FF6BF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r>
      <w:tr w14:paraId="205F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2" w:type="pct"/>
            <w:vAlign w:val="center"/>
          </w:tcPr>
          <w:p w14:paraId="2281FF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1243" w:type="pct"/>
            <w:vAlign w:val="center"/>
          </w:tcPr>
          <w:p w14:paraId="43DF82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738" w:type="pct"/>
            <w:vAlign w:val="center"/>
          </w:tcPr>
          <w:p w14:paraId="4A40BE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780" w:type="pct"/>
            <w:vAlign w:val="center"/>
          </w:tcPr>
          <w:p w14:paraId="4DA4DE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877" w:type="pct"/>
            <w:vAlign w:val="center"/>
          </w:tcPr>
          <w:p w14:paraId="14520F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457" w:type="pct"/>
            <w:vAlign w:val="center"/>
          </w:tcPr>
          <w:p w14:paraId="30BB6C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r>
      <w:tr w14:paraId="434C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2" w:type="pct"/>
            <w:vAlign w:val="center"/>
          </w:tcPr>
          <w:p w14:paraId="706004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1243" w:type="pct"/>
            <w:vAlign w:val="center"/>
          </w:tcPr>
          <w:p w14:paraId="43988D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738" w:type="pct"/>
            <w:vAlign w:val="center"/>
          </w:tcPr>
          <w:p w14:paraId="1A5D6E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780" w:type="pct"/>
            <w:vAlign w:val="center"/>
          </w:tcPr>
          <w:p w14:paraId="284525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877" w:type="pct"/>
            <w:vAlign w:val="center"/>
          </w:tcPr>
          <w:p w14:paraId="22B3CD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457" w:type="pct"/>
            <w:vAlign w:val="center"/>
          </w:tcPr>
          <w:p w14:paraId="204CA5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r>
      <w:tr w14:paraId="4236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2" w:type="pct"/>
            <w:vAlign w:val="center"/>
          </w:tcPr>
          <w:p w14:paraId="0B5DB0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1243" w:type="pct"/>
            <w:vAlign w:val="center"/>
          </w:tcPr>
          <w:p w14:paraId="1D12F1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738" w:type="pct"/>
            <w:vAlign w:val="center"/>
          </w:tcPr>
          <w:p w14:paraId="392E55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780" w:type="pct"/>
            <w:vAlign w:val="center"/>
          </w:tcPr>
          <w:p w14:paraId="109519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877" w:type="pct"/>
            <w:vAlign w:val="center"/>
          </w:tcPr>
          <w:p w14:paraId="360ED6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457" w:type="pct"/>
            <w:vAlign w:val="center"/>
          </w:tcPr>
          <w:p w14:paraId="6EB9E4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r>
      <w:tr w14:paraId="0A09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2" w:type="pct"/>
            <w:vAlign w:val="center"/>
          </w:tcPr>
          <w:p w14:paraId="1AC849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1243" w:type="pct"/>
            <w:vAlign w:val="center"/>
          </w:tcPr>
          <w:p w14:paraId="0FC98E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738" w:type="pct"/>
            <w:vAlign w:val="center"/>
          </w:tcPr>
          <w:p w14:paraId="6EB5F4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780" w:type="pct"/>
            <w:vAlign w:val="center"/>
          </w:tcPr>
          <w:p w14:paraId="13046C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877" w:type="pct"/>
            <w:vAlign w:val="center"/>
          </w:tcPr>
          <w:p w14:paraId="4BBA98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457" w:type="pct"/>
            <w:vAlign w:val="center"/>
          </w:tcPr>
          <w:p w14:paraId="7353AC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r>
      <w:tr w14:paraId="1AA2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2" w:type="pct"/>
            <w:vAlign w:val="center"/>
          </w:tcPr>
          <w:p w14:paraId="01BCF3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1243" w:type="pct"/>
            <w:vAlign w:val="center"/>
          </w:tcPr>
          <w:p w14:paraId="606694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738" w:type="pct"/>
            <w:vAlign w:val="center"/>
          </w:tcPr>
          <w:p w14:paraId="708730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780" w:type="pct"/>
            <w:vAlign w:val="center"/>
          </w:tcPr>
          <w:p w14:paraId="32C838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877" w:type="pct"/>
            <w:vAlign w:val="center"/>
          </w:tcPr>
          <w:p w14:paraId="5734DE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c>
          <w:tcPr>
            <w:tcW w:w="457" w:type="pct"/>
            <w:vAlign w:val="center"/>
          </w:tcPr>
          <w:p w14:paraId="4EAFA9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highlight w:val="none"/>
              </w:rPr>
            </w:pPr>
          </w:p>
        </w:tc>
      </w:tr>
    </w:tbl>
    <w:p w14:paraId="413D36F4">
      <w:pPr>
        <w:pStyle w:val="64"/>
        <w:snapToGrid w:val="0"/>
        <w:spacing w:line="480" w:lineRule="exact"/>
        <w:ind w:firstLine="542" w:firstLineChars="226"/>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注：后附相关证明材料</w:t>
      </w:r>
    </w:p>
    <w:p w14:paraId="39CC77EC">
      <w:pPr>
        <w:pStyle w:val="64"/>
        <w:snapToGrid w:val="0"/>
        <w:spacing w:line="480" w:lineRule="exact"/>
        <w:ind w:firstLine="542" w:firstLineChars="226"/>
        <w:rPr>
          <w:rFonts w:ascii="仿宋" w:hAnsi="仿宋" w:eastAsia="仿宋" w:cs="仿宋"/>
          <w:color w:val="auto"/>
          <w:sz w:val="24"/>
          <w:szCs w:val="24"/>
          <w:highlight w:val="none"/>
        </w:rPr>
      </w:pPr>
    </w:p>
    <w:p w14:paraId="29BE1F0C">
      <w:pPr>
        <w:rPr>
          <w:rFonts w:ascii="仿宋" w:hAnsi="仿宋" w:eastAsia="仿宋" w:cs="仿宋"/>
          <w:color w:val="auto"/>
          <w:sz w:val="24"/>
          <w:szCs w:val="24"/>
          <w:highlight w:val="none"/>
        </w:rPr>
      </w:pPr>
      <w:r>
        <w:rPr>
          <w:rFonts w:ascii="仿宋" w:hAnsi="仿宋" w:eastAsia="仿宋" w:cs="仿宋"/>
          <w:color w:val="auto"/>
          <w:sz w:val="24"/>
          <w:szCs w:val="24"/>
          <w:highlight w:val="none"/>
        </w:rPr>
        <w:br w:type="page"/>
      </w:r>
    </w:p>
    <w:p w14:paraId="381B1F42">
      <w:pPr>
        <w:snapToGrid w:val="0"/>
        <w:spacing w:line="360" w:lineRule="auto"/>
        <w:outlineLvl w:val="2"/>
        <w:rPr>
          <w:rFonts w:hint="default" w:ascii="仿宋" w:hAnsi="仿宋" w:eastAsia="仿宋" w:cs="仿宋"/>
          <w:b/>
          <w:color w:val="auto"/>
          <w:kern w:val="0"/>
          <w:sz w:val="24"/>
          <w:highlight w:val="none"/>
          <w:lang w:val="en" w:eastAsia="zh-CN"/>
        </w:rPr>
      </w:pPr>
      <w:r>
        <w:rPr>
          <w:rFonts w:hint="eastAsia" w:ascii="仿宋" w:hAnsi="仿宋" w:eastAsia="仿宋" w:cs="仿宋"/>
          <w:b/>
          <w:color w:val="auto"/>
          <w:kern w:val="0"/>
          <w:sz w:val="24"/>
          <w:highlight w:val="none"/>
          <w:lang w:val="en-US" w:eastAsia="zh-CN"/>
        </w:rPr>
        <w:t>9</w:t>
      </w:r>
      <w:r>
        <w:rPr>
          <w:rFonts w:hint="eastAsia" w:ascii="仿宋" w:hAnsi="仿宋" w:eastAsia="仿宋" w:cs="仿宋"/>
          <w:b/>
          <w:color w:val="auto"/>
          <w:kern w:val="0"/>
          <w:sz w:val="24"/>
          <w:highlight w:val="none"/>
        </w:rPr>
        <w:t>．</w:t>
      </w:r>
      <w:r>
        <w:rPr>
          <w:rFonts w:hint="eastAsia" w:ascii="仿宋" w:hAnsi="仿宋" w:eastAsia="仿宋" w:cs="仿宋"/>
          <w:b/>
          <w:sz w:val="24"/>
          <w:highlight w:val="none"/>
          <w:lang w:val="en-US" w:eastAsia="zh-CN"/>
        </w:rPr>
        <w:t>技术方案</w:t>
      </w:r>
    </w:p>
    <w:p w14:paraId="04E1DDC5">
      <w:pPr>
        <w:pStyle w:val="64"/>
        <w:keepNext w:val="0"/>
        <w:keepLines w:val="0"/>
        <w:pageBreakBefore w:val="0"/>
        <w:widowControl w:val="0"/>
        <w:kinsoku/>
        <w:wordWrap/>
        <w:overflowPunct/>
        <w:topLinePunct w:val="0"/>
        <w:autoSpaceDE/>
        <w:autoSpaceDN/>
        <w:bidi w:val="0"/>
        <w:adjustRightInd/>
        <w:snapToGrid w:val="0"/>
        <w:spacing w:line="480" w:lineRule="exact"/>
        <w:ind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（格式自拟）</w:t>
      </w:r>
    </w:p>
    <w:p w14:paraId="5D0D0E09">
      <w:pPr>
        <w:widowControl/>
        <w:tabs>
          <w:tab w:val="left" w:pos="567"/>
        </w:tabs>
        <w:snapToGrid w:val="0"/>
        <w:spacing w:line="360" w:lineRule="auto"/>
        <w:jc w:val="left"/>
        <w:rPr>
          <w:rFonts w:ascii="仿宋" w:hAnsi="仿宋" w:eastAsia="仿宋" w:cs="仿宋"/>
          <w:b/>
          <w:color w:val="auto"/>
          <w:kern w:val="0"/>
          <w:sz w:val="24"/>
          <w:highlight w:val="none"/>
        </w:rPr>
      </w:pPr>
    </w:p>
    <w:p w14:paraId="179927D0">
      <w:pPr>
        <w:widowControl/>
        <w:tabs>
          <w:tab w:val="left" w:pos="567"/>
        </w:tabs>
        <w:snapToGrid w:val="0"/>
        <w:spacing w:line="360" w:lineRule="auto"/>
        <w:jc w:val="left"/>
        <w:rPr>
          <w:rFonts w:ascii="仿宋" w:hAnsi="仿宋" w:eastAsia="仿宋" w:cs="仿宋"/>
          <w:b/>
          <w:color w:val="auto"/>
          <w:kern w:val="0"/>
          <w:sz w:val="24"/>
          <w:highlight w:val="none"/>
        </w:rPr>
      </w:pPr>
    </w:p>
    <w:p w14:paraId="784B4BD8">
      <w:pPr>
        <w:bidi w:val="0"/>
        <w:rPr>
          <w:highlight w:val="none"/>
        </w:rPr>
      </w:pPr>
    </w:p>
    <w:p w14:paraId="7AD45531">
      <w:pPr>
        <w:snapToGrid w:val="0"/>
        <w:spacing w:line="360" w:lineRule="auto"/>
        <w:outlineLvl w:val="2"/>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t>10.拟投入本项目的人员情况</w:t>
      </w:r>
    </w:p>
    <w:p w14:paraId="514C6E58">
      <w:pPr>
        <w:pStyle w:val="64"/>
        <w:keepNext w:val="0"/>
        <w:keepLines w:val="0"/>
        <w:pageBreakBefore w:val="0"/>
        <w:widowControl w:val="0"/>
        <w:kinsoku/>
        <w:wordWrap/>
        <w:overflowPunct/>
        <w:topLinePunct w:val="0"/>
        <w:autoSpaceDE/>
        <w:autoSpaceDN/>
        <w:bidi w:val="0"/>
        <w:adjustRightInd/>
        <w:snapToGrid w:val="0"/>
        <w:spacing w:line="480" w:lineRule="exact"/>
        <w:ind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（格式自拟）</w:t>
      </w:r>
    </w:p>
    <w:p w14:paraId="0FCD79BD">
      <w:pPr>
        <w:widowControl/>
        <w:tabs>
          <w:tab w:val="left" w:pos="567"/>
        </w:tabs>
        <w:snapToGrid w:val="0"/>
        <w:spacing w:line="360" w:lineRule="auto"/>
        <w:jc w:val="left"/>
        <w:rPr>
          <w:rFonts w:ascii="仿宋" w:hAnsi="仿宋" w:eastAsia="仿宋" w:cs="仿宋"/>
          <w:b/>
          <w:color w:val="auto"/>
          <w:kern w:val="0"/>
          <w:sz w:val="24"/>
          <w:highlight w:val="none"/>
        </w:rPr>
      </w:pPr>
    </w:p>
    <w:p w14:paraId="36D5914E">
      <w:pPr>
        <w:widowControl/>
        <w:tabs>
          <w:tab w:val="left" w:pos="567"/>
        </w:tabs>
        <w:snapToGrid w:val="0"/>
        <w:spacing w:line="360" w:lineRule="auto"/>
        <w:jc w:val="left"/>
        <w:rPr>
          <w:rFonts w:ascii="仿宋" w:hAnsi="仿宋" w:eastAsia="仿宋" w:cs="仿宋"/>
          <w:b/>
          <w:color w:val="auto"/>
          <w:kern w:val="0"/>
          <w:sz w:val="24"/>
          <w:highlight w:val="none"/>
        </w:rPr>
      </w:pPr>
    </w:p>
    <w:p w14:paraId="24FC7CE9">
      <w:pPr>
        <w:bidi w:val="0"/>
        <w:rPr>
          <w:highlight w:val="none"/>
        </w:rPr>
      </w:pPr>
    </w:p>
    <w:p w14:paraId="46017649">
      <w:pPr>
        <w:snapToGrid w:val="0"/>
        <w:spacing w:line="360" w:lineRule="auto"/>
        <w:outlineLvl w:val="2"/>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lang w:val="en-US" w:eastAsia="zh-CN"/>
        </w:rPr>
        <w:t>1</w:t>
      </w:r>
      <w:r>
        <w:rPr>
          <w:rFonts w:hint="eastAsia" w:ascii="仿宋" w:hAnsi="仿宋" w:eastAsia="仿宋" w:cs="仿宋"/>
          <w:b/>
          <w:color w:val="auto"/>
          <w:kern w:val="0"/>
          <w:sz w:val="24"/>
          <w:highlight w:val="none"/>
        </w:rPr>
        <w:t>.投标人认为需要提供的其他商务、</w:t>
      </w:r>
      <w:r>
        <w:rPr>
          <w:rFonts w:hint="eastAsia" w:ascii="仿宋" w:hAnsi="仿宋" w:eastAsia="仿宋" w:cs="仿宋"/>
          <w:b/>
          <w:color w:val="auto"/>
          <w:kern w:val="0"/>
          <w:sz w:val="24"/>
          <w:highlight w:val="none"/>
          <w:lang w:eastAsia="zh-CN"/>
        </w:rPr>
        <w:t>技术资料</w:t>
      </w:r>
    </w:p>
    <w:p w14:paraId="53C2D908">
      <w:pPr>
        <w:pStyle w:val="27"/>
        <w:rPr>
          <w:rFonts w:ascii="仿宋" w:hAnsi="仿宋" w:eastAsia="仿宋" w:cs="仿宋"/>
          <w:b/>
          <w:color w:val="auto"/>
          <w:sz w:val="24"/>
          <w:highlight w:val="none"/>
        </w:rPr>
      </w:pPr>
    </w:p>
    <w:p w14:paraId="0F6E077F">
      <w:pPr>
        <w:rPr>
          <w:highlight w:val="none"/>
        </w:rPr>
      </w:pPr>
    </w:p>
    <w:p w14:paraId="555C61A9">
      <w:pPr>
        <w:snapToGrid w:val="0"/>
        <w:spacing w:line="360" w:lineRule="auto"/>
        <w:outlineLvl w:val="2"/>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lang w:val="en-US" w:eastAsia="zh-CN"/>
        </w:rPr>
        <w:t>12.</w:t>
      </w:r>
      <w:r>
        <w:rPr>
          <w:rFonts w:hint="eastAsia" w:ascii="仿宋" w:hAnsi="仿宋" w:eastAsia="仿宋" w:cs="仿宋"/>
          <w:b/>
          <w:color w:val="auto"/>
          <w:kern w:val="0"/>
          <w:sz w:val="24"/>
          <w:highlight w:val="none"/>
        </w:rPr>
        <w:t>政策性要求（如有）</w:t>
      </w:r>
    </w:p>
    <w:p w14:paraId="3E6DCEC3">
      <w:pPr>
        <w:widowControl/>
        <w:numPr>
          <w:ilvl w:val="0"/>
          <w:numId w:val="0"/>
        </w:numPr>
        <w:tabs>
          <w:tab w:val="left" w:pos="567"/>
        </w:tabs>
        <w:snapToGrid w:val="0"/>
        <w:spacing w:line="360" w:lineRule="auto"/>
        <w:jc w:val="lef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中小企业声明及证明材料（如不涉及，此函可不提供）</w:t>
      </w:r>
    </w:p>
    <w:p w14:paraId="20133790">
      <w:pPr>
        <w:keepNext w:val="0"/>
        <w:keepLines w:val="0"/>
        <w:pageBreakBefore w:val="0"/>
        <w:widowControl w:val="0"/>
        <w:tabs>
          <w:tab w:val="left" w:pos="1680"/>
        </w:tabs>
        <w:kinsoku/>
        <w:wordWrap/>
        <w:overflowPunct/>
        <w:topLinePunct w:val="0"/>
        <w:autoSpaceDE/>
        <w:autoSpaceDN/>
        <w:bidi w:val="0"/>
        <w:adjustRightInd/>
        <w:snapToGrid/>
        <w:spacing w:before="157" w:beforeLines="50" w:after="469" w:afterLines="150" w:line="240" w:lineRule="auto"/>
        <w:jc w:val="center"/>
        <w:textAlignment w:val="auto"/>
        <w:outlineLvl w:val="9"/>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中小企业声明函</w:t>
      </w:r>
    </w:p>
    <w:p w14:paraId="46246D00">
      <w:pPr>
        <w:pStyle w:val="28"/>
        <w:keepNext w:val="0"/>
        <w:keepLines w:val="0"/>
        <w:pageBreakBefore w:val="0"/>
        <w:widowControl w:val="0"/>
        <w:kinsoku/>
        <w:overflowPunct/>
        <w:topLinePunct w:val="0"/>
        <w:autoSpaceDE/>
        <w:autoSpaceDN/>
        <w:bidi w:val="0"/>
        <w:adjustRightInd w:val="0"/>
        <w:snapToGrid w:val="0"/>
        <w:spacing w:before="0" w:beforeAutospacing="0" w:after="0" w:afterAutospacing="0" w:line="400" w:lineRule="exact"/>
        <w:ind w:firstLine="480" w:firstLineChars="200"/>
        <w:textAlignment w:val="auto"/>
        <w:rPr>
          <w:rFonts w:ascii="仿宋" w:hAnsi="仿宋" w:eastAsia="仿宋" w:cs="仿宋_GB2312"/>
          <w:color w:val="auto"/>
          <w:highlight w:val="none"/>
          <w:lang w:val="zh-CN"/>
        </w:rPr>
      </w:pPr>
      <w:r>
        <w:rPr>
          <w:rFonts w:hint="eastAsia" w:ascii="仿宋" w:hAnsi="仿宋" w:eastAsia="仿宋" w:cs="仿宋_GB2312"/>
          <w:color w:val="auto"/>
          <w:highlight w:val="none"/>
        </w:rPr>
        <w:t>本公司（联合体）郑重声明，根据《政府采购促进中小企业发展管理办法》(财库（2020) 46 号）的规定，本公司（联合体）参加</w:t>
      </w:r>
      <w:r>
        <w:rPr>
          <w:rFonts w:hint="eastAsia" w:ascii="仿宋" w:hAnsi="仿宋" w:eastAsia="仿宋" w:cs="仿宋_GB2312"/>
          <w:color w:val="auto"/>
          <w:highlight w:val="none"/>
          <w:u w:val="single"/>
        </w:rPr>
        <w:t>（单位名称）</w:t>
      </w:r>
      <w:r>
        <w:rPr>
          <w:rFonts w:hint="eastAsia" w:ascii="仿宋" w:hAnsi="仿宋" w:eastAsia="仿宋" w:cs="仿宋_GB2312"/>
          <w:color w:val="auto"/>
          <w:highlight w:val="none"/>
        </w:rPr>
        <w:t>的</w:t>
      </w:r>
      <w:r>
        <w:rPr>
          <w:rFonts w:hint="eastAsia" w:ascii="仿宋" w:hAnsi="仿宋" w:eastAsia="仿宋" w:cs="仿宋_GB2312"/>
          <w:color w:val="auto"/>
          <w:highlight w:val="none"/>
          <w:u w:val="single"/>
        </w:rPr>
        <w:t>（项目名称）</w:t>
      </w:r>
      <w:r>
        <w:rPr>
          <w:rFonts w:hint="eastAsia" w:ascii="仿宋" w:hAnsi="仿宋" w:eastAsia="仿宋" w:cs="仿宋_GB2312"/>
          <w:color w:val="auto"/>
          <w:highlight w:val="none"/>
        </w:rPr>
        <w:t>采购活动，</w:t>
      </w:r>
      <w:r>
        <w:rPr>
          <w:rFonts w:hint="eastAsia" w:ascii="仿宋" w:hAnsi="仿宋" w:eastAsia="仿宋" w:cs="仿宋_GB2312"/>
          <w:color w:val="auto"/>
          <w:highlight w:val="none"/>
          <w:lang w:val="en-US" w:eastAsia="zh-CN"/>
        </w:rPr>
        <w:t>服务</w:t>
      </w:r>
      <w:r>
        <w:rPr>
          <w:rFonts w:hint="eastAsia" w:ascii="仿宋" w:hAnsi="仿宋" w:eastAsia="仿宋" w:cs="仿宋_GB2312"/>
          <w:color w:val="auto"/>
          <w:highlight w:val="none"/>
        </w:rPr>
        <w:t xml:space="preserve">的单位全部为符合政策要求的中小企业（或者：服务全部由符合政策要求的中小企业承接）。相关企业（含联合体中的中小企业、签订分包意向协议的中小企业）的具体情况如下： </w:t>
      </w:r>
    </w:p>
    <w:p w14:paraId="6BC03719">
      <w:pPr>
        <w:pStyle w:val="28"/>
        <w:keepNext w:val="0"/>
        <w:keepLines w:val="0"/>
        <w:pageBreakBefore w:val="0"/>
        <w:widowControl w:val="0"/>
        <w:kinsoku/>
        <w:overflowPunct/>
        <w:topLinePunct w:val="0"/>
        <w:autoSpaceDE/>
        <w:autoSpaceDN/>
        <w:bidi w:val="0"/>
        <w:adjustRightInd w:val="0"/>
        <w:snapToGrid w:val="0"/>
        <w:spacing w:before="0" w:beforeAutospacing="0" w:after="0" w:afterAutospacing="0" w:line="400" w:lineRule="exact"/>
        <w:ind w:firstLine="480" w:firstLineChars="200"/>
        <w:textAlignment w:val="auto"/>
        <w:outlineLvl w:val="9"/>
        <w:rPr>
          <w:rFonts w:ascii="仿宋" w:hAnsi="仿宋" w:eastAsia="仿宋" w:cs="仿宋_GB2312"/>
          <w:color w:val="auto"/>
          <w:highlight w:val="none"/>
          <w:lang w:val="zh-CN"/>
        </w:rPr>
      </w:pPr>
      <w:r>
        <w:rPr>
          <w:rFonts w:hint="eastAsia" w:ascii="仿宋" w:hAnsi="仿宋" w:eastAsia="仿宋" w:cs="仿宋_GB2312"/>
          <w:color w:val="auto"/>
          <w:highlight w:val="none"/>
        </w:rPr>
        <w:t>1.</w:t>
      </w:r>
      <w:r>
        <w:rPr>
          <w:rFonts w:hint="eastAsia" w:ascii="仿宋" w:hAnsi="仿宋" w:eastAsia="仿宋" w:cs="仿宋_GB2312"/>
          <w:color w:val="auto"/>
          <w:highlight w:val="none"/>
          <w:u w:val="single"/>
        </w:rPr>
        <w:t xml:space="preserve"> (标的名称）</w:t>
      </w:r>
      <w:r>
        <w:rPr>
          <w:rFonts w:hint="eastAsia" w:ascii="仿宋" w:hAnsi="仿宋" w:eastAsia="仿宋" w:cs="仿宋_GB2312"/>
          <w:color w:val="auto"/>
          <w:highlight w:val="none"/>
        </w:rPr>
        <w:t xml:space="preserve">，属于 </w:t>
      </w:r>
      <w:r>
        <w:rPr>
          <w:rFonts w:hint="eastAsia" w:ascii="仿宋" w:hAnsi="仿宋" w:eastAsia="仿宋" w:cs="仿宋_GB2312"/>
          <w:color w:val="auto"/>
          <w:highlight w:val="none"/>
          <w:u w:val="single"/>
        </w:rPr>
        <w:t>（</w:t>
      </w:r>
      <w:r>
        <w:rPr>
          <w:rFonts w:hint="eastAsia" w:ascii="仿宋" w:hAnsi="仿宋" w:eastAsia="仿宋" w:cs="仿宋_GB2312"/>
          <w:color w:val="auto"/>
          <w:highlight w:val="none"/>
          <w:u w:val="single"/>
          <w:lang w:eastAsia="zh-CN"/>
        </w:rPr>
        <w:t>招标文件</w:t>
      </w:r>
      <w:r>
        <w:rPr>
          <w:rFonts w:hint="eastAsia" w:ascii="仿宋" w:hAnsi="仿宋" w:eastAsia="仿宋" w:cs="仿宋_GB2312"/>
          <w:color w:val="auto"/>
          <w:highlight w:val="none"/>
          <w:u w:val="single"/>
        </w:rPr>
        <w:t xml:space="preserve">中明确的所属行业） </w:t>
      </w:r>
      <w:r>
        <w:rPr>
          <w:rFonts w:hint="eastAsia" w:ascii="仿宋" w:hAnsi="仿宋" w:eastAsia="仿宋" w:cs="仿宋_GB2312"/>
          <w:color w:val="auto"/>
          <w:highlight w:val="none"/>
        </w:rPr>
        <w:t>行业；承建（承接）企业为</w:t>
      </w:r>
      <w:r>
        <w:rPr>
          <w:rFonts w:hint="eastAsia" w:ascii="仿宋" w:hAnsi="仿宋" w:eastAsia="仿宋" w:cs="仿宋_GB2312"/>
          <w:color w:val="auto"/>
          <w:highlight w:val="none"/>
          <w:u w:val="single"/>
        </w:rPr>
        <w:t>（企业名称）</w:t>
      </w:r>
      <w:r>
        <w:rPr>
          <w:rFonts w:hint="eastAsia" w:ascii="仿宋" w:hAnsi="仿宋" w:eastAsia="仿宋" w:cs="仿宋_GB2312"/>
          <w:color w:val="auto"/>
          <w:highlight w:val="none"/>
        </w:rPr>
        <w:t>，从业人员</w:t>
      </w:r>
      <w:r>
        <w:rPr>
          <w:rFonts w:hint="eastAsia" w:ascii="仿宋" w:hAnsi="仿宋" w:eastAsia="仿宋" w:cs="仿宋_GB2312"/>
          <w:color w:val="auto"/>
          <w:highlight w:val="none"/>
          <w:u w:val="single"/>
        </w:rPr>
        <w:t xml:space="preserve">     </w:t>
      </w:r>
      <w:r>
        <w:rPr>
          <w:rFonts w:hint="eastAsia" w:ascii="仿宋" w:hAnsi="仿宋" w:eastAsia="仿宋" w:cs="仿宋_GB2312"/>
          <w:color w:val="auto"/>
          <w:highlight w:val="none"/>
        </w:rPr>
        <w:t xml:space="preserve">人，营业收入为 </w:t>
      </w:r>
      <w:r>
        <w:rPr>
          <w:rFonts w:hint="eastAsia" w:ascii="仿宋" w:hAnsi="仿宋" w:eastAsia="仿宋" w:cs="仿宋_GB2312"/>
          <w:color w:val="auto"/>
          <w:highlight w:val="none"/>
          <w:u w:val="single"/>
        </w:rPr>
        <w:t xml:space="preserve">    </w:t>
      </w:r>
      <w:r>
        <w:rPr>
          <w:rFonts w:hint="eastAsia" w:ascii="仿宋" w:hAnsi="仿宋" w:eastAsia="仿宋" w:cs="仿宋_GB2312"/>
          <w:color w:val="auto"/>
          <w:highlight w:val="none"/>
        </w:rPr>
        <w:t>万元，资产总额为</w:t>
      </w:r>
      <w:r>
        <w:rPr>
          <w:rFonts w:hint="eastAsia" w:ascii="仿宋" w:hAnsi="仿宋" w:eastAsia="仿宋" w:cs="仿宋_GB2312"/>
          <w:color w:val="auto"/>
          <w:highlight w:val="none"/>
          <w:u w:val="single"/>
        </w:rPr>
        <w:t xml:space="preserve">     </w:t>
      </w:r>
      <w:r>
        <w:rPr>
          <w:rFonts w:hint="eastAsia" w:ascii="仿宋" w:hAnsi="仿宋" w:eastAsia="仿宋" w:cs="仿宋_GB2312"/>
          <w:color w:val="auto"/>
          <w:highlight w:val="none"/>
        </w:rPr>
        <w:t xml:space="preserve">万元，属于 </w:t>
      </w:r>
    </w:p>
    <w:p w14:paraId="4A50B5A6">
      <w:pPr>
        <w:pStyle w:val="28"/>
        <w:keepNext w:val="0"/>
        <w:keepLines w:val="0"/>
        <w:pageBreakBefore w:val="0"/>
        <w:widowControl w:val="0"/>
        <w:kinsoku/>
        <w:overflowPunct/>
        <w:topLinePunct w:val="0"/>
        <w:autoSpaceDE/>
        <w:autoSpaceDN/>
        <w:bidi w:val="0"/>
        <w:adjustRightInd w:val="0"/>
        <w:snapToGrid w:val="0"/>
        <w:spacing w:before="0" w:beforeAutospacing="0" w:after="0" w:afterAutospacing="0" w:line="400" w:lineRule="exact"/>
        <w:textAlignment w:val="auto"/>
        <w:outlineLvl w:val="9"/>
        <w:rPr>
          <w:rFonts w:ascii="仿宋" w:hAnsi="仿宋" w:eastAsia="仿宋" w:cs="仿宋_GB2312"/>
          <w:color w:val="auto"/>
          <w:highlight w:val="none"/>
          <w:lang w:val="zh-CN"/>
        </w:rPr>
      </w:pPr>
      <w:r>
        <w:rPr>
          <w:rFonts w:hint="eastAsia" w:ascii="仿宋" w:hAnsi="仿宋" w:eastAsia="仿宋" w:cs="仿宋_GB2312"/>
          <w:color w:val="auto"/>
          <w:highlight w:val="none"/>
        </w:rPr>
        <w:t xml:space="preserve">（中型企业、小型企业、微型企业） ； </w:t>
      </w:r>
    </w:p>
    <w:p w14:paraId="6F6DE849">
      <w:pPr>
        <w:pStyle w:val="28"/>
        <w:keepNext w:val="0"/>
        <w:keepLines w:val="0"/>
        <w:pageBreakBefore w:val="0"/>
        <w:widowControl w:val="0"/>
        <w:kinsoku/>
        <w:overflowPunct/>
        <w:topLinePunct w:val="0"/>
        <w:autoSpaceDE/>
        <w:autoSpaceDN/>
        <w:bidi w:val="0"/>
        <w:adjustRightInd w:val="0"/>
        <w:snapToGrid w:val="0"/>
        <w:spacing w:before="0" w:beforeAutospacing="0" w:after="0" w:afterAutospacing="0" w:line="400" w:lineRule="exact"/>
        <w:ind w:firstLine="480" w:firstLineChars="200"/>
        <w:textAlignment w:val="auto"/>
        <w:outlineLvl w:val="9"/>
        <w:rPr>
          <w:rFonts w:ascii="仿宋" w:hAnsi="仿宋" w:eastAsia="仿宋" w:cs="仿宋_GB2312"/>
          <w:color w:val="auto"/>
          <w:highlight w:val="none"/>
          <w:lang w:val="zh-CN"/>
        </w:rPr>
      </w:pPr>
      <w:r>
        <w:rPr>
          <w:rFonts w:hint="eastAsia" w:ascii="仿宋" w:hAnsi="仿宋" w:eastAsia="仿宋" w:cs="仿宋_GB2312"/>
          <w:color w:val="auto"/>
          <w:highlight w:val="none"/>
        </w:rPr>
        <w:t>2.</w:t>
      </w:r>
      <w:r>
        <w:rPr>
          <w:rFonts w:hint="eastAsia" w:ascii="仿宋" w:hAnsi="仿宋" w:eastAsia="仿宋" w:cs="仿宋_GB2312"/>
          <w:color w:val="auto"/>
          <w:highlight w:val="none"/>
          <w:u w:val="single"/>
        </w:rPr>
        <w:t xml:space="preserve"> (标的名称）</w:t>
      </w:r>
      <w:r>
        <w:rPr>
          <w:rFonts w:hint="eastAsia" w:ascii="仿宋" w:hAnsi="仿宋" w:eastAsia="仿宋" w:cs="仿宋_GB2312"/>
          <w:color w:val="auto"/>
          <w:highlight w:val="none"/>
        </w:rPr>
        <w:t xml:space="preserve"> ，属于 </w:t>
      </w:r>
      <w:r>
        <w:rPr>
          <w:rFonts w:hint="eastAsia" w:ascii="仿宋" w:hAnsi="仿宋" w:eastAsia="仿宋" w:cs="仿宋_GB2312"/>
          <w:color w:val="auto"/>
          <w:highlight w:val="none"/>
          <w:u w:val="single"/>
        </w:rPr>
        <w:t>（</w:t>
      </w:r>
      <w:r>
        <w:rPr>
          <w:rFonts w:hint="eastAsia" w:ascii="仿宋" w:hAnsi="仿宋" w:eastAsia="仿宋" w:cs="仿宋_GB2312"/>
          <w:color w:val="auto"/>
          <w:highlight w:val="none"/>
          <w:u w:val="single"/>
          <w:lang w:eastAsia="zh-CN"/>
        </w:rPr>
        <w:t>招标文件</w:t>
      </w:r>
      <w:r>
        <w:rPr>
          <w:rFonts w:hint="eastAsia" w:ascii="仿宋" w:hAnsi="仿宋" w:eastAsia="仿宋" w:cs="仿宋_GB2312"/>
          <w:color w:val="auto"/>
          <w:highlight w:val="none"/>
          <w:u w:val="single"/>
        </w:rPr>
        <w:t>中明确的所属行业）</w:t>
      </w:r>
      <w:r>
        <w:rPr>
          <w:rFonts w:hint="eastAsia" w:ascii="仿宋" w:hAnsi="仿宋" w:eastAsia="仿宋" w:cs="仿宋_GB2312"/>
          <w:color w:val="auto"/>
          <w:highlight w:val="none"/>
        </w:rPr>
        <w:t xml:space="preserve"> 行业；承建（承接）企业为</w:t>
      </w:r>
      <w:r>
        <w:rPr>
          <w:rFonts w:hint="eastAsia" w:ascii="仿宋" w:hAnsi="仿宋" w:eastAsia="仿宋" w:cs="仿宋_GB2312"/>
          <w:color w:val="auto"/>
          <w:highlight w:val="none"/>
          <w:u w:val="single"/>
        </w:rPr>
        <w:t>（企业名称）</w:t>
      </w:r>
      <w:r>
        <w:rPr>
          <w:rFonts w:hint="eastAsia" w:ascii="仿宋" w:hAnsi="仿宋" w:eastAsia="仿宋" w:cs="仿宋_GB2312"/>
          <w:color w:val="auto"/>
          <w:highlight w:val="none"/>
        </w:rPr>
        <w:t>，从业人员</w:t>
      </w:r>
      <w:r>
        <w:rPr>
          <w:rFonts w:hint="eastAsia" w:ascii="仿宋" w:hAnsi="仿宋" w:eastAsia="仿宋" w:cs="仿宋_GB2312"/>
          <w:color w:val="auto"/>
          <w:highlight w:val="none"/>
          <w:u w:val="single"/>
        </w:rPr>
        <w:t xml:space="preserve">    </w:t>
      </w:r>
      <w:r>
        <w:rPr>
          <w:rFonts w:hint="eastAsia" w:ascii="仿宋" w:hAnsi="仿宋" w:eastAsia="仿宋" w:cs="仿宋_GB2312"/>
          <w:color w:val="auto"/>
          <w:highlight w:val="none"/>
        </w:rPr>
        <w:t>人，营业收入为</w:t>
      </w:r>
      <w:r>
        <w:rPr>
          <w:rFonts w:hint="eastAsia" w:ascii="仿宋" w:hAnsi="仿宋" w:eastAsia="仿宋" w:cs="仿宋_GB2312"/>
          <w:color w:val="auto"/>
          <w:highlight w:val="none"/>
          <w:u w:val="single"/>
        </w:rPr>
        <w:t xml:space="preserve">    </w:t>
      </w:r>
      <w:r>
        <w:rPr>
          <w:rFonts w:hint="eastAsia" w:ascii="仿宋" w:hAnsi="仿宋" w:eastAsia="仿宋" w:cs="仿宋_GB2312"/>
          <w:color w:val="auto"/>
          <w:highlight w:val="none"/>
        </w:rPr>
        <w:t>万元，资产总额为</w:t>
      </w:r>
      <w:r>
        <w:rPr>
          <w:rFonts w:hint="eastAsia" w:ascii="仿宋" w:hAnsi="仿宋" w:eastAsia="仿宋" w:cs="仿宋_GB2312"/>
          <w:color w:val="auto"/>
          <w:highlight w:val="none"/>
          <w:u w:val="single"/>
        </w:rPr>
        <w:t xml:space="preserve">     </w:t>
      </w:r>
      <w:r>
        <w:rPr>
          <w:rFonts w:hint="eastAsia" w:ascii="仿宋" w:hAnsi="仿宋" w:eastAsia="仿宋" w:cs="仿宋_GB2312"/>
          <w:color w:val="auto"/>
          <w:highlight w:val="none"/>
        </w:rPr>
        <w:t xml:space="preserve">万元，属于（中 </w:t>
      </w:r>
    </w:p>
    <w:p w14:paraId="32730FB5">
      <w:pPr>
        <w:pStyle w:val="28"/>
        <w:keepNext w:val="0"/>
        <w:keepLines w:val="0"/>
        <w:pageBreakBefore w:val="0"/>
        <w:widowControl w:val="0"/>
        <w:kinsoku/>
        <w:overflowPunct/>
        <w:topLinePunct w:val="0"/>
        <w:autoSpaceDE/>
        <w:autoSpaceDN/>
        <w:bidi w:val="0"/>
        <w:adjustRightInd w:val="0"/>
        <w:snapToGrid w:val="0"/>
        <w:spacing w:before="0" w:beforeAutospacing="0" w:after="0" w:afterAutospacing="0" w:line="400" w:lineRule="exact"/>
        <w:textAlignment w:val="auto"/>
        <w:outlineLvl w:val="9"/>
        <w:rPr>
          <w:rFonts w:ascii="仿宋" w:hAnsi="仿宋" w:eastAsia="仿宋" w:cs="仿宋_GB2312"/>
          <w:color w:val="auto"/>
          <w:highlight w:val="none"/>
          <w:lang w:val="zh-CN"/>
        </w:rPr>
      </w:pPr>
      <w:r>
        <w:rPr>
          <w:rFonts w:hint="eastAsia" w:ascii="仿宋" w:hAnsi="仿宋" w:eastAsia="仿宋" w:cs="仿宋_GB2312"/>
          <w:color w:val="auto"/>
          <w:highlight w:val="none"/>
        </w:rPr>
        <w:t xml:space="preserve">型企业、小型企业、微型企业）； </w:t>
      </w:r>
    </w:p>
    <w:p w14:paraId="2E615D84">
      <w:pPr>
        <w:pStyle w:val="28"/>
        <w:keepNext w:val="0"/>
        <w:keepLines w:val="0"/>
        <w:pageBreakBefore w:val="0"/>
        <w:widowControl w:val="0"/>
        <w:kinsoku/>
        <w:overflowPunct/>
        <w:topLinePunct w:val="0"/>
        <w:autoSpaceDE/>
        <w:autoSpaceDN/>
        <w:bidi w:val="0"/>
        <w:adjustRightInd w:val="0"/>
        <w:snapToGrid w:val="0"/>
        <w:spacing w:before="0" w:beforeAutospacing="0" w:after="0" w:afterAutospacing="0" w:line="400" w:lineRule="exact"/>
        <w:textAlignment w:val="auto"/>
        <w:rPr>
          <w:rFonts w:ascii="仿宋" w:hAnsi="仿宋" w:eastAsia="仿宋" w:cs="仿宋_GB2312"/>
          <w:color w:val="auto"/>
          <w:highlight w:val="none"/>
        </w:rPr>
      </w:pPr>
    </w:p>
    <w:p w14:paraId="184D057B">
      <w:pPr>
        <w:pStyle w:val="28"/>
        <w:keepNext w:val="0"/>
        <w:keepLines w:val="0"/>
        <w:pageBreakBefore w:val="0"/>
        <w:widowControl w:val="0"/>
        <w:kinsoku/>
        <w:overflowPunct/>
        <w:topLinePunct w:val="0"/>
        <w:autoSpaceDE/>
        <w:autoSpaceDN/>
        <w:bidi w:val="0"/>
        <w:adjustRightInd w:val="0"/>
        <w:snapToGrid w:val="0"/>
        <w:spacing w:before="0" w:beforeAutospacing="0" w:after="0" w:afterAutospacing="0" w:line="400" w:lineRule="exact"/>
        <w:textAlignment w:val="auto"/>
        <w:rPr>
          <w:rFonts w:ascii="仿宋" w:hAnsi="仿宋" w:eastAsia="仿宋" w:cs="仿宋_GB2312"/>
          <w:color w:val="auto"/>
          <w:highlight w:val="none"/>
        </w:rPr>
      </w:pPr>
    </w:p>
    <w:p w14:paraId="55350E2E">
      <w:pPr>
        <w:pStyle w:val="28"/>
        <w:keepNext w:val="0"/>
        <w:keepLines w:val="0"/>
        <w:pageBreakBefore w:val="0"/>
        <w:widowControl w:val="0"/>
        <w:kinsoku/>
        <w:overflowPunct/>
        <w:topLinePunct w:val="0"/>
        <w:autoSpaceDE/>
        <w:autoSpaceDN/>
        <w:bidi w:val="0"/>
        <w:adjustRightInd w:val="0"/>
        <w:snapToGrid w:val="0"/>
        <w:spacing w:before="0" w:beforeAutospacing="0" w:after="0" w:afterAutospacing="0" w:line="400" w:lineRule="exact"/>
        <w:textAlignment w:val="auto"/>
        <w:rPr>
          <w:rFonts w:hint="default" w:ascii="仿宋" w:hAnsi="仿宋" w:eastAsia="仿宋" w:cs="仿宋_GB2312"/>
          <w:color w:val="auto"/>
          <w:highlight w:val="none"/>
          <w:lang w:val="en-US" w:eastAsia="zh-CN"/>
        </w:rPr>
      </w:pPr>
      <w:r>
        <w:rPr>
          <w:rFonts w:hint="eastAsia" w:ascii="仿宋" w:hAnsi="仿宋" w:eastAsia="仿宋" w:cs="仿宋_GB2312"/>
          <w:color w:val="auto"/>
          <w:highlight w:val="none"/>
        </w:rPr>
        <w:t xml:space="preserve">…… </w:t>
      </w:r>
      <w:r>
        <w:rPr>
          <w:rFonts w:hint="eastAsia" w:ascii="仿宋" w:hAnsi="仿宋" w:eastAsia="仿宋" w:cs="仿宋_GB2312"/>
          <w:color w:val="auto"/>
          <w:highlight w:val="none"/>
          <w:lang w:val="en-US" w:eastAsia="zh-CN"/>
        </w:rPr>
        <w:t xml:space="preserve">   </w:t>
      </w:r>
    </w:p>
    <w:p w14:paraId="68B97461">
      <w:pPr>
        <w:pStyle w:val="28"/>
        <w:keepNext w:val="0"/>
        <w:keepLines w:val="0"/>
        <w:pageBreakBefore w:val="0"/>
        <w:widowControl w:val="0"/>
        <w:kinsoku/>
        <w:overflowPunct/>
        <w:topLinePunct w:val="0"/>
        <w:autoSpaceDE/>
        <w:autoSpaceDN/>
        <w:bidi w:val="0"/>
        <w:adjustRightInd w:val="0"/>
        <w:snapToGrid w:val="0"/>
        <w:spacing w:before="0" w:beforeAutospacing="0" w:after="0" w:afterAutospacing="0" w:line="400" w:lineRule="exact"/>
        <w:ind w:firstLine="480" w:firstLineChars="200"/>
        <w:textAlignment w:val="auto"/>
        <w:rPr>
          <w:rFonts w:ascii="仿宋" w:hAnsi="仿宋" w:eastAsia="仿宋" w:cs="仿宋_GB2312"/>
          <w:color w:val="auto"/>
          <w:highlight w:val="none"/>
          <w:lang w:val="zh-CN"/>
        </w:rPr>
      </w:pPr>
      <w:r>
        <w:rPr>
          <w:rFonts w:hint="eastAsia" w:ascii="仿宋" w:hAnsi="仿宋" w:eastAsia="仿宋" w:cs="仿宋_GB2312"/>
          <w:color w:val="auto"/>
          <w:highlight w:val="none"/>
        </w:rPr>
        <w:t xml:space="preserve">以上企业，不属于大企业的分支机构，不存在控股股东为大企业的情形，也不存 </w:t>
      </w:r>
    </w:p>
    <w:p w14:paraId="5389E77B">
      <w:pPr>
        <w:pStyle w:val="28"/>
        <w:keepNext w:val="0"/>
        <w:keepLines w:val="0"/>
        <w:pageBreakBefore w:val="0"/>
        <w:widowControl w:val="0"/>
        <w:kinsoku/>
        <w:overflowPunct/>
        <w:topLinePunct w:val="0"/>
        <w:autoSpaceDE/>
        <w:autoSpaceDN/>
        <w:bidi w:val="0"/>
        <w:adjustRightInd w:val="0"/>
        <w:snapToGrid w:val="0"/>
        <w:spacing w:before="0" w:beforeAutospacing="0" w:after="0" w:afterAutospacing="0" w:line="400" w:lineRule="exact"/>
        <w:textAlignment w:val="auto"/>
        <w:rPr>
          <w:rFonts w:ascii="仿宋" w:hAnsi="仿宋" w:eastAsia="仿宋" w:cs="仿宋_GB2312"/>
          <w:color w:val="auto"/>
          <w:highlight w:val="none"/>
          <w:lang w:val="zh-CN"/>
        </w:rPr>
      </w:pPr>
      <w:r>
        <w:rPr>
          <w:rFonts w:hint="eastAsia" w:ascii="仿宋" w:hAnsi="仿宋" w:eastAsia="仿宋" w:cs="仿宋_GB2312"/>
          <w:color w:val="auto"/>
          <w:highlight w:val="none"/>
        </w:rPr>
        <w:t xml:space="preserve">在与大企业的负责人为同一人的情形。 </w:t>
      </w:r>
    </w:p>
    <w:p w14:paraId="0C869686">
      <w:pPr>
        <w:pStyle w:val="28"/>
        <w:keepNext w:val="0"/>
        <w:keepLines w:val="0"/>
        <w:pageBreakBefore w:val="0"/>
        <w:widowControl w:val="0"/>
        <w:kinsoku/>
        <w:overflowPunct/>
        <w:topLinePunct w:val="0"/>
        <w:autoSpaceDE/>
        <w:autoSpaceDN/>
        <w:bidi w:val="0"/>
        <w:adjustRightInd w:val="0"/>
        <w:snapToGrid w:val="0"/>
        <w:spacing w:before="0" w:beforeAutospacing="0" w:after="0" w:afterAutospacing="0" w:line="400" w:lineRule="exact"/>
        <w:ind w:firstLine="480" w:firstLineChars="200"/>
        <w:textAlignment w:val="auto"/>
        <w:rPr>
          <w:rFonts w:ascii="仿宋" w:hAnsi="仿宋" w:eastAsia="仿宋" w:cs="仿宋_GB2312"/>
          <w:color w:val="auto"/>
          <w:highlight w:val="none"/>
          <w:lang w:val="zh-CN"/>
        </w:rPr>
      </w:pPr>
      <w:r>
        <w:rPr>
          <w:rFonts w:hint="eastAsia" w:ascii="仿宋" w:hAnsi="仿宋" w:eastAsia="仿宋" w:cs="仿宋_GB2312"/>
          <w:color w:val="auto"/>
          <w:highlight w:val="none"/>
        </w:rPr>
        <w:t xml:space="preserve">本企业对上述声明内容的真实性负责。如有虚假，将依法承担相应责任。 </w:t>
      </w:r>
    </w:p>
    <w:p w14:paraId="1DBEE154">
      <w:pPr>
        <w:pStyle w:val="28"/>
        <w:keepNext w:val="0"/>
        <w:keepLines w:val="0"/>
        <w:pageBreakBefore w:val="0"/>
        <w:widowControl w:val="0"/>
        <w:kinsoku/>
        <w:overflowPunct/>
        <w:topLinePunct w:val="0"/>
        <w:autoSpaceDE/>
        <w:autoSpaceDN/>
        <w:bidi w:val="0"/>
        <w:adjustRightInd w:val="0"/>
        <w:snapToGrid w:val="0"/>
        <w:spacing w:before="0" w:beforeAutospacing="0" w:after="0" w:afterAutospacing="0" w:line="400" w:lineRule="exact"/>
        <w:ind w:firstLine="3360" w:firstLineChars="1400"/>
        <w:textAlignment w:val="auto"/>
        <w:rPr>
          <w:rFonts w:ascii="仿宋" w:hAnsi="仿宋" w:eastAsia="仿宋" w:cs="仿宋_GB2312"/>
          <w:color w:val="auto"/>
          <w:highlight w:val="none"/>
        </w:rPr>
      </w:pPr>
    </w:p>
    <w:p w14:paraId="0DB55B0E">
      <w:pPr>
        <w:pStyle w:val="28"/>
        <w:keepNext w:val="0"/>
        <w:keepLines w:val="0"/>
        <w:pageBreakBefore w:val="0"/>
        <w:widowControl w:val="0"/>
        <w:kinsoku/>
        <w:overflowPunct/>
        <w:topLinePunct w:val="0"/>
        <w:autoSpaceDE/>
        <w:autoSpaceDN/>
        <w:bidi w:val="0"/>
        <w:adjustRightInd w:val="0"/>
        <w:snapToGrid w:val="0"/>
        <w:spacing w:before="0" w:beforeAutospacing="0" w:after="0" w:afterAutospacing="0" w:line="400" w:lineRule="exact"/>
        <w:ind w:firstLine="3360" w:firstLineChars="1400"/>
        <w:textAlignment w:val="auto"/>
        <w:rPr>
          <w:rFonts w:ascii="仿宋" w:hAnsi="仿宋" w:eastAsia="仿宋" w:cs="仿宋_GB2312"/>
          <w:color w:val="auto"/>
          <w:highlight w:val="none"/>
        </w:rPr>
      </w:pPr>
    </w:p>
    <w:p w14:paraId="287A7CD8">
      <w:pPr>
        <w:pStyle w:val="28"/>
        <w:keepNext w:val="0"/>
        <w:keepLines w:val="0"/>
        <w:pageBreakBefore w:val="0"/>
        <w:widowControl w:val="0"/>
        <w:kinsoku/>
        <w:overflowPunct/>
        <w:topLinePunct w:val="0"/>
        <w:autoSpaceDE/>
        <w:autoSpaceDN/>
        <w:bidi w:val="0"/>
        <w:adjustRightInd w:val="0"/>
        <w:snapToGrid w:val="0"/>
        <w:spacing w:before="0" w:beforeAutospacing="0" w:after="0" w:afterAutospacing="0" w:line="400" w:lineRule="exact"/>
        <w:ind w:firstLine="3360" w:firstLineChars="1400"/>
        <w:textAlignment w:val="auto"/>
        <w:rPr>
          <w:rFonts w:ascii="仿宋" w:hAnsi="仿宋" w:eastAsia="仿宋" w:cs="仿宋_GB2312"/>
          <w:color w:val="auto"/>
          <w:highlight w:val="none"/>
          <w:lang w:val="zh-CN"/>
        </w:rPr>
      </w:pPr>
      <w:r>
        <w:rPr>
          <w:rFonts w:hint="eastAsia" w:ascii="仿宋" w:hAnsi="仿宋" w:eastAsia="仿宋" w:cs="仿宋_GB2312"/>
          <w:color w:val="auto"/>
          <w:highlight w:val="none"/>
        </w:rPr>
        <w:t xml:space="preserve">企业名称（盖章）： </w:t>
      </w:r>
    </w:p>
    <w:p w14:paraId="2F14427E">
      <w:pPr>
        <w:pStyle w:val="28"/>
        <w:keepNext w:val="0"/>
        <w:keepLines w:val="0"/>
        <w:pageBreakBefore w:val="0"/>
        <w:widowControl w:val="0"/>
        <w:kinsoku/>
        <w:overflowPunct/>
        <w:topLinePunct w:val="0"/>
        <w:autoSpaceDE/>
        <w:autoSpaceDN/>
        <w:bidi w:val="0"/>
        <w:adjustRightInd w:val="0"/>
        <w:snapToGrid w:val="0"/>
        <w:spacing w:before="0" w:beforeAutospacing="0" w:after="0" w:afterAutospacing="0" w:line="400" w:lineRule="exact"/>
        <w:ind w:firstLine="3360" w:firstLineChars="1400"/>
        <w:textAlignment w:val="auto"/>
        <w:rPr>
          <w:rFonts w:ascii="仿宋" w:hAnsi="仿宋" w:eastAsia="仿宋" w:cs="仿宋_GB2312"/>
          <w:color w:val="auto"/>
          <w:highlight w:val="none"/>
        </w:rPr>
      </w:pPr>
      <w:r>
        <w:rPr>
          <w:rFonts w:hint="eastAsia" w:ascii="仿宋" w:hAnsi="仿宋" w:eastAsia="仿宋" w:cs="仿宋_GB2312"/>
          <w:color w:val="auto"/>
          <w:highlight w:val="none"/>
        </w:rPr>
        <w:t xml:space="preserve">日 期： </w:t>
      </w:r>
    </w:p>
    <w:p w14:paraId="4987F24A">
      <w:pPr>
        <w:keepNext w:val="0"/>
        <w:keepLines w:val="0"/>
        <w:pageBreakBefore w:val="0"/>
        <w:widowControl w:val="0"/>
        <w:kinsoku/>
        <w:overflowPunct/>
        <w:topLinePunct w:val="0"/>
        <w:autoSpaceDE/>
        <w:autoSpaceDN/>
        <w:bidi w:val="0"/>
        <w:snapToGrid w:val="0"/>
        <w:spacing w:line="400" w:lineRule="exact"/>
        <w:textAlignment w:val="auto"/>
        <w:rPr>
          <w:rFonts w:ascii="仿宋" w:hAnsi="仿宋" w:eastAsia="仿宋" w:cs="仿宋"/>
          <w:color w:val="auto"/>
          <w:sz w:val="24"/>
          <w:highlight w:val="none"/>
        </w:rPr>
      </w:pPr>
      <w:r>
        <w:rPr>
          <w:rFonts w:hint="eastAsia" w:ascii="仿宋" w:hAnsi="仿宋" w:eastAsia="仿宋" w:cs="仿宋_GB2312"/>
          <w:color w:val="auto"/>
          <w:sz w:val="24"/>
          <w:highlight w:val="none"/>
        </w:rPr>
        <w:t>① 注：从业人员、营业收入、资产总额填报上一年度数据，无上一年度数据的新成立企业可不填报。</w:t>
      </w:r>
    </w:p>
    <w:p w14:paraId="5E9E1878">
      <w:pPr>
        <w:rPr>
          <w:rFonts w:ascii="仿宋" w:hAnsi="仿宋" w:eastAsia="仿宋" w:cs="仿宋"/>
          <w:b/>
          <w:bCs/>
          <w:color w:val="auto"/>
          <w:kern w:val="0"/>
          <w:sz w:val="36"/>
          <w:szCs w:val="36"/>
          <w:highlight w:val="none"/>
        </w:rPr>
      </w:pPr>
      <w:r>
        <w:rPr>
          <w:rFonts w:ascii="仿宋" w:hAnsi="仿宋" w:eastAsia="仿宋" w:cs="仿宋"/>
          <w:b/>
          <w:bCs/>
          <w:color w:val="auto"/>
          <w:kern w:val="0"/>
          <w:sz w:val="36"/>
          <w:szCs w:val="36"/>
          <w:highlight w:val="none"/>
        </w:rPr>
        <w:br w:type="page"/>
      </w:r>
    </w:p>
    <w:p w14:paraId="533C7367">
      <w:pPr>
        <w:spacing w:line="360" w:lineRule="auto"/>
        <w:jc w:val="left"/>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r>
        <w:rPr>
          <w:rFonts w:hint="eastAsia" w:ascii="仿宋" w:hAnsi="仿宋" w:eastAsia="仿宋" w:cs="仿宋"/>
          <w:b/>
          <w:color w:val="auto"/>
          <w:sz w:val="24"/>
          <w:highlight w:val="none"/>
        </w:rPr>
        <w:t>格式</w:t>
      </w:r>
      <w:r>
        <w:rPr>
          <w:rFonts w:hint="eastAsia" w:ascii="仿宋" w:hAnsi="仿宋" w:eastAsia="仿宋" w:cs="仿宋"/>
          <w:b/>
          <w:color w:val="auto"/>
          <w:kern w:val="0"/>
          <w:sz w:val="24"/>
          <w:highlight w:val="none"/>
        </w:rPr>
        <w:t>（如不涉及，此函可不提供）</w:t>
      </w:r>
    </w:p>
    <w:p w14:paraId="1079EA97">
      <w:pPr>
        <w:keepNext w:val="0"/>
        <w:keepLines w:val="0"/>
        <w:pageBreakBefore w:val="0"/>
        <w:widowControl w:val="0"/>
        <w:tabs>
          <w:tab w:val="left" w:pos="1680"/>
        </w:tabs>
        <w:kinsoku/>
        <w:wordWrap/>
        <w:overflowPunct/>
        <w:topLinePunct w:val="0"/>
        <w:autoSpaceDE/>
        <w:autoSpaceDN/>
        <w:bidi w:val="0"/>
        <w:adjustRightInd/>
        <w:snapToGrid/>
        <w:spacing w:before="157" w:beforeLines="50" w:after="469" w:afterLines="150" w:line="240" w:lineRule="auto"/>
        <w:jc w:val="center"/>
        <w:textAlignment w:val="auto"/>
        <w:outlineLvl w:val="9"/>
        <w:rPr>
          <w:rFonts w:ascii="仿宋" w:hAnsi="仿宋" w:eastAsia="仿宋" w:cs="仿宋"/>
          <w:b/>
          <w:color w:val="auto"/>
          <w:sz w:val="24"/>
          <w:highlight w:val="none"/>
        </w:rPr>
      </w:pPr>
      <w:r>
        <w:rPr>
          <w:rFonts w:hint="eastAsia" w:ascii="仿宋" w:hAnsi="仿宋" w:eastAsia="仿宋" w:cs="仿宋"/>
          <w:b/>
          <w:color w:val="auto"/>
          <w:spacing w:val="6"/>
          <w:sz w:val="24"/>
          <w:highlight w:val="none"/>
        </w:rPr>
        <w:t>残疾人福利性单位声明函</w:t>
      </w:r>
    </w:p>
    <w:p w14:paraId="3013F24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编号：__________________）采购活动提供本单位制造的货物（由本单位承担工程/提供服务），或者提供其他残疾人福利性单位制造的货物（不包括使用非残疾人福利性单位注册商标的货物）。</w:t>
      </w:r>
    </w:p>
    <w:p w14:paraId="26D67E0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D60743E">
      <w:pPr>
        <w:spacing w:line="360" w:lineRule="auto"/>
        <w:ind w:firstLine="504" w:firstLineChars="200"/>
        <w:rPr>
          <w:rFonts w:ascii="仿宋" w:hAnsi="仿宋" w:eastAsia="仿宋" w:cs="仿宋"/>
          <w:color w:val="auto"/>
          <w:spacing w:val="6"/>
          <w:sz w:val="24"/>
          <w:highlight w:val="none"/>
        </w:rPr>
      </w:pPr>
    </w:p>
    <w:p w14:paraId="41A0283E">
      <w:pPr>
        <w:spacing w:line="360" w:lineRule="auto"/>
        <w:ind w:firstLine="504" w:firstLineChars="200"/>
        <w:rPr>
          <w:rFonts w:ascii="仿宋" w:hAnsi="仿宋" w:eastAsia="仿宋" w:cs="仿宋"/>
          <w:color w:val="auto"/>
          <w:spacing w:val="6"/>
          <w:sz w:val="24"/>
          <w:highlight w:val="none"/>
        </w:rPr>
      </w:pPr>
    </w:p>
    <w:p w14:paraId="1BB96A90">
      <w:pPr>
        <w:pStyle w:val="64"/>
        <w:snapToGrid w:val="0"/>
        <w:spacing w:line="360" w:lineRule="auto"/>
        <w:ind w:firstLine="4320" w:firstLineChars="180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w:t>
      </w:r>
    </w:p>
    <w:p w14:paraId="4E9AAF36">
      <w:pPr>
        <w:spacing w:line="360" w:lineRule="auto"/>
        <w:ind w:firstLine="5040" w:firstLineChars="2100"/>
        <w:rPr>
          <w:rFonts w:ascii="仿宋" w:hAnsi="仿宋" w:eastAsia="仿宋" w:cs="仿宋"/>
          <w:b/>
          <w:color w:val="auto"/>
          <w:sz w:val="24"/>
          <w:highlight w:val="none"/>
        </w:rPr>
      </w:pPr>
      <w:r>
        <w:rPr>
          <w:rFonts w:hint="eastAsia" w:ascii="仿宋" w:hAnsi="仿宋" w:eastAsia="仿宋" w:cs="仿宋"/>
          <w:color w:val="auto"/>
          <w:sz w:val="24"/>
          <w:highlight w:val="none"/>
        </w:rPr>
        <w:t>日 期：</w:t>
      </w:r>
    </w:p>
    <w:p w14:paraId="1C0BFCD7">
      <w:pPr>
        <w:spacing w:line="360" w:lineRule="auto"/>
        <w:rPr>
          <w:rFonts w:ascii="仿宋" w:hAnsi="仿宋" w:eastAsia="仿宋" w:cs="仿宋"/>
          <w:b/>
          <w:color w:val="auto"/>
          <w:sz w:val="24"/>
          <w:highlight w:val="none"/>
        </w:rPr>
      </w:pPr>
    </w:p>
    <w:p w14:paraId="369ADDAE">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注：中标人为残疾人福利性单位的，</w:t>
      </w:r>
      <w:r>
        <w:rPr>
          <w:rFonts w:hint="eastAsia" w:ascii="仿宋" w:hAnsi="仿宋" w:eastAsia="仿宋" w:cs="仿宋"/>
          <w:b/>
          <w:color w:val="auto"/>
          <w:sz w:val="24"/>
          <w:highlight w:val="none"/>
          <w:lang w:eastAsia="zh-CN"/>
        </w:rPr>
        <w:t>采购代理机构</w:t>
      </w:r>
      <w:r>
        <w:rPr>
          <w:rFonts w:hint="eastAsia" w:ascii="仿宋" w:hAnsi="仿宋" w:eastAsia="仿宋" w:cs="仿宋"/>
          <w:b/>
          <w:color w:val="auto"/>
          <w:sz w:val="24"/>
          <w:highlight w:val="none"/>
        </w:rPr>
        <w:t>随成交结果同时公告其《残疾人福利性单位声明函》</w:t>
      </w:r>
    </w:p>
    <w:p w14:paraId="3B41F5DA">
      <w:pPr>
        <w:widowControl/>
        <w:snapToGrid w:val="0"/>
        <w:spacing w:line="360" w:lineRule="auto"/>
        <w:rPr>
          <w:rFonts w:ascii="仿宋" w:hAnsi="仿宋" w:eastAsia="仿宋" w:cs="仿宋"/>
          <w:color w:val="auto"/>
          <w:kern w:val="0"/>
          <w:sz w:val="24"/>
          <w:highlight w:val="none"/>
        </w:rPr>
      </w:pPr>
    </w:p>
    <w:p w14:paraId="0E3A9E4A">
      <w:pPr>
        <w:rPr>
          <w:rFonts w:ascii="仿宋" w:hAnsi="仿宋" w:eastAsia="仿宋" w:cs="仿宋"/>
          <w:b/>
          <w:color w:val="auto"/>
          <w:kern w:val="0"/>
          <w:sz w:val="24"/>
          <w:highlight w:val="none"/>
        </w:rPr>
      </w:pPr>
      <w:r>
        <w:rPr>
          <w:rFonts w:ascii="仿宋" w:hAnsi="仿宋" w:eastAsia="仿宋" w:cs="仿宋"/>
          <w:b/>
          <w:color w:val="auto"/>
          <w:kern w:val="0"/>
          <w:sz w:val="24"/>
          <w:highlight w:val="none"/>
        </w:rPr>
        <w:br w:type="page"/>
      </w:r>
    </w:p>
    <w:p w14:paraId="062C6450">
      <w:pPr>
        <w:spacing w:line="360" w:lineRule="auto"/>
        <w:jc w:val="left"/>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监狱企业证明文件格式（如不涉及，此函可不提供）</w:t>
      </w:r>
    </w:p>
    <w:p w14:paraId="469BB630">
      <w:pPr>
        <w:keepNext w:val="0"/>
        <w:keepLines w:val="0"/>
        <w:pageBreakBefore w:val="0"/>
        <w:widowControl w:val="0"/>
        <w:tabs>
          <w:tab w:val="left" w:pos="1680"/>
        </w:tabs>
        <w:kinsoku/>
        <w:wordWrap/>
        <w:overflowPunct/>
        <w:topLinePunct w:val="0"/>
        <w:autoSpaceDE/>
        <w:autoSpaceDN/>
        <w:bidi w:val="0"/>
        <w:adjustRightInd/>
        <w:snapToGrid/>
        <w:spacing w:before="157" w:beforeLines="50" w:after="469" w:afterLines="150" w:line="240" w:lineRule="auto"/>
        <w:jc w:val="center"/>
        <w:textAlignment w:val="auto"/>
        <w:outlineLvl w:val="9"/>
        <w:rPr>
          <w:rFonts w:hint="eastAsia" w:ascii="仿宋" w:hAnsi="仿宋" w:eastAsia="仿宋" w:cs="仿宋"/>
          <w:b/>
          <w:bCs/>
          <w:color w:val="000000"/>
          <w:spacing w:val="6"/>
          <w:sz w:val="28"/>
          <w:szCs w:val="28"/>
          <w:highlight w:val="none"/>
        </w:rPr>
      </w:pPr>
      <w:r>
        <w:rPr>
          <w:rFonts w:hint="eastAsia" w:ascii="仿宋" w:hAnsi="仿宋" w:eastAsia="仿宋" w:cs="仿宋"/>
          <w:b/>
          <w:bCs/>
          <w:color w:val="000000"/>
          <w:spacing w:val="6"/>
          <w:sz w:val="28"/>
          <w:szCs w:val="28"/>
          <w:highlight w:val="none"/>
        </w:rPr>
        <w:t>监狱企业声明函</w:t>
      </w:r>
    </w:p>
    <w:p w14:paraId="206A83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eastAsia" w:ascii="仿宋" w:hAnsi="仿宋" w:eastAsia="仿宋" w:cs="仿宋"/>
          <w:color w:val="000000"/>
          <w:kern w:val="2"/>
          <w:sz w:val="24"/>
          <w:highlight w:val="none"/>
          <w:lang w:val="en-US" w:eastAsia="zh-CN" w:bidi="ar-SA"/>
        </w:rPr>
      </w:pPr>
      <w:r>
        <w:rPr>
          <w:rFonts w:hint="eastAsia" w:ascii="仿宋" w:hAnsi="仿宋" w:eastAsia="仿宋" w:cs="仿宋"/>
          <w:color w:val="000000"/>
          <w:kern w:val="2"/>
          <w:sz w:val="24"/>
          <w:highlight w:val="none"/>
          <w:lang w:val="en-US" w:eastAsia="zh-CN" w:bidi="ar-SA"/>
        </w:rPr>
        <w:t>本单位郑重声明，根据《</w:t>
      </w:r>
      <w:bookmarkStart w:id="55" w:name="_Toc496521068"/>
      <w:r>
        <w:rPr>
          <w:rFonts w:hint="eastAsia" w:ascii="仿宋" w:hAnsi="仿宋" w:eastAsia="仿宋" w:cs="仿宋"/>
          <w:color w:val="000000"/>
          <w:kern w:val="2"/>
          <w:sz w:val="24"/>
          <w:highlight w:val="none"/>
          <w:lang w:val="en-US" w:eastAsia="zh-CN" w:bidi="ar-SA"/>
        </w:rPr>
        <w:t>关于政府采购支持监狱企业发展有关问题的通知</w:t>
      </w:r>
      <w:bookmarkEnd w:id="55"/>
      <w:r>
        <w:rPr>
          <w:rFonts w:hint="eastAsia" w:ascii="仿宋" w:hAnsi="仿宋" w:eastAsia="仿宋" w:cs="仿宋"/>
          <w:color w:val="000000"/>
          <w:kern w:val="2"/>
          <w:sz w:val="24"/>
          <w:highlight w:val="none"/>
          <w:lang w:val="en-US" w:eastAsia="zh-CN" w:bidi="ar-SA"/>
        </w:rPr>
        <w:t>》（财库〔2014〕68号）的规定，本单位为符合条件的监狱企业，且本单位参加</w:t>
      </w:r>
      <w:r>
        <w:rPr>
          <w:rFonts w:hint="eastAsia" w:ascii="仿宋" w:hAnsi="仿宋" w:eastAsia="仿宋" w:cs="仿宋"/>
          <w:color w:val="000000"/>
          <w:kern w:val="2"/>
          <w:sz w:val="24"/>
          <w:highlight w:val="none"/>
          <w:u w:val="single"/>
          <w:lang w:val="en-US" w:eastAsia="zh-CN" w:bidi="ar-SA"/>
        </w:rPr>
        <w:t xml:space="preserve">                      </w:t>
      </w:r>
      <w:r>
        <w:rPr>
          <w:rFonts w:hint="eastAsia" w:ascii="仿宋" w:hAnsi="仿宋" w:eastAsia="仿宋" w:cs="仿宋"/>
          <w:color w:val="000000"/>
          <w:kern w:val="2"/>
          <w:sz w:val="24"/>
          <w:highlight w:val="none"/>
          <w:lang w:val="en-US" w:eastAsia="zh-CN" w:bidi="ar-SA"/>
        </w:rPr>
        <w:t>单位的</w:t>
      </w:r>
      <w:r>
        <w:rPr>
          <w:rFonts w:hint="eastAsia" w:ascii="仿宋" w:hAnsi="仿宋" w:eastAsia="仿宋" w:cs="仿宋"/>
          <w:color w:val="000000"/>
          <w:kern w:val="2"/>
          <w:sz w:val="24"/>
          <w:highlight w:val="none"/>
          <w:u w:val="single"/>
          <w:lang w:val="en-US" w:eastAsia="zh-CN" w:bidi="ar-SA"/>
        </w:rPr>
        <w:t xml:space="preserve">              </w:t>
      </w:r>
      <w:r>
        <w:rPr>
          <w:rFonts w:hint="eastAsia" w:ascii="仿宋" w:hAnsi="仿宋" w:eastAsia="仿宋" w:cs="仿宋"/>
          <w:color w:val="000000"/>
          <w:kern w:val="2"/>
          <w:sz w:val="24"/>
          <w:highlight w:val="none"/>
          <w:lang w:val="en-US" w:eastAsia="zh-CN" w:bidi="ar-SA"/>
        </w:rPr>
        <w:t>项目采购活动由本单位提供服务。</w:t>
      </w:r>
    </w:p>
    <w:p w14:paraId="360840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eastAsia" w:ascii="仿宋" w:hAnsi="仿宋" w:eastAsia="仿宋" w:cs="仿宋"/>
          <w:color w:val="000000"/>
          <w:kern w:val="2"/>
          <w:sz w:val="24"/>
          <w:highlight w:val="none"/>
          <w:lang w:val="en-US" w:eastAsia="zh-CN" w:bidi="ar-SA"/>
        </w:rPr>
      </w:pPr>
      <w:r>
        <w:rPr>
          <w:rFonts w:hint="eastAsia" w:ascii="仿宋" w:hAnsi="仿宋" w:eastAsia="仿宋" w:cs="仿宋"/>
          <w:color w:val="000000"/>
          <w:kern w:val="2"/>
          <w:sz w:val="24"/>
          <w:highlight w:val="none"/>
          <w:lang w:val="en-US" w:eastAsia="zh-CN" w:bidi="ar-SA"/>
        </w:rPr>
        <w:t>本单位对上述声明的真实性负责。如有虚假，将依法承担相应责任。</w:t>
      </w:r>
    </w:p>
    <w:p w14:paraId="47399B1C">
      <w:pPr>
        <w:widowControl w:val="0"/>
        <w:snapToGrid w:val="0"/>
        <w:spacing w:line="480" w:lineRule="exact"/>
        <w:ind w:firstLine="480" w:firstLineChars="200"/>
        <w:jc w:val="both"/>
        <w:textAlignment w:val="baseline"/>
        <w:rPr>
          <w:rFonts w:hint="eastAsia" w:ascii="仿宋" w:hAnsi="仿宋" w:eastAsia="仿宋" w:cs="仿宋"/>
          <w:color w:val="000000"/>
          <w:kern w:val="2"/>
          <w:sz w:val="24"/>
          <w:highlight w:val="none"/>
          <w:lang w:val="en-US" w:eastAsia="zh-CN" w:bidi="ar-SA"/>
        </w:rPr>
      </w:pPr>
    </w:p>
    <w:p w14:paraId="4B3CEC75">
      <w:pPr>
        <w:widowControl w:val="0"/>
        <w:snapToGrid w:val="0"/>
        <w:spacing w:line="480" w:lineRule="exact"/>
        <w:ind w:firstLine="480" w:firstLineChars="200"/>
        <w:jc w:val="both"/>
        <w:textAlignment w:val="baseline"/>
        <w:rPr>
          <w:rFonts w:hint="eastAsia" w:ascii="仿宋" w:hAnsi="仿宋" w:eastAsia="仿宋" w:cs="仿宋"/>
          <w:color w:val="000000"/>
          <w:kern w:val="2"/>
          <w:sz w:val="24"/>
          <w:highlight w:val="none"/>
          <w:lang w:val="en-US" w:eastAsia="zh-CN" w:bidi="ar-SA"/>
        </w:rPr>
      </w:pPr>
    </w:p>
    <w:p w14:paraId="58F85CDC">
      <w:pPr>
        <w:adjustRightInd w:val="0"/>
        <w:snapToGrid w:val="0"/>
        <w:spacing w:line="360" w:lineRule="auto"/>
        <w:ind w:firstLine="480" w:firstLineChars="200"/>
        <w:rPr>
          <w:rFonts w:hint="eastAsia" w:ascii="仿宋" w:hAnsi="仿宋" w:eastAsia="仿宋" w:cs="仿宋"/>
          <w:color w:val="000000"/>
          <w:sz w:val="24"/>
          <w:szCs w:val="24"/>
          <w:highlight w:val="none"/>
        </w:rPr>
      </w:pPr>
    </w:p>
    <w:p w14:paraId="0D3BD32C">
      <w:pPr>
        <w:pStyle w:val="64"/>
        <w:snapToGrid w:val="0"/>
        <w:spacing w:line="360" w:lineRule="auto"/>
        <w:ind w:firstLine="4320" w:firstLineChars="180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w:t>
      </w:r>
    </w:p>
    <w:p w14:paraId="19760C47">
      <w:pPr>
        <w:keepNext w:val="0"/>
        <w:keepLines w:val="0"/>
        <w:pageBreakBefore w:val="0"/>
        <w:widowControl w:val="0"/>
        <w:kinsoku/>
        <w:wordWrap/>
        <w:overflowPunct/>
        <w:topLinePunct w:val="0"/>
        <w:autoSpaceDE/>
        <w:autoSpaceDN/>
        <w:bidi w:val="0"/>
        <w:adjustRightInd/>
        <w:snapToGrid/>
        <w:spacing w:line="360" w:lineRule="auto"/>
        <w:ind w:firstLine="4920" w:firstLineChars="2050"/>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日 期：</w:t>
      </w:r>
    </w:p>
    <w:p w14:paraId="09488C68">
      <w:pPr>
        <w:widowControl w:val="0"/>
        <w:snapToGrid w:val="0"/>
        <w:spacing w:line="480" w:lineRule="exact"/>
        <w:ind w:firstLine="3614" w:firstLineChars="1500"/>
        <w:jc w:val="both"/>
        <w:textAlignment w:val="baseline"/>
        <w:rPr>
          <w:rFonts w:hint="eastAsia" w:ascii="仿宋" w:hAnsi="仿宋" w:eastAsia="仿宋" w:cs="仿宋"/>
          <w:b/>
          <w:color w:val="000000"/>
          <w:kern w:val="2"/>
          <w:sz w:val="24"/>
          <w:highlight w:val="none"/>
          <w:lang w:val="en-US" w:eastAsia="zh-CN" w:bidi="ar-SA"/>
        </w:rPr>
      </w:pPr>
    </w:p>
    <w:p w14:paraId="0D817BED">
      <w:pPr>
        <w:widowControl w:val="0"/>
        <w:snapToGrid w:val="0"/>
        <w:spacing w:line="480" w:lineRule="exact"/>
        <w:ind w:firstLine="482" w:firstLineChars="200"/>
        <w:jc w:val="both"/>
        <w:textAlignment w:val="baseline"/>
        <w:rPr>
          <w:rFonts w:hint="eastAsia" w:ascii="仿宋" w:hAnsi="仿宋" w:eastAsia="仿宋" w:cs="仿宋"/>
          <w:b/>
          <w:color w:val="000000"/>
          <w:kern w:val="2"/>
          <w:sz w:val="24"/>
          <w:highlight w:val="none"/>
          <w:lang w:val="en-US" w:eastAsia="zh-CN" w:bidi="ar-SA"/>
        </w:rPr>
      </w:pPr>
      <w:r>
        <w:rPr>
          <w:rFonts w:hint="eastAsia" w:ascii="仿宋" w:hAnsi="仿宋" w:eastAsia="仿宋" w:cs="仿宋"/>
          <w:b/>
          <w:color w:val="000000"/>
          <w:kern w:val="2"/>
          <w:sz w:val="24"/>
          <w:highlight w:val="none"/>
          <w:lang w:val="en-US" w:eastAsia="zh-CN" w:bidi="ar-SA"/>
        </w:rPr>
        <w:t>附：由省级以上监狱管理局、戒毒管理局（含新疆生产建设兵团）出具的属于监狱企业的证明文件的复印件（或扫描件）。</w:t>
      </w:r>
    </w:p>
    <w:p w14:paraId="71F9E993">
      <w:pPr>
        <w:widowControl/>
        <w:snapToGrid w:val="0"/>
        <w:spacing w:line="360" w:lineRule="auto"/>
        <w:ind w:firstLine="0" w:firstLineChars="0"/>
        <w:rPr>
          <w:rFonts w:hint="eastAsia" w:ascii="仿宋" w:hAnsi="仿宋" w:eastAsia="仿宋" w:cs="仿宋"/>
          <w:color w:val="000000"/>
          <w:sz w:val="24"/>
          <w:szCs w:val="24"/>
          <w:highlight w:val="none"/>
        </w:rPr>
      </w:pPr>
    </w:p>
    <w:p w14:paraId="65312961">
      <w:pPr>
        <w:widowControl/>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注：</w:t>
      </w:r>
      <w:r>
        <w:rPr>
          <w:rFonts w:hint="eastAsia" w:ascii="仿宋" w:hAnsi="仿宋" w:eastAsia="仿宋" w:cs="仿宋"/>
          <w:color w:val="000000"/>
          <w:sz w:val="24"/>
          <w:szCs w:val="24"/>
          <w:highlight w:val="none"/>
          <w:lang w:eastAsia="zh-CN"/>
        </w:rPr>
        <w:t>中标人</w:t>
      </w:r>
      <w:r>
        <w:rPr>
          <w:rFonts w:hint="eastAsia" w:ascii="仿宋" w:hAnsi="仿宋" w:eastAsia="仿宋" w:cs="仿宋"/>
          <w:color w:val="000000"/>
          <w:sz w:val="24"/>
          <w:szCs w:val="24"/>
          <w:highlight w:val="none"/>
        </w:rPr>
        <w:t>为监狱企业的，</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代理机构随</w:t>
      </w:r>
      <w:r>
        <w:rPr>
          <w:rFonts w:hint="eastAsia" w:ascii="仿宋" w:hAnsi="仿宋" w:eastAsia="仿宋" w:cs="仿宋"/>
          <w:color w:val="000000"/>
          <w:sz w:val="24"/>
          <w:szCs w:val="24"/>
          <w:highlight w:val="none"/>
          <w:lang w:eastAsia="zh-CN"/>
        </w:rPr>
        <w:t>中标</w:t>
      </w:r>
      <w:r>
        <w:rPr>
          <w:rFonts w:hint="eastAsia" w:ascii="仿宋" w:hAnsi="仿宋" w:eastAsia="仿宋" w:cs="仿宋"/>
          <w:color w:val="000000"/>
          <w:sz w:val="24"/>
          <w:szCs w:val="24"/>
          <w:highlight w:val="none"/>
        </w:rPr>
        <w:t>结果同时公告其性质。</w:t>
      </w:r>
    </w:p>
    <w:p w14:paraId="4EA55182">
      <w:pPr>
        <w:spacing w:line="588" w:lineRule="exact"/>
        <w:ind w:firstLine="444" w:firstLineChars="200"/>
        <w:rPr>
          <w:rFonts w:hint="eastAsia" w:ascii="宋体" w:hAnsi="宋体"/>
          <w:spacing w:val="6"/>
          <w:szCs w:val="21"/>
          <w:highlight w:val="none"/>
        </w:rPr>
      </w:pPr>
    </w:p>
    <w:sectPr>
      <w:pgSz w:w="11906" w:h="16838"/>
      <w:pgMar w:top="1417" w:right="1247" w:bottom="1417" w:left="124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8E60C">
    <w:pPr>
      <w:pStyle w:val="2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84DE0">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DD84DE0">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86EE2">
    <w:pPr>
      <w:pStyle w:val="23"/>
      <w:tabs>
        <w:tab w:val="center" w:pos="447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4AE71">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C94AE71">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A8D80">
    <w:pPr>
      <w:pStyle w:val="23"/>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4A3D7">
                          <w:pPr>
                            <w:pStyle w:val="2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C64A3D7">
                    <w:pPr>
                      <w:pStyle w:val="2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47B3E">
    <w:pPr>
      <w:pStyle w:val="23"/>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2FBC0">
                          <w:pPr>
                            <w:pStyle w:val="2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6F2FBC0">
                    <w:pPr>
                      <w:pStyle w:val="2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6B3F2">
    <w:pPr>
      <w:pStyle w:val="2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9DB7F">
                          <w:pPr>
                            <w:pStyle w:val="2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039DB7F">
                    <w:pPr>
                      <w:pStyle w:val="2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9A3D1">
    <w:pPr>
      <w:pStyle w:val="2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BD13D">
                          <w:pPr>
                            <w:pStyle w:val="2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BABD13D">
                    <w:pPr>
                      <w:pStyle w:val="2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F588E">
    <w:pPr>
      <w:pStyle w:val="1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DE984">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F79D89"/>
    <w:multiLevelType w:val="singleLevel"/>
    <w:tmpl w:val="CCF79D89"/>
    <w:lvl w:ilvl="0" w:tentative="0">
      <w:start w:val="2"/>
      <w:numFmt w:val="chineseCounting"/>
      <w:lvlText w:val="(%1)"/>
      <w:lvlJc w:val="left"/>
      <w:pPr>
        <w:tabs>
          <w:tab w:val="left" w:pos="312"/>
        </w:tabs>
      </w:pPr>
      <w:rPr>
        <w:rFonts w:hint="eastAsia"/>
      </w:rPr>
    </w:lvl>
  </w:abstractNum>
  <w:abstractNum w:abstractNumId="1">
    <w:nsid w:val="59DF65FD"/>
    <w:multiLevelType w:val="singleLevel"/>
    <w:tmpl w:val="59DF65FD"/>
    <w:lvl w:ilvl="0" w:tentative="0">
      <w:start w:val="5"/>
      <w:numFmt w:val="decimal"/>
      <w:suff w:val="space"/>
      <w:lvlText w:val="%1."/>
      <w:lvlJc w:val="left"/>
    </w:lvl>
  </w:abstractNum>
  <w:abstractNum w:abstractNumId="2">
    <w:nsid w:val="7509E13B"/>
    <w:multiLevelType w:val="singleLevel"/>
    <w:tmpl w:val="7509E13B"/>
    <w:lvl w:ilvl="0" w:tentative="0">
      <w:start w:val="7"/>
      <w:numFmt w:val="chineseCounting"/>
      <w:suff w:val="nothing"/>
      <w:lvlText w:val="%1、"/>
      <w:lvlJc w:val="left"/>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460d815a5fa04980ab9b7c1174e39cf6">
    <w15:presenceInfo w15:providerId="None" w15:userId="460d815a5fa04980ab9b7c1174e39c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Zjg0N2NlMjlhNWE0OWFlZGNmNDBmMjQ5MjE1ZjMifQ=="/>
  </w:docVars>
  <w:rsids>
    <w:rsidRoot w:val="001516FC"/>
    <w:rsid w:val="00002A35"/>
    <w:rsid w:val="00003443"/>
    <w:rsid w:val="000068EA"/>
    <w:rsid w:val="00013D5F"/>
    <w:rsid w:val="000241FA"/>
    <w:rsid w:val="0003221E"/>
    <w:rsid w:val="000326AC"/>
    <w:rsid w:val="000340B1"/>
    <w:rsid w:val="00043D00"/>
    <w:rsid w:val="0004478F"/>
    <w:rsid w:val="000457E7"/>
    <w:rsid w:val="000617C5"/>
    <w:rsid w:val="000624ED"/>
    <w:rsid w:val="000659DC"/>
    <w:rsid w:val="00065D1B"/>
    <w:rsid w:val="00072119"/>
    <w:rsid w:val="00074A34"/>
    <w:rsid w:val="00074B5E"/>
    <w:rsid w:val="00074C12"/>
    <w:rsid w:val="00075618"/>
    <w:rsid w:val="000802B9"/>
    <w:rsid w:val="00081607"/>
    <w:rsid w:val="00083ECC"/>
    <w:rsid w:val="000856BE"/>
    <w:rsid w:val="00090C03"/>
    <w:rsid w:val="00091898"/>
    <w:rsid w:val="000A4000"/>
    <w:rsid w:val="000A5D81"/>
    <w:rsid w:val="000B0211"/>
    <w:rsid w:val="000B0F5F"/>
    <w:rsid w:val="000B3B93"/>
    <w:rsid w:val="000C2118"/>
    <w:rsid w:val="000C45C3"/>
    <w:rsid w:val="000C5526"/>
    <w:rsid w:val="000D40AC"/>
    <w:rsid w:val="000D421F"/>
    <w:rsid w:val="000E4B16"/>
    <w:rsid w:val="000F3596"/>
    <w:rsid w:val="000F5679"/>
    <w:rsid w:val="000F6417"/>
    <w:rsid w:val="001010AE"/>
    <w:rsid w:val="001036D2"/>
    <w:rsid w:val="001078AC"/>
    <w:rsid w:val="001100DB"/>
    <w:rsid w:val="001107F0"/>
    <w:rsid w:val="00114447"/>
    <w:rsid w:val="00114F5A"/>
    <w:rsid w:val="00117737"/>
    <w:rsid w:val="00123881"/>
    <w:rsid w:val="001333B6"/>
    <w:rsid w:val="00134DD7"/>
    <w:rsid w:val="00135E5B"/>
    <w:rsid w:val="00136677"/>
    <w:rsid w:val="00144B19"/>
    <w:rsid w:val="001516FC"/>
    <w:rsid w:val="001531D8"/>
    <w:rsid w:val="00156C17"/>
    <w:rsid w:val="00163728"/>
    <w:rsid w:val="001649B5"/>
    <w:rsid w:val="00165319"/>
    <w:rsid w:val="001658E8"/>
    <w:rsid w:val="00167A85"/>
    <w:rsid w:val="0017423B"/>
    <w:rsid w:val="001754C1"/>
    <w:rsid w:val="0017606C"/>
    <w:rsid w:val="00177797"/>
    <w:rsid w:val="0018028D"/>
    <w:rsid w:val="00182258"/>
    <w:rsid w:val="001838C6"/>
    <w:rsid w:val="0019079B"/>
    <w:rsid w:val="00197344"/>
    <w:rsid w:val="0019742F"/>
    <w:rsid w:val="001A0684"/>
    <w:rsid w:val="001A119A"/>
    <w:rsid w:val="001A57B0"/>
    <w:rsid w:val="001B055F"/>
    <w:rsid w:val="001B2F0C"/>
    <w:rsid w:val="001B57CF"/>
    <w:rsid w:val="001B5EE7"/>
    <w:rsid w:val="001B7AF1"/>
    <w:rsid w:val="001C2F00"/>
    <w:rsid w:val="001C5B85"/>
    <w:rsid w:val="001D2485"/>
    <w:rsid w:val="001D519B"/>
    <w:rsid w:val="001E7715"/>
    <w:rsid w:val="001F3874"/>
    <w:rsid w:val="001F5A9E"/>
    <w:rsid w:val="00210512"/>
    <w:rsid w:val="002150B7"/>
    <w:rsid w:val="00221D64"/>
    <w:rsid w:val="00223E38"/>
    <w:rsid w:val="0022575E"/>
    <w:rsid w:val="002309DD"/>
    <w:rsid w:val="002312B5"/>
    <w:rsid w:val="002328F3"/>
    <w:rsid w:val="00233C93"/>
    <w:rsid w:val="0024090C"/>
    <w:rsid w:val="00243234"/>
    <w:rsid w:val="002521EE"/>
    <w:rsid w:val="002526A2"/>
    <w:rsid w:val="002530B9"/>
    <w:rsid w:val="002543FF"/>
    <w:rsid w:val="00257575"/>
    <w:rsid w:val="002613B3"/>
    <w:rsid w:val="0026243A"/>
    <w:rsid w:val="0026480D"/>
    <w:rsid w:val="00275420"/>
    <w:rsid w:val="00276CCA"/>
    <w:rsid w:val="002841E4"/>
    <w:rsid w:val="00285016"/>
    <w:rsid w:val="0028727A"/>
    <w:rsid w:val="00291ECE"/>
    <w:rsid w:val="00292C44"/>
    <w:rsid w:val="0029326C"/>
    <w:rsid w:val="002A00B2"/>
    <w:rsid w:val="002A32B6"/>
    <w:rsid w:val="002A5689"/>
    <w:rsid w:val="002A6839"/>
    <w:rsid w:val="002A6D2F"/>
    <w:rsid w:val="002B20E0"/>
    <w:rsid w:val="002B5451"/>
    <w:rsid w:val="002C0815"/>
    <w:rsid w:val="002C14C6"/>
    <w:rsid w:val="002C6415"/>
    <w:rsid w:val="002C748C"/>
    <w:rsid w:val="002D6033"/>
    <w:rsid w:val="002D6EEE"/>
    <w:rsid w:val="002E478A"/>
    <w:rsid w:val="00304570"/>
    <w:rsid w:val="00312874"/>
    <w:rsid w:val="00312DBB"/>
    <w:rsid w:val="00313034"/>
    <w:rsid w:val="00313BEF"/>
    <w:rsid w:val="00315162"/>
    <w:rsid w:val="003237D1"/>
    <w:rsid w:val="00324D3D"/>
    <w:rsid w:val="003359EA"/>
    <w:rsid w:val="003415F1"/>
    <w:rsid w:val="003433E9"/>
    <w:rsid w:val="003523C7"/>
    <w:rsid w:val="00361478"/>
    <w:rsid w:val="00363E67"/>
    <w:rsid w:val="003727A1"/>
    <w:rsid w:val="00372C95"/>
    <w:rsid w:val="00375929"/>
    <w:rsid w:val="003803BC"/>
    <w:rsid w:val="003817E3"/>
    <w:rsid w:val="00390771"/>
    <w:rsid w:val="00392FAB"/>
    <w:rsid w:val="00397AF2"/>
    <w:rsid w:val="003A2BD0"/>
    <w:rsid w:val="003A415B"/>
    <w:rsid w:val="003A7225"/>
    <w:rsid w:val="003B0759"/>
    <w:rsid w:val="003B5DE4"/>
    <w:rsid w:val="003C3583"/>
    <w:rsid w:val="003C3EBD"/>
    <w:rsid w:val="003C48B6"/>
    <w:rsid w:val="003C4A85"/>
    <w:rsid w:val="003C5B3E"/>
    <w:rsid w:val="003C7927"/>
    <w:rsid w:val="003D05DB"/>
    <w:rsid w:val="003D200A"/>
    <w:rsid w:val="003D44EC"/>
    <w:rsid w:val="003E16AD"/>
    <w:rsid w:val="003E4E11"/>
    <w:rsid w:val="003E52B2"/>
    <w:rsid w:val="003E7FF9"/>
    <w:rsid w:val="003F2E7B"/>
    <w:rsid w:val="004025A8"/>
    <w:rsid w:val="004031DC"/>
    <w:rsid w:val="0040578A"/>
    <w:rsid w:val="004122C2"/>
    <w:rsid w:val="00415644"/>
    <w:rsid w:val="0041612E"/>
    <w:rsid w:val="00417C01"/>
    <w:rsid w:val="004202DF"/>
    <w:rsid w:val="00427CEE"/>
    <w:rsid w:val="004314A2"/>
    <w:rsid w:val="0043472C"/>
    <w:rsid w:val="00435232"/>
    <w:rsid w:val="00435DB8"/>
    <w:rsid w:val="00440CFF"/>
    <w:rsid w:val="0044128A"/>
    <w:rsid w:val="00442F59"/>
    <w:rsid w:val="00444F86"/>
    <w:rsid w:val="00446B56"/>
    <w:rsid w:val="004503FC"/>
    <w:rsid w:val="004511C1"/>
    <w:rsid w:val="004613A3"/>
    <w:rsid w:val="004646A5"/>
    <w:rsid w:val="00464DA8"/>
    <w:rsid w:val="00470F32"/>
    <w:rsid w:val="0047316B"/>
    <w:rsid w:val="00475970"/>
    <w:rsid w:val="004777E1"/>
    <w:rsid w:val="00482094"/>
    <w:rsid w:val="0048356D"/>
    <w:rsid w:val="00483A70"/>
    <w:rsid w:val="00483AFB"/>
    <w:rsid w:val="0048509B"/>
    <w:rsid w:val="004869FC"/>
    <w:rsid w:val="004870DB"/>
    <w:rsid w:val="00494394"/>
    <w:rsid w:val="00497EFD"/>
    <w:rsid w:val="004A1094"/>
    <w:rsid w:val="004A20B6"/>
    <w:rsid w:val="004A3DC6"/>
    <w:rsid w:val="004A5EDA"/>
    <w:rsid w:val="004A7C6C"/>
    <w:rsid w:val="004B5FB0"/>
    <w:rsid w:val="004D0757"/>
    <w:rsid w:val="004D67C8"/>
    <w:rsid w:val="004D7595"/>
    <w:rsid w:val="004E6430"/>
    <w:rsid w:val="004F276C"/>
    <w:rsid w:val="004F34D3"/>
    <w:rsid w:val="004F466F"/>
    <w:rsid w:val="0050203F"/>
    <w:rsid w:val="00503D56"/>
    <w:rsid w:val="00511355"/>
    <w:rsid w:val="00512AD9"/>
    <w:rsid w:val="005140E4"/>
    <w:rsid w:val="00515BBA"/>
    <w:rsid w:val="005239D4"/>
    <w:rsid w:val="00524A51"/>
    <w:rsid w:val="005260ED"/>
    <w:rsid w:val="00526B2F"/>
    <w:rsid w:val="00527040"/>
    <w:rsid w:val="005276BC"/>
    <w:rsid w:val="005335BA"/>
    <w:rsid w:val="00535ED4"/>
    <w:rsid w:val="005436A3"/>
    <w:rsid w:val="00550A6D"/>
    <w:rsid w:val="00551DD6"/>
    <w:rsid w:val="00553BB0"/>
    <w:rsid w:val="0056345F"/>
    <w:rsid w:val="00563FBF"/>
    <w:rsid w:val="00567397"/>
    <w:rsid w:val="00572054"/>
    <w:rsid w:val="00575102"/>
    <w:rsid w:val="005752D4"/>
    <w:rsid w:val="00575D46"/>
    <w:rsid w:val="0058227A"/>
    <w:rsid w:val="00582611"/>
    <w:rsid w:val="005826B6"/>
    <w:rsid w:val="00586334"/>
    <w:rsid w:val="005876FA"/>
    <w:rsid w:val="00591AE1"/>
    <w:rsid w:val="0059225B"/>
    <w:rsid w:val="005922F9"/>
    <w:rsid w:val="005A04E0"/>
    <w:rsid w:val="005A27B5"/>
    <w:rsid w:val="005B335B"/>
    <w:rsid w:val="005B39D2"/>
    <w:rsid w:val="005C2C87"/>
    <w:rsid w:val="005C789E"/>
    <w:rsid w:val="005D2AEF"/>
    <w:rsid w:val="005D314F"/>
    <w:rsid w:val="005D5CCD"/>
    <w:rsid w:val="005E0624"/>
    <w:rsid w:val="005E1DAA"/>
    <w:rsid w:val="005F58CE"/>
    <w:rsid w:val="005F677A"/>
    <w:rsid w:val="0060238C"/>
    <w:rsid w:val="006077AC"/>
    <w:rsid w:val="00610277"/>
    <w:rsid w:val="00610E77"/>
    <w:rsid w:val="00612E6C"/>
    <w:rsid w:val="0061355E"/>
    <w:rsid w:val="00621043"/>
    <w:rsid w:val="00621902"/>
    <w:rsid w:val="0062267B"/>
    <w:rsid w:val="00623313"/>
    <w:rsid w:val="0062340C"/>
    <w:rsid w:val="00625876"/>
    <w:rsid w:val="006379CE"/>
    <w:rsid w:val="00643E36"/>
    <w:rsid w:val="00646223"/>
    <w:rsid w:val="00647E07"/>
    <w:rsid w:val="0065195E"/>
    <w:rsid w:val="006544CE"/>
    <w:rsid w:val="00656E53"/>
    <w:rsid w:val="00660493"/>
    <w:rsid w:val="00660FCF"/>
    <w:rsid w:val="00665D9C"/>
    <w:rsid w:val="00667C65"/>
    <w:rsid w:val="00670BBA"/>
    <w:rsid w:val="00670DC2"/>
    <w:rsid w:val="00674A15"/>
    <w:rsid w:val="00682038"/>
    <w:rsid w:val="006820DA"/>
    <w:rsid w:val="00684636"/>
    <w:rsid w:val="006864A9"/>
    <w:rsid w:val="00687AD4"/>
    <w:rsid w:val="006A1720"/>
    <w:rsid w:val="006A393D"/>
    <w:rsid w:val="006A5DC7"/>
    <w:rsid w:val="006A6C7E"/>
    <w:rsid w:val="006B67CB"/>
    <w:rsid w:val="006C3556"/>
    <w:rsid w:val="006C3A21"/>
    <w:rsid w:val="006C582E"/>
    <w:rsid w:val="006C636D"/>
    <w:rsid w:val="006C6654"/>
    <w:rsid w:val="006D6E3B"/>
    <w:rsid w:val="006E0181"/>
    <w:rsid w:val="006E089A"/>
    <w:rsid w:val="006E1AEC"/>
    <w:rsid w:val="006E3CD8"/>
    <w:rsid w:val="006F39FC"/>
    <w:rsid w:val="006F5716"/>
    <w:rsid w:val="006F6E95"/>
    <w:rsid w:val="00706586"/>
    <w:rsid w:val="007075DB"/>
    <w:rsid w:val="00713C76"/>
    <w:rsid w:val="0071416D"/>
    <w:rsid w:val="0071579C"/>
    <w:rsid w:val="00716E20"/>
    <w:rsid w:val="00720AC6"/>
    <w:rsid w:val="007259EE"/>
    <w:rsid w:val="0074078E"/>
    <w:rsid w:val="00742A12"/>
    <w:rsid w:val="00747E38"/>
    <w:rsid w:val="00753028"/>
    <w:rsid w:val="00754CC3"/>
    <w:rsid w:val="00754D12"/>
    <w:rsid w:val="00755DB9"/>
    <w:rsid w:val="00761CF5"/>
    <w:rsid w:val="00767C18"/>
    <w:rsid w:val="00770EFA"/>
    <w:rsid w:val="00775657"/>
    <w:rsid w:val="007766D8"/>
    <w:rsid w:val="0077691C"/>
    <w:rsid w:val="0077701E"/>
    <w:rsid w:val="00786D0E"/>
    <w:rsid w:val="00791538"/>
    <w:rsid w:val="0079183E"/>
    <w:rsid w:val="00792C98"/>
    <w:rsid w:val="00794FFB"/>
    <w:rsid w:val="007A0E26"/>
    <w:rsid w:val="007A7523"/>
    <w:rsid w:val="007B534A"/>
    <w:rsid w:val="007B6634"/>
    <w:rsid w:val="007B6886"/>
    <w:rsid w:val="007C0D5B"/>
    <w:rsid w:val="007C41C6"/>
    <w:rsid w:val="007C44F5"/>
    <w:rsid w:val="007C4F06"/>
    <w:rsid w:val="007C5097"/>
    <w:rsid w:val="007C6163"/>
    <w:rsid w:val="007D7275"/>
    <w:rsid w:val="007E2E10"/>
    <w:rsid w:val="007E3A30"/>
    <w:rsid w:val="007E43DC"/>
    <w:rsid w:val="007F330C"/>
    <w:rsid w:val="007F3501"/>
    <w:rsid w:val="00800174"/>
    <w:rsid w:val="008001F1"/>
    <w:rsid w:val="00805E63"/>
    <w:rsid w:val="008076BD"/>
    <w:rsid w:val="00822C6A"/>
    <w:rsid w:val="00824525"/>
    <w:rsid w:val="00825996"/>
    <w:rsid w:val="00833507"/>
    <w:rsid w:val="0083460D"/>
    <w:rsid w:val="00842E0B"/>
    <w:rsid w:val="00845AB1"/>
    <w:rsid w:val="00846035"/>
    <w:rsid w:val="00846737"/>
    <w:rsid w:val="00853AEA"/>
    <w:rsid w:val="00855926"/>
    <w:rsid w:val="00857C10"/>
    <w:rsid w:val="0086535A"/>
    <w:rsid w:val="00866EC3"/>
    <w:rsid w:val="00870ED6"/>
    <w:rsid w:val="008710F5"/>
    <w:rsid w:val="008712F4"/>
    <w:rsid w:val="00871854"/>
    <w:rsid w:val="00887D45"/>
    <w:rsid w:val="0089369D"/>
    <w:rsid w:val="00893F8B"/>
    <w:rsid w:val="008957F3"/>
    <w:rsid w:val="0089619F"/>
    <w:rsid w:val="00897751"/>
    <w:rsid w:val="008A0CCE"/>
    <w:rsid w:val="008A3CC9"/>
    <w:rsid w:val="008B1B2E"/>
    <w:rsid w:val="008B1C54"/>
    <w:rsid w:val="008B2743"/>
    <w:rsid w:val="008B3306"/>
    <w:rsid w:val="008B493C"/>
    <w:rsid w:val="008B755B"/>
    <w:rsid w:val="008C47D2"/>
    <w:rsid w:val="008C67E6"/>
    <w:rsid w:val="008C7ECA"/>
    <w:rsid w:val="008D0C4C"/>
    <w:rsid w:val="008D4ED8"/>
    <w:rsid w:val="008E5A27"/>
    <w:rsid w:val="008E7598"/>
    <w:rsid w:val="008F09CE"/>
    <w:rsid w:val="0090260A"/>
    <w:rsid w:val="00904FD2"/>
    <w:rsid w:val="00906F7B"/>
    <w:rsid w:val="00912910"/>
    <w:rsid w:val="00924EE0"/>
    <w:rsid w:val="00925719"/>
    <w:rsid w:val="0093010C"/>
    <w:rsid w:val="00932FDB"/>
    <w:rsid w:val="0093457B"/>
    <w:rsid w:val="009351F9"/>
    <w:rsid w:val="00936226"/>
    <w:rsid w:val="00937706"/>
    <w:rsid w:val="00946D29"/>
    <w:rsid w:val="00952918"/>
    <w:rsid w:val="009552FD"/>
    <w:rsid w:val="00967055"/>
    <w:rsid w:val="0097149B"/>
    <w:rsid w:val="009861A6"/>
    <w:rsid w:val="00987431"/>
    <w:rsid w:val="00990452"/>
    <w:rsid w:val="00992FC3"/>
    <w:rsid w:val="00997ACD"/>
    <w:rsid w:val="00997F71"/>
    <w:rsid w:val="009A39E8"/>
    <w:rsid w:val="009A3CCD"/>
    <w:rsid w:val="009A3DCB"/>
    <w:rsid w:val="009A3DFE"/>
    <w:rsid w:val="009B341E"/>
    <w:rsid w:val="009B3FF3"/>
    <w:rsid w:val="009B7063"/>
    <w:rsid w:val="009C026D"/>
    <w:rsid w:val="009C4142"/>
    <w:rsid w:val="009D6CF0"/>
    <w:rsid w:val="009D79E6"/>
    <w:rsid w:val="009E2FE2"/>
    <w:rsid w:val="009E7612"/>
    <w:rsid w:val="00A00D2A"/>
    <w:rsid w:val="00A03850"/>
    <w:rsid w:val="00A05169"/>
    <w:rsid w:val="00A06013"/>
    <w:rsid w:val="00A06EAF"/>
    <w:rsid w:val="00A13D2B"/>
    <w:rsid w:val="00A13DFD"/>
    <w:rsid w:val="00A1527E"/>
    <w:rsid w:val="00A16757"/>
    <w:rsid w:val="00A23FE0"/>
    <w:rsid w:val="00A2443A"/>
    <w:rsid w:val="00A270B1"/>
    <w:rsid w:val="00A27400"/>
    <w:rsid w:val="00A27E54"/>
    <w:rsid w:val="00A319B1"/>
    <w:rsid w:val="00A3358D"/>
    <w:rsid w:val="00A33FD7"/>
    <w:rsid w:val="00A34A40"/>
    <w:rsid w:val="00A35856"/>
    <w:rsid w:val="00A36382"/>
    <w:rsid w:val="00A374AF"/>
    <w:rsid w:val="00A42591"/>
    <w:rsid w:val="00A42AB3"/>
    <w:rsid w:val="00A46912"/>
    <w:rsid w:val="00A51397"/>
    <w:rsid w:val="00A54560"/>
    <w:rsid w:val="00A554F8"/>
    <w:rsid w:val="00A5562C"/>
    <w:rsid w:val="00A569AF"/>
    <w:rsid w:val="00A62090"/>
    <w:rsid w:val="00A70C9D"/>
    <w:rsid w:val="00A7249E"/>
    <w:rsid w:val="00A80A73"/>
    <w:rsid w:val="00A8629D"/>
    <w:rsid w:val="00A86F92"/>
    <w:rsid w:val="00A928DC"/>
    <w:rsid w:val="00A93440"/>
    <w:rsid w:val="00A93AC8"/>
    <w:rsid w:val="00A95F77"/>
    <w:rsid w:val="00AA0120"/>
    <w:rsid w:val="00AA137D"/>
    <w:rsid w:val="00AA231A"/>
    <w:rsid w:val="00AA2D70"/>
    <w:rsid w:val="00AA32E1"/>
    <w:rsid w:val="00AA3BBB"/>
    <w:rsid w:val="00AA7128"/>
    <w:rsid w:val="00AB738C"/>
    <w:rsid w:val="00AB740A"/>
    <w:rsid w:val="00AC1516"/>
    <w:rsid w:val="00AC7F9E"/>
    <w:rsid w:val="00AD10CD"/>
    <w:rsid w:val="00AD3901"/>
    <w:rsid w:val="00AD4498"/>
    <w:rsid w:val="00AE0572"/>
    <w:rsid w:val="00AE07C5"/>
    <w:rsid w:val="00AE3147"/>
    <w:rsid w:val="00AF3EEA"/>
    <w:rsid w:val="00AF4678"/>
    <w:rsid w:val="00AF53E3"/>
    <w:rsid w:val="00AF7355"/>
    <w:rsid w:val="00B1174C"/>
    <w:rsid w:val="00B15BBA"/>
    <w:rsid w:val="00B15FD1"/>
    <w:rsid w:val="00B174F0"/>
    <w:rsid w:val="00B312D6"/>
    <w:rsid w:val="00B33E40"/>
    <w:rsid w:val="00B3763B"/>
    <w:rsid w:val="00B4034C"/>
    <w:rsid w:val="00B429AA"/>
    <w:rsid w:val="00B42D42"/>
    <w:rsid w:val="00B43059"/>
    <w:rsid w:val="00B45FFF"/>
    <w:rsid w:val="00B54DDE"/>
    <w:rsid w:val="00B617CF"/>
    <w:rsid w:val="00B62D34"/>
    <w:rsid w:val="00B63734"/>
    <w:rsid w:val="00B641BD"/>
    <w:rsid w:val="00B71440"/>
    <w:rsid w:val="00B801F2"/>
    <w:rsid w:val="00B80BBF"/>
    <w:rsid w:val="00B81E03"/>
    <w:rsid w:val="00B82152"/>
    <w:rsid w:val="00B82778"/>
    <w:rsid w:val="00B83880"/>
    <w:rsid w:val="00B86E12"/>
    <w:rsid w:val="00B9083E"/>
    <w:rsid w:val="00B91573"/>
    <w:rsid w:val="00B916AA"/>
    <w:rsid w:val="00B942AF"/>
    <w:rsid w:val="00B944F9"/>
    <w:rsid w:val="00B94CF4"/>
    <w:rsid w:val="00BA2B47"/>
    <w:rsid w:val="00BB6BC1"/>
    <w:rsid w:val="00BC2FB0"/>
    <w:rsid w:val="00BC6936"/>
    <w:rsid w:val="00BC73A9"/>
    <w:rsid w:val="00BD01CB"/>
    <w:rsid w:val="00BD2109"/>
    <w:rsid w:val="00BD65C2"/>
    <w:rsid w:val="00BD6B9A"/>
    <w:rsid w:val="00BE7D96"/>
    <w:rsid w:val="00BF04A3"/>
    <w:rsid w:val="00BF1C0C"/>
    <w:rsid w:val="00C00838"/>
    <w:rsid w:val="00C01828"/>
    <w:rsid w:val="00C05F72"/>
    <w:rsid w:val="00C06685"/>
    <w:rsid w:val="00C12820"/>
    <w:rsid w:val="00C13ADA"/>
    <w:rsid w:val="00C17FDF"/>
    <w:rsid w:val="00C21064"/>
    <w:rsid w:val="00C24926"/>
    <w:rsid w:val="00C2793A"/>
    <w:rsid w:val="00C357E8"/>
    <w:rsid w:val="00C35AA8"/>
    <w:rsid w:val="00C3687B"/>
    <w:rsid w:val="00C40A16"/>
    <w:rsid w:val="00C4182C"/>
    <w:rsid w:val="00C41DD2"/>
    <w:rsid w:val="00C4207F"/>
    <w:rsid w:val="00C4337A"/>
    <w:rsid w:val="00C444D5"/>
    <w:rsid w:val="00C4609F"/>
    <w:rsid w:val="00C47EF7"/>
    <w:rsid w:val="00C505F4"/>
    <w:rsid w:val="00C5174B"/>
    <w:rsid w:val="00C517F2"/>
    <w:rsid w:val="00C52B6C"/>
    <w:rsid w:val="00C52C3D"/>
    <w:rsid w:val="00C530BF"/>
    <w:rsid w:val="00C54D22"/>
    <w:rsid w:val="00C55CEF"/>
    <w:rsid w:val="00C5605A"/>
    <w:rsid w:val="00C577F7"/>
    <w:rsid w:val="00C631EC"/>
    <w:rsid w:val="00C67ECD"/>
    <w:rsid w:val="00C709DD"/>
    <w:rsid w:val="00C75D1A"/>
    <w:rsid w:val="00C80091"/>
    <w:rsid w:val="00C80711"/>
    <w:rsid w:val="00C82CF5"/>
    <w:rsid w:val="00C851E9"/>
    <w:rsid w:val="00C87D5D"/>
    <w:rsid w:val="00C95C45"/>
    <w:rsid w:val="00CA4071"/>
    <w:rsid w:val="00CA40D2"/>
    <w:rsid w:val="00CA6C02"/>
    <w:rsid w:val="00CB1C57"/>
    <w:rsid w:val="00CB4244"/>
    <w:rsid w:val="00CB49A8"/>
    <w:rsid w:val="00CB5B5E"/>
    <w:rsid w:val="00CB5E9B"/>
    <w:rsid w:val="00CB6277"/>
    <w:rsid w:val="00CB7B8E"/>
    <w:rsid w:val="00CC03AA"/>
    <w:rsid w:val="00CC2616"/>
    <w:rsid w:val="00CD583B"/>
    <w:rsid w:val="00CE5488"/>
    <w:rsid w:val="00CF1E3D"/>
    <w:rsid w:val="00CF348F"/>
    <w:rsid w:val="00CF3D08"/>
    <w:rsid w:val="00CF794B"/>
    <w:rsid w:val="00D00D1F"/>
    <w:rsid w:val="00D16BBC"/>
    <w:rsid w:val="00D423DE"/>
    <w:rsid w:val="00D428D9"/>
    <w:rsid w:val="00D4350B"/>
    <w:rsid w:val="00D4407A"/>
    <w:rsid w:val="00D47CAD"/>
    <w:rsid w:val="00D52507"/>
    <w:rsid w:val="00D61DF1"/>
    <w:rsid w:val="00D65498"/>
    <w:rsid w:val="00D660B2"/>
    <w:rsid w:val="00D76D19"/>
    <w:rsid w:val="00D80796"/>
    <w:rsid w:val="00D81951"/>
    <w:rsid w:val="00D83E19"/>
    <w:rsid w:val="00D84463"/>
    <w:rsid w:val="00D94724"/>
    <w:rsid w:val="00D94C43"/>
    <w:rsid w:val="00D95A96"/>
    <w:rsid w:val="00D97415"/>
    <w:rsid w:val="00DA43A3"/>
    <w:rsid w:val="00DB37E7"/>
    <w:rsid w:val="00DB471C"/>
    <w:rsid w:val="00DB6FC2"/>
    <w:rsid w:val="00DC15BE"/>
    <w:rsid w:val="00DC5193"/>
    <w:rsid w:val="00DE2977"/>
    <w:rsid w:val="00DF46E4"/>
    <w:rsid w:val="00DF66F0"/>
    <w:rsid w:val="00E00929"/>
    <w:rsid w:val="00E053A5"/>
    <w:rsid w:val="00E05507"/>
    <w:rsid w:val="00E05E30"/>
    <w:rsid w:val="00E075FE"/>
    <w:rsid w:val="00E126B0"/>
    <w:rsid w:val="00E12ECA"/>
    <w:rsid w:val="00E209A9"/>
    <w:rsid w:val="00E22C75"/>
    <w:rsid w:val="00E25A62"/>
    <w:rsid w:val="00E25D42"/>
    <w:rsid w:val="00E25ED1"/>
    <w:rsid w:val="00E2738F"/>
    <w:rsid w:val="00E4530A"/>
    <w:rsid w:val="00E45D0A"/>
    <w:rsid w:val="00E51807"/>
    <w:rsid w:val="00E55DA7"/>
    <w:rsid w:val="00E56F4D"/>
    <w:rsid w:val="00E570F3"/>
    <w:rsid w:val="00E57283"/>
    <w:rsid w:val="00E60247"/>
    <w:rsid w:val="00E60FF9"/>
    <w:rsid w:val="00E66F3E"/>
    <w:rsid w:val="00E70AEF"/>
    <w:rsid w:val="00E80443"/>
    <w:rsid w:val="00E80A23"/>
    <w:rsid w:val="00E865C2"/>
    <w:rsid w:val="00E87147"/>
    <w:rsid w:val="00E87C87"/>
    <w:rsid w:val="00E87E0D"/>
    <w:rsid w:val="00E9074B"/>
    <w:rsid w:val="00E938FF"/>
    <w:rsid w:val="00EA2B53"/>
    <w:rsid w:val="00EA2E4C"/>
    <w:rsid w:val="00EA312F"/>
    <w:rsid w:val="00EA316A"/>
    <w:rsid w:val="00EA3EC6"/>
    <w:rsid w:val="00EA6B69"/>
    <w:rsid w:val="00EB1D7A"/>
    <w:rsid w:val="00EB51D2"/>
    <w:rsid w:val="00EB5EE7"/>
    <w:rsid w:val="00EC1AEF"/>
    <w:rsid w:val="00EC2B2D"/>
    <w:rsid w:val="00EC4671"/>
    <w:rsid w:val="00EF41B8"/>
    <w:rsid w:val="00EF545D"/>
    <w:rsid w:val="00EF5A2A"/>
    <w:rsid w:val="00F00A67"/>
    <w:rsid w:val="00F04192"/>
    <w:rsid w:val="00F04B3B"/>
    <w:rsid w:val="00F051F5"/>
    <w:rsid w:val="00F209BD"/>
    <w:rsid w:val="00F23A27"/>
    <w:rsid w:val="00F25072"/>
    <w:rsid w:val="00F3043B"/>
    <w:rsid w:val="00F34B68"/>
    <w:rsid w:val="00F36365"/>
    <w:rsid w:val="00F378B1"/>
    <w:rsid w:val="00F4065C"/>
    <w:rsid w:val="00F53E57"/>
    <w:rsid w:val="00F55090"/>
    <w:rsid w:val="00F56E28"/>
    <w:rsid w:val="00F712AC"/>
    <w:rsid w:val="00F72995"/>
    <w:rsid w:val="00F72D19"/>
    <w:rsid w:val="00F932A3"/>
    <w:rsid w:val="00F94BEF"/>
    <w:rsid w:val="00F94C0A"/>
    <w:rsid w:val="00FA0DF5"/>
    <w:rsid w:val="00FA27EC"/>
    <w:rsid w:val="00FA5695"/>
    <w:rsid w:val="00FB16B6"/>
    <w:rsid w:val="00FB2A37"/>
    <w:rsid w:val="00FC43C2"/>
    <w:rsid w:val="00FD2887"/>
    <w:rsid w:val="00FE018E"/>
    <w:rsid w:val="00FE4820"/>
    <w:rsid w:val="00FE65D3"/>
    <w:rsid w:val="00FF7626"/>
    <w:rsid w:val="01026394"/>
    <w:rsid w:val="0113359B"/>
    <w:rsid w:val="013347FC"/>
    <w:rsid w:val="01455EB6"/>
    <w:rsid w:val="015339A8"/>
    <w:rsid w:val="0177780C"/>
    <w:rsid w:val="017C1262"/>
    <w:rsid w:val="017D4196"/>
    <w:rsid w:val="0188180F"/>
    <w:rsid w:val="01A3073B"/>
    <w:rsid w:val="01A356F0"/>
    <w:rsid w:val="01AC6B68"/>
    <w:rsid w:val="01B4154F"/>
    <w:rsid w:val="01B42264"/>
    <w:rsid w:val="01B61473"/>
    <w:rsid w:val="01B64D30"/>
    <w:rsid w:val="01B71D86"/>
    <w:rsid w:val="01C61BEB"/>
    <w:rsid w:val="01D76BCB"/>
    <w:rsid w:val="01E06145"/>
    <w:rsid w:val="01EB25B8"/>
    <w:rsid w:val="01FF5E32"/>
    <w:rsid w:val="02001A3E"/>
    <w:rsid w:val="020F62BB"/>
    <w:rsid w:val="022A2815"/>
    <w:rsid w:val="022A287C"/>
    <w:rsid w:val="023D1587"/>
    <w:rsid w:val="02497522"/>
    <w:rsid w:val="024D0ED5"/>
    <w:rsid w:val="02566BBE"/>
    <w:rsid w:val="025F75AC"/>
    <w:rsid w:val="02727A51"/>
    <w:rsid w:val="02731135"/>
    <w:rsid w:val="02733DB9"/>
    <w:rsid w:val="02797AD7"/>
    <w:rsid w:val="02AC29E7"/>
    <w:rsid w:val="02BF568E"/>
    <w:rsid w:val="02DF0237"/>
    <w:rsid w:val="02E57EAA"/>
    <w:rsid w:val="02E66D81"/>
    <w:rsid w:val="02EC733B"/>
    <w:rsid w:val="02EE3798"/>
    <w:rsid w:val="02FB2766"/>
    <w:rsid w:val="03007DE6"/>
    <w:rsid w:val="03065636"/>
    <w:rsid w:val="030D1630"/>
    <w:rsid w:val="03184C33"/>
    <w:rsid w:val="03226A84"/>
    <w:rsid w:val="0338682A"/>
    <w:rsid w:val="03396CB0"/>
    <w:rsid w:val="034B1806"/>
    <w:rsid w:val="034D7BB9"/>
    <w:rsid w:val="03530F2D"/>
    <w:rsid w:val="03572251"/>
    <w:rsid w:val="0363387A"/>
    <w:rsid w:val="0363749D"/>
    <w:rsid w:val="037468D2"/>
    <w:rsid w:val="037607C0"/>
    <w:rsid w:val="0397603C"/>
    <w:rsid w:val="039F70F5"/>
    <w:rsid w:val="03A762C0"/>
    <w:rsid w:val="03B309BF"/>
    <w:rsid w:val="03B37C04"/>
    <w:rsid w:val="03BA1195"/>
    <w:rsid w:val="03E921F1"/>
    <w:rsid w:val="03F21355"/>
    <w:rsid w:val="04210DFC"/>
    <w:rsid w:val="04270FDF"/>
    <w:rsid w:val="042E4B57"/>
    <w:rsid w:val="04363AE8"/>
    <w:rsid w:val="04486D75"/>
    <w:rsid w:val="04493317"/>
    <w:rsid w:val="044D4291"/>
    <w:rsid w:val="045C36CB"/>
    <w:rsid w:val="046066CC"/>
    <w:rsid w:val="046C4372"/>
    <w:rsid w:val="046E5030"/>
    <w:rsid w:val="047D2BD6"/>
    <w:rsid w:val="047E3DDB"/>
    <w:rsid w:val="04937FEC"/>
    <w:rsid w:val="049745E6"/>
    <w:rsid w:val="049747E0"/>
    <w:rsid w:val="04AD2CBA"/>
    <w:rsid w:val="04BA6A55"/>
    <w:rsid w:val="04C722BE"/>
    <w:rsid w:val="04E50550"/>
    <w:rsid w:val="04EA2A9E"/>
    <w:rsid w:val="04EA49D7"/>
    <w:rsid w:val="04ED2CAB"/>
    <w:rsid w:val="04FC698D"/>
    <w:rsid w:val="04FE2375"/>
    <w:rsid w:val="05025B78"/>
    <w:rsid w:val="05157BA2"/>
    <w:rsid w:val="0528244F"/>
    <w:rsid w:val="05305319"/>
    <w:rsid w:val="053D0CC2"/>
    <w:rsid w:val="05427E50"/>
    <w:rsid w:val="056359EB"/>
    <w:rsid w:val="05701819"/>
    <w:rsid w:val="05896E14"/>
    <w:rsid w:val="058A0A88"/>
    <w:rsid w:val="059134CC"/>
    <w:rsid w:val="05A13249"/>
    <w:rsid w:val="05B61A8D"/>
    <w:rsid w:val="05D1525D"/>
    <w:rsid w:val="05D711C7"/>
    <w:rsid w:val="05F44087"/>
    <w:rsid w:val="061C2963"/>
    <w:rsid w:val="061D6CB7"/>
    <w:rsid w:val="06214714"/>
    <w:rsid w:val="062E2CC9"/>
    <w:rsid w:val="063C4113"/>
    <w:rsid w:val="06451DC1"/>
    <w:rsid w:val="06520F24"/>
    <w:rsid w:val="06550D6F"/>
    <w:rsid w:val="06637B0A"/>
    <w:rsid w:val="067E0385"/>
    <w:rsid w:val="06896151"/>
    <w:rsid w:val="068A1EE8"/>
    <w:rsid w:val="068A3C77"/>
    <w:rsid w:val="06966E13"/>
    <w:rsid w:val="06B02BE4"/>
    <w:rsid w:val="06CB5BD4"/>
    <w:rsid w:val="06D23B5E"/>
    <w:rsid w:val="06D82B6F"/>
    <w:rsid w:val="06DC5936"/>
    <w:rsid w:val="06F358D4"/>
    <w:rsid w:val="06F40D2D"/>
    <w:rsid w:val="06F957DE"/>
    <w:rsid w:val="06FD25B9"/>
    <w:rsid w:val="0706153B"/>
    <w:rsid w:val="071242C0"/>
    <w:rsid w:val="0717096E"/>
    <w:rsid w:val="071F2345"/>
    <w:rsid w:val="07227EEC"/>
    <w:rsid w:val="07341101"/>
    <w:rsid w:val="073B2ACB"/>
    <w:rsid w:val="074F1952"/>
    <w:rsid w:val="07563412"/>
    <w:rsid w:val="07610E7C"/>
    <w:rsid w:val="077F71CD"/>
    <w:rsid w:val="078806DB"/>
    <w:rsid w:val="07975C67"/>
    <w:rsid w:val="079D1581"/>
    <w:rsid w:val="07A50D69"/>
    <w:rsid w:val="07B5607B"/>
    <w:rsid w:val="07BF43FE"/>
    <w:rsid w:val="07C93293"/>
    <w:rsid w:val="07D958E5"/>
    <w:rsid w:val="07E1506B"/>
    <w:rsid w:val="07E53F4E"/>
    <w:rsid w:val="07E74EE4"/>
    <w:rsid w:val="07F827F0"/>
    <w:rsid w:val="07FB5FE8"/>
    <w:rsid w:val="07FB6BDB"/>
    <w:rsid w:val="08006A2F"/>
    <w:rsid w:val="080E0F3B"/>
    <w:rsid w:val="08333360"/>
    <w:rsid w:val="083371CE"/>
    <w:rsid w:val="08466AE7"/>
    <w:rsid w:val="085868D9"/>
    <w:rsid w:val="08685FC8"/>
    <w:rsid w:val="086A2F11"/>
    <w:rsid w:val="086F122C"/>
    <w:rsid w:val="08833DF0"/>
    <w:rsid w:val="088455D1"/>
    <w:rsid w:val="08CB683E"/>
    <w:rsid w:val="08E66160"/>
    <w:rsid w:val="08ED3CD8"/>
    <w:rsid w:val="091C444F"/>
    <w:rsid w:val="091D7619"/>
    <w:rsid w:val="0935731C"/>
    <w:rsid w:val="0938239A"/>
    <w:rsid w:val="093D0B2B"/>
    <w:rsid w:val="09412960"/>
    <w:rsid w:val="09412E4A"/>
    <w:rsid w:val="0941483F"/>
    <w:rsid w:val="0948254F"/>
    <w:rsid w:val="095E2B42"/>
    <w:rsid w:val="0966724E"/>
    <w:rsid w:val="09703594"/>
    <w:rsid w:val="097413E6"/>
    <w:rsid w:val="099647B8"/>
    <w:rsid w:val="09AE4D7F"/>
    <w:rsid w:val="09B533FA"/>
    <w:rsid w:val="09B806E3"/>
    <w:rsid w:val="09BE750C"/>
    <w:rsid w:val="09C83435"/>
    <w:rsid w:val="09E729C3"/>
    <w:rsid w:val="0A026946"/>
    <w:rsid w:val="0A036E58"/>
    <w:rsid w:val="0A0C44DD"/>
    <w:rsid w:val="0A122403"/>
    <w:rsid w:val="0A1B0F91"/>
    <w:rsid w:val="0A1F3AE5"/>
    <w:rsid w:val="0A3E36F7"/>
    <w:rsid w:val="0A4A0883"/>
    <w:rsid w:val="0A4A4BFF"/>
    <w:rsid w:val="0A4D36EF"/>
    <w:rsid w:val="0A4E2D94"/>
    <w:rsid w:val="0A585D05"/>
    <w:rsid w:val="0A650C83"/>
    <w:rsid w:val="0A663A0B"/>
    <w:rsid w:val="0A7D3C48"/>
    <w:rsid w:val="0A907B33"/>
    <w:rsid w:val="0A9637BC"/>
    <w:rsid w:val="0A996C46"/>
    <w:rsid w:val="0AA36050"/>
    <w:rsid w:val="0AA87667"/>
    <w:rsid w:val="0AAF446E"/>
    <w:rsid w:val="0AB343F0"/>
    <w:rsid w:val="0ACC123A"/>
    <w:rsid w:val="0ACD691B"/>
    <w:rsid w:val="0AE2585A"/>
    <w:rsid w:val="0AE778EA"/>
    <w:rsid w:val="0AF0486A"/>
    <w:rsid w:val="0AFA01E7"/>
    <w:rsid w:val="0B0326EF"/>
    <w:rsid w:val="0B103806"/>
    <w:rsid w:val="0B353684"/>
    <w:rsid w:val="0B38749D"/>
    <w:rsid w:val="0B406739"/>
    <w:rsid w:val="0B41221F"/>
    <w:rsid w:val="0B5029E9"/>
    <w:rsid w:val="0B6A00F5"/>
    <w:rsid w:val="0B7D193A"/>
    <w:rsid w:val="0B964DCF"/>
    <w:rsid w:val="0B9B048F"/>
    <w:rsid w:val="0B9F0C29"/>
    <w:rsid w:val="0BB33761"/>
    <w:rsid w:val="0BBA4FFF"/>
    <w:rsid w:val="0BC70C25"/>
    <w:rsid w:val="0BC86BFF"/>
    <w:rsid w:val="0BD049D6"/>
    <w:rsid w:val="0BEB51B8"/>
    <w:rsid w:val="0BF85AB1"/>
    <w:rsid w:val="0BFA0252"/>
    <w:rsid w:val="0C0339BF"/>
    <w:rsid w:val="0C082FAF"/>
    <w:rsid w:val="0C094933"/>
    <w:rsid w:val="0C1C7246"/>
    <w:rsid w:val="0C3D37F5"/>
    <w:rsid w:val="0C4079B8"/>
    <w:rsid w:val="0C4A4B62"/>
    <w:rsid w:val="0C4F4380"/>
    <w:rsid w:val="0C526FE5"/>
    <w:rsid w:val="0C540B73"/>
    <w:rsid w:val="0C5D43C4"/>
    <w:rsid w:val="0C6838CF"/>
    <w:rsid w:val="0C6D40EC"/>
    <w:rsid w:val="0CB31B7F"/>
    <w:rsid w:val="0CD940F9"/>
    <w:rsid w:val="0CEA1C33"/>
    <w:rsid w:val="0CF305F1"/>
    <w:rsid w:val="0D026C5D"/>
    <w:rsid w:val="0D081E40"/>
    <w:rsid w:val="0D141481"/>
    <w:rsid w:val="0D20108E"/>
    <w:rsid w:val="0D4E6F1E"/>
    <w:rsid w:val="0D5059EA"/>
    <w:rsid w:val="0D5713D6"/>
    <w:rsid w:val="0D5B453C"/>
    <w:rsid w:val="0D5D716A"/>
    <w:rsid w:val="0D610F98"/>
    <w:rsid w:val="0D6202F7"/>
    <w:rsid w:val="0D665B4B"/>
    <w:rsid w:val="0D6C49CD"/>
    <w:rsid w:val="0D796AF7"/>
    <w:rsid w:val="0D8C34F6"/>
    <w:rsid w:val="0D8F1F8E"/>
    <w:rsid w:val="0D9D7E2D"/>
    <w:rsid w:val="0DC45CC1"/>
    <w:rsid w:val="0DD2455E"/>
    <w:rsid w:val="0DDA3736"/>
    <w:rsid w:val="0DDE23FC"/>
    <w:rsid w:val="0DEA7C36"/>
    <w:rsid w:val="0DEE0E3A"/>
    <w:rsid w:val="0DFE11D3"/>
    <w:rsid w:val="0E082052"/>
    <w:rsid w:val="0E141364"/>
    <w:rsid w:val="0E1F739B"/>
    <w:rsid w:val="0E260B56"/>
    <w:rsid w:val="0E5B25EF"/>
    <w:rsid w:val="0E680D42"/>
    <w:rsid w:val="0E6F1119"/>
    <w:rsid w:val="0E746889"/>
    <w:rsid w:val="0E8B6F12"/>
    <w:rsid w:val="0E901E9A"/>
    <w:rsid w:val="0EAF24CD"/>
    <w:rsid w:val="0EB33187"/>
    <w:rsid w:val="0EBA199D"/>
    <w:rsid w:val="0EBD1572"/>
    <w:rsid w:val="0EC1253A"/>
    <w:rsid w:val="0EC42A86"/>
    <w:rsid w:val="0ECA7541"/>
    <w:rsid w:val="0ECC4AEA"/>
    <w:rsid w:val="0EF22FAB"/>
    <w:rsid w:val="0EF51B20"/>
    <w:rsid w:val="0EFB5BA4"/>
    <w:rsid w:val="0F11131D"/>
    <w:rsid w:val="0F127011"/>
    <w:rsid w:val="0F127FC0"/>
    <w:rsid w:val="0F2F1860"/>
    <w:rsid w:val="0F3F6293"/>
    <w:rsid w:val="0F4001FD"/>
    <w:rsid w:val="0F4119EA"/>
    <w:rsid w:val="0F452E31"/>
    <w:rsid w:val="0F4C0412"/>
    <w:rsid w:val="0F552F32"/>
    <w:rsid w:val="0F5F7E6B"/>
    <w:rsid w:val="0F647E61"/>
    <w:rsid w:val="0F734F9B"/>
    <w:rsid w:val="0F776271"/>
    <w:rsid w:val="0F7F7920"/>
    <w:rsid w:val="0F8751F8"/>
    <w:rsid w:val="0F8F385D"/>
    <w:rsid w:val="0F9C6070"/>
    <w:rsid w:val="0F9D38B8"/>
    <w:rsid w:val="0FA617E8"/>
    <w:rsid w:val="0FCF5C3E"/>
    <w:rsid w:val="0FE51099"/>
    <w:rsid w:val="0FE82963"/>
    <w:rsid w:val="0FF13672"/>
    <w:rsid w:val="100434ED"/>
    <w:rsid w:val="101933BF"/>
    <w:rsid w:val="102007D4"/>
    <w:rsid w:val="102B4617"/>
    <w:rsid w:val="10314227"/>
    <w:rsid w:val="10576F9B"/>
    <w:rsid w:val="105A7250"/>
    <w:rsid w:val="106F5DD9"/>
    <w:rsid w:val="10707DED"/>
    <w:rsid w:val="107B0A99"/>
    <w:rsid w:val="10811B51"/>
    <w:rsid w:val="10891318"/>
    <w:rsid w:val="108B5960"/>
    <w:rsid w:val="108F369D"/>
    <w:rsid w:val="10A53609"/>
    <w:rsid w:val="10AE21D6"/>
    <w:rsid w:val="10B16995"/>
    <w:rsid w:val="10EA2A39"/>
    <w:rsid w:val="1117403A"/>
    <w:rsid w:val="11414DF3"/>
    <w:rsid w:val="11447845"/>
    <w:rsid w:val="11615CA0"/>
    <w:rsid w:val="117B3C36"/>
    <w:rsid w:val="118F0639"/>
    <w:rsid w:val="11985505"/>
    <w:rsid w:val="11A141A9"/>
    <w:rsid w:val="11BE797B"/>
    <w:rsid w:val="11C35C56"/>
    <w:rsid w:val="11D370A7"/>
    <w:rsid w:val="11DC2360"/>
    <w:rsid w:val="11E93F48"/>
    <w:rsid w:val="11EA4A32"/>
    <w:rsid w:val="11F535FE"/>
    <w:rsid w:val="121623F7"/>
    <w:rsid w:val="12185038"/>
    <w:rsid w:val="12216172"/>
    <w:rsid w:val="12281CBC"/>
    <w:rsid w:val="12356FC0"/>
    <w:rsid w:val="123A54B8"/>
    <w:rsid w:val="123F3E65"/>
    <w:rsid w:val="1250377D"/>
    <w:rsid w:val="1255155D"/>
    <w:rsid w:val="125910CE"/>
    <w:rsid w:val="126535C0"/>
    <w:rsid w:val="12657834"/>
    <w:rsid w:val="12766AD6"/>
    <w:rsid w:val="1285312B"/>
    <w:rsid w:val="12A941DE"/>
    <w:rsid w:val="12CB2F94"/>
    <w:rsid w:val="130452CF"/>
    <w:rsid w:val="13060C1B"/>
    <w:rsid w:val="130B7137"/>
    <w:rsid w:val="13300548"/>
    <w:rsid w:val="133534B2"/>
    <w:rsid w:val="134B3B75"/>
    <w:rsid w:val="1360718B"/>
    <w:rsid w:val="138F513F"/>
    <w:rsid w:val="13905C3E"/>
    <w:rsid w:val="139660E0"/>
    <w:rsid w:val="139C7FD0"/>
    <w:rsid w:val="13B161D1"/>
    <w:rsid w:val="13B708B9"/>
    <w:rsid w:val="13C0543A"/>
    <w:rsid w:val="13C62672"/>
    <w:rsid w:val="13D257FD"/>
    <w:rsid w:val="13D42FA3"/>
    <w:rsid w:val="13D5296B"/>
    <w:rsid w:val="13D970BE"/>
    <w:rsid w:val="13DB5D0F"/>
    <w:rsid w:val="13DD3A82"/>
    <w:rsid w:val="13F041CD"/>
    <w:rsid w:val="13F56E39"/>
    <w:rsid w:val="13FD1F2D"/>
    <w:rsid w:val="140B60A8"/>
    <w:rsid w:val="140D412B"/>
    <w:rsid w:val="14163C6B"/>
    <w:rsid w:val="141E04FD"/>
    <w:rsid w:val="143020F5"/>
    <w:rsid w:val="14360905"/>
    <w:rsid w:val="143D4E8F"/>
    <w:rsid w:val="14464516"/>
    <w:rsid w:val="146432F4"/>
    <w:rsid w:val="146628F8"/>
    <w:rsid w:val="146E1CBF"/>
    <w:rsid w:val="146E79EA"/>
    <w:rsid w:val="147E34A9"/>
    <w:rsid w:val="1486146A"/>
    <w:rsid w:val="14BA3609"/>
    <w:rsid w:val="14CC4C3E"/>
    <w:rsid w:val="14D74116"/>
    <w:rsid w:val="14EF2E55"/>
    <w:rsid w:val="14FA65CF"/>
    <w:rsid w:val="14FC0CD7"/>
    <w:rsid w:val="15116D4A"/>
    <w:rsid w:val="151A0E0E"/>
    <w:rsid w:val="15214F1A"/>
    <w:rsid w:val="15233EB1"/>
    <w:rsid w:val="153C7797"/>
    <w:rsid w:val="153F4003"/>
    <w:rsid w:val="15445A89"/>
    <w:rsid w:val="154A643F"/>
    <w:rsid w:val="154F0198"/>
    <w:rsid w:val="155C7A6B"/>
    <w:rsid w:val="155D53FF"/>
    <w:rsid w:val="15663FDE"/>
    <w:rsid w:val="15866987"/>
    <w:rsid w:val="158E167D"/>
    <w:rsid w:val="158F0F7F"/>
    <w:rsid w:val="1595422E"/>
    <w:rsid w:val="159B25D8"/>
    <w:rsid w:val="159D20D5"/>
    <w:rsid w:val="15A80D6D"/>
    <w:rsid w:val="15C04E67"/>
    <w:rsid w:val="15DE0225"/>
    <w:rsid w:val="15EA6956"/>
    <w:rsid w:val="15F85D34"/>
    <w:rsid w:val="16036CEC"/>
    <w:rsid w:val="162D0289"/>
    <w:rsid w:val="1637002D"/>
    <w:rsid w:val="16377978"/>
    <w:rsid w:val="163A3E40"/>
    <w:rsid w:val="163B3A75"/>
    <w:rsid w:val="164F609E"/>
    <w:rsid w:val="165338EF"/>
    <w:rsid w:val="16735490"/>
    <w:rsid w:val="16750B10"/>
    <w:rsid w:val="167D03A0"/>
    <w:rsid w:val="168F79C9"/>
    <w:rsid w:val="16933CF2"/>
    <w:rsid w:val="16A833A8"/>
    <w:rsid w:val="16B26082"/>
    <w:rsid w:val="16B36C25"/>
    <w:rsid w:val="16B936DB"/>
    <w:rsid w:val="16BA262B"/>
    <w:rsid w:val="16C46D32"/>
    <w:rsid w:val="16C536D8"/>
    <w:rsid w:val="16D6663E"/>
    <w:rsid w:val="16DE4297"/>
    <w:rsid w:val="16F340A6"/>
    <w:rsid w:val="170B0EEA"/>
    <w:rsid w:val="1718638B"/>
    <w:rsid w:val="17281B70"/>
    <w:rsid w:val="17320640"/>
    <w:rsid w:val="174B0F3E"/>
    <w:rsid w:val="17506B0A"/>
    <w:rsid w:val="176410F3"/>
    <w:rsid w:val="17662E55"/>
    <w:rsid w:val="177B148E"/>
    <w:rsid w:val="178B0C16"/>
    <w:rsid w:val="17914E66"/>
    <w:rsid w:val="179540C0"/>
    <w:rsid w:val="17982698"/>
    <w:rsid w:val="17AA0EA9"/>
    <w:rsid w:val="17AD6B97"/>
    <w:rsid w:val="17AF4F55"/>
    <w:rsid w:val="17B82E66"/>
    <w:rsid w:val="17D1317C"/>
    <w:rsid w:val="17D27772"/>
    <w:rsid w:val="17EA0A1A"/>
    <w:rsid w:val="17EB28DA"/>
    <w:rsid w:val="17F26ECC"/>
    <w:rsid w:val="17FB1EAE"/>
    <w:rsid w:val="180D5BDE"/>
    <w:rsid w:val="18147058"/>
    <w:rsid w:val="181E33A1"/>
    <w:rsid w:val="181F06C4"/>
    <w:rsid w:val="18590B71"/>
    <w:rsid w:val="186305B5"/>
    <w:rsid w:val="1867123B"/>
    <w:rsid w:val="186F0547"/>
    <w:rsid w:val="18714C97"/>
    <w:rsid w:val="18824183"/>
    <w:rsid w:val="189701DE"/>
    <w:rsid w:val="18A5168B"/>
    <w:rsid w:val="18B232E6"/>
    <w:rsid w:val="18B34FA3"/>
    <w:rsid w:val="18B84674"/>
    <w:rsid w:val="18BB684E"/>
    <w:rsid w:val="18C33745"/>
    <w:rsid w:val="18C6435F"/>
    <w:rsid w:val="18D53F72"/>
    <w:rsid w:val="18E11E1D"/>
    <w:rsid w:val="19000543"/>
    <w:rsid w:val="193266CA"/>
    <w:rsid w:val="193878CF"/>
    <w:rsid w:val="19400E38"/>
    <w:rsid w:val="195769BD"/>
    <w:rsid w:val="19752810"/>
    <w:rsid w:val="19766A09"/>
    <w:rsid w:val="197A13BB"/>
    <w:rsid w:val="197C2AA7"/>
    <w:rsid w:val="19943B09"/>
    <w:rsid w:val="19963BF9"/>
    <w:rsid w:val="19A1335A"/>
    <w:rsid w:val="19AA437B"/>
    <w:rsid w:val="19C60B17"/>
    <w:rsid w:val="19D723D4"/>
    <w:rsid w:val="19D93928"/>
    <w:rsid w:val="19E266D9"/>
    <w:rsid w:val="1A311E73"/>
    <w:rsid w:val="1A313F19"/>
    <w:rsid w:val="1A385A6D"/>
    <w:rsid w:val="1A426422"/>
    <w:rsid w:val="1A492E84"/>
    <w:rsid w:val="1A4C32C6"/>
    <w:rsid w:val="1A6E7D9F"/>
    <w:rsid w:val="1A701E90"/>
    <w:rsid w:val="1A73358A"/>
    <w:rsid w:val="1A911FDC"/>
    <w:rsid w:val="1AA55D3E"/>
    <w:rsid w:val="1AB05757"/>
    <w:rsid w:val="1AB30D84"/>
    <w:rsid w:val="1AB43864"/>
    <w:rsid w:val="1AC740AA"/>
    <w:rsid w:val="1B037F4C"/>
    <w:rsid w:val="1B0B06A1"/>
    <w:rsid w:val="1B0D74A2"/>
    <w:rsid w:val="1B12015C"/>
    <w:rsid w:val="1B1262BE"/>
    <w:rsid w:val="1B20669F"/>
    <w:rsid w:val="1B2939A3"/>
    <w:rsid w:val="1B2B5EC1"/>
    <w:rsid w:val="1B426994"/>
    <w:rsid w:val="1B5B014B"/>
    <w:rsid w:val="1B5C3C47"/>
    <w:rsid w:val="1B5E1503"/>
    <w:rsid w:val="1B675BF7"/>
    <w:rsid w:val="1B693C84"/>
    <w:rsid w:val="1B8563DF"/>
    <w:rsid w:val="1BA31284"/>
    <w:rsid w:val="1BC47653"/>
    <w:rsid w:val="1BC577D4"/>
    <w:rsid w:val="1BDF0435"/>
    <w:rsid w:val="1BDF431D"/>
    <w:rsid w:val="1C1D4385"/>
    <w:rsid w:val="1C217C9F"/>
    <w:rsid w:val="1C2B3B01"/>
    <w:rsid w:val="1C3E7BB6"/>
    <w:rsid w:val="1C6546EE"/>
    <w:rsid w:val="1C6C700D"/>
    <w:rsid w:val="1C6F16B0"/>
    <w:rsid w:val="1C7E190A"/>
    <w:rsid w:val="1C8807CA"/>
    <w:rsid w:val="1C8B56E4"/>
    <w:rsid w:val="1C8E479F"/>
    <w:rsid w:val="1C964054"/>
    <w:rsid w:val="1CAA3E1F"/>
    <w:rsid w:val="1CAF6E03"/>
    <w:rsid w:val="1CBB46EB"/>
    <w:rsid w:val="1CBC37EA"/>
    <w:rsid w:val="1CC87964"/>
    <w:rsid w:val="1CDF4E4F"/>
    <w:rsid w:val="1CDF6673"/>
    <w:rsid w:val="1CE31607"/>
    <w:rsid w:val="1CE356EF"/>
    <w:rsid w:val="1CE87AF9"/>
    <w:rsid w:val="1CF013A0"/>
    <w:rsid w:val="1CF97A6A"/>
    <w:rsid w:val="1D144E9D"/>
    <w:rsid w:val="1D145CEF"/>
    <w:rsid w:val="1D3335A9"/>
    <w:rsid w:val="1D3F0E99"/>
    <w:rsid w:val="1D4A2099"/>
    <w:rsid w:val="1D7007B3"/>
    <w:rsid w:val="1D8B5C02"/>
    <w:rsid w:val="1D8C151B"/>
    <w:rsid w:val="1DB02E37"/>
    <w:rsid w:val="1DB435C7"/>
    <w:rsid w:val="1DB95792"/>
    <w:rsid w:val="1DC0450D"/>
    <w:rsid w:val="1DCF7104"/>
    <w:rsid w:val="1DD0420E"/>
    <w:rsid w:val="1E07061E"/>
    <w:rsid w:val="1E165C30"/>
    <w:rsid w:val="1E200537"/>
    <w:rsid w:val="1E325813"/>
    <w:rsid w:val="1E3977AF"/>
    <w:rsid w:val="1E422498"/>
    <w:rsid w:val="1E4C162B"/>
    <w:rsid w:val="1E4F7901"/>
    <w:rsid w:val="1E526DB9"/>
    <w:rsid w:val="1E686C73"/>
    <w:rsid w:val="1E9207E0"/>
    <w:rsid w:val="1E926904"/>
    <w:rsid w:val="1EA731C1"/>
    <w:rsid w:val="1EAA389B"/>
    <w:rsid w:val="1EAE489C"/>
    <w:rsid w:val="1EB04050"/>
    <w:rsid w:val="1EB36FF4"/>
    <w:rsid w:val="1ED847E6"/>
    <w:rsid w:val="1F035894"/>
    <w:rsid w:val="1F0D1BEB"/>
    <w:rsid w:val="1F0F7F3D"/>
    <w:rsid w:val="1F1153BA"/>
    <w:rsid w:val="1F3A6CFF"/>
    <w:rsid w:val="1F3E3285"/>
    <w:rsid w:val="1F4D7114"/>
    <w:rsid w:val="1F5F1E65"/>
    <w:rsid w:val="1F604EB3"/>
    <w:rsid w:val="1F615A67"/>
    <w:rsid w:val="1F672950"/>
    <w:rsid w:val="1F733CD6"/>
    <w:rsid w:val="1F8026F2"/>
    <w:rsid w:val="1F810443"/>
    <w:rsid w:val="1F842AB1"/>
    <w:rsid w:val="1F9A63A2"/>
    <w:rsid w:val="1FA96268"/>
    <w:rsid w:val="1FAF67D1"/>
    <w:rsid w:val="1FB1438B"/>
    <w:rsid w:val="1FB2006F"/>
    <w:rsid w:val="1FBA6F24"/>
    <w:rsid w:val="1FBC2C9C"/>
    <w:rsid w:val="1FBF4624"/>
    <w:rsid w:val="1FC15271"/>
    <w:rsid w:val="1FC40146"/>
    <w:rsid w:val="1FC83EB3"/>
    <w:rsid w:val="1FCBEB7C"/>
    <w:rsid w:val="1FD956F5"/>
    <w:rsid w:val="1FDB73ED"/>
    <w:rsid w:val="1FE52AE8"/>
    <w:rsid w:val="1FFF341A"/>
    <w:rsid w:val="2002647C"/>
    <w:rsid w:val="20034A7D"/>
    <w:rsid w:val="201769FD"/>
    <w:rsid w:val="201C7209"/>
    <w:rsid w:val="203660D8"/>
    <w:rsid w:val="203A6BC1"/>
    <w:rsid w:val="20552DF5"/>
    <w:rsid w:val="205E1D30"/>
    <w:rsid w:val="207B4BA8"/>
    <w:rsid w:val="20880AF3"/>
    <w:rsid w:val="208936CF"/>
    <w:rsid w:val="20AE6465"/>
    <w:rsid w:val="20B118AB"/>
    <w:rsid w:val="20B57751"/>
    <w:rsid w:val="20C649DD"/>
    <w:rsid w:val="20C718F8"/>
    <w:rsid w:val="20CC5161"/>
    <w:rsid w:val="20CE19CA"/>
    <w:rsid w:val="20D61B3B"/>
    <w:rsid w:val="20DD6A14"/>
    <w:rsid w:val="20FD10FA"/>
    <w:rsid w:val="211D03FB"/>
    <w:rsid w:val="211D7A3F"/>
    <w:rsid w:val="21225039"/>
    <w:rsid w:val="213C3D37"/>
    <w:rsid w:val="213F2708"/>
    <w:rsid w:val="215A00E8"/>
    <w:rsid w:val="21707F49"/>
    <w:rsid w:val="217F58F7"/>
    <w:rsid w:val="21845A3B"/>
    <w:rsid w:val="2191470F"/>
    <w:rsid w:val="219A0AF0"/>
    <w:rsid w:val="21A13A5B"/>
    <w:rsid w:val="21B5791C"/>
    <w:rsid w:val="21BF0368"/>
    <w:rsid w:val="21CC405F"/>
    <w:rsid w:val="21DB773C"/>
    <w:rsid w:val="21E008B2"/>
    <w:rsid w:val="21E8421C"/>
    <w:rsid w:val="2204688E"/>
    <w:rsid w:val="22355BCC"/>
    <w:rsid w:val="22363B3C"/>
    <w:rsid w:val="2259182F"/>
    <w:rsid w:val="225B36AB"/>
    <w:rsid w:val="22606DFF"/>
    <w:rsid w:val="22667F03"/>
    <w:rsid w:val="226D1939"/>
    <w:rsid w:val="22715E88"/>
    <w:rsid w:val="22794E74"/>
    <w:rsid w:val="22A45C83"/>
    <w:rsid w:val="22BA6A00"/>
    <w:rsid w:val="22CC1ECF"/>
    <w:rsid w:val="22CD0E39"/>
    <w:rsid w:val="22CF718A"/>
    <w:rsid w:val="22D20E98"/>
    <w:rsid w:val="22E5498D"/>
    <w:rsid w:val="22E961CD"/>
    <w:rsid w:val="23020545"/>
    <w:rsid w:val="23077BDC"/>
    <w:rsid w:val="230C189F"/>
    <w:rsid w:val="23115084"/>
    <w:rsid w:val="23195B11"/>
    <w:rsid w:val="231D62E6"/>
    <w:rsid w:val="23260C4C"/>
    <w:rsid w:val="232E3EB1"/>
    <w:rsid w:val="233A4603"/>
    <w:rsid w:val="233E60B2"/>
    <w:rsid w:val="23407BAE"/>
    <w:rsid w:val="23442BAE"/>
    <w:rsid w:val="234658C8"/>
    <w:rsid w:val="2355768F"/>
    <w:rsid w:val="23583318"/>
    <w:rsid w:val="23610240"/>
    <w:rsid w:val="237755C0"/>
    <w:rsid w:val="239E5F7C"/>
    <w:rsid w:val="23A3724B"/>
    <w:rsid w:val="23BA0AFE"/>
    <w:rsid w:val="23C60706"/>
    <w:rsid w:val="23D96059"/>
    <w:rsid w:val="23DA7498"/>
    <w:rsid w:val="23E43C2A"/>
    <w:rsid w:val="23E93F81"/>
    <w:rsid w:val="23F956CF"/>
    <w:rsid w:val="242D596D"/>
    <w:rsid w:val="24304D07"/>
    <w:rsid w:val="24325411"/>
    <w:rsid w:val="2434111D"/>
    <w:rsid w:val="243B3073"/>
    <w:rsid w:val="244176EE"/>
    <w:rsid w:val="245C32BD"/>
    <w:rsid w:val="245D2152"/>
    <w:rsid w:val="246F28F2"/>
    <w:rsid w:val="24761A2D"/>
    <w:rsid w:val="2477539B"/>
    <w:rsid w:val="24A9517E"/>
    <w:rsid w:val="24B0415B"/>
    <w:rsid w:val="24C4172F"/>
    <w:rsid w:val="24D524CF"/>
    <w:rsid w:val="24E6167A"/>
    <w:rsid w:val="24E65A5E"/>
    <w:rsid w:val="24F5375A"/>
    <w:rsid w:val="24F56F3E"/>
    <w:rsid w:val="24F9343E"/>
    <w:rsid w:val="250A51D3"/>
    <w:rsid w:val="252B253D"/>
    <w:rsid w:val="252D7C9D"/>
    <w:rsid w:val="253F50D4"/>
    <w:rsid w:val="255C4982"/>
    <w:rsid w:val="256570B8"/>
    <w:rsid w:val="256C21D6"/>
    <w:rsid w:val="257476D5"/>
    <w:rsid w:val="257F09F3"/>
    <w:rsid w:val="258A3C4D"/>
    <w:rsid w:val="25951944"/>
    <w:rsid w:val="25A80A78"/>
    <w:rsid w:val="25B0699F"/>
    <w:rsid w:val="25B137BD"/>
    <w:rsid w:val="25BE1E3F"/>
    <w:rsid w:val="25CB1E8B"/>
    <w:rsid w:val="25CD0F29"/>
    <w:rsid w:val="25CE7631"/>
    <w:rsid w:val="25D056B4"/>
    <w:rsid w:val="25D56858"/>
    <w:rsid w:val="25D725DE"/>
    <w:rsid w:val="25EB4EA4"/>
    <w:rsid w:val="25EC05AE"/>
    <w:rsid w:val="25EF4F13"/>
    <w:rsid w:val="25F7F4F9"/>
    <w:rsid w:val="25F969F8"/>
    <w:rsid w:val="261D4938"/>
    <w:rsid w:val="2632030C"/>
    <w:rsid w:val="26446E8E"/>
    <w:rsid w:val="26514D62"/>
    <w:rsid w:val="2652562D"/>
    <w:rsid w:val="26584F04"/>
    <w:rsid w:val="268F3C12"/>
    <w:rsid w:val="26924756"/>
    <w:rsid w:val="26A050C5"/>
    <w:rsid w:val="26A4798B"/>
    <w:rsid w:val="26A86AE9"/>
    <w:rsid w:val="26A96697"/>
    <w:rsid w:val="26AC4BA6"/>
    <w:rsid w:val="26B02B33"/>
    <w:rsid w:val="26C75D8F"/>
    <w:rsid w:val="26C81DFB"/>
    <w:rsid w:val="26DB1FEE"/>
    <w:rsid w:val="26E700E8"/>
    <w:rsid w:val="26EB755E"/>
    <w:rsid w:val="273505C8"/>
    <w:rsid w:val="27573D6E"/>
    <w:rsid w:val="275A4B42"/>
    <w:rsid w:val="276F5E13"/>
    <w:rsid w:val="27906EE8"/>
    <w:rsid w:val="279640AC"/>
    <w:rsid w:val="279D0FCE"/>
    <w:rsid w:val="27AC64B6"/>
    <w:rsid w:val="27AE284A"/>
    <w:rsid w:val="27AF30E6"/>
    <w:rsid w:val="27BF7AFA"/>
    <w:rsid w:val="27C1133E"/>
    <w:rsid w:val="27DC212D"/>
    <w:rsid w:val="27E42543"/>
    <w:rsid w:val="28055100"/>
    <w:rsid w:val="28121594"/>
    <w:rsid w:val="28155927"/>
    <w:rsid w:val="281950A5"/>
    <w:rsid w:val="283535EA"/>
    <w:rsid w:val="28365A1B"/>
    <w:rsid w:val="28470238"/>
    <w:rsid w:val="285C50B8"/>
    <w:rsid w:val="288578C0"/>
    <w:rsid w:val="28862099"/>
    <w:rsid w:val="28890B3D"/>
    <w:rsid w:val="289435A4"/>
    <w:rsid w:val="28A53C30"/>
    <w:rsid w:val="28AF0F29"/>
    <w:rsid w:val="28B946BA"/>
    <w:rsid w:val="28CF0010"/>
    <w:rsid w:val="28CF4E6A"/>
    <w:rsid w:val="28D2422F"/>
    <w:rsid w:val="28D53F35"/>
    <w:rsid w:val="28E53D65"/>
    <w:rsid w:val="28F14AFE"/>
    <w:rsid w:val="28F419C3"/>
    <w:rsid w:val="28F52584"/>
    <w:rsid w:val="28FD2DF6"/>
    <w:rsid w:val="29130D29"/>
    <w:rsid w:val="29192F0D"/>
    <w:rsid w:val="291A6A49"/>
    <w:rsid w:val="29356978"/>
    <w:rsid w:val="29362051"/>
    <w:rsid w:val="29424212"/>
    <w:rsid w:val="29472B94"/>
    <w:rsid w:val="29484978"/>
    <w:rsid w:val="2980636E"/>
    <w:rsid w:val="29835009"/>
    <w:rsid w:val="2989080C"/>
    <w:rsid w:val="29975E41"/>
    <w:rsid w:val="299E348B"/>
    <w:rsid w:val="299F3927"/>
    <w:rsid w:val="29A0362E"/>
    <w:rsid w:val="29A1545C"/>
    <w:rsid w:val="29A340F3"/>
    <w:rsid w:val="29A350D5"/>
    <w:rsid w:val="29BF06C8"/>
    <w:rsid w:val="29D878DC"/>
    <w:rsid w:val="29DE5984"/>
    <w:rsid w:val="29DE711E"/>
    <w:rsid w:val="29EB7379"/>
    <w:rsid w:val="29F56101"/>
    <w:rsid w:val="29FB1F57"/>
    <w:rsid w:val="2A1410D6"/>
    <w:rsid w:val="2A246C48"/>
    <w:rsid w:val="2A283640"/>
    <w:rsid w:val="2A4A2C16"/>
    <w:rsid w:val="2A593C60"/>
    <w:rsid w:val="2A6B7306"/>
    <w:rsid w:val="2A757EFF"/>
    <w:rsid w:val="2A786BC3"/>
    <w:rsid w:val="2A7E4AB2"/>
    <w:rsid w:val="2A8E3994"/>
    <w:rsid w:val="2AA45B13"/>
    <w:rsid w:val="2AC0077D"/>
    <w:rsid w:val="2AC26E2F"/>
    <w:rsid w:val="2AE85548"/>
    <w:rsid w:val="2AF035A6"/>
    <w:rsid w:val="2AF60F41"/>
    <w:rsid w:val="2B0573AE"/>
    <w:rsid w:val="2B0C416F"/>
    <w:rsid w:val="2B3B51D7"/>
    <w:rsid w:val="2B437973"/>
    <w:rsid w:val="2B4451D2"/>
    <w:rsid w:val="2B525DFF"/>
    <w:rsid w:val="2B5E20DE"/>
    <w:rsid w:val="2B6B15C0"/>
    <w:rsid w:val="2B7050B6"/>
    <w:rsid w:val="2B725B05"/>
    <w:rsid w:val="2B7A2827"/>
    <w:rsid w:val="2B977110"/>
    <w:rsid w:val="2BB7426D"/>
    <w:rsid w:val="2BC36034"/>
    <w:rsid w:val="2BD60C3A"/>
    <w:rsid w:val="2BE4354F"/>
    <w:rsid w:val="2BF95101"/>
    <w:rsid w:val="2BFA3401"/>
    <w:rsid w:val="2C056DE6"/>
    <w:rsid w:val="2C22657D"/>
    <w:rsid w:val="2C2371EB"/>
    <w:rsid w:val="2C3562B0"/>
    <w:rsid w:val="2C5343E5"/>
    <w:rsid w:val="2C5E20C2"/>
    <w:rsid w:val="2C716705"/>
    <w:rsid w:val="2C7B2D8A"/>
    <w:rsid w:val="2C7B4659"/>
    <w:rsid w:val="2C886012"/>
    <w:rsid w:val="2CA30956"/>
    <w:rsid w:val="2CA528E3"/>
    <w:rsid w:val="2CA85296"/>
    <w:rsid w:val="2CBB46B5"/>
    <w:rsid w:val="2CBD7D14"/>
    <w:rsid w:val="2CF235FA"/>
    <w:rsid w:val="2CF4583C"/>
    <w:rsid w:val="2CFD6C66"/>
    <w:rsid w:val="2D097662"/>
    <w:rsid w:val="2D17219F"/>
    <w:rsid w:val="2D18600E"/>
    <w:rsid w:val="2D202C25"/>
    <w:rsid w:val="2D2417C1"/>
    <w:rsid w:val="2D361AC0"/>
    <w:rsid w:val="2D380DD8"/>
    <w:rsid w:val="2D7A0CE6"/>
    <w:rsid w:val="2D807DFD"/>
    <w:rsid w:val="2D86558F"/>
    <w:rsid w:val="2D9044A2"/>
    <w:rsid w:val="2DA91AF5"/>
    <w:rsid w:val="2DBB4E4C"/>
    <w:rsid w:val="2DBF3DA9"/>
    <w:rsid w:val="2DD07382"/>
    <w:rsid w:val="2DEA1AA1"/>
    <w:rsid w:val="2DFBC12A"/>
    <w:rsid w:val="2E0657A8"/>
    <w:rsid w:val="2E0C11E8"/>
    <w:rsid w:val="2E206AEC"/>
    <w:rsid w:val="2E246FB8"/>
    <w:rsid w:val="2E253E0B"/>
    <w:rsid w:val="2E261D0E"/>
    <w:rsid w:val="2E4A115F"/>
    <w:rsid w:val="2E50117F"/>
    <w:rsid w:val="2E6526A9"/>
    <w:rsid w:val="2E74293F"/>
    <w:rsid w:val="2E751EAC"/>
    <w:rsid w:val="2E772B3A"/>
    <w:rsid w:val="2E7B0DB2"/>
    <w:rsid w:val="2E7C15AE"/>
    <w:rsid w:val="2E80101E"/>
    <w:rsid w:val="2E8C0FA8"/>
    <w:rsid w:val="2EA87E19"/>
    <w:rsid w:val="2EAC61EC"/>
    <w:rsid w:val="2ED52EBC"/>
    <w:rsid w:val="2EEE2746"/>
    <w:rsid w:val="2EFB570F"/>
    <w:rsid w:val="2EFF2BA5"/>
    <w:rsid w:val="2F000197"/>
    <w:rsid w:val="2F1364DA"/>
    <w:rsid w:val="2F1704AF"/>
    <w:rsid w:val="2F477003"/>
    <w:rsid w:val="2F487E7B"/>
    <w:rsid w:val="2F6A0D67"/>
    <w:rsid w:val="2F715851"/>
    <w:rsid w:val="2FB24F03"/>
    <w:rsid w:val="2FBE28E6"/>
    <w:rsid w:val="2FD47B8E"/>
    <w:rsid w:val="2FD836F5"/>
    <w:rsid w:val="2FDA7D46"/>
    <w:rsid w:val="2FE5A1ED"/>
    <w:rsid w:val="30006C9E"/>
    <w:rsid w:val="30021CCD"/>
    <w:rsid w:val="3008000E"/>
    <w:rsid w:val="3015351D"/>
    <w:rsid w:val="30234671"/>
    <w:rsid w:val="30241CB9"/>
    <w:rsid w:val="303201B8"/>
    <w:rsid w:val="30416492"/>
    <w:rsid w:val="30610DAB"/>
    <w:rsid w:val="307C0B69"/>
    <w:rsid w:val="307C6734"/>
    <w:rsid w:val="30834489"/>
    <w:rsid w:val="30864293"/>
    <w:rsid w:val="308E66F4"/>
    <w:rsid w:val="30991634"/>
    <w:rsid w:val="30A64C0F"/>
    <w:rsid w:val="30AB24B4"/>
    <w:rsid w:val="30B838E5"/>
    <w:rsid w:val="30BD1619"/>
    <w:rsid w:val="30D7395D"/>
    <w:rsid w:val="30D92FEC"/>
    <w:rsid w:val="30ED7B4B"/>
    <w:rsid w:val="30F47947"/>
    <w:rsid w:val="30FC55EE"/>
    <w:rsid w:val="31036B1D"/>
    <w:rsid w:val="31050064"/>
    <w:rsid w:val="31192BFA"/>
    <w:rsid w:val="311D1646"/>
    <w:rsid w:val="31444AF4"/>
    <w:rsid w:val="314744EF"/>
    <w:rsid w:val="3150491A"/>
    <w:rsid w:val="315414FD"/>
    <w:rsid w:val="315F6975"/>
    <w:rsid w:val="318B33B6"/>
    <w:rsid w:val="31921AAF"/>
    <w:rsid w:val="319A726C"/>
    <w:rsid w:val="319E1DF4"/>
    <w:rsid w:val="31A041CB"/>
    <w:rsid w:val="31A17DF8"/>
    <w:rsid w:val="31A52FE8"/>
    <w:rsid w:val="31B001F6"/>
    <w:rsid w:val="31B4661E"/>
    <w:rsid w:val="31B67773"/>
    <w:rsid w:val="31D27480"/>
    <w:rsid w:val="31DF7927"/>
    <w:rsid w:val="31E01BEE"/>
    <w:rsid w:val="31ED71F0"/>
    <w:rsid w:val="31FC147B"/>
    <w:rsid w:val="32052D4B"/>
    <w:rsid w:val="32061B91"/>
    <w:rsid w:val="320B59E4"/>
    <w:rsid w:val="32153829"/>
    <w:rsid w:val="3216448E"/>
    <w:rsid w:val="321D101F"/>
    <w:rsid w:val="32272EED"/>
    <w:rsid w:val="32287B80"/>
    <w:rsid w:val="322A7F2B"/>
    <w:rsid w:val="323C1AE3"/>
    <w:rsid w:val="3254607F"/>
    <w:rsid w:val="32594268"/>
    <w:rsid w:val="325B0810"/>
    <w:rsid w:val="32624A13"/>
    <w:rsid w:val="326979CB"/>
    <w:rsid w:val="326A4966"/>
    <w:rsid w:val="326D2393"/>
    <w:rsid w:val="326E58E9"/>
    <w:rsid w:val="32752290"/>
    <w:rsid w:val="327D1336"/>
    <w:rsid w:val="328F5FEE"/>
    <w:rsid w:val="329C5424"/>
    <w:rsid w:val="32C25277"/>
    <w:rsid w:val="32C417C5"/>
    <w:rsid w:val="32D305D1"/>
    <w:rsid w:val="32DB1DF4"/>
    <w:rsid w:val="32E32E4B"/>
    <w:rsid w:val="32E44202"/>
    <w:rsid w:val="32E97489"/>
    <w:rsid w:val="32EB3F5A"/>
    <w:rsid w:val="32EC3D98"/>
    <w:rsid w:val="32F41DF8"/>
    <w:rsid w:val="32F81778"/>
    <w:rsid w:val="32F94F64"/>
    <w:rsid w:val="33093F6B"/>
    <w:rsid w:val="331544AF"/>
    <w:rsid w:val="332A4BB9"/>
    <w:rsid w:val="332B0AFE"/>
    <w:rsid w:val="334F56CA"/>
    <w:rsid w:val="335E60EC"/>
    <w:rsid w:val="336523F9"/>
    <w:rsid w:val="33660DD3"/>
    <w:rsid w:val="337C6524"/>
    <w:rsid w:val="337D10B6"/>
    <w:rsid w:val="338B2C59"/>
    <w:rsid w:val="338C505F"/>
    <w:rsid w:val="33900270"/>
    <w:rsid w:val="339F2CBD"/>
    <w:rsid w:val="33A337CD"/>
    <w:rsid w:val="33A47B1A"/>
    <w:rsid w:val="33AC0274"/>
    <w:rsid w:val="33B148A6"/>
    <w:rsid w:val="33B73A4E"/>
    <w:rsid w:val="33BA02C6"/>
    <w:rsid w:val="33BF3B31"/>
    <w:rsid w:val="33C24CB6"/>
    <w:rsid w:val="33D158C0"/>
    <w:rsid w:val="33D20D58"/>
    <w:rsid w:val="33D37F3D"/>
    <w:rsid w:val="33E13178"/>
    <w:rsid w:val="33F842B3"/>
    <w:rsid w:val="33FF19F5"/>
    <w:rsid w:val="34017ED3"/>
    <w:rsid w:val="340D3FED"/>
    <w:rsid w:val="341D189C"/>
    <w:rsid w:val="344258B8"/>
    <w:rsid w:val="34481F5E"/>
    <w:rsid w:val="34536D08"/>
    <w:rsid w:val="345B3646"/>
    <w:rsid w:val="34683799"/>
    <w:rsid w:val="346E2F65"/>
    <w:rsid w:val="3475396F"/>
    <w:rsid w:val="34844022"/>
    <w:rsid w:val="34945B3E"/>
    <w:rsid w:val="349853FF"/>
    <w:rsid w:val="34A54FF1"/>
    <w:rsid w:val="34AC534F"/>
    <w:rsid w:val="34BC30BB"/>
    <w:rsid w:val="34BF6350"/>
    <w:rsid w:val="34BF705E"/>
    <w:rsid w:val="34C42040"/>
    <w:rsid w:val="34DA207D"/>
    <w:rsid w:val="34E61D44"/>
    <w:rsid w:val="34E72111"/>
    <w:rsid w:val="34F37911"/>
    <w:rsid w:val="34FB5BBD"/>
    <w:rsid w:val="35067908"/>
    <w:rsid w:val="350A2B1E"/>
    <w:rsid w:val="351948E5"/>
    <w:rsid w:val="351E048B"/>
    <w:rsid w:val="352358DC"/>
    <w:rsid w:val="3533539F"/>
    <w:rsid w:val="35480948"/>
    <w:rsid w:val="357A1BBA"/>
    <w:rsid w:val="357A34CD"/>
    <w:rsid w:val="357B19A4"/>
    <w:rsid w:val="357F67EE"/>
    <w:rsid w:val="35973DF6"/>
    <w:rsid w:val="359E0601"/>
    <w:rsid w:val="35A25D24"/>
    <w:rsid w:val="35C652A3"/>
    <w:rsid w:val="35D50D51"/>
    <w:rsid w:val="35E94C78"/>
    <w:rsid w:val="35F36723"/>
    <w:rsid w:val="35FA5CAD"/>
    <w:rsid w:val="3608233F"/>
    <w:rsid w:val="360A7D81"/>
    <w:rsid w:val="36191067"/>
    <w:rsid w:val="36223259"/>
    <w:rsid w:val="3644127A"/>
    <w:rsid w:val="36543C17"/>
    <w:rsid w:val="36556ADB"/>
    <w:rsid w:val="3672559D"/>
    <w:rsid w:val="36907D19"/>
    <w:rsid w:val="36B31352"/>
    <w:rsid w:val="36BD442F"/>
    <w:rsid w:val="36CA1B6D"/>
    <w:rsid w:val="36D27A70"/>
    <w:rsid w:val="36DD37CC"/>
    <w:rsid w:val="36F7304E"/>
    <w:rsid w:val="3715740A"/>
    <w:rsid w:val="372955E9"/>
    <w:rsid w:val="372C319C"/>
    <w:rsid w:val="372D4F66"/>
    <w:rsid w:val="373B6744"/>
    <w:rsid w:val="37585DD6"/>
    <w:rsid w:val="375A59F8"/>
    <w:rsid w:val="375D490D"/>
    <w:rsid w:val="376679EE"/>
    <w:rsid w:val="37674F60"/>
    <w:rsid w:val="37723020"/>
    <w:rsid w:val="377D0DE1"/>
    <w:rsid w:val="3784725B"/>
    <w:rsid w:val="3787198A"/>
    <w:rsid w:val="3787568B"/>
    <w:rsid w:val="37C17049"/>
    <w:rsid w:val="37CE19BF"/>
    <w:rsid w:val="37DB32AA"/>
    <w:rsid w:val="37DE2E49"/>
    <w:rsid w:val="37E56DDC"/>
    <w:rsid w:val="37E67063"/>
    <w:rsid w:val="37FEC17B"/>
    <w:rsid w:val="38074CB2"/>
    <w:rsid w:val="38185828"/>
    <w:rsid w:val="381F54C3"/>
    <w:rsid w:val="383C394D"/>
    <w:rsid w:val="383D2BEB"/>
    <w:rsid w:val="38567A25"/>
    <w:rsid w:val="386A2340"/>
    <w:rsid w:val="386C414F"/>
    <w:rsid w:val="387169A3"/>
    <w:rsid w:val="388176C5"/>
    <w:rsid w:val="3894622B"/>
    <w:rsid w:val="38A0587E"/>
    <w:rsid w:val="38AA544C"/>
    <w:rsid w:val="38BD3037"/>
    <w:rsid w:val="38D01112"/>
    <w:rsid w:val="38D328E4"/>
    <w:rsid w:val="38D9744D"/>
    <w:rsid w:val="38DC2EE8"/>
    <w:rsid w:val="38EC22C0"/>
    <w:rsid w:val="38F50BB0"/>
    <w:rsid w:val="390D05A1"/>
    <w:rsid w:val="391726D1"/>
    <w:rsid w:val="392B3DF9"/>
    <w:rsid w:val="3945339C"/>
    <w:rsid w:val="3964610A"/>
    <w:rsid w:val="396C04F2"/>
    <w:rsid w:val="396D55F7"/>
    <w:rsid w:val="397F35B2"/>
    <w:rsid w:val="39840A65"/>
    <w:rsid w:val="399F30A0"/>
    <w:rsid w:val="39B33CF8"/>
    <w:rsid w:val="39D07243"/>
    <w:rsid w:val="39E64392"/>
    <w:rsid w:val="39EC1291"/>
    <w:rsid w:val="39F56482"/>
    <w:rsid w:val="3A0D33E1"/>
    <w:rsid w:val="3A127DC0"/>
    <w:rsid w:val="3A1D4425"/>
    <w:rsid w:val="3A211C22"/>
    <w:rsid w:val="3A2404D7"/>
    <w:rsid w:val="3A281F84"/>
    <w:rsid w:val="3A285511"/>
    <w:rsid w:val="3A342C47"/>
    <w:rsid w:val="3A35277D"/>
    <w:rsid w:val="3A3B1CF2"/>
    <w:rsid w:val="3A3D063A"/>
    <w:rsid w:val="3A431C35"/>
    <w:rsid w:val="3A5D7DC9"/>
    <w:rsid w:val="3A6853C7"/>
    <w:rsid w:val="3A745C62"/>
    <w:rsid w:val="3A77442C"/>
    <w:rsid w:val="3A781D0E"/>
    <w:rsid w:val="3A791A5E"/>
    <w:rsid w:val="3A9C399E"/>
    <w:rsid w:val="3AAE4628"/>
    <w:rsid w:val="3AAF2386"/>
    <w:rsid w:val="3ABA7710"/>
    <w:rsid w:val="3ABC078C"/>
    <w:rsid w:val="3AC76698"/>
    <w:rsid w:val="3AC802EF"/>
    <w:rsid w:val="3AEF0371"/>
    <w:rsid w:val="3AF455B0"/>
    <w:rsid w:val="3AF50414"/>
    <w:rsid w:val="3AFC6E57"/>
    <w:rsid w:val="3AFE35CF"/>
    <w:rsid w:val="3B0F3A36"/>
    <w:rsid w:val="3B1C57E3"/>
    <w:rsid w:val="3B1E8472"/>
    <w:rsid w:val="3B2958BE"/>
    <w:rsid w:val="3B462BF9"/>
    <w:rsid w:val="3B4F5C63"/>
    <w:rsid w:val="3B5178FA"/>
    <w:rsid w:val="3B543D4D"/>
    <w:rsid w:val="3B547717"/>
    <w:rsid w:val="3B567820"/>
    <w:rsid w:val="3B572AFC"/>
    <w:rsid w:val="3B5905AE"/>
    <w:rsid w:val="3B6B6844"/>
    <w:rsid w:val="3B6C297A"/>
    <w:rsid w:val="3B7C6206"/>
    <w:rsid w:val="3B8263EE"/>
    <w:rsid w:val="3B9D432D"/>
    <w:rsid w:val="3BBA01EB"/>
    <w:rsid w:val="3BC13C92"/>
    <w:rsid w:val="3BDD63AE"/>
    <w:rsid w:val="3BE236DE"/>
    <w:rsid w:val="3BE46009"/>
    <w:rsid w:val="3C1D7D4D"/>
    <w:rsid w:val="3C1F2BFB"/>
    <w:rsid w:val="3C2F3253"/>
    <w:rsid w:val="3C492848"/>
    <w:rsid w:val="3C4E1CF2"/>
    <w:rsid w:val="3C6A2EEF"/>
    <w:rsid w:val="3C70354E"/>
    <w:rsid w:val="3C762246"/>
    <w:rsid w:val="3CA60E9D"/>
    <w:rsid w:val="3CAA3895"/>
    <w:rsid w:val="3CB119DA"/>
    <w:rsid w:val="3CBD2815"/>
    <w:rsid w:val="3CBE3A21"/>
    <w:rsid w:val="3CD20737"/>
    <w:rsid w:val="3CFC621C"/>
    <w:rsid w:val="3CFF3AC4"/>
    <w:rsid w:val="3D02400E"/>
    <w:rsid w:val="3D035F79"/>
    <w:rsid w:val="3D0E3B21"/>
    <w:rsid w:val="3D197BB5"/>
    <w:rsid w:val="3D1F4F02"/>
    <w:rsid w:val="3D5F13DF"/>
    <w:rsid w:val="3D69180C"/>
    <w:rsid w:val="3D736D63"/>
    <w:rsid w:val="3D895469"/>
    <w:rsid w:val="3DBC05DF"/>
    <w:rsid w:val="3DBDDDBB"/>
    <w:rsid w:val="3DC772B9"/>
    <w:rsid w:val="3DDC3A87"/>
    <w:rsid w:val="3DEE93B3"/>
    <w:rsid w:val="3DEF098A"/>
    <w:rsid w:val="3E030016"/>
    <w:rsid w:val="3E065707"/>
    <w:rsid w:val="3E1219F1"/>
    <w:rsid w:val="3E3A5AE0"/>
    <w:rsid w:val="3E3E00DD"/>
    <w:rsid w:val="3E4A6448"/>
    <w:rsid w:val="3E4C4B0E"/>
    <w:rsid w:val="3E50174F"/>
    <w:rsid w:val="3E5A3259"/>
    <w:rsid w:val="3E5C0316"/>
    <w:rsid w:val="3E5F72D9"/>
    <w:rsid w:val="3E6E3E90"/>
    <w:rsid w:val="3E712F6F"/>
    <w:rsid w:val="3E862568"/>
    <w:rsid w:val="3EC05BD5"/>
    <w:rsid w:val="3EC42C39"/>
    <w:rsid w:val="3EEF26F1"/>
    <w:rsid w:val="3EF90C91"/>
    <w:rsid w:val="3F0709CF"/>
    <w:rsid w:val="3F0B6828"/>
    <w:rsid w:val="3F1855D9"/>
    <w:rsid w:val="3F1F2786"/>
    <w:rsid w:val="3F252D85"/>
    <w:rsid w:val="3F3D012F"/>
    <w:rsid w:val="3F486FD4"/>
    <w:rsid w:val="3F4A5777"/>
    <w:rsid w:val="3F4C690D"/>
    <w:rsid w:val="3F5121A6"/>
    <w:rsid w:val="3F5E0F65"/>
    <w:rsid w:val="3F7349CA"/>
    <w:rsid w:val="3F79605C"/>
    <w:rsid w:val="3F7E6170"/>
    <w:rsid w:val="3F870779"/>
    <w:rsid w:val="3F906E4B"/>
    <w:rsid w:val="3F9F1F66"/>
    <w:rsid w:val="3FCD4934"/>
    <w:rsid w:val="3FE32673"/>
    <w:rsid w:val="3FE361D0"/>
    <w:rsid w:val="3FE73AD8"/>
    <w:rsid w:val="3FED2DDB"/>
    <w:rsid w:val="3FF32608"/>
    <w:rsid w:val="3FF40A7F"/>
    <w:rsid w:val="3FF6563C"/>
    <w:rsid w:val="3FF65832"/>
    <w:rsid w:val="3FFA53EF"/>
    <w:rsid w:val="3FFB5841"/>
    <w:rsid w:val="3FFDDB10"/>
    <w:rsid w:val="40097857"/>
    <w:rsid w:val="400B33AE"/>
    <w:rsid w:val="4012396E"/>
    <w:rsid w:val="401C1A53"/>
    <w:rsid w:val="402E4650"/>
    <w:rsid w:val="403B3CFB"/>
    <w:rsid w:val="403D755F"/>
    <w:rsid w:val="403E42C4"/>
    <w:rsid w:val="406701F7"/>
    <w:rsid w:val="40A77BE8"/>
    <w:rsid w:val="40A8087E"/>
    <w:rsid w:val="40A92A88"/>
    <w:rsid w:val="40AD070C"/>
    <w:rsid w:val="40D07EFD"/>
    <w:rsid w:val="40E40065"/>
    <w:rsid w:val="41160006"/>
    <w:rsid w:val="41190079"/>
    <w:rsid w:val="411E780E"/>
    <w:rsid w:val="412165CA"/>
    <w:rsid w:val="412600C3"/>
    <w:rsid w:val="41326F3F"/>
    <w:rsid w:val="413275CF"/>
    <w:rsid w:val="416C412F"/>
    <w:rsid w:val="416D7B42"/>
    <w:rsid w:val="41732898"/>
    <w:rsid w:val="417D6F99"/>
    <w:rsid w:val="41822A20"/>
    <w:rsid w:val="41860C99"/>
    <w:rsid w:val="418615CC"/>
    <w:rsid w:val="418F04C5"/>
    <w:rsid w:val="419608F7"/>
    <w:rsid w:val="41A36C7A"/>
    <w:rsid w:val="41A628BB"/>
    <w:rsid w:val="41A94BE2"/>
    <w:rsid w:val="41B95694"/>
    <w:rsid w:val="41BA1C65"/>
    <w:rsid w:val="41D01F06"/>
    <w:rsid w:val="41DA54D8"/>
    <w:rsid w:val="41EA6CFB"/>
    <w:rsid w:val="41F113B7"/>
    <w:rsid w:val="41FD4922"/>
    <w:rsid w:val="420348A2"/>
    <w:rsid w:val="42070365"/>
    <w:rsid w:val="420E47DF"/>
    <w:rsid w:val="421B5967"/>
    <w:rsid w:val="421C7275"/>
    <w:rsid w:val="421E283A"/>
    <w:rsid w:val="421E44F4"/>
    <w:rsid w:val="42395247"/>
    <w:rsid w:val="42397157"/>
    <w:rsid w:val="424B6411"/>
    <w:rsid w:val="424F7440"/>
    <w:rsid w:val="425176DC"/>
    <w:rsid w:val="42557B31"/>
    <w:rsid w:val="42580B73"/>
    <w:rsid w:val="425B5FCD"/>
    <w:rsid w:val="425C3DBA"/>
    <w:rsid w:val="428C0CFF"/>
    <w:rsid w:val="42994780"/>
    <w:rsid w:val="429A1DCC"/>
    <w:rsid w:val="429A6E42"/>
    <w:rsid w:val="42AB03C4"/>
    <w:rsid w:val="42B6230E"/>
    <w:rsid w:val="42BB7828"/>
    <w:rsid w:val="42BD02CF"/>
    <w:rsid w:val="43077BF5"/>
    <w:rsid w:val="430976F7"/>
    <w:rsid w:val="430A7D4C"/>
    <w:rsid w:val="43280ACE"/>
    <w:rsid w:val="432A10C9"/>
    <w:rsid w:val="4342053A"/>
    <w:rsid w:val="43432C09"/>
    <w:rsid w:val="434F0845"/>
    <w:rsid w:val="43607AA0"/>
    <w:rsid w:val="437A49AC"/>
    <w:rsid w:val="437F16F7"/>
    <w:rsid w:val="43821B7C"/>
    <w:rsid w:val="43843600"/>
    <w:rsid w:val="438D6F02"/>
    <w:rsid w:val="439763D1"/>
    <w:rsid w:val="439B1BD6"/>
    <w:rsid w:val="43A152E1"/>
    <w:rsid w:val="43AA712C"/>
    <w:rsid w:val="43B527EA"/>
    <w:rsid w:val="43CD2DF2"/>
    <w:rsid w:val="43F46FFC"/>
    <w:rsid w:val="441550E8"/>
    <w:rsid w:val="44196FFD"/>
    <w:rsid w:val="44220E7C"/>
    <w:rsid w:val="442719E2"/>
    <w:rsid w:val="442D3C97"/>
    <w:rsid w:val="4432571E"/>
    <w:rsid w:val="44450152"/>
    <w:rsid w:val="444E121C"/>
    <w:rsid w:val="445760A9"/>
    <w:rsid w:val="445C6678"/>
    <w:rsid w:val="445E078E"/>
    <w:rsid w:val="44630D8A"/>
    <w:rsid w:val="44641580"/>
    <w:rsid w:val="446A2417"/>
    <w:rsid w:val="44811BF6"/>
    <w:rsid w:val="4487554F"/>
    <w:rsid w:val="44896CFB"/>
    <w:rsid w:val="448F752A"/>
    <w:rsid w:val="44924DA7"/>
    <w:rsid w:val="449B7D57"/>
    <w:rsid w:val="44A95BA2"/>
    <w:rsid w:val="44AA1C0A"/>
    <w:rsid w:val="44B27A36"/>
    <w:rsid w:val="44B553B7"/>
    <w:rsid w:val="44C45FCB"/>
    <w:rsid w:val="44D87F96"/>
    <w:rsid w:val="44E8242B"/>
    <w:rsid w:val="450D45D2"/>
    <w:rsid w:val="451A4F5C"/>
    <w:rsid w:val="452B5505"/>
    <w:rsid w:val="45311038"/>
    <w:rsid w:val="45451E05"/>
    <w:rsid w:val="45464C32"/>
    <w:rsid w:val="45501DCD"/>
    <w:rsid w:val="455A2B65"/>
    <w:rsid w:val="45644E54"/>
    <w:rsid w:val="456D7390"/>
    <w:rsid w:val="45770EAB"/>
    <w:rsid w:val="45BB117C"/>
    <w:rsid w:val="45CB3C1A"/>
    <w:rsid w:val="45DB181E"/>
    <w:rsid w:val="45E31539"/>
    <w:rsid w:val="45EC5888"/>
    <w:rsid w:val="46133B1F"/>
    <w:rsid w:val="46176FF5"/>
    <w:rsid w:val="463112A1"/>
    <w:rsid w:val="46591650"/>
    <w:rsid w:val="465E3AC4"/>
    <w:rsid w:val="46626AE8"/>
    <w:rsid w:val="46665417"/>
    <w:rsid w:val="466C3F07"/>
    <w:rsid w:val="466C46A9"/>
    <w:rsid w:val="46795908"/>
    <w:rsid w:val="46803289"/>
    <w:rsid w:val="46945C37"/>
    <w:rsid w:val="46A63E69"/>
    <w:rsid w:val="46B74393"/>
    <w:rsid w:val="46C44AED"/>
    <w:rsid w:val="46CC3BF2"/>
    <w:rsid w:val="46CE5E75"/>
    <w:rsid w:val="46D24C32"/>
    <w:rsid w:val="46D549D6"/>
    <w:rsid w:val="46D72F61"/>
    <w:rsid w:val="46EC64E9"/>
    <w:rsid w:val="470C2E09"/>
    <w:rsid w:val="47136D96"/>
    <w:rsid w:val="472471F5"/>
    <w:rsid w:val="47372A84"/>
    <w:rsid w:val="473A7B98"/>
    <w:rsid w:val="474156B1"/>
    <w:rsid w:val="4750541F"/>
    <w:rsid w:val="476451F1"/>
    <w:rsid w:val="47795A16"/>
    <w:rsid w:val="47797541"/>
    <w:rsid w:val="477D2FA6"/>
    <w:rsid w:val="47854BA2"/>
    <w:rsid w:val="479C383A"/>
    <w:rsid w:val="47B83DB5"/>
    <w:rsid w:val="47DE6A2D"/>
    <w:rsid w:val="47EC5231"/>
    <w:rsid w:val="47FD154B"/>
    <w:rsid w:val="4809397F"/>
    <w:rsid w:val="480D5AB8"/>
    <w:rsid w:val="4826396A"/>
    <w:rsid w:val="4827752B"/>
    <w:rsid w:val="483139AC"/>
    <w:rsid w:val="483A7445"/>
    <w:rsid w:val="484B5F3E"/>
    <w:rsid w:val="485A1120"/>
    <w:rsid w:val="485A1BA7"/>
    <w:rsid w:val="48636F40"/>
    <w:rsid w:val="487F189B"/>
    <w:rsid w:val="48A44ECA"/>
    <w:rsid w:val="48B74986"/>
    <w:rsid w:val="48B873E7"/>
    <w:rsid w:val="48EB7FCA"/>
    <w:rsid w:val="490C3672"/>
    <w:rsid w:val="49191E6B"/>
    <w:rsid w:val="49241182"/>
    <w:rsid w:val="49316E8E"/>
    <w:rsid w:val="4943641F"/>
    <w:rsid w:val="494C6DFB"/>
    <w:rsid w:val="49654721"/>
    <w:rsid w:val="496E5BEF"/>
    <w:rsid w:val="4983508B"/>
    <w:rsid w:val="4996235C"/>
    <w:rsid w:val="499D0F1C"/>
    <w:rsid w:val="49A40179"/>
    <w:rsid w:val="49A809E1"/>
    <w:rsid w:val="49AB78D4"/>
    <w:rsid w:val="49B61C99"/>
    <w:rsid w:val="49C168C7"/>
    <w:rsid w:val="49D7563D"/>
    <w:rsid w:val="49ED18AF"/>
    <w:rsid w:val="4A034234"/>
    <w:rsid w:val="4A0B01F8"/>
    <w:rsid w:val="4A0C7D5B"/>
    <w:rsid w:val="4A0D2C2D"/>
    <w:rsid w:val="4A1E5F6B"/>
    <w:rsid w:val="4A241124"/>
    <w:rsid w:val="4A2F5158"/>
    <w:rsid w:val="4A4000B3"/>
    <w:rsid w:val="4A551EA3"/>
    <w:rsid w:val="4A5A0321"/>
    <w:rsid w:val="4A6C1445"/>
    <w:rsid w:val="4A6C563D"/>
    <w:rsid w:val="4A707A82"/>
    <w:rsid w:val="4A767BAB"/>
    <w:rsid w:val="4A7853B9"/>
    <w:rsid w:val="4A804742"/>
    <w:rsid w:val="4A8B0C8E"/>
    <w:rsid w:val="4A8F7847"/>
    <w:rsid w:val="4A9036F3"/>
    <w:rsid w:val="4A963F66"/>
    <w:rsid w:val="4AA20D18"/>
    <w:rsid w:val="4AB60E99"/>
    <w:rsid w:val="4ABB488B"/>
    <w:rsid w:val="4ADC1542"/>
    <w:rsid w:val="4ADE77E5"/>
    <w:rsid w:val="4AE419C4"/>
    <w:rsid w:val="4AEE43B0"/>
    <w:rsid w:val="4AF7C6FD"/>
    <w:rsid w:val="4B03791A"/>
    <w:rsid w:val="4B0F758D"/>
    <w:rsid w:val="4B181824"/>
    <w:rsid w:val="4B2332C2"/>
    <w:rsid w:val="4B2940EF"/>
    <w:rsid w:val="4B2A14C4"/>
    <w:rsid w:val="4B2B7E32"/>
    <w:rsid w:val="4B3009DE"/>
    <w:rsid w:val="4B346979"/>
    <w:rsid w:val="4B653894"/>
    <w:rsid w:val="4B6A027E"/>
    <w:rsid w:val="4B8048B0"/>
    <w:rsid w:val="4B8849F7"/>
    <w:rsid w:val="4BA25FB0"/>
    <w:rsid w:val="4BAE52DF"/>
    <w:rsid w:val="4BB9178E"/>
    <w:rsid w:val="4BC148B0"/>
    <w:rsid w:val="4BC61928"/>
    <w:rsid w:val="4BD3449D"/>
    <w:rsid w:val="4C0475C6"/>
    <w:rsid w:val="4C0C2447"/>
    <w:rsid w:val="4C1F2BC2"/>
    <w:rsid w:val="4C2E66D4"/>
    <w:rsid w:val="4C354AD4"/>
    <w:rsid w:val="4C3561D9"/>
    <w:rsid w:val="4C4B6478"/>
    <w:rsid w:val="4C5C53A5"/>
    <w:rsid w:val="4C6073EB"/>
    <w:rsid w:val="4C6A3603"/>
    <w:rsid w:val="4C772E46"/>
    <w:rsid w:val="4C7A4D8F"/>
    <w:rsid w:val="4C7C6940"/>
    <w:rsid w:val="4C7F5ABB"/>
    <w:rsid w:val="4C820910"/>
    <w:rsid w:val="4C923322"/>
    <w:rsid w:val="4C973B41"/>
    <w:rsid w:val="4CA83983"/>
    <w:rsid w:val="4CAA2ADC"/>
    <w:rsid w:val="4CAF3D04"/>
    <w:rsid w:val="4CB11EFB"/>
    <w:rsid w:val="4CB64CC6"/>
    <w:rsid w:val="4CC03B80"/>
    <w:rsid w:val="4CC248BC"/>
    <w:rsid w:val="4CD0188E"/>
    <w:rsid w:val="4CDFF0DD"/>
    <w:rsid w:val="4CE03208"/>
    <w:rsid w:val="4CF27851"/>
    <w:rsid w:val="4CFE5DF2"/>
    <w:rsid w:val="4CFE662D"/>
    <w:rsid w:val="4D0B58DC"/>
    <w:rsid w:val="4D202CAD"/>
    <w:rsid w:val="4D2B3B7C"/>
    <w:rsid w:val="4D2E5F4C"/>
    <w:rsid w:val="4D347246"/>
    <w:rsid w:val="4D4238CC"/>
    <w:rsid w:val="4D4373FC"/>
    <w:rsid w:val="4D4D1E00"/>
    <w:rsid w:val="4D4E272B"/>
    <w:rsid w:val="4D550108"/>
    <w:rsid w:val="4D5B11C3"/>
    <w:rsid w:val="4D71793B"/>
    <w:rsid w:val="4D935EF6"/>
    <w:rsid w:val="4D991938"/>
    <w:rsid w:val="4D9F3679"/>
    <w:rsid w:val="4DA41FFF"/>
    <w:rsid w:val="4DA90E86"/>
    <w:rsid w:val="4DB04403"/>
    <w:rsid w:val="4DB539B8"/>
    <w:rsid w:val="4DB928D3"/>
    <w:rsid w:val="4DD159FA"/>
    <w:rsid w:val="4DE90850"/>
    <w:rsid w:val="4DF34FC7"/>
    <w:rsid w:val="4E13390E"/>
    <w:rsid w:val="4E252216"/>
    <w:rsid w:val="4E261E39"/>
    <w:rsid w:val="4E2D4D9A"/>
    <w:rsid w:val="4E2D798E"/>
    <w:rsid w:val="4E5324A7"/>
    <w:rsid w:val="4E5B5D72"/>
    <w:rsid w:val="4E661607"/>
    <w:rsid w:val="4E6E7536"/>
    <w:rsid w:val="4E797764"/>
    <w:rsid w:val="4E837930"/>
    <w:rsid w:val="4E872466"/>
    <w:rsid w:val="4E9B1B9C"/>
    <w:rsid w:val="4EA026A4"/>
    <w:rsid w:val="4EA41FCE"/>
    <w:rsid w:val="4EB3A902"/>
    <w:rsid w:val="4EB46120"/>
    <w:rsid w:val="4EB60AC7"/>
    <w:rsid w:val="4EC63853"/>
    <w:rsid w:val="4ECA4BD3"/>
    <w:rsid w:val="4ED81DCC"/>
    <w:rsid w:val="4EEA49EE"/>
    <w:rsid w:val="4EFF0BA7"/>
    <w:rsid w:val="4F111E0D"/>
    <w:rsid w:val="4F1304EC"/>
    <w:rsid w:val="4F1B1A9B"/>
    <w:rsid w:val="4F31425D"/>
    <w:rsid w:val="4F3930C1"/>
    <w:rsid w:val="4F440F80"/>
    <w:rsid w:val="4F500A8E"/>
    <w:rsid w:val="4F501112"/>
    <w:rsid w:val="4F6A3CC7"/>
    <w:rsid w:val="4F6B4B63"/>
    <w:rsid w:val="4F6E46AB"/>
    <w:rsid w:val="4F7725B8"/>
    <w:rsid w:val="4F7D47B6"/>
    <w:rsid w:val="4F9A349C"/>
    <w:rsid w:val="4F9C3DCC"/>
    <w:rsid w:val="4F9D5C1A"/>
    <w:rsid w:val="4FA72583"/>
    <w:rsid w:val="4FAB0B6E"/>
    <w:rsid w:val="4FB85BAA"/>
    <w:rsid w:val="4FBB6829"/>
    <w:rsid w:val="4FBE3141"/>
    <w:rsid w:val="4FBF2D3F"/>
    <w:rsid w:val="4FC7121C"/>
    <w:rsid w:val="4FD72953"/>
    <w:rsid w:val="4FE05EFF"/>
    <w:rsid w:val="4FE45773"/>
    <w:rsid w:val="50044B0C"/>
    <w:rsid w:val="5007020E"/>
    <w:rsid w:val="5023254C"/>
    <w:rsid w:val="50475A6F"/>
    <w:rsid w:val="504D6505"/>
    <w:rsid w:val="505017E5"/>
    <w:rsid w:val="505E4442"/>
    <w:rsid w:val="507D1C6A"/>
    <w:rsid w:val="509A4E37"/>
    <w:rsid w:val="50A524AB"/>
    <w:rsid w:val="50AE50FD"/>
    <w:rsid w:val="50BE2864"/>
    <w:rsid w:val="50BF16B8"/>
    <w:rsid w:val="50C926E5"/>
    <w:rsid w:val="50CD1EFF"/>
    <w:rsid w:val="50D514A0"/>
    <w:rsid w:val="50DB4F93"/>
    <w:rsid w:val="50DC33FB"/>
    <w:rsid w:val="50EB3D0E"/>
    <w:rsid w:val="50EF4B73"/>
    <w:rsid w:val="51107381"/>
    <w:rsid w:val="511D163F"/>
    <w:rsid w:val="5120766A"/>
    <w:rsid w:val="513021C5"/>
    <w:rsid w:val="51312C3A"/>
    <w:rsid w:val="51327A4F"/>
    <w:rsid w:val="5136326D"/>
    <w:rsid w:val="515B192B"/>
    <w:rsid w:val="516F171C"/>
    <w:rsid w:val="5180409A"/>
    <w:rsid w:val="51813C24"/>
    <w:rsid w:val="5182766F"/>
    <w:rsid w:val="51836CB2"/>
    <w:rsid w:val="518B246C"/>
    <w:rsid w:val="51A56788"/>
    <w:rsid w:val="51AB241A"/>
    <w:rsid w:val="51B45C54"/>
    <w:rsid w:val="51BE30D9"/>
    <w:rsid w:val="51C42E00"/>
    <w:rsid w:val="51D76AA5"/>
    <w:rsid w:val="51E25EDD"/>
    <w:rsid w:val="51E65C94"/>
    <w:rsid w:val="51EE4687"/>
    <w:rsid w:val="5201260D"/>
    <w:rsid w:val="52097713"/>
    <w:rsid w:val="520D1EFB"/>
    <w:rsid w:val="521A121E"/>
    <w:rsid w:val="52265566"/>
    <w:rsid w:val="52532208"/>
    <w:rsid w:val="52642626"/>
    <w:rsid w:val="52643179"/>
    <w:rsid w:val="527959D7"/>
    <w:rsid w:val="52906CB4"/>
    <w:rsid w:val="52980E9C"/>
    <w:rsid w:val="52A73A14"/>
    <w:rsid w:val="52B10802"/>
    <w:rsid w:val="52B92EE7"/>
    <w:rsid w:val="52CD15D1"/>
    <w:rsid w:val="52CF6267"/>
    <w:rsid w:val="52D31CE1"/>
    <w:rsid w:val="52E01B54"/>
    <w:rsid w:val="52E01B8C"/>
    <w:rsid w:val="52E5263E"/>
    <w:rsid w:val="52EC34A3"/>
    <w:rsid w:val="5306340C"/>
    <w:rsid w:val="530A3743"/>
    <w:rsid w:val="530E63CF"/>
    <w:rsid w:val="53105918"/>
    <w:rsid w:val="531D3C2E"/>
    <w:rsid w:val="531F6D51"/>
    <w:rsid w:val="53281E1B"/>
    <w:rsid w:val="53290E40"/>
    <w:rsid w:val="532E7545"/>
    <w:rsid w:val="533D3818"/>
    <w:rsid w:val="534419C3"/>
    <w:rsid w:val="53476D02"/>
    <w:rsid w:val="53482A54"/>
    <w:rsid w:val="534A6A87"/>
    <w:rsid w:val="536174AC"/>
    <w:rsid w:val="53676D67"/>
    <w:rsid w:val="536B5DC4"/>
    <w:rsid w:val="53907F8B"/>
    <w:rsid w:val="53940502"/>
    <w:rsid w:val="539A2EEC"/>
    <w:rsid w:val="53A5346C"/>
    <w:rsid w:val="53A878C8"/>
    <w:rsid w:val="53C17C7A"/>
    <w:rsid w:val="53C50672"/>
    <w:rsid w:val="53CD7CD2"/>
    <w:rsid w:val="53D5465E"/>
    <w:rsid w:val="54010677"/>
    <w:rsid w:val="54071F45"/>
    <w:rsid w:val="5416572D"/>
    <w:rsid w:val="541C1CEE"/>
    <w:rsid w:val="54217DA0"/>
    <w:rsid w:val="54391285"/>
    <w:rsid w:val="543E18F6"/>
    <w:rsid w:val="54484893"/>
    <w:rsid w:val="544A604F"/>
    <w:rsid w:val="54557D16"/>
    <w:rsid w:val="5457179B"/>
    <w:rsid w:val="5465423A"/>
    <w:rsid w:val="546E12C1"/>
    <w:rsid w:val="54863492"/>
    <w:rsid w:val="548C2372"/>
    <w:rsid w:val="548D3AA9"/>
    <w:rsid w:val="54A14178"/>
    <w:rsid w:val="54C47921"/>
    <w:rsid w:val="54DC6468"/>
    <w:rsid w:val="54DC71CD"/>
    <w:rsid w:val="54EB0EB9"/>
    <w:rsid w:val="54F10959"/>
    <w:rsid w:val="54F568B8"/>
    <w:rsid w:val="54F774D3"/>
    <w:rsid w:val="550D1BFF"/>
    <w:rsid w:val="551929A0"/>
    <w:rsid w:val="553C395C"/>
    <w:rsid w:val="553C6E48"/>
    <w:rsid w:val="553F893B"/>
    <w:rsid w:val="55420FE4"/>
    <w:rsid w:val="5543561E"/>
    <w:rsid w:val="55457072"/>
    <w:rsid w:val="55576C7D"/>
    <w:rsid w:val="55580900"/>
    <w:rsid w:val="55632A07"/>
    <w:rsid w:val="556C5AC4"/>
    <w:rsid w:val="55764667"/>
    <w:rsid w:val="5591185C"/>
    <w:rsid w:val="55941C35"/>
    <w:rsid w:val="55A547A9"/>
    <w:rsid w:val="55A94B7D"/>
    <w:rsid w:val="55BE7F85"/>
    <w:rsid w:val="55C53951"/>
    <w:rsid w:val="55D903A7"/>
    <w:rsid w:val="55EF3DB3"/>
    <w:rsid w:val="55FEF47C"/>
    <w:rsid w:val="560001DD"/>
    <w:rsid w:val="56050ADF"/>
    <w:rsid w:val="56094016"/>
    <w:rsid w:val="560D64C1"/>
    <w:rsid w:val="56306067"/>
    <w:rsid w:val="5633031C"/>
    <w:rsid w:val="564849E5"/>
    <w:rsid w:val="5658074D"/>
    <w:rsid w:val="567B4D02"/>
    <w:rsid w:val="56841F5C"/>
    <w:rsid w:val="5686792A"/>
    <w:rsid w:val="569B0A1E"/>
    <w:rsid w:val="569B2844"/>
    <w:rsid w:val="56A619D5"/>
    <w:rsid w:val="56AA7E40"/>
    <w:rsid w:val="56C14945"/>
    <w:rsid w:val="56D70F61"/>
    <w:rsid w:val="56E72986"/>
    <w:rsid w:val="56F06A47"/>
    <w:rsid w:val="56F13DAB"/>
    <w:rsid w:val="56F51310"/>
    <w:rsid w:val="57015CA9"/>
    <w:rsid w:val="57037506"/>
    <w:rsid w:val="571E5705"/>
    <w:rsid w:val="57266BFB"/>
    <w:rsid w:val="57277C3D"/>
    <w:rsid w:val="57283155"/>
    <w:rsid w:val="572EB587"/>
    <w:rsid w:val="572F1EA4"/>
    <w:rsid w:val="573334AC"/>
    <w:rsid w:val="57350051"/>
    <w:rsid w:val="573E0456"/>
    <w:rsid w:val="574134AB"/>
    <w:rsid w:val="57444BB0"/>
    <w:rsid w:val="574532C8"/>
    <w:rsid w:val="57471F1B"/>
    <w:rsid w:val="576A01EF"/>
    <w:rsid w:val="57741544"/>
    <w:rsid w:val="577D6F8D"/>
    <w:rsid w:val="57832C40"/>
    <w:rsid w:val="579B0BC9"/>
    <w:rsid w:val="57A96A78"/>
    <w:rsid w:val="57B01610"/>
    <w:rsid w:val="57B5525F"/>
    <w:rsid w:val="57D921BB"/>
    <w:rsid w:val="57DA2E75"/>
    <w:rsid w:val="57DB0E4A"/>
    <w:rsid w:val="57EE4085"/>
    <w:rsid w:val="57F178E2"/>
    <w:rsid w:val="57FDE4C0"/>
    <w:rsid w:val="580E0441"/>
    <w:rsid w:val="58247CF3"/>
    <w:rsid w:val="585600BE"/>
    <w:rsid w:val="586C32FD"/>
    <w:rsid w:val="58735960"/>
    <w:rsid w:val="587825C3"/>
    <w:rsid w:val="587D3583"/>
    <w:rsid w:val="588B2DFC"/>
    <w:rsid w:val="588F7CDF"/>
    <w:rsid w:val="589D1E9C"/>
    <w:rsid w:val="58AF1500"/>
    <w:rsid w:val="58B435B9"/>
    <w:rsid w:val="58B45590"/>
    <w:rsid w:val="58DD4EB3"/>
    <w:rsid w:val="58DD7675"/>
    <w:rsid w:val="58EE2027"/>
    <w:rsid w:val="58FA6008"/>
    <w:rsid w:val="5901414A"/>
    <w:rsid w:val="5918259E"/>
    <w:rsid w:val="5922383E"/>
    <w:rsid w:val="59232842"/>
    <w:rsid w:val="59273AAC"/>
    <w:rsid w:val="593A22C6"/>
    <w:rsid w:val="593B60AA"/>
    <w:rsid w:val="595C2BC4"/>
    <w:rsid w:val="59616B10"/>
    <w:rsid w:val="59682444"/>
    <w:rsid w:val="596C68E5"/>
    <w:rsid w:val="597868C2"/>
    <w:rsid w:val="59985966"/>
    <w:rsid w:val="599F33EF"/>
    <w:rsid w:val="59AA1518"/>
    <w:rsid w:val="59AB5EFA"/>
    <w:rsid w:val="59B2596F"/>
    <w:rsid w:val="59BE3D89"/>
    <w:rsid w:val="59D20856"/>
    <w:rsid w:val="59D840C1"/>
    <w:rsid w:val="59DC0F71"/>
    <w:rsid w:val="59E44FFB"/>
    <w:rsid w:val="59F71085"/>
    <w:rsid w:val="5A061DB8"/>
    <w:rsid w:val="5A115ED1"/>
    <w:rsid w:val="5A247938"/>
    <w:rsid w:val="5A28132D"/>
    <w:rsid w:val="5A4C4E80"/>
    <w:rsid w:val="5A5D5A42"/>
    <w:rsid w:val="5A6529A8"/>
    <w:rsid w:val="5A673602"/>
    <w:rsid w:val="5A7F2D25"/>
    <w:rsid w:val="5A863F1D"/>
    <w:rsid w:val="5A8D626E"/>
    <w:rsid w:val="5A944992"/>
    <w:rsid w:val="5AA6261C"/>
    <w:rsid w:val="5AA83A7A"/>
    <w:rsid w:val="5AB37B07"/>
    <w:rsid w:val="5ABE5DDA"/>
    <w:rsid w:val="5AC643F3"/>
    <w:rsid w:val="5AD55868"/>
    <w:rsid w:val="5AD95CF1"/>
    <w:rsid w:val="5ADD430A"/>
    <w:rsid w:val="5ADE4C04"/>
    <w:rsid w:val="5ADE61DA"/>
    <w:rsid w:val="5AE539AA"/>
    <w:rsid w:val="5AE5485E"/>
    <w:rsid w:val="5AE60B2D"/>
    <w:rsid w:val="5AFA4724"/>
    <w:rsid w:val="5AFC6D35"/>
    <w:rsid w:val="5B100FE8"/>
    <w:rsid w:val="5B1677A6"/>
    <w:rsid w:val="5B186401"/>
    <w:rsid w:val="5B1A6EEC"/>
    <w:rsid w:val="5B244340"/>
    <w:rsid w:val="5B30538B"/>
    <w:rsid w:val="5B423B22"/>
    <w:rsid w:val="5B5F5692"/>
    <w:rsid w:val="5B7F6B22"/>
    <w:rsid w:val="5B9F3195"/>
    <w:rsid w:val="5BB350D3"/>
    <w:rsid w:val="5BB47D3E"/>
    <w:rsid w:val="5BCB07B9"/>
    <w:rsid w:val="5BDE157A"/>
    <w:rsid w:val="5C213D3A"/>
    <w:rsid w:val="5C277B30"/>
    <w:rsid w:val="5C38562E"/>
    <w:rsid w:val="5C652D4F"/>
    <w:rsid w:val="5C692DFB"/>
    <w:rsid w:val="5C7C0323"/>
    <w:rsid w:val="5C7E07EA"/>
    <w:rsid w:val="5C8320E4"/>
    <w:rsid w:val="5C8852BB"/>
    <w:rsid w:val="5C9D7A7A"/>
    <w:rsid w:val="5CA00900"/>
    <w:rsid w:val="5CA02A22"/>
    <w:rsid w:val="5CAE4CEF"/>
    <w:rsid w:val="5CB038BA"/>
    <w:rsid w:val="5CB4230E"/>
    <w:rsid w:val="5CBB666C"/>
    <w:rsid w:val="5CC13E28"/>
    <w:rsid w:val="5CCC1A69"/>
    <w:rsid w:val="5CDC5DCF"/>
    <w:rsid w:val="5CDE1CC1"/>
    <w:rsid w:val="5CE26B1F"/>
    <w:rsid w:val="5CF42506"/>
    <w:rsid w:val="5CF84370"/>
    <w:rsid w:val="5CFD5D49"/>
    <w:rsid w:val="5D0C5002"/>
    <w:rsid w:val="5D105083"/>
    <w:rsid w:val="5D2D5C33"/>
    <w:rsid w:val="5D355860"/>
    <w:rsid w:val="5D437CB5"/>
    <w:rsid w:val="5D454D39"/>
    <w:rsid w:val="5D4D2BAA"/>
    <w:rsid w:val="5D5A11CC"/>
    <w:rsid w:val="5D5C3A10"/>
    <w:rsid w:val="5D5E6B65"/>
    <w:rsid w:val="5D6056A3"/>
    <w:rsid w:val="5D681E2B"/>
    <w:rsid w:val="5D9D1CB8"/>
    <w:rsid w:val="5DC9521E"/>
    <w:rsid w:val="5DD134F8"/>
    <w:rsid w:val="5DD902A3"/>
    <w:rsid w:val="5DE019B7"/>
    <w:rsid w:val="5DE465A7"/>
    <w:rsid w:val="5DEF4196"/>
    <w:rsid w:val="5DF71A7D"/>
    <w:rsid w:val="5E0F4D4B"/>
    <w:rsid w:val="5E3B5434"/>
    <w:rsid w:val="5E3D420D"/>
    <w:rsid w:val="5E471144"/>
    <w:rsid w:val="5E7D5156"/>
    <w:rsid w:val="5E844D55"/>
    <w:rsid w:val="5E9159B0"/>
    <w:rsid w:val="5E9F71B6"/>
    <w:rsid w:val="5ECB1D84"/>
    <w:rsid w:val="5ECE157C"/>
    <w:rsid w:val="5ED03A93"/>
    <w:rsid w:val="5ED779D7"/>
    <w:rsid w:val="5EE56C2D"/>
    <w:rsid w:val="5EFE1852"/>
    <w:rsid w:val="5F2B3792"/>
    <w:rsid w:val="5F301DA1"/>
    <w:rsid w:val="5F357D7B"/>
    <w:rsid w:val="5F383FC8"/>
    <w:rsid w:val="5F3C4C84"/>
    <w:rsid w:val="5F42093F"/>
    <w:rsid w:val="5F427DC1"/>
    <w:rsid w:val="5F47188E"/>
    <w:rsid w:val="5F521C60"/>
    <w:rsid w:val="5F552269"/>
    <w:rsid w:val="5F5652DD"/>
    <w:rsid w:val="5F5E0E54"/>
    <w:rsid w:val="5F611769"/>
    <w:rsid w:val="5F6F20FE"/>
    <w:rsid w:val="5F7535C7"/>
    <w:rsid w:val="5F950127"/>
    <w:rsid w:val="5FA356F6"/>
    <w:rsid w:val="5FA5345F"/>
    <w:rsid w:val="5FA628C6"/>
    <w:rsid w:val="5FBB874C"/>
    <w:rsid w:val="5FBD5D3B"/>
    <w:rsid w:val="5FCF5BFD"/>
    <w:rsid w:val="5FD66302"/>
    <w:rsid w:val="5FDA449D"/>
    <w:rsid w:val="5FDA624B"/>
    <w:rsid w:val="5FDD6BFC"/>
    <w:rsid w:val="5FDE73BF"/>
    <w:rsid w:val="5FE64E7D"/>
    <w:rsid w:val="5FEFDC7D"/>
    <w:rsid w:val="5FF53622"/>
    <w:rsid w:val="5FF5CF34"/>
    <w:rsid w:val="5FF9498C"/>
    <w:rsid w:val="5FFFD2F2"/>
    <w:rsid w:val="600159C2"/>
    <w:rsid w:val="601047C4"/>
    <w:rsid w:val="60296E20"/>
    <w:rsid w:val="60381E9F"/>
    <w:rsid w:val="60416E8C"/>
    <w:rsid w:val="604B5101"/>
    <w:rsid w:val="604F6C5D"/>
    <w:rsid w:val="606C1831"/>
    <w:rsid w:val="60727485"/>
    <w:rsid w:val="60856E73"/>
    <w:rsid w:val="608852F9"/>
    <w:rsid w:val="609E130C"/>
    <w:rsid w:val="60A35EE8"/>
    <w:rsid w:val="60AF0445"/>
    <w:rsid w:val="60B544BC"/>
    <w:rsid w:val="60B621B1"/>
    <w:rsid w:val="60B72CDB"/>
    <w:rsid w:val="60B867A5"/>
    <w:rsid w:val="60DB4382"/>
    <w:rsid w:val="60EE1748"/>
    <w:rsid w:val="61140169"/>
    <w:rsid w:val="611C11BC"/>
    <w:rsid w:val="611D39BB"/>
    <w:rsid w:val="612507BA"/>
    <w:rsid w:val="612B61A3"/>
    <w:rsid w:val="612C0D28"/>
    <w:rsid w:val="613308F5"/>
    <w:rsid w:val="61363955"/>
    <w:rsid w:val="615C63B0"/>
    <w:rsid w:val="615D063E"/>
    <w:rsid w:val="61617E42"/>
    <w:rsid w:val="616552DD"/>
    <w:rsid w:val="61770BCF"/>
    <w:rsid w:val="61795EDC"/>
    <w:rsid w:val="618127D9"/>
    <w:rsid w:val="61897F29"/>
    <w:rsid w:val="6198128F"/>
    <w:rsid w:val="61A0578B"/>
    <w:rsid w:val="61A129F7"/>
    <w:rsid w:val="61B7023A"/>
    <w:rsid w:val="61CD1AB7"/>
    <w:rsid w:val="61E42010"/>
    <w:rsid w:val="61E525A6"/>
    <w:rsid w:val="61F85239"/>
    <w:rsid w:val="61FA4510"/>
    <w:rsid w:val="61FE6804"/>
    <w:rsid w:val="62036E28"/>
    <w:rsid w:val="62226AB8"/>
    <w:rsid w:val="624932D1"/>
    <w:rsid w:val="62535A1A"/>
    <w:rsid w:val="62540537"/>
    <w:rsid w:val="625433CF"/>
    <w:rsid w:val="626F5572"/>
    <w:rsid w:val="62791F17"/>
    <w:rsid w:val="627B51F9"/>
    <w:rsid w:val="628F6062"/>
    <w:rsid w:val="629348FB"/>
    <w:rsid w:val="629D3C8C"/>
    <w:rsid w:val="629F5F2F"/>
    <w:rsid w:val="62A57F72"/>
    <w:rsid w:val="62AD2620"/>
    <w:rsid w:val="62B461AD"/>
    <w:rsid w:val="62C1790A"/>
    <w:rsid w:val="62C5329C"/>
    <w:rsid w:val="62CB35BF"/>
    <w:rsid w:val="62EE7583"/>
    <w:rsid w:val="63087FC2"/>
    <w:rsid w:val="63115637"/>
    <w:rsid w:val="63124547"/>
    <w:rsid w:val="63173685"/>
    <w:rsid w:val="63177443"/>
    <w:rsid w:val="631A319B"/>
    <w:rsid w:val="63365E8E"/>
    <w:rsid w:val="633E2E84"/>
    <w:rsid w:val="634E10A9"/>
    <w:rsid w:val="636915AE"/>
    <w:rsid w:val="636A45CE"/>
    <w:rsid w:val="636E62C8"/>
    <w:rsid w:val="63864F79"/>
    <w:rsid w:val="63B601E3"/>
    <w:rsid w:val="63D7CE05"/>
    <w:rsid w:val="63D9397B"/>
    <w:rsid w:val="63DC07E4"/>
    <w:rsid w:val="63FA6ABD"/>
    <w:rsid w:val="64145435"/>
    <w:rsid w:val="641B4B2B"/>
    <w:rsid w:val="642C1870"/>
    <w:rsid w:val="643310CA"/>
    <w:rsid w:val="643F7C23"/>
    <w:rsid w:val="64441B82"/>
    <w:rsid w:val="64445E97"/>
    <w:rsid w:val="64471DB5"/>
    <w:rsid w:val="644F798B"/>
    <w:rsid w:val="645102A7"/>
    <w:rsid w:val="64513ED4"/>
    <w:rsid w:val="64557305"/>
    <w:rsid w:val="64591EA1"/>
    <w:rsid w:val="645A41C1"/>
    <w:rsid w:val="646961C6"/>
    <w:rsid w:val="646E78D8"/>
    <w:rsid w:val="646F3C71"/>
    <w:rsid w:val="647B0956"/>
    <w:rsid w:val="648C1AF2"/>
    <w:rsid w:val="649E55F4"/>
    <w:rsid w:val="64A2021B"/>
    <w:rsid w:val="64C25F72"/>
    <w:rsid w:val="64C465A4"/>
    <w:rsid w:val="64C816F1"/>
    <w:rsid w:val="64CA5274"/>
    <w:rsid w:val="64DE2012"/>
    <w:rsid w:val="650F6223"/>
    <w:rsid w:val="6521589F"/>
    <w:rsid w:val="65242DAF"/>
    <w:rsid w:val="65246F9E"/>
    <w:rsid w:val="65366BBA"/>
    <w:rsid w:val="653E61D3"/>
    <w:rsid w:val="65466A80"/>
    <w:rsid w:val="65483659"/>
    <w:rsid w:val="65491EA9"/>
    <w:rsid w:val="657C3F50"/>
    <w:rsid w:val="658156F8"/>
    <w:rsid w:val="658628DE"/>
    <w:rsid w:val="65951811"/>
    <w:rsid w:val="659A2704"/>
    <w:rsid w:val="65A34851"/>
    <w:rsid w:val="65A73937"/>
    <w:rsid w:val="65A82ABD"/>
    <w:rsid w:val="65AA135E"/>
    <w:rsid w:val="65B80FE8"/>
    <w:rsid w:val="65B9763E"/>
    <w:rsid w:val="65BB7186"/>
    <w:rsid w:val="65DA292A"/>
    <w:rsid w:val="65DC49EB"/>
    <w:rsid w:val="65DC6686"/>
    <w:rsid w:val="65E41BD1"/>
    <w:rsid w:val="65F72C0B"/>
    <w:rsid w:val="6602597D"/>
    <w:rsid w:val="661946BF"/>
    <w:rsid w:val="662F928C"/>
    <w:rsid w:val="663C2E09"/>
    <w:rsid w:val="6642164B"/>
    <w:rsid w:val="664B40D0"/>
    <w:rsid w:val="664B5439"/>
    <w:rsid w:val="66560D21"/>
    <w:rsid w:val="667C1E0A"/>
    <w:rsid w:val="66A1445D"/>
    <w:rsid w:val="66A952F2"/>
    <w:rsid w:val="66CC6ABC"/>
    <w:rsid w:val="66CF0385"/>
    <w:rsid w:val="66FE4F15"/>
    <w:rsid w:val="67025D2F"/>
    <w:rsid w:val="670B7901"/>
    <w:rsid w:val="67195A90"/>
    <w:rsid w:val="671C1627"/>
    <w:rsid w:val="67202088"/>
    <w:rsid w:val="67230A4F"/>
    <w:rsid w:val="6723158E"/>
    <w:rsid w:val="67252DF1"/>
    <w:rsid w:val="67284FC8"/>
    <w:rsid w:val="672C6957"/>
    <w:rsid w:val="673E2874"/>
    <w:rsid w:val="675265E4"/>
    <w:rsid w:val="675E6122"/>
    <w:rsid w:val="675F06D3"/>
    <w:rsid w:val="676029FF"/>
    <w:rsid w:val="67712A9D"/>
    <w:rsid w:val="67762F18"/>
    <w:rsid w:val="67877E78"/>
    <w:rsid w:val="67915C65"/>
    <w:rsid w:val="67921BBD"/>
    <w:rsid w:val="67C04A18"/>
    <w:rsid w:val="67C56A77"/>
    <w:rsid w:val="67C57E67"/>
    <w:rsid w:val="67E91721"/>
    <w:rsid w:val="67E92D4F"/>
    <w:rsid w:val="67F450A0"/>
    <w:rsid w:val="67FD6F7B"/>
    <w:rsid w:val="67FF1B4B"/>
    <w:rsid w:val="68080747"/>
    <w:rsid w:val="680C3FD1"/>
    <w:rsid w:val="680E1B3B"/>
    <w:rsid w:val="68103762"/>
    <w:rsid w:val="681708B9"/>
    <w:rsid w:val="68224C33"/>
    <w:rsid w:val="682664D1"/>
    <w:rsid w:val="68503944"/>
    <w:rsid w:val="68550B65"/>
    <w:rsid w:val="686E62F9"/>
    <w:rsid w:val="68781AE2"/>
    <w:rsid w:val="6883338F"/>
    <w:rsid w:val="688B0A2A"/>
    <w:rsid w:val="688B28A7"/>
    <w:rsid w:val="688F19B6"/>
    <w:rsid w:val="68935A33"/>
    <w:rsid w:val="68B52E6B"/>
    <w:rsid w:val="68BE6FAB"/>
    <w:rsid w:val="68D37D88"/>
    <w:rsid w:val="68F02EE7"/>
    <w:rsid w:val="68F106C2"/>
    <w:rsid w:val="68F81E8A"/>
    <w:rsid w:val="690B41A6"/>
    <w:rsid w:val="690C4D72"/>
    <w:rsid w:val="698F33C5"/>
    <w:rsid w:val="69927E51"/>
    <w:rsid w:val="69B47ED4"/>
    <w:rsid w:val="69D3205D"/>
    <w:rsid w:val="69D664CD"/>
    <w:rsid w:val="69DE5947"/>
    <w:rsid w:val="69E46D19"/>
    <w:rsid w:val="69F03E09"/>
    <w:rsid w:val="6A1916B7"/>
    <w:rsid w:val="6A531FC9"/>
    <w:rsid w:val="6A5850ED"/>
    <w:rsid w:val="6A6E725A"/>
    <w:rsid w:val="6A9040D6"/>
    <w:rsid w:val="6A9A31A7"/>
    <w:rsid w:val="6A9D0350"/>
    <w:rsid w:val="6AA6164F"/>
    <w:rsid w:val="6AAB3E09"/>
    <w:rsid w:val="6AC65D4A"/>
    <w:rsid w:val="6AD05C51"/>
    <w:rsid w:val="6AD13FA2"/>
    <w:rsid w:val="6AD420EE"/>
    <w:rsid w:val="6AE245D3"/>
    <w:rsid w:val="6AFC24E4"/>
    <w:rsid w:val="6B254524"/>
    <w:rsid w:val="6B2905B8"/>
    <w:rsid w:val="6B4155CC"/>
    <w:rsid w:val="6B5E3D9E"/>
    <w:rsid w:val="6B62302D"/>
    <w:rsid w:val="6B6C491F"/>
    <w:rsid w:val="6B786386"/>
    <w:rsid w:val="6BA325D3"/>
    <w:rsid w:val="6BB2595D"/>
    <w:rsid w:val="6BC45B5B"/>
    <w:rsid w:val="6BCE3782"/>
    <w:rsid w:val="6BD10E4A"/>
    <w:rsid w:val="6BDE0817"/>
    <w:rsid w:val="6BDF616A"/>
    <w:rsid w:val="6BF568E6"/>
    <w:rsid w:val="6C213531"/>
    <w:rsid w:val="6C290BE5"/>
    <w:rsid w:val="6C2D780F"/>
    <w:rsid w:val="6C31419B"/>
    <w:rsid w:val="6C3F0429"/>
    <w:rsid w:val="6C4755B5"/>
    <w:rsid w:val="6C485021"/>
    <w:rsid w:val="6C545752"/>
    <w:rsid w:val="6C600E73"/>
    <w:rsid w:val="6C792A5E"/>
    <w:rsid w:val="6C9222F1"/>
    <w:rsid w:val="6CBB5C40"/>
    <w:rsid w:val="6CBD6329"/>
    <w:rsid w:val="6CC722F0"/>
    <w:rsid w:val="6CCA6B95"/>
    <w:rsid w:val="6CD93D16"/>
    <w:rsid w:val="6CE6676D"/>
    <w:rsid w:val="6CF3253E"/>
    <w:rsid w:val="6CF86FC2"/>
    <w:rsid w:val="6D0C5172"/>
    <w:rsid w:val="6D0D4104"/>
    <w:rsid w:val="6D0E2A37"/>
    <w:rsid w:val="6D1F5B6A"/>
    <w:rsid w:val="6D341690"/>
    <w:rsid w:val="6D4F2026"/>
    <w:rsid w:val="6D5F3715"/>
    <w:rsid w:val="6D8D60DA"/>
    <w:rsid w:val="6D8F2465"/>
    <w:rsid w:val="6DB150D8"/>
    <w:rsid w:val="6DBB590E"/>
    <w:rsid w:val="6DC80101"/>
    <w:rsid w:val="6DCA319A"/>
    <w:rsid w:val="6DDD2361"/>
    <w:rsid w:val="6DE16ED5"/>
    <w:rsid w:val="6DE76703"/>
    <w:rsid w:val="6DEDD78D"/>
    <w:rsid w:val="6DF22170"/>
    <w:rsid w:val="6DF6080C"/>
    <w:rsid w:val="6DFB4F9E"/>
    <w:rsid w:val="6DFE66EE"/>
    <w:rsid w:val="6E0B682D"/>
    <w:rsid w:val="6E1405F0"/>
    <w:rsid w:val="6E1C705D"/>
    <w:rsid w:val="6E25015A"/>
    <w:rsid w:val="6E2561D5"/>
    <w:rsid w:val="6E2B07FA"/>
    <w:rsid w:val="6E3D40FD"/>
    <w:rsid w:val="6E3F7DBB"/>
    <w:rsid w:val="6E4113DB"/>
    <w:rsid w:val="6E49729F"/>
    <w:rsid w:val="6E753235"/>
    <w:rsid w:val="6E7D7592"/>
    <w:rsid w:val="6E82143B"/>
    <w:rsid w:val="6E8F685A"/>
    <w:rsid w:val="6E9E6C4E"/>
    <w:rsid w:val="6EA33880"/>
    <w:rsid w:val="6EAA2FD1"/>
    <w:rsid w:val="6EB8054A"/>
    <w:rsid w:val="6EC67E1E"/>
    <w:rsid w:val="6ED15B19"/>
    <w:rsid w:val="6EE14D69"/>
    <w:rsid w:val="6EF7795F"/>
    <w:rsid w:val="6EF90976"/>
    <w:rsid w:val="6F201503"/>
    <w:rsid w:val="6F314485"/>
    <w:rsid w:val="6F4255E5"/>
    <w:rsid w:val="6F4BD9E5"/>
    <w:rsid w:val="6F4E0E08"/>
    <w:rsid w:val="6F552484"/>
    <w:rsid w:val="6F557B1F"/>
    <w:rsid w:val="6F590F9A"/>
    <w:rsid w:val="6F6E56EE"/>
    <w:rsid w:val="6F71097A"/>
    <w:rsid w:val="6F742686"/>
    <w:rsid w:val="6F8112BF"/>
    <w:rsid w:val="6F8142E8"/>
    <w:rsid w:val="6F822CAA"/>
    <w:rsid w:val="6F942142"/>
    <w:rsid w:val="6F9A3F5D"/>
    <w:rsid w:val="6FAE654D"/>
    <w:rsid w:val="6FB203E3"/>
    <w:rsid w:val="6FD62EAD"/>
    <w:rsid w:val="6FDB5DF3"/>
    <w:rsid w:val="6FDD7D5D"/>
    <w:rsid w:val="6FE31A98"/>
    <w:rsid w:val="6FE42FF4"/>
    <w:rsid w:val="6FE56CCD"/>
    <w:rsid w:val="6FEC2350"/>
    <w:rsid w:val="6FEFE8F7"/>
    <w:rsid w:val="6FF8DB4C"/>
    <w:rsid w:val="6FFA07CD"/>
    <w:rsid w:val="700F65B1"/>
    <w:rsid w:val="70185601"/>
    <w:rsid w:val="703D1A66"/>
    <w:rsid w:val="704C496B"/>
    <w:rsid w:val="706202C3"/>
    <w:rsid w:val="706252BB"/>
    <w:rsid w:val="70651263"/>
    <w:rsid w:val="706B6064"/>
    <w:rsid w:val="706E1E73"/>
    <w:rsid w:val="70710506"/>
    <w:rsid w:val="70797034"/>
    <w:rsid w:val="708A6320"/>
    <w:rsid w:val="708E10B8"/>
    <w:rsid w:val="708E362C"/>
    <w:rsid w:val="70AF7167"/>
    <w:rsid w:val="70B675DD"/>
    <w:rsid w:val="70BD374B"/>
    <w:rsid w:val="70C46777"/>
    <w:rsid w:val="70D1CAFE"/>
    <w:rsid w:val="70D63468"/>
    <w:rsid w:val="70DB2ADA"/>
    <w:rsid w:val="70E0103E"/>
    <w:rsid w:val="70E07CDC"/>
    <w:rsid w:val="70EC6AAA"/>
    <w:rsid w:val="70EE256C"/>
    <w:rsid w:val="70F40C0D"/>
    <w:rsid w:val="70F61D10"/>
    <w:rsid w:val="710D535A"/>
    <w:rsid w:val="710E0482"/>
    <w:rsid w:val="71104836"/>
    <w:rsid w:val="7125466D"/>
    <w:rsid w:val="712A510B"/>
    <w:rsid w:val="71392364"/>
    <w:rsid w:val="713A12C1"/>
    <w:rsid w:val="714640A3"/>
    <w:rsid w:val="714C7D9F"/>
    <w:rsid w:val="71534870"/>
    <w:rsid w:val="71545A62"/>
    <w:rsid w:val="715C11B6"/>
    <w:rsid w:val="716100AF"/>
    <w:rsid w:val="71687B5B"/>
    <w:rsid w:val="716E7508"/>
    <w:rsid w:val="71762335"/>
    <w:rsid w:val="717C0B98"/>
    <w:rsid w:val="718D50B2"/>
    <w:rsid w:val="71A57C2C"/>
    <w:rsid w:val="71AA058E"/>
    <w:rsid w:val="71AA6B8E"/>
    <w:rsid w:val="71BD454A"/>
    <w:rsid w:val="71BF78E4"/>
    <w:rsid w:val="71DB5236"/>
    <w:rsid w:val="71E071B7"/>
    <w:rsid w:val="71EB3256"/>
    <w:rsid w:val="71F65AD4"/>
    <w:rsid w:val="71F97F09"/>
    <w:rsid w:val="71FB318C"/>
    <w:rsid w:val="72071122"/>
    <w:rsid w:val="721003B0"/>
    <w:rsid w:val="7224794F"/>
    <w:rsid w:val="7236407E"/>
    <w:rsid w:val="723B6198"/>
    <w:rsid w:val="724E4AFF"/>
    <w:rsid w:val="72540163"/>
    <w:rsid w:val="72597081"/>
    <w:rsid w:val="72663411"/>
    <w:rsid w:val="728602FC"/>
    <w:rsid w:val="728E37CE"/>
    <w:rsid w:val="7299672B"/>
    <w:rsid w:val="72A6078D"/>
    <w:rsid w:val="72AB217A"/>
    <w:rsid w:val="72B648F6"/>
    <w:rsid w:val="72D869DA"/>
    <w:rsid w:val="72D903DE"/>
    <w:rsid w:val="72D908F5"/>
    <w:rsid w:val="72DB0748"/>
    <w:rsid w:val="72DE70C1"/>
    <w:rsid w:val="72E74AAF"/>
    <w:rsid w:val="72F5541E"/>
    <w:rsid w:val="730206BF"/>
    <w:rsid w:val="731246FA"/>
    <w:rsid w:val="73267420"/>
    <w:rsid w:val="733D0A01"/>
    <w:rsid w:val="73423B21"/>
    <w:rsid w:val="735D64C7"/>
    <w:rsid w:val="73630278"/>
    <w:rsid w:val="73930A26"/>
    <w:rsid w:val="73994BA5"/>
    <w:rsid w:val="739E7864"/>
    <w:rsid w:val="739F77C3"/>
    <w:rsid w:val="73A155A6"/>
    <w:rsid w:val="73A548CD"/>
    <w:rsid w:val="73AE6778"/>
    <w:rsid w:val="73B61051"/>
    <w:rsid w:val="73BB5AAB"/>
    <w:rsid w:val="73BF4F98"/>
    <w:rsid w:val="73CB6C54"/>
    <w:rsid w:val="73E00E62"/>
    <w:rsid w:val="73E82648"/>
    <w:rsid w:val="73ED8241"/>
    <w:rsid w:val="73EF00BF"/>
    <w:rsid w:val="7410076D"/>
    <w:rsid w:val="741471DB"/>
    <w:rsid w:val="74274EB1"/>
    <w:rsid w:val="744301AD"/>
    <w:rsid w:val="744C793B"/>
    <w:rsid w:val="7476258E"/>
    <w:rsid w:val="74792321"/>
    <w:rsid w:val="7482737C"/>
    <w:rsid w:val="748C7BA9"/>
    <w:rsid w:val="74965D81"/>
    <w:rsid w:val="74B32897"/>
    <w:rsid w:val="74B44378"/>
    <w:rsid w:val="74BE1905"/>
    <w:rsid w:val="74C81CDD"/>
    <w:rsid w:val="74D32DDC"/>
    <w:rsid w:val="74DC2825"/>
    <w:rsid w:val="74E05C5A"/>
    <w:rsid w:val="74E36979"/>
    <w:rsid w:val="74E521FD"/>
    <w:rsid w:val="74EE5ACA"/>
    <w:rsid w:val="751D6B13"/>
    <w:rsid w:val="75255850"/>
    <w:rsid w:val="752A71AE"/>
    <w:rsid w:val="7540263A"/>
    <w:rsid w:val="75480ED2"/>
    <w:rsid w:val="756624E9"/>
    <w:rsid w:val="756F6066"/>
    <w:rsid w:val="757F0D2D"/>
    <w:rsid w:val="758317AD"/>
    <w:rsid w:val="75837AB8"/>
    <w:rsid w:val="758A319A"/>
    <w:rsid w:val="758E56B6"/>
    <w:rsid w:val="75B16A30"/>
    <w:rsid w:val="75C8195C"/>
    <w:rsid w:val="75D6166F"/>
    <w:rsid w:val="75E07011"/>
    <w:rsid w:val="75E07191"/>
    <w:rsid w:val="75FE5368"/>
    <w:rsid w:val="75FF6F29"/>
    <w:rsid w:val="761B1298"/>
    <w:rsid w:val="761E3068"/>
    <w:rsid w:val="762A2C8E"/>
    <w:rsid w:val="76392BDB"/>
    <w:rsid w:val="763A3641"/>
    <w:rsid w:val="764A16E1"/>
    <w:rsid w:val="766259D0"/>
    <w:rsid w:val="7674E5FA"/>
    <w:rsid w:val="769E4D37"/>
    <w:rsid w:val="76A20275"/>
    <w:rsid w:val="76A34966"/>
    <w:rsid w:val="76AA0ABE"/>
    <w:rsid w:val="76AA113F"/>
    <w:rsid w:val="76AA52BD"/>
    <w:rsid w:val="76CD6578"/>
    <w:rsid w:val="76DB5DA8"/>
    <w:rsid w:val="76E41A31"/>
    <w:rsid w:val="77073C31"/>
    <w:rsid w:val="770E7677"/>
    <w:rsid w:val="771204C8"/>
    <w:rsid w:val="771B1288"/>
    <w:rsid w:val="7760701D"/>
    <w:rsid w:val="77731AA5"/>
    <w:rsid w:val="7797523E"/>
    <w:rsid w:val="779C70B1"/>
    <w:rsid w:val="77A962C9"/>
    <w:rsid w:val="77B704F1"/>
    <w:rsid w:val="77BBCD37"/>
    <w:rsid w:val="77D30D6D"/>
    <w:rsid w:val="77D65415"/>
    <w:rsid w:val="77DD7C1F"/>
    <w:rsid w:val="77DF17FF"/>
    <w:rsid w:val="77EC2028"/>
    <w:rsid w:val="77FB2C40"/>
    <w:rsid w:val="78080A9B"/>
    <w:rsid w:val="78095B42"/>
    <w:rsid w:val="780A196C"/>
    <w:rsid w:val="782E021C"/>
    <w:rsid w:val="78301DE6"/>
    <w:rsid w:val="78312F3D"/>
    <w:rsid w:val="784B203D"/>
    <w:rsid w:val="7855709E"/>
    <w:rsid w:val="786254DA"/>
    <w:rsid w:val="788944C1"/>
    <w:rsid w:val="78A709A4"/>
    <w:rsid w:val="78E20B70"/>
    <w:rsid w:val="78E24251"/>
    <w:rsid w:val="78E75809"/>
    <w:rsid w:val="78F14F60"/>
    <w:rsid w:val="78F32400"/>
    <w:rsid w:val="78F341AE"/>
    <w:rsid w:val="78FF3F8C"/>
    <w:rsid w:val="79134EC5"/>
    <w:rsid w:val="79292867"/>
    <w:rsid w:val="792A1421"/>
    <w:rsid w:val="793E06DC"/>
    <w:rsid w:val="7949417E"/>
    <w:rsid w:val="794C346C"/>
    <w:rsid w:val="795D5ACB"/>
    <w:rsid w:val="797562A8"/>
    <w:rsid w:val="79927B59"/>
    <w:rsid w:val="79976E81"/>
    <w:rsid w:val="79982722"/>
    <w:rsid w:val="79A20702"/>
    <w:rsid w:val="79A75D0B"/>
    <w:rsid w:val="79A80D6F"/>
    <w:rsid w:val="79BB15EA"/>
    <w:rsid w:val="79C8563A"/>
    <w:rsid w:val="79D7E271"/>
    <w:rsid w:val="79D868E4"/>
    <w:rsid w:val="79EE3F60"/>
    <w:rsid w:val="79FFBD86"/>
    <w:rsid w:val="7A062657"/>
    <w:rsid w:val="7A0F441B"/>
    <w:rsid w:val="7A174906"/>
    <w:rsid w:val="7A184059"/>
    <w:rsid w:val="7A20151A"/>
    <w:rsid w:val="7A2834C9"/>
    <w:rsid w:val="7A3E4CD1"/>
    <w:rsid w:val="7A450285"/>
    <w:rsid w:val="7A5B2C12"/>
    <w:rsid w:val="7A630627"/>
    <w:rsid w:val="7A635307"/>
    <w:rsid w:val="7A7514BC"/>
    <w:rsid w:val="7A87203F"/>
    <w:rsid w:val="7A8E436A"/>
    <w:rsid w:val="7A8F0512"/>
    <w:rsid w:val="7AA31C03"/>
    <w:rsid w:val="7AAF1529"/>
    <w:rsid w:val="7AB865AB"/>
    <w:rsid w:val="7ABC4A73"/>
    <w:rsid w:val="7ABE10C0"/>
    <w:rsid w:val="7AC31793"/>
    <w:rsid w:val="7AE000C0"/>
    <w:rsid w:val="7AE52C46"/>
    <w:rsid w:val="7AF4420D"/>
    <w:rsid w:val="7AFEE5A9"/>
    <w:rsid w:val="7B026076"/>
    <w:rsid w:val="7B027C2C"/>
    <w:rsid w:val="7B046186"/>
    <w:rsid w:val="7B0A1C83"/>
    <w:rsid w:val="7B20027E"/>
    <w:rsid w:val="7B2A2985"/>
    <w:rsid w:val="7B440CFB"/>
    <w:rsid w:val="7B4E7E93"/>
    <w:rsid w:val="7B537B58"/>
    <w:rsid w:val="7B666620"/>
    <w:rsid w:val="7B6C264E"/>
    <w:rsid w:val="7B713EDB"/>
    <w:rsid w:val="7B883084"/>
    <w:rsid w:val="7B8A32BE"/>
    <w:rsid w:val="7B8B2344"/>
    <w:rsid w:val="7BAE0B39"/>
    <w:rsid w:val="7BB229D4"/>
    <w:rsid w:val="7BC92FD6"/>
    <w:rsid w:val="7BDBAF04"/>
    <w:rsid w:val="7BDD1F8F"/>
    <w:rsid w:val="7BDF27F5"/>
    <w:rsid w:val="7BF70074"/>
    <w:rsid w:val="7C04568B"/>
    <w:rsid w:val="7C133289"/>
    <w:rsid w:val="7C1515CB"/>
    <w:rsid w:val="7C1936C7"/>
    <w:rsid w:val="7C4C5E9B"/>
    <w:rsid w:val="7C5115A1"/>
    <w:rsid w:val="7C5A1F45"/>
    <w:rsid w:val="7C5C4760"/>
    <w:rsid w:val="7C6165F6"/>
    <w:rsid w:val="7C6A497F"/>
    <w:rsid w:val="7C6F7820"/>
    <w:rsid w:val="7C7F52F3"/>
    <w:rsid w:val="7C900DCC"/>
    <w:rsid w:val="7C92311B"/>
    <w:rsid w:val="7CA54FDB"/>
    <w:rsid w:val="7CA67789"/>
    <w:rsid w:val="7CB059F6"/>
    <w:rsid w:val="7CB531C4"/>
    <w:rsid w:val="7CB6373B"/>
    <w:rsid w:val="7CC47637"/>
    <w:rsid w:val="7CD460A4"/>
    <w:rsid w:val="7CDB44CA"/>
    <w:rsid w:val="7CF31AF4"/>
    <w:rsid w:val="7CF81EAA"/>
    <w:rsid w:val="7D173F02"/>
    <w:rsid w:val="7D1D7D97"/>
    <w:rsid w:val="7D2736B1"/>
    <w:rsid w:val="7D296128"/>
    <w:rsid w:val="7D2C0E5B"/>
    <w:rsid w:val="7D2C732A"/>
    <w:rsid w:val="7D366D5F"/>
    <w:rsid w:val="7D3A4C98"/>
    <w:rsid w:val="7D416C77"/>
    <w:rsid w:val="7D43264B"/>
    <w:rsid w:val="7D480502"/>
    <w:rsid w:val="7D4A0EA6"/>
    <w:rsid w:val="7D4B1AA1"/>
    <w:rsid w:val="7D4B67F5"/>
    <w:rsid w:val="7D5B609A"/>
    <w:rsid w:val="7D633F4F"/>
    <w:rsid w:val="7D6A601E"/>
    <w:rsid w:val="7D747BAC"/>
    <w:rsid w:val="7D847ACA"/>
    <w:rsid w:val="7DA474E7"/>
    <w:rsid w:val="7DB74763"/>
    <w:rsid w:val="7DBB6758"/>
    <w:rsid w:val="7DBB6A8A"/>
    <w:rsid w:val="7DBF70DD"/>
    <w:rsid w:val="7DC23446"/>
    <w:rsid w:val="7DD45B5F"/>
    <w:rsid w:val="7DDA1DE0"/>
    <w:rsid w:val="7DE8525B"/>
    <w:rsid w:val="7DED4EC7"/>
    <w:rsid w:val="7DF94488"/>
    <w:rsid w:val="7E01111B"/>
    <w:rsid w:val="7E0E63BD"/>
    <w:rsid w:val="7E293656"/>
    <w:rsid w:val="7E404A21"/>
    <w:rsid w:val="7E457EC1"/>
    <w:rsid w:val="7E565A4B"/>
    <w:rsid w:val="7E5F4093"/>
    <w:rsid w:val="7E665422"/>
    <w:rsid w:val="7E6E4F6B"/>
    <w:rsid w:val="7E936CFF"/>
    <w:rsid w:val="7E9B5AE7"/>
    <w:rsid w:val="7EB2322F"/>
    <w:rsid w:val="7EB81511"/>
    <w:rsid w:val="7EB86264"/>
    <w:rsid w:val="7EC67F4B"/>
    <w:rsid w:val="7ED56104"/>
    <w:rsid w:val="7ED76B56"/>
    <w:rsid w:val="7ED7FC1F"/>
    <w:rsid w:val="7EDFD456"/>
    <w:rsid w:val="7EE437DA"/>
    <w:rsid w:val="7F196938"/>
    <w:rsid w:val="7F1C6F81"/>
    <w:rsid w:val="7F2C4864"/>
    <w:rsid w:val="7F2D333B"/>
    <w:rsid w:val="7F3563D6"/>
    <w:rsid w:val="7F3B68AE"/>
    <w:rsid w:val="7F435B4E"/>
    <w:rsid w:val="7F49147B"/>
    <w:rsid w:val="7F4B474E"/>
    <w:rsid w:val="7F59588E"/>
    <w:rsid w:val="7F6D490D"/>
    <w:rsid w:val="7F6F1244"/>
    <w:rsid w:val="7F7465EF"/>
    <w:rsid w:val="7F75B3C6"/>
    <w:rsid w:val="7F7C7D0A"/>
    <w:rsid w:val="7F7E0DE1"/>
    <w:rsid w:val="7F7F0D2F"/>
    <w:rsid w:val="7FAE5F8D"/>
    <w:rsid w:val="7FD0249F"/>
    <w:rsid w:val="7FD72BF9"/>
    <w:rsid w:val="7FD7BCBF"/>
    <w:rsid w:val="7FD840FD"/>
    <w:rsid w:val="7FDC12CB"/>
    <w:rsid w:val="7FDE1A48"/>
    <w:rsid w:val="7FF64583"/>
    <w:rsid w:val="7FFBC6E9"/>
    <w:rsid w:val="7FFCC361"/>
    <w:rsid w:val="7FFD82D1"/>
    <w:rsid w:val="7FFD92C3"/>
    <w:rsid w:val="7FFEEA46"/>
    <w:rsid w:val="8EBAB43C"/>
    <w:rsid w:val="97CB90D5"/>
    <w:rsid w:val="97FCA397"/>
    <w:rsid w:val="9EFFD668"/>
    <w:rsid w:val="9FF72599"/>
    <w:rsid w:val="9FFD5373"/>
    <w:rsid w:val="A42D7E50"/>
    <w:rsid w:val="AFFEAECB"/>
    <w:rsid w:val="B2B7F7E8"/>
    <w:rsid w:val="B75EE646"/>
    <w:rsid w:val="BEFB3419"/>
    <w:rsid w:val="BF7D4C65"/>
    <w:rsid w:val="BFD53FAF"/>
    <w:rsid w:val="CF9EEBD9"/>
    <w:rsid w:val="D7500047"/>
    <w:rsid w:val="DBFB7AB6"/>
    <w:rsid w:val="DDACE67E"/>
    <w:rsid w:val="DEDA76AE"/>
    <w:rsid w:val="DF678791"/>
    <w:rsid w:val="DF7849FB"/>
    <w:rsid w:val="DFFB5B67"/>
    <w:rsid w:val="DFFBBD63"/>
    <w:rsid w:val="E39BC6A6"/>
    <w:rsid w:val="E3F5A11C"/>
    <w:rsid w:val="E7AFC96C"/>
    <w:rsid w:val="E7FD82F4"/>
    <w:rsid w:val="E8AF6A23"/>
    <w:rsid w:val="EDF3EA5E"/>
    <w:rsid w:val="EF8F3509"/>
    <w:rsid w:val="EFE750C9"/>
    <w:rsid w:val="EFEDB8D9"/>
    <w:rsid w:val="EFF39DC9"/>
    <w:rsid w:val="EFF6744E"/>
    <w:rsid w:val="EFF9A840"/>
    <w:rsid w:val="F36AAEC6"/>
    <w:rsid w:val="F3FFD40F"/>
    <w:rsid w:val="F5DC7B91"/>
    <w:rsid w:val="F777018C"/>
    <w:rsid w:val="F8FEFF22"/>
    <w:rsid w:val="F97E4D84"/>
    <w:rsid w:val="FB386CBC"/>
    <w:rsid w:val="FBDF1088"/>
    <w:rsid w:val="FBF3C38A"/>
    <w:rsid w:val="FBF7C11D"/>
    <w:rsid w:val="FBF90B7B"/>
    <w:rsid w:val="FBFD453D"/>
    <w:rsid w:val="FCD71B72"/>
    <w:rsid w:val="FCEB56B0"/>
    <w:rsid w:val="FCFFEEA7"/>
    <w:rsid w:val="FD37A9F2"/>
    <w:rsid w:val="FD6DDF7A"/>
    <w:rsid w:val="FD9F37F3"/>
    <w:rsid w:val="FDAFF062"/>
    <w:rsid w:val="FDB7836A"/>
    <w:rsid w:val="FDEB7848"/>
    <w:rsid w:val="FEBE32DA"/>
    <w:rsid w:val="FEC6D451"/>
    <w:rsid w:val="FF5E35F2"/>
    <w:rsid w:val="FF6EE9ED"/>
    <w:rsid w:val="FF723FE7"/>
    <w:rsid w:val="FF764EE5"/>
    <w:rsid w:val="FF7F83CE"/>
    <w:rsid w:val="FFE3418C"/>
    <w:rsid w:val="FFE78422"/>
    <w:rsid w:val="FFEB0563"/>
    <w:rsid w:val="FFEFB105"/>
    <w:rsid w:val="FFFD18FB"/>
    <w:rsid w:val="FFFF9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99"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qFormat="1" w:uiPriority="99"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name="Body Text First Indent 2"/>
    <w:lsdException w:uiPriority="99" w:name="Note Heading"/>
    <w:lsdException w:qFormat="1" w:uiPriority="99" w:semiHidden="0" w:name="Body Text 2"/>
    <w:lsdException w:qFormat="1" w:unhideWhenUsed="0" w:uiPriority="0" w:semiHidden="0"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6"/>
    <w:link w:val="97"/>
    <w:autoRedefine/>
    <w:qFormat/>
    <w:uiPriority w:val="9"/>
    <w:pPr>
      <w:keepNext/>
      <w:keepLines/>
      <w:spacing w:before="340" w:after="330" w:line="576" w:lineRule="auto"/>
      <w:outlineLvl w:val="0"/>
    </w:pPr>
    <w:rPr>
      <w:b/>
      <w:bCs/>
      <w:kern w:val="44"/>
      <w:sz w:val="44"/>
      <w:szCs w:val="44"/>
    </w:rPr>
  </w:style>
  <w:style w:type="paragraph" w:styleId="6">
    <w:name w:val="heading 2"/>
    <w:basedOn w:val="1"/>
    <w:next w:val="7"/>
    <w:link w:val="83"/>
    <w:autoRedefine/>
    <w:qFormat/>
    <w:uiPriority w:val="9"/>
    <w:pPr>
      <w:keepNext/>
      <w:keepLines/>
      <w:spacing w:before="260" w:after="260" w:line="416" w:lineRule="auto"/>
      <w:outlineLvl w:val="1"/>
    </w:pPr>
    <w:rPr>
      <w:rFonts w:ascii="Calibri Light" w:hAnsi="Calibri Light"/>
      <w:b/>
      <w:bCs/>
      <w:sz w:val="32"/>
      <w:szCs w:val="32"/>
    </w:rPr>
  </w:style>
  <w:style w:type="paragraph" w:styleId="7">
    <w:name w:val="heading 3"/>
    <w:basedOn w:val="1"/>
    <w:next w:val="1"/>
    <w:link w:val="88"/>
    <w:autoRedefine/>
    <w:qFormat/>
    <w:uiPriority w:val="9"/>
    <w:pPr>
      <w:keepNext/>
      <w:keepLines/>
      <w:spacing w:before="260" w:after="260" w:line="416" w:lineRule="auto"/>
      <w:outlineLvl w:val="2"/>
    </w:pPr>
    <w:rPr>
      <w:b/>
      <w:bCs/>
      <w:sz w:val="32"/>
      <w:szCs w:val="32"/>
    </w:rPr>
  </w:style>
  <w:style w:type="paragraph" w:styleId="8">
    <w:name w:val="heading 4"/>
    <w:basedOn w:val="1"/>
    <w:next w:val="1"/>
    <w:autoRedefine/>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95"/>
    <w:autoRedefine/>
    <w:unhideWhenUsed/>
    <w:qFormat/>
    <w:uiPriority w:val="99"/>
    <w:pPr>
      <w:spacing w:after="120"/>
    </w:pPr>
  </w:style>
  <w:style w:type="paragraph" w:styleId="3">
    <w:name w:val="Body Text 2"/>
    <w:basedOn w:val="1"/>
    <w:next w:val="4"/>
    <w:link w:val="93"/>
    <w:autoRedefine/>
    <w:unhideWhenUsed/>
    <w:qFormat/>
    <w:uiPriority w:val="99"/>
    <w:pPr>
      <w:spacing w:after="120" w:line="480" w:lineRule="auto"/>
    </w:pPr>
  </w:style>
  <w:style w:type="paragraph" w:styleId="4">
    <w:name w:val="toc 9"/>
    <w:basedOn w:val="1"/>
    <w:next w:val="1"/>
    <w:qFormat/>
    <w:uiPriority w:val="0"/>
    <w:pPr>
      <w:wordWrap w:val="0"/>
      <w:ind w:left="1183"/>
      <w:jc w:val="both"/>
    </w:pPr>
    <w:rPr>
      <w:rFonts w:ascii="Times New Roman" w:hAnsi="Times New Roman"/>
      <w:lang w:val="en-US" w:eastAsia="zh-CN" w:bidi="ar-SA"/>
    </w:rPr>
  </w:style>
  <w:style w:type="paragraph" w:styleId="9">
    <w:name w:val="table of authorities"/>
    <w:basedOn w:val="1"/>
    <w:next w:val="1"/>
    <w:autoRedefine/>
    <w:unhideWhenUsed/>
    <w:qFormat/>
    <w:uiPriority w:val="99"/>
    <w:pPr>
      <w:ind w:left="420"/>
    </w:pPr>
  </w:style>
  <w:style w:type="paragraph" w:styleId="10">
    <w:name w:val="Normal Indent"/>
    <w:basedOn w:val="1"/>
    <w:next w:val="11"/>
    <w:autoRedefine/>
    <w:unhideWhenUsed/>
    <w:qFormat/>
    <w:uiPriority w:val="99"/>
    <w:pPr>
      <w:spacing w:line="360" w:lineRule="auto"/>
      <w:ind w:firstLine="454"/>
    </w:pPr>
    <w:rPr>
      <w:sz w:val="24"/>
      <w:szCs w:val="20"/>
    </w:rPr>
  </w:style>
  <w:style w:type="paragraph" w:styleId="11">
    <w:name w:val="header"/>
    <w:basedOn w:val="1"/>
    <w:next w:val="12"/>
    <w:link w:val="8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annotation text"/>
    <w:basedOn w:val="1"/>
    <w:link w:val="98"/>
    <w:autoRedefine/>
    <w:semiHidden/>
    <w:qFormat/>
    <w:uiPriority w:val="0"/>
    <w:pPr>
      <w:jc w:val="left"/>
    </w:pPr>
  </w:style>
  <w:style w:type="paragraph" w:styleId="13">
    <w:name w:val="Document Map"/>
    <w:basedOn w:val="1"/>
    <w:link w:val="70"/>
    <w:autoRedefine/>
    <w:qFormat/>
    <w:uiPriority w:val="0"/>
    <w:pPr>
      <w:shd w:val="clear" w:color="auto" w:fill="000080"/>
    </w:pPr>
  </w:style>
  <w:style w:type="paragraph" w:styleId="14">
    <w:name w:val="toa heading"/>
    <w:basedOn w:val="1"/>
    <w:next w:val="1"/>
    <w:autoRedefine/>
    <w:qFormat/>
    <w:uiPriority w:val="0"/>
    <w:pPr>
      <w:spacing w:before="120"/>
    </w:pPr>
    <w:rPr>
      <w:rFonts w:ascii="Arial" w:hAnsi="Arial" w:cs="Arial"/>
      <w:sz w:val="24"/>
    </w:rPr>
  </w:style>
  <w:style w:type="paragraph" w:styleId="15">
    <w:name w:val="Body Text 3"/>
    <w:next w:val="16"/>
    <w:autoRedefine/>
    <w:qFormat/>
    <w:uiPriority w:val="0"/>
    <w:pPr>
      <w:widowControl w:val="0"/>
      <w:spacing w:after="120"/>
      <w:ind w:firstLine="3584"/>
      <w:jc w:val="both"/>
    </w:pPr>
    <w:rPr>
      <w:rFonts w:ascii="Times New Roman" w:hAnsi="Times New Roman" w:eastAsia="宋体" w:cs="Times New Roman"/>
      <w:kern w:val="2"/>
      <w:sz w:val="21"/>
      <w:szCs w:val="24"/>
      <w:lang w:val="en-US" w:eastAsia="zh-CN" w:bidi="ar-SA"/>
    </w:rPr>
  </w:style>
  <w:style w:type="paragraph" w:styleId="16">
    <w:name w:val="Balloon Text"/>
    <w:basedOn w:val="1"/>
    <w:next w:val="1"/>
    <w:link w:val="92"/>
    <w:autoRedefine/>
    <w:unhideWhenUsed/>
    <w:qFormat/>
    <w:uiPriority w:val="99"/>
    <w:rPr>
      <w:sz w:val="18"/>
      <w:szCs w:val="18"/>
    </w:rPr>
  </w:style>
  <w:style w:type="paragraph" w:styleId="17">
    <w:name w:val="Body Text Indent"/>
    <w:basedOn w:val="1"/>
    <w:link w:val="86"/>
    <w:autoRedefine/>
    <w:qFormat/>
    <w:uiPriority w:val="0"/>
    <w:pPr>
      <w:ind w:firstLine="560" w:firstLineChars="200"/>
    </w:pPr>
    <w:rPr>
      <w:sz w:val="24"/>
    </w:rPr>
  </w:style>
  <w:style w:type="paragraph" w:styleId="18">
    <w:name w:val="List 2"/>
    <w:basedOn w:val="1"/>
    <w:autoRedefine/>
    <w:qFormat/>
    <w:uiPriority w:val="0"/>
    <w:pPr>
      <w:ind w:left="100" w:leftChars="200" w:hanging="200" w:hangingChars="200"/>
    </w:pPr>
    <w:rPr>
      <w:rFonts w:ascii="Times New Roman" w:hAnsi="Times New Roman" w:eastAsia="宋体" w:cs="Times New Roman"/>
      <w:szCs w:val="24"/>
    </w:rPr>
  </w:style>
  <w:style w:type="paragraph" w:styleId="19">
    <w:name w:val="List Continue"/>
    <w:basedOn w:val="1"/>
    <w:autoRedefine/>
    <w:unhideWhenUsed/>
    <w:qFormat/>
    <w:uiPriority w:val="99"/>
    <w:pPr>
      <w:widowControl/>
      <w:spacing w:after="119" w:line="351" w:lineRule="atLeast"/>
      <w:ind w:firstLine="419"/>
    </w:pPr>
    <w:rPr>
      <w:rFonts w:ascii="仿宋_GB2312" w:eastAsia="仿宋_GB2312"/>
      <w:color w:val="000000"/>
      <w:sz w:val="28"/>
    </w:rPr>
  </w:style>
  <w:style w:type="paragraph" w:styleId="20">
    <w:name w:val="Plain Text"/>
    <w:basedOn w:val="1"/>
    <w:next w:val="1"/>
    <w:link w:val="76"/>
    <w:autoRedefine/>
    <w:unhideWhenUsed/>
    <w:qFormat/>
    <w:uiPriority w:val="0"/>
    <w:rPr>
      <w:rFonts w:ascii="宋体" w:hAnsi="Courier New"/>
      <w:szCs w:val="20"/>
    </w:rPr>
  </w:style>
  <w:style w:type="paragraph" w:styleId="21">
    <w:name w:val="Date"/>
    <w:basedOn w:val="1"/>
    <w:next w:val="1"/>
    <w:link w:val="91"/>
    <w:autoRedefine/>
    <w:qFormat/>
    <w:uiPriority w:val="0"/>
  </w:style>
  <w:style w:type="paragraph" w:styleId="22">
    <w:name w:val="Body Text Indent 2"/>
    <w:basedOn w:val="1"/>
    <w:link w:val="94"/>
    <w:autoRedefine/>
    <w:unhideWhenUsed/>
    <w:qFormat/>
    <w:uiPriority w:val="99"/>
    <w:pPr>
      <w:spacing w:after="120" w:line="480" w:lineRule="auto"/>
      <w:ind w:left="420" w:leftChars="200"/>
    </w:pPr>
  </w:style>
  <w:style w:type="paragraph" w:styleId="23">
    <w:name w:val="footer"/>
    <w:basedOn w:val="1"/>
    <w:next w:val="1"/>
    <w:link w:val="84"/>
    <w:autoRedefine/>
    <w:qFormat/>
    <w:uiPriority w:val="99"/>
    <w:pPr>
      <w:tabs>
        <w:tab w:val="center" w:pos="4153"/>
        <w:tab w:val="right" w:pos="8306"/>
      </w:tabs>
      <w:snapToGrid w:val="0"/>
      <w:jc w:val="left"/>
    </w:pPr>
    <w:rPr>
      <w:sz w:val="18"/>
      <w:szCs w:val="18"/>
    </w:rPr>
  </w:style>
  <w:style w:type="paragraph" w:styleId="24">
    <w:name w:val="toc 1"/>
    <w:basedOn w:val="1"/>
    <w:next w:val="1"/>
    <w:autoRedefine/>
    <w:qFormat/>
    <w:uiPriority w:val="0"/>
    <w:pPr>
      <w:spacing w:after="7" w:line="257" w:lineRule="auto"/>
      <w:ind w:left="15" w:right="134" w:firstLine="62"/>
    </w:pPr>
    <w:rPr>
      <w:rFonts w:eastAsia="Calibri" w:cs="Calibri"/>
      <w:color w:val="000000"/>
      <w:szCs w:val="22"/>
    </w:rPr>
  </w:style>
  <w:style w:type="paragraph" w:styleId="25">
    <w:name w:val="Subtitle"/>
    <w:basedOn w:val="1"/>
    <w:next w:val="1"/>
    <w:link w:val="90"/>
    <w:autoRedefine/>
    <w:qFormat/>
    <w:uiPriority w:val="11"/>
    <w:pPr>
      <w:adjustRightInd w:val="0"/>
      <w:snapToGrid w:val="0"/>
      <w:spacing w:beforeLines="10" w:line="300" w:lineRule="auto"/>
      <w:ind w:firstLine="200" w:firstLineChars="200"/>
      <w:outlineLvl w:val="1"/>
    </w:pPr>
    <w:rPr>
      <w:rFonts w:ascii="Cambria" w:hAnsi="Cambria"/>
      <w:b/>
      <w:bCs/>
      <w:kern w:val="28"/>
      <w:sz w:val="28"/>
      <w:szCs w:val="32"/>
    </w:rPr>
  </w:style>
  <w:style w:type="paragraph" w:styleId="26">
    <w:name w:val="toc 2"/>
    <w:basedOn w:val="1"/>
    <w:next w:val="1"/>
    <w:autoRedefine/>
    <w:qFormat/>
    <w:uiPriority w:val="39"/>
    <w:pPr>
      <w:ind w:left="420" w:leftChars="200"/>
    </w:pPr>
    <w:rPr>
      <w:rFonts w:ascii="Times New Roman" w:hAnsi="Times New Roman"/>
    </w:rPr>
  </w:style>
  <w:style w:type="paragraph" w:styleId="27">
    <w:name w:val="HTML Preformatted"/>
    <w:basedOn w:val="1"/>
    <w:next w:val="1"/>
    <w:link w:val="82"/>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8">
    <w:name w:val="Normal (Web)"/>
    <w:basedOn w:val="1"/>
    <w:autoRedefine/>
    <w:qFormat/>
    <w:uiPriority w:val="99"/>
    <w:pPr>
      <w:widowControl/>
      <w:wordWrap w:val="0"/>
      <w:spacing w:before="100" w:beforeAutospacing="1" w:after="100" w:afterAutospacing="1"/>
      <w:jc w:val="left"/>
    </w:pPr>
    <w:rPr>
      <w:rFonts w:ascii="宋体" w:hAnsi="宋体" w:cs="宋体"/>
      <w:kern w:val="0"/>
      <w:sz w:val="24"/>
    </w:rPr>
  </w:style>
  <w:style w:type="paragraph" w:styleId="29">
    <w:name w:val="Title"/>
    <w:basedOn w:val="1"/>
    <w:next w:val="1"/>
    <w:link w:val="87"/>
    <w:autoRedefine/>
    <w:qFormat/>
    <w:uiPriority w:val="10"/>
    <w:pPr>
      <w:spacing w:before="240" w:after="60"/>
      <w:jc w:val="center"/>
      <w:outlineLvl w:val="0"/>
    </w:pPr>
    <w:rPr>
      <w:rFonts w:ascii="Cambria" w:hAnsi="Cambria"/>
      <w:b/>
      <w:bCs/>
      <w:sz w:val="32"/>
      <w:szCs w:val="32"/>
    </w:rPr>
  </w:style>
  <w:style w:type="paragraph" w:styleId="30">
    <w:name w:val="Body Text First Indent"/>
    <w:basedOn w:val="2"/>
    <w:link w:val="79"/>
    <w:autoRedefine/>
    <w:unhideWhenUsed/>
    <w:qFormat/>
    <w:uiPriority w:val="99"/>
    <w:pPr>
      <w:ind w:firstLine="420" w:firstLineChars="100"/>
    </w:pPr>
  </w:style>
  <w:style w:type="paragraph" w:styleId="31">
    <w:name w:val="Body Text First Indent 2"/>
    <w:basedOn w:val="17"/>
    <w:autoRedefine/>
    <w:semiHidden/>
    <w:unhideWhenUsed/>
    <w:qFormat/>
    <w:uiPriority w:val="99"/>
    <w:pPr>
      <w:ind w:firstLine="420" w:firstLineChars="200"/>
    </w:pPr>
  </w:style>
  <w:style w:type="table" w:styleId="33">
    <w:name w:val="Table Grid"/>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kern w:val="0"/>
    </w:rPr>
  </w:style>
  <w:style w:type="character" w:styleId="36">
    <w:name w:val="page number"/>
    <w:basedOn w:val="34"/>
    <w:autoRedefine/>
    <w:qFormat/>
    <w:uiPriority w:val="0"/>
  </w:style>
  <w:style w:type="character" w:styleId="37">
    <w:name w:val="FollowedHyperlink"/>
    <w:basedOn w:val="34"/>
    <w:autoRedefine/>
    <w:unhideWhenUsed/>
    <w:qFormat/>
    <w:uiPriority w:val="99"/>
    <w:rPr>
      <w:color w:val="156356"/>
      <w:u w:val="none"/>
    </w:rPr>
  </w:style>
  <w:style w:type="character" w:styleId="38">
    <w:name w:val="Emphasis"/>
    <w:autoRedefine/>
    <w:qFormat/>
    <w:uiPriority w:val="20"/>
    <w:rPr>
      <w:i/>
      <w:iCs/>
    </w:rPr>
  </w:style>
  <w:style w:type="character" w:styleId="39">
    <w:name w:val="Hyperlink"/>
    <w:autoRedefine/>
    <w:qFormat/>
    <w:uiPriority w:val="0"/>
    <w:rPr>
      <w:color w:val="0368A8"/>
      <w:kern w:val="0"/>
      <w:u w:val="none"/>
    </w:rPr>
  </w:style>
  <w:style w:type="character" w:styleId="40">
    <w:name w:val="HTML Sample"/>
    <w:basedOn w:val="34"/>
    <w:autoRedefine/>
    <w:semiHidden/>
    <w:unhideWhenUsed/>
    <w:qFormat/>
    <w:uiPriority w:val="99"/>
    <w:rPr>
      <w:rFonts w:ascii="Courier New" w:hAnsi="Courier New"/>
    </w:rPr>
  </w:style>
  <w:style w:type="paragraph" w:customStyle="1" w:styleId="41">
    <w:name w:val="正文1"/>
    <w:basedOn w:val="1"/>
    <w:autoRedefine/>
    <w:qFormat/>
    <w:uiPriority w:val="0"/>
    <w:pPr>
      <w:spacing w:line="360" w:lineRule="auto"/>
      <w:ind w:firstLine="480" w:firstLineChars="200"/>
    </w:pPr>
    <w:rPr>
      <w:rFonts w:ascii="宋体" w:hAnsi="宋体" w:eastAsiaTheme="minorEastAsia" w:cstheme="minorBidi"/>
      <w:color w:val="000000"/>
      <w:sz w:val="24"/>
      <w:szCs w:val="28"/>
    </w:rPr>
  </w:style>
  <w:style w:type="paragraph" w:customStyle="1" w:styleId="42">
    <w:name w:val="Style1"/>
    <w:basedOn w:val="1"/>
    <w:autoRedefine/>
    <w:qFormat/>
    <w:uiPriority w:val="99"/>
    <w:pPr>
      <w:tabs>
        <w:tab w:val="left" w:pos="-720"/>
      </w:tabs>
      <w:spacing w:after="120"/>
    </w:pPr>
    <w:rPr>
      <w:spacing w:val="-3"/>
      <w:sz w:val="24"/>
      <w:szCs w:val="20"/>
      <w:lang w:val="en-AU" w:eastAsia="en-US"/>
    </w:rPr>
  </w:style>
  <w:style w:type="paragraph" w:customStyle="1" w:styleId="43">
    <w:name w:val="列出段落11"/>
    <w:basedOn w:val="1"/>
    <w:autoRedefine/>
    <w:qFormat/>
    <w:uiPriority w:val="0"/>
    <w:pPr>
      <w:ind w:firstLine="420" w:firstLineChars="200"/>
    </w:pPr>
    <w:rPr>
      <w:szCs w:val="22"/>
    </w:rPr>
  </w:style>
  <w:style w:type="paragraph" w:customStyle="1" w:styleId="44">
    <w:name w:val="_Style 1"/>
    <w:basedOn w:val="1"/>
    <w:autoRedefine/>
    <w:qFormat/>
    <w:uiPriority w:val="0"/>
  </w:style>
  <w:style w:type="paragraph" w:customStyle="1" w:styleId="45">
    <w:name w:val="p1"/>
    <w:basedOn w:val="1"/>
    <w:autoRedefine/>
    <w:qFormat/>
    <w:uiPriority w:val="0"/>
    <w:pPr>
      <w:widowControl/>
      <w:jc w:val="left"/>
    </w:pPr>
    <w:rPr>
      <w:rFonts w:ascii="Arial" w:hAnsi="Arial" w:eastAsia="等线" w:cs="Arial"/>
      <w:color w:val="333333"/>
      <w:kern w:val="0"/>
      <w:sz w:val="20"/>
      <w:szCs w:val="20"/>
    </w:rPr>
  </w:style>
  <w:style w:type="paragraph" w:customStyle="1" w:styleId="46">
    <w:name w:val="列出段落2"/>
    <w:basedOn w:val="1"/>
    <w:autoRedefine/>
    <w:qFormat/>
    <w:uiPriority w:val="0"/>
    <w:pPr>
      <w:ind w:firstLine="420" w:firstLineChars="200"/>
    </w:pPr>
  </w:style>
  <w:style w:type="paragraph" w:customStyle="1" w:styleId="47">
    <w:name w:val="Agilent Doc Title"/>
    <w:next w:val="1"/>
    <w:autoRedefine/>
    <w:qFormat/>
    <w:uiPriority w:val="0"/>
    <w:pPr>
      <w:widowControl w:val="0"/>
      <w:adjustRightInd w:val="0"/>
      <w:snapToGrid w:val="0"/>
      <w:spacing w:line="276" w:lineRule="auto"/>
      <w:jc w:val="both"/>
    </w:pPr>
    <w:rPr>
      <w:rFonts w:ascii="宋体" w:hAnsi="宋体" w:eastAsia="宋体" w:cs="Times New Roman"/>
      <w:b/>
      <w:sz w:val="24"/>
      <w:szCs w:val="24"/>
      <w:lang w:val="en-US" w:eastAsia="zh-CN" w:bidi="ar-SA"/>
    </w:rPr>
  </w:style>
  <w:style w:type="paragraph" w:customStyle="1" w:styleId="48">
    <w:name w:val="列出段落1"/>
    <w:basedOn w:val="1"/>
    <w:autoRedefine/>
    <w:qFormat/>
    <w:uiPriority w:val="0"/>
    <w:pPr>
      <w:ind w:firstLine="420" w:firstLineChars="200"/>
    </w:pPr>
  </w:style>
  <w:style w:type="paragraph" w:customStyle="1" w:styleId="49">
    <w:name w:val="样式 标题 3h3H3sect1.2.3 + 五号 段前: 6 磅 段后: 6 磅 行距: 单倍行距"/>
    <w:basedOn w:val="7"/>
    <w:autoRedefine/>
    <w:qFormat/>
    <w:uiPriority w:val="0"/>
    <w:pPr>
      <w:spacing w:before="120" w:after="120" w:line="240" w:lineRule="auto"/>
    </w:pPr>
    <w:rPr>
      <w:sz w:val="21"/>
      <w:szCs w:val="20"/>
    </w:rPr>
  </w:style>
  <w:style w:type="paragraph" w:customStyle="1" w:styleId="50">
    <w:name w:val="Char Char Char Char"/>
    <w:basedOn w:val="13"/>
    <w:autoRedefine/>
    <w:qFormat/>
    <w:uiPriority w:val="0"/>
    <w:pPr>
      <w:adjustRightInd w:val="0"/>
      <w:snapToGrid w:val="0"/>
      <w:spacing w:line="360" w:lineRule="auto"/>
    </w:pPr>
    <w:rPr>
      <w:rFonts w:ascii="Tahoma" w:hAnsi="Tahoma"/>
      <w:sz w:val="24"/>
    </w:rPr>
  </w:style>
  <w:style w:type="paragraph" w:customStyle="1" w:styleId="51">
    <w:name w:val="2级正文"/>
    <w:basedOn w:val="1"/>
    <w:autoRedefine/>
    <w:qFormat/>
    <w:uiPriority w:val="0"/>
    <w:pPr>
      <w:ind w:left="721" w:hanging="420"/>
      <w:jc w:val="left"/>
    </w:pPr>
    <w:rPr>
      <w:rFonts w:ascii="宋体" w:hAnsi="宋体" w:cs="宋体"/>
      <w:szCs w:val="21"/>
    </w:rPr>
  </w:style>
  <w:style w:type="paragraph" w:customStyle="1" w:styleId="52">
    <w:name w:val="彩色列表 - 着色 11"/>
    <w:basedOn w:val="1"/>
    <w:autoRedefine/>
    <w:qFormat/>
    <w:uiPriority w:val="34"/>
    <w:pPr>
      <w:ind w:firstLine="420" w:firstLineChars="200"/>
    </w:pPr>
  </w:style>
  <w:style w:type="paragraph" w:customStyle="1" w:styleId="53">
    <w:name w:val="列表段落1"/>
    <w:basedOn w:val="1"/>
    <w:autoRedefine/>
    <w:qFormat/>
    <w:uiPriority w:val="34"/>
    <w:pPr>
      <w:ind w:firstLine="420" w:firstLineChars="200"/>
    </w:pPr>
    <w:rPr>
      <w:szCs w:val="22"/>
    </w:rPr>
  </w:style>
  <w:style w:type="paragraph" w:customStyle="1" w:styleId="54">
    <w:name w:val="font0"/>
    <w:basedOn w:val="1"/>
    <w:autoRedefine/>
    <w:qFormat/>
    <w:uiPriority w:val="0"/>
    <w:pPr>
      <w:widowControl/>
      <w:spacing w:before="100" w:beforeAutospacing="1" w:after="100" w:afterAutospacing="1"/>
      <w:jc w:val="left"/>
    </w:pPr>
    <w:rPr>
      <w:rFonts w:hint="eastAsia" w:ascii="宋体" w:hAnsi="宋体" w:cs="黑体"/>
      <w:kern w:val="0"/>
      <w:sz w:val="24"/>
      <w:lang w:bidi="bo-CN"/>
    </w:rPr>
  </w:style>
  <w:style w:type="paragraph" w:customStyle="1" w:styleId="55">
    <w:name w:val="型号"/>
    <w:basedOn w:val="1"/>
    <w:autoRedefine/>
    <w:qFormat/>
    <w:uiPriority w:val="0"/>
    <w:pPr>
      <w:ind w:left="357"/>
      <w:jc w:val="left"/>
    </w:pPr>
    <w:rPr>
      <w:rFonts w:ascii="宋体" w:hAnsi="宋体"/>
      <w:sz w:val="18"/>
      <w:szCs w:val="18"/>
    </w:rPr>
  </w:style>
  <w:style w:type="paragraph" w:customStyle="1" w:styleId="56">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8">
    <w:name w:val="Char Char"/>
    <w:basedOn w:val="1"/>
    <w:autoRedefine/>
    <w:qFormat/>
    <w:uiPriority w:val="0"/>
    <w:rPr>
      <w:rFonts w:eastAsia="Times New Roman"/>
      <w:kern w:val="0"/>
      <w:sz w:val="20"/>
      <w:szCs w:val="20"/>
    </w:rPr>
  </w:style>
  <w:style w:type="paragraph" w:customStyle="1" w:styleId="59">
    <w:name w:val="样式"/>
    <w:autoRedefine/>
    <w:qFormat/>
    <w:uiPriority w:val="0"/>
    <w:pPr>
      <w:widowControl w:val="0"/>
      <w:autoSpaceDE w:val="0"/>
      <w:autoSpaceDN w:val="0"/>
      <w:adjustRightInd w:val="0"/>
    </w:pPr>
    <w:rPr>
      <w:rFonts w:ascii="Calibri" w:hAnsi="Calibri" w:eastAsia="宋体" w:cs="Times New Roman"/>
      <w:sz w:val="24"/>
      <w:lang w:val="en-US" w:eastAsia="zh-CN" w:bidi="ar-SA"/>
    </w:rPr>
  </w:style>
  <w:style w:type="paragraph" w:customStyle="1" w:styleId="60">
    <w:name w:val="正文－恩普"/>
    <w:basedOn w:val="10"/>
    <w:autoRedefine/>
    <w:qFormat/>
    <w:uiPriority w:val="0"/>
    <w:pPr>
      <w:widowControl/>
      <w:spacing w:after="156" w:afterLines="50"/>
      <w:ind w:firstLine="480" w:firstLineChars="200"/>
      <w:jc w:val="left"/>
    </w:pPr>
    <w:rPr>
      <w:kern w:val="0"/>
    </w:rPr>
  </w:style>
  <w:style w:type="paragraph" w:customStyle="1" w:styleId="61">
    <w:name w:val="样式 标题 2 + 宋体 五号 非加粗 黑色"/>
    <w:basedOn w:val="6"/>
    <w:autoRedefine/>
    <w:qFormat/>
    <w:uiPriority w:val="0"/>
    <w:pPr>
      <w:spacing w:line="416" w:lineRule="atLeast"/>
    </w:pPr>
    <w:rPr>
      <w:rFonts w:ascii="宋体" w:hAnsi="宋体"/>
      <w:b w:val="0"/>
      <w:bCs w:val="0"/>
      <w:color w:val="000000"/>
      <w:sz w:val="21"/>
    </w:rPr>
  </w:style>
  <w:style w:type="paragraph" w:customStyle="1" w:styleId="62">
    <w:name w:val="彩色列表 - 着色 12"/>
    <w:basedOn w:val="1"/>
    <w:autoRedefine/>
    <w:qFormat/>
    <w:uiPriority w:val="34"/>
    <w:pPr>
      <w:ind w:firstLine="420" w:firstLineChars="200"/>
    </w:pPr>
    <w:rPr>
      <w:szCs w:val="22"/>
    </w:rPr>
  </w:style>
  <w:style w:type="paragraph" w:customStyle="1" w:styleId="63">
    <w:name w:val="无间隔1"/>
    <w:autoRedefine/>
    <w:qFormat/>
    <w:uiPriority w:val="1"/>
    <w:pPr>
      <w:widowControl w:val="0"/>
      <w:jc w:val="both"/>
    </w:pPr>
    <w:rPr>
      <w:rFonts w:ascii="Calibri" w:hAnsi="Calibri" w:eastAsia="宋体" w:cs="Times New Roman"/>
      <w:kern w:val="2"/>
      <w:sz w:val="21"/>
      <w:szCs w:val="24"/>
      <w:lang w:val="en-US" w:eastAsia="zh-CN" w:bidi="ar-SA"/>
    </w:rPr>
  </w:style>
  <w:style w:type="paragraph" w:customStyle="1" w:styleId="64">
    <w:name w:val="样式1"/>
    <w:basedOn w:val="1"/>
    <w:autoRedefine/>
    <w:qFormat/>
    <w:uiPriority w:val="0"/>
    <w:pPr>
      <w:jc w:val="center"/>
    </w:pPr>
    <w:rPr>
      <w:rFonts w:ascii="宋体" w:hAnsi="宋体"/>
      <w:sz w:val="30"/>
      <w:szCs w:val="28"/>
    </w:rPr>
  </w:style>
  <w:style w:type="paragraph" w:customStyle="1" w:styleId="65">
    <w:name w:val="普通(网站)1"/>
    <w:basedOn w:val="1"/>
    <w:autoRedefine/>
    <w:qFormat/>
    <w:uiPriority w:val="0"/>
    <w:pPr>
      <w:widowControl/>
      <w:spacing w:before="100" w:beforeAutospacing="1" w:after="100" w:afterAutospacing="1"/>
      <w:jc w:val="left"/>
    </w:pPr>
    <w:rPr>
      <w:rFonts w:hint="eastAsia" w:ascii="宋体" w:hAnsi="宋体"/>
      <w:sz w:val="24"/>
      <w:szCs w:val="20"/>
    </w:rPr>
  </w:style>
  <w:style w:type="paragraph" w:customStyle="1" w:styleId="66">
    <w:name w:val="UserStyle_38"/>
    <w:basedOn w:val="67"/>
    <w:autoRedefine/>
    <w:qFormat/>
    <w:uiPriority w:val="0"/>
    <w:pPr>
      <w:spacing w:line="416" w:lineRule="atLeast"/>
    </w:pPr>
    <w:rPr>
      <w:rFonts w:ascii="宋体" w:hAnsi="宋体"/>
      <w:b w:val="0"/>
      <w:bCs w:val="0"/>
      <w:color w:val="000000"/>
      <w:sz w:val="21"/>
    </w:rPr>
  </w:style>
  <w:style w:type="paragraph" w:customStyle="1" w:styleId="67">
    <w:name w:val="Heading2"/>
    <w:basedOn w:val="1"/>
    <w:next w:val="1"/>
    <w:autoRedefine/>
    <w:qFormat/>
    <w:uiPriority w:val="0"/>
    <w:pPr>
      <w:keepNext/>
      <w:keepLines/>
      <w:spacing w:before="260" w:after="260" w:line="416" w:lineRule="auto"/>
      <w:textAlignment w:val="baseline"/>
    </w:pPr>
    <w:rPr>
      <w:rFonts w:ascii="Calibri Light" w:hAnsi="Calibri Light"/>
      <w:b/>
      <w:bCs/>
      <w:kern w:val="0"/>
      <w:sz w:val="32"/>
      <w:szCs w:val="32"/>
    </w:rPr>
  </w:style>
  <w:style w:type="character" w:customStyle="1" w:styleId="68">
    <w:name w:val="页脚 Char"/>
    <w:autoRedefine/>
    <w:qFormat/>
    <w:uiPriority w:val="99"/>
    <w:rPr>
      <w:rFonts w:ascii="Times New Roman" w:hAnsi="Times New Roman"/>
      <w:kern w:val="2"/>
      <w:sz w:val="18"/>
      <w:szCs w:val="18"/>
    </w:rPr>
  </w:style>
  <w:style w:type="character" w:customStyle="1" w:styleId="69">
    <w:name w:val="apple-converted-space"/>
    <w:basedOn w:val="34"/>
    <w:autoRedefine/>
    <w:qFormat/>
    <w:uiPriority w:val="0"/>
  </w:style>
  <w:style w:type="character" w:customStyle="1" w:styleId="70">
    <w:name w:val="文档结构图 Char"/>
    <w:link w:val="13"/>
    <w:autoRedefine/>
    <w:qFormat/>
    <w:uiPriority w:val="0"/>
    <w:rPr>
      <w:rFonts w:ascii="Times New Roman" w:hAnsi="Times New Roman" w:eastAsia="宋体" w:cs="Times New Roman"/>
      <w:szCs w:val="24"/>
      <w:shd w:val="clear" w:color="auto" w:fill="000080"/>
    </w:rPr>
  </w:style>
  <w:style w:type="character" w:customStyle="1" w:styleId="71">
    <w:name w:val="font112"/>
    <w:basedOn w:val="34"/>
    <w:autoRedefine/>
    <w:qFormat/>
    <w:uiPriority w:val="0"/>
    <w:rPr>
      <w:rFonts w:hint="default" w:ascii="Times New Roman" w:hAnsi="Times New Roman" w:cs="Times New Roman"/>
      <w:color w:val="FF0000"/>
      <w:sz w:val="20"/>
      <w:szCs w:val="20"/>
      <w:u w:val="none"/>
    </w:rPr>
  </w:style>
  <w:style w:type="character" w:customStyle="1" w:styleId="72">
    <w:name w:val="fontstyle01"/>
    <w:autoRedefine/>
    <w:qFormat/>
    <w:uiPriority w:val="0"/>
    <w:rPr>
      <w:rFonts w:hint="eastAsia" w:ascii="宋体" w:hAnsi="宋体" w:eastAsia="宋体"/>
      <w:color w:val="000000"/>
      <w:sz w:val="22"/>
      <w:szCs w:val="22"/>
    </w:rPr>
  </w:style>
  <w:style w:type="character" w:customStyle="1" w:styleId="73">
    <w:name w:val="px_10"/>
    <w:basedOn w:val="34"/>
    <w:autoRedefine/>
    <w:qFormat/>
    <w:uiPriority w:val="0"/>
  </w:style>
  <w:style w:type="character" w:customStyle="1" w:styleId="74">
    <w:name w:val="font11"/>
    <w:autoRedefine/>
    <w:qFormat/>
    <w:uiPriority w:val="0"/>
    <w:rPr>
      <w:rFonts w:hint="eastAsia" w:ascii="宋体" w:hAnsi="宋体" w:eastAsia="宋体" w:cs="宋体"/>
      <w:color w:val="000000"/>
      <w:kern w:val="0"/>
      <w:sz w:val="18"/>
      <w:szCs w:val="18"/>
      <w:u w:val="none"/>
    </w:rPr>
  </w:style>
  <w:style w:type="character" w:customStyle="1" w:styleId="75">
    <w:name w:val="font31"/>
    <w:basedOn w:val="34"/>
    <w:autoRedefine/>
    <w:qFormat/>
    <w:uiPriority w:val="0"/>
    <w:rPr>
      <w:rFonts w:hint="eastAsia" w:ascii="宋体" w:hAnsi="宋体" w:eastAsia="宋体" w:cs="宋体"/>
      <w:color w:val="FF0000"/>
      <w:sz w:val="20"/>
      <w:szCs w:val="20"/>
      <w:u w:val="none"/>
    </w:rPr>
  </w:style>
  <w:style w:type="character" w:customStyle="1" w:styleId="76">
    <w:name w:val="纯文本 Char"/>
    <w:link w:val="20"/>
    <w:autoRedefine/>
    <w:qFormat/>
    <w:uiPriority w:val="0"/>
    <w:rPr>
      <w:rFonts w:ascii="宋体" w:hAnsi="Courier New" w:eastAsia="宋体" w:cs="Times New Roman"/>
      <w:szCs w:val="20"/>
    </w:rPr>
  </w:style>
  <w:style w:type="character" w:customStyle="1" w:styleId="77">
    <w:name w:val="font01"/>
    <w:autoRedefine/>
    <w:qFormat/>
    <w:uiPriority w:val="0"/>
    <w:rPr>
      <w:rFonts w:hint="eastAsia" w:ascii="宋体" w:hAnsi="宋体" w:eastAsia="宋体" w:cs="宋体"/>
      <w:color w:val="FF0000"/>
      <w:kern w:val="0"/>
      <w:sz w:val="18"/>
      <w:szCs w:val="18"/>
      <w:u w:val="none"/>
    </w:rPr>
  </w:style>
  <w:style w:type="character" w:customStyle="1" w:styleId="78">
    <w:name w:val="15"/>
    <w:basedOn w:val="34"/>
    <w:autoRedefine/>
    <w:qFormat/>
    <w:uiPriority w:val="0"/>
  </w:style>
  <w:style w:type="character" w:customStyle="1" w:styleId="79">
    <w:name w:val="正文首行缩进 Char"/>
    <w:link w:val="30"/>
    <w:autoRedefine/>
    <w:qFormat/>
    <w:uiPriority w:val="99"/>
    <w:rPr>
      <w:rFonts w:ascii="Times New Roman" w:hAnsi="Times New Roman" w:eastAsia="宋体" w:cs="Times New Roman"/>
      <w:szCs w:val="24"/>
    </w:rPr>
  </w:style>
  <w:style w:type="character" w:customStyle="1" w:styleId="80">
    <w:name w:val="批注框文本 Char"/>
    <w:autoRedefine/>
    <w:semiHidden/>
    <w:qFormat/>
    <w:uiPriority w:val="99"/>
    <w:rPr>
      <w:rFonts w:ascii="Times New Roman" w:hAnsi="Times New Roman"/>
      <w:kern w:val="2"/>
      <w:sz w:val="18"/>
      <w:szCs w:val="18"/>
    </w:rPr>
  </w:style>
  <w:style w:type="character" w:customStyle="1" w:styleId="81">
    <w:name w:val="apple-style-span"/>
    <w:basedOn w:val="34"/>
    <w:autoRedefine/>
    <w:qFormat/>
    <w:uiPriority w:val="0"/>
  </w:style>
  <w:style w:type="character" w:customStyle="1" w:styleId="82">
    <w:name w:val="HTML 预设格式 Char"/>
    <w:link w:val="27"/>
    <w:autoRedefine/>
    <w:qFormat/>
    <w:uiPriority w:val="99"/>
    <w:rPr>
      <w:rFonts w:ascii="Arial" w:hAnsi="Arial" w:eastAsia="宋体" w:cs="Arial"/>
      <w:kern w:val="0"/>
      <w:szCs w:val="21"/>
    </w:rPr>
  </w:style>
  <w:style w:type="character" w:customStyle="1" w:styleId="83">
    <w:name w:val="标题 2 Char"/>
    <w:link w:val="6"/>
    <w:autoRedefine/>
    <w:qFormat/>
    <w:uiPriority w:val="9"/>
    <w:rPr>
      <w:rFonts w:ascii="Calibri Light" w:hAnsi="Calibri Light" w:eastAsia="宋体" w:cs="Times New Roman"/>
      <w:b/>
      <w:bCs/>
      <w:sz w:val="32"/>
      <w:szCs w:val="32"/>
    </w:rPr>
  </w:style>
  <w:style w:type="character" w:customStyle="1" w:styleId="84">
    <w:name w:val="页脚 Char1"/>
    <w:link w:val="23"/>
    <w:autoRedefine/>
    <w:qFormat/>
    <w:uiPriority w:val="99"/>
    <w:rPr>
      <w:rFonts w:ascii="Times New Roman" w:hAnsi="Times New Roman" w:eastAsia="宋体" w:cs="Times New Roman"/>
      <w:sz w:val="18"/>
      <w:szCs w:val="18"/>
    </w:rPr>
  </w:style>
  <w:style w:type="character" w:customStyle="1" w:styleId="85">
    <w:name w:val="页眉 Char1"/>
    <w:link w:val="11"/>
    <w:autoRedefine/>
    <w:qFormat/>
    <w:uiPriority w:val="99"/>
    <w:rPr>
      <w:rFonts w:ascii="Times New Roman" w:hAnsi="Times New Roman" w:eastAsia="宋体" w:cs="Times New Roman"/>
      <w:sz w:val="18"/>
      <w:szCs w:val="18"/>
    </w:rPr>
  </w:style>
  <w:style w:type="character" w:customStyle="1" w:styleId="86">
    <w:name w:val="正文文本缩进 Char"/>
    <w:link w:val="17"/>
    <w:autoRedefine/>
    <w:qFormat/>
    <w:uiPriority w:val="0"/>
    <w:rPr>
      <w:rFonts w:ascii="Times New Roman" w:hAnsi="Times New Roman" w:eastAsia="宋体" w:cs="Times New Roman"/>
      <w:sz w:val="24"/>
      <w:szCs w:val="24"/>
    </w:rPr>
  </w:style>
  <w:style w:type="character" w:customStyle="1" w:styleId="87">
    <w:name w:val="标题 Char"/>
    <w:link w:val="29"/>
    <w:autoRedefine/>
    <w:qFormat/>
    <w:uiPriority w:val="10"/>
    <w:rPr>
      <w:rFonts w:ascii="Cambria" w:hAnsi="Cambria" w:eastAsia="宋体" w:cs="Times New Roman"/>
      <w:b/>
      <w:bCs/>
      <w:sz w:val="32"/>
      <w:szCs w:val="32"/>
    </w:rPr>
  </w:style>
  <w:style w:type="character" w:customStyle="1" w:styleId="88">
    <w:name w:val="标题 3 Char"/>
    <w:link w:val="7"/>
    <w:autoRedefine/>
    <w:qFormat/>
    <w:uiPriority w:val="9"/>
    <w:rPr>
      <w:rFonts w:ascii="Times New Roman" w:hAnsi="Times New Roman" w:eastAsia="宋体" w:cs="Times New Roman"/>
      <w:b/>
      <w:bCs/>
      <w:sz w:val="32"/>
      <w:szCs w:val="32"/>
    </w:rPr>
  </w:style>
  <w:style w:type="character" w:customStyle="1" w:styleId="89">
    <w:name w:val="font41"/>
    <w:basedOn w:val="34"/>
    <w:autoRedefine/>
    <w:qFormat/>
    <w:uiPriority w:val="0"/>
    <w:rPr>
      <w:rFonts w:hint="default" w:ascii="Times New Roman" w:hAnsi="Times New Roman" w:cs="Times New Roman"/>
      <w:color w:val="000000"/>
      <w:sz w:val="22"/>
      <w:szCs w:val="22"/>
      <w:u w:val="none"/>
    </w:rPr>
  </w:style>
  <w:style w:type="character" w:customStyle="1" w:styleId="90">
    <w:name w:val="副标题 Char"/>
    <w:link w:val="25"/>
    <w:autoRedefine/>
    <w:qFormat/>
    <w:uiPriority w:val="11"/>
    <w:rPr>
      <w:rFonts w:ascii="Cambria" w:hAnsi="Cambria" w:eastAsia="宋体" w:cs="Times New Roman"/>
      <w:b/>
      <w:bCs/>
      <w:kern w:val="28"/>
      <w:sz w:val="28"/>
      <w:szCs w:val="32"/>
    </w:rPr>
  </w:style>
  <w:style w:type="character" w:customStyle="1" w:styleId="91">
    <w:name w:val="日期 Char"/>
    <w:link w:val="21"/>
    <w:autoRedefine/>
    <w:qFormat/>
    <w:uiPriority w:val="0"/>
    <w:rPr>
      <w:rFonts w:ascii="Times New Roman" w:hAnsi="Times New Roman" w:eastAsia="宋体" w:cs="Times New Roman"/>
      <w:szCs w:val="24"/>
    </w:rPr>
  </w:style>
  <w:style w:type="character" w:customStyle="1" w:styleId="92">
    <w:name w:val="批注框文本 Char1"/>
    <w:link w:val="16"/>
    <w:autoRedefine/>
    <w:qFormat/>
    <w:uiPriority w:val="99"/>
    <w:rPr>
      <w:rFonts w:ascii="Times New Roman" w:hAnsi="Times New Roman" w:eastAsia="宋体" w:cs="Times New Roman"/>
      <w:sz w:val="18"/>
      <w:szCs w:val="18"/>
    </w:rPr>
  </w:style>
  <w:style w:type="character" w:customStyle="1" w:styleId="93">
    <w:name w:val="正文文本 2 Char"/>
    <w:link w:val="3"/>
    <w:autoRedefine/>
    <w:qFormat/>
    <w:uiPriority w:val="99"/>
    <w:rPr>
      <w:rFonts w:ascii="Times New Roman" w:hAnsi="Times New Roman" w:eastAsia="宋体" w:cs="Times New Roman"/>
      <w:szCs w:val="24"/>
    </w:rPr>
  </w:style>
  <w:style w:type="character" w:customStyle="1" w:styleId="94">
    <w:name w:val="正文文本缩进 2 Char"/>
    <w:link w:val="22"/>
    <w:autoRedefine/>
    <w:qFormat/>
    <w:uiPriority w:val="99"/>
    <w:rPr>
      <w:rFonts w:ascii="Times New Roman" w:hAnsi="Times New Roman" w:eastAsia="宋体" w:cs="Times New Roman"/>
      <w:szCs w:val="24"/>
    </w:rPr>
  </w:style>
  <w:style w:type="character" w:customStyle="1" w:styleId="95">
    <w:name w:val="正文文本 Char"/>
    <w:link w:val="2"/>
    <w:autoRedefine/>
    <w:semiHidden/>
    <w:qFormat/>
    <w:uiPriority w:val="99"/>
    <w:rPr>
      <w:rFonts w:ascii="Times New Roman" w:hAnsi="Times New Roman" w:eastAsia="宋体" w:cs="Times New Roman"/>
      <w:szCs w:val="24"/>
    </w:rPr>
  </w:style>
  <w:style w:type="character" w:customStyle="1" w:styleId="96">
    <w:name w:val="font61"/>
    <w:basedOn w:val="34"/>
    <w:autoRedefine/>
    <w:qFormat/>
    <w:uiPriority w:val="0"/>
    <w:rPr>
      <w:rFonts w:hint="eastAsia" w:ascii="宋体" w:hAnsi="宋体" w:eastAsia="宋体" w:cs="宋体"/>
      <w:color w:val="000000"/>
      <w:sz w:val="22"/>
      <w:szCs w:val="22"/>
      <w:u w:val="none"/>
    </w:rPr>
  </w:style>
  <w:style w:type="character" w:customStyle="1" w:styleId="97">
    <w:name w:val="标题 1 Char"/>
    <w:link w:val="5"/>
    <w:autoRedefine/>
    <w:qFormat/>
    <w:uiPriority w:val="9"/>
    <w:rPr>
      <w:rFonts w:ascii="Times New Roman" w:hAnsi="Times New Roman" w:eastAsia="宋体" w:cs="Times New Roman"/>
      <w:b/>
      <w:bCs/>
      <w:kern w:val="44"/>
      <w:sz w:val="44"/>
      <w:szCs w:val="44"/>
    </w:rPr>
  </w:style>
  <w:style w:type="character" w:customStyle="1" w:styleId="98">
    <w:name w:val="批注文字 Char"/>
    <w:link w:val="12"/>
    <w:autoRedefine/>
    <w:semiHidden/>
    <w:qFormat/>
    <w:uiPriority w:val="0"/>
    <w:rPr>
      <w:rFonts w:ascii="Times New Roman" w:hAnsi="Times New Roman" w:eastAsia="宋体" w:cs="Times New Roman"/>
      <w:szCs w:val="24"/>
    </w:rPr>
  </w:style>
  <w:style w:type="character" w:customStyle="1" w:styleId="99">
    <w:name w:val="页眉 Char"/>
    <w:autoRedefine/>
    <w:qFormat/>
    <w:uiPriority w:val="0"/>
    <w:rPr>
      <w:rFonts w:ascii="Times New Roman" w:hAnsi="Times New Roman" w:eastAsia="宋体" w:cs="Times New Roman"/>
      <w:sz w:val="18"/>
      <w:szCs w:val="18"/>
    </w:rPr>
  </w:style>
  <w:style w:type="character" w:customStyle="1" w:styleId="100">
    <w:name w:val="font21"/>
    <w:basedOn w:val="34"/>
    <w:autoRedefine/>
    <w:qFormat/>
    <w:uiPriority w:val="0"/>
    <w:rPr>
      <w:rFonts w:hint="eastAsia" w:ascii="宋体" w:hAnsi="宋体" w:eastAsia="宋体" w:cs="宋体"/>
      <w:color w:val="000000"/>
      <w:sz w:val="20"/>
      <w:szCs w:val="20"/>
      <w:u w:val="none"/>
    </w:rPr>
  </w:style>
  <w:style w:type="character" w:customStyle="1" w:styleId="101">
    <w:name w:val="NormalCharacter"/>
    <w:autoRedefine/>
    <w:qFormat/>
    <w:uiPriority w:val="0"/>
  </w:style>
  <w:style w:type="character" w:customStyle="1" w:styleId="102">
    <w:name w:val="font171"/>
    <w:basedOn w:val="34"/>
    <w:autoRedefine/>
    <w:qFormat/>
    <w:uiPriority w:val="0"/>
    <w:rPr>
      <w:rFonts w:hint="default" w:ascii="Times New Roman" w:hAnsi="Times New Roman" w:cs="Times New Roman"/>
      <w:b/>
      <w:bCs/>
      <w:color w:val="000000"/>
      <w:sz w:val="20"/>
      <w:szCs w:val="20"/>
      <w:u w:val="none"/>
    </w:rPr>
  </w:style>
  <w:style w:type="character" w:customStyle="1" w:styleId="103">
    <w:name w:val="font51"/>
    <w:basedOn w:val="34"/>
    <w:autoRedefine/>
    <w:qFormat/>
    <w:uiPriority w:val="0"/>
    <w:rPr>
      <w:rFonts w:hint="eastAsia" w:ascii="宋体" w:hAnsi="宋体" w:eastAsia="宋体" w:cs="宋体"/>
      <w:b/>
      <w:bCs/>
      <w:color w:val="000000"/>
      <w:sz w:val="20"/>
      <w:szCs w:val="20"/>
      <w:u w:val="none"/>
    </w:rPr>
  </w:style>
  <w:style w:type="character" w:customStyle="1" w:styleId="104">
    <w:name w:val="font91"/>
    <w:basedOn w:val="34"/>
    <w:autoRedefine/>
    <w:qFormat/>
    <w:uiPriority w:val="0"/>
    <w:rPr>
      <w:rFonts w:ascii="方正书宋_GBK" w:hAnsi="方正书宋_GBK" w:eastAsia="方正书宋_GBK" w:cs="方正书宋_GBK"/>
      <w:color w:val="000000"/>
      <w:sz w:val="20"/>
      <w:szCs w:val="20"/>
      <w:u w:val="none"/>
    </w:rPr>
  </w:style>
  <w:style w:type="character" w:customStyle="1" w:styleId="105">
    <w:name w:val="font111"/>
    <w:basedOn w:val="34"/>
    <w:autoRedefine/>
    <w:qFormat/>
    <w:uiPriority w:val="0"/>
    <w:rPr>
      <w:rFonts w:hint="eastAsia" w:ascii="宋体" w:hAnsi="宋体" w:eastAsia="宋体" w:cs="宋体"/>
      <w:color w:val="000000"/>
      <w:sz w:val="20"/>
      <w:szCs w:val="20"/>
      <w:u w:val="none"/>
    </w:rPr>
  </w:style>
  <w:style w:type="character" w:customStyle="1" w:styleId="106">
    <w:name w:val="font181"/>
    <w:basedOn w:val="34"/>
    <w:autoRedefine/>
    <w:qFormat/>
    <w:uiPriority w:val="0"/>
    <w:rPr>
      <w:rFonts w:hint="eastAsia" w:ascii="宋体" w:hAnsi="宋体" w:eastAsia="宋体" w:cs="宋体"/>
      <w:color w:val="FF0000"/>
      <w:sz w:val="20"/>
      <w:szCs w:val="20"/>
      <w:u w:val="none"/>
    </w:rPr>
  </w:style>
  <w:style w:type="character" w:customStyle="1" w:styleId="107">
    <w:name w:val="font191"/>
    <w:basedOn w:val="34"/>
    <w:autoRedefine/>
    <w:qFormat/>
    <w:uiPriority w:val="0"/>
    <w:rPr>
      <w:rFonts w:hint="eastAsia" w:ascii="宋体" w:hAnsi="宋体" w:eastAsia="宋体" w:cs="宋体"/>
      <w:b/>
      <w:bCs/>
      <w:color w:val="FF0000"/>
      <w:sz w:val="20"/>
      <w:szCs w:val="20"/>
      <w:u w:val="none"/>
    </w:rPr>
  </w:style>
  <w:style w:type="character" w:customStyle="1" w:styleId="108">
    <w:name w:val="font211"/>
    <w:basedOn w:val="34"/>
    <w:autoRedefine/>
    <w:qFormat/>
    <w:uiPriority w:val="0"/>
    <w:rPr>
      <w:rFonts w:hint="eastAsia" w:ascii="宋体" w:hAnsi="宋体" w:eastAsia="宋体" w:cs="宋体"/>
      <w:color w:val="FFFF00"/>
      <w:sz w:val="20"/>
      <w:szCs w:val="20"/>
      <w:u w:val="none"/>
    </w:rPr>
  </w:style>
  <w:style w:type="character" w:customStyle="1" w:styleId="109">
    <w:name w:val="font231"/>
    <w:basedOn w:val="34"/>
    <w:autoRedefine/>
    <w:qFormat/>
    <w:uiPriority w:val="0"/>
    <w:rPr>
      <w:rFonts w:hint="eastAsia" w:ascii="宋体" w:hAnsi="宋体" w:eastAsia="宋体" w:cs="宋体"/>
      <w:color w:val="000000"/>
      <w:sz w:val="18"/>
      <w:szCs w:val="18"/>
      <w:u w:val="none"/>
    </w:rPr>
  </w:style>
  <w:style w:type="character" w:customStyle="1" w:styleId="110">
    <w:name w:val="font241"/>
    <w:basedOn w:val="34"/>
    <w:autoRedefine/>
    <w:qFormat/>
    <w:uiPriority w:val="0"/>
    <w:rPr>
      <w:rFonts w:hint="eastAsia" w:ascii="宋体" w:hAnsi="宋体" w:eastAsia="宋体" w:cs="宋体"/>
      <w:b/>
      <w:bCs/>
      <w:color w:val="000000"/>
      <w:sz w:val="18"/>
      <w:szCs w:val="18"/>
      <w:u w:val="none"/>
    </w:rPr>
  </w:style>
  <w:style w:type="character" w:customStyle="1" w:styleId="111">
    <w:name w:val="font222"/>
    <w:basedOn w:val="34"/>
    <w:autoRedefine/>
    <w:qFormat/>
    <w:uiPriority w:val="0"/>
    <w:rPr>
      <w:rFonts w:ascii="宋体" w:hAnsi="宋体" w:eastAsia="宋体" w:cs="宋体"/>
      <w:color w:val="FF0000"/>
      <w:sz w:val="18"/>
      <w:szCs w:val="18"/>
      <w:u w:val="none"/>
    </w:rPr>
  </w:style>
  <w:style w:type="character" w:customStyle="1" w:styleId="112">
    <w:name w:val="font251"/>
    <w:basedOn w:val="34"/>
    <w:autoRedefine/>
    <w:qFormat/>
    <w:uiPriority w:val="0"/>
    <w:rPr>
      <w:rFonts w:hint="eastAsia" w:ascii="宋体" w:hAnsi="宋体" w:eastAsia="宋体" w:cs="宋体"/>
      <w:color w:val="FF0000"/>
      <w:sz w:val="18"/>
      <w:szCs w:val="18"/>
      <w:u w:val="none"/>
    </w:rPr>
  </w:style>
  <w:style w:type="character" w:customStyle="1" w:styleId="113">
    <w:name w:val="font261"/>
    <w:basedOn w:val="34"/>
    <w:autoRedefine/>
    <w:qFormat/>
    <w:uiPriority w:val="0"/>
    <w:rPr>
      <w:rFonts w:hint="eastAsia" w:ascii="宋体" w:hAnsi="宋体" w:eastAsia="宋体" w:cs="宋体"/>
      <w:color w:val="FF0000"/>
      <w:sz w:val="22"/>
      <w:szCs w:val="22"/>
      <w:u w:val="none"/>
    </w:rPr>
  </w:style>
  <w:style w:type="character" w:customStyle="1" w:styleId="114">
    <w:name w:val="font101"/>
    <w:basedOn w:val="34"/>
    <w:autoRedefine/>
    <w:qFormat/>
    <w:uiPriority w:val="0"/>
    <w:rPr>
      <w:rFonts w:hint="eastAsia" w:ascii="宋体" w:hAnsi="宋体" w:eastAsia="宋体" w:cs="宋体"/>
      <w:color w:val="000000"/>
      <w:sz w:val="22"/>
      <w:szCs w:val="22"/>
      <w:u w:val="none"/>
    </w:rPr>
  </w:style>
  <w:style w:type="character" w:customStyle="1" w:styleId="115">
    <w:name w:val="font271"/>
    <w:basedOn w:val="34"/>
    <w:autoRedefine/>
    <w:qFormat/>
    <w:uiPriority w:val="0"/>
    <w:rPr>
      <w:rFonts w:ascii="宋体" w:hAnsi="宋体" w:eastAsia="宋体" w:cs="宋体"/>
      <w:color w:val="FF0000"/>
      <w:sz w:val="22"/>
      <w:szCs w:val="22"/>
      <w:u w:val="none"/>
    </w:rPr>
  </w:style>
  <w:style w:type="character" w:customStyle="1" w:styleId="116">
    <w:name w:val="font201"/>
    <w:basedOn w:val="34"/>
    <w:autoRedefine/>
    <w:qFormat/>
    <w:uiPriority w:val="0"/>
    <w:rPr>
      <w:rFonts w:hint="default" w:ascii="方正书宋_GBK" w:hAnsi="方正书宋_GBK" w:eastAsia="方正书宋_GBK" w:cs="方正书宋_GBK"/>
      <w:color w:val="000000"/>
      <w:sz w:val="20"/>
      <w:szCs w:val="20"/>
      <w:u w:val="none"/>
    </w:rPr>
  </w:style>
  <w:style w:type="character" w:customStyle="1" w:styleId="117">
    <w:name w:val="UserStyle_0"/>
    <w:link w:val="118"/>
    <w:autoRedefine/>
    <w:qFormat/>
    <w:uiPriority w:val="0"/>
    <w:rPr>
      <w:rFonts w:ascii="Times New Roman" w:hAnsi="Times New Roman"/>
      <w:kern w:val="2"/>
      <w:sz w:val="24"/>
      <w:szCs w:val="24"/>
      <w:lang w:val="en-US" w:eastAsia="zh-CN" w:bidi="ar-SA"/>
    </w:rPr>
  </w:style>
  <w:style w:type="paragraph" w:customStyle="1" w:styleId="118">
    <w:name w:val="BodyTextIndent"/>
    <w:basedOn w:val="1"/>
    <w:link w:val="117"/>
    <w:autoRedefine/>
    <w:qFormat/>
    <w:uiPriority w:val="0"/>
    <w:pPr>
      <w:ind w:firstLine="560" w:firstLineChars="200"/>
      <w:textAlignment w:val="baseline"/>
    </w:pPr>
    <w:rPr>
      <w:rFonts w:ascii="Times New Roman" w:hAnsi="Times New Roman"/>
      <w:sz w:val="24"/>
    </w:rPr>
  </w:style>
  <w:style w:type="character" w:customStyle="1" w:styleId="119">
    <w:name w:val="label"/>
    <w:basedOn w:val="34"/>
    <w:autoRedefine/>
    <w:qFormat/>
    <w:uiPriority w:val="0"/>
    <w:rPr>
      <w:color w:val="999999"/>
    </w:rPr>
  </w:style>
  <w:style w:type="character" w:customStyle="1" w:styleId="120">
    <w:name w:val="layui-laypage-curr"/>
    <w:basedOn w:val="34"/>
    <w:autoRedefine/>
    <w:qFormat/>
    <w:uiPriority w:val="0"/>
  </w:style>
  <w:style w:type="paragraph" w:customStyle="1" w:styleId="121">
    <w:name w:val=" Char Char Char"/>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样式 标题 1 + 四号 居中 段前: 12 磅 段后: 12 磅 行距: 单倍行距"/>
    <w:basedOn w:val="5"/>
    <w:autoRedefine/>
    <w:qFormat/>
    <w:uiPriority w:val="0"/>
    <w:pPr>
      <w:spacing w:before="240" w:after="240" w:line="240" w:lineRule="auto"/>
      <w:jc w:val="center"/>
    </w:pPr>
    <w:rPr>
      <w:b w:val="0"/>
      <w:kern w:val="0"/>
      <w:sz w:val="28"/>
    </w:rPr>
  </w:style>
  <w:style w:type="character" w:customStyle="1" w:styleId="123">
    <w:name w:val="current"/>
    <w:basedOn w:val="34"/>
    <w:autoRedefine/>
    <w:qFormat/>
    <w:uiPriority w:val="0"/>
    <w:rPr>
      <w:color w:val="00C1DE"/>
    </w:rPr>
  </w:style>
  <w:style w:type="character" w:customStyle="1" w:styleId="124">
    <w:name w:val="current1"/>
    <w:basedOn w:val="34"/>
    <w:autoRedefine/>
    <w:qFormat/>
    <w:uiPriority w:val="0"/>
    <w:rPr>
      <w:color w:val="00C1DE"/>
    </w:rPr>
  </w:style>
  <w:style w:type="character" w:customStyle="1" w:styleId="125">
    <w:name w:val="info-label"/>
    <w:basedOn w:val="34"/>
    <w:autoRedefine/>
    <w:qFormat/>
    <w:uiPriority w:val="0"/>
    <w:rPr>
      <w:b/>
      <w:bCs/>
    </w:rPr>
  </w:style>
  <w:style w:type="character" w:customStyle="1" w:styleId="126">
    <w:name w:val="info-content"/>
    <w:basedOn w:val="34"/>
    <w:autoRedefine/>
    <w:qFormat/>
    <w:uiPriority w:val="0"/>
    <w:rPr>
      <w:color w:val="808080"/>
    </w:rPr>
  </w:style>
  <w:style w:type="paragraph" w:customStyle="1" w:styleId="127">
    <w:name w:val="首行缩进"/>
    <w:basedOn w:val="1"/>
    <w:autoRedefine/>
    <w:qFormat/>
    <w:uiPriority w:val="0"/>
    <w:pPr>
      <w:ind w:firstLine="480" w:firstLineChars="200"/>
    </w:pPr>
    <w:rPr>
      <w:lang w:val="zh-CN"/>
    </w:rPr>
  </w:style>
  <w:style w:type="paragraph" w:styleId="128">
    <w:name w:val="List Paragraph"/>
    <w:basedOn w:val="1"/>
    <w:autoRedefine/>
    <w:unhideWhenUsed/>
    <w:qFormat/>
    <w:uiPriority w:val="99"/>
    <w:pPr>
      <w:ind w:firstLine="420" w:firstLineChars="200"/>
    </w:pPr>
  </w:style>
  <w:style w:type="paragraph" w:customStyle="1" w:styleId="129">
    <w:name w:val="Char Char Char"/>
    <w:basedOn w:val="1"/>
    <w:autoRedefine/>
    <w:qFormat/>
    <w:uiPriority w:val="0"/>
    <w:pPr>
      <w:widowControl w:val="0"/>
      <w:textAlignment w:val="auto"/>
    </w:pPr>
    <w:rPr>
      <w:rFonts w:cs="Times New Roman"/>
      <w:szCs w:val="22"/>
    </w:rPr>
  </w:style>
  <w:style w:type="paragraph" w:customStyle="1" w:styleId="130">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4019</Words>
  <Characters>4446</Characters>
  <Lines>1</Lines>
  <Paragraphs>1</Paragraphs>
  <TotalTime>17</TotalTime>
  <ScaleCrop>false</ScaleCrop>
  <LinksUpToDate>false</LinksUpToDate>
  <CharactersWithSpaces>4737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2021-10-31T17:13:00Z</dcterms:created>
  <dc:creator>lenovn</dc:creator>
  <cp:lastModifiedBy>王子不是我 </cp:lastModifiedBy>
  <cp:lastPrinted>2023-10-10T15:03:00Z</cp:lastPrinted>
  <dcterms:modified xsi:type="dcterms:W3CDTF">2025-08-01T03:55:53Z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A7F28F899203465D9F2F69EA161FDBBB_13</vt:lpwstr>
  </property>
  <property fmtid="{D5CDD505-2E9C-101B-9397-08002B2CF9AE}" pid="4" name="KSOTemplateDocerSaveRecord">
    <vt:lpwstr>eyJoZGlkIjoiZmU4Zjg0N2NlMjlhNWE0OWFlZGNmNDBmMjQ5MjE1ZjMiLCJ1c2VySWQiOiIyNTU2NjgzODYifQ==</vt:lpwstr>
  </property>
</Properties>
</file>