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四川机电职业技术学院驾校考前适应性训练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一、服务要求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服务供应商须具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攀枝花市区域内合法有效的机动车驾驶人考试考场经营资质，考场场地、设备、考试车辆均通过省级公安交通管理部门验收备案。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为驾校全包（VIP）学员提供科目二、科目三考前考场适应性上车训练服务，保障学员优先使用考场实际考试场地、车辆及考试系统完成完整练习。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为全包学员提供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至少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一次考前“考试员”专属陪练服务，由考试员带车指导并开展考前心理疏导，助力学员提升应试能力。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训练服务执行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中标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价格，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即：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元每人（含税）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费用按人头包干，无额外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隐性消费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，结算方式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按甲方实际参训学员数量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通过指定账户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按月对公转账。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向学员提供每个科目5次考试机会内的考前1小时免费适应性训练服务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注：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训练资格仅限学员本人使用，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不得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转让、替用。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训练过程中保障服务质量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和安全训练作业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，按合作约定满足车辆乘坐及实操训练需求，提供热情、周到的考场配套服务，建立学员训练服务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和安全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保障机制。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配合甲方做好学员训练统筹安排，及时响应训练预约、人数统计等需求，保障训练流程高效顺畅。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二、考场场地符合性数据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通用要求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1. 考场须通过省级公安交通管理部门/市级交警支队验收备案，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符合《机动车驾驶人考试场地及其设施设置规范》（GA 1029-2012）、《机动车驾驶人考场使用验收规范》（GA/T1030.2、GA/T1030.3）标准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附件3、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考试系统须配备合规智能评判设备，科目二适配GHZN-KS2001/GHZN-KS2002等型号，科目三适配GHZN-KS30等型号，满足全车型考试智能评判要求。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考试车型覆盖C1、C2，同时具备大中型客货车（A1/A2/B1/B2）及残疾人专用小型自动挡载客汽车（C5）考试能力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（二）场地道路要求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科目三小型汽车考试路段：设置不少于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条，单条全程不低于3.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km。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2. 所有考试路段交通设施齐全、标志标线规范，路段包含路口、折返点等复杂路况，满足机动车驾驶人道路驾驶技能考试要求。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3. 科目二考场为标准化专用场地，考试项目齐全，场地标志、标线、训练设施设置符合国家相关考试规范。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（三）考试车辆要求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C1、C2小型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汽车：配备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数量不少于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台，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其中，C1考试和训练车辆数量分别不得少于5辆、C2考试和训练车辆数量分别不得少于2辆，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车型为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符合相关规定的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教练车型，车辆技术性能符合考试车辆标准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所有车辆均通过公安交通管理部门验收备案。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《机动车驾驶人考试场地及其设施设置规范》（GA 1029-2012）科目二考试场地项目设施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《机动车驾驶人考试场地及其设施设置规范》（GA 1029-2012）科目三考试场地安全设施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BEA1C7ED-588F-42BC-BCCC-929D333BBF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C1CB06-275B-4E92-9724-FD3328B0F2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4538"/>
    <w:rsid w:val="01A60743"/>
    <w:rsid w:val="01E473CA"/>
    <w:rsid w:val="0A447D68"/>
    <w:rsid w:val="0CF30467"/>
    <w:rsid w:val="0E450E45"/>
    <w:rsid w:val="0E5034D9"/>
    <w:rsid w:val="0F9E4A8A"/>
    <w:rsid w:val="13086650"/>
    <w:rsid w:val="15DC09AD"/>
    <w:rsid w:val="1CF56512"/>
    <w:rsid w:val="1D4554EB"/>
    <w:rsid w:val="1D6B40D4"/>
    <w:rsid w:val="1FEF16F3"/>
    <w:rsid w:val="20032679"/>
    <w:rsid w:val="218B35EC"/>
    <w:rsid w:val="21941474"/>
    <w:rsid w:val="226F54FB"/>
    <w:rsid w:val="2424465B"/>
    <w:rsid w:val="25891872"/>
    <w:rsid w:val="29856372"/>
    <w:rsid w:val="2A2102CB"/>
    <w:rsid w:val="2A88034A"/>
    <w:rsid w:val="2B99545C"/>
    <w:rsid w:val="2CC91CC7"/>
    <w:rsid w:val="2E385BE3"/>
    <w:rsid w:val="30C12E8B"/>
    <w:rsid w:val="33443479"/>
    <w:rsid w:val="37721B96"/>
    <w:rsid w:val="3BAA3FB1"/>
    <w:rsid w:val="3D3E4A09"/>
    <w:rsid w:val="404B17A6"/>
    <w:rsid w:val="436314FD"/>
    <w:rsid w:val="46521595"/>
    <w:rsid w:val="46AB1BB4"/>
    <w:rsid w:val="4795651F"/>
    <w:rsid w:val="47BE31A6"/>
    <w:rsid w:val="493B0C55"/>
    <w:rsid w:val="495D1B08"/>
    <w:rsid w:val="498F72F7"/>
    <w:rsid w:val="49C07284"/>
    <w:rsid w:val="4C663913"/>
    <w:rsid w:val="4CBE77A4"/>
    <w:rsid w:val="4DE914A6"/>
    <w:rsid w:val="505D291D"/>
    <w:rsid w:val="558C6ABB"/>
    <w:rsid w:val="58A91308"/>
    <w:rsid w:val="5A7F5187"/>
    <w:rsid w:val="5ACE1B1B"/>
    <w:rsid w:val="5AD65B96"/>
    <w:rsid w:val="5B3A008E"/>
    <w:rsid w:val="5BDC37A3"/>
    <w:rsid w:val="5C110814"/>
    <w:rsid w:val="5CB15855"/>
    <w:rsid w:val="5F73151B"/>
    <w:rsid w:val="5F795042"/>
    <w:rsid w:val="5F8356CB"/>
    <w:rsid w:val="60206354"/>
    <w:rsid w:val="60466BDC"/>
    <w:rsid w:val="6137743E"/>
    <w:rsid w:val="61990971"/>
    <w:rsid w:val="6381535B"/>
    <w:rsid w:val="64B4710A"/>
    <w:rsid w:val="65556EEB"/>
    <w:rsid w:val="65EC24EC"/>
    <w:rsid w:val="67732DFB"/>
    <w:rsid w:val="6B984B15"/>
    <w:rsid w:val="6E6404AB"/>
    <w:rsid w:val="6E714AAA"/>
    <w:rsid w:val="6F4F27B2"/>
    <w:rsid w:val="70AE3508"/>
    <w:rsid w:val="712B6906"/>
    <w:rsid w:val="795464C9"/>
    <w:rsid w:val="79DF58FF"/>
    <w:rsid w:val="7AB5465D"/>
    <w:rsid w:val="7BFD7E77"/>
    <w:rsid w:val="7CB7529B"/>
    <w:rsid w:val="7D2C2DF7"/>
    <w:rsid w:val="7D491FD6"/>
    <w:rsid w:val="7D494CE4"/>
    <w:rsid w:val="7E37429F"/>
    <w:rsid w:val="7E48583E"/>
    <w:rsid w:val="7E590F57"/>
    <w:rsid w:val="7FB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12680-996f-4d81-93cd-5666ebd99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1140</Characters>
  <Lines>0</Lines>
  <Paragraphs>0</Paragraphs>
  <TotalTime>12</TotalTime>
  <ScaleCrop>false</ScaleCrop>
  <LinksUpToDate>false</LinksUpToDate>
  <CharactersWithSpaces>1159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2026-03-11T01:46:00Z</dcterms:created>
  <dc:creator>HUAWEI</dc:creator>
  <cp:lastModifiedBy>王其波</cp:lastModifiedBy>
  <dcterms:modified xsi:type="dcterms:W3CDTF">2026-04-27T03:35:23Z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eyJoZGlkIjoiYzEzNWVjZWU3NWFiNDZiMDVjMjY1MjQxZGU4MGY1MDYiLCJ1c2VySWQiOiIyODQwOTk4MDkifQ==</vt:lpwstr>
  </property>
  <property fmtid="{D5CDD505-2E9C-101B-9397-08002B2CF9AE}" pid="4" name="ICV">
    <vt:lpwstr>1DDF2CD64AA440F1BAA4DAFF77063294_12</vt:lpwstr>
  </property>
</Properties>
</file>