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采购需求</w:t>
      </w:r>
      <w:bookmarkStart w:id="0" w:name="_GoBack"/>
      <w:bookmarkEnd w:id="0"/>
    </w:p>
    <w:p>
      <w:pPr>
        <w:jc w:val="cente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650,000.00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513,000.00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1085"/>
        <w:gridCol w:w="1085"/>
        <w:gridCol w:w="1046"/>
        <w:gridCol w:w="1049"/>
        <w:gridCol w:w="740"/>
        <w:gridCol w:w="624"/>
        <w:gridCol w:w="624"/>
        <w:gridCol w:w="624"/>
        <w:gridCol w:w="573"/>
        <w:gridCol w:w="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0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27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9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9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C07020299 其他空气污染治理服务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医院建设项目室内空气治理及检测</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513,000.00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7"/>
        <w:gridCol w:w="2103"/>
        <w:gridCol w:w="1350"/>
        <w:gridCol w:w="1273"/>
        <w:gridCol w:w="1102"/>
        <w:gridCol w:w="17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265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176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12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176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00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医院建设项目室内空气治理及检测</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513,000.00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2526"/>
        <w:gridCol w:w="2526"/>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2526"/>
        <w:gridCol w:w="2526"/>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2526"/>
        <w:gridCol w:w="2526"/>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2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2526"/>
        <w:gridCol w:w="2526"/>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2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2526"/>
        <w:gridCol w:w="2526"/>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2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387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标的名称：医院建设项目室内空气治理及检测</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562"/>
        <w:gridCol w:w="833"/>
        <w:gridCol w:w="66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6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9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32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90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b/>
                <w:bCs/>
                <w:sz w:val="39"/>
                <w:szCs w:val="39"/>
              </w:rPr>
            </w:pPr>
            <w:r>
              <w:rPr>
                <w:rStyle w:val="8"/>
                <w:rFonts w:hint="eastAsia" w:ascii="宋体" w:hAnsi="宋体" w:eastAsia="宋体" w:cs="宋体"/>
                <w:b/>
                <w:sz w:val="24"/>
                <w:szCs w:val="24"/>
                <w:bdr w:val="none" w:color="auto" w:sz="0" w:space="0"/>
              </w:rPr>
              <w:t>1、服务内容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b/>
                <w:bCs/>
                <w:sz w:val="39"/>
                <w:szCs w:val="39"/>
              </w:rPr>
            </w:pPr>
            <w:r>
              <w:rPr>
                <w:rStyle w:val="8"/>
                <w:rFonts w:hint="eastAsia" w:ascii="宋体" w:hAnsi="宋体" w:eastAsia="宋体" w:cs="宋体"/>
                <w:b/>
                <w:sz w:val="24"/>
                <w:szCs w:val="24"/>
                <w:bdr w:val="none" w:color="auto" w:sz="0" w:space="0"/>
              </w:rPr>
              <w:t>对乐山市五通桥区人民医院建设项目进行空气治理及检测，指标包含甲醛、苯、甲苯、二甲苯、总挥发性有机物（TVOC） 等，以及为完成本项目必须使用的相关设备、药剂和服务，并负责通过第三方出具有CMA标识和检测合格报告为准，检测费用由中标人支付，如检测不合格需中标人完成治理整改至检测合格为止。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b/>
                <w:bCs/>
                <w:sz w:val="39"/>
                <w:szCs w:val="39"/>
              </w:rPr>
            </w:pPr>
            <w:r>
              <w:rPr>
                <w:rStyle w:val="8"/>
                <w:rFonts w:hint="eastAsia" w:ascii="宋体" w:hAnsi="宋体" w:eastAsia="宋体" w:cs="宋体"/>
                <w:b/>
                <w:sz w:val="24"/>
                <w:szCs w:val="24"/>
                <w:bdr w:val="none" w:color="auto" w:sz="0" w:space="0"/>
              </w:rPr>
              <w:t>2、达标标准：在治理技术服务完成后，中标人需委托市场监督管理局下属质量监督检验单位进行采样检测，采样选点、采样方法按照《民用建筑工程室内环境污染控制标准》执行，且不少于103个点位。检测报告均显示各项指标符合GB/T 18883-2022规定，则视为本项目验收合格。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b/>
                <w:bCs/>
                <w:sz w:val="39"/>
                <w:szCs w:val="39"/>
              </w:rPr>
            </w:pPr>
            <w:r>
              <w:rPr>
                <w:rStyle w:val="8"/>
                <w:rFonts w:hint="eastAsia" w:ascii="宋体" w:hAnsi="宋体" w:eastAsia="宋体" w:cs="宋体"/>
                <w:b/>
                <w:sz w:val="24"/>
                <w:szCs w:val="24"/>
                <w:bdr w:val="none" w:color="auto" w:sz="0" w:space="0"/>
              </w:rPr>
              <w:t>3、治理过程及所使用的材料不得对采购方的家具、装修面、金属医疗器械及精密设备等造成腐蚀、残留或损伤，室内不存在明显的、令人不适的化学异味。使用的施工药剂需确保安全无毒、治理施工后保证不产生二次污染、长期有效并无反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b/>
                <w:bCs/>
                <w:sz w:val="39"/>
                <w:szCs w:val="39"/>
              </w:rPr>
            </w:pPr>
            <w:r>
              <w:rPr>
                <w:rStyle w:val="8"/>
                <w:rFonts w:hint="eastAsia" w:ascii="宋体" w:hAnsi="宋体" w:eastAsia="宋体" w:cs="宋体"/>
                <w:b/>
                <w:sz w:val="24"/>
                <w:szCs w:val="24"/>
                <w:bdr w:val="none" w:color="auto" w:sz="0" w:space="0"/>
              </w:rPr>
              <w:t>4、复检与整改：若首次检测后，任意一区域检测报告结果显示有检测点数据未达标的，则该区域所有房间应进行强化治理服务，强化治理服务完成后再次按照前述抽样数进行检测，直至检测报告全部符合《室内空气质量标准》（GB/T 18883-2022）为止。强化治理和复检费用由中标人支付。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Style w:val="8"/>
                <w:sz w:val="24"/>
                <w:szCs w:val="24"/>
                <w:bdr w:val="none" w:color="auto" w:sz="0" w:space="0"/>
              </w:rPr>
              <w:t>注：</w:t>
            </w:r>
            <w:r>
              <w:rPr>
                <w:sz w:val="24"/>
                <w:szCs w:val="24"/>
                <w:bdr w:val="none" w:color="auto" w:sz="0" w:space="0"/>
              </w:rPr>
              <w:t>以上凡涉及国家标准、行业标准，有更新替代标准的，直接按新标准执行。</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0"/>
        <w:gridCol w:w="555"/>
        <w:gridCol w:w="806"/>
        <w:gridCol w:w="6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6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9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32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90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售后服务要求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免费质量保证期自项目最终验收合格报告签署之日起计算，为期3年。质保期内出现问题，中标人应在接到通知后1小时内响应，12小时内到达现场，24小时内提出解决方案，并在双方商定的合理时间内免费进行治理，直至该区域空气质量检测再次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其他服务要求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(1)治理施工人员要求：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①施工期间中标人须派驻一名项目经理，为公司专项经理或负责人，进行全方位协调、督促施工。整体施工人员安排须能满足采购方工期要求。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②施工期间所有治理人员信息均须向采购方报备。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③施工期间所有治理人员均须穿有中标人统一配备的服装。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(2)安全生产要求：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①投标人须按有关规定，采取严格的安全防护措施。投标人管理以及自身防范措施不力或投标人施工人员责任造成的案件、火灾、交通事故（含施工现场内）等灾害事故，事故经济责任、事故法律责任以及事故的善后处理均由投标人独自承担，因此给招标人造成的经济损失由投标人负责全额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②投标人施工现场的用电线路、用电设施的安装和使用必须符合安装规范和安全操作规程，并按照施工组织设计进行架设，严禁任意拉线接电。施工现场必须有保证施工安全要求的夜间照明。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③投标人须保证施工现场道路畅通，保持场容场貌的整洁。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（3）其他未尽事宜在采购合同中约定。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0"/>
        <w:gridCol w:w="556"/>
        <w:gridCol w:w="1147"/>
        <w:gridCol w:w="63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9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32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90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合同签订后，中标人应确保在 2026年6月30日前完成全部治理工作并提交验收合格的CMA检测报告。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验收时间、期限、方式和标准等相关验收事项，严格按照竞争性磋商文件要求、成交供应商的响应文件和合同约定进行验收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1、合同签订后，达到付款条件起30日内，支付合同总金额的10.00%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2、治理完工并取得全部点位检测合格的CMA报告，并提交完整竣工资料及等额有效增值税专用发票后，达到付款条件起30日内，支付合同总金额的90.00%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1、违约责任 （1）如因中标人（即乙方）工作人员在履行职务过程中的疏忽、失职、过错、过失等原因给采购方（即甲方）造成损失或侵害，包括但不限于甲方本身的财产损失、由此导致的甲方对任何第三方的法律责任等，乙方对此均应承担全部的赔偿责任。 （2）因乙方原因未能按合同约定工期完成治理并通过验收，每逾期一日，乙方应向甲方支付合同总价1% 的违约金，逾期超过30日，甲方有权单方解除合同。 （3）质保期内，乙方未按售后服务约定及时提供免费治理服务，每发生一次，应向甲方支付合同总价1%的违约金。 2、争议解决 因履行本合同发生的任何争议，双方应首先友好协商解决；协商不成的，任何一方均有权向项目所在地（即乐山市五通桥区）人民法院提起诉讼。</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报价要求：本项目报价为人民币报价，成交价就是包干价，此价格已包含为完成本项目所需的人工费、材料费、治理实施费、检测费、运输费、交通费、保险、税费、利润及叁年质量保证期内的一切售后服务等所有费用，采购人无需向中标人支付任何其他费用。</w:t>
      </w:r>
    </w:p>
    <w:p>
      <w:pPr>
        <w:jc w:val="center"/>
        <w:rPr>
          <w:rFonts w:hint="eastAsia"/>
          <w:lang w:val="en-US" w:eastAsia="zh-CN"/>
        </w:rPr>
      </w:pPr>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49A3"/>
    <w:rsid w:val="0782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2026-01-13T03:13:00Z</dcterms:created>
  <dc:creator>admin</dc:creator>
  <cp:lastModifiedBy>admin</cp:lastModifiedBy>
  <dcterms:modified xsi:type="dcterms:W3CDTF">2026-01-13T03:15:43Z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17BFD032EBE8434A84D343D8A1B6C8ED_11</vt:lpwstr>
  </property>
</Properties>
</file>