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0A98D">
      <w:pPr>
        <w:pStyle w:val="13"/>
        <w:widowControl/>
        <w:shd w:val="clear" w:color="050000" w:fill="FFFFFF"/>
        <w:spacing w:before="75" w:beforeAutospacing="0" w:after="75" w:afterAutospacing="0" w:line="300" w:lineRule="auto"/>
        <w:jc w:val="center"/>
        <w:rPr>
          <w:rStyle w:val="18"/>
          <w:rFonts w:ascii="宋体" w:hAnsi="宋体" w:cs="宋体"/>
          <w:color w:val="auto"/>
          <w:sz w:val="72"/>
          <w:szCs w:val="72"/>
          <w:highlight w:val="none"/>
          <w:shd w:val="clear" w:color="090000" w:fill="FFFFFF"/>
        </w:rPr>
      </w:pPr>
    </w:p>
    <w:p w14:paraId="0D8A156E">
      <w:pPr>
        <w:pStyle w:val="13"/>
        <w:widowControl/>
        <w:shd w:val="clear" w:color="050000" w:fill="FFFFFF"/>
        <w:spacing w:before="75" w:beforeAutospacing="0" w:after="75" w:afterAutospacing="0" w:line="300" w:lineRule="auto"/>
        <w:jc w:val="center"/>
        <w:rPr>
          <w:rStyle w:val="18"/>
          <w:rFonts w:ascii="宋体" w:hAnsi="宋体" w:cs="宋体"/>
          <w:color w:val="auto"/>
          <w:sz w:val="72"/>
          <w:szCs w:val="72"/>
          <w:highlight w:val="none"/>
          <w:shd w:val="clear" w:color="090000" w:fill="FFFFFF"/>
        </w:rPr>
      </w:pPr>
    </w:p>
    <w:p w14:paraId="381C5714">
      <w:pPr>
        <w:pStyle w:val="13"/>
        <w:widowControl/>
        <w:shd w:val="clear" w:color="050000" w:fill="FFFFFF"/>
        <w:spacing w:before="75" w:beforeAutospacing="0" w:after="75" w:afterAutospacing="0" w:line="300" w:lineRule="auto"/>
        <w:jc w:val="center"/>
        <w:rPr>
          <w:rFonts w:ascii="微软雅黑" w:hAnsi="微软雅黑" w:eastAsia="微软雅黑" w:cs="微软雅黑"/>
          <w:color w:val="auto"/>
          <w:sz w:val="19"/>
          <w:szCs w:val="19"/>
          <w:highlight w:val="none"/>
        </w:rPr>
      </w:pPr>
      <w:r>
        <w:rPr>
          <w:rStyle w:val="18"/>
          <w:rFonts w:hint="eastAsia" w:ascii="宋体" w:hAnsi="宋体" w:cs="宋体"/>
          <w:color w:val="auto"/>
          <w:sz w:val="72"/>
          <w:szCs w:val="72"/>
          <w:highlight w:val="none"/>
          <w:shd w:val="clear" w:color="090000" w:fill="FFFFFF"/>
        </w:rPr>
        <w:t>公开招标文件</w:t>
      </w:r>
    </w:p>
    <w:p w14:paraId="61695F08">
      <w:pPr>
        <w:pStyle w:val="13"/>
        <w:widowControl/>
        <w:shd w:val="clear" w:color="050000" w:fill="FFFFFF"/>
        <w:spacing w:before="75" w:beforeAutospacing="0" w:after="75" w:afterAutospacing="0" w:line="300" w:lineRule="auto"/>
        <w:jc w:val="center"/>
        <w:rPr>
          <w:rStyle w:val="18"/>
          <w:rFonts w:ascii="宋体" w:hAnsi="宋体" w:cs="宋体"/>
          <w:color w:val="auto"/>
          <w:sz w:val="40"/>
          <w:szCs w:val="40"/>
          <w:highlight w:val="none"/>
          <w:shd w:val="clear" w:color="090000" w:fill="FFFFFF"/>
        </w:rPr>
      </w:pPr>
    </w:p>
    <w:p w14:paraId="42C17F5A">
      <w:pPr>
        <w:pStyle w:val="13"/>
        <w:widowControl/>
        <w:shd w:val="clear" w:color="050000" w:fill="FFFFFF"/>
        <w:spacing w:before="75" w:beforeAutospacing="0" w:after="75" w:afterAutospacing="0" w:line="300" w:lineRule="auto"/>
        <w:jc w:val="center"/>
        <w:rPr>
          <w:rStyle w:val="18"/>
          <w:rFonts w:ascii="宋体" w:hAnsi="宋体" w:cs="宋体"/>
          <w:color w:val="auto"/>
          <w:sz w:val="40"/>
          <w:szCs w:val="40"/>
          <w:highlight w:val="none"/>
          <w:shd w:val="clear" w:color="090000" w:fill="FFFFFF"/>
        </w:rPr>
      </w:pPr>
      <w:r>
        <w:rPr>
          <w:rStyle w:val="18"/>
          <w:rFonts w:hint="eastAsia" w:ascii="宋体" w:hAnsi="宋体" w:cs="宋体"/>
          <w:color w:val="auto"/>
          <w:sz w:val="40"/>
          <w:szCs w:val="40"/>
          <w:highlight w:val="none"/>
          <w:shd w:val="clear" w:color="090000" w:fill="FFFFFF"/>
        </w:rPr>
        <w:t>（服务类）</w:t>
      </w:r>
    </w:p>
    <w:p w14:paraId="3BCEFEB2">
      <w:pPr>
        <w:pStyle w:val="13"/>
        <w:widowControl/>
        <w:shd w:val="clear" w:color="050000" w:fill="FFFFFF"/>
        <w:spacing w:before="75" w:beforeAutospacing="0" w:after="75" w:afterAutospacing="0" w:line="300" w:lineRule="auto"/>
        <w:rPr>
          <w:rStyle w:val="18"/>
          <w:rFonts w:ascii="宋体" w:hAnsi="宋体" w:cs="宋体"/>
          <w:color w:val="auto"/>
          <w:sz w:val="32"/>
          <w:szCs w:val="32"/>
          <w:highlight w:val="none"/>
          <w:shd w:val="clear" w:color="090000" w:fill="FFFFFF"/>
        </w:rPr>
      </w:pPr>
    </w:p>
    <w:p w14:paraId="014F6D18">
      <w:pPr>
        <w:pStyle w:val="13"/>
        <w:widowControl/>
        <w:shd w:val="clear" w:color="050000" w:fill="FFFFFF"/>
        <w:spacing w:before="75" w:beforeAutospacing="0" w:after="75" w:afterAutospacing="0" w:line="300" w:lineRule="auto"/>
        <w:ind w:left="2883" w:leftChars="608" w:hanging="1606" w:hangingChars="500"/>
        <w:rPr>
          <w:rStyle w:val="18"/>
          <w:rFonts w:hint="eastAsia" w:ascii="宋体" w:hAnsi="宋体" w:eastAsia="宋体" w:cs="宋体"/>
          <w:color w:val="auto"/>
          <w:sz w:val="32"/>
          <w:szCs w:val="32"/>
          <w:highlight w:val="none"/>
          <w:shd w:val="clear" w:color="090000" w:fill="FFFFFF"/>
          <w:lang w:eastAsia="zh-CN"/>
        </w:rPr>
      </w:pPr>
      <w:r>
        <w:rPr>
          <w:rStyle w:val="18"/>
          <w:rFonts w:hint="eastAsia" w:ascii="宋体" w:hAnsi="宋体" w:cs="宋体"/>
          <w:color w:val="auto"/>
          <w:sz w:val="32"/>
          <w:szCs w:val="32"/>
          <w:highlight w:val="none"/>
          <w:shd w:val="clear" w:color="090000" w:fill="FFFFFF"/>
        </w:rPr>
        <w:t>项目名称：</w:t>
      </w:r>
      <w:r>
        <w:rPr>
          <w:rStyle w:val="18"/>
          <w:rFonts w:hint="eastAsia" w:ascii="宋体" w:hAnsi="宋体" w:cs="宋体"/>
          <w:color w:val="auto"/>
          <w:sz w:val="32"/>
          <w:szCs w:val="32"/>
          <w:highlight w:val="none"/>
          <w:shd w:val="clear" w:color="090000" w:fill="FFFFFF"/>
          <w:lang w:eastAsia="zh-CN"/>
        </w:rPr>
        <w:t>福建省南安市南星中学印刷服务采购项目</w:t>
      </w:r>
    </w:p>
    <w:p w14:paraId="5C0EFD9E">
      <w:pPr>
        <w:pStyle w:val="13"/>
        <w:widowControl/>
        <w:shd w:val="clear" w:color="050000" w:fill="FFFFFF"/>
        <w:spacing w:before="75" w:beforeAutospacing="0" w:after="75" w:afterAutospacing="0" w:line="300" w:lineRule="auto"/>
        <w:ind w:firstLine="1275" w:firstLineChars="397"/>
        <w:rPr>
          <w:rStyle w:val="18"/>
          <w:rFonts w:hint="eastAsia" w:ascii="宋体" w:hAnsi="宋体" w:eastAsia="宋体" w:cs="宋体"/>
          <w:color w:val="auto"/>
          <w:sz w:val="32"/>
          <w:szCs w:val="32"/>
          <w:highlight w:val="none"/>
          <w:shd w:val="clear" w:color="090000" w:fill="FFFFFF"/>
          <w:lang w:eastAsia="zh-CN"/>
        </w:rPr>
      </w:pPr>
      <w:r>
        <w:rPr>
          <w:rStyle w:val="18"/>
          <w:rFonts w:hint="eastAsia" w:ascii="宋体" w:hAnsi="宋体" w:cs="宋体"/>
          <w:color w:val="auto"/>
          <w:sz w:val="32"/>
          <w:szCs w:val="32"/>
          <w:highlight w:val="none"/>
          <w:shd w:val="clear" w:color="090000" w:fill="FFFFFF"/>
        </w:rPr>
        <w:t>招标编号：</w:t>
      </w:r>
      <w:r>
        <w:rPr>
          <w:rStyle w:val="18"/>
          <w:rFonts w:hint="eastAsia" w:ascii="宋体" w:hAnsi="宋体" w:cs="宋体"/>
          <w:color w:val="auto"/>
          <w:sz w:val="32"/>
          <w:szCs w:val="32"/>
          <w:highlight w:val="none"/>
          <w:shd w:val="clear" w:color="090000" w:fill="FFFFFF"/>
          <w:lang w:eastAsia="zh-CN"/>
        </w:rPr>
        <w:t>XKY2025102</w:t>
      </w:r>
    </w:p>
    <w:p w14:paraId="01F761B7">
      <w:pPr>
        <w:pStyle w:val="13"/>
        <w:widowControl/>
        <w:shd w:val="clear" w:color="050000" w:fill="FFFFFF"/>
        <w:spacing w:before="75" w:beforeAutospacing="0" w:after="75" w:afterAutospacing="0" w:line="300" w:lineRule="auto"/>
        <w:ind w:firstLine="1275" w:firstLineChars="397"/>
        <w:rPr>
          <w:rStyle w:val="18"/>
          <w:rFonts w:ascii="宋体" w:hAnsi="宋体" w:cs="宋体"/>
          <w:color w:val="auto"/>
          <w:sz w:val="32"/>
          <w:szCs w:val="32"/>
          <w:highlight w:val="none"/>
          <w:shd w:val="clear" w:color="090000" w:fill="FFFFFF"/>
        </w:rPr>
      </w:pPr>
    </w:p>
    <w:p w14:paraId="23B9F1E8">
      <w:pPr>
        <w:pStyle w:val="13"/>
        <w:widowControl/>
        <w:shd w:val="clear" w:color="050000" w:fill="FFFFFF"/>
        <w:spacing w:before="75" w:beforeAutospacing="0" w:after="75" w:afterAutospacing="0" w:line="300" w:lineRule="auto"/>
        <w:ind w:firstLine="1275" w:firstLineChars="397"/>
        <w:rPr>
          <w:rStyle w:val="18"/>
          <w:rFonts w:ascii="宋体" w:hAnsi="宋体" w:cs="宋体"/>
          <w:color w:val="auto"/>
          <w:sz w:val="32"/>
          <w:szCs w:val="32"/>
          <w:highlight w:val="none"/>
          <w:shd w:val="clear" w:color="090000" w:fill="FFFFFF"/>
        </w:rPr>
      </w:pPr>
    </w:p>
    <w:p w14:paraId="07B20A34">
      <w:pPr>
        <w:pStyle w:val="13"/>
        <w:widowControl/>
        <w:shd w:val="clear" w:color="050000" w:fill="FFFFFF"/>
        <w:spacing w:before="75" w:beforeAutospacing="0" w:after="75" w:afterAutospacing="0" w:line="300" w:lineRule="auto"/>
        <w:ind w:firstLine="1275" w:firstLineChars="397"/>
        <w:rPr>
          <w:rStyle w:val="18"/>
          <w:rFonts w:ascii="宋体" w:hAnsi="宋体" w:cs="宋体"/>
          <w:color w:val="auto"/>
          <w:sz w:val="32"/>
          <w:szCs w:val="32"/>
          <w:highlight w:val="none"/>
          <w:shd w:val="clear" w:color="090000" w:fill="FFFFFF"/>
        </w:rPr>
      </w:pPr>
    </w:p>
    <w:p w14:paraId="1452CDFF">
      <w:pPr>
        <w:pStyle w:val="13"/>
        <w:widowControl/>
        <w:shd w:val="clear" w:color="050000" w:fill="FFFFFF"/>
        <w:spacing w:before="75" w:beforeAutospacing="0" w:after="75" w:afterAutospacing="0" w:line="300" w:lineRule="auto"/>
        <w:ind w:firstLine="1275" w:firstLineChars="397"/>
        <w:rPr>
          <w:rFonts w:ascii="微软雅黑" w:hAnsi="微软雅黑" w:eastAsia="微软雅黑" w:cs="微软雅黑"/>
          <w:color w:val="auto"/>
          <w:sz w:val="20"/>
          <w:szCs w:val="20"/>
          <w:highlight w:val="none"/>
        </w:rPr>
      </w:pPr>
      <w:r>
        <w:rPr>
          <w:rStyle w:val="18"/>
          <w:rFonts w:hint="eastAsia" w:ascii="宋体" w:hAnsi="宋体" w:cs="宋体"/>
          <w:color w:val="auto"/>
          <w:sz w:val="32"/>
          <w:szCs w:val="32"/>
          <w:highlight w:val="none"/>
          <w:shd w:val="clear" w:color="090000" w:fill="FFFFFF"/>
        </w:rPr>
        <w:t xml:space="preserve">                  </w:t>
      </w:r>
    </w:p>
    <w:p w14:paraId="2C6BC540">
      <w:pPr>
        <w:pStyle w:val="13"/>
        <w:widowControl/>
        <w:shd w:val="clear" w:color="050000" w:fill="FFFFFF"/>
        <w:spacing w:before="75" w:beforeAutospacing="0" w:after="75" w:afterAutospacing="0" w:line="300" w:lineRule="auto"/>
        <w:ind w:firstLine="1285" w:firstLineChars="400"/>
        <w:jc w:val="both"/>
        <w:rPr>
          <w:rStyle w:val="18"/>
          <w:rFonts w:hint="eastAsia" w:ascii="宋体" w:hAnsi="宋体" w:eastAsia="宋体" w:cs="宋体"/>
          <w:color w:val="auto"/>
          <w:sz w:val="32"/>
          <w:szCs w:val="32"/>
          <w:highlight w:val="none"/>
          <w:shd w:val="clear" w:color="090000" w:fill="FFFFFF"/>
          <w:lang w:eastAsia="zh-CN"/>
        </w:rPr>
      </w:pPr>
      <w:r>
        <w:rPr>
          <w:rStyle w:val="18"/>
          <w:rFonts w:hint="eastAsia" w:ascii="宋体" w:hAnsi="宋体" w:cs="宋体"/>
          <w:color w:val="auto"/>
          <w:sz w:val="32"/>
          <w:szCs w:val="32"/>
          <w:highlight w:val="none"/>
          <w:shd w:val="clear" w:color="090000" w:fill="FFFFFF"/>
        </w:rPr>
        <w:t>采购人：</w:t>
      </w:r>
      <w:r>
        <w:rPr>
          <w:rStyle w:val="18"/>
          <w:rFonts w:hint="eastAsia" w:ascii="宋体" w:hAnsi="宋体" w:cs="宋体"/>
          <w:color w:val="auto"/>
          <w:sz w:val="32"/>
          <w:szCs w:val="32"/>
          <w:highlight w:val="none"/>
          <w:shd w:val="clear" w:color="090000" w:fill="FFFFFF"/>
          <w:lang w:eastAsia="zh-CN"/>
        </w:rPr>
        <w:t>福建省南安市南星中学</w:t>
      </w:r>
    </w:p>
    <w:p w14:paraId="0F9E538B">
      <w:pPr>
        <w:pStyle w:val="13"/>
        <w:widowControl/>
        <w:shd w:val="clear" w:color="050000" w:fill="FFFFFF"/>
        <w:spacing w:before="75" w:beforeAutospacing="0" w:after="75" w:afterAutospacing="0" w:line="300" w:lineRule="auto"/>
        <w:ind w:firstLine="1285" w:firstLineChars="400"/>
        <w:jc w:val="both"/>
        <w:rPr>
          <w:rFonts w:ascii="微软雅黑" w:hAnsi="微软雅黑" w:cs="微软雅黑"/>
          <w:color w:val="auto"/>
          <w:sz w:val="20"/>
          <w:szCs w:val="20"/>
          <w:highlight w:val="none"/>
        </w:rPr>
      </w:pPr>
      <w:r>
        <w:rPr>
          <w:rStyle w:val="18"/>
          <w:rFonts w:hint="eastAsia" w:ascii="宋体" w:hAnsi="宋体" w:cs="宋体"/>
          <w:color w:val="auto"/>
          <w:sz w:val="32"/>
          <w:szCs w:val="32"/>
          <w:highlight w:val="none"/>
          <w:shd w:val="clear" w:color="090000" w:fill="FFFFFF"/>
        </w:rPr>
        <w:t>代理机构：泉州市新开源项目咨询有限公司</w:t>
      </w:r>
    </w:p>
    <w:p w14:paraId="2C8A88D3">
      <w:pPr>
        <w:pStyle w:val="13"/>
        <w:widowControl/>
        <w:shd w:val="clear" w:color="050000" w:fill="FFFFFF"/>
        <w:spacing w:before="75" w:beforeAutospacing="0" w:after="75" w:afterAutospacing="0" w:line="300" w:lineRule="auto"/>
        <w:jc w:val="center"/>
        <w:rPr>
          <w:rFonts w:ascii="微软雅黑" w:hAnsi="微软雅黑" w:eastAsia="微软雅黑" w:cs="微软雅黑"/>
          <w:color w:val="auto"/>
          <w:sz w:val="19"/>
          <w:szCs w:val="19"/>
          <w:highlight w:val="none"/>
        </w:rPr>
      </w:pPr>
      <w:r>
        <w:rPr>
          <w:rFonts w:hint="eastAsia" w:ascii="微软雅黑" w:hAnsi="微软雅黑" w:eastAsia="微软雅黑" w:cs="微软雅黑"/>
          <w:color w:val="auto"/>
          <w:sz w:val="27"/>
          <w:szCs w:val="27"/>
          <w:highlight w:val="none"/>
          <w:shd w:val="clear" w:color="080000" w:fill="FFFFFF"/>
        </w:rPr>
        <w:t> </w:t>
      </w:r>
    </w:p>
    <w:p w14:paraId="7821E604">
      <w:pPr>
        <w:pStyle w:val="13"/>
        <w:widowControl/>
        <w:shd w:val="clear" w:color="050000" w:fill="FFFFFF"/>
        <w:spacing w:before="75" w:beforeAutospacing="0" w:after="75" w:afterAutospacing="0" w:line="300" w:lineRule="auto"/>
        <w:ind w:right="720"/>
        <w:jc w:val="center"/>
        <w:rPr>
          <w:rFonts w:ascii="微软雅黑" w:hAnsi="微软雅黑" w:eastAsia="微软雅黑" w:cs="微软雅黑"/>
          <w:color w:val="auto"/>
          <w:sz w:val="32"/>
          <w:szCs w:val="32"/>
          <w:highlight w:val="none"/>
        </w:rPr>
      </w:pPr>
      <w:r>
        <w:rPr>
          <w:rStyle w:val="18"/>
          <w:rFonts w:hint="eastAsia" w:ascii="宋体" w:hAnsi="宋体" w:cs="宋体"/>
          <w:color w:val="auto"/>
          <w:sz w:val="32"/>
          <w:szCs w:val="32"/>
          <w:highlight w:val="none"/>
          <w:shd w:val="clear" w:color="090000" w:fill="FFFFFF"/>
        </w:rPr>
        <w:t>2025年0</w:t>
      </w:r>
      <w:r>
        <w:rPr>
          <w:rStyle w:val="18"/>
          <w:rFonts w:hint="eastAsia" w:ascii="宋体" w:hAnsi="宋体" w:cs="宋体"/>
          <w:color w:val="auto"/>
          <w:sz w:val="32"/>
          <w:szCs w:val="32"/>
          <w:highlight w:val="none"/>
          <w:shd w:val="clear" w:color="090000" w:fill="FFFFFF"/>
          <w:lang w:val="en-US" w:eastAsia="zh-CN"/>
        </w:rPr>
        <w:t>8</w:t>
      </w:r>
      <w:r>
        <w:rPr>
          <w:rStyle w:val="18"/>
          <w:rFonts w:hint="eastAsia" w:ascii="宋体" w:hAnsi="宋体" w:cs="宋体"/>
          <w:color w:val="auto"/>
          <w:sz w:val="32"/>
          <w:szCs w:val="32"/>
          <w:highlight w:val="none"/>
          <w:shd w:val="clear" w:color="090000" w:fill="FFFFFF"/>
        </w:rPr>
        <w:t>月</w:t>
      </w:r>
    </w:p>
    <w:p w14:paraId="339FC463">
      <w:pPr>
        <w:pStyle w:val="13"/>
        <w:widowControl/>
        <w:shd w:val="clear" w:color="050000" w:fill="FFFFFF"/>
        <w:spacing w:before="75" w:beforeAutospacing="0" w:after="75" w:afterAutospacing="0" w:line="300" w:lineRule="auto"/>
        <w:jc w:val="center"/>
        <w:rPr>
          <w:color w:val="auto"/>
          <w:highlight w:val="none"/>
        </w:rPr>
      </w:pPr>
      <w:r>
        <w:rPr>
          <w:rStyle w:val="18"/>
          <w:rFonts w:ascii="宋体" w:hAnsi="宋体" w:cs="宋体"/>
          <w:color w:val="auto"/>
          <w:sz w:val="31"/>
          <w:szCs w:val="31"/>
          <w:highlight w:val="none"/>
        </w:rPr>
        <w:br w:type="page"/>
      </w:r>
      <w:r>
        <w:rPr>
          <w:rStyle w:val="18"/>
          <w:rFonts w:hint="eastAsia" w:ascii="宋体" w:hAnsi="宋体" w:cs="宋体"/>
          <w:color w:val="auto"/>
          <w:sz w:val="31"/>
          <w:szCs w:val="31"/>
          <w:highlight w:val="none"/>
        </w:rPr>
        <w:t>第一章</w:t>
      </w:r>
      <w:r>
        <w:rPr>
          <w:rStyle w:val="18"/>
          <w:color w:val="auto"/>
          <w:sz w:val="31"/>
          <w:szCs w:val="31"/>
          <w:highlight w:val="none"/>
        </w:rPr>
        <w:t>   </w:t>
      </w:r>
      <w:r>
        <w:rPr>
          <w:rStyle w:val="18"/>
          <w:rFonts w:hint="eastAsia" w:ascii="宋体" w:hAnsi="宋体" w:cs="宋体"/>
          <w:color w:val="auto"/>
          <w:sz w:val="31"/>
          <w:szCs w:val="31"/>
          <w:highlight w:val="none"/>
        </w:rPr>
        <w:t>投标邀请</w:t>
      </w:r>
    </w:p>
    <w:p w14:paraId="206D3991">
      <w:pPr>
        <w:pStyle w:val="13"/>
        <w:widowControl/>
        <w:spacing w:before="75" w:beforeAutospacing="0" w:after="75" w:afterAutospacing="0" w:line="300" w:lineRule="auto"/>
        <w:rPr>
          <w:color w:val="auto"/>
          <w:highlight w:val="none"/>
        </w:rPr>
      </w:pPr>
      <w:r>
        <w:rPr>
          <w:color w:val="auto"/>
          <w:highlight w:val="none"/>
        </w:rPr>
        <w:t> </w:t>
      </w:r>
    </w:p>
    <w:p w14:paraId="5B43CA25">
      <w:pPr>
        <w:pStyle w:val="13"/>
        <w:widowControl/>
        <w:spacing w:before="75" w:beforeAutospacing="0" w:after="75" w:afterAutospacing="0" w:line="300" w:lineRule="auto"/>
        <w:ind w:firstLine="480"/>
        <w:rPr>
          <w:color w:val="auto"/>
          <w:highlight w:val="none"/>
        </w:rPr>
      </w:pPr>
      <w:r>
        <w:rPr>
          <w:rFonts w:hint="eastAsia" w:ascii="宋体" w:hAnsi="宋体" w:cs="宋体"/>
          <w:b/>
          <w:bCs/>
          <w:color w:val="auto"/>
          <w:highlight w:val="none"/>
          <w:u w:val="single"/>
        </w:rPr>
        <w:t>泉州市新开源项目咨询有限公司</w:t>
      </w:r>
      <w:r>
        <w:rPr>
          <w:rFonts w:hint="eastAsia" w:ascii="宋体" w:hAnsi="宋体" w:cs="宋体"/>
          <w:color w:val="auto"/>
          <w:highlight w:val="none"/>
        </w:rPr>
        <w:t>采用</w:t>
      </w:r>
      <w:r>
        <w:rPr>
          <w:rFonts w:hint="eastAsia" w:ascii="宋体" w:hAnsi="宋体" w:cs="宋体"/>
          <w:b/>
          <w:bCs/>
          <w:color w:val="auto"/>
          <w:highlight w:val="none"/>
          <w:u w:val="single"/>
        </w:rPr>
        <w:t>公开招标</w:t>
      </w:r>
      <w:r>
        <w:rPr>
          <w:rFonts w:hint="eastAsia" w:ascii="宋体" w:hAnsi="宋体" w:cs="宋体"/>
          <w:color w:val="auto"/>
          <w:highlight w:val="none"/>
        </w:rPr>
        <w:t>方式组织</w:t>
      </w:r>
      <w:r>
        <w:rPr>
          <w:rFonts w:hint="eastAsia" w:ascii="宋体" w:hAnsi="宋体" w:cs="宋体"/>
          <w:b/>
          <w:bCs/>
          <w:color w:val="auto"/>
          <w:highlight w:val="none"/>
          <w:u w:val="single"/>
          <w:lang w:eastAsia="zh-CN"/>
        </w:rPr>
        <w:t>福建省南安市南星中学印刷服务采购项目</w:t>
      </w:r>
      <w:r>
        <w:rPr>
          <w:rFonts w:hint="eastAsia" w:ascii="宋体" w:hAnsi="宋体" w:cs="宋体"/>
          <w:color w:val="auto"/>
          <w:highlight w:val="none"/>
        </w:rPr>
        <w:t>（以下简称：“本项目”）的政府采购活动，现邀请供应商参加投标。</w:t>
      </w:r>
    </w:p>
    <w:p w14:paraId="4B224564">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1、招标编号：</w:t>
      </w:r>
      <w:r>
        <w:rPr>
          <w:rFonts w:hint="eastAsia" w:ascii="宋体" w:hAnsi="宋体" w:cs="宋体"/>
          <w:color w:val="auto"/>
          <w:highlight w:val="none"/>
          <w:lang w:eastAsia="zh-CN"/>
        </w:rPr>
        <w:t>XKY2025102</w:t>
      </w:r>
      <w:r>
        <w:rPr>
          <w:rFonts w:hint="eastAsia" w:ascii="宋体" w:hAnsi="宋体" w:cs="宋体"/>
          <w:color w:val="auto"/>
          <w:highlight w:val="none"/>
        </w:rPr>
        <w:t>。</w:t>
      </w:r>
    </w:p>
    <w:p w14:paraId="017BB46C">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2、预算金额：详见《采购标的一览表》。</w:t>
      </w:r>
    </w:p>
    <w:p w14:paraId="0A630A4D">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3、招标内容及要求：详见《采购标的一览表》及招标文件第五章。</w:t>
      </w:r>
    </w:p>
    <w:p w14:paraId="2BA1DA1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4、需要落实的政府采购政策：无。</w:t>
      </w:r>
    </w:p>
    <w:p w14:paraId="21A88D84">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5、投标人的资格要求</w:t>
      </w:r>
    </w:p>
    <w:p w14:paraId="60879153">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5.1法定条件：符合《中华人民共和国政府采购法》第二十二条第一款规定的条件。</w:t>
      </w:r>
    </w:p>
    <w:p w14:paraId="2B0157BD">
      <w:pPr>
        <w:pStyle w:val="13"/>
        <w:widowControl/>
        <w:spacing w:before="75" w:beforeAutospacing="0" w:after="75" w:afterAutospacing="0" w:line="300" w:lineRule="auto"/>
        <w:ind w:firstLine="480"/>
        <w:rPr>
          <w:rFonts w:hint="eastAsia" w:ascii="宋体" w:hAnsi="宋体" w:cs="宋体"/>
          <w:color w:val="auto"/>
          <w:highlight w:val="none"/>
        </w:rPr>
      </w:pPr>
      <w:r>
        <w:rPr>
          <w:rFonts w:hint="eastAsia" w:ascii="宋体" w:hAnsi="宋体" w:cs="宋体"/>
          <w:color w:val="auto"/>
          <w:highlight w:val="none"/>
        </w:rPr>
        <w:t>5.2特定条件：</w:t>
      </w:r>
    </w:p>
    <w:tbl>
      <w:tblPr>
        <w:tblStyle w:val="15"/>
        <w:tblW w:w="8197" w:type="dxa"/>
        <w:tblInd w:w="52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2610"/>
        <w:gridCol w:w="5587"/>
      </w:tblGrid>
      <w:tr w14:paraId="5284182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96" w:hRule="atLeast"/>
          <w:tblHeader/>
        </w:trPr>
        <w:tc>
          <w:tcPr>
            <w:tcW w:w="2610" w:type="dxa"/>
            <w:tcBorders>
              <w:top w:val="single" w:color="666666" w:sz="6" w:space="0"/>
              <w:left w:val="single" w:color="666666" w:sz="6" w:space="0"/>
              <w:bottom w:val="single" w:color="666666" w:sz="6" w:space="0"/>
              <w:right w:val="single" w:color="666666" w:sz="6" w:space="0"/>
            </w:tcBorders>
            <w:vAlign w:val="center"/>
          </w:tcPr>
          <w:p w14:paraId="4902C724">
            <w:pPr>
              <w:widowControl/>
              <w:spacing w:line="300" w:lineRule="auto"/>
              <w:jc w:val="left"/>
              <w:rPr>
                <w:b/>
                <w:color w:val="auto"/>
                <w:sz w:val="24"/>
                <w:highlight w:val="none"/>
              </w:rPr>
            </w:pPr>
            <w:r>
              <w:rPr>
                <w:rFonts w:ascii="宋体" w:hAnsi="宋体" w:cs="宋体"/>
                <w:b/>
                <w:color w:val="auto"/>
                <w:kern w:val="0"/>
                <w:sz w:val="24"/>
                <w:highlight w:val="none"/>
              </w:rPr>
              <w:t>明细</w:t>
            </w:r>
          </w:p>
        </w:tc>
        <w:tc>
          <w:tcPr>
            <w:tcW w:w="5587" w:type="dxa"/>
            <w:tcBorders>
              <w:top w:val="single" w:color="666666" w:sz="6" w:space="0"/>
              <w:left w:val="single" w:color="666666" w:sz="6" w:space="0"/>
              <w:bottom w:val="single" w:color="666666" w:sz="6" w:space="0"/>
              <w:right w:val="single" w:color="666666" w:sz="6" w:space="0"/>
            </w:tcBorders>
            <w:vAlign w:val="center"/>
          </w:tcPr>
          <w:p w14:paraId="7BE6605F">
            <w:pPr>
              <w:widowControl/>
              <w:spacing w:line="300" w:lineRule="auto"/>
              <w:jc w:val="left"/>
              <w:rPr>
                <w:b/>
                <w:color w:val="auto"/>
                <w:sz w:val="24"/>
                <w:highlight w:val="none"/>
              </w:rPr>
            </w:pPr>
            <w:r>
              <w:rPr>
                <w:rFonts w:ascii="宋体" w:hAnsi="宋体" w:cs="宋体"/>
                <w:b/>
                <w:color w:val="auto"/>
                <w:kern w:val="0"/>
                <w:sz w:val="24"/>
                <w:highlight w:val="none"/>
              </w:rPr>
              <w:t>描述</w:t>
            </w:r>
          </w:p>
        </w:tc>
      </w:tr>
      <w:tr w14:paraId="3E00DD2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778" w:hRule="atLeast"/>
        </w:trPr>
        <w:tc>
          <w:tcPr>
            <w:tcW w:w="261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0B536A1">
            <w:pPr>
              <w:widowControl/>
              <w:spacing w:line="300" w:lineRule="auto"/>
              <w:jc w:val="left"/>
              <w:rPr>
                <w:rFonts w:hint="default" w:eastAsia="宋体"/>
                <w:color w:val="auto"/>
                <w:sz w:val="24"/>
                <w:highlight w:val="none"/>
                <w:lang w:val="en-US" w:eastAsia="zh-CN"/>
              </w:rPr>
            </w:pPr>
            <w:r>
              <w:rPr>
                <w:rFonts w:hint="eastAsia"/>
                <w:color w:val="auto"/>
                <w:sz w:val="24"/>
                <w:highlight w:val="none"/>
                <w:lang w:val="en-US" w:eastAsia="zh-CN"/>
              </w:rPr>
              <w:t>其他资格要求</w:t>
            </w:r>
          </w:p>
        </w:tc>
        <w:tc>
          <w:tcPr>
            <w:tcW w:w="5587"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7E2FA72">
            <w:pPr>
              <w:spacing w:line="300" w:lineRule="auto"/>
              <w:rPr>
                <w:rFonts w:hint="eastAsia" w:ascii="宋体" w:eastAsia="宋体"/>
                <w:color w:val="auto"/>
                <w:sz w:val="24"/>
                <w:highlight w:val="none"/>
                <w:lang w:eastAsia="zh-CN"/>
              </w:rPr>
            </w:pPr>
            <w:r>
              <w:rPr>
                <w:rFonts w:hint="eastAsia" w:ascii="宋体" w:hAnsi="宋体" w:cs="宋体"/>
                <w:bCs/>
                <w:color w:val="auto"/>
                <w:kern w:val="0"/>
                <w:sz w:val="24"/>
                <w:highlight w:val="none"/>
              </w:rPr>
              <w:t>投标人须具备有关行政主管部门颁发的合格有效的《印刷经营许可证》，须提供证书复印件并加盖投标人公章</w:t>
            </w:r>
            <w:r>
              <w:rPr>
                <w:rFonts w:hint="eastAsia" w:ascii="宋体" w:hAnsi="宋体" w:cs="宋体"/>
                <w:bCs/>
                <w:color w:val="auto"/>
                <w:kern w:val="0"/>
                <w:sz w:val="24"/>
                <w:highlight w:val="none"/>
                <w:lang w:eastAsia="zh-CN"/>
              </w:rPr>
              <w:t>。</w:t>
            </w:r>
          </w:p>
        </w:tc>
      </w:tr>
    </w:tbl>
    <w:p w14:paraId="435EBAC1">
      <w:pPr>
        <w:pStyle w:val="13"/>
        <w:widowControl/>
        <w:spacing w:before="75" w:beforeAutospacing="0" w:after="75" w:afterAutospacing="0" w:line="300" w:lineRule="auto"/>
        <w:ind w:firstLine="480"/>
        <w:rPr>
          <w:rFonts w:hint="eastAsia" w:ascii="宋体" w:hAnsi="宋体" w:cs="宋体"/>
          <w:color w:val="auto"/>
          <w:highlight w:val="none"/>
        </w:rPr>
      </w:pPr>
    </w:p>
    <w:p w14:paraId="0E0F404C">
      <w:pPr>
        <w:pStyle w:val="13"/>
        <w:widowControl/>
        <w:spacing w:before="75" w:beforeAutospacing="0" w:after="75" w:afterAutospacing="0" w:line="300" w:lineRule="auto"/>
        <w:ind w:firstLine="480" w:firstLineChars="200"/>
        <w:rPr>
          <w:color w:val="auto"/>
          <w:highlight w:val="none"/>
        </w:rPr>
      </w:pPr>
      <w:r>
        <w:rPr>
          <w:rFonts w:hint="eastAsia" w:ascii="宋体" w:hAnsi="宋体" w:cs="宋体"/>
          <w:color w:val="auto"/>
          <w:highlight w:val="none"/>
        </w:rPr>
        <w:t>5.3是否接受联合体投标：否。</w:t>
      </w:r>
    </w:p>
    <w:p w14:paraId="1C571904">
      <w:pPr>
        <w:pStyle w:val="13"/>
        <w:widowControl/>
        <w:spacing w:before="75" w:beforeAutospacing="0" w:after="75" w:afterAutospacing="0" w:line="300" w:lineRule="auto"/>
        <w:ind w:firstLine="480"/>
        <w:rPr>
          <w:color w:val="auto"/>
          <w:highlight w:val="none"/>
        </w:rPr>
      </w:pPr>
      <w:r>
        <w:rPr>
          <w:rStyle w:val="18"/>
          <w:rFonts w:hint="eastAsia" w:ascii="宋体" w:hAnsi="宋体" w:cs="宋体"/>
          <w:color w:val="auto"/>
          <w:highlight w:val="none"/>
        </w:rPr>
        <w:t>※根据上述资格要求，投标文件中应提交的“投标人的资格及资信证明文件”详见招标文件第四章。</w:t>
      </w:r>
    </w:p>
    <w:p w14:paraId="3E78A489">
      <w:pPr>
        <w:pStyle w:val="13"/>
        <w:widowControl/>
        <w:spacing w:before="75" w:beforeAutospacing="0" w:after="75" w:afterAutospacing="0" w:line="360" w:lineRule="auto"/>
        <w:ind w:firstLine="480"/>
        <w:rPr>
          <w:rFonts w:hint="eastAsia" w:ascii="宋体" w:hAnsi="宋体"/>
          <w:b/>
          <w:bCs/>
          <w:color w:val="auto"/>
          <w:sz w:val="24"/>
        </w:rPr>
      </w:pPr>
      <w:r>
        <w:rPr>
          <w:rFonts w:hint="eastAsia" w:ascii="宋体" w:hAnsi="宋体" w:cs="宋体"/>
          <w:color w:val="auto"/>
          <w:highlight w:val="none"/>
        </w:rPr>
        <w:t>6、</w:t>
      </w:r>
      <w:r>
        <w:rPr>
          <w:rFonts w:hint="eastAsia" w:ascii="宋体" w:hAnsi="宋体"/>
          <w:color w:val="auto"/>
          <w:sz w:val="24"/>
        </w:rPr>
        <w:t>凡愿意参加投标的合格供应商请于招标文件公告时间内至</w:t>
      </w:r>
      <w:r>
        <w:rPr>
          <w:rFonts w:hint="eastAsia" w:ascii="宋体" w:hAnsi="宋体"/>
          <w:color w:val="auto"/>
          <w:sz w:val="24"/>
          <w:lang w:eastAsia="zh-CN"/>
        </w:rPr>
        <w:t>泉州市新开源项目咨询有限公司</w:t>
      </w:r>
      <w:r>
        <w:rPr>
          <w:rFonts w:hint="eastAsia" w:ascii="宋体" w:hAnsi="宋体"/>
          <w:color w:val="auto"/>
          <w:sz w:val="24"/>
          <w:lang w:val="en-US" w:eastAsia="zh-CN"/>
        </w:rPr>
        <w:t>报名登记手续</w:t>
      </w:r>
      <w:r>
        <w:rPr>
          <w:rFonts w:hint="eastAsia" w:ascii="宋体" w:hAnsi="宋体"/>
          <w:color w:val="auto"/>
          <w:sz w:val="24"/>
          <w:lang w:eastAsia="zh-CN"/>
        </w:rPr>
        <w:t>，</w:t>
      </w:r>
      <w:r>
        <w:rPr>
          <w:rFonts w:hint="eastAsia" w:ascii="宋体" w:hAnsi="宋体"/>
          <w:color w:val="auto"/>
          <w:sz w:val="24"/>
          <w:lang w:val="en-US" w:eastAsia="zh-CN"/>
        </w:rPr>
        <w:t>未进行报名登记的</w:t>
      </w:r>
      <w:r>
        <w:rPr>
          <w:rFonts w:hint="eastAsia" w:ascii="宋体" w:hAnsi="宋体"/>
          <w:color w:val="auto"/>
          <w:sz w:val="24"/>
        </w:rPr>
        <w:t>其</w:t>
      </w:r>
      <w:r>
        <w:rPr>
          <w:rFonts w:hint="eastAsia" w:ascii="宋体" w:hAnsi="宋体"/>
          <w:color w:val="auto"/>
          <w:sz w:val="24"/>
          <w:lang w:val="en-US" w:eastAsia="zh-CN"/>
        </w:rPr>
        <w:t>投标</w:t>
      </w:r>
      <w:r>
        <w:rPr>
          <w:rFonts w:hint="eastAsia" w:ascii="宋体" w:hAnsi="宋体"/>
          <w:color w:val="auto"/>
          <w:sz w:val="24"/>
        </w:rPr>
        <w:t>响应文件恕不接受。工作时间每天上午8：</w:t>
      </w:r>
      <w:r>
        <w:rPr>
          <w:rFonts w:hint="eastAsia" w:ascii="宋体" w:hAnsi="宋体"/>
          <w:color w:val="auto"/>
          <w:sz w:val="24"/>
          <w:lang w:val="en-US" w:eastAsia="zh-CN"/>
        </w:rPr>
        <w:t>0</w:t>
      </w:r>
      <w:r>
        <w:rPr>
          <w:rFonts w:hint="eastAsia" w:ascii="宋体" w:hAnsi="宋体"/>
          <w:color w:val="auto"/>
          <w:sz w:val="24"/>
        </w:rPr>
        <w:t>0～12：00时，下午1</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w:t>
      </w:r>
      <w:r>
        <w:rPr>
          <w:rFonts w:hint="eastAsia" w:ascii="宋体" w:hAnsi="宋体"/>
          <w:color w:val="auto"/>
          <w:sz w:val="24"/>
          <w:lang w:val="en-US" w:eastAsia="zh-CN"/>
        </w:rPr>
        <w:t>18</w:t>
      </w:r>
      <w:r>
        <w:rPr>
          <w:rFonts w:hint="eastAsia" w:ascii="宋体" w:hAnsi="宋体"/>
          <w:color w:val="auto"/>
          <w:sz w:val="24"/>
        </w:rPr>
        <w:t>：</w:t>
      </w:r>
      <w:r>
        <w:rPr>
          <w:rFonts w:hint="eastAsia" w:ascii="宋体" w:hAnsi="宋体"/>
          <w:color w:val="auto"/>
          <w:sz w:val="24"/>
          <w:lang w:val="en-US" w:eastAsia="zh-CN"/>
        </w:rPr>
        <w:t>0</w:t>
      </w:r>
      <w:r>
        <w:rPr>
          <w:rFonts w:hint="eastAsia" w:ascii="宋体" w:hAnsi="宋体"/>
          <w:color w:val="auto"/>
          <w:sz w:val="24"/>
        </w:rPr>
        <w:t>0时(北京时间)，逾期</w:t>
      </w:r>
      <w:r>
        <w:rPr>
          <w:rFonts w:hint="eastAsia" w:ascii="宋体" w:hAnsi="宋体"/>
          <w:color w:val="auto"/>
          <w:sz w:val="24"/>
          <w:lang w:val="en-US" w:eastAsia="zh-CN"/>
        </w:rPr>
        <w:t>办理报名登记手续</w:t>
      </w:r>
      <w:r>
        <w:rPr>
          <w:rFonts w:hint="eastAsia" w:ascii="宋体" w:hAnsi="宋体"/>
          <w:color w:val="auto"/>
          <w:sz w:val="24"/>
        </w:rPr>
        <w:t>的，其投标将被拒绝</w:t>
      </w:r>
      <w:r>
        <w:rPr>
          <w:rFonts w:hint="eastAsia" w:ascii="宋体" w:hAnsi="宋体"/>
          <w:color w:val="auto"/>
          <w:sz w:val="24"/>
          <w:lang w:eastAsia="zh-CN"/>
        </w:rPr>
        <w:t>。</w:t>
      </w:r>
      <w:r>
        <w:rPr>
          <w:rFonts w:hint="eastAsia" w:ascii="宋体" w:hAnsi="宋体"/>
          <w:b/>
          <w:bCs/>
          <w:color w:val="auto"/>
          <w:sz w:val="24"/>
          <w:lang w:eastAsia="zh-CN"/>
        </w:rPr>
        <w:t>【</w:t>
      </w:r>
      <w:r>
        <w:rPr>
          <w:rFonts w:hint="eastAsia" w:ascii="宋体" w:hAnsi="宋体"/>
          <w:b/>
          <w:bCs/>
          <w:color w:val="auto"/>
          <w:sz w:val="24"/>
        </w:rPr>
        <w:t>注：报名时需提供报名表（所报项目名称、采购编号、投标供应商全称、联系人、联系电话、传真、邮箱）。</w:t>
      </w:r>
      <w:r>
        <w:rPr>
          <w:rFonts w:hint="eastAsia" w:ascii="宋体" w:hAnsi="宋体"/>
          <w:b/>
          <w:bCs/>
          <w:color w:val="auto"/>
          <w:sz w:val="24"/>
          <w:lang w:eastAsia="zh-CN"/>
        </w:rPr>
        <w:t>】</w:t>
      </w:r>
    </w:p>
    <w:p w14:paraId="18064995">
      <w:pPr>
        <w:pStyle w:val="13"/>
        <w:widowControl/>
        <w:spacing w:before="75" w:beforeAutospacing="0" w:after="75" w:afterAutospacing="0" w:line="360" w:lineRule="auto"/>
        <w:ind w:firstLine="480" w:firstLineChars="200"/>
        <w:rPr>
          <w:rFonts w:eastAsia="黑体"/>
          <w:color w:val="auto"/>
          <w:highlight w:val="none"/>
        </w:rPr>
      </w:pPr>
      <w:r>
        <w:rPr>
          <w:rFonts w:hint="eastAsia" w:ascii="宋体" w:hAnsi="宋体" w:cs="宋体"/>
          <w:color w:val="auto"/>
          <w:highlight w:val="none"/>
        </w:rPr>
        <w:t>7、招标文件公告期限：</w:t>
      </w:r>
      <w:r>
        <w:rPr>
          <w:rFonts w:hint="eastAsia" w:ascii="宋体" w:hAnsi="宋体" w:cs="宋体"/>
          <w:color w:val="auto"/>
          <w:highlight w:val="none"/>
          <w:u w:val="single"/>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8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14 </w:t>
      </w:r>
      <w:r>
        <w:rPr>
          <w:rFonts w:hint="eastAsia" w:ascii="宋体" w:hAnsi="宋体" w:cs="宋体"/>
          <w:color w:val="auto"/>
          <w:highlight w:val="none"/>
        </w:rPr>
        <w:t>日至</w:t>
      </w:r>
      <w:r>
        <w:rPr>
          <w:rFonts w:hint="eastAsia" w:ascii="宋体" w:hAnsi="宋体" w:cs="宋体"/>
          <w:color w:val="auto"/>
          <w:highlight w:val="none"/>
          <w:u w:val="single"/>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 xml:space="preserve"> 8 </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20 </w:t>
      </w:r>
      <w:r>
        <w:rPr>
          <w:rFonts w:hint="eastAsia" w:ascii="宋体" w:hAnsi="宋体" w:cs="宋体"/>
          <w:color w:val="auto"/>
          <w:highlight w:val="none"/>
        </w:rPr>
        <w:t>日（下）午</w:t>
      </w:r>
      <w:r>
        <w:rPr>
          <w:rFonts w:hint="eastAsia" w:ascii="宋体" w:hAnsi="宋体" w:cs="宋体"/>
          <w:color w:val="auto"/>
          <w:highlight w:val="none"/>
          <w:u w:val="single"/>
        </w:rPr>
        <w:t>18：00</w:t>
      </w:r>
      <w:r>
        <w:rPr>
          <w:rFonts w:hint="eastAsia" w:ascii="宋体" w:hAnsi="宋体" w:cs="宋体"/>
          <w:color w:val="auto"/>
          <w:highlight w:val="none"/>
        </w:rPr>
        <w:t>时(北京时间)。</w:t>
      </w:r>
    </w:p>
    <w:p w14:paraId="0D1A0FA8">
      <w:pPr>
        <w:pStyle w:val="13"/>
        <w:widowControl/>
        <w:spacing w:before="75" w:beforeAutospacing="0" w:after="75" w:afterAutospacing="0" w:line="360" w:lineRule="auto"/>
        <w:ind w:firstLine="480"/>
        <w:rPr>
          <w:rFonts w:ascii="宋体" w:hAnsi="宋体" w:cs="宋体"/>
          <w:color w:val="auto"/>
          <w:highlight w:val="none"/>
        </w:rPr>
      </w:pPr>
      <w:r>
        <w:rPr>
          <w:rFonts w:hint="eastAsia" w:ascii="宋体" w:hAnsi="宋体" w:cs="宋体"/>
          <w:color w:val="auto"/>
          <w:highlight w:val="none"/>
        </w:rPr>
        <w:t>8、递交投标文件、样品（若有）截止时间：</w:t>
      </w:r>
      <w:r>
        <w:rPr>
          <w:rFonts w:hint="eastAsia" w:ascii="宋体" w:hAnsi="宋体" w:cs="宋体"/>
          <w:color w:val="auto"/>
          <w:highlight w:val="none"/>
          <w:u w:val="single"/>
        </w:rPr>
        <w:t>2025</w:t>
      </w:r>
      <w:r>
        <w:rPr>
          <w:rFonts w:hint="eastAsia" w:ascii="宋体" w:hAnsi="宋体" w:cs="宋体"/>
          <w:color w:val="auto"/>
          <w:highlight w:val="none"/>
        </w:rPr>
        <w:t>年</w:t>
      </w:r>
      <w:r>
        <w:rPr>
          <w:rFonts w:hint="eastAsia" w:ascii="宋体" w:hAnsi="宋体" w:cs="宋体"/>
          <w:color w:val="auto"/>
          <w:highlight w:val="none"/>
          <w:u w:val="single"/>
          <w:lang w:val="en-US" w:eastAsia="zh-CN"/>
        </w:rPr>
        <w:t>8</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21</w:t>
      </w:r>
      <w:r>
        <w:rPr>
          <w:rFonts w:hint="eastAsia" w:ascii="宋体" w:hAnsi="宋体" w:cs="宋体"/>
          <w:color w:val="auto"/>
          <w:highlight w:val="none"/>
        </w:rPr>
        <w:t>日（</w:t>
      </w:r>
      <w:r>
        <w:rPr>
          <w:rFonts w:hint="eastAsia" w:ascii="宋体" w:hAnsi="宋体" w:cs="宋体"/>
          <w:color w:val="auto"/>
          <w:highlight w:val="none"/>
          <w:lang w:val="en-US" w:eastAsia="zh-CN"/>
        </w:rPr>
        <w:t>上</w:t>
      </w:r>
      <w:r>
        <w:rPr>
          <w:rFonts w:hint="eastAsia" w:ascii="宋体" w:hAnsi="宋体" w:cs="宋体"/>
          <w:color w:val="auto"/>
          <w:highlight w:val="none"/>
        </w:rPr>
        <w:t>）</w:t>
      </w:r>
      <w:bookmarkStart w:id="0" w:name="_GoBack"/>
      <w:bookmarkEnd w:id="0"/>
      <w:r>
        <w:rPr>
          <w:rFonts w:hint="eastAsia" w:ascii="宋体" w:hAnsi="宋体" w:cs="宋体"/>
          <w:color w:val="auto"/>
          <w:highlight w:val="none"/>
          <w:u w:val="single"/>
          <w:lang w:val="en-US" w:eastAsia="zh-CN"/>
        </w:rPr>
        <w:t>10:30</w:t>
      </w:r>
      <w:r>
        <w:rPr>
          <w:rFonts w:hint="eastAsia" w:ascii="宋体" w:hAnsi="宋体" w:cs="宋体"/>
          <w:color w:val="auto"/>
          <w:highlight w:val="none"/>
        </w:rPr>
        <w:t>时(北京时间)，实质性不符合《招标文件》的规定或逾期收到的投标文件恕不接受。</w:t>
      </w:r>
    </w:p>
    <w:p w14:paraId="11E2053C">
      <w:pPr>
        <w:pStyle w:val="13"/>
        <w:widowControl/>
        <w:spacing w:before="75" w:beforeAutospacing="0" w:after="75" w:afterAutospacing="0" w:line="360" w:lineRule="auto"/>
        <w:ind w:firstLine="480"/>
        <w:rPr>
          <w:rFonts w:ascii="宋体" w:hAnsi="宋体" w:cs="宋体"/>
          <w:color w:val="auto"/>
          <w:highlight w:val="none"/>
        </w:rPr>
      </w:pPr>
      <w:r>
        <w:rPr>
          <w:rFonts w:hint="eastAsia" w:ascii="宋体" w:hAnsi="宋体" w:cs="宋体"/>
          <w:color w:val="auto"/>
          <w:highlight w:val="none"/>
        </w:rPr>
        <w:t>9、开标时间：</w:t>
      </w:r>
      <w:r>
        <w:rPr>
          <w:rFonts w:hint="eastAsia" w:ascii="宋体" w:hAnsi="宋体" w:cs="宋体"/>
          <w:color w:val="auto"/>
          <w:highlight w:val="none"/>
          <w:u w:val="single"/>
        </w:rPr>
        <w:t>025</w:t>
      </w:r>
      <w:r>
        <w:rPr>
          <w:rFonts w:hint="eastAsia" w:ascii="宋体" w:hAnsi="宋体" w:cs="宋体"/>
          <w:color w:val="auto"/>
          <w:highlight w:val="none"/>
        </w:rPr>
        <w:t>年</w:t>
      </w:r>
      <w:r>
        <w:rPr>
          <w:rFonts w:hint="eastAsia" w:ascii="宋体" w:hAnsi="宋体" w:cs="宋体"/>
          <w:color w:val="auto"/>
          <w:highlight w:val="none"/>
          <w:u w:val="single"/>
          <w:lang w:val="en-US" w:eastAsia="zh-CN"/>
        </w:rPr>
        <w:t>8</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 21</w:t>
      </w:r>
      <w:r>
        <w:rPr>
          <w:rFonts w:hint="eastAsia" w:ascii="宋体" w:hAnsi="宋体" w:cs="宋体"/>
          <w:color w:val="auto"/>
          <w:highlight w:val="none"/>
        </w:rPr>
        <w:t>日（</w:t>
      </w:r>
      <w:r>
        <w:rPr>
          <w:rFonts w:hint="eastAsia" w:ascii="宋体" w:hAnsi="宋体" w:cs="宋体"/>
          <w:color w:val="auto"/>
          <w:highlight w:val="none"/>
          <w:lang w:val="en-US" w:eastAsia="zh-CN"/>
        </w:rPr>
        <w:t>上</w:t>
      </w:r>
      <w:r>
        <w:rPr>
          <w:rFonts w:hint="eastAsia" w:ascii="宋体" w:hAnsi="宋体" w:cs="宋体"/>
          <w:color w:val="auto"/>
          <w:highlight w:val="none"/>
        </w:rPr>
        <w:t>）午</w:t>
      </w:r>
      <w:r>
        <w:rPr>
          <w:rFonts w:hint="eastAsia" w:ascii="宋体" w:hAnsi="宋体" w:cs="宋体"/>
          <w:color w:val="auto"/>
          <w:highlight w:val="none"/>
          <w:u w:val="single"/>
          <w:lang w:val="en-US" w:eastAsia="zh-CN"/>
        </w:rPr>
        <w:t>10:30</w:t>
      </w:r>
      <w:r>
        <w:rPr>
          <w:rFonts w:hint="eastAsia" w:ascii="宋体" w:hAnsi="宋体" w:cs="宋体"/>
          <w:color w:val="auto"/>
          <w:highlight w:val="none"/>
        </w:rPr>
        <w:t>时(北京时间)</w:t>
      </w:r>
    </w:p>
    <w:p w14:paraId="1983F3B1">
      <w:pPr>
        <w:pStyle w:val="13"/>
        <w:widowControl/>
        <w:spacing w:before="75" w:beforeAutospacing="0" w:after="75" w:afterAutospacing="0" w:line="360" w:lineRule="auto"/>
        <w:ind w:firstLine="480"/>
        <w:rPr>
          <w:rFonts w:hint="eastAsia" w:ascii="宋体" w:hAnsi="宋体" w:eastAsia="宋体" w:cs="宋体"/>
          <w:color w:val="auto"/>
          <w:highlight w:val="none"/>
          <w:lang w:eastAsia="zh-CN"/>
        </w:rPr>
      </w:pPr>
      <w:r>
        <w:rPr>
          <w:rFonts w:hint="eastAsia" w:ascii="宋体" w:hAnsi="宋体" w:cs="宋体"/>
          <w:color w:val="auto"/>
          <w:highlight w:val="none"/>
        </w:rPr>
        <w:t>10、报名登记、递交投标文件、样品（若有）及开标地点：</w:t>
      </w:r>
      <w:r>
        <w:rPr>
          <w:rFonts w:hint="eastAsia" w:ascii="宋体" w:hAnsi="宋体" w:cs="宋体"/>
          <w:color w:val="auto"/>
          <w:highlight w:val="none"/>
          <w:u w:val="single"/>
        </w:rPr>
        <w:t>福建省南安市南星中学会议室</w:t>
      </w:r>
      <w:r>
        <w:rPr>
          <w:rFonts w:hint="eastAsia" w:ascii="宋体" w:hAnsi="宋体" w:cs="宋体"/>
          <w:color w:val="auto"/>
          <w:highlight w:val="none"/>
          <w:u w:val="single"/>
          <w:lang w:eastAsia="zh-CN"/>
        </w:rPr>
        <w:t>。</w:t>
      </w:r>
    </w:p>
    <w:p w14:paraId="6AB0CD95">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11、供应商认为招标文件、采购过程和中标结果使自己的权益受到损害的，可根据中华人民共和国国务院令第658号令《中华人民共和国政府采购法实施条例》第五十三条提出质疑：对招标文件质疑的，可以在收到招标文件之日或者招标文件公告期限届满之日提出；对采购过程质疑的，可以在各采购程序环节结束之日提出；对中标结果质疑的，可以在中标结果公告期限届满之日提出；均以书面形式向采购人提出质疑澄清，口头质疑不予接受。</w:t>
      </w:r>
    </w:p>
    <w:p w14:paraId="25958567">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注：(1)质疑供货商将该函（原件）和相关证据盖公章在规定的时间内送达招标代理机构及采购单位。</w:t>
      </w:r>
    </w:p>
    <w:p w14:paraId="40F86303">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 xml:space="preserve">   （2）送达时需提供营业执照副本复印件并加盖公章，否则不予受理。</w:t>
      </w:r>
    </w:p>
    <w:p w14:paraId="0AC56BBA">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 xml:space="preserve">   （3）非法定代表人送达时，授权代表须提供法定代表人授权书和法定代表人及授权代表的身份证复印件及为授权代表缴交的近3个月社保缴费证明材料,并加盖公章，否则不予受理。</w:t>
      </w:r>
    </w:p>
    <w:p w14:paraId="498E4140">
      <w:pPr>
        <w:spacing w:line="300" w:lineRule="auto"/>
        <w:ind w:firstLine="480" w:firstLineChars="200"/>
        <w:rPr>
          <w:color w:val="auto"/>
          <w:sz w:val="24"/>
          <w:highlight w:val="none"/>
        </w:rPr>
      </w:pPr>
      <w:r>
        <w:rPr>
          <w:rFonts w:hint="eastAsia" w:ascii="宋体" w:hAnsi="宋体" w:cs="宋体"/>
          <w:color w:val="auto"/>
          <w:sz w:val="24"/>
          <w:highlight w:val="none"/>
        </w:rPr>
        <w:t>质疑函的格式应当参照财政部官方网站提供的质疑函范本，针对同一采购程序环节的质疑应当在法定质疑期内一次性提出，否则将不予受理。</w:t>
      </w:r>
    </w:p>
    <w:p w14:paraId="6FB5DE00">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12、有关本项目招标的相关信息（包括招标文件若有修改）均发布于南安市人民政府http://www.nanan.gov.cn/zwgk/ztzl/ggzyjy“其他”栏上，不作另行通知，请潜在投标供应商随时关注相关网站，以免错漏重要信息。</w:t>
      </w:r>
    </w:p>
    <w:p w14:paraId="675766BA">
      <w:pPr>
        <w:snapToGrid w:val="0"/>
        <w:spacing w:line="30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13、采购单位：</w:t>
      </w:r>
      <w:r>
        <w:rPr>
          <w:rFonts w:hint="eastAsia" w:ascii="宋体" w:hAnsi="宋体"/>
          <w:color w:val="auto"/>
          <w:sz w:val="24"/>
          <w:highlight w:val="none"/>
          <w:lang w:eastAsia="zh-CN"/>
        </w:rPr>
        <w:t>福建省南安市南星中学</w:t>
      </w:r>
    </w:p>
    <w:p w14:paraId="1D4290B2">
      <w:pPr>
        <w:snapToGrid w:val="0"/>
        <w:spacing w:line="300" w:lineRule="auto"/>
        <w:ind w:firstLine="960" w:firstLineChars="400"/>
        <w:rPr>
          <w:rFonts w:hint="eastAsia" w:ascii="宋体" w:hAnsi="宋体" w:eastAsia="宋体"/>
          <w:color w:val="auto"/>
          <w:sz w:val="24"/>
          <w:highlight w:val="none"/>
          <w:lang w:eastAsia="zh-CN"/>
        </w:rPr>
      </w:pPr>
      <w:r>
        <w:rPr>
          <w:rFonts w:hint="eastAsia" w:ascii="宋体" w:hAnsi="宋体"/>
          <w:color w:val="auto"/>
          <w:sz w:val="24"/>
          <w:highlight w:val="none"/>
        </w:rPr>
        <w:t>采购单位地址：</w:t>
      </w:r>
      <w:r>
        <w:rPr>
          <w:rFonts w:hint="eastAsia" w:ascii="宋体" w:hAnsi="宋体"/>
          <w:color w:val="auto"/>
          <w:sz w:val="24"/>
          <w:highlight w:val="none"/>
          <w:lang w:eastAsia="zh-CN"/>
        </w:rPr>
        <w:t>南安市水头镇五里桥大道158号</w:t>
      </w:r>
    </w:p>
    <w:p w14:paraId="1963309C">
      <w:pPr>
        <w:snapToGrid w:val="0"/>
        <w:spacing w:line="300" w:lineRule="auto"/>
        <w:ind w:firstLine="960" w:firstLineChars="400"/>
        <w:rPr>
          <w:rFonts w:hint="eastAsia" w:ascii="宋体" w:hAnsi="宋体" w:eastAsia="宋体"/>
          <w:color w:val="auto"/>
          <w:sz w:val="24"/>
          <w:highlight w:val="none"/>
          <w:u w:val="singl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张老师</w:t>
      </w:r>
      <w:r>
        <w:rPr>
          <w:rFonts w:hint="eastAsia" w:ascii="宋体" w:hAnsi="宋体"/>
          <w:color w:val="auto"/>
          <w:sz w:val="24"/>
          <w:highlight w:val="none"/>
        </w:rPr>
        <w:t>，联系电话：</w:t>
      </w:r>
      <w:r>
        <w:rPr>
          <w:rFonts w:hint="eastAsia" w:ascii="宋体" w:hAnsi="宋体"/>
          <w:color w:val="auto"/>
          <w:sz w:val="24"/>
          <w:highlight w:val="none"/>
          <w:lang w:eastAsia="zh-CN"/>
        </w:rPr>
        <w:t>13600760421</w:t>
      </w:r>
    </w:p>
    <w:p w14:paraId="0596D067">
      <w:pPr>
        <w:adjustRightInd w:val="0"/>
        <w:snapToGrid w:val="0"/>
        <w:spacing w:line="300" w:lineRule="auto"/>
        <w:ind w:firstLine="480" w:firstLineChars="200"/>
        <w:rPr>
          <w:rFonts w:ascii="宋体" w:hAnsi="宋体"/>
          <w:color w:val="auto"/>
          <w:sz w:val="24"/>
          <w:highlight w:val="none"/>
        </w:rPr>
      </w:pPr>
      <w:r>
        <w:rPr>
          <w:rFonts w:hint="eastAsia" w:ascii="宋体" w:hAnsi="宋体"/>
          <w:color w:val="auto"/>
          <w:sz w:val="24"/>
          <w:highlight w:val="none"/>
        </w:rPr>
        <w:t>14、采购代理机构名称</w:t>
      </w:r>
      <w:r>
        <w:rPr>
          <w:rFonts w:hint="eastAsia" w:ascii="宋体" w:hAnsi="宋体"/>
          <w:vanish/>
          <w:color w:val="auto"/>
          <w:sz w:val="24"/>
          <w:highlight w:val="none"/>
        </w:rPr>
        <w:t>们6392507</w:t>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t>10101   采购代</w:t>
      </w:r>
      <w:r>
        <w:rPr>
          <w:rFonts w:hint="eastAsia" w:ascii="宋体" w:hAnsi="宋体"/>
          <w:color w:val="auto"/>
          <w:sz w:val="24"/>
          <w:highlight w:val="none"/>
        </w:rPr>
        <w:t>：泉州市新开源项目咨询有限公司</w:t>
      </w:r>
    </w:p>
    <w:p w14:paraId="25FF7DAB">
      <w:pPr>
        <w:adjustRightInd w:val="0"/>
        <w:snapToGrid w:val="0"/>
        <w:spacing w:line="300" w:lineRule="auto"/>
        <w:ind w:firstLine="960" w:firstLineChars="400"/>
        <w:rPr>
          <w:rFonts w:ascii="宋体" w:hAnsi="宋体"/>
          <w:color w:val="auto"/>
          <w:sz w:val="24"/>
          <w:highlight w:val="none"/>
        </w:rPr>
      </w:pPr>
      <w:r>
        <w:rPr>
          <w:rFonts w:hint="eastAsia" w:ascii="宋体" w:hAnsi="宋体"/>
          <w:color w:val="auto"/>
          <w:sz w:val="24"/>
          <w:highlight w:val="none"/>
        </w:rPr>
        <w:t>采购代理机构地址</w:t>
      </w:r>
      <w:r>
        <w:rPr>
          <w:rFonts w:hint="eastAsia" w:ascii="宋体" w:hAnsi="宋体"/>
          <w:vanish/>
          <w:color w:val="auto"/>
          <w:sz w:val="24"/>
          <w:highlight w:val="none"/>
        </w:rPr>
        <w:t>们6392507</w:t>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pgNum/>
      </w:r>
      <w:r>
        <w:rPr>
          <w:rFonts w:hint="eastAsia" w:ascii="宋体" w:hAnsi="宋体"/>
          <w:vanish/>
          <w:color w:val="auto"/>
          <w:sz w:val="24"/>
          <w:highlight w:val="none"/>
        </w:rPr>
        <w:t>10101   采购代</w:t>
      </w:r>
      <w:r>
        <w:rPr>
          <w:rFonts w:hint="eastAsia" w:ascii="宋体" w:hAnsi="宋体"/>
          <w:color w:val="auto"/>
          <w:sz w:val="24"/>
          <w:highlight w:val="none"/>
        </w:rPr>
        <w:t>：泉州市丰泽区东湖街凤山南段金贸大厦A栋823</w:t>
      </w:r>
    </w:p>
    <w:p w14:paraId="13171AD2">
      <w:pPr>
        <w:adjustRightInd w:val="0"/>
        <w:snapToGrid w:val="0"/>
        <w:spacing w:line="300" w:lineRule="auto"/>
        <w:ind w:firstLine="960" w:firstLineChars="400"/>
        <w:rPr>
          <w:rFonts w:ascii="宋体" w:hAnsi="宋体"/>
          <w:color w:val="auto"/>
          <w:sz w:val="24"/>
          <w:highlight w:val="none"/>
        </w:rPr>
      </w:pPr>
      <w:r>
        <w:rPr>
          <w:rFonts w:hint="eastAsia" w:ascii="宋体" w:hAnsi="宋体"/>
          <w:color w:val="auto"/>
          <w:sz w:val="24"/>
          <w:highlight w:val="none"/>
        </w:rPr>
        <w:t>联系人：黄先生，联系电话：0595-22000151</w:t>
      </w:r>
    </w:p>
    <w:p w14:paraId="5EE99EDD">
      <w:pPr>
        <w:adjustRightInd w:val="0"/>
        <w:snapToGrid w:val="0"/>
        <w:spacing w:line="300" w:lineRule="auto"/>
        <w:ind w:firstLine="960" w:firstLineChars="400"/>
        <w:rPr>
          <w:rFonts w:ascii="宋体" w:hAnsi="宋体"/>
          <w:color w:val="auto"/>
          <w:sz w:val="24"/>
          <w:highlight w:val="none"/>
        </w:rPr>
      </w:pPr>
      <w:r>
        <w:rPr>
          <w:rFonts w:hint="eastAsia" w:ascii="宋体" w:hAnsi="宋体"/>
          <w:color w:val="auto"/>
          <w:sz w:val="24"/>
          <w:highlight w:val="none"/>
        </w:rPr>
        <w:t>电子邮箱：</w:t>
      </w:r>
      <w:r>
        <w:rPr>
          <w:rFonts w:hint="eastAsia" w:ascii="宋体" w:hAnsi="宋体"/>
          <w:color w:val="auto"/>
          <w:sz w:val="24"/>
          <w:highlight w:val="none"/>
          <w:u w:val="single"/>
        </w:rPr>
        <w:t>1052441299@qq.com</w:t>
      </w:r>
    </w:p>
    <w:p w14:paraId="7A5BD6DE">
      <w:pPr>
        <w:adjustRightInd w:val="0"/>
        <w:snapToGrid w:val="0"/>
        <w:spacing w:line="300" w:lineRule="auto"/>
        <w:ind w:firstLine="480" w:firstLineChars="200"/>
        <w:rPr>
          <w:color w:val="auto"/>
          <w:highlight w:val="none"/>
        </w:rPr>
      </w:pPr>
      <w:r>
        <w:rPr>
          <w:rFonts w:hint="eastAsia" w:ascii="宋体" w:hAnsi="宋体"/>
          <w:color w:val="auto"/>
          <w:sz w:val="24"/>
          <w:highlight w:val="none"/>
        </w:rPr>
        <w:t>15、本次采购解释权及招标过程的答疑、质疑等归属</w:t>
      </w:r>
      <w:r>
        <w:rPr>
          <w:rFonts w:hint="eastAsia" w:ascii="宋体" w:hAnsi="宋体"/>
          <w:color w:val="auto"/>
          <w:sz w:val="24"/>
          <w:highlight w:val="none"/>
          <w:u w:val="single"/>
        </w:rPr>
        <w:t>泉州市新开源项目咨询有限公司</w:t>
      </w:r>
      <w:r>
        <w:rPr>
          <w:rFonts w:hint="eastAsia" w:ascii="宋体" w:hAnsi="宋体"/>
          <w:color w:val="auto"/>
          <w:sz w:val="24"/>
          <w:highlight w:val="none"/>
        </w:rPr>
        <w:t>。</w:t>
      </w:r>
    </w:p>
    <w:p w14:paraId="03C97855">
      <w:pPr>
        <w:pStyle w:val="13"/>
        <w:widowControl/>
        <w:spacing w:before="75" w:beforeAutospacing="0" w:after="75" w:afterAutospacing="0" w:line="300" w:lineRule="auto"/>
        <w:rPr>
          <w:rFonts w:ascii="宋体" w:hAnsi="宋体" w:cs="宋体"/>
          <w:color w:val="auto"/>
          <w:highlight w:val="none"/>
        </w:rPr>
      </w:pPr>
    </w:p>
    <w:p w14:paraId="31B249D0">
      <w:pPr>
        <w:pStyle w:val="13"/>
        <w:widowControl/>
        <w:spacing w:before="75" w:beforeAutospacing="0" w:after="75" w:afterAutospacing="0" w:line="300" w:lineRule="auto"/>
        <w:rPr>
          <w:rFonts w:ascii="宋体" w:hAnsi="宋体" w:cs="宋体"/>
          <w:color w:val="auto"/>
          <w:highlight w:val="none"/>
        </w:rPr>
      </w:pPr>
    </w:p>
    <w:p w14:paraId="2B9DA06B">
      <w:pPr>
        <w:pStyle w:val="13"/>
        <w:widowControl/>
        <w:spacing w:before="75" w:beforeAutospacing="0" w:after="75" w:afterAutospacing="0" w:line="300" w:lineRule="auto"/>
        <w:rPr>
          <w:rFonts w:ascii="宋体" w:hAnsi="宋体" w:cs="宋体"/>
          <w:color w:val="auto"/>
          <w:highlight w:val="none"/>
        </w:rPr>
      </w:pPr>
    </w:p>
    <w:p w14:paraId="2F05AB63">
      <w:pPr>
        <w:pStyle w:val="13"/>
        <w:widowControl/>
        <w:spacing w:before="75" w:beforeAutospacing="0" w:after="75" w:afterAutospacing="0" w:line="300" w:lineRule="auto"/>
        <w:rPr>
          <w:rFonts w:ascii="宋体" w:hAnsi="宋体" w:cs="宋体"/>
          <w:color w:val="auto"/>
          <w:highlight w:val="none"/>
        </w:rPr>
      </w:pPr>
    </w:p>
    <w:p w14:paraId="4A9FEF69">
      <w:pPr>
        <w:pStyle w:val="13"/>
        <w:widowControl/>
        <w:spacing w:before="75" w:beforeAutospacing="0" w:after="75" w:afterAutospacing="0" w:line="300" w:lineRule="auto"/>
        <w:rPr>
          <w:rFonts w:ascii="宋体" w:hAnsi="宋体" w:cs="宋体"/>
          <w:color w:val="auto"/>
          <w:highlight w:val="none"/>
        </w:rPr>
      </w:pPr>
    </w:p>
    <w:p w14:paraId="5ACDE7C3">
      <w:pPr>
        <w:pStyle w:val="13"/>
        <w:widowControl/>
        <w:spacing w:before="75" w:beforeAutospacing="0" w:after="75" w:afterAutospacing="0" w:line="300" w:lineRule="auto"/>
        <w:rPr>
          <w:rFonts w:ascii="宋体" w:hAnsi="宋体" w:cs="宋体"/>
          <w:color w:val="auto"/>
          <w:highlight w:val="none"/>
        </w:rPr>
      </w:pPr>
    </w:p>
    <w:p w14:paraId="4DA036B9">
      <w:pPr>
        <w:pStyle w:val="13"/>
        <w:widowControl/>
        <w:spacing w:before="75" w:beforeAutospacing="0" w:after="75" w:afterAutospacing="0" w:line="300" w:lineRule="auto"/>
        <w:rPr>
          <w:rFonts w:ascii="宋体" w:hAnsi="宋体" w:cs="宋体"/>
          <w:color w:val="auto"/>
          <w:highlight w:val="none"/>
        </w:rPr>
      </w:pPr>
    </w:p>
    <w:p w14:paraId="3C92130D">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附1：采购标的一览表</w:t>
      </w:r>
    </w:p>
    <w:p w14:paraId="08A7BF71">
      <w:pPr>
        <w:pStyle w:val="13"/>
        <w:widowControl/>
        <w:spacing w:before="75" w:beforeAutospacing="0" w:after="75" w:afterAutospacing="0" w:line="300" w:lineRule="auto"/>
        <w:rPr>
          <w:color w:val="auto"/>
          <w:highlight w:val="none"/>
        </w:rPr>
      </w:pPr>
      <w:r>
        <w:rPr>
          <w:color w:val="auto"/>
          <w:highlight w:val="none"/>
        </w:rPr>
        <w:t> </w:t>
      </w:r>
    </w:p>
    <w:p w14:paraId="7AD6704A">
      <w:pPr>
        <w:pStyle w:val="13"/>
        <w:widowControl/>
        <w:spacing w:beforeAutospacing="0" w:after="150" w:afterAutospacing="0" w:line="300" w:lineRule="auto"/>
        <w:jc w:val="right"/>
        <w:rPr>
          <w:rFonts w:ascii="宋体" w:hAnsi="宋体" w:cs="宋体"/>
          <w:color w:val="auto"/>
          <w:highlight w:val="none"/>
        </w:rPr>
      </w:pPr>
      <w:r>
        <w:rPr>
          <w:rFonts w:hint="eastAsia" w:ascii="宋体" w:hAnsi="宋体" w:cs="宋体"/>
          <w:color w:val="auto"/>
          <w:highlight w:val="none"/>
        </w:rPr>
        <w:t>金额单位：人民币元</w:t>
      </w:r>
    </w:p>
    <w:tbl>
      <w:tblPr>
        <w:tblStyle w:val="15"/>
        <w:tblpPr w:leftFromText="181" w:rightFromText="181" w:vertAnchor="text" w:horzAnchor="page" w:tblpX="1672" w:tblpY="315"/>
        <w:tblOverlap w:val="never"/>
        <w:tblW w:w="895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155"/>
        <w:gridCol w:w="2550"/>
        <w:gridCol w:w="2070"/>
        <w:gridCol w:w="1245"/>
        <w:gridCol w:w="1935"/>
      </w:tblGrid>
      <w:tr w14:paraId="3A9F589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70" w:hRule="atLeast"/>
          <w:tblHeader/>
        </w:trPr>
        <w:tc>
          <w:tcPr>
            <w:tcW w:w="1155"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BF57379">
            <w:pPr>
              <w:widowControl/>
              <w:jc w:val="center"/>
              <w:rPr>
                <w:rFonts w:ascii="宋体" w:hAnsi="宋体" w:cs="宋体"/>
                <w:color w:val="auto"/>
                <w:kern w:val="0"/>
                <w:sz w:val="24"/>
                <w:highlight w:val="none"/>
              </w:rPr>
            </w:pPr>
            <w:r>
              <w:rPr>
                <w:rFonts w:ascii="宋体" w:hAnsi="宋体" w:cs="宋体"/>
                <w:color w:val="auto"/>
                <w:kern w:val="0"/>
                <w:sz w:val="24"/>
                <w:highlight w:val="none"/>
              </w:rPr>
              <w:t>合同包</w:t>
            </w:r>
          </w:p>
        </w:tc>
        <w:tc>
          <w:tcPr>
            <w:tcW w:w="255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6A032A3">
            <w:pPr>
              <w:widowControl/>
              <w:jc w:val="center"/>
              <w:rPr>
                <w:rFonts w:ascii="宋体" w:hAnsi="宋体" w:cs="宋体"/>
                <w:color w:val="auto"/>
                <w:kern w:val="0"/>
                <w:sz w:val="24"/>
                <w:highlight w:val="none"/>
              </w:rPr>
            </w:pPr>
            <w:r>
              <w:rPr>
                <w:rFonts w:ascii="宋体" w:hAnsi="宋体" w:cs="宋体"/>
                <w:color w:val="auto"/>
                <w:kern w:val="0"/>
                <w:sz w:val="24"/>
                <w:highlight w:val="none"/>
              </w:rPr>
              <w:t>采购标的</w:t>
            </w:r>
          </w:p>
        </w:tc>
        <w:tc>
          <w:tcPr>
            <w:tcW w:w="207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140848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w:t>
            </w:r>
          </w:p>
        </w:tc>
        <w:tc>
          <w:tcPr>
            <w:tcW w:w="1245"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9142A82">
            <w:pPr>
              <w:widowControl/>
              <w:jc w:val="center"/>
              <w:rPr>
                <w:rFonts w:ascii="宋体" w:hAnsi="宋体" w:cs="宋体"/>
                <w:color w:val="auto"/>
                <w:kern w:val="0"/>
                <w:sz w:val="24"/>
                <w:highlight w:val="none"/>
              </w:rPr>
            </w:pPr>
            <w:r>
              <w:rPr>
                <w:rFonts w:ascii="宋体" w:hAnsi="宋体" w:cs="宋体"/>
                <w:color w:val="auto"/>
                <w:kern w:val="0"/>
                <w:sz w:val="24"/>
                <w:highlight w:val="none"/>
              </w:rPr>
              <w:t>数量</w:t>
            </w:r>
          </w:p>
        </w:tc>
        <w:tc>
          <w:tcPr>
            <w:tcW w:w="1935"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8982CE7">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预算金额</w:t>
            </w:r>
          </w:p>
        </w:tc>
      </w:tr>
      <w:tr w14:paraId="5CBF5CA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61" w:hRule="atLeast"/>
          <w:tblHeader/>
        </w:trPr>
        <w:tc>
          <w:tcPr>
            <w:tcW w:w="1155" w:type="dxa"/>
            <w:tcBorders>
              <w:top w:val="single" w:color="666666" w:sz="6" w:space="0"/>
              <w:left w:val="single" w:color="666666" w:sz="6" w:space="0"/>
              <w:right w:val="single" w:color="666666" w:sz="6" w:space="0"/>
            </w:tcBorders>
            <w:shd w:val="clear" w:color="auto" w:fill="FFFFFF"/>
            <w:vAlign w:val="center"/>
          </w:tcPr>
          <w:p w14:paraId="7FEF693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550" w:type="dxa"/>
            <w:tcBorders>
              <w:top w:val="single" w:color="666666" w:sz="6" w:space="0"/>
              <w:left w:val="single" w:color="666666" w:sz="6" w:space="0"/>
              <w:right w:val="single" w:color="666666" w:sz="6" w:space="0"/>
            </w:tcBorders>
            <w:shd w:val="clear" w:color="auto" w:fill="FFFFFF"/>
            <w:vAlign w:val="center"/>
          </w:tcPr>
          <w:p w14:paraId="2508CED4">
            <w:pPr>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福建省南安市南星中学印刷服务采购项目</w:t>
            </w:r>
          </w:p>
        </w:tc>
        <w:tc>
          <w:tcPr>
            <w:tcW w:w="2070"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C5A3B9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详见招标要求</w:t>
            </w:r>
          </w:p>
        </w:tc>
        <w:tc>
          <w:tcPr>
            <w:tcW w:w="1245"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EB3B20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1（项）</w:t>
            </w:r>
          </w:p>
        </w:tc>
        <w:tc>
          <w:tcPr>
            <w:tcW w:w="1935" w:type="dxa"/>
            <w:tcBorders>
              <w:top w:val="single" w:color="666666" w:sz="6" w:space="0"/>
              <w:left w:val="single" w:color="666666" w:sz="6" w:space="0"/>
              <w:right w:val="single" w:color="666666" w:sz="6" w:space="0"/>
            </w:tcBorders>
            <w:shd w:val="clear" w:color="auto" w:fill="FFFFFF"/>
            <w:vAlign w:val="center"/>
          </w:tcPr>
          <w:p w14:paraId="4AE149E8">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462000.00</w:t>
            </w:r>
          </w:p>
        </w:tc>
      </w:tr>
    </w:tbl>
    <w:p w14:paraId="42915C9D">
      <w:pPr>
        <w:pStyle w:val="13"/>
        <w:widowControl/>
        <w:spacing w:before="75" w:beforeAutospacing="0" w:after="75" w:afterAutospacing="0" w:line="300" w:lineRule="auto"/>
        <w:jc w:val="both"/>
        <w:rPr>
          <w:rStyle w:val="18"/>
          <w:rFonts w:ascii="宋体" w:hAnsi="宋体" w:cs="宋体"/>
          <w:color w:val="auto"/>
          <w:sz w:val="31"/>
          <w:szCs w:val="31"/>
          <w:highlight w:val="none"/>
        </w:rPr>
      </w:pPr>
    </w:p>
    <w:p w14:paraId="7F32021E">
      <w:pPr>
        <w:pStyle w:val="13"/>
        <w:widowControl/>
        <w:spacing w:before="75" w:beforeAutospacing="0" w:after="75" w:afterAutospacing="0" w:line="300" w:lineRule="auto"/>
        <w:jc w:val="both"/>
        <w:rPr>
          <w:color w:val="auto"/>
          <w:highlight w:val="none"/>
        </w:rPr>
      </w:pPr>
      <w:r>
        <w:rPr>
          <w:rStyle w:val="18"/>
          <w:rFonts w:ascii="宋体" w:hAnsi="宋体" w:cs="宋体"/>
          <w:color w:val="auto"/>
          <w:sz w:val="31"/>
          <w:szCs w:val="31"/>
          <w:highlight w:val="none"/>
        </w:rPr>
        <w:br w:type="page"/>
      </w:r>
      <w:r>
        <w:rPr>
          <w:rStyle w:val="18"/>
          <w:rFonts w:hint="eastAsia" w:ascii="宋体" w:hAnsi="宋体" w:cs="宋体"/>
          <w:color w:val="auto"/>
          <w:sz w:val="31"/>
          <w:szCs w:val="31"/>
          <w:highlight w:val="none"/>
        </w:rPr>
        <w:t>第二章</w:t>
      </w:r>
      <w:r>
        <w:rPr>
          <w:rStyle w:val="18"/>
          <w:color w:val="auto"/>
          <w:sz w:val="31"/>
          <w:szCs w:val="31"/>
          <w:highlight w:val="none"/>
        </w:rPr>
        <w:t>   </w:t>
      </w:r>
      <w:r>
        <w:rPr>
          <w:rStyle w:val="18"/>
          <w:rFonts w:hint="eastAsia" w:ascii="宋体" w:hAnsi="宋体" w:cs="宋体"/>
          <w:color w:val="auto"/>
          <w:sz w:val="31"/>
          <w:szCs w:val="31"/>
          <w:highlight w:val="none"/>
        </w:rPr>
        <w:t>投标人须知前附表（表1）</w:t>
      </w:r>
    </w:p>
    <w:p w14:paraId="7AB605D5">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表</w:t>
      </w:r>
      <w:r>
        <w:rPr>
          <w:color w:val="auto"/>
          <w:highlight w:val="none"/>
        </w:rPr>
        <w:t>1</w:t>
      </w:r>
    </w:p>
    <w:tbl>
      <w:tblPr>
        <w:tblStyle w:val="15"/>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6"/>
        <w:gridCol w:w="1500"/>
        <w:gridCol w:w="6420"/>
      </w:tblGrid>
      <w:tr w14:paraId="65B2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16" w:type="dxa"/>
            <w:gridSpan w:val="3"/>
            <w:tcMar>
              <w:top w:w="0" w:type="dxa"/>
              <w:left w:w="105" w:type="dxa"/>
              <w:bottom w:w="0" w:type="dxa"/>
              <w:right w:w="105" w:type="dxa"/>
            </w:tcMar>
            <w:vAlign w:val="center"/>
          </w:tcPr>
          <w:p w14:paraId="3DA2CA49">
            <w:pPr>
              <w:pStyle w:val="13"/>
              <w:widowControl/>
              <w:spacing w:beforeAutospacing="0" w:afterAutospacing="0" w:line="300" w:lineRule="auto"/>
              <w:jc w:val="center"/>
              <w:rPr>
                <w:color w:val="auto"/>
                <w:highlight w:val="none"/>
              </w:rPr>
            </w:pPr>
            <w:r>
              <w:rPr>
                <w:rStyle w:val="18"/>
                <w:rFonts w:hint="eastAsia" w:ascii="宋体" w:hAnsi="宋体" w:cs="宋体"/>
                <w:color w:val="auto"/>
                <w:highlight w:val="none"/>
              </w:rPr>
              <w:t>特别提示：本表与招标文件对应章节的内容若不一致，以本表为准。</w:t>
            </w:r>
          </w:p>
        </w:tc>
      </w:tr>
      <w:tr w14:paraId="41D5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6" w:type="dxa"/>
            <w:tcMar>
              <w:top w:w="0" w:type="dxa"/>
              <w:left w:w="105" w:type="dxa"/>
              <w:bottom w:w="0" w:type="dxa"/>
              <w:right w:w="105" w:type="dxa"/>
            </w:tcMar>
            <w:vAlign w:val="center"/>
          </w:tcPr>
          <w:p w14:paraId="6742F8A0">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项号</w:t>
            </w:r>
          </w:p>
        </w:tc>
        <w:tc>
          <w:tcPr>
            <w:tcW w:w="1500" w:type="dxa"/>
            <w:tcMar>
              <w:top w:w="0" w:type="dxa"/>
              <w:left w:w="105" w:type="dxa"/>
              <w:bottom w:w="0" w:type="dxa"/>
              <w:right w:w="105" w:type="dxa"/>
            </w:tcMar>
            <w:vAlign w:val="center"/>
          </w:tcPr>
          <w:p w14:paraId="403428A4">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招标文件</w:t>
            </w:r>
          </w:p>
          <w:p w14:paraId="38A725CB">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（第三章）</w:t>
            </w:r>
          </w:p>
        </w:tc>
        <w:tc>
          <w:tcPr>
            <w:tcW w:w="6420" w:type="dxa"/>
            <w:tcMar>
              <w:top w:w="0" w:type="dxa"/>
              <w:left w:w="105" w:type="dxa"/>
              <w:bottom w:w="0" w:type="dxa"/>
              <w:right w:w="105" w:type="dxa"/>
            </w:tcMar>
            <w:vAlign w:val="center"/>
          </w:tcPr>
          <w:p w14:paraId="68CA130C">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编列内容</w:t>
            </w:r>
          </w:p>
        </w:tc>
      </w:tr>
      <w:tr w14:paraId="4B69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596" w:type="dxa"/>
            <w:vMerge w:val="restart"/>
            <w:tcMar>
              <w:top w:w="0" w:type="dxa"/>
              <w:left w:w="105" w:type="dxa"/>
              <w:bottom w:w="0" w:type="dxa"/>
              <w:right w:w="105" w:type="dxa"/>
            </w:tcMar>
            <w:vAlign w:val="center"/>
          </w:tcPr>
          <w:p w14:paraId="4601E7E8">
            <w:pPr>
              <w:pStyle w:val="13"/>
              <w:widowControl/>
              <w:spacing w:beforeAutospacing="0" w:afterAutospacing="0" w:line="300" w:lineRule="auto"/>
              <w:jc w:val="center"/>
              <w:rPr>
                <w:rFonts w:ascii="宋体" w:hAnsi="宋体" w:cs="宋体"/>
                <w:color w:val="auto"/>
                <w:highlight w:val="none"/>
              </w:rPr>
            </w:pPr>
            <w:r>
              <w:rPr>
                <w:rFonts w:hint="eastAsia" w:ascii="宋体" w:hAnsi="宋体" w:cs="宋体"/>
                <w:color w:val="auto"/>
                <w:highlight w:val="none"/>
              </w:rPr>
              <w:t>1</w:t>
            </w:r>
          </w:p>
        </w:tc>
        <w:tc>
          <w:tcPr>
            <w:tcW w:w="1500" w:type="dxa"/>
            <w:tcMar>
              <w:top w:w="0" w:type="dxa"/>
              <w:left w:w="105" w:type="dxa"/>
              <w:bottom w:w="0" w:type="dxa"/>
              <w:right w:w="105" w:type="dxa"/>
            </w:tcMar>
            <w:vAlign w:val="center"/>
          </w:tcPr>
          <w:p w14:paraId="17A238E7">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6.1</w:t>
            </w:r>
          </w:p>
        </w:tc>
        <w:tc>
          <w:tcPr>
            <w:tcW w:w="6420" w:type="dxa"/>
            <w:tcMar>
              <w:top w:w="0" w:type="dxa"/>
              <w:left w:w="105" w:type="dxa"/>
              <w:bottom w:w="0" w:type="dxa"/>
              <w:right w:w="105" w:type="dxa"/>
            </w:tcMar>
            <w:vAlign w:val="center"/>
          </w:tcPr>
          <w:p w14:paraId="372353FC">
            <w:pPr>
              <w:pStyle w:val="13"/>
              <w:widowControl/>
              <w:spacing w:beforeAutospacing="0" w:afterAutospacing="0" w:line="300" w:lineRule="auto"/>
              <w:rPr>
                <w:color w:val="auto"/>
                <w:highlight w:val="none"/>
              </w:rPr>
            </w:pPr>
            <w:r>
              <w:rPr>
                <w:rStyle w:val="18"/>
                <w:rFonts w:hint="eastAsia" w:ascii="宋体" w:hAnsi="宋体" w:cs="宋体"/>
                <w:color w:val="auto"/>
                <w:highlight w:val="none"/>
              </w:rPr>
              <w:t>是否组织现场考察或召开开标前答疑会：</w:t>
            </w:r>
            <w:r>
              <w:rPr>
                <w:rFonts w:hint="eastAsia" w:ascii="宋体" w:hAnsi="宋体" w:cs="宋体"/>
                <w:color w:val="auto"/>
                <w:highlight w:val="none"/>
              </w:rPr>
              <w:t>否。</w:t>
            </w:r>
          </w:p>
        </w:tc>
      </w:tr>
      <w:tr w14:paraId="221F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rPr>
        <w:tc>
          <w:tcPr>
            <w:tcW w:w="596" w:type="dxa"/>
            <w:vMerge w:val="continue"/>
            <w:tcMar>
              <w:top w:w="0" w:type="dxa"/>
              <w:left w:w="105" w:type="dxa"/>
              <w:bottom w:w="0" w:type="dxa"/>
              <w:right w:w="105" w:type="dxa"/>
            </w:tcMar>
            <w:vAlign w:val="center"/>
          </w:tcPr>
          <w:p w14:paraId="792F4678">
            <w:pPr>
              <w:pStyle w:val="13"/>
              <w:widowControl/>
              <w:spacing w:beforeAutospacing="0" w:afterAutospacing="0" w:line="300" w:lineRule="auto"/>
              <w:jc w:val="center"/>
              <w:rPr>
                <w:rFonts w:ascii="宋体" w:hAnsi="宋体" w:cs="宋体"/>
                <w:color w:val="auto"/>
                <w:highlight w:val="none"/>
              </w:rPr>
            </w:pPr>
          </w:p>
        </w:tc>
        <w:tc>
          <w:tcPr>
            <w:tcW w:w="1500" w:type="dxa"/>
            <w:tcMar>
              <w:top w:w="0" w:type="dxa"/>
              <w:left w:w="105" w:type="dxa"/>
              <w:bottom w:w="0" w:type="dxa"/>
              <w:right w:w="105" w:type="dxa"/>
            </w:tcMar>
            <w:vAlign w:val="center"/>
          </w:tcPr>
          <w:p w14:paraId="2E60A119">
            <w:pPr>
              <w:pStyle w:val="13"/>
              <w:widowControl/>
              <w:spacing w:beforeAutospacing="0" w:afterAutospacing="0" w:line="300" w:lineRule="auto"/>
              <w:jc w:val="center"/>
              <w:rPr>
                <w:rFonts w:ascii="宋体" w:hAnsi="宋体" w:cs="宋体"/>
                <w:color w:val="auto"/>
                <w:highlight w:val="none"/>
              </w:rPr>
            </w:pPr>
            <w:r>
              <w:rPr>
                <w:rFonts w:hint="eastAsia" w:ascii="宋体" w:hAnsi="宋体" w:cs="宋体"/>
                <w:color w:val="auto"/>
                <w:highlight w:val="none"/>
              </w:rPr>
              <w:t>7.2</w:t>
            </w:r>
          </w:p>
        </w:tc>
        <w:tc>
          <w:tcPr>
            <w:tcW w:w="6420" w:type="dxa"/>
            <w:tcMar>
              <w:top w:w="0" w:type="dxa"/>
              <w:left w:w="105" w:type="dxa"/>
              <w:bottom w:w="0" w:type="dxa"/>
              <w:right w:w="105" w:type="dxa"/>
            </w:tcMar>
            <w:vAlign w:val="center"/>
          </w:tcPr>
          <w:p w14:paraId="7F64FD33">
            <w:pPr>
              <w:pStyle w:val="13"/>
              <w:widowControl/>
              <w:spacing w:beforeAutospacing="0" w:afterAutospacing="0" w:line="300" w:lineRule="auto"/>
              <w:rPr>
                <w:rStyle w:val="18"/>
                <w:rFonts w:ascii="宋体" w:hAnsi="宋体" w:cs="宋体"/>
                <w:color w:val="auto"/>
                <w:highlight w:val="none"/>
              </w:rPr>
            </w:pPr>
            <w:r>
              <w:rPr>
                <w:rStyle w:val="18"/>
                <w:rFonts w:hint="eastAsia" w:ascii="宋体" w:hAnsi="宋体" w:cs="宋体"/>
                <w:color w:val="auto"/>
                <w:highlight w:val="none"/>
              </w:rPr>
              <w:t>评标办法：综合评分法。</w:t>
            </w:r>
          </w:p>
        </w:tc>
      </w:tr>
      <w:tr w14:paraId="7C7A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6" w:type="dxa"/>
            <w:tcMar>
              <w:top w:w="0" w:type="dxa"/>
              <w:left w:w="105" w:type="dxa"/>
              <w:bottom w:w="0" w:type="dxa"/>
              <w:right w:w="105" w:type="dxa"/>
            </w:tcMar>
            <w:vAlign w:val="center"/>
          </w:tcPr>
          <w:p w14:paraId="63A5D127">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2</w:t>
            </w:r>
          </w:p>
        </w:tc>
        <w:tc>
          <w:tcPr>
            <w:tcW w:w="1500" w:type="dxa"/>
            <w:tcMar>
              <w:top w:w="0" w:type="dxa"/>
              <w:left w:w="105" w:type="dxa"/>
              <w:bottom w:w="0" w:type="dxa"/>
              <w:right w:w="105" w:type="dxa"/>
            </w:tcMar>
            <w:vAlign w:val="center"/>
          </w:tcPr>
          <w:p w14:paraId="12EE1251">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10.4</w:t>
            </w:r>
          </w:p>
        </w:tc>
        <w:tc>
          <w:tcPr>
            <w:tcW w:w="6420" w:type="dxa"/>
            <w:tcMar>
              <w:top w:w="0" w:type="dxa"/>
              <w:left w:w="105" w:type="dxa"/>
              <w:bottom w:w="0" w:type="dxa"/>
              <w:right w:w="105" w:type="dxa"/>
            </w:tcMar>
            <w:vAlign w:val="center"/>
          </w:tcPr>
          <w:p w14:paraId="0D818764">
            <w:pPr>
              <w:pStyle w:val="13"/>
              <w:widowControl/>
              <w:spacing w:beforeAutospacing="0" w:afterAutospacing="0" w:line="300" w:lineRule="auto"/>
              <w:rPr>
                <w:color w:val="auto"/>
                <w:highlight w:val="none"/>
              </w:rPr>
            </w:pPr>
            <w:r>
              <w:rPr>
                <w:rStyle w:val="18"/>
                <w:rFonts w:hint="eastAsia" w:ascii="宋体" w:hAnsi="宋体" w:cs="宋体"/>
                <w:color w:val="auto"/>
                <w:highlight w:val="none"/>
              </w:rPr>
              <w:t>投标文件的份数：</w:t>
            </w:r>
          </w:p>
          <w:p w14:paraId="2379F1E4">
            <w:pPr>
              <w:pStyle w:val="13"/>
              <w:widowControl/>
              <w:spacing w:beforeAutospacing="0" w:afterAutospacing="0" w:line="300" w:lineRule="auto"/>
              <w:rPr>
                <w:rFonts w:ascii="宋体" w:hAnsi="宋体" w:cs="宋体"/>
                <w:color w:val="auto"/>
                <w:highlight w:val="none"/>
              </w:rPr>
            </w:pPr>
            <w:r>
              <w:rPr>
                <w:rFonts w:cs="Calibri"/>
                <w:color w:val="auto"/>
                <w:highlight w:val="none"/>
              </w:rPr>
              <w:t>①</w:t>
            </w:r>
            <w:r>
              <w:rPr>
                <w:rFonts w:hint="eastAsia" w:ascii="宋体" w:hAnsi="宋体" w:cs="宋体"/>
                <w:color w:val="auto"/>
                <w:highlight w:val="none"/>
              </w:rPr>
              <w:t>纸质投标文件的正本</w:t>
            </w:r>
            <w:r>
              <w:rPr>
                <w:rFonts w:hint="eastAsia" w:ascii="宋体" w:hAnsi="宋体" w:cs="宋体"/>
                <w:color w:val="auto"/>
                <w:highlight w:val="none"/>
                <w:u w:val="single"/>
              </w:rPr>
              <w:t>1</w:t>
            </w:r>
            <w:r>
              <w:rPr>
                <w:rFonts w:hint="eastAsia" w:ascii="宋体" w:hAnsi="宋体" w:cs="宋体"/>
                <w:color w:val="auto"/>
                <w:highlight w:val="none"/>
              </w:rPr>
              <w:t>份、副本</w:t>
            </w:r>
            <w:r>
              <w:rPr>
                <w:rFonts w:hint="eastAsia" w:ascii="宋体" w:hAnsi="宋体" w:cs="宋体"/>
                <w:color w:val="auto"/>
                <w:highlight w:val="none"/>
                <w:u w:val="single"/>
              </w:rPr>
              <w:t>2</w:t>
            </w:r>
            <w:r>
              <w:rPr>
                <w:rFonts w:hint="eastAsia" w:ascii="宋体" w:hAnsi="宋体" w:cs="宋体"/>
                <w:color w:val="auto"/>
                <w:highlight w:val="none"/>
              </w:rPr>
              <w:t>份。且在每份投标响应文件封面上要注明“正本”或“副本”字样，一旦投标响应文件的正本和副本有差异时，以正本为准。</w:t>
            </w:r>
          </w:p>
          <w:p w14:paraId="0B2CAD9C">
            <w:pPr>
              <w:pStyle w:val="13"/>
              <w:widowControl/>
              <w:spacing w:beforeAutospacing="0" w:afterAutospacing="0" w:line="300" w:lineRule="auto"/>
              <w:rPr>
                <w:color w:val="auto"/>
                <w:highlight w:val="none"/>
              </w:rPr>
            </w:pPr>
            <w:r>
              <w:rPr>
                <w:rFonts w:cs="Calibri"/>
                <w:color w:val="auto"/>
                <w:highlight w:val="none"/>
              </w:rPr>
              <w:t>②</w:t>
            </w:r>
            <w:r>
              <w:rPr>
                <w:rFonts w:hint="eastAsia" w:ascii="宋体" w:hAnsi="宋体" w:cs="宋体"/>
                <w:color w:val="auto"/>
                <w:highlight w:val="none"/>
              </w:rPr>
              <w:t>可读介质（光盘或U盘，以扫描投标文件正本为准）1份：投标文件电子响应文件在可读介质中另存1份。</w:t>
            </w:r>
          </w:p>
          <w:p w14:paraId="10CECC16">
            <w:pPr>
              <w:pStyle w:val="13"/>
              <w:widowControl/>
              <w:spacing w:beforeAutospacing="0" w:afterAutospacing="0" w:line="300" w:lineRule="auto"/>
              <w:rPr>
                <w:color w:val="auto"/>
                <w:highlight w:val="none"/>
              </w:rPr>
            </w:pPr>
            <w:r>
              <w:rPr>
                <w:rFonts w:hint="eastAsia"/>
                <w:color w:val="auto"/>
                <w:highlight w:val="none"/>
              </w:rPr>
              <w:t>所有投标响应文件均须胶装（为永久性、无破坏不可拆分）装订成册并加盖骑缝章，否则其投标将作为无效标。</w:t>
            </w:r>
          </w:p>
        </w:tc>
      </w:tr>
      <w:tr w14:paraId="1629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6" w:type="dxa"/>
            <w:tcMar>
              <w:top w:w="0" w:type="dxa"/>
              <w:left w:w="105" w:type="dxa"/>
              <w:bottom w:w="0" w:type="dxa"/>
              <w:right w:w="105" w:type="dxa"/>
            </w:tcMar>
            <w:vAlign w:val="center"/>
          </w:tcPr>
          <w:p w14:paraId="37B77697">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3</w:t>
            </w:r>
          </w:p>
        </w:tc>
        <w:tc>
          <w:tcPr>
            <w:tcW w:w="1500" w:type="dxa"/>
            <w:tcMar>
              <w:top w:w="0" w:type="dxa"/>
              <w:left w:w="105" w:type="dxa"/>
              <w:bottom w:w="0" w:type="dxa"/>
              <w:right w:w="105" w:type="dxa"/>
            </w:tcMar>
            <w:vAlign w:val="center"/>
          </w:tcPr>
          <w:p w14:paraId="0502D82D">
            <w:pPr>
              <w:pStyle w:val="13"/>
              <w:widowControl/>
              <w:spacing w:beforeAutospacing="0" w:afterAutospacing="0" w:line="300" w:lineRule="auto"/>
              <w:rPr>
                <w:color w:val="auto"/>
                <w:highlight w:val="none"/>
              </w:rPr>
            </w:pPr>
            <w:r>
              <w:rPr>
                <w:rFonts w:hint="eastAsia" w:ascii="宋体" w:hAnsi="宋体" w:cs="宋体"/>
                <w:color w:val="auto"/>
                <w:highlight w:val="none"/>
              </w:rPr>
              <w:t>10.5-（</w:t>
            </w:r>
            <w:r>
              <w:rPr>
                <w:rFonts w:ascii="Times New Roman" w:hAnsi="Times New Roman" w:cs="Times New Roman"/>
                <w:color w:val="auto"/>
                <w:highlight w:val="none"/>
              </w:rPr>
              <w:t>2</w:t>
            </w:r>
            <w:r>
              <w:rPr>
                <w:rFonts w:hint="eastAsia" w:ascii="宋体" w:hAnsi="宋体" w:cs="宋体"/>
                <w:color w:val="auto"/>
                <w:highlight w:val="none"/>
              </w:rPr>
              <w:t>）</w:t>
            </w:r>
            <w:r>
              <w:rPr>
                <w:rFonts w:ascii="Times New Roman" w:hAnsi="Times New Roman" w:cs="Times New Roman"/>
                <w:color w:val="auto"/>
                <w:highlight w:val="none"/>
              </w:rPr>
              <w:t>-</w:t>
            </w:r>
            <w:r>
              <w:rPr>
                <w:rFonts w:hint="eastAsia" w:ascii="宋体" w:hAnsi="宋体" w:cs="宋体"/>
                <w:color w:val="auto"/>
                <w:highlight w:val="none"/>
              </w:rPr>
              <w:t>③</w:t>
            </w:r>
          </w:p>
        </w:tc>
        <w:tc>
          <w:tcPr>
            <w:tcW w:w="6420" w:type="dxa"/>
            <w:tcMar>
              <w:top w:w="0" w:type="dxa"/>
              <w:left w:w="105" w:type="dxa"/>
              <w:bottom w:w="0" w:type="dxa"/>
              <w:right w:w="105" w:type="dxa"/>
            </w:tcMar>
            <w:vAlign w:val="center"/>
          </w:tcPr>
          <w:p w14:paraId="7034AFE4">
            <w:pPr>
              <w:pStyle w:val="13"/>
              <w:widowControl/>
              <w:spacing w:beforeAutospacing="0" w:afterAutospacing="0" w:line="300" w:lineRule="auto"/>
              <w:rPr>
                <w:color w:val="auto"/>
                <w:highlight w:val="none"/>
              </w:rPr>
            </w:pPr>
            <w:r>
              <w:rPr>
                <w:rStyle w:val="18"/>
                <w:rFonts w:hint="eastAsia" w:ascii="宋体" w:hAnsi="宋体" w:cs="宋体"/>
                <w:color w:val="auto"/>
                <w:highlight w:val="none"/>
              </w:rPr>
              <w:t>允许散装或活页装订的内容或材料：</w:t>
            </w:r>
          </w:p>
          <w:p w14:paraId="061B1E76">
            <w:pPr>
              <w:pStyle w:val="13"/>
              <w:widowControl/>
              <w:spacing w:beforeAutospacing="0" w:afterAutospacing="0" w:line="300" w:lineRule="auto"/>
              <w:rPr>
                <w:color w:val="auto"/>
                <w:highlight w:val="none"/>
              </w:rPr>
            </w:pPr>
            <w:r>
              <w:rPr>
                <w:rFonts w:hint="eastAsia" w:ascii="宋体" w:hAnsi="宋体" w:cs="宋体"/>
                <w:color w:val="auto"/>
                <w:highlight w:val="none"/>
              </w:rPr>
              <w:t>（1）投标文件的补充、修改或撤回；</w:t>
            </w:r>
          </w:p>
          <w:p w14:paraId="6E6D2B56">
            <w:pPr>
              <w:pStyle w:val="13"/>
              <w:widowControl/>
              <w:spacing w:beforeAutospacing="0" w:afterAutospacing="0" w:line="300" w:lineRule="auto"/>
              <w:rPr>
                <w:color w:val="auto"/>
                <w:highlight w:val="none"/>
              </w:rPr>
            </w:pPr>
            <w:r>
              <w:rPr>
                <w:rFonts w:hint="eastAsia" w:ascii="宋体" w:hAnsi="宋体" w:cs="宋体"/>
                <w:color w:val="auto"/>
                <w:highlight w:val="none"/>
              </w:rPr>
              <w:t>（2）其他内容或材料：无。</w:t>
            </w:r>
          </w:p>
        </w:tc>
      </w:tr>
      <w:tr w14:paraId="4DE0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6" w:type="dxa"/>
            <w:tcMar>
              <w:top w:w="0" w:type="dxa"/>
              <w:left w:w="105" w:type="dxa"/>
              <w:bottom w:w="0" w:type="dxa"/>
              <w:right w:w="105" w:type="dxa"/>
            </w:tcMar>
            <w:vAlign w:val="center"/>
          </w:tcPr>
          <w:p w14:paraId="4866A1B0">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4</w:t>
            </w:r>
          </w:p>
        </w:tc>
        <w:tc>
          <w:tcPr>
            <w:tcW w:w="1500" w:type="dxa"/>
            <w:tcMar>
              <w:top w:w="0" w:type="dxa"/>
              <w:left w:w="105" w:type="dxa"/>
              <w:bottom w:w="0" w:type="dxa"/>
              <w:right w:w="105" w:type="dxa"/>
            </w:tcMar>
            <w:vAlign w:val="center"/>
          </w:tcPr>
          <w:p w14:paraId="0A593E02">
            <w:pPr>
              <w:pStyle w:val="13"/>
              <w:widowControl/>
              <w:spacing w:beforeAutospacing="0" w:afterAutospacing="0" w:line="300" w:lineRule="auto"/>
              <w:rPr>
                <w:color w:val="auto"/>
                <w:highlight w:val="none"/>
              </w:rPr>
            </w:pPr>
            <w:r>
              <w:rPr>
                <w:rFonts w:hint="eastAsia" w:ascii="宋体" w:hAnsi="宋体" w:cs="宋体"/>
                <w:color w:val="auto"/>
                <w:highlight w:val="none"/>
              </w:rPr>
              <w:t> 10.7-（</w:t>
            </w:r>
            <w:r>
              <w:rPr>
                <w:rFonts w:ascii="Times New Roman" w:hAnsi="Times New Roman" w:cs="Times New Roman"/>
                <w:color w:val="auto"/>
                <w:highlight w:val="none"/>
              </w:rPr>
              <w:t>1</w:t>
            </w:r>
            <w:r>
              <w:rPr>
                <w:rFonts w:hint="eastAsia" w:ascii="宋体" w:hAnsi="宋体" w:cs="宋体"/>
                <w:color w:val="auto"/>
                <w:highlight w:val="none"/>
              </w:rPr>
              <w:t>）</w:t>
            </w:r>
          </w:p>
        </w:tc>
        <w:tc>
          <w:tcPr>
            <w:tcW w:w="6420" w:type="dxa"/>
            <w:tcMar>
              <w:top w:w="0" w:type="dxa"/>
              <w:left w:w="105" w:type="dxa"/>
              <w:bottom w:w="0" w:type="dxa"/>
              <w:right w:w="105" w:type="dxa"/>
            </w:tcMar>
            <w:vAlign w:val="center"/>
          </w:tcPr>
          <w:p w14:paraId="4B28DA61">
            <w:pPr>
              <w:pStyle w:val="13"/>
              <w:widowControl/>
              <w:spacing w:beforeAutospacing="0" w:afterAutospacing="0" w:line="300" w:lineRule="auto"/>
              <w:rPr>
                <w:color w:val="auto"/>
                <w:highlight w:val="none"/>
              </w:rPr>
            </w:pPr>
            <w:r>
              <w:rPr>
                <w:rStyle w:val="18"/>
                <w:rFonts w:hint="eastAsia" w:ascii="宋体" w:hAnsi="宋体" w:cs="宋体"/>
                <w:color w:val="auto"/>
                <w:highlight w:val="none"/>
              </w:rPr>
              <w:t>是否允许中标人将本项目的非主体、非关键性工作进行分包：</w:t>
            </w:r>
          </w:p>
          <w:p w14:paraId="46BEF88D">
            <w:pPr>
              <w:pStyle w:val="13"/>
              <w:widowControl/>
              <w:spacing w:beforeAutospacing="0" w:afterAutospacing="0" w:line="300" w:lineRule="auto"/>
              <w:rPr>
                <w:color w:val="auto"/>
                <w:highlight w:val="none"/>
              </w:rPr>
            </w:pPr>
            <w:r>
              <w:rPr>
                <w:rFonts w:hint="eastAsia" w:ascii="宋体" w:hAnsi="宋体" w:cs="宋体"/>
                <w:color w:val="auto"/>
                <w:highlight w:val="none"/>
              </w:rPr>
              <w:t>不允许。</w:t>
            </w:r>
          </w:p>
        </w:tc>
      </w:tr>
      <w:tr w14:paraId="0FEE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6" w:type="dxa"/>
            <w:tcMar>
              <w:top w:w="0" w:type="dxa"/>
              <w:left w:w="105" w:type="dxa"/>
              <w:bottom w:w="0" w:type="dxa"/>
              <w:right w:w="105" w:type="dxa"/>
            </w:tcMar>
            <w:vAlign w:val="center"/>
          </w:tcPr>
          <w:p w14:paraId="15133513">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5</w:t>
            </w:r>
          </w:p>
        </w:tc>
        <w:tc>
          <w:tcPr>
            <w:tcW w:w="1500" w:type="dxa"/>
            <w:tcMar>
              <w:top w:w="0" w:type="dxa"/>
              <w:left w:w="105" w:type="dxa"/>
              <w:bottom w:w="0" w:type="dxa"/>
              <w:right w:w="105" w:type="dxa"/>
            </w:tcMar>
            <w:vAlign w:val="center"/>
          </w:tcPr>
          <w:p w14:paraId="65FEB84B">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10.8-（</w:t>
            </w:r>
            <w:r>
              <w:rPr>
                <w:rFonts w:cs="Calibri"/>
                <w:color w:val="auto"/>
                <w:highlight w:val="none"/>
              </w:rPr>
              <w:t>1</w:t>
            </w:r>
            <w:r>
              <w:rPr>
                <w:rFonts w:hint="eastAsia" w:ascii="宋体" w:hAnsi="宋体" w:cs="宋体"/>
                <w:color w:val="auto"/>
                <w:highlight w:val="none"/>
              </w:rPr>
              <w:t>）</w:t>
            </w:r>
          </w:p>
        </w:tc>
        <w:tc>
          <w:tcPr>
            <w:tcW w:w="6420" w:type="dxa"/>
            <w:tcMar>
              <w:top w:w="0" w:type="dxa"/>
              <w:left w:w="105" w:type="dxa"/>
              <w:bottom w:w="0" w:type="dxa"/>
              <w:right w:w="105" w:type="dxa"/>
            </w:tcMar>
            <w:vAlign w:val="center"/>
          </w:tcPr>
          <w:p w14:paraId="6A9DD448">
            <w:pPr>
              <w:pStyle w:val="13"/>
              <w:widowControl/>
              <w:spacing w:beforeAutospacing="0" w:afterAutospacing="0" w:line="300" w:lineRule="auto"/>
              <w:rPr>
                <w:color w:val="auto"/>
                <w:highlight w:val="none"/>
              </w:rPr>
            </w:pPr>
            <w:r>
              <w:rPr>
                <w:rStyle w:val="18"/>
                <w:rFonts w:hint="eastAsia" w:ascii="宋体" w:hAnsi="宋体" w:cs="宋体"/>
                <w:color w:val="auto"/>
                <w:highlight w:val="none"/>
              </w:rPr>
              <w:t>投标有效期</w:t>
            </w:r>
            <w:r>
              <w:rPr>
                <w:rFonts w:hint="eastAsia" w:ascii="宋体" w:hAnsi="宋体" w:cs="宋体"/>
                <w:color w:val="auto"/>
                <w:highlight w:val="none"/>
              </w:rPr>
              <w:t>：投标截止时间起</w:t>
            </w:r>
            <w:r>
              <w:rPr>
                <w:rFonts w:hint="eastAsia" w:ascii="宋体" w:hAnsi="宋体" w:cs="宋体"/>
                <w:b/>
                <w:bCs/>
                <w:color w:val="auto"/>
                <w:highlight w:val="none"/>
              </w:rPr>
              <w:t>90</w:t>
            </w:r>
            <w:r>
              <w:rPr>
                <w:rFonts w:hint="eastAsia" w:ascii="宋体" w:hAnsi="宋体" w:cs="宋体"/>
                <w:color w:val="auto"/>
                <w:highlight w:val="none"/>
              </w:rPr>
              <w:t>个日历日。</w:t>
            </w:r>
          </w:p>
        </w:tc>
      </w:tr>
      <w:tr w14:paraId="2940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6" w:type="dxa"/>
            <w:tcMar>
              <w:top w:w="0" w:type="dxa"/>
              <w:left w:w="105" w:type="dxa"/>
              <w:bottom w:w="0" w:type="dxa"/>
              <w:right w:w="105" w:type="dxa"/>
            </w:tcMar>
            <w:vAlign w:val="center"/>
          </w:tcPr>
          <w:p w14:paraId="2EFFFADE">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6</w:t>
            </w:r>
          </w:p>
        </w:tc>
        <w:tc>
          <w:tcPr>
            <w:tcW w:w="1500" w:type="dxa"/>
            <w:tcMar>
              <w:top w:w="0" w:type="dxa"/>
              <w:left w:w="105" w:type="dxa"/>
              <w:bottom w:w="0" w:type="dxa"/>
              <w:right w:w="105" w:type="dxa"/>
            </w:tcMar>
            <w:vAlign w:val="center"/>
          </w:tcPr>
          <w:p w14:paraId="1EA48F39">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10.10-（</w:t>
            </w:r>
            <w:r>
              <w:rPr>
                <w:rFonts w:cs="Calibri"/>
                <w:color w:val="auto"/>
                <w:highlight w:val="none"/>
              </w:rPr>
              <w:t>2</w:t>
            </w:r>
            <w:r>
              <w:rPr>
                <w:rFonts w:hint="eastAsia" w:ascii="宋体" w:hAnsi="宋体" w:cs="宋体"/>
                <w:color w:val="auto"/>
                <w:highlight w:val="none"/>
              </w:rPr>
              <w:t>）</w:t>
            </w:r>
          </w:p>
        </w:tc>
        <w:tc>
          <w:tcPr>
            <w:tcW w:w="6420" w:type="dxa"/>
            <w:tcMar>
              <w:top w:w="0" w:type="dxa"/>
              <w:left w:w="105" w:type="dxa"/>
              <w:bottom w:w="0" w:type="dxa"/>
              <w:right w:w="105" w:type="dxa"/>
            </w:tcMar>
            <w:vAlign w:val="center"/>
          </w:tcPr>
          <w:p w14:paraId="178239B7">
            <w:pPr>
              <w:pStyle w:val="13"/>
              <w:widowControl/>
              <w:spacing w:beforeAutospacing="0" w:afterAutospacing="0" w:line="300" w:lineRule="auto"/>
              <w:rPr>
                <w:color w:val="auto"/>
                <w:highlight w:val="none"/>
              </w:rPr>
            </w:pPr>
            <w:r>
              <w:rPr>
                <w:rStyle w:val="18"/>
                <w:rFonts w:hint="eastAsia" w:ascii="宋体" w:hAnsi="宋体" w:cs="宋体"/>
                <w:color w:val="auto"/>
                <w:highlight w:val="none"/>
              </w:rPr>
              <w:t>密封及其标记的具体形式：</w:t>
            </w:r>
          </w:p>
          <w:p w14:paraId="53965AA2">
            <w:pPr>
              <w:pStyle w:val="13"/>
              <w:widowControl/>
              <w:spacing w:beforeAutospacing="0" w:afterAutospacing="0" w:line="300" w:lineRule="auto"/>
              <w:rPr>
                <w:color w:val="auto"/>
                <w:highlight w:val="none"/>
              </w:rPr>
            </w:pPr>
            <w:r>
              <w:rPr>
                <w:rFonts w:hint="eastAsia" w:ascii="宋体" w:hAnsi="宋体" w:cs="宋体"/>
                <w:color w:val="auto"/>
                <w:highlight w:val="none"/>
              </w:rPr>
              <w:t>（1）全部纸质投标文件（包括正本、副本及可读介质）均应密封，否则</w:t>
            </w:r>
            <w:r>
              <w:rPr>
                <w:rStyle w:val="18"/>
                <w:rFonts w:hint="eastAsia" w:ascii="宋体" w:hAnsi="宋体" w:cs="宋体"/>
                <w:color w:val="auto"/>
                <w:highlight w:val="none"/>
              </w:rPr>
              <w:t>投标将被拒绝。</w:t>
            </w:r>
          </w:p>
          <w:p w14:paraId="1851F5BF">
            <w:pPr>
              <w:pStyle w:val="13"/>
              <w:widowControl/>
              <w:spacing w:beforeAutospacing="0" w:afterAutospacing="0" w:line="300" w:lineRule="auto"/>
              <w:rPr>
                <w:color w:val="auto"/>
                <w:highlight w:val="none"/>
              </w:rPr>
            </w:pPr>
            <w:r>
              <w:rPr>
                <w:rFonts w:hint="eastAsia" w:ascii="宋体" w:hAnsi="宋体" w:cs="宋体"/>
                <w:color w:val="auto"/>
                <w:highlight w:val="none"/>
              </w:rPr>
              <w:t>（2）密封的外包装应至少标记“项目名称、招标编号、所投合同包、投标人的全称”等内容，否则造成投标文件误投、遗漏或提前拆封的，</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不承担责任。</w:t>
            </w:r>
          </w:p>
          <w:p w14:paraId="59C7D737">
            <w:pPr>
              <w:pStyle w:val="13"/>
              <w:widowControl/>
              <w:spacing w:beforeAutospacing="0" w:afterAutospacing="0" w:line="300" w:lineRule="auto"/>
              <w:rPr>
                <w:color w:val="auto"/>
                <w:highlight w:val="none"/>
              </w:rPr>
            </w:pPr>
            <w:r>
              <w:rPr>
                <w:rFonts w:hint="eastAsia" w:ascii="宋体" w:hAnsi="宋体" w:cs="宋体"/>
                <w:color w:val="auto"/>
                <w:highlight w:val="none"/>
              </w:rPr>
              <w:t>（3）其他：无。</w:t>
            </w:r>
          </w:p>
        </w:tc>
      </w:tr>
      <w:tr w14:paraId="7E9B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6" w:type="dxa"/>
            <w:tcMar>
              <w:top w:w="0" w:type="dxa"/>
              <w:left w:w="105" w:type="dxa"/>
              <w:bottom w:w="0" w:type="dxa"/>
              <w:right w:w="105" w:type="dxa"/>
            </w:tcMar>
            <w:vAlign w:val="center"/>
          </w:tcPr>
          <w:p w14:paraId="5FCC3888">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7</w:t>
            </w:r>
          </w:p>
        </w:tc>
        <w:tc>
          <w:tcPr>
            <w:tcW w:w="1500" w:type="dxa"/>
            <w:tcMar>
              <w:top w:w="0" w:type="dxa"/>
              <w:left w:w="105" w:type="dxa"/>
              <w:bottom w:w="0" w:type="dxa"/>
              <w:right w:w="105" w:type="dxa"/>
            </w:tcMar>
            <w:vAlign w:val="center"/>
          </w:tcPr>
          <w:p w14:paraId="04566CD7">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12.1</w:t>
            </w:r>
          </w:p>
        </w:tc>
        <w:tc>
          <w:tcPr>
            <w:tcW w:w="6420" w:type="dxa"/>
            <w:tcMar>
              <w:top w:w="0" w:type="dxa"/>
              <w:left w:w="105" w:type="dxa"/>
              <w:bottom w:w="0" w:type="dxa"/>
              <w:right w:w="105" w:type="dxa"/>
            </w:tcMar>
            <w:vAlign w:val="center"/>
          </w:tcPr>
          <w:p w14:paraId="0839639E">
            <w:pPr>
              <w:pStyle w:val="13"/>
              <w:widowControl/>
              <w:spacing w:beforeAutospacing="0" w:afterAutospacing="0" w:line="300" w:lineRule="auto"/>
              <w:rPr>
                <w:color w:val="auto"/>
                <w:highlight w:val="none"/>
              </w:rPr>
            </w:pPr>
            <w:r>
              <w:rPr>
                <w:rFonts w:hint="eastAsia" w:ascii="宋体" w:hAnsi="宋体" w:cs="宋体"/>
                <w:color w:val="auto"/>
                <w:highlight w:val="none"/>
              </w:rPr>
              <w:t>本项目推荐合同包1中标候选人数为1家。</w:t>
            </w:r>
          </w:p>
        </w:tc>
      </w:tr>
      <w:tr w14:paraId="2DB9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6" w:type="dxa"/>
            <w:tcMar>
              <w:top w:w="75" w:type="dxa"/>
              <w:left w:w="150" w:type="dxa"/>
              <w:bottom w:w="75" w:type="dxa"/>
              <w:right w:w="150" w:type="dxa"/>
            </w:tcMar>
            <w:vAlign w:val="center"/>
          </w:tcPr>
          <w:p w14:paraId="4EF1BF77">
            <w:pPr>
              <w:pStyle w:val="13"/>
              <w:widowControl/>
              <w:spacing w:beforeAutospacing="0" w:afterAutospacing="0" w:line="300" w:lineRule="auto"/>
              <w:rPr>
                <w:color w:val="auto"/>
                <w:highlight w:val="none"/>
              </w:rPr>
            </w:pPr>
            <w:r>
              <w:rPr>
                <w:color w:val="auto"/>
                <w:highlight w:val="none"/>
              </w:rPr>
              <w:t>  8</w:t>
            </w:r>
          </w:p>
        </w:tc>
        <w:tc>
          <w:tcPr>
            <w:tcW w:w="1500" w:type="dxa"/>
            <w:tcMar>
              <w:top w:w="75" w:type="dxa"/>
              <w:left w:w="150" w:type="dxa"/>
              <w:bottom w:w="75" w:type="dxa"/>
              <w:right w:w="150" w:type="dxa"/>
            </w:tcMar>
            <w:vAlign w:val="center"/>
          </w:tcPr>
          <w:p w14:paraId="60D48E98">
            <w:pPr>
              <w:pStyle w:val="13"/>
              <w:widowControl/>
              <w:spacing w:beforeAutospacing="0" w:afterAutospacing="0" w:line="300" w:lineRule="auto"/>
              <w:rPr>
                <w:color w:val="auto"/>
                <w:highlight w:val="none"/>
              </w:rPr>
            </w:pPr>
            <w:r>
              <w:rPr>
                <w:color w:val="auto"/>
                <w:highlight w:val="none"/>
              </w:rPr>
              <w:t>  </w:t>
            </w:r>
            <w:r>
              <w:rPr>
                <w:rFonts w:hint="eastAsia" w:ascii="宋体" w:hAnsi="宋体" w:cs="宋体"/>
                <w:color w:val="auto"/>
                <w:highlight w:val="none"/>
              </w:rPr>
              <w:t>12.2</w:t>
            </w:r>
          </w:p>
        </w:tc>
        <w:tc>
          <w:tcPr>
            <w:tcW w:w="6420" w:type="dxa"/>
            <w:tcMar>
              <w:top w:w="75" w:type="dxa"/>
              <w:left w:w="150" w:type="dxa"/>
              <w:bottom w:w="75" w:type="dxa"/>
              <w:right w:w="150" w:type="dxa"/>
            </w:tcMar>
            <w:vAlign w:val="center"/>
          </w:tcPr>
          <w:p w14:paraId="58AD1124">
            <w:pPr>
              <w:pStyle w:val="13"/>
              <w:widowControl/>
              <w:spacing w:beforeAutospacing="0" w:afterAutospacing="0" w:line="300" w:lineRule="auto"/>
              <w:rPr>
                <w:color w:val="auto"/>
                <w:highlight w:val="none"/>
              </w:rPr>
            </w:pPr>
            <w:r>
              <w:rPr>
                <w:rStyle w:val="18"/>
                <w:rFonts w:hint="eastAsia" w:ascii="宋体" w:hAnsi="宋体" w:cs="宋体"/>
                <w:color w:val="auto"/>
                <w:highlight w:val="none"/>
              </w:rPr>
              <w:t>本项目中标人的确定（以合同包为单位）：</w:t>
            </w:r>
          </w:p>
          <w:p w14:paraId="5C9EA6FB">
            <w:pPr>
              <w:pStyle w:val="13"/>
              <w:widowControl/>
              <w:spacing w:beforeAutospacing="0" w:afterAutospacing="0" w:line="300" w:lineRule="auto"/>
              <w:rPr>
                <w:color w:val="auto"/>
                <w:highlight w:val="none"/>
              </w:rPr>
            </w:pPr>
            <w:r>
              <w:rPr>
                <w:rFonts w:hint="eastAsia" w:ascii="宋体" w:hAnsi="宋体" w:cs="宋体"/>
                <w:color w:val="auto"/>
                <w:highlight w:val="none"/>
              </w:rPr>
              <w:t>（1）采购人应在政府采购招投标管理办法规定的时限内确定中标人。</w:t>
            </w:r>
          </w:p>
          <w:p w14:paraId="7D74E20A">
            <w:pPr>
              <w:pStyle w:val="13"/>
              <w:widowControl/>
              <w:spacing w:beforeAutospacing="0" w:afterAutospacing="0" w:line="300" w:lineRule="auto"/>
              <w:rPr>
                <w:color w:val="auto"/>
                <w:highlight w:val="none"/>
              </w:rPr>
            </w:pPr>
            <w:r>
              <w:rPr>
                <w:rFonts w:hint="eastAsia" w:ascii="宋体" w:hAnsi="宋体" w:cs="宋体"/>
                <w:color w:val="auto"/>
                <w:highlight w:val="none"/>
              </w:rPr>
              <w:t>（2）若出现中标候选人并列情形，则按照下列方式确定中标人：</w:t>
            </w:r>
          </w:p>
          <w:p w14:paraId="1679D6E4">
            <w:pPr>
              <w:pStyle w:val="13"/>
              <w:widowControl/>
              <w:spacing w:beforeAutospacing="0" w:afterAutospacing="0" w:line="300" w:lineRule="auto"/>
              <w:rPr>
                <w:color w:val="auto"/>
                <w:highlight w:val="none"/>
              </w:rPr>
            </w:pPr>
            <w:r>
              <w:rPr>
                <w:rFonts w:hint="eastAsia" w:ascii="宋体" w:hAnsi="宋体" w:cs="宋体"/>
                <w:color w:val="auto"/>
                <w:highlight w:val="none"/>
              </w:rPr>
              <w:t>①招标文件规定的方式：</w:t>
            </w:r>
            <w:r>
              <w:rPr>
                <w:color w:val="auto"/>
                <w:highlight w:val="none"/>
              </w:rPr>
              <w:t>无。</w:t>
            </w:r>
          </w:p>
          <w:p w14:paraId="53663382">
            <w:pPr>
              <w:pStyle w:val="13"/>
              <w:widowControl/>
              <w:spacing w:beforeAutospacing="0" w:afterAutospacing="0" w:line="300" w:lineRule="auto"/>
              <w:rPr>
                <w:color w:val="auto"/>
                <w:highlight w:val="none"/>
              </w:rPr>
            </w:pPr>
            <w:r>
              <w:rPr>
                <w:rFonts w:hint="eastAsia" w:ascii="宋体" w:hAnsi="宋体" w:cs="宋体"/>
                <w:color w:val="auto"/>
                <w:highlight w:val="none"/>
              </w:rPr>
              <w:t>②若本款第①点规定方式为“无”，则按照下列方式确定：无。。</w:t>
            </w:r>
          </w:p>
          <w:p w14:paraId="6EA98DF8">
            <w:pPr>
              <w:pStyle w:val="13"/>
              <w:widowControl/>
              <w:spacing w:beforeAutospacing="0" w:afterAutospacing="0" w:line="300" w:lineRule="auto"/>
              <w:rPr>
                <w:color w:val="auto"/>
                <w:highlight w:val="none"/>
              </w:rPr>
            </w:pPr>
            <w:r>
              <w:rPr>
                <w:rFonts w:hint="eastAsia" w:ascii="宋体" w:hAnsi="宋体" w:cs="宋体"/>
                <w:color w:val="auto"/>
                <w:highlight w:val="none"/>
              </w:rPr>
              <w:t>③若本款第①、②点规定方式均为“无”，则按照下列方式确定：随机抽取。</w:t>
            </w:r>
          </w:p>
          <w:p w14:paraId="0D38E324">
            <w:pPr>
              <w:pStyle w:val="13"/>
              <w:widowControl/>
              <w:spacing w:beforeAutospacing="0" w:afterAutospacing="0" w:line="300" w:lineRule="auto"/>
              <w:rPr>
                <w:color w:val="auto"/>
                <w:highlight w:val="none"/>
              </w:rPr>
            </w:pPr>
            <w:r>
              <w:rPr>
                <w:rFonts w:hint="eastAsia" w:ascii="宋体" w:hAnsi="宋体" w:cs="宋体"/>
                <w:color w:val="auto"/>
                <w:highlight w:val="none"/>
              </w:rPr>
              <w:t>（3）本项目确定的中标人家数：</w:t>
            </w:r>
          </w:p>
          <w:p w14:paraId="53834604">
            <w:pPr>
              <w:pStyle w:val="13"/>
              <w:widowControl/>
              <w:spacing w:beforeAutospacing="0" w:afterAutospacing="0" w:line="300" w:lineRule="auto"/>
              <w:rPr>
                <w:color w:val="auto"/>
                <w:highlight w:val="none"/>
              </w:rPr>
            </w:pPr>
            <w:r>
              <w:rPr>
                <w:rFonts w:hint="eastAsia" w:ascii="宋体" w:hAnsi="宋体" w:cs="宋体"/>
                <w:color w:val="auto"/>
                <w:highlight w:val="none"/>
              </w:rPr>
              <w:t>①本项目确定合同包1中标人数为1家；</w:t>
            </w:r>
          </w:p>
          <w:p w14:paraId="5B1C8135">
            <w:pPr>
              <w:pStyle w:val="13"/>
              <w:widowControl/>
              <w:spacing w:beforeAutospacing="0" w:afterAutospacing="0" w:line="300" w:lineRule="auto"/>
              <w:rPr>
                <w:color w:val="auto"/>
                <w:highlight w:val="none"/>
              </w:rPr>
            </w:pPr>
            <w:r>
              <w:rPr>
                <w:rFonts w:hint="eastAsia" w:ascii="宋体" w:hAnsi="宋体" w:cs="宋体"/>
                <w:color w:val="auto"/>
                <w:highlight w:val="none"/>
              </w:rPr>
              <w:t>②若出现中标候选人符合法定家数但不足本款第①点规定中标人家数情形，则按照中标候选人的实际家数确定中标人。</w:t>
            </w:r>
          </w:p>
        </w:tc>
      </w:tr>
      <w:tr w14:paraId="3B57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6" w:type="dxa"/>
            <w:tcMar>
              <w:top w:w="0" w:type="dxa"/>
              <w:left w:w="105" w:type="dxa"/>
              <w:bottom w:w="0" w:type="dxa"/>
              <w:right w:w="105" w:type="dxa"/>
            </w:tcMar>
            <w:vAlign w:val="center"/>
          </w:tcPr>
          <w:p w14:paraId="306F1910">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9</w:t>
            </w:r>
          </w:p>
        </w:tc>
        <w:tc>
          <w:tcPr>
            <w:tcW w:w="1500" w:type="dxa"/>
            <w:tcMar>
              <w:top w:w="0" w:type="dxa"/>
              <w:left w:w="105" w:type="dxa"/>
              <w:bottom w:w="0" w:type="dxa"/>
              <w:right w:w="105" w:type="dxa"/>
            </w:tcMar>
            <w:vAlign w:val="center"/>
          </w:tcPr>
          <w:p w14:paraId="0729E62A">
            <w:pPr>
              <w:pStyle w:val="13"/>
              <w:widowControl/>
              <w:spacing w:beforeAutospacing="0" w:afterAutospacing="0" w:line="300" w:lineRule="auto"/>
              <w:rPr>
                <w:color w:val="auto"/>
                <w:highlight w:val="none"/>
              </w:rPr>
            </w:pPr>
            <w:r>
              <w:rPr>
                <w:rFonts w:hint="eastAsia" w:ascii="宋体" w:hAnsi="宋体" w:cs="宋体"/>
                <w:color w:val="auto"/>
                <w:highlight w:val="none"/>
              </w:rPr>
              <w:t> 15.1-（</w:t>
            </w:r>
            <w:r>
              <w:rPr>
                <w:rFonts w:ascii="Times New Roman" w:hAnsi="Times New Roman" w:cs="Times New Roman"/>
                <w:color w:val="auto"/>
                <w:highlight w:val="none"/>
              </w:rPr>
              <w:t>2</w:t>
            </w:r>
            <w:r>
              <w:rPr>
                <w:rFonts w:hint="eastAsia" w:ascii="宋体" w:hAnsi="宋体" w:cs="宋体"/>
                <w:color w:val="auto"/>
                <w:highlight w:val="none"/>
              </w:rPr>
              <w:t>）</w:t>
            </w:r>
          </w:p>
        </w:tc>
        <w:tc>
          <w:tcPr>
            <w:tcW w:w="6420" w:type="dxa"/>
            <w:tcMar>
              <w:top w:w="0" w:type="dxa"/>
              <w:left w:w="105" w:type="dxa"/>
              <w:bottom w:w="0" w:type="dxa"/>
              <w:right w:w="105" w:type="dxa"/>
            </w:tcMar>
            <w:vAlign w:val="center"/>
          </w:tcPr>
          <w:p w14:paraId="4FDD919D">
            <w:pPr>
              <w:pStyle w:val="13"/>
              <w:widowControl/>
              <w:wordWrap w:val="0"/>
              <w:spacing w:beforeAutospacing="0" w:afterAutospacing="0" w:line="300" w:lineRule="auto"/>
              <w:rPr>
                <w:color w:val="auto"/>
                <w:highlight w:val="none"/>
              </w:rPr>
            </w:pPr>
            <w:r>
              <w:rPr>
                <w:rStyle w:val="18"/>
                <w:rFonts w:hint="eastAsia" w:ascii="宋体" w:hAnsi="宋体" w:cs="宋体"/>
                <w:color w:val="auto"/>
                <w:highlight w:val="none"/>
              </w:rPr>
              <w:t>质疑函原件应采用下列方式提交：</w:t>
            </w:r>
            <w:r>
              <w:rPr>
                <w:rFonts w:hint="eastAsia" w:ascii="宋体" w:hAnsi="宋体" w:cs="宋体"/>
                <w:color w:val="auto"/>
                <w:highlight w:val="none"/>
              </w:rPr>
              <w:t>书面形式。</w:t>
            </w:r>
          </w:p>
        </w:tc>
      </w:tr>
      <w:tr w14:paraId="7CC0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6" w:type="dxa"/>
            <w:tcMar>
              <w:top w:w="0" w:type="dxa"/>
              <w:left w:w="105" w:type="dxa"/>
              <w:bottom w:w="0" w:type="dxa"/>
              <w:right w:w="105" w:type="dxa"/>
            </w:tcMar>
            <w:vAlign w:val="center"/>
          </w:tcPr>
          <w:p w14:paraId="04DEA693">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10</w:t>
            </w:r>
          </w:p>
        </w:tc>
        <w:tc>
          <w:tcPr>
            <w:tcW w:w="1500" w:type="dxa"/>
            <w:tcMar>
              <w:top w:w="0" w:type="dxa"/>
              <w:left w:w="105" w:type="dxa"/>
              <w:bottom w:w="0" w:type="dxa"/>
              <w:right w:w="105" w:type="dxa"/>
            </w:tcMar>
            <w:vAlign w:val="center"/>
          </w:tcPr>
          <w:p w14:paraId="66BD6767">
            <w:pPr>
              <w:pStyle w:val="13"/>
              <w:widowControl/>
              <w:spacing w:beforeAutospacing="0" w:afterAutospacing="0" w:line="300" w:lineRule="auto"/>
              <w:rPr>
                <w:color w:val="auto"/>
                <w:highlight w:val="none"/>
              </w:rPr>
            </w:pPr>
          </w:p>
          <w:p w14:paraId="4E2BB88E">
            <w:pPr>
              <w:pStyle w:val="13"/>
              <w:widowControl/>
              <w:spacing w:beforeAutospacing="0" w:afterAutospacing="0" w:line="300" w:lineRule="auto"/>
              <w:rPr>
                <w:color w:val="auto"/>
                <w:highlight w:val="none"/>
              </w:rPr>
            </w:pPr>
            <w:r>
              <w:rPr>
                <w:rFonts w:hint="eastAsia" w:ascii="宋体" w:hAnsi="宋体" w:cs="宋体"/>
                <w:color w:val="auto"/>
                <w:highlight w:val="none"/>
              </w:rPr>
              <w:t>  15.4</w:t>
            </w:r>
          </w:p>
          <w:p w14:paraId="4704C134">
            <w:pPr>
              <w:pStyle w:val="13"/>
              <w:widowControl/>
              <w:spacing w:beforeAutospacing="0" w:afterAutospacing="0" w:line="300" w:lineRule="auto"/>
              <w:rPr>
                <w:color w:val="auto"/>
                <w:highlight w:val="none"/>
              </w:rPr>
            </w:pPr>
          </w:p>
        </w:tc>
        <w:tc>
          <w:tcPr>
            <w:tcW w:w="6420" w:type="dxa"/>
            <w:tcMar>
              <w:top w:w="0" w:type="dxa"/>
              <w:left w:w="105" w:type="dxa"/>
              <w:bottom w:w="0" w:type="dxa"/>
              <w:right w:w="105" w:type="dxa"/>
            </w:tcMar>
            <w:vAlign w:val="center"/>
          </w:tcPr>
          <w:p w14:paraId="384F49A0">
            <w:pPr>
              <w:pStyle w:val="13"/>
              <w:widowControl/>
              <w:spacing w:beforeAutospacing="0" w:afterAutospacing="0" w:line="300" w:lineRule="auto"/>
              <w:rPr>
                <w:color w:val="auto"/>
                <w:highlight w:val="none"/>
              </w:rPr>
            </w:pPr>
            <w:r>
              <w:rPr>
                <w:rStyle w:val="18"/>
                <w:rFonts w:hint="eastAsia" w:ascii="宋体" w:hAnsi="宋体" w:cs="宋体"/>
                <w:color w:val="auto"/>
                <w:highlight w:val="none"/>
              </w:rPr>
              <w:t>招标文件的质疑</w:t>
            </w:r>
          </w:p>
          <w:p w14:paraId="4EA00067">
            <w:pPr>
              <w:pStyle w:val="13"/>
              <w:widowControl/>
              <w:spacing w:beforeAutospacing="0" w:afterAutospacing="0" w:line="300" w:lineRule="auto"/>
              <w:rPr>
                <w:color w:val="auto"/>
                <w:highlight w:val="none"/>
              </w:rPr>
            </w:pPr>
            <w:r>
              <w:rPr>
                <w:rFonts w:hint="eastAsia" w:ascii="宋体" w:hAnsi="宋体" w:cs="宋体"/>
                <w:color w:val="auto"/>
                <w:highlight w:val="none"/>
              </w:rPr>
              <w:t>（1）潜在投标人可在质疑时效期间内对招标文件以书面形式提出质疑。</w:t>
            </w:r>
          </w:p>
          <w:p w14:paraId="6C4F300C">
            <w:pPr>
              <w:pStyle w:val="13"/>
              <w:widowControl/>
              <w:spacing w:beforeAutospacing="0" w:afterAutospacing="0" w:line="300" w:lineRule="auto"/>
              <w:rPr>
                <w:color w:val="auto"/>
                <w:highlight w:val="none"/>
              </w:rPr>
            </w:pPr>
            <w:r>
              <w:rPr>
                <w:rFonts w:hint="eastAsia" w:ascii="宋体" w:hAnsi="宋体" w:cs="宋体"/>
                <w:color w:val="auto"/>
                <w:highlight w:val="none"/>
              </w:rPr>
              <w:t>（2）质疑时效期间：</w:t>
            </w:r>
          </w:p>
          <w:p w14:paraId="5BC06375">
            <w:pPr>
              <w:pStyle w:val="13"/>
              <w:widowControl/>
              <w:spacing w:beforeAutospacing="0" w:afterAutospacing="0"/>
              <w:rPr>
                <w:color w:val="auto"/>
                <w:highlight w:val="none"/>
              </w:rPr>
            </w:pPr>
            <w:r>
              <w:rPr>
                <w:rFonts w:hint="eastAsia" w:ascii="宋体" w:hAnsi="宋体" w:cs="宋体"/>
                <w:color w:val="auto"/>
                <w:highlight w:val="none"/>
              </w:rPr>
              <w:t>自公告发布之日起3个工作日内向</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提出。</w:t>
            </w:r>
          </w:p>
          <w:p w14:paraId="57D793BB">
            <w:pPr>
              <w:pStyle w:val="13"/>
              <w:widowControl/>
              <w:spacing w:beforeAutospacing="0" w:afterAutospacing="0" w:line="300" w:lineRule="auto"/>
              <w:rPr>
                <w:color w:val="auto"/>
                <w:highlight w:val="none"/>
              </w:rPr>
            </w:pPr>
            <w:r>
              <w:rPr>
                <w:rStyle w:val="18"/>
                <w:rFonts w:hint="eastAsia" w:ascii="宋体" w:hAnsi="宋体" w:cs="宋体"/>
                <w:color w:val="auto"/>
                <w:highlight w:val="none"/>
              </w:rPr>
              <w:t>※除上述规定外，对招标文件提出的质疑还应符合招标文件第三章第</w:t>
            </w:r>
            <w:r>
              <w:rPr>
                <w:rStyle w:val="18"/>
                <w:rFonts w:ascii="Times New Roman" w:hAnsi="Times New Roman" w:cs="Times New Roman"/>
                <w:color w:val="auto"/>
                <w:highlight w:val="none"/>
              </w:rPr>
              <w:t>15.1</w:t>
            </w:r>
            <w:r>
              <w:rPr>
                <w:rStyle w:val="18"/>
                <w:rFonts w:hint="eastAsia" w:ascii="宋体" w:hAnsi="宋体" w:cs="宋体"/>
                <w:color w:val="auto"/>
                <w:highlight w:val="none"/>
              </w:rPr>
              <w:t>条的有关规定。</w:t>
            </w:r>
          </w:p>
        </w:tc>
      </w:tr>
      <w:tr w14:paraId="087A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3" w:hRule="atLeast"/>
        </w:trPr>
        <w:tc>
          <w:tcPr>
            <w:tcW w:w="596" w:type="dxa"/>
            <w:tcMar>
              <w:top w:w="0" w:type="dxa"/>
              <w:left w:w="105" w:type="dxa"/>
              <w:bottom w:w="0" w:type="dxa"/>
              <w:right w:w="105" w:type="dxa"/>
            </w:tcMar>
            <w:vAlign w:val="center"/>
          </w:tcPr>
          <w:p w14:paraId="26A0DCF7">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11</w:t>
            </w:r>
          </w:p>
        </w:tc>
        <w:tc>
          <w:tcPr>
            <w:tcW w:w="1500" w:type="dxa"/>
            <w:tcMar>
              <w:top w:w="0" w:type="dxa"/>
              <w:left w:w="105" w:type="dxa"/>
              <w:bottom w:w="0" w:type="dxa"/>
              <w:right w:w="105" w:type="dxa"/>
            </w:tcMar>
            <w:vAlign w:val="center"/>
          </w:tcPr>
          <w:p w14:paraId="6ED647C8">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10.9</w:t>
            </w:r>
          </w:p>
        </w:tc>
        <w:tc>
          <w:tcPr>
            <w:tcW w:w="6420" w:type="dxa"/>
            <w:tcMar>
              <w:top w:w="0" w:type="dxa"/>
              <w:left w:w="105" w:type="dxa"/>
              <w:bottom w:w="0" w:type="dxa"/>
              <w:right w:w="105" w:type="dxa"/>
            </w:tcMar>
            <w:vAlign w:val="center"/>
          </w:tcPr>
          <w:p w14:paraId="64C40755">
            <w:pPr>
              <w:pStyle w:val="13"/>
              <w:widowControl/>
              <w:spacing w:beforeAutospacing="0" w:afterAutospacing="0" w:line="300" w:lineRule="auto"/>
              <w:rPr>
                <w:rFonts w:hint="eastAsia" w:ascii="宋体" w:hAnsi="宋体" w:eastAsia="宋体" w:cs="宋体"/>
                <w:b/>
                <w:color w:val="auto"/>
                <w:highlight w:val="none"/>
                <w:lang w:val="en-US" w:eastAsia="zh-CN"/>
              </w:rPr>
            </w:pPr>
            <w:r>
              <w:rPr>
                <w:rFonts w:hint="eastAsia" w:ascii="宋体" w:hAnsi="宋体" w:cs="宋体"/>
                <w:b/>
                <w:color w:val="auto"/>
                <w:highlight w:val="none"/>
              </w:rPr>
              <w:t>履约保证金：</w:t>
            </w:r>
            <w:r>
              <w:rPr>
                <w:rFonts w:hint="eastAsia" w:ascii="宋体" w:hAnsi="宋体" w:cs="宋体"/>
                <w:b/>
                <w:color w:val="auto"/>
                <w:highlight w:val="none"/>
                <w:lang w:val="en-US" w:eastAsia="zh-CN"/>
              </w:rPr>
              <w:t>无</w:t>
            </w:r>
          </w:p>
        </w:tc>
      </w:tr>
      <w:tr w14:paraId="418A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6" w:type="dxa"/>
            <w:tcMar>
              <w:top w:w="0" w:type="dxa"/>
              <w:left w:w="105" w:type="dxa"/>
              <w:bottom w:w="0" w:type="dxa"/>
              <w:right w:w="105" w:type="dxa"/>
            </w:tcMar>
            <w:vAlign w:val="center"/>
          </w:tcPr>
          <w:p w14:paraId="29C3360C">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12</w:t>
            </w:r>
          </w:p>
        </w:tc>
        <w:tc>
          <w:tcPr>
            <w:tcW w:w="1500" w:type="dxa"/>
            <w:tcMar>
              <w:top w:w="0" w:type="dxa"/>
              <w:left w:w="105" w:type="dxa"/>
              <w:bottom w:w="0" w:type="dxa"/>
              <w:right w:w="105" w:type="dxa"/>
            </w:tcMar>
            <w:vAlign w:val="center"/>
          </w:tcPr>
          <w:p w14:paraId="79C8EB6B">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18.1</w:t>
            </w:r>
          </w:p>
        </w:tc>
        <w:tc>
          <w:tcPr>
            <w:tcW w:w="6420" w:type="dxa"/>
            <w:tcMar>
              <w:top w:w="0" w:type="dxa"/>
              <w:left w:w="105" w:type="dxa"/>
              <w:bottom w:w="0" w:type="dxa"/>
              <w:right w:w="105" w:type="dxa"/>
            </w:tcMar>
            <w:vAlign w:val="center"/>
          </w:tcPr>
          <w:p w14:paraId="7C2E39D3">
            <w:pPr>
              <w:pStyle w:val="13"/>
              <w:widowControl/>
              <w:wordWrap w:val="0"/>
              <w:spacing w:beforeAutospacing="0" w:afterAutospacing="0" w:line="300" w:lineRule="auto"/>
              <w:rPr>
                <w:color w:val="auto"/>
                <w:highlight w:val="none"/>
              </w:rPr>
            </w:pPr>
            <w:r>
              <w:rPr>
                <w:rStyle w:val="18"/>
                <w:rFonts w:hint="eastAsia" w:ascii="宋体" w:hAnsi="宋体" w:cs="宋体"/>
                <w:color w:val="auto"/>
                <w:highlight w:val="none"/>
              </w:rPr>
              <w:t>财政部和福建省财政厅指定的政府采购信息发布媒体（以下简称：“指定媒体”）：</w:t>
            </w:r>
          </w:p>
          <w:p w14:paraId="6A97949C">
            <w:pPr>
              <w:pStyle w:val="13"/>
              <w:widowControl/>
              <w:wordWrap w:val="0"/>
              <w:spacing w:beforeAutospacing="0" w:afterAutospacing="0" w:line="300" w:lineRule="auto"/>
              <w:rPr>
                <w:color w:val="auto"/>
                <w:highlight w:val="none"/>
              </w:rPr>
            </w:pPr>
            <w:r>
              <w:rPr>
                <w:rFonts w:hint="eastAsia" w:ascii="宋体" w:hAnsi="宋体" w:cs="宋体"/>
                <w:color w:val="auto"/>
                <w:highlight w:val="none"/>
              </w:rPr>
              <w:t>南安市人民政府http://www.nanan.gov.cn/zwgk/ztzl/ggzyjy</w:t>
            </w:r>
            <w:r>
              <w:rPr>
                <w:color w:val="auto"/>
                <w:highlight w:val="none"/>
              </w:rPr>
              <w:t>。</w:t>
            </w:r>
          </w:p>
        </w:tc>
      </w:tr>
      <w:tr w14:paraId="58A1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6" w:type="dxa"/>
            <w:tcMar>
              <w:top w:w="0" w:type="dxa"/>
              <w:left w:w="105" w:type="dxa"/>
              <w:bottom w:w="0" w:type="dxa"/>
              <w:right w:w="105" w:type="dxa"/>
            </w:tcMar>
            <w:vAlign w:val="center"/>
          </w:tcPr>
          <w:p w14:paraId="715649EB">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13</w:t>
            </w:r>
          </w:p>
        </w:tc>
        <w:tc>
          <w:tcPr>
            <w:tcW w:w="1500" w:type="dxa"/>
            <w:tcMar>
              <w:top w:w="0" w:type="dxa"/>
              <w:left w:w="105" w:type="dxa"/>
              <w:bottom w:w="0" w:type="dxa"/>
              <w:right w:w="105" w:type="dxa"/>
            </w:tcMar>
            <w:vAlign w:val="center"/>
          </w:tcPr>
          <w:p w14:paraId="4E11DAAF">
            <w:pPr>
              <w:pStyle w:val="13"/>
              <w:widowControl/>
              <w:spacing w:beforeAutospacing="0" w:afterAutospacing="0" w:line="300" w:lineRule="auto"/>
              <w:jc w:val="center"/>
              <w:rPr>
                <w:color w:val="auto"/>
                <w:highlight w:val="none"/>
              </w:rPr>
            </w:pPr>
            <w:r>
              <w:rPr>
                <w:rFonts w:hint="eastAsia" w:ascii="宋体" w:hAnsi="宋体" w:cs="宋体"/>
                <w:color w:val="auto"/>
                <w:highlight w:val="none"/>
              </w:rPr>
              <w:t>19</w:t>
            </w:r>
          </w:p>
        </w:tc>
        <w:tc>
          <w:tcPr>
            <w:tcW w:w="6420" w:type="dxa"/>
            <w:tcMar>
              <w:top w:w="0" w:type="dxa"/>
              <w:left w:w="105" w:type="dxa"/>
              <w:bottom w:w="0" w:type="dxa"/>
              <w:right w:w="105" w:type="dxa"/>
            </w:tcMar>
            <w:vAlign w:val="center"/>
          </w:tcPr>
          <w:p w14:paraId="1E2412A9">
            <w:pPr>
              <w:pStyle w:val="13"/>
              <w:widowControl/>
              <w:wordWrap w:val="0"/>
              <w:spacing w:beforeAutospacing="0" w:afterAutospacing="0" w:line="300" w:lineRule="auto"/>
              <w:rPr>
                <w:color w:val="auto"/>
                <w:highlight w:val="none"/>
              </w:rPr>
            </w:pPr>
            <w:r>
              <w:rPr>
                <w:rStyle w:val="18"/>
                <w:rFonts w:hint="eastAsia" w:ascii="宋体" w:hAnsi="宋体" w:cs="宋体"/>
                <w:color w:val="auto"/>
                <w:highlight w:val="none"/>
              </w:rPr>
              <w:t>其他事项：</w:t>
            </w:r>
          </w:p>
          <w:p w14:paraId="248DD148">
            <w:pPr>
              <w:widowControl/>
              <w:spacing w:line="30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1.</w:t>
            </w:r>
            <w:r>
              <w:rPr>
                <w:rFonts w:ascii="宋体" w:hAnsi="宋体" w:cs="宋体"/>
                <w:b/>
                <w:bCs/>
                <w:color w:val="auto"/>
                <w:kern w:val="0"/>
                <w:sz w:val="24"/>
                <w:highlight w:val="none"/>
              </w:rPr>
              <w:t>本项目的</w:t>
            </w:r>
            <w:r>
              <w:rPr>
                <w:rFonts w:hint="eastAsia" w:ascii="宋体" w:hAnsi="宋体" w:cs="宋体"/>
                <w:b/>
                <w:bCs/>
                <w:color w:val="auto"/>
                <w:kern w:val="0"/>
                <w:sz w:val="24"/>
                <w:highlight w:val="none"/>
              </w:rPr>
              <w:t>招标代理</w:t>
            </w:r>
            <w:r>
              <w:rPr>
                <w:rFonts w:ascii="宋体" w:hAnsi="宋体" w:cs="宋体"/>
                <w:b/>
                <w:bCs/>
                <w:color w:val="auto"/>
                <w:kern w:val="0"/>
                <w:sz w:val="24"/>
                <w:highlight w:val="none"/>
              </w:rPr>
              <w:t>服务费由</w:t>
            </w:r>
            <w:r>
              <w:rPr>
                <w:rFonts w:hint="eastAsia" w:ascii="宋体" w:hAnsi="宋体" w:cs="宋体"/>
                <w:b/>
                <w:bCs/>
                <w:color w:val="auto"/>
                <w:kern w:val="0"/>
                <w:sz w:val="24"/>
                <w:highlight w:val="none"/>
              </w:rPr>
              <w:t>中标</w:t>
            </w:r>
            <w:r>
              <w:rPr>
                <w:rFonts w:ascii="宋体" w:hAnsi="宋体" w:cs="宋体"/>
                <w:b/>
                <w:bCs/>
                <w:color w:val="auto"/>
                <w:kern w:val="0"/>
                <w:sz w:val="24"/>
                <w:highlight w:val="none"/>
              </w:rPr>
              <w:t>人支付。</w:t>
            </w:r>
          </w:p>
          <w:p w14:paraId="520E8146">
            <w:pPr>
              <w:widowControl/>
              <w:spacing w:line="300" w:lineRule="auto"/>
              <w:jc w:val="left"/>
              <w:rPr>
                <w:rFonts w:ascii="宋体" w:hAnsi="宋体" w:cs="宋体"/>
                <w:b/>
                <w:bCs/>
                <w:color w:val="auto"/>
                <w:kern w:val="0"/>
                <w:sz w:val="24"/>
                <w:highlight w:val="none"/>
              </w:rPr>
            </w:pPr>
            <w:r>
              <w:rPr>
                <w:rFonts w:hint="eastAsia" w:ascii="宋体" w:hAnsi="宋体" w:cs="宋体"/>
                <w:color w:val="auto"/>
                <w:kern w:val="0"/>
                <w:sz w:val="24"/>
                <w:highlight w:val="none"/>
              </w:rPr>
              <w:t>2</w:t>
            </w:r>
            <w:r>
              <w:rPr>
                <w:rFonts w:hint="eastAsia" w:ascii="宋体" w:hAnsi="宋体" w:cs="宋体"/>
                <w:b/>
                <w:bCs/>
                <w:color w:val="auto"/>
                <w:kern w:val="0"/>
                <w:sz w:val="24"/>
                <w:highlight w:val="none"/>
              </w:rPr>
              <w:t>.招标代理服务费：中标供应商应在领取《中标通知书》时，按差额定率累进法计算。标准如下：100万元以下1.5%；不足肆仟按肆仟记取。向代理机构支招标代理服务费，代理服务费以人民币支付。缴纳费用账号：</w:t>
            </w:r>
          </w:p>
          <w:p w14:paraId="74E80192">
            <w:pPr>
              <w:widowControl/>
              <w:spacing w:line="30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开户行：中国银行股份有限公司丰泽支行</w:t>
            </w:r>
          </w:p>
          <w:p w14:paraId="2954AED3">
            <w:pPr>
              <w:widowControl/>
              <w:spacing w:line="30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户名：泉州市新开源项目咨询有限公司</w:t>
            </w:r>
          </w:p>
          <w:p w14:paraId="3DA88AB6">
            <w:pPr>
              <w:widowControl/>
              <w:spacing w:line="300" w:lineRule="auto"/>
              <w:jc w:val="left"/>
              <w:rPr>
                <w:color w:val="auto"/>
                <w:highlight w:val="none"/>
              </w:rPr>
            </w:pPr>
            <w:r>
              <w:rPr>
                <w:rFonts w:hint="eastAsia" w:ascii="宋体" w:hAnsi="宋体" w:cs="宋体"/>
                <w:b/>
                <w:bCs/>
                <w:color w:val="auto"/>
                <w:kern w:val="0"/>
                <w:sz w:val="24"/>
                <w:highlight w:val="none"/>
              </w:rPr>
              <w:t>账号：414376406334</w:t>
            </w:r>
          </w:p>
        </w:tc>
      </w:tr>
    </w:tbl>
    <w:p w14:paraId="05936184">
      <w:pPr>
        <w:pStyle w:val="13"/>
        <w:widowControl/>
        <w:spacing w:before="75" w:beforeAutospacing="0" w:after="75" w:afterAutospacing="0" w:line="300" w:lineRule="auto"/>
        <w:jc w:val="center"/>
        <w:rPr>
          <w:color w:val="auto"/>
          <w:highlight w:val="none"/>
        </w:rPr>
      </w:pPr>
      <w:r>
        <w:rPr>
          <w:rStyle w:val="18"/>
          <w:rFonts w:ascii="宋体" w:hAnsi="宋体" w:cs="宋体"/>
          <w:color w:val="auto"/>
          <w:sz w:val="31"/>
          <w:szCs w:val="31"/>
          <w:highlight w:val="none"/>
        </w:rPr>
        <w:br w:type="page"/>
      </w:r>
      <w:r>
        <w:rPr>
          <w:rStyle w:val="18"/>
          <w:rFonts w:hint="eastAsia" w:ascii="宋体" w:hAnsi="宋体" w:cs="宋体"/>
          <w:color w:val="auto"/>
          <w:sz w:val="31"/>
          <w:szCs w:val="31"/>
          <w:highlight w:val="none"/>
        </w:rPr>
        <w:t>第三章   投标人须知</w:t>
      </w:r>
    </w:p>
    <w:p w14:paraId="10B22BF6">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 </w:t>
      </w:r>
    </w:p>
    <w:p w14:paraId="3677BEB9">
      <w:pPr>
        <w:pStyle w:val="13"/>
        <w:widowControl/>
        <w:spacing w:before="75" w:beforeAutospacing="0" w:after="75" w:afterAutospacing="0" w:line="300" w:lineRule="auto"/>
        <w:jc w:val="center"/>
        <w:rPr>
          <w:color w:val="auto"/>
          <w:highlight w:val="none"/>
        </w:rPr>
      </w:pPr>
      <w:r>
        <w:rPr>
          <w:rStyle w:val="18"/>
          <w:rFonts w:hint="eastAsia" w:ascii="宋体" w:hAnsi="宋体" w:cs="宋体"/>
          <w:color w:val="auto"/>
          <w:highlight w:val="none"/>
        </w:rPr>
        <w:t>一、总则</w:t>
      </w:r>
    </w:p>
    <w:p w14:paraId="4E03E463">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1、适用范围</w:t>
      </w:r>
    </w:p>
    <w:p w14:paraId="12D1F6D3">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1.1适用于招标文件载明项目的政府采购活动（以下简称：“本次采购活动”）。</w:t>
      </w:r>
    </w:p>
    <w:p w14:paraId="5DE0BCFE">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2、定义</w:t>
      </w:r>
    </w:p>
    <w:p w14:paraId="6C0A76C4">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2.1“采购标的”指招标文件载明的需要采购的货物或服务。</w:t>
      </w:r>
    </w:p>
    <w:p w14:paraId="529BA8D0">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2.2“潜在投标人”指按照招标文件第一章第</w:t>
      </w:r>
      <w:r>
        <w:rPr>
          <w:rFonts w:cs="Calibri"/>
          <w:color w:val="auto"/>
          <w:highlight w:val="none"/>
        </w:rPr>
        <w:t>7</w:t>
      </w:r>
      <w:r>
        <w:rPr>
          <w:rFonts w:hint="eastAsia" w:ascii="宋体" w:hAnsi="宋体" w:cs="宋体"/>
          <w:color w:val="auto"/>
          <w:highlight w:val="none"/>
        </w:rPr>
        <w:t>条规定进行报名且有意向参加本项目投标的供应商。</w:t>
      </w:r>
    </w:p>
    <w:p w14:paraId="627CC15F">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2.3“投标人”指按照招标文件第一章第</w:t>
      </w:r>
      <w:r>
        <w:rPr>
          <w:rFonts w:cs="Calibri"/>
          <w:color w:val="auto"/>
          <w:highlight w:val="none"/>
        </w:rPr>
        <w:t>7</w:t>
      </w:r>
      <w:r>
        <w:rPr>
          <w:rFonts w:hint="eastAsia" w:ascii="宋体" w:hAnsi="宋体" w:cs="宋体"/>
          <w:color w:val="auto"/>
          <w:highlight w:val="none"/>
        </w:rPr>
        <w:t>条规定进行报名并参加本项目投标的供应商。</w:t>
      </w:r>
    </w:p>
    <w:p w14:paraId="58DDA8DD">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2.4“单位负责人”指单位法定代表人或法律、法规规定代表单位行使职权的主要负责人。</w:t>
      </w:r>
    </w:p>
    <w:p w14:paraId="3152CF9F">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2.5“投标人代表”指投标人的单位负责人或“单位负责人授权书”中载明的接受授权方。</w:t>
      </w:r>
    </w:p>
    <w:p w14:paraId="69A6FFF8">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 </w:t>
      </w:r>
    </w:p>
    <w:p w14:paraId="496722D3">
      <w:pPr>
        <w:pStyle w:val="13"/>
        <w:widowControl/>
        <w:spacing w:before="75" w:beforeAutospacing="0" w:after="75" w:afterAutospacing="0" w:line="300" w:lineRule="auto"/>
        <w:jc w:val="center"/>
        <w:rPr>
          <w:color w:val="auto"/>
          <w:highlight w:val="none"/>
        </w:rPr>
      </w:pPr>
      <w:r>
        <w:rPr>
          <w:rStyle w:val="18"/>
          <w:rFonts w:hint="eastAsia" w:ascii="宋体" w:hAnsi="宋体" w:cs="宋体"/>
          <w:color w:val="auto"/>
          <w:highlight w:val="none"/>
        </w:rPr>
        <w:t>二、投标人</w:t>
      </w:r>
    </w:p>
    <w:p w14:paraId="5FAAC7D9">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3、合格投标人</w:t>
      </w:r>
    </w:p>
    <w:p w14:paraId="2F9E7B84">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3.1一般规定</w:t>
      </w:r>
    </w:p>
    <w:p w14:paraId="3A10CA88">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14:paraId="16C32CC7">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（2）投标人的资格要求：详见招标文件第一章。</w:t>
      </w:r>
    </w:p>
    <w:p w14:paraId="29A36755">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3.2若本项目接受联合体投标且投标人为联合体，则联合体各方应遵守本章第3.1条规定，同时还应遵守下列规定：</w:t>
      </w:r>
    </w:p>
    <w:p w14:paraId="1C4624C3">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（1）联合体各方应提交联合体协议，联合体协议应符合招标文件规定。</w:t>
      </w:r>
    </w:p>
    <w:p w14:paraId="60BB7EF7">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（2）联合体各方不得再单独参加或与其他供应商另外组成联合体参加同一合同项下的投标。</w:t>
      </w:r>
    </w:p>
    <w:p w14:paraId="21FC47A8">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（3）联合体各方应共同与采购人签订政府采购合同，就政府采购合同约定的事项对采购人承担连带责任。</w:t>
      </w:r>
    </w:p>
    <w:p w14:paraId="28B7AA65">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4、投标费用</w:t>
      </w:r>
    </w:p>
    <w:p w14:paraId="0C498134">
      <w:pPr>
        <w:pStyle w:val="13"/>
        <w:widowControl/>
        <w:spacing w:before="75" w:beforeAutospacing="0" w:after="75" w:afterAutospacing="0" w:line="300" w:lineRule="auto"/>
        <w:rPr>
          <w:rFonts w:ascii="宋体" w:hAnsi="宋体" w:cs="宋体"/>
          <w:color w:val="auto"/>
          <w:highlight w:val="none"/>
        </w:rPr>
      </w:pPr>
      <w:r>
        <w:rPr>
          <w:rFonts w:hint="eastAsia" w:ascii="宋体" w:hAnsi="宋体" w:cs="宋体"/>
          <w:color w:val="auto"/>
          <w:highlight w:val="none"/>
        </w:rPr>
        <w:t>4.1除招标文件另有规定外，投标人应自行承担其参加本项目投标所涉及的一切费用。</w:t>
      </w:r>
    </w:p>
    <w:p w14:paraId="71A9EF1B">
      <w:pPr>
        <w:pStyle w:val="13"/>
        <w:widowControl/>
        <w:spacing w:before="75" w:beforeAutospacing="0" w:after="75" w:afterAutospacing="0" w:line="300" w:lineRule="auto"/>
        <w:rPr>
          <w:rFonts w:ascii="宋体" w:hAnsi="宋体" w:cs="宋体"/>
          <w:color w:val="auto"/>
          <w:highlight w:val="none"/>
        </w:rPr>
      </w:pPr>
    </w:p>
    <w:p w14:paraId="466CB0FF">
      <w:pPr>
        <w:pStyle w:val="13"/>
        <w:widowControl/>
        <w:spacing w:before="75" w:beforeAutospacing="0" w:after="75" w:afterAutospacing="0" w:line="300" w:lineRule="auto"/>
        <w:jc w:val="center"/>
        <w:rPr>
          <w:color w:val="auto"/>
          <w:highlight w:val="none"/>
        </w:rPr>
      </w:pPr>
      <w:r>
        <w:rPr>
          <w:rStyle w:val="18"/>
          <w:rFonts w:hint="eastAsia" w:ascii="宋体" w:hAnsi="宋体" w:cs="宋体"/>
          <w:color w:val="auto"/>
          <w:highlight w:val="none"/>
        </w:rPr>
        <w:t>三、招标</w:t>
      </w:r>
    </w:p>
    <w:p w14:paraId="52563280">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5、招标文件</w:t>
      </w:r>
    </w:p>
    <w:p w14:paraId="1A6A8EB3">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5.1招标文件由下述部分组成：</w:t>
      </w:r>
    </w:p>
    <w:p w14:paraId="779DC25A">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（1）投标邀请</w:t>
      </w:r>
    </w:p>
    <w:p w14:paraId="5E34A22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（2）投标人须知前附表（表</w:t>
      </w:r>
      <w:r>
        <w:rPr>
          <w:rFonts w:cs="Calibri"/>
          <w:color w:val="auto"/>
          <w:highlight w:val="none"/>
        </w:rPr>
        <w:t>1</w:t>
      </w:r>
      <w:r>
        <w:rPr>
          <w:rFonts w:hint="eastAsia" w:ascii="宋体" w:hAnsi="宋体" w:cs="宋体"/>
          <w:color w:val="auto"/>
          <w:highlight w:val="none"/>
        </w:rPr>
        <w:t>、</w:t>
      </w:r>
      <w:r>
        <w:rPr>
          <w:rFonts w:cs="Calibri"/>
          <w:color w:val="auto"/>
          <w:highlight w:val="none"/>
        </w:rPr>
        <w:t>2</w:t>
      </w:r>
      <w:r>
        <w:rPr>
          <w:rFonts w:hint="eastAsia" w:ascii="宋体" w:hAnsi="宋体" w:cs="宋体"/>
          <w:color w:val="auto"/>
          <w:highlight w:val="none"/>
        </w:rPr>
        <w:t>）</w:t>
      </w:r>
    </w:p>
    <w:p w14:paraId="06093E67">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（3）投标人须知</w:t>
      </w:r>
    </w:p>
    <w:p w14:paraId="4F83D107">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（4）资格审查与评标</w:t>
      </w:r>
    </w:p>
    <w:p w14:paraId="5ACDDE9F">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（5）招标内容及要求</w:t>
      </w:r>
    </w:p>
    <w:p w14:paraId="43F2299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（6）政府采购合同（参考文本）</w:t>
      </w:r>
    </w:p>
    <w:p w14:paraId="3B689DE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（7）投标文件格式</w:t>
      </w:r>
    </w:p>
    <w:p w14:paraId="319FBCD2">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（8）按照招标文件规定作为招标文件组成部分的其他内容（若有）</w:t>
      </w:r>
    </w:p>
    <w:p w14:paraId="75912675">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5.2招标文件的澄清或修改</w:t>
      </w:r>
    </w:p>
    <w:p w14:paraId="35696BEA">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w:t>
      </w:r>
      <w:r>
        <w:rPr>
          <w:rFonts w:hint="eastAsia"/>
          <w:color w:val="auto"/>
          <w:highlight w:val="none"/>
          <w:u w:val="single"/>
        </w:rPr>
        <w:t>泉州市新开源项目咨询有限公司</w:t>
      </w:r>
      <w:r>
        <w:rPr>
          <w:rFonts w:hint="eastAsia" w:ascii="宋体" w:hAnsi="宋体" w:cs="宋体"/>
          <w:color w:val="auto"/>
          <w:highlight w:val="none"/>
        </w:rPr>
        <w:t>可对已发出的招标文件进行必要的澄清或修改，但不得对招标文件载明的采购标的和投标人的资格要求进行改变。</w:t>
      </w:r>
    </w:p>
    <w:p w14:paraId="22F527C0">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（2）除本章第</w:t>
      </w:r>
      <w:r>
        <w:rPr>
          <w:rFonts w:cs="Calibri"/>
          <w:color w:val="auto"/>
          <w:highlight w:val="none"/>
        </w:rPr>
        <w:t>5.2</w:t>
      </w:r>
      <w:r>
        <w:rPr>
          <w:rFonts w:hint="eastAsia" w:ascii="宋体" w:hAnsi="宋体" w:cs="宋体"/>
          <w:color w:val="auto"/>
          <w:highlight w:val="none"/>
        </w:rPr>
        <w:t>条第（</w:t>
      </w:r>
      <w:r>
        <w:rPr>
          <w:rFonts w:cs="Calibri"/>
          <w:color w:val="auto"/>
          <w:highlight w:val="none"/>
        </w:rPr>
        <w:t>3</w:t>
      </w:r>
      <w:r>
        <w:rPr>
          <w:rFonts w:hint="eastAsia" w:ascii="宋体" w:hAnsi="宋体" w:cs="宋体"/>
          <w:color w:val="auto"/>
          <w:highlight w:val="none"/>
        </w:rPr>
        <w:t>）款规定情形外，澄清或修改的内容可能影响投标文件编制的，</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将在投标截止时间至少3个日历日前，在招标文件载明的指定媒体以更正公告的形式发布澄清或修改的内容。不足</w:t>
      </w:r>
      <w:r>
        <w:rPr>
          <w:rFonts w:hint="eastAsia" w:cs="Calibri"/>
          <w:color w:val="auto"/>
          <w:highlight w:val="none"/>
        </w:rPr>
        <w:t>3</w:t>
      </w:r>
      <w:r>
        <w:rPr>
          <w:rFonts w:hint="eastAsia" w:ascii="宋体" w:hAnsi="宋体" w:cs="宋体"/>
          <w:color w:val="auto"/>
          <w:highlight w:val="none"/>
        </w:rPr>
        <w:t>个日历日的，</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将顺延投标截止时间及开标时间，</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和投标人受原投标截止时间及开标时间制约的所有权利和义务均延长至新的投标截止时间及开标时间。</w:t>
      </w:r>
    </w:p>
    <w:p w14:paraId="0F15FE4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（3）澄清或修改的内容可能改变招标文件载明的采购标的和投标人的资格要求的，本次采购活动结束，</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将依法组织后续采购活动（包括但不限于：重新招标、采用其他方式采购等）。</w:t>
      </w:r>
    </w:p>
    <w:p w14:paraId="4EA44299">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6、现场考察或开标前答疑会</w:t>
      </w:r>
    </w:p>
    <w:p w14:paraId="4D301062">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6.1是否组织现场考察或召开开标前答疑会：详见招标文件第二章。</w:t>
      </w:r>
    </w:p>
    <w:p w14:paraId="6F52C5E5">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7、更正公告</w:t>
      </w:r>
    </w:p>
    <w:p w14:paraId="7AB96F66">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7.1若</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发布更正公告，则更正公告及其所发布的内容或信息（包括但不限于：招标文件的澄清或修改、现场考察或答疑会的有关事宜等）</w:t>
      </w:r>
      <w:r>
        <w:rPr>
          <w:rStyle w:val="18"/>
          <w:rFonts w:hint="eastAsia" w:ascii="宋体" w:hAnsi="宋体" w:cs="宋体"/>
          <w:color w:val="auto"/>
          <w:highlight w:val="none"/>
        </w:rPr>
        <w:t>作为招标文件组成部分</w:t>
      </w:r>
      <w:r>
        <w:rPr>
          <w:rFonts w:hint="eastAsia" w:ascii="宋体" w:hAnsi="宋体" w:cs="宋体"/>
          <w:color w:val="auto"/>
          <w:highlight w:val="none"/>
        </w:rPr>
        <w:t>，对投标人具有约束力。</w:t>
      </w:r>
    </w:p>
    <w:p w14:paraId="02ABD1B8">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7.2更正公告作为</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通知所有潜在投标人的书面形式。</w:t>
      </w:r>
    </w:p>
    <w:p w14:paraId="5A4D31B6">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8、终止公告</w:t>
      </w:r>
    </w:p>
    <w:p w14:paraId="1C72653C">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8.1若出现因重大变故导致采购任务取消情形，泉州市新开源项目咨询有限公司可终止招标并发布终止公告。</w:t>
      </w:r>
    </w:p>
    <w:p w14:paraId="737BE635">
      <w:pPr>
        <w:pStyle w:val="13"/>
        <w:widowControl/>
        <w:spacing w:before="75" w:beforeAutospacing="0" w:after="75" w:afterAutospacing="0" w:line="300" w:lineRule="auto"/>
        <w:rPr>
          <w:rFonts w:ascii="宋体" w:hAnsi="宋体" w:cs="宋体"/>
          <w:color w:val="auto"/>
          <w:highlight w:val="none"/>
        </w:rPr>
      </w:pPr>
      <w:r>
        <w:rPr>
          <w:rFonts w:hint="eastAsia" w:ascii="宋体" w:hAnsi="宋体" w:cs="宋体"/>
          <w:color w:val="auto"/>
          <w:highlight w:val="none"/>
        </w:rPr>
        <w:t>8.2终止公告作为泉州市新开源项目咨询有限公司通知所有潜在投标人的书面形式。</w:t>
      </w:r>
    </w:p>
    <w:p w14:paraId="34ADC4AE">
      <w:pPr>
        <w:pStyle w:val="13"/>
        <w:widowControl/>
        <w:spacing w:before="75" w:beforeAutospacing="0" w:after="75" w:afterAutospacing="0" w:line="300" w:lineRule="auto"/>
        <w:rPr>
          <w:rFonts w:ascii="宋体" w:hAnsi="宋体" w:cs="宋体"/>
          <w:color w:val="auto"/>
          <w:highlight w:val="none"/>
        </w:rPr>
      </w:pPr>
    </w:p>
    <w:p w14:paraId="2AC25824">
      <w:pPr>
        <w:pStyle w:val="13"/>
        <w:widowControl/>
        <w:spacing w:before="75" w:beforeAutospacing="0" w:after="75" w:afterAutospacing="0" w:line="300" w:lineRule="auto"/>
        <w:jc w:val="center"/>
        <w:rPr>
          <w:color w:val="auto"/>
          <w:highlight w:val="none"/>
        </w:rPr>
      </w:pPr>
      <w:r>
        <w:rPr>
          <w:rStyle w:val="18"/>
          <w:rFonts w:hint="eastAsia" w:ascii="宋体" w:hAnsi="宋体" w:cs="宋体"/>
          <w:color w:val="auto"/>
          <w:highlight w:val="none"/>
        </w:rPr>
        <w:t>四、投标</w:t>
      </w:r>
    </w:p>
    <w:p w14:paraId="1993F5A4">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9、投标</w:t>
      </w:r>
    </w:p>
    <w:p w14:paraId="4AB741E5">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9.1投标人可对招标文件载明的全部或部分合同包进行投标。</w:t>
      </w:r>
    </w:p>
    <w:p w14:paraId="6DC83738">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9.2投标人应对同一个合同包内的所有内容进行完整投标，否则</w:t>
      </w:r>
      <w:r>
        <w:rPr>
          <w:rStyle w:val="18"/>
          <w:rFonts w:hint="eastAsia" w:ascii="宋体" w:hAnsi="宋体" w:cs="宋体"/>
          <w:color w:val="auto"/>
          <w:highlight w:val="none"/>
        </w:rPr>
        <w:t>投标无效</w:t>
      </w:r>
      <w:r>
        <w:rPr>
          <w:rFonts w:hint="eastAsia" w:ascii="宋体" w:hAnsi="宋体" w:cs="宋体"/>
          <w:color w:val="auto"/>
          <w:highlight w:val="none"/>
        </w:rPr>
        <w:t>。</w:t>
      </w:r>
    </w:p>
    <w:p w14:paraId="59A9E1E6">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9.3投标人代表只能接受一个投标人的授权参加投标，否则</w:t>
      </w:r>
      <w:r>
        <w:rPr>
          <w:rStyle w:val="18"/>
          <w:rFonts w:hint="eastAsia" w:ascii="宋体" w:hAnsi="宋体" w:cs="宋体"/>
          <w:color w:val="auto"/>
          <w:highlight w:val="none"/>
        </w:rPr>
        <w:t>投标无效</w:t>
      </w:r>
      <w:r>
        <w:rPr>
          <w:rFonts w:hint="eastAsia" w:ascii="宋体" w:hAnsi="宋体" w:cs="宋体"/>
          <w:color w:val="auto"/>
          <w:highlight w:val="none"/>
        </w:rPr>
        <w:t>。</w:t>
      </w:r>
    </w:p>
    <w:p w14:paraId="6902C56B">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9.4单位负责人为同一人或存在直接控股、管理关系的不同供应商，不得同时参加同一合同项下的投标，否则</w:t>
      </w:r>
      <w:r>
        <w:rPr>
          <w:rStyle w:val="18"/>
          <w:rFonts w:hint="eastAsia" w:ascii="宋体" w:hAnsi="宋体" w:cs="宋体"/>
          <w:color w:val="auto"/>
          <w:highlight w:val="none"/>
        </w:rPr>
        <w:t>投标无效</w:t>
      </w:r>
      <w:r>
        <w:rPr>
          <w:rFonts w:hint="eastAsia" w:ascii="宋体" w:hAnsi="宋体" w:cs="宋体"/>
          <w:color w:val="auto"/>
          <w:highlight w:val="none"/>
        </w:rPr>
        <w:t>。</w:t>
      </w:r>
    </w:p>
    <w:p w14:paraId="6B188B8A">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9.5为本项目提供整体设计、规范编制或项目管理、监理、检测等服务的供应商，不得参加本项目除整体设计、规范编制和项目管理、监理、检测等服务外的采购活动，否则</w:t>
      </w:r>
      <w:r>
        <w:rPr>
          <w:rStyle w:val="18"/>
          <w:rFonts w:hint="eastAsia" w:ascii="宋体" w:hAnsi="宋体" w:cs="宋体"/>
          <w:color w:val="auto"/>
          <w:highlight w:val="none"/>
        </w:rPr>
        <w:t>投标无效</w:t>
      </w:r>
      <w:r>
        <w:rPr>
          <w:rFonts w:hint="eastAsia" w:ascii="宋体" w:hAnsi="宋体" w:cs="宋体"/>
          <w:color w:val="auto"/>
          <w:highlight w:val="none"/>
        </w:rPr>
        <w:t>。</w:t>
      </w:r>
    </w:p>
    <w:p w14:paraId="1100E0AD">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9.6列入失信被执行人、重大税收违法案件当事人名单、政府采购严重违法失信行为记录名单及其他不符合政府采购法第二十二条规定条件的供应商，不得参加投标，否则</w:t>
      </w:r>
      <w:r>
        <w:rPr>
          <w:rStyle w:val="18"/>
          <w:rFonts w:hint="eastAsia" w:ascii="宋体" w:hAnsi="宋体" w:cs="宋体"/>
          <w:color w:val="auto"/>
          <w:highlight w:val="none"/>
        </w:rPr>
        <w:t>投标无效</w:t>
      </w:r>
      <w:r>
        <w:rPr>
          <w:rFonts w:hint="eastAsia" w:ascii="宋体" w:hAnsi="宋体" w:cs="宋体"/>
          <w:color w:val="auto"/>
          <w:highlight w:val="none"/>
        </w:rPr>
        <w:t>。</w:t>
      </w:r>
    </w:p>
    <w:p w14:paraId="5F4768FF">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9.7有下列情形之一的，视为投标人串通投标，</w:t>
      </w:r>
      <w:r>
        <w:rPr>
          <w:rStyle w:val="18"/>
          <w:rFonts w:hint="eastAsia" w:ascii="宋体" w:hAnsi="宋体" w:cs="宋体"/>
          <w:color w:val="auto"/>
          <w:highlight w:val="none"/>
        </w:rPr>
        <w:t>其投标无效：</w:t>
      </w:r>
    </w:p>
    <w:p w14:paraId="6F52B18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（1）不同投标人的投标文件由同一单位或个人编制；</w:t>
      </w:r>
    </w:p>
    <w:p w14:paraId="471F44C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（2）不同投标人委托同一单位或个人办理投标事宜；</w:t>
      </w:r>
    </w:p>
    <w:p w14:paraId="2B03ED04">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（3）不同投标人的投标文件载明的项目管理成员或联系人员为同一人；</w:t>
      </w:r>
    </w:p>
    <w:p w14:paraId="38BE496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（4）不同投标人的投标文件异常一致或投标报价呈规律性差异；</w:t>
      </w:r>
    </w:p>
    <w:p w14:paraId="1BB8E50D">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（5）不同投标人的投标文件相互混装；</w:t>
      </w:r>
    </w:p>
    <w:p w14:paraId="7049712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（6）有关法律、法规和规章及招标文件规定的其他串通投标情形。</w:t>
      </w:r>
    </w:p>
    <w:p w14:paraId="58A1E4A0">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10、投标文件</w:t>
      </w:r>
    </w:p>
    <w:p w14:paraId="281A57A7">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10.1投标文件的编制</w:t>
      </w:r>
    </w:p>
    <w:p w14:paraId="3E538D4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（1）投标人应先仔细阅读招标文件的全部内容后，再进行投标文件的编制。</w:t>
      </w:r>
    </w:p>
    <w:p w14:paraId="3E0F5E9E">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（2）投标文件应按照本章第</w:t>
      </w:r>
      <w:r>
        <w:rPr>
          <w:rFonts w:cs="Calibri"/>
          <w:color w:val="auto"/>
          <w:highlight w:val="none"/>
        </w:rPr>
        <w:t>10.2</w:t>
      </w:r>
      <w:r>
        <w:rPr>
          <w:rFonts w:hint="eastAsia" w:ascii="宋体" w:hAnsi="宋体" w:cs="宋体"/>
          <w:color w:val="auto"/>
          <w:highlight w:val="none"/>
        </w:rPr>
        <w:t>条规定编制其组成部分。</w:t>
      </w:r>
    </w:p>
    <w:p w14:paraId="6C06B983">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（3）投标文件应满足招标文件提出的实质性要求和条件，并保证其所提交的全部资料是不可割离且真实、有效、准确、完整和不具有任何误导性的，否则造成不利后果由投标人承担责任。</w:t>
      </w:r>
    </w:p>
    <w:p w14:paraId="352835FD">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10.2投标文件由下述部分组成：</w:t>
      </w:r>
    </w:p>
    <w:p w14:paraId="4CED106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（1）报价部分</w:t>
      </w:r>
    </w:p>
    <w:p w14:paraId="231D105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①开标一览表</w:t>
      </w:r>
    </w:p>
    <w:p w14:paraId="7C35BFF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②投标分项报价表</w:t>
      </w:r>
    </w:p>
    <w:p w14:paraId="6E03177E">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③招标文件规定的价格扣除证明材料（若有）</w:t>
      </w:r>
    </w:p>
    <w:p w14:paraId="35C4DC0A">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④招标文件规定的加分证明材料（若有）</w:t>
      </w:r>
    </w:p>
    <w:p w14:paraId="6C7EEBD0">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（2）资格证明、技术商务部分</w:t>
      </w:r>
    </w:p>
    <w:p w14:paraId="7442CB32">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①标的说明一览表</w:t>
      </w:r>
    </w:p>
    <w:p w14:paraId="0DA066DE">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②投标函</w:t>
      </w:r>
    </w:p>
    <w:p w14:paraId="22AC5C9C">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③投标人的资格及资信证明文件</w:t>
      </w:r>
    </w:p>
    <w:p w14:paraId="0F3042B6">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④技术和服务要求响应表</w:t>
      </w:r>
    </w:p>
    <w:p w14:paraId="72C1705F">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⑤商务条件响应表</w:t>
      </w:r>
    </w:p>
    <w:p w14:paraId="7749B016">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⑥投标人提交的其他资料（若有）</w:t>
      </w:r>
    </w:p>
    <w:p w14:paraId="6ED58191">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10.3投标文件的语言</w:t>
      </w:r>
    </w:p>
    <w:p w14:paraId="49AC371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（1）除招标文件另有规定外，投标文件应使用中文文本，若有不同文本，以中文文本为准。</w:t>
      </w:r>
    </w:p>
    <w:p w14:paraId="0219E04F">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67E1FC1">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10.4投标文件的份数：详见招标文件第二章。</w:t>
      </w:r>
    </w:p>
    <w:p w14:paraId="07B07CE7">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10.5投标文件的格式</w:t>
      </w:r>
    </w:p>
    <w:p w14:paraId="6508857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（1）除招标文件另有规定外，投标文件应使用招标文件第七章规定的格式。</w:t>
      </w:r>
    </w:p>
    <w:p w14:paraId="392DD730">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（2）除招标文件另有规定外，投标文件的正本和全部副本均应使用不能擦去的墨料或墨水打印、书写或复印，其中：</w:t>
      </w:r>
    </w:p>
    <w:p w14:paraId="4160807A">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①正本应用</w:t>
      </w:r>
      <w:r>
        <w:rPr>
          <w:rFonts w:cs="Calibri"/>
          <w:color w:val="auto"/>
          <w:highlight w:val="none"/>
        </w:rPr>
        <w:t>A4</w:t>
      </w:r>
      <w:r>
        <w:rPr>
          <w:rFonts w:hint="eastAsia" w:ascii="宋体" w:hAnsi="宋体" w:cs="宋体"/>
          <w:color w:val="auto"/>
          <w:highlight w:val="none"/>
        </w:rPr>
        <w:t>幅面纸张打印装订，编制封面（封面标明“正本”字样）、索引、页码，并用胶装装订成册。</w:t>
      </w:r>
    </w:p>
    <w:p w14:paraId="593FA100">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②副本应用</w:t>
      </w:r>
      <w:r>
        <w:rPr>
          <w:rFonts w:cs="Calibri"/>
          <w:color w:val="auto"/>
          <w:highlight w:val="none"/>
        </w:rPr>
        <w:t>A4</w:t>
      </w:r>
      <w:r>
        <w:rPr>
          <w:rFonts w:hint="eastAsia" w:ascii="宋体" w:hAnsi="宋体" w:cs="宋体"/>
          <w:color w:val="auto"/>
          <w:highlight w:val="none"/>
        </w:rPr>
        <w:t>幅面纸张打印装订，编制封面（封面标明“副本”字样）、索引、页码，并用胶装装订成册；副本可用正本的完整复印件，并与正本保持一致（若不一致，以正本为准）。</w:t>
      </w:r>
    </w:p>
    <w:p w14:paraId="2D31D383">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③允许散装或活页装订的内容或材料：详见招标文件第二章。</w:t>
      </w:r>
    </w:p>
    <w:p w14:paraId="382D5B66">
      <w:pPr>
        <w:pStyle w:val="13"/>
        <w:widowControl/>
        <w:spacing w:before="75" w:beforeAutospacing="0" w:after="75" w:afterAutospacing="0" w:line="300" w:lineRule="auto"/>
        <w:ind w:firstLine="480"/>
        <w:rPr>
          <w:color w:val="auto"/>
          <w:highlight w:val="none"/>
        </w:rPr>
      </w:pPr>
      <w:r>
        <w:rPr>
          <w:rStyle w:val="18"/>
          <w:rFonts w:hint="eastAsia" w:ascii="宋体" w:hAnsi="宋体" w:cs="宋体"/>
          <w:color w:val="auto"/>
          <w:highlight w:val="none"/>
        </w:rPr>
        <w:t>※除本章第</w:t>
      </w:r>
      <w:r>
        <w:rPr>
          <w:rStyle w:val="18"/>
          <w:rFonts w:cs="Calibri"/>
          <w:color w:val="auto"/>
          <w:highlight w:val="none"/>
        </w:rPr>
        <w:t>10.5</w:t>
      </w:r>
      <w:r>
        <w:rPr>
          <w:rStyle w:val="18"/>
          <w:rFonts w:hint="eastAsia" w:ascii="宋体" w:hAnsi="宋体" w:cs="宋体"/>
          <w:color w:val="auto"/>
          <w:highlight w:val="none"/>
        </w:rPr>
        <w:t>条第（</w:t>
      </w:r>
      <w:r>
        <w:rPr>
          <w:rStyle w:val="18"/>
          <w:rFonts w:cs="Calibri"/>
          <w:color w:val="auto"/>
          <w:highlight w:val="none"/>
        </w:rPr>
        <w:t>2</w:t>
      </w:r>
      <w:r>
        <w:rPr>
          <w:rStyle w:val="18"/>
          <w:rFonts w:hint="eastAsia" w:ascii="宋体" w:hAnsi="宋体" w:cs="宋体"/>
          <w:color w:val="auto"/>
          <w:highlight w:val="none"/>
        </w:rPr>
        <w:t>）款第③点规定情形外，投标文件散装或活页装订将导致投标无效。</w:t>
      </w:r>
    </w:p>
    <w:p w14:paraId="5AD64D0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（3）除招标文件另有规定外，投标文件应使用人民币作为计量货币。</w:t>
      </w:r>
    </w:p>
    <w:p w14:paraId="389322C2">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（4）除招标文件另有规定外，签署、盖章应遵守下列规定：</w:t>
      </w:r>
    </w:p>
    <w:p w14:paraId="2A685CFE">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①投标文件应由投标人代表签字并加盖投标人的单位公章。若投标人代表为单位负责人授权的委托代理人，应提供“单位负责人授权书”。</w:t>
      </w:r>
    </w:p>
    <w:p w14:paraId="73DA034F">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②投标文件应没有涂改或行间插字，除非这些改动是根据</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的指示进行的，或是为改正投标人造成的应修改的错误而进行的。若有前述改动，应按照下列规定之一对改动处进行处理：</w:t>
      </w:r>
    </w:p>
    <w:p w14:paraId="09E7619A">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a.投标人代表签字确认；</w:t>
      </w:r>
    </w:p>
    <w:p w14:paraId="23EA788F">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b.加盖投标人的单位公章或校正章。</w:t>
      </w:r>
    </w:p>
    <w:p w14:paraId="4C6B6368">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10.6投标报价</w:t>
      </w:r>
    </w:p>
    <w:p w14:paraId="1D1A88D9">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（1）投标报价超出最高限价将导致</w:t>
      </w:r>
      <w:r>
        <w:rPr>
          <w:rStyle w:val="18"/>
          <w:rFonts w:hint="eastAsia" w:ascii="宋体" w:hAnsi="宋体" w:cs="宋体"/>
          <w:color w:val="auto"/>
          <w:highlight w:val="none"/>
        </w:rPr>
        <w:t>报价无效，</w:t>
      </w:r>
      <w:r>
        <w:rPr>
          <w:rStyle w:val="18"/>
          <w:rFonts w:hint="eastAsia" w:ascii="宋体" w:hAnsi="宋体" w:cs="宋体"/>
          <w:b w:val="0"/>
          <w:color w:val="auto"/>
          <w:highlight w:val="none"/>
        </w:rPr>
        <w:t>不推荐为中标候选人</w:t>
      </w:r>
      <w:r>
        <w:rPr>
          <w:rStyle w:val="18"/>
          <w:rFonts w:hint="eastAsia" w:ascii="宋体" w:hAnsi="宋体" w:cs="宋体"/>
          <w:color w:val="auto"/>
          <w:highlight w:val="none"/>
        </w:rPr>
        <w:t>。</w:t>
      </w:r>
    </w:p>
    <w:p w14:paraId="4D717328">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（2）最高限价由采购人根据价格测算情况，在预算金额的额度内合理设定。最高限价不得超出预算金额。</w:t>
      </w:r>
    </w:p>
    <w:p w14:paraId="600CC31A">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（3）除招标文件另有规定外，投标文件不能出现任何选择性的投标报价，即每一个合同包和品目号的采购标的都只能有一个投标报价。任何选择性的投标报价将导致</w:t>
      </w:r>
      <w:r>
        <w:rPr>
          <w:rStyle w:val="18"/>
          <w:rFonts w:hint="eastAsia" w:ascii="宋体" w:hAnsi="宋体" w:cs="宋体"/>
          <w:color w:val="auto"/>
          <w:highlight w:val="none"/>
        </w:rPr>
        <w:t>投标无效。</w:t>
      </w:r>
    </w:p>
    <w:p w14:paraId="005860BE">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10.7分包</w:t>
      </w:r>
    </w:p>
    <w:p w14:paraId="3C2F70FE">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（1）是否允许中标人将本项目的非主体、非关键性工作进行分包：详见招标文件第二章。</w:t>
      </w:r>
    </w:p>
    <w:p w14:paraId="202E2527">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（2）若允许中标人将本项目的非主体、非关键性工作进行分包且投标人拟在中标后进行分包，则投标人应在投标文件中载明分包承担主体，分包承担主体应具备相应资质条件（若有）且不得再次分包。</w:t>
      </w:r>
    </w:p>
    <w:p w14:paraId="22D08969">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（3）招标文件允许中标人将非主体、非关键性工作进行分包的项目，有下列情形之一的，中标人不得分包：</w:t>
      </w:r>
    </w:p>
    <w:p w14:paraId="0BF61367">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①投标文件中未载明分包承担主体；</w:t>
      </w:r>
    </w:p>
    <w:p w14:paraId="5AD3652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②投标文件载明的分包承担主体不具备相应资质条件；</w:t>
      </w:r>
    </w:p>
    <w:p w14:paraId="716CC9F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③投标文件载明的分包承担主体拟再次分包。</w:t>
      </w:r>
    </w:p>
    <w:p w14:paraId="620E27D0">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10.8投标有效期</w:t>
      </w:r>
    </w:p>
    <w:p w14:paraId="2B5F654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（1）招标文件载明的投标有效期：详见招标文件第二章。</w:t>
      </w:r>
    </w:p>
    <w:p w14:paraId="016F979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（2）投标文件承诺的投标有效期不得少于招标文件载明的投标有效期，否则</w:t>
      </w:r>
      <w:r>
        <w:rPr>
          <w:rStyle w:val="18"/>
          <w:rFonts w:hint="eastAsia" w:ascii="宋体" w:hAnsi="宋体" w:cs="宋体"/>
          <w:color w:val="auto"/>
          <w:highlight w:val="none"/>
        </w:rPr>
        <w:t>投标无效</w:t>
      </w:r>
      <w:r>
        <w:rPr>
          <w:rFonts w:hint="eastAsia" w:ascii="宋体" w:hAnsi="宋体" w:cs="宋体"/>
          <w:color w:val="auto"/>
          <w:highlight w:val="none"/>
        </w:rPr>
        <w:t>。</w:t>
      </w:r>
    </w:p>
    <w:p w14:paraId="0347977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（3）根据本次采购活动的需要，</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可于投标有效期届满之前书面要求投标人延长投标有效期，投标人应在</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42BF64D1">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10.9除招标文件另有规定外，有下列情形之一的，</w:t>
      </w:r>
      <w:r>
        <w:rPr>
          <w:rStyle w:val="18"/>
          <w:rFonts w:hint="eastAsia" w:ascii="宋体" w:hAnsi="宋体" w:cs="宋体"/>
          <w:color w:val="auto"/>
          <w:highlight w:val="none"/>
        </w:rPr>
        <w:t>投标无效</w:t>
      </w:r>
      <w:r>
        <w:rPr>
          <w:rFonts w:hint="eastAsia" w:ascii="宋体" w:hAnsi="宋体" w:cs="宋体"/>
          <w:color w:val="auto"/>
          <w:highlight w:val="none"/>
        </w:rPr>
        <w:t>：</w:t>
      </w:r>
    </w:p>
    <w:p w14:paraId="22CD30F2">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（1）投标文件未按照招标文件要求签署、盖章；</w:t>
      </w:r>
    </w:p>
    <w:p w14:paraId="3DAC1E98">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（2）不符合招标文件中规定的资格要求；</w:t>
      </w:r>
    </w:p>
    <w:p w14:paraId="0E363EB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（3）投标报价超过招标文件中规定的预算金额；</w:t>
      </w:r>
    </w:p>
    <w:p w14:paraId="0A040212">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（4）投标文件含有采购人不能接受的附加条件；</w:t>
      </w:r>
    </w:p>
    <w:p w14:paraId="10B8770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（5）有关法律、法规和规章及招标文件规定的其他无效情形。</w:t>
      </w:r>
    </w:p>
    <w:p w14:paraId="70B04C63">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 </w:t>
      </w:r>
    </w:p>
    <w:p w14:paraId="78C1BBC3">
      <w:pPr>
        <w:pStyle w:val="13"/>
        <w:widowControl/>
        <w:spacing w:before="75" w:beforeAutospacing="0" w:after="75" w:afterAutospacing="0" w:line="300" w:lineRule="auto"/>
        <w:jc w:val="center"/>
        <w:rPr>
          <w:color w:val="auto"/>
          <w:highlight w:val="none"/>
        </w:rPr>
      </w:pPr>
      <w:r>
        <w:rPr>
          <w:rStyle w:val="18"/>
          <w:rFonts w:hint="eastAsia" w:ascii="宋体" w:hAnsi="宋体" w:cs="宋体"/>
          <w:color w:val="auto"/>
          <w:highlight w:val="none"/>
        </w:rPr>
        <w:t>五、开标</w:t>
      </w:r>
    </w:p>
    <w:p w14:paraId="17991B21">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11、开标</w:t>
      </w:r>
    </w:p>
    <w:p w14:paraId="31BBC4FE">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11.1</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将在招标文件载明的开标时间及地点主持召开开标会，并邀请投标人参加。</w:t>
      </w:r>
    </w:p>
    <w:p w14:paraId="29F44D13">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11.2开标会的主持人、唱标人、记录人及其他工作人员（若有）均由</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派出，现场监督人员（若有）可由有关方面派出。</w:t>
      </w:r>
    </w:p>
    <w:p w14:paraId="37533C1C">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11.3参加开标会的投标人应签到，非投标人不参加开标会。</w:t>
      </w:r>
    </w:p>
    <w:p w14:paraId="4EAD319D">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11.4开标会应遵守下列规定：</w:t>
      </w:r>
    </w:p>
    <w:p w14:paraId="2A6BE444">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（1）首先由主持人宣布开标会须知，然后由投标人代表对投标文件的密封情况进行检查，经确认无误后，由工作人员对密封的投标文件当众拆封。</w:t>
      </w:r>
    </w:p>
    <w:p w14:paraId="3681102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14:paraId="66335E9D">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（3）记录人对唱标人宣布的内容作开标记录。</w:t>
      </w:r>
    </w:p>
    <w:p w14:paraId="089E69A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14:paraId="0B38D4AE">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（5）投标人代表对开标过程和开标记录有疑义，以及认为采购人（采购代理机构）相关工作人员有需要回避情形的，应当场提出询问或回避申请。否则，视为投标人对开标过程和开标记录予以认可。</w:t>
      </w:r>
    </w:p>
    <w:p w14:paraId="2F7F341F">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（6）若投标人未参加开标会（包括但不限于投标人派出的人员不是投标人代表），视同其对开标过程和开标记录予以认可。</w:t>
      </w:r>
    </w:p>
    <w:p w14:paraId="609C479C">
      <w:pPr>
        <w:pStyle w:val="13"/>
        <w:widowControl/>
        <w:spacing w:before="75" w:beforeAutospacing="0" w:after="75" w:afterAutospacing="0" w:line="300" w:lineRule="auto"/>
        <w:ind w:firstLine="480"/>
        <w:rPr>
          <w:color w:val="auto"/>
          <w:highlight w:val="none"/>
        </w:rPr>
      </w:pPr>
      <w:r>
        <w:rPr>
          <w:rStyle w:val="18"/>
          <w:rFonts w:hint="eastAsia" w:ascii="宋体" w:hAnsi="宋体" w:cs="宋体"/>
          <w:color w:val="auto"/>
          <w:highlight w:val="none"/>
        </w:rPr>
        <w:t>※若出现本章第</w:t>
      </w:r>
      <w:r>
        <w:rPr>
          <w:rStyle w:val="18"/>
          <w:rFonts w:cs="Calibri"/>
          <w:color w:val="auto"/>
          <w:highlight w:val="none"/>
        </w:rPr>
        <w:t>11.4</w:t>
      </w:r>
      <w:r>
        <w:rPr>
          <w:rStyle w:val="18"/>
          <w:rFonts w:hint="eastAsia" w:ascii="宋体" w:hAnsi="宋体" w:cs="宋体"/>
          <w:color w:val="auto"/>
          <w:highlight w:val="none"/>
        </w:rPr>
        <w:t>条第（</w:t>
      </w:r>
      <w:r>
        <w:rPr>
          <w:rStyle w:val="18"/>
          <w:rFonts w:cs="Calibri"/>
          <w:color w:val="auto"/>
          <w:highlight w:val="none"/>
        </w:rPr>
        <w:t>4</w:t>
      </w:r>
      <w:r>
        <w:rPr>
          <w:rStyle w:val="18"/>
          <w:rFonts w:hint="eastAsia" w:ascii="宋体" w:hAnsi="宋体" w:cs="宋体"/>
          <w:color w:val="auto"/>
          <w:highlight w:val="none"/>
        </w:rPr>
        <w:t>）、（</w:t>
      </w:r>
      <w:r>
        <w:rPr>
          <w:rStyle w:val="18"/>
          <w:rFonts w:cs="Calibri"/>
          <w:color w:val="auto"/>
          <w:highlight w:val="none"/>
        </w:rPr>
        <w:t>5</w:t>
      </w:r>
      <w:r>
        <w:rPr>
          <w:rStyle w:val="18"/>
          <w:rFonts w:hint="eastAsia" w:ascii="宋体" w:hAnsi="宋体" w:cs="宋体"/>
          <w:color w:val="auto"/>
          <w:highlight w:val="none"/>
        </w:rPr>
        <w:t>）、（</w:t>
      </w:r>
      <w:r>
        <w:rPr>
          <w:rStyle w:val="18"/>
          <w:rFonts w:cs="Calibri"/>
          <w:color w:val="auto"/>
          <w:highlight w:val="none"/>
        </w:rPr>
        <w:t>6</w:t>
      </w:r>
      <w:r>
        <w:rPr>
          <w:rStyle w:val="18"/>
          <w:rFonts w:hint="eastAsia" w:ascii="宋体" w:hAnsi="宋体" w:cs="宋体"/>
          <w:color w:val="auto"/>
          <w:highlight w:val="none"/>
        </w:rPr>
        <w:t>）款规定情形之一</w:t>
      </w:r>
      <w:r>
        <w:rPr>
          <w:rFonts w:hint="eastAsia" w:ascii="宋体" w:hAnsi="宋体" w:cs="宋体"/>
          <w:color w:val="auto"/>
          <w:highlight w:val="none"/>
        </w:rPr>
        <w:t>，</w:t>
      </w:r>
      <w:r>
        <w:rPr>
          <w:rStyle w:val="18"/>
          <w:rFonts w:hint="eastAsia" w:ascii="宋体" w:hAnsi="宋体" w:cs="宋体"/>
          <w:color w:val="auto"/>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cs="宋体"/>
          <w:color w:val="auto"/>
          <w:highlight w:val="none"/>
          <w:u w:val="single"/>
        </w:rPr>
        <w:t>泉州市新开源项目咨询有限公司</w:t>
      </w:r>
      <w:r>
        <w:rPr>
          <w:rStyle w:val="18"/>
          <w:rFonts w:hint="eastAsia" w:ascii="宋体" w:hAnsi="宋体" w:cs="宋体"/>
          <w:color w:val="auto"/>
          <w:highlight w:val="none"/>
        </w:rPr>
        <w:t>提出任何疑义或要求（包括质疑）。</w:t>
      </w:r>
    </w:p>
    <w:p w14:paraId="71863A82">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11.5投标截止时间后，参加投标的投标人不足三家的，不进行开标。同时，本次·</w:t>
      </w:r>
      <w:r>
        <w:rPr>
          <w:rFonts w:hint="eastAsia" w:ascii="宋体" w:hAnsi="宋体" w:cs="宋体"/>
          <w:color w:val="auto"/>
          <w:highlight w:val="none"/>
        </w:rPr>
        <w:tab/>
      </w:r>
      <w:r>
        <w:rPr>
          <w:rFonts w:hint="eastAsia" w:ascii="宋体" w:hAnsi="宋体" w:cs="宋体"/>
          <w:color w:val="auto"/>
          <w:highlight w:val="none"/>
        </w:rPr>
        <w:t>采购活动结束，</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将依法组织后续采购活动（包括但不限于：重新招标、采用其他方式采购等）。</w:t>
      </w:r>
    </w:p>
    <w:p w14:paraId="6444FB12">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 </w:t>
      </w:r>
    </w:p>
    <w:p w14:paraId="02CBB8F8">
      <w:pPr>
        <w:pStyle w:val="13"/>
        <w:widowControl/>
        <w:spacing w:before="75" w:beforeAutospacing="0" w:after="75" w:afterAutospacing="0" w:line="300" w:lineRule="auto"/>
        <w:jc w:val="center"/>
        <w:rPr>
          <w:color w:val="auto"/>
          <w:highlight w:val="none"/>
        </w:rPr>
      </w:pPr>
      <w:r>
        <w:rPr>
          <w:rStyle w:val="18"/>
          <w:rFonts w:hint="eastAsia" w:ascii="宋体" w:hAnsi="宋体" w:cs="宋体"/>
          <w:color w:val="auto"/>
          <w:highlight w:val="none"/>
        </w:rPr>
        <w:t>六、中标与政府采购合同</w:t>
      </w:r>
    </w:p>
    <w:p w14:paraId="21A0322D">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12、中标</w:t>
      </w:r>
    </w:p>
    <w:p w14:paraId="6984261E">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12.1本项目推荐的中标候选人家数：详见招标文件第二章。</w:t>
      </w:r>
    </w:p>
    <w:p w14:paraId="5914139C">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12.2本项目中标人的确定：详见招标文件第二章。</w:t>
      </w:r>
    </w:p>
    <w:p w14:paraId="258D1CFB">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12.3中标公告</w:t>
      </w:r>
    </w:p>
    <w:p w14:paraId="42EDBA8E">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（1）中标人确定之日起</w:t>
      </w:r>
      <w:r>
        <w:rPr>
          <w:rFonts w:cs="Calibri"/>
          <w:color w:val="auto"/>
          <w:highlight w:val="none"/>
        </w:rPr>
        <w:t>2</w:t>
      </w:r>
      <w:r>
        <w:rPr>
          <w:rFonts w:hint="eastAsia" w:ascii="宋体" w:hAnsi="宋体" w:cs="宋体"/>
          <w:color w:val="auto"/>
          <w:highlight w:val="none"/>
        </w:rPr>
        <w:t>个工作日内，</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将在招标文件载明的指定媒体以中标公告的形式发布中标结果。</w:t>
      </w:r>
    </w:p>
    <w:p w14:paraId="76777CC9">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（2）中标公告的公告期限为不少于2个工作日。</w:t>
      </w:r>
    </w:p>
    <w:p w14:paraId="527B818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（3）中标公告同时作为</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通知除中标人外的其他投标人没有中标的书面形式。</w:t>
      </w:r>
    </w:p>
    <w:p w14:paraId="4AEC7EDE">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12.4中标通知书</w:t>
      </w:r>
    </w:p>
    <w:p w14:paraId="33576CA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（1）领取《中标通知书》时间：中标人应于中标结果公示期满后到代理机构领取《中标通知书》，并在规定期限内与采购人签订合同。</w:t>
      </w:r>
    </w:p>
    <w:p w14:paraId="4AC3319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（2）中标通知书发出后，采购人不得违法改变中标结果，中标人无正当理由不得放弃中标。</w:t>
      </w:r>
    </w:p>
    <w:p w14:paraId="7D9C16C3">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13、政府采购合同</w:t>
      </w:r>
    </w:p>
    <w:p w14:paraId="4F6BC755">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13.1签订政府采购合同应遵守政府采购法及实施条例的规定，不得对招标文件确定的事项和中标人的投标文件作实质性修改。采购人不得向中标人提出任何不合理的要求作为政府采购合同的签订条件。</w:t>
      </w:r>
    </w:p>
    <w:p w14:paraId="083B6EEA">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13.2签订时限：自中标通知书发出之日起</w:t>
      </w:r>
      <w:r>
        <w:rPr>
          <w:rFonts w:hint="eastAsia" w:cs="Calibri"/>
          <w:color w:val="auto"/>
          <w:highlight w:val="none"/>
        </w:rPr>
        <w:t>7</w:t>
      </w:r>
      <w:r>
        <w:rPr>
          <w:rFonts w:hint="eastAsia" w:ascii="宋体" w:hAnsi="宋体" w:cs="宋体"/>
          <w:color w:val="auto"/>
          <w:highlight w:val="none"/>
        </w:rPr>
        <w:t>日内。</w:t>
      </w:r>
    </w:p>
    <w:p w14:paraId="4AEC950B">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13.3政府采购合同的履行、违约责任和解决争议的方法等适用民法典。</w:t>
      </w:r>
    </w:p>
    <w:p w14:paraId="228D6607">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13.4采购人与中标人应根据政府采购合同的约定依法履行合同义务。</w:t>
      </w:r>
    </w:p>
    <w:p w14:paraId="75775A85">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13.5政府采购合同履行过程中，采购人若需追加与合同标的相同的货物或服务，则追加采购金额不得超过原合同采购金额的</w:t>
      </w:r>
      <w:r>
        <w:rPr>
          <w:rFonts w:cs="Calibri"/>
          <w:color w:val="auto"/>
          <w:highlight w:val="none"/>
        </w:rPr>
        <w:t>10%</w:t>
      </w:r>
      <w:r>
        <w:rPr>
          <w:rFonts w:hint="eastAsia" w:ascii="宋体" w:hAnsi="宋体" w:cs="宋体"/>
          <w:color w:val="auto"/>
          <w:highlight w:val="none"/>
        </w:rPr>
        <w:t>。</w:t>
      </w:r>
    </w:p>
    <w:p w14:paraId="0EE5E65E">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13.6中标人在政府采购合同履行过程中应遵守有关法律、法规和规章的强制性规定（即使前述强制性规定有可能在招标文件中未予列明）。</w:t>
      </w:r>
    </w:p>
    <w:p w14:paraId="531B7379">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 </w:t>
      </w:r>
    </w:p>
    <w:p w14:paraId="72F63DDA">
      <w:pPr>
        <w:pStyle w:val="13"/>
        <w:widowControl/>
        <w:spacing w:before="75" w:beforeAutospacing="0" w:after="75" w:afterAutospacing="0" w:line="300" w:lineRule="auto"/>
        <w:jc w:val="center"/>
        <w:rPr>
          <w:color w:val="auto"/>
          <w:highlight w:val="none"/>
        </w:rPr>
      </w:pPr>
      <w:r>
        <w:rPr>
          <w:rStyle w:val="18"/>
          <w:rFonts w:hint="eastAsia" w:ascii="宋体" w:hAnsi="宋体" w:cs="宋体"/>
          <w:color w:val="auto"/>
          <w:highlight w:val="none"/>
        </w:rPr>
        <w:t>七、询问、质疑与投诉</w:t>
      </w:r>
    </w:p>
    <w:p w14:paraId="73E6927E">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14、询问</w:t>
      </w:r>
    </w:p>
    <w:p w14:paraId="3EECF7EB">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14.1潜在投标人或投标人对本次采购活动的有关事项若有疑问，可向泉州市新开源项目咨询有限公司提出询问，泉州市新开源项目咨询有限公司将按照政府采购法及实施条例的有关规定进行答复。</w:t>
      </w:r>
    </w:p>
    <w:p w14:paraId="1D81075C">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15、质疑</w:t>
      </w:r>
    </w:p>
    <w:p w14:paraId="6B740CE8">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15.1针对同一采购程序环节的质疑应在政府采购法及实施条例规定的时限内一次性提出，并同时符合下列条件：</w:t>
      </w:r>
    </w:p>
    <w:p w14:paraId="467283FF">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（1）对招标文件提出质疑的，质疑人应为潜在投标人，且两者的身份、名称等均应保持一致。对采购过程、结果提出质疑的，质疑人应为投标人，且两者的身份、名称等均应保持一致。</w:t>
      </w:r>
    </w:p>
    <w:p w14:paraId="2005EB50">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（2）质疑人应按照招标文件第二章规定方式提交质疑函。</w:t>
      </w:r>
    </w:p>
    <w:p w14:paraId="68E5918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（3）质疑函应包括下列主要内容：</w:t>
      </w:r>
    </w:p>
    <w:p w14:paraId="125456E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①质疑人的基本信息，至少包括：全称、地址、邮政编码等；</w:t>
      </w:r>
    </w:p>
    <w:p w14:paraId="656E62B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②所质疑项目的基本信息，至少包括：招标编号、项目名称等；</w:t>
      </w:r>
    </w:p>
    <w:p w14:paraId="1501085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③所质疑的具体事项（以下简称：“质疑事项”）；</w:t>
      </w:r>
    </w:p>
    <w:p w14:paraId="03A9B746">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④针对质疑事项提出的明确请求，前述明确请求指质疑人提出质疑的目的以及希望泉州市新开源项目咨询有限公司对其质疑作出的处理结果，如：暂停招标投标活动、修改招标文件、停止或纠正违法违规行为、中标结果无效、废标、重新招标等；</w:t>
      </w:r>
    </w:p>
    <w:p w14:paraId="182D8F5A">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⑤针对质疑事项导致质疑人自身权益受到损害的必要证明材料，至少包括：</w:t>
      </w:r>
    </w:p>
    <w:p w14:paraId="3EC4FF53">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a.质疑人代表的身份证明材料：</w:t>
      </w:r>
    </w:p>
    <w:p w14:paraId="091D6EE9">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BFD73B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a2若本项目接受自然人投标且质疑人为自然人的，提供本人的身份证复印件。</w:t>
      </w:r>
    </w:p>
    <w:p w14:paraId="3B622DB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b.其他证明材料（即事实依据和必要的法律依据）包括但不限于下列材料：</w:t>
      </w:r>
    </w:p>
    <w:p w14:paraId="2A723C8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b1所质疑的具体事项是与自已有利害关系的证明材料；</w:t>
      </w:r>
    </w:p>
    <w:p w14:paraId="12E0B82A">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b2质疑函所述事实存在的证明材料，如：采购文件、采购过程或中标结果违法违规或不符合采购文件要求等证明材料；</w:t>
      </w:r>
    </w:p>
    <w:p w14:paraId="46CB8F68">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b3依法应终止采购程序的证明材料；</w:t>
      </w:r>
    </w:p>
    <w:p w14:paraId="7A82A94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b4应重新采购的证明材料；</w:t>
      </w:r>
    </w:p>
    <w:p w14:paraId="5104DC6E">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b5采购文件、采购过程或中标、成交结果损害自已合法权益的证明材料等；</w:t>
      </w:r>
    </w:p>
    <w:p w14:paraId="20315EB9">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8"/>
          <w:rFonts w:hint="eastAsia" w:ascii="宋体" w:hAnsi="宋体" w:cs="宋体"/>
          <w:color w:val="auto"/>
          <w:highlight w:val="none"/>
        </w:rPr>
        <w:t>视为无效</w:t>
      </w:r>
      <w:r>
        <w:rPr>
          <w:rFonts w:hint="eastAsia" w:ascii="宋体" w:hAnsi="宋体" w:cs="宋体"/>
          <w:color w:val="auto"/>
          <w:highlight w:val="none"/>
        </w:rPr>
        <w:t>）。</w:t>
      </w:r>
    </w:p>
    <w:p w14:paraId="3AC7910A">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   ⑥质疑人代表及其联系方法的信息，至少包括：姓名、手机、电子信箱、邮寄地址等。</w:t>
      </w:r>
    </w:p>
    <w:p w14:paraId="1D29DB4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   ⑦提出质疑的日期。</w:t>
      </w:r>
    </w:p>
    <w:p w14:paraId="108D9B30">
      <w:pPr>
        <w:pStyle w:val="13"/>
        <w:widowControl/>
        <w:spacing w:beforeAutospacing="0" w:after="150" w:afterAutospacing="0" w:line="300" w:lineRule="auto"/>
        <w:ind w:firstLine="480"/>
        <w:rPr>
          <w:color w:val="auto"/>
          <w:highlight w:val="none"/>
        </w:rPr>
      </w:pPr>
      <w:r>
        <w:rPr>
          <w:rStyle w:val="18"/>
          <w:rFonts w:hint="eastAsia" w:ascii="宋体" w:hAnsi="宋体" w:cs="宋体"/>
          <w:color w:val="auto"/>
          <w:highlight w:val="none"/>
        </w:rPr>
        <w:t>※质疑人为法人或其他组织的，质疑函应由单位负责人或委托代理人签字或盖章，并加盖投标人的单位公章。质疑人为自然人的，质疑函应由本人签字。</w:t>
      </w:r>
    </w:p>
    <w:p w14:paraId="39B56FE7">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15.2对不符合本章第</w:t>
      </w:r>
      <w:r>
        <w:rPr>
          <w:rFonts w:cs="Calibri"/>
          <w:color w:val="auto"/>
          <w:highlight w:val="none"/>
        </w:rPr>
        <w:t>15.1</w:t>
      </w:r>
      <w:r>
        <w:rPr>
          <w:rFonts w:hint="eastAsia" w:ascii="宋体" w:hAnsi="宋体" w:cs="宋体"/>
          <w:color w:val="auto"/>
          <w:highlight w:val="none"/>
        </w:rPr>
        <w:t>条规定的质疑，将按照下列规定进行处理：</w:t>
      </w:r>
    </w:p>
    <w:p w14:paraId="7B9304D0">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（1）不符合其中第（</w:t>
      </w:r>
      <w:r>
        <w:rPr>
          <w:rFonts w:cs="Calibri"/>
          <w:color w:val="auto"/>
          <w:highlight w:val="none"/>
        </w:rPr>
        <w:t>1</w:t>
      </w:r>
      <w:r>
        <w:rPr>
          <w:rFonts w:hint="eastAsia" w:ascii="宋体" w:hAnsi="宋体" w:cs="宋体"/>
          <w:color w:val="auto"/>
          <w:highlight w:val="none"/>
        </w:rPr>
        <w:t>）、（</w:t>
      </w:r>
      <w:r>
        <w:rPr>
          <w:rFonts w:cs="Calibri"/>
          <w:color w:val="auto"/>
          <w:highlight w:val="none"/>
        </w:rPr>
        <w:t>2</w:t>
      </w:r>
      <w:r>
        <w:rPr>
          <w:rFonts w:hint="eastAsia" w:ascii="宋体" w:hAnsi="宋体" w:cs="宋体"/>
          <w:color w:val="auto"/>
          <w:highlight w:val="none"/>
        </w:rPr>
        <w:t>）条规定的，书面告知质疑人不予受理及其理由。</w:t>
      </w:r>
    </w:p>
    <w:p w14:paraId="5BE2C0AE">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（2）不符合其中第（</w:t>
      </w:r>
      <w:r>
        <w:rPr>
          <w:rFonts w:cs="Calibri"/>
          <w:color w:val="auto"/>
          <w:highlight w:val="none"/>
        </w:rPr>
        <w:t>3</w:t>
      </w:r>
      <w:r>
        <w:rPr>
          <w:rFonts w:hint="eastAsia" w:ascii="宋体" w:hAnsi="宋体" w:cs="宋体"/>
          <w:color w:val="auto"/>
          <w:highlight w:val="none"/>
        </w:rPr>
        <w:t>）条规定的，书面告知质疑人修改、补充后在规定时限内重新提交质疑函。</w:t>
      </w:r>
    </w:p>
    <w:p w14:paraId="6C3AF1B5">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15.3对符合本章第</w:t>
      </w:r>
      <w:r>
        <w:rPr>
          <w:rFonts w:cs="Calibri"/>
          <w:color w:val="auto"/>
          <w:highlight w:val="none"/>
        </w:rPr>
        <w:t>15.1</w:t>
      </w:r>
      <w:r>
        <w:rPr>
          <w:rFonts w:hint="eastAsia" w:ascii="宋体" w:hAnsi="宋体" w:cs="宋体"/>
          <w:color w:val="auto"/>
          <w:highlight w:val="none"/>
        </w:rPr>
        <w:t>条规定的质疑，将按照政府采购法及实施条例、政府采购质疑和投诉办法的有关规定进行答复。</w:t>
      </w:r>
    </w:p>
    <w:p w14:paraId="164A1B4C">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15.4招标文件的质疑：详见招标文件第二章。</w:t>
      </w:r>
    </w:p>
    <w:p w14:paraId="303A5CD5">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16、投诉</w:t>
      </w:r>
    </w:p>
    <w:p w14:paraId="45317EFF">
      <w:pPr>
        <w:pStyle w:val="13"/>
        <w:widowControl/>
        <w:spacing w:beforeAutospacing="0" w:after="150" w:afterAutospacing="0" w:line="300" w:lineRule="auto"/>
        <w:rPr>
          <w:color w:val="auto"/>
          <w:highlight w:val="none"/>
        </w:rPr>
      </w:pPr>
      <w:r>
        <w:rPr>
          <w:rFonts w:hint="eastAsia" w:ascii="宋体" w:hAnsi="宋体" w:cs="宋体"/>
          <w:color w:val="auto"/>
          <w:highlight w:val="none"/>
        </w:rPr>
        <w:t>16.1若对质疑答复不满意或质疑答复未在答复期限内作出，质疑人可在答复期限届满之日起</w:t>
      </w:r>
      <w:r>
        <w:rPr>
          <w:rFonts w:hint="eastAsia" w:cs="Calibri"/>
          <w:color w:val="auto"/>
          <w:highlight w:val="none"/>
        </w:rPr>
        <w:t>3</w:t>
      </w:r>
      <w:r>
        <w:rPr>
          <w:rFonts w:hint="eastAsia" w:ascii="宋体" w:hAnsi="宋体" w:cs="宋体"/>
          <w:color w:val="auto"/>
          <w:highlight w:val="none"/>
        </w:rPr>
        <w:t>个工作日内按照政府采购质疑和投诉办法的有关规定向招标文件第二章载明的本项目监督管理部门提起投诉。</w:t>
      </w:r>
    </w:p>
    <w:p w14:paraId="6FC662E7">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16.2投诉应有明确的请求和必要的证明材料，投诉的事项不得超出已质疑事项的范围。</w:t>
      </w:r>
    </w:p>
    <w:p w14:paraId="6676C136">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 </w:t>
      </w:r>
    </w:p>
    <w:p w14:paraId="2D816CC5">
      <w:pPr>
        <w:pStyle w:val="13"/>
        <w:widowControl/>
        <w:spacing w:before="75" w:beforeAutospacing="0" w:after="75" w:afterAutospacing="0" w:line="300" w:lineRule="auto"/>
        <w:jc w:val="center"/>
        <w:rPr>
          <w:color w:val="auto"/>
          <w:highlight w:val="none"/>
        </w:rPr>
      </w:pPr>
      <w:r>
        <w:rPr>
          <w:rStyle w:val="18"/>
          <w:rFonts w:hint="eastAsia" w:ascii="宋体" w:hAnsi="宋体" w:cs="宋体"/>
          <w:color w:val="auto"/>
          <w:highlight w:val="none"/>
        </w:rPr>
        <w:t>八、政府采购政策</w:t>
      </w:r>
    </w:p>
    <w:p w14:paraId="38D400E2">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17、政府采购政策由财政部根据国家的经济和社会发展政策并会同国家有关部委制定，包括但不限于下列具体政策要求：</w:t>
      </w:r>
    </w:p>
    <w:p w14:paraId="6AFF6A89">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17.1进口产品指通过中国海关报关验放进入中国境内且产自关境外的产品，其中：</w:t>
      </w:r>
    </w:p>
    <w:p w14:paraId="72D3B3ED">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384D65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（2）凡在海关特殊监管区域内企业生产或加工（包括从境外进口料件）销往境内其他地区的产品，不作为政府采购项下进口产品。</w:t>
      </w:r>
    </w:p>
    <w:p w14:paraId="5F294283">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（3）对从境外进入海关特殊监管区域，再经办理报关手续后从海关特殊监管区进入境内其他地区的产品，认定为进口产品。</w:t>
      </w:r>
    </w:p>
    <w:p w14:paraId="734097B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（4）招标文件列明不允许或未列明允许进口产品参加投标的，均视为拒绝进口产品参加投标。</w:t>
      </w:r>
    </w:p>
    <w:p w14:paraId="767B0612">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B8DC921">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3DFDDCC0">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17.4</w:t>
      </w:r>
      <w:r>
        <w:rPr>
          <w:rFonts w:ascii="宋体" w:hAnsi="宋体" w:cs="宋体"/>
          <w:color w:val="auto"/>
          <w:highlight w:val="none"/>
        </w:rPr>
        <w:t>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Fonts w:ascii="宋体" w:hAnsi="宋体" w:cs="宋体"/>
          <w:b/>
          <w:bCs/>
          <w:color w:val="auto"/>
          <w:highlight w:val="none"/>
        </w:rPr>
        <w:t>“残疾人福利性单位”</w:t>
      </w:r>
      <w:r>
        <w:rPr>
          <w:rFonts w:ascii="宋体" w:hAnsi="宋体" w:cs="宋体"/>
          <w:color w:val="auto"/>
          <w:highlight w:val="none"/>
        </w:rPr>
        <w:t>）亦可享受前述扶持政策。其中：</w:t>
      </w:r>
    </w:p>
    <w:p w14:paraId="622447FE">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（1）中小企业指同时符合下列条件的中型、小型、微型企业：</w:t>
      </w:r>
    </w:p>
    <w:p w14:paraId="30BFE9F0">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w:t>
      </w:r>
      <w:r>
        <w:rPr>
          <w:rFonts w:ascii="宋体" w:hAnsi="宋体" w:cs="宋体"/>
          <w:color w:val="auto"/>
          <w:highlight w:val="none"/>
        </w:rPr>
        <w:t>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645C2F3">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②</w:t>
      </w:r>
      <w:r>
        <w:rPr>
          <w:rFonts w:ascii="宋体" w:hAnsi="宋体" w:cs="Calibri"/>
          <w:color w:val="auto"/>
          <w:highlight w:val="none"/>
        </w:rPr>
        <w:t>符合中小企业划分标准的个体工商户，在政府采购活动中视同中小企业。</w:t>
      </w:r>
    </w:p>
    <w:p w14:paraId="6C4D81D7">
      <w:pPr>
        <w:pStyle w:val="13"/>
        <w:widowControl/>
        <w:spacing w:before="75" w:beforeAutospacing="0" w:after="75" w:afterAutospacing="0" w:line="300" w:lineRule="auto"/>
        <w:ind w:firstLine="480"/>
        <w:rPr>
          <w:color w:val="auto"/>
          <w:highlight w:val="none"/>
        </w:rPr>
      </w:pPr>
      <w:r>
        <w:rPr>
          <w:rFonts w:ascii="宋体" w:hAnsi="宋体" w:cs="宋体"/>
          <w:color w:val="auto"/>
          <w:highlight w:val="none"/>
        </w:rPr>
        <w:t>（2）在政府采购活动中，供应商提供的货物、工程或者服务符合下列情形的，享受本办法规定的中小企业扶持政策：</w:t>
      </w:r>
    </w:p>
    <w:p w14:paraId="5E34A4F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w:t>
      </w:r>
      <w:r>
        <w:rPr>
          <w:rFonts w:ascii="宋体" w:hAnsi="宋体" w:cs="宋体"/>
          <w:color w:val="auto"/>
          <w:highlight w:val="none"/>
        </w:rPr>
        <w:t>在货物采购项目中，货物由中小企业制造，即货物由中小企业生产且使用该中小企业商号或者注册商标；</w:t>
      </w:r>
    </w:p>
    <w:p w14:paraId="1917992E">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②</w:t>
      </w:r>
      <w:r>
        <w:rPr>
          <w:rFonts w:ascii="宋体" w:hAnsi="宋体" w:cs="宋体"/>
          <w:color w:val="auto"/>
          <w:highlight w:val="none"/>
        </w:rPr>
        <w:t>在工程采购项目中，工程由中小企业承建，即工程施工单位为中小企业；</w:t>
      </w:r>
    </w:p>
    <w:p w14:paraId="12D028B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③</w:t>
      </w:r>
      <w:r>
        <w:rPr>
          <w:rFonts w:ascii="宋体" w:hAnsi="宋体" w:cs="宋体"/>
          <w:color w:val="auto"/>
          <w:highlight w:val="none"/>
        </w:rPr>
        <w:t>在服务采购项目中，服务由中小企业承接，即提供服务的人员为中小企业依照《中华人民共和国劳动</w:t>
      </w:r>
      <w:r>
        <w:rPr>
          <w:rFonts w:hint="eastAsia" w:ascii="宋体" w:hAnsi="宋体" w:cs="宋体"/>
          <w:color w:val="auto"/>
          <w:highlight w:val="none"/>
        </w:rPr>
        <w:t>合同法</w:t>
      </w:r>
      <w:r>
        <w:rPr>
          <w:rFonts w:ascii="宋体" w:hAnsi="宋体" w:cs="宋体"/>
          <w:color w:val="auto"/>
          <w:highlight w:val="none"/>
        </w:rPr>
        <w:t>》订立劳动合同的从业人员。</w:t>
      </w:r>
    </w:p>
    <w:p w14:paraId="1BFCF446">
      <w:pPr>
        <w:pStyle w:val="13"/>
        <w:widowControl/>
        <w:spacing w:before="75" w:beforeAutospacing="0" w:after="75" w:afterAutospacing="0" w:line="300" w:lineRule="auto"/>
        <w:ind w:firstLine="480"/>
        <w:rPr>
          <w:color w:val="auto"/>
          <w:highlight w:val="none"/>
        </w:rPr>
      </w:pPr>
      <w:r>
        <w:rPr>
          <w:rFonts w:ascii="宋体" w:hAnsi="宋体" w:cs="宋体"/>
          <w:color w:val="auto"/>
          <w:highlight w:val="none"/>
        </w:rPr>
        <w:t>在货物采购项目中，供应商提供的货物既有中小企业制造货物，也有大型企业制造货物的，不享受本办法规定的中小企业扶持政策。</w:t>
      </w:r>
    </w:p>
    <w:p w14:paraId="257B219E">
      <w:pPr>
        <w:pStyle w:val="13"/>
        <w:widowControl/>
        <w:spacing w:before="75" w:beforeAutospacing="0" w:after="75" w:afterAutospacing="0" w:line="300" w:lineRule="auto"/>
        <w:ind w:firstLine="480"/>
        <w:rPr>
          <w:color w:val="auto"/>
          <w:highlight w:val="none"/>
        </w:rPr>
      </w:pPr>
      <w:r>
        <w:rPr>
          <w:rFonts w:ascii="宋体" w:hAnsi="宋体" w:cs="宋体"/>
          <w:color w:val="auto"/>
          <w:highlight w:val="none"/>
        </w:rPr>
        <w:t>以联合体形式参加政府采购活动，联合体各方均为中小企业的，联合体视同中小企业。其中，联合体各方均为小微企业的，联合体视同小微企业。</w:t>
      </w:r>
    </w:p>
    <w:p w14:paraId="05D40E9F">
      <w:pPr>
        <w:pStyle w:val="13"/>
        <w:widowControl/>
        <w:spacing w:before="75" w:beforeAutospacing="0" w:after="75" w:afterAutospacing="0" w:line="300" w:lineRule="auto"/>
        <w:ind w:firstLine="480"/>
        <w:rPr>
          <w:color w:val="auto"/>
          <w:highlight w:val="none"/>
        </w:rPr>
      </w:pPr>
      <w:r>
        <w:rPr>
          <w:rFonts w:ascii="宋体" w:hAnsi="宋体" w:cs="宋体"/>
          <w:color w:val="auto"/>
          <w:highlight w:val="none"/>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A0E85E2">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w:t>
      </w:r>
      <w:r>
        <w:rPr>
          <w:rFonts w:ascii="宋体" w:hAnsi="宋体" w:cs="宋体"/>
          <w:color w:val="auto"/>
          <w:highlight w:val="none"/>
        </w:rPr>
        <w:t>监狱企业参加采购活动时，应提供由省级以上监狱管理局、戒毒管理局（含新疆生产建设兵团）出具的属于监狱企业的证明文件。</w:t>
      </w:r>
    </w:p>
    <w:p w14:paraId="27336EFF">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②</w:t>
      </w:r>
      <w:r>
        <w:rPr>
          <w:rFonts w:ascii="宋体" w:hAnsi="宋体" w:cs="宋体"/>
          <w:color w:val="auto"/>
          <w:highlight w:val="none"/>
        </w:rPr>
        <w:t>监狱企业视同小型、微型企业。</w:t>
      </w:r>
    </w:p>
    <w:p w14:paraId="2FFF60FB">
      <w:pPr>
        <w:pStyle w:val="13"/>
        <w:widowControl/>
        <w:spacing w:before="75" w:beforeAutospacing="0" w:after="75" w:afterAutospacing="0" w:line="300" w:lineRule="auto"/>
        <w:ind w:firstLine="480"/>
        <w:rPr>
          <w:color w:val="auto"/>
          <w:highlight w:val="none"/>
        </w:rPr>
      </w:pPr>
      <w:r>
        <w:rPr>
          <w:rFonts w:ascii="宋体" w:hAnsi="宋体" w:cs="宋体"/>
          <w:color w:val="auto"/>
          <w:highlight w:val="none"/>
        </w:rPr>
        <w:t>（4）残疾人福利性单位指同时符合下列条件的单位：</w:t>
      </w:r>
    </w:p>
    <w:p w14:paraId="2823DBE9">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w:t>
      </w:r>
      <w:r>
        <w:rPr>
          <w:rFonts w:ascii="宋体" w:hAnsi="宋体" w:cs="宋体"/>
          <w:color w:val="auto"/>
          <w:highlight w:val="none"/>
        </w:rPr>
        <w:t>安置的残疾人占本单位在职职工人数的比例不低于25%（含25%），并且安置的残疾人人数不少于10人（含10人）；</w:t>
      </w:r>
    </w:p>
    <w:p w14:paraId="1E9406DD">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②</w:t>
      </w:r>
      <w:r>
        <w:rPr>
          <w:rFonts w:ascii="宋体" w:hAnsi="宋体" w:cs="宋体"/>
          <w:color w:val="auto"/>
          <w:highlight w:val="none"/>
        </w:rPr>
        <w:t>依法与安置的每位残疾人签订了一年以上（含一年）的劳动合同或服务协议；</w:t>
      </w:r>
    </w:p>
    <w:p w14:paraId="204ABCF3">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③</w:t>
      </w:r>
      <w:r>
        <w:rPr>
          <w:rFonts w:ascii="宋体" w:hAnsi="宋体" w:cs="宋体"/>
          <w:color w:val="auto"/>
          <w:highlight w:val="none"/>
        </w:rPr>
        <w:t>为安置的每位残疾人按月足额缴纳了基本养老保险、基本医疗保险、失业保险、工伤保险和生育保险等社会保险费；</w:t>
      </w:r>
    </w:p>
    <w:p w14:paraId="7CC2C827">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④</w:t>
      </w:r>
      <w:r>
        <w:rPr>
          <w:rFonts w:ascii="宋体" w:hAnsi="宋体" w:cs="宋体"/>
          <w:color w:val="auto"/>
          <w:highlight w:val="none"/>
        </w:rPr>
        <w:t>通过银行等金融机构向安置的每位残疾人，按月支付了不低于单位所在区县适用的经省级人民政府批准的月最低工资标准的工资；</w:t>
      </w:r>
    </w:p>
    <w:p w14:paraId="6E054068">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⑤</w:t>
      </w:r>
      <w:r>
        <w:rPr>
          <w:rFonts w:ascii="宋体" w:hAnsi="宋体" w:cs="宋体"/>
          <w:color w:val="auto"/>
          <w:highlight w:val="none"/>
        </w:rPr>
        <w:t>提供本单位制造的货物、承担的工程或服务，或提供其他残疾人福利性单位制造的货物（不包括使用非残疾人福利性单位注册商标的货物）。</w:t>
      </w:r>
    </w:p>
    <w:p w14:paraId="7F380033">
      <w:pPr>
        <w:pStyle w:val="13"/>
        <w:widowControl/>
        <w:spacing w:before="75" w:beforeAutospacing="0" w:after="75" w:afterAutospacing="0" w:line="300" w:lineRule="auto"/>
        <w:ind w:firstLine="480"/>
        <w:rPr>
          <w:color w:val="auto"/>
          <w:highlight w:val="none"/>
        </w:rPr>
      </w:pPr>
      <w:r>
        <w:rPr>
          <w:rFonts w:ascii="宋体" w:hAnsi="宋体" w:cs="宋体"/>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FB9FD59">
      <w:pPr>
        <w:pStyle w:val="13"/>
        <w:widowControl/>
        <w:spacing w:before="75" w:beforeAutospacing="0" w:after="75" w:afterAutospacing="0" w:line="300" w:lineRule="auto"/>
        <w:ind w:firstLine="480"/>
        <w:rPr>
          <w:color w:val="auto"/>
          <w:highlight w:val="none"/>
        </w:rPr>
      </w:pPr>
      <w:r>
        <w:rPr>
          <w:rStyle w:val="18"/>
          <w:rFonts w:hint="eastAsia" w:ascii="宋体" w:hAnsi="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16F38DD">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17.5信用记录指由财政部确定的有关网站提供的相关主体信用信息。信用记录的查询及使用应符合财政部文件（财库</w:t>
      </w:r>
      <w:r>
        <w:rPr>
          <w:rFonts w:cs="Calibri"/>
          <w:color w:val="auto"/>
          <w:highlight w:val="none"/>
        </w:rPr>
        <w:t>[2016]125</w:t>
      </w:r>
      <w:r>
        <w:rPr>
          <w:rFonts w:hint="eastAsia" w:ascii="宋体" w:hAnsi="宋体" w:cs="宋体"/>
          <w:color w:val="auto"/>
          <w:highlight w:val="none"/>
        </w:rPr>
        <w:t>号）规定。</w:t>
      </w:r>
    </w:p>
    <w:p w14:paraId="096F58E1">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17.6为落实政府采购政策需满足的要求：详见招标文件第一章。</w:t>
      </w:r>
    </w:p>
    <w:p w14:paraId="0469B74D">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 </w:t>
      </w:r>
    </w:p>
    <w:p w14:paraId="4E5DFDD0">
      <w:pPr>
        <w:pStyle w:val="13"/>
        <w:widowControl/>
        <w:spacing w:before="75" w:beforeAutospacing="0" w:after="75" w:afterAutospacing="0" w:line="300" w:lineRule="auto"/>
        <w:jc w:val="center"/>
        <w:rPr>
          <w:color w:val="auto"/>
          <w:highlight w:val="none"/>
        </w:rPr>
      </w:pPr>
      <w:r>
        <w:rPr>
          <w:rStyle w:val="18"/>
          <w:rFonts w:hint="eastAsia" w:ascii="宋体" w:hAnsi="宋体" w:cs="宋体"/>
          <w:color w:val="auto"/>
          <w:highlight w:val="none"/>
        </w:rPr>
        <w:t>九、本项目的有关信息</w:t>
      </w:r>
    </w:p>
    <w:p w14:paraId="3A9D30D8">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2B5A9E8E">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18.1指定媒体：详见招标文件第二章。</w:t>
      </w:r>
    </w:p>
    <w:p w14:paraId="20FEDC38">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18.2本项目的潜在投标人或投标人应随时关注指定媒体，否则产生不利后果由其自行承担。</w:t>
      </w:r>
    </w:p>
    <w:p w14:paraId="0C630C47">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 </w:t>
      </w:r>
    </w:p>
    <w:p w14:paraId="68897BCE">
      <w:pPr>
        <w:pStyle w:val="13"/>
        <w:widowControl/>
        <w:spacing w:before="75" w:beforeAutospacing="0" w:after="75" w:afterAutospacing="0" w:line="300" w:lineRule="auto"/>
        <w:jc w:val="center"/>
        <w:rPr>
          <w:color w:val="auto"/>
          <w:highlight w:val="none"/>
        </w:rPr>
      </w:pPr>
      <w:r>
        <w:rPr>
          <w:rStyle w:val="18"/>
          <w:rFonts w:hint="eastAsia" w:ascii="宋体" w:hAnsi="宋体" w:cs="宋体"/>
          <w:color w:val="auto"/>
          <w:highlight w:val="none"/>
        </w:rPr>
        <w:t>十、其他事项</w:t>
      </w:r>
    </w:p>
    <w:p w14:paraId="3DFA15C2">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19、其他事项：详见招标文件第二章。</w:t>
      </w:r>
    </w:p>
    <w:p w14:paraId="060A167F">
      <w:pPr>
        <w:pStyle w:val="13"/>
        <w:widowControl/>
        <w:spacing w:before="75" w:beforeAutospacing="0" w:after="75" w:afterAutospacing="0" w:line="300" w:lineRule="auto"/>
        <w:jc w:val="center"/>
        <w:rPr>
          <w:color w:val="auto"/>
          <w:highlight w:val="none"/>
        </w:rPr>
      </w:pPr>
      <w:r>
        <w:rPr>
          <w:color w:val="auto"/>
          <w:highlight w:val="none"/>
        </w:rPr>
        <w:t> </w:t>
      </w:r>
    </w:p>
    <w:p w14:paraId="54B5194B">
      <w:pPr>
        <w:pStyle w:val="22"/>
        <w:rPr>
          <w:rFonts w:hint="default"/>
          <w:color w:val="auto"/>
          <w:highlight w:val="none"/>
        </w:rPr>
      </w:pPr>
    </w:p>
    <w:p w14:paraId="5924481D">
      <w:pPr>
        <w:pStyle w:val="13"/>
        <w:widowControl/>
        <w:spacing w:before="75" w:beforeAutospacing="0" w:after="240" w:afterAutospacing="0" w:line="300" w:lineRule="auto"/>
        <w:rPr>
          <w:rStyle w:val="18"/>
          <w:rFonts w:ascii="宋体" w:hAnsi="宋体" w:cs="宋体"/>
          <w:color w:val="auto"/>
          <w:sz w:val="31"/>
          <w:szCs w:val="31"/>
          <w:highlight w:val="none"/>
        </w:rPr>
      </w:pPr>
    </w:p>
    <w:p w14:paraId="65546AB9">
      <w:pPr>
        <w:pStyle w:val="13"/>
        <w:widowControl/>
        <w:spacing w:before="75" w:beforeAutospacing="0" w:after="75" w:afterAutospacing="0" w:line="300" w:lineRule="auto"/>
        <w:jc w:val="center"/>
        <w:rPr>
          <w:color w:val="auto"/>
          <w:highlight w:val="none"/>
        </w:rPr>
      </w:pPr>
      <w:r>
        <w:rPr>
          <w:rStyle w:val="18"/>
          <w:rFonts w:hint="eastAsia" w:ascii="宋体" w:hAnsi="宋体" w:cs="宋体"/>
          <w:color w:val="auto"/>
          <w:sz w:val="31"/>
          <w:szCs w:val="31"/>
          <w:highlight w:val="none"/>
        </w:rPr>
        <w:t>第四章   资格审查与评标</w:t>
      </w:r>
    </w:p>
    <w:p w14:paraId="1ACBB0A5">
      <w:pPr>
        <w:pStyle w:val="13"/>
        <w:widowControl/>
        <w:spacing w:before="75" w:beforeAutospacing="0" w:after="75" w:afterAutospacing="0" w:line="300" w:lineRule="auto"/>
        <w:jc w:val="center"/>
        <w:rPr>
          <w:color w:val="auto"/>
          <w:highlight w:val="none"/>
        </w:rPr>
      </w:pPr>
      <w:r>
        <w:rPr>
          <w:color w:val="auto"/>
          <w:highlight w:val="none"/>
        </w:rPr>
        <w:t> </w:t>
      </w:r>
    </w:p>
    <w:p w14:paraId="5CD437AF">
      <w:pPr>
        <w:pStyle w:val="13"/>
        <w:widowControl/>
        <w:spacing w:before="75" w:beforeAutospacing="0" w:after="75" w:afterAutospacing="0" w:line="300" w:lineRule="auto"/>
        <w:jc w:val="center"/>
        <w:rPr>
          <w:color w:val="auto"/>
          <w:highlight w:val="none"/>
        </w:rPr>
      </w:pPr>
      <w:r>
        <w:rPr>
          <w:rStyle w:val="18"/>
          <w:rFonts w:hint="eastAsia" w:ascii="宋体" w:hAnsi="宋体" w:cs="宋体"/>
          <w:color w:val="auto"/>
          <w:highlight w:val="none"/>
        </w:rPr>
        <w:t>一、资格审查</w:t>
      </w:r>
    </w:p>
    <w:p w14:paraId="2DFEF3EC">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1、开标结束后，由资格审查小组进行资格审查。</w:t>
      </w:r>
    </w:p>
    <w:p w14:paraId="501FC0FC">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1.1资格审查小组由</w:t>
      </w:r>
      <w:r>
        <w:rPr>
          <w:rFonts w:hint="eastAsia" w:cs="Calibri"/>
          <w:color w:val="auto"/>
          <w:highlight w:val="none"/>
        </w:rPr>
        <w:t>评委会</w:t>
      </w:r>
      <w:r>
        <w:rPr>
          <w:rFonts w:hint="eastAsia" w:ascii="宋体" w:hAnsi="宋体" w:cs="宋体"/>
          <w:color w:val="auto"/>
          <w:highlight w:val="none"/>
        </w:rPr>
        <w:t>组成，并负责具体审查事务。</w:t>
      </w:r>
    </w:p>
    <w:p w14:paraId="35809B72">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1.2资格审查的依据是招标文件和投标文件。</w:t>
      </w:r>
    </w:p>
    <w:p w14:paraId="281C579C">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1.3资格审查的范围及内容：投标文件（资格及资信证明部分），具体如下：</w:t>
      </w:r>
    </w:p>
    <w:p w14:paraId="70ECE6C3">
      <w:pPr>
        <w:pStyle w:val="13"/>
        <w:widowControl/>
        <w:spacing w:beforeAutospacing="0" w:after="150" w:afterAutospacing="0" w:line="300" w:lineRule="auto"/>
        <w:rPr>
          <w:rFonts w:ascii="宋体" w:hAnsi="宋体" w:cs="宋体"/>
          <w:color w:val="auto"/>
          <w:highlight w:val="none"/>
        </w:rPr>
      </w:pPr>
      <w:r>
        <w:rPr>
          <w:rFonts w:hint="eastAsia" w:ascii="宋体" w:hAnsi="宋体" w:cs="宋体"/>
          <w:color w:val="auto"/>
          <w:highlight w:val="none"/>
        </w:rPr>
        <w:t>  （1）“投标函”；</w:t>
      </w:r>
    </w:p>
    <w:p w14:paraId="5BB96829">
      <w:pPr>
        <w:pStyle w:val="13"/>
        <w:widowControl/>
        <w:spacing w:beforeAutospacing="0" w:after="150" w:afterAutospacing="0" w:line="300" w:lineRule="auto"/>
        <w:rPr>
          <w:rFonts w:ascii="宋体" w:hAnsi="宋体" w:cs="宋体"/>
          <w:color w:val="auto"/>
          <w:highlight w:val="none"/>
        </w:rPr>
      </w:pPr>
      <w:r>
        <w:rPr>
          <w:rFonts w:hint="eastAsia" w:ascii="宋体" w:hAnsi="宋体" w:cs="宋体"/>
          <w:color w:val="auto"/>
          <w:highlight w:val="none"/>
        </w:rPr>
        <w:t>  （2）“投标人的资格及资信证明文件”</w:t>
      </w:r>
    </w:p>
    <w:p w14:paraId="750FC75F">
      <w:pPr>
        <w:pStyle w:val="13"/>
        <w:widowControl/>
        <w:spacing w:beforeAutospacing="0" w:after="150" w:afterAutospacing="0" w:line="300" w:lineRule="auto"/>
        <w:rPr>
          <w:color w:val="auto"/>
          <w:highlight w:val="none"/>
        </w:rPr>
      </w:pPr>
      <w:r>
        <w:rPr>
          <w:rFonts w:hint="eastAsia" w:ascii="宋体" w:hAnsi="宋体" w:cs="宋体"/>
          <w:color w:val="auto"/>
          <w:highlight w:val="none"/>
        </w:rPr>
        <w:t>   ①一般资格证明文件：</w:t>
      </w:r>
    </w:p>
    <w:tbl>
      <w:tblPr>
        <w:tblStyle w:val="15"/>
        <w:tblW w:w="871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3132"/>
        <w:gridCol w:w="5587"/>
      </w:tblGrid>
      <w:tr w14:paraId="0D53F7D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96" w:hRule="atLeast"/>
          <w:tblHeader/>
        </w:trPr>
        <w:tc>
          <w:tcPr>
            <w:tcW w:w="3132" w:type="dxa"/>
            <w:tcBorders>
              <w:top w:val="single" w:color="666666" w:sz="6" w:space="0"/>
              <w:left w:val="single" w:color="666666" w:sz="6" w:space="0"/>
              <w:bottom w:val="single" w:color="666666" w:sz="6" w:space="0"/>
              <w:right w:val="single" w:color="666666" w:sz="6" w:space="0"/>
            </w:tcBorders>
            <w:vAlign w:val="center"/>
          </w:tcPr>
          <w:p w14:paraId="244F8EB3">
            <w:pPr>
              <w:widowControl/>
              <w:spacing w:line="300" w:lineRule="auto"/>
              <w:jc w:val="left"/>
              <w:rPr>
                <w:b/>
                <w:color w:val="auto"/>
                <w:sz w:val="24"/>
                <w:highlight w:val="none"/>
              </w:rPr>
            </w:pPr>
            <w:r>
              <w:rPr>
                <w:rFonts w:ascii="宋体" w:hAnsi="宋体" w:cs="宋体"/>
                <w:b/>
                <w:color w:val="auto"/>
                <w:kern w:val="0"/>
                <w:sz w:val="24"/>
                <w:highlight w:val="none"/>
              </w:rPr>
              <w:t>明细</w:t>
            </w:r>
          </w:p>
        </w:tc>
        <w:tc>
          <w:tcPr>
            <w:tcW w:w="5587" w:type="dxa"/>
            <w:tcBorders>
              <w:top w:val="single" w:color="666666" w:sz="6" w:space="0"/>
              <w:left w:val="single" w:color="666666" w:sz="6" w:space="0"/>
              <w:bottom w:val="single" w:color="666666" w:sz="6" w:space="0"/>
              <w:right w:val="single" w:color="666666" w:sz="6" w:space="0"/>
            </w:tcBorders>
            <w:vAlign w:val="center"/>
          </w:tcPr>
          <w:p w14:paraId="13BF5681">
            <w:pPr>
              <w:widowControl/>
              <w:spacing w:line="300" w:lineRule="auto"/>
              <w:jc w:val="left"/>
              <w:rPr>
                <w:b/>
                <w:color w:val="auto"/>
                <w:sz w:val="24"/>
                <w:highlight w:val="none"/>
              </w:rPr>
            </w:pPr>
            <w:r>
              <w:rPr>
                <w:rFonts w:ascii="宋体" w:hAnsi="宋体" w:cs="宋体"/>
                <w:b/>
                <w:color w:val="auto"/>
                <w:kern w:val="0"/>
                <w:sz w:val="24"/>
                <w:highlight w:val="none"/>
              </w:rPr>
              <w:t>描述</w:t>
            </w:r>
          </w:p>
        </w:tc>
      </w:tr>
      <w:tr w14:paraId="5786F79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778" w:hRule="atLeast"/>
        </w:trPr>
        <w:tc>
          <w:tcPr>
            <w:tcW w:w="313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E8E25AB">
            <w:pPr>
              <w:widowControl/>
              <w:spacing w:line="300" w:lineRule="auto"/>
              <w:jc w:val="left"/>
              <w:rPr>
                <w:color w:val="auto"/>
                <w:sz w:val="24"/>
                <w:highlight w:val="none"/>
              </w:rPr>
            </w:pPr>
            <w:r>
              <w:rPr>
                <w:rFonts w:ascii="宋体" w:hAnsi="宋体" w:cs="宋体"/>
                <w:color w:val="auto"/>
                <w:kern w:val="0"/>
                <w:sz w:val="24"/>
                <w:highlight w:val="none"/>
              </w:rPr>
              <w:t>a1</w:t>
            </w:r>
            <w:r>
              <w:rPr>
                <w:rFonts w:hint="eastAsia" w:ascii="宋体" w:hAnsi="宋体" w:cs="宋体"/>
                <w:color w:val="auto"/>
                <w:kern w:val="0"/>
                <w:sz w:val="24"/>
                <w:highlight w:val="none"/>
              </w:rPr>
              <w:t>营业执照</w:t>
            </w:r>
          </w:p>
        </w:tc>
        <w:tc>
          <w:tcPr>
            <w:tcW w:w="5587"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E4BFDDF">
            <w:pPr>
              <w:spacing w:line="300" w:lineRule="auto"/>
              <w:rPr>
                <w:rFonts w:ascii="宋体"/>
                <w:color w:val="auto"/>
                <w:sz w:val="24"/>
                <w:highlight w:val="none"/>
              </w:rPr>
            </w:pPr>
            <w:r>
              <w:rPr>
                <w:rFonts w:hint="eastAsia" w:ascii="宋体" w:hAnsi="宋体" w:cs="宋体"/>
                <w:bCs/>
                <w:color w:val="auto"/>
                <w:kern w:val="0"/>
                <w:sz w:val="24"/>
                <w:highlight w:val="none"/>
              </w:rPr>
              <w:t>投标人应具有合格有效的营业执照。</w:t>
            </w:r>
          </w:p>
        </w:tc>
      </w:tr>
      <w:tr w14:paraId="72125A8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96" w:hRule="atLeast"/>
        </w:trPr>
        <w:tc>
          <w:tcPr>
            <w:tcW w:w="313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38913020">
            <w:pPr>
              <w:widowControl/>
              <w:spacing w:line="300" w:lineRule="auto"/>
              <w:jc w:val="left"/>
              <w:rPr>
                <w:color w:val="auto"/>
                <w:sz w:val="24"/>
                <w:highlight w:val="none"/>
              </w:rPr>
            </w:pPr>
            <w:r>
              <w:rPr>
                <w:rFonts w:ascii="宋体" w:hAnsi="宋体" w:cs="宋体"/>
                <w:color w:val="auto"/>
                <w:kern w:val="0"/>
                <w:sz w:val="24"/>
                <w:highlight w:val="none"/>
              </w:rPr>
              <w:t>a2单位负责人授权书</w:t>
            </w:r>
          </w:p>
        </w:tc>
        <w:tc>
          <w:tcPr>
            <w:tcW w:w="5587"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AAE7424">
            <w:pPr>
              <w:spacing w:line="300" w:lineRule="auto"/>
              <w:rPr>
                <w:rFonts w:ascii="宋体"/>
                <w:color w:val="auto"/>
                <w:sz w:val="24"/>
                <w:highlight w:val="none"/>
              </w:rPr>
            </w:pPr>
            <w:r>
              <w:rPr>
                <w:rFonts w:hint="eastAsia" w:ascii="宋体"/>
                <w:color w:val="auto"/>
                <w:sz w:val="24"/>
                <w:highlight w:val="none"/>
              </w:rPr>
              <w:t>非法定代表人作为投标代表参加投标时</w:t>
            </w:r>
          </w:p>
        </w:tc>
      </w:tr>
      <w:tr w14:paraId="7E84B86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396" w:hRule="atLeast"/>
        </w:trPr>
        <w:tc>
          <w:tcPr>
            <w:tcW w:w="313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652794FE">
            <w:pPr>
              <w:widowControl/>
              <w:spacing w:line="300" w:lineRule="auto"/>
              <w:jc w:val="left"/>
              <w:rPr>
                <w:rFonts w:ascii="宋体" w:hAnsi="宋体" w:cs="宋体"/>
                <w:color w:val="auto"/>
                <w:kern w:val="0"/>
                <w:sz w:val="24"/>
                <w:highlight w:val="none"/>
              </w:rPr>
            </w:pPr>
            <w:r>
              <w:rPr>
                <w:rFonts w:hint="eastAsia" w:ascii="宋体" w:hAnsi="宋体" w:cs="宋体"/>
                <w:color w:val="auto"/>
                <w:kern w:val="0"/>
                <w:sz w:val="24"/>
                <w:highlight w:val="none"/>
              </w:rPr>
              <w:t>a3身份证明</w:t>
            </w:r>
          </w:p>
        </w:tc>
        <w:tc>
          <w:tcPr>
            <w:tcW w:w="5587"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32A3228">
            <w:pPr>
              <w:widowControl/>
              <w:spacing w:line="300" w:lineRule="auto"/>
              <w:jc w:val="left"/>
              <w:rPr>
                <w:color w:val="auto"/>
                <w:sz w:val="24"/>
                <w:highlight w:val="none"/>
              </w:rPr>
            </w:pPr>
            <w:r>
              <w:rPr>
                <w:rFonts w:hint="eastAsia"/>
                <w:color w:val="auto"/>
                <w:sz w:val="24"/>
                <w:highlight w:val="none"/>
              </w:rPr>
              <w:t>法人</w:t>
            </w:r>
            <w:r>
              <w:rPr>
                <w:rFonts w:hint="eastAsia" w:ascii="宋体" w:hAnsi="宋体" w:cs="宋体"/>
                <w:color w:val="auto"/>
                <w:kern w:val="0"/>
                <w:sz w:val="24"/>
                <w:highlight w:val="none"/>
              </w:rPr>
              <w:t>（或单位负责人）</w:t>
            </w:r>
            <w:r>
              <w:rPr>
                <w:rFonts w:hint="eastAsia"/>
                <w:color w:val="auto"/>
                <w:sz w:val="24"/>
                <w:highlight w:val="none"/>
              </w:rPr>
              <w:t>及投标代表有效的双面身份证复印件</w:t>
            </w:r>
          </w:p>
        </w:tc>
      </w:tr>
      <w:tr w14:paraId="2C5BD65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306" w:hRule="atLeast"/>
        </w:trPr>
        <w:tc>
          <w:tcPr>
            <w:tcW w:w="313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EC8A30B">
            <w:pPr>
              <w:widowControl/>
              <w:spacing w:line="300" w:lineRule="auto"/>
              <w:jc w:val="left"/>
              <w:rPr>
                <w:color w:val="auto"/>
                <w:sz w:val="24"/>
                <w:highlight w:val="none"/>
              </w:rPr>
            </w:pPr>
            <w:r>
              <w:rPr>
                <w:rFonts w:hint="eastAsia" w:ascii="宋体" w:hAnsi="宋体" w:cs="宋体"/>
                <w:color w:val="auto"/>
                <w:kern w:val="0"/>
                <w:sz w:val="24"/>
                <w:highlight w:val="none"/>
              </w:rPr>
              <w:t>a4承诺函</w:t>
            </w:r>
          </w:p>
        </w:tc>
        <w:tc>
          <w:tcPr>
            <w:tcW w:w="5587"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704E4B1">
            <w:pPr>
              <w:widowControl/>
              <w:spacing w:before="75" w:after="75" w:line="30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投标供应商参加采购活动前三年内在经营活动中没有重大违法记录及行贿犯罪记录的书面声明</w:t>
            </w:r>
          </w:p>
        </w:tc>
      </w:tr>
      <w:tr w14:paraId="1E2240B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31" w:hRule="atLeast"/>
        </w:trPr>
        <w:tc>
          <w:tcPr>
            <w:tcW w:w="3132"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25E25B8">
            <w:pPr>
              <w:widowControl/>
              <w:spacing w:line="300" w:lineRule="auto"/>
              <w:jc w:val="left"/>
              <w:rPr>
                <w:rFonts w:ascii="宋体" w:hAnsi="宋体" w:cs="宋体"/>
                <w:color w:val="auto"/>
                <w:kern w:val="0"/>
                <w:sz w:val="24"/>
                <w:highlight w:val="none"/>
              </w:rPr>
            </w:pPr>
            <w:r>
              <w:rPr>
                <w:rFonts w:hint="eastAsia" w:ascii="宋体" w:hAnsi="宋体" w:cs="宋体"/>
                <w:color w:val="auto"/>
                <w:kern w:val="0"/>
                <w:sz w:val="24"/>
                <w:highlight w:val="none"/>
              </w:rPr>
              <w:t>a5信用记录</w:t>
            </w:r>
          </w:p>
        </w:tc>
        <w:tc>
          <w:tcPr>
            <w:tcW w:w="5587"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03C9DB06">
            <w:pPr>
              <w:widowControl/>
              <w:spacing w:before="75" w:after="75" w:line="300" w:lineRule="auto"/>
              <w:jc w:val="left"/>
              <w:rPr>
                <w:rFonts w:ascii="宋体" w:hAnsi="宋体" w:cs="宋体"/>
                <w:color w:val="auto"/>
                <w:kern w:val="0"/>
                <w:sz w:val="24"/>
                <w:highlight w:val="none"/>
              </w:rPr>
            </w:pPr>
            <w:r>
              <w:rPr>
                <w:rFonts w:hint="eastAsia" w:ascii="宋体" w:hAnsi="宋体" w:cs="宋体"/>
                <w:bCs/>
                <w:color w:val="auto"/>
                <w:sz w:val="24"/>
                <w:highlight w:val="none"/>
                <w:shd w:val="clear" w:color="auto" w:fill="FFFFFF"/>
              </w:rPr>
              <w:t>投标人应在招标文件要求的截止时点前分别通过“信用中国”网站（www.creditchina.gov.cn）或国家企业信用信息公示系统平台截图https://www.gsxt.gov.cn/index.html、中国政府采购网（www.ccgp.gov.cn）查询并打印相应的信用记录，投标人提供的查询结果应为其通过上述网站获取的信用信息查询结果原始页面的打印件（或截图）。</w:t>
            </w:r>
          </w:p>
        </w:tc>
      </w:tr>
    </w:tbl>
    <w:p w14:paraId="4946150C">
      <w:pPr>
        <w:widowControl/>
        <w:spacing w:line="300" w:lineRule="auto"/>
        <w:jc w:val="left"/>
        <w:rPr>
          <w:color w:val="auto"/>
          <w:highlight w:val="none"/>
        </w:rPr>
      </w:pPr>
    </w:p>
    <w:p w14:paraId="78F38BB5">
      <w:pPr>
        <w:pStyle w:val="13"/>
        <w:widowControl/>
        <w:spacing w:beforeAutospacing="0" w:after="150" w:afterAutospacing="0" w:line="300" w:lineRule="auto"/>
        <w:rPr>
          <w:rFonts w:hint="default" w:ascii="宋体" w:hAnsi="宋体" w:cs="宋体"/>
          <w:color w:val="auto"/>
          <w:highlight w:val="none"/>
          <w:lang w:val="en-US" w:eastAsia="zh-CN"/>
        </w:rPr>
      </w:pPr>
      <w:r>
        <w:rPr>
          <w:rFonts w:hint="default" w:ascii="宋体" w:hAnsi="宋体" w:cs="宋体"/>
          <w:color w:val="auto"/>
          <w:highlight w:val="none"/>
        </w:rPr>
        <w:t>②</w:t>
      </w:r>
      <w:r>
        <w:rPr>
          <w:rFonts w:hint="eastAsia" w:ascii="宋体" w:hAnsi="宋体" w:cs="宋体"/>
          <w:color w:val="auto"/>
          <w:highlight w:val="none"/>
          <w:lang w:val="en-US" w:eastAsia="zh-CN"/>
        </w:rPr>
        <w:t>特定条件：</w:t>
      </w:r>
    </w:p>
    <w:tbl>
      <w:tblPr>
        <w:tblStyle w:val="15"/>
        <w:tblW w:w="8790" w:type="dxa"/>
        <w:tblInd w:w="-3"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3135"/>
        <w:gridCol w:w="5655"/>
      </w:tblGrid>
      <w:tr w14:paraId="037BAD7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396" w:hRule="atLeast"/>
          <w:tblHeader/>
        </w:trPr>
        <w:tc>
          <w:tcPr>
            <w:tcW w:w="3135" w:type="dxa"/>
            <w:tcBorders>
              <w:top w:val="single" w:color="666666" w:sz="6" w:space="0"/>
              <w:left w:val="single" w:color="666666" w:sz="6" w:space="0"/>
              <w:bottom w:val="single" w:color="666666" w:sz="6" w:space="0"/>
              <w:right w:val="single" w:color="666666" w:sz="6" w:space="0"/>
            </w:tcBorders>
            <w:vAlign w:val="center"/>
          </w:tcPr>
          <w:p w14:paraId="463EE930">
            <w:pPr>
              <w:widowControl/>
              <w:spacing w:line="300" w:lineRule="auto"/>
              <w:jc w:val="left"/>
              <w:rPr>
                <w:b/>
                <w:color w:val="auto"/>
                <w:sz w:val="24"/>
                <w:highlight w:val="none"/>
              </w:rPr>
            </w:pPr>
            <w:r>
              <w:rPr>
                <w:rFonts w:ascii="宋体" w:hAnsi="宋体" w:cs="宋体"/>
                <w:b/>
                <w:color w:val="auto"/>
                <w:kern w:val="0"/>
                <w:sz w:val="24"/>
                <w:highlight w:val="none"/>
              </w:rPr>
              <w:t>明细</w:t>
            </w:r>
          </w:p>
        </w:tc>
        <w:tc>
          <w:tcPr>
            <w:tcW w:w="5655" w:type="dxa"/>
            <w:tcBorders>
              <w:top w:val="single" w:color="666666" w:sz="6" w:space="0"/>
              <w:left w:val="single" w:color="666666" w:sz="6" w:space="0"/>
              <w:bottom w:val="single" w:color="666666" w:sz="6" w:space="0"/>
              <w:right w:val="single" w:color="666666" w:sz="6" w:space="0"/>
            </w:tcBorders>
            <w:vAlign w:val="center"/>
          </w:tcPr>
          <w:p w14:paraId="4DF15655">
            <w:pPr>
              <w:widowControl/>
              <w:spacing w:line="300" w:lineRule="auto"/>
              <w:jc w:val="left"/>
              <w:rPr>
                <w:b/>
                <w:color w:val="auto"/>
                <w:sz w:val="24"/>
                <w:highlight w:val="none"/>
              </w:rPr>
            </w:pPr>
            <w:r>
              <w:rPr>
                <w:rFonts w:ascii="宋体" w:hAnsi="宋体" w:cs="宋体"/>
                <w:b/>
                <w:color w:val="auto"/>
                <w:kern w:val="0"/>
                <w:sz w:val="24"/>
                <w:highlight w:val="none"/>
              </w:rPr>
              <w:t>描述</w:t>
            </w:r>
          </w:p>
        </w:tc>
      </w:tr>
      <w:tr w14:paraId="0ED2043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778" w:hRule="atLeast"/>
        </w:trPr>
        <w:tc>
          <w:tcPr>
            <w:tcW w:w="3135"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249263BB">
            <w:pPr>
              <w:widowControl/>
              <w:spacing w:line="300" w:lineRule="auto"/>
              <w:jc w:val="left"/>
              <w:rPr>
                <w:rFonts w:hint="default" w:eastAsia="宋体"/>
                <w:color w:val="auto"/>
                <w:sz w:val="24"/>
                <w:highlight w:val="none"/>
                <w:lang w:val="en-US" w:eastAsia="zh-CN"/>
              </w:rPr>
            </w:pPr>
            <w:r>
              <w:rPr>
                <w:rFonts w:hint="eastAsia"/>
                <w:color w:val="auto"/>
                <w:sz w:val="24"/>
                <w:highlight w:val="none"/>
                <w:lang w:val="en-US" w:eastAsia="zh-CN"/>
              </w:rPr>
              <w:t>其他资格要求</w:t>
            </w:r>
          </w:p>
        </w:tc>
        <w:tc>
          <w:tcPr>
            <w:tcW w:w="5655" w:type="dxa"/>
            <w:tcBorders>
              <w:top w:val="single" w:color="666666" w:sz="6" w:space="0"/>
              <w:left w:val="single" w:color="666666" w:sz="6" w:space="0"/>
              <w:bottom w:val="single" w:color="666666" w:sz="6" w:space="0"/>
              <w:right w:val="single" w:color="666666" w:sz="6" w:space="0"/>
            </w:tcBorders>
            <w:shd w:val="clear" w:color="auto" w:fill="FFFFFF"/>
            <w:vAlign w:val="center"/>
          </w:tcPr>
          <w:p w14:paraId="4284F565">
            <w:pPr>
              <w:spacing w:line="300" w:lineRule="auto"/>
              <w:rPr>
                <w:rFonts w:hint="eastAsia" w:ascii="宋体" w:eastAsia="宋体"/>
                <w:color w:val="auto"/>
                <w:sz w:val="24"/>
                <w:highlight w:val="none"/>
                <w:lang w:eastAsia="zh-CN"/>
              </w:rPr>
            </w:pPr>
            <w:r>
              <w:rPr>
                <w:rFonts w:hint="eastAsia" w:ascii="宋体" w:hAnsi="宋体" w:cs="宋体"/>
                <w:bCs/>
                <w:color w:val="auto"/>
                <w:kern w:val="0"/>
                <w:sz w:val="24"/>
                <w:highlight w:val="none"/>
              </w:rPr>
              <w:t>投标人须具备有关行政主管部门颁发的合格有效的《印刷经营许可证》，须提供证书复印件并加盖投标人公章</w:t>
            </w:r>
            <w:r>
              <w:rPr>
                <w:rFonts w:hint="eastAsia" w:ascii="宋体" w:hAnsi="宋体" w:cs="宋体"/>
                <w:bCs/>
                <w:color w:val="auto"/>
                <w:kern w:val="0"/>
                <w:sz w:val="24"/>
                <w:highlight w:val="none"/>
                <w:lang w:eastAsia="zh-CN"/>
              </w:rPr>
              <w:t>。</w:t>
            </w:r>
          </w:p>
        </w:tc>
      </w:tr>
    </w:tbl>
    <w:p w14:paraId="39AE26A9">
      <w:pPr>
        <w:pStyle w:val="13"/>
        <w:widowControl/>
        <w:spacing w:before="75" w:beforeAutospacing="0" w:after="75" w:afterAutospacing="0" w:line="300" w:lineRule="auto"/>
        <w:ind w:firstLine="480"/>
        <w:rPr>
          <w:rStyle w:val="18"/>
          <w:rFonts w:hint="eastAsia" w:ascii="宋体" w:hAnsi="宋体" w:eastAsia="宋体" w:cs="宋体"/>
          <w:color w:val="auto"/>
          <w:highlight w:val="none"/>
        </w:rPr>
      </w:pPr>
    </w:p>
    <w:p w14:paraId="45CFC782">
      <w:pPr>
        <w:pStyle w:val="13"/>
        <w:widowControl/>
        <w:spacing w:before="75" w:beforeAutospacing="0" w:after="75" w:afterAutospacing="0" w:line="300" w:lineRule="auto"/>
        <w:ind w:firstLine="480"/>
        <w:rPr>
          <w:color w:val="auto"/>
          <w:highlight w:val="none"/>
        </w:rPr>
      </w:pPr>
      <w:r>
        <w:rPr>
          <w:rStyle w:val="18"/>
          <w:color w:val="auto"/>
          <w:highlight w:val="none"/>
        </w:rPr>
        <w:t>包：1</w:t>
      </w:r>
    </w:p>
    <w:p w14:paraId="6FD7FC34">
      <w:pPr>
        <w:pStyle w:val="13"/>
        <w:widowControl/>
        <w:spacing w:before="75" w:beforeAutospacing="0" w:after="75" w:afterAutospacing="0" w:line="300" w:lineRule="auto"/>
        <w:rPr>
          <w:rStyle w:val="18"/>
          <w:rFonts w:ascii="宋体" w:hAnsi="宋体" w:cs="宋体"/>
          <w:color w:val="auto"/>
          <w:highlight w:val="none"/>
        </w:rPr>
      </w:pPr>
      <w:r>
        <w:rPr>
          <w:rFonts w:hint="eastAsia" w:ascii="宋体" w:hAnsi="宋体" w:cs="宋体"/>
          <w:color w:val="auto"/>
          <w:highlight w:val="none"/>
        </w:rPr>
        <w:t>1.4有下列情形之一的，</w:t>
      </w:r>
      <w:r>
        <w:rPr>
          <w:rStyle w:val="18"/>
          <w:rFonts w:hint="eastAsia" w:ascii="宋体" w:hAnsi="宋体" w:cs="宋体"/>
          <w:color w:val="auto"/>
          <w:highlight w:val="none"/>
        </w:rPr>
        <w:t>资格审查不合格：</w:t>
      </w:r>
    </w:p>
    <w:p w14:paraId="22D544B2">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  （1）一般情形：</w:t>
      </w:r>
    </w:p>
    <w:tbl>
      <w:tblPr>
        <w:tblStyle w:val="15"/>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14:paraId="735EBA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vAlign w:val="center"/>
          </w:tcPr>
          <w:p w14:paraId="08083DCA">
            <w:pPr>
              <w:widowControl/>
              <w:spacing w:line="300" w:lineRule="auto"/>
              <w:jc w:val="left"/>
              <w:rPr>
                <w:b/>
                <w:color w:val="auto"/>
                <w:highlight w:val="none"/>
              </w:rPr>
            </w:pPr>
            <w:r>
              <w:rPr>
                <w:rFonts w:ascii="宋体" w:hAnsi="宋体" w:cs="宋体"/>
                <w:b/>
                <w:color w:val="auto"/>
                <w:kern w:val="0"/>
                <w:sz w:val="24"/>
                <w:highlight w:val="none"/>
              </w:rPr>
              <w:t>明细</w:t>
            </w:r>
          </w:p>
        </w:tc>
      </w:tr>
      <w:tr w14:paraId="33EB93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322" w:type="dxa"/>
            <w:tcBorders>
              <w:top w:val="outset" w:color="auto" w:sz="6" w:space="0"/>
              <w:left w:val="outset" w:color="auto" w:sz="6" w:space="0"/>
              <w:bottom w:val="outset" w:color="auto" w:sz="6" w:space="0"/>
              <w:right w:val="outset" w:color="auto" w:sz="6" w:space="0"/>
            </w:tcBorders>
            <w:vAlign w:val="center"/>
          </w:tcPr>
          <w:p w14:paraId="1EA7E5BA">
            <w:pPr>
              <w:widowControl/>
              <w:spacing w:line="300" w:lineRule="auto"/>
              <w:jc w:val="left"/>
              <w:rPr>
                <w:color w:val="auto"/>
                <w:highlight w:val="none"/>
              </w:rPr>
            </w:pPr>
            <w:r>
              <w:rPr>
                <w:rFonts w:ascii="宋体" w:hAnsi="宋体" w:cs="宋体"/>
                <w:color w:val="auto"/>
                <w:kern w:val="0"/>
                <w:sz w:val="24"/>
                <w:highlight w:val="none"/>
              </w:rPr>
              <w:t>未按照招标文件规定提交投标函</w:t>
            </w:r>
          </w:p>
        </w:tc>
      </w:tr>
      <w:tr w14:paraId="04E640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74E9C02B">
            <w:pPr>
              <w:widowControl/>
              <w:spacing w:line="300" w:lineRule="auto"/>
              <w:jc w:val="left"/>
              <w:rPr>
                <w:color w:val="auto"/>
                <w:highlight w:val="none"/>
              </w:rPr>
            </w:pPr>
            <w:r>
              <w:rPr>
                <w:rFonts w:ascii="宋体" w:hAnsi="宋体" w:cs="宋体"/>
                <w:color w:val="auto"/>
                <w:kern w:val="0"/>
                <w:sz w:val="24"/>
                <w:highlight w:val="none"/>
              </w:rPr>
              <w:t>未按照招标文件规定提交投标人的资格及资信文件</w:t>
            </w:r>
          </w:p>
        </w:tc>
      </w:tr>
    </w:tbl>
    <w:p w14:paraId="3FC0AD31">
      <w:pPr>
        <w:widowControl/>
        <w:spacing w:line="300" w:lineRule="auto"/>
        <w:jc w:val="left"/>
        <w:rPr>
          <w:rFonts w:ascii="宋体" w:hAnsi="宋体" w:cs="宋体"/>
          <w:color w:val="auto"/>
          <w:kern w:val="0"/>
          <w:sz w:val="24"/>
          <w:highlight w:val="none"/>
        </w:rPr>
      </w:pPr>
    </w:p>
    <w:p w14:paraId="4A6B277D">
      <w:pPr>
        <w:widowControl/>
        <w:spacing w:line="300" w:lineRule="auto"/>
        <w:jc w:val="left"/>
        <w:rPr>
          <w:color w:val="auto"/>
          <w:highlight w:val="none"/>
        </w:rPr>
      </w:pPr>
      <w:r>
        <w:rPr>
          <w:rFonts w:hint="eastAsia" w:ascii="宋体" w:hAnsi="宋体" w:cs="宋体"/>
          <w:color w:val="auto"/>
          <w:kern w:val="0"/>
          <w:sz w:val="24"/>
          <w:highlight w:val="none"/>
        </w:rPr>
        <w:t>  （2）本项目规定的其他情形：</w:t>
      </w:r>
    </w:p>
    <w:p w14:paraId="0137D5AA">
      <w:pPr>
        <w:pStyle w:val="13"/>
        <w:widowControl/>
        <w:spacing w:beforeAutospacing="0" w:after="150" w:afterAutospacing="0" w:line="300" w:lineRule="auto"/>
        <w:ind w:firstLine="480"/>
        <w:rPr>
          <w:color w:val="auto"/>
          <w:highlight w:val="none"/>
        </w:rPr>
      </w:pPr>
      <w:r>
        <w:rPr>
          <w:rStyle w:val="18"/>
          <w:color w:val="auto"/>
          <w:highlight w:val="none"/>
        </w:rPr>
        <w:t>包：1</w:t>
      </w:r>
      <w:r>
        <w:rPr>
          <w:color w:val="auto"/>
          <w:highlight w:val="none"/>
        </w:rPr>
        <w:t> </w:t>
      </w:r>
    </w:p>
    <w:p w14:paraId="10E6B3AD">
      <w:pPr>
        <w:pStyle w:val="13"/>
        <w:widowControl/>
        <w:spacing w:beforeAutospacing="0" w:after="150" w:afterAutospacing="0" w:line="300" w:lineRule="auto"/>
        <w:ind w:firstLine="480"/>
        <w:rPr>
          <w:color w:val="auto"/>
          <w:highlight w:val="none"/>
        </w:rPr>
      </w:pPr>
      <w:r>
        <w:rPr>
          <w:rStyle w:val="18"/>
          <w:color w:val="auto"/>
          <w:highlight w:val="none"/>
        </w:rPr>
        <w:t>         无</w:t>
      </w:r>
    </w:p>
    <w:p w14:paraId="32D0F7A4">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1.5若本项目接受联合体投标且投标人为联合体，联合体中有同类资质的供应商按照联合体分工承担相同工作的，应先按照资质等级较低的供应商确定资质等级，再按照本章第</w:t>
      </w:r>
      <w:r>
        <w:rPr>
          <w:rFonts w:cs="Calibri"/>
          <w:color w:val="auto"/>
          <w:highlight w:val="none"/>
        </w:rPr>
        <w:t>1.2</w:t>
      </w:r>
      <w:r>
        <w:rPr>
          <w:rFonts w:hint="eastAsia" w:ascii="宋体" w:hAnsi="宋体" w:cs="宋体"/>
          <w:color w:val="auto"/>
          <w:highlight w:val="none"/>
        </w:rPr>
        <w:t>、</w:t>
      </w:r>
      <w:r>
        <w:rPr>
          <w:rFonts w:cs="Calibri"/>
          <w:color w:val="auto"/>
          <w:highlight w:val="none"/>
        </w:rPr>
        <w:t>1.3</w:t>
      </w:r>
      <w:r>
        <w:rPr>
          <w:rFonts w:hint="eastAsia" w:ascii="宋体" w:hAnsi="宋体" w:cs="宋体"/>
          <w:color w:val="auto"/>
          <w:highlight w:val="none"/>
        </w:rPr>
        <w:t>、</w:t>
      </w:r>
      <w:r>
        <w:rPr>
          <w:rFonts w:cs="Calibri"/>
          <w:color w:val="auto"/>
          <w:highlight w:val="none"/>
        </w:rPr>
        <w:t>1.4</w:t>
      </w:r>
      <w:r>
        <w:rPr>
          <w:rFonts w:hint="eastAsia" w:ascii="宋体" w:hAnsi="宋体" w:cs="宋体"/>
          <w:color w:val="auto"/>
          <w:highlight w:val="none"/>
        </w:rPr>
        <w:t>条规定进行资格审查。</w:t>
      </w:r>
    </w:p>
    <w:p w14:paraId="79A67C6B">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2、资格审查情况不得私自外泄，有关信息由</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统一对外发布。</w:t>
      </w:r>
    </w:p>
    <w:p w14:paraId="6576EEFA">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3、资格审查合格的投标人不足三家的，不进行评标。同时，本次采购活动结束，</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将依法组织后重新组织招标。</w:t>
      </w:r>
    </w:p>
    <w:p w14:paraId="0027A019">
      <w:pPr>
        <w:pStyle w:val="13"/>
        <w:widowControl/>
        <w:spacing w:before="75" w:beforeAutospacing="0" w:after="75" w:afterAutospacing="0" w:line="300" w:lineRule="auto"/>
        <w:rPr>
          <w:color w:val="auto"/>
          <w:highlight w:val="none"/>
        </w:rPr>
      </w:pPr>
      <w:r>
        <w:rPr>
          <w:color w:val="auto"/>
          <w:highlight w:val="none"/>
        </w:rPr>
        <w:t> </w:t>
      </w:r>
    </w:p>
    <w:p w14:paraId="508605FE">
      <w:pPr>
        <w:pStyle w:val="13"/>
        <w:widowControl/>
        <w:spacing w:before="75" w:beforeAutospacing="0" w:after="75" w:afterAutospacing="0" w:line="300" w:lineRule="auto"/>
        <w:jc w:val="center"/>
        <w:rPr>
          <w:color w:val="auto"/>
          <w:highlight w:val="none"/>
        </w:rPr>
      </w:pPr>
      <w:r>
        <w:rPr>
          <w:rStyle w:val="18"/>
          <w:rFonts w:hint="eastAsia" w:ascii="宋体" w:hAnsi="宋体" w:cs="宋体"/>
          <w:color w:val="auto"/>
          <w:highlight w:val="none"/>
        </w:rPr>
        <w:t>二、评标</w:t>
      </w:r>
    </w:p>
    <w:p w14:paraId="4EE9F11F">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4、资格审查结束后，由泉州市新开源项目咨询有限公司负责评标委员会的组建及评标工作的组织。</w:t>
      </w:r>
    </w:p>
    <w:p w14:paraId="7C4F3C52">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5、评标委员会</w:t>
      </w:r>
    </w:p>
    <w:p w14:paraId="0698F88E">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5.1评标委员会由采购人代表(若有）和评标专家两部分共</w:t>
      </w:r>
      <w:r>
        <w:rPr>
          <w:rFonts w:hint="eastAsia" w:ascii="宋体" w:hAnsi="宋体" w:cs="宋体"/>
          <w:color w:val="auto"/>
          <w:highlight w:val="none"/>
          <w:u w:val="single"/>
        </w:rPr>
        <w:t>3</w:t>
      </w:r>
      <w:r>
        <w:rPr>
          <w:rFonts w:hint="eastAsia" w:ascii="宋体" w:hAnsi="宋体" w:cs="宋体"/>
          <w:color w:val="auto"/>
          <w:highlight w:val="none"/>
        </w:rPr>
        <w:t>人（以下简称“评委”）组成。</w:t>
      </w:r>
    </w:p>
    <w:p w14:paraId="424E6E17">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5.2评标委员会负责具体评标事务，并按照下列原则依法独立履行有关职责：</w:t>
      </w:r>
    </w:p>
    <w:p w14:paraId="3464754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（1）评标应保护国家利益、社会公共利益和各方当事人合法权益，提高采购效益，保证项目质量。</w:t>
      </w:r>
    </w:p>
    <w:p w14:paraId="2F756C86">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（2）评标应遵循公平、公正、科学、严谨和择优原则。</w:t>
      </w:r>
    </w:p>
    <w:p w14:paraId="127B14D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（3）评标的依据是招标文件和投标文件。</w:t>
      </w:r>
    </w:p>
    <w:p w14:paraId="25B51A4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（4）应按照招标文件规定推荐中标候选人或确定中标人。</w:t>
      </w:r>
    </w:p>
    <w:p w14:paraId="674787C9">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（5）评标应遵守下列评标纪律：</w:t>
      </w:r>
    </w:p>
    <w:p w14:paraId="1C8D568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①评标情况不得私自外泄，有关信息由</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统一对外发布。</w:t>
      </w:r>
    </w:p>
    <w:p w14:paraId="038921B6">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②对</w:t>
      </w:r>
      <w:r>
        <w:rPr>
          <w:rFonts w:hint="eastAsia" w:ascii="宋体" w:hAnsi="宋体" w:cs="宋体"/>
          <w:color w:val="auto"/>
          <w:highlight w:val="none"/>
          <w:u w:val="single"/>
        </w:rPr>
        <w:t>泉州市新开源项目咨询有限公司</w:t>
      </w:r>
      <w:r>
        <w:rPr>
          <w:rFonts w:hint="eastAsia" w:ascii="宋体" w:hAnsi="宋体" w:cs="宋体"/>
          <w:color w:val="auto"/>
          <w:highlight w:val="none"/>
        </w:rPr>
        <w:t>或投标人提供的要求保密的资料，不得摘记翻印和外传。</w:t>
      </w:r>
    </w:p>
    <w:p w14:paraId="7F300F5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③不得收受投标人或有关人员的任何礼物，不得串联鼓动其他人袒护某投标人。若与投标人存在利害关系，则应主动声明并回避。</w:t>
      </w:r>
    </w:p>
    <w:p w14:paraId="5F9FDBE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④全体评委应按照招标文件规定进行评标，一切认定事项应查有实据且不得弄虚作假。</w:t>
      </w:r>
    </w:p>
    <w:p w14:paraId="0C61659D">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⑤评标中应充分发扬民主，推荐中标候选人或确定中标人后要服从评标报告。</w:t>
      </w:r>
    </w:p>
    <w:p w14:paraId="07E4A04F">
      <w:pPr>
        <w:pStyle w:val="13"/>
        <w:widowControl/>
        <w:spacing w:before="75" w:beforeAutospacing="0" w:after="75" w:afterAutospacing="0" w:line="300" w:lineRule="auto"/>
        <w:ind w:firstLine="480"/>
        <w:rPr>
          <w:color w:val="auto"/>
          <w:highlight w:val="none"/>
        </w:rPr>
      </w:pPr>
      <w:r>
        <w:rPr>
          <w:rStyle w:val="18"/>
          <w:rFonts w:hint="eastAsia" w:ascii="宋体" w:hAnsi="宋体" w:cs="宋体"/>
          <w:color w:val="auto"/>
          <w:highlight w:val="none"/>
        </w:rPr>
        <w:t>※对违反评标纪律的评委，将取消其评委资格，对评标工作造成严重损失者将予以通报批评乃至追究法律责任。</w:t>
      </w:r>
    </w:p>
    <w:p w14:paraId="311E7BA6">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6、评标程序</w:t>
      </w:r>
    </w:p>
    <w:p w14:paraId="2AD4882E">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6.1评标前的准备工作</w:t>
      </w:r>
    </w:p>
    <w:p w14:paraId="30F6816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（1）全体评委应认真审阅招标文件，了解评委应履行或遵守的职责、义务和评标纪律。</w:t>
      </w:r>
    </w:p>
    <w:p w14:paraId="4779A573">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31AA62AC">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6.2符合性审查</w:t>
      </w:r>
    </w:p>
    <w:p w14:paraId="777B0FFE">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（1）评标委员会依据招标文件的实质性要求，对通过资格审查的投标文件进行符合性审查，以确定其是否满足招标文件的实质性要求。</w:t>
      </w:r>
    </w:p>
    <w:p w14:paraId="366AD7E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（2）满足招标文件的实质性要求指投标文件对招标文件实质性要求的响应不存在重大偏差或保留。</w:t>
      </w:r>
    </w:p>
    <w:p w14:paraId="67A8A340">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0C51CE8">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76A2B2F9">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（5）评标委员会对所有投标人都执行相同的程序和标准。</w:t>
      </w:r>
    </w:p>
    <w:p w14:paraId="3A817B66">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（6）有下列情形之一的，</w:t>
      </w:r>
      <w:r>
        <w:rPr>
          <w:rStyle w:val="18"/>
          <w:rFonts w:hint="eastAsia" w:ascii="宋体" w:hAnsi="宋体" w:cs="宋体"/>
          <w:color w:val="auto"/>
          <w:highlight w:val="none"/>
        </w:rPr>
        <w:t>符合性审查不合格：</w:t>
      </w:r>
    </w:p>
    <w:p w14:paraId="204F850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①项目一般情形：</w:t>
      </w:r>
    </w:p>
    <w:tbl>
      <w:tblPr>
        <w:tblStyle w:val="15"/>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14:paraId="123CD0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vAlign w:val="center"/>
          </w:tcPr>
          <w:p w14:paraId="47A4C2D7">
            <w:pPr>
              <w:widowControl/>
              <w:spacing w:line="300" w:lineRule="auto"/>
              <w:jc w:val="left"/>
              <w:rPr>
                <w:b/>
                <w:color w:val="auto"/>
                <w:highlight w:val="none"/>
              </w:rPr>
            </w:pPr>
            <w:r>
              <w:rPr>
                <w:rFonts w:ascii="宋体" w:hAnsi="宋体" w:cs="宋体"/>
                <w:b/>
                <w:color w:val="auto"/>
                <w:kern w:val="0"/>
                <w:sz w:val="24"/>
                <w:highlight w:val="none"/>
              </w:rPr>
              <w:t>明细</w:t>
            </w:r>
          </w:p>
        </w:tc>
      </w:tr>
      <w:tr w14:paraId="531D6A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30E21963">
            <w:pPr>
              <w:widowControl/>
              <w:spacing w:line="300" w:lineRule="auto"/>
              <w:jc w:val="left"/>
              <w:rPr>
                <w:color w:val="auto"/>
                <w:highlight w:val="none"/>
              </w:rPr>
            </w:pPr>
            <w:r>
              <w:rPr>
                <w:rFonts w:ascii="宋体" w:hAnsi="宋体" w:cs="宋体"/>
                <w:color w:val="auto"/>
                <w:kern w:val="0"/>
                <w:sz w:val="24"/>
                <w:highlight w:val="none"/>
              </w:rPr>
              <w:t>违反招标文件中载明“投标无效”条款的规定；</w:t>
            </w:r>
          </w:p>
        </w:tc>
      </w:tr>
      <w:tr w14:paraId="182B1E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7131C179">
            <w:pPr>
              <w:widowControl/>
              <w:spacing w:line="300" w:lineRule="auto"/>
              <w:jc w:val="left"/>
              <w:rPr>
                <w:color w:val="auto"/>
                <w:highlight w:val="none"/>
              </w:rPr>
            </w:pPr>
            <w:r>
              <w:rPr>
                <w:rFonts w:ascii="宋体" w:hAnsi="宋体" w:cs="宋体"/>
                <w:color w:val="auto"/>
                <w:kern w:val="0"/>
                <w:sz w:val="24"/>
                <w:highlight w:val="none"/>
              </w:rPr>
              <w:t>属于招标文件第三章第10.12条规定的投标无效情形；</w:t>
            </w:r>
          </w:p>
        </w:tc>
      </w:tr>
      <w:tr w14:paraId="1FF821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2190D06C">
            <w:pPr>
              <w:widowControl/>
              <w:spacing w:line="300" w:lineRule="auto"/>
              <w:jc w:val="left"/>
              <w:rPr>
                <w:color w:val="auto"/>
                <w:highlight w:val="none"/>
              </w:rPr>
            </w:pPr>
            <w:r>
              <w:rPr>
                <w:rFonts w:ascii="宋体" w:hAnsi="宋体" w:cs="宋体"/>
                <w:color w:val="auto"/>
                <w:kern w:val="0"/>
                <w:sz w:val="24"/>
                <w:highlight w:val="none"/>
              </w:rPr>
              <w:t>投标文件对招标文件实质性要求的响应存在重大偏离或保留。</w:t>
            </w:r>
          </w:p>
        </w:tc>
      </w:tr>
    </w:tbl>
    <w:p w14:paraId="45C30027">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②本项目规定的其他情形：</w:t>
      </w:r>
    </w:p>
    <w:p w14:paraId="4E6CF94B">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包：1 </w:t>
      </w:r>
    </w:p>
    <w:p w14:paraId="3032D596">
      <w:pPr>
        <w:pStyle w:val="13"/>
        <w:widowControl/>
        <w:spacing w:before="75" w:beforeAutospacing="0" w:after="75" w:afterAutospacing="0" w:line="300" w:lineRule="auto"/>
        <w:ind w:firstLine="480"/>
        <w:rPr>
          <w:rFonts w:ascii="宋体" w:hAnsi="宋体" w:cs="宋体"/>
          <w:color w:val="auto"/>
          <w:highlight w:val="none"/>
        </w:rPr>
      </w:pPr>
      <w:r>
        <w:rPr>
          <w:rFonts w:hint="eastAsia" w:ascii="宋体" w:hAnsi="宋体" w:cs="宋体"/>
          <w:color w:val="auto"/>
          <w:highlight w:val="none"/>
        </w:rPr>
        <w:t>包一般情形 </w:t>
      </w:r>
    </w:p>
    <w:p w14:paraId="4891AD22">
      <w:pPr>
        <w:pStyle w:val="13"/>
        <w:widowControl/>
        <w:spacing w:before="75" w:beforeAutospacing="0" w:after="75" w:afterAutospacing="0" w:line="300" w:lineRule="auto"/>
        <w:ind w:firstLine="480"/>
        <w:rPr>
          <w:color w:val="auto"/>
          <w:highlight w:val="none"/>
        </w:rPr>
      </w:pPr>
      <w:r>
        <w:rPr>
          <w:rStyle w:val="18"/>
          <w:color w:val="auto"/>
          <w:highlight w:val="none"/>
        </w:rPr>
        <w:t>         无</w:t>
      </w:r>
    </w:p>
    <w:p w14:paraId="71602AD3">
      <w:pPr>
        <w:widowControl/>
        <w:spacing w:line="300" w:lineRule="auto"/>
        <w:jc w:val="left"/>
        <w:rPr>
          <w:rFonts w:ascii="宋体" w:hAnsi="宋体" w:cs="宋体"/>
          <w:color w:val="auto"/>
          <w:kern w:val="0"/>
          <w:sz w:val="24"/>
          <w:highlight w:val="none"/>
        </w:rPr>
      </w:pPr>
    </w:p>
    <w:p w14:paraId="4DEB81DF">
      <w:pPr>
        <w:widowControl/>
        <w:spacing w:line="300" w:lineRule="auto"/>
        <w:jc w:val="left"/>
        <w:rPr>
          <w:color w:val="auto"/>
          <w:highlight w:val="none"/>
        </w:rPr>
      </w:pPr>
      <w:r>
        <w:rPr>
          <w:rFonts w:ascii="宋体" w:hAnsi="宋体" w:cs="宋体"/>
          <w:color w:val="auto"/>
          <w:kern w:val="0"/>
          <w:sz w:val="24"/>
          <w:highlight w:val="none"/>
        </w:rPr>
        <w:t>技术符合性</w:t>
      </w:r>
    </w:p>
    <w:tbl>
      <w:tblPr>
        <w:tblStyle w:val="15"/>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14:paraId="7B8D86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8322" w:type="dxa"/>
            <w:tcBorders>
              <w:top w:val="outset" w:color="auto" w:sz="6" w:space="0"/>
              <w:left w:val="outset" w:color="auto" w:sz="6" w:space="0"/>
              <w:bottom w:val="outset" w:color="auto" w:sz="6" w:space="0"/>
              <w:right w:val="outset" w:color="auto" w:sz="6" w:space="0"/>
            </w:tcBorders>
            <w:vAlign w:val="center"/>
          </w:tcPr>
          <w:p w14:paraId="2393A332">
            <w:pPr>
              <w:widowControl/>
              <w:spacing w:line="300" w:lineRule="auto"/>
              <w:jc w:val="left"/>
              <w:rPr>
                <w:b/>
                <w:color w:val="auto"/>
                <w:highlight w:val="none"/>
              </w:rPr>
            </w:pPr>
            <w:r>
              <w:rPr>
                <w:rFonts w:ascii="宋体" w:hAnsi="宋体" w:cs="宋体"/>
                <w:b/>
                <w:color w:val="auto"/>
                <w:kern w:val="0"/>
                <w:sz w:val="24"/>
                <w:highlight w:val="none"/>
              </w:rPr>
              <w:t>明细</w:t>
            </w:r>
          </w:p>
        </w:tc>
      </w:tr>
      <w:tr w14:paraId="52513A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4A19BF11">
            <w:pPr>
              <w:widowControl/>
              <w:spacing w:line="300" w:lineRule="auto"/>
              <w:jc w:val="left"/>
              <w:rPr>
                <w:color w:val="auto"/>
                <w:highlight w:val="none"/>
              </w:rPr>
            </w:pPr>
            <w:r>
              <w:rPr>
                <w:rFonts w:hint="eastAsia" w:ascii="宋体" w:hAnsi="宋体" w:cs="宋体"/>
                <w:color w:val="auto"/>
                <w:kern w:val="0"/>
                <w:sz w:val="24"/>
                <w:highlight w:val="none"/>
              </w:rPr>
              <w:t>符合招标文件要求。</w:t>
            </w:r>
          </w:p>
        </w:tc>
      </w:tr>
    </w:tbl>
    <w:p w14:paraId="7568BEA0">
      <w:pPr>
        <w:widowControl/>
        <w:spacing w:line="300" w:lineRule="auto"/>
        <w:jc w:val="left"/>
        <w:rPr>
          <w:rFonts w:ascii="宋体" w:hAnsi="宋体" w:cs="宋体"/>
          <w:color w:val="auto"/>
          <w:kern w:val="0"/>
          <w:sz w:val="24"/>
          <w:highlight w:val="none"/>
        </w:rPr>
      </w:pPr>
    </w:p>
    <w:p w14:paraId="387AF857">
      <w:pPr>
        <w:widowControl/>
        <w:spacing w:line="300" w:lineRule="auto"/>
        <w:jc w:val="left"/>
        <w:rPr>
          <w:color w:val="auto"/>
          <w:highlight w:val="none"/>
        </w:rPr>
      </w:pPr>
      <w:r>
        <w:rPr>
          <w:rFonts w:ascii="宋体" w:hAnsi="宋体" w:cs="宋体"/>
          <w:color w:val="auto"/>
          <w:kern w:val="0"/>
          <w:sz w:val="24"/>
          <w:highlight w:val="none"/>
        </w:rPr>
        <w:t>商务符合性</w:t>
      </w:r>
    </w:p>
    <w:tbl>
      <w:tblPr>
        <w:tblStyle w:val="15"/>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2"/>
      </w:tblGrid>
      <w:tr w14:paraId="703552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vAlign w:val="center"/>
          </w:tcPr>
          <w:p w14:paraId="5701C07D">
            <w:pPr>
              <w:widowControl/>
              <w:spacing w:line="300" w:lineRule="auto"/>
              <w:jc w:val="left"/>
              <w:rPr>
                <w:b/>
                <w:color w:val="auto"/>
                <w:highlight w:val="none"/>
              </w:rPr>
            </w:pPr>
            <w:r>
              <w:rPr>
                <w:rFonts w:ascii="宋体" w:hAnsi="宋体" w:cs="宋体"/>
                <w:b/>
                <w:color w:val="auto"/>
                <w:kern w:val="0"/>
                <w:sz w:val="24"/>
                <w:highlight w:val="none"/>
              </w:rPr>
              <w:t>明细</w:t>
            </w:r>
          </w:p>
        </w:tc>
      </w:tr>
      <w:tr w14:paraId="1D87F5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vAlign w:val="center"/>
          </w:tcPr>
          <w:p w14:paraId="2F3D43BD">
            <w:pPr>
              <w:widowControl/>
              <w:spacing w:line="300" w:lineRule="auto"/>
              <w:jc w:val="left"/>
              <w:rPr>
                <w:color w:val="auto"/>
                <w:highlight w:val="none"/>
              </w:rPr>
            </w:pPr>
            <w:r>
              <w:rPr>
                <w:rFonts w:hint="eastAsia" w:ascii="宋体" w:hAnsi="宋体" w:cs="宋体"/>
                <w:color w:val="auto"/>
                <w:kern w:val="0"/>
                <w:sz w:val="24"/>
                <w:highlight w:val="none"/>
              </w:rPr>
              <w:t>符合招标文件要求。</w:t>
            </w:r>
          </w:p>
        </w:tc>
      </w:tr>
    </w:tbl>
    <w:p w14:paraId="0FA1ADB2">
      <w:pPr>
        <w:widowControl/>
        <w:spacing w:line="300" w:lineRule="auto"/>
        <w:jc w:val="left"/>
        <w:rPr>
          <w:rFonts w:ascii="宋体" w:hAnsi="宋体" w:cs="宋体"/>
          <w:color w:val="auto"/>
          <w:kern w:val="0"/>
          <w:sz w:val="24"/>
          <w:highlight w:val="none"/>
        </w:rPr>
      </w:pPr>
    </w:p>
    <w:p w14:paraId="1A7AC10A">
      <w:pPr>
        <w:widowControl/>
        <w:spacing w:line="300" w:lineRule="auto"/>
        <w:jc w:val="left"/>
        <w:rPr>
          <w:rFonts w:ascii="宋体" w:hAnsi="宋体" w:cs="宋体"/>
          <w:color w:val="auto"/>
          <w:kern w:val="0"/>
          <w:sz w:val="24"/>
          <w:highlight w:val="none"/>
        </w:rPr>
      </w:pPr>
      <w:r>
        <w:rPr>
          <w:rFonts w:ascii="宋体" w:hAnsi="宋体" w:cs="宋体"/>
          <w:color w:val="auto"/>
          <w:kern w:val="0"/>
          <w:sz w:val="24"/>
          <w:highlight w:val="none"/>
        </w:rPr>
        <w:t>附加符合性</w:t>
      </w:r>
    </w:p>
    <w:p w14:paraId="6D31FE80">
      <w:pPr>
        <w:widowControl/>
        <w:spacing w:line="300" w:lineRule="auto"/>
        <w:jc w:val="left"/>
        <w:rPr>
          <w:rStyle w:val="18"/>
          <w:rFonts w:ascii="宋体" w:hAnsi="宋体" w:cs="宋体"/>
          <w:color w:val="auto"/>
          <w:kern w:val="0"/>
          <w:sz w:val="24"/>
          <w:highlight w:val="none"/>
        </w:rPr>
      </w:pPr>
      <w:r>
        <w:rPr>
          <w:rStyle w:val="18"/>
          <w:rFonts w:ascii="宋体" w:hAnsi="宋体" w:cs="宋体"/>
          <w:color w:val="auto"/>
          <w:kern w:val="0"/>
          <w:sz w:val="24"/>
          <w:highlight w:val="none"/>
        </w:rPr>
        <w:t>         无</w:t>
      </w:r>
    </w:p>
    <w:p w14:paraId="4048B0CA">
      <w:pPr>
        <w:widowControl/>
        <w:spacing w:line="300" w:lineRule="auto"/>
        <w:jc w:val="left"/>
        <w:rPr>
          <w:rStyle w:val="18"/>
          <w:rFonts w:ascii="宋体" w:hAnsi="宋体" w:cs="宋体"/>
          <w:color w:val="auto"/>
          <w:kern w:val="0"/>
          <w:sz w:val="24"/>
          <w:highlight w:val="none"/>
        </w:rPr>
      </w:pPr>
    </w:p>
    <w:p w14:paraId="77047E60">
      <w:pPr>
        <w:widowControl/>
        <w:spacing w:line="300" w:lineRule="auto"/>
        <w:jc w:val="left"/>
        <w:rPr>
          <w:color w:val="auto"/>
          <w:highlight w:val="none"/>
        </w:rPr>
      </w:pPr>
      <w:r>
        <w:rPr>
          <w:rFonts w:ascii="宋体" w:hAnsi="宋体" w:cs="宋体"/>
          <w:color w:val="auto"/>
          <w:kern w:val="0"/>
          <w:sz w:val="24"/>
          <w:highlight w:val="none"/>
        </w:rPr>
        <w:t>价格符合性</w:t>
      </w:r>
    </w:p>
    <w:p w14:paraId="46C922D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6.3澄清有关问题</w:t>
      </w:r>
    </w:p>
    <w:p w14:paraId="4578D333">
      <w:pPr>
        <w:pStyle w:val="13"/>
        <w:widowControl/>
        <w:spacing w:before="75" w:beforeAutospacing="0" w:after="75" w:afterAutospacing="0" w:line="300" w:lineRule="auto"/>
        <w:ind w:firstLine="420"/>
        <w:rPr>
          <w:color w:val="auto"/>
          <w:highlight w:val="none"/>
        </w:rPr>
      </w:pPr>
      <w:r>
        <w:rPr>
          <w:rFonts w:hint="eastAsia" w:ascii="宋体" w:hAnsi="宋体" w:cs="宋体"/>
          <w:color w:val="auto"/>
          <w:highlight w:val="none"/>
        </w:rPr>
        <w:t>（1）对通过符合性审查的投标文件中含义不明确、同类问题表述不一致或有明显文字和计算错误的内容，评标委员会将以书面形式要求投标人作出必要的澄清、说明或补正。</w:t>
      </w:r>
    </w:p>
    <w:p w14:paraId="504A782E">
      <w:pPr>
        <w:pStyle w:val="13"/>
        <w:widowControl/>
        <w:spacing w:before="75" w:beforeAutospacing="0" w:after="75" w:afterAutospacing="0" w:line="300" w:lineRule="auto"/>
        <w:ind w:firstLine="420"/>
        <w:rPr>
          <w:color w:val="auto"/>
          <w:highlight w:val="none"/>
        </w:rPr>
      </w:pPr>
      <w:r>
        <w:rPr>
          <w:rFonts w:hint="eastAsia" w:ascii="宋体" w:hAnsi="宋体" w:cs="宋体"/>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657287B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（3）投标文件报价出现前后不一致的，除招标文件另有规定外，按照下列规定修正：</w:t>
      </w:r>
    </w:p>
    <w:p w14:paraId="40FDB916">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①开标一览表内容与投标文件中相应内容不一致的，以开标一览表为准；</w:t>
      </w:r>
    </w:p>
    <w:p w14:paraId="0B86A053">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②大写金额和小写金额不一致的，以大写金额为准；</w:t>
      </w:r>
    </w:p>
    <w:p w14:paraId="5AE28892">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③单价金额小数点或百分比有明显错位的，以开标一览表的总价为准，并修改单价；</w:t>
      </w:r>
    </w:p>
    <w:p w14:paraId="65FDB8C2">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④总价金额与按照单价汇总金额不一致的，以单价金额计算结果为准。</w:t>
      </w:r>
    </w:p>
    <w:p w14:paraId="5468EC58">
      <w:pPr>
        <w:pStyle w:val="13"/>
        <w:widowControl/>
        <w:spacing w:before="75" w:beforeAutospacing="0" w:after="75" w:afterAutospacing="0" w:line="300" w:lineRule="auto"/>
        <w:ind w:firstLine="480"/>
        <w:rPr>
          <w:color w:val="auto"/>
          <w:highlight w:val="none"/>
        </w:rPr>
      </w:pPr>
      <w:r>
        <w:rPr>
          <w:rStyle w:val="18"/>
          <w:rFonts w:hint="eastAsia" w:ascii="宋体" w:hAnsi="宋体" w:cs="宋体"/>
          <w:color w:val="auto"/>
          <w:highlight w:val="none"/>
        </w:rPr>
        <w:t>※同时出现两种以上不一致的，按照前款规定的顺序修正。修正后的报价应按照本章第</w:t>
      </w:r>
      <w:r>
        <w:rPr>
          <w:rStyle w:val="18"/>
          <w:rFonts w:cs="Calibri"/>
          <w:color w:val="auto"/>
          <w:highlight w:val="none"/>
        </w:rPr>
        <w:t>6.3</w:t>
      </w:r>
      <w:r>
        <w:rPr>
          <w:rStyle w:val="18"/>
          <w:rFonts w:hint="eastAsia" w:ascii="宋体" w:hAnsi="宋体" w:cs="宋体"/>
          <w:color w:val="auto"/>
          <w:highlight w:val="none"/>
        </w:rPr>
        <w:t>条第（</w:t>
      </w:r>
      <w:r>
        <w:rPr>
          <w:rStyle w:val="18"/>
          <w:rFonts w:cs="Calibri"/>
          <w:color w:val="auto"/>
          <w:highlight w:val="none"/>
        </w:rPr>
        <w:t>1</w:t>
      </w:r>
      <w:r>
        <w:rPr>
          <w:rStyle w:val="18"/>
          <w:rFonts w:hint="eastAsia" w:ascii="宋体" w:hAnsi="宋体" w:cs="宋体"/>
          <w:color w:val="auto"/>
          <w:highlight w:val="none"/>
        </w:rPr>
        <w:t>）、（</w:t>
      </w:r>
      <w:r>
        <w:rPr>
          <w:rStyle w:val="18"/>
          <w:rFonts w:cs="Calibri"/>
          <w:color w:val="auto"/>
          <w:highlight w:val="none"/>
        </w:rPr>
        <w:t>2</w:t>
      </w:r>
      <w:r>
        <w:rPr>
          <w:rStyle w:val="18"/>
          <w:rFonts w:hint="eastAsia" w:ascii="宋体" w:hAnsi="宋体" w:cs="宋体"/>
          <w:color w:val="auto"/>
          <w:highlight w:val="none"/>
        </w:rPr>
        <w:t>）款规定经投标人确认后产生约束力，投标人不确认的，其投标无效。</w:t>
      </w:r>
    </w:p>
    <w:p w14:paraId="664F446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（4）关于细微偏差</w:t>
      </w:r>
    </w:p>
    <w:p w14:paraId="485C5C3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0D784886">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②评标委员会将以书面形式要求存在细微偏差的投标人在评标委员会规定的时间内予以补正。若无法补正，则评标委员会将按照不利于投标人的内容进行认定。</w:t>
      </w:r>
    </w:p>
    <w:p w14:paraId="775F585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（5）关于投标描述（即投标文件中描述的内容）</w:t>
      </w:r>
    </w:p>
    <w:p w14:paraId="7EB33119">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①投标描述前后不一致且不涉及证明材料的：按照本章第</w:t>
      </w:r>
      <w:r>
        <w:rPr>
          <w:rFonts w:cs="Calibri"/>
          <w:color w:val="auto"/>
          <w:highlight w:val="none"/>
        </w:rPr>
        <w:t>6.3</w:t>
      </w:r>
      <w:r>
        <w:rPr>
          <w:rFonts w:hint="eastAsia" w:ascii="宋体" w:hAnsi="宋体" w:cs="宋体"/>
          <w:color w:val="auto"/>
          <w:highlight w:val="none"/>
        </w:rPr>
        <w:t>条第（</w:t>
      </w:r>
      <w:r>
        <w:rPr>
          <w:rFonts w:cs="Calibri"/>
          <w:color w:val="auto"/>
          <w:highlight w:val="none"/>
        </w:rPr>
        <w:t>1</w:t>
      </w:r>
      <w:r>
        <w:rPr>
          <w:rFonts w:hint="eastAsia" w:ascii="宋体" w:hAnsi="宋体" w:cs="宋体"/>
          <w:color w:val="auto"/>
          <w:highlight w:val="none"/>
        </w:rPr>
        <w:t>）、（</w:t>
      </w:r>
      <w:r>
        <w:rPr>
          <w:rFonts w:cs="Calibri"/>
          <w:color w:val="auto"/>
          <w:highlight w:val="none"/>
        </w:rPr>
        <w:t>2</w:t>
      </w:r>
      <w:r>
        <w:rPr>
          <w:rFonts w:hint="eastAsia" w:ascii="宋体" w:hAnsi="宋体" w:cs="宋体"/>
          <w:color w:val="auto"/>
          <w:highlight w:val="none"/>
        </w:rPr>
        <w:t>）款规定执行。</w:t>
      </w:r>
    </w:p>
    <w:p w14:paraId="6C574EA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②投标描述与证明材料不一致或多份证明材料之间不一致的：</w:t>
      </w:r>
    </w:p>
    <w:p w14:paraId="0BD5C6B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a.评标委员会将要求投标人进行书面澄清，并按照不利于投标人的内容进行评标。</w:t>
      </w:r>
    </w:p>
    <w:p w14:paraId="185CC870">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87A9FA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029E74F">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6.4比较与评价</w:t>
      </w:r>
    </w:p>
    <w:p w14:paraId="7AB26FF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（1）按照本章第</w:t>
      </w:r>
      <w:r>
        <w:rPr>
          <w:rFonts w:cs="Calibri"/>
          <w:color w:val="auto"/>
          <w:highlight w:val="none"/>
        </w:rPr>
        <w:t>7</w:t>
      </w:r>
      <w:r>
        <w:rPr>
          <w:rFonts w:hint="eastAsia" w:ascii="宋体" w:hAnsi="宋体" w:cs="宋体"/>
          <w:color w:val="auto"/>
          <w:highlight w:val="none"/>
        </w:rPr>
        <w:t>条载明的评标方法和标准，对符合性审查合格的投标文件进行比较与评价。</w:t>
      </w:r>
    </w:p>
    <w:p w14:paraId="1BCE804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（2）关于相同品牌产品</w:t>
      </w:r>
      <w:r>
        <w:rPr>
          <w:rStyle w:val="18"/>
          <w:rFonts w:hint="eastAsia" w:ascii="宋体" w:hAnsi="宋体" w:cs="宋体"/>
          <w:color w:val="auto"/>
          <w:highlight w:val="none"/>
        </w:rPr>
        <w:t>（政府采购服务类项目不适用本条款规定）</w:t>
      </w:r>
    </w:p>
    <w:p w14:paraId="1E0763CF">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887CC67">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a.招标文件规定的方式：</w:t>
      </w:r>
      <w:r>
        <w:rPr>
          <w:color w:val="auto"/>
          <w:highlight w:val="none"/>
          <w:u w:val="single"/>
        </w:rPr>
        <w:t>无</w:t>
      </w:r>
      <w:r>
        <w:rPr>
          <w:rFonts w:hint="eastAsia" w:ascii="宋体" w:hAnsi="宋体" w:cs="宋体"/>
          <w:color w:val="auto"/>
          <w:highlight w:val="none"/>
        </w:rPr>
        <w:t>。</w:t>
      </w:r>
    </w:p>
    <w:p w14:paraId="1F2A98F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b.招标文件未规定的，采取随机抽取方式确定，其他</w:t>
      </w:r>
      <w:r>
        <w:rPr>
          <w:rStyle w:val="18"/>
          <w:rFonts w:hint="eastAsia" w:ascii="宋体" w:hAnsi="宋体" w:cs="宋体"/>
          <w:color w:val="auto"/>
          <w:highlight w:val="none"/>
        </w:rPr>
        <w:t>投标无效。</w:t>
      </w:r>
    </w:p>
    <w:p w14:paraId="2A4169A6">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2520C02">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a.招标文件规定的方式：</w:t>
      </w:r>
      <w:r>
        <w:rPr>
          <w:color w:val="auto"/>
          <w:highlight w:val="none"/>
          <w:u w:val="single"/>
        </w:rPr>
        <w:t>无</w:t>
      </w:r>
      <w:r>
        <w:rPr>
          <w:rFonts w:hint="eastAsia" w:ascii="宋体" w:hAnsi="宋体" w:cs="宋体"/>
          <w:color w:val="auto"/>
          <w:highlight w:val="none"/>
        </w:rPr>
        <w:t>。</w:t>
      </w:r>
    </w:p>
    <w:p w14:paraId="7DD71793">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b.招标文件未规定的，采取随机抽取方式确定，其他同品牌投标人不作为中标候选人。</w:t>
      </w:r>
    </w:p>
    <w:p w14:paraId="65E0EA6A">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③非单一产品采购项目，多家投标人提供的核心产品品牌相同的，按照本章第</w:t>
      </w:r>
      <w:r>
        <w:rPr>
          <w:rFonts w:cs="Calibri"/>
          <w:color w:val="auto"/>
          <w:highlight w:val="none"/>
        </w:rPr>
        <w:t>6.4</w:t>
      </w:r>
      <w:r>
        <w:rPr>
          <w:rFonts w:hint="eastAsia" w:ascii="宋体" w:hAnsi="宋体" w:cs="宋体"/>
          <w:color w:val="auto"/>
          <w:highlight w:val="none"/>
        </w:rPr>
        <w:t>条第（</w:t>
      </w:r>
      <w:r>
        <w:rPr>
          <w:rFonts w:cs="Calibri"/>
          <w:color w:val="auto"/>
          <w:highlight w:val="none"/>
        </w:rPr>
        <w:t>2</w:t>
      </w:r>
      <w:r>
        <w:rPr>
          <w:rFonts w:hint="eastAsia" w:ascii="宋体" w:hAnsi="宋体" w:cs="宋体"/>
          <w:color w:val="auto"/>
          <w:highlight w:val="none"/>
        </w:rPr>
        <w:t>）款第①、②规定处理。</w:t>
      </w:r>
    </w:p>
    <w:p w14:paraId="72E773CD">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（3）漏（缺）项</w:t>
      </w:r>
    </w:p>
    <w:p w14:paraId="5E55228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①招标文件中要求列入报价的费用（含配置、功能），漏（缺）项的报价视为已经包括在投标总价中。</w:t>
      </w:r>
    </w:p>
    <w:p w14:paraId="2701E7E8">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②对多报项及赠送项的价格评标时不予核减，全部进入评标价评议。</w:t>
      </w:r>
    </w:p>
    <w:p w14:paraId="65D80296">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6.5推荐中标候选人：详见本章第</w:t>
      </w:r>
      <w:r>
        <w:rPr>
          <w:rFonts w:cs="Calibri"/>
          <w:color w:val="auto"/>
          <w:highlight w:val="none"/>
        </w:rPr>
        <w:t>7.2</w:t>
      </w:r>
      <w:r>
        <w:rPr>
          <w:rFonts w:hint="eastAsia" w:ascii="宋体" w:hAnsi="宋体" w:cs="宋体"/>
          <w:color w:val="auto"/>
          <w:highlight w:val="none"/>
        </w:rPr>
        <w:t>条规定。</w:t>
      </w:r>
    </w:p>
    <w:p w14:paraId="0172091F">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6.6编写评标报告</w:t>
      </w:r>
    </w:p>
    <w:p w14:paraId="5A76122A">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（1）评标报告由评标委员会负责编写。</w:t>
      </w:r>
    </w:p>
    <w:p w14:paraId="0933E358">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（2）评标报告应包括下列内容：</w:t>
      </w:r>
    </w:p>
    <w:p w14:paraId="175C8F3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①招标公告刊登的媒体名称、开标日期和地点；</w:t>
      </w:r>
    </w:p>
    <w:p w14:paraId="74593700">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②投标人名单和评标委员会成员名单；</w:t>
      </w:r>
    </w:p>
    <w:p w14:paraId="759797C9">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③评标方法和标准；</w:t>
      </w:r>
    </w:p>
    <w:p w14:paraId="58A936E2">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④开标记录和评标情况及说明，包括无效投标人名单及原因；</w:t>
      </w:r>
    </w:p>
    <w:p w14:paraId="4EDAAAE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⑤评标结果，包括中标候选人名单或确定的中标人；</w:t>
      </w:r>
    </w:p>
    <w:p w14:paraId="7EE86034">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⑥其他需要说明的情况，包括但不限于：评标过程中投标人的澄清、说明或补正，评委更换等。</w:t>
      </w:r>
    </w:p>
    <w:p w14:paraId="4AF7DF4E">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8"/>
          <w:rFonts w:hint="eastAsia" w:ascii="宋体" w:hAnsi="宋体" w:cs="宋体"/>
          <w:color w:val="auto"/>
          <w:highlight w:val="none"/>
        </w:rPr>
        <w:t>投标无效</w:t>
      </w:r>
      <w:r>
        <w:rPr>
          <w:rFonts w:hint="eastAsia" w:ascii="宋体" w:hAnsi="宋体" w:cs="宋体"/>
          <w:color w:val="auto"/>
          <w:highlight w:val="none"/>
        </w:rPr>
        <w:t>处理。</w:t>
      </w:r>
    </w:p>
    <w:p w14:paraId="4616ED6D">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6.8评委对需要共同认定的事项存在争议的，应按照少数服从多数的原则进行认定。</w:t>
      </w:r>
      <w:r>
        <w:rPr>
          <w:rStyle w:val="18"/>
          <w:rFonts w:hint="eastAsia" w:ascii="宋体" w:hAnsi="宋体" w:cs="宋体"/>
          <w:color w:val="auto"/>
          <w:highlight w:val="none"/>
        </w:rPr>
        <w:t>持不同意见的评委应在评标报告上签署不同意见及理由，否则视为同意评标报告。</w:t>
      </w:r>
    </w:p>
    <w:p w14:paraId="38FD14A0">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6.9在评标过程中发现投标人有下列情形之一的，评标委员会应认定其</w:t>
      </w:r>
      <w:r>
        <w:rPr>
          <w:rStyle w:val="18"/>
          <w:rFonts w:hint="eastAsia" w:ascii="宋体" w:hAnsi="宋体" w:cs="宋体"/>
          <w:color w:val="auto"/>
          <w:highlight w:val="none"/>
        </w:rPr>
        <w:t>投标无效</w:t>
      </w:r>
      <w:r>
        <w:rPr>
          <w:rFonts w:hint="eastAsia" w:ascii="宋体" w:hAnsi="宋体" w:cs="宋体"/>
          <w:color w:val="auto"/>
          <w:highlight w:val="none"/>
        </w:rPr>
        <w:t>，并书面报告本项目监督管理部门：</w:t>
      </w:r>
    </w:p>
    <w:p w14:paraId="7290644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（1）恶意串通（包括但不限于招标文件第三章第</w:t>
      </w:r>
      <w:r>
        <w:rPr>
          <w:rFonts w:cs="Calibri"/>
          <w:color w:val="auto"/>
          <w:highlight w:val="none"/>
        </w:rPr>
        <w:t>9.7</w:t>
      </w:r>
      <w:r>
        <w:rPr>
          <w:rFonts w:hint="eastAsia" w:ascii="宋体" w:hAnsi="宋体" w:cs="宋体"/>
          <w:color w:val="auto"/>
          <w:highlight w:val="none"/>
        </w:rPr>
        <w:t>条规定情形）；</w:t>
      </w:r>
    </w:p>
    <w:p w14:paraId="0B3B9AA2">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（2）妨碍其他投标人的竞争行为；</w:t>
      </w:r>
    </w:p>
    <w:p w14:paraId="0DC9BF27">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（3）损害采购人或其他投标人的合法权益。</w:t>
      </w:r>
    </w:p>
    <w:p w14:paraId="2A2017E3">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6.10评标过程中，有下列情形之一的，应予废标：</w:t>
      </w:r>
    </w:p>
    <w:p w14:paraId="6583EEED">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（1）符合性审查合格的投标人不足三家的；</w:t>
      </w:r>
    </w:p>
    <w:p w14:paraId="5D5FDBC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（2）有关法律、法规和规章规定废标的情形。</w:t>
      </w:r>
    </w:p>
    <w:p w14:paraId="749F4F2A">
      <w:pPr>
        <w:pStyle w:val="13"/>
        <w:widowControl/>
        <w:spacing w:before="75" w:beforeAutospacing="0" w:after="75" w:afterAutospacing="0" w:line="300" w:lineRule="auto"/>
        <w:ind w:firstLine="480"/>
        <w:rPr>
          <w:color w:val="auto"/>
          <w:highlight w:val="none"/>
        </w:rPr>
      </w:pPr>
      <w:r>
        <w:rPr>
          <w:rStyle w:val="18"/>
          <w:rFonts w:hint="eastAsia" w:ascii="宋体" w:hAnsi="宋体" w:cs="宋体"/>
          <w:color w:val="auto"/>
          <w:highlight w:val="none"/>
        </w:rPr>
        <w:t>※若废标，则本次采购活动结束，</w:t>
      </w:r>
      <w:r>
        <w:rPr>
          <w:rFonts w:hint="eastAsia" w:ascii="宋体" w:hAnsi="宋体" w:cs="宋体"/>
          <w:color w:val="auto"/>
          <w:highlight w:val="none"/>
          <w:u w:val="single"/>
        </w:rPr>
        <w:t>泉州市新开源项目咨询有限公司</w:t>
      </w:r>
      <w:r>
        <w:rPr>
          <w:rStyle w:val="18"/>
          <w:rFonts w:hint="eastAsia" w:ascii="宋体" w:hAnsi="宋体" w:cs="宋体"/>
          <w:color w:val="auto"/>
          <w:highlight w:val="none"/>
        </w:rPr>
        <w:t>将依法组织后续采购活动（包括但不限于：重新招标、采用其他方式采购等）。</w:t>
      </w:r>
    </w:p>
    <w:p w14:paraId="208224F0">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7、评标方法和标准</w:t>
      </w:r>
    </w:p>
    <w:p w14:paraId="2C8EC48D">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7.1评标方法：</w:t>
      </w:r>
      <w:r>
        <w:rPr>
          <w:color w:val="auto"/>
          <w:highlight w:val="none"/>
        </w:rPr>
        <w:t> 合同包1采用</w:t>
      </w:r>
      <w:r>
        <w:rPr>
          <w:rFonts w:hint="eastAsia"/>
          <w:color w:val="auto"/>
          <w:highlight w:val="none"/>
        </w:rPr>
        <w:t>综合评分法</w:t>
      </w:r>
      <w:r>
        <w:rPr>
          <w:color w:val="auto"/>
          <w:highlight w:val="none"/>
        </w:rPr>
        <w:t>。</w:t>
      </w:r>
    </w:p>
    <w:p w14:paraId="69286E7F">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7.2评标标准</w:t>
      </w:r>
    </w:p>
    <w:p w14:paraId="7A5B3E1F">
      <w:pPr>
        <w:pStyle w:val="13"/>
        <w:widowControl/>
        <w:shd w:val="clear" w:color="050000" w:fill="FFFFFF"/>
        <w:spacing w:beforeAutospacing="0" w:after="150" w:afterAutospacing="0"/>
        <w:rPr>
          <w:rFonts w:ascii="微软雅黑" w:hAnsi="微软雅黑" w:eastAsia="微软雅黑" w:cs="微软雅黑"/>
          <w:color w:val="auto"/>
          <w:sz w:val="19"/>
          <w:szCs w:val="19"/>
          <w:highlight w:val="none"/>
        </w:rPr>
      </w:pPr>
      <w:r>
        <w:rPr>
          <w:rFonts w:hint="eastAsia" w:ascii="宋体" w:hAnsi="宋体" w:cs="宋体"/>
          <w:color w:val="auto"/>
          <w:highlight w:val="none"/>
        </w:rPr>
        <w:t> </w:t>
      </w:r>
      <w:r>
        <w:rPr>
          <w:rStyle w:val="18"/>
          <w:rFonts w:hint="eastAsia" w:ascii="宋体" w:hAnsi="宋体" w:cs="宋体"/>
          <w:color w:val="auto"/>
          <w:highlight w:val="none"/>
          <w:shd w:val="clear" w:color="060000" w:fill="FFFFFF"/>
        </w:rPr>
        <w:t>合同包1采用综合评分法</w:t>
      </w:r>
      <w:r>
        <w:rPr>
          <w:rFonts w:hint="eastAsia" w:ascii="宋体" w:hAnsi="宋体" w:cs="宋体"/>
          <w:color w:val="auto"/>
          <w:highlight w:val="none"/>
          <w:shd w:val="clear" w:color="040000" w:fill="FFFFFF"/>
        </w:rPr>
        <w:t>：</w:t>
      </w:r>
    </w:p>
    <w:p w14:paraId="076510AC">
      <w:pPr>
        <w:pStyle w:val="13"/>
        <w:widowControl/>
        <w:spacing w:beforeAutospacing="0" w:after="150" w:afterAutospacing="0"/>
        <w:ind w:firstLine="480"/>
        <w:rPr>
          <w:color w:val="auto"/>
          <w:highlight w:val="none"/>
        </w:rPr>
      </w:pPr>
      <w:r>
        <w:rPr>
          <w:rFonts w:hint="eastAsia" w:ascii="宋体" w:hAnsi="宋体" w:cs="宋体"/>
          <w:color w:val="auto"/>
          <w:highlight w:val="none"/>
        </w:rPr>
        <w:t>（1）投标文件满足招标文件全部实质性要求，且按照评审因素的量化指标评审得分（即评标总得分）最高的投标人为中标候选人。</w:t>
      </w:r>
    </w:p>
    <w:p w14:paraId="7A3DDE68">
      <w:pPr>
        <w:pStyle w:val="13"/>
        <w:widowControl/>
        <w:spacing w:beforeAutospacing="0" w:after="150" w:afterAutospacing="0"/>
        <w:ind w:firstLine="480"/>
        <w:rPr>
          <w:color w:val="auto"/>
          <w:highlight w:val="none"/>
        </w:rPr>
      </w:pPr>
      <w:r>
        <w:rPr>
          <w:rFonts w:hint="eastAsia" w:ascii="宋体" w:hAnsi="宋体" w:cs="宋体"/>
          <w:color w:val="auto"/>
          <w:highlight w:val="none"/>
        </w:rPr>
        <w:t>（2）每个投标人的评标总得分</w:t>
      </w:r>
      <w:r>
        <w:rPr>
          <w:rFonts w:cs="Calibri"/>
          <w:color w:val="auto"/>
          <w:highlight w:val="none"/>
        </w:rPr>
        <w:t>FA</w:t>
      </w:r>
      <w:r>
        <w:rPr>
          <w:rFonts w:hint="eastAsia" w:ascii="宋体" w:hAnsi="宋体" w:cs="宋体"/>
          <w:color w:val="auto"/>
          <w:highlight w:val="none"/>
        </w:rPr>
        <w:t>＝</w:t>
      </w:r>
      <w:r>
        <w:rPr>
          <w:rFonts w:cs="Calibri"/>
          <w:color w:val="auto"/>
          <w:highlight w:val="none"/>
        </w:rPr>
        <w:t>F1</w:t>
      </w:r>
      <w:r>
        <w:rPr>
          <w:rFonts w:hint="eastAsia" w:ascii="宋体" w:hAnsi="宋体" w:cs="宋体"/>
          <w:color w:val="auto"/>
          <w:highlight w:val="none"/>
        </w:rPr>
        <w:t>×</w:t>
      </w:r>
      <w:r>
        <w:rPr>
          <w:rFonts w:cs="Calibri"/>
          <w:color w:val="auto"/>
          <w:highlight w:val="none"/>
        </w:rPr>
        <w:t>A1</w:t>
      </w:r>
      <w:r>
        <w:rPr>
          <w:rFonts w:hint="eastAsia" w:ascii="宋体" w:hAnsi="宋体" w:cs="宋体"/>
          <w:color w:val="auto"/>
          <w:highlight w:val="none"/>
        </w:rPr>
        <w:t>＋</w:t>
      </w:r>
      <w:r>
        <w:rPr>
          <w:rFonts w:cs="Calibri"/>
          <w:color w:val="auto"/>
          <w:highlight w:val="none"/>
        </w:rPr>
        <w:t>F2</w:t>
      </w:r>
      <w:r>
        <w:rPr>
          <w:rFonts w:hint="eastAsia" w:ascii="宋体" w:hAnsi="宋体" w:cs="宋体"/>
          <w:color w:val="auto"/>
          <w:highlight w:val="none"/>
        </w:rPr>
        <w:t>×</w:t>
      </w:r>
      <w:r>
        <w:rPr>
          <w:rFonts w:cs="Calibri"/>
          <w:color w:val="auto"/>
          <w:highlight w:val="none"/>
        </w:rPr>
        <w:t>A2</w:t>
      </w:r>
      <w:r>
        <w:rPr>
          <w:rFonts w:hint="eastAsia" w:ascii="宋体" w:hAnsi="宋体" w:cs="宋体"/>
          <w:color w:val="auto"/>
          <w:highlight w:val="none"/>
        </w:rPr>
        <w:t>＋</w:t>
      </w:r>
      <w:r>
        <w:rPr>
          <w:rFonts w:cs="Calibri"/>
          <w:color w:val="auto"/>
          <w:highlight w:val="none"/>
        </w:rPr>
        <w:t>F3</w:t>
      </w:r>
      <w:r>
        <w:rPr>
          <w:rFonts w:hint="eastAsia" w:ascii="宋体" w:hAnsi="宋体" w:cs="宋体"/>
          <w:color w:val="auto"/>
          <w:highlight w:val="none"/>
        </w:rPr>
        <w:t>×</w:t>
      </w:r>
      <w:r>
        <w:rPr>
          <w:rFonts w:cs="Calibri"/>
          <w:color w:val="auto"/>
          <w:highlight w:val="none"/>
        </w:rPr>
        <w:t>A3</w:t>
      </w:r>
      <w:r>
        <w:rPr>
          <w:rFonts w:hint="eastAsia" w:ascii="宋体" w:hAnsi="宋体" w:cs="宋体"/>
          <w:color w:val="auto"/>
          <w:highlight w:val="none"/>
        </w:rPr>
        <w:t>＋</w:t>
      </w:r>
      <w:r>
        <w:rPr>
          <w:rFonts w:cs="Calibri"/>
          <w:color w:val="auto"/>
          <w:highlight w:val="none"/>
        </w:rPr>
        <w:t>F4</w:t>
      </w:r>
      <w:r>
        <w:rPr>
          <w:rFonts w:hint="eastAsia" w:ascii="宋体" w:hAnsi="宋体" w:cs="宋体"/>
          <w:color w:val="auto"/>
          <w:highlight w:val="none"/>
        </w:rPr>
        <w:t>×</w:t>
      </w:r>
      <w:r>
        <w:rPr>
          <w:rFonts w:cs="Calibri"/>
          <w:color w:val="auto"/>
          <w:highlight w:val="none"/>
        </w:rPr>
        <w:t>A4</w:t>
      </w:r>
      <w:r>
        <w:rPr>
          <w:rFonts w:hint="eastAsia" w:ascii="宋体" w:hAnsi="宋体" w:cs="宋体"/>
          <w:color w:val="auto"/>
          <w:highlight w:val="none"/>
        </w:rPr>
        <w:t>（若有），其中：</w:t>
      </w:r>
      <w:r>
        <w:rPr>
          <w:rFonts w:cs="Calibri"/>
          <w:color w:val="auto"/>
          <w:highlight w:val="none"/>
        </w:rPr>
        <w:t>F1</w:t>
      </w:r>
      <w:r>
        <w:rPr>
          <w:rFonts w:hint="eastAsia" w:ascii="宋体" w:hAnsi="宋体" w:cs="宋体"/>
          <w:color w:val="auto"/>
          <w:highlight w:val="none"/>
        </w:rPr>
        <w:t>指价格项评审因素得分、</w:t>
      </w:r>
      <w:r>
        <w:rPr>
          <w:rFonts w:cs="Calibri"/>
          <w:color w:val="auto"/>
          <w:highlight w:val="none"/>
        </w:rPr>
        <w:t>F2</w:t>
      </w:r>
      <w:r>
        <w:rPr>
          <w:rFonts w:hint="eastAsia" w:ascii="宋体" w:hAnsi="宋体" w:cs="宋体"/>
          <w:color w:val="auto"/>
          <w:highlight w:val="none"/>
        </w:rPr>
        <w:t>指技术项评审因素得分、</w:t>
      </w:r>
      <w:r>
        <w:rPr>
          <w:rFonts w:cs="Calibri"/>
          <w:color w:val="auto"/>
          <w:highlight w:val="none"/>
        </w:rPr>
        <w:t>F3</w:t>
      </w:r>
      <w:r>
        <w:rPr>
          <w:rFonts w:hint="eastAsia" w:ascii="宋体" w:hAnsi="宋体" w:cs="宋体"/>
          <w:color w:val="auto"/>
          <w:highlight w:val="none"/>
        </w:rPr>
        <w:t>指商务项评审因素得分，</w:t>
      </w:r>
      <w:r>
        <w:rPr>
          <w:rFonts w:cs="Calibri"/>
          <w:color w:val="auto"/>
          <w:highlight w:val="none"/>
        </w:rPr>
        <w:t>A1</w:t>
      </w:r>
      <w:r>
        <w:rPr>
          <w:rFonts w:hint="eastAsia" w:ascii="宋体" w:hAnsi="宋体" w:cs="宋体"/>
          <w:color w:val="auto"/>
          <w:highlight w:val="none"/>
        </w:rPr>
        <w:t>指价格项评审因素所占的权重、</w:t>
      </w:r>
      <w:r>
        <w:rPr>
          <w:rFonts w:cs="Calibri"/>
          <w:color w:val="auto"/>
          <w:highlight w:val="none"/>
        </w:rPr>
        <w:t>A2</w:t>
      </w:r>
      <w:r>
        <w:rPr>
          <w:rFonts w:hint="eastAsia" w:ascii="宋体" w:hAnsi="宋体" w:cs="宋体"/>
          <w:color w:val="auto"/>
          <w:highlight w:val="none"/>
        </w:rPr>
        <w:t>指技术项评审因素所占的权重、</w:t>
      </w:r>
      <w:r>
        <w:rPr>
          <w:rFonts w:cs="Calibri"/>
          <w:color w:val="auto"/>
          <w:highlight w:val="none"/>
        </w:rPr>
        <w:t>A3</w:t>
      </w:r>
      <w:r>
        <w:rPr>
          <w:rFonts w:hint="eastAsia" w:ascii="宋体" w:hAnsi="宋体" w:cs="宋体"/>
          <w:color w:val="auto"/>
          <w:highlight w:val="none"/>
        </w:rPr>
        <w:t>指商务项评审因素所占的权重，</w:t>
      </w:r>
      <w:r>
        <w:rPr>
          <w:rFonts w:cs="Calibri"/>
          <w:color w:val="auto"/>
          <w:highlight w:val="none"/>
        </w:rPr>
        <w:t>A1+A2+A3=1</w:t>
      </w:r>
      <w:r>
        <w:rPr>
          <w:rFonts w:hint="eastAsia" w:ascii="宋体" w:hAnsi="宋体" w:cs="宋体"/>
          <w:color w:val="auto"/>
          <w:highlight w:val="none"/>
        </w:rPr>
        <w:t>、</w:t>
      </w:r>
      <w:r>
        <w:rPr>
          <w:rFonts w:cs="Calibri"/>
          <w:color w:val="auto"/>
          <w:highlight w:val="none"/>
        </w:rPr>
        <w:t>F1</w:t>
      </w:r>
      <w:r>
        <w:rPr>
          <w:rFonts w:hint="eastAsia" w:ascii="宋体" w:hAnsi="宋体" w:cs="宋体"/>
          <w:color w:val="auto"/>
          <w:highlight w:val="none"/>
        </w:rPr>
        <w:t>×</w:t>
      </w:r>
      <w:r>
        <w:rPr>
          <w:rFonts w:cs="Calibri"/>
          <w:color w:val="auto"/>
          <w:highlight w:val="none"/>
        </w:rPr>
        <w:t>A1</w:t>
      </w:r>
      <w:r>
        <w:rPr>
          <w:rFonts w:hint="eastAsia" w:ascii="宋体" w:hAnsi="宋体" w:cs="宋体"/>
          <w:color w:val="auto"/>
          <w:highlight w:val="none"/>
        </w:rPr>
        <w:t>＋</w:t>
      </w:r>
      <w:r>
        <w:rPr>
          <w:rFonts w:cs="Calibri"/>
          <w:color w:val="auto"/>
          <w:highlight w:val="none"/>
        </w:rPr>
        <w:t>F2</w:t>
      </w:r>
      <w:r>
        <w:rPr>
          <w:rFonts w:hint="eastAsia" w:ascii="宋体" w:hAnsi="宋体" w:cs="宋体"/>
          <w:color w:val="auto"/>
          <w:highlight w:val="none"/>
        </w:rPr>
        <w:t>×</w:t>
      </w:r>
      <w:r>
        <w:rPr>
          <w:rFonts w:cs="Calibri"/>
          <w:color w:val="auto"/>
          <w:highlight w:val="none"/>
        </w:rPr>
        <w:t>A2</w:t>
      </w:r>
      <w:r>
        <w:rPr>
          <w:rFonts w:hint="eastAsia" w:ascii="宋体" w:hAnsi="宋体" w:cs="宋体"/>
          <w:color w:val="auto"/>
          <w:highlight w:val="none"/>
        </w:rPr>
        <w:t>＋</w:t>
      </w:r>
      <w:r>
        <w:rPr>
          <w:rFonts w:cs="Calibri"/>
          <w:color w:val="auto"/>
          <w:highlight w:val="none"/>
        </w:rPr>
        <w:t>F3</w:t>
      </w:r>
      <w:r>
        <w:rPr>
          <w:rFonts w:hint="eastAsia" w:ascii="宋体" w:hAnsi="宋体" w:cs="宋体"/>
          <w:color w:val="auto"/>
          <w:highlight w:val="none"/>
        </w:rPr>
        <w:t>×</w:t>
      </w:r>
      <w:r>
        <w:rPr>
          <w:rFonts w:cs="Calibri"/>
          <w:color w:val="auto"/>
          <w:highlight w:val="none"/>
        </w:rPr>
        <w:t>A3=100</w:t>
      </w:r>
      <w:r>
        <w:rPr>
          <w:rFonts w:hint="eastAsia" w:ascii="宋体" w:hAnsi="宋体" w:cs="宋体"/>
          <w:color w:val="auto"/>
          <w:highlight w:val="none"/>
        </w:rPr>
        <w:t>分（满分时），</w:t>
      </w:r>
      <w:r>
        <w:rPr>
          <w:rFonts w:cs="Calibri"/>
          <w:color w:val="auto"/>
          <w:highlight w:val="none"/>
        </w:rPr>
        <w:t>F4</w:t>
      </w:r>
      <w:r>
        <w:rPr>
          <w:rFonts w:hint="eastAsia" w:ascii="宋体" w:hAnsi="宋体" w:cs="宋体"/>
          <w:color w:val="auto"/>
          <w:highlight w:val="none"/>
        </w:rPr>
        <w:t>×</w:t>
      </w:r>
      <w:r>
        <w:rPr>
          <w:rFonts w:cs="Calibri"/>
          <w:color w:val="auto"/>
          <w:highlight w:val="none"/>
        </w:rPr>
        <w:t>A4</w:t>
      </w:r>
      <w:r>
        <w:rPr>
          <w:rFonts w:hint="eastAsia" w:ascii="宋体" w:hAnsi="宋体" w:cs="宋体"/>
          <w:color w:val="auto"/>
          <w:highlight w:val="none"/>
        </w:rPr>
        <w:t>为加分项（即优先类节能产品、环境标志产品在采购活动中可享有的加分优惠）。</w:t>
      </w:r>
    </w:p>
    <w:p w14:paraId="4D707271">
      <w:pPr>
        <w:pStyle w:val="13"/>
        <w:widowControl/>
        <w:spacing w:beforeAutospacing="0" w:after="150" w:afterAutospacing="0"/>
        <w:ind w:firstLine="480"/>
        <w:outlineLvl w:val="3"/>
        <w:rPr>
          <w:color w:val="auto"/>
          <w:highlight w:val="none"/>
        </w:rPr>
      </w:pPr>
      <w:r>
        <w:rPr>
          <w:rFonts w:hint="eastAsia" w:ascii="宋体" w:hAnsi="宋体" w:cs="宋体"/>
          <w:color w:val="auto"/>
          <w:highlight w:val="none"/>
        </w:rPr>
        <w:t>（3）各项评审因素的设置如下：</w:t>
      </w:r>
    </w:p>
    <w:p w14:paraId="0CF92975">
      <w:pPr>
        <w:pStyle w:val="13"/>
        <w:widowControl/>
        <w:spacing w:beforeAutospacing="0" w:after="150" w:afterAutospacing="0"/>
        <w:rPr>
          <w:rFonts w:ascii="宋体" w:hAnsi="宋体" w:cs="宋体"/>
          <w:color w:val="auto"/>
          <w:highlight w:val="none"/>
        </w:rPr>
      </w:pPr>
      <w:r>
        <w:rPr>
          <w:rFonts w:hint="eastAsia" w:ascii="宋体" w:hAnsi="宋体" w:cs="宋体"/>
          <w:color w:val="auto"/>
          <w:highlight w:val="none"/>
        </w:rPr>
        <w:t>①价格项（F1×A1）满分为</w:t>
      </w:r>
      <w:r>
        <w:rPr>
          <w:rFonts w:hint="eastAsia" w:ascii="宋体" w:hAnsi="宋体" w:cs="宋体"/>
          <w:color w:val="auto"/>
          <w:highlight w:val="none"/>
          <w:u w:val="single"/>
          <w:lang w:val="en-US" w:eastAsia="zh-CN"/>
        </w:rPr>
        <w:t>15</w:t>
      </w:r>
      <w:r>
        <w:rPr>
          <w:rFonts w:hint="eastAsia" w:ascii="宋体" w:hAnsi="宋体" w:cs="宋体"/>
          <w:color w:val="auto"/>
          <w:highlight w:val="none"/>
        </w:rPr>
        <w:t>分。</w:t>
      </w:r>
    </w:p>
    <w:p w14:paraId="41AAB724">
      <w:pPr>
        <w:pStyle w:val="13"/>
        <w:widowControl/>
        <w:spacing w:beforeAutospacing="0" w:after="150" w:afterAutospacing="0"/>
        <w:ind w:firstLine="480"/>
        <w:rPr>
          <w:rFonts w:ascii="宋体" w:hAnsi="宋体" w:cs="宋体"/>
          <w:color w:val="auto"/>
          <w:highlight w:val="none"/>
        </w:rPr>
      </w:pPr>
      <w:r>
        <w:rPr>
          <w:rFonts w:hint="eastAsia" w:ascii="宋体" w:hAnsi="宋体" w:cs="宋体"/>
          <w:color w:val="auto"/>
          <w:highlight w:val="none"/>
        </w:rPr>
        <w:t>a.价格分采用低价优先法计算，即满足招标文件要求且投标价格最低的投标报价为评标基准价，其价格分为满分。其他投标人的价格分统一按照下列公式计算：投标报价得分=（评标基准价／投标报价）×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cs="宋体"/>
          <w:color w:val="auto"/>
          <w:highlight w:val="none"/>
          <w:lang w:val="en-US" w:eastAsia="zh-CN"/>
        </w:rPr>
        <w:t>15</w:t>
      </w:r>
      <w:r>
        <w:rPr>
          <w:rFonts w:hint="eastAsia" w:ascii="宋体" w:hAnsi="宋体" w:cs="宋体"/>
          <w:color w:val="auto"/>
          <w:highlight w:val="none"/>
        </w:rPr>
        <w:t>。因落实政府采购政策需进行价格扣除的，以扣除后的价格计算评标基准价和投标报价。</w:t>
      </w:r>
    </w:p>
    <w:p w14:paraId="416E5E56">
      <w:pPr>
        <w:pStyle w:val="13"/>
        <w:widowControl/>
        <w:spacing w:beforeAutospacing="0" w:after="150" w:afterAutospacing="0"/>
        <w:ind w:firstLine="480"/>
        <w:rPr>
          <w:rFonts w:ascii="宋体" w:hAnsi="宋体" w:cs="宋体"/>
          <w:color w:val="auto"/>
          <w:highlight w:val="none"/>
        </w:rPr>
      </w:pPr>
      <w:r>
        <w:rPr>
          <w:rFonts w:hint="eastAsia" w:ascii="宋体" w:hAnsi="宋体" w:cs="宋体"/>
          <w:color w:val="auto"/>
          <w:highlight w:val="none"/>
        </w:rPr>
        <w:t>b.价格扣除的规则如下：</w:t>
      </w:r>
    </w:p>
    <w:p w14:paraId="06C54556">
      <w:pPr>
        <w:pStyle w:val="13"/>
        <w:widowControl/>
        <w:spacing w:beforeAutospacing="0" w:after="150" w:afterAutospacing="0"/>
        <w:ind w:firstLine="480"/>
        <w:rPr>
          <w:rFonts w:ascii="宋体" w:hAnsi="宋体" w:cs="宋体"/>
          <w:color w:val="auto"/>
          <w:highlight w:val="none"/>
        </w:rPr>
      </w:pPr>
      <w:r>
        <w:rPr>
          <w:rFonts w:hint="eastAsia" w:ascii="宋体" w:hAnsi="宋体" w:cs="宋体"/>
          <w:b/>
          <w:bCs/>
          <w:color w:val="auto"/>
          <w:highlight w:val="none"/>
        </w:rPr>
        <w:t>无</w:t>
      </w:r>
    </w:p>
    <w:p w14:paraId="360C7860">
      <w:pPr>
        <w:pStyle w:val="13"/>
        <w:widowControl/>
        <w:ind w:right="-180"/>
        <w:rPr>
          <w:rFonts w:ascii="宋体" w:hAnsi="宋体" w:cs="宋体"/>
          <w:color w:val="auto"/>
          <w:highlight w:val="none"/>
        </w:rPr>
      </w:pPr>
    </w:p>
    <w:p w14:paraId="798A0E67">
      <w:pPr>
        <w:pStyle w:val="13"/>
        <w:widowControl/>
        <w:ind w:right="-180"/>
        <w:rPr>
          <w:rFonts w:ascii="宋体" w:hAnsi="宋体" w:cs="宋体"/>
          <w:color w:val="auto"/>
          <w:highlight w:val="none"/>
        </w:rPr>
      </w:pPr>
    </w:p>
    <w:p w14:paraId="4BEF020B">
      <w:pPr>
        <w:pStyle w:val="13"/>
        <w:widowControl/>
        <w:ind w:right="-180"/>
        <w:rPr>
          <w:rFonts w:ascii="宋体" w:hAnsi="宋体" w:cs="宋体"/>
          <w:color w:val="auto"/>
          <w:highlight w:val="none"/>
        </w:rPr>
      </w:pPr>
      <w:r>
        <w:rPr>
          <w:rFonts w:hint="eastAsia" w:ascii="宋体" w:hAnsi="宋体" w:cs="宋体"/>
          <w:color w:val="auto"/>
          <w:highlight w:val="none"/>
        </w:rPr>
        <w:t>②技术项（F2×A2）满分为</w:t>
      </w:r>
      <w:r>
        <w:rPr>
          <w:rFonts w:hint="eastAsia" w:ascii="宋体" w:hAnsi="宋体" w:cs="宋体"/>
          <w:color w:val="auto"/>
          <w:highlight w:val="none"/>
          <w:u w:val="single"/>
          <w:lang w:val="en-US" w:eastAsia="zh-CN"/>
        </w:rPr>
        <w:t>74</w:t>
      </w:r>
      <w:r>
        <w:rPr>
          <w:rFonts w:hint="eastAsia" w:ascii="宋体" w:hAnsi="宋体" w:cs="宋体"/>
          <w:color w:val="auto"/>
          <w:highlight w:val="none"/>
        </w:rPr>
        <w:t>分。</w:t>
      </w:r>
    </w:p>
    <w:tbl>
      <w:tblPr>
        <w:tblStyle w:val="52"/>
        <w:tblW w:w="5263" w:type="pct"/>
        <w:tblInd w:w="0" w:type="dxa"/>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Layout w:type="autofit"/>
        <w:tblCellMar>
          <w:top w:w="0" w:type="dxa"/>
          <w:left w:w="0" w:type="dxa"/>
          <w:bottom w:w="0" w:type="dxa"/>
          <w:right w:w="0" w:type="dxa"/>
        </w:tblCellMar>
      </w:tblPr>
      <w:tblGrid>
        <w:gridCol w:w="1527"/>
        <w:gridCol w:w="1306"/>
        <w:gridCol w:w="6150"/>
      </w:tblGrid>
      <w:tr w14:paraId="743111A5">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545" w:hRule="atLeast"/>
        </w:trPr>
        <w:tc>
          <w:tcPr>
            <w:tcW w:w="850" w:type="pct"/>
            <w:noWrap w:val="0"/>
            <w:vAlign w:val="top"/>
          </w:tcPr>
          <w:p w14:paraId="330F4AAC">
            <w:pPr>
              <w:pStyle w:val="13"/>
              <w:widowControl/>
              <w:spacing w:beforeAutospacing="0" w:after="150" w:afterAutospacing="0" w:line="360" w:lineRule="auto"/>
              <w:jc w:val="center"/>
              <w:rPr>
                <w:rFonts w:hint="eastAsia" w:ascii="宋体" w:hAnsi="宋体" w:cs="宋体"/>
                <w:b/>
                <w:bCs/>
                <w:color w:val="auto"/>
                <w:highlight w:val="none"/>
              </w:rPr>
            </w:pPr>
            <w:r>
              <w:rPr>
                <w:rFonts w:hint="eastAsia" w:ascii="宋体" w:hAnsi="宋体" w:cs="宋体"/>
                <w:b/>
                <w:bCs/>
                <w:color w:val="auto"/>
                <w:highlight w:val="none"/>
              </w:rPr>
              <w:t>评标项目</w:t>
            </w:r>
          </w:p>
        </w:tc>
        <w:tc>
          <w:tcPr>
            <w:tcW w:w="727" w:type="pct"/>
            <w:noWrap w:val="0"/>
            <w:vAlign w:val="top"/>
          </w:tcPr>
          <w:p w14:paraId="22C4D563">
            <w:pPr>
              <w:pStyle w:val="13"/>
              <w:widowControl/>
              <w:spacing w:beforeAutospacing="0" w:after="150" w:afterAutospacing="0" w:line="360" w:lineRule="auto"/>
              <w:jc w:val="center"/>
              <w:rPr>
                <w:rFonts w:hint="eastAsia" w:ascii="宋体" w:hAnsi="宋体" w:cs="宋体"/>
                <w:b/>
                <w:bCs/>
                <w:color w:val="auto"/>
                <w:highlight w:val="none"/>
              </w:rPr>
            </w:pPr>
            <w:r>
              <w:rPr>
                <w:rFonts w:hint="eastAsia" w:ascii="宋体" w:hAnsi="宋体" w:cs="宋体"/>
                <w:b/>
                <w:bCs/>
                <w:color w:val="auto"/>
                <w:highlight w:val="none"/>
              </w:rPr>
              <w:t>评标分值</w:t>
            </w:r>
          </w:p>
        </w:tc>
        <w:tc>
          <w:tcPr>
            <w:tcW w:w="3422" w:type="pct"/>
            <w:noWrap w:val="0"/>
            <w:vAlign w:val="top"/>
          </w:tcPr>
          <w:p w14:paraId="14D70049">
            <w:pPr>
              <w:pStyle w:val="13"/>
              <w:widowControl/>
              <w:spacing w:beforeAutospacing="0" w:after="150" w:afterAutospacing="0" w:line="360" w:lineRule="auto"/>
              <w:rPr>
                <w:rFonts w:hint="eastAsia" w:ascii="宋体" w:hAnsi="宋体" w:cs="宋体"/>
                <w:b/>
                <w:bCs/>
                <w:color w:val="auto"/>
                <w:highlight w:val="none"/>
              </w:rPr>
            </w:pPr>
            <w:r>
              <w:rPr>
                <w:rFonts w:hint="eastAsia" w:ascii="宋体" w:hAnsi="宋体" w:cs="宋体"/>
                <w:b/>
                <w:bCs/>
                <w:color w:val="auto"/>
                <w:highlight w:val="none"/>
              </w:rPr>
              <w:t>评标方法描述</w:t>
            </w:r>
          </w:p>
        </w:tc>
      </w:tr>
      <w:tr w14:paraId="4289B4F9">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938" w:hRule="atLeast"/>
        </w:trPr>
        <w:tc>
          <w:tcPr>
            <w:tcW w:w="850" w:type="pct"/>
            <w:noWrap w:val="0"/>
            <w:vAlign w:val="center"/>
          </w:tcPr>
          <w:p w14:paraId="49205D86">
            <w:pPr>
              <w:pStyle w:val="13"/>
              <w:widowControl/>
              <w:spacing w:beforeAutospacing="0" w:after="150" w:afterAutospacing="0" w:line="360" w:lineRule="auto"/>
              <w:jc w:val="center"/>
              <w:rPr>
                <w:rFonts w:hint="eastAsia" w:ascii="宋体" w:hAnsi="宋体" w:cs="宋体"/>
                <w:color w:val="auto"/>
                <w:highlight w:val="none"/>
              </w:rPr>
            </w:pPr>
            <w:r>
              <w:rPr>
                <w:rFonts w:hint="eastAsia" w:ascii="宋体" w:hAnsi="宋体" w:cs="宋体"/>
                <w:color w:val="auto"/>
                <w:highlight w:val="none"/>
              </w:rPr>
              <w:t>1、基本技术和服务要求</w:t>
            </w:r>
          </w:p>
        </w:tc>
        <w:tc>
          <w:tcPr>
            <w:tcW w:w="727" w:type="pct"/>
            <w:noWrap w:val="0"/>
            <w:vAlign w:val="center"/>
          </w:tcPr>
          <w:p w14:paraId="67D3FE95">
            <w:pPr>
              <w:pStyle w:val="13"/>
              <w:widowControl/>
              <w:spacing w:beforeAutospacing="0" w:after="150" w:afterAutospacing="0" w:line="360" w:lineRule="auto"/>
              <w:jc w:val="center"/>
              <w:rPr>
                <w:rFonts w:hint="eastAsia" w:ascii="宋体" w:hAnsi="宋体" w:cs="宋体"/>
                <w:color w:val="auto"/>
                <w:highlight w:val="none"/>
              </w:rPr>
            </w:pPr>
          </w:p>
          <w:p w14:paraId="67A1A1BA">
            <w:pPr>
              <w:pStyle w:val="13"/>
              <w:widowControl/>
              <w:spacing w:beforeAutospacing="0" w:after="150" w:afterAutospacing="0"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38</w:t>
            </w:r>
          </w:p>
        </w:tc>
        <w:tc>
          <w:tcPr>
            <w:tcW w:w="3422" w:type="pct"/>
            <w:noWrap w:val="0"/>
            <w:vAlign w:val="top"/>
          </w:tcPr>
          <w:p w14:paraId="7FBDB53B">
            <w:pPr>
              <w:pStyle w:val="13"/>
              <w:widowControl/>
              <w:spacing w:beforeAutospacing="0" w:after="150" w:afterAutospacing="0" w:line="360" w:lineRule="auto"/>
              <w:jc w:val="both"/>
              <w:rPr>
                <w:rFonts w:hint="eastAsia" w:ascii="宋体" w:hAnsi="宋体" w:cs="宋体"/>
                <w:color w:val="auto"/>
                <w:highlight w:val="none"/>
              </w:rPr>
            </w:pPr>
            <w:r>
              <w:rPr>
                <w:rFonts w:hint="eastAsia" w:ascii="宋体" w:hAnsi="宋体" w:cs="宋体"/>
                <w:color w:val="auto"/>
                <w:highlight w:val="none"/>
              </w:rPr>
              <w:t>根据各投标人对第五章《招标内容及要求》中的各项要求的响应情况，由评标委员会进行评分：标注“★”号的技术参数（共计</w:t>
            </w:r>
            <w:r>
              <w:rPr>
                <w:rFonts w:hint="eastAsia" w:ascii="宋体" w:hAnsi="宋体" w:cs="宋体"/>
                <w:color w:val="auto"/>
                <w:highlight w:val="none"/>
                <w:lang w:val="en-US" w:eastAsia="zh-CN"/>
              </w:rPr>
              <w:t>1项</w:t>
            </w:r>
            <w:r>
              <w:rPr>
                <w:rFonts w:hint="eastAsia" w:ascii="宋体" w:hAnsi="宋体" w:cs="宋体"/>
                <w:color w:val="auto"/>
                <w:highlight w:val="none"/>
              </w:rPr>
              <w:t>）出现偏离视为无效投标，除标注“★”号以外的技术参数若出现负偏离按以下标准进行扣分：未标注符号的技术参数（共</w:t>
            </w:r>
            <w:r>
              <w:rPr>
                <w:rFonts w:hint="eastAsia" w:ascii="宋体" w:hAnsi="宋体" w:cs="宋体"/>
                <w:color w:val="auto"/>
                <w:highlight w:val="none"/>
                <w:lang w:val="en-US" w:eastAsia="zh-CN"/>
              </w:rPr>
              <w:t>21</w:t>
            </w:r>
            <w:r>
              <w:rPr>
                <w:rFonts w:hint="eastAsia" w:ascii="宋体" w:hAnsi="宋体" w:cs="宋体"/>
                <w:color w:val="auto"/>
                <w:highlight w:val="none"/>
              </w:rPr>
              <w:t>个项）每负偏离一项扣</w:t>
            </w:r>
            <w:r>
              <w:rPr>
                <w:rFonts w:hint="eastAsia" w:ascii="宋体" w:hAnsi="宋体" w:cs="宋体"/>
                <w:color w:val="auto"/>
                <w:highlight w:val="none"/>
                <w:lang w:val="en-US" w:eastAsia="zh-CN"/>
              </w:rPr>
              <w:t>1.81</w:t>
            </w:r>
            <w:r>
              <w:rPr>
                <w:rFonts w:hint="eastAsia" w:ascii="宋体" w:hAnsi="宋体" w:cs="宋体"/>
                <w:color w:val="auto"/>
                <w:highlight w:val="none"/>
              </w:rPr>
              <w:t>分，</w:t>
            </w:r>
            <w:r>
              <w:rPr>
                <w:rFonts w:hint="eastAsia" w:ascii="宋体" w:hAnsi="宋体" w:cs="宋体"/>
                <w:color w:val="auto"/>
                <w:highlight w:val="none"/>
                <w:lang w:eastAsia="zh-CN"/>
              </w:rPr>
              <w:t>扣完为止</w:t>
            </w:r>
            <w:r>
              <w:rPr>
                <w:rFonts w:hint="eastAsia" w:ascii="宋体" w:hAnsi="宋体" w:cs="宋体"/>
                <w:color w:val="auto"/>
                <w:highlight w:val="none"/>
                <w:lang w:val="en-US" w:eastAsia="zh-CN"/>
              </w:rPr>
              <w:t>,</w:t>
            </w:r>
            <w:r>
              <w:rPr>
                <w:rFonts w:hint="eastAsia" w:ascii="宋体" w:hAnsi="宋体" w:cs="宋体"/>
                <w:color w:val="auto"/>
                <w:highlight w:val="none"/>
              </w:rPr>
              <w:t>满分</w:t>
            </w:r>
            <w:r>
              <w:rPr>
                <w:rFonts w:hint="eastAsia" w:ascii="宋体" w:hAnsi="宋体" w:cs="宋体"/>
                <w:color w:val="auto"/>
                <w:highlight w:val="none"/>
                <w:lang w:val="en-US" w:eastAsia="zh-CN"/>
              </w:rPr>
              <w:t>38</w:t>
            </w:r>
            <w:r>
              <w:rPr>
                <w:rFonts w:hint="eastAsia" w:ascii="宋体" w:hAnsi="宋体" w:cs="宋体"/>
                <w:color w:val="auto"/>
                <w:highlight w:val="none"/>
              </w:rPr>
              <w:t>分。</w:t>
            </w:r>
          </w:p>
        </w:tc>
      </w:tr>
      <w:tr w14:paraId="4C433598">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1534" w:hRule="atLeast"/>
        </w:trPr>
        <w:tc>
          <w:tcPr>
            <w:tcW w:w="850" w:type="pct"/>
            <w:shd w:val="clear" w:color="auto" w:fill="auto"/>
            <w:noWrap w:val="0"/>
            <w:vAlign w:val="center"/>
          </w:tcPr>
          <w:p w14:paraId="40F7C221">
            <w:pPr>
              <w:pStyle w:val="13"/>
              <w:widowControl/>
              <w:spacing w:beforeAutospacing="0" w:after="150" w:afterAutospacing="0" w:line="360" w:lineRule="auto"/>
              <w:jc w:val="center"/>
              <w:rPr>
                <w:rFonts w:hint="eastAsia" w:ascii="宋体" w:hAnsi="宋体" w:cs="宋体"/>
                <w:color w:val="auto"/>
                <w:highlight w:val="none"/>
              </w:rPr>
            </w:pPr>
            <w:r>
              <w:rPr>
                <w:rFonts w:hint="eastAsia" w:ascii="宋体" w:hAnsi="宋体" w:cs="宋体"/>
                <w:color w:val="auto"/>
                <w:highlight w:val="none"/>
              </w:rPr>
              <w:t>2、印刷一体机</w:t>
            </w:r>
          </w:p>
        </w:tc>
        <w:tc>
          <w:tcPr>
            <w:tcW w:w="727" w:type="pct"/>
            <w:shd w:val="clear" w:color="auto" w:fill="auto"/>
            <w:noWrap w:val="0"/>
            <w:vAlign w:val="center"/>
          </w:tcPr>
          <w:p w14:paraId="0D62C3FD">
            <w:pPr>
              <w:pStyle w:val="13"/>
              <w:widowControl/>
              <w:spacing w:beforeAutospacing="0" w:after="150" w:afterAutospacing="0" w:line="360" w:lineRule="auto"/>
              <w:jc w:val="center"/>
              <w:rPr>
                <w:rFonts w:hint="eastAsia" w:ascii="宋体" w:hAnsi="宋体" w:cs="宋体"/>
                <w:color w:val="auto"/>
                <w:highlight w:val="none"/>
              </w:rPr>
            </w:pPr>
            <w:r>
              <w:rPr>
                <w:rFonts w:hint="eastAsia" w:ascii="宋体" w:hAnsi="宋体" w:cs="宋体"/>
                <w:color w:val="auto"/>
                <w:highlight w:val="none"/>
              </w:rPr>
              <w:t>3</w:t>
            </w:r>
          </w:p>
        </w:tc>
        <w:tc>
          <w:tcPr>
            <w:tcW w:w="3422" w:type="pct"/>
            <w:shd w:val="clear" w:color="auto" w:fill="auto"/>
            <w:noWrap w:val="0"/>
            <w:vAlign w:val="top"/>
          </w:tcPr>
          <w:p w14:paraId="13309428">
            <w:pPr>
              <w:pStyle w:val="13"/>
              <w:widowControl/>
              <w:spacing w:beforeAutospacing="0" w:after="150" w:afterAutospacing="0" w:line="360" w:lineRule="auto"/>
              <w:jc w:val="both"/>
              <w:rPr>
                <w:rFonts w:hint="eastAsia" w:ascii="宋体" w:hAnsi="宋体" w:cs="宋体"/>
                <w:color w:val="auto"/>
                <w:highlight w:val="none"/>
              </w:rPr>
            </w:pPr>
            <w:r>
              <w:rPr>
                <w:rFonts w:hint="eastAsia" w:ascii="宋体" w:hAnsi="宋体" w:cs="宋体"/>
                <w:color w:val="auto"/>
                <w:highlight w:val="none"/>
              </w:rPr>
              <w:t>投标人所提供A3幅面印刷一体机必须为全新设备</w:t>
            </w:r>
            <w:r>
              <w:rPr>
                <w:rFonts w:hint="eastAsia" w:ascii="宋体" w:hAnsi="宋体" w:cs="宋体"/>
                <w:color w:val="auto"/>
                <w:highlight w:val="none"/>
                <w:lang w:eastAsia="zh-CN"/>
              </w:rPr>
              <w:t>，</w:t>
            </w:r>
            <w:r>
              <w:rPr>
                <w:rFonts w:hint="eastAsia" w:ascii="宋体" w:hAnsi="宋体" w:cs="宋体"/>
                <w:color w:val="auto"/>
                <w:highlight w:val="none"/>
              </w:rPr>
              <w:t>须提供</w:t>
            </w:r>
            <w:r>
              <w:rPr>
                <w:rFonts w:hint="eastAsia" w:ascii="宋体" w:hAnsi="宋体" w:cs="宋体"/>
                <w:color w:val="auto"/>
                <w:highlight w:val="none"/>
                <w:lang w:eastAsia="zh-CN"/>
              </w:rPr>
              <w:t>设备</w:t>
            </w:r>
            <w:r>
              <w:rPr>
                <w:rFonts w:hint="eastAsia" w:ascii="宋体" w:hAnsi="宋体" w:cs="宋体"/>
                <w:color w:val="auto"/>
                <w:highlight w:val="none"/>
              </w:rPr>
              <w:t>购销合同复印件、购销发票复印件的得3分，</w:t>
            </w:r>
            <w:r>
              <w:rPr>
                <w:rFonts w:hint="eastAsia" w:ascii="宋体" w:hAnsi="宋体" w:cs="宋体"/>
                <w:color w:val="auto"/>
                <w:highlight w:val="none"/>
                <w:lang w:eastAsia="zh-CN"/>
              </w:rPr>
              <w:t>未</w:t>
            </w:r>
            <w:r>
              <w:rPr>
                <w:rFonts w:hint="eastAsia" w:ascii="宋体" w:hAnsi="宋体" w:cs="宋体"/>
                <w:color w:val="auto"/>
                <w:highlight w:val="none"/>
              </w:rPr>
              <w:t>提供不得分。</w:t>
            </w:r>
          </w:p>
        </w:tc>
      </w:tr>
      <w:tr w14:paraId="5000F400">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1101" w:hRule="atLeast"/>
        </w:trPr>
        <w:tc>
          <w:tcPr>
            <w:tcW w:w="850" w:type="pct"/>
            <w:noWrap w:val="0"/>
            <w:vAlign w:val="center"/>
          </w:tcPr>
          <w:p w14:paraId="0F8A48B5">
            <w:pPr>
              <w:pStyle w:val="13"/>
              <w:widowControl/>
              <w:spacing w:beforeAutospacing="0" w:after="150" w:afterAutospacing="0" w:line="360" w:lineRule="auto"/>
              <w:jc w:val="center"/>
              <w:rPr>
                <w:rFonts w:hint="eastAsia" w:ascii="宋体" w:hAnsi="宋体" w:cs="宋体"/>
                <w:color w:val="auto"/>
                <w:highlight w:val="none"/>
              </w:rPr>
            </w:pPr>
            <w:r>
              <w:rPr>
                <w:rFonts w:hint="eastAsia" w:ascii="宋体" w:hAnsi="宋体" w:cs="宋体"/>
                <w:color w:val="auto"/>
                <w:highlight w:val="none"/>
              </w:rPr>
              <w:t>3、油墨成份</w:t>
            </w:r>
          </w:p>
        </w:tc>
        <w:tc>
          <w:tcPr>
            <w:tcW w:w="727" w:type="pct"/>
            <w:noWrap w:val="0"/>
            <w:vAlign w:val="center"/>
          </w:tcPr>
          <w:p w14:paraId="45DE0988">
            <w:pPr>
              <w:pStyle w:val="13"/>
              <w:widowControl/>
              <w:spacing w:beforeAutospacing="0" w:after="150" w:afterAutospacing="0" w:line="360" w:lineRule="auto"/>
              <w:jc w:val="center"/>
              <w:rPr>
                <w:rFonts w:hint="eastAsia" w:ascii="宋体" w:hAnsi="宋体" w:cs="宋体"/>
                <w:color w:val="auto"/>
                <w:highlight w:val="none"/>
              </w:rPr>
            </w:pPr>
            <w:r>
              <w:rPr>
                <w:rFonts w:hint="eastAsia" w:ascii="宋体" w:hAnsi="宋体" w:cs="宋体"/>
                <w:color w:val="auto"/>
                <w:highlight w:val="none"/>
              </w:rPr>
              <w:t>3</w:t>
            </w:r>
          </w:p>
        </w:tc>
        <w:tc>
          <w:tcPr>
            <w:tcW w:w="3422" w:type="pct"/>
            <w:noWrap w:val="0"/>
            <w:vAlign w:val="top"/>
          </w:tcPr>
          <w:p w14:paraId="3E7EA313">
            <w:pPr>
              <w:pStyle w:val="13"/>
              <w:widowControl/>
              <w:spacing w:beforeAutospacing="0" w:after="150" w:afterAutospacing="0" w:line="360" w:lineRule="auto"/>
              <w:jc w:val="both"/>
              <w:rPr>
                <w:rFonts w:hint="eastAsia" w:ascii="宋体" w:hAnsi="宋体" w:cs="宋体"/>
                <w:color w:val="auto"/>
                <w:highlight w:val="none"/>
              </w:rPr>
            </w:pPr>
            <w:r>
              <w:rPr>
                <w:rFonts w:hint="eastAsia" w:ascii="宋体" w:hAnsi="宋体" w:cs="宋体"/>
                <w:color w:val="auto"/>
                <w:highlight w:val="none"/>
              </w:rPr>
              <w:t>投标人所提供油墨符合</w:t>
            </w:r>
            <w:r>
              <w:rPr>
                <w:rFonts w:hint="eastAsia" w:ascii="宋体" w:hAnsi="宋体" w:cs="宋体"/>
                <w:color w:val="auto"/>
                <w:highlight w:val="none"/>
                <w:lang w:val="en-US" w:eastAsia="zh-CN"/>
              </w:rPr>
              <w:t>GB21027-2020学生用品安全通用</w:t>
            </w:r>
            <w:r>
              <w:rPr>
                <w:rFonts w:hint="eastAsia" w:ascii="宋体" w:hAnsi="宋体" w:cs="宋体"/>
                <w:color w:val="auto"/>
                <w:highlight w:val="none"/>
              </w:rPr>
              <w:t>要求，且</w:t>
            </w:r>
            <w:r>
              <w:rPr>
                <w:rFonts w:hint="eastAsia" w:ascii="宋体" w:hAnsi="宋体" w:cs="宋体"/>
                <w:color w:val="auto"/>
                <w:highlight w:val="none"/>
                <w:lang w:val="en-US" w:eastAsia="zh-CN"/>
              </w:rPr>
              <w:t>硒、</w:t>
            </w:r>
            <w:r>
              <w:rPr>
                <w:rFonts w:hint="eastAsia" w:ascii="宋体" w:hAnsi="宋体" w:cs="宋体"/>
                <w:color w:val="auto"/>
                <w:highlight w:val="none"/>
              </w:rPr>
              <w:t>汞、铬</w:t>
            </w:r>
            <w:r>
              <w:rPr>
                <w:rFonts w:hint="eastAsia" w:ascii="宋体" w:hAnsi="宋体" w:cs="宋体"/>
                <w:color w:val="auto"/>
                <w:highlight w:val="none"/>
                <w:lang w:eastAsia="zh-CN"/>
              </w:rPr>
              <w:t>、</w:t>
            </w:r>
            <w:r>
              <w:rPr>
                <w:rFonts w:hint="eastAsia" w:ascii="宋体" w:hAnsi="宋体" w:cs="宋体"/>
                <w:color w:val="auto"/>
                <w:highlight w:val="none"/>
              </w:rPr>
              <w:t>镉、</w:t>
            </w:r>
            <w:r>
              <w:rPr>
                <w:rFonts w:hint="eastAsia" w:ascii="宋体" w:hAnsi="宋体" w:cs="宋体"/>
                <w:color w:val="auto"/>
                <w:highlight w:val="none"/>
                <w:lang w:val="en-US" w:eastAsia="zh-CN"/>
              </w:rPr>
              <w:t>钡</w:t>
            </w:r>
            <w:r>
              <w:rPr>
                <w:rFonts w:hint="eastAsia" w:ascii="宋体" w:hAnsi="宋体" w:cs="宋体"/>
                <w:color w:val="auto"/>
                <w:highlight w:val="none"/>
              </w:rPr>
              <w:t>、</w:t>
            </w:r>
            <w:r>
              <w:rPr>
                <w:rFonts w:hint="eastAsia" w:ascii="宋体" w:hAnsi="宋体" w:cs="宋体"/>
                <w:color w:val="auto"/>
                <w:highlight w:val="none"/>
                <w:lang w:val="en-US" w:eastAsia="zh-CN"/>
              </w:rPr>
              <w:t>砷、</w:t>
            </w:r>
            <w:r>
              <w:rPr>
                <w:rFonts w:hint="eastAsia" w:ascii="宋体" w:hAnsi="宋体" w:cs="宋体"/>
                <w:color w:val="auto"/>
                <w:highlight w:val="none"/>
              </w:rPr>
              <w:t>铅、</w:t>
            </w:r>
            <w:r>
              <w:rPr>
                <w:rFonts w:hint="eastAsia" w:ascii="宋体" w:hAnsi="宋体" w:cs="宋体"/>
                <w:color w:val="auto"/>
                <w:highlight w:val="none"/>
                <w:lang w:val="en-US" w:eastAsia="zh-CN"/>
              </w:rPr>
              <w:t>等特定元素</w:t>
            </w:r>
            <w:r>
              <w:rPr>
                <w:rFonts w:hint="eastAsia" w:ascii="宋体" w:hAnsi="宋体" w:cs="宋体"/>
                <w:color w:val="auto"/>
                <w:highlight w:val="none"/>
              </w:rPr>
              <w:t>符合标准 规定的要求得3分</w:t>
            </w:r>
            <w:r>
              <w:rPr>
                <w:rFonts w:hint="eastAsia" w:ascii="宋体" w:hAnsi="宋体" w:cs="宋体"/>
                <w:color w:val="auto"/>
                <w:highlight w:val="none"/>
                <w:lang w:eastAsia="zh-CN"/>
              </w:rPr>
              <w:t>。（</w:t>
            </w:r>
            <w:r>
              <w:rPr>
                <w:rFonts w:hint="eastAsia" w:ascii="宋体" w:hAnsi="宋体" w:cs="宋体"/>
                <w:color w:val="auto"/>
                <w:highlight w:val="none"/>
              </w:rPr>
              <w:t>须提供测试报告复印件，未按要求提供的不得分。</w:t>
            </w:r>
            <w:r>
              <w:rPr>
                <w:rFonts w:hint="eastAsia" w:ascii="宋体" w:hAnsi="宋体" w:cs="宋体"/>
                <w:color w:val="auto"/>
                <w:highlight w:val="none"/>
                <w:lang w:eastAsia="zh-CN"/>
              </w:rPr>
              <w:t>）</w:t>
            </w:r>
          </w:p>
        </w:tc>
      </w:tr>
      <w:tr w14:paraId="69B3AE7C">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1101" w:hRule="atLeast"/>
        </w:trPr>
        <w:tc>
          <w:tcPr>
            <w:tcW w:w="850" w:type="pct"/>
            <w:tcBorders>
              <w:top w:val="single" w:color="000000" w:sz="2" w:space="0"/>
              <w:bottom w:val="single" w:color="000000" w:sz="2" w:space="0"/>
            </w:tcBorders>
            <w:noWrap w:val="0"/>
            <w:vAlign w:val="center"/>
          </w:tcPr>
          <w:p w14:paraId="0FE84EA1">
            <w:pPr>
              <w:pStyle w:val="13"/>
              <w:widowControl/>
              <w:spacing w:beforeAutospacing="0" w:after="150" w:afterAutospacing="0" w:line="360" w:lineRule="auto"/>
              <w:jc w:val="center"/>
              <w:rPr>
                <w:rFonts w:hint="eastAsia" w:ascii="宋体" w:hAnsi="宋体" w:cs="宋体"/>
                <w:color w:val="auto"/>
                <w:highlight w:val="none"/>
                <w:lang w:val="en-US" w:eastAsia="en-US"/>
              </w:rPr>
            </w:pPr>
            <w:r>
              <w:rPr>
                <w:rFonts w:hint="eastAsia" w:ascii="宋体" w:hAnsi="宋体" w:cs="宋体"/>
                <w:color w:val="auto"/>
                <w:highlight w:val="none"/>
                <w:lang w:val="en-US" w:eastAsia="zh-CN"/>
              </w:rPr>
              <w:t>4、双胶</w:t>
            </w:r>
            <w:r>
              <w:rPr>
                <w:rFonts w:hint="eastAsia" w:ascii="宋体" w:hAnsi="宋体" w:cs="宋体"/>
                <w:color w:val="auto"/>
                <w:highlight w:val="none"/>
                <w:lang w:val="en-US" w:eastAsia="zh-Hans"/>
              </w:rPr>
              <w:t>纸</w:t>
            </w:r>
            <w:r>
              <w:rPr>
                <w:rFonts w:hint="eastAsia" w:ascii="宋体" w:hAnsi="宋体" w:cs="宋体"/>
                <w:color w:val="auto"/>
                <w:highlight w:val="none"/>
                <w:lang w:val="en-US" w:eastAsia="en-US"/>
              </w:rPr>
              <w:t>质量</w:t>
            </w:r>
          </w:p>
        </w:tc>
        <w:tc>
          <w:tcPr>
            <w:tcW w:w="727" w:type="pct"/>
            <w:noWrap w:val="0"/>
            <w:vAlign w:val="center"/>
          </w:tcPr>
          <w:p w14:paraId="35811101">
            <w:pPr>
              <w:pStyle w:val="13"/>
              <w:widowControl/>
              <w:spacing w:beforeAutospacing="0" w:after="150" w:afterAutospacing="0" w:line="360" w:lineRule="auto"/>
              <w:jc w:val="center"/>
              <w:rPr>
                <w:rFonts w:hint="eastAsia" w:ascii="宋体" w:hAnsi="宋体" w:cs="宋体"/>
                <w:color w:val="auto"/>
                <w:highlight w:val="none"/>
                <w:lang w:val="en-US" w:eastAsia="en-US"/>
              </w:rPr>
            </w:pPr>
            <w:r>
              <w:rPr>
                <w:rFonts w:hint="eastAsia" w:ascii="宋体" w:hAnsi="宋体" w:cs="宋体"/>
                <w:color w:val="auto"/>
                <w:highlight w:val="none"/>
                <w:lang w:val="en-US" w:eastAsia="zh-Hans"/>
              </w:rPr>
              <w:t>3</w:t>
            </w:r>
          </w:p>
        </w:tc>
        <w:tc>
          <w:tcPr>
            <w:tcW w:w="3422" w:type="pct"/>
            <w:noWrap w:val="0"/>
            <w:vAlign w:val="center"/>
          </w:tcPr>
          <w:p w14:paraId="783B13F7">
            <w:pPr>
              <w:pStyle w:val="13"/>
              <w:widowControl/>
              <w:spacing w:beforeAutospacing="0" w:after="150" w:afterAutospacing="0" w:line="360" w:lineRule="auto"/>
              <w:jc w:val="both"/>
              <w:rPr>
                <w:rFonts w:hint="eastAsia"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lang w:val="en-US" w:eastAsia="zh-Hans"/>
              </w:rPr>
              <w:t>所提供</w:t>
            </w:r>
            <w:r>
              <w:rPr>
                <w:rFonts w:hint="eastAsia" w:ascii="宋体" w:hAnsi="宋体" w:cs="宋体"/>
                <w:color w:val="auto"/>
                <w:highlight w:val="none"/>
                <w:lang w:val="en-US" w:eastAsia="zh-CN"/>
              </w:rPr>
              <w:t>双胶</w:t>
            </w:r>
            <w:r>
              <w:rPr>
                <w:rFonts w:hint="eastAsia" w:ascii="宋体" w:hAnsi="宋体" w:cs="宋体"/>
                <w:color w:val="auto"/>
                <w:highlight w:val="none"/>
                <w:lang w:val="en-US" w:eastAsia="zh-Hans"/>
              </w:rPr>
              <w:t>纸不透明度≥90，抗张强度≥40，平滑度（正面/反面）≥35，按GB/T1910-2015优等品标准检测，</w:t>
            </w:r>
            <w:r>
              <w:rPr>
                <w:rFonts w:hint="eastAsia" w:ascii="宋体" w:hAnsi="宋体" w:cs="宋体"/>
                <w:color w:val="auto"/>
                <w:highlight w:val="none"/>
                <w:lang w:val="en-US" w:eastAsia="zh-CN"/>
              </w:rPr>
              <w:t>须</w:t>
            </w:r>
            <w:r>
              <w:rPr>
                <w:rFonts w:hint="eastAsia" w:ascii="宋体" w:hAnsi="宋体" w:cs="宋体"/>
                <w:color w:val="auto"/>
                <w:highlight w:val="none"/>
                <w:lang w:val="en-US" w:eastAsia="zh-Hans"/>
              </w:rPr>
              <w:t>提供有效的第三方检测机构的检测报告复印件</w:t>
            </w:r>
            <w:r>
              <w:rPr>
                <w:rFonts w:hint="eastAsia" w:ascii="宋体" w:hAnsi="宋体" w:cs="宋体"/>
                <w:color w:val="auto"/>
                <w:highlight w:val="none"/>
                <w:lang w:val="en-US" w:eastAsia="zh-CN"/>
              </w:rPr>
              <w:t>并加盖供应商公章</w:t>
            </w:r>
            <w:r>
              <w:rPr>
                <w:rFonts w:hint="eastAsia" w:ascii="宋体" w:hAnsi="宋体" w:cs="宋体"/>
                <w:color w:val="auto"/>
                <w:highlight w:val="none"/>
                <w:lang w:val="en-US" w:eastAsia="zh-Hans"/>
              </w:rPr>
              <w:t>，满足的得3分，未提供不得分。</w:t>
            </w:r>
          </w:p>
        </w:tc>
      </w:tr>
      <w:tr w14:paraId="4C914D35">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824" w:hRule="atLeast"/>
        </w:trPr>
        <w:tc>
          <w:tcPr>
            <w:tcW w:w="850" w:type="pct"/>
            <w:vMerge w:val="restart"/>
            <w:tcBorders>
              <w:top w:val="single" w:color="000000" w:sz="2" w:space="0"/>
              <w:bottom w:val="nil"/>
            </w:tcBorders>
            <w:noWrap w:val="0"/>
            <w:vAlign w:val="center"/>
          </w:tcPr>
          <w:p w14:paraId="48386813">
            <w:pPr>
              <w:pStyle w:val="13"/>
              <w:widowControl/>
              <w:spacing w:beforeAutospacing="0" w:after="150" w:afterAutospacing="0" w:line="360" w:lineRule="auto"/>
              <w:jc w:val="center"/>
              <w:rPr>
                <w:rFonts w:hint="eastAsia" w:ascii="宋体" w:hAnsi="宋体" w:cs="宋体"/>
                <w:color w:val="auto"/>
                <w:highlight w:val="none"/>
              </w:rPr>
            </w:pPr>
            <w:r>
              <w:rPr>
                <w:rFonts w:hint="eastAsia" w:ascii="宋体" w:hAnsi="宋体" w:cs="宋体"/>
                <w:color w:val="auto"/>
                <w:highlight w:val="none"/>
              </w:rPr>
              <w:t>5、复印纸质量</w:t>
            </w:r>
          </w:p>
        </w:tc>
        <w:tc>
          <w:tcPr>
            <w:tcW w:w="727" w:type="pct"/>
            <w:noWrap w:val="0"/>
            <w:vAlign w:val="center"/>
          </w:tcPr>
          <w:p w14:paraId="4E1073F3">
            <w:pPr>
              <w:pStyle w:val="13"/>
              <w:widowControl/>
              <w:spacing w:beforeAutospacing="0" w:after="150" w:afterAutospacing="0" w:line="360" w:lineRule="auto"/>
              <w:jc w:val="center"/>
              <w:rPr>
                <w:rFonts w:hint="eastAsia" w:ascii="宋体" w:hAnsi="宋体" w:cs="宋体"/>
                <w:color w:val="auto"/>
                <w:highlight w:val="none"/>
              </w:rPr>
            </w:pPr>
            <w:r>
              <w:rPr>
                <w:rFonts w:hint="eastAsia" w:ascii="宋体" w:hAnsi="宋体" w:cs="宋体"/>
                <w:color w:val="auto"/>
                <w:highlight w:val="none"/>
              </w:rPr>
              <w:t>3</w:t>
            </w:r>
          </w:p>
        </w:tc>
        <w:tc>
          <w:tcPr>
            <w:tcW w:w="3422" w:type="pct"/>
            <w:noWrap w:val="0"/>
            <w:vAlign w:val="top"/>
          </w:tcPr>
          <w:p w14:paraId="5C46B457">
            <w:pPr>
              <w:pStyle w:val="13"/>
              <w:widowControl/>
              <w:spacing w:beforeAutospacing="0" w:after="150" w:afterAutospacing="0" w:line="360" w:lineRule="auto"/>
              <w:jc w:val="both"/>
              <w:rPr>
                <w:rFonts w:hint="eastAsia" w:ascii="宋体" w:hAnsi="宋体" w:cs="宋体"/>
                <w:color w:val="auto"/>
                <w:highlight w:val="none"/>
              </w:rPr>
            </w:pPr>
            <w:r>
              <w:rPr>
                <w:rFonts w:hint="eastAsia" w:ascii="宋体" w:hAnsi="宋体" w:cs="宋体"/>
                <w:color w:val="auto"/>
                <w:highlight w:val="none"/>
              </w:rPr>
              <w:t>供应商所提供70克复印纸白度＜108，不透明度≥92%的得3分</w:t>
            </w:r>
            <w:r>
              <w:rPr>
                <w:rFonts w:hint="eastAsia" w:ascii="宋体" w:hAnsi="宋体" w:cs="宋体"/>
                <w:color w:val="auto"/>
                <w:highlight w:val="none"/>
                <w:lang w:eastAsia="zh-CN"/>
              </w:rPr>
              <w:t>。（</w:t>
            </w:r>
            <w:r>
              <w:rPr>
                <w:rFonts w:hint="eastAsia" w:ascii="宋体" w:hAnsi="宋体" w:cs="宋体"/>
                <w:color w:val="auto"/>
                <w:highlight w:val="none"/>
              </w:rPr>
              <w:t>须提供相关检测报告并加盖公章，未按要求提供的不得分。</w:t>
            </w:r>
            <w:r>
              <w:rPr>
                <w:rFonts w:hint="eastAsia" w:ascii="宋体" w:hAnsi="宋体" w:cs="宋体"/>
                <w:color w:val="auto"/>
                <w:highlight w:val="none"/>
                <w:lang w:eastAsia="zh-CN"/>
              </w:rPr>
              <w:t>）</w:t>
            </w:r>
          </w:p>
        </w:tc>
      </w:tr>
      <w:tr w14:paraId="1270197F">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1101" w:hRule="atLeast"/>
        </w:trPr>
        <w:tc>
          <w:tcPr>
            <w:tcW w:w="850" w:type="pct"/>
            <w:vMerge w:val="continue"/>
            <w:tcBorders>
              <w:top w:val="nil"/>
              <w:bottom w:val="single" w:color="000000" w:sz="2" w:space="0"/>
            </w:tcBorders>
            <w:noWrap w:val="0"/>
            <w:vAlign w:val="center"/>
          </w:tcPr>
          <w:p w14:paraId="2F424289">
            <w:pPr>
              <w:pStyle w:val="13"/>
              <w:widowControl/>
              <w:spacing w:beforeAutospacing="0" w:after="150" w:afterAutospacing="0" w:line="360" w:lineRule="auto"/>
              <w:jc w:val="center"/>
              <w:rPr>
                <w:rFonts w:hint="eastAsia" w:ascii="宋体" w:hAnsi="宋体" w:cs="宋体"/>
                <w:color w:val="auto"/>
                <w:highlight w:val="none"/>
              </w:rPr>
            </w:pPr>
          </w:p>
        </w:tc>
        <w:tc>
          <w:tcPr>
            <w:tcW w:w="727" w:type="pct"/>
            <w:noWrap w:val="0"/>
            <w:vAlign w:val="center"/>
          </w:tcPr>
          <w:p w14:paraId="3F2E4C44">
            <w:pPr>
              <w:pStyle w:val="13"/>
              <w:widowControl/>
              <w:spacing w:beforeAutospacing="0" w:after="150" w:afterAutospacing="0" w:line="360" w:lineRule="auto"/>
              <w:jc w:val="center"/>
              <w:rPr>
                <w:rFonts w:hint="eastAsia" w:ascii="宋体" w:hAnsi="宋体" w:cs="宋体"/>
                <w:color w:val="auto"/>
                <w:highlight w:val="none"/>
                <w:lang w:eastAsia="zh-CN"/>
              </w:rPr>
            </w:pPr>
            <w:r>
              <w:rPr>
                <w:rFonts w:hint="eastAsia" w:ascii="宋体" w:hAnsi="宋体" w:cs="宋体"/>
                <w:color w:val="auto"/>
                <w:highlight w:val="none"/>
                <w:lang w:val="en-US" w:eastAsia="zh-CN"/>
              </w:rPr>
              <w:t>2</w:t>
            </w:r>
          </w:p>
        </w:tc>
        <w:tc>
          <w:tcPr>
            <w:tcW w:w="3422" w:type="pct"/>
            <w:noWrap w:val="0"/>
            <w:vAlign w:val="top"/>
          </w:tcPr>
          <w:p w14:paraId="7BC0E8DA">
            <w:pPr>
              <w:pStyle w:val="13"/>
              <w:widowControl/>
              <w:spacing w:beforeAutospacing="0" w:after="150" w:afterAutospacing="0" w:line="360" w:lineRule="auto"/>
              <w:jc w:val="both"/>
              <w:rPr>
                <w:rFonts w:hint="eastAsia" w:ascii="宋体" w:hAnsi="宋体" w:cs="宋体"/>
                <w:color w:val="auto"/>
                <w:highlight w:val="none"/>
              </w:rPr>
            </w:pPr>
            <w:r>
              <w:rPr>
                <w:rFonts w:hint="eastAsia" w:ascii="宋体" w:hAnsi="宋体" w:cs="宋体"/>
                <w:color w:val="auto"/>
                <w:highlight w:val="none"/>
              </w:rPr>
              <w:t>供应商所提供70克复印纸挺度（弯曲法）纵向≥90mN，横向≥35mN；平滑度（正面/反面）≥38s，施胶度≥1.2mm的得</w:t>
            </w:r>
            <w:r>
              <w:rPr>
                <w:rFonts w:hint="eastAsia" w:ascii="宋体" w:hAnsi="宋体" w:cs="宋体"/>
                <w:color w:val="auto"/>
                <w:highlight w:val="none"/>
                <w:lang w:val="en-US" w:eastAsia="zh-CN"/>
              </w:rPr>
              <w:t>2</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rPr>
              <w:t>须提供相关检测报告并加盖公章，未按要求提供的不得分。</w:t>
            </w:r>
            <w:r>
              <w:rPr>
                <w:rFonts w:hint="eastAsia" w:ascii="宋体" w:hAnsi="宋体" w:cs="宋体"/>
                <w:color w:val="auto"/>
                <w:highlight w:val="none"/>
                <w:lang w:eastAsia="zh-CN"/>
              </w:rPr>
              <w:t>）</w:t>
            </w:r>
          </w:p>
        </w:tc>
      </w:tr>
      <w:tr w14:paraId="4E088ABC">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854" w:hRule="atLeast"/>
        </w:trPr>
        <w:tc>
          <w:tcPr>
            <w:tcW w:w="850" w:type="pct"/>
            <w:vMerge w:val="restart"/>
            <w:noWrap w:val="0"/>
            <w:vAlign w:val="center"/>
          </w:tcPr>
          <w:p w14:paraId="680A456D">
            <w:pPr>
              <w:pStyle w:val="13"/>
              <w:widowControl/>
              <w:spacing w:beforeAutospacing="0" w:after="150" w:afterAutospacing="0" w:line="360" w:lineRule="auto"/>
              <w:jc w:val="center"/>
              <w:rPr>
                <w:rFonts w:hint="eastAsia" w:ascii="宋体" w:hAnsi="宋体" w:cs="宋体"/>
                <w:color w:val="auto"/>
                <w:highlight w:val="none"/>
              </w:rPr>
            </w:pPr>
            <w:r>
              <w:rPr>
                <w:rFonts w:hint="eastAsia" w:ascii="宋体" w:hAnsi="宋体" w:cs="宋体"/>
                <w:color w:val="auto"/>
                <w:highlight w:val="none"/>
              </w:rPr>
              <w:t>6、认证实力</w:t>
            </w:r>
          </w:p>
        </w:tc>
        <w:tc>
          <w:tcPr>
            <w:tcW w:w="727" w:type="pct"/>
            <w:noWrap w:val="0"/>
            <w:vAlign w:val="center"/>
          </w:tcPr>
          <w:p w14:paraId="6C38F5E4">
            <w:pPr>
              <w:pStyle w:val="13"/>
              <w:widowControl/>
              <w:spacing w:beforeAutospacing="0" w:after="150" w:afterAutospacing="0" w:line="360" w:lineRule="auto"/>
              <w:jc w:val="center"/>
              <w:rPr>
                <w:rFonts w:hint="eastAsia" w:ascii="宋体" w:hAnsi="宋体" w:cs="宋体"/>
                <w:color w:val="auto"/>
                <w:highlight w:val="none"/>
              </w:rPr>
            </w:pPr>
            <w:r>
              <w:rPr>
                <w:rFonts w:hint="eastAsia" w:ascii="宋体" w:hAnsi="宋体" w:cs="宋体"/>
                <w:color w:val="auto"/>
                <w:highlight w:val="none"/>
              </w:rPr>
              <w:t>2</w:t>
            </w:r>
          </w:p>
        </w:tc>
        <w:tc>
          <w:tcPr>
            <w:tcW w:w="3422" w:type="pct"/>
            <w:noWrap w:val="0"/>
            <w:vAlign w:val="top"/>
          </w:tcPr>
          <w:p w14:paraId="689F2240">
            <w:pPr>
              <w:pStyle w:val="13"/>
              <w:widowControl/>
              <w:spacing w:beforeAutospacing="0" w:after="150" w:afterAutospacing="0" w:line="360" w:lineRule="auto"/>
              <w:jc w:val="both"/>
              <w:rPr>
                <w:rFonts w:hint="eastAsia" w:ascii="宋体" w:hAnsi="宋体" w:cs="宋体"/>
                <w:color w:val="auto"/>
                <w:highlight w:val="none"/>
                <w:lang w:eastAsia="zh-CN"/>
              </w:rPr>
            </w:pPr>
            <w:r>
              <w:rPr>
                <w:rFonts w:hint="eastAsia" w:ascii="宋体" w:hAnsi="宋体" w:cs="宋体"/>
                <w:color w:val="auto"/>
                <w:highlight w:val="none"/>
              </w:rPr>
              <w:t>投标人所提供用于本项目的粉盒通过ROHS认证的得2分</w:t>
            </w:r>
            <w:r>
              <w:rPr>
                <w:rFonts w:hint="eastAsia" w:ascii="宋体" w:hAnsi="宋体" w:cs="宋体"/>
                <w:color w:val="auto"/>
                <w:highlight w:val="none"/>
                <w:lang w:eastAsia="zh-CN"/>
              </w:rPr>
              <w:t>。（</w:t>
            </w:r>
            <w:r>
              <w:rPr>
                <w:rFonts w:hint="eastAsia" w:ascii="宋体" w:hAnsi="宋体" w:cs="宋体"/>
                <w:color w:val="auto"/>
                <w:highlight w:val="none"/>
              </w:rPr>
              <w:t>须提供相关证明材料复印件并加盖投标人公章，未按要求提供的不得分。</w:t>
            </w:r>
            <w:r>
              <w:rPr>
                <w:rFonts w:hint="eastAsia" w:ascii="宋体" w:hAnsi="宋体" w:cs="宋体"/>
                <w:color w:val="auto"/>
                <w:highlight w:val="none"/>
                <w:lang w:eastAsia="zh-CN"/>
              </w:rPr>
              <w:t>）</w:t>
            </w:r>
          </w:p>
        </w:tc>
      </w:tr>
      <w:tr w14:paraId="2905EB8E">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854" w:hRule="atLeast"/>
        </w:trPr>
        <w:tc>
          <w:tcPr>
            <w:tcW w:w="850" w:type="pct"/>
            <w:vMerge w:val="continue"/>
            <w:noWrap w:val="0"/>
            <w:vAlign w:val="center"/>
          </w:tcPr>
          <w:p w14:paraId="2A14606E">
            <w:pPr>
              <w:pStyle w:val="13"/>
              <w:widowControl/>
              <w:spacing w:beforeAutospacing="0" w:after="150" w:afterAutospacing="0" w:line="360" w:lineRule="auto"/>
              <w:jc w:val="center"/>
              <w:rPr>
                <w:rFonts w:hint="eastAsia" w:ascii="宋体" w:hAnsi="宋体" w:cs="宋体"/>
                <w:color w:val="auto"/>
                <w:highlight w:val="none"/>
              </w:rPr>
            </w:pPr>
          </w:p>
        </w:tc>
        <w:tc>
          <w:tcPr>
            <w:tcW w:w="727" w:type="pct"/>
            <w:noWrap w:val="0"/>
            <w:vAlign w:val="center"/>
          </w:tcPr>
          <w:p w14:paraId="1BB1C4C7">
            <w:pPr>
              <w:pStyle w:val="13"/>
              <w:widowControl/>
              <w:spacing w:beforeAutospacing="0" w:after="150" w:afterAutospacing="0" w:line="360" w:lineRule="auto"/>
              <w:jc w:val="center"/>
              <w:rPr>
                <w:rFonts w:hint="eastAsia" w:ascii="宋体" w:hAnsi="宋体" w:cs="宋体"/>
                <w:color w:val="auto"/>
                <w:highlight w:val="none"/>
                <w:lang w:val="en-US" w:eastAsia="en-US"/>
              </w:rPr>
            </w:pPr>
            <w:r>
              <w:rPr>
                <w:rFonts w:hint="eastAsia" w:ascii="宋体" w:hAnsi="宋体" w:cs="宋体"/>
                <w:color w:val="auto"/>
                <w:highlight w:val="none"/>
              </w:rPr>
              <w:t>2</w:t>
            </w:r>
          </w:p>
        </w:tc>
        <w:tc>
          <w:tcPr>
            <w:tcW w:w="3422" w:type="pct"/>
            <w:noWrap w:val="0"/>
            <w:vAlign w:val="top"/>
          </w:tcPr>
          <w:p w14:paraId="06CC9C56">
            <w:pPr>
              <w:pStyle w:val="13"/>
              <w:widowControl/>
              <w:spacing w:beforeAutospacing="0" w:after="150" w:afterAutospacing="0" w:line="360" w:lineRule="auto"/>
              <w:jc w:val="both"/>
              <w:rPr>
                <w:rFonts w:hint="eastAsia" w:ascii="宋体" w:hAnsi="宋体" w:cs="宋体"/>
                <w:color w:val="auto"/>
                <w:highlight w:val="none"/>
                <w:lang w:val="en-US" w:eastAsia="zh-CN"/>
              </w:rPr>
            </w:pPr>
            <w:r>
              <w:rPr>
                <w:rFonts w:hint="eastAsia" w:ascii="宋体" w:hAnsi="宋体" w:cs="宋体"/>
                <w:color w:val="auto"/>
                <w:highlight w:val="none"/>
              </w:rPr>
              <w:t>供应商所提供硒鼓、粉盒通过环境管理体系认证，通过有害物质过程管理认证的得2分。</w:t>
            </w:r>
            <w:r>
              <w:rPr>
                <w:rFonts w:hint="eastAsia" w:ascii="宋体" w:hAnsi="宋体" w:cs="宋体"/>
                <w:color w:val="auto"/>
                <w:highlight w:val="none"/>
                <w:lang w:eastAsia="zh-CN"/>
              </w:rPr>
              <w:t>（</w:t>
            </w:r>
            <w:r>
              <w:rPr>
                <w:rFonts w:hint="eastAsia" w:ascii="宋体" w:hAnsi="宋体" w:cs="宋体"/>
                <w:color w:val="auto"/>
                <w:highlight w:val="none"/>
              </w:rPr>
              <w:t>须提供相关部门认证的有效期内认证证书，未提供不得分。</w:t>
            </w:r>
            <w:r>
              <w:rPr>
                <w:rFonts w:hint="eastAsia" w:ascii="宋体" w:hAnsi="宋体" w:cs="宋体"/>
                <w:color w:val="auto"/>
                <w:highlight w:val="none"/>
                <w:lang w:eastAsia="zh-CN"/>
              </w:rPr>
              <w:t>）</w:t>
            </w:r>
          </w:p>
        </w:tc>
      </w:tr>
      <w:tr w14:paraId="66A71CB0">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1416" w:hRule="atLeast"/>
        </w:trPr>
        <w:tc>
          <w:tcPr>
            <w:tcW w:w="850" w:type="pct"/>
            <w:vMerge w:val="restart"/>
            <w:noWrap w:val="0"/>
            <w:vAlign w:val="center"/>
          </w:tcPr>
          <w:p w14:paraId="12313968">
            <w:pPr>
              <w:pStyle w:val="13"/>
              <w:widowControl/>
              <w:spacing w:beforeAutospacing="0" w:after="150" w:afterAutospacing="0" w:line="360" w:lineRule="auto"/>
              <w:jc w:val="center"/>
              <w:rPr>
                <w:rFonts w:hint="eastAsia" w:ascii="宋体" w:hAnsi="宋体" w:cs="宋体"/>
                <w:color w:val="auto"/>
                <w:highlight w:val="none"/>
              </w:rPr>
            </w:pPr>
            <w:r>
              <w:rPr>
                <w:rFonts w:hint="eastAsia" w:ascii="宋体" w:hAnsi="宋体" w:cs="宋体"/>
                <w:color w:val="auto"/>
                <w:highlight w:val="none"/>
              </w:rPr>
              <w:t>7、文件编辑一体机</w:t>
            </w:r>
          </w:p>
        </w:tc>
        <w:tc>
          <w:tcPr>
            <w:tcW w:w="727" w:type="pct"/>
            <w:noWrap w:val="0"/>
            <w:vAlign w:val="center"/>
          </w:tcPr>
          <w:p w14:paraId="7397C785">
            <w:pPr>
              <w:pStyle w:val="13"/>
              <w:widowControl/>
              <w:spacing w:beforeAutospacing="0" w:after="150" w:afterAutospacing="0"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w:t>
            </w:r>
          </w:p>
        </w:tc>
        <w:tc>
          <w:tcPr>
            <w:tcW w:w="3422" w:type="pct"/>
            <w:noWrap w:val="0"/>
            <w:vAlign w:val="top"/>
          </w:tcPr>
          <w:p w14:paraId="5735B8A7">
            <w:pPr>
              <w:pStyle w:val="13"/>
              <w:widowControl/>
              <w:spacing w:beforeAutospacing="0" w:after="150" w:afterAutospacing="0" w:line="360" w:lineRule="auto"/>
              <w:jc w:val="both"/>
              <w:rPr>
                <w:rFonts w:hint="eastAsia" w:ascii="宋体" w:hAnsi="宋体" w:cs="宋体"/>
                <w:color w:val="auto"/>
                <w:highlight w:val="none"/>
                <w:lang w:val="en-US" w:eastAsia="zh-CN"/>
              </w:rPr>
            </w:pPr>
            <w:r>
              <w:rPr>
                <w:rFonts w:hint="eastAsia" w:ascii="宋体" w:hAnsi="宋体" w:cs="宋体"/>
                <w:color w:val="auto"/>
                <w:highlight w:val="none"/>
              </w:rPr>
              <w:t>投标人所提供全新文件编辑一体机具有超温报警功能：能够提供一种用于监测例如存储卡或存储芯片等产品的受热历程的临界温度警告设备和方法的得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rPr>
              <w:t>须提供所属该功能的有效证明材料以及相关官方网站公布的网址链接，截图证明为考评依据，未提供不得分。</w:t>
            </w:r>
            <w:r>
              <w:rPr>
                <w:rFonts w:hint="eastAsia" w:ascii="宋体" w:hAnsi="宋体" w:cs="宋体"/>
                <w:color w:val="auto"/>
                <w:highlight w:val="none"/>
                <w:lang w:eastAsia="zh-CN"/>
              </w:rPr>
              <w:t>）</w:t>
            </w:r>
          </w:p>
        </w:tc>
      </w:tr>
      <w:tr w14:paraId="12F79285">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1732" w:hRule="atLeast"/>
        </w:trPr>
        <w:tc>
          <w:tcPr>
            <w:tcW w:w="850" w:type="pct"/>
            <w:vMerge w:val="continue"/>
            <w:noWrap w:val="0"/>
            <w:vAlign w:val="center"/>
          </w:tcPr>
          <w:p w14:paraId="227FB206">
            <w:pPr>
              <w:pStyle w:val="13"/>
              <w:widowControl/>
              <w:spacing w:beforeAutospacing="0" w:after="150" w:afterAutospacing="0" w:line="360" w:lineRule="auto"/>
              <w:jc w:val="center"/>
              <w:rPr>
                <w:rFonts w:hint="eastAsia" w:ascii="宋体" w:hAnsi="宋体" w:cs="宋体"/>
                <w:color w:val="auto"/>
                <w:highlight w:val="none"/>
              </w:rPr>
            </w:pPr>
          </w:p>
        </w:tc>
        <w:tc>
          <w:tcPr>
            <w:tcW w:w="727" w:type="pct"/>
            <w:noWrap w:val="0"/>
            <w:vAlign w:val="center"/>
          </w:tcPr>
          <w:p w14:paraId="1DE90A0C">
            <w:pPr>
              <w:pStyle w:val="13"/>
              <w:widowControl/>
              <w:spacing w:beforeAutospacing="0" w:after="150" w:afterAutospacing="0"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w:t>
            </w:r>
          </w:p>
        </w:tc>
        <w:tc>
          <w:tcPr>
            <w:tcW w:w="3422" w:type="pct"/>
            <w:noWrap w:val="0"/>
            <w:vAlign w:val="top"/>
          </w:tcPr>
          <w:p w14:paraId="45B15EAF">
            <w:pPr>
              <w:pStyle w:val="13"/>
              <w:widowControl/>
              <w:spacing w:beforeAutospacing="0" w:after="150" w:afterAutospacing="0" w:line="360" w:lineRule="auto"/>
              <w:jc w:val="both"/>
              <w:rPr>
                <w:rFonts w:hint="eastAsia" w:ascii="宋体" w:hAnsi="宋体" w:cs="宋体"/>
                <w:color w:val="auto"/>
                <w:highlight w:val="none"/>
                <w:lang w:val="en-US" w:eastAsia="zh-CN"/>
              </w:rPr>
            </w:pPr>
            <w:r>
              <w:rPr>
                <w:rFonts w:hint="eastAsia" w:ascii="宋体" w:hAnsi="宋体" w:cs="宋体"/>
                <w:color w:val="auto"/>
                <w:highlight w:val="none"/>
              </w:rPr>
              <w:t>投标人所提供全新文件编辑一体机具有USB端口管理：探测与USB端口的装置连接；根据所述连接生成系统管理中断，其使得所述基本输入/输出系统，掌管对所述电子设备的控制的得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rPr>
              <w:t>须提供所属该功能的有效证明材料以及相关官方网站公布的网址链接，截图证明为考评依据，未提供不得分。</w:t>
            </w:r>
            <w:r>
              <w:rPr>
                <w:rFonts w:hint="eastAsia" w:ascii="宋体" w:hAnsi="宋体" w:cs="宋体"/>
                <w:color w:val="auto"/>
                <w:highlight w:val="none"/>
                <w:lang w:eastAsia="zh-CN"/>
              </w:rPr>
              <w:t>）</w:t>
            </w:r>
          </w:p>
        </w:tc>
      </w:tr>
      <w:tr w14:paraId="5F971AE4">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1732" w:hRule="atLeast"/>
        </w:trPr>
        <w:tc>
          <w:tcPr>
            <w:tcW w:w="850" w:type="pct"/>
            <w:vMerge w:val="continue"/>
            <w:noWrap w:val="0"/>
            <w:vAlign w:val="center"/>
          </w:tcPr>
          <w:p w14:paraId="7ED88FD1">
            <w:pPr>
              <w:pStyle w:val="13"/>
              <w:widowControl/>
              <w:spacing w:beforeAutospacing="0" w:after="150" w:afterAutospacing="0" w:line="360" w:lineRule="auto"/>
              <w:jc w:val="center"/>
              <w:rPr>
                <w:rFonts w:hint="eastAsia" w:ascii="宋体" w:hAnsi="宋体" w:cs="宋体"/>
                <w:color w:val="auto"/>
                <w:highlight w:val="none"/>
              </w:rPr>
            </w:pPr>
          </w:p>
        </w:tc>
        <w:tc>
          <w:tcPr>
            <w:tcW w:w="727" w:type="pct"/>
            <w:noWrap w:val="0"/>
            <w:vAlign w:val="center"/>
          </w:tcPr>
          <w:p w14:paraId="3ED0EE77">
            <w:pPr>
              <w:pStyle w:val="13"/>
              <w:widowControl/>
              <w:spacing w:beforeAutospacing="0" w:after="150" w:afterAutospacing="0"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w:t>
            </w:r>
          </w:p>
        </w:tc>
        <w:tc>
          <w:tcPr>
            <w:tcW w:w="3422" w:type="pct"/>
            <w:noWrap w:val="0"/>
            <w:vAlign w:val="top"/>
          </w:tcPr>
          <w:p w14:paraId="3B9279D2">
            <w:pPr>
              <w:pStyle w:val="13"/>
              <w:widowControl/>
              <w:spacing w:beforeAutospacing="0" w:after="150" w:afterAutospacing="0" w:line="360" w:lineRule="auto"/>
              <w:jc w:val="both"/>
              <w:rPr>
                <w:rFonts w:hint="eastAsia" w:ascii="宋体" w:hAnsi="宋体" w:cs="宋体"/>
                <w:color w:val="auto"/>
                <w:highlight w:val="none"/>
                <w:lang w:val="en-US" w:eastAsia="zh-CN"/>
              </w:rPr>
            </w:pPr>
            <w:r>
              <w:rPr>
                <w:rFonts w:hint="eastAsia" w:ascii="宋体" w:hAnsi="宋体" w:cs="宋体"/>
                <w:color w:val="auto"/>
                <w:highlight w:val="none"/>
              </w:rPr>
              <w:t>投标人所提供全新文件编辑一体机具有虚拟写保护系统（一种包含虚拟写保护信息的光学介质可以被记录在驱动器和系统中而不用通过接受有效用户输入而首先将写保护从打开改变为关闭）以及计算机系统中用于故障恢复的方法和设备的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color w:val="auto"/>
                <w:highlight w:val="none"/>
              </w:rPr>
              <w:t>须提供所属该功能的有效证明材料以及相关 官方网站公布的网址链接，截图证明为考评依据，未提供不得分。</w:t>
            </w:r>
            <w:r>
              <w:rPr>
                <w:rFonts w:hint="eastAsia" w:ascii="宋体" w:hAnsi="宋体" w:cs="宋体"/>
                <w:color w:val="auto"/>
                <w:highlight w:val="none"/>
                <w:lang w:eastAsia="zh-CN"/>
              </w:rPr>
              <w:t>）</w:t>
            </w:r>
          </w:p>
        </w:tc>
      </w:tr>
      <w:tr w14:paraId="2E3E67A9">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90" w:hRule="atLeast"/>
        </w:trPr>
        <w:tc>
          <w:tcPr>
            <w:tcW w:w="850" w:type="pct"/>
            <w:noWrap w:val="0"/>
            <w:vAlign w:val="center"/>
          </w:tcPr>
          <w:p w14:paraId="49F4D597">
            <w:pPr>
              <w:pStyle w:val="13"/>
              <w:widowControl/>
              <w:spacing w:beforeAutospacing="0" w:after="150" w:afterAutospacing="0" w:line="360" w:lineRule="auto"/>
              <w:jc w:val="center"/>
              <w:rPr>
                <w:rFonts w:hint="eastAsia" w:ascii="宋体" w:hAnsi="宋体" w:cs="宋体"/>
                <w:color w:val="auto"/>
                <w:highlight w:val="none"/>
                <w:lang w:val="en-US" w:eastAsia="en-US"/>
              </w:rPr>
            </w:pPr>
            <w:r>
              <w:rPr>
                <w:rFonts w:hint="eastAsia" w:ascii="宋体" w:hAnsi="宋体" w:cs="宋体"/>
                <w:color w:val="auto"/>
                <w:highlight w:val="none"/>
                <w:lang w:val="en-US" w:eastAsia="en-US"/>
              </w:rPr>
              <w:t>8、网络摄像机</w:t>
            </w:r>
          </w:p>
        </w:tc>
        <w:tc>
          <w:tcPr>
            <w:tcW w:w="727" w:type="pct"/>
            <w:noWrap w:val="0"/>
            <w:vAlign w:val="center"/>
          </w:tcPr>
          <w:p w14:paraId="4A2C2DAA">
            <w:pPr>
              <w:pStyle w:val="13"/>
              <w:widowControl/>
              <w:spacing w:beforeAutospacing="0" w:after="150" w:afterAutospacing="0"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w:t>
            </w:r>
          </w:p>
        </w:tc>
        <w:tc>
          <w:tcPr>
            <w:tcW w:w="3422" w:type="pct"/>
            <w:noWrap w:val="0"/>
            <w:vAlign w:val="top"/>
          </w:tcPr>
          <w:p w14:paraId="6941BC39">
            <w:pPr>
              <w:pStyle w:val="13"/>
              <w:widowControl/>
              <w:spacing w:beforeAutospacing="0" w:after="150" w:afterAutospacing="0" w:line="360" w:lineRule="auto"/>
              <w:jc w:val="both"/>
              <w:rPr>
                <w:rFonts w:hint="eastAsia" w:ascii="宋体" w:hAnsi="宋体" w:cs="宋体"/>
                <w:color w:val="auto"/>
                <w:highlight w:val="none"/>
                <w:lang w:val="en-US" w:eastAsia="en-US"/>
              </w:rPr>
            </w:pPr>
            <w:r>
              <w:rPr>
                <w:rFonts w:hint="eastAsia" w:ascii="宋体" w:hAnsi="宋体" w:cs="宋体"/>
                <w:color w:val="auto"/>
                <w:highlight w:val="none"/>
                <w:lang w:val="en-US" w:eastAsia="en-US"/>
              </w:rPr>
              <w:t>供应商所提供网络摄像机支持预览时对实时视频流进行手动打标签，通过标签检索可以检索到相关的录像片段；支持预览的单窗口轮巡，设备支持在多画面的固定窗口上进行轮巡预览，其他预览窗口不轮巡的得</w:t>
            </w:r>
            <w:r>
              <w:rPr>
                <w:rFonts w:hint="eastAsia" w:ascii="宋体" w:hAnsi="宋体" w:cs="宋体"/>
                <w:color w:val="auto"/>
                <w:highlight w:val="none"/>
                <w:lang w:val="en-US" w:eastAsia="zh-CN"/>
              </w:rPr>
              <w:t>3</w:t>
            </w:r>
            <w:r>
              <w:rPr>
                <w:rFonts w:hint="eastAsia" w:ascii="宋体" w:hAnsi="宋体" w:cs="宋体"/>
                <w:color w:val="auto"/>
                <w:highlight w:val="none"/>
                <w:lang w:val="en-US" w:eastAsia="en-US"/>
              </w:rPr>
              <w:t>分。（须提供国家权威机构出具的检验报告证明文件，未提供或者材料无法认定的不得分。）</w:t>
            </w:r>
          </w:p>
        </w:tc>
      </w:tr>
      <w:tr w14:paraId="42404B2D">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1416" w:hRule="atLeast"/>
        </w:trPr>
        <w:tc>
          <w:tcPr>
            <w:tcW w:w="850" w:type="pct"/>
            <w:noWrap w:val="0"/>
            <w:vAlign w:val="center"/>
          </w:tcPr>
          <w:p w14:paraId="571B5B4B">
            <w:pPr>
              <w:pStyle w:val="13"/>
              <w:widowControl/>
              <w:spacing w:beforeAutospacing="0" w:after="150" w:afterAutospacing="0" w:line="360" w:lineRule="auto"/>
              <w:jc w:val="center"/>
              <w:rPr>
                <w:rFonts w:hint="eastAsia" w:ascii="宋体" w:hAnsi="宋体" w:cs="宋体"/>
                <w:color w:val="auto"/>
                <w:highlight w:val="none"/>
                <w:lang w:val="en-US" w:eastAsia="en-US"/>
              </w:rPr>
            </w:pPr>
            <w:r>
              <w:rPr>
                <w:rFonts w:hint="eastAsia" w:ascii="宋体" w:hAnsi="宋体" w:cs="宋体"/>
                <w:color w:val="auto"/>
                <w:highlight w:val="none"/>
                <w:lang w:val="en-US" w:eastAsia="en-US"/>
              </w:rPr>
              <w:t>9、硬盘录像机</w:t>
            </w:r>
          </w:p>
        </w:tc>
        <w:tc>
          <w:tcPr>
            <w:tcW w:w="727" w:type="pct"/>
            <w:noWrap w:val="0"/>
            <w:vAlign w:val="center"/>
          </w:tcPr>
          <w:p w14:paraId="26C01B6A">
            <w:pPr>
              <w:pStyle w:val="13"/>
              <w:widowControl/>
              <w:spacing w:beforeAutospacing="0" w:after="150" w:afterAutospacing="0"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w:t>
            </w:r>
          </w:p>
        </w:tc>
        <w:tc>
          <w:tcPr>
            <w:tcW w:w="3422" w:type="pct"/>
            <w:noWrap w:val="0"/>
            <w:vAlign w:val="top"/>
          </w:tcPr>
          <w:p w14:paraId="5A66A686">
            <w:pPr>
              <w:pStyle w:val="13"/>
              <w:widowControl/>
              <w:spacing w:beforeAutospacing="0" w:after="150" w:afterAutospacing="0" w:line="360" w:lineRule="auto"/>
              <w:jc w:val="both"/>
              <w:rPr>
                <w:rFonts w:hint="eastAsia" w:ascii="宋体" w:hAnsi="宋体" w:cs="宋体"/>
                <w:color w:val="auto"/>
                <w:highlight w:val="none"/>
                <w:lang w:val="en-US" w:eastAsia="en-US"/>
              </w:rPr>
            </w:pPr>
            <w:r>
              <w:rPr>
                <w:rFonts w:hint="eastAsia" w:ascii="宋体" w:hAnsi="宋体" w:cs="宋体"/>
                <w:color w:val="auto"/>
                <w:highlight w:val="none"/>
                <w:lang w:val="en-US" w:eastAsia="en-US"/>
              </w:rPr>
              <w:t>供应商所提供硬盘录像机设备支持分组管理，支持将接入的视频通道按分组管理；支持以分组方式进行预览、回放和检索；自定义视图支持以分组方式拖动通道进行配置的得3分。（须提供国家权威机构出具的检验报告证明文件，未提供或者材料无法认定的不得分。）</w:t>
            </w:r>
          </w:p>
        </w:tc>
      </w:tr>
      <w:tr w14:paraId="340F27CB">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1421" w:hRule="atLeast"/>
        </w:trPr>
        <w:tc>
          <w:tcPr>
            <w:tcW w:w="850" w:type="pct"/>
            <w:noWrap w:val="0"/>
            <w:vAlign w:val="center"/>
          </w:tcPr>
          <w:p w14:paraId="78DFBF6B">
            <w:pPr>
              <w:pStyle w:val="13"/>
              <w:widowControl/>
              <w:spacing w:beforeAutospacing="0" w:after="150" w:afterAutospacing="0" w:line="360" w:lineRule="auto"/>
              <w:jc w:val="center"/>
              <w:rPr>
                <w:rFonts w:hint="eastAsia"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、安全生产保密措施及应急预案</w:t>
            </w:r>
          </w:p>
        </w:tc>
        <w:tc>
          <w:tcPr>
            <w:tcW w:w="727" w:type="pct"/>
            <w:noWrap w:val="0"/>
            <w:vAlign w:val="center"/>
          </w:tcPr>
          <w:p w14:paraId="1F5DAC72">
            <w:pPr>
              <w:pStyle w:val="13"/>
              <w:widowControl/>
              <w:spacing w:beforeAutospacing="0" w:after="150" w:afterAutospacing="0"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rPr>
              <w:t>3</w:t>
            </w:r>
          </w:p>
        </w:tc>
        <w:tc>
          <w:tcPr>
            <w:tcW w:w="3422" w:type="pct"/>
            <w:noWrap w:val="0"/>
            <w:vAlign w:val="top"/>
          </w:tcPr>
          <w:p w14:paraId="3557EA1C">
            <w:pPr>
              <w:pStyle w:val="13"/>
              <w:widowControl/>
              <w:spacing w:beforeAutospacing="0" w:after="150" w:afterAutospacing="0" w:line="360" w:lineRule="auto"/>
              <w:jc w:val="both"/>
              <w:rPr>
                <w:rFonts w:hint="eastAsia" w:ascii="宋体" w:hAnsi="宋体" w:cs="宋体"/>
                <w:color w:val="auto"/>
                <w:highlight w:val="none"/>
              </w:rPr>
            </w:pPr>
            <w:r>
              <w:rPr>
                <w:rFonts w:hint="eastAsia" w:ascii="宋体" w:hAnsi="宋体" w:cs="宋体"/>
                <w:color w:val="auto"/>
                <w:highlight w:val="none"/>
              </w:rPr>
              <w:t>根据投标人所提供的安全生产保密措施及印刷、配送过程中可能会发生的突发情况制定相应的应急预案由评委进行评分：方案可行、合理、实用性强的得3分</w:t>
            </w:r>
            <w:r>
              <w:rPr>
                <w:rFonts w:hint="eastAsia" w:ascii="宋体" w:hAnsi="宋体" w:cs="宋体"/>
                <w:color w:val="auto"/>
                <w:highlight w:val="none"/>
                <w:lang w:eastAsia="zh-CN"/>
              </w:rPr>
              <w:t>；</w:t>
            </w:r>
            <w:r>
              <w:rPr>
                <w:rFonts w:hint="eastAsia" w:ascii="宋体" w:hAnsi="宋体" w:cs="宋体"/>
                <w:color w:val="auto"/>
                <w:highlight w:val="none"/>
              </w:rPr>
              <w:t>方案可行、合理、实用性较强的得</w:t>
            </w:r>
            <w:r>
              <w:rPr>
                <w:rFonts w:hint="eastAsia" w:ascii="宋体" w:hAnsi="宋体" w:cs="宋体"/>
                <w:color w:val="auto"/>
                <w:highlight w:val="none"/>
                <w:lang w:val="en-US" w:eastAsia="zh-CN"/>
              </w:rPr>
              <w:t>2</w:t>
            </w:r>
            <w:r>
              <w:rPr>
                <w:rFonts w:hint="eastAsia" w:ascii="宋体" w:hAnsi="宋体" w:cs="宋体"/>
                <w:color w:val="auto"/>
                <w:highlight w:val="none"/>
              </w:rPr>
              <w:t>分，方案可行、合理、实用性一般的得</w:t>
            </w:r>
            <w:r>
              <w:rPr>
                <w:rFonts w:hint="eastAsia" w:ascii="宋体" w:hAnsi="宋体" w:cs="宋体"/>
                <w:color w:val="auto"/>
                <w:highlight w:val="none"/>
                <w:lang w:val="en-US" w:eastAsia="zh-CN"/>
              </w:rPr>
              <w:t>1</w:t>
            </w:r>
            <w:r>
              <w:rPr>
                <w:rFonts w:hint="eastAsia" w:ascii="宋体" w:hAnsi="宋体" w:cs="宋体"/>
                <w:color w:val="auto"/>
                <w:highlight w:val="none"/>
              </w:rPr>
              <w:t>分，未提供方案或方案不可行的不得分。</w:t>
            </w:r>
          </w:p>
        </w:tc>
      </w:tr>
    </w:tbl>
    <w:p w14:paraId="0DF7C10A">
      <w:pPr>
        <w:pStyle w:val="13"/>
        <w:widowControl/>
        <w:spacing w:beforeAutospacing="0" w:after="150" w:afterAutospacing="0"/>
        <w:rPr>
          <w:rFonts w:ascii="宋体" w:hAnsi="宋体" w:cs="宋体"/>
          <w:b/>
          <w:bCs/>
          <w:color w:val="auto"/>
          <w:highlight w:val="none"/>
        </w:rPr>
      </w:pPr>
    </w:p>
    <w:p w14:paraId="30100B21">
      <w:pPr>
        <w:pStyle w:val="13"/>
        <w:widowControl/>
        <w:spacing w:beforeAutospacing="0" w:after="150" w:afterAutospacing="0"/>
        <w:rPr>
          <w:rFonts w:ascii="宋体" w:hAnsi="宋体" w:cs="宋体"/>
          <w:b/>
          <w:bCs/>
          <w:color w:val="auto"/>
          <w:highlight w:val="none"/>
        </w:rPr>
      </w:pPr>
      <w:r>
        <w:rPr>
          <w:rFonts w:hint="eastAsia" w:ascii="宋体" w:hAnsi="宋体" w:cs="宋体"/>
          <w:b/>
          <w:bCs/>
          <w:color w:val="auto"/>
          <w:highlight w:val="none"/>
        </w:rPr>
        <w:t>③商务项（F3×A3）满分为</w:t>
      </w:r>
      <w:r>
        <w:rPr>
          <w:rFonts w:hint="eastAsia" w:ascii="宋体" w:hAnsi="宋体" w:cs="宋体"/>
          <w:b/>
          <w:bCs/>
          <w:color w:val="auto"/>
          <w:highlight w:val="none"/>
          <w:u w:val="single"/>
          <w:lang w:val="en-US" w:eastAsia="zh-CN"/>
        </w:rPr>
        <w:t>11</w:t>
      </w:r>
      <w:r>
        <w:rPr>
          <w:rFonts w:hint="eastAsia" w:ascii="宋体" w:hAnsi="宋体" w:cs="宋体"/>
          <w:b/>
          <w:bCs/>
          <w:color w:val="auto"/>
          <w:highlight w:val="none"/>
        </w:rPr>
        <w:t>分。</w:t>
      </w:r>
    </w:p>
    <w:tbl>
      <w:tblPr>
        <w:tblStyle w:val="52"/>
        <w:tblW w:w="8970" w:type="dxa"/>
        <w:tblInd w:w="-3" w:type="dxa"/>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Layout w:type="autofit"/>
        <w:tblCellMar>
          <w:top w:w="0" w:type="dxa"/>
          <w:left w:w="0" w:type="dxa"/>
          <w:bottom w:w="0" w:type="dxa"/>
          <w:right w:w="0" w:type="dxa"/>
        </w:tblCellMar>
      </w:tblPr>
      <w:tblGrid>
        <w:gridCol w:w="1545"/>
        <w:gridCol w:w="1305"/>
        <w:gridCol w:w="6120"/>
      </w:tblGrid>
      <w:tr w14:paraId="1472289E">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72" w:hRule="atLeast"/>
        </w:trPr>
        <w:tc>
          <w:tcPr>
            <w:tcW w:w="1545" w:type="dxa"/>
            <w:noWrap w:val="0"/>
            <w:vAlign w:val="center"/>
          </w:tcPr>
          <w:p w14:paraId="7F34EB46">
            <w:pPr>
              <w:pStyle w:val="13"/>
              <w:widowControl/>
              <w:spacing w:beforeAutospacing="0" w:after="150" w:afterAutospacing="0" w:line="360" w:lineRule="auto"/>
              <w:jc w:val="center"/>
              <w:rPr>
                <w:rFonts w:hint="eastAsia" w:ascii="宋体" w:hAnsi="宋体" w:cs="宋体"/>
                <w:b/>
                <w:bCs/>
                <w:color w:val="auto"/>
                <w:highlight w:val="none"/>
              </w:rPr>
            </w:pPr>
            <w:r>
              <w:rPr>
                <w:rFonts w:hint="eastAsia" w:ascii="宋体" w:hAnsi="宋体" w:cs="宋体"/>
                <w:b/>
                <w:bCs/>
                <w:color w:val="auto"/>
                <w:highlight w:val="none"/>
              </w:rPr>
              <w:t>评标项目</w:t>
            </w:r>
          </w:p>
        </w:tc>
        <w:tc>
          <w:tcPr>
            <w:tcW w:w="1305" w:type="dxa"/>
            <w:noWrap w:val="0"/>
            <w:vAlign w:val="center"/>
          </w:tcPr>
          <w:p w14:paraId="48ED2FAA">
            <w:pPr>
              <w:pStyle w:val="13"/>
              <w:widowControl/>
              <w:spacing w:beforeAutospacing="0" w:after="150" w:afterAutospacing="0" w:line="360" w:lineRule="auto"/>
              <w:jc w:val="center"/>
              <w:rPr>
                <w:rFonts w:hint="eastAsia" w:ascii="宋体" w:hAnsi="宋体" w:cs="宋体"/>
                <w:b/>
                <w:bCs/>
                <w:color w:val="auto"/>
                <w:highlight w:val="none"/>
              </w:rPr>
            </w:pPr>
            <w:r>
              <w:rPr>
                <w:rFonts w:hint="eastAsia" w:ascii="宋体" w:hAnsi="宋体" w:cs="宋体"/>
                <w:b/>
                <w:bCs/>
                <w:color w:val="auto"/>
                <w:highlight w:val="none"/>
              </w:rPr>
              <w:t>评标分值</w:t>
            </w:r>
          </w:p>
        </w:tc>
        <w:tc>
          <w:tcPr>
            <w:tcW w:w="6120" w:type="dxa"/>
            <w:noWrap w:val="0"/>
            <w:vAlign w:val="center"/>
          </w:tcPr>
          <w:p w14:paraId="591A8F70">
            <w:pPr>
              <w:pStyle w:val="13"/>
              <w:widowControl/>
              <w:spacing w:beforeAutospacing="0" w:after="150" w:afterAutospacing="0" w:line="360" w:lineRule="auto"/>
              <w:rPr>
                <w:rFonts w:hint="eastAsia" w:ascii="宋体" w:hAnsi="宋体" w:cs="宋体"/>
                <w:b/>
                <w:bCs/>
                <w:color w:val="auto"/>
                <w:highlight w:val="none"/>
              </w:rPr>
            </w:pPr>
            <w:r>
              <w:rPr>
                <w:rFonts w:hint="eastAsia" w:ascii="宋体" w:hAnsi="宋体" w:cs="宋体"/>
                <w:b/>
                <w:bCs/>
                <w:color w:val="auto"/>
                <w:highlight w:val="none"/>
              </w:rPr>
              <w:t>评标方法描述</w:t>
            </w:r>
          </w:p>
        </w:tc>
      </w:tr>
      <w:tr w14:paraId="36D19BFE">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772" w:hRule="atLeast"/>
        </w:trPr>
        <w:tc>
          <w:tcPr>
            <w:tcW w:w="1545" w:type="dxa"/>
            <w:noWrap w:val="0"/>
            <w:vAlign w:val="center"/>
          </w:tcPr>
          <w:p w14:paraId="0CC05CF6">
            <w:pPr>
              <w:pStyle w:val="13"/>
              <w:widowControl/>
              <w:spacing w:beforeAutospacing="0" w:after="150" w:afterAutospacing="0" w:line="360" w:lineRule="auto"/>
              <w:jc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1、业绩</w:t>
            </w:r>
          </w:p>
        </w:tc>
        <w:tc>
          <w:tcPr>
            <w:tcW w:w="1305" w:type="dxa"/>
            <w:noWrap w:val="0"/>
            <w:vAlign w:val="center"/>
          </w:tcPr>
          <w:p w14:paraId="67BE3F9D">
            <w:pPr>
              <w:pStyle w:val="13"/>
              <w:widowControl/>
              <w:spacing w:beforeAutospacing="0" w:after="150" w:afterAutospacing="0" w:line="360" w:lineRule="auto"/>
              <w:jc w:val="center"/>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w:t>
            </w:r>
          </w:p>
        </w:tc>
        <w:tc>
          <w:tcPr>
            <w:tcW w:w="6120" w:type="dxa"/>
            <w:noWrap w:val="0"/>
            <w:vAlign w:val="center"/>
          </w:tcPr>
          <w:p w14:paraId="5B15362F">
            <w:pPr>
              <w:pStyle w:val="13"/>
              <w:widowControl/>
              <w:spacing w:beforeAutospacing="0" w:after="150" w:afterAutospacing="0"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投标人提供2024年至投标截止时间前，每提供一份服务过的业主单位业绩的得1分，满分2分。</w:t>
            </w:r>
            <w:r>
              <w:rPr>
                <w:rFonts w:hint="eastAsia" w:ascii="宋体" w:hAnsi="宋体" w:cs="宋体"/>
                <w:b/>
                <w:bCs/>
                <w:color w:val="auto"/>
                <w:highlight w:val="none"/>
                <w:u w:val="none"/>
                <w:lang w:val="en-US" w:eastAsia="zh-CN"/>
              </w:rPr>
              <w:t>【</w:t>
            </w:r>
            <w:r>
              <w:rPr>
                <w:rFonts w:hint="eastAsia" w:ascii="宋体" w:hAnsi="宋体" w:eastAsia="宋体" w:cs="宋体"/>
                <w:b/>
                <w:bCs/>
                <w:color w:val="auto"/>
                <w:sz w:val="24"/>
                <w:szCs w:val="24"/>
                <w:highlight w:val="none"/>
                <w:u w:val="none"/>
              </w:rPr>
              <w:t>供应商须提供该业绩项目</w:t>
            </w:r>
            <w:r>
              <w:rPr>
                <w:rFonts w:hint="eastAsia" w:ascii="宋体" w:hAnsi="宋体" w:eastAsia="宋体" w:cs="宋体"/>
                <w:b/>
                <w:bCs/>
                <w:color w:val="auto"/>
                <w:sz w:val="24"/>
                <w:szCs w:val="24"/>
                <w:highlight w:val="none"/>
                <w:u w:val="none"/>
                <w:lang w:val="en-US" w:eastAsia="zh-CN"/>
              </w:rPr>
              <w:t>的</w:t>
            </w:r>
            <w:r>
              <w:rPr>
                <w:rFonts w:hint="eastAsia" w:ascii="宋体" w:hAnsi="宋体" w:eastAsia="宋体" w:cs="宋体"/>
                <w:b/>
                <w:bCs/>
                <w:color w:val="auto"/>
                <w:sz w:val="24"/>
                <w:szCs w:val="24"/>
                <w:highlight w:val="none"/>
                <w:u w:val="none"/>
              </w:rPr>
              <w:t>采购合同</w:t>
            </w:r>
            <w:r>
              <w:rPr>
                <w:rFonts w:hint="eastAsia" w:ascii="宋体" w:hAnsi="宋体" w:eastAsia="宋体" w:cs="宋体"/>
                <w:b/>
                <w:bCs/>
                <w:color w:val="auto"/>
                <w:sz w:val="24"/>
                <w:szCs w:val="24"/>
                <w:highlight w:val="none"/>
                <w:u w:val="none"/>
                <w:lang w:val="en-US" w:eastAsia="zh-CN"/>
              </w:rPr>
              <w:t>及中标通知书复印件，</w:t>
            </w:r>
            <w:r>
              <w:rPr>
                <w:rFonts w:hint="eastAsia" w:ascii="宋体" w:hAnsi="宋体" w:eastAsia="宋体" w:cs="宋体"/>
                <w:b/>
                <w:bCs/>
                <w:color w:val="auto"/>
                <w:sz w:val="24"/>
                <w:szCs w:val="24"/>
                <w:highlight w:val="none"/>
                <w:u w:val="none"/>
              </w:rPr>
              <w:t>未能提供业绩的或业绩资料提供不齐全的不得分。</w:t>
            </w:r>
            <w:r>
              <w:rPr>
                <w:rFonts w:hint="eastAsia" w:ascii="宋体" w:hAnsi="宋体" w:cs="宋体"/>
                <w:b/>
                <w:bCs/>
                <w:color w:val="auto"/>
                <w:highlight w:val="none"/>
                <w:u w:val="none"/>
                <w:lang w:val="en-US" w:eastAsia="zh-CN"/>
              </w:rPr>
              <w:t>】</w:t>
            </w:r>
          </w:p>
        </w:tc>
      </w:tr>
      <w:tr w14:paraId="327A09A8">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1081" w:hRule="atLeast"/>
        </w:trPr>
        <w:tc>
          <w:tcPr>
            <w:tcW w:w="1545" w:type="dxa"/>
            <w:tcBorders>
              <w:top w:val="single" w:color="000000" w:sz="2" w:space="0"/>
              <w:left w:val="single" w:color="000000" w:sz="2" w:space="0"/>
              <w:bottom w:val="single" w:color="000000" w:sz="2" w:space="0"/>
              <w:right w:val="single" w:color="000000" w:sz="2" w:space="0"/>
            </w:tcBorders>
            <w:noWrap w:val="0"/>
            <w:vAlign w:val="center"/>
          </w:tcPr>
          <w:p w14:paraId="4FB38BC8">
            <w:pPr>
              <w:pStyle w:val="13"/>
              <w:widowControl/>
              <w:spacing w:beforeAutospacing="0" w:after="150" w:afterAutospacing="0" w:line="360" w:lineRule="auto"/>
              <w:jc w:val="center"/>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、维修技术人员</w:t>
            </w:r>
          </w:p>
        </w:tc>
        <w:tc>
          <w:tcPr>
            <w:tcW w:w="1305" w:type="dxa"/>
            <w:tcBorders>
              <w:top w:val="single" w:color="000000" w:sz="2" w:space="0"/>
              <w:left w:val="single" w:color="000000" w:sz="2" w:space="0"/>
              <w:bottom w:val="single" w:color="000000" w:sz="2" w:space="0"/>
              <w:right w:val="single" w:color="000000" w:sz="2" w:space="0"/>
            </w:tcBorders>
            <w:noWrap w:val="0"/>
            <w:vAlign w:val="center"/>
          </w:tcPr>
          <w:p w14:paraId="5EC5168B">
            <w:pPr>
              <w:pStyle w:val="13"/>
              <w:widowControl/>
              <w:spacing w:beforeAutospacing="0" w:after="150" w:afterAutospacing="0" w:line="360" w:lineRule="auto"/>
              <w:jc w:val="center"/>
              <w:rPr>
                <w:rFonts w:hint="eastAsia" w:ascii="宋体" w:hAnsi="宋体" w:cs="宋体"/>
                <w:color w:val="auto"/>
                <w:highlight w:val="none"/>
                <w:lang w:eastAsia="zh-CN"/>
              </w:rPr>
            </w:pPr>
            <w:r>
              <w:rPr>
                <w:rFonts w:hint="eastAsia" w:ascii="宋体" w:hAnsi="宋体" w:cs="宋体"/>
                <w:color w:val="auto"/>
                <w:highlight w:val="none"/>
                <w:lang w:val="en-US" w:eastAsia="zh-CN"/>
              </w:rPr>
              <w:t>3</w:t>
            </w:r>
          </w:p>
        </w:tc>
        <w:tc>
          <w:tcPr>
            <w:tcW w:w="6120" w:type="dxa"/>
            <w:noWrap w:val="0"/>
            <w:vAlign w:val="top"/>
          </w:tcPr>
          <w:p w14:paraId="2FCF5BA4">
            <w:pPr>
              <w:pStyle w:val="13"/>
              <w:widowControl/>
              <w:spacing w:beforeAutospacing="0" w:after="150" w:afterAutospacing="0" w:line="360" w:lineRule="auto"/>
              <w:rPr>
                <w:rFonts w:hint="eastAsia" w:ascii="宋体" w:hAnsi="宋体" w:cs="宋体"/>
                <w:color w:val="auto"/>
                <w:highlight w:val="none"/>
              </w:rPr>
            </w:pPr>
            <w:r>
              <w:rPr>
                <w:rFonts w:hint="eastAsia" w:ascii="宋体" w:hAnsi="宋体" w:cs="宋体"/>
                <w:color w:val="auto"/>
                <w:highlight w:val="none"/>
              </w:rPr>
              <w:t>投标人具有持维修设备技能证书的人员得</w:t>
            </w:r>
            <w:r>
              <w:rPr>
                <w:rFonts w:hint="eastAsia" w:ascii="宋体" w:hAnsi="宋体" w:cs="宋体"/>
                <w:color w:val="auto"/>
                <w:highlight w:val="none"/>
                <w:lang w:val="en-US" w:eastAsia="zh-CN"/>
              </w:rPr>
              <w:t>3</w:t>
            </w:r>
            <w:r>
              <w:rPr>
                <w:rFonts w:hint="eastAsia" w:ascii="宋体" w:hAnsi="宋体" w:cs="宋体"/>
                <w:color w:val="auto"/>
                <w:highlight w:val="none"/>
              </w:rPr>
              <w:t>分。（须提供相应证书复印件及上述人员在</w:t>
            </w:r>
            <w:r>
              <w:rPr>
                <w:rFonts w:hint="eastAsia" w:ascii="宋体" w:hAnsi="宋体" w:cs="宋体"/>
                <w:color w:val="auto"/>
                <w:highlight w:val="none"/>
                <w:lang w:val="en-US" w:eastAsia="zh-CN"/>
              </w:rPr>
              <w:t>投标截止时间前六个月（不含投标截止时间当月）中任一月份缴纳</w:t>
            </w:r>
            <w:r>
              <w:rPr>
                <w:rFonts w:hint="eastAsia" w:ascii="宋体" w:hAnsi="宋体" w:cs="宋体"/>
                <w:color w:val="auto"/>
                <w:highlight w:val="none"/>
              </w:rPr>
              <w:t>的社保证明材料并加盖投标人公章，否则不得分）</w:t>
            </w:r>
          </w:p>
        </w:tc>
      </w:tr>
      <w:tr w14:paraId="6FE20F7E">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962" w:hRule="atLeast"/>
        </w:trPr>
        <w:tc>
          <w:tcPr>
            <w:tcW w:w="1545" w:type="dxa"/>
            <w:tcBorders>
              <w:top w:val="single" w:color="000000" w:sz="2" w:space="0"/>
              <w:left w:val="single" w:color="000000" w:sz="2" w:space="0"/>
              <w:bottom w:val="single" w:color="000000" w:sz="2" w:space="0"/>
              <w:right w:val="single" w:color="000000" w:sz="2" w:space="0"/>
            </w:tcBorders>
            <w:noWrap w:val="0"/>
            <w:vAlign w:val="center"/>
          </w:tcPr>
          <w:p w14:paraId="3DC7FF62">
            <w:pPr>
              <w:pStyle w:val="13"/>
              <w:widowControl/>
              <w:spacing w:beforeAutospacing="0" w:after="150" w:afterAutospacing="0"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3、质量保障措施</w:t>
            </w:r>
          </w:p>
        </w:tc>
        <w:tc>
          <w:tcPr>
            <w:tcW w:w="1305" w:type="dxa"/>
            <w:tcBorders>
              <w:top w:val="single" w:color="000000" w:sz="2" w:space="0"/>
              <w:left w:val="single" w:color="000000" w:sz="2" w:space="0"/>
              <w:bottom w:val="single" w:color="000000" w:sz="2" w:space="0"/>
              <w:right w:val="single" w:color="000000" w:sz="2" w:space="0"/>
            </w:tcBorders>
            <w:noWrap w:val="0"/>
            <w:vAlign w:val="center"/>
          </w:tcPr>
          <w:p w14:paraId="1A927735">
            <w:pPr>
              <w:pStyle w:val="13"/>
              <w:widowControl/>
              <w:spacing w:beforeAutospacing="0" w:after="150" w:afterAutospacing="0"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w:t>
            </w:r>
          </w:p>
        </w:tc>
        <w:tc>
          <w:tcPr>
            <w:tcW w:w="6120" w:type="dxa"/>
            <w:noWrap w:val="0"/>
            <w:vAlign w:val="center"/>
          </w:tcPr>
          <w:p w14:paraId="1AA29CEF">
            <w:pPr>
              <w:pStyle w:val="13"/>
              <w:widowControl/>
              <w:spacing w:beforeAutospacing="0" w:after="150" w:afterAutospacing="0" w:line="360" w:lineRule="auto"/>
              <w:rPr>
                <w:rFonts w:hint="eastAsia" w:ascii="宋体" w:hAnsi="宋体" w:cs="宋体"/>
                <w:color w:val="auto"/>
                <w:highlight w:val="none"/>
                <w:lang w:val="en-US" w:eastAsia="zh-Hans"/>
              </w:rPr>
            </w:pPr>
            <w:r>
              <w:rPr>
                <w:rFonts w:hint="eastAsia" w:ascii="宋体" w:hAnsi="宋体" w:cs="宋体"/>
                <w:color w:val="auto"/>
                <w:highlight w:val="none"/>
                <w:lang w:val="en-US" w:eastAsia="en-US"/>
              </w:rPr>
              <w:t>根据供应商对</w:t>
            </w:r>
            <w:r>
              <w:rPr>
                <w:rFonts w:hint="eastAsia" w:ascii="宋体" w:hAnsi="宋体" w:cs="宋体"/>
                <w:color w:val="auto"/>
                <w:highlight w:val="none"/>
                <w:lang w:val="en-US" w:eastAsia="zh-CN"/>
              </w:rPr>
              <w:t>本</w:t>
            </w:r>
            <w:r>
              <w:rPr>
                <w:rFonts w:hint="eastAsia" w:ascii="宋体" w:hAnsi="宋体" w:cs="宋体"/>
                <w:color w:val="auto"/>
                <w:highlight w:val="none"/>
                <w:lang w:val="en-US" w:eastAsia="en-US"/>
              </w:rPr>
              <w:t>项目的服务质量</w:t>
            </w:r>
            <w:r>
              <w:rPr>
                <w:rFonts w:hint="eastAsia" w:ascii="宋体" w:hAnsi="宋体" w:cs="宋体"/>
                <w:color w:val="auto"/>
                <w:highlight w:val="none"/>
                <w:lang w:val="en-US" w:eastAsia="zh-CN"/>
              </w:rPr>
              <w:t>保障措施，包括但不限于服务质量</w:t>
            </w:r>
            <w:r>
              <w:rPr>
                <w:rFonts w:hint="eastAsia" w:ascii="宋体" w:hAnsi="宋体" w:cs="宋体"/>
                <w:color w:val="auto"/>
                <w:highlight w:val="none"/>
                <w:lang w:val="en-US" w:eastAsia="en-US"/>
              </w:rPr>
              <w:t>监管制度、监管措施及达到服务满意度目标采取的措施等</w:t>
            </w:r>
            <w:r>
              <w:rPr>
                <w:rFonts w:hint="eastAsia" w:ascii="宋体" w:hAnsi="宋体" w:cs="宋体"/>
                <w:color w:val="auto"/>
                <w:highlight w:val="none"/>
                <w:lang w:val="en-US" w:eastAsia="zh-CN"/>
              </w:rPr>
              <w:t>由磋商小组进行评分：方案在满足基本要求基础上增加有利于项目实施的得3分；方案只是满足基本要求的得2分；方案内容基本响应要求但存在缺项的得1分;未提供本项不得分。</w:t>
            </w:r>
          </w:p>
        </w:tc>
      </w:tr>
      <w:tr w14:paraId="51F31B99">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0" w:type="dxa"/>
            <w:bottom w:w="0" w:type="dxa"/>
            <w:right w:w="0" w:type="dxa"/>
          </w:tblCellMar>
        </w:tblPrEx>
        <w:trPr>
          <w:trHeight w:val="405" w:hRule="atLeast"/>
        </w:trPr>
        <w:tc>
          <w:tcPr>
            <w:tcW w:w="1545" w:type="dxa"/>
            <w:noWrap w:val="0"/>
            <w:vAlign w:val="center"/>
          </w:tcPr>
          <w:p w14:paraId="065595A4">
            <w:pPr>
              <w:pStyle w:val="13"/>
              <w:widowControl/>
              <w:spacing w:beforeAutospacing="0" w:after="150" w:afterAutospacing="0" w:line="360" w:lineRule="auto"/>
              <w:jc w:val="center"/>
              <w:rPr>
                <w:rFonts w:hint="eastAsia" w:ascii="宋体" w:hAnsi="宋体" w:cs="宋体"/>
                <w:color w:val="auto"/>
                <w:highlight w:val="none"/>
                <w:lang w:val="en-US" w:eastAsia="en-US"/>
              </w:rPr>
            </w:pPr>
            <w:r>
              <w:rPr>
                <w:rFonts w:hint="eastAsia" w:ascii="宋体" w:hAnsi="宋体" w:cs="宋体"/>
                <w:color w:val="auto"/>
                <w:highlight w:val="none"/>
                <w:lang w:val="en-US" w:eastAsia="zh-CN"/>
              </w:rPr>
              <w:t>4、</w:t>
            </w:r>
            <w:r>
              <w:rPr>
                <w:rFonts w:hint="eastAsia" w:ascii="宋体" w:hAnsi="宋体" w:cs="宋体"/>
                <w:color w:val="auto"/>
                <w:highlight w:val="none"/>
                <w:lang w:val="en-US" w:eastAsia="zh-Hans"/>
              </w:rPr>
              <w:t>售后服务方案</w:t>
            </w:r>
          </w:p>
        </w:tc>
        <w:tc>
          <w:tcPr>
            <w:tcW w:w="1305" w:type="dxa"/>
            <w:noWrap w:val="0"/>
            <w:vAlign w:val="center"/>
          </w:tcPr>
          <w:p w14:paraId="2CEBF15F">
            <w:pPr>
              <w:pStyle w:val="13"/>
              <w:widowControl/>
              <w:spacing w:beforeAutospacing="0" w:after="150" w:afterAutospacing="0" w:line="360" w:lineRule="auto"/>
              <w:jc w:val="center"/>
              <w:rPr>
                <w:rFonts w:hint="eastAsia" w:ascii="宋体" w:hAnsi="宋体" w:cs="宋体"/>
                <w:color w:val="auto"/>
                <w:highlight w:val="none"/>
                <w:lang w:val="en-US" w:eastAsia="en-US"/>
              </w:rPr>
            </w:pPr>
            <w:r>
              <w:rPr>
                <w:rFonts w:hint="eastAsia" w:ascii="宋体" w:hAnsi="宋体" w:cs="宋体"/>
                <w:color w:val="auto"/>
                <w:highlight w:val="none"/>
                <w:lang w:val="en-US" w:eastAsia="zh-CN"/>
              </w:rPr>
              <w:t>3</w:t>
            </w:r>
          </w:p>
        </w:tc>
        <w:tc>
          <w:tcPr>
            <w:tcW w:w="6120" w:type="dxa"/>
            <w:noWrap w:val="0"/>
            <w:vAlign w:val="top"/>
          </w:tcPr>
          <w:p w14:paraId="6AA00CE7">
            <w:pPr>
              <w:pStyle w:val="13"/>
              <w:widowControl/>
              <w:spacing w:beforeAutospacing="0" w:after="150" w:afterAutospacing="0" w:line="360" w:lineRule="auto"/>
              <w:rPr>
                <w:rFonts w:hint="eastAsia" w:ascii="宋体" w:hAnsi="宋体" w:cs="宋体"/>
                <w:color w:val="auto"/>
                <w:highlight w:val="none"/>
                <w:lang w:val="en-US" w:eastAsia="en-US"/>
              </w:rPr>
            </w:pPr>
            <w:r>
              <w:rPr>
                <w:rFonts w:hint="eastAsia" w:ascii="宋体" w:hAnsi="宋体" w:cs="宋体"/>
                <w:color w:val="auto"/>
                <w:highlight w:val="none"/>
                <w:lang w:val="en-US" w:eastAsia="zh-Hans"/>
              </w:rPr>
              <w:t>根据</w:t>
            </w:r>
            <w:r>
              <w:rPr>
                <w:rFonts w:hint="eastAsia" w:ascii="宋体" w:hAnsi="宋体" w:cs="宋体"/>
                <w:color w:val="auto"/>
                <w:highlight w:val="none"/>
                <w:lang w:val="en-US" w:eastAsia="zh-CN"/>
              </w:rPr>
              <w:t>供应商</w:t>
            </w:r>
            <w:r>
              <w:rPr>
                <w:rFonts w:hint="eastAsia" w:ascii="宋体" w:hAnsi="宋体" w:cs="宋体"/>
                <w:color w:val="auto"/>
                <w:highlight w:val="none"/>
                <w:lang w:val="en-US" w:eastAsia="zh-Hans"/>
              </w:rPr>
              <w:t>提供的售后服务方案（包括但不限于事故赔偿、退换货处理时效、售后应急处理措施）情况进行评分：</w:t>
            </w:r>
            <w:r>
              <w:rPr>
                <w:rFonts w:hint="eastAsia" w:ascii="宋体" w:hAnsi="宋体" w:cs="宋体"/>
                <w:color w:val="auto"/>
                <w:highlight w:val="none"/>
                <w:lang w:val="en-US" w:eastAsia="zh-CN"/>
              </w:rPr>
              <w:t>方案在满足基本要求基础上增加有利于项目实施的得3分；方案只是满足基本要求的得2分；方案内容基本响应要求但存在缺项的得1分；未提供本项不得分。</w:t>
            </w:r>
          </w:p>
        </w:tc>
      </w:tr>
    </w:tbl>
    <w:p w14:paraId="7EE1C406">
      <w:pPr>
        <w:pStyle w:val="13"/>
        <w:widowControl/>
        <w:spacing w:beforeAutospacing="0" w:after="150" w:afterAutospacing="0"/>
        <w:rPr>
          <w:rFonts w:ascii="宋体" w:hAnsi="宋体" w:cs="宋体"/>
          <w:color w:val="auto"/>
          <w:highlight w:val="none"/>
        </w:rPr>
      </w:pPr>
    </w:p>
    <w:p w14:paraId="02ED9EA0">
      <w:pPr>
        <w:pStyle w:val="13"/>
        <w:widowControl/>
        <w:spacing w:beforeAutospacing="0" w:afterAutospacing="0" w:line="360" w:lineRule="exact"/>
        <w:ind w:firstLine="480"/>
        <w:rPr>
          <w:b/>
          <w:color w:val="auto"/>
          <w:highlight w:val="none"/>
        </w:rPr>
      </w:pPr>
      <w:r>
        <w:rPr>
          <w:rFonts w:hint="eastAsia" w:ascii="宋体" w:hAnsi="宋体" w:cs="宋体"/>
          <w:color w:val="auto"/>
          <w:highlight w:val="none"/>
        </w:rPr>
        <w:t>④加分项（</w:t>
      </w:r>
      <w:r>
        <w:rPr>
          <w:rFonts w:cs="Calibri"/>
          <w:color w:val="auto"/>
          <w:highlight w:val="none"/>
        </w:rPr>
        <w:t>F4</w:t>
      </w:r>
      <w:r>
        <w:rPr>
          <w:rFonts w:hint="eastAsia" w:ascii="宋体" w:hAnsi="宋体" w:cs="宋体"/>
          <w:color w:val="auto"/>
          <w:highlight w:val="none"/>
        </w:rPr>
        <w:t>×</w:t>
      </w:r>
      <w:r>
        <w:rPr>
          <w:rFonts w:cs="Calibri"/>
          <w:color w:val="auto"/>
          <w:highlight w:val="none"/>
        </w:rPr>
        <w:t>A4</w:t>
      </w:r>
      <w:r>
        <w:rPr>
          <w:rFonts w:hint="eastAsia" w:ascii="宋体" w:hAnsi="宋体" w:cs="宋体"/>
          <w:color w:val="auto"/>
          <w:highlight w:val="none"/>
        </w:rPr>
        <w:t>）</w:t>
      </w:r>
    </w:p>
    <w:p w14:paraId="3B52EDDE">
      <w:pPr>
        <w:pStyle w:val="13"/>
        <w:widowControl/>
        <w:spacing w:beforeAutospacing="0" w:afterAutospacing="0" w:line="360" w:lineRule="exact"/>
        <w:ind w:firstLine="1024" w:firstLineChars="427"/>
        <w:rPr>
          <w:color w:val="auto"/>
          <w:highlight w:val="none"/>
        </w:rPr>
      </w:pPr>
      <w:r>
        <w:rPr>
          <w:rFonts w:hint="eastAsia"/>
          <w:color w:val="auto"/>
          <w:highlight w:val="none"/>
        </w:rPr>
        <w:t>无</w:t>
      </w:r>
    </w:p>
    <w:p w14:paraId="6D9EBBAC">
      <w:pPr>
        <w:pStyle w:val="13"/>
        <w:widowControl/>
        <w:spacing w:beforeAutospacing="0" w:afterAutospacing="0" w:line="360" w:lineRule="exact"/>
        <w:ind w:firstLine="480"/>
        <w:outlineLvl w:val="3"/>
        <w:rPr>
          <w:color w:val="auto"/>
          <w:highlight w:val="none"/>
        </w:rPr>
      </w:pPr>
      <w:r>
        <w:rPr>
          <w:rFonts w:hint="eastAsia" w:ascii="宋体" w:hAnsi="宋体" w:cs="宋体"/>
          <w:color w:val="auto"/>
          <w:highlight w:val="none"/>
        </w:rPr>
        <w:t>（4）中标候选人排列规则顺序如下：</w:t>
      </w:r>
    </w:p>
    <w:p w14:paraId="1D8BAA97">
      <w:pPr>
        <w:pStyle w:val="13"/>
        <w:widowControl/>
        <w:spacing w:beforeAutospacing="0" w:afterAutospacing="0" w:line="360" w:lineRule="exact"/>
        <w:ind w:firstLine="480"/>
        <w:rPr>
          <w:color w:val="auto"/>
          <w:highlight w:val="none"/>
        </w:rPr>
      </w:pPr>
      <w:r>
        <w:rPr>
          <w:rFonts w:hint="eastAsia" w:ascii="宋体" w:hAnsi="宋体" w:cs="宋体"/>
          <w:color w:val="auto"/>
          <w:highlight w:val="none"/>
        </w:rPr>
        <w:t>a.按照评标总得分（</w:t>
      </w:r>
      <w:r>
        <w:rPr>
          <w:rFonts w:cs="Calibri"/>
          <w:color w:val="auto"/>
          <w:highlight w:val="none"/>
        </w:rPr>
        <w:t>FA</w:t>
      </w:r>
      <w:r>
        <w:rPr>
          <w:rFonts w:hint="eastAsia" w:ascii="宋体" w:hAnsi="宋体" w:cs="宋体"/>
          <w:color w:val="auto"/>
          <w:highlight w:val="none"/>
        </w:rPr>
        <w:t>）由高到低顺序排列。</w:t>
      </w:r>
    </w:p>
    <w:p w14:paraId="3AE8288C">
      <w:pPr>
        <w:pStyle w:val="13"/>
        <w:widowControl/>
        <w:spacing w:beforeAutospacing="0" w:afterAutospacing="0" w:line="360" w:lineRule="exact"/>
        <w:ind w:firstLine="480"/>
        <w:rPr>
          <w:color w:val="auto"/>
          <w:highlight w:val="none"/>
        </w:rPr>
      </w:pPr>
      <w:r>
        <w:rPr>
          <w:rFonts w:hint="eastAsia" w:ascii="宋体" w:hAnsi="宋体" w:cs="宋体"/>
          <w:color w:val="auto"/>
          <w:highlight w:val="none"/>
        </w:rPr>
        <w:t>b.评标总得分（</w:t>
      </w:r>
      <w:r>
        <w:rPr>
          <w:rFonts w:cs="Calibri"/>
          <w:color w:val="auto"/>
          <w:highlight w:val="none"/>
        </w:rPr>
        <w:t>FA</w:t>
      </w:r>
      <w:r>
        <w:rPr>
          <w:rFonts w:hint="eastAsia" w:ascii="宋体" w:hAnsi="宋体" w:cs="宋体"/>
          <w:color w:val="auto"/>
          <w:highlight w:val="none"/>
        </w:rPr>
        <w:t>）相同的，按照投标报价由高到低顺序排列。</w:t>
      </w:r>
    </w:p>
    <w:p w14:paraId="49056FE2">
      <w:pPr>
        <w:pStyle w:val="13"/>
        <w:widowControl/>
        <w:spacing w:beforeAutospacing="0" w:afterAutospacing="0" w:line="360" w:lineRule="exact"/>
        <w:ind w:firstLine="480"/>
        <w:rPr>
          <w:color w:val="auto"/>
          <w:highlight w:val="none"/>
        </w:rPr>
      </w:pPr>
      <w:r>
        <w:rPr>
          <w:rFonts w:hint="eastAsia" w:ascii="宋体" w:hAnsi="宋体" w:cs="宋体"/>
          <w:color w:val="auto"/>
          <w:highlight w:val="none"/>
        </w:rPr>
        <w:t>c.评标总得分（</w:t>
      </w:r>
      <w:r>
        <w:rPr>
          <w:rFonts w:cs="Calibri"/>
          <w:color w:val="auto"/>
          <w:highlight w:val="none"/>
        </w:rPr>
        <w:t>FA</w:t>
      </w:r>
      <w:r>
        <w:rPr>
          <w:rFonts w:hint="eastAsia" w:ascii="宋体" w:hAnsi="宋体" w:cs="宋体"/>
          <w:color w:val="auto"/>
          <w:highlight w:val="none"/>
        </w:rPr>
        <w:t>）且投标报价相同的并列。</w:t>
      </w:r>
    </w:p>
    <w:p w14:paraId="3720F273">
      <w:pPr>
        <w:pStyle w:val="13"/>
        <w:widowControl/>
        <w:spacing w:beforeAutospacing="0" w:afterAutospacing="0" w:line="360" w:lineRule="exact"/>
        <w:outlineLvl w:val="2"/>
        <w:rPr>
          <w:color w:val="auto"/>
          <w:highlight w:val="none"/>
        </w:rPr>
      </w:pPr>
      <w:r>
        <w:rPr>
          <w:rFonts w:hint="eastAsia" w:ascii="宋体" w:hAnsi="宋体" w:cs="宋体"/>
          <w:color w:val="auto"/>
          <w:highlight w:val="none"/>
        </w:rPr>
        <w:t>8、其他规定</w:t>
      </w:r>
    </w:p>
    <w:p w14:paraId="0D0A0BEF">
      <w:pPr>
        <w:pStyle w:val="13"/>
        <w:widowControl/>
        <w:spacing w:beforeAutospacing="0" w:afterAutospacing="0" w:line="360" w:lineRule="exact"/>
        <w:rPr>
          <w:color w:val="auto"/>
          <w:highlight w:val="none"/>
        </w:rPr>
      </w:pPr>
      <w:r>
        <w:rPr>
          <w:rFonts w:hint="eastAsia" w:ascii="宋体" w:hAnsi="宋体" w:cs="宋体"/>
          <w:color w:val="auto"/>
          <w:highlight w:val="none"/>
        </w:rPr>
        <w:t>8.1评标应全程保密且不得透露给任一投标人或与评标工作无关的人员。</w:t>
      </w:r>
    </w:p>
    <w:p w14:paraId="5488DFDA">
      <w:pPr>
        <w:pStyle w:val="13"/>
        <w:widowControl/>
        <w:spacing w:beforeAutospacing="0" w:afterAutospacing="0" w:line="360" w:lineRule="exact"/>
        <w:rPr>
          <w:color w:val="auto"/>
          <w:highlight w:val="none"/>
        </w:rPr>
      </w:pPr>
      <w:r>
        <w:rPr>
          <w:rFonts w:hint="eastAsia" w:ascii="宋体" w:hAnsi="宋体" w:cs="宋体"/>
          <w:color w:val="auto"/>
          <w:highlight w:val="none"/>
        </w:rPr>
        <w:t>8.2评标将进行全程实时录音录像，录音录像资料随采购文件一并存档。</w:t>
      </w:r>
    </w:p>
    <w:p w14:paraId="24BE73CA">
      <w:pPr>
        <w:pStyle w:val="13"/>
        <w:widowControl/>
        <w:spacing w:beforeAutospacing="0" w:afterAutospacing="0" w:line="360" w:lineRule="exact"/>
        <w:rPr>
          <w:color w:val="auto"/>
          <w:highlight w:val="none"/>
        </w:rPr>
      </w:pPr>
      <w:r>
        <w:rPr>
          <w:rFonts w:hint="eastAsia" w:ascii="宋体" w:hAnsi="宋体" w:cs="宋体"/>
          <w:color w:val="auto"/>
          <w:highlight w:val="none"/>
        </w:rPr>
        <w:t>8.3若投标人有任何试图干扰具体评标事务，影响评标委员会独立履行职责的行为，其投标无效。情节严重的，由财政部门列入不良行为记录。</w:t>
      </w:r>
    </w:p>
    <w:p w14:paraId="1AACE5B4">
      <w:pPr>
        <w:pStyle w:val="13"/>
        <w:widowControl/>
        <w:spacing w:beforeAutospacing="0" w:afterAutospacing="0" w:line="360" w:lineRule="exact"/>
        <w:outlineLvl w:val="3"/>
        <w:rPr>
          <w:rStyle w:val="18"/>
          <w:rFonts w:ascii="宋体" w:hAnsi="宋体" w:cs="宋体"/>
          <w:color w:val="auto"/>
          <w:sz w:val="36"/>
          <w:szCs w:val="36"/>
          <w:highlight w:val="none"/>
        </w:rPr>
      </w:pPr>
      <w:r>
        <w:rPr>
          <w:rFonts w:hint="eastAsia" w:ascii="宋体" w:hAnsi="宋体" w:cs="宋体"/>
          <w:color w:val="auto"/>
          <w:highlight w:val="none"/>
        </w:rPr>
        <w:t>8.4其他：无。</w:t>
      </w:r>
    </w:p>
    <w:p w14:paraId="0083B9B2">
      <w:pPr>
        <w:ind w:firstLine="2168" w:firstLineChars="600"/>
        <w:rPr>
          <w:rStyle w:val="18"/>
          <w:rFonts w:ascii="宋体" w:hAnsi="宋体" w:cs="宋体"/>
          <w:color w:val="auto"/>
          <w:sz w:val="36"/>
          <w:szCs w:val="36"/>
          <w:highlight w:val="none"/>
        </w:rPr>
      </w:pPr>
    </w:p>
    <w:p w14:paraId="3A9FC1AD">
      <w:pPr>
        <w:tabs>
          <w:tab w:val="left" w:pos="2603"/>
        </w:tabs>
        <w:rPr>
          <w:rStyle w:val="18"/>
          <w:rFonts w:ascii="宋体" w:hAnsi="宋体" w:cs="宋体"/>
          <w:color w:val="auto"/>
          <w:sz w:val="36"/>
          <w:szCs w:val="36"/>
          <w:highlight w:val="none"/>
        </w:rPr>
      </w:pPr>
    </w:p>
    <w:p w14:paraId="72969B7A">
      <w:pPr>
        <w:pStyle w:val="4"/>
        <w:rPr>
          <w:color w:val="auto"/>
          <w:highlight w:val="none"/>
        </w:rPr>
      </w:pPr>
    </w:p>
    <w:p w14:paraId="0E1AE0B4">
      <w:pPr>
        <w:ind w:firstLine="2168" w:firstLineChars="600"/>
        <w:rPr>
          <w:rStyle w:val="18"/>
          <w:rFonts w:hint="eastAsia" w:ascii="宋体" w:hAnsi="宋体" w:cs="宋体"/>
          <w:color w:val="auto"/>
          <w:sz w:val="36"/>
          <w:szCs w:val="36"/>
          <w:highlight w:val="none"/>
        </w:rPr>
      </w:pPr>
    </w:p>
    <w:p w14:paraId="1D8F64BB">
      <w:pPr>
        <w:ind w:firstLine="2168" w:firstLineChars="600"/>
        <w:rPr>
          <w:rStyle w:val="18"/>
          <w:rFonts w:hint="eastAsia" w:ascii="宋体" w:hAnsi="宋体" w:cs="宋体"/>
          <w:color w:val="auto"/>
          <w:sz w:val="36"/>
          <w:szCs w:val="36"/>
          <w:highlight w:val="none"/>
        </w:rPr>
      </w:pPr>
    </w:p>
    <w:p w14:paraId="11106FCC">
      <w:pPr>
        <w:ind w:firstLine="2168" w:firstLineChars="600"/>
        <w:rPr>
          <w:rStyle w:val="18"/>
          <w:rFonts w:hint="eastAsia" w:ascii="宋体" w:hAnsi="宋体" w:cs="宋体"/>
          <w:color w:val="auto"/>
          <w:sz w:val="36"/>
          <w:szCs w:val="36"/>
          <w:highlight w:val="none"/>
        </w:rPr>
      </w:pPr>
    </w:p>
    <w:p w14:paraId="146ED3F0">
      <w:pPr>
        <w:ind w:firstLine="2168" w:firstLineChars="600"/>
        <w:rPr>
          <w:rStyle w:val="18"/>
          <w:rFonts w:hint="eastAsia" w:ascii="宋体" w:hAnsi="宋体" w:cs="宋体"/>
          <w:color w:val="auto"/>
          <w:sz w:val="36"/>
          <w:szCs w:val="36"/>
          <w:highlight w:val="none"/>
        </w:rPr>
      </w:pPr>
    </w:p>
    <w:p w14:paraId="173741AC">
      <w:pPr>
        <w:ind w:firstLine="2168" w:firstLineChars="600"/>
        <w:rPr>
          <w:rStyle w:val="18"/>
          <w:rFonts w:hint="eastAsia" w:ascii="宋体" w:hAnsi="宋体" w:cs="宋体"/>
          <w:color w:val="auto"/>
          <w:sz w:val="36"/>
          <w:szCs w:val="36"/>
          <w:highlight w:val="none"/>
        </w:rPr>
      </w:pPr>
    </w:p>
    <w:p w14:paraId="48B42A3B">
      <w:pPr>
        <w:rPr>
          <w:rFonts w:hint="eastAsia"/>
          <w:color w:val="auto"/>
          <w:highlight w:val="none"/>
        </w:rPr>
      </w:pPr>
    </w:p>
    <w:p w14:paraId="4649E238">
      <w:pPr>
        <w:rPr>
          <w:rFonts w:hint="eastAsia"/>
          <w:color w:val="auto"/>
          <w:highlight w:val="none"/>
        </w:rPr>
      </w:pPr>
    </w:p>
    <w:p w14:paraId="20BC9C5A">
      <w:pPr>
        <w:jc w:val="center"/>
        <w:rPr>
          <w:rFonts w:hint="eastAsia" w:ascii="宋体" w:hAnsi="宋体" w:eastAsia="宋体" w:cs="宋体"/>
          <w:color w:val="auto"/>
          <w:sz w:val="24"/>
          <w:highlight w:val="none"/>
        </w:rPr>
      </w:pPr>
      <w:r>
        <w:rPr>
          <w:rStyle w:val="18"/>
          <w:rFonts w:hint="eastAsia" w:ascii="宋体" w:hAnsi="宋体" w:eastAsia="宋体" w:cs="宋体"/>
          <w:color w:val="auto"/>
          <w:sz w:val="36"/>
          <w:szCs w:val="36"/>
          <w:highlight w:val="none"/>
        </w:rPr>
        <w:t>第五章 招标内容及要求</w:t>
      </w:r>
    </w:p>
    <w:p w14:paraId="22ECE97E">
      <w:pPr>
        <w:tabs>
          <w:tab w:val="left" w:pos="525"/>
        </w:tabs>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一、项目概述</w:t>
      </w:r>
    </w:p>
    <w:p w14:paraId="15D375BF">
      <w:pPr>
        <w:pStyle w:val="27"/>
        <w:spacing w:line="360" w:lineRule="auto"/>
        <w:ind w:firstLine="480"/>
        <w:jc w:val="both"/>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为了进一步提高福建省南安市南星中学文印室的管理和服务水平，更好地为教育教学服务，现对我校的文印室印刷服务进行招标。</w:t>
      </w:r>
    </w:p>
    <w:p w14:paraId="5FB7DA02">
      <w:pPr>
        <w:pStyle w:val="27"/>
        <w:spacing w:line="360" w:lineRule="auto"/>
        <w:ind w:firstLine="480"/>
        <w:jc w:val="both"/>
        <w:rPr>
          <w:rFonts w:hint="eastAsia" w:ascii="宋体" w:hAnsi="宋体" w:eastAsia="宋体" w:cs="宋体"/>
          <w:b/>
          <w:bCs/>
          <w:color w:val="auto"/>
          <w:sz w:val="24"/>
          <w:szCs w:val="24"/>
          <w:highlight w:val="none"/>
        </w:rPr>
      </w:pPr>
      <w:r>
        <w:rPr>
          <w:rFonts w:hint="eastAsia" w:ascii="宋体" w:hAnsi="宋体" w:eastAsia="宋体" w:cs="宋体"/>
          <w:b w:val="0"/>
          <w:bCs/>
          <w:color w:val="auto"/>
          <w:sz w:val="24"/>
          <w:szCs w:val="24"/>
          <w:highlight w:val="none"/>
        </w:rPr>
        <w:t>本项目为印刷服务采购，包括学校教育教学所需的纸张印刷、学校行政办公所需的纸张印刷。</w:t>
      </w:r>
      <w:r>
        <w:rPr>
          <w:rFonts w:hint="eastAsia" w:ascii="宋体" w:hAnsi="宋体" w:eastAsia="宋体" w:cs="宋体"/>
          <w:b w:val="0"/>
          <w:bCs/>
          <w:color w:val="auto"/>
          <w:sz w:val="24"/>
          <w:szCs w:val="24"/>
          <w:highlight w:val="none"/>
          <w:lang w:eastAsia="zh-CN"/>
        </w:rPr>
        <w:t>服务期限为</w:t>
      </w:r>
      <w:r>
        <w:rPr>
          <w:rFonts w:hint="eastAsia" w:ascii="宋体" w:hAnsi="宋体" w:eastAsia="宋体" w:cs="宋体"/>
          <w:b w:val="0"/>
          <w:bCs/>
          <w:color w:val="auto"/>
          <w:sz w:val="24"/>
          <w:szCs w:val="24"/>
          <w:highlight w:val="none"/>
          <w:lang w:val="en-US" w:eastAsia="zh-CN"/>
        </w:rPr>
        <w:t>一年，</w:t>
      </w:r>
      <w:r>
        <w:rPr>
          <w:rFonts w:hint="eastAsia" w:ascii="宋体" w:hAnsi="宋体" w:eastAsia="宋体" w:cs="宋体"/>
          <w:b w:val="0"/>
          <w:bCs/>
          <w:color w:val="auto"/>
          <w:sz w:val="24"/>
          <w:szCs w:val="24"/>
          <w:highlight w:val="none"/>
        </w:rPr>
        <w:t>印刷</w:t>
      </w:r>
      <w:r>
        <w:rPr>
          <w:rFonts w:hint="eastAsia" w:ascii="宋体" w:hAnsi="宋体" w:eastAsia="宋体" w:cs="宋体"/>
          <w:b w:val="0"/>
          <w:bCs/>
          <w:color w:val="auto"/>
          <w:sz w:val="24"/>
          <w:szCs w:val="24"/>
          <w:highlight w:val="none"/>
          <w:lang w:val="en-US" w:eastAsia="zh-CN"/>
        </w:rPr>
        <w:t>服务预算总金额</w:t>
      </w:r>
      <w:r>
        <w:rPr>
          <w:rFonts w:hint="eastAsia" w:ascii="宋体" w:hAnsi="宋体" w:cs="宋体"/>
          <w:b w:val="0"/>
          <w:bCs/>
          <w:color w:val="auto"/>
          <w:sz w:val="24"/>
          <w:szCs w:val="24"/>
          <w:highlight w:val="none"/>
          <w:lang w:val="en-US" w:eastAsia="zh-CN"/>
        </w:rPr>
        <w:t>462000</w:t>
      </w:r>
      <w:r>
        <w:rPr>
          <w:rFonts w:hint="eastAsia" w:ascii="宋体" w:hAnsi="宋体" w:eastAsia="宋体" w:cs="宋体"/>
          <w:b w:val="0"/>
          <w:bCs/>
          <w:color w:val="auto"/>
          <w:sz w:val="24"/>
          <w:szCs w:val="24"/>
          <w:highlight w:val="none"/>
          <w:lang w:val="en-US" w:eastAsia="zh-CN"/>
        </w:rPr>
        <w:t>元，投标人投标报价时，单价不得高于最高单价限价</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合同</w:t>
      </w:r>
      <w:r>
        <w:rPr>
          <w:rFonts w:hint="eastAsia" w:ascii="宋体" w:hAnsi="宋体" w:eastAsia="宋体" w:cs="宋体"/>
          <w:b w:val="0"/>
          <w:bCs/>
          <w:color w:val="auto"/>
          <w:sz w:val="24"/>
          <w:szCs w:val="24"/>
          <w:highlight w:val="none"/>
        </w:rPr>
        <w:t>金额按中标单价</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实际文印</w:t>
      </w:r>
      <w:r>
        <w:rPr>
          <w:rFonts w:hint="eastAsia" w:ascii="宋体" w:hAnsi="宋体" w:eastAsia="宋体" w:cs="宋体"/>
          <w:b w:val="0"/>
          <w:bCs/>
          <w:color w:val="auto"/>
          <w:sz w:val="24"/>
          <w:szCs w:val="24"/>
          <w:highlight w:val="none"/>
          <w:lang w:eastAsia="zh-CN"/>
        </w:rPr>
        <w:t>数</w:t>
      </w:r>
      <w:r>
        <w:rPr>
          <w:rFonts w:hint="eastAsia" w:ascii="宋体" w:hAnsi="宋体" w:eastAsia="宋体" w:cs="宋体"/>
          <w:b w:val="0"/>
          <w:bCs/>
          <w:color w:val="auto"/>
          <w:sz w:val="24"/>
          <w:szCs w:val="24"/>
          <w:highlight w:val="none"/>
        </w:rPr>
        <w:t>量</w:t>
      </w:r>
      <w:r>
        <w:rPr>
          <w:rFonts w:hint="eastAsia" w:ascii="宋体" w:hAnsi="宋体" w:eastAsia="宋体" w:cs="宋体"/>
          <w:b w:val="0"/>
          <w:bCs/>
          <w:color w:val="auto"/>
          <w:sz w:val="24"/>
          <w:szCs w:val="24"/>
          <w:highlight w:val="none"/>
          <w:lang w:eastAsia="zh-CN"/>
        </w:rPr>
        <w:t>进行</w:t>
      </w:r>
      <w:r>
        <w:rPr>
          <w:rFonts w:hint="eastAsia" w:ascii="宋体" w:hAnsi="宋体" w:eastAsia="宋体" w:cs="宋体"/>
          <w:b w:val="0"/>
          <w:bCs/>
          <w:color w:val="auto"/>
          <w:sz w:val="24"/>
          <w:szCs w:val="24"/>
          <w:highlight w:val="none"/>
        </w:rPr>
        <w:t>结算。</w:t>
      </w:r>
      <w:r>
        <w:rPr>
          <w:rFonts w:hint="eastAsia" w:ascii="宋体" w:hAnsi="宋体" w:eastAsia="宋体" w:cs="宋体"/>
          <w:b w:val="0"/>
          <w:bCs/>
          <w:color w:val="auto"/>
          <w:sz w:val="24"/>
          <w:szCs w:val="24"/>
          <w:highlight w:val="none"/>
          <w:u w:val="none"/>
        </w:rPr>
        <w:t>特别提示：在合同期内采购政策如有变动，</w:t>
      </w:r>
      <w:r>
        <w:rPr>
          <w:rFonts w:hint="eastAsia" w:ascii="宋体" w:hAnsi="宋体" w:eastAsia="宋体" w:cs="宋体"/>
          <w:b w:val="0"/>
          <w:bCs/>
          <w:color w:val="auto"/>
          <w:sz w:val="24"/>
          <w:szCs w:val="24"/>
          <w:highlight w:val="none"/>
          <w:u w:val="none"/>
          <w:lang w:eastAsia="zh-CN"/>
        </w:rPr>
        <w:t>若</w:t>
      </w:r>
      <w:r>
        <w:rPr>
          <w:rFonts w:hint="eastAsia" w:ascii="宋体" w:hAnsi="宋体" w:eastAsia="宋体" w:cs="宋体"/>
          <w:b w:val="0"/>
          <w:bCs/>
          <w:color w:val="auto"/>
          <w:sz w:val="24"/>
          <w:szCs w:val="24"/>
          <w:highlight w:val="none"/>
          <w:u w:val="none"/>
        </w:rPr>
        <w:t>印刷服务列入政府定点采购，该项目的合同自动解除，中标人无条件执行，投标人应自行考虑文印量不足以及政策调整所带来的风险。</w:t>
      </w:r>
    </w:p>
    <w:p w14:paraId="0FC3D3FD">
      <w:pPr>
        <w:numPr>
          <w:ilvl w:val="0"/>
          <w:numId w:val="1"/>
        </w:numPr>
        <w:tabs>
          <w:tab w:val="left" w:pos="525"/>
        </w:tabs>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技术和服务要求</w:t>
      </w:r>
    </w:p>
    <w:p w14:paraId="4D718555">
      <w:pPr>
        <w:pStyle w:val="13"/>
        <w:widowControl/>
        <w:spacing w:before="75" w:beforeAutospacing="0" w:after="75" w:afterAutospacing="0"/>
        <w:jc w:val="both"/>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（1）本项目分为：五里桥校区一个印刷室，滨海校区两个印刷室。</w:t>
      </w:r>
    </w:p>
    <w:p w14:paraId="4D8BACB3">
      <w:pPr>
        <w:pStyle w:val="13"/>
        <w:widowControl/>
        <w:spacing w:before="75" w:beforeAutospacing="0" w:after="75" w:afterAutospacing="0"/>
        <w:jc w:val="both"/>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速印</w:t>
      </w:r>
      <w:r>
        <w:rPr>
          <w:rFonts w:hint="eastAsia" w:ascii="宋体" w:hAnsi="宋体" w:eastAsia="宋体" w:cs="宋体"/>
          <w:color w:val="auto"/>
          <w:szCs w:val="24"/>
          <w:highlight w:val="none"/>
          <w:lang w:val="en-US" w:eastAsia="zh-CN"/>
        </w:rPr>
        <w:t>和复印服务</w:t>
      </w:r>
      <w:r>
        <w:rPr>
          <w:rFonts w:hint="eastAsia" w:ascii="宋体" w:hAnsi="宋体" w:eastAsia="宋体" w:cs="宋体"/>
          <w:color w:val="auto"/>
          <w:szCs w:val="24"/>
          <w:highlight w:val="none"/>
        </w:rPr>
        <w:t>材料费用按指定价格报价</w:t>
      </w:r>
      <w:r>
        <w:rPr>
          <w:rFonts w:hint="eastAsia" w:ascii="宋体" w:hAnsi="宋体" w:eastAsia="宋体" w:cs="宋体"/>
          <w:color w:val="auto"/>
          <w:szCs w:val="24"/>
          <w:highlight w:val="none"/>
          <w:lang w:val="en-US" w:eastAsia="zh-CN"/>
        </w:rPr>
        <w:t>预算价为：46.2万元</w:t>
      </w:r>
    </w:p>
    <w:p w14:paraId="7F3A96A2">
      <w:pPr>
        <w:pStyle w:val="13"/>
        <w:widowControl/>
        <w:spacing w:before="75" w:beforeAutospacing="0" w:after="75" w:afterAutospacing="0"/>
        <w:jc w:val="both"/>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（3）两个校区三个</w:t>
      </w:r>
      <w:r>
        <w:rPr>
          <w:rFonts w:hint="eastAsia" w:ascii="宋体" w:hAnsi="宋体" w:eastAsia="宋体" w:cs="宋体"/>
          <w:color w:val="auto"/>
          <w:szCs w:val="24"/>
          <w:highlight w:val="none"/>
          <w:lang w:val="en-US" w:eastAsia="zh-CN"/>
        </w:rPr>
        <w:t>印刷室</w:t>
      </w:r>
      <w:r>
        <w:rPr>
          <w:rFonts w:hint="eastAsia" w:ascii="宋体" w:hAnsi="宋体" w:cs="宋体"/>
          <w:color w:val="auto"/>
          <w:szCs w:val="24"/>
          <w:highlight w:val="none"/>
          <w:lang w:val="en-US" w:eastAsia="zh-CN"/>
        </w:rPr>
        <w:t>的投标单价限价和预估印刷量（单位：元/张）</w:t>
      </w:r>
    </w:p>
    <w:tbl>
      <w:tblPr>
        <w:tblStyle w:val="16"/>
        <w:tblW w:w="8880"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6"/>
        <w:gridCol w:w="1485"/>
        <w:gridCol w:w="1425"/>
        <w:gridCol w:w="1530"/>
        <w:gridCol w:w="1814"/>
      </w:tblGrid>
      <w:tr w14:paraId="7AA36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2626" w:type="dxa"/>
            <w:vAlign w:val="center"/>
          </w:tcPr>
          <w:p w14:paraId="7B376728">
            <w:pPr>
              <w:pStyle w:val="13"/>
              <w:widowControl/>
              <w:spacing w:line="360" w:lineRule="auto"/>
              <w:ind w:right="-1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w:t>
            </w:r>
          </w:p>
        </w:tc>
        <w:tc>
          <w:tcPr>
            <w:tcW w:w="6254" w:type="dxa"/>
            <w:gridSpan w:val="4"/>
            <w:vAlign w:val="center"/>
          </w:tcPr>
          <w:p w14:paraId="28F1F149">
            <w:pPr>
              <w:pStyle w:val="13"/>
              <w:widowControl/>
              <w:spacing w:line="360" w:lineRule="auto"/>
              <w:ind w:right="-1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速印</w:t>
            </w:r>
          </w:p>
        </w:tc>
      </w:tr>
      <w:tr w14:paraId="44D4D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2626" w:type="dxa"/>
            <w:vAlign w:val="center"/>
          </w:tcPr>
          <w:p w14:paraId="1D0BACD9">
            <w:pPr>
              <w:pStyle w:val="13"/>
              <w:widowControl/>
              <w:spacing w:line="360" w:lineRule="auto"/>
              <w:ind w:right="-18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485" w:type="dxa"/>
            <w:vAlign w:val="center"/>
          </w:tcPr>
          <w:p w14:paraId="5399B361">
            <w:pPr>
              <w:pStyle w:val="13"/>
              <w:widowControl/>
              <w:spacing w:line="360" w:lineRule="auto"/>
              <w:ind w:right="-18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8开双面</w:t>
            </w:r>
          </w:p>
        </w:tc>
        <w:tc>
          <w:tcPr>
            <w:tcW w:w="1425" w:type="dxa"/>
            <w:vAlign w:val="center"/>
          </w:tcPr>
          <w:p w14:paraId="0C63E033">
            <w:pPr>
              <w:pStyle w:val="13"/>
              <w:widowControl/>
              <w:spacing w:line="360" w:lineRule="auto"/>
              <w:ind w:right="-18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8开单面</w:t>
            </w:r>
          </w:p>
        </w:tc>
        <w:tc>
          <w:tcPr>
            <w:tcW w:w="1530" w:type="dxa"/>
            <w:vAlign w:val="center"/>
          </w:tcPr>
          <w:p w14:paraId="3A3EB9A5">
            <w:pPr>
              <w:pStyle w:val="13"/>
              <w:widowControl/>
              <w:spacing w:line="360" w:lineRule="auto"/>
              <w:ind w:right="-18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16开双面</w:t>
            </w:r>
          </w:p>
        </w:tc>
        <w:tc>
          <w:tcPr>
            <w:tcW w:w="1814" w:type="dxa"/>
            <w:vAlign w:val="center"/>
          </w:tcPr>
          <w:p w14:paraId="2CF88F47">
            <w:pPr>
              <w:pStyle w:val="13"/>
              <w:widowControl/>
              <w:spacing w:line="360" w:lineRule="auto"/>
              <w:ind w:right="-18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16开单面</w:t>
            </w:r>
          </w:p>
        </w:tc>
      </w:tr>
      <w:tr w14:paraId="65082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2626" w:type="dxa"/>
            <w:vAlign w:val="center"/>
          </w:tcPr>
          <w:p w14:paraId="135F5DFB">
            <w:pPr>
              <w:pStyle w:val="13"/>
              <w:widowControl/>
              <w:spacing w:line="360" w:lineRule="auto"/>
              <w:ind w:right="-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年预计张数</w:t>
            </w:r>
          </w:p>
        </w:tc>
        <w:tc>
          <w:tcPr>
            <w:tcW w:w="1485" w:type="dxa"/>
            <w:vAlign w:val="center"/>
          </w:tcPr>
          <w:p w14:paraId="769E7CED">
            <w:pPr>
              <w:pStyle w:val="13"/>
              <w:widowControl/>
              <w:spacing w:line="360" w:lineRule="auto"/>
              <w:ind w:right="-180"/>
              <w:jc w:val="left"/>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3302839</w:t>
            </w:r>
          </w:p>
        </w:tc>
        <w:tc>
          <w:tcPr>
            <w:tcW w:w="1425" w:type="dxa"/>
            <w:vAlign w:val="center"/>
          </w:tcPr>
          <w:p w14:paraId="0D11C428">
            <w:pPr>
              <w:pStyle w:val="13"/>
              <w:widowControl/>
              <w:spacing w:line="360" w:lineRule="auto"/>
              <w:ind w:right="-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0000</w:t>
            </w:r>
          </w:p>
        </w:tc>
        <w:tc>
          <w:tcPr>
            <w:tcW w:w="1530" w:type="dxa"/>
            <w:vAlign w:val="center"/>
          </w:tcPr>
          <w:p w14:paraId="01E5345F">
            <w:pPr>
              <w:pStyle w:val="13"/>
              <w:widowControl/>
              <w:spacing w:line="360" w:lineRule="auto"/>
              <w:ind w:right="-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1200000</w:t>
            </w:r>
          </w:p>
        </w:tc>
        <w:tc>
          <w:tcPr>
            <w:tcW w:w="1814" w:type="dxa"/>
            <w:vAlign w:val="center"/>
          </w:tcPr>
          <w:p w14:paraId="5E587C8C">
            <w:pPr>
              <w:pStyle w:val="13"/>
              <w:widowControl/>
              <w:spacing w:line="360" w:lineRule="auto"/>
              <w:ind w:right="-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0000</w:t>
            </w:r>
          </w:p>
        </w:tc>
      </w:tr>
      <w:tr w14:paraId="6B561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2626" w:type="dxa"/>
            <w:vAlign w:val="center"/>
          </w:tcPr>
          <w:p w14:paraId="7E543CA9">
            <w:pPr>
              <w:pStyle w:val="13"/>
              <w:widowControl/>
              <w:spacing w:line="360" w:lineRule="auto"/>
              <w:ind w:right="-1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最高单价限价（元）</w:t>
            </w:r>
          </w:p>
        </w:tc>
        <w:tc>
          <w:tcPr>
            <w:tcW w:w="1485" w:type="dxa"/>
            <w:vAlign w:val="center"/>
          </w:tcPr>
          <w:p w14:paraId="266254AE">
            <w:pPr>
              <w:pStyle w:val="13"/>
              <w:widowControl/>
              <w:spacing w:line="360" w:lineRule="auto"/>
              <w:ind w:right="-18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0.095</w:t>
            </w:r>
          </w:p>
        </w:tc>
        <w:tc>
          <w:tcPr>
            <w:tcW w:w="1425" w:type="dxa"/>
            <w:vAlign w:val="center"/>
          </w:tcPr>
          <w:p w14:paraId="74D2B620">
            <w:pPr>
              <w:pStyle w:val="13"/>
              <w:widowControl/>
              <w:spacing w:line="360" w:lineRule="auto"/>
              <w:ind w:right="-18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0.075</w:t>
            </w:r>
          </w:p>
        </w:tc>
        <w:tc>
          <w:tcPr>
            <w:tcW w:w="1530" w:type="dxa"/>
            <w:vAlign w:val="center"/>
          </w:tcPr>
          <w:p w14:paraId="2102251C">
            <w:pPr>
              <w:pStyle w:val="13"/>
              <w:widowControl/>
              <w:spacing w:line="360" w:lineRule="auto"/>
              <w:ind w:right="-18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0.065</w:t>
            </w:r>
          </w:p>
        </w:tc>
        <w:tc>
          <w:tcPr>
            <w:tcW w:w="1814" w:type="dxa"/>
            <w:vAlign w:val="center"/>
          </w:tcPr>
          <w:p w14:paraId="7E1670E7">
            <w:pPr>
              <w:pStyle w:val="13"/>
              <w:widowControl/>
              <w:spacing w:line="360" w:lineRule="auto"/>
              <w:ind w:right="-1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0.0</w:t>
            </w:r>
            <w:r>
              <w:rPr>
                <w:rFonts w:hint="eastAsia" w:ascii="宋体" w:hAnsi="宋体" w:cs="宋体"/>
                <w:color w:val="auto"/>
                <w:sz w:val="24"/>
                <w:szCs w:val="24"/>
                <w:highlight w:val="none"/>
                <w:lang w:val="en-US" w:eastAsia="zh-CN"/>
              </w:rPr>
              <w:t>5</w:t>
            </w:r>
          </w:p>
        </w:tc>
      </w:tr>
    </w:tbl>
    <w:p w14:paraId="5236CB67">
      <w:pPr>
        <w:pStyle w:val="13"/>
        <w:widowControl/>
        <w:spacing w:before="75" w:beforeAutospacing="0" w:after="75" w:afterAutospacing="0"/>
        <w:jc w:val="both"/>
        <w:rPr>
          <w:rFonts w:hint="eastAsia" w:ascii="宋体" w:hAnsi="宋体" w:cs="宋体"/>
          <w:color w:val="auto"/>
          <w:szCs w:val="24"/>
          <w:highlight w:val="none"/>
          <w:lang w:val="en-US" w:eastAsia="zh-CN"/>
        </w:rPr>
      </w:pPr>
    </w:p>
    <w:tbl>
      <w:tblPr>
        <w:tblStyle w:val="16"/>
        <w:tblW w:w="8895"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6"/>
        <w:gridCol w:w="1515"/>
        <w:gridCol w:w="1515"/>
        <w:gridCol w:w="1455"/>
        <w:gridCol w:w="1784"/>
      </w:tblGrid>
      <w:tr w14:paraId="3165D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2626" w:type="dxa"/>
            <w:vAlign w:val="center"/>
          </w:tcPr>
          <w:p w14:paraId="1D5107EA">
            <w:pPr>
              <w:pStyle w:val="13"/>
              <w:widowControl/>
              <w:spacing w:line="360" w:lineRule="auto"/>
              <w:ind w:right="-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w:t>
            </w:r>
            <w:r>
              <w:rPr>
                <w:rFonts w:hint="eastAsia" w:ascii="宋体" w:hAnsi="宋体" w:eastAsia="宋体" w:cs="宋体"/>
                <w:color w:val="auto"/>
                <w:sz w:val="24"/>
                <w:szCs w:val="24"/>
                <w:highlight w:val="none"/>
              </w:rPr>
              <w:t>目</w:t>
            </w:r>
          </w:p>
        </w:tc>
        <w:tc>
          <w:tcPr>
            <w:tcW w:w="6269" w:type="dxa"/>
            <w:gridSpan w:val="4"/>
            <w:vAlign w:val="center"/>
          </w:tcPr>
          <w:p w14:paraId="77A5ACE1">
            <w:pPr>
              <w:pStyle w:val="13"/>
              <w:widowControl/>
              <w:spacing w:line="360" w:lineRule="auto"/>
              <w:ind w:right="-1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复印</w:t>
            </w:r>
          </w:p>
        </w:tc>
      </w:tr>
      <w:tr w14:paraId="3A85B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2626" w:type="dxa"/>
            <w:vAlign w:val="center"/>
          </w:tcPr>
          <w:p w14:paraId="761298B3">
            <w:pPr>
              <w:pStyle w:val="13"/>
              <w:widowControl/>
              <w:spacing w:line="360" w:lineRule="auto"/>
              <w:ind w:right="-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515" w:type="dxa"/>
            <w:vAlign w:val="center"/>
          </w:tcPr>
          <w:p w14:paraId="495BFD30">
            <w:pPr>
              <w:pStyle w:val="13"/>
              <w:widowControl/>
              <w:spacing w:line="360" w:lineRule="auto"/>
              <w:ind w:right="-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8开</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双面</w:t>
            </w:r>
          </w:p>
        </w:tc>
        <w:tc>
          <w:tcPr>
            <w:tcW w:w="1515" w:type="dxa"/>
            <w:vAlign w:val="center"/>
          </w:tcPr>
          <w:p w14:paraId="3C41A55D">
            <w:pPr>
              <w:pStyle w:val="13"/>
              <w:widowControl/>
              <w:spacing w:line="360" w:lineRule="auto"/>
              <w:ind w:right="-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开单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双</w:t>
            </w:r>
            <w:r>
              <w:rPr>
                <w:rFonts w:hint="eastAsia" w:ascii="宋体" w:hAnsi="宋体" w:eastAsia="宋体" w:cs="宋体"/>
                <w:color w:val="auto"/>
                <w:sz w:val="24"/>
                <w:szCs w:val="24"/>
                <w:highlight w:val="none"/>
              </w:rPr>
              <w:t>面</w:t>
            </w:r>
          </w:p>
        </w:tc>
        <w:tc>
          <w:tcPr>
            <w:tcW w:w="1455" w:type="dxa"/>
            <w:vAlign w:val="center"/>
          </w:tcPr>
          <w:p w14:paraId="6B9D2326">
            <w:pPr>
              <w:pStyle w:val="13"/>
              <w:widowControl/>
              <w:spacing w:line="360" w:lineRule="auto"/>
              <w:ind w:right="-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A4</w:t>
            </w:r>
            <w:r>
              <w:rPr>
                <w:rFonts w:hint="eastAsia" w:ascii="宋体" w:hAnsi="宋体" w:eastAsia="宋体" w:cs="宋体"/>
                <w:color w:val="auto"/>
                <w:sz w:val="24"/>
                <w:szCs w:val="24"/>
                <w:highlight w:val="none"/>
              </w:rPr>
              <w:t>双面</w:t>
            </w:r>
          </w:p>
        </w:tc>
        <w:tc>
          <w:tcPr>
            <w:tcW w:w="1784" w:type="dxa"/>
            <w:vAlign w:val="center"/>
          </w:tcPr>
          <w:p w14:paraId="6D839C9E">
            <w:pPr>
              <w:pStyle w:val="13"/>
              <w:widowControl/>
              <w:spacing w:line="360" w:lineRule="auto"/>
              <w:ind w:right="-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A4</w:t>
            </w:r>
            <w:r>
              <w:rPr>
                <w:rFonts w:hint="eastAsia" w:ascii="宋体" w:hAnsi="宋体" w:eastAsia="宋体" w:cs="宋体"/>
                <w:color w:val="auto"/>
                <w:sz w:val="24"/>
                <w:szCs w:val="24"/>
                <w:highlight w:val="none"/>
              </w:rPr>
              <w:t>单面</w:t>
            </w:r>
          </w:p>
        </w:tc>
      </w:tr>
      <w:tr w14:paraId="4E730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2626" w:type="dxa"/>
            <w:vAlign w:val="center"/>
          </w:tcPr>
          <w:p w14:paraId="526A0088">
            <w:pPr>
              <w:pStyle w:val="13"/>
              <w:widowControl/>
              <w:spacing w:line="360" w:lineRule="auto"/>
              <w:ind w:right="-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年预计张数</w:t>
            </w:r>
          </w:p>
        </w:tc>
        <w:tc>
          <w:tcPr>
            <w:tcW w:w="1515" w:type="dxa"/>
            <w:vAlign w:val="center"/>
          </w:tcPr>
          <w:p w14:paraId="3FD30C24">
            <w:pPr>
              <w:pStyle w:val="13"/>
              <w:widowControl/>
              <w:spacing w:line="360" w:lineRule="auto"/>
              <w:ind w:right="-180"/>
              <w:jc w:val="left"/>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3000</w:t>
            </w:r>
          </w:p>
        </w:tc>
        <w:tc>
          <w:tcPr>
            <w:tcW w:w="1515" w:type="dxa"/>
            <w:vAlign w:val="center"/>
          </w:tcPr>
          <w:p w14:paraId="64747BF6">
            <w:pPr>
              <w:pStyle w:val="13"/>
              <w:widowControl/>
              <w:spacing w:line="360" w:lineRule="auto"/>
              <w:ind w:right="-18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1500</w:t>
            </w:r>
          </w:p>
        </w:tc>
        <w:tc>
          <w:tcPr>
            <w:tcW w:w="1455" w:type="dxa"/>
            <w:vAlign w:val="center"/>
          </w:tcPr>
          <w:p w14:paraId="3DDDA4A3">
            <w:pPr>
              <w:pStyle w:val="13"/>
              <w:widowControl/>
              <w:spacing w:line="360" w:lineRule="auto"/>
              <w:ind w:right="-180"/>
              <w:jc w:val="left"/>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5000</w:t>
            </w:r>
          </w:p>
        </w:tc>
        <w:tc>
          <w:tcPr>
            <w:tcW w:w="1784" w:type="dxa"/>
            <w:vAlign w:val="center"/>
          </w:tcPr>
          <w:p w14:paraId="5C99866C">
            <w:pPr>
              <w:pStyle w:val="13"/>
              <w:widowControl/>
              <w:spacing w:line="360" w:lineRule="auto"/>
              <w:ind w:right="-180"/>
              <w:jc w:val="left"/>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4000</w:t>
            </w:r>
          </w:p>
        </w:tc>
      </w:tr>
      <w:tr w14:paraId="7ECAC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2626" w:type="dxa"/>
            <w:vAlign w:val="center"/>
          </w:tcPr>
          <w:p w14:paraId="118D9DB4">
            <w:pPr>
              <w:pStyle w:val="13"/>
              <w:widowControl/>
              <w:spacing w:line="360" w:lineRule="auto"/>
              <w:ind w:right="-1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w:t>
            </w:r>
            <w:r>
              <w:rPr>
                <w:rFonts w:hint="eastAsia" w:ascii="宋体" w:hAnsi="宋体" w:eastAsia="宋体" w:cs="宋体"/>
                <w:color w:val="auto"/>
                <w:sz w:val="24"/>
                <w:szCs w:val="24"/>
                <w:highlight w:val="none"/>
                <w:lang w:val="en-US" w:eastAsia="zh-CN"/>
              </w:rPr>
              <w:t>单价</w:t>
            </w:r>
            <w:r>
              <w:rPr>
                <w:rFonts w:hint="eastAsia" w:ascii="宋体" w:hAnsi="宋体" w:eastAsia="宋体" w:cs="宋体"/>
                <w:color w:val="auto"/>
                <w:sz w:val="24"/>
                <w:szCs w:val="24"/>
                <w:highlight w:val="none"/>
              </w:rPr>
              <w:t>限价</w:t>
            </w:r>
          </w:p>
        </w:tc>
        <w:tc>
          <w:tcPr>
            <w:tcW w:w="1515" w:type="dxa"/>
            <w:vAlign w:val="center"/>
          </w:tcPr>
          <w:p w14:paraId="0F78BD95">
            <w:pPr>
              <w:pStyle w:val="13"/>
              <w:widowControl/>
              <w:spacing w:line="360" w:lineRule="auto"/>
              <w:ind w:right="-18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45</w:t>
            </w:r>
          </w:p>
        </w:tc>
        <w:tc>
          <w:tcPr>
            <w:tcW w:w="1515" w:type="dxa"/>
            <w:vAlign w:val="center"/>
          </w:tcPr>
          <w:p w14:paraId="3998694B">
            <w:pPr>
              <w:pStyle w:val="13"/>
              <w:widowControl/>
              <w:spacing w:line="360" w:lineRule="auto"/>
              <w:ind w:right="-1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p>
        </w:tc>
        <w:tc>
          <w:tcPr>
            <w:tcW w:w="1455" w:type="dxa"/>
            <w:vAlign w:val="center"/>
          </w:tcPr>
          <w:p w14:paraId="5B766D2B">
            <w:pPr>
              <w:pStyle w:val="13"/>
              <w:widowControl/>
              <w:spacing w:line="360" w:lineRule="auto"/>
              <w:ind w:right="-1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p>
        </w:tc>
        <w:tc>
          <w:tcPr>
            <w:tcW w:w="1784" w:type="dxa"/>
            <w:vAlign w:val="center"/>
          </w:tcPr>
          <w:p w14:paraId="0D4E6AFC">
            <w:pPr>
              <w:pStyle w:val="13"/>
              <w:widowControl/>
              <w:spacing w:line="360" w:lineRule="auto"/>
              <w:ind w:right="-1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w:t>
            </w:r>
          </w:p>
        </w:tc>
      </w:tr>
    </w:tbl>
    <w:p w14:paraId="0D3F75F5">
      <w:pPr>
        <w:pStyle w:val="13"/>
        <w:widowControl/>
        <w:numPr>
          <w:ilvl w:val="0"/>
          <w:numId w:val="0"/>
        </w:numPr>
        <w:spacing w:before="75" w:beforeAutospacing="0" w:after="75" w:afterAutospacing="0" w:line="360" w:lineRule="auto"/>
        <w:jc w:val="both"/>
        <w:rPr>
          <w:rFonts w:hint="eastAsia" w:ascii="宋体" w:hAnsi="宋体" w:eastAsia="宋体" w:cs="宋体"/>
          <w:color w:val="auto"/>
          <w:spacing w:val="12"/>
          <w:sz w:val="24"/>
          <w:szCs w:val="24"/>
          <w:highlight w:val="none"/>
        </w:rPr>
      </w:pPr>
      <w:r>
        <w:rPr>
          <w:rFonts w:hint="eastAsia" w:ascii="宋体" w:hAnsi="宋体" w:cs="宋体"/>
          <w:b/>
          <w:bCs/>
          <w:color w:val="auto"/>
          <w:sz w:val="24"/>
          <w:szCs w:val="24"/>
          <w:highlight w:val="none"/>
          <w:lang w:val="en-US" w:eastAsia="zh-CN"/>
        </w:rPr>
        <w:t>注：中标人必须使用8K、16K、A3、A4纸为70克以上达到国家相关质量要求的复印纸张。纸张要求使用原浆纸，不能为再生纸。版面清楚，字迹清晰（少量用80克A4彩色纸印刷或复印的材料按A3/8K印刷双面中标单价结算，彩色、复印/打印按黑白中标单价结算）</w:t>
      </w:r>
    </w:p>
    <w:p w14:paraId="2F96846C">
      <w:pPr>
        <w:pStyle w:val="13"/>
        <w:widowControl/>
        <w:numPr>
          <w:ilvl w:val="0"/>
          <w:numId w:val="0"/>
        </w:numPr>
        <w:spacing w:before="75" w:beforeAutospacing="0" w:after="75" w:afterAutospacing="0"/>
        <w:jc w:val="both"/>
        <w:rPr>
          <w:rFonts w:hint="eastAsia" w:ascii="宋体" w:hAnsi="宋体" w:cs="宋体"/>
          <w:b/>
          <w:bCs/>
          <w:color w:val="auto"/>
          <w:szCs w:val="24"/>
          <w:highlight w:val="none"/>
          <w:lang w:val="en-US" w:eastAsia="zh-CN"/>
        </w:rPr>
      </w:pPr>
      <w:r>
        <w:rPr>
          <w:rFonts w:hint="eastAsia" w:ascii="宋体" w:hAnsi="宋体" w:eastAsia="宋体" w:cs="宋体"/>
          <w:color w:val="auto"/>
          <w:spacing w:val="12"/>
          <w:sz w:val="24"/>
          <w:szCs w:val="24"/>
          <w:highlight w:val="none"/>
        </w:rPr>
        <w:t>★</w:t>
      </w:r>
      <w:r>
        <w:rPr>
          <w:rFonts w:hint="eastAsia" w:ascii="宋体" w:hAnsi="宋体" w:cs="宋体"/>
          <w:color w:val="auto"/>
          <w:spacing w:val="12"/>
          <w:sz w:val="24"/>
          <w:szCs w:val="24"/>
          <w:highlight w:val="none"/>
          <w:lang w:val="en-US" w:eastAsia="zh-CN"/>
        </w:rPr>
        <w:t>(4)</w:t>
      </w:r>
      <w:r>
        <w:rPr>
          <w:rFonts w:hint="eastAsia" w:ascii="宋体" w:hAnsi="宋体" w:cs="宋体"/>
          <w:b/>
          <w:bCs/>
          <w:color w:val="auto"/>
          <w:szCs w:val="24"/>
          <w:highlight w:val="none"/>
          <w:lang w:val="en-US" w:eastAsia="zh-CN"/>
        </w:rPr>
        <w:t>报价要求</w:t>
      </w:r>
    </w:p>
    <w:p w14:paraId="6600C8E2">
      <w:pPr>
        <w:pStyle w:val="13"/>
        <w:widowControl/>
        <w:numPr>
          <w:ilvl w:val="0"/>
          <w:numId w:val="0"/>
        </w:numPr>
        <w:spacing w:before="75" w:beforeAutospacing="0" w:after="75" w:afterAutospacing="0"/>
        <w:jc w:val="both"/>
        <w:rPr>
          <w:rFonts w:hint="eastAsia" w:ascii="宋体" w:hAnsi="宋体" w:cs="宋体"/>
          <w:b/>
          <w:bCs/>
          <w:color w:val="auto"/>
          <w:szCs w:val="24"/>
          <w:highlight w:val="none"/>
          <w:lang w:val="en-US" w:eastAsia="zh-CN"/>
        </w:rPr>
      </w:pPr>
      <w:r>
        <w:rPr>
          <w:rFonts w:hint="eastAsia" w:ascii="宋体" w:hAnsi="宋体" w:cs="宋体"/>
          <w:b/>
          <w:bCs/>
          <w:color w:val="auto"/>
          <w:szCs w:val="24"/>
          <w:highlight w:val="none"/>
          <w:lang w:val="en-US" w:eastAsia="zh-CN"/>
        </w:rPr>
        <w:t>1.本项目的最高控制价为：462000万元，超过最高控价的为无效投标。</w:t>
      </w:r>
    </w:p>
    <w:p w14:paraId="169108DC">
      <w:pPr>
        <w:pStyle w:val="13"/>
        <w:widowControl/>
        <w:numPr>
          <w:ilvl w:val="0"/>
          <w:numId w:val="0"/>
        </w:numPr>
        <w:spacing w:before="75" w:beforeAutospacing="0" w:after="75" w:afterAutospacing="0"/>
        <w:jc w:val="both"/>
        <w:rPr>
          <w:rFonts w:hint="eastAsia" w:ascii="宋体" w:hAnsi="宋体" w:cs="宋体"/>
          <w:b/>
          <w:bCs/>
          <w:color w:val="auto"/>
          <w:szCs w:val="24"/>
          <w:highlight w:val="none"/>
          <w:lang w:val="en-US" w:eastAsia="zh-CN"/>
        </w:rPr>
      </w:pPr>
      <w:r>
        <w:rPr>
          <w:rFonts w:hint="eastAsia" w:ascii="宋体" w:hAnsi="宋体" w:cs="宋体"/>
          <w:b/>
          <w:bCs/>
          <w:color w:val="auto"/>
          <w:szCs w:val="24"/>
          <w:highlight w:val="none"/>
          <w:lang w:val="en-US" w:eastAsia="zh-CN"/>
        </w:rPr>
        <w:t>2.中标后，根据供应商所报价的中标折扣率对应各单价进行结算，按实际使用量进行结算。</w:t>
      </w:r>
    </w:p>
    <w:p w14:paraId="5F71083A">
      <w:pPr>
        <w:tabs>
          <w:tab w:val="left" w:pos="525"/>
        </w:tabs>
        <w:snapToGrid w:val="0"/>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（5）服务要求</w:t>
      </w:r>
    </w:p>
    <w:p w14:paraId="1513F9ED">
      <w:pPr>
        <w:tabs>
          <w:tab w:val="left" w:pos="525"/>
        </w:tabs>
        <w:snapToGrid w:val="0"/>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我校有两个校区三个印刷室，为满足学校日常教学工作需要，中标单位需提供以下服务:</w:t>
      </w:r>
    </w:p>
    <w:p w14:paraId="2947E16F">
      <w:pPr>
        <w:tabs>
          <w:tab w:val="left" w:pos="525"/>
        </w:tabs>
        <w:snapToGrid w:val="0"/>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1.中标人须为每个印刷室配置全新B4规格的速印机1台及以上，全新A3规格的速印机1台及以上。【评审项1】</w:t>
      </w:r>
    </w:p>
    <w:p w14:paraId="5D412E18">
      <w:pPr>
        <w:numPr>
          <w:ilvl w:val="0"/>
          <w:numId w:val="0"/>
        </w:numPr>
        <w:tabs>
          <w:tab w:val="left" w:pos="525"/>
        </w:tabs>
        <w:snapToGrid w:val="0"/>
        <w:spacing w:line="360" w:lineRule="auto"/>
        <w:ind w:leftChars="0"/>
        <w:rPr>
          <w:rFonts w:hint="eastAsia" w:ascii="宋体" w:hAnsi="宋体" w:eastAsia="宋体" w:cs="宋体"/>
          <w:b/>
          <w:bCs/>
          <w:color w:val="auto"/>
          <w:spacing w:val="-2"/>
          <w:sz w:val="24"/>
          <w:szCs w:val="24"/>
          <w:highlight w:val="none"/>
          <w:lang w:val="en-US" w:eastAsia="zh-CN"/>
        </w:rPr>
      </w:pPr>
      <w:r>
        <w:rPr>
          <w:rFonts w:hint="eastAsia" w:ascii="宋体" w:hAnsi="宋体" w:cs="宋体"/>
          <w:b/>
          <w:bCs/>
          <w:color w:val="auto"/>
          <w:spacing w:val="-2"/>
          <w:sz w:val="24"/>
          <w:szCs w:val="24"/>
          <w:highlight w:val="none"/>
          <w:lang w:val="en-US" w:eastAsia="zh-CN"/>
        </w:rPr>
        <w:t>2.</w:t>
      </w:r>
      <w:r>
        <w:rPr>
          <w:rFonts w:hint="eastAsia" w:ascii="宋体" w:hAnsi="宋体" w:eastAsia="宋体" w:cs="宋体"/>
          <w:b/>
          <w:bCs/>
          <w:color w:val="auto"/>
          <w:spacing w:val="-2"/>
          <w:sz w:val="24"/>
          <w:szCs w:val="24"/>
          <w:highlight w:val="none"/>
          <w:lang w:val="en-US" w:eastAsia="zh-CN"/>
        </w:rPr>
        <w:t>中标人须为每个印刷室配置A3规格的激光复印机1台及以上。</w:t>
      </w:r>
      <w:r>
        <w:rPr>
          <w:rFonts w:hint="eastAsia" w:ascii="宋体" w:hAnsi="宋体" w:cs="宋体"/>
          <w:b/>
          <w:bCs/>
          <w:color w:val="auto"/>
          <w:sz w:val="24"/>
          <w:szCs w:val="24"/>
          <w:highlight w:val="none"/>
          <w:lang w:val="en-US" w:eastAsia="zh-CN"/>
        </w:rPr>
        <w:t>【评审项2】</w:t>
      </w:r>
    </w:p>
    <w:p w14:paraId="31DE0438">
      <w:pPr>
        <w:numPr>
          <w:ilvl w:val="0"/>
          <w:numId w:val="0"/>
        </w:numPr>
        <w:tabs>
          <w:tab w:val="left" w:pos="525"/>
        </w:tabs>
        <w:snapToGrid w:val="0"/>
        <w:spacing w:line="360" w:lineRule="auto"/>
        <w:ind w:leftChars="0"/>
        <w:rPr>
          <w:rFonts w:hint="eastAsia" w:ascii="宋体" w:hAnsi="宋体" w:eastAsia="宋体" w:cs="宋体"/>
          <w:b/>
          <w:bCs/>
          <w:color w:val="auto"/>
          <w:spacing w:val="-2"/>
          <w:sz w:val="24"/>
          <w:szCs w:val="24"/>
          <w:highlight w:val="none"/>
          <w:lang w:val="en-US" w:eastAsia="zh-CN"/>
        </w:rPr>
      </w:pPr>
      <w:r>
        <w:rPr>
          <w:rFonts w:hint="eastAsia" w:ascii="宋体" w:hAnsi="宋体" w:cs="宋体"/>
          <w:b/>
          <w:bCs/>
          <w:color w:val="auto"/>
          <w:spacing w:val="-2"/>
          <w:sz w:val="24"/>
          <w:szCs w:val="24"/>
          <w:highlight w:val="none"/>
          <w:lang w:val="en-US" w:eastAsia="zh-CN"/>
        </w:rPr>
        <w:t>3.</w:t>
      </w:r>
      <w:r>
        <w:rPr>
          <w:rFonts w:hint="eastAsia" w:ascii="宋体" w:hAnsi="宋体" w:eastAsia="宋体" w:cs="宋体"/>
          <w:b/>
          <w:bCs/>
          <w:color w:val="auto"/>
          <w:spacing w:val="-2"/>
          <w:sz w:val="24"/>
          <w:szCs w:val="24"/>
          <w:highlight w:val="none"/>
          <w:lang w:val="en-US" w:eastAsia="zh-CN"/>
        </w:rPr>
        <w:t>中标人须为每个印刷室配置操作系统稳定且流畅的电脑至少1台。</w:t>
      </w:r>
      <w:r>
        <w:rPr>
          <w:rFonts w:hint="eastAsia" w:ascii="宋体" w:hAnsi="宋体" w:cs="宋体"/>
          <w:b/>
          <w:bCs/>
          <w:color w:val="auto"/>
          <w:sz w:val="24"/>
          <w:szCs w:val="24"/>
          <w:highlight w:val="none"/>
          <w:lang w:val="en-US" w:eastAsia="zh-CN"/>
        </w:rPr>
        <w:t>【评审项3】</w:t>
      </w:r>
    </w:p>
    <w:p w14:paraId="7623FC6A">
      <w:pPr>
        <w:numPr>
          <w:ilvl w:val="0"/>
          <w:numId w:val="0"/>
        </w:numPr>
        <w:tabs>
          <w:tab w:val="left" w:pos="525"/>
        </w:tabs>
        <w:snapToGrid w:val="0"/>
        <w:spacing w:line="360" w:lineRule="auto"/>
        <w:ind w:leftChars="0"/>
        <w:rPr>
          <w:rFonts w:hint="default"/>
          <w:color w:val="auto"/>
          <w:highlight w:val="none"/>
          <w:lang w:val="en-US" w:eastAsia="zh-CN"/>
        </w:rPr>
      </w:pPr>
      <w:r>
        <w:rPr>
          <w:rFonts w:hint="eastAsia" w:ascii="宋体" w:hAnsi="宋体" w:cs="宋体"/>
          <w:b w:val="0"/>
          <w:bCs w:val="0"/>
          <w:color w:val="auto"/>
          <w:spacing w:val="-2"/>
          <w:sz w:val="24"/>
          <w:szCs w:val="24"/>
          <w:highlight w:val="none"/>
          <w:lang w:val="en-US" w:eastAsia="zh-CN"/>
        </w:rPr>
        <w:t>4.</w:t>
      </w:r>
      <w:r>
        <w:rPr>
          <w:rFonts w:ascii="宋体" w:hAnsi="宋体" w:eastAsia="宋体" w:cs="宋体"/>
          <w:color w:val="auto"/>
          <w:spacing w:val="-2"/>
          <w:sz w:val="24"/>
          <w:szCs w:val="24"/>
          <w:highlight w:val="none"/>
        </w:rPr>
        <w:t>印刷一体机要求为全新机器不得使用二手、翻新机器、必须带自动双面器；复印机型号要求为彩色多功能机、必须使用全新机器不得使用二手、翻新机器、必须带自动双面器，机器必须随机附带合格证及保修卡。</w:t>
      </w:r>
      <w:r>
        <w:rPr>
          <w:rFonts w:hint="eastAsia" w:ascii="宋体" w:hAnsi="宋体" w:cs="宋体"/>
          <w:b/>
          <w:bCs/>
          <w:color w:val="auto"/>
          <w:sz w:val="24"/>
          <w:szCs w:val="24"/>
          <w:highlight w:val="none"/>
          <w:lang w:val="en-US" w:eastAsia="zh-CN"/>
        </w:rPr>
        <w:t>【评审项4】</w:t>
      </w:r>
    </w:p>
    <w:p w14:paraId="058D7050">
      <w:pPr>
        <w:numPr>
          <w:ilvl w:val="0"/>
          <w:numId w:val="0"/>
        </w:numPr>
        <w:tabs>
          <w:tab w:val="left" w:pos="525"/>
        </w:tabs>
        <w:snapToGrid w:val="0"/>
        <w:spacing w:line="360" w:lineRule="auto"/>
        <w:ind w:leftChars="0"/>
        <w:rPr>
          <w:rFonts w:hint="default" w:ascii="宋体" w:hAnsi="宋体" w:eastAsia="宋体" w:cs="宋体"/>
          <w:b w:val="0"/>
          <w:bCs w:val="0"/>
          <w:color w:val="auto"/>
          <w:spacing w:val="-2"/>
          <w:sz w:val="24"/>
          <w:szCs w:val="24"/>
          <w:highlight w:val="none"/>
          <w:lang w:val="en-US" w:eastAsia="zh-CN"/>
        </w:rPr>
      </w:pPr>
      <w:r>
        <w:rPr>
          <w:rFonts w:hint="eastAsia" w:ascii="宋体" w:hAnsi="宋体" w:cs="宋体"/>
          <w:b w:val="0"/>
          <w:bCs w:val="0"/>
          <w:color w:val="auto"/>
          <w:spacing w:val="-2"/>
          <w:sz w:val="24"/>
          <w:szCs w:val="24"/>
          <w:highlight w:val="none"/>
          <w:lang w:val="en-US" w:eastAsia="zh-CN"/>
        </w:rPr>
        <w:t>5.</w:t>
      </w:r>
      <w:r>
        <w:rPr>
          <w:rFonts w:hint="default" w:ascii="宋体" w:hAnsi="宋体" w:eastAsia="宋体" w:cs="宋体"/>
          <w:b w:val="0"/>
          <w:bCs w:val="0"/>
          <w:color w:val="auto"/>
          <w:spacing w:val="-2"/>
          <w:sz w:val="24"/>
          <w:szCs w:val="24"/>
          <w:highlight w:val="none"/>
          <w:lang w:val="en-US" w:eastAsia="zh-CN"/>
        </w:rPr>
        <w:t>中标人须安排具有熟悉电脑打字、文印技术及管理经验的作业人员，为每个印刷室至少配备1名的作业人员，同时学校可根据工作需要适当增加印刷室作业人员人数，增加的成本由中标人自行承担。</w:t>
      </w:r>
      <w:r>
        <w:rPr>
          <w:rFonts w:hint="eastAsia" w:ascii="宋体" w:hAnsi="宋体" w:cs="宋体"/>
          <w:b/>
          <w:bCs/>
          <w:color w:val="auto"/>
          <w:sz w:val="24"/>
          <w:szCs w:val="24"/>
          <w:highlight w:val="none"/>
          <w:lang w:val="en-US" w:eastAsia="zh-CN"/>
        </w:rPr>
        <w:t>【评审项5】</w:t>
      </w:r>
    </w:p>
    <w:p w14:paraId="6BE41F15">
      <w:pPr>
        <w:numPr>
          <w:ilvl w:val="0"/>
          <w:numId w:val="0"/>
        </w:numPr>
        <w:tabs>
          <w:tab w:val="left" w:pos="525"/>
        </w:tabs>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pacing w:val="-2"/>
          <w:sz w:val="24"/>
          <w:szCs w:val="24"/>
          <w:highlight w:val="none"/>
          <w:lang w:val="en-US" w:eastAsia="zh-CN"/>
        </w:rPr>
        <w:t>6.中标供应商须安排</w:t>
      </w:r>
      <w:r>
        <w:rPr>
          <w:rFonts w:hint="eastAsia" w:ascii="宋体" w:hAnsi="宋体" w:eastAsia="宋体" w:cs="宋体"/>
          <w:color w:val="auto"/>
          <w:sz w:val="24"/>
          <w:szCs w:val="24"/>
          <w:highlight w:val="none"/>
          <w:lang w:val="en-US" w:eastAsia="zh-CN"/>
        </w:rPr>
        <w:t>所印材料按班级分好并捆绑，若学校在考试期间等特殊时期，要求</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lang w:val="en-US" w:eastAsia="zh-CN"/>
        </w:rPr>
        <w:t>供应商需要多安排文印人员，</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lang w:val="en-US" w:eastAsia="zh-CN"/>
        </w:rPr>
        <w:t>供应商需无条件支持配合。专职人员由</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lang w:val="en-US" w:eastAsia="zh-CN"/>
        </w:rPr>
        <w:t>供应商自行雇请，工资由</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lang w:val="en-US" w:eastAsia="zh-CN"/>
        </w:rPr>
        <w:t>供应商支付。保证驻点专职人员通讯联络通畅。印刷运转功能24小时全天候正常运作。驻点专职人员24小时待命，做到急事急办，特事特办不拖延耽搁工作。保质保量完成每天的文印任务。</w:t>
      </w:r>
      <w:r>
        <w:rPr>
          <w:rFonts w:hint="eastAsia" w:ascii="宋体" w:hAnsi="宋体" w:cs="宋体"/>
          <w:b/>
          <w:bCs/>
          <w:color w:val="auto"/>
          <w:sz w:val="24"/>
          <w:szCs w:val="24"/>
          <w:highlight w:val="none"/>
          <w:lang w:val="en-US" w:eastAsia="zh-CN"/>
        </w:rPr>
        <w:t>【评审项6】</w:t>
      </w:r>
    </w:p>
    <w:p w14:paraId="027DB454">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7.未经学校同意不得擅自更换文印专职人员（违者发现一次罚款人民币五千元）。</w:t>
      </w:r>
      <w:r>
        <w:rPr>
          <w:rFonts w:hint="eastAsia" w:ascii="宋体" w:hAnsi="宋体" w:cs="宋体"/>
          <w:b/>
          <w:bCs/>
          <w:color w:val="auto"/>
          <w:sz w:val="24"/>
          <w:szCs w:val="24"/>
          <w:highlight w:val="none"/>
          <w:lang w:val="en-US" w:eastAsia="zh-CN"/>
        </w:rPr>
        <w:t>【评审项7】</w:t>
      </w:r>
    </w:p>
    <w:p w14:paraId="2FE250A7">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中标人必须使用8K、16K、A3、A4纸为70克以上达到国家相关质量要求的复印纸张。纸张要求使用原浆纸，不能为再生纸。学校可随时对中标供应商的纸张质量、印刷质量、服务时效等进行考核，对纸张不符合质量标准、印刷质量低、服务时效慢等严重问题，学校有权提前终止中标供应商的服务，重新招标。</w:t>
      </w:r>
      <w:r>
        <w:rPr>
          <w:rFonts w:hint="eastAsia" w:ascii="宋体" w:hAnsi="宋体" w:cs="宋体"/>
          <w:b/>
          <w:bCs/>
          <w:color w:val="auto"/>
          <w:sz w:val="24"/>
          <w:szCs w:val="24"/>
          <w:highlight w:val="none"/>
          <w:lang w:val="en-US" w:eastAsia="zh-CN"/>
        </w:rPr>
        <w:t>【评审项8】</w:t>
      </w:r>
    </w:p>
    <w:p w14:paraId="3C9E933C">
      <w:pPr>
        <w:numPr>
          <w:ilvl w:val="0"/>
          <w:numId w:val="0"/>
        </w:num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9.使用的印刷油墨、版纸应无毒、无刺激。</w:t>
      </w:r>
      <w:r>
        <w:rPr>
          <w:rFonts w:hint="eastAsia" w:ascii="宋体" w:hAnsi="宋体" w:cs="宋体"/>
          <w:b/>
          <w:bCs/>
          <w:color w:val="auto"/>
          <w:sz w:val="24"/>
          <w:szCs w:val="24"/>
          <w:highlight w:val="none"/>
          <w:lang w:val="en-US" w:eastAsia="zh-CN"/>
        </w:rPr>
        <w:t>【评审项9】</w:t>
      </w:r>
    </w:p>
    <w:p w14:paraId="70469F0A">
      <w:pPr>
        <w:numPr>
          <w:ilvl w:val="0"/>
          <w:numId w:val="0"/>
        </w:num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10.中标人的速印地点必须设在校方提供的指定地点。</w:t>
      </w:r>
      <w:r>
        <w:rPr>
          <w:rFonts w:hint="eastAsia" w:ascii="宋体" w:hAnsi="宋体" w:cs="宋体"/>
          <w:b/>
          <w:bCs/>
          <w:color w:val="auto"/>
          <w:sz w:val="24"/>
          <w:szCs w:val="24"/>
          <w:highlight w:val="none"/>
          <w:lang w:val="en-US" w:eastAsia="zh-CN"/>
        </w:rPr>
        <w:t>【评审项10】</w:t>
      </w:r>
    </w:p>
    <w:p w14:paraId="5B72743B">
      <w:pPr>
        <w:numPr>
          <w:ilvl w:val="0"/>
          <w:numId w:val="0"/>
        </w:numPr>
        <w:spacing w:line="360" w:lineRule="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采购人免费提供中标人文印室一间，文印室所需设备全部由中标人提供，所产生水电费由中标人承担。中标供应商应需承诺在中标后（签订合同之日起）10个日历日内安排文印设备机器、耗材、文印人员进场且保证文印室正常运作，配合学校开展教学工作，否则按无效投标处理。</w:t>
      </w:r>
      <w:r>
        <w:rPr>
          <w:rFonts w:hint="eastAsia" w:asciiTheme="majorEastAsia" w:hAnsiTheme="majorEastAsia" w:eastAsiaTheme="majorEastAsia" w:cstheme="majorEastAsia"/>
          <w:b/>
          <w:bCs/>
          <w:color w:val="auto"/>
          <w:sz w:val="24"/>
          <w:szCs w:val="24"/>
          <w:highlight w:val="none"/>
          <w:lang w:val="en-US" w:eastAsia="zh-CN"/>
        </w:rPr>
        <w:t>【须提供承诺函，格式自拟】</w:t>
      </w:r>
      <w:r>
        <w:rPr>
          <w:rFonts w:hint="eastAsia" w:ascii="宋体" w:hAnsi="宋体" w:cs="宋体"/>
          <w:b/>
          <w:bCs/>
          <w:color w:val="auto"/>
          <w:sz w:val="24"/>
          <w:szCs w:val="24"/>
          <w:highlight w:val="none"/>
          <w:lang w:val="en-US" w:eastAsia="zh-CN"/>
        </w:rPr>
        <w:t>【评审项11】</w:t>
      </w:r>
    </w:p>
    <w:p w14:paraId="1EBA18E1">
      <w:pPr>
        <w:numPr>
          <w:ilvl w:val="0"/>
          <w:numId w:val="0"/>
        </w:numPr>
        <w:spacing w:line="360" w:lineRule="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12中标人必须遵守国家法律及学校规章制度、遵守试卷保密制度，不得泄露试卷秘密。不得外传学校试卷、练习等资料。否则取消承包资格并依据所违法违规事实报相关部门予以处理。</w:t>
      </w:r>
      <w:r>
        <w:rPr>
          <w:rFonts w:hint="eastAsia" w:ascii="宋体" w:hAnsi="宋体" w:cs="宋体"/>
          <w:b/>
          <w:bCs/>
          <w:color w:val="auto"/>
          <w:sz w:val="24"/>
          <w:szCs w:val="24"/>
          <w:highlight w:val="none"/>
          <w:lang w:val="en-US" w:eastAsia="zh-CN"/>
        </w:rPr>
        <w:t>【评审项12】</w:t>
      </w:r>
    </w:p>
    <w:p w14:paraId="446E2605">
      <w:pPr>
        <w:numPr>
          <w:ilvl w:val="0"/>
          <w:numId w:val="0"/>
        </w:numPr>
        <w:spacing w:line="360" w:lineRule="auto"/>
        <w:rPr>
          <w:rFonts w:hint="eastAsia"/>
          <w:b/>
          <w:bCs/>
          <w:color w:val="auto"/>
          <w:highlight w:val="none"/>
          <w:lang w:val="en-US" w:eastAsia="zh-CN"/>
        </w:rPr>
      </w:pPr>
      <w:r>
        <w:rPr>
          <w:rFonts w:hint="eastAsia" w:ascii="宋体" w:hAnsi="宋体" w:eastAsia="宋体" w:cs="宋体"/>
          <w:b w:val="0"/>
          <w:bCs w:val="0"/>
          <w:color w:val="auto"/>
          <w:sz w:val="24"/>
          <w:szCs w:val="24"/>
          <w:highlight w:val="none"/>
          <w:lang w:val="en-US" w:eastAsia="zh-CN"/>
        </w:rPr>
        <w:t>13.文印室工作时间为每学期星期一至星期六（6天），文印室每天开放时间北京时间上午7:50—11:40，下午14:20—17:30，其余时间段为14:00—17:10。其他特殊情况以学校工作安排时间为准，不得以任何理由拒绝配合学校的工作</w:t>
      </w:r>
      <w:r>
        <w:rPr>
          <w:rFonts w:hint="eastAsia"/>
          <w:b/>
          <w:bCs/>
          <w:color w:val="auto"/>
          <w:highlight w:val="none"/>
          <w:lang w:val="en-US" w:eastAsia="zh-CN"/>
        </w:rPr>
        <w:t>。</w:t>
      </w:r>
      <w:r>
        <w:rPr>
          <w:rFonts w:hint="eastAsia" w:ascii="宋体" w:hAnsi="宋体" w:cs="宋体"/>
          <w:b/>
          <w:bCs/>
          <w:color w:val="auto"/>
          <w:sz w:val="24"/>
          <w:szCs w:val="24"/>
          <w:highlight w:val="none"/>
          <w:lang w:val="en-US" w:eastAsia="zh-CN"/>
        </w:rPr>
        <w:t>【评审项13】</w:t>
      </w:r>
    </w:p>
    <w:p w14:paraId="11AB5976">
      <w:pPr>
        <w:numPr>
          <w:ilvl w:val="0"/>
          <w:numId w:val="0"/>
        </w:numPr>
        <w:spacing w:line="360" w:lineRule="auto"/>
        <w:rPr>
          <w:rFonts w:hint="eastAsia"/>
          <w:color w:val="auto"/>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14.中标人应合法经营并自行承担经营活动中的一切经济、法律责任，不能对外营业。</w:t>
      </w:r>
      <w:r>
        <w:rPr>
          <w:rFonts w:hint="eastAsia" w:ascii="宋体" w:hAnsi="宋体" w:cs="宋体"/>
          <w:b/>
          <w:bCs/>
          <w:color w:val="auto"/>
          <w:sz w:val="24"/>
          <w:szCs w:val="24"/>
          <w:highlight w:val="none"/>
          <w:lang w:val="en-US" w:eastAsia="zh-CN"/>
        </w:rPr>
        <w:t>【评审项14】</w:t>
      </w:r>
    </w:p>
    <w:p w14:paraId="1B22B12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中标供应商应在文印室内外自行安装高清监控设备，保证文印室内外360度无死角全天录像；对承印的试卷、练习、材料等负保密责任，不得泄露。严格遵守国家法律及学校规章制度、遵守试卷保密制度，不得泄露试卷秘密；不得外传学校试卷、练习等资料，一经发现试卷</w:t>
      </w:r>
      <w:r>
        <w:rPr>
          <w:rFonts w:hint="eastAsia" w:ascii="宋体" w:hAnsi="宋体" w:eastAsia="宋体" w:cs="宋体"/>
          <w:color w:val="auto"/>
          <w:sz w:val="24"/>
          <w:szCs w:val="24"/>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6123305</wp:posOffset>
                </wp:positionH>
                <wp:positionV relativeFrom="paragraph">
                  <wp:posOffset>99695</wp:posOffset>
                </wp:positionV>
                <wp:extent cx="95885" cy="2006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5885" cy="200660"/>
                        </a:xfrm>
                        <a:prstGeom prst="rect">
                          <a:avLst/>
                        </a:prstGeom>
                        <a:noFill/>
                        <a:ln>
                          <a:noFill/>
                        </a:ln>
                      </wps:spPr>
                      <wps:txbx>
                        <w:txbxContent>
                          <w:p w14:paraId="75D5FDB3">
                            <w:pPr>
                              <w:spacing w:before="19" w:line="212" w:lineRule="auto"/>
                              <w:ind w:left="20"/>
                              <w:rPr>
                                <w:rFonts w:ascii="宋体" w:hAnsi="宋体" w:eastAsia="宋体" w:cs="宋体"/>
                                <w:sz w:val="24"/>
                                <w:szCs w:val="24"/>
                              </w:rPr>
                            </w:pPr>
                            <w:r>
                              <w:rPr>
                                <w:rFonts w:ascii="宋体" w:hAnsi="宋体" w:eastAsia="宋体" w:cs="宋体"/>
                                <w:sz w:val="24"/>
                                <w:szCs w:val="24"/>
                              </w:rPr>
                              <w:t>~</w:t>
                            </w:r>
                          </w:p>
                        </w:txbxContent>
                      </wps:txbx>
                      <wps:bodyPr lIns="0" tIns="0" rIns="0" bIns="0" upright="1"/>
                    </wps:wsp>
                  </a:graphicData>
                </a:graphic>
              </wp:anchor>
            </w:drawing>
          </mc:Choice>
          <mc:Fallback>
            <w:pict>
              <v:shape id="_x0000_s1026" o:spid="_x0000_s1026" o:spt="202" type="#_x0000_t202" style="position:absolute;left:0pt;margin-left:482.15pt;margin-top:7.85pt;height:15.8pt;width:7.55pt;z-index:251659264;mso-width-relative:page;mso-height-relative:page;" filled="f" stroked="f" coordsize="21600,21600" o:gfxdata="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pnCHbZAAAACQEAAA8AAAAAAAAAAQAgAAAAIgAAAGRycy9kb3ducmV2LnhtbFBLAQIU&#10;ABQAAAAIAIdO4kC2kqz/uQEAAHADAAAOAAAAAAAAAAEAIAAAACgBAABkcnMvZTJvRG9jLnhtbFBL&#10;BQYAAAAABgAGAFkBAABTBQAAAAA=&#10;">
                <v:fill on="f" focussize="0,0"/>
                <v:stroke on="f"/>
                <v:imagedata o:title=""/>
                <o:lock v:ext="edit" aspectratio="f"/>
                <v:textbox inset="0mm,0mm,0mm,0mm">
                  <w:txbxContent>
                    <w:p w14:paraId="75D5FDB3">
                      <w:pPr>
                        <w:spacing w:before="19" w:line="212" w:lineRule="auto"/>
                        <w:ind w:left="20"/>
                        <w:rPr>
                          <w:rFonts w:ascii="宋体" w:hAnsi="宋体" w:eastAsia="宋体" w:cs="宋体"/>
                          <w:sz w:val="24"/>
                          <w:szCs w:val="24"/>
                        </w:rPr>
                      </w:pPr>
                      <w:r>
                        <w:rPr>
                          <w:rFonts w:ascii="宋体" w:hAnsi="宋体" w:eastAsia="宋体" w:cs="宋体"/>
                          <w:sz w:val="24"/>
                          <w:szCs w:val="24"/>
                        </w:rPr>
                        <w:t>~</w:t>
                      </w:r>
                    </w:p>
                  </w:txbxContent>
                </v:textbox>
              </v:shape>
            </w:pict>
          </mc:Fallback>
        </mc:AlternateContent>
      </w:r>
      <w:r>
        <w:rPr>
          <w:rFonts w:hint="eastAsia" w:ascii="宋体" w:hAnsi="宋体" w:eastAsia="宋体" w:cs="宋体"/>
          <w:color w:val="auto"/>
          <w:sz w:val="24"/>
          <w:szCs w:val="24"/>
          <w:highlight w:val="none"/>
          <w:lang w:val="en-US" w:eastAsia="zh-CN"/>
        </w:rPr>
        <w:t>等泄露现象，采购人有权立刻单方终止合同，并根据事态严重程度，要求中标供应商支付</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万元的违约金，中标供应商应于收到采购人发出的缴纳违约金通知之日起 7 个工作日内缴纳，否则采购人有权从应支付给中标供应商的文印款项中扣除。违约金不足以支付损失的，采购人有权要求中标供应商承担损失。如中标供应商违反保密责任涉及刑事犯罪的，按照我国有关法律交由相关部门处理。</w:t>
      </w:r>
      <w:r>
        <w:rPr>
          <w:rFonts w:hint="eastAsia" w:ascii="宋体" w:hAnsi="宋体" w:cs="宋体"/>
          <w:b/>
          <w:bCs/>
          <w:color w:val="auto"/>
          <w:sz w:val="24"/>
          <w:szCs w:val="24"/>
          <w:highlight w:val="none"/>
          <w:lang w:val="en-US" w:eastAsia="zh-CN"/>
        </w:rPr>
        <w:t>【评审项15】</w:t>
      </w:r>
    </w:p>
    <w:p w14:paraId="424D0EC7">
      <w:pPr>
        <w:numPr>
          <w:ilvl w:val="0"/>
          <w:numId w:val="0"/>
        </w:num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（6）机器设备要求</w:t>
      </w:r>
    </w:p>
    <w:tbl>
      <w:tblPr>
        <w:tblStyle w:val="52"/>
        <w:tblW w:w="9000" w:type="dxa"/>
        <w:tblInd w:w="-3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6810"/>
        <w:gridCol w:w="1140"/>
      </w:tblGrid>
      <w:tr w14:paraId="19BDF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050" w:type="dxa"/>
            <w:vAlign w:val="top"/>
          </w:tcPr>
          <w:p w14:paraId="5206080E">
            <w:pPr>
              <w:numPr>
                <w:ilvl w:val="0"/>
                <w:numId w:val="0"/>
              </w:numPr>
              <w:tabs>
                <w:tab w:val="left" w:pos="525"/>
              </w:tabs>
              <w:snapToGrid w:val="0"/>
              <w:spacing w:line="360" w:lineRule="auto"/>
              <w:ind w:left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6810" w:type="dxa"/>
            <w:vAlign w:val="top"/>
          </w:tcPr>
          <w:p w14:paraId="5232E3F7">
            <w:pPr>
              <w:numPr>
                <w:ilvl w:val="0"/>
                <w:numId w:val="0"/>
              </w:numPr>
              <w:tabs>
                <w:tab w:val="left" w:pos="525"/>
              </w:tabs>
              <w:snapToGrid w:val="0"/>
              <w:spacing w:line="360" w:lineRule="auto"/>
              <w:ind w:left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货物名称</w:t>
            </w:r>
          </w:p>
        </w:tc>
        <w:tc>
          <w:tcPr>
            <w:tcW w:w="1140" w:type="dxa"/>
            <w:vAlign w:val="top"/>
          </w:tcPr>
          <w:p w14:paraId="59507D07">
            <w:pPr>
              <w:numPr>
                <w:ilvl w:val="0"/>
                <w:numId w:val="0"/>
              </w:numPr>
              <w:tabs>
                <w:tab w:val="left" w:pos="525"/>
              </w:tabs>
              <w:snapToGrid w:val="0"/>
              <w:spacing w:line="360" w:lineRule="auto"/>
              <w:ind w:left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r>
      <w:tr w14:paraId="5F0E9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50" w:type="dxa"/>
            <w:vAlign w:val="top"/>
          </w:tcPr>
          <w:p w14:paraId="6B20CCBF">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4BBCD68F">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456F2899">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6744C964">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236C0EF2">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7E530D0B">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24FCDB56">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6810" w:type="dxa"/>
            <w:vAlign w:val="top"/>
          </w:tcPr>
          <w:p w14:paraId="4D459FC3">
            <w:pPr>
              <w:numPr>
                <w:ilvl w:val="0"/>
                <w:numId w:val="0"/>
              </w:numPr>
              <w:tabs>
                <w:tab w:val="left" w:pos="525"/>
              </w:tabs>
              <w:snapToGrid w:val="0"/>
              <w:spacing w:line="360" w:lineRule="auto"/>
              <w:ind w:lef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shd w:val="clear" w:fill="FFFF00"/>
                <w:lang w:val="en-US" w:eastAsia="zh-CN"/>
              </w:rPr>
              <w:t>A3幅面全新印刷一体机</w:t>
            </w:r>
            <w:r>
              <w:rPr>
                <w:rFonts w:hint="eastAsia" w:ascii="宋体" w:hAnsi="宋体" w:eastAsia="宋体" w:cs="宋体"/>
                <w:b/>
                <w:bCs/>
                <w:color w:val="auto"/>
                <w:sz w:val="24"/>
                <w:szCs w:val="24"/>
                <w:highlight w:val="none"/>
                <w:lang w:val="en-US" w:eastAsia="zh-CN"/>
              </w:rPr>
              <w:t>：</w:t>
            </w:r>
          </w:p>
          <w:p w14:paraId="66502CBF">
            <w:pPr>
              <w:numPr>
                <w:ilvl w:val="0"/>
                <w:numId w:val="0"/>
              </w:numPr>
              <w:tabs>
                <w:tab w:val="left" w:pos="525"/>
              </w:tabs>
              <w:snapToGrid w:val="0"/>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A3扫描、A3印刷幅面、A3走纸，全中文液晶触摸操作面版,单页及书刊平板扫描制版方式，≥5级变速印刷速度80-260张/分钟+300张/分钟；原稿最大：≥300mm x 432mm原稿读取分辨率：≥300×600dpi腊版穿孔600×600dpi。制版时间：≥18秒。5档读取浓度调整、5档制版浓度调整、5档印刷浓度调整，全自动供墨1000毫升/支</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制版纸容量≥300张/卷；废版纸盒容量70版；书本阴影可以消除；二合一制版印刷；机密制版；50%-200%无级缩小放大功能；四级放大四级缩小。</w:t>
            </w:r>
            <w:r>
              <w:rPr>
                <w:rFonts w:hint="eastAsia" w:ascii="宋体" w:hAnsi="宋体" w:cs="宋体"/>
                <w:b/>
                <w:bCs/>
                <w:color w:val="auto"/>
                <w:sz w:val="24"/>
                <w:szCs w:val="24"/>
                <w:highlight w:val="none"/>
                <w:lang w:val="en-US" w:eastAsia="zh-CN"/>
              </w:rPr>
              <w:t>【评审项16】</w:t>
            </w:r>
          </w:p>
        </w:tc>
        <w:tc>
          <w:tcPr>
            <w:tcW w:w="1140" w:type="dxa"/>
            <w:vAlign w:val="top"/>
          </w:tcPr>
          <w:p w14:paraId="57472D2E">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22DDD1ED">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040B0B8E">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7A1F1919">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21F0C0CB">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411C9890">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9台</w:t>
            </w:r>
          </w:p>
        </w:tc>
      </w:tr>
      <w:tr w14:paraId="76C42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50" w:type="dxa"/>
            <w:vAlign w:val="top"/>
          </w:tcPr>
          <w:p w14:paraId="35D40D91">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705E3B0A">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005764B0">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010B239C">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199603BB">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55C234F3">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6810" w:type="dxa"/>
            <w:vAlign w:val="top"/>
          </w:tcPr>
          <w:p w14:paraId="748577CF">
            <w:pPr>
              <w:numPr>
                <w:ilvl w:val="0"/>
                <w:numId w:val="0"/>
              </w:numPr>
              <w:tabs>
                <w:tab w:val="left" w:pos="525"/>
              </w:tabs>
              <w:snapToGrid w:val="0"/>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shd w:val="clear" w:fill="FFFF00"/>
                <w:lang w:val="en-US" w:eastAsia="zh-CN"/>
              </w:rPr>
              <w:t>多功能高速智能全彩复印机</w:t>
            </w:r>
            <w:r>
              <w:rPr>
                <w:rFonts w:hint="eastAsia" w:ascii="宋体" w:hAnsi="宋体" w:eastAsia="宋体" w:cs="宋体"/>
                <w:b w:val="0"/>
                <w:bCs w:val="0"/>
                <w:color w:val="auto"/>
                <w:sz w:val="24"/>
                <w:szCs w:val="24"/>
                <w:highlight w:val="none"/>
                <w:lang w:val="en-US" w:eastAsia="zh-CN"/>
              </w:rPr>
              <w:t>：</w:t>
            </w:r>
          </w:p>
          <w:p w14:paraId="0A789AA7">
            <w:pPr>
              <w:numPr>
                <w:ilvl w:val="0"/>
                <w:numId w:val="0"/>
              </w:numPr>
              <w:tabs>
                <w:tab w:val="left" w:pos="525"/>
              </w:tabs>
              <w:snapToGrid w:val="0"/>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处理器≥MPC8536 1.2GHz；标配内存≥4G;预热时间≥10S以下；接口类型：以太网10BASE-T/100BASE-TX/1000BASE-T,USB1.1/2.0,USB Host；复印分辩率≥600×600dpi；复印缩放比例≥25%-400%；首张复印时间：黑白≥3.6秒或以下,彩色≥5.3秒或以下；复印速度：黑白:75页/分钟,彩色≥60页/分；扫描速度：(黑白/彩色)单面≥90页/分钟,双面≥180页/分钟(A4横向,300dpi)；扫描分辨率：推扫描≥200dpi/300dpi/400dpi/600dpi拉扫描≥100dpi/200dpi/300dpi/400dpi/600dpi；传真发送速度：低于</w:t>
            </w:r>
          </w:p>
          <w:p w14:paraId="3B5A4ADC">
            <w:pPr>
              <w:numPr>
                <w:ilvl w:val="0"/>
                <w:numId w:val="0"/>
              </w:numPr>
              <w:tabs>
                <w:tab w:val="left" w:pos="525"/>
              </w:tabs>
              <w:snapToGrid w:val="0"/>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3秒/页；</w:t>
            </w:r>
            <w:r>
              <w:rPr>
                <w:rFonts w:hint="eastAsia" w:ascii="宋体" w:hAnsi="宋体" w:cs="宋体"/>
                <w:b/>
                <w:bCs/>
                <w:color w:val="auto"/>
                <w:sz w:val="24"/>
                <w:szCs w:val="24"/>
                <w:highlight w:val="none"/>
                <w:lang w:val="en-US" w:eastAsia="zh-CN"/>
              </w:rPr>
              <w:t>【评审项17】</w:t>
            </w:r>
          </w:p>
        </w:tc>
        <w:tc>
          <w:tcPr>
            <w:tcW w:w="1140" w:type="dxa"/>
            <w:vAlign w:val="top"/>
          </w:tcPr>
          <w:p w14:paraId="45C68A9E">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3B90886F">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712EE007">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708AC834">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1C925166">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1BEF7B6B">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3台</w:t>
            </w:r>
          </w:p>
        </w:tc>
      </w:tr>
      <w:tr w14:paraId="7A484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050" w:type="dxa"/>
            <w:vAlign w:val="top"/>
          </w:tcPr>
          <w:p w14:paraId="6D93C427">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2143B8B5">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68B2FC05">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6244E603">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38640F46">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21DD2F97">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58303B0C">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580C5677">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3E70549C">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4B6B98D9">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546FFE3E">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035AD737">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6810" w:type="dxa"/>
            <w:vAlign w:val="top"/>
          </w:tcPr>
          <w:p w14:paraId="039BCB8C">
            <w:pPr>
              <w:numPr>
                <w:ilvl w:val="0"/>
                <w:numId w:val="0"/>
              </w:numPr>
              <w:tabs>
                <w:tab w:val="left" w:pos="525"/>
              </w:tabs>
              <w:snapToGrid w:val="0"/>
              <w:spacing w:line="360" w:lineRule="auto"/>
              <w:ind w:leftChars="0"/>
              <w:jc w:val="left"/>
              <w:rPr>
                <w:rFonts w:hint="eastAsia" w:ascii="宋体" w:hAnsi="宋体" w:eastAsia="宋体" w:cs="宋体"/>
                <w:b/>
                <w:bCs/>
                <w:color w:val="auto"/>
                <w:sz w:val="24"/>
                <w:szCs w:val="24"/>
                <w:highlight w:val="none"/>
                <w:shd w:val="clear" w:fill="FFFF00"/>
                <w:lang w:val="en-US" w:eastAsia="zh-CN"/>
              </w:rPr>
            </w:pPr>
            <w:r>
              <w:rPr>
                <w:rFonts w:hint="eastAsia" w:ascii="宋体" w:hAnsi="宋体" w:eastAsia="宋体" w:cs="宋体"/>
                <w:b/>
                <w:bCs/>
                <w:color w:val="auto"/>
                <w:sz w:val="24"/>
                <w:szCs w:val="24"/>
                <w:highlight w:val="none"/>
                <w:shd w:val="clear" w:fill="FFFF00"/>
                <w:lang w:val="en-US" w:eastAsia="zh-CN"/>
              </w:rPr>
              <w:t>全新文件编辑一体机：</w:t>
            </w:r>
          </w:p>
          <w:p w14:paraId="5546C0F2">
            <w:pPr>
              <w:numPr>
                <w:ilvl w:val="0"/>
                <w:numId w:val="0"/>
              </w:numPr>
              <w:tabs>
                <w:tab w:val="left" w:pos="525"/>
              </w:tabs>
              <w:snapToGrid w:val="0"/>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1、CPU：≥Inter CPU I3-10105T，其中主频≥3.0G，缓存≥6M，CPU核数≥4 核；</w:t>
            </w:r>
          </w:p>
          <w:p w14:paraId="3BD1188D">
            <w:pPr>
              <w:numPr>
                <w:ilvl w:val="0"/>
                <w:numId w:val="0"/>
              </w:numPr>
              <w:tabs>
                <w:tab w:val="left" w:pos="525"/>
              </w:tabs>
              <w:snapToGrid w:val="0"/>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2、内存：≥8GB DDR4 2666，最大可扩展内存≥64G DDR4 2666；</w:t>
            </w:r>
          </w:p>
          <w:p w14:paraId="1AE6B6B6">
            <w:pPr>
              <w:numPr>
                <w:ilvl w:val="0"/>
                <w:numId w:val="0"/>
              </w:numPr>
              <w:tabs>
                <w:tab w:val="left" w:pos="525"/>
              </w:tabs>
              <w:snapToGrid w:val="0"/>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3、硬盘</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≥256G SSD；</w:t>
            </w:r>
          </w:p>
          <w:p w14:paraId="0A992D34">
            <w:pPr>
              <w:numPr>
                <w:ilvl w:val="0"/>
                <w:numId w:val="0"/>
              </w:numPr>
              <w:tabs>
                <w:tab w:val="left" w:pos="525"/>
              </w:tabs>
              <w:snapToGrid w:val="0"/>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4、主板：≥Inter Q470，原厂主板集成网络同传功能；</w:t>
            </w:r>
          </w:p>
          <w:p w14:paraId="0CFE7A75">
            <w:pPr>
              <w:numPr>
                <w:ilvl w:val="0"/>
                <w:numId w:val="0"/>
              </w:numPr>
              <w:tabs>
                <w:tab w:val="left" w:pos="525"/>
              </w:tabs>
              <w:snapToGrid w:val="0"/>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5、光驱：无光驱；</w:t>
            </w:r>
          </w:p>
          <w:p w14:paraId="4BA549B3">
            <w:pPr>
              <w:numPr>
                <w:ilvl w:val="0"/>
                <w:numId w:val="0"/>
              </w:numPr>
              <w:tabs>
                <w:tab w:val="left" w:pos="525"/>
              </w:tabs>
              <w:snapToGrid w:val="0"/>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6、显卡：高性能集成显卡；</w:t>
            </w:r>
          </w:p>
          <w:p w14:paraId="6F11E337">
            <w:pPr>
              <w:numPr>
                <w:ilvl w:val="0"/>
                <w:numId w:val="0"/>
              </w:numPr>
              <w:tabs>
                <w:tab w:val="left" w:pos="525"/>
              </w:tabs>
              <w:snapToGrid w:val="0"/>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7、其他：集成声卡、千兆网卡、内置麦克风、商业级音响、≥内置802.11AC双频无线网卡带蓝牙4.2，≥1个100万像素可升降摄像头；</w:t>
            </w:r>
          </w:p>
          <w:p w14:paraId="4993E845">
            <w:pPr>
              <w:numPr>
                <w:ilvl w:val="0"/>
                <w:numId w:val="0"/>
              </w:numPr>
              <w:tabs>
                <w:tab w:val="left" w:pos="525"/>
              </w:tabs>
              <w:snapToGrid w:val="0"/>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8、键鼠：标准USB商务键盘鼠标；</w:t>
            </w:r>
          </w:p>
          <w:p w14:paraId="78C42AEA">
            <w:pPr>
              <w:numPr>
                <w:ilvl w:val="0"/>
                <w:numId w:val="0"/>
              </w:numPr>
              <w:tabs>
                <w:tab w:val="left" w:pos="525"/>
              </w:tabs>
              <w:snapToGrid w:val="0"/>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9、接口：侧面：≥1个耳机/麦克风组合插孔；≥2个SuperSpeed USB Type-C® （USB 3.1）；后置：≥1个RJ-45；≥1个DP接口；≥4个SuperSpeed USBType-A（USB 3.1）；≥1个HDMI输入接口；底部：≥1个SD 3.0卡读卡器；扩展槽：≥2个M.2插槽；</w:t>
            </w:r>
          </w:p>
          <w:p w14:paraId="796D9C92">
            <w:pPr>
              <w:numPr>
                <w:ilvl w:val="0"/>
                <w:numId w:val="0"/>
              </w:numPr>
              <w:tabs>
                <w:tab w:val="left" w:pos="525"/>
              </w:tabs>
              <w:snapToGrid w:val="0"/>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10、摄像头：≥100万像素(附带隐私挡片)；</w:t>
            </w:r>
          </w:p>
          <w:p w14:paraId="0C2177A3">
            <w:pPr>
              <w:numPr>
                <w:ilvl w:val="0"/>
                <w:numId w:val="0"/>
              </w:numPr>
              <w:tabs>
                <w:tab w:val="left" w:pos="525"/>
              </w:tabs>
              <w:snapToGrid w:val="0"/>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11、屏幕：≥21.5英寸三边微边框IPS宽屏LED背光防眩光液晶显示器（分辨率≥1920x1080），亮度≧250nits，俯仰角度可调底座；</w:t>
            </w:r>
          </w:p>
          <w:p w14:paraId="29D5CBDA">
            <w:pPr>
              <w:numPr>
                <w:ilvl w:val="0"/>
                <w:numId w:val="0"/>
              </w:numPr>
              <w:tabs>
                <w:tab w:val="left" w:pos="525"/>
              </w:tabs>
              <w:snapToGrid w:val="0"/>
              <w:spacing w:line="360" w:lineRule="auto"/>
              <w:ind w:leftChars="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12、保修：整机原厂三年上门服务，2小时相应、7*24小时免费上门，确保原厂生产，包装无拆封；</w:t>
            </w:r>
            <w:r>
              <w:rPr>
                <w:rFonts w:hint="eastAsia" w:ascii="宋体" w:hAnsi="宋体" w:cs="宋体"/>
                <w:b/>
                <w:bCs/>
                <w:color w:val="auto"/>
                <w:sz w:val="24"/>
                <w:szCs w:val="24"/>
                <w:highlight w:val="none"/>
                <w:lang w:val="en-US" w:eastAsia="zh-CN"/>
              </w:rPr>
              <w:t>【评审项18】</w:t>
            </w:r>
          </w:p>
        </w:tc>
        <w:tc>
          <w:tcPr>
            <w:tcW w:w="1140" w:type="dxa"/>
            <w:vAlign w:val="top"/>
          </w:tcPr>
          <w:p w14:paraId="2B05D894">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3BBA31CD">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36739628">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5DD1849C">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0E38EC27">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4D99C089">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38033020">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2636F212">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0D6CCF3D">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12943FD0">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330460CC">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p>
          <w:p w14:paraId="708CB250">
            <w:pPr>
              <w:numPr>
                <w:ilvl w:val="0"/>
                <w:numId w:val="0"/>
              </w:numPr>
              <w:tabs>
                <w:tab w:val="left" w:pos="525"/>
              </w:tabs>
              <w:snapToGrid w:val="0"/>
              <w:spacing w:line="360" w:lineRule="auto"/>
              <w:ind w:lef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3台</w:t>
            </w:r>
          </w:p>
        </w:tc>
      </w:tr>
    </w:tbl>
    <w:p w14:paraId="4EC0F5F3">
      <w:pPr>
        <w:numPr>
          <w:ilvl w:val="0"/>
          <w:numId w:val="0"/>
        </w:numPr>
        <w:spacing w:line="360" w:lineRule="auto"/>
        <w:rPr>
          <w:rFonts w:hint="eastAsia" w:ascii="宋体" w:hAnsi="宋体" w:eastAsia="宋体" w:cs="宋体"/>
          <w:b/>
          <w:bCs/>
          <w:color w:val="auto"/>
          <w:sz w:val="24"/>
          <w:szCs w:val="24"/>
          <w:highlight w:val="none"/>
          <w:lang w:val="en-US" w:eastAsia="zh-CN"/>
        </w:rPr>
      </w:pPr>
    </w:p>
    <w:p w14:paraId="3F59D930">
      <w:pPr>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（7）需安装保密监控系统参数要求</w:t>
      </w:r>
    </w:p>
    <w:tbl>
      <w:tblPr>
        <w:tblStyle w:val="52"/>
        <w:tblW w:w="8910" w:type="dxa"/>
        <w:tblInd w:w="-3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6450"/>
        <w:gridCol w:w="675"/>
        <w:gridCol w:w="735"/>
      </w:tblGrid>
      <w:tr w14:paraId="6B867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050" w:type="dxa"/>
            <w:vAlign w:val="top"/>
          </w:tcPr>
          <w:p w14:paraId="69BA64F2">
            <w:pPr>
              <w:pStyle w:val="2"/>
              <w:spacing w:line="360" w:lineRule="auto"/>
              <w:jc w:val="center"/>
              <w:rPr>
                <w:rFonts w:hint="default"/>
                <w:color w:val="auto"/>
                <w:highlight w:val="none"/>
                <w:lang w:val="en-US" w:eastAsia="zh-CN"/>
              </w:rPr>
            </w:pPr>
            <w:r>
              <w:rPr>
                <w:rFonts w:hint="default"/>
                <w:color w:val="auto"/>
                <w:highlight w:val="none"/>
                <w:lang w:val="en-US" w:eastAsia="zh-CN"/>
              </w:rPr>
              <w:t>序号</w:t>
            </w:r>
          </w:p>
        </w:tc>
        <w:tc>
          <w:tcPr>
            <w:tcW w:w="6450" w:type="dxa"/>
            <w:vAlign w:val="top"/>
          </w:tcPr>
          <w:p w14:paraId="1CDDA6DE">
            <w:pPr>
              <w:pStyle w:val="2"/>
              <w:spacing w:line="360" w:lineRule="auto"/>
              <w:jc w:val="center"/>
              <w:rPr>
                <w:rFonts w:hint="default"/>
                <w:color w:val="auto"/>
                <w:highlight w:val="none"/>
                <w:lang w:val="en-US" w:eastAsia="zh-CN"/>
              </w:rPr>
            </w:pPr>
            <w:r>
              <w:rPr>
                <w:rFonts w:hint="default"/>
                <w:color w:val="auto"/>
                <w:highlight w:val="none"/>
                <w:lang w:val="en-US" w:eastAsia="zh-CN"/>
              </w:rPr>
              <w:t>名称</w:t>
            </w:r>
          </w:p>
        </w:tc>
        <w:tc>
          <w:tcPr>
            <w:tcW w:w="675" w:type="dxa"/>
            <w:vAlign w:val="top"/>
          </w:tcPr>
          <w:p w14:paraId="2108578B">
            <w:pPr>
              <w:pStyle w:val="2"/>
              <w:spacing w:line="360" w:lineRule="auto"/>
              <w:jc w:val="center"/>
              <w:rPr>
                <w:rFonts w:hint="default"/>
                <w:color w:val="auto"/>
                <w:highlight w:val="none"/>
                <w:lang w:val="en-US" w:eastAsia="zh-CN"/>
              </w:rPr>
            </w:pPr>
            <w:r>
              <w:rPr>
                <w:rFonts w:hint="default"/>
                <w:color w:val="auto"/>
                <w:highlight w:val="none"/>
                <w:lang w:val="en-US" w:eastAsia="zh-CN"/>
              </w:rPr>
              <w:t>单位</w:t>
            </w:r>
          </w:p>
        </w:tc>
        <w:tc>
          <w:tcPr>
            <w:tcW w:w="735" w:type="dxa"/>
            <w:vAlign w:val="top"/>
          </w:tcPr>
          <w:p w14:paraId="39997EF4">
            <w:pPr>
              <w:pStyle w:val="2"/>
              <w:spacing w:line="360" w:lineRule="auto"/>
              <w:jc w:val="center"/>
              <w:rPr>
                <w:rFonts w:hint="default"/>
                <w:color w:val="auto"/>
                <w:highlight w:val="none"/>
                <w:lang w:val="en-US" w:eastAsia="zh-CN"/>
              </w:rPr>
            </w:pPr>
            <w:r>
              <w:rPr>
                <w:rFonts w:hint="default"/>
                <w:color w:val="auto"/>
                <w:highlight w:val="none"/>
                <w:lang w:val="en-US" w:eastAsia="zh-CN"/>
              </w:rPr>
              <w:t>数量</w:t>
            </w:r>
          </w:p>
        </w:tc>
      </w:tr>
      <w:tr w14:paraId="3B38C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9" w:hRule="atLeast"/>
        </w:trPr>
        <w:tc>
          <w:tcPr>
            <w:tcW w:w="1050" w:type="dxa"/>
            <w:shd w:val="clear" w:color="auto" w:fill="auto"/>
            <w:vAlign w:val="top"/>
          </w:tcPr>
          <w:p w14:paraId="730743E4">
            <w:pPr>
              <w:pStyle w:val="2"/>
              <w:spacing w:line="360" w:lineRule="auto"/>
              <w:jc w:val="center"/>
              <w:rPr>
                <w:rFonts w:hint="default"/>
                <w:color w:val="auto"/>
                <w:highlight w:val="none"/>
                <w:lang w:val="en-US" w:eastAsia="zh-CN"/>
              </w:rPr>
            </w:pPr>
          </w:p>
          <w:p w14:paraId="131FA448">
            <w:pPr>
              <w:pStyle w:val="2"/>
              <w:spacing w:line="360" w:lineRule="auto"/>
              <w:jc w:val="center"/>
              <w:rPr>
                <w:rFonts w:hint="default"/>
                <w:color w:val="auto"/>
                <w:highlight w:val="none"/>
                <w:lang w:val="en-US" w:eastAsia="zh-CN"/>
              </w:rPr>
            </w:pPr>
          </w:p>
          <w:p w14:paraId="51B27B03">
            <w:pPr>
              <w:pStyle w:val="2"/>
              <w:spacing w:line="360" w:lineRule="auto"/>
              <w:jc w:val="center"/>
              <w:rPr>
                <w:rFonts w:hint="default"/>
                <w:color w:val="auto"/>
                <w:highlight w:val="none"/>
                <w:lang w:val="en-US" w:eastAsia="zh-CN"/>
              </w:rPr>
            </w:pPr>
          </w:p>
          <w:p w14:paraId="22F851F8">
            <w:pPr>
              <w:pStyle w:val="2"/>
              <w:spacing w:line="360" w:lineRule="auto"/>
              <w:jc w:val="center"/>
              <w:rPr>
                <w:rFonts w:hint="default"/>
                <w:color w:val="auto"/>
                <w:highlight w:val="none"/>
                <w:lang w:val="en-US" w:eastAsia="zh-CN"/>
              </w:rPr>
            </w:pPr>
          </w:p>
          <w:p w14:paraId="5D901872">
            <w:pPr>
              <w:pStyle w:val="2"/>
              <w:spacing w:line="360" w:lineRule="auto"/>
              <w:jc w:val="center"/>
              <w:rPr>
                <w:rFonts w:hint="default"/>
                <w:color w:val="auto"/>
                <w:highlight w:val="none"/>
                <w:lang w:val="en-US" w:eastAsia="zh-CN"/>
              </w:rPr>
            </w:pPr>
          </w:p>
          <w:p w14:paraId="52131F92">
            <w:pPr>
              <w:pStyle w:val="2"/>
              <w:spacing w:line="360" w:lineRule="auto"/>
              <w:jc w:val="center"/>
              <w:rPr>
                <w:rFonts w:hint="default"/>
                <w:color w:val="auto"/>
                <w:highlight w:val="none"/>
                <w:lang w:val="en-US" w:eastAsia="zh-CN"/>
              </w:rPr>
            </w:pPr>
          </w:p>
          <w:p w14:paraId="4C5A05D4">
            <w:pPr>
              <w:pStyle w:val="2"/>
              <w:spacing w:line="360" w:lineRule="auto"/>
              <w:jc w:val="center"/>
              <w:rPr>
                <w:rFonts w:hint="default"/>
                <w:color w:val="auto"/>
                <w:highlight w:val="none"/>
                <w:lang w:val="en-US" w:eastAsia="zh-CN"/>
              </w:rPr>
            </w:pPr>
          </w:p>
          <w:p w14:paraId="3CF18345">
            <w:pPr>
              <w:pStyle w:val="2"/>
              <w:spacing w:line="360" w:lineRule="auto"/>
              <w:jc w:val="center"/>
              <w:rPr>
                <w:rFonts w:hint="default"/>
                <w:color w:val="auto"/>
                <w:highlight w:val="none"/>
                <w:lang w:val="en-US" w:eastAsia="zh-CN"/>
              </w:rPr>
            </w:pPr>
          </w:p>
          <w:p w14:paraId="11119C7F">
            <w:pPr>
              <w:pStyle w:val="2"/>
              <w:spacing w:line="360" w:lineRule="auto"/>
              <w:jc w:val="center"/>
              <w:rPr>
                <w:rFonts w:hint="default"/>
                <w:color w:val="auto"/>
                <w:highlight w:val="none"/>
                <w:lang w:val="en-US" w:eastAsia="zh-CN"/>
              </w:rPr>
            </w:pPr>
          </w:p>
          <w:p w14:paraId="062708B2">
            <w:pPr>
              <w:pStyle w:val="2"/>
              <w:spacing w:line="360" w:lineRule="auto"/>
              <w:jc w:val="center"/>
              <w:rPr>
                <w:rFonts w:hint="default"/>
                <w:color w:val="auto"/>
                <w:highlight w:val="none"/>
                <w:lang w:val="en-US" w:eastAsia="zh-CN"/>
              </w:rPr>
            </w:pPr>
          </w:p>
          <w:p w14:paraId="31BDC653">
            <w:pPr>
              <w:pStyle w:val="2"/>
              <w:spacing w:line="360" w:lineRule="auto"/>
              <w:jc w:val="center"/>
              <w:rPr>
                <w:rFonts w:hint="default"/>
                <w:color w:val="auto"/>
                <w:highlight w:val="none"/>
                <w:lang w:val="en-US" w:eastAsia="zh-CN"/>
              </w:rPr>
            </w:pPr>
          </w:p>
          <w:p w14:paraId="652CD6F9">
            <w:pPr>
              <w:pStyle w:val="2"/>
              <w:spacing w:line="360" w:lineRule="auto"/>
              <w:jc w:val="center"/>
              <w:rPr>
                <w:rFonts w:hint="default"/>
                <w:color w:val="auto"/>
                <w:highlight w:val="none"/>
                <w:lang w:val="en-US" w:eastAsia="zh-CN"/>
              </w:rPr>
            </w:pPr>
          </w:p>
          <w:p w14:paraId="392F12EB">
            <w:pPr>
              <w:pStyle w:val="2"/>
              <w:spacing w:line="360" w:lineRule="auto"/>
              <w:jc w:val="center"/>
              <w:rPr>
                <w:rFonts w:hint="default"/>
                <w:color w:val="auto"/>
                <w:highlight w:val="none"/>
                <w:lang w:val="en-US" w:eastAsia="zh-CN"/>
              </w:rPr>
            </w:pPr>
          </w:p>
          <w:p w14:paraId="20B8A312">
            <w:pPr>
              <w:pStyle w:val="2"/>
              <w:spacing w:line="360" w:lineRule="auto"/>
              <w:jc w:val="center"/>
              <w:rPr>
                <w:rFonts w:hint="default"/>
                <w:color w:val="auto"/>
                <w:highlight w:val="none"/>
                <w:lang w:val="en-US" w:eastAsia="zh-CN"/>
              </w:rPr>
            </w:pPr>
          </w:p>
          <w:p w14:paraId="2EF949A7">
            <w:pPr>
              <w:pStyle w:val="2"/>
              <w:spacing w:line="360" w:lineRule="auto"/>
              <w:jc w:val="center"/>
              <w:rPr>
                <w:rFonts w:hint="default"/>
                <w:color w:val="auto"/>
                <w:highlight w:val="none"/>
                <w:lang w:val="en-US" w:eastAsia="zh-CN"/>
              </w:rPr>
            </w:pPr>
          </w:p>
          <w:p w14:paraId="10A05566">
            <w:pPr>
              <w:pStyle w:val="2"/>
              <w:spacing w:line="360" w:lineRule="auto"/>
              <w:jc w:val="center"/>
              <w:rPr>
                <w:rFonts w:hint="default"/>
                <w:color w:val="auto"/>
                <w:highlight w:val="none"/>
                <w:lang w:val="en-US" w:eastAsia="zh-CN"/>
              </w:rPr>
            </w:pPr>
          </w:p>
          <w:p w14:paraId="4EC1A60B">
            <w:pPr>
              <w:pStyle w:val="2"/>
              <w:spacing w:line="360" w:lineRule="auto"/>
              <w:jc w:val="center"/>
              <w:rPr>
                <w:rFonts w:hint="default"/>
                <w:color w:val="auto"/>
                <w:highlight w:val="none"/>
                <w:lang w:val="en-US" w:eastAsia="zh-CN"/>
              </w:rPr>
            </w:pPr>
          </w:p>
          <w:p w14:paraId="3457B465">
            <w:pPr>
              <w:pStyle w:val="2"/>
              <w:spacing w:line="360" w:lineRule="auto"/>
              <w:jc w:val="center"/>
              <w:rPr>
                <w:rFonts w:hint="default"/>
                <w:color w:val="auto"/>
                <w:highlight w:val="none"/>
                <w:lang w:val="en-US" w:eastAsia="zh-CN"/>
              </w:rPr>
            </w:pPr>
          </w:p>
          <w:p w14:paraId="04325E3B">
            <w:pPr>
              <w:pStyle w:val="2"/>
              <w:spacing w:line="360" w:lineRule="auto"/>
              <w:jc w:val="center"/>
              <w:rPr>
                <w:rFonts w:hint="default"/>
                <w:color w:val="auto"/>
                <w:highlight w:val="none"/>
                <w:lang w:val="en-US" w:eastAsia="zh-CN"/>
              </w:rPr>
            </w:pPr>
            <w:r>
              <w:rPr>
                <w:rFonts w:hint="default"/>
                <w:color w:val="auto"/>
                <w:highlight w:val="none"/>
                <w:lang w:val="en-US" w:eastAsia="zh-CN"/>
              </w:rPr>
              <w:t>1</w:t>
            </w:r>
          </w:p>
        </w:tc>
        <w:tc>
          <w:tcPr>
            <w:tcW w:w="6450" w:type="dxa"/>
            <w:shd w:val="clear" w:color="auto" w:fill="auto"/>
            <w:vAlign w:val="top"/>
          </w:tcPr>
          <w:p w14:paraId="0E1FB430">
            <w:pPr>
              <w:pStyle w:val="2"/>
              <w:spacing w:line="360" w:lineRule="auto"/>
              <w:rPr>
                <w:rFonts w:hint="default"/>
                <w:b/>
                <w:bCs/>
                <w:color w:val="auto"/>
                <w:highlight w:val="none"/>
                <w:lang w:val="en-US" w:eastAsia="zh-CN"/>
              </w:rPr>
            </w:pPr>
            <w:r>
              <w:rPr>
                <w:rFonts w:hint="default"/>
                <w:color w:val="auto"/>
                <w:highlight w:val="none"/>
                <w:lang w:val="en-US" w:eastAsia="zh-CN"/>
              </w:rPr>
              <w:t xml:space="preserve">网络摄像机≥400万星光级1/1.8"CMOS AI泛智能抓拍半球型网络摄像机最低照度:彩色≥0.0005 Lux @（F1.2 ，AGC ON）；黑白≥0.0001 Lux @（F1.2， AGC ON），0 Lux with IR调节角度:水平≥0~355°,垂直≥0~75°,旋转：0~355°宽动态:120dB焦距&amp;视场角≥2 .8~12mm≥水平视场角：114.6°~41 .8°,垂直视场角：59.3°~23.6°,对角线视场角：141.3°~48.1°补光灯类型:红外，850nm补光距离:2.8~12mm：普通监控：30m，人脸抓拍/识别：3m最大图像尺寸:2688×1520视频压缩标准:H.265/H.264/MJPEG网络存储:支持MicroSD(即 TF卡)/MicroSDHC/Micro SDXC卡（最大256GB）断网本地存储及断网续传，NAS（NFS，SMB/CIFS均支持）视频输出: 1 Vp-p Composite Output(75Ω/CVBS)网络:1个RJ4510 M/100M/1000M自适应以太网口音频:2路输入（Line in），1路输出（Line out），2个内置麦克风，1个内置扬声器报警:3路输入，2路输出（报警输入支持开关量，报警输出最大支持 DC12 V，30mA）RS-485: 1路RS485接口复位:支持电源输出:支持DC12V，100mA接口类型:外甩线产品尺寸:Ø144.3×114.1mm装尺寸:244×174×173mm设备重量:900g带包装重量:1400g存储温湿度:-30℃~60℃,湿度小于95%（无凝结）启动和工作温湿度:-30℃~60℃,湿度小于95%（无凝结）电流及功耗:DC：12 V，1.02 A，最大功耗：12.4 W；AC：24 V，0.82A </w:t>
            </w:r>
            <w:r>
              <w:rPr>
                <w:rFonts w:hint="eastAsia"/>
                <w:color w:val="auto"/>
                <w:highlight w:val="none"/>
                <w:lang w:val="en-US" w:eastAsia="zh-CN"/>
              </w:rPr>
              <w:t>，</w:t>
            </w:r>
            <w:r>
              <w:rPr>
                <w:rFonts w:hint="default"/>
                <w:color w:val="auto"/>
                <w:highlight w:val="none"/>
                <w:lang w:val="en-US" w:eastAsia="zh-CN"/>
              </w:rPr>
              <w:t>最大功耗：11.8 W；PoE：802.3at，42.5 V~57 V，0.29 A~0.22 A ，最 大功耗：12.5W供电方式: DC：12V±20% ，支持防反接保护；AC：24V±20%；PoE：802.3at，Type 2 Class4电源接口类型:3芯接口线缆长度:25cm防护:IP67支持硬件微引导程序、uboot、OS、应用软件逐级校验功能，非法篡改的uboot、OS、应用软件固件包，不能通过命令行、浏览器、客户端方式进行升级。</w:t>
            </w:r>
            <w:r>
              <w:rPr>
                <w:rFonts w:hint="default"/>
                <w:b/>
                <w:bCs/>
                <w:color w:val="auto"/>
                <w:highlight w:val="none"/>
                <w:lang w:val="en-US" w:eastAsia="zh-CN"/>
              </w:rPr>
              <w:t>（</w:t>
            </w:r>
            <w:r>
              <w:rPr>
                <w:rFonts w:hint="eastAsia"/>
                <w:b/>
                <w:bCs/>
                <w:color w:val="auto"/>
                <w:highlight w:val="none"/>
                <w:lang w:val="en-US" w:eastAsia="zh-CN"/>
              </w:rPr>
              <w:t>需提供有资质的权威机构出具的检测</w:t>
            </w:r>
            <w:r>
              <w:rPr>
                <w:rFonts w:hint="default"/>
                <w:b/>
                <w:bCs/>
                <w:color w:val="auto"/>
                <w:highlight w:val="none"/>
                <w:lang w:val="en-US" w:eastAsia="zh-CN"/>
              </w:rPr>
              <w:t>报告证明）</w:t>
            </w:r>
          </w:p>
          <w:p w14:paraId="68C1B94A">
            <w:pPr>
              <w:pStyle w:val="2"/>
              <w:spacing w:line="360" w:lineRule="auto"/>
              <w:rPr>
                <w:rFonts w:hint="default"/>
                <w:color w:val="auto"/>
                <w:highlight w:val="none"/>
                <w:lang w:val="en-US" w:eastAsia="zh-CN"/>
              </w:rPr>
            </w:pPr>
            <w:r>
              <w:rPr>
                <w:rFonts w:hint="default"/>
                <w:color w:val="auto"/>
                <w:highlight w:val="none"/>
                <w:lang w:val="en-US" w:eastAsia="zh-CN"/>
              </w:rPr>
              <w:t>在IE浏览器下，具有设备重启和布防动态报警数据感知与记录功能，布防动态报警数据包括异常掉线、历史布防、实时布防3种类型；可记录报警的开始时间、结束时间、布防类型、报警链路地址、端口、链路续传。（</w:t>
            </w:r>
            <w:r>
              <w:rPr>
                <w:rFonts w:hint="eastAsia"/>
                <w:b/>
                <w:bCs/>
                <w:color w:val="auto"/>
                <w:highlight w:val="none"/>
                <w:lang w:val="en-US" w:eastAsia="zh-CN"/>
              </w:rPr>
              <w:t>需</w:t>
            </w:r>
            <w:r>
              <w:rPr>
                <w:rFonts w:hint="default"/>
                <w:b/>
                <w:bCs/>
                <w:color w:val="auto"/>
                <w:highlight w:val="none"/>
                <w:lang w:val="en-US" w:eastAsia="zh-CN"/>
              </w:rPr>
              <w:t>提供相关部门的检验报告证明材料）</w:t>
            </w:r>
            <w:r>
              <w:rPr>
                <w:rFonts w:hint="eastAsia" w:ascii="宋体" w:hAnsi="宋体" w:cs="宋体"/>
                <w:b/>
                <w:bCs/>
                <w:color w:val="auto"/>
                <w:sz w:val="24"/>
                <w:szCs w:val="24"/>
                <w:highlight w:val="none"/>
                <w:lang w:val="en-US" w:eastAsia="zh-CN"/>
              </w:rPr>
              <w:t>【评审项1</w:t>
            </w:r>
            <w:r>
              <w:rPr>
                <w:rFonts w:hint="eastAsia" w:cs="宋体"/>
                <w:b/>
                <w:bCs/>
                <w:color w:val="auto"/>
                <w:sz w:val="24"/>
                <w:szCs w:val="24"/>
                <w:highlight w:val="none"/>
                <w:lang w:val="en-US" w:eastAsia="zh-CN"/>
              </w:rPr>
              <w:t>9</w:t>
            </w:r>
            <w:r>
              <w:rPr>
                <w:rFonts w:hint="eastAsia" w:ascii="宋体" w:hAnsi="宋体" w:cs="宋体"/>
                <w:b/>
                <w:bCs/>
                <w:color w:val="auto"/>
                <w:sz w:val="24"/>
                <w:szCs w:val="24"/>
                <w:highlight w:val="none"/>
                <w:lang w:val="en-US" w:eastAsia="zh-CN"/>
              </w:rPr>
              <w:t>】</w:t>
            </w:r>
          </w:p>
        </w:tc>
        <w:tc>
          <w:tcPr>
            <w:tcW w:w="675" w:type="dxa"/>
            <w:shd w:val="clear" w:color="auto" w:fill="auto"/>
            <w:vAlign w:val="top"/>
          </w:tcPr>
          <w:p w14:paraId="029E87A0">
            <w:pPr>
              <w:pStyle w:val="2"/>
              <w:spacing w:line="360" w:lineRule="auto"/>
              <w:jc w:val="center"/>
              <w:rPr>
                <w:rFonts w:hint="default"/>
                <w:color w:val="auto"/>
                <w:highlight w:val="none"/>
                <w:lang w:val="en-US" w:eastAsia="zh-CN"/>
              </w:rPr>
            </w:pPr>
          </w:p>
          <w:p w14:paraId="1A73AF6F">
            <w:pPr>
              <w:pStyle w:val="2"/>
              <w:spacing w:line="360" w:lineRule="auto"/>
              <w:jc w:val="center"/>
              <w:rPr>
                <w:rFonts w:hint="default"/>
                <w:color w:val="auto"/>
                <w:highlight w:val="none"/>
                <w:lang w:val="en-US" w:eastAsia="zh-CN"/>
              </w:rPr>
            </w:pPr>
          </w:p>
          <w:p w14:paraId="55098AE9">
            <w:pPr>
              <w:pStyle w:val="2"/>
              <w:spacing w:line="360" w:lineRule="auto"/>
              <w:jc w:val="center"/>
              <w:rPr>
                <w:rFonts w:hint="default"/>
                <w:color w:val="auto"/>
                <w:highlight w:val="none"/>
                <w:lang w:val="en-US" w:eastAsia="zh-CN"/>
              </w:rPr>
            </w:pPr>
          </w:p>
          <w:p w14:paraId="7F079B66">
            <w:pPr>
              <w:pStyle w:val="2"/>
              <w:spacing w:line="360" w:lineRule="auto"/>
              <w:jc w:val="center"/>
              <w:rPr>
                <w:rFonts w:hint="default"/>
                <w:color w:val="auto"/>
                <w:highlight w:val="none"/>
                <w:lang w:val="en-US" w:eastAsia="zh-CN"/>
              </w:rPr>
            </w:pPr>
          </w:p>
          <w:p w14:paraId="6947191B">
            <w:pPr>
              <w:pStyle w:val="2"/>
              <w:spacing w:line="360" w:lineRule="auto"/>
              <w:jc w:val="center"/>
              <w:rPr>
                <w:rFonts w:hint="default"/>
                <w:color w:val="auto"/>
                <w:highlight w:val="none"/>
                <w:lang w:val="en-US" w:eastAsia="zh-CN"/>
              </w:rPr>
            </w:pPr>
          </w:p>
          <w:p w14:paraId="0B9DD68C">
            <w:pPr>
              <w:pStyle w:val="2"/>
              <w:spacing w:line="360" w:lineRule="auto"/>
              <w:jc w:val="center"/>
              <w:rPr>
                <w:rFonts w:hint="default"/>
                <w:color w:val="auto"/>
                <w:highlight w:val="none"/>
                <w:lang w:val="en-US" w:eastAsia="zh-CN"/>
              </w:rPr>
            </w:pPr>
          </w:p>
          <w:p w14:paraId="267C8320">
            <w:pPr>
              <w:pStyle w:val="2"/>
              <w:spacing w:line="360" w:lineRule="auto"/>
              <w:jc w:val="center"/>
              <w:rPr>
                <w:rFonts w:hint="default"/>
                <w:color w:val="auto"/>
                <w:highlight w:val="none"/>
                <w:lang w:val="en-US" w:eastAsia="zh-CN"/>
              </w:rPr>
            </w:pPr>
          </w:p>
          <w:p w14:paraId="76E441E1">
            <w:pPr>
              <w:pStyle w:val="2"/>
              <w:spacing w:line="360" w:lineRule="auto"/>
              <w:jc w:val="center"/>
              <w:rPr>
                <w:rFonts w:hint="default"/>
                <w:color w:val="auto"/>
                <w:highlight w:val="none"/>
                <w:lang w:val="en-US" w:eastAsia="zh-CN"/>
              </w:rPr>
            </w:pPr>
          </w:p>
          <w:p w14:paraId="2B04E4D5">
            <w:pPr>
              <w:pStyle w:val="2"/>
              <w:spacing w:line="360" w:lineRule="auto"/>
              <w:jc w:val="center"/>
              <w:rPr>
                <w:rFonts w:hint="default"/>
                <w:color w:val="auto"/>
                <w:highlight w:val="none"/>
                <w:lang w:val="en-US" w:eastAsia="zh-CN"/>
              </w:rPr>
            </w:pPr>
          </w:p>
          <w:p w14:paraId="59C58672">
            <w:pPr>
              <w:pStyle w:val="2"/>
              <w:spacing w:line="360" w:lineRule="auto"/>
              <w:jc w:val="center"/>
              <w:rPr>
                <w:rFonts w:hint="default"/>
                <w:color w:val="auto"/>
                <w:highlight w:val="none"/>
                <w:lang w:val="en-US" w:eastAsia="zh-CN"/>
              </w:rPr>
            </w:pPr>
          </w:p>
          <w:p w14:paraId="111E1190">
            <w:pPr>
              <w:pStyle w:val="2"/>
              <w:spacing w:line="360" w:lineRule="auto"/>
              <w:jc w:val="center"/>
              <w:rPr>
                <w:rFonts w:hint="default"/>
                <w:color w:val="auto"/>
                <w:highlight w:val="none"/>
                <w:lang w:val="en-US" w:eastAsia="zh-CN"/>
              </w:rPr>
            </w:pPr>
          </w:p>
          <w:p w14:paraId="6C4D1E3B">
            <w:pPr>
              <w:pStyle w:val="2"/>
              <w:spacing w:line="360" w:lineRule="auto"/>
              <w:jc w:val="center"/>
              <w:rPr>
                <w:rFonts w:hint="default"/>
                <w:color w:val="auto"/>
                <w:highlight w:val="none"/>
                <w:lang w:val="en-US" w:eastAsia="zh-CN"/>
              </w:rPr>
            </w:pPr>
          </w:p>
          <w:p w14:paraId="3CCC7374">
            <w:pPr>
              <w:pStyle w:val="2"/>
              <w:spacing w:line="360" w:lineRule="auto"/>
              <w:jc w:val="center"/>
              <w:rPr>
                <w:rFonts w:hint="default"/>
                <w:color w:val="auto"/>
                <w:highlight w:val="none"/>
                <w:lang w:val="en-US" w:eastAsia="zh-CN"/>
              </w:rPr>
            </w:pPr>
          </w:p>
          <w:p w14:paraId="09EEC32B">
            <w:pPr>
              <w:pStyle w:val="2"/>
              <w:spacing w:line="360" w:lineRule="auto"/>
              <w:jc w:val="center"/>
              <w:rPr>
                <w:rFonts w:hint="default"/>
                <w:color w:val="auto"/>
                <w:highlight w:val="none"/>
                <w:lang w:val="en-US" w:eastAsia="zh-CN"/>
              </w:rPr>
            </w:pPr>
          </w:p>
          <w:p w14:paraId="0EDE33A9">
            <w:pPr>
              <w:pStyle w:val="2"/>
              <w:spacing w:line="360" w:lineRule="auto"/>
              <w:jc w:val="center"/>
              <w:rPr>
                <w:rFonts w:hint="default"/>
                <w:color w:val="auto"/>
                <w:highlight w:val="none"/>
                <w:lang w:val="en-US" w:eastAsia="zh-CN"/>
              </w:rPr>
            </w:pPr>
          </w:p>
          <w:p w14:paraId="0D0E823F">
            <w:pPr>
              <w:pStyle w:val="2"/>
              <w:spacing w:line="360" w:lineRule="auto"/>
              <w:jc w:val="center"/>
              <w:rPr>
                <w:rFonts w:hint="default"/>
                <w:color w:val="auto"/>
                <w:highlight w:val="none"/>
                <w:lang w:val="en-US" w:eastAsia="zh-CN"/>
              </w:rPr>
            </w:pPr>
          </w:p>
          <w:p w14:paraId="19DE1B06">
            <w:pPr>
              <w:pStyle w:val="2"/>
              <w:spacing w:line="360" w:lineRule="auto"/>
              <w:jc w:val="center"/>
              <w:rPr>
                <w:rFonts w:hint="default"/>
                <w:color w:val="auto"/>
                <w:highlight w:val="none"/>
                <w:lang w:val="en-US" w:eastAsia="zh-CN"/>
              </w:rPr>
            </w:pPr>
          </w:p>
          <w:p w14:paraId="6BAD2849">
            <w:pPr>
              <w:pStyle w:val="2"/>
              <w:spacing w:line="360" w:lineRule="auto"/>
              <w:jc w:val="center"/>
              <w:rPr>
                <w:rFonts w:hint="default"/>
                <w:color w:val="auto"/>
                <w:highlight w:val="none"/>
                <w:lang w:val="en-US" w:eastAsia="zh-CN"/>
              </w:rPr>
            </w:pPr>
          </w:p>
          <w:p w14:paraId="5346CFB0">
            <w:pPr>
              <w:pStyle w:val="2"/>
              <w:spacing w:line="360" w:lineRule="auto"/>
              <w:jc w:val="center"/>
              <w:rPr>
                <w:rFonts w:hint="default"/>
                <w:color w:val="auto"/>
                <w:highlight w:val="none"/>
                <w:lang w:val="en-US" w:eastAsia="zh-CN"/>
              </w:rPr>
            </w:pPr>
            <w:r>
              <w:rPr>
                <w:rFonts w:hint="default"/>
                <w:color w:val="auto"/>
                <w:highlight w:val="none"/>
                <w:lang w:val="en-US" w:eastAsia="zh-CN"/>
              </w:rPr>
              <w:t>台</w:t>
            </w:r>
          </w:p>
        </w:tc>
        <w:tc>
          <w:tcPr>
            <w:tcW w:w="735" w:type="dxa"/>
            <w:shd w:val="clear" w:color="auto" w:fill="auto"/>
            <w:vAlign w:val="top"/>
          </w:tcPr>
          <w:p w14:paraId="3089EEAC">
            <w:pPr>
              <w:pStyle w:val="2"/>
              <w:spacing w:line="360" w:lineRule="auto"/>
              <w:jc w:val="center"/>
              <w:rPr>
                <w:rFonts w:hint="default"/>
                <w:color w:val="auto"/>
                <w:highlight w:val="none"/>
                <w:lang w:val="en-US" w:eastAsia="zh-CN"/>
              </w:rPr>
            </w:pPr>
          </w:p>
          <w:p w14:paraId="04C1B343">
            <w:pPr>
              <w:pStyle w:val="2"/>
              <w:spacing w:line="360" w:lineRule="auto"/>
              <w:jc w:val="center"/>
              <w:rPr>
                <w:rFonts w:hint="default"/>
                <w:color w:val="auto"/>
                <w:highlight w:val="none"/>
                <w:lang w:val="en-US" w:eastAsia="zh-CN"/>
              </w:rPr>
            </w:pPr>
          </w:p>
          <w:p w14:paraId="5E397C44">
            <w:pPr>
              <w:pStyle w:val="2"/>
              <w:spacing w:line="360" w:lineRule="auto"/>
              <w:jc w:val="center"/>
              <w:rPr>
                <w:rFonts w:hint="default"/>
                <w:color w:val="auto"/>
                <w:highlight w:val="none"/>
                <w:lang w:val="en-US" w:eastAsia="zh-CN"/>
              </w:rPr>
            </w:pPr>
          </w:p>
          <w:p w14:paraId="5AAF6E1D">
            <w:pPr>
              <w:pStyle w:val="2"/>
              <w:spacing w:line="360" w:lineRule="auto"/>
              <w:jc w:val="center"/>
              <w:rPr>
                <w:rFonts w:hint="default"/>
                <w:color w:val="auto"/>
                <w:highlight w:val="none"/>
                <w:lang w:val="en-US" w:eastAsia="zh-CN"/>
              </w:rPr>
            </w:pPr>
          </w:p>
          <w:p w14:paraId="56D3040D">
            <w:pPr>
              <w:pStyle w:val="2"/>
              <w:spacing w:line="360" w:lineRule="auto"/>
              <w:jc w:val="center"/>
              <w:rPr>
                <w:rFonts w:hint="default"/>
                <w:color w:val="auto"/>
                <w:highlight w:val="none"/>
                <w:lang w:val="en-US" w:eastAsia="zh-CN"/>
              </w:rPr>
            </w:pPr>
          </w:p>
          <w:p w14:paraId="15F82B2C">
            <w:pPr>
              <w:pStyle w:val="2"/>
              <w:spacing w:line="360" w:lineRule="auto"/>
              <w:jc w:val="center"/>
              <w:rPr>
                <w:rFonts w:hint="default"/>
                <w:color w:val="auto"/>
                <w:highlight w:val="none"/>
                <w:lang w:val="en-US" w:eastAsia="zh-CN"/>
              </w:rPr>
            </w:pPr>
          </w:p>
          <w:p w14:paraId="76D8EBEB">
            <w:pPr>
              <w:pStyle w:val="2"/>
              <w:spacing w:line="360" w:lineRule="auto"/>
              <w:jc w:val="center"/>
              <w:rPr>
                <w:rFonts w:hint="default"/>
                <w:color w:val="auto"/>
                <w:highlight w:val="none"/>
                <w:lang w:val="en-US" w:eastAsia="zh-CN"/>
              </w:rPr>
            </w:pPr>
          </w:p>
          <w:p w14:paraId="266186B0">
            <w:pPr>
              <w:pStyle w:val="2"/>
              <w:spacing w:line="360" w:lineRule="auto"/>
              <w:jc w:val="center"/>
              <w:rPr>
                <w:rFonts w:hint="default"/>
                <w:color w:val="auto"/>
                <w:highlight w:val="none"/>
                <w:lang w:val="en-US" w:eastAsia="zh-CN"/>
              </w:rPr>
            </w:pPr>
          </w:p>
          <w:p w14:paraId="4CE9604D">
            <w:pPr>
              <w:pStyle w:val="2"/>
              <w:spacing w:line="360" w:lineRule="auto"/>
              <w:jc w:val="center"/>
              <w:rPr>
                <w:rFonts w:hint="default"/>
                <w:color w:val="auto"/>
                <w:highlight w:val="none"/>
                <w:lang w:val="en-US" w:eastAsia="zh-CN"/>
              </w:rPr>
            </w:pPr>
          </w:p>
          <w:p w14:paraId="526F2D70">
            <w:pPr>
              <w:pStyle w:val="2"/>
              <w:spacing w:line="360" w:lineRule="auto"/>
              <w:jc w:val="center"/>
              <w:rPr>
                <w:rFonts w:hint="default"/>
                <w:color w:val="auto"/>
                <w:highlight w:val="none"/>
                <w:lang w:val="en-US" w:eastAsia="zh-CN"/>
              </w:rPr>
            </w:pPr>
          </w:p>
          <w:p w14:paraId="3755CFBC">
            <w:pPr>
              <w:pStyle w:val="2"/>
              <w:spacing w:line="360" w:lineRule="auto"/>
              <w:jc w:val="center"/>
              <w:rPr>
                <w:rFonts w:hint="default"/>
                <w:color w:val="auto"/>
                <w:highlight w:val="none"/>
                <w:lang w:val="en-US" w:eastAsia="zh-CN"/>
              </w:rPr>
            </w:pPr>
          </w:p>
          <w:p w14:paraId="59DC97CE">
            <w:pPr>
              <w:pStyle w:val="2"/>
              <w:spacing w:line="360" w:lineRule="auto"/>
              <w:jc w:val="center"/>
              <w:rPr>
                <w:rFonts w:hint="default"/>
                <w:color w:val="auto"/>
                <w:highlight w:val="none"/>
                <w:lang w:val="en-US" w:eastAsia="zh-CN"/>
              </w:rPr>
            </w:pPr>
          </w:p>
          <w:p w14:paraId="0107A55A">
            <w:pPr>
              <w:pStyle w:val="2"/>
              <w:spacing w:line="360" w:lineRule="auto"/>
              <w:jc w:val="center"/>
              <w:rPr>
                <w:rFonts w:hint="default"/>
                <w:color w:val="auto"/>
                <w:highlight w:val="none"/>
                <w:lang w:val="en-US" w:eastAsia="zh-CN"/>
              </w:rPr>
            </w:pPr>
          </w:p>
          <w:p w14:paraId="33DC781A">
            <w:pPr>
              <w:pStyle w:val="2"/>
              <w:spacing w:line="360" w:lineRule="auto"/>
              <w:jc w:val="center"/>
              <w:rPr>
                <w:rFonts w:hint="default"/>
                <w:color w:val="auto"/>
                <w:highlight w:val="none"/>
                <w:lang w:val="en-US" w:eastAsia="zh-CN"/>
              </w:rPr>
            </w:pPr>
          </w:p>
          <w:p w14:paraId="547DF3C0">
            <w:pPr>
              <w:pStyle w:val="2"/>
              <w:spacing w:line="360" w:lineRule="auto"/>
              <w:jc w:val="center"/>
              <w:rPr>
                <w:rFonts w:hint="default"/>
                <w:color w:val="auto"/>
                <w:highlight w:val="none"/>
                <w:lang w:val="en-US" w:eastAsia="zh-CN"/>
              </w:rPr>
            </w:pPr>
          </w:p>
          <w:p w14:paraId="3435AC96">
            <w:pPr>
              <w:pStyle w:val="2"/>
              <w:spacing w:line="360" w:lineRule="auto"/>
              <w:jc w:val="center"/>
              <w:rPr>
                <w:rFonts w:hint="default"/>
                <w:color w:val="auto"/>
                <w:highlight w:val="none"/>
                <w:lang w:val="en-US" w:eastAsia="zh-CN"/>
              </w:rPr>
            </w:pPr>
          </w:p>
          <w:p w14:paraId="51F5036C">
            <w:pPr>
              <w:pStyle w:val="2"/>
              <w:spacing w:line="360" w:lineRule="auto"/>
              <w:jc w:val="center"/>
              <w:rPr>
                <w:rFonts w:hint="default"/>
                <w:color w:val="auto"/>
                <w:highlight w:val="none"/>
                <w:lang w:val="en-US" w:eastAsia="zh-CN"/>
              </w:rPr>
            </w:pPr>
          </w:p>
          <w:p w14:paraId="16432691">
            <w:pPr>
              <w:pStyle w:val="2"/>
              <w:spacing w:line="360" w:lineRule="auto"/>
              <w:jc w:val="center"/>
              <w:rPr>
                <w:rFonts w:hint="default"/>
                <w:color w:val="auto"/>
                <w:highlight w:val="none"/>
                <w:lang w:val="en-US" w:eastAsia="zh-CN"/>
              </w:rPr>
            </w:pPr>
          </w:p>
          <w:p w14:paraId="48FA1FF7">
            <w:pPr>
              <w:pStyle w:val="2"/>
              <w:spacing w:line="360" w:lineRule="auto"/>
              <w:jc w:val="center"/>
              <w:rPr>
                <w:rFonts w:hint="default"/>
                <w:color w:val="auto"/>
                <w:highlight w:val="none"/>
                <w:lang w:val="en-US" w:eastAsia="zh-CN"/>
              </w:rPr>
            </w:pPr>
            <w:r>
              <w:rPr>
                <w:rFonts w:hint="default"/>
                <w:color w:val="auto"/>
                <w:highlight w:val="none"/>
                <w:lang w:val="en-US" w:eastAsia="zh-CN"/>
              </w:rPr>
              <w:t>2</w:t>
            </w:r>
          </w:p>
        </w:tc>
      </w:tr>
      <w:tr w14:paraId="590CE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50" w:type="dxa"/>
            <w:vAlign w:val="top"/>
          </w:tcPr>
          <w:p w14:paraId="19D3C627">
            <w:pPr>
              <w:pStyle w:val="2"/>
              <w:spacing w:line="360" w:lineRule="auto"/>
              <w:jc w:val="center"/>
              <w:rPr>
                <w:rFonts w:hint="default"/>
                <w:color w:val="auto"/>
                <w:highlight w:val="none"/>
                <w:lang w:val="en-US" w:eastAsia="zh-CN"/>
              </w:rPr>
            </w:pPr>
            <w:r>
              <w:rPr>
                <w:rFonts w:hint="default"/>
                <w:color w:val="auto"/>
                <w:highlight w:val="none"/>
                <w:lang w:val="en-US" w:eastAsia="zh-CN"/>
              </w:rPr>
              <w:t>2</w:t>
            </w:r>
          </w:p>
        </w:tc>
        <w:tc>
          <w:tcPr>
            <w:tcW w:w="6450" w:type="dxa"/>
            <w:vAlign w:val="top"/>
          </w:tcPr>
          <w:p w14:paraId="04710DD7">
            <w:pPr>
              <w:pStyle w:val="2"/>
              <w:spacing w:line="360" w:lineRule="auto"/>
              <w:rPr>
                <w:rFonts w:hint="default"/>
                <w:color w:val="auto"/>
                <w:highlight w:val="none"/>
                <w:lang w:val="en-US" w:eastAsia="zh-CN"/>
              </w:rPr>
            </w:pPr>
            <w:r>
              <w:rPr>
                <w:rFonts w:hint="default"/>
                <w:color w:val="auto"/>
                <w:highlight w:val="none"/>
                <w:lang w:val="en-US" w:eastAsia="zh-CN"/>
              </w:rPr>
              <w:t>千兆交换机≥8口千兆POE交换机</w:t>
            </w:r>
            <w:r>
              <w:rPr>
                <w:rFonts w:hint="eastAsia" w:ascii="宋体" w:hAnsi="宋体" w:cs="宋体"/>
                <w:b/>
                <w:bCs/>
                <w:color w:val="auto"/>
                <w:sz w:val="24"/>
                <w:szCs w:val="24"/>
                <w:highlight w:val="none"/>
                <w:lang w:val="en-US" w:eastAsia="zh-CN"/>
              </w:rPr>
              <w:t>【评审项</w:t>
            </w:r>
            <w:r>
              <w:rPr>
                <w:rFonts w:hint="eastAsia" w:cs="宋体"/>
                <w:b/>
                <w:bCs/>
                <w:color w:val="auto"/>
                <w:sz w:val="24"/>
                <w:szCs w:val="24"/>
                <w:highlight w:val="none"/>
                <w:lang w:val="en-US" w:eastAsia="zh-CN"/>
              </w:rPr>
              <w:t>20</w:t>
            </w:r>
            <w:r>
              <w:rPr>
                <w:rFonts w:hint="eastAsia" w:ascii="宋体" w:hAnsi="宋体" w:cs="宋体"/>
                <w:b/>
                <w:bCs/>
                <w:color w:val="auto"/>
                <w:sz w:val="24"/>
                <w:szCs w:val="24"/>
                <w:highlight w:val="none"/>
                <w:lang w:val="en-US" w:eastAsia="zh-CN"/>
              </w:rPr>
              <w:t>】</w:t>
            </w:r>
          </w:p>
        </w:tc>
        <w:tc>
          <w:tcPr>
            <w:tcW w:w="675" w:type="dxa"/>
            <w:vAlign w:val="top"/>
          </w:tcPr>
          <w:p w14:paraId="483D5308">
            <w:pPr>
              <w:pStyle w:val="2"/>
              <w:spacing w:line="360" w:lineRule="auto"/>
              <w:jc w:val="center"/>
              <w:rPr>
                <w:rFonts w:hint="default"/>
                <w:color w:val="auto"/>
                <w:highlight w:val="none"/>
                <w:lang w:val="en-US" w:eastAsia="zh-CN"/>
              </w:rPr>
            </w:pPr>
            <w:r>
              <w:rPr>
                <w:rFonts w:hint="default"/>
                <w:color w:val="auto"/>
                <w:highlight w:val="none"/>
                <w:lang w:val="en-US" w:eastAsia="zh-CN"/>
              </w:rPr>
              <w:t>台</w:t>
            </w:r>
          </w:p>
        </w:tc>
        <w:tc>
          <w:tcPr>
            <w:tcW w:w="735" w:type="dxa"/>
            <w:vAlign w:val="top"/>
          </w:tcPr>
          <w:p w14:paraId="5B4955CD">
            <w:pPr>
              <w:pStyle w:val="2"/>
              <w:spacing w:line="360" w:lineRule="auto"/>
              <w:jc w:val="center"/>
              <w:rPr>
                <w:rFonts w:hint="default"/>
                <w:color w:val="auto"/>
                <w:highlight w:val="none"/>
                <w:lang w:val="en-US" w:eastAsia="zh-CN"/>
              </w:rPr>
            </w:pPr>
            <w:r>
              <w:rPr>
                <w:rFonts w:hint="default"/>
                <w:color w:val="auto"/>
                <w:highlight w:val="none"/>
                <w:lang w:val="en-US" w:eastAsia="zh-CN"/>
              </w:rPr>
              <w:t>2</w:t>
            </w:r>
          </w:p>
        </w:tc>
      </w:tr>
      <w:tr w14:paraId="5A073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050" w:type="dxa"/>
            <w:vAlign w:val="top"/>
          </w:tcPr>
          <w:p w14:paraId="5C4E9C51">
            <w:pPr>
              <w:pStyle w:val="2"/>
              <w:spacing w:line="360" w:lineRule="auto"/>
              <w:jc w:val="center"/>
              <w:rPr>
                <w:rFonts w:hint="default"/>
                <w:color w:val="auto"/>
                <w:highlight w:val="none"/>
                <w:lang w:val="en-US" w:eastAsia="zh-CN"/>
              </w:rPr>
            </w:pPr>
            <w:r>
              <w:rPr>
                <w:rFonts w:hint="default"/>
                <w:color w:val="auto"/>
                <w:highlight w:val="none"/>
                <w:lang w:val="en-US" w:eastAsia="zh-CN"/>
              </w:rPr>
              <w:t>3</w:t>
            </w:r>
          </w:p>
        </w:tc>
        <w:tc>
          <w:tcPr>
            <w:tcW w:w="6450" w:type="dxa"/>
            <w:vAlign w:val="top"/>
          </w:tcPr>
          <w:p w14:paraId="42264A90">
            <w:pPr>
              <w:pStyle w:val="2"/>
              <w:spacing w:line="360" w:lineRule="auto"/>
              <w:rPr>
                <w:rFonts w:hint="default"/>
                <w:color w:val="auto"/>
                <w:highlight w:val="none"/>
                <w:lang w:val="en-US" w:eastAsia="zh-CN"/>
              </w:rPr>
            </w:pPr>
            <w:r>
              <w:rPr>
                <w:rFonts w:hint="default"/>
                <w:color w:val="auto"/>
                <w:highlight w:val="none"/>
                <w:lang w:val="en-US" w:eastAsia="zh-CN"/>
              </w:rPr>
              <w:t>硬盘录像机≥1.5U标准机架式4盘位网络硬盘录像机，ATX 电源支持满配12TB硬盘（总容量可达48TB)2个HDMI接口、1个VGA接口，双异源输出2个10M/100M/1000Mbps网口2个USB2.0接口、1个USB3.0接口1个eSATA接口报警IO接口：16路报警输入，4路报警输出串行接口≥1路全双工485接口，1路标准RS-232接口输入带宽≥160Mbps输出带宽≥256Mbps接入能力≥16路H.264、H.265格式高清码流接入解码能力：最大支持16×1080P名单库比对报警，支持最大4路图片流分析或1路视频流分析（400W视频流）16个目标名单库，总库容1万张（证件照）抓拍库500万张目标图片支持陌生人报警、目标1V1比对支持以图搜图、按姓名检索、按属性检索GPU分析能力：图片流：4路；视频流：1路 200W/ 1路 400W</w:t>
            </w:r>
            <w:r>
              <w:rPr>
                <w:rFonts w:hint="eastAsia"/>
                <w:color w:val="auto"/>
                <w:highlight w:val="none"/>
                <w:lang w:val="en-US" w:eastAsia="zh-CN"/>
              </w:rPr>
              <w:t>；</w:t>
            </w:r>
            <w:r>
              <w:rPr>
                <w:rFonts w:hint="default"/>
                <w:color w:val="auto"/>
                <w:highlight w:val="none"/>
                <w:lang w:val="en-US" w:eastAsia="zh-CN"/>
              </w:rPr>
              <w:t>可接入 1T 、2T 、3T 、4T 、6T 、8T 、10T 、12TB 、14TB 、16TB 、18TB 、20TB容量的SATA接口硬盘；具有存储安全保障功能，当存储压力过高或硬盘出现性能不足时，可优先录像业务存储；接入带有人体测温功能的IPC，支持在预览界面以卡片形式实时展示体温信息，体温正常为绿色，体温异常为红色，支持根据体温状态联动语音输出，语音支持“体温正常”、“体温异常”。支持按体温状态、温度范围检索人脸图片。</w:t>
            </w:r>
            <w:r>
              <w:rPr>
                <w:rFonts w:hint="eastAsia" w:ascii="宋体" w:hAnsi="宋体" w:cs="宋体"/>
                <w:b/>
                <w:bCs/>
                <w:color w:val="auto"/>
                <w:sz w:val="24"/>
                <w:szCs w:val="24"/>
                <w:highlight w:val="none"/>
                <w:lang w:val="en-US" w:eastAsia="zh-CN"/>
              </w:rPr>
              <w:t>【评审项</w:t>
            </w:r>
            <w:r>
              <w:rPr>
                <w:rFonts w:hint="eastAsia" w:cs="宋体"/>
                <w:b/>
                <w:bCs/>
                <w:color w:val="auto"/>
                <w:sz w:val="24"/>
                <w:szCs w:val="24"/>
                <w:highlight w:val="none"/>
                <w:lang w:val="en-US" w:eastAsia="zh-CN"/>
              </w:rPr>
              <w:t>21</w:t>
            </w:r>
            <w:r>
              <w:rPr>
                <w:rFonts w:hint="eastAsia" w:ascii="宋体" w:hAnsi="宋体" w:cs="宋体"/>
                <w:b/>
                <w:bCs/>
                <w:color w:val="auto"/>
                <w:sz w:val="24"/>
                <w:szCs w:val="24"/>
                <w:highlight w:val="none"/>
                <w:lang w:val="en-US" w:eastAsia="zh-CN"/>
              </w:rPr>
              <w:t>】</w:t>
            </w:r>
          </w:p>
        </w:tc>
        <w:tc>
          <w:tcPr>
            <w:tcW w:w="675" w:type="dxa"/>
            <w:vAlign w:val="top"/>
          </w:tcPr>
          <w:p w14:paraId="79059A8E">
            <w:pPr>
              <w:pStyle w:val="2"/>
              <w:spacing w:line="360" w:lineRule="auto"/>
              <w:jc w:val="center"/>
              <w:rPr>
                <w:rFonts w:hint="default"/>
                <w:color w:val="auto"/>
                <w:highlight w:val="none"/>
                <w:lang w:val="en-US" w:eastAsia="zh-CN"/>
              </w:rPr>
            </w:pPr>
            <w:r>
              <w:rPr>
                <w:rFonts w:hint="default"/>
                <w:color w:val="auto"/>
                <w:highlight w:val="none"/>
                <w:lang w:val="en-US" w:eastAsia="zh-CN"/>
              </w:rPr>
              <w:t>台</w:t>
            </w:r>
          </w:p>
        </w:tc>
        <w:tc>
          <w:tcPr>
            <w:tcW w:w="735" w:type="dxa"/>
            <w:vAlign w:val="top"/>
          </w:tcPr>
          <w:p w14:paraId="69F6844A">
            <w:pPr>
              <w:pStyle w:val="2"/>
              <w:spacing w:line="360" w:lineRule="auto"/>
              <w:jc w:val="center"/>
              <w:rPr>
                <w:rFonts w:hint="default"/>
                <w:color w:val="auto"/>
                <w:highlight w:val="none"/>
                <w:lang w:val="en-US" w:eastAsia="zh-CN"/>
              </w:rPr>
            </w:pPr>
            <w:r>
              <w:rPr>
                <w:rFonts w:hint="default"/>
                <w:color w:val="auto"/>
                <w:highlight w:val="none"/>
                <w:lang w:val="en-US" w:eastAsia="zh-CN"/>
              </w:rPr>
              <w:t>2</w:t>
            </w:r>
          </w:p>
        </w:tc>
      </w:tr>
    </w:tbl>
    <w:p w14:paraId="4A6F74BE">
      <w:pPr>
        <w:numPr>
          <w:ilvl w:val="0"/>
          <w:numId w:val="0"/>
        </w:numPr>
        <w:spacing w:line="360" w:lineRule="auto"/>
        <w:rPr>
          <w:rFonts w:hint="eastAsia" w:ascii="宋体" w:hAnsi="宋体" w:eastAsia="宋体" w:cs="宋体"/>
          <w:color w:val="auto"/>
          <w:sz w:val="24"/>
          <w:szCs w:val="24"/>
          <w:highlight w:val="none"/>
          <w:lang w:val="en-US" w:eastAsia="zh-CN"/>
        </w:rPr>
      </w:pPr>
    </w:p>
    <w:p w14:paraId="0E14D0BF">
      <w:pPr>
        <w:numPr>
          <w:ilvl w:val="0"/>
          <w:numId w:val="1"/>
        </w:numPr>
        <w:tabs>
          <w:tab w:val="left" w:pos="525"/>
        </w:tabs>
        <w:snapToGrid w:val="0"/>
        <w:spacing w:line="360" w:lineRule="auto"/>
        <w:ind w:left="0" w:leftChars="0" w:firstLine="0" w:firstLineChars="0"/>
        <w:rPr>
          <w:rFonts w:hint="eastAsia"/>
          <w:color w:val="auto"/>
          <w:highlight w:val="none"/>
        </w:rPr>
      </w:pPr>
      <w:r>
        <w:rPr>
          <w:rFonts w:hint="eastAsia" w:ascii="宋体" w:hAnsi="宋体" w:eastAsia="宋体" w:cs="宋体"/>
          <w:b/>
          <w:bCs/>
          <w:color w:val="auto"/>
          <w:sz w:val="24"/>
          <w:szCs w:val="24"/>
          <w:highlight w:val="none"/>
        </w:rPr>
        <w:t>商务条件要求</w:t>
      </w:r>
    </w:p>
    <w:p w14:paraId="5595D3E9">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1、交付地点：采购人指定地点。</w:t>
      </w:r>
    </w:p>
    <w:p w14:paraId="52C1FF11">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2、领取《中标通知书》时间：中标人应于中标结果公示期满后到代理机构领取《中标通知书》，并在</w:t>
      </w:r>
      <w:r>
        <w:rPr>
          <w:rFonts w:hint="eastAsia" w:ascii="宋体" w:hAnsi="宋体" w:eastAsia="宋体" w:cs="宋体"/>
          <w:bCs/>
          <w:color w:val="auto"/>
          <w:sz w:val="24"/>
          <w:szCs w:val="24"/>
          <w:highlight w:val="none"/>
        </w:rPr>
        <w:t>7个日历日</w:t>
      </w:r>
      <w:r>
        <w:rPr>
          <w:rFonts w:hint="eastAsia" w:ascii="宋体" w:hAnsi="宋体" w:eastAsia="宋体" w:cs="宋体"/>
          <w:color w:val="auto"/>
          <w:sz w:val="24"/>
          <w:szCs w:val="24"/>
          <w:highlight w:val="none"/>
        </w:rPr>
        <w:t>内与采购人签订合同。</w:t>
      </w:r>
    </w:p>
    <w:p w14:paraId="78C1FE64">
      <w:pPr>
        <w:spacing w:line="360" w:lineRule="auto"/>
        <w:ind w:firstLine="240" w:firstLineChars="1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交付时间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合同签订后(10)天内履行合同</w:t>
      </w:r>
      <w:r>
        <w:rPr>
          <w:rFonts w:hint="eastAsia" w:ascii="宋体" w:hAnsi="宋体" w:cs="宋体"/>
          <w:color w:val="auto"/>
          <w:sz w:val="24"/>
          <w:szCs w:val="24"/>
          <w:highlight w:val="none"/>
          <w:lang w:val="en-US" w:eastAsia="zh-CN"/>
        </w:rPr>
        <w:t>。</w:t>
      </w:r>
    </w:p>
    <w:p w14:paraId="6EEE03C4">
      <w:pPr>
        <w:spacing w:line="360" w:lineRule="auto"/>
        <w:ind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4.服务期限：1年（具体以签订合同时间为准）</w:t>
      </w:r>
    </w:p>
    <w:p w14:paraId="555E865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、交付条件：</w:t>
      </w:r>
      <w:r>
        <w:rPr>
          <w:rFonts w:hint="eastAsia" w:ascii="宋体" w:hAnsi="宋体" w:eastAsia="宋体" w:cs="宋体"/>
          <w:color w:val="auto"/>
          <w:sz w:val="24"/>
          <w:szCs w:val="24"/>
          <w:highlight w:val="none"/>
          <w:lang w:val="en-US" w:eastAsia="zh-CN"/>
        </w:rPr>
        <w:t>中标人在签订合同10日内，文印设备、文印室工作人员应按时到位。</w:t>
      </w:r>
    </w:p>
    <w:p w14:paraId="56C96E73">
      <w:pPr>
        <w:pStyle w:val="4"/>
        <w:spacing w:line="360" w:lineRule="auto"/>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、履约验收方式：</w:t>
      </w:r>
      <w:r>
        <w:rPr>
          <w:rStyle w:val="18"/>
          <w:rFonts w:hint="eastAsia" w:ascii="Calibri" w:hAnsi="Calibri" w:cs="宋体"/>
          <w:b w:val="0"/>
          <w:bCs/>
          <w:color w:val="auto"/>
          <w:spacing w:val="0"/>
          <w:sz w:val="24"/>
          <w:szCs w:val="24"/>
          <w:highlight w:val="none"/>
          <w:lang w:eastAsia="zh-CN"/>
        </w:rPr>
        <w:t>经采购人</w:t>
      </w:r>
      <w:r>
        <w:rPr>
          <w:rStyle w:val="18"/>
          <w:rFonts w:hint="eastAsia" w:ascii="宋体" w:hAnsi="宋体" w:eastAsia="宋体" w:cs="宋体"/>
          <w:b w:val="0"/>
          <w:bCs/>
          <w:color w:val="auto"/>
          <w:spacing w:val="0"/>
          <w:sz w:val="24"/>
          <w:szCs w:val="24"/>
          <w:highlight w:val="none"/>
          <w:lang w:eastAsia="zh-CN"/>
        </w:rPr>
        <w:t>验收符合</w:t>
      </w:r>
      <w:r>
        <w:rPr>
          <w:rStyle w:val="18"/>
          <w:rFonts w:hint="eastAsia" w:ascii="Calibri" w:hAnsi="Calibri" w:cs="宋体"/>
          <w:b w:val="0"/>
          <w:bCs/>
          <w:color w:val="auto"/>
          <w:spacing w:val="0"/>
          <w:sz w:val="24"/>
          <w:szCs w:val="24"/>
          <w:highlight w:val="none"/>
          <w:lang w:eastAsia="zh-CN"/>
        </w:rPr>
        <w:t>招标</w:t>
      </w:r>
      <w:r>
        <w:rPr>
          <w:rStyle w:val="18"/>
          <w:rFonts w:hint="eastAsia" w:ascii="宋体" w:hAnsi="宋体" w:eastAsia="宋体" w:cs="宋体"/>
          <w:b w:val="0"/>
          <w:bCs/>
          <w:color w:val="auto"/>
          <w:spacing w:val="0"/>
          <w:sz w:val="24"/>
          <w:szCs w:val="24"/>
          <w:highlight w:val="none"/>
          <w:lang w:eastAsia="zh-CN"/>
        </w:rPr>
        <w:t>文件、响应文件及合同规定的要求。</w:t>
      </w:r>
    </w:p>
    <w:p w14:paraId="3EA7EA24">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、投标人的工作范围</w:t>
      </w:r>
    </w:p>
    <w:p w14:paraId="61C03927">
      <w:pPr>
        <w:pStyle w:val="27"/>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.1报价要求</w:t>
      </w:r>
    </w:p>
    <w:p w14:paraId="0D5FECE6">
      <w:pPr>
        <w:pStyle w:val="27"/>
        <w:spacing w:line="360" w:lineRule="auto"/>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.1.1投标人必须对招标项目的所有内容及服务进行报价响应。拆分报价或不完整响应的将视为无效投标。</w:t>
      </w:r>
    </w:p>
    <w:p w14:paraId="09417D47">
      <w:pPr>
        <w:pStyle w:val="27"/>
        <w:spacing w:line="360" w:lineRule="auto"/>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.1.2本次报价以人民币为货币单位。</w:t>
      </w:r>
    </w:p>
    <w:p w14:paraId="202B4AE8">
      <w:pPr>
        <w:pStyle w:val="27"/>
        <w:spacing w:line="360" w:lineRule="auto"/>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.1.3投标人对本项目只能有一个报价，本项目不接受有选择的报价。</w:t>
      </w:r>
    </w:p>
    <w:p w14:paraId="0AB610C4">
      <w:pPr>
        <w:pStyle w:val="27"/>
        <w:spacing w:line="360" w:lineRule="auto"/>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.1.4填写价格表时应注意下列要求：</w:t>
      </w:r>
    </w:p>
    <w:p w14:paraId="0BE73176">
      <w:pPr>
        <w:pStyle w:val="27"/>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.1.4.1投标报价需包含税费及不可预见风险费等所有费用。</w:t>
      </w:r>
    </w:p>
    <w:p w14:paraId="6E28E31D">
      <w:pPr>
        <w:pStyle w:val="27"/>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1.4.2投标人的投标报价应是完成磋商范围的全部内容的报价，不得以任何理由予以重复。除非采购人对招标文件予以修改，投标人应按本招标文件及采购人提供的技术资料要求进行报价。任何有选择的报价将不予接受。</w:t>
      </w:r>
    </w:p>
    <w:p w14:paraId="234119D9">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、货款结算及付款方式</w:t>
      </w:r>
    </w:p>
    <w:p w14:paraId="5B64AE03">
      <w:pPr>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.1付款方式：</w:t>
      </w:r>
      <w:r>
        <w:rPr>
          <w:rFonts w:hint="eastAsia" w:ascii="宋体" w:hAnsi="宋体" w:eastAsia="宋体" w:cs="宋体"/>
          <w:b/>
          <w:bCs/>
          <w:color w:val="auto"/>
          <w:sz w:val="24"/>
          <w:szCs w:val="24"/>
          <w:highlight w:val="none"/>
          <w:lang w:val="en-US" w:eastAsia="zh-CN" w:bidi="zh-CN"/>
        </w:rPr>
        <w:t>按每月实际印刷数量结算，结算手续办理完整之日起30日内付清账款</w:t>
      </w:r>
      <w:r>
        <w:rPr>
          <w:rFonts w:hint="eastAsia" w:ascii="宋体" w:hAnsi="宋体" w:cs="宋体"/>
          <w:b/>
          <w:bCs/>
          <w:color w:val="auto"/>
          <w:sz w:val="24"/>
          <w:szCs w:val="24"/>
          <w:highlight w:val="none"/>
          <w:lang w:val="en-US" w:eastAsia="zh-CN" w:bidi="zh-CN"/>
        </w:rPr>
        <w:t>。</w:t>
      </w:r>
    </w:p>
    <w:p w14:paraId="75FB4938">
      <w:pPr>
        <w:spacing w:line="360" w:lineRule="auto"/>
        <w:ind w:firstLine="240" w:firstLineChars="100"/>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.2中标人、收款单位、开票单位三者应一致；中标人收款账号应为经人民银行批准的收款单位银行账号。</w:t>
      </w:r>
    </w:p>
    <w:p w14:paraId="59433535">
      <w:pPr>
        <w:pStyle w:val="4"/>
        <w:numPr>
          <w:ilvl w:val="0"/>
          <w:numId w:val="0"/>
        </w:numPr>
        <w:snapToGrid w:val="0"/>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违约责任</w:t>
      </w:r>
    </w:p>
    <w:p w14:paraId="026BD430">
      <w:pPr>
        <w:pStyle w:val="4"/>
        <w:numPr>
          <w:ilvl w:val="0"/>
          <w:numId w:val="0"/>
        </w:numPr>
        <w:snapToGrid w:val="0"/>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9.1中标</w:t>
      </w:r>
      <w:r>
        <w:rPr>
          <w:rFonts w:hint="eastAsia" w:ascii="宋体" w:hAnsi="宋体" w:eastAsia="宋体" w:cs="宋体"/>
          <w:b w:val="0"/>
          <w:bCs w:val="0"/>
          <w:color w:val="auto"/>
          <w:sz w:val="24"/>
          <w:szCs w:val="24"/>
          <w:highlight w:val="none"/>
        </w:rPr>
        <w:t>供应商如有下列行为之一视为违约：</w:t>
      </w:r>
    </w:p>
    <w:p w14:paraId="10907724">
      <w:pPr>
        <w:pStyle w:val="4"/>
        <w:numPr>
          <w:ilvl w:val="0"/>
          <w:numId w:val="0"/>
        </w:numPr>
        <w:snapToGrid w:val="0"/>
        <w:spacing w:line="360" w:lineRule="auto"/>
        <w:ind w:firstLine="240" w:firstLineChars="10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不能按时完成工作（如未能按期完成打印任务，影响正常教育教学秩序和试卷延迟或供应商提供的印刷以及纸张质量无法保证，致使师生投诉），而造成重大影响的。</w:t>
      </w:r>
    </w:p>
    <w:p w14:paraId="5A8E81D0">
      <w:pPr>
        <w:pStyle w:val="4"/>
        <w:numPr>
          <w:ilvl w:val="0"/>
          <w:numId w:val="0"/>
        </w:numPr>
        <w:snapToGrid w:val="0"/>
        <w:spacing w:line="360" w:lineRule="auto"/>
        <w:ind w:firstLine="240" w:firstLineChars="10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所提供的服务质量及基本条件（例如但不仅限于设备机器、耗材纸张用品等）与投标响应文件的承诺不相符。</w:t>
      </w:r>
    </w:p>
    <w:p w14:paraId="76AE5C28">
      <w:pPr>
        <w:pStyle w:val="4"/>
        <w:numPr>
          <w:ilvl w:val="0"/>
          <w:numId w:val="0"/>
        </w:numPr>
        <w:snapToGrid w:val="0"/>
        <w:spacing w:line="360" w:lineRule="auto"/>
        <w:ind w:firstLine="240" w:firstLineChars="100"/>
        <w:rPr>
          <w:rFonts w:hint="eastAsia" w:ascii="宋体" w:hAnsi="宋体" w:eastAsia="宋体" w:cs="宋体"/>
          <w:b/>
          <w:bCs/>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w:t>
      </w:r>
      <w:r>
        <w:rPr>
          <w:rFonts w:hint="eastAsia" w:ascii="宋体" w:hAnsi="宋体" w:cs="宋体"/>
          <w:b w:val="0"/>
          <w:bCs w:val="0"/>
          <w:color w:val="auto"/>
          <w:sz w:val="24"/>
          <w:szCs w:val="24"/>
          <w:highlight w:val="none"/>
          <w:lang w:val="en-US" w:eastAsia="zh-CN"/>
        </w:rPr>
        <w:t>中标</w:t>
      </w:r>
      <w:r>
        <w:rPr>
          <w:rFonts w:hint="eastAsia" w:ascii="宋体" w:hAnsi="宋体" w:eastAsia="宋体" w:cs="宋体"/>
          <w:b w:val="0"/>
          <w:bCs w:val="0"/>
          <w:color w:val="auto"/>
          <w:sz w:val="24"/>
          <w:szCs w:val="24"/>
          <w:highlight w:val="none"/>
        </w:rPr>
        <w:t>供应商出现以上情况及其他严重影响学校正常教学工作，经上报主管部门并经学校领导组集体研究讨论通过可予以解除和</w:t>
      </w:r>
      <w:r>
        <w:rPr>
          <w:rFonts w:hint="eastAsia" w:ascii="宋体" w:hAnsi="宋体" w:cs="宋体"/>
          <w:b w:val="0"/>
          <w:bCs w:val="0"/>
          <w:color w:val="auto"/>
          <w:sz w:val="24"/>
          <w:szCs w:val="24"/>
          <w:highlight w:val="none"/>
          <w:lang w:val="en-US" w:eastAsia="zh-CN"/>
        </w:rPr>
        <w:t>中标</w:t>
      </w:r>
      <w:r>
        <w:rPr>
          <w:rFonts w:hint="eastAsia" w:ascii="宋体" w:hAnsi="宋体" w:eastAsia="宋体" w:cs="宋体"/>
          <w:b w:val="0"/>
          <w:bCs w:val="0"/>
          <w:color w:val="auto"/>
          <w:sz w:val="24"/>
          <w:szCs w:val="24"/>
          <w:highlight w:val="none"/>
        </w:rPr>
        <w:t>供应商所签订的合同并重新招标并扣留履约保证金。</w:t>
      </w:r>
    </w:p>
    <w:p w14:paraId="62A4B3C9">
      <w:pPr>
        <w:pStyle w:val="27"/>
        <w:spacing w:line="360" w:lineRule="auto"/>
        <w:ind w:firstLine="24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020000" w:fill="FFFFFF"/>
          <w:lang w:eastAsia="zh-CN"/>
        </w:rPr>
        <w:t>（</w:t>
      </w:r>
      <w:r>
        <w:rPr>
          <w:rFonts w:hint="eastAsia" w:ascii="宋体" w:hAnsi="宋体" w:cs="宋体"/>
          <w:color w:val="auto"/>
          <w:sz w:val="24"/>
          <w:szCs w:val="24"/>
          <w:highlight w:val="none"/>
          <w:shd w:val="clear" w:color="020000" w:fill="FFFFFF"/>
          <w:lang w:val="en-US" w:eastAsia="zh-CN"/>
        </w:rPr>
        <w:t>4</w:t>
      </w:r>
      <w:r>
        <w:rPr>
          <w:rFonts w:hint="eastAsia" w:ascii="宋体" w:hAnsi="宋体" w:cs="宋体"/>
          <w:color w:val="auto"/>
          <w:sz w:val="24"/>
          <w:szCs w:val="24"/>
          <w:highlight w:val="none"/>
          <w:shd w:val="clear" w:color="020000" w:fill="FFFFFF"/>
          <w:lang w:eastAsia="zh-CN"/>
        </w:rPr>
        <w:t>）</w:t>
      </w:r>
      <w:r>
        <w:rPr>
          <w:rFonts w:hint="eastAsia" w:ascii="宋体" w:hAnsi="宋体" w:eastAsia="宋体" w:cs="宋体"/>
          <w:color w:val="auto"/>
          <w:sz w:val="24"/>
          <w:szCs w:val="24"/>
          <w:highlight w:val="none"/>
          <w:shd w:val="clear" w:color="020000" w:fill="FFFFFF"/>
        </w:rPr>
        <w:t>因中标人原因造成采购合同无法按时签订的，视为中标人违约，对采购人造成的损失的，中标人还需另行支付相应的赔偿。</w:t>
      </w:r>
    </w:p>
    <w:p w14:paraId="328D7B07">
      <w:pPr>
        <w:pStyle w:val="27"/>
        <w:spacing w:line="360" w:lineRule="auto"/>
        <w:ind w:firstLine="24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020000" w:fill="FFFFFF"/>
          <w:lang w:val="en-US" w:eastAsia="zh-CN"/>
        </w:rPr>
        <w:t>9.2</w:t>
      </w:r>
      <w:r>
        <w:rPr>
          <w:rFonts w:hint="eastAsia" w:ascii="宋体" w:hAnsi="宋体" w:eastAsia="宋体" w:cs="宋体"/>
          <w:color w:val="auto"/>
          <w:sz w:val="24"/>
          <w:szCs w:val="24"/>
          <w:highlight w:val="none"/>
          <w:shd w:val="clear" w:color="020000" w:fill="FFFFFF"/>
        </w:rPr>
        <w:t>在明确违约责任后，中标人应在接到书面通知书起七天内支付违约金、赔偿金等。</w:t>
      </w:r>
    </w:p>
    <w:p w14:paraId="2CD4BD0E">
      <w:pPr>
        <w:pStyle w:val="10"/>
        <w:spacing w:line="360" w:lineRule="auto"/>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020000" w:fill="FFFFFF"/>
          <w:lang w:val="en-US" w:eastAsia="zh-CN"/>
        </w:rPr>
        <w:t>9.3</w:t>
      </w:r>
      <w:r>
        <w:rPr>
          <w:rFonts w:hint="eastAsia" w:ascii="宋体" w:hAnsi="宋体" w:eastAsia="宋体" w:cs="宋体"/>
          <w:color w:val="auto"/>
          <w:sz w:val="24"/>
          <w:szCs w:val="24"/>
          <w:highlight w:val="none"/>
          <w:shd w:val="clear" w:color="020000" w:fill="FFFFFF"/>
        </w:rPr>
        <w:t>本招标文件未明确的其它约定事项或条款，待采购人与中标人签订合同时，由采购人、中标人双方协商订立。</w:t>
      </w:r>
    </w:p>
    <w:p w14:paraId="2188E0C2">
      <w:pPr>
        <w:pStyle w:val="4"/>
        <w:snapToGrid w:val="0"/>
        <w:spacing w:line="300" w:lineRule="auto"/>
        <w:ind w:left="2" w:firstLine="42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注：以上商务要求为采购人最低需求。投标人必须全部满足，投标时对这些条款若有负偏离响应或未响应，按无效投标处理。</w:t>
      </w:r>
    </w:p>
    <w:p w14:paraId="3B0BB20D">
      <w:pPr>
        <w:widowControl/>
        <w:numPr>
          <w:ilvl w:val="0"/>
          <w:numId w:val="2"/>
        </w:numPr>
        <w:spacing w:before="75" w:after="75" w:line="300" w:lineRule="auto"/>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其他事项</w:t>
      </w:r>
    </w:p>
    <w:p w14:paraId="48A36FBF">
      <w:pPr>
        <w:widowControl/>
        <w:spacing w:before="75" w:after="75"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1、除招标文件另有规定外，若出现有关法律、法规和规章有强制性规定但招标文件未列明的情形，则投标人应按照有关法律、法规和规章强制性规定执行。</w:t>
      </w:r>
    </w:p>
    <w:p w14:paraId="34EC019E">
      <w:pPr>
        <w:widowControl/>
        <w:spacing w:before="75" w:after="75" w:line="30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2、其他：无。</w:t>
      </w:r>
    </w:p>
    <w:p w14:paraId="1D5F9E79">
      <w:pPr>
        <w:pStyle w:val="13"/>
        <w:widowControl/>
        <w:spacing w:before="75" w:beforeAutospacing="0" w:after="75" w:afterAutospacing="0" w:line="300" w:lineRule="auto"/>
        <w:jc w:val="center"/>
        <w:rPr>
          <w:color w:val="auto"/>
          <w:highlight w:val="none"/>
        </w:rPr>
      </w:pPr>
      <w:r>
        <w:rPr>
          <w:rFonts w:ascii="宋体" w:hAnsi="宋体" w:cs="宋体"/>
          <w:b/>
          <w:bCs/>
          <w:color w:val="auto"/>
          <w:kern w:val="2"/>
          <w:highlight w:val="none"/>
        </w:rPr>
        <w:br w:type="page"/>
      </w:r>
      <w:r>
        <w:rPr>
          <w:rStyle w:val="18"/>
          <w:rFonts w:hint="eastAsia" w:ascii="宋体" w:hAnsi="宋体" w:cs="宋体"/>
          <w:color w:val="auto"/>
          <w:sz w:val="31"/>
          <w:szCs w:val="31"/>
          <w:highlight w:val="none"/>
        </w:rPr>
        <w:t>第六章   采购合同（参考文本）</w:t>
      </w:r>
    </w:p>
    <w:p w14:paraId="38696728">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 </w:t>
      </w:r>
    </w:p>
    <w:p w14:paraId="33ED5480">
      <w:pPr>
        <w:pStyle w:val="13"/>
        <w:widowControl/>
        <w:spacing w:before="75" w:beforeAutospacing="0" w:after="75" w:afterAutospacing="0" w:line="300" w:lineRule="auto"/>
        <w:jc w:val="center"/>
        <w:rPr>
          <w:color w:val="auto"/>
          <w:highlight w:val="none"/>
        </w:rPr>
      </w:pPr>
      <w:r>
        <w:rPr>
          <w:rStyle w:val="18"/>
          <w:rFonts w:hint="eastAsia" w:ascii="宋体" w:hAnsi="宋体" w:cs="宋体"/>
          <w:color w:val="auto"/>
          <w:highlight w:val="none"/>
        </w:rPr>
        <w:t>编制说明</w:t>
      </w:r>
    </w:p>
    <w:p w14:paraId="40AA42A7">
      <w:pPr>
        <w:pStyle w:val="13"/>
        <w:widowControl/>
        <w:spacing w:before="75" w:beforeAutospacing="0" w:after="75" w:afterAutospacing="0" w:line="300" w:lineRule="auto"/>
        <w:rPr>
          <w:color w:val="auto"/>
          <w:highlight w:val="none"/>
        </w:rPr>
      </w:pPr>
      <w:r>
        <w:rPr>
          <w:rStyle w:val="18"/>
          <w:rFonts w:hint="eastAsia" w:ascii="宋体" w:hAnsi="宋体" w:cs="宋体"/>
          <w:color w:val="auto"/>
          <w:highlight w:val="none"/>
        </w:rPr>
        <w:t>1、签订合同应遵守政府采购法、</w:t>
      </w:r>
      <w:r>
        <w:rPr>
          <w:rStyle w:val="18"/>
          <w:rFonts w:hint="eastAsia" w:ascii="宋体" w:hAnsi="宋体" w:cs="宋体"/>
          <w:color w:val="auto"/>
          <w:highlight w:val="none"/>
          <w:lang w:val="en-US" w:eastAsia="zh-CN"/>
        </w:rPr>
        <w:t>合同法</w:t>
      </w:r>
      <w:r>
        <w:rPr>
          <w:rStyle w:val="18"/>
          <w:rFonts w:hint="eastAsia" w:ascii="宋体" w:hAnsi="宋体" w:cs="宋体"/>
          <w:color w:val="auto"/>
          <w:highlight w:val="none"/>
        </w:rPr>
        <w:t>。</w:t>
      </w:r>
    </w:p>
    <w:p w14:paraId="476DC83B">
      <w:pPr>
        <w:pStyle w:val="13"/>
        <w:widowControl/>
        <w:spacing w:before="75" w:beforeAutospacing="0" w:after="75" w:afterAutospacing="0" w:line="300" w:lineRule="auto"/>
        <w:rPr>
          <w:color w:val="auto"/>
          <w:highlight w:val="none"/>
        </w:rPr>
      </w:pPr>
      <w:r>
        <w:rPr>
          <w:rStyle w:val="18"/>
          <w:rFonts w:hint="eastAsia" w:ascii="宋体" w:hAnsi="宋体" w:cs="宋体"/>
          <w:color w:val="auto"/>
          <w:highlight w:val="none"/>
        </w:rPr>
        <w:t>2、签订合同时，采购人与中标人应结合招标文件第五章规定填列相应内容。招标文件第五章已有规定的，双方均不得变更或调整；招标文件第五章未作规定的，双方可通过友好协商进行约定。</w:t>
      </w:r>
    </w:p>
    <w:p w14:paraId="39097FF7">
      <w:pPr>
        <w:pStyle w:val="13"/>
        <w:widowControl/>
        <w:spacing w:before="75" w:beforeAutospacing="0" w:after="75" w:afterAutospacing="0" w:line="300" w:lineRule="auto"/>
        <w:rPr>
          <w:color w:val="auto"/>
          <w:highlight w:val="none"/>
        </w:rPr>
      </w:pPr>
      <w:r>
        <w:rPr>
          <w:rStyle w:val="18"/>
          <w:rFonts w:hint="eastAsia" w:ascii="宋体" w:hAnsi="宋体" w:cs="宋体"/>
          <w:color w:val="auto"/>
          <w:highlight w:val="none"/>
        </w:rPr>
        <w:t>3、国家有关部门对若干合同有规范文本的，可使用相应合同文本。</w:t>
      </w:r>
    </w:p>
    <w:p w14:paraId="2D6CBCA8">
      <w:pPr>
        <w:pStyle w:val="13"/>
        <w:widowControl/>
        <w:spacing w:before="75" w:beforeAutospacing="0" w:after="75" w:afterAutospacing="0" w:line="300" w:lineRule="auto"/>
        <w:rPr>
          <w:color w:val="auto"/>
          <w:highlight w:val="none"/>
        </w:rPr>
      </w:pPr>
      <w:r>
        <w:rPr>
          <w:rFonts w:hint="eastAsia" w:ascii="宋体" w:hAnsi="宋体" w:cs="宋体"/>
          <w:color w:val="auto"/>
          <w:highlight w:val="none"/>
          <w:u w:val="single"/>
        </w:rPr>
        <w:t> </w:t>
      </w:r>
    </w:p>
    <w:p w14:paraId="63499629">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甲方：</w:t>
      </w:r>
      <w:r>
        <w:rPr>
          <w:rFonts w:hint="eastAsia" w:ascii="宋体" w:hAnsi="宋体" w:cs="宋体"/>
          <w:color w:val="auto"/>
          <w:highlight w:val="none"/>
          <w:u w:val="single"/>
        </w:rPr>
        <w:t>（采购人全称）</w:t>
      </w:r>
    </w:p>
    <w:p w14:paraId="790D43AF">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乙方：</w:t>
      </w:r>
      <w:r>
        <w:rPr>
          <w:rFonts w:hint="eastAsia" w:ascii="宋体" w:hAnsi="宋体" w:cs="宋体"/>
          <w:color w:val="auto"/>
          <w:highlight w:val="none"/>
          <w:u w:val="single"/>
        </w:rPr>
        <w:t>（中标人全称）</w:t>
      </w:r>
    </w:p>
    <w:p w14:paraId="4532A80F">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 </w:t>
      </w:r>
    </w:p>
    <w:p w14:paraId="1DBE8170">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根据招标编号为</w:t>
      </w:r>
      <w:r>
        <w:rPr>
          <w:rFonts w:hint="eastAsia" w:ascii="宋体" w:hAnsi="宋体" w:cs="宋体"/>
          <w:color w:val="auto"/>
          <w:highlight w:val="none"/>
          <w:u w:val="single"/>
        </w:rPr>
        <w:t>            </w:t>
      </w:r>
      <w:r>
        <w:rPr>
          <w:rFonts w:hint="eastAsia" w:ascii="宋体" w:hAnsi="宋体" w:cs="宋体"/>
          <w:color w:val="auto"/>
          <w:highlight w:val="none"/>
        </w:rPr>
        <w:t>的</w:t>
      </w:r>
      <w:r>
        <w:rPr>
          <w:rFonts w:hint="eastAsia" w:ascii="宋体" w:hAnsi="宋体" w:cs="宋体"/>
          <w:color w:val="auto"/>
          <w:highlight w:val="none"/>
          <w:u w:val="single"/>
        </w:rPr>
        <w:t>（填写“项目名称”）</w:t>
      </w:r>
      <w:r>
        <w:rPr>
          <w:rFonts w:hint="eastAsia" w:ascii="宋体" w:hAnsi="宋体" w:cs="宋体"/>
          <w:color w:val="auto"/>
          <w:highlight w:val="none"/>
        </w:rPr>
        <w:t>项目（以下简称：“本项目”）的招标结果，乙方为中标人。现经甲乙双方友好协商，就以下事项达成一致并签订本合同：</w:t>
      </w:r>
    </w:p>
    <w:p w14:paraId="435E800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1、下列合同文件是构成本合同不可分割的部分：</w:t>
      </w:r>
    </w:p>
    <w:p w14:paraId="67DCA6E0">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1.1合同条款；</w:t>
      </w:r>
    </w:p>
    <w:p w14:paraId="60E58D5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1.2招标文件、乙方的投标文件；</w:t>
      </w:r>
    </w:p>
    <w:p w14:paraId="4A164DD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1.3其他文件或材料：□无。□</w:t>
      </w:r>
      <w:r>
        <w:rPr>
          <w:rFonts w:hint="eastAsia" w:ascii="宋体" w:hAnsi="宋体" w:cs="宋体"/>
          <w:color w:val="auto"/>
          <w:highlight w:val="none"/>
          <w:u w:val="single"/>
        </w:rPr>
        <w:t>（按照实际情况编制填写需要增加的内容）</w:t>
      </w:r>
      <w:r>
        <w:rPr>
          <w:rFonts w:hint="eastAsia" w:ascii="宋体" w:hAnsi="宋体" w:cs="宋体"/>
          <w:color w:val="auto"/>
          <w:highlight w:val="none"/>
        </w:rPr>
        <w:t>。</w:t>
      </w:r>
    </w:p>
    <w:p w14:paraId="5ECC32E4">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2、合同标的</w:t>
      </w:r>
    </w:p>
    <w:p w14:paraId="03665DD2">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14:paraId="0650EE3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3、合同总金额</w:t>
      </w:r>
    </w:p>
    <w:p w14:paraId="4A7B0783">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3.1合同总金额为人民币大写：</w:t>
      </w:r>
      <w:r>
        <w:rPr>
          <w:rFonts w:hint="eastAsia" w:ascii="宋体" w:hAnsi="宋体" w:cs="宋体"/>
          <w:color w:val="auto"/>
          <w:highlight w:val="none"/>
          <w:u w:val="single"/>
        </w:rPr>
        <w:t>              </w:t>
      </w:r>
      <w:r>
        <w:rPr>
          <w:rFonts w:hint="eastAsia" w:ascii="宋体" w:hAnsi="宋体" w:cs="宋体"/>
          <w:color w:val="auto"/>
          <w:highlight w:val="none"/>
        </w:rPr>
        <w:t>元（￥</w:t>
      </w:r>
      <w:r>
        <w:rPr>
          <w:rFonts w:hint="eastAsia" w:ascii="宋体" w:hAnsi="宋体" w:cs="宋体"/>
          <w:color w:val="auto"/>
          <w:highlight w:val="none"/>
          <w:u w:val="single"/>
        </w:rPr>
        <w:t>              </w:t>
      </w:r>
      <w:r>
        <w:rPr>
          <w:rFonts w:hint="eastAsia" w:ascii="宋体" w:hAnsi="宋体" w:cs="宋体"/>
          <w:color w:val="auto"/>
          <w:highlight w:val="none"/>
        </w:rPr>
        <w:t>）。</w:t>
      </w:r>
    </w:p>
    <w:p w14:paraId="1D91EA92">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4、合同标的交付时间、地点和条件</w:t>
      </w:r>
    </w:p>
    <w:p w14:paraId="2295B62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4.1交付时间：</w:t>
      </w:r>
      <w:r>
        <w:rPr>
          <w:rFonts w:hint="eastAsia" w:ascii="宋体" w:hAnsi="宋体" w:cs="宋体"/>
          <w:color w:val="auto"/>
          <w:highlight w:val="none"/>
          <w:u w:val="single"/>
        </w:rPr>
        <w:t>                     </w:t>
      </w:r>
      <w:r>
        <w:rPr>
          <w:rFonts w:hint="eastAsia" w:ascii="宋体" w:hAnsi="宋体" w:cs="宋体"/>
          <w:color w:val="auto"/>
          <w:highlight w:val="none"/>
        </w:rPr>
        <w:t>；</w:t>
      </w:r>
    </w:p>
    <w:p w14:paraId="6C56F63D">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4.2交付地点：</w:t>
      </w:r>
      <w:r>
        <w:rPr>
          <w:rFonts w:hint="eastAsia" w:ascii="宋体" w:hAnsi="宋体" w:cs="宋体"/>
          <w:color w:val="auto"/>
          <w:highlight w:val="none"/>
          <w:u w:val="single"/>
        </w:rPr>
        <w:t>                     </w:t>
      </w:r>
      <w:r>
        <w:rPr>
          <w:rFonts w:hint="eastAsia" w:ascii="宋体" w:hAnsi="宋体" w:cs="宋体"/>
          <w:color w:val="auto"/>
          <w:highlight w:val="none"/>
        </w:rPr>
        <w:t>；</w:t>
      </w:r>
    </w:p>
    <w:p w14:paraId="52940F83">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4.3交付条件：</w:t>
      </w:r>
      <w:r>
        <w:rPr>
          <w:rFonts w:hint="eastAsia" w:ascii="宋体" w:hAnsi="宋体" w:cs="宋体"/>
          <w:color w:val="auto"/>
          <w:highlight w:val="none"/>
          <w:u w:val="single"/>
        </w:rPr>
        <w:t>                     </w:t>
      </w:r>
      <w:r>
        <w:rPr>
          <w:rFonts w:hint="eastAsia" w:ascii="宋体" w:hAnsi="宋体" w:cs="宋体"/>
          <w:color w:val="auto"/>
          <w:highlight w:val="none"/>
        </w:rPr>
        <w:t>。</w:t>
      </w:r>
    </w:p>
    <w:p w14:paraId="5E922682">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5、合同标的应符合招标文件、乙方投标文件的规定或约定，具体如下：</w:t>
      </w:r>
    </w:p>
    <w:p w14:paraId="22843277">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14:paraId="0FABC024">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6、验收</w:t>
      </w:r>
    </w:p>
    <w:p w14:paraId="4BEBE7C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6.1验收应按照招标文件、乙方投标文件的规定或约定进行，具体如下：</w:t>
      </w:r>
    </w:p>
    <w:p w14:paraId="0A00CD6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14:paraId="0E2B0E90">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6.2本项目是否邀请其他投标人参与验收：</w:t>
      </w:r>
    </w:p>
    <w:p w14:paraId="4943991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□不邀请。□邀请，具体如下：</w:t>
      </w:r>
      <w:r>
        <w:rPr>
          <w:rFonts w:hint="eastAsia" w:ascii="宋体" w:hAnsi="宋体" w:cs="宋体"/>
          <w:color w:val="auto"/>
          <w:highlight w:val="none"/>
          <w:u w:val="single"/>
        </w:rPr>
        <w:t>（按照招标文件规定填写）</w:t>
      </w:r>
      <w:r>
        <w:rPr>
          <w:rFonts w:hint="eastAsia" w:ascii="宋体" w:hAnsi="宋体" w:cs="宋体"/>
          <w:color w:val="auto"/>
          <w:highlight w:val="none"/>
        </w:rPr>
        <w:t>。</w:t>
      </w:r>
    </w:p>
    <w:p w14:paraId="21A8497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7、合同款项的支付应按照招标文件的规定进行，具体如下：</w:t>
      </w:r>
    </w:p>
    <w:p w14:paraId="14FAB3A6">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u w:val="single"/>
        </w:rPr>
        <w:t>（按照实际情况编制填写，可以是表格或文字描述，包括一次性支付或分期支付等）</w:t>
      </w:r>
      <w:r>
        <w:rPr>
          <w:rFonts w:hint="eastAsia" w:ascii="宋体" w:hAnsi="宋体" w:cs="宋体"/>
          <w:color w:val="auto"/>
          <w:highlight w:val="none"/>
        </w:rPr>
        <w:t>。</w:t>
      </w:r>
    </w:p>
    <w:p w14:paraId="3441B9F4">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8、履约保证金</w:t>
      </w:r>
    </w:p>
    <w:p w14:paraId="2EC2FE88">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□无。□有，具体如下：</w:t>
      </w:r>
      <w:r>
        <w:rPr>
          <w:rFonts w:hint="eastAsia" w:ascii="宋体" w:hAnsi="宋体" w:cs="宋体"/>
          <w:color w:val="auto"/>
          <w:highlight w:val="none"/>
          <w:u w:val="single"/>
        </w:rPr>
        <w:t>（按照招标文件规定填写）</w:t>
      </w:r>
      <w:r>
        <w:rPr>
          <w:rFonts w:hint="eastAsia" w:ascii="宋体" w:hAnsi="宋体" w:cs="宋体"/>
          <w:color w:val="auto"/>
          <w:highlight w:val="none"/>
        </w:rPr>
        <w:t>。</w:t>
      </w:r>
    </w:p>
    <w:p w14:paraId="7A17AE69">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9、合同有效期</w:t>
      </w:r>
    </w:p>
    <w:p w14:paraId="229587D7">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14:paraId="38C354D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10、违约责任</w:t>
      </w:r>
    </w:p>
    <w:p w14:paraId="08E765B7">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14:paraId="359125D9">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11、知识产权</w:t>
      </w:r>
    </w:p>
    <w:p w14:paraId="189A9AC0">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046CC22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14:paraId="75AD702A">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12、解决争议的方法</w:t>
      </w:r>
    </w:p>
    <w:p w14:paraId="4672F702">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12.1甲、乙双方协商解决。</w:t>
      </w:r>
    </w:p>
    <w:p w14:paraId="0D70E14F">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12.2若协商解决不成，则通过下列途径之一解决：</w:t>
      </w:r>
    </w:p>
    <w:p w14:paraId="53504906">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□提交仲裁委员会仲裁，具体如下：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14:paraId="3C626804">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□向人民法院提起诉讼，具体如下：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14:paraId="73B0F74B">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13、不可抗力</w:t>
      </w:r>
    </w:p>
    <w:p w14:paraId="75982D9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13.1因不可抗力造成违约的，遭受不可抗力一方应及时向对方通报不能履行或不能完全履行的理由，并在随后取得有关主管机关证明后的</w:t>
      </w:r>
      <w:r>
        <w:rPr>
          <w:rFonts w:cs="Calibri"/>
          <w:color w:val="auto"/>
          <w:highlight w:val="none"/>
        </w:rPr>
        <w:t>15</w:t>
      </w:r>
      <w:r>
        <w:rPr>
          <w:rFonts w:hint="eastAsia" w:ascii="宋体" w:hAnsi="宋体" w:cs="宋体"/>
          <w:color w:val="auto"/>
          <w:highlight w:val="none"/>
        </w:rPr>
        <w:t>日内向另一方提供不可抗力发生及持续期间的充分证据。基于以上行为，允许遭受不可抗力一方延期履行、部分履行或不履行合同，并根据情况可部分或全部免于承担违约责任。</w:t>
      </w:r>
    </w:p>
    <w:p w14:paraId="5C61630F">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122429DF">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14、合同条款</w:t>
      </w:r>
    </w:p>
    <w:p w14:paraId="7EF3AC5C">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u w:val="single"/>
        </w:rPr>
        <w:t>（按照实际情况编制填写。招标文件第五章已有规定的，双方均不得变更或调整；招标文件第五章未作规定的，双方可通过友好协商进行约定）</w:t>
      </w:r>
      <w:r>
        <w:rPr>
          <w:rFonts w:hint="eastAsia" w:ascii="宋体" w:hAnsi="宋体" w:cs="宋体"/>
          <w:color w:val="auto"/>
          <w:highlight w:val="none"/>
        </w:rPr>
        <w:t>。</w:t>
      </w:r>
    </w:p>
    <w:p w14:paraId="2004DDF0">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15、其他约定</w:t>
      </w:r>
    </w:p>
    <w:p w14:paraId="0D3AA6CE">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15.1合同文件与本合同具有同等法律效力。</w:t>
      </w:r>
    </w:p>
    <w:p w14:paraId="1C6A85EF">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15.2本合同未尽事宜，双方可另行补充。</w:t>
      </w:r>
    </w:p>
    <w:p w14:paraId="4DE6F255">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15.3合同生效：自签订之日起生效。</w:t>
      </w:r>
    </w:p>
    <w:p w14:paraId="6D6D1797">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15.4本合同一式</w:t>
      </w:r>
      <w:r>
        <w:rPr>
          <w:rFonts w:hint="eastAsia" w:ascii="宋体" w:hAnsi="宋体" w:cs="宋体"/>
          <w:color w:val="auto"/>
          <w:highlight w:val="none"/>
          <w:u w:val="single"/>
        </w:rPr>
        <w:t>（填写具体份数）</w:t>
      </w:r>
      <w:r>
        <w:rPr>
          <w:rFonts w:hint="eastAsia" w:ascii="宋体" w:hAnsi="宋体" w:cs="宋体"/>
          <w:color w:val="auto"/>
          <w:highlight w:val="none"/>
        </w:rPr>
        <w:t>份，经双方授权代表签字并盖章后生效。甲方、乙方各执</w:t>
      </w:r>
      <w:r>
        <w:rPr>
          <w:rFonts w:hint="eastAsia" w:ascii="宋体" w:hAnsi="宋体" w:cs="宋体"/>
          <w:color w:val="auto"/>
          <w:highlight w:val="none"/>
          <w:u w:val="single"/>
        </w:rPr>
        <w:t>（填写具体份数）</w:t>
      </w:r>
      <w:r>
        <w:rPr>
          <w:rFonts w:hint="eastAsia" w:ascii="宋体" w:hAnsi="宋体" w:cs="宋体"/>
          <w:color w:val="auto"/>
          <w:highlight w:val="none"/>
        </w:rPr>
        <w:t>份，送</w:t>
      </w:r>
      <w:r>
        <w:rPr>
          <w:rFonts w:hint="eastAsia" w:ascii="宋体" w:hAnsi="宋体" w:cs="宋体"/>
          <w:color w:val="auto"/>
          <w:highlight w:val="none"/>
          <w:u w:val="single"/>
        </w:rPr>
        <w:t>（填写需要备案的监管部门的全称）</w:t>
      </w:r>
      <w:r>
        <w:rPr>
          <w:rFonts w:hint="eastAsia" w:ascii="宋体" w:hAnsi="宋体" w:cs="宋体"/>
          <w:color w:val="auto"/>
          <w:highlight w:val="none"/>
        </w:rPr>
        <w:t>备案</w:t>
      </w:r>
      <w:r>
        <w:rPr>
          <w:rFonts w:hint="eastAsia" w:ascii="宋体" w:hAnsi="宋体" w:cs="宋体"/>
          <w:color w:val="auto"/>
          <w:highlight w:val="none"/>
          <w:u w:val="single"/>
        </w:rPr>
        <w:t>（填写具体份数）</w:t>
      </w:r>
      <w:r>
        <w:rPr>
          <w:rFonts w:hint="eastAsia" w:ascii="宋体" w:hAnsi="宋体" w:cs="宋体"/>
          <w:color w:val="auto"/>
          <w:highlight w:val="none"/>
        </w:rPr>
        <w:t>份，具有同等效力。</w:t>
      </w:r>
    </w:p>
    <w:p w14:paraId="2112E051">
      <w:pPr>
        <w:pStyle w:val="13"/>
        <w:widowControl/>
        <w:spacing w:before="75" w:beforeAutospacing="0" w:after="75" w:afterAutospacing="0" w:line="300" w:lineRule="auto"/>
        <w:ind w:firstLine="480"/>
        <w:rPr>
          <w:color w:val="auto"/>
          <w:highlight w:val="none"/>
        </w:rPr>
      </w:pPr>
      <w:r>
        <w:rPr>
          <w:rFonts w:hint="eastAsia" w:ascii="宋体" w:hAnsi="宋体" w:cs="宋体"/>
          <w:color w:val="auto"/>
          <w:highlight w:val="none"/>
        </w:rPr>
        <w:t>15.5其他：□无。□</w:t>
      </w:r>
      <w:r>
        <w:rPr>
          <w:rFonts w:hint="eastAsia" w:ascii="宋体" w:hAnsi="宋体" w:cs="宋体"/>
          <w:color w:val="auto"/>
          <w:highlight w:val="none"/>
          <w:u w:val="single"/>
        </w:rPr>
        <w:t>（按照实际情况编制填写需要增加的内容）</w:t>
      </w:r>
      <w:r>
        <w:rPr>
          <w:rFonts w:hint="eastAsia" w:ascii="宋体" w:hAnsi="宋体" w:cs="宋体"/>
          <w:color w:val="auto"/>
          <w:highlight w:val="none"/>
        </w:rPr>
        <w:t>。</w:t>
      </w:r>
    </w:p>
    <w:p w14:paraId="593B5B65">
      <w:pPr>
        <w:pStyle w:val="13"/>
        <w:widowControl/>
        <w:spacing w:before="75" w:beforeAutospacing="0" w:after="75" w:afterAutospacing="0" w:line="300" w:lineRule="auto"/>
        <w:jc w:val="center"/>
        <w:rPr>
          <w:color w:val="auto"/>
          <w:highlight w:val="none"/>
        </w:rPr>
      </w:pPr>
      <w:r>
        <w:rPr>
          <w:rFonts w:hint="eastAsia" w:ascii="宋体" w:hAnsi="宋体" w:cs="宋体"/>
          <w:color w:val="auto"/>
          <w:highlight w:val="none"/>
        </w:rPr>
        <w:t>（以下无正文）</w:t>
      </w:r>
    </w:p>
    <w:p w14:paraId="24E58020">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 </w:t>
      </w:r>
    </w:p>
    <w:p w14:paraId="70837198">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 </w:t>
      </w:r>
    </w:p>
    <w:p w14:paraId="1ED84D3C">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甲方：               乙方：</w:t>
      </w:r>
    </w:p>
    <w:p w14:paraId="314C286B">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住所：               住所：</w:t>
      </w:r>
    </w:p>
    <w:p w14:paraId="2B2C2DC7">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单位负责人：            单位负责人：</w:t>
      </w:r>
    </w:p>
    <w:p w14:paraId="17EEC570">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委托代理人：            委托代理人：</w:t>
      </w:r>
    </w:p>
    <w:p w14:paraId="5AB8A864">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联系方法：             联系方法：</w:t>
      </w:r>
    </w:p>
    <w:p w14:paraId="40D6EE65">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开户银行：             开户银行：</w:t>
      </w:r>
    </w:p>
    <w:p w14:paraId="3D4881FF">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账号：                账号：</w:t>
      </w:r>
    </w:p>
    <w:p w14:paraId="0A940AAC">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 </w:t>
      </w:r>
    </w:p>
    <w:p w14:paraId="5F9AC891">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 </w:t>
      </w:r>
    </w:p>
    <w:p w14:paraId="54FAED2E">
      <w:pPr>
        <w:pStyle w:val="13"/>
        <w:widowControl/>
        <w:spacing w:before="75" w:beforeAutospacing="0" w:after="75" w:afterAutospacing="0" w:line="300" w:lineRule="auto"/>
        <w:rPr>
          <w:color w:val="auto"/>
          <w:highlight w:val="none"/>
        </w:rPr>
      </w:pPr>
      <w:r>
        <w:rPr>
          <w:rFonts w:hint="eastAsia" w:ascii="宋体" w:hAnsi="宋体" w:cs="宋体"/>
          <w:color w:val="auto"/>
          <w:highlight w:val="none"/>
        </w:rPr>
        <w:t>签订地点：</w:t>
      </w:r>
      <w:r>
        <w:rPr>
          <w:rFonts w:hint="eastAsia" w:ascii="宋体" w:hAnsi="宋体" w:cs="宋体"/>
          <w:color w:val="auto"/>
          <w:highlight w:val="none"/>
          <w:u w:val="single"/>
        </w:rPr>
        <w:t>                </w:t>
      </w:r>
    </w:p>
    <w:p w14:paraId="616C66C2">
      <w:pPr>
        <w:pStyle w:val="13"/>
        <w:widowControl/>
        <w:spacing w:before="75" w:beforeAutospacing="0" w:after="75" w:afterAutospacing="0" w:line="300" w:lineRule="auto"/>
        <w:rPr>
          <w:rStyle w:val="18"/>
          <w:rFonts w:ascii="宋体" w:hAnsi="宋体" w:cs="宋体"/>
          <w:color w:val="auto"/>
          <w:sz w:val="31"/>
          <w:szCs w:val="31"/>
          <w:highlight w:val="none"/>
        </w:rPr>
      </w:pPr>
      <w:r>
        <w:rPr>
          <w:rFonts w:hint="eastAsia" w:ascii="宋体" w:hAnsi="宋体" w:cs="宋体"/>
          <w:color w:val="auto"/>
          <w:highlight w:val="none"/>
        </w:rPr>
        <w:t>签订日期：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r>
        <w:rPr>
          <w:color w:val="auto"/>
          <w:highlight w:val="none"/>
        </w:rPr>
        <w:t> </w:t>
      </w:r>
    </w:p>
    <w:p w14:paraId="567FCE63">
      <w:pPr>
        <w:pStyle w:val="27"/>
        <w:spacing w:line="360" w:lineRule="auto"/>
        <w:rPr>
          <w:rFonts w:hint="default" w:ascii="宋体" w:hAnsi="宋体" w:cs="宋体"/>
          <w:b/>
          <w:bCs/>
          <w:color w:val="auto"/>
          <w:sz w:val="24"/>
          <w:highlight w:val="none"/>
        </w:rPr>
      </w:pPr>
    </w:p>
    <w:p w14:paraId="617BE3DC">
      <w:pPr>
        <w:pStyle w:val="13"/>
        <w:widowControl/>
        <w:spacing w:before="75" w:beforeAutospacing="0" w:after="75" w:afterAutospacing="0" w:line="300" w:lineRule="auto"/>
        <w:rPr>
          <w:rStyle w:val="18"/>
          <w:rFonts w:ascii="宋体" w:hAnsi="宋体" w:cs="宋体"/>
          <w:color w:val="auto"/>
          <w:sz w:val="31"/>
          <w:szCs w:val="31"/>
          <w:highlight w:val="none"/>
        </w:rPr>
      </w:pPr>
      <w:r>
        <w:rPr>
          <w:color w:val="auto"/>
          <w:highlight w:val="none"/>
        </w:rPr>
        <w:t> </w:t>
      </w:r>
    </w:p>
    <w:p w14:paraId="7293D7D6">
      <w:pPr>
        <w:pStyle w:val="13"/>
        <w:widowControl/>
        <w:spacing w:before="75" w:beforeAutospacing="0" w:after="75" w:afterAutospacing="0" w:line="300" w:lineRule="auto"/>
        <w:ind w:firstLine="2178" w:firstLineChars="700"/>
        <w:jc w:val="both"/>
        <w:rPr>
          <w:color w:val="auto"/>
          <w:highlight w:val="none"/>
        </w:rPr>
      </w:pPr>
      <w:r>
        <w:rPr>
          <w:rStyle w:val="18"/>
          <w:rFonts w:hint="eastAsia" w:ascii="宋体" w:hAnsi="宋体" w:cs="宋体"/>
          <w:color w:val="auto"/>
          <w:sz w:val="31"/>
          <w:szCs w:val="31"/>
          <w:highlight w:val="none"/>
        </w:rPr>
        <w:t>第七章   投标文件格式</w:t>
      </w:r>
    </w:p>
    <w:p w14:paraId="554D5394">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highlight w:val="none"/>
        </w:rPr>
        <w:t>编制说明</w:t>
      </w:r>
    </w:p>
    <w:p w14:paraId="1936804D">
      <w:pPr>
        <w:pStyle w:val="13"/>
        <w:widowControl/>
        <w:spacing w:beforeAutospacing="0" w:after="150" w:afterAutospacing="0" w:line="300" w:lineRule="auto"/>
        <w:rPr>
          <w:color w:val="auto"/>
          <w:highlight w:val="none"/>
        </w:rPr>
      </w:pPr>
      <w:r>
        <w:rPr>
          <w:rFonts w:hint="eastAsia" w:ascii="宋体" w:hAnsi="宋体" w:cs="宋体"/>
          <w:color w:val="auto"/>
          <w:highlight w:val="none"/>
        </w:rPr>
        <w:t> </w:t>
      </w:r>
    </w:p>
    <w:p w14:paraId="78C0BCD8">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1、除招标文件另有规定外，本章中：</w:t>
      </w:r>
    </w:p>
    <w:p w14:paraId="7B649D7B">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1.1涉及投标人的</w:t>
      </w:r>
      <w:r>
        <w:rPr>
          <w:rStyle w:val="18"/>
          <w:rFonts w:hint="eastAsia" w:ascii="宋体" w:hAnsi="宋体" w:cs="宋体"/>
          <w:color w:val="auto"/>
          <w:highlight w:val="none"/>
        </w:rPr>
        <w:t>“全称”</w:t>
      </w:r>
      <w:r>
        <w:rPr>
          <w:rFonts w:hint="eastAsia" w:ascii="宋体" w:hAnsi="宋体" w:cs="宋体"/>
          <w:color w:val="auto"/>
          <w:highlight w:val="none"/>
        </w:rPr>
        <w:t>：</w:t>
      </w:r>
    </w:p>
    <w:p w14:paraId="79DC6BC6">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（1）不接受联合体投标的，指</w:t>
      </w:r>
      <w:r>
        <w:rPr>
          <w:rStyle w:val="18"/>
          <w:rFonts w:hint="eastAsia" w:ascii="宋体" w:hAnsi="宋体" w:cs="宋体"/>
          <w:color w:val="auto"/>
          <w:highlight w:val="none"/>
        </w:rPr>
        <w:t>投标人的全称</w:t>
      </w:r>
      <w:r>
        <w:rPr>
          <w:rFonts w:hint="eastAsia" w:ascii="宋体" w:hAnsi="宋体" w:cs="宋体"/>
          <w:color w:val="auto"/>
          <w:highlight w:val="none"/>
        </w:rPr>
        <w:t>。</w:t>
      </w:r>
    </w:p>
    <w:p w14:paraId="3752FCB1">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（2）接受联合体投标且投标人为联合体的，指</w:t>
      </w:r>
      <w:r>
        <w:rPr>
          <w:rStyle w:val="18"/>
          <w:rFonts w:hint="eastAsia" w:ascii="宋体" w:hAnsi="宋体" w:cs="宋体"/>
          <w:color w:val="auto"/>
          <w:highlight w:val="none"/>
        </w:rPr>
        <w:t>牵头方的全称</w:t>
      </w:r>
      <w:r>
        <w:rPr>
          <w:rFonts w:hint="eastAsia" w:ascii="宋体" w:hAnsi="宋体" w:cs="宋体"/>
          <w:color w:val="auto"/>
          <w:highlight w:val="none"/>
        </w:rPr>
        <w:t>并加注</w:t>
      </w:r>
      <w:r>
        <w:rPr>
          <w:rStyle w:val="18"/>
          <w:rFonts w:hint="eastAsia" w:ascii="宋体" w:hAnsi="宋体" w:cs="宋体"/>
          <w:color w:val="auto"/>
          <w:highlight w:val="none"/>
        </w:rPr>
        <w:t>（联合体牵头方）</w:t>
      </w:r>
      <w:r>
        <w:rPr>
          <w:rFonts w:hint="eastAsia" w:ascii="宋体" w:hAnsi="宋体" w:cs="宋体"/>
          <w:color w:val="auto"/>
          <w:highlight w:val="none"/>
        </w:rPr>
        <w:t>，即应表述为：</w:t>
      </w:r>
      <w:r>
        <w:rPr>
          <w:rStyle w:val="18"/>
          <w:rFonts w:hint="eastAsia" w:ascii="宋体" w:hAnsi="宋体" w:cs="宋体"/>
          <w:color w:val="auto"/>
          <w:highlight w:val="none"/>
        </w:rPr>
        <w:t>“牵头方的全称（联合体牵头方）”</w:t>
      </w:r>
      <w:r>
        <w:rPr>
          <w:rFonts w:hint="eastAsia" w:ascii="宋体" w:hAnsi="宋体" w:cs="宋体"/>
          <w:color w:val="auto"/>
          <w:highlight w:val="none"/>
        </w:rPr>
        <w:t>。</w:t>
      </w:r>
    </w:p>
    <w:p w14:paraId="146DBFA0">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1.2涉及投标人</w:t>
      </w:r>
      <w:r>
        <w:rPr>
          <w:rStyle w:val="18"/>
          <w:rFonts w:hint="eastAsia" w:ascii="宋体" w:hAnsi="宋体" w:cs="宋体"/>
          <w:color w:val="auto"/>
          <w:highlight w:val="none"/>
        </w:rPr>
        <w:t>“加盖单位公章”</w:t>
      </w:r>
      <w:r>
        <w:rPr>
          <w:rFonts w:hint="eastAsia" w:ascii="宋体" w:hAnsi="宋体" w:cs="宋体"/>
          <w:color w:val="auto"/>
          <w:highlight w:val="none"/>
        </w:rPr>
        <w:t>：</w:t>
      </w:r>
    </w:p>
    <w:p w14:paraId="074EC6BE">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（1）不接受联合体投标的，指</w:t>
      </w:r>
      <w:r>
        <w:rPr>
          <w:rStyle w:val="18"/>
          <w:rFonts w:hint="eastAsia" w:ascii="宋体" w:hAnsi="宋体" w:cs="宋体"/>
          <w:color w:val="auto"/>
          <w:highlight w:val="none"/>
        </w:rPr>
        <w:t>加盖投标人的单位公章</w:t>
      </w:r>
      <w:r>
        <w:rPr>
          <w:rFonts w:hint="eastAsia" w:ascii="宋体" w:hAnsi="宋体" w:cs="宋体"/>
          <w:color w:val="auto"/>
          <w:highlight w:val="none"/>
        </w:rPr>
        <w:t>。</w:t>
      </w:r>
    </w:p>
    <w:p w14:paraId="6B51139F">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（2）接受联合体投标且投标人为联合体的，指</w:t>
      </w:r>
      <w:r>
        <w:rPr>
          <w:rStyle w:val="18"/>
          <w:rFonts w:hint="eastAsia" w:ascii="宋体" w:hAnsi="宋体" w:cs="宋体"/>
          <w:color w:val="auto"/>
          <w:highlight w:val="none"/>
        </w:rPr>
        <w:t>加盖联合体牵头方的单位公章</w:t>
      </w:r>
      <w:r>
        <w:rPr>
          <w:rFonts w:hint="eastAsia" w:ascii="宋体" w:hAnsi="宋体" w:cs="宋体"/>
          <w:color w:val="auto"/>
          <w:highlight w:val="none"/>
        </w:rPr>
        <w:t>。</w:t>
      </w:r>
    </w:p>
    <w:p w14:paraId="018D568B">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1.3涉及</w:t>
      </w:r>
      <w:r>
        <w:rPr>
          <w:rStyle w:val="18"/>
          <w:rFonts w:hint="eastAsia" w:ascii="宋体" w:hAnsi="宋体" w:cs="宋体"/>
          <w:color w:val="auto"/>
          <w:highlight w:val="none"/>
        </w:rPr>
        <w:t>“投标人代表签字”</w:t>
      </w:r>
      <w:r>
        <w:rPr>
          <w:rFonts w:hint="eastAsia" w:ascii="宋体" w:hAnsi="宋体" w:cs="宋体"/>
          <w:color w:val="auto"/>
          <w:highlight w:val="none"/>
        </w:rPr>
        <w:t>：</w:t>
      </w:r>
    </w:p>
    <w:p w14:paraId="16BCBBE6">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（1）不接受联合体投标的，指由</w:t>
      </w:r>
      <w:r>
        <w:rPr>
          <w:rStyle w:val="18"/>
          <w:rFonts w:hint="eastAsia" w:ascii="宋体" w:hAnsi="宋体" w:cs="宋体"/>
          <w:color w:val="auto"/>
          <w:highlight w:val="none"/>
        </w:rPr>
        <w:t>投标人的单位负责人或其授权的委托代理人签字</w:t>
      </w:r>
      <w:r>
        <w:rPr>
          <w:rFonts w:hint="eastAsia" w:ascii="宋体" w:hAnsi="宋体" w:cs="宋体"/>
          <w:color w:val="auto"/>
          <w:highlight w:val="none"/>
        </w:rPr>
        <w:t>，由委托代理人签字的，应提供“单位负责人授权书”。</w:t>
      </w:r>
    </w:p>
    <w:p w14:paraId="442E1952">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（2）接受联合体投标且投标人为联合体的，指由</w:t>
      </w:r>
      <w:r>
        <w:rPr>
          <w:rStyle w:val="18"/>
          <w:rFonts w:hint="eastAsia" w:ascii="宋体" w:hAnsi="宋体" w:cs="宋体"/>
          <w:color w:val="auto"/>
          <w:highlight w:val="none"/>
        </w:rPr>
        <w:t>联合体牵头方的单位负责人或其授权的委托代理人签字</w:t>
      </w:r>
      <w:r>
        <w:rPr>
          <w:rFonts w:hint="eastAsia" w:ascii="宋体" w:hAnsi="宋体" w:cs="宋体"/>
          <w:color w:val="auto"/>
          <w:highlight w:val="none"/>
        </w:rPr>
        <w:t>，由委托代理人签字的，应提供“单位负责人授权书”。</w:t>
      </w:r>
    </w:p>
    <w:p w14:paraId="56A0A645">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1.4</w:t>
      </w:r>
      <w:r>
        <w:rPr>
          <w:rStyle w:val="18"/>
          <w:rFonts w:hint="eastAsia" w:ascii="宋体" w:hAnsi="宋体" w:cs="宋体"/>
          <w:color w:val="auto"/>
          <w:highlight w:val="none"/>
        </w:rPr>
        <w:t>“其他组织”</w:t>
      </w:r>
      <w:r>
        <w:rPr>
          <w:rFonts w:hint="eastAsia" w:ascii="宋体" w:hAnsi="宋体" w:cs="宋体"/>
          <w:color w:val="auto"/>
          <w:highlight w:val="none"/>
        </w:rPr>
        <w:t>指合伙企业、非企业专业服务机构、个体工商户、农村承包经营户等。</w:t>
      </w:r>
    </w:p>
    <w:p w14:paraId="05B97DDB">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1.5</w:t>
      </w:r>
      <w:r>
        <w:rPr>
          <w:rStyle w:val="18"/>
          <w:rFonts w:hint="eastAsia" w:ascii="宋体" w:hAnsi="宋体" w:cs="宋体"/>
          <w:color w:val="auto"/>
          <w:highlight w:val="none"/>
        </w:rPr>
        <w:t>“自然人”</w:t>
      </w:r>
      <w:r>
        <w:rPr>
          <w:rFonts w:hint="eastAsia" w:ascii="宋体" w:hAnsi="宋体" w:cs="宋体"/>
          <w:color w:val="auto"/>
          <w:highlight w:val="none"/>
        </w:rPr>
        <w:t>指具有完全民事行为能力、能够承担民事责任和义务的中国公民。</w:t>
      </w:r>
    </w:p>
    <w:p w14:paraId="73014FA2">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2、除招标文件另有规定外，本章中</w:t>
      </w:r>
      <w:r>
        <w:rPr>
          <w:rStyle w:val="18"/>
          <w:rFonts w:hint="eastAsia" w:ascii="宋体" w:hAnsi="宋体" w:cs="宋体"/>
          <w:color w:val="auto"/>
          <w:highlight w:val="none"/>
        </w:rPr>
        <w:t>“投标人的资格及资信证明文件”</w:t>
      </w:r>
      <w:r>
        <w:rPr>
          <w:rFonts w:hint="eastAsia" w:ascii="宋体" w:hAnsi="宋体" w:cs="宋体"/>
          <w:color w:val="auto"/>
          <w:highlight w:val="none"/>
        </w:rPr>
        <w:t>：</w:t>
      </w:r>
    </w:p>
    <w:p w14:paraId="2D8A1AA1">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2.1投标人应按照招标文件第四章第</w:t>
      </w:r>
      <w:r>
        <w:rPr>
          <w:rFonts w:cs="Calibri"/>
          <w:color w:val="auto"/>
          <w:highlight w:val="none"/>
        </w:rPr>
        <w:t>1.3</w:t>
      </w:r>
      <w:r>
        <w:rPr>
          <w:rFonts w:hint="eastAsia" w:ascii="宋体" w:hAnsi="宋体" w:cs="宋体"/>
          <w:color w:val="auto"/>
          <w:highlight w:val="none"/>
        </w:rPr>
        <w:t>条第（</w:t>
      </w:r>
      <w:r>
        <w:rPr>
          <w:rFonts w:cs="Calibri"/>
          <w:color w:val="auto"/>
          <w:highlight w:val="none"/>
        </w:rPr>
        <w:t>2</w:t>
      </w:r>
      <w:r>
        <w:rPr>
          <w:rFonts w:hint="eastAsia" w:ascii="宋体" w:hAnsi="宋体" w:cs="宋体"/>
          <w:color w:val="auto"/>
          <w:highlight w:val="none"/>
        </w:rPr>
        <w:t>）款规定及本章规定进行编制，如有必要，可增加附页，附页作为资格及资信文件的组成部分。</w:t>
      </w:r>
    </w:p>
    <w:p w14:paraId="2070D1EB">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2.2接受联合体投标且投标人为联合体的，联合体中的各方均应按照本章第</w:t>
      </w:r>
      <w:r>
        <w:rPr>
          <w:rFonts w:cs="Calibri"/>
          <w:color w:val="auto"/>
          <w:highlight w:val="none"/>
        </w:rPr>
        <w:t>2.1</w:t>
      </w:r>
      <w:r>
        <w:rPr>
          <w:rFonts w:hint="eastAsia" w:ascii="宋体" w:hAnsi="宋体" w:cs="宋体"/>
          <w:color w:val="auto"/>
          <w:highlight w:val="none"/>
        </w:rPr>
        <w:t>条规定提交相应的全部资料。</w:t>
      </w:r>
    </w:p>
    <w:p w14:paraId="5D29AE08">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3、投标人对投标文件的索引应编制页码。</w:t>
      </w:r>
    </w:p>
    <w:p w14:paraId="02C37967">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4、除招标文件另有规定外，本章中：</w:t>
      </w:r>
    </w:p>
    <w:p w14:paraId="1FC7E886">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14:paraId="1514E90D">
      <w:pPr>
        <w:pStyle w:val="13"/>
        <w:widowControl/>
        <w:spacing w:beforeAutospacing="0" w:after="150" w:afterAutospacing="0" w:line="300" w:lineRule="auto"/>
        <w:ind w:firstLine="480"/>
        <w:rPr>
          <w:color w:val="auto"/>
          <w:highlight w:val="none"/>
        </w:rPr>
      </w:pPr>
      <w:r>
        <w:rPr>
          <w:rFonts w:hint="eastAsia" w:ascii="宋体" w:hAnsi="宋体" w:cs="宋体"/>
          <w:color w:val="auto"/>
          <w:highlight w:val="none"/>
        </w:rPr>
        <w:t>4.2若投标人提供注明“复印件无效”的证明材料或资料，其纸质投标文件正本中应提供原件。</w:t>
      </w:r>
    </w:p>
    <w:p w14:paraId="317345AD">
      <w:pPr>
        <w:pStyle w:val="13"/>
        <w:widowControl/>
        <w:spacing w:beforeAutospacing="0" w:after="150" w:afterAutospacing="0" w:line="300" w:lineRule="auto"/>
        <w:rPr>
          <w:color w:val="auto"/>
          <w:highlight w:val="none"/>
        </w:rPr>
      </w:pPr>
    </w:p>
    <w:p w14:paraId="7EA64946">
      <w:pPr>
        <w:pStyle w:val="13"/>
        <w:widowControl/>
        <w:spacing w:beforeAutospacing="0" w:after="150" w:afterAutospacing="0" w:line="300" w:lineRule="auto"/>
        <w:rPr>
          <w:color w:val="auto"/>
          <w:highlight w:val="none"/>
        </w:rPr>
      </w:pPr>
    </w:p>
    <w:p w14:paraId="79648856">
      <w:pPr>
        <w:pStyle w:val="13"/>
        <w:widowControl/>
        <w:spacing w:beforeAutospacing="0" w:after="15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 </w:t>
      </w:r>
    </w:p>
    <w:p w14:paraId="3E55A2A4">
      <w:pPr>
        <w:pStyle w:val="13"/>
        <w:widowControl/>
        <w:spacing w:beforeAutospacing="0" w:after="150" w:afterAutospacing="0" w:line="300" w:lineRule="auto"/>
        <w:rPr>
          <w:rFonts w:ascii="宋体" w:hAnsi="宋体" w:cs="宋体"/>
          <w:color w:val="auto"/>
          <w:sz w:val="21"/>
          <w:szCs w:val="21"/>
          <w:highlight w:val="none"/>
        </w:rPr>
      </w:pPr>
    </w:p>
    <w:p w14:paraId="6A39FE89">
      <w:pPr>
        <w:pStyle w:val="13"/>
        <w:widowControl/>
        <w:spacing w:beforeAutospacing="0" w:after="150" w:afterAutospacing="0" w:line="300" w:lineRule="auto"/>
        <w:rPr>
          <w:rFonts w:ascii="宋体" w:hAnsi="宋体" w:cs="宋体"/>
          <w:color w:val="auto"/>
          <w:sz w:val="21"/>
          <w:szCs w:val="21"/>
          <w:highlight w:val="none"/>
        </w:rPr>
      </w:pPr>
    </w:p>
    <w:p w14:paraId="1FB3F681">
      <w:pPr>
        <w:pStyle w:val="13"/>
        <w:widowControl/>
        <w:spacing w:beforeAutospacing="0" w:after="150" w:afterAutospacing="0" w:line="300" w:lineRule="auto"/>
        <w:rPr>
          <w:rFonts w:ascii="宋体" w:hAnsi="宋体" w:cs="宋体"/>
          <w:color w:val="auto"/>
          <w:sz w:val="21"/>
          <w:szCs w:val="21"/>
          <w:highlight w:val="none"/>
        </w:rPr>
      </w:pPr>
    </w:p>
    <w:p w14:paraId="5895F7B2">
      <w:pPr>
        <w:pStyle w:val="13"/>
        <w:widowControl/>
        <w:spacing w:beforeAutospacing="0" w:after="150" w:afterAutospacing="0" w:line="300" w:lineRule="auto"/>
        <w:rPr>
          <w:rFonts w:ascii="宋体" w:hAnsi="宋体" w:cs="宋体"/>
          <w:color w:val="auto"/>
          <w:sz w:val="21"/>
          <w:szCs w:val="21"/>
          <w:highlight w:val="none"/>
        </w:rPr>
      </w:pPr>
    </w:p>
    <w:p w14:paraId="16F0CCE2">
      <w:pPr>
        <w:pStyle w:val="13"/>
        <w:widowControl/>
        <w:spacing w:beforeAutospacing="0" w:after="150" w:afterAutospacing="0" w:line="300" w:lineRule="auto"/>
        <w:rPr>
          <w:rFonts w:ascii="宋体" w:hAnsi="宋体" w:cs="宋体"/>
          <w:color w:val="auto"/>
          <w:sz w:val="21"/>
          <w:szCs w:val="21"/>
          <w:highlight w:val="none"/>
        </w:rPr>
      </w:pPr>
    </w:p>
    <w:p w14:paraId="6986A6D7">
      <w:pPr>
        <w:pStyle w:val="13"/>
        <w:widowControl/>
        <w:spacing w:beforeAutospacing="0" w:after="150" w:afterAutospacing="0" w:line="300" w:lineRule="auto"/>
        <w:rPr>
          <w:rFonts w:ascii="宋体" w:hAnsi="宋体" w:cs="宋体"/>
          <w:color w:val="auto"/>
          <w:sz w:val="21"/>
          <w:szCs w:val="21"/>
          <w:highlight w:val="none"/>
        </w:rPr>
      </w:pPr>
    </w:p>
    <w:p w14:paraId="2D4F952E">
      <w:pPr>
        <w:pStyle w:val="13"/>
        <w:widowControl/>
        <w:spacing w:beforeAutospacing="0" w:after="150" w:afterAutospacing="0" w:line="300" w:lineRule="auto"/>
        <w:rPr>
          <w:rFonts w:ascii="宋体" w:hAnsi="宋体" w:cs="宋体"/>
          <w:color w:val="auto"/>
          <w:sz w:val="21"/>
          <w:szCs w:val="21"/>
          <w:highlight w:val="none"/>
        </w:rPr>
      </w:pPr>
    </w:p>
    <w:p w14:paraId="0B3544D5">
      <w:pPr>
        <w:pStyle w:val="13"/>
        <w:widowControl/>
        <w:spacing w:beforeAutospacing="0" w:after="150" w:afterAutospacing="0" w:line="300" w:lineRule="auto"/>
        <w:rPr>
          <w:rFonts w:ascii="宋体" w:hAnsi="宋体" w:cs="宋体"/>
          <w:color w:val="auto"/>
          <w:sz w:val="21"/>
          <w:szCs w:val="21"/>
          <w:highlight w:val="none"/>
        </w:rPr>
      </w:pPr>
    </w:p>
    <w:p w14:paraId="0A04F829">
      <w:pPr>
        <w:pStyle w:val="13"/>
        <w:widowControl/>
        <w:spacing w:beforeAutospacing="0" w:after="150" w:afterAutospacing="0" w:line="300" w:lineRule="auto"/>
        <w:rPr>
          <w:rFonts w:ascii="宋体" w:hAnsi="宋体" w:cs="宋体"/>
          <w:color w:val="auto"/>
          <w:sz w:val="21"/>
          <w:szCs w:val="21"/>
          <w:highlight w:val="none"/>
        </w:rPr>
      </w:pPr>
    </w:p>
    <w:p w14:paraId="32C2A1DF">
      <w:pPr>
        <w:pStyle w:val="13"/>
        <w:widowControl/>
        <w:spacing w:beforeAutospacing="0" w:after="150" w:afterAutospacing="0" w:line="300" w:lineRule="auto"/>
        <w:rPr>
          <w:rFonts w:ascii="宋体" w:hAnsi="宋体" w:cs="宋体"/>
          <w:color w:val="auto"/>
          <w:sz w:val="21"/>
          <w:szCs w:val="21"/>
          <w:highlight w:val="none"/>
        </w:rPr>
      </w:pPr>
    </w:p>
    <w:p w14:paraId="031F3365">
      <w:pPr>
        <w:pStyle w:val="13"/>
        <w:widowControl/>
        <w:spacing w:beforeAutospacing="0" w:after="150" w:afterAutospacing="0" w:line="300" w:lineRule="auto"/>
        <w:rPr>
          <w:rFonts w:ascii="宋体" w:hAnsi="宋体" w:cs="宋体"/>
          <w:color w:val="auto"/>
          <w:sz w:val="21"/>
          <w:szCs w:val="21"/>
          <w:highlight w:val="none"/>
        </w:rPr>
      </w:pPr>
    </w:p>
    <w:p w14:paraId="54560453">
      <w:pPr>
        <w:pStyle w:val="13"/>
        <w:widowControl/>
        <w:spacing w:beforeAutospacing="0" w:after="150" w:afterAutospacing="0" w:line="300" w:lineRule="auto"/>
        <w:rPr>
          <w:rFonts w:ascii="宋体" w:hAnsi="宋体" w:cs="宋体"/>
          <w:color w:val="auto"/>
          <w:sz w:val="21"/>
          <w:szCs w:val="21"/>
          <w:highlight w:val="none"/>
        </w:rPr>
      </w:pPr>
    </w:p>
    <w:p w14:paraId="46305AAF">
      <w:pPr>
        <w:pStyle w:val="13"/>
        <w:widowControl/>
        <w:spacing w:beforeAutospacing="0" w:after="150" w:afterAutospacing="0" w:line="300" w:lineRule="auto"/>
        <w:rPr>
          <w:rFonts w:ascii="宋体" w:hAnsi="宋体" w:cs="宋体"/>
          <w:color w:val="auto"/>
          <w:sz w:val="21"/>
          <w:szCs w:val="21"/>
          <w:highlight w:val="none"/>
        </w:rPr>
      </w:pPr>
    </w:p>
    <w:p w14:paraId="361AE906">
      <w:pPr>
        <w:pStyle w:val="13"/>
        <w:widowControl/>
        <w:spacing w:beforeAutospacing="0" w:after="150" w:afterAutospacing="0" w:line="300" w:lineRule="auto"/>
        <w:rPr>
          <w:rFonts w:ascii="宋体" w:hAnsi="宋体" w:cs="宋体"/>
          <w:color w:val="auto"/>
          <w:sz w:val="21"/>
          <w:szCs w:val="21"/>
          <w:highlight w:val="none"/>
        </w:rPr>
      </w:pPr>
    </w:p>
    <w:p w14:paraId="07CA6CF0">
      <w:pPr>
        <w:pStyle w:val="13"/>
        <w:widowControl/>
        <w:spacing w:beforeAutospacing="0" w:after="150" w:afterAutospacing="0" w:line="300" w:lineRule="auto"/>
        <w:rPr>
          <w:rFonts w:ascii="宋体" w:hAnsi="宋体" w:cs="宋体"/>
          <w:color w:val="auto"/>
          <w:sz w:val="21"/>
          <w:szCs w:val="21"/>
          <w:highlight w:val="none"/>
        </w:rPr>
      </w:pPr>
    </w:p>
    <w:p w14:paraId="3D6D98FB">
      <w:pPr>
        <w:pStyle w:val="13"/>
        <w:widowControl/>
        <w:spacing w:beforeAutospacing="0" w:after="150" w:afterAutospacing="0" w:line="300" w:lineRule="auto"/>
        <w:rPr>
          <w:rFonts w:ascii="宋体" w:hAnsi="宋体" w:cs="宋体"/>
          <w:color w:val="auto"/>
          <w:sz w:val="21"/>
          <w:szCs w:val="21"/>
          <w:highlight w:val="none"/>
        </w:rPr>
      </w:pPr>
    </w:p>
    <w:p w14:paraId="596071B5">
      <w:pPr>
        <w:pStyle w:val="13"/>
        <w:widowControl/>
        <w:spacing w:beforeAutospacing="0" w:after="15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 </w:t>
      </w:r>
    </w:p>
    <w:p w14:paraId="586BA88F">
      <w:pPr>
        <w:widowControl/>
        <w:jc w:val="left"/>
        <w:rPr>
          <w:color w:val="auto"/>
          <w:highlight w:val="none"/>
        </w:rPr>
      </w:pPr>
      <w:r>
        <w:rPr>
          <w:rFonts w:ascii="宋体" w:hAnsi="宋体" w:cs="宋体"/>
          <w:color w:val="auto"/>
          <w:szCs w:val="21"/>
          <w:highlight w:val="none"/>
        </w:rPr>
        <w:br w:type="page"/>
      </w:r>
      <w:r>
        <w:rPr>
          <w:rStyle w:val="18"/>
          <w:rFonts w:hint="eastAsia" w:ascii="宋体" w:hAnsi="宋体" w:cs="宋体"/>
          <w:color w:val="auto"/>
          <w:sz w:val="28"/>
          <w:szCs w:val="28"/>
          <w:highlight w:val="none"/>
        </w:rPr>
        <w:t>封面格式</w:t>
      </w:r>
    </w:p>
    <w:p w14:paraId="6D16BAB9">
      <w:pPr>
        <w:pStyle w:val="13"/>
        <w:widowControl/>
        <w:spacing w:beforeAutospacing="0" w:after="150" w:afterAutospacing="0" w:line="300" w:lineRule="auto"/>
        <w:rPr>
          <w:color w:val="auto"/>
          <w:highlight w:val="none"/>
        </w:rPr>
      </w:pPr>
      <w:r>
        <w:rPr>
          <w:rFonts w:hint="eastAsia" w:ascii="宋体" w:hAnsi="宋体" w:cs="宋体"/>
          <w:color w:val="auto"/>
          <w:sz w:val="36"/>
          <w:szCs w:val="36"/>
          <w:highlight w:val="none"/>
        </w:rPr>
        <w:t> </w:t>
      </w:r>
    </w:p>
    <w:p w14:paraId="4E04FB04">
      <w:pPr>
        <w:pStyle w:val="13"/>
        <w:widowControl/>
        <w:spacing w:beforeAutospacing="0" w:after="150" w:afterAutospacing="0" w:line="300" w:lineRule="auto"/>
        <w:rPr>
          <w:color w:val="auto"/>
          <w:highlight w:val="none"/>
        </w:rPr>
      </w:pPr>
      <w:r>
        <w:rPr>
          <w:rFonts w:hint="eastAsia" w:ascii="宋体" w:hAnsi="宋体" w:cs="宋体"/>
          <w:color w:val="auto"/>
          <w:sz w:val="36"/>
          <w:szCs w:val="36"/>
          <w:highlight w:val="none"/>
        </w:rPr>
        <w:t> </w:t>
      </w:r>
    </w:p>
    <w:p w14:paraId="14695F64">
      <w:pPr>
        <w:pStyle w:val="13"/>
        <w:widowControl/>
        <w:spacing w:beforeAutospacing="0" w:after="150" w:afterAutospacing="0" w:line="300" w:lineRule="auto"/>
        <w:rPr>
          <w:color w:val="auto"/>
          <w:highlight w:val="none"/>
        </w:rPr>
      </w:pPr>
      <w:r>
        <w:rPr>
          <w:rFonts w:hint="eastAsia" w:ascii="宋体" w:hAnsi="宋体" w:cs="宋体"/>
          <w:color w:val="auto"/>
          <w:sz w:val="36"/>
          <w:szCs w:val="36"/>
          <w:highlight w:val="none"/>
        </w:rPr>
        <w:t> </w:t>
      </w:r>
    </w:p>
    <w:p w14:paraId="3F53A7C0">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48"/>
          <w:szCs w:val="48"/>
          <w:highlight w:val="none"/>
        </w:rPr>
        <w:t>投标文件</w:t>
      </w:r>
    </w:p>
    <w:p w14:paraId="63E4EC26">
      <w:pPr>
        <w:pStyle w:val="13"/>
        <w:widowControl/>
        <w:spacing w:beforeAutospacing="0" w:after="150" w:afterAutospacing="0" w:line="300" w:lineRule="auto"/>
        <w:jc w:val="center"/>
        <w:rPr>
          <w:color w:val="auto"/>
          <w:highlight w:val="none"/>
        </w:rPr>
      </w:pPr>
    </w:p>
    <w:p w14:paraId="404FAC5F">
      <w:pPr>
        <w:pStyle w:val="13"/>
        <w:widowControl/>
        <w:spacing w:beforeAutospacing="0" w:after="150" w:afterAutospacing="0" w:line="300" w:lineRule="auto"/>
        <w:rPr>
          <w:color w:val="auto"/>
          <w:highlight w:val="none"/>
        </w:rPr>
      </w:pPr>
      <w:r>
        <w:rPr>
          <w:rFonts w:hint="eastAsia" w:ascii="宋体" w:hAnsi="宋体" w:cs="宋体"/>
          <w:color w:val="auto"/>
          <w:sz w:val="36"/>
          <w:szCs w:val="36"/>
          <w:highlight w:val="none"/>
        </w:rPr>
        <w:t> </w:t>
      </w:r>
    </w:p>
    <w:p w14:paraId="36984306">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36"/>
          <w:szCs w:val="36"/>
          <w:highlight w:val="none"/>
          <w:u w:val="single"/>
        </w:rPr>
        <w:t>（填写正本或副本）</w:t>
      </w:r>
    </w:p>
    <w:p w14:paraId="7B5006D5">
      <w:pPr>
        <w:pStyle w:val="13"/>
        <w:widowControl/>
        <w:spacing w:beforeAutospacing="0" w:after="150" w:afterAutospacing="0" w:line="300" w:lineRule="auto"/>
        <w:rPr>
          <w:color w:val="auto"/>
          <w:highlight w:val="none"/>
        </w:rPr>
      </w:pPr>
      <w:r>
        <w:rPr>
          <w:rFonts w:hint="eastAsia" w:ascii="宋体" w:hAnsi="宋体" w:cs="宋体"/>
          <w:color w:val="auto"/>
          <w:sz w:val="36"/>
          <w:szCs w:val="36"/>
          <w:highlight w:val="none"/>
        </w:rPr>
        <w:t> </w:t>
      </w:r>
    </w:p>
    <w:p w14:paraId="199B992F">
      <w:pPr>
        <w:pStyle w:val="13"/>
        <w:widowControl/>
        <w:spacing w:beforeAutospacing="0" w:after="150" w:afterAutospacing="0" w:line="300" w:lineRule="auto"/>
        <w:ind w:firstLine="1920"/>
        <w:rPr>
          <w:color w:val="auto"/>
          <w:highlight w:val="none"/>
        </w:rPr>
      </w:pPr>
      <w:r>
        <w:rPr>
          <w:rStyle w:val="18"/>
          <w:rFonts w:hint="eastAsia" w:ascii="宋体" w:hAnsi="宋体" w:cs="宋体"/>
          <w:color w:val="auto"/>
          <w:sz w:val="31"/>
          <w:szCs w:val="31"/>
          <w:highlight w:val="none"/>
        </w:rPr>
        <w:t>项目名称：</w:t>
      </w:r>
      <w:r>
        <w:rPr>
          <w:rStyle w:val="18"/>
          <w:rFonts w:hint="eastAsia" w:ascii="宋体" w:hAnsi="宋体" w:cs="宋体"/>
          <w:color w:val="auto"/>
          <w:sz w:val="31"/>
          <w:szCs w:val="31"/>
          <w:highlight w:val="none"/>
          <w:u w:val="single"/>
        </w:rPr>
        <w:t>（由投标人填写）</w:t>
      </w:r>
    </w:p>
    <w:p w14:paraId="10CF4BAE">
      <w:pPr>
        <w:pStyle w:val="13"/>
        <w:widowControl/>
        <w:spacing w:beforeAutospacing="0" w:after="150" w:afterAutospacing="0" w:line="300" w:lineRule="auto"/>
        <w:ind w:firstLine="1920"/>
        <w:rPr>
          <w:color w:val="auto"/>
          <w:highlight w:val="none"/>
        </w:rPr>
      </w:pPr>
      <w:r>
        <w:rPr>
          <w:rStyle w:val="18"/>
          <w:rFonts w:hint="eastAsia" w:ascii="宋体" w:hAnsi="宋体" w:cs="宋体"/>
          <w:color w:val="auto"/>
          <w:sz w:val="31"/>
          <w:szCs w:val="31"/>
          <w:highlight w:val="none"/>
        </w:rPr>
        <w:t>招标编号：</w:t>
      </w:r>
      <w:r>
        <w:rPr>
          <w:rStyle w:val="18"/>
          <w:rFonts w:hint="eastAsia" w:ascii="宋体" w:hAnsi="宋体" w:cs="宋体"/>
          <w:color w:val="auto"/>
          <w:sz w:val="31"/>
          <w:szCs w:val="31"/>
          <w:highlight w:val="none"/>
          <w:u w:val="single"/>
        </w:rPr>
        <w:t>（由投标人填写）</w:t>
      </w:r>
    </w:p>
    <w:p w14:paraId="6FBBB274">
      <w:pPr>
        <w:pStyle w:val="13"/>
        <w:widowControl/>
        <w:spacing w:beforeAutospacing="0" w:after="150" w:afterAutospacing="0" w:line="300" w:lineRule="auto"/>
        <w:ind w:firstLine="1920"/>
        <w:rPr>
          <w:color w:val="auto"/>
          <w:highlight w:val="none"/>
        </w:rPr>
      </w:pPr>
      <w:r>
        <w:rPr>
          <w:rStyle w:val="18"/>
          <w:rFonts w:hint="eastAsia" w:ascii="宋体" w:hAnsi="宋体" w:cs="宋体"/>
          <w:color w:val="auto"/>
          <w:sz w:val="31"/>
          <w:szCs w:val="31"/>
          <w:highlight w:val="none"/>
        </w:rPr>
        <w:t>所投合同包：</w:t>
      </w:r>
      <w:r>
        <w:rPr>
          <w:rStyle w:val="18"/>
          <w:rFonts w:hint="eastAsia" w:ascii="宋体" w:hAnsi="宋体" w:cs="宋体"/>
          <w:color w:val="auto"/>
          <w:sz w:val="31"/>
          <w:szCs w:val="31"/>
          <w:highlight w:val="none"/>
          <w:u w:val="single"/>
        </w:rPr>
        <w:t>（由投标人填写）</w:t>
      </w:r>
    </w:p>
    <w:p w14:paraId="6D76B097">
      <w:pPr>
        <w:pStyle w:val="13"/>
        <w:widowControl/>
        <w:spacing w:beforeAutospacing="0" w:after="150" w:afterAutospacing="0" w:line="300" w:lineRule="auto"/>
        <w:rPr>
          <w:color w:val="auto"/>
          <w:highlight w:val="none"/>
        </w:rPr>
      </w:pPr>
    </w:p>
    <w:p w14:paraId="7560804B">
      <w:pPr>
        <w:pStyle w:val="13"/>
        <w:widowControl/>
        <w:spacing w:beforeAutospacing="0" w:after="150" w:afterAutospacing="0" w:line="300" w:lineRule="auto"/>
        <w:rPr>
          <w:color w:val="auto"/>
          <w:highlight w:val="none"/>
        </w:rPr>
      </w:pPr>
      <w:r>
        <w:rPr>
          <w:rFonts w:hint="eastAsia" w:ascii="宋体" w:hAnsi="宋体" w:cs="宋体"/>
          <w:color w:val="auto"/>
          <w:sz w:val="36"/>
          <w:szCs w:val="36"/>
          <w:highlight w:val="none"/>
        </w:rPr>
        <w:t> </w:t>
      </w:r>
    </w:p>
    <w:p w14:paraId="7FFD1767">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31"/>
          <w:szCs w:val="31"/>
          <w:highlight w:val="none"/>
        </w:rPr>
        <w:t>投标人：</w:t>
      </w:r>
      <w:r>
        <w:rPr>
          <w:rStyle w:val="18"/>
          <w:rFonts w:hint="eastAsia" w:ascii="宋体" w:hAnsi="宋体" w:cs="宋体"/>
          <w:color w:val="auto"/>
          <w:sz w:val="31"/>
          <w:szCs w:val="31"/>
          <w:highlight w:val="none"/>
          <w:u w:val="single"/>
        </w:rPr>
        <w:t>（填写“全称”）</w:t>
      </w:r>
    </w:p>
    <w:p w14:paraId="27AB6C45">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31"/>
          <w:szCs w:val="31"/>
          <w:highlight w:val="none"/>
          <w:u w:val="single"/>
        </w:rPr>
        <w:t>（由投标人填写）</w:t>
      </w:r>
      <w:r>
        <w:rPr>
          <w:rStyle w:val="18"/>
          <w:rFonts w:hint="eastAsia" w:ascii="宋体" w:hAnsi="宋体" w:cs="宋体"/>
          <w:color w:val="auto"/>
          <w:sz w:val="31"/>
          <w:szCs w:val="31"/>
          <w:highlight w:val="none"/>
        </w:rPr>
        <w:t>年</w:t>
      </w:r>
      <w:r>
        <w:rPr>
          <w:rStyle w:val="18"/>
          <w:rFonts w:hint="eastAsia" w:ascii="宋体" w:hAnsi="宋体" w:cs="宋体"/>
          <w:color w:val="auto"/>
          <w:sz w:val="31"/>
          <w:szCs w:val="31"/>
          <w:highlight w:val="none"/>
          <w:u w:val="single"/>
        </w:rPr>
        <w:t>（由投标人填写）</w:t>
      </w:r>
      <w:r>
        <w:rPr>
          <w:rStyle w:val="18"/>
          <w:rFonts w:hint="eastAsia" w:ascii="宋体" w:hAnsi="宋体" w:cs="宋体"/>
          <w:color w:val="auto"/>
          <w:sz w:val="31"/>
          <w:szCs w:val="31"/>
          <w:highlight w:val="none"/>
        </w:rPr>
        <w:t>月</w:t>
      </w:r>
    </w:p>
    <w:p w14:paraId="1062C4D7">
      <w:pPr>
        <w:pStyle w:val="13"/>
        <w:widowControl/>
        <w:spacing w:beforeAutospacing="0" w:after="150" w:afterAutospacing="0" w:line="300" w:lineRule="auto"/>
        <w:jc w:val="center"/>
        <w:rPr>
          <w:rFonts w:cs="Calibri"/>
          <w:color w:val="auto"/>
          <w:sz w:val="21"/>
          <w:szCs w:val="21"/>
          <w:highlight w:val="none"/>
        </w:rPr>
      </w:pPr>
    </w:p>
    <w:p w14:paraId="50F4F72F">
      <w:pPr>
        <w:pStyle w:val="13"/>
        <w:widowControl/>
        <w:spacing w:beforeAutospacing="0" w:after="150" w:afterAutospacing="0" w:line="300" w:lineRule="auto"/>
        <w:jc w:val="center"/>
        <w:rPr>
          <w:rFonts w:cs="Calibri"/>
          <w:color w:val="auto"/>
          <w:sz w:val="21"/>
          <w:szCs w:val="21"/>
          <w:highlight w:val="none"/>
        </w:rPr>
      </w:pPr>
    </w:p>
    <w:p w14:paraId="24E33C4A">
      <w:pPr>
        <w:rPr>
          <w:rFonts w:cs="Calibri"/>
          <w:color w:val="auto"/>
          <w:szCs w:val="21"/>
          <w:highlight w:val="none"/>
        </w:rPr>
      </w:pPr>
      <w:r>
        <w:rPr>
          <w:rFonts w:cs="Calibri"/>
          <w:color w:val="auto"/>
          <w:szCs w:val="21"/>
          <w:highlight w:val="none"/>
        </w:rPr>
        <w:br w:type="page"/>
      </w:r>
    </w:p>
    <w:p w14:paraId="1FDDD263">
      <w:pPr>
        <w:pStyle w:val="13"/>
        <w:widowControl/>
        <w:spacing w:beforeAutospacing="0" w:after="150" w:afterAutospacing="0" w:line="300" w:lineRule="auto"/>
        <w:jc w:val="center"/>
        <w:rPr>
          <w:rStyle w:val="18"/>
          <w:rFonts w:ascii="宋体" w:hAnsi="宋体" w:cs="宋体"/>
          <w:color w:val="auto"/>
          <w:sz w:val="48"/>
          <w:szCs w:val="48"/>
          <w:highlight w:val="none"/>
        </w:rPr>
      </w:pPr>
      <w:r>
        <w:rPr>
          <w:rStyle w:val="18"/>
          <w:rFonts w:hint="eastAsia" w:ascii="宋体" w:hAnsi="宋体" w:cs="宋体"/>
          <w:color w:val="auto"/>
          <w:sz w:val="48"/>
          <w:szCs w:val="48"/>
          <w:highlight w:val="none"/>
        </w:rPr>
        <w:t>（报价部分）</w:t>
      </w:r>
    </w:p>
    <w:p w14:paraId="4007D9C0">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28"/>
          <w:szCs w:val="28"/>
          <w:highlight w:val="none"/>
        </w:rPr>
        <w:t>索引</w:t>
      </w:r>
    </w:p>
    <w:p w14:paraId="29AFE34D">
      <w:pPr>
        <w:pStyle w:val="13"/>
        <w:widowControl/>
        <w:spacing w:beforeAutospacing="0" w:after="150" w:afterAutospacing="0" w:line="300" w:lineRule="auto"/>
        <w:rPr>
          <w:color w:val="auto"/>
          <w:highlight w:val="none"/>
        </w:rPr>
      </w:pPr>
      <w:r>
        <w:rPr>
          <w:rFonts w:hint="eastAsia" w:ascii="宋体" w:hAnsi="宋体" w:cs="宋体"/>
          <w:color w:val="auto"/>
          <w:sz w:val="28"/>
          <w:szCs w:val="28"/>
          <w:highlight w:val="none"/>
        </w:rPr>
        <w:t>一、开标一览表</w:t>
      </w:r>
    </w:p>
    <w:p w14:paraId="4321E92C">
      <w:pPr>
        <w:pStyle w:val="13"/>
        <w:widowControl/>
        <w:spacing w:beforeAutospacing="0" w:after="150" w:afterAutospacing="0" w:line="300" w:lineRule="auto"/>
        <w:rPr>
          <w:color w:val="auto"/>
          <w:highlight w:val="none"/>
        </w:rPr>
      </w:pPr>
      <w:r>
        <w:rPr>
          <w:rFonts w:hint="eastAsia" w:ascii="宋体" w:hAnsi="宋体" w:cs="宋体"/>
          <w:color w:val="auto"/>
          <w:sz w:val="28"/>
          <w:szCs w:val="28"/>
          <w:highlight w:val="none"/>
        </w:rPr>
        <w:t>二、投标分项报价表</w:t>
      </w:r>
    </w:p>
    <w:p w14:paraId="19171FE3">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r>
        <w:rPr>
          <w:rStyle w:val="18"/>
          <w:rFonts w:ascii="宋体" w:hAnsi="宋体" w:cs="宋体"/>
          <w:color w:val="auto"/>
          <w:szCs w:val="21"/>
          <w:highlight w:val="none"/>
        </w:rPr>
        <w:br w:type="page"/>
      </w:r>
      <w:r>
        <w:rPr>
          <w:rStyle w:val="18"/>
          <w:rFonts w:hint="eastAsia" w:ascii="宋体" w:hAnsi="宋体" w:cs="宋体"/>
          <w:color w:val="auto"/>
          <w:sz w:val="21"/>
          <w:szCs w:val="21"/>
          <w:highlight w:val="none"/>
        </w:rPr>
        <w:t>一、开标一览表</w:t>
      </w:r>
    </w:p>
    <w:p w14:paraId="2EA82B86">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招标编号：</w:t>
      </w:r>
      <w:r>
        <w:rPr>
          <w:rFonts w:hint="eastAsia" w:ascii="宋体" w:hAnsi="宋体" w:cs="宋体"/>
          <w:color w:val="auto"/>
          <w:sz w:val="21"/>
          <w:szCs w:val="21"/>
          <w:highlight w:val="none"/>
          <w:u w:val="single"/>
        </w:rPr>
        <w:t>                   </w:t>
      </w:r>
    </w:p>
    <w:p w14:paraId="576D5C88">
      <w:pPr>
        <w:pStyle w:val="13"/>
        <w:widowControl/>
        <w:spacing w:beforeAutospacing="0" w:after="150" w:afterAutospacing="0" w:line="300" w:lineRule="auto"/>
        <w:jc w:val="right"/>
        <w:rPr>
          <w:color w:val="auto"/>
          <w:highlight w:val="none"/>
        </w:rPr>
      </w:pPr>
      <w:r>
        <w:rPr>
          <w:rFonts w:hint="eastAsia" w:ascii="宋体" w:hAnsi="宋体" w:cs="宋体"/>
          <w:color w:val="auto"/>
          <w:sz w:val="21"/>
          <w:szCs w:val="21"/>
          <w:highlight w:val="none"/>
        </w:rPr>
        <w:t>货币及单位：人民币元</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5"/>
        <w:gridCol w:w="5670"/>
        <w:gridCol w:w="713"/>
        <w:gridCol w:w="1072"/>
      </w:tblGrid>
      <w:tr w14:paraId="4C0D0D22">
        <w:tblPrEx>
          <w:tblCellMar>
            <w:top w:w="15" w:type="dxa"/>
            <w:left w:w="15" w:type="dxa"/>
            <w:bottom w:w="15" w:type="dxa"/>
            <w:right w:w="15" w:type="dxa"/>
          </w:tblCellMar>
        </w:tblPrEx>
        <w:tc>
          <w:tcPr>
            <w:tcW w:w="1065" w:type="dxa"/>
            <w:tcMar>
              <w:top w:w="0" w:type="dxa"/>
              <w:left w:w="105" w:type="dxa"/>
              <w:bottom w:w="0" w:type="dxa"/>
              <w:right w:w="105" w:type="dxa"/>
            </w:tcMar>
            <w:vAlign w:val="center"/>
          </w:tcPr>
          <w:p w14:paraId="4735960D">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合同包</w:t>
            </w:r>
          </w:p>
        </w:tc>
        <w:tc>
          <w:tcPr>
            <w:tcW w:w="5670" w:type="dxa"/>
            <w:tcMar>
              <w:top w:w="0" w:type="dxa"/>
              <w:left w:w="105" w:type="dxa"/>
              <w:bottom w:w="0" w:type="dxa"/>
              <w:right w:w="105" w:type="dxa"/>
            </w:tcMar>
            <w:vAlign w:val="center"/>
          </w:tcPr>
          <w:p w14:paraId="2124A661">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投标报价</w:t>
            </w:r>
          </w:p>
        </w:tc>
        <w:tc>
          <w:tcPr>
            <w:tcW w:w="713" w:type="dxa"/>
            <w:tcMar>
              <w:top w:w="0" w:type="dxa"/>
              <w:left w:w="105" w:type="dxa"/>
              <w:bottom w:w="0" w:type="dxa"/>
              <w:right w:w="105" w:type="dxa"/>
            </w:tcMar>
            <w:vAlign w:val="center"/>
          </w:tcPr>
          <w:p w14:paraId="529826CD">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投标</w:t>
            </w:r>
          </w:p>
          <w:p w14:paraId="3E6FCEC1">
            <w:pPr>
              <w:pStyle w:val="13"/>
              <w:widowControl/>
              <w:spacing w:beforeAutospacing="0" w:after="150" w:afterAutospacing="0" w:line="300" w:lineRule="auto"/>
              <w:jc w:val="center"/>
              <w:rPr>
                <w:color w:val="auto"/>
                <w:highlight w:val="none"/>
              </w:rPr>
            </w:pPr>
          </w:p>
        </w:tc>
        <w:tc>
          <w:tcPr>
            <w:tcW w:w="1072" w:type="dxa"/>
            <w:tcMar>
              <w:top w:w="0" w:type="dxa"/>
              <w:left w:w="105" w:type="dxa"/>
              <w:bottom w:w="0" w:type="dxa"/>
              <w:right w:w="105" w:type="dxa"/>
            </w:tcMar>
            <w:vAlign w:val="center"/>
          </w:tcPr>
          <w:p w14:paraId="1B29EB57">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备注</w:t>
            </w:r>
          </w:p>
        </w:tc>
      </w:tr>
      <w:tr w14:paraId="3791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3" w:hRule="atLeast"/>
        </w:trPr>
        <w:tc>
          <w:tcPr>
            <w:tcW w:w="1065" w:type="dxa"/>
            <w:tcMar>
              <w:top w:w="0" w:type="dxa"/>
              <w:left w:w="105" w:type="dxa"/>
              <w:bottom w:w="0" w:type="dxa"/>
              <w:right w:w="105" w:type="dxa"/>
            </w:tcMar>
            <w:vAlign w:val="center"/>
          </w:tcPr>
          <w:p w14:paraId="577C4812">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w:t>
            </w:r>
          </w:p>
        </w:tc>
        <w:tc>
          <w:tcPr>
            <w:tcW w:w="5670" w:type="dxa"/>
            <w:tcMar>
              <w:top w:w="0" w:type="dxa"/>
              <w:left w:w="105" w:type="dxa"/>
              <w:bottom w:w="0" w:type="dxa"/>
              <w:right w:w="105" w:type="dxa"/>
            </w:tcMar>
            <w:vAlign w:val="center"/>
          </w:tcPr>
          <w:p w14:paraId="5410DE82">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投标总价（大写金额）：</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tc>
        <w:tc>
          <w:tcPr>
            <w:tcW w:w="713" w:type="dxa"/>
            <w:tcMar>
              <w:top w:w="0" w:type="dxa"/>
              <w:left w:w="105" w:type="dxa"/>
              <w:bottom w:w="0" w:type="dxa"/>
              <w:right w:w="105" w:type="dxa"/>
            </w:tcMar>
            <w:vAlign w:val="center"/>
          </w:tcPr>
          <w:p w14:paraId="6ED5BF8E">
            <w:pPr>
              <w:widowControl/>
              <w:spacing w:line="300" w:lineRule="auto"/>
              <w:jc w:val="left"/>
              <w:rPr>
                <w:color w:val="auto"/>
                <w:highlight w:val="none"/>
              </w:rPr>
            </w:pPr>
          </w:p>
        </w:tc>
        <w:tc>
          <w:tcPr>
            <w:tcW w:w="1072" w:type="dxa"/>
            <w:vMerge w:val="restart"/>
            <w:tcMar>
              <w:top w:w="0" w:type="dxa"/>
              <w:left w:w="105" w:type="dxa"/>
              <w:bottom w:w="0" w:type="dxa"/>
              <w:right w:w="105" w:type="dxa"/>
            </w:tcMar>
            <w:vAlign w:val="center"/>
          </w:tcPr>
          <w:p w14:paraId="1C44CD3C">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a.投标报价的明细：详见《投标分项报价表》。</w:t>
            </w:r>
          </w:p>
          <w:p w14:paraId="3F53254E">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b.招标文件规定的价格扣除证明材料（若有）：详见报价部分。</w:t>
            </w:r>
          </w:p>
        </w:tc>
      </w:tr>
      <w:tr w14:paraId="3237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65" w:type="dxa"/>
            <w:tcMar>
              <w:top w:w="0" w:type="dxa"/>
              <w:left w:w="105" w:type="dxa"/>
              <w:bottom w:w="0" w:type="dxa"/>
              <w:right w:w="105" w:type="dxa"/>
            </w:tcMar>
            <w:vAlign w:val="center"/>
          </w:tcPr>
          <w:p w14:paraId="16E0B8C0">
            <w:pPr>
              <w:pStyle w:val="13"/>
              <w:widowControl/>
              <w:spacing w:beforeAutospacing="0" w:after="150" w:afterAutospacing="0" w:line="300" w:lineRule="auto"/>
              <w:jc w:val="center"/>
              <w:rPr>
                <w:color w:val="auto"/>
                <w:highlight w:val="none"/>
              </w:rPr>
            </w:pPr>
            <w:r>
              <w:rPr>
                <w:rFonts w:cs="Calibri"/>
                <w:color w:val="auto"/>
                <w:sz w:val="21"/>
                <w:szCs w:val="21"/>
                <w:highlight w:val="none"/>
              </w:rPr>
              <w:t>…</w:t>
            </w:r>
          </w:p>
        </w:tc>
        <w:tc>
          <w:tcPr>
            <w:tcW w:w="5670" w:type="dxa"/>
            <w:tcMar>
              <w:top w:w="0" w:type="dxa"/>
              <w:left w:w="105" w:type="dxa"/>
              <w:bottom w:w="0" w:type="dxa"/>
              <w:right w:w="105" w:type="dxa"/>
            </w:tcMar>
            <w:vAlign w:val="center"/>
          </w:tcPr>
          <w:p w14:paraId="572F40FD">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投标总价（大写金额）：</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tc>
        <w:tc>
          <w:tcPr>
            <w:tcW w:w="713" w:type="dxa"/>
            <w:tcMar>
              <w:top w:w="0" w:type="dxa"/>
              <w:left w:w="105" w:type="dxa"/>
              <w:bottom w:w="0" w:type="dxa"/>
              <w:right w:w="105" w:type="dxa"/>
            </w:tcMar>
            <w:vAlign w:val="center"/>
          </w:tcPr>
          <w:p w14:paraId="71CE6780">
            <w:pPr>
              <w:widowControl/>
              <w:spacing w:line="300" w:lineRule="auto"/>
              <w:jc w:val="left"/>
              <w:rPr>
                <w:color w:val="auto"/>
                <w:highlight w:val="none"/>
              </w:rPr>
            </w:pPr>
          </w:p>
        </w:tc>
        <w:tc>
          <w:tcPr>
            <w:tcW w:w="1072" w:type="dxa"/>
            <w:vMerge w:val="continue"/>
            <w:tcMar>
              <w:top w:w="0" w:type="dxa"/>
              <w:left w:w="105" w:type="dxa"/>
              <w:bottom w:w="0" w:type="dxa"/>
              <w:right w:w="105" w:type="dxa"/>
            </w:tcMar>
            <w:vAlign w:val="center"/>
          </w:tcPr>
          <w:p w14:paraId="2C3D2B92">
            <w:pPr>
              <w:spacing w:line="300" w:lineRule="auto"/>
              <w:rPr>
                <w:rFonts w:ascii="宋体"/>
                <w:color w:val="auto"/>
                <w:sz w:val="24"/>
                <w:highlight w:val="none"/>
              </w:rPr>
            </w:pPr>
          </w:p>
        </w:tc>
      </w:tr>
    </w:tbl>
    <w:p w14:paraId="5B4AB596">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★注意：</w:t>
      </w:r>
    </w:p>
    <w:p w14:paraId="0E048E05">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1、本表应按照下列规定填写：</w:t>
      </w:r>
    </w:p>
    <w:p w14:paraId="37BCE5FE">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1.1投标人应按照本表格式填写所投的合同包的“投标报价”。</w:t>
      </w:r>
    </w:p>
    <w:p w14:paraId="4BE0F50B">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1.2本表中列示的“合同包”应与《投标分项报价表》中列示的“合同包”保持一致，即：若本表中列示的“合同包”为“</w:t>
      </w:r>
      <w:r>
        <w:rPr>
          <w:rFonts w:cs="Calibri"/>
          <w:color w:val="auto"/>
          <w:sz w:val="21"/>
          <w:szCs w:val="21"/>
          <w:highlight w:val="none"/>
        </w:rPr>
        <w:t>1</w:t>
      </w:r>
      <w:r>
        <w:rPr>
          <w:rFonts w:hint="eastAsia" w:ascii="宋体" w:hAnsi="宋体" w:cs="宋体"/>
          <w:color w:val="auto"/>
          <w:sz w:val="21"/>
          <w:szCs w:val="21"/>
          <w:highlight w:val="none"/>
        </w:rPr>
        <w:t>”时，《投标分项报价表》中列示的“合同包”亦应为“</w:t>
      </w:r>
      <w:r>
        <w:rPr>
          <w:rFonts w:cs="Calibri"/>
          <w:color w:val="auto"/>
          <w:sz w:val="21"/>
          <w:szCs w:val="21"/>
          <w:highlight w:val="none"/>
        </w:rPr>
        <w:t>1</w:t>
      </w:r>
      <w:r>
        <w:rPr>
          <w:rFonts w:hint="eastAsia" w:ascii="宋体" w:hAnsi="宋体" w:cs="宋体"/>
          <w:color w:val="auto"/>
          <w:sz w:val="21"/>
          <w:szCs w:val="21"/>
          <w:highlight w:val="none"/>
        </w:rPr>
        <w:t>”，以此类推。</w:t>
      </w:r>
    </w:p>
    <w:p w14:paraId="6084E104">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1.3“大写金额”指“投标报价”应用“壹、贰、叁、肆、伍、陆、柒、捌、玖、拾、佰、仟、万、亿、元、角、分、零”等进行填写。</w:t>
      </w:r>
    </w:p>
    <w:p w14:paraId="6B21D1F7">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2、纸质投标文件正本中的本表应为原件。</w:t>
      </w:r>
    </w:p>
    <w:p w14:paraId="06F0EFAF">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投标人：</w:t>
      </w:r>
      <w:r>
        <w:rPr>
          <w:rFonts w:hint="eastAsia" w:ascii="宋体" w:hAnsi="宋体" w:cs="宋体"/>
          <w:color w:val="auto"/>
          <w:sz w:val="21"/>
          <w:szCs w:val="21"/>
          <w:highlight w:val="none"/>
          <w:u w:val="single"/>
        </w:rPr>
        <w:t>（全称并加盖单位公章）</w:t>
      </w:r>
    </w:p>
    <w:p w14:paraId="1F0A552F">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14:paraId="340DB5D8">
      <w:pPr>
        <w:pStyle w:val="13"/>
        <w:widowControl/>
        <w:spacing w:beforeAutospacing="0" w:after="150" w:afterAutospacing="0" w:line="300" w:lineRule="auto"/>
        <w:rPr>
          <w:rStyle w:val="18"/>
          <w:b w:val="0"/>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14:paraId="6CBF74C7">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21"/>
          <w:szCs w:val="21"/>
          <w:highlight w:val="none"/>
        </w:rPr>
        <w:t>二、投标分项报价表</w:t>
      </w:r>
    </w:p>
    <w:p w14:paraId="0D925492">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招标编号：</w:t>
      </w:r>
      <w:r>
        <w:rPr>
          <w:rFonts w:hint="eastAsia" w:ascii="宋体" w:hAnsi="宋体" w:cs="宋体"/>
          <w:color w:val="auto"/>
          <w:sz w:val="21"/>
          <w:szCs w:val="21"/>
          <w:highlight w:val="none"/>
          <w:u w:val="single"/>
        </w:rPr>
        <w:t>                   </w:t>
      </w:r>
    </w:p>
    <w:p w14:paraId="4F8F3DD6">
      <w:pPr>
        <w:pStyle w:val="13"/>
        <w:widowControl/>
        <w:spacing w:beforeAutospacing="0" w:after="150" w:afterAutospacing="0" w:line="300" w:lineRule="auto"/>
        <w:jc w:val="right"/>
        <w:rPr>
          <w:color w:val="auto"/>
          <w:highlight w:val="none"/>
        </w:rPr>
      </w:pPr>
      <w:r>
        <w:rPr>
          <w:rFonts w:hint="eastAsia" w:ascii="宋体" w:hAnsi="宋体" w:cs="宋体"/>
          <w:color w:val="auto"/>
          <w:sz w:val="21"/>
          <w:szCs w:val="21"/>
          <w:highlight w:val="none"/>
        </w:rPr>
        <w:t>货币及单位：人民币元</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0"/>
        <w:gridCol w:w="958"/>
        <w:gridCol w:w="1556"/>
        <w:gridCol w:w="1272"/>
        <w:gridCol w:w="853"/>
        <w:gridCol w:w="989"/>
        <w:gridCol w:w="569"/>
        <w:gridCol w:w="1093"/>
        <w:gridCol w:w="810"/>
      </w:tblGrid>
      <w:tr w14:paraId="3A6D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0" w:type="dxa"/>
            <w:tcMar>
              <w:top w:w="0" w:type="dxa"/>
              <w:left w:w="105" w:type="dxa"/>
              <w:bottom w:w="0" w:type="dxa"/>
              <w:right w:w="105" w:type="dxa"/>
            </w:tcMar>
            <w:vAlign w:val="center"/>
          </w:tcPr>
          <w:p w14:paraId="3F399DA6">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合同包</w:t>
            </w:r>
          </w:p>
        </w:tc>
        <w:tc>
          <w:tcPr>
            <w:tcW w:w="958" w:type="dxa"/>
            <w:tcMar>
              <w:top w:w="0" w:type="dxa"/>
              <w:left w:w="105" w:type="dxa"/>
              <w:bottom w:w="0" w:type="dxa"/>
              <w:right w:w="105" w:type="dxa"/>
            </w:tcMar>
            <w:vAlign w:val="center"/>
          </w:tcPr>
          <w:p w14:paraId="010275A1">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品目号</w:t>
            </w:r>
          </w:p>
        </w:tc>
        <w:tc>
          <w:tcPr>
            <w:tcW w:w="1556" w:type="dxa"/>
            <w:tcMar>
              <w:top w:w="0" w:type="dxa"/>
              <w:left w:w="105" w:type="dxa"/>
              <w:bottom w:w="0" w:type="dxa"/>
              <w:right w:w="105" w:type="dxa"/>
            </w:tcMar>
            <w:vAlign w:val="center"/>
          </w:tcPr>
          <w:p w14:paraId="278CC557">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投标标的</w:t>
            </w:r>
          </w:p>
        </w:tc>
        <w:tc>
          <w:tcPr>
            <w:tcW w:w="1272" w:type="dxa"/>
            <w:tcMar>
              <w:top w:w="0" w:type="dxa"/>
              <w:left w:w="105" w:type="dxa"/>
              <w:bottom w:w="0" w:type="dxa"/>
              <w:right w:w="105" w:type="dxa"/>
            </w:tcMar>
            <w:vAlign w:val="center"/>
          </w:tcPr>
          <w:p w14:paraId="6B3ACF8C">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规格</w:t>
            </w:r>
          </w:p>
        </w:tc>
        <w:tc>
          <w:tcPr>
            <w:tcW w:w="853" w:type="dxa"/>
            <w:tcMar>
              <w:top w:w="0" w:type="dxa"/>
              <w:left w:w="105" w:type="dxa"/>
              <w:bottom w:w="0" w:type="dxa"/>
              <w:right w:w="105" w:type="dxa"/>
            </w:tcMar>
            <w:vAlign w:val="center"/>
          </w:tcPr>
          <w:p w14:paraId="286DE9F7">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来源地</w:t>
            </w:r>
          </w:p>
        </w:tc>
        <w:tc>
          <w:tcPr>
            <w:tcW w:w="989" w:type="dxa"/>
            <w:tcMar>
              <w:top w:w="0" w:type="dxa"/>
              <w:left w:w="105" w:type="dxa"/>
              <w:bottom w:w="0" w:type="dxa"/>
              <w:right w:w="105" w:type="dxa"/>
            </w:tcMar>
            <w:vAlign w:val="center"/>
          </w:tcPr>
          <w:p w14:paraId="4C71B76E">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单价</w:t>
            </w:r>
          </w:p>
          <w:p w14:paraId="5F01D65F">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（现场）</w:t>
            </w:r>
          </w:p>
        </w:tc>
        <w:tc>
          <w:tcPr>
            <w:tcW w:w="569" w:type="dxa"/>
            <w:tcMar>
              <w:top w:w="0" w:type="dxa"/>
              <w:left w:w="105" w:type="dxa"/>
              <w:bottom w:w="0" w:type="dxa"/>
              <w:right w:w="105" w:type="dxa"/>
            </w:tcMar>
            <w:vAlign w:val="center"/>
          </w:tcPr>
          <w:p w14:paraId="4538EB19">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数量</w:t>
            </w:r>
          </w:p>
        </w:tc>
        <w:tc>
          <w:tcPr>
            <w:tcW w:w="1093" w:type="dxa"/>
            <w:tcMar>
              <w:top w:w="0" w:type="dxa"/>
              <w:left w:w="105" w:type="dxa"/>
              <w:bottom w:w="0" w:type="dxa"/>
              <w:right w:w="105" w:type="dxa"/>
            </w:tcMar>
            <w:vAlign w:val="center"/>
          </w:tcPr>
          <w:p w14:paraId="14AAD5D1">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总价</w:t>
            </w:r>
          </w:p>
          <w:p w14:paraId="517E94DC">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（现场）</w:t>
            </w:r>
          </w:p>
        </w:tc>
        <w:tc>
          <w:tcPr>
            <w:tcW w:w="810" w:type="dxa"/>
            <w:tcMar>
              <w:top w:w="0" w:type="dxa"/>
              <w:left w:w="105" w:type="dxa"/>
              <w:bottom w:w="0" w:type="dxa"/>
              <w:right w:w="105" w:type="dxa"/>
            </w:tcMar>
            <w:vAlign w:val="center"/>
          </w:tcPr>
          <w:p w14:paraId="756493C1">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备注</w:t>
            </w:r>
          </w:p>
        </w:tc>
      </w:tr>
      <w:tr w14:paraId="2B3E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0" w:type="dxa"/>
            <w:vMerge w:val="restart"/>
            <w:tcMar>
              <w:top w:w="0" w:type="dxa"/>
              <w:left w:w="105" w:type="dxa"/>
              <w:bottom w:w="0" w:type="dxa"/>
              <w:right w:w="105" w:type="dxa"/>
            </w:tcMar>
            <w:vAlign w:val="center"/>
          </w:tcPr>
          <w:p w14:paraId="342B724E">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w:t>
            </w:r>
          </w:p>
        </w:tc>
        <w:tc>
          <w:tcPr>
            <w:tcW w:w="958" w:type="dxa"/>
            <w:tcMar>
              <w:top w:w="0" w:type="dxa"/>
              <w:left w:w="105" w:type="dxa"/>
              <w:bottom w:w="0" w:type="dxa"/>
              <w:right w:w="105" w:type="dxa"/>
            </w:tcMar>
            <w:vAlign w:val="center"/>
          </w:tcPr>
          <w:p w14:paraId="750AD7C6">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*-1</w:t>
            </w:r>
          </w:p>
        </w:tc>
        <w:tc>
          <w:tcPr>
            <w:tcW w:w="1556" w:type="dxa"/>
            <w:tcMar>
              <w:top w:w="0" w:type="dxa"/>
              <w:left w:w="105" w:type="dxa"/>
              <w:bottom w:w="0" w:type="dxa"/>
              <w:right w:w="105" w:type="dxa"/>
            </w:tcMar>
            <w:vAlign w:val="top"/>
          </w:tcPr>
          <w:p w14:paraId="03962DF0">
            <w:pPr>
              <w:widowControl/>
              <w:spacing w:line="300" w:lineRule="auto"/>
              <w:jc w:val="left"/>
              <w:rPr>
                <w:color w:val="auto"/>
                <w:highlight w:val="none"/>
              </w:rPr>
            </w:pPr>
          </w:p>
        </w:tc>
        <w:tc>
          <w:tcPr>
            <w:tcW w:w="1272" w:type="dxa"/>
            <w:tcMar>
              <w:top w:w="0" w:type="dxa"/>
              <w:left w:w="105" w:type="dxa"/>
              <w:bottom w:w="0" w:type="dxa"/>
              <w:right w:w="105" w:type="dxa"/>
            </w:tcMar>
            <w:vAlign w:val="center"/>
          </w:tcPr>
          <w:p w14:paraId="5F78C607">
            <w:pPr>
              <w:widowControl/>
              <w:spacing w:line="300" w:lineRule="auto"/>
              <w:jc w:val="left"/>
              <w:rPr>
                <w:color w:val="auto"/>
                <w:highlight w:val="none"/>
              </w:rPr>
            </w:pPr>
          </w:p>
        </w:tc>
        <w:tc>
          <w:tcPr>
            <w:tcW w:w="853" w:type="dxa"/>
            <w:tcMar>
              <w:top w:w="0" w:type="dxa"/>
              <w:left w:w="105" w:type="dxa"/>
              <w:bottom w:w="0" w:type="dxa"/>
              <w:right w:w="105" w:type="dxa"/>
            </w:tcMar>
            <w:vAlign w:val="top"/>
          </w:tcPr>
          <w:p w14:paraId="335108B5">
            <w:pPr>
              <w:widowControl/>
              <w:spacing w:line="300" w:lineRule="auto"/>
              <w:jc w:val="left"/>
              <w:rPr>
                <w:color w:val="auto"/>
                <w:highlight w:val="none"/>
              </w:rPr>
            </w:pPr>
          </w:p>
        </w:tc>
        <w:tc>
          <w:tcPr>
            <w:tcW w:w="989" w:type="dxa"/>
            <w:tcMar>
              <w:top w:w="0" w:type="dxa"/>
              <w:left w:w="105" w:type="dxa"/>
              <w:bottom w:w="0" w:type="dxa"/>
              <w:right w:w="105" w:type="dxa"/>
            </w:tcMar>
            <w:vAlign w:val="top"/>
          </w:tcPr>
          <w:p w14:paraId="7D356CE8">
            <w:pPr>
              <w:widowControl/>
              <w:spacing w:line="300" w:lineRule="auto"/>
              <w:jc w:val="left"/>
              <w:rPr>
                <w:color w:val="auto"/>
                <w:highlight w:val="none"/>
              </w:rPr>
            </w:pPr>
          </w:p>
        </w:tc>
        <w:tc>
          <w:tcPr>
            <w:tcW w:w="569" w:type="dxa"/>
            <w:tcMar>
              <w:top w:w="0" w:type="dxa"/>
              <w:left w:w="105" w:type="dxa"/>
              <w:bottom w:w="0" w:type="dxa"/>
              <w:right w:w="105" w:type="dxa"/>
            </w:tcMar>
            <w:vAlign w:val="top"/>
          </w:tcPr>
          <w:p w14:paraId="0D1380CD">
            <w:pPr>
              <w:widowControl/>
              <w:spacing w:line="300" w:lineRule="auto"/>
              <w:jc w:val="left"/>
              <w:rPr>
                <w:color w:val="auto"/>
                <w:highlight w:val="none"/>
              </w:rPr>
            </w:pPr>
          </w:p>
        </w:tc>
        <w:tc>
          <w:tcPr>
            <w:tcW w:w="1093" w:type="dxa"/>
            <w:tcMar>
              <w:top w:w="0" w:type="dxa"/>
              <w:left w:w="105" w:type="dxa"/>
              <w:bottom w:w="0" w:type="dxa"/>
              <w:right w:w="105" w:type="dxa"/>
            </w:tcMar>
            <w:vAlign w:val="top"/>
          </w:tcPr>
          <w:p w14:paraId="305B103F">
            <w:pPr>
              <w:widowControl/>
              <w:spacing w:line="300" w:lineRule="auto"/>
              <w:jc w:val="left"/>
              <w:rPr>
                <w:color w:val="auto"/>
                <w:highlight w:val="none"/>
              </w:rPr>
            </w:pPr>
          </w:p>
        </w:tc>
        <w:tc>
          <w:tcPr>
            <w:tcW w:w="810" w:type="dxa"/>
            <w:tcMar>
              <w:top w:w="0" w:type="dxa"/>
              <w:left w:w="105" w:type="dxa"/>
              <w:bottom w:w="0" w:type="dxa"/>
              <w:right w:w="105" w:type="dxa"/>
            </w:tcMar>
            <w:vAlign w:val="top"/>
          </w:tcPr>
          <w:p w14:paraId="5E102500">
            <w:pPr>
              <w:widowControl/>
              <w:spacing w:line="300" w:lineRule="auto"/>
              <w:jc w:val="left"/>
              <w:rPr>
                <w:color w:val="auto"/>
                <w:highlight w:val="none"/>
              </w:rPr>
            </w:pPr>
          </w:p>
        </w:tc>
      </w:tr>
      <w:tr w14:paraId="3CB2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0" w:type="dxa"/>
            <w:vMerge w:val="continue"/>
            <w:tcMar>
              <w:top w:w="0" w:type="dxa"/>
              <w:left w:w="105" w:type="dxa"/>
              <w:bottom w:w="0" w:type="dxa"/>
              <w:right w:w="105" w:type="dxa"/>
            </w:tcMar>
            <w:vAlign w:val="center"/>
          </w:tcPr>
          <w:p w14:paraId="5BDC99D9">
            <w:pPr>
              <w:spacing w:line="300" w:lineRule="auto"/>
              <w:rPr>
                <w:rFonts w:ascii="宋体"/>
                <w:color w:val="auto"/>
                <w:sz w:val="24"/>
                <w:highlight w:val="none"/>
              </w:rPr>
            </w:pPr>
          </w:p>
        </w:tc>
        <w:tc>
          <w:tcPr>
            <w:tcW w:w="958" w:type="dxa"/>
            <w:tcMar>
              <w:top w:w="0" w:type="dxa"/>
              <w:left w:w="105" w:type="dxa"/>
              <w:bottom w:w="0" w:type="dxa"/>
              <w:right w:w="105" w:type="dxa"/>
            </w:tcMar>
            <w:vAlign w:val="center"/>
          </w:tcPr>
          <w:p w14:paraId="5E5CBB50">
            <w:pPr>
              <w:widowControl/>
              <w:spacing w:line="300" w:lineRule="auto"/>
              <w:jc w:val="left"/>
              <w:rPr>
                <w:color w:val="auto"/>
                <w:highlight w:val="none"/>
              </w:rPr>
            </w:pPr>
          </w:p>
        </w:tc>
        <w:tc>
          <w:tcPr>
            <w:tcW w:w="1556" w:type="dxa"/>
            <w:tcMar>
              <w:top w:w="0" w:type="dxa"/>
              <w:left w:w="105" w:type="dxa"/>
              <w:bottom w:w="0" w:type="dxa"/>
              <w:right w:w="105" w:type="dxa"/>
            </w:tcMar>
            <w:vAlign w:val="top"/>
          </w:tcPr>
          <w:p w14:paraId="0FDB8EF4">
            <w:pPr>
              <w:widowControl/>
              <w:spacing w:line="300" w:lineRule="auto"/>
              <w:jc w:val="left"/>
              <w:rPr>
                <w:color w:val="auto"/>
                <w:highlight w:val="none"/>
              </w:rPr>
            </w:pPr>
          </w:p>
        </w:tc>
        <w:tc>
          <w:tcPr>
            <w:tcW w:w="1272" w:type="dxa"/>
            <w:tcMar>
              <w:top w:w="0" w:type="dxa"/>
              <w:left w:w="105" w:type="dxa"/>
              <w:bottom w:w="0" w:type="dxa"/>
              <w:right w:w="105" w:type="dxa"/>
            </w:tcMar>
            <w:vAlign w:val="center"/>
          </w:tcPr>
          <w:p w14:paraId="5B5D2FD5">
            <w:pPr>
              <w:widowControl/>
              <w:spacing w:line="300" w:lineRule="auto"/>
              <w:jc w:val="left"/>
              <w:rPr>
                <w:color w:val="auto"/>
                <w:highlight w:val="none"/>
              </w:rPr>
            </w:pPr>
          </w:p>
        </w:tc>
        <w:tc>
          <w:tcPr>
            <w:tcW w:w="853" w:type="dxa"/>
            <w:tcMar>
              <w:top w:w="0" w:type="dxa"/>
              <w:left w:w="105" w:type="dxa"/>
              <w:bottom w:w="0" w:type="dxa"/>
              <w:right w:w="105" w:type="dxa"/>
            </w:tcMar>
            <w:vAlign w:val="top"/>
          </w:tcPr>
          <w:p w14:paraId="0CA67093">
            <w:pPr>
              <w:widowControl/>
              <w:spacing w:line="300" w:lineRule="auto"/>
              <w:jc w:val="left"/>
              <w:rPr>
                <w:color w:val="auto"/>
                <w:highlight w:val="none"/>
              </w:rPr>
            </w:pPr>
          </w:p>
        </w:tc>
        <w:tc>
          <w:tcPr>
            <w:tcW w:w="989" w:type="dxa"/>
            <w:tcMar>
              <w:top w:w="0" w:type="dxa"/>
              <w:left w:w="105" w:type="dxa"/>
              <w:bottom w:w="0" w:type="dxa"/>
              <w:right w:w="105" w:type="dxa"/>
            </w:tcMar>
            <w:vAlign w:val="top"/>
          </w:tcPr>
          <w:p w14:paraId="4A441112">
            <w:pPr>
              <w:widowControl/>
              <w:spacing w:line="300" w:lineRule="auto"/>
              <w:jc w:val="left"/>
              <w:rPr>
                <w:color w:val="auto"/>
                <w:highlight w:val="none"/>
              </w:rPr>
            </w:pPr>
          </w:p>
        </w:tc>
        <w:tc>
          <w:tcPr>
            <w:tcW w:w="569" w:type="dxa"/>
            <w:tcMar>
              <w:top w:w="0" w:type="dxa"/>
              <w:left w:w="105" w:type="dxa"/>
              <w:bottom w:w="0" w:type="dxa"/>
              <w:right w:w="105" w:type="dxa"/>
            </w:tcMar>
            <w:vAlign w:val="top"/>
          </w:tcPr>
          <w:p w14:paraId="0FA75C18">
            <w:pPr>
              <w:widowControl/>
              <w:spacing w:line="300" w:lineRule="auto"/>
              <w:jc w:val="left"/>
              <w:rPr>
                <w:color w:val="auto"/>
                <w:highlight w:val="none"/>
              </w:rPr>
            </w:pPr>
          </w:p>
        </w:tc>
        <w:tc>
          <w:tcPr>
            <w:tcW w:w="1093" w:type="dxa"/>
            <w:tcMar>
              <w:top w:w="0" w:type="dxa"/>
              <w:left w:w="105" w:type="dxa"/>
              <w:bottom w:w="0" w:type="dxa"/>
              <w:right w:w="105" w:type="dxa"/>
            </w:tcMar>
            <w:vAlign w:val="top"/>
          </w:tcPr>
          <w:p w14:paraId="4D668A79">
            <w:pPr>
              <w:widowControl/>
              <w:spacing w:line="300" w:lineRule="auto"/>
              <w:jc w:val="left"/>
              <w:rPr>
                <w:color w:val="auto"/>
                <w:highlight w:val="none"/>
              </w:rPr>
            </w:pPr>
          </w:p>
        </w:tc>
        <w:tc>
          <w:tcPr>
            <w:tcW w:w="810" w:type="dxa"/>
            <w:tcMar>
              <w:top w:w="0" w:type="dxa"/>
              <w:left w:w="105" w:type="dxa"/>
              <w:bottom w:w="0" w:type="dxa"/>
              <w:right w:w="105" w:type="dxa"/>
            </w:tcMar>
            <w:vAlign w:val="top"/>
          </w:tcPr>
          <w:p w14:paraId="292E38E9">
            <w:pPr>
              <w:widowControl/>
              <w:spacing w:line="300" w:lineRule="auto"/>
              <w:jc w:val="left"/>
              <w:rPr>
                <w:color w:val="auto"/>
                <w:highlight w:val="none"/>
              </w:rPr>
            </w:pPr>
          </w:p>
        </w:tc>
      </w:tr>
      <w:tr w14:paraId="5EF8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0" w:type="dxa"/>
            <w:tcMar>
              <w:top w:w="0" w:type="dxa"/>
              <w:left w:w="105" w:type="dxa"/>
              <w:bottom w:w="0" w:type="dxa"/>
              <w:right w:w="105" w:type="dxa"/>
            </w:tcMar>
            <w:vAlign w:val="center"/>
          </w:tcPr>
          <w:p w14:paraId="0330F30E">
            <w:pPr>
              <w:pStyle w:val="13"/>
              <w:widowControl/>
              <w:spacing w:beforeAutospacing="0" w:after="150" w:afterAutospacing="0" w:line="300" w:lineRule="auto"/>
              <w:jc w:val="center"/>
              <w:rPr>
                <w:color w:val="auto"/>
                <w:highlight w:val="none"/>
              </w:rPr>
            </w:pPr>
            <w:r>
              <w:rPr>
                <w:rFonts w:cs="Calibri"/>
                <w:color w:val="auto"/>
                <w:sz w:val="21"/>
                <w:szCs w:val="21"/>
                <w:highlight w:val="none"/>
              </w:rPr>
              <w:t>…</w:t>
            </w:r>
          </w:p>
        </w:tc>
        <w:tc>
          <w:tcPr>
            <w:tcW w:w="958" w:type="dxa"/>
            <w:tcMar>
              <w:top w:w="0" w:type="dxa"/>
              <w:left w:w="105" w:type="dxa"/>
              <w:bottom w:w="0" w:type="dxa"/>
              <w:right w:w="105" w:type="dxa"/>
            </w:tcMar>
            <w:vAlign w:val="center"/>
          </w:tcPr>
          <w:p w14:paraId="15272586">
            <w:pPr>
              <w:widowControl/>
              <w:spacing w:line="300" w:lineRule="auto"/>
              <w:jc w:val="left"/>
              <w:rPr>
                <w:color w:val="auto"/>
                <w:highlight w:val="none"/>
              </w:rPr>
            </w:pPr>
          </w:p>
        </w:tc>
        <w:tc>
          <w:tcPr>
            <w:tcW w:w="1556" w:type="dxa"/>
            <w:tcMar>
              <w:top w:w="0" w:type="dxa"/>
              <w:left w:w="105" w:type="dxa"/>
              <w:bottom w:w="0" w:type="dxa"/>
              <w:right w:w="105" w:type="dxa"/>
            </w:tcMar>
            <w:vAlign w:val="top"/>
          </w:tcPr>
          <w:p w14:paraId="7E1C2C7E">
            <w:pPr>
              <w:widowControl/>
              <w:spacing w:line="300" w:lineRule="auto"/>
              <w:jc w:val="left"/>
              <w:rPr>
                <w:color w:val="auto"/>
                <w:highlight w:val="none"/>
              </w:rPr>
            </w:pPr>
          </w:p>
        </w:tc>
        <w:tc>
          <w:tcPr>
            <w:tcW w:w="1272" w:type="dxa"/>
            <w:tcMar>
              <w:top w:w="0" w:type="dxa"/>
              <w:left w:w="105" w:type="dxa"/>
              <w:bottom w:w="0" w:type="dxa"/>
              <w:right w:w="105" w:type="dxa"/>
            </w:tcMar>
            <w:vAlign w:val="center"/>
          </w:tcPr>
          <w:p w14:paraId="4492CE2C">
            <w:pPr>
              <w:widowControl/>
              <w:spacing w:line="300" w:lineRule="auto"/>
              <w:jc w:val="left"/>
              <w:rPr>
                <w:color w:val="auto"/>
                <w:highlight w:val="none"/>
              </w:rPr>
            </w:pPr>
          </w:p>
        </w:tc>
        <w:tc>
          <w:tcPr>
            <w:tcW w:w="853" w:type="dxa"/>
            <w:tcMar>
              <w:top w:w="0" w:type="dxa"/>
              <w:left w:w="105" w:type="dxa"/>
              <w:bottom w:w="0" w:type="dxa"/>
              <w:right w:w="105" w:type="dxa"/>
            </w:tcMar>
            <w:vAlign w:val="top"/>
          </w:tcPr>
          <w:p w14:paraId="5BB80115">
            <w:pPr>
              <w:widowControl/>
              <w:spacing w:line="300" w:lineRule="auto"/>
              <w:jc w:val="left"/>
              <w:rPr>
                <w:color w:val="auto"/>
                <w:highlight w:val="none"/>
              </w:rPr>
            </w:pPr>
          </w:p>
        </w:tc>
        <w:tc>
          <w:tcPr>
            <w:tcW w:w="989" w:type="dxa"/>
            <w:tcMar>
              <w:top w:w="0" w:type="dxa"/>
              <w:left w:w="105" w:type="dxa"/>
              <w:bottom w:w="0" w:type="dxa"/>
              <w:right w:w="105" w:type="dxa"/>
            </w:tcMar>
            <w:vAlign w:val="top"/>
          </w:tcPr>
          <w:p w14:paraId="74C643D4">
            <w:pPr>
              <w:widowControl/>
              <w:spacing w:line="300" w:lineRule="auto"/>
              <w:jc w:val="left"/>
              <w:rPr>
                <w:color w:val="auto"/>
                <w:highlight w:val="none"/>
              </w:rPr>
            </w:pPr>
          </w:p>
        </w:tc>
        <w:tc>
          <w:tcPr>
            <w:tcW w:w="569" w:type="dxa"/>
            <w:tcMar>
              <w:top w:w="0" w:type="dxa"/>
              <w:left w:w="105" w:type="dxa"/>
              <w:bottom w:w="0" w:type="dxa"/>
              <w:right w:w="105" w:type="dxa"/>
            </w:tcMar>
            <w:vAlign w:val="top"/>
          </w:tcPr>
          <w:p w14:paraId="5FB2C89A">
            <w:pPr>
              <w:widowControl/>
              <w:spacing w:line="300" w:lineRule="auto"/>
              <w:jc w:val="left"/>
              <w:rPr>
                <w:color w:val="auto"/>
                <w:highlight w:val="none"/>
              </w:rPr>
            </w:pPr>
          </w:p>
        </w:tc>
        <w:tc>
          <w:tcPr>
            <w:tcW w:w="1093" w:type="dxa"/>
            <w:tcMar>
              <w:top w:w="0" w:type="dxa"/>
              <w:left w:w="105" w:type="dxa"/>
              <w:bottom w:w="0" w:type="dxa"/>
              <w:right w:w="105" w:type="dxa"/>
            </w:tcMar>
            <w:vAlign w:val="top"/>
          </w:tcPr>
          <w:p w14:paraId="327D8D42">
            <w:pPr>
              <w:widowControl/>
              <w:spacing w:line="300" w:lineRule="auto"/>
              <w:jc w:val="left"/>
              <w:rPr>
                <w:color w:val="auto"/>
                <w:highlight w:val="none"/>
              </w:rPr>
            </w:pPr>
          </w:p>
        </w:tc>
        <w:tc>
          <w:tcPr>
            <w:tcW w:w="810" w:type="dxa"/>
            <w:tcMar>
              <w:top w:w="0" w:type="dxa"/>
              <w:left w:w="105" w:type="dxa"/>
              <w:bottom w:w="0" w:type="dxa"/>
              <w:right w:w="105" w:type="dxa"/>
            </w:tcMar>
            <w:vAlign w:val="top"/>
          </w:tcPr>
          <w:p w14:paraId="16225132">
            <w:pPr>
              <w:widowControl/>
              <w:spacing w:line="300" w:lineRule="auto"/>
              <w:jc w:val="left"/>
              <w:rPr>
                <w:color w:val="auto"/>
                <w:highlight w:val="none"/>
              </w:rPr>
            </w:pPr>
          </w:p>
        </w:tc>
      </w:tr>
    </w:tbl>
    <w:p w14:paraId="603C5225">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★注意：</w:t>
      </w:r>
    </w:p>
    <w:p w14:paraId="288D818F">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1、本表应按照下列规定填写：</w:t>
      </w:r>
    </w:p>
    <w:p w14:paraId="185FC987">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cs="Calibri"/>
          <w:color w:val="auto"/>
          <w:sz w:val="21"/>
          <w:szCs w:val="21"/>
          <w:highlight w:val="none"/>
        </w:rPr>
        <w:t>1</w:t>
      </w:r>
      <w:r>
        <w:rPr>
          <w:rFonts w:hint="eastAsia" w:ascii="宋体" w:hAnsi="宋体" w:cs="宋体"/>
          <w:color w:val="auto"/>
          <w:sz w:val="21"/>
          <w:szCs w:val="21"/>
          <w:highlight w:val="none"/>
        </w:rPr>
        <w:t>”时，本表中列示的“合同包”亦应为“</w:t>
      </w:r>
      <w:r>
        <w:rPr>
          <w:rFonts w:cs="Calibri"/>
          <w:color w:val="auto"/>
          <w:sz w:val="21"/>
          <w:szCs w:val="21"/>
          <w:highlight w:val="none"/>
        </w:rPr>
        <w:t>1</w:t>
      </w:r>
      <w:r>
        <w:rPr>
          <w:rFonts w:hint="eastAsia" w:ascii="宋体" w:hAnsi="宋体" w:cs="宋体"/>
          <w:color w:val="auto"/>
          <w:sz w:val="21"/>
          <w:szCs w:val="21"/>
          <w:highlight w:val="none"/>
        </w:rPr>
        <w:t>”，以此类推。</w:t>
      </w:r>
    </w:p>
    <w:p w14:paraId="44D03305">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1.2“投标标的”为货物的：</w:t>
      </w:r>
      <w:r>
        <w:rPr>
          <w:rStyle w:val="18"/>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项下应填写货物制造厂商赋予的品牌（属于节能、环保清单产品的货物，填写的品牌名称应与清单载明的品牌名称保持一致）及具体型号。</w:t>
      </w:r>
      <w:r>
        <w:rPr>
          <w:rStyle w:val="18"/>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应填写货物的原产地。</w:t>
      </w:r>
    </w:p>
    <w:p w14:paraId="6CE3E95C">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1.3“投标标的”为服务的：</w:t>
      </w:r>
      <w:r>
        <w:rPr>
          <w:rStyle w:val="18"/>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项下应填写服务提供者提供的服务标准及品牌（若有）。</w:t>
      </w:r>
      <w:r>
        <w:rPr>
          <w:rStyle w:val="18"/>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应填写服务提供者的所在地。</w:t>
      </w:r>
    </w:p>
    <w:p w14:paraId="3C59D340">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1.4同一合同包中，</w:t>
      </w:r>
      <w:r>
        <w:rPr>
          <w:rStyle w:val="18"/>
          <w:rFonts w:hint="eastAsia" w:ascii="宋体" w:hAnsi="宋体" w:cs="宋体"/>
          <w:color w:val="auto"/>
          <w:sz w:val="21"/>
          <w:szCs w:val="21"/>
          <w:highlight w:val="none"/>
        </w:rPr>
        <w:t>“单价（现场）”</w:t>
      </w:r>
      <w:r>
        <w:rPr>
          <w:rFonts w:hint="eastAsia" w:ascii="宋体" w:hAnsi="宋体" w:cs="宋体"/>
          <w:color w:val="auto"/>
          <w:sz w:val="21"/>
          <w:szCs w:val="21"/>
          <w:highlight w:val="none"/>
        </w:rPr>
        <w:t>×</w:t>
      </w:r>
      <w:r>
        <w:rPr>
          <w:rStyle w:val="18"/>
          <w:rFonts w:hint="eastAsia" w:ascii="宋体" w:hAnsi="宋体" w:cs="宋体"/>
          <w:color w:val="auto"/>
          <w:sz w:val="21"/>
          <w:szCs w:val="21"/>
          <w:highlight w:val="none"/>
        </w:rPr>
        <w:t>“数量”</w:t>
      </w:r>
      <w:r>
        <w:rPr>
          <w:rFonts w:hint="eastAsia" w:ascii="宋体" w:hAnsi="宋体" w:cs="宋体"/>
          <w:color w:val="auto"/>
          <w:sz w:val="21"/>
          <w:szCs w:val="21"/>
          <w:highlight w:val="none"/>
        </w:rPr>
        <w:t>=</w:t>
      </w:r>
      <w:r>
        <w:rPr>
          <w:rStyle w:val="18"/>
          <w:rFonts w:hint="eastAsia" w:ascii="宋体" w:hAnsi="宋体" w:cs="宋体"/>
          <w:color w:val="auto"/>
          <w:sz w:val="21"/>
          <w:szCs w:val="21"/>
          <w:highlight w:val="none"/>
        </w:rPr>
        <w:t>“总价（现场）”</w:t>
      </w:r>
      <w:r>
        <w:rPr>
          <w:rFonts w:hint="eastAsia" w:ascii="宋体" w:hAnsi="宋体" w:cs="宋体"/>
          <w:color w:val="auto"/>
          <w:sz w:val="21"/>
          <w:szCs w:val="21"/>
          <w:highlight w:val="none"/>
        </w:rPr>
        <w:t>，全部品目号</w:t>
      </w:r>
      <w:r>
        <w:rPr>
          <w:rStyle w:val="18"/>
          <w:rFonts w:hint="eastAsia" w:ascii="宋体" w:hAnsi="宋体" w:cs="宋体"/>
          <w:color w:val="auto"/>
          <w:sz w:val="21"/>
          <w:szCs w:val="21"/>
          <w:highlight w:val="none"/>
        </w:rPr>
        <w:t>“总价（现场）”</w:t>
      </w:r>
      <w:r>
        <w:rPr>
          <w:rFonts w:hint="eastAsia" w:ascii="宋体" w:hAnsi="宋体" w:cs="宋体"/>
          <w:color w:val="auto"/>
          <w:sz w:val="21"/>
          <w:szCs w:val="21"/>
          <w:highlight w:val="none"/>
        </w:rPr>
        <w:t>的合计金额应与《开标一览表》中相应合同包列示的</w:t>
      </w:r>
      <w:r>
        <w:rPr>
          <w:rStyle w:val="18"/>
          <w:rFonts w:hint="eastAsia" w:ascii="宋体" w:hAnsi="宋体" w:cs="宋体"/>
          <w:color w:val="auto"/>
          <w:sz w:val="21"/>
          <w:szCs w:val="21"/>
          <w:highlight w:val="none"/>
        </w:rPr>
        <w:t>“投标总价”</w:t>
      </w:r>
      <w:r>
        <w:rPr>
          <w:rFonts w:hint="eastAsia" w:ascii="宋体" w:hAnsi="宋体" w:cs="宋体"/>
          <w:color w:val="auto"/>
          <w:sz w:val="21"/>
          <w:szCs w:val="21"/>
          <w:highlight w:val="none"/>
        </w:rPr>
        <w:t>保持一致。</w:t>
      </w:r>
    </w:p>
    <w:p w14:paraId="288B9A38">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1.5若招标文件要求投标人对“备品备件价格、专用工具价格、技术服务费、安装调试费、检验培训费、运输费、保险费、税收”等进行报价的，请在本表的</w:t>
      </w:r>
      <w:r>
        <w:rPr>
          <w:rStyle w:val="18"/>
          <w:rFonts w:hint="eastAsia" w:ascii="宋体" w:hAnsi="宋体" w:cs="宋体"/>
          <w:color w:val="auto"/>
          <w:sz w:val="21"/>
          <w:szCs w:val="21"/>
          <w:highlight w:val="none"/>
        </w:rPr>
        <w:t>“备注”</w:t>
      </w:r>
      <w:r>
        <w:rPr>
          <w:rFonts w:hint="eastAsia" w:ascii="宋体" w:hAnsi="宋体" w:cs="宋体"/>
          <w:color w:val="auto"/>
          <w:sz w:val="21"/>
          <w:szCs w:val="21"/>
          <w:highlight w:val="none"/>
        </w:rPr>
        <w:t>项下填写。</w:t>
      </w:r>
    </w:p>
    <w:p w14:paraId="476B2C6F">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2、纸质投标文件正本中的本表应为原件。</w:t>
      </w:r>
    </w:p>
    <w:p w14:paraId="0002C814">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14:paraId="4D65B49D">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14:paraId="38D107C9">
      <w:pPr>
        <w:pStyle w:val="13"/>
        <w:widowControl/>
        <w:spacing w:beforeAutospacing="0" w:after="15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14:paraId="58E627C1">
      <w:pPr>
        <w:pStyle w:val="13"/>
        <w:widowControl/>
        <w:spacing w:beforeAutospacing="0" w:after="150" w:afterAutospacing="0" w:line="300" w:lineRule="auto"/>
        <w:jc w:val="center"/>
        <w:rPr>
          <w:rStyle w:val="18"/>
          <w:b w:val="0"/>
          <w:color w:val="auto"/>
          <w:highlight w:val="none"/>
        </w:rPr>
      </w:pPr>
      <w:r>
        <w:rPr>
          <w:rStyle w:val="18"/>
          <w:rFonts w:hint="eastAsia" w:ascii="宋体" w:hAnsi="宋体" w:cs="宋体"/>
          <w:color w:val="auto"/>
          <w:sz w:val="48"/>
          <w:szCs w:val="48"/>
          <w:highlight w:val="none"/>
        </w:rPr>
        <w:t>（资格证明、技术商务部分）</w:t>
      </w:r>
    </w:p>
    <w:p w14:paraId="7A08FE06">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28"/>
          <w:szCs w:val="28"/>
          <w:highlight w:val="none"/>
        </w:rPr>
        <w:t>索引</w:t>
      </w:r>
    </w:p>
    <w:p w14:paraId="2D21B7DF">
      <w:pPr>
        <w:pStyle w:val="13"/>
        <w:widowControl/>
        <w:spacing w:beforeAutospacing="0" w:after="150" w:afterAutospacing="0" w:line="300" w:lineRule="auto"/>
        <w:rPr>
          <w:rFonts w:ascii="宋体" w:hAnsi="宋体" w:cs="宋体"/>
          <w:color w:val="auto"/>
          <w:sz w:val="28"/>
          <w:szCs w:val="28"/>
          <w:highlight w:val="none"/>
        </w:rPr>
      </w:pPr>
      <w:r>
        <w:rPr>
          <w:rFonts w:hint="eastAsia" w:ascii="宋体" w:hAnsi="宋体" w:cs="宋体"/>
          <w:color w:val="auto"/>
          <w:sz w:val="28"/>
          <w:szCs w:val="28"/>
          <w:highlight w:val="none"/>
        </w:rPr>
        <w:t>一、标的说明一览表</w:t>
      </w:r>
    </w:p>
    <w:p w14:paraId="2C80399E">
      <w:pPr>
        <w:pStyle w:val="13"/>
        <w:widowControl/>
        <w:spacing w:beforeAutospacing="0" w:after="150" w:afterAutospacing="0" w:line="300" w:lineRule="auto"/>
        <w:rPr>
          <w:color w:val="auto"/>
          <w:highlight w:val="none"/>
        </w:rPr>
      </w:pPr>
      <w:r>
        <w:rPr>
          <w:rFonts w:hint="eastAsia" w:ascii="宋体" w:hAnsi="宋体" w:cs="宋体"/>
          <w:color w:val="auto"/>
          <w:sz w:val="28"/>
          <w:szCs w:val="28"/>
          <w:highlight w:val="none"/>
        </w:rPr>
        <w:t>二、投标函</w:t>
      </w:r>
    </w:p>
    <w:p w14:paraId="7E6340A8">
      <w:pPr>
        <w:pStyle w:val="13"/>
        <w:widowControl/>
        <w:spacing w:beforeAutospacing="0" w:after="150" w:afterAutospacing="0" w:line="300" w:lineRule="auto"/>
        <w:rPr>
          <w:rFonts w:ascii="宋体" w:hAnsi="宋体" w:cs="宋体"/>
          <w:color w:val="auto"/>
          <w:sz w:val="28"/>
          <w:szCs w:val="28"/>
          <w:highlight w:val="none"/>
        </w:rPr>
      </w:pPr>
      <w:r>
        <w:rPr>
          <w:rFonts w:hint="eastAsia" w:ascii="宋体" w:hAnsi="宋体" w:cs="宋体"/>
          <w:color w:val="auto"/>
          <w:sz w:val="28"/>
          <w:szCs w:val="28"/>
          <w:highlight w:val="none"/>
        </w:rPr>
        <w:t>三、资格及资信证明部分</w:t>
      </w:r>
    </w:p>
    <w:p w14:paraId="7C125440">
      <w:pPr>
        <w:pStyle w:val="13"/>
        <w:widowControl/>
        <w:spacing w:beforeAutospacing="0" w:after="150" w:afterAutospacing="0" w:line="300" w:lineRule="auto"/>
        <w:rPr>
          <w:color w:val="auto"/>
          <w:highlight w:val="none"/>
        </w:rPr>
      </w:pPr>
      <w:r>
        <w:rPr>
          <w:rFonts w:hint="eastAsia" w:ascii="宋体" w:hAnsi="宋体" w:cs="宋体"/>
          <w:color w:val="auto"/>
          <w:sz w:val="28"/>
          <w:szCs w:val="28"/>
          <w:highlight w:val="none"/>
        </w:rPr>
        <w:t>四、技术和服务要求响应表</w:t>
      </w:r>
    </w:p>
    <w:p w14:paraId="2DF452B8">
      <w:pPr>
        <w:pStyle w:val="13"/>
        <w:widowControl/>
        <w:spacing w:beforeAutospacing="0" w:after="150" w:afterAutospacing="0" w:line="300" w:lineRule="auto"/>
        <w:rPr>
          <w:color w:val="auto"/>
          <w:highlight w:val="none"/>
        </w:rPr>
      </w:pPr>
      <w:r>
        <w:rPr>
          <w:rFonts w:hint="eastAsia" w:ascii="宋体" w:hAnsi="宋体" w:cs="宋体"/>
          <w:color w:val="auto"/>
          <w:sz w:val="28"/>
          <w:szCs w:val="28"/>
          <w:highlight w:val="none"/>
        </w:rPr>
        <w:t>五、商务条件响应表</w:t>
      </w:r>
    </w:p>
    <w:p w14:paraId="4A517E40">
      <w:pPr>
        <w:pStyle w:val="13"/>
        <w:widowControl/>
        <w:spacing w:beforeAutospacing="0" w:after="150" w:afterAutospacing="0" w:line="300" w:lineRule="auto"/>
        <w:rPr>
          <w:rStyle w:val="18"/>
          <w:b w:val="0"/>
          <w:color w:val="auto"/>
          <w:highlight w:val="none"/>
        </w:rPr>
      </w:pPr>
      <w:r>
        <w:rPr>
          <w:rFonts w:hint="eastAsia" w:ascii="宋体" w:hAnsi="宋体" w:cs="宋体"/>
          <w:color w:val="auto"/>
          <w:sz w:val="28"/>
          <w:szCs w:val="28"/>
          <w:highlight w:val="none"/>
        </w:rPr>
        <w:t>六、投标人提交的其他资料（若有）</w:t>
      </w:r>
    </w:p>
    <w:p w14:paraId="71CFC325">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21"/>
          <w:szCs w:val="21"/>
          <w:highlight w:val="none"/>
        </w:rPr>
        <w:t>一、标的说明一览表</w:t>
      </w:r>
    </w:p>
    <w:p w14:paraId="75175E26">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u w:val="single"/>
        </w:rPr>
        <w:t>                   </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58"/>
        <w:gridCol w:w="854"/>
        <w:gridCol w:w="1692"/>
        <w:gridCol w:w="854"/>
        <w:gridCol w:w="1138"/>
        <w:gridCol w:w="1138"/>
        <w:gridCol w:w="1886"/>
      </w:tblGrid>
      <w:tr w14:paraId="4DA3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8" w:type="dxa"/>
            <w:tcMar>
              <w:top w:w="0" w:type="dxa"/>
              <w:left w:w="105" w:type="dxa"/>
              <w:bottom w:w="0" w:type="dxa"/>
              <w:right w:w="105" w:type="dxa"/>
            </w:tcMar>
            <w:vAlign w:val="center"/>
          </w:tcPr>
          <w:p w14:paraId="004AD5AD">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合同包</w:t>
            </w:r>
          </w:p>
        </w:tc>
        <w:tc>
          <w:tcPr>
            <w:tcW w:w="854" w:type="dxa"/>
            <w:tcMar>
              <w:top w:w="0" w:type="dxa"/>
              <w:left w:w="105" w:type="dxa"/>
              <w:bottom w:w="0" w:type="dxa"/>
              <w:right w:w="105" w:type="dxa"/>
            </w:tcMar>
            <w:vAlign w:val="center"/>
          </w:tcPr>
          <w:p w14:paraId="487C2FA6">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品目号</w:t>
            </w:r>
          </w:p>
        </w:tc>
        <w:tc>
          <w:tcPr>
            <w:tcW w:w="1692" w:type="dxa"/>
            <w:tcMar>
              <w:top w:w="0" w:type="dxa"/>
              <w:left w:w="105" w:type="dxa"/>
              <w:bottom w:w="0" w:type="dxa"/>
              <w:right w:w="105" w:type="dxa"/>
            </w:tcMar>
            <w:vAlign w:val="center"/>
          </w:tcPr>
          <w:p w14:paraId="2DFEE774">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投标标的</w:t>
            </w:r>
          </w:p>
        </w:tc>
        <w:tc>
          <w:tcPr>
            <w:tcW w:w="854" w:type="dxa"/>
            <w:tcMar>
              <w:top w:w="0" w:type="dxa"/>
              <w:left w:w="105" w:type="dxa"/>
              <w:bottom w:w="0" w:type="dxa"/>
              <w:right w:w="105" w:type="dxa"/>
            </w:tcMar>
            <w:vAlign w:val="center"/>
          </w:tcPr>
          <w:p w14:paraId="4CCE39BB">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数量</w:t>
            </w:r>
          </w:p>
        </w:tc>
        <w:tc>
          <w:tcPr>
            <w:tcW w:w="1138" w:type="dxa"/>
            <w:tcMar>
              <w:top w:w="0" w:type="dxa"/>
              <w:left w:w="105" w:type="dxa"/>
              <w:bottom w:w="0" w:type="dxa"/>
              <w:right w:w="105" w:type="dxa"/>
            </w:tcMar>
            <w:vAlign w:val="center"/>
          </w:tcPr>
          <w:p w14:paraId="49C1426F">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规格</w:t>
            </w:r>
          </w:p>
        </w:tc>
        <w:tc>
          <w:tcPr>
            <w:tcW w:w="1138" w:type="dxa"/>
            <w:tcMar>
              <w:top w:w="0" w:type="dxa"/>
              <w:left w:w="105" w:type="dxa"/>
              <w:bottom w:w="0" w:type="dxa"/>
              <w:right w:w="105" w:type="dxa"/>
            </w:tcMar>
            <w:vAlign w:val="center"/>
          </w:tcPr>
          <w:p w14:paraId="3D47A96A">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来源地</w:t>
            </w:r>
          </w:p>
        </w:tc>
        <w:tc>
          <w:tcPr>
            <w:tcW w:w="1886" w:type="dxa"/>
            <w:tcMar>
              <w:top w:w="0" w:type="dxa"/>
              <w:left w:w="105" w:type="dxa"/>
              <w:bottom w:w="0" w:type="dxa"/>
              <w:right w:w="105" w:type="dxa"/>
            </w:tcMar>
            <w:vAlign w:val="center"/>
          </w:tcPr>
          <w:p w14:paraId="574BA876">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备注</w:t>
            </w:r>
          </w:p>
        </w:tc>
      </w:tr>
      <w:tr w14:paraId="3ACA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8" w:type="dxa"/>
            <w:vMerge w:val="restart"/>
            <w:tcMar>
              <w:top w:w="0" w:type="dxa"/>
              <w:left w:w="105" w:type="dxa"/>
              <w:bottom w:w="0" w:type="dxa"/>
              <w:right w:w="105" w:type="dxa"/>
            </w:tcMar>
            <w:vAlign w:val="center"/>
          </w:tcPr>
          <w:p w14:paraId="66493B09">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w:t>
            </w:r>
          </w:p>
        </w:tc>
        <w:tc>
          <w:tcPr>
            <w:tcW w:w="854" w:type="dxa"/>
            <w:tcMar>
              <w:top w:w="0" w:type="dxa"/>
              <w:left w:w="105" w:type="dxa"/>
              <w:bottom w:w="0" w:type="dxa"/>
              <w:right w:w="105" w:type="dxa"/>
            </w:tcMar>
            <w:vAlign w:val="center"/>
          </w:tcPr>
          <w:p w14:paraId="57FF4B8E">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*-1</w:t>
            </w:r>
          </w:p>
        </w:tc>
        <w:tc>
          <w:tcPr>
            <w:tcW w:w="1692" w:type="dxa"/>
            <w:tcMar>
              <w:top w:w="0" w:type="dxa"/>
              <w:left w:w="105" w:type="dxa"/>
              <w:bottom w:w="0" w:type="dxa"/>
              <w:right w:w="105" w:type="dxa"/>
            </w:tcMar>
            <w:vAlign w:val="top"/>
          </w:tcPr>
          <w:p w14:paraId="0E1A1B06">
            <w:pPr>
              <w:widowControl/>
              <w:spacing w:line="300" w:lineRule="auto"/>
              <w:jc w:val="left"/>
              <w:rPr>
                <w:color w:val="auto"/>
                <w:highlight w:val="none"/>
              </w:rPr>
            </w:pPr>
          </w:p>
        </w:tc>
        <w:tc>
          <w:tcPr>
            <w:tcW w:w="854" w:type="dxa"/>
            <w:tcMar>
              <w:top w:w="0" w:type="dxa"/>
              <w:left w:w="105" w:type="dxa"/>
              <w:bottom w:w="0" w:type="dxa"/>
              <w:right w:w="105" w:type="dxa"/>
            </w:tcMar>
            <w:vAlign w:val="top"/>
          </w:tcPr>
          <w:p w14:paraId="54523B46">
            <w:pPr>
              <w:widowControl/>
              <w:spacing w:line="300" w:lineRule="auto"/>
              <w:jc w:val="left"/>
              <w:rPr>
                <w:color w:val="auto"/>
                <w:highlight w:val="none"/>
              </w:rPr>
            </w:pPr>
          </w:p>
        </w:tc>
        <w:tc>
          <w:tcPr>
            <w:tcW w:w="1138" w:type="dxa"/>
            <w:tcMar>
              <w:top w:w="0" w:type="dxa"/>
              <w:left w:w="105" w:type="dxa"/>
              <w:bottom w:w="0" w:type="dxa"/>
              <w:right w:w="105" w:type="dxa"/>
            </w:tcMar>
            <w:vAlign w:val="top"/>
          </w:tcPr>
          <w:p w14:paraId="2B88A329">
            <w:pPr>
              <w:widowControl/>
              <w:spacing w:line="300" w:lineRule="auto"/>
              <w:jc w:val="left"/>
              <w:rPr>
                <w:color w:val="auto"/>
                <w:highlight w:val="none"/>
              </w:rPr>
            </w:pPr>
          </w:p>
        </w:tc>
        <w:tc>
          <w:tcPr>
            <w:tcW w:w="1138" w:type="dxa"/>
            <w:tcMar>
              <w:top w:w="0" w:type="dxa"/>
              <w:left w:w="105" w:type="dxa"/>
              <w:bottom w:w="0" w:type="dxa"/>
              <w:right w:w="105" w:type="dxa"/>
            </w:tcMar>
            <w:vAlign w:val="top"/>
          </w:tcPr>
          <w:p w14:paraId="3571E1A6">
            <w:pPr>
              <w:widowControl/>
              <w:spacing w:line="300" w:lineRule="auto"/>
              <w:jc w:val="left"/>
              <w:rPr>
                <w:color w:val="auto"/>
                <w:highlight w:val="none"/>
              </w:rPr>
            </w:pPr>
          </w:p>
        </w:tc>
        <w:tc>
          <w:tcPr>
            <w:tcW w:w="1886" w:type="dxa"/>
            <w:tcMar>
              <w:top w:w="0" w:type="dxa"/>
              <w:left w:w="105" w:type="dxa"/>
              <w:bottom w:w="0" w:type="dxa"/>
              <w:right w:w="105" w:type="dxa"/>
            </w:tcMar>
            <w:vAlign w:val="top"/>
          </w:tcPr>
          <w:p w14:paraId="6D47A925">
            <w:pPr>
              <w:widowControl/>
              <w:spacing w:line="300" w:lineRule="auto"/>
              <w:jc w:val="left"/>
              <w:rPr>
                <w:color w:val="auto"/>
                <w:highlight w:val="none"/>
              </w:rPr>
            </w:pPr>
          </w:p>
        </w:tc>
      </w:tr>
      <w:tr w14:paraId="1AE6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8" w:type="dxa"/>
            <w:vMerge w:val="continue"/>
            <w:tcMar>
              <w:top w:w="0" w:type="dxa"/>
              <w:left w:w="105" w:type="dxa"/>
              <w:bottom w:w="0" w:type="dxa"/>
              <w:right w:w="105" w:type="dxa"/>
            </w:tcMar>
            <w:vAlign w:val="center"/>
          </w:tcPr>
          <w:p w14:paraId="2E749F1D">
            <w:pPr>
              <w:spacing w:line="300" w:lineRule="auto"/>
              <w:rPr>
                <w:rFonts w:ascii="宋体"/>
                <w:color w:val="auto"/>
                <w:sz w:val="24"/>
                <w:highlight w:val="none"/>
              </w:rPr>
            </w:pPr>
          </w:p>
        </w:tc>
        <w:tc>
          <w:tcPr>
            <w:tcW w:w="854" w:type="dxa"/>
            <w:tcMar>
              <w:top w:w="0" w:type="dxa"/>
              <w:left w:w="105" w:type="dxa"/>
              <w:bottom w:w="0" w:type="dxa"/>
              <w:right w:w="105" w:type="dxa"/>
            </w:tcMar>
            <w:vAlign w:val="center"/>
          </w:tcPr>
          <w:p w14:paraId="27C18695">
            <w:pPr>
              <w:pStyle w:val="13"/>
              <w:widowControl/>
              <w:spacing w:beforeAutospacing="0" w:after="150" w:afterAutospacing="0" w:line="300" w:lineRule="auto"/>
              <w:jc w:val="center"/>
              <w:rPr>
                <w:color w:val="auto"/>
                <w:highlight w:val="none"/>
              </w:rPr>
            </w:pPr>
            <w:r>
              <w:rPr>
                <w:rFonts w:cs="Calibri"/>
                <w:color w:val="auto"/>
                <w:sz w:val="21"/>
                <w:szCs w:val="21"/>
                <w:highlight w:val="none"/>
              </w:rPr>
              <w:t>…</w:t>
            </w:r>
          </w:p>
        </w:tc>
        <w:tc>
          <w:tcPr>
            <w:tcW w:w="1692" w:type="dxa"/>
            <w:tcMar>
              <w:top w:w="0" w:type="dxa"/>
              <w:left w:w="105" w:type="dxa"/>
              <w:bottom w:w="0" w:type="dxa"/>
              <w:right w:w="105" w:type="dxa"/>
            </w:tcMar>
            <w:vAlign w:val="top"/>
          </w:tcPr>
          <w:p w14:paraId="28C94DF0">
            <w:pPr>
              <w:widowControl/>
              <w:spacing w:line="300" w:lineRule="auto"/>
              <w:jc w:val="left"/>
              <w:rPr>
                <w:color w:val="auto"/>
                <w:highlight w:val="none"/>
              </w:rPr>
            </w:pPr>
          </w:p>
        </w:tc>
        <w:tc>
          <w:tcPr>
            <w:tcW w:w="854" w:type="dxa"/>
            <w:tcMar>
              <w:top w:w="0" w:type="dxa"/>
              <w:left w:w="105" w:type="dxa"/>
              <w:bottom w:w="0" w:type="dxa"/>
              <w:right w:w="105" w:type="dxa"/>
            </w:tcMar>
            <w:vAlign w:val="top"/>
          </w:tcPr>
          <w:p w14:paraId="182D974E">
            <w:pPr>
              <w:widowControl/>
              <w:spacing w:line="300" w:lineRule="auto"/>
              <w:jc w:val="left"/>
              <w:rPr>
                <w:color w:val="auto"/>
                <w:highlight w:val="none"/>
              </w:rPr>
            </w:pPr>
          </w:p>
        </w:tc>
        <w:tc>
          <w:tcPr>
            <w:tcW w:w="1138" w:type="dxa"/>
            <w:tcMar>
              <w:top w:w="0" w:type="dxa"/>
              <w:left w:w="105" w:type="dxa"/>
              <w:bottom w:w="0" w:type="dxa"/>
              <w:right w:w="105" w:type="dxa"/>
            </w:tcMar>
            <w:vAlign w:val="top"/>
          </w:tcPr>
          <w:p w14:paraId="68CE4C1D">
            <w:pPr>
              <w:widowControl/>
              <w:spacing w:line="300" w:lineRule="auto"/>
              <w:jc w:val="left"/>
              <w:rPr>
                <w:color w:val="auto"/>
                <w:highlight w:val="none"/>
              </w:rPr>
            </w:pPr>
          </w:p>
        </w:tc>
        <w:tc>
          <w:tcPr>
            <w:tcW w:w="1138" w:type="dxa"/>
            <w:tcMar>
              <w:top w:w="0" w:type="dxa"/>
              <w:left w:w="105" w:type="dxa"/>
              <w:bottom w:w="0" w:type="dxa"/>
              <w:right w:w="105" w:type="dxa"/>
            </w:tcMar>
            <w:vAlign w:val="top"/>
          </w:tcPr>
          <w:p w14:paraId="43C0C9EF">
            <w:pPr>
              <w:widowControl/>
              <w:spacing w:line="300" w:lineRule="auto"/>
              <w:jc w:val="left"/>
              <w:rPr>
                <w:color w:val="auto"/>
                <w:highlight w:val="none"/>
              </w:rPr>
            </w:pPr>
          </w:p>
        </w:tc>
        <w:tc>
          <w:tcPr>
            <w:tcW w:w="1886" w:type="dxa"/>
            <w:tcMar>
              <w:top w:w="0" w:type="dxa"/>
              <w:left w:w="105" w:type="dxa"/>
              <w:bottom w:w="0" w:type="dxa"/>
              <w:right w:w="105" w:type="dxa"/>
            </w:tcMar>
            <w:vAlign w:val="top"/>
          </w:tcPr>
          <w:p w14:paraId="481C5312">
            <w:pPr>
              <w:widowControl/>
              <w:spacing w:line="300" w:lineRule="auto"/>
              <w:jc w:val="left"/>
              <w:rPr>
                <w:color w:val="auto"/>
                <w:highlight w:val="none"/>
              </w:rPr>
            </w:pPr>
          </w:p>
        </w:tc>
      </w:tr>
      <w:tr w14:paraId="4E34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58" w:type="dxa"/>
            <w:tcMar>
              <w:top w:w="0" w:type="dxa"/>
              <w:left w:w="105" w:type="dxa"/>
              <w:bottom w:w="0" w:type="dxa"/>
              <w:right w:w="105" w:type="dxa"/>
            </w:tcMar>
            <w:vAlign w:val="center"/>
          </w:tcPr>
          <w:p w14:paraId="7246BAB8">
            <w:pPr>
              <w:pStyle w:val="13"/>
              <w:widowControl/>
              <w:spacing w:beforeAutospacing="0" w:after="150" w:afterAutospacing="0" w:line="300" w:lineRule="auto"/>
              <w:jc w:val="center"/>
              <w:rPr>
                <w:color w:val="auto"/>
                <w:highlight w:val="none"/>
              </w:rPr>
            </w:pPr>
            <w:r>
              <w:rPr>
                <w:rFonts w:cs="Calibri"/>
                <w:color w:val="auto"/>
                <w:sz w:val="21"/>
                <w:szCs w:val="21"/>
                <w:highlight w:val="none"/>
              </w:rPr>
              <w:t>…</w:t>
            </w:r>
          </w:p>
        </w:tc>
        <w:tc>
          <w:tcPr>
            <w:tcW w:w="854" w:type="dxa"/>
            <w:tcMar>
              <w:top w:w="0" w:type="dxa"/>
              <w:left w:w="105" w:type="dxa"/>
              <w:bottom w:w="0" w:type="dxa"/>
              <w:right w:w="105" w:type="dxa"/>
            </w:tcMar>
            <w:vAlign w:val="center"/>
          </w:tcPr>
          <w:p w14:paraId="3D9EC573">
            <w:pPr>
              <w:widowControl/>
              <w:spacing w:line="300" w:lineRule="auto"/>
              <w:jc w:val="left"/>
              <w:rPr>
                <w:color w:val="auto"/>
                <w:highlight w:val="none"/>
              </w:rPr>
            </w:pPr>
          </w:p>
        </w:tc>
        <w:tc>
          <w:tcPr>
            <w:tcW w:w="1692" w:type="dxa"/>
            <w:tcMar>
              <w:top w:w="0" w:type="dxa"/>
              <w:left w:w="105" w:type="dxa"/>
              <w:bottom w:w="0" w:type="dxa"/>
              <w:right w:w="105" w:type="dxa"/>
            </w:tcMar>
            <w:vAlign w:val="top"/>
          </w:tcPr>
          <w:p w14:paraId="5DDE40A7">
            <w:pPr>
              <w:widowControl/>
              <w:spacing w:line="300" w:lineRule="auto"/>
              <w:jc w:val="left"/>
              <w:rPr>
                <w:color w:val="auto"/>
                <w:highlight w:val="none"/>
              </w:rPr>
            </w:pPr>
          </w:p>
        </w:tc>
        <w:tc>
          <w:tcPr>
            <w:tcW w:w="854" w:type="dxa"/>
            <w:tcMar>
              <w:top w:w="0" w:type="dxa"/>
              <w:left w:w="105" w:type="dxa"/>
              <w:bottom w:w="0" w:type="dxa"/>
              <w:right w:w="105" w:type="dxa"/>
            </w:tcMar>
            <w:vAlign w:val="top"/>
          </w:tcPr>
          <w:p w14:paraId="6606D66C">
            <w:pPr>
              <w:widowControl/>
              <w:spacing w:line="300" w:lineRule="auto"/>
              <w:jc w:val="left"/>
              <w:rPr>
                <w:color w:val="auto"/>
                <w:highlight w:val="none"/>
              </w:rPr>
            </w:pPr>
          </w:p>
        </w:tc>
        <w:tc>
          <w:tcPr>
            <w:tcW w:w="1138" w:type="dxa"/>
            <w:tcMar>
              <w:top w:w="0" w:type="dxa"/>
              <w:left w:w="105" w:type="dxa"/>
              <w:bottom w:w="0" w:type="dxa"/>
              <w:right w:w="105" w:type="dxa"/>
            </w:tcMar>
            <w:vAlign w:val="top"/>
          </w:tcPr>
          <w:p w14:paraId="2A2CAAE4">
            <w:pPr>
              <w:widowControl/>
              <w:spacing w:line="300" w:lineRule="auto"/>
              <w:jc w:val="left"/>
              <w:rPr>
                <w:color w:val="auto"/>
                <w:highlight w:val="none"/>
              </w:rPr>
            </w:pPr>
          </w:p>
        </w:tc>
        <w:tc>
          <w:tcPr>
            <w:tcW w:w="1138" w:type="dxa"/>
            <w:tcMar>
              <w:top w:w="0" w:type="dxa"/>
              <w:left w:w="105" w:type="dxa"/>
              <w:bottom w:w="0" w:type="dxa"/>
              <w:right w:w="105" w:type="dxa"/>
            </w:tcMar>
            <w:vAlign w:val="top"/>
          </w:tcPr>
          <w:p w14:paraId="432A5351">
            <w:pPr>
              <w:widowControl/>
              <w:spacing w:line="300" w:lineRule="auto"/>
              <w:jc w:val="left"/>
              <w:rPr>
                <w:color w:val="auto"/>
                <w:highlight w:val="none"/>
              </w:rPr>
            </w:pPr>
          </w:p>
        </w:tc>
        <w:tc>
          <w:tcPr>
            <w:tcW w:w="1886" w:type="dxa"/>
            <w:tcMar>
              <w:top w:w="0" w:type="dxa"/>
              <w:left w:w="105" w:type="dxa"/>
              <w:bottom w:w="0" w:type="dxa"/>
              <w:right w:w="105" w:type="dxa"/>
            </w:tcMar>
            <w:vAlign w:val="top"/>
          </w:tcPr>
          <w:p w14:paraId="44A57218">
            <w:pPr>
              <w:widowControl/>
              <w:spacing w:line="300" w:lineRule="auto"/>
              <w:jc w:val="left"/>
              <w:rPr>
                <w:color w:val="auto"/>
                <w:highlight w:val="none"/>
              </w:rPr>
            </w:pPr>
          </w:p>
        </w:tc>
      </w:tr>
    </w:tbl>
    <w:p w14:paraId="59241DC8">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★注意：</w:t>
      </w:r>
    </w:p>
    <w:p w14:paraId="0031B077">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1、本表应按照下列规定填写：</w:t>
      </w:r>
    </w:p>
    <w:p w14:paraId="6DCEE262">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1.1“合同包”、“品目号”、“投标标的”及“数量”应与招标文件《采购标的一览表》中的有关内容（“合同包”、“品目号”、“采购标的”及“数量”）保持一致。</w:t>
      </w:r>
    </w:p>
    <w:p w14:paraId="35A5FA0B">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1.2“投标标的”为货物的：</w:t>
      </w:r>
      <w:r>
        <w:rPr>
          <w:rStyle w:val="18"/>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项下应填写货物制造厂商赋予的品牌（属于节能、环保清单产品的货物，填写的品牌名称应与清单载明的品牌名称保持一致）及具体型号。</w:t>
      </w:r>
      <w:r>
        <w:rPr>
          <w:rStyle w:val="18"/>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应填写货物的原产地。</w:t>
      </w:r>
      <w:r>
        <w:rPr>
          <w:rStyle w:val="18"/>
          <w:rFonts w:hint="eastAsia" w:ascii="宋体" w:hAnsi="宋体" w:cs="宋体"/>
          <w:color w:val="auto"/>
          <w:sz w:val="21"/>
          <w:szCs w:val="21"/>
          <w:highlight w:val="none"/>
        </w:rPr>
        <w:t>“备注”</w:t>
      </w:r>
      <w:r>
        <w:rPr>
          <w:rFonts w:hint="eastAsia" w:ascii="宋体" w:hAnsi="宋体" w:cs="宋体"/>
          <w:color w:val="auto"/>
          <w:sz w:val="21"/>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47090EF">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1.3“投标标的”为服务的：</w:t>
      </w:r>
      <w:r>
        <w:rPr>
          <w:rStyle w:val="18"/>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项下应填写服务提供者提供的服务标准及品牌（若有）。</w:t>
      </w:r>
      <w:r>
        <w:rPr>
          <w:rStyle w:val="18"/>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应填写服务提供者的所在地。</w:t>
      </w:r>
      <w:r>
        <w:rPr>
          <w:rStyle w:val="18"/>
          <w:rFonts w:hint="eastAsia" w:ascii="宋体" w:hAnsi="宋体" w:cs="宋体"/>
          <w:color w:val="auto"/>
          <w:sz w:val="21"/>
          <w:szCs w:val="21"/>
          <w:highlight w:val="none"/>
        </w:rPr>
        <w:t>“备注”</w:t>
      </w:r>
      <w:r>
        <w:rPr>
          <w:rFonts w:hint="eastAsia" w:ascii="宋体" w:hAnsi="宋体" w:cs="宋体"/>
          <w:color w:val="auto"/>
          <w:sz w:val="21"/>
          <w:szCs w:val="21"/>
          <w:highlight w:val="none"/>
        </w:rPr>
        <w:t>项下应填写关于服务标准所涵盖的具体项目或内容的说明等。</w:t>
      </w:r>
    </w:p>
    <w:p w14:paraId="149BBF48">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2、投标人需要说明的内容若需特殊表达，应先在本表中进行相应说明，再另页应答，否则</w:t>
      </w:r>
      <w:r>
        <w:rPr>
          <w:rStyle w:val="18"/>
          <w:rFonts w:hint="eastAsia" w:ascii="宋体" w:hAnsi="宋体" w:cs="宋体"/>
          <w:color w:val="auto"/>
          <w:sz w:val="21"/>
          <w:szCs w:val="21"/>
          <w:highlight w:val="none"/>
        </w:rPr>
        <w:t>投标无效</w:t>
      </w:r>
      <w:r>
        <w:rPr>
          <w:rFonts w:hint="eastAsia" w:ascii="宋体" w:hAnsi="宋体" w:cs="宋体"/>
          <w:color w:val="auto"/>
          <w:sz w:val="21"/>
          <w:szCs w:val="21"/>
          <w:highlight w:val="none"/>
        </w:rPr>
        <w:t>。</w:t>
      </w:r>
    </w:p>
    <w:p w14:paraId="6582DA57">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3、投标文件中涉及</w:t>
      </w:r>
      <w:r>
        <w:rPr>
          <w:rStyle w:val="18"/>
          <w:rFonts w:hint="eastAsia" w:ascii="宋体" w:hAnsi="宋体" w:cs="宋体"/>
          <w:color w:val="auto"/>
          <w:sz w:val="21"/>
          <w:szCs w:val="21"/>
          <w:highlight w:val="none"/>
        </w:rPr>
        <w:t>“投标标的”、“数量”、“规格”、“来源地”</w:t>
      </w:r>
      <w:r>
        <w:rPr>
          <w:rFonts w:hint="eastAsia" w:ascii="宋体" w:hAnsi="宋体" w:cs="宋体"/>
          <w:color w:val="auto"/>
          <w:sz w:val="21"/>
          <w:szCs w:val="21"/>
          <w:highlight w:val="none"/>
        </w:rPr>
        <w:t>的内容若不一致，</w:t>
      </w:r>
      <w:r>
        <w:rPr>
          <w:rStyle w:val="18"/>
          <w:rFonts w:hint="eastAsia" w:ascii="宋体" w:hAnsi="宋体" w:cs="宋体"/>
          <w:color w:val="auto"/>
          <w:sz w:val="21"/>
          <w:szCs w:val="21"/>
          <w:highlight w:val="none"/>
        </w:rPr>
        <w:t>应以本表为准</w:t>
      </w:r>
      <w:r>
        <w:rPr>
          <w:rFonts w:hint="eastAsia" w:ascii="宋体" w:hAnsi="宋体" w:cs="宋体"/>
          <w:color w:val="auto"/>
          <w:sz w:val="21"/>
          <w:szCs w:val="21"/>
          <w:highlight w:val="none"/>
        </w:rPr>
        <w:t>。</w:t>
      </w:r>
    </w:p>
    <w:p w14:paraId="6EE18839">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4、纸质投标文件正本中的本表应为原件。</w:t>
      </w:r>
    </w:p>
    <w:p w14:paraId="31E0C984">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6B847877">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14:paraId="32AE80A3">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14:paraId="6FC2269E">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14:paraId="673E062F">
      <w:pPr>
        <w:pStyle w:val="13"/>
        <w:widowControl/>
        <w:spacing w:beforeAutospacing="0" w:after="150" w:afterAutospacing="0" w:line="300" w:lineRule="auto"/>
        <w:jc w:val="center"/>
        <w:rPr>
          <w:rFonts w:cs="Calibri"/>
          <w:color w:val="auto"/>
          <w:sz w:val="21"/>
          <w:szCs w:val="21"/>
          <w:highlight w:val="none"/>
        </w:rPr>
      </w:pPr>
      <w:r>
        <w:rPr>
          <w:rFonts w:cs="Calibri"/>
          <w:color w:val="auto"/>
          <w:sz w:val="21"/>
          <w:szCs w:val="21"/>
          <w:highlight w:val="none"/>
        </w:rPr>
        <w:br w:type="page"/>
      </w:r>
    </w:p>
    <w:p w14:paraId="6747ACE0">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21"/>
          <w:szCs w:val="21"/>
          <w:highlight w:val="none"/>
        </w:rPr>
        <w:t>二、投标函</w:t>
      </w:r>
    </w:p>
    <w:p w14:paraId="11CC9DB2">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w:t>
      </w:r>
    </w:p>
    <w:p w14:paraId="25F385DA">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兹收到贵单位关于</w:t>
      </w:r>
      <w:r>
        <w:rPr>
          <w:rFonts w:hint="eastAsia" w:ascii="宋体" w:hAnsi="宋体" w:cs="宋体"/>
          <w:color w:val="auto"/>
          <w:sz w:val="21"/>
          <w:szCs w:val="21"/>
          <w:highlight w:val="none"/>
          <w:u w:val="single"/>
        </w:rPr>
        <w:t>（填写“项目名称”）</w:t>
      </w:r>
      <w:r>
        <w:rPr>
          <w:rFonts w:hint="eastAsia" w:ascii="宋体" w:hAnsi="宋体" w:cs="宋体"/>
          <w:color w:val="auto"/>
          <w:sz w:val="21"/>
          <w:szCs w:val="21"/>
          <w:highlight w:val="none"/>
        </w:rPr>
        <w:t>项目（招标编号：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）的投标邀请，本投标人代表</w:t>
      </w:r>
      <w:r>
        <w:rPr>
          <w:rFonts w:hint="eastAsia" w:ascii="宋体" w:hAnsi="宋体" w:cs="宋体"/>
          <w:color w:val="auto"/>
          <w:sz w:val="21"/>
          <w:szCs w:val="21"/>
          <w:highlight w:val="none"/>
          <w:u w:val="single"/>
        </w:rPr>
        <w:t>（填写“全名”）</w:t>
      </w:r>
      <w:r>
        <w:rPr>
          <w:rFonts w:hint="eastAsia" w:ascii="宋体" w:hAnsi="宋体" w:cs="宋体"/>
          <w:color w:val="auto"/>
          <w:sz w:val="21"/>
          <w:szCs w:val="21"/>
          <w:highlight w:val="none"/>
        </w:rPr>
        <w:t>已获得我方正式授权并代表投标人</w:t>
      </w:r>
      <w:r>
        <w:rPr>
          <w:rFonts w:hint="eastAsia" w:ascii="宋体" w:hAnsi="宋体" w:cs="宋体"/>
          <w:color w:val="auto"/>
          <w:sz w:val="21"/>
          <w:szCs w:val="21"/>
          <w:highlight w:val="none"/>
          <w:u w:val="single"/>
        </w:rPr>
        <w:t>（填写“全称”）</w:t>
      </w:r>
      <w:r>
        <w:rPr>
          <w:rFonts w:hint="eastAsia" w:ascii="宋体" w:hAnsi="宋体" w:cs="宋体"/>
          <w:color w:val="auto"/>
          <w:sz w:val="21"/>
          <w:szCs w:val="21"/>
          <w:highlight w:val="none"/>
        </w:rPr>
        <w:t>参加投标，并提交招标文件规定份数的投标文件正本和副本。我方提交的全部投标文件均由下述部分组成：</w:t>
      </w:r>
    </w:p>
    <w:p w14:paraId="02635847">
      <w:pPr>
        <w:pStyle w:val="13"/>
        <w:widowControl/>
        <w:spacing w:beforeAutospacing="0" w:after="150" w:afterAutospacing="0" w:line="30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（1）报价部分</w:t>
      </w:r>
    </w:p>
    <w:p w14:paraId="68B35863">
      <w:pPr>
        <w:pStyle w:val="13"/>
        <w:widowControl/>
        <w:spacing w:beforeAutospacing="0" w:after="150" w:afterAutospacing="0" w:line="30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①开标一览表</w:t>
      </w:r>
    </w:p>
    <w:p w14:paraId="31AA96B1">
      <w:pPr>
        <w:pStyle w:val="13"/>
        <w:widowControl/>
        <w:spacing w:beforeAutospacing="0" w:after="150" w:afterAutospacing="0" w:line="30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②投标分项报价表</w:t>
      </w:r>
    </w:p>
    <w:p w14:paraId="33F9D6D8">
      <w:pPr>
        <w:pStyle w:val="13"/>
        <w:widowControl/>
        <w:spacing w:beforeAutospacing="0" w:after="150" w:afterAutospacing="0" w:line="30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③招标文件规定的价格扣除证明材料（若有）</w:t>
      </w:r>
    </w:p>
    <w:p w14:paraId="1FDBF7DC">
      <w:pPr>
        <w:pStyle w:val="13"/>
        <w:widowControl/>
        <w:spacing w:beforeAutospacing="0" w:after="150" w:afterAutospacing="0" w:line="30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④招标文件规定的加分证明材料（若有）</w:t>
      </w:r>
    </w:p>
    <w:p w14:paraId="26A1904A">
      <w:pPr>
        <w:pStyle w:val="13"/>
        <w:widowControl/>
        <w:spacing w:beforeAutospacing="0" w:after="150" w:afterAutospacing="0" w:line="30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（2）资格证明、技术商务部分</w:t>
      </w:r>
    </w:p>
    <w:p w14:paraId="6B91358D">
      <w:pPr>
        <w:pStyle w:val="13"/>
        <w:widowControl/>
        <w:spacing w:beforeAutospacing="0" w:after="150" w:afterAutospacing="0" w:line="30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①标的说明一览表</w:t>
      </w:r>
    </w:p>
    <w:p w14:paraId="602C05AF">
      <w:pPr>
        <w:pStyle w:val="13"/>
        <w:widowControl/>
        <w:spacing w:beforeAutospacing="0" w:after="150" w:afterAutospacing="0" w:line="30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②投标函</w:t>
      </w:r>
    </w:p>
    <w:p w14:paraId="17F0FFF4">
      <w:pPr>
        <w:pStyle w:val="13"/>
        <w:widowControl/>
        <w:spacing w:beforeAutospacing="0" w:after="150" w:afterAutospacing="0" w:line="30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③投标人的资格及资信证明文件</w:t>
      </w:r>
    </w:p>
    <w:p w14:paraId="22948D9C">
      <w:pPr>
        <w:pStyle w:val="13"/>
        <w:widowControl/>
        <w:spacing w:beforeAutospacing="0" w:after="150" w:afterAutospacing="0" w:line="30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④技术和服务要求响应表</w:t>
      </w:r>
    </w:p>
    <w:p w14:paraId="4D9D7453">
      <w:pPr>
        <w:pStyle w:val="13"/>
        <w:widowControl/>
        <w:spacing w:beforeAutospacing="0" w:after="150" w:afterAutospacing="0" w:line="30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⑤商务条件响应表</w:t>
      </w:r>
    </w:p>
    <w:p w14:paraId="131A4369">
      <w:pPr>
        <w:pStyle w:val="13"/>
        <w:widowControl/>
        <w:spacing w:beforeAutospacing="0" w:after="150" w:afterAutospacing="0" w:line="300" w:lineRule="auto"/>
        <w:ind w:firstLine="420"/>
        <w:rPr>
          <w:color w:val="auto"/>
          <w:highlight w:val="none"/>
        </w:rPr>
      </w:pPr>
      <w:r>
        <w:rPr>
          <w:rFonts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6 \* GB3</w:instrText>
      </w:r>
      <w:r>
        <w:rPr>
          <w:rFonts w:ascii="宋体" w:hAnsi="宋体" w:cs="宋体"/>
          <w:color w:val="auto"/>
          <w:sz w:val="21"/>
          <w:szCs w:val="21"/>
          <w:highlight w:val="none"/>
        </w:rPr>
        <w:fldChar w:fldCharType="separate"/>
      </w:r>
      <w:r>
        <w:rPr>
          <w:rFonts w:hint="eastAsia" w:ascii="宋体" w:hAnsi="宋体" w:cs="宋体"/>
          <w:color w:val="auto"/>
          <w:sz w:val="21"/>
          <w:szCs w:val="21"/>
          <w:highlight w:val="none"/>
        </w:rPr>
        <w:t>⑥</w:t>
      </w:r>
      <w:r>
        <w:rPr>
          <w:rFonts w:ascii="宋体" w:hAnsi="宋体" w:cs="宋体"/>
          <w:color w:val="auto"/>
          <w:sz w:val="21"/>
          <w:szCs w:val="21"/>
          <w:highlight w:val="none"/>
        </w:rPr>
        <w:fldChar w:fldCharType="end"/>
      </w:r>
      <w:r>
        <w:rPr>
          <w:rFonts w:hint="eastAsia" w:ascii="宋体" w:hAnsi="宋体" w:cs="宋体"/>
          <w:color w:val="auto"/>
          <w:sz w:val="21"/>
          <w:szCs w:val="21"/>
          <w:highlight w:val="none"/>
        </w:rPr>
        <w:t>投标人提交的其他资料（若有）</w:t>
      </w:r>
    </w:p>
    <w:p w14:paraId="5C51A666">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根据本函，本投标人代表宣布我方保证遵守招标文件的全部规定，同时：</w:t>
      </w:r>
    </w:p>
    <w:p w14:paraId="7CD1D422">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1、</w:t>
      </w:r>
      <w:r>
        <w:rPr>
          <w:rStyle w:val="18"/>
          <w:rFonts w:hint="eastAsia" w:ascii="宋体" w:hAnsi="宋体" w:cs="宋体"/>
          <w:color w:val="auto"/>
          <w:sz w:val="21"/>
          <w:szCs w:val="21"/>
          <w:highlight w:val="none"/>
        </w:rPr>
        <w:t>确认：</w:t>
      </w:r>
    </w:p>
    <w:p w14:paraId="59002E4A">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1.1所投合同包的投标报价详见“开标一览表”及“投标分项报价表”。</w:t>
      </w:r>
    </w:p>
    <w:p w14:paraId="7B20DABF">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1.2我方已详细审查全部招标文件</w:t>
      </w:r>
      <w:r>
        <w:rPr>
          <w:rFonts w:cs="Calibri"/>
          <w:color w:val="auto"/>
          <w:sz w:val="21"/>
          <w:szCs w:val="21"/>
          <w:highlight w:val="none"/>
        </w:rPr>
        <w:t>[</w:t>
      </w:r>
      <w:r>
        <w:rPr>
          <w:rFonts w:hint="eastAsia" w:ascii="宋体" w:hAnsi="宋体" w:cs="宋体"/>
          <w:color w:val="auto"/>
          <w:sz w:val="21"/>
          <w:szCs w:val="21"/>
          <w:highlight w:val="none"/>
        </w:rPr>
        <w:t>包括但不限于：有关附件（若有）、澄清或修改（若有）等</w:t>
      </w:r>
      <w:r>
        <w:rPr>
          <w:rFonts w:cs="Calibri"/>
          <w:color w:val="auto"/>
          <w:sz w:val="21"/>
          <w:szCs w:val="21"/>
          <w:highlight w:val="none"/>
        </w:rPr>
        <w:t>]</w:t>
      </w:r>
      <w:r>
        <w:rPr>
          <w:rFonts w:hint="eastAsia" w:ascii="宋体" w:hAnsi="宋体" w:cs="宋体"/>
          <w:color w:val="auto"/>
          <w:sz w:val="21"/>
          <w:szCs w:val="21"/>
          <w:highlight w:val="none"/>
        </w:rPr>
        <w:t>，并自行承担因对全部招标文件理解不正确或误解而产生的相应后果和责任。</w:t>
      </w:r>
    </w:p>
    <w:p w14:paraId="6703140F">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2、</w:t>
      </w:r>
      <w:r>
        <w:rPr>
          <w:rStyle w:val="18"/>
          <w:rFonts w:hint="eastAsia" w:ascii="宋体" w:hAnsi="宋体" w:cs="宋体"/>
          <w:color w:val="auto"/>
          <w:sz w:val="21"/>
          <w:szCs w:val="21"/>
          <w:highlight w:val="none"/>
        </w:rPr>
        <w:t>承诺及声明：</w:t>
      </w:r>
    </w:p>
    <w:p w14:paraId="0B6E9F08">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2.1我方具备招标文件第一章载明的“投标人的资格要求”且符合招标文件第三章载明的“二、投标人”之规定，否则</w:t>
      </w:r>
      <w:r>
        <w:rPr>
          <w:rStyle w:val="18"/>
          <w:rFonts w:hint="eastAsia" w:ascii="宋体" w:hAnsi="宋体" w:cs="宋体"/>
          <w:color w:val="auto"/>
          <w:sz w:val="21"/>
          <w:szCs w:val="21"/>
          <w:highlight w:val="none"/>
        </w:rPr>
        <w:t>投标无效。</w:t>
      </w:r>
    </w:p>
    <w:p w14:paraId="7B202B63">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2.2我方提交的投标文件各组成部分的全部内容及资料是不可割离且真实、有效、准确、完整和不具有任何误导性的，否则产生不利后果由我方承担责任。</w:t>
      </w:r>
    </w:p>
    <w:p w14:paraId="03E94012">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2.3我方提供的标的价格不高于同期市场价格，否则产生不利后果由我方承担责任。</w:t>
      </w:r>
    </w:p>
    <w:p w14:paraId="7AD0AB98">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2.4投标有效期：按照招标文件第三章规定执行，并在招标文件第二章载明的期限内保持有效。</w:t>
      </w:r>
    </w:p>
    <w:p w14:paraId="7E352673">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2.5若中标，将按照招标文件、我方投标文件及政府采购合同履行责任和义务。</w:t>
      </w:r>
    </w:p>
    <w:p w14:paraId="61F29B61">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2.6若贵单位要求，我方同意提供与本项目投标有关的一切资料、数据或文件，并完全理解贵单位不一定要接受最低的投标报价或收到的任何投标。</w:t>
      </w:r>
    </w:p>
    <w:p w14:paraId="695F230D">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2.7除招标文件另有规定外，对于贵单位按照下述联络方式发出的任何信息或通知，均视为我方已收悉前述信息或通知的全部内容：</w:t>
      </w:r>
    </w:p>
    <w:p w14:paraId="2D89F48D">
      <w:pPr>
        <w:pStyle w:val="13"/>
        <w:widowControl/>
        <w:spacing w:beforeAutospacing="0" w:after="150" w:afterAutospacing="0" w:line="300" w:lineRule="auto"/>
        <w:ind w:firstLine="420"/>
        <w:rPr>
          <w:rFonts w:ascii="宋体" w:hAnsi="宋体" w:cs="宋体"/>
          <w:color w:val="auto"/>
          <w:sz w:val="21"/>
          <w:szCs w:val="21"/>
          <w:highlight w:val="none"/>
          <w:u w:val="single"/>
        </w:rPr>
      </w:pPr>
      <w:r>
        <w:rPr>
          <w:rFonts w:hint="eastAsia" w:ascii="宋体" w:hAnsi="宋体" w:cs="宋体"/>
          <w:color w:val="auto"/>
          <w:sz w:val="21"/>
          <w:szCs w:val="21"/>
          <w:highlight w:val="none"/>
        </w:rPr>
        <w:t>通信地址：</w:t>
      </w:r>
      <w:r>
        <w:rPr>
          <w:rFonts w:hint="eastAsia" w:ascii="宋体" w:hAnsi="宋体" w:cs="宋体"/>
          <w:color w:val="auto"/>
          <w:sz w:val="21"/>
          <w:szCs w:val="21"/>
          <w:highlight w:val="none"/>
          <w:u w:val="single"/>
        </w:rPr>
        <w:t>                                </w:t>
      </w:r>
    </w:p>
    <w:p w14:paraId="11AA6349">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single"/>
        </w:rPr>
        <w:t>                 </w:t>
      </w:r>
    </w:p>
    <w:p w14:paraId="65FCA852">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联系方法：</w:t>
      </w:r>
      <w:r>
        <w:rPr>
          <w:rFonts w:hint="eastAsia" w:ascii="宋体" w:hAnsi="宋体" w:cs="宋体"/>
          <w:color w:val="auto"/>
          <w:sz w:val="21"/>
          <w:szCs w:val="21"/>
          <w:highlight w:val="none"/>
          <w:u w:val="single"/>
        </w:rPr>
        <w:t>（包括但不限于：联系人、联系电话、手机、传真、电子邮箱等）</w:t>
      </w:r>
    </w:p>
    <w:p w14:paraId="6208EED8">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 </w:t>
      </w:r>
    </w:p>
    <w:p w14:paraId="3B68BB2F">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14:paraId="6E358BAA">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14:paraId="44FB303E">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14:paraId="3FDA3A5E">
      <w:pPr>
        <w:pStyle w:val="13"/>
        <w:widowControl/>
        <w:spacing w:beforeAutospacing="0" w:after="150" w:afterAutospacing="0" w:line="300" w:lineRule="auto"/>
        <w:jc w:val="center"/>
        <w:rPr>
          <w:rFonts w:cs="Calibri"/>
          <w:color w:val="auto"/>
          <w:sz w:val="21"/>
          <w:szCs w:val="21"/>
          <w:highlight w:val="none"/>
        </w:rPr>
      </w:pPr>
    </w:p>
    <w:p w14:paraId="5B42AD47">
      <w:pPr>
        <w:pStyle w:val="13"/>
        <w:widowControl/>
        <w:spacing w:beforeAutospacing="0" w:after="150" w:afterAutospacing="0" w:line="300" w:lineRule="auto"/>
        <w:jc w:val="center"/>
        <w:rPr>
          <w:rFonts w:cs="Calibri"/>
          <w:color w:val="auto"/>
          <w:sz w:val="21"/>
          <w:szCs w:val="21"/>
          <w:highlight w:val="none"/>
        </w:rPr>
      </w:pPr>
    </w:p>
    <w:p w14:paraId="2AF0AB5B">
      <w:pPr>
        <w:pStyle w:val="13"/>
        <w:widowControl/>
        <w:spacing w:beforeAutospacing="0" w:after="150" w:afterAutospacing="0" w:line="300" w:lineRule="auto"/>
        <w:jc w:val="center"/>
        <w:rPr>
          <w:rFonts w:cs="Calibri"/>
          <w:color w:val="auto"/>
          <w:sz w:val="21"/>
          <w:szCs w:val="21"/>
          <w:highlight w:val="none"/>
        </w:rPr>
      </w:pPr>
    </w:p>
    <w:p w14:paraId="3564A68E">
      <w:pPr>
        <w:pStyle w:val="13"/>
        <w:widowControl/>
        <w:spacing w:beforeAutospacing="0" w:after="150" w:afterAutospacing="0" w:line="300" w:lineRule="auto"/>
        <w:jc w:val="center"/>
        <w:rPr>
          <w:rFonts w:cs="Calibri"/>
          <w:color w:val="auto"/>
          <w:sz w:val="21"/>
          <w:szCs w:val="21"/>
          <w:highlight w:val="none"/>
        </w:rPr>
      </w:pPr>
    </w:p>
    <w:p w14:paraId="618EDFE6">
      <w:pPr>
        <w:pStyle w:val="13"/>
        <w:widowControl/>
        <w:spacing w:beforeAutospacing="0" w:after="150" w:afterAutospacing="0" w:line="300" w:lineRule="auto"/>
        <w:jc w:val="center"/>
        <w:rPr>
          <w:rFonts w:cs="Calibri"/>
          <w:color w:val="auto"/>
          <w:sz w:val="21"/>
          <w:szCs w:val="21"/>
          <w:highlight w:val="none"/>
        </w:rPr>
      </w:pPr>
    </w:p>
    <w:p w14:paraId="4C660B84">
      <w:pPr>
        <w:pStyle w:val="13"/>
        <w:widowControl/>
        <w:spacing w:beforeAutospacing="0" w:after="150" w:afterAutospacing="0" w:line="300" w:lineRule="auto"/>
        <w:jc w:val="center"/>
        <w:rPr>
          <w:rFonts w:cs="Calibri"/>
          <w:color w:val="auto"/>
          <w:sz w:val="21"/>
          <w:szCs w:val="21"/>
          <w:highlight w:val="none"/>
        </w:rPr>
      </w:pPr>
    </w:p>
    <w:p w14:paraId="1BE95A5B">
      <w:pPr>
        <w:pStyle w:val="13"/>
        <w:widowControl/>
        <w:spacing w:beforeAutospacing="0" w:after="150" w:afterAutospacing="0" w:line="300" w:lineRule="auto"/>
        <w:rPr>
          <w:rFonts w:cs="Calibri"/>
          <w:color w:val="auto"/>
          <w:sz w:val="21"/>
          <w:szCs w:val="21"/>
          <w:highlight w:val="none"/>
        </w:rPr>
      </w:pPr>
    </w:p>
    <w:p w14:paraId="26AAB25A">
      <w:pPr>
        <w:widowControl/>
        <w:jc w:val="left"/>
        <w:rPr>
          <w:rStyle w:val="18"/>
          <w:rFonts w:ascii="宋体" w:hAnsi="宋体" w:cs="宋体"/>
          <w:color w:val="auto"/>
          <w:kern w:val="0"/>
          <w:szCs w:val="21"/>
          <w:highlight w:val="none"/>
        </w:rPr>
      </w:pPr>
      <w:r>
        <w:rPr>
          <w:rStyle w:val="18"/>
          <w:rFonts w:ascii="宋体" w:hAnsi="宋体" w:cs="宋体"/>
          <w:color w:val="auto"/>
          <w:szCs w:val="21"/>
          <w:highlight w:val="none"/>
        </w:rPr>
        <w:br w:type="page"/>
      </w:r>
    </w:p>
    <w:p w14:paraId="35C56963">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21"/>
          <w:szCs w:val="21"/>
          <w:highlight w:val="none"/>
        </w:rPr>
        <w:t>三、投标人的资格及资信证明文件</w:t>
      </w:r>
    </w:p>
    <w:p w14:paraId="331642E5">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7C29061A">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21"/>
          <w:szCs w:val="21"/>
          <w:highlight w:val="none"/>
        </w:rPr>
        <w:t>三-1单位负责人授权书</w:t>
      </w:r>
    </w:p>
    <w:p w14:paraId="2428F9E4">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178DD795">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w:t>
      </w:r>
    </w:p>
    <w:p w14:paraId="023986DC">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我方的单位负责人</w:t>
      </w:r>
      <w:r>
        <w:rPr>
          <w:rFonts w:hint="eastAsia" w:ascii="宋体" w:hAnsi="宋体" w:cs="宋体"/>
          <w:color w:val="auto"/>
          <w:sz w:val="21"/>
          <w:szCs w:val="21"/>
          <w:highlight w:val="none"/>
          <w:u w:val="single"/>
        </w:rPr>
        <w:t>（填写“单位负责人全名”）</w:t>
      </w:r>
      <w:r>
        <w:rPr>
          <w:rFonts w:hint="eastAsia" w:ascii="宋体" w:hAnsi="宋体" w:cs="宋体"/>
          <w:color w:val="auto"/>
          <w:sz w:val="21"/>
          <w:szCs w:val="21"/>
          <w:highlight w:val="none"/>
        </w:rPr>
        <w:t>授权</w:t>
      </w:r>
      <w:r>
        <w:rPr>
          <w:rFonts w:hint="eastAsia" w:ascii="宋体" w:hAnsi="宋体" w:cs="宋体"/>
          <w:color w:val="auto"/>
          <w:sz w:val="21"/>
          <w:szCs w:val="21"/>
          <w:highlight w:val="none"/>
          <w:u w:val="single"/>
        </w:rPr>
        <w:t>（填写“投标人代表全名”）</w:t>
      </w:r>
      <w:r>
        <w:rPr>
          <w:rFonts w:hint="eastAsia" w:ascii="宋体" w:hAnsi="宋体" w:cs="宋体"/>
          <w:color w:val="auto"/>
          <w:sz w:val="21"/>
          <w:szCs w:val="21"/>
          <w:highlight w:val="none"/>
        </w:rPr>
        <w:t>为投标人代表，代表我方参加</w:t>
      </w:r>
      <w:r>
        <w:rPr>
          <w:rFonts w:hint="eastAsia" w:ascii="宋体" w:hAnsi="宋体" w:cs="宋体"/>
          <w:color w:val="auto"/>
          <w:sz w:val="21"/>
          <w:szCs w:val="21"/>
          <w:highlight w:val="none"/>
          <w:u w:val="single"/>
        </w:rPr>
        <w:t>（填写“项目名称”）</w:t>
      </w:r>
      <w:r>
        <w:rPr>
          <w:rFonts w:hint="eastAsia" w:ascii="宋体" w:hAnsi="宋体" w:cs="宋体"/>
          <w:color w:val="auto"/>
          <w:sz w:val="21"/>
          <w:szCs w:val="21"/>
          <w:highlight w:val="none"/>
        </w:rPr>
        <w:t>项目（招标编号：</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BC05BF3">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投标人代表无转委权。特此授权。</w:t>
      </w:r>
    </w:p>
    <w:p w14:paraId="2346D500">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（以下无正文）</w:t>
      </w:r>
    </w:p>
    <w:p w14:paraId="4345FE11">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159B9929">
      <w:pPr>
        <w:pStyle w:val="13"/>
        <w:widowControl/>
        <w:spacing w:beforeAutospacing="0" w:after="150" w:afterAutospacing="0" w:line="30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单位负责人：</w:t>
      </w:r>
      <w:r>
        <w:rPr>
          <w:rFonts w:hint="eastAsia" w:ascii="宋体" w:hAnsi="宋体" w:cs="宋体"/>
          <w:color w:val="auto"/>
          <w:sz w:val="21"/>
          <w:szCs w:val="21"/>
          <w:highlight w:val="none"/>
          <w:u w:val="single"/>
        </w:rPr>
        <w:t>             </w:t>
      </w:r>
    </w:p>
    <w:p w14:paraId="268FC543">
      <w:pPr>
        <w:pStyle w:val="13"/>
        <w:widowControl/>
        <w:spacing w:beforeAutospacing="0" w:after="15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身份证号：</w:t>
      </w:r>
      <w:r>
        <w:rPr>
          <w:rFonts w:hint="eastAsia" w:ascii="宋体" w:hAnsi="宋体" w:cs="宋体"/>
          <w:color w:val="auto"/>
          <w:sz w:val="21"/>
          <w:szCs w:val="21"/>
          <w:highlight w:val="none"/>
          <w:u w:val="single"/>
        </w:rPr>
        <w:t>              </w:t>
      </w:r>
    </w:p>
    <w:p w14:paraId="4EE9D156">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手机：</w:t>
      </w:r>
      <w:r>
        <w:rPr>
          <w:rFonts w:hint="eastAsia" w:ascii="宋体" w:hAnsi="宋体" w:cs="宋体"/>
          <w:color w:val="auto"/>
          <w:sz w:val="21"/>
          <w:szCs w:val="21"/>
          <w:highlight w:val="none"/>
          <w:u w:val="single"/>
        </w:rPr>
        <w:t>              </w:t>
      </w:r>
    </w:p>
    <w:p w14:paraId="547DFC8F">
      <w:pPr>
        <w:pStyle w:val="13"/>
        <w:widowControl/>
        <w:spacing w:beforeAutospacing="0" w:after="150" w:afterAutospacing="0" w:line="30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投标人代表：</w:t>
      </w:r>
      <w:r>
        <w:rPr>
          <w:rFonts w:hint="eastAsia" w:ascii="宋体" w:hAnsi="宋体" w:cs="宋体"/>
          <w:color w:val="auto"/>
          <w:sz w:val="21"/>
          <w:szCs w:val="21"/>
          <w:highlight w:val="none"/>
          <w:u w:val="single"/>
        </w:rPr>
        <w:t>             </w:t>
      </w:r>
    </w:p>
    <w:p w14:paraId="39A05DA5">
      <w:pPr>
        <w:pStyle w:val="13"/>
        <w:widowControl/>
        <w:spacing w:beforeAutospacing="0" w:after="150" w:afterAutospacing="0" w:line="30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身份证号：</w:t>
      </w:r>
      <w:r>
        <w:rPr>
          <w:rFonts w:hint="eastAsia" w:ascii="宋体" w:hAnsi="宋体" w:cs="宋体"/>
          <w:color w:val="auto"/>
          <w:sz w:val="21"/>
          <w:szCs w:val="21"/>
          <w:highlight w:val="none"/>
          <w:u w:val="single"/>
        </w:rPr>
        <w:t>              </w:t>
      </w:r>
    </w:p>
    <w:p w14:paraId="04DC512B">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手机：</w:t>
      </w:r>
      <w:r>
        <w:rPr>
          <w:rFonts w:hint="eastAsia" w:ascii="宋体" w:hAnsi="宋体" w:cs="宋体"/>
          <w:color w:val="auto"/>
          <w:sz w:val="21"/>
          <w:szCs w:val="21"/>
          <w:highlight w:val="none"/>
          <w:u w:val="single"/>
        </w:rPr>
        <w:t>              </w:t>
      </w:r>
    </w:p>
    <w:p w14:paraId="76336CB7">
      <w:pPr>
        <w:pStyle w:val="13"/>
        <w:widowControl/>
        <w:spacing w:beforeAutospacing="0" w:after="150" w:afterAutospacing="0" w:line="300" w:lineRule="auto"/>
        <w:rPr>
          <w:color w:val="auto"/>
          <w:highlight w:val="none"/>
        </w:rPr>
      </w:pPr>
      <w:r>
        <w:rPr>
          <w:rFonts w:cs="Calibri"/>
          <w:color w:val="auto"/>
          <w:sz w:val="21"/>
          <w:szCs w:val="21"/>
          <w:highlight w:val="none"/>
        </w:rPr>
        <w:t> </w:t>
      </w:r>
    </w:p>
    <w:p w14:paraId="338723B3">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授权方</w:t>
      </w:r>
    </w:p>
    <w:p w14:paraId="4D874CBE">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14:paraId="794A49D4">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单位负责人签字或盖章：</w:t>
      </w:r>
      <w:r>
        <w:rPr>
          <w:rFonts w:hint="eastAsia" w:ascii="宋体" w:hAnsi="宋体" w:cs="宋体"/>
          <w:color w:val="auto"/>
          <w:sz w:val="21"/>
          <w:szCs w:val="21"/>
          <w:highlight w:val="none"/>
          <w:u w:val="single"/>
        </w:rPr>
        <w:t>         </w:t>
      </w:r>
      <w:r>
        <w:rPr>
          <w:rFonts w:cs="Calibri"/>
          <w:color w:val="auto"/>
          <w:sz w:val="21"/>
          <w:szCs w:val="21"/>
          <w:highlight w:val="none"/>
        </w:rPr>
        <w:t> </w:t>
      </w:r>
    </w:p>
    <w:p w14:paraId="7B7AF77A">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接受授权方</w:t>
      </w:r>
    </w:p>
    <w:p w14:paraId="41B0555E">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14:paraId="207FE033">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2DBAB43E">
      <w:pPr>
        <w:pStyle w:val="13"/>
        <w:widowControl/>
        <w:spacing w:beforeAutospacing="0" w:after="150" w:afterAutospacing="0" w:line="300" w:lineRule="auto"/>
        <w:jc w:val="right"/>
        <w:rPr>
          <w:color w:val="auto"/>
          <w:highlight w:val="none"/>
        </w:rPr>
      </w:pPr>
      <w:r>
        <w:rPr>
          <w:rFonts w:hint="eastAsia" w:ascii="宋体" w:hAnsi="宋体" w:cs="宋体"/>
          <w:color w:val="auto"/>
          <w:sz w:val="21"/>
          <w:szCs w:val="21"/>
          <w:highlight w:val="none"/>
        </w:rPr>
        <w:t>签署日期：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14:paraId="58823702">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附：单位负责人、投标人代表的身份证正反面复印件</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20"/>
      </w:tblGrid>
      <w:tr w14:paraId="51D2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0" w:type="dxa"/>
            <w:tcMar>
              <w:top w:w="0" w:type="dxa"/>
              <w:left w:w="105" w:type="dxa"/>
              <w:bottom w:w="0" w:type="dxa"/>
              <w:right w:w="105" w:type="dxa"/>
            </w:tcMar>
            <w:vAlign w:val="center"/>
          </w:tcPr>
          <w:p w14:paraId="739DED4B">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21"/>
                <w:szCs w:val="21"/>
                <w:highlight w:val="none"/>
              </w:rPr>
              <w:t> </w:t>
            </w:r>
          </w:p>
          <w:p w14:paraId="21B1FA34">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21"/>
                <w:szCs w:val="21"/>
                <w:highlight w:val="none"/>
              </w:rPr>
              <w:t>要求：真实有效且内容完整、清晰、整洁。</w:t>
            </w:r>
          </w:p>
          <w:p w14:paraId="10107B55">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21"/>
                <w:szCs w:val="21"/>
                <w:highlight w:val="none"/>
              </w:rPr>
              <w:t> </w:t>
            </w:r>
          </w:p>
        </w:tc>
      </w:tr>
    </w:tbl>
    <w:p w14:paraId="4BBD03C9">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1053BF27">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★注意：</w:t>
      </w:r>
    </w:p>
    <w:p w14:paraId="31F3EB87">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1、企业（银行、保险、石油石化、电力、电信等行业除外）、事业单位和社会团体法人的“单位负责人”指</w:t>
      </w:r>
      <w:r>
        <w:rPr>
          <w:rStyle w:val="18"/>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w:t>
      </w:r>
    </w:p>
    <w:p w14:paraId="5402AD04">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62D4DC8">
      <w:pPr>
        <w:pStyle w:val="13"/>
        <w:widowControl/>
        <w:spacing w:beforeAutospacing="0" w:after="15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3、投标人（自然人除外）：若投标人代表为单位负责人授权的委托代理人，应提供本授权书；若投标人代表为单位负责人，应在此项下提交其身份证正反面复印件，可不提供本授权书。</w:t>
      </w:r>
    </w:p>
    <w:p w14:paraId="6D83A3F1">
      <w:pPr>
        <w:pStyle w:val="13"/>
        <w:widowControl/>
        <w:spacing w:beforeAutospacing="0" w:after="15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4、投标人为自然人的，可不填写本授权书。</w:t>
      </w:r>
    </w:p>
    <w:p w14:paraId="6E7E4969">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5、纸质投标文件正本中的本授权书（若有）应为原件。</w:t>
      </w:r>
    </w:p>
    <w:p w14:paraId="0C08423B">
      <w:pPr>
        <w:pStyle w:val="13"/>
        <w:widowControl/>
        <w:spacing w:beforeAutospacing="0" w:after="150" w:afterAutospacing="0" w:line="300" w:lineRule="auto"/>
        <w:rPr>
          <w:color w:val="auto"/>
          <w:highlight w:val="none"/>
        </w:rPr>
      </w:pPr>
    </w:p>
    <w:p w14:paraId="3252A1A0">
      <w:pPr>
        <w:pStyle w:val="13"/>
        <w:widowControl/>
        <w:spacing w:beforeAutospacing="0" w:after="15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 </w:t>
      </w:r>
    </w:p>
    <w:p w14:paraId="10BE2075">
      <w:pPr>
        <w:pStyle w:val="13"/>
        <w:widowControl/>
        <w:spacing w:beforeAutospacing="0" w:after="150" w:afterAutospacing="0" w:line="300" w:lineRule="auto"/>
        <w:rPr>
          <w:rFonts w:ascii="宋体" w:hAnsi="宋体" w:cs="宋体"/>
          <w:color w:val="auto"/>
          <w:sz w:val="21"/>
          <w:szCs w:val="21"/>
          <w:highlight w:val="none"/>
        </w:rPr>
      </w:pPr>
    </w:p>
    <w:p w14:paraId="43CEECAC">
      <w:pPr>
        <w:pStyle w:val="13"/>
        <w:widowControl/>
        <w:spacing w:beforeAutospacing="0" w:after="150" w:afterAutospacing="0" w:line="300" w:lineRule="auto"/>
        <w:rPr>
          <w:rFonts w:ascii="宋体" w:hAnsi="宋体" w:cs="宋体"/>
          <w:color w:val="auto"/>
          <w:sz w:val="21"/>
          <w:szCs w:val="21"/>
          <w:highlight w:val="none"/>
        </w:rPr>
      </w:pPr>
    </w:p>
    <w:p w14:paraId="31DD3548">
      <w:pPr>
        <w:pStyle w:val="13"/>
        <w:widowControl/>
        <w:spacing w:beforeAutospacing="0" w:after="150" w:afterAutospacing="0" w:line="300" w:lineRule="auto"/>
        <w:rPr>
          <w:rFonts w:ascii="宋体" w:hAnsi="宋体" w:cs="宋体"/>
          <w:color w:val="auto"/>
          <w:sz w:val="21"/>
          <w:szCs w:val="21"/>
          <w:highlight w:val="none"/>
        </w:rPr>
      </w:pPr>
    </w:p>
    <w:p w14:paraId="33EDFA60">
      <w:pPr>
        <w:pStyle w:val="13"/>
        <w:widowControl/>
        <w:spacing w:beforeAutospacing="0" w:after="150" w:afterAutospacing="0" w:line="300" w:lineRule="auto"/>
        <w:rPr>
          <w:rFonts w:ascii="宋体" w:hAnsi="宋体" w:cs="宋体"/>
          <w:color w:val="auto"/>
          <w:sz w:val="21"/>
          <w:szCs w:val="21"/>
          <w:highlight w:val="none"/>
        </w:rPr>
      </w:pPr>
    </w:p>
    <w:p w14:paraId="509E7F48">
      <w:pPr>
        <w:pStyle w:val="13"/>
        <w:widowControl/>
        <w:spacing w:beforeAutospacing="0" w:after="150" w:afterAutospacing="0" w:line="300" w:lineRule="auto"/>
        <w:rPr>
          <w:rFonts w:ascii="宋体" w:hAnsi="宋体" w:cs="宋体"/>
          <w:color w:val="auto"/>
          <w:sz w:val="21"/>
          <w:szCs w:val="21"/>
          <w:highlight w:val="none"/>
        </w:rPr>
      </w:pPr>
    </w:p>
    <w:p w14:paraId="381BC408">
      <w:pPr>
        <w:pStyle w:val="13"/>
        <w:widowControl/>
        <w:spacing w:beforeAutospacing="0" w:after="150" w:afterAutospacing="0" w:line="300" w:lineRule="auto"/>
        <w:rPr>
          <w:rFonts w:ascii="宋体" w:hAnsi="宋体" w:cs="宋体"/>
          <w:color w:val="auto"/>
          <w:sz w:val="21"/>
          <w:szCs w:val="21"/>
          <w:highlight w:val="none"/>
        </w:rPr>
      </w:pPr>
    </w:p>
    <w:p w14:paraId="6B2ABCC6">
      <w:pPr>
        <w:pStyle w:val="13"/>
        <w:widowControl/>
        <w:spacing w:beforeAutospacing="0" w:after="150" w:afterAutospacing="0" w:line="300" w:lineRule="auto"/>
        <w:jc w:val="both"/>
        <w:rPr>
          <w:rFonts w:cs="Calibri"/>
          <w:color w:val="auto"/>
          <w:sz w:val="21"/>
          <w:szCs w:val="21"/>
          <w:highlight w:val="none"/>
        </w:rPr>
      </w:pPr>
    </w:p>
    <w:p w14:paraId="52434B4E">
      <w:pPr>
        <w:pStyle w:val="13"/>
        <w:widowControl/>
        <w:spacing w:beforeAutospacing="0" w:after="150" w:afterAutospacing="0" w:line="300" w:lineRule="auto"/>
        <w:jc w:val="both"/>
        <w:rPr>
          <w:rFonts w:cs="Calibri"/>
          <w:color w:val="auto"/>
          <w:sz w:val="21"/>
          <w:szCs w:val="21"/>
          <w:highlight w:val="none"/>
        </w:rPr>
      </w:pPr>
    </w:p>
    <w:p w14:paraId="17B11C87">
      <w:pPr>
        <w:rPr>
          <w:rFonts w:cs="Calibri"/>
          <w:color w:val="auto"/>
          <w:szCs w:val="21"/>
          <w:highlight w:val="none"/>
        </w:rPr>
      </w:pPr>
      <w:r>
        <w:rPr>
          <w:rFonts w:cs="Calibri"/>
          <w:color w:val="auto"/>
          <w:szCs w:val="21"/>
          <w:highlight w:val="none"/>
        </w:rPr>
        <w:br w:type="page"/>
      </w:r>
    </w:p>
    <w:p w14:paraId="4BF7895C">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21"/>
          <w:szCs w:val="21"/>
          <w:highlight w:val="none"/>
        </w:rPr>
        <w:t>三-2营业执照等证明文件</w:t>
      </w:r>
    </w:p>
    <w:p w14:paraId="1F626E73">
      <w:pPr>
        <w:pStyle w:val="13"/>
        <w:widowControl/>
        <w:spacing w:beforeAutospacing="0" w:after="150" w:afterAutospacing="0" w:line="300" w:lineRule="auto"/>
        <w:rPr>
          <w:color w:val="auto"/>
          <w:highlight w:val="none"/>
        </w:rPr>
      </w:pPr>
      <w:r>
        <w:rPr>
          <w:rFonts w:cs="Calibri"/>
          <w:color w:val="auto"/>
          <w:sz w:val="21"/>
          <w:szCs w:val="21"/>
          <w:highlight w:val="none"/>
        </w:rPr>
        <w:t> </w:t>
      </w:r>
    </w:p>
    <w:p w14:paraId="52E95B8A">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w:t>
      </w:r>
    </w:p>
    <w:p w14:paraId="65371C35">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 ）投标人为法人（包括企业、事业单位和社会团体）的</w:t>
      </w:r>
    </w:p>
    <w:p w14:paraId="5EF5E8ED">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现附上由</w:t>
      </w:r>
      <w:r>
        <w:rPr>
          <w:rFonts w:hint="eastAsia" w:ascii="宋体" w:hAnsi="宋体" w:cs="宋体"/>
          <w:color w:val="auto"/>
          <w:sz w:val="21"/>
          <w:szCs w:val="21"/>
          <w:highlight w:val="none"/>
          <w:u w:val="single"/>
        </w:rPr>
        <w:t>（填写“签发机关全称”）</w:t>
      </w:r>
      <w:r>
        <w:rPr>
          <w:rFonts w:hint="eastAsia" w:ascii="宋体" w:hAnsi="宋体" w:cs="宋体"/>
          <w:color w:val="auto"/>
          <w:sz w:val="21"/>
          <w:szCs w:val="21"/>
          <w:highlight w:val="none"/>
        </w:rPr>
        <w:t>签发的我方统一社会信用代码</w:t>
      </w:r>
      <w:r>
        <w:rPr>
          <w:rFonts w:hint="eastAsia" w:ascii="宋体" w:hAnsi="宋体" w:cs="宋体"/>
          <w:color w:val="auto"/>
          <w:sz w:val="21"/>
          <w:szCs w:val="21"/>
          <w:highlight w:val="none"/>
          <w:u w:val="single"/>
        </w:rPr>
        <w:t>（请填写法人的具体证照名称）</w:t>
      </w:r>
      <w:r>
        <w:rPr>
          <w:rFonts w:hint="eastAsia" w:ascii="宋体" w:hAnsi="宋体" w:cs="宋体"/>
          <w:color w:val="auto"/>
          <w:sz w:val="21"/>
          <w:szCs w:val="21"/>
          <w:highlight w:val="none"/>
        </w:rPr>
        <w:t>复印件，该证明材料真实有效，否则我方负全部责任。</w:t>
      </w:r>
    </w:p>
    <w:p w14:paraId="5C9E8BE4">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 ）投标人为非法人（包括其他组织、自然人）的</w:t>
      </w:r>
    </w:p>
    <w:p w14:paraId="5CE96065">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□现附上由</w:t>
      </w:r>
      <w:r>
        <w:rPr>
          <w:rFonts w:hint="eastAsia" w:ascii="宋体" w:hAnsi="宋体" w:cs="宋体"/>
          <w:color w:val="auto"/>
          <w:sz w:val="21"/>
          <w:szCs w:val="21"/>
          <w:highlight w:val="none"/>
          <w:u w:val="single"/>
        </w:rPr>
        <w:t>（填写“签发机关全称”）</w:t>
      </w:r>
      <w:r>
        <w:rPr>
          <w:rFonts w:hint="eastAsia" w:ascii="宋体" w:hAnsi="宋体" w:cs="宋体"/>
          <w:color w:val="auto"/>
          <w:sz w:val="21"/>
          <w:szCs w:val="21"/>
          <w:highlight w:val="none"/>
        </w:rPr>
        <w:t>签发的我方</w:t>
      </w:r>
      <w:r>
        <w:rPr>
          <w:rFonts w:hint="eastAsia" w:ascii="宋体" w:hAnsi="宋体" w:cs="宋体"/>
          <w:color w:val="auto"/>
          <w:sz w:val="21"/>
          <w:szCs w:val="21"/>
          <w:highlight w:val="none"/>
          <w:u w:val="single"/>
        </w:rPr>
        <w:t>（请填写非自然人的非法人的具体证照名称）</w:t>
      </w:r>
      <w:r>
        <w:rPr>
          <w:rFonts w:hint="eastAsia" w:ascii="宋体" w:hAnsi="宋体" w:cs="宋体"/>
          <w:color w:val="auto"/>
          <w:sz w:val="21"/>
          <w:szCs w:val="21"/>
          <w:highlight w:val="none"/>
        </w:rPr>
        <w:t>复印件，该证明材料真实有效，否则我方负全部责任。</w:t>
      </w:r>
    </w:p>
    <w:p w14:paraId="1F1349F6">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□现附上由</w:t>
      </w:r>
      <w:r>
        <w:rPr>
          <w:rFonts w:hint="eastAsia" w:ascii="宋体" w:hAnsi="宋体" w:cs="宋体"/>
          <w:color w:val="auto"/>
          <w:sz w:val="21"/>
          <w:szCs w:val="21"/>
          <w:highlight w:val="none"/>
          <w:u w:val="single"/>
        </w:rPr>
        <w:t>（填写“签发机关全称”）</w:t>
      </w:r>
      <w:r>
        <w:rPr>
          <w:rFonts w:hint="eastAsia" w:ascii="宋体" w:hAnsi="宋体" w:cs="宋体"/>
          <w:color w:val="auto"/>
          <w:sz w:val="21"/>
          <w:szCs w:val="21"/>
          <w:highlight w:val="none"/>
        </w:rPr>
        <w:t>签发的我方</w:t>
      </w:r>
      <w:r>
        <w:rPr>
          <w:rFonts w:hint="eastAsia" w:ascii="宋体" w:hAnsi="宋体" w:cs="宋体"/>
          <w:color w:val="auto"/>
          <w:sz w:val="21"/>
          <w:szCs w:val="21"/>
          <w:highlight w:val="none"/>
          <w:u w:val="single"/>
        </w:rPr>
        <w:t>（请填写自然人的身份证件名称）</w:t>
      </w:r>
      <w:r>
        <w:rPr>
          <w:rFonts w:hint="eastAsia" w:ascii="宋体" w:hAnsi="宋体" w:cs="宋体"/>
          <w:color w:val="auto"/>
          <w:sz w:val="21"/>
          <w:szCs w:val="21"/>
          <w:highlight w:val="none"/>
        </w:rPr>
        <w:t>复印件，该证明材料真实有效，否则我方负全部责任。</w:t>
      </w:r>
    </w:p>
    <w:p w14:paraId="77C93092">
      <w:pPr>
        <w:pStyle w:val="13"/>
        <w:widowControl/>
        <w:spacing w:beforeAutospacing="0" w:after="150" w:afterAutospacing="0" w:line="300" w:lineRule="auto"/>
        <w:rPr>
          <w:color w:val="auto"/>
          <w:highlight w:val="none"/>
        </w:rPr>
      </w:pPr>
      <w:r>
        <w:rPr>
          <w:rFonts w:cs="Calibri"/>
          <w:color w:val="auto"/>
          <w:sz w:val="21"/>
          <w:szCs w:val="21"/>
          <w:highlight w:val="none"/>
        </w:rPr>
        <w:t> </w:t>
      </w:r>
    </w:p>
    <w:p w14:paraId="4132B4D7">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★注意：</w:t>
      </w:r>
    </w:p>
    <w:p w14:paraId="310B811B">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1、请投标人按照实际情况编制填写，在相应的（）中打“√”并选择相应的“□”（若有）后，再按照本格式的要求提供相应证明材料的复印件。</w:t>
      </w:r>
    </w:p>
    <w:p w14:paraId="01890E1E">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E81D677">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3、投标人提供的相应证明材料复印件均应符合：内容完整、清晰、整洁，并由投标人加盖其单位公章。</w:t>
      </w:r>
    </w:p>
    <w:p w14:paraId="7AF32696">
      <w:pPr>
        <w:pStyle w:val="13"/>
        <w:widowControl/>
        <w:spacing w:beforeAutospacing="0" w:after="150" w:afterAutospacing="0" w:line="300" w:lineRule="auto"/>
        <w:rPr>
          <w:color w:val="auto"/>
          <w:highlight w:val="none"/>
        </w:rPr>
      </w:pPr>
      <w:r>
        <w:rPr>
          <w:rFonts w:cs="Calibri"/>
          <w:color w:val="auto"/>
          <w:sz w:val="21"/>
          <w:szCs w:val="21"/>
          <w:highlight w:val="none"/>
        </w:rPr>
        <w:t> </w:t>
      </w:r>
    </w:p>
    <w:p w14:paraId="696171B9">
      <w:pPr>
        <w:pStyle w:val="13"/>
        <w:widowControl/>
        <w:spacing w:beforeAutospacing="0" w:after="150" w:afterAutospacing="0" w:line="300" w:lineRule="auto"/>
        <w:rPr>
          <w:color w:val="auto"/>
          <w:highlight w:val="none"/>
        </w:rPr>
      </w:pPr>
      <w:r>
        <w:rPr>
          <w:rFonts w:cs="Calibri"/>
          <w:color w:val="auto"/>
          <w:sz w:val="21"/>
          <w:szCs w:val="21"/>
          <w:highlight w:val="none"/>
        </w:rPr>
        <w:t> </w:t>
      </w:r>
    </w:p>
    <w:p w14:paraId="23F40958">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14:paraId="27269A21">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14:paraId="61118061">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14:paraId="23ADCB5C">
      <w:pPr>
        <w:pStyle w:val="13"/>
        <w:widowControl/>
        <w:spacing w:beforeAutospacing="0" w:after="15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rPr>
        <w:br w:type="page"/>
      </w:r>
    </w:p>
    <w:p w14:paraId="378CB466">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21"/>
          <w:szCs w:val="21"/>
          <w:highlight w:val="none"/>
        </w:rPr>
        <w:t>三-3参加采购活动前三年内在经营活动中没有重大违法记录书面声明</w:t>
      </w:r>
    </w:p>
    <w:p w14:paraId="766E81F8">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62328467">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w:t>
      </w:r>
    </w:p>
    <w:p w14:paraId="29C76587">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参加采购活动前三年内，我方在经营活动中没有重大违法记录，也无行贿犯罪记录，否则产生不利后果由我方承担责任。</w:t>
      </w:r>
    </w:p>
    <w:p w14:paraId="378DDCC5">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特此声明。</w:t>
      </w:r>
    </w:p>
    <w:p w14:paraId="536ACF73">
      <w:pPr>
        <w:pStyle w:val="13"/>
        <w:widowControl/>
        <w:spacing w:beforeAutospacing="0" w:after="150" w:afterAutospacing="0" w:line="300" w:lineRule="auto"/>
        <w:rPr>
          <w:color w:val="auto"/>
          <w:highlight w:val="none"/>
        </w:rPr>
      </w:pPr>
      <w:r>
        <w:rPr>
          <w:rFonts w:cs="Calibri"/>
          <w:color w:val="auto"/>
          <w:sz w:val="21"/>
          <w:szCs w:val="21"/>
          <w:highlight w:val="none"/>
        </w:rPr>
        <w:t> </w:t>
      </w:r>
    </w:p>
    <w:p w14:paraId="4293F92A">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★注意：</w:t>
      </w:r>
    </w:p>
    <w:p w14:paraId="0C6E5DD2">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1、“重大违法记录”指投标人因违法经营受到刑事处罚或责令停产停业、吊销许可证或执照、较大数额罚款等行政处罚。</w:t>
      </w:r>
    </w:p>
    <w:p w14:paraId="65F819CC">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2、纸质投标文件正本中的本声明应为原件。</w:t>
      </w:r>
    </w:p>
    <w:p w14:paraId="4B2620A4">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3、请投标人根据实际情况如实声明，否则</w:t>
      </w:r>
      <w:r>
        <w:rPr>
          <w:rStyle w:val="18"/>
          <w:rFonts w:hint="eastAsia" w:ascii="宋体" w:hAnsi="宋体" w:cs="宋体"/>
          <w:color w:val="auto"/>
          <w:sz w:val="21"/>
          <w:szCs w:val="21"/>
          <w:highlight w:val="none"/>
        </w:rPr>
        <w:t>视为提供虚假材料。</w:t>
      </w:r>
    </w:p>
    <w:p w14:paraId="72BD2024">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5D05C415">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6FF1FDA1">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14:paraId="4AC84E9A">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14:paraId="4F0310E5">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14:paraId="584BD07F">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5B6653A2">
      <w:pPr>
        <w:pStyle w:val="13"/>
        <w:widowControl/>
        <w:spacing w:beforeAutospacing="0" w:after="15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 </w:t>
      </w:r>
    </w:p>
    <w:p w14:paraId="3EFCA07D">
      <w:pPr>
        <w:pStyle w:val="13"/>
        <w:widowControl/>
        <w:spacing w:beforeAutospacing="0" w:after="150" w:afterAutospacing="0" w:line="300" w:lineRule="auto"/>
        <w:rPr>
          <w:rFonts w:ascii="宋体" w:hAnsi="宋体" w:cs="宋体"/>
          <w:color w:val="auto"/>
          <w:sz w:val="21"/>
          <w:szCs w:val="21"/>
          <w:highlight w:val="none"/>
        </w:rPr>
      </w:pPr>
    </w:p>
    <w:p w14:paraId="61EAD03B">
      <w:pPr>
        <w:pStyle w:val="13"/>
        <w:widowControl/>
        <w:spacing w:beforeAutospacing="0" w:after="150" w:afterAutospacing="0" w:line="300" w:lineRule="auto"/>
        <w:rPr>
          <w:rFonts w:ascii="宋体" w:hAnsi="宋体" w:cs="宋体"/>
          <w:color w:val="auto"/>
          <w:sz w:val="21"/>
          <w:szCs w:val="21"/>
          <w:highlight w:val="none"/>
        </w:rPr>
      </w:pPr>
    </w:p>
    <w:p w14:paraId="66AB186C">
      <w:pPr>
        <w:pStyle w:val="13"/>
        <w:widowControl/>
        <w:spacing w:beforeAutospacing="0" w:after="150" w:afterAutospacing="0" w:line="300" w:lineRule="auto"/>
        <w:rPr>
          <w:rFonts w:ascii="宋体" w:hAnsi="宋体" w:cs="宋体"/>
          <w:color w:val="auto"/>
          <w:sz w:val="21"/>
          <w:szCs w:val="21"/>
          <w:highlight w:val="none"/>
        </w:rPr>
      </w:pPr>
    </w:p>
    <w:p w14:paraId="5BCFC376">
      <w:pPr>
        <w:pStyle w:val="13"/>
        <w:widowControl/>
        <w:spacing w:beforeAutospacing="0" w:after="150" w:afterAutospacing="0" w:line="300" w:lineRule="auto"/>
        <w:rPr>
          <w:rFonts w:ascii="宋体" w:hAnsi="宋体" w:cs="宋体"/>
          <w:color w:val="auto"/>
          <w:sz w:val="21"/>
          <w:szCs w:val="21"/>
          <w:highlight w:val="none"/>
        </w:rPr>
      </w:pPr>
    </w:p>
    <w:p w14:paraId="627C79DA">
      <w:pPr>
        <w:pStyle w:val="13"/>
        <w:widowControl/>
        <w:spacing w:beforeAutospacing="0" w:after="150" w:afterAutospacing="0" w:line="300" w:lineRule="auto"/>
        <w:rPr>
          <w:rFonts w:ascii="宋体" w:hAnsi="宋体" w:cs="宋体"/>
          <w:color w:val="auto"/>
          <w:sz w:val="21"/>
          <w:szCs w:val="21"/>
          <w:highlight w:val="none"/>
        </w:rPr>
      </w:pPr>
    </w:p>
    <w:p w14:paraId="47768B83">
      <w:pPr>
        <w:pStyle w:val="13"/>
        <w:widowControl/>
        <w:spacing w:beforeAutospacing="0" w:after="150" w:afterAutospacing="0" w:line="300" w:lineRule="auto"/>
        <w:rPr>
          <w:rFonts w:ascii="宋体" w:hAnsi="宋体" w:cs="宋体"/>
          <w:color w:val="auto"/>
          <w:sz w:val="21"/>
          <w:szCs w:val="21"/>
          <w:highlight w:val="none"/>
        </w:rPr>
      </w:pPr>
    </w:p>
    <w:p w14:paraId="01EDB71E">
      <w:pPr>
        <w:pStyle w:val="13"/>
        <w:widowControl/>
        <w:spacing w:beforeAutospacing="0" w:after="150" w:afterAutospacing="0" w:line="300" w:lineRule="auto"/>
        <w:rPr>
          <w:rFonts w:ascii="宋体" w:hAnsi="宋体" w:cs="宋体"/>
          <w:color w:val="auto"/>
          <w:sz w:val="21"/>
          <w:szCs w:val="21"/>
          <w:highlight w:val="none"/>
        </w:rPr>
      </w:pPr>
    </w:p>
    <w:p w14:paraId="146159CF">
      <w:pPr>
        <w:pStyle w:val="13"/>
        <w:widowControl/>
        <w:spacing w:beforeAutospacing="0" w:after="150" w:afterAutospacing="0" w:line="300" w:lineRule="auto"/>
        <w:jc w:val="center"/>
        <w:rPr>
          <w:rStyle w:val="18"/>
          <w:rFonts w:ascii="宋体" w:hAnsi="宋体" w:cs="宋体"/>
          <w:color w:val="auto"/>
          <w:sz w:val="21"/>
          <w:szCs w:val="21"/>
          <w:highlight w:val="none"/>
        </w:rPr>
      </w:pPr>
    </w:p>
    <w:p w14:paraId="023C0382">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21"/>
          <w:szCs w:val="21"/>
          <w:highlight w:val="none"/>
        </w:rPr>
        <w:t>三-4信用记录查询结果</w:t>
      </w:r>
    </w:p>
    <w:p w14:paraId="3C6CC2C1">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04F0BF1A">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w:t>
      </w:r>
    </w:p>
    <w:p w14:paraId="5E22A361">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现附上截至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时我方通过“信用中国”网站（</w:t>
      </w:r>
      <w:r>
        <w:rPr>
          <w:rFonts w:cs="Calibri"/>
          <w:color w:val="auto"/>
          <w:sz w:val="21"/>
          <w:szCs w:val="21"/>
          <w:highlight w:val="none"/>
        </w:rPr>
        <w:t>www.creditchina.gov.cn</w:t>
      </w:r>
      <w:r>
        <w:rPr>
          <w:rFonts w:hint="eastAsia" w:ascii="宋体" w:hAnsi="宋体" w:cs="宋体"/>
          <w:color w:val="auto"/>
          <w:sz w:val="21"/>
          <w:szCs w:val="21"/>
          <w:highlight w:val="none"/>
        </w:rPr>
        <w:t>）或国家企业信用信息公示系统平台截图https://www.gsxt.gov.cn/index.html获取的我方信用信息查询结果</w:t>
      </w:r>
      <w:r>
        <w:rPr>
          <w:rFonts w:hint="eastAsia" w:ascii="宋体" w:hAnsi="宋体" w:cs="宋体"/>
          <w:color w:val="auto"/>
          <w:sz w:val="21"/>
          <w:szCs w:val="21"/>
          <w:highlight w:val="none"/>
          <w:u w:val="single"/>
        </w:rPr>
        <w:t>（填写具体份数）</w:t>
      </w:r>
      <w:r>
        <w:rPr>
          <w:rFonts w:hint="eastAsia" w:ascii="宋体" w:hAnsi="宋体" w:cs="宋体"/>
          <w:color w:val="auto"/>
          <w:sz w:val="21"/>
          <w:szCs w:val="21"/>
          <w:highlight w:val="none"/>
        </w:rPr>
        <w:t>份、通过中国政府采购网（www.ccgp.gov.cn）获取的我方信用信息查询结果</w:t>
      </w:r>
      <w:r>
        <w:rPr>
          <w:rFonts w:hint="eastAsia" w:ascii="宋体" w:hAnsi="宋体" w:cs="宋体"/>
          <w:color w:val="auto"/>
          <w:sz w:val="21"/>
          <w:szCs w:val="21"/>
          <w:highlight w:val="none"/>
          <w:u w:val="single"/>
        </w:rPr>
        <w:t>（填写具体份数）</w:t>
      </w:r>
      <w:r>
        <w:rPr>
          <w:rFonts w:hint="eastAsia" w:ascii="宋体" w:hAnsi="宋体" w:cs="宋体"/>
          <w:color w:val="auto"/>
          <w:sz w:val="21"/>
          <w:szCs w:val="21"/>
          <w:highlight w:val="none"/>
        </w:rPr>
        <w:t>份，上述信用信息查询结果真实有效，否则我方负全部责任。</w:t>
      </w:r>
    </w:p>
    <w:p w14:paraId="7F853A59">
      <w:pPr>
        <w:pStyle w:val="13"/>
        <w:widowControl/>
        <w:spacing w:beforeAutospacing="0" w:after="150" w:afterAutospacing="0" w:line="300" w:lineRule="auto"/>
        <w:rPr>
          <w:color w:val="auto"/>
          <w:highlight w:val="none"/>
        </w:rPr>
      </w:pPr>
      <w:r>
        <w:rPr>
          <w:rFonts w:cs="Calibri"/>
          <w:color w:val="auto"/>
          <w:sz w:val="21"/>
          <w:szCs w:val="21"/>
          <w:highlight w:val="none"/>
        </w:rPr>
        <w:t> </w:t>
      </w:r>
    </w:p>
    <w:p w14:paraId="32B1897E">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★注意：</w:t>
      </w:r>
    </w:p>
    <w:p w14:paraId="57C88120">
      <w:pPr>
        <w:pStyle w:val="13"/>
        <w:widowControl/>
        <w:spacing w:beforeAutospacing="0" w:after="150" w:afterAutospacing="0" w:line="300" w:lineRule="auto"/>
        <w:ind w:firstLine="210" w:firstLineChars="100"/>
        <w:rPr>
          <w:color w:val="auto"/>
          <w:highlight w:val="none"/>
        </w:rPr>
      </w:pPr>
      <w:r>
        <w:rPr>
          <w:rFonts w:hint="eastAsia" w:ascii="宋体" w:hAnsi="宋体" w:cs="宋体"/>
          <w:color w:val="auto"/>
          <w:sz w:val="21"/>
          <w:szCs w:val="21"/>
          <w:highlight w:val="none"/>
        </w:rPr>
        <w:t>投标人应在招标文件要求的截止时点前分别通过“信用中国”网站（</w:t>
      </w:r>
      <w:r>
        <w:rPr>
          <w:rFonts w:cs="Calibri"/>
          <w:color w:val="auto"/>
          <w:sz w:val="21"/>
          <w:szCs w:val="21"/>
          <w:highlight w:val="none"/>
        </w:rPr>
        <w:t>www.creditchina.gov.cn</w:t>
      </w:r>
      <w:r>
        <w:rPr>
          <w:rFonts w:hint="eastAsia" w:ascii="宋体" w:hAnsi="宋体" w:cs="宋体"/>
          <w:color w:val="auto"/>
          <w:sz w:val="21"/>
          <w:szCs w:val="21"/>
          <w:highlight w:val="none"/>
        </w:rPr>
        <w:t>）或国家企业信用信息公示系统平台截图https://www.gsxt.gov.cn/index.html、中国政府采购网（</w:t>
      </w:r>
      <w:r>
        <w:rPr>
          <w:rFonts w:cs="Calibri"/>
          <w:color w:val="auto"/>
          <w:sz w:val="21"/>
          <w:szCs w:val="21"/>
          <w:highlight w:val="none"/>
        </w:rPr>
        <w:t>www.ccgp.gov.cn</w:t>
      </w:r>
      <w:r>
        <w:rPr>
          <w:rFonts w:hint="eastAsia" w:ascii="宋体" w:hAnsi="宋体" w:cs="宋体"/>
          <w:color w:val="auto"/>
          <w:sz w:val="21"/>
          <w:szCs w:val="21"/>
          <w:highlight w:val="none"/>
        </w:rPr>
        <w:t>）查询并打印相应的信用记录，投标人提供的查询结果应为其通过上述网站获取的信用信息查询结果原始页面的打印件（或截图）。</w:t>
      </w:r>
    </w:p>
    <w:p w14:paraId="1D97FD3C">
      <w:pPr>
        <w:pStyle w:val="13"/>
        <w:widowControl/>
        <w:spacing w:beforeAutospacing="0" w:after="150" w:afterAutospacing="0" w:line="300" w:lineRule="auto"/>
        <w:rPr>
          <w:color w:val="auto"/>
          <w:highlight w:val="none"/>
        </w:rPr>
      </w:pPr>
    </w:p>
    <w:p w14:paraId="54D2C55B">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07CAC7C7">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0301BAE7">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14:paraId="7D7BE638">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14:paraId="3780CAB7">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14:paraId="42703014">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1A70D27C">
      <w:pPr>
        <w:pStyle w:val="13"/>
        <w:widowControl/>
        <w:spacing w:beforeAutospacing="0" w:after="15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 </w:t>
      </w:r>
    </w:p>
    <w:p w14:paraId="593C7BC2">
      <w:pPr>
        <w:pStyle w:val="13"/>
        <w:widowControl/>
        <w:spacing w:beforeAutospacing="0" w:after="150" w:afterAutospacing="0" w:line="300" w:lineRule="auto"/>
        <w:rPr>
          <w:rFonts w:ascii="宋体" w:hAnsi="宋体" w:cs="宋体"/>
          <w:color w:val="auto"/>
          <w:sz w:val="21"/>
          <w:szCs w:val="21"/>
          <w:highlight w:val="none"/>
        </w:rPr>
      </w:pPr>
    </w:p>
    <w:p w14:paraId="082CCB21">
      <w:pPr>
        <w:pStyle w:val="13"/>
        <w:widowControl/>
        <w:spacing w:beforeAutospacing="0" w:after="150" w:afterAutospacing="0" w:line="300" w:lineRule="auto"/>
        <w:rPr>
          <w:rFonts w:ascii="宋体" w:hAnsi="宋体" w:cs="宋体"/>
          <w:color w:val="auto"/>
          <w:sz w:val="21"/>
          <w:szCs w:val="21"/>
          <w:highlight w:val="none"/>
        </w:rPr>
      </w:pPr>
    </w:p>
    <w:p w14:paraId="7AAFE0A4">
      <w:pPr>
        <w:pStyle w:val="13"/>
        <w:widowControl/>
        <w:spacing w:beforeAutospacing="0" w:after="150" w:afterAutospacing="0" w:line="300" w:lineRule="auto"/>
        <w:rPr>
          <w:rFonts w:ascii="宋体" w:hAnsi="宋体" w:cs="宋体"/>
          <w:color w:val="auto"/>
          <w:sz w:val="21"/>
          <w:szCs w:val="21"/>
          <w:highlight w:val="none"/>
        </w:rPr>
      </w:pPr>
    </w:p>
    <w:p w14:paraId="3372C9FF">
      <w:pPr>
        <w:pStyle w:val="13"/>
        <w:widowControl/>
        <w:spacing w:beforeAutospacing="0" w:after="150" w:afterAutospacing="0" w:line="300" w:lineRule="auto"/>
        <w:rPr>
          <w:rFonts w:ascii="宋体" w:hAnsi="宋体" w:cs="宋体"/>
          <w:color w:val="auto"/>
          <w:sz w:val="21"/>
          <w:szCs w:val="21"/>
          <w:highlight w:val="none"/>
        </w:rPr>
      </w:pPr>
    </w:p>
    <w:p w14:paraId="0A763A0B">
      <w:pPr>
        <w:pStyle w:val="13"/>
        <w:widowControl/>
        <w:spacing w:beforeAutospacing="0" w:after="150" w:afterAutospacing="0" w:line="300" w:lineRule="auto"/>
        <w:rPr>
          <w:rFonts w:ascii="宋体" w:hAnsi="宋体" w:cs="宋体"/>
          <w:color w:val="auto"/>
          <w:sz w:val="21"/>
          <w:szCs w:val="21"/>
          <w:highlight w:val="none"/>
        </w:rPr>
      </w:pPr>
    </w:p>
    <w:p w14:paraId="2498BB0C">
      <w:pPr>
        <w:pStyle w:val="13"/>
        <w:widowControl/>
        <w:spacing w:beforeAutospacing="0" w:after="150" w:afterAutospacing="0" w:line="300" w:lineRule="auto"/>
        <w:rPr>
          <w:rFonts w:ascii="宋体" w:hAnsi="宋体" w:cs="宋体"/>
          <w:color w:val="auto"/>
          <w:sz w:val="21"/>
          <w:szCs w:val="21"/>
          <w:highlight w:val="none"/>
        </w:rPr>
      </w:pPr>
    </w:p>
    <w:p w14:paraId="62243A75">
      <w:pPr>
        <w:pStyle w:val="13"/>
        <w:widowControl/>
        <w:spacing w:beforeAutospacing="0" w:after="150" w:afterAutospacing="0" w:line="300" w:lineRule="auto"/>
        <w:jc w:val="center"/>
        <w:rPr>
          <w:rStyle w:val="18"/>
          <w:rFonts w:ascii="宋体" w:hAnsi="宋体" w:cs="宋体"/>
          <w:color w:val="auto"/>
          <w:sz w:val="21"/>
          <w:szCs w:val="21"/>
          <w:highlight w:val="none"/>
        </w:rPr>
      </w:pPr>
    </w:p>
    <w:p w14:paraId="6FF32192">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21"/>
          <w:szCs w:val="21"/>
          <w:highlight w:val="none"/>
        </w:rPr>
        <w:t>三-5招标文件规定的其他资格证明文件（若有）</w:t>
      </w:r>
    </w:p>
    <w:p w14:paraId="3000DDFE">
      <w:pPr>
        <w:pStyle w:val="13"/>
        <w:widowControl/>
        <w:spacing w:beforeAutospacing="0" w:after="150" w:afterAutospacing="0" w:line="300" w:lineRule="auto"/>
        <w:rPr>
          <w:color w:val="auto"/>
          <w:highlight w:val="none"/>
        </w:rPr>
      </w:pPr>
      <w:r>
        <w:rPr>
          <w:rStyle w:val="18"/>
          <w:rFonts w:hint="eastAsia" w:ascii="宋体" w:hAnsi="宋体" w:cs="宋体"/>
          <w:color w:val="auto"/>
          <w:sz w:val="21"/>
          <w:szCs w:val="21"/>
          <w:highlight w:val="none"/>
        </w:rPr>
        <w:t> </w:t>
      </w:r>
    </w:p>
    <w:p w14:paraId="08CDE365">
      <w:pPr>
        <w:pStyle w:val="13"/>
        <w:widowControl/>
        <w:spacing w:beforeAutospacing="0" w:after="150" w:afterAutospacing="0" w:line="300" w:lineRule="auto"/>
        <w:rPr>
          <w:color w:val="auto"/>
          <w:highlight w:val="none"/>
        </w:rPr>
      </w:pPr>
      <w:r>
        <w:rPr>
          <w:rStyle w:val="18"/>
          <w:rFonts w:hint="eastAsia" w:ascii="宋体" w:hAnsi="宋体" w:cs="宋体"/>
          <w:color w:val="auto"/>
          <w:sz w:val="21"/>
          <w:szCs w:val="21"/>
          <w:highlight w:val="none"/>
        </w:rPr>
        <w:t> </w:t>
      </w:r>
    </w:p>
    <w:p w14:paraId="721E0E34">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编制说明</w:t>
      </w:r>
    </w:p>
    <w:p w14:paraId="712EB2E7">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 </w:t>
      </w:r>
    </w:p>
    <w:p w14:paraId="25602F1B">
      <w:pPr>
        <w:pStyle w:val="13"/>
        <w:widowControl/>
        <w:spacing w:beforeAutospacing="0" w:after="150" w:afterAutospacing="0" w:line="300" w:lineRule="auto"/>
        <w:ind w:firstLine="420"/>
        <w:rPr>
          <w:color w:val="auto"/>
          <w:highlight w:val="none"/>
        </w:rPr>
      </w:pPr>
      <w:r>
        <w:rPr>
          <w:rFonts w:hint="eastAsia" w:ascii="宋体" w:hAnsi="宋体" w:cs="宋体"/>
          <w:color w:val="auto"/>
          <w:sz w:val="21"/>
          <w:szCs w:val="21"/>
          <w:highlight w:val="none"/>
        </w:rPr>
        <w:t>除招标文件另有规定外，招标文件要求提交的除前述资格证明文件外的其他资格证明文件（若有）加盖投标人的单位公章后应在此项下提交。</w:t>
      </w:r>
    </w:p>
    <w:p w14:paraId="64F2F7B7">
      <w:pPr>
        <w:pStyle w:val="13"/>
        <w:widowControl/>
        <w:spacing w:beforeAutospacing="0" w:after="150" w:afterAutospacing="0" w:line="300" w:lineRule="auto"/>
        <w:rPr>
          <w:color w:val="auto"/>
          <w:highlight w:val="none"/>
        </w:rPr>
      </w:pPr>
      <w:r>
        <w:rPr>
          <w:rStyle w:val="18"/>
          <w:rFonts w:hint="eastAsia" w:ascii="宋体" w:hAnsi="宋体" w:cs="宋体"/>
          <w:color w:val="auto"/>
          <w:sz w:val="21"/>
          <w:szCs w:val="21"/>
          <w:highlight w:val="none"/>
        </w:rPr>
        <w:t> </w:t>
      </w:r>
    </w:p>
    <w:p w14:paraId="5CBC19FD">
      <w:pPr>
        <w:pStyle w:val="13"/>
        <w:widowControl/>
        <w:spacing w:beforeAutospacing="0" w:after="150" w:afterAutospacing="0" w:line="300" w:lineRule="auto"/>
        <w:rPr>
          <w:color w:val="auto"/>
          <w:highlight w:val="none"/>
        </w:rPr>
      </w:pPr>
    </w:p>
    <w:p w14:paraId="4F508601">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15AF64FB">
      <w:pPr>
        <w:pStyle w:val="13"/>
        <w:widowControl/>
        <w:spacing w:beforeAutospacing="0" w:after="150" w:afterAutospacing="0" w:line="300" w:lineRule="auto"/>
        <w:jc w:val="center"/>
        <w:rPr>
          <w:rStyle w:val="18"/>
          <w:rFonts w:cs="Calibri"/>
          <w:color w:val="auto"/>
          <w:sz w:val="21"/>
          <w:szCs w:val="21"/>
          <w:highlight w:val="none"/>
        </w:rPr>
      </w:pPr>
    </w:p>
    <w:p w14:paraId="678E5320">
      <w:pPr>
        <w:pStyle w:val="13"/>
        <w:widowControl/>
        <w:spacing w:beforeAutospacing="0" w:after="150" w:afterAutospacing="0" w:line="300" w:lineRule="auto"/>
        <w:jc w:val="center"/>
        <w:rPr>
          <w:rStyle w:val="18"/>
          <w:rFonts w:cs="Calibri"/>
          <w:color w:val="auto"/>
          <w:sz w:val="21"/>
          <w:szCs w:val="21"/>
          <w:highlight w:val="none"/>
        </w:rPr>
      </w:pPr>
      <w:r>
        <w:rPr>
          <w:rStyle w:val="18"/>
          <w:rFonts w:cs="Calibri"/>
          <w:color w:val="auto"/>
          <w:sz w:val="21"/>
          <w:szCs w:val="21"/>
          <w:highlight w:val="none"/>
        </w:rPr>
        <w:br w:type="page"/>
      </w:r>
    </w:p>
    <w:p w14:paraId="43871D9E">
      <w:pPr>
        <w:pStyle w:val="13"/>
        <w:widowControl/>
        <w:spacing w:beforeAutospacing="0" w:after="150" w:afterAutospacing="0" w:line="300" w:lineRule="auto"/>
        <w:jc w:val="center"/>
        <w:rPr>
          <w:color w:val="auto"/>
          <w:highlight w:val="none"/>
        </w:rPr>
      </w:pPr>
      <w:r>
        <w:rPr>
          <w:rStyle w:val="18"/>
          <w:rFonts w:hint="eastAsia" w:cs="Calibri"/>
          <w:color w:val="auto"/>
          <w:sz w:val="21"/>
          <w:szCs w:val="21"/>
          <w:highlight w:val="none"/>
        </w:rPr>
        <w:t>四</w:t>
      </w:r>
      <w:r>
        <w:rPr>
          <w:rStyle w:val="18"/>
          <w:rFonts w:hint="eastAsia" w:ascii="宋体" w:hAnsi="宋体" w:cs="宋体"/>
          <w:color w:val="auto"/>
          <w:sz w:val="21"/>
          <w:szCs w:val="21"/>
          <w:highlight w:val="none"/>
        </w:rPr>
        <w:t>、技术和服务要求响应表</w:t>
      </w:r>
    </w:p>
    <w:p w14:paraId="22A41ECB">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18D19AA8">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u w:val="single"/>
        </w:rPr>
        <w:t>                   </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0"/>
        <w:gridCol w:w="855"/>
        <w:gridCol w:w="2970"/>
        <w:gridCol w:w="1845"/>
        <w:gridCol w:w="1890"/>
      </w:tblGrid>
      <w:tr w14:paraId="2D2F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rPr>
        <w:tc>
          <w:tcPr>
            <w:tcW w:w="960" w:type="dxa"/>
            <w:tcMar>
              <w:top w:w="0" w:type="dxa"/>
              <w:left w:w="105" w:type="dxa"/>
              <w:bottom w:w="0" w:type="dxa"/>
              <w:right w:w="105" w:type="dxa"/>
            </w:tcMar>
            <w:vAlign w:val="center"/>
          </w:tcPr>
          <w:p w14:paraId="13735A09">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合同包</w:t>
            </w:r>
          </w:p>
        </w:tc>
        <w:tc>
          <w:tcPr>
            <w:tcW w:w="855" w:type="dxa"/>
            <w:tcMar>
              <w:top w:w="0" w:type="dxa"/>
              <w:left w:w="105" w:type="dxa"/>
              <w:bottom w:w="0" w:type="dxa"/>
              <w:right w:w="105" w:type="dxa"/>
            </w:tcMar>
            <w:vAlign w:val="center"/>
          </w:tcPr>
          <w:p w14:paraId="162845C2">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品目号</w:t>
            </w:r>
          </w:p>
        </w:tc>
        <w:tc>
          <w:tcPr>
            <w:tcW w:w="2970" w:type="dxa"/>
            <w:tcMar>
              <w:top w:w="0" w:type="dxa"/>
              <w:left w:w="105" w:type="dxa"/>
              <w:bottom w:w="0" w:type="dxa"/>
              <w:right w:w="105" w:type="dxa"/>
            </w:tcMar>
            <w:vAlign w:val="center"/>
          </w:tcPr>
          <w:p w14:paraId="63843948">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技术和服务要求</w:t>
            </w:r>
          </w:p>
        </w:tc>
        <w:tc>
          <w:tcPr>
            <w:tcW w:w="1845" w:type="dxa"/>
            <w:tcMar>
              <w:top w:w="0" w:type="dxa"/>
              <w:left w:w="105" w:type="dxa"/>
              <w:bottom w:w="0" w:type="dxa"/>
              <w:right w:w="105" w:type="dxa"/>
            </w:tcMar>
            <w:vAlign w:val="center"/>
          </w:tcPr>
          <w:p w14:paraId="02DA9283">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投标响应</w:t>
            </w:r>
          </w:p>
        </w:tc>
        <w:tc>
          <w:tcPr>
            <w:tcW w:w="1890" w:type="dxa"/>
            <w:tcMar>
              <w:top w:w="0" w:type="dxa"/>
              <w:left w:w="105" w:type="dxa"/>
              <w:bottom w:w="0" w:type="dxa"/>
              <w:right w:w="105" w:type="dxa"/>
            </w:tcMar>
            <w:vAlign w:val="center"/>
          </w:tcPr>
          <w:p w14:paraId="17365FED">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是否偏离及说明</w:t>
            </w:r>
          </w:p>
        </w:tc>
      </w:tr>
      <w:tr w14:paraId="15E9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27D56877">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w:t>
            </w:r>
          </w:p>
        </w:tc>
        <w:tc>
          <w:tcPr>
            <w:tcW w:w="855" w:type="dxa"/>
            <w:tcMar>
              <w:top w:w="0" w:type="dxa"/>
              <w:left w:w="105" w:type="dxa"/>
              <w:bottom w:w="0" w:type="dxa"/>
              <w:right w:w="105" w:type="dxa"/>
            </w:tcMar>
            <w:vAlign w:val="center"/>
          </w:tcPr>
          <w:p w14:paraId="2ECB3480">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*-1</w:t>
            </w:r>
          </w:p>
        </w:tc>
        <w:tc>
          <w:tcPr>
            <w:tcW w:w="2970" w:type="dxa"/>
            <w:tcMar>
              <w:top w:w="0" w:type="dxa"/>
              <w:left w:w="105" w:type="dxa"/>
              <w:bottom w:w="0" w:type="dxa"/>
              <w:right w:w="105" w:type="dxa"/>
            </w:tcMar>
            <w:vAlign w:val="top"/>
          </w:tcPr>
          <w:p w14:paraId="30BD02AA">
            <w:pPr>
              <w:widowControl/>
              <w:spacing w:line="300" w:lineRule="auto"/>
              <w:jc w:val="left"/>
              <w:rPr>
                <w:color w:val="auto"/>
                <w:highlight w:val="none"/>
              </w:rPr>
            </w:pPr>
          </w:p>
        </w:tc>
        <w:tc>
          <w:tcPr>
            <w:tcW w:w="1845" w:type="dxa"/>
            <w:tcMar>
              <w:top w:w="0" w:type="dxa"/>
              <w:left w:w="105" w:type="dxa"/>
              <w:bottom w:w="0" w:type="dxa"/>
              <w:right w:w="105" w:type="dxa"/>
            </w:tcMar>
            <w:vAlign w:val="top"/>
          </w:tcPr>
          <w:p w14:paraId="5DA9865C">
            <w:pPr>
              <w:widowControl/>
              <w:spacing w:line="300" w:lineRule="auto"/>
              <w:jc w:val="left"/>
              <w:rPr>
                <w:color w:val="auto"/>
                <w:highlight w:val="none"/>
              </w:rPr>
            </w:pPr>
          </w:p>
        </w:tc>
        <w:tc>
          <w:tcPr>
            <w:tcW w:w="1890" w:type="dxa"/>
            <w:tcMar>
              <w:top w:w="0" w:type="dxa"/>
              <w:left w:w="105" w:type="dxa"/>
              <w:bottom w:w="0" w:type="dxa"/>
              <w:right w:w="105" w:type="dxa"/>
            </w:tcMar>
            <w:vAlign w:val="top"/>
          </w:tcPr>
          <w:p w14:paraId="27C2CEB3">
            <w:pPr>
              <w:widowControl/>
              <w:spacing w:line="300" w:lineRule="auto"/>
              <w:jc w:val="left"/>
              <w:rPr>
                <w:color w:val="auto"/>
                <w:highlight w:val="none"/>
              </w:rPr>
            </w:pPr>
          </w:p>
        </w:tc>
      </w:tr>
      <w:tr w14:paraId="150E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33A0EB24">
            <w:pPr>
              <w:spacing w:line="300" w:lineRule="auto"/>
              <w:rPr>
                <w:rFonts w:ascii="宋体"/>
                <w:color w:val="auto"/>
                <w:sz w:val="24"/>
                <w:highlight w:val="none"/>
              </w:rPr>
            </w:pPr>
          </w:p>
        </w:tc>
        <w:tc>
          <w:tcPr>
            <w:tcW w:w="855" w:type="dxa"/>
            <w:tcMar>
              <w:top w:w="0" w:type="dxa"/>
              <w:left w:w="105" w:type="dxa"/>
              <w:bottom w:w="0" w:type="dxa"/>
              <w:right w:w="105" w:type="dxa"/>
            </w:tcMar>
            <w:vAlign w:val="center"/>
          </w:tcPr>
          <w:p w14:paraId="010D672C">
            <w:pPr>
              <w:pStyle w:val="13"/>
              <w:widowControl/>
              <w:spacing w:beforeAutospacing="0" w:after="150" w:afterAutospacing="0" w:line="300" w:lineRule="auto"/>
              <w:jc w:val="center"/>
              <w:rPr>
                <w:color w:val="auto"/>
                <w:highlight w:val="none"/>
              </w:rPr>
            </w:pPr>
            <w:r>
              <w:rPr>
                <w:rFonts w:cs="Calibri"/>
                <w:color w:val="auto"/>
                <w:sz w:val="21"/>
                <w:szCs w:val="21"/>
                <w:highlight w:val="none"/>
              </w:rPr>
              <w:t>…</w:t>
            </w:r>
          </w:p>
        </w:tc>
        <w:tc>
          <w:tcPr>
            <w:tcW w:w="2970" w:type="dxa"/>
            <w:tcMar>
              <w:top w:w="0" w:type="dxa"/>
              <w:left w:w="105" w:type="dxa"/>
              <w:bottom w:w="0" w:type="dxa"/>
              <w:right w:w="105" w:type="dxa"/>
            </w:tcMar>
            <w:vAlign w:val="top"/>
          </w:tcPr>
          <w:p w14:paraId="05844A6A">
            <w:pPr>
              <w:widowControl/>
              <w:spacing w:line="300" w:lineRule="auto"/>
              <w:jc w:val="left"/>
              <w:rPr>
                <w:color w:val="auto"/>
                <w:highlight w:val="none"/>
              </w:rPr>
            </w:pPr>
          </w:p>
        </w:tc>
        <w:tc>
          <w:tcPr>
            <w:tcW w:w="1845" w:type="dxa"/>
            <w:tcMar>
              <w:top w:w="0" w:type="dxa"/>
              <w:left w:w="105" w:type="dxa"/>
              <w:bottom w:w="0" w:type="dxa"/>
              <w:right w:w="105" w:type="dxa"/>
            </w:tcMar>
            <w:vAlign w:val="top"/>
          </w:tcPr>
          <w:p w14:paraId="612EC520">
            <w:pPr>
              <w:widowControl/>
              <w:spacing w:line="300" w:lineRule="auto"/>
              <w:jc w:val="left"/>
              <w:rPr>
                <w:color w:val="auto"/>
                <w:highlight w:val="none"/>
              </w:rPr>
            </w:pPr>
          </w:p>
        </w:tc>
        <w:tc>
          <w:tcPr>
            <w:tcW w:w="1890" w:type="dxa"/>
            <w:tcMar>
              <w:top w:w="0" w:type="dxa"/>
              <w:left w:w="105" w:type="dxa"/>
              <w:bottom w:w="0" w:type="dxa"/>
              <w:right w:w="105" w:type="dxa"/>
            </w:tcMar>
            <w:vAlign w:val="top"/>
          </w:tcPr>
          <w:p w14:paraId="11C23B11">
            <w:pPr>
              <w:widowControl/>
              <w:spacing w:line="300" w:lineRule="auto"/>
              <w:jc w:val="left"/>
              <w:rPr>
                <w:color w:val="auto"/>
                <w:highlight w:val="none"/>
              </w:rPr>
            </w:pPr>
          </w:p>
        </w:tc>
      </w:tr>
      <w:tr w14:paraId="4A85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470CD0D3">
            <w:pPr>
              <w:pStyle w:val="13"/>
              <w:widowControl/>
              <w:spacing w:beforeAutospacing="0" w:after="150" w:afterAutospacing="0" w:line="300" w:lineRule="auto"/>
              <w:jc w:val="center"/>
              <w:rPr>
                <w:color w:val="auto"/>
                <w:highlight w:val="none"/>
              </w:rPr>
            </w:pPr>
            <w:r>
              <w:rPr>
                <w:rFonts w:cs="Calibri"/>
                <w:color w:val="auto"/>
                <w:sz w:val="21"/>
                <w:szCs w:val="21"/>
                <w:highlight w:val="none"/>
              </w:rPr>
              <w:t>…</w:t>
            </w:r>
          </w:p>
        </w:tc>
        <w:tc>
          <w:tcPr>
            <w:tcW w:w="855" w:type="dxa"/>
            <w:tcMar>
              <w:top w:w="0" w:type="dxa"/>
              <w:left w:w="105" w:type="dxa"/>
              <w:bottom w:w="0" w:type="dxa"/>
              <w:right w:w="105" w:type="dxa"/>
            </w:tcMar>
            <w:vAlign w:val="center"/>
          </w:tcPr>
          <w:p w14:paraId="53B9CDF3">
            <w:pPr>
              <w:widowControl/>
              <w:spacing w:line="300" w:lineRule="auto"/>
              <w:jc w:val="left"/>
              <w:rPr>
                <w:color w:val="auto"/>
                <w:highlight w:val="none"/>
              </w:rPr>
            </w:pPr>
          </w:p>
        </w:tc>
        <w:tc>
          <w:tcPr>
            <w:tcW w:w="2970" w:type="dxa"/>
            <w:tcMar>
              <w:top w:w="0" w:type="dxa"/>
              <w:left w:w="105" w:type="dxa"/>
              <w:bottom w:w="0" w:type="dxa"/>
              <w:right w:w="105" w:type="dxa"/>
            </w:tcMar>
            <w:vAlign w:val="center"/>
          </w:tcPr>
          <w:p w14:paraId="39575675">
            <w:pPr>
              <w:widowControl/>
              <w:spacing w:line="300" w:lineRule="auto"/>
              <w:jc w:val="left"/>
              <w:rPr>
                <w:color w:val="auto"/>
                <w:highlight w:val="none"/>
              </w:rPr>
            </w:pPr>
          </w:p>
        </w:tc>
        <w:tc>
          <w:tcPr>
            <w:tcW w:w="1845" w:type="dxa"/>
            <w:tcMar>
              <w:top w:w="0" w:type="dxa"/>
              <w:left w:w="105" w:type="dxa"/>
              <w:bottom w:w="0" w:type="dxa"/>
              <w:right w:w="105" w:type="dxa"/>
            </w:tcMar>
            <w:vAlign w:val="center"/>
          </w:tcPr>
          <w:p w14:paraId="310223BC">
            <w:pPr>
              <w:widowControl/>
              <w:spacing w:line="300" w:lineRule="auto"/>
              <w:jc w:val="left"/>
              <w:rPr>
                <w:color w:val="auto"/>
                <w:highlight w:val="none"/>
              </w:rPr>
            </w:pPr>
          </w:p>
        </w:tc>
        <w:tc>
          <w:tcPr>
            <w:tcW w:w="1890" w:type="dxa"/>
            <w:tcMar>
              <w:top w:w="0" w:type="dxa"/>
              <w:left w:w="105" w:type="dxa"/>
              <w:bottom w:w="0" w:type="dxa"/>
              <w:right w:w="105" w:type="dxa"/>
            </w:tcMar>
            <w:vAlign w:val="center"/>
          </w:tcPr>
          <w:p w14:paraId="1BDFC849">
            <w:pPr>
              <w:widowControl/>
              <w:spacing w:line="300" w:lineRule="auto"/>
              <w:jc w:val="left"/>
              <w:rPr>
                <w:color w:val="auto"/>
                <w:highlight w:val="none"/>
              </w:rPr>
            </w:pPr>
          </w:p>
        </w:tc>
      </w:tr>
    </w:tbl>
    <w:p w14:paraId="26CA7542">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★注意：</w:t>
      </w:r>
    </w:p>
    <w:p w14:paraId="20E30BC8">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1、本表应按照下列规定填写：</w:t>
      </w:r>
    </w:p>
    <w:p w14:paraId="2EFF21D2">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1.1“技术和服务要求”项下填写的内容应与招标文件第五章“技术和服务要求”的内容保持一致。</w:t>
      </w:r>
    </w:p>
    <w:p w14:paraId="3F63E81A">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1.2“投标响应”项下应填写具体的响应内容并与“技术和服务要求”项下填写的内容逐项对应；对“技术和服务要求”项下涉及“≥或＞”、“≤或＜”及某个区间值范围内的内容，应填写具体的数值。</w:t>
      </w:r>
    </w:p>
    <w:p w14:paraId="688EFA6F">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1.3“是否偏离及说明”项下应按下列规定填写：优于的，填写“正偏离”；符合的，填写“无偏离”；低于的，填写“负偏离”。</w:t>
      </w:r>
    </w:p>
    <w:p w14:paraId="228CB680">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2、投标人需要说明的内容若需特殊表达，应先在本表中进行相应说明，再    另页应答，否则</w:t>
      </w:r>
      <w:r>
        <w:rPr>
          <w:rStyle w:val="18"/>
          <w:rFonts w:hint="eastAsia" w:ascii="宋体" w:hAnsi="宋体" w:cs="宋体"/>
          <w:color w:val="auto"/>
          <w:sz w:val="21"/>
          <w:szCs w:val="21"/>
          <w:highlight w:val="none"/>
        </w:rPr>
        <w:t>投标无效</w:t>
      </w:r>
      <w:r>
        <w:rPr>
          <w:rFonts w:hint="eastAsia" w:ascii="宋体" w:hAnsi="宋体" w:cs="宋体"/>
          <w:color w:val="auto"/>
          <w:sz w:val="21"/>
          <w:szCs w:val="21"/>
          <w:highlight w:val="none"/>
        </w:rPr>
        <w:t>。</w:t>
      </w:r>
    </w:p>
    <w:p w14:paraId="0DE98EB6">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3、纸质投标文件正本中的本表应为原件。</w:t>
      </w:r>
    </w:p>
    <w:p w14:paraId="077F1E6F">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644216DB">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2DE1F298">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14:paraId="6EA4D8D4">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14:paraId="1A07B593">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14:paraId="07A6AFB2">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2210C249">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3817C0C6">
      <w:pPr>
        <w:pStyle w:val="13"/>
        <w:widowControl/>
        <w:spacing w:beforeAutospacing="0" w:after="150" w:afterAutospacing="0" w:line="300" w:lineRule="auto"/>
        <w:jc w:val="center"/>
        <w:rPr>
          <w:rStyle w:val="18"/>
          <w:rFonts w:ascii="宋体" w:hAnsi="宋体" w:cs="宋体"/>
          <w:color w:val="auto"/>
          <w:sz w:val="21"/>
          <w:szCs w:val="21"/>
          <w:highlight w:val="none"/>
        </w:rPr>
      </w:pPr>
    </w:p>
    <w:p w14:paraId="670E7E34">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21"/>
          <w:szCs w:val="21"/>
          <w:highlight w:val="none"/>
        </w:rPr>
        <w:t>五、商务条件响应表</w:t>
      </w:r>
    </w:p>
    <w:p w14:paraId="39373776">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7C2C8469">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u w:val="single"/>
        </w:rPr>
        <w:t>                   </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0"/>
        <w:gridCol w:w="855"/>
        <w:gridCol w:w="2970"/>
        <w:gridCol w:w="1845"/>
        <w:gridCol w:w="1890"/>
      </w:tblGrid>
      <w:tr w14:paraId="2835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3576A8AF">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合同包</w:t>
            </w:r>
          </w:p>
        </w:tc>
        <w:tc>
          <w:tcPr>
            <w:tcW w:w="855" w:type="dxa"/>
            <w:tcMar>
              <w:top w:w="0" w:type="dxa"/>
              <w:left w:w="105" w:type="dxa"/>
              <w:bottom w:w="0" w:type="dxa"/>
              <w:right w:w="105" w:type="dxa"/>
            </w:tcMar>
            <w:vAlign w:val="center"/>
          </w:tcPr>
          <w:p w14:paraId="0B54F462">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品目号</w:t>
            </w:r>
          </w:p>
        </w:tc>
        <w:tc>
          <w:tcPr>
            <w:tcW w:w="2970" w:type="dxa"/>
            <w:tcMar>
              <w:top w:w="0" w:type="dxa"/>
              <w:left w:w="105" w:type="dxa"/>
              <w:bottom w:w="0" w:type="dxa"/>
              <w:right w:w="105" w:type="dxa"/>
            </w:tcMar>
            <w:vAlign w:val="center"/>
          </w:tcPr>
          <w:p w14:paraId="1B77806A">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商务条件</w:t>
            </w:r>
          </w:p>
        </w:tc>
        <w:tc>
          <w:tcPr>
            <w:tcW w:w="1845" w:type="dxa"/>
            <w:tcMar>
              <w:top w:w="0" w:type="dxa"/>
              <w:left w:w="105" w:type="dxa"/>
              <w:bottom w:w="0" w:type="dxa"/>
              <w:right w:w="105" w:type="dxa"/>
            </w:tcMar>
            <w:vAlign w:val="center"/>
          </w:tcPr>
          <w:p w14:paraId="37A79D97">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投标响应</w:t>
            </w:r>
          </w:p>
        </w:tc>
        <w:tc>
          <w:tcPr>
            <w:tcW w:w="1890" w:type="dxa"/>
            <w:tcMar>
              <w:top w:w="0" w:type="dxa"/>
              <w:left w:w="105" w:type="dxa"/>
              <w:bottom w:w="0" w:type="dxa"/>
              <w:right w:w="105" w:type="dxa"/>
            </w:tcMar>
            <w:vAlign w:val="center"/>
          </w:tcPr>
          <w:p w14:paraId="624D05EB">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是否偏离及说明</w:t>
            </w:r>
          </w:p>
        </w:tc>
      </w:tr>
      <w:tr w14:paraId="782E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47630683">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w:t>
            </w:r>
          </w:p>
        </w:tc>
        <w:tc>
          <w:tcPr>
            <w:tcW w:w="855" w:type="dxa"/>
            <w:tcMar>
              <w:top w:w="0" w:type="dxa"/>
              <w:left w:w="105" w:type="dxa"/>
              <w:bottom w:w="0" w:type="dxa"/>
              <w:right w:w="105" w:type="dxa"/>
            </w:tcMar>
            <w:vAlign w:val="center"/>
          </w:tcPr>
          <w:p w14:paraId="69E69B11">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*-1</w:t>
            </w:r>
          </w:p>
        </w:tc>
        <w:tc>
          <w:tcPr>
            <w:tcW w:w="2970" w:type="dxa"/>
            <w:tcMar>
              <w:top w:w="0" w:type="dxa"/>
              <w:left w:w="105" w:type="dxa"/>
              <w:bottom w:w="0" w:type="dxa"/>
              <w:right w:w="105" w:type="dxa"/>
            </w:tcMar>
            <w:vAlign w:val="top"/>
          </w:tcPr>
          <w:p w14:paraId="30399D30">
            <w:pPr>
              <w:widowControl/>
              <w:spacing w:line="300" w:lineRule="auto"/>
              <w:jc w:val="left"/>
              <w:rPr>
                <w:color w:val="auto"/>
                <w:highlight w:val="none"/>
              </w:rPr>
            </w:pPr>
          </w:p>
        </w:tc>
        <w:tc>
          <w:tcPr>
            <w:tcW w:w="1845" w:type="dxa"/>
            <w:tcMar>
              <w:top w:w="0" w:type="dxa"/>
              <w:left w:w="105" w:type="dxa"/>
              <w:bottom w:w="0" w:type="dxa"/>
              <w:right w:w="105" w:type="dxa"/>
            </w:tcMar>
            <w:vAlign w:val="top"/>
          </w:tcPr>
          <w:p w14:paraId="55254D88">
            <w:pPr>
              <w:widowControl/>
              <w:spacing w:line="300" w:lineRule="auto"/>
              <w:jc w:val="left"/>
              <w:rPr>
                <w:color w:val="auto"/>
                <w:highlight w:val="none"/>
              </w:rPr>
            </w:pPr>
          </w:p>
        </w:tc>
        <w:tc>
          <w:tcPr>
            <w:tcW w:w="1890" w:type="dxa"/>
            <w:tcMar>
              <w:top w:w="0" w:type="dxa"/>
              <w:left w:w="105" w:type="dxa"/>
              <w:bottom w:w="0" w:type="dxa"/>
              <w:right w:w="105" w:type="dxa"/>
            </w:tcMar>
            <w:vAlign w:val="top"/>
          </w:tcPr>
          <w:p w14:paraId="7C561061">
            <w:pPr>
              <w:widowControl/>
              <w:spacing w:line="300" w:lineRule="auto"/>
              <w:jc w:val="left"/>
              <w:rPr>
                <w:color w:val="auto"/>
                <w:highlight w:val="none"/>
              </w:rPr>
            </w:pPr>
          </w:p>
        </w:tc>
      </w:tr>
      <w:tr w14:paraId="06E7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6760EA78">
            <w:pPr>
              <w:spacing w:line="300" w:lineRule="auto"/>
              <w:rPr>
                <w:rFonts w:ascii="宋体"/>
                <w:color w:val="auto"/>
                <w:sz w:val="24"/>
                <w:highlight w:val="none"/>
              </w:rPr>
            </w:pPr>
          </w:p>
        </w:tc>
        <w:tc>
          <w:tcPr>
            <w:tcW w:w="855" w:type="dxa"/>
            <w:tcMar>
              <w:top w:w="0" w:type="dxa"/>
              <w:left w:w="105" w:type="dxa"/>
              <w:bottom w:w="0" w:type="dxa"/>
              <w:right w:w="105" w:type="dxa"/>
            </w:tcMar>
            <w:vAlign w:val="center"/>
          </w:tcPr>
          <w:p w14:paraId="54345D61">
            <w:pPr>
              <w:pStyle w:val="13"/>
              <w:widowControl/>
              <w:spacing w:beforeAutospacing="0" w:after="150" w:afterAutospacing="0" w:line="300" w:lineRule="auto"/>
              <w:jc w:val="center"/>
              <w:rPr>
                <w:color w:val="auto"/>
                <w:highlight w:val="none"/>
              </w:rPr>
            </w:pPr>
            <w:r>
              <w:rPr>
                <w:rFonts w:cs="Calibri"/>
                <w:color w:val="auto"/>
                <w:sz w:val="21"/>
                <w:szCs w:val="21"/>
                <w:highlight w:val="none"/>
              </w:rPr>
              <w:t>…</w:t>
            </w:r>
          </w:p>
        </w:tc>
        <w:tc>
          <w:tcPr>
            <w:tcW w:w="2970" w:type="dxa"/>
            <w:tcMar>
              <w:top w:w="0" w:type="dxa"/>
              <w:left w:w="105" w:type="dxa"/>
              <w:bottom w:w="0" w:type="dxa"/>
              <w:right w:w="105" w:type="dxa"/>
            </w:tcMar>
            <w:vAlign w:val="top"/>
          </w:tcPr>
          <w:p w14:paraId="7490EFEE">
            <w:pPr>
              <w:widowControl/>
              <w:spacing w:line="300" w:lineRule="auto"/>
              <w:jc w:val="left"/>
              <w:rPr>
                <w:color w:val="auto"/>
                <w:highlight w:val="none"/>
              </w:rPr>
            </w:pPr>
          </w:p>
        </w:tc>
        <w:tc>
          <w:tcPr>
            <w:tcW w:w="1845" w:type="dxa"/>
            <w:tcMar>
              <w:top w:w="0" w:type="dxa"/>
              <w:left w:w="105" w:type="dxa"/>
              <w:bottom w:w="0" w:type="dxa"/>
              <w:right w:w="105" w:type="dxa"/>
            </w:tcMar>
            <w:vAlign w:val="top"/>
          </w:tcPr>
          <w:p w14:paraId="574C830F">
            <w:pPr>
              <w:widowControl/>
              <w:spacing w:line="300" w:lineRule="auto"/>
              <w:jc w:val="left"/>
              <w:rPr>
                <w:color w:val="auto"/>
                <w:highlight w:val="none"/>
              </w:rPr>
            </w:pPr>
          </w:p>
        </w:tc>
        <w:tc>
          <w:tcPr>
            <w:tcW w:w="1890" w:type="dxa"/>
            <w:tcMar>
              <w:top w:w="0" w:type="dxa"/>
              <w:left w:w="105" w:type="dxa"/>
              <w:bottom w:w="0" w:type="dxa"/>
              <w:right w:w="105" w:type="dxa"/>
            </w:tcMar>
            <w:vAlign w:val="top"/>
          </w:tcPr>
          <w:p w14:paraId="55F64B42">
            <w:pPr>
              <w:widowControl/>
              <w:spacing w:line="300" w:lineRule="auto"/>
              <w:jc w:val="left"/>
              <w:rPr>
                <w:color w:val="auto"/>
                <w:highlight w:val="none"/>
              </w:rPr>
            </w:pPr>
          </w:p>
        </w:tc>
      </w:tr>
      <w:tr w14:paraId="6B2C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28D6795E">
            <w:pPr>
              <w:pStyle w:val="13"/>
              <w:widowControl/>
              <w:spacing w:beforeAutospacing="0" w:after="150" w:afterAutospacing="0" w:line="300" w:lineRule="auto"/>
              <w:jc w:val="center"/>
              <w:rPr>
                <w:color w:val="auto"/>
                <w:highlight w:val="none"/>
              </w:rPr>
            </w:pPr>
            <w:r>
              <w:rPr>
                <w:rFonts w:cs="Calibri"/>
                <w:color w:val="auto"/>
                <w:sz w:val="21"/>
                <w:szCs w:val="21"/>
                <w:highlight w:val="none"/>
              </w:rPr>
              <w:t>…</w:t>
            </w:r>
          </w:p>
        </w:tc>
        <w:tc>
          <w:tcPr>
            <w:tcW w:w="855" w:type="dxa"/>
            <w:tcMar>
              <w:top w:w="0" w:type="dxa"/>
              <w:left w:w="105" w:type="dxa"/>
              <w:bottom w:w="0" w:type="dxa"/>
              <w:right w:w="105" w:type="dxa"/>
            </w:tcMar>
            <w:vAlign w:val="center"/>
          </w:tcPr>
          <w:p w14:paraId="6F5BD00E">
            <w:pPr>
              <w:widowControl/>
              <w:spacing w:line="300" w:lineRule="auto"/>
              <w:jc w:val="left"/>
              <w:rPr>
                <w:color w:val="auto"/>
                <w:highlight w:val="none"/>
              </w:rPr>
            </w:pPr>
          </w:p>
        </w:tc>
        <w:tc>
          <w:tcPr>
            <w:tcW w:w="2970" w:type="dxa"/>
            <w:tcMar>
              <w:top w:w="0" w:type="dxa"/>
              <w:left w:w="105" w:type="dxa"/>
              <w:bottom w:w="0" w:type="dxa"/>
              <w:right w:w="105" w:type="dxa"/>
            </w:tcMar>
            <w:vAlign w:val="center"/>
          </w:tcPr>
          <w:p w14:paraId="0B59BD79">
            <w:pPr>
              <w:widowControl/>
              <w:spacing w:line="300" w:lineRule="auto"/>
              <w:jc w:val="left"/>
              <w:rPr>
                <w:color w:val="auto"/>
                <w:highlight w:val="none"/>
              </w:rPr>
            </w:pPr>
          </w:p>
        </w:tc>
        <w:tc>
          <w:tcPr>
            <w:tcW w:w="1845" w:type="dxa"/>
            <w:tcMar>
              <w:top w:w="0" w:type="dxa"/>
              <w:left w:w="105" w:type="dxa"/>
              <w:bottom w:w="0" w:type="dxa"/>
              <w:right w:w="105" w:type="dxa"/>
            </w:tcMar>
            <w:vAlign w:val="center"/>
          </w:tcPr>
          <w:p w14:paraId="4B03977E">
            <w:pPr>
              <w:widowControl/>
              <w:spacing w:line="300" w:lineRule="auto"/>
              <w:jc w:val="left"/>
              <w:rPr>
                <w:color w:val="auto"/>
                <w:highlight w:val="none"/>
              </w:rPr>
            </w:pPr>
          </w:p>
        </w:tc>
        <w:tc>
          <w:tcPr>
            <w:tcW w:w="1890" w:type="dxa"/>
            <w:tcMar>
              <w:top w:w="0" w:type="dxa"/>
              <w:left w:w="105" w:type="dxa"/>
              <w:bottom w:w="0" w:type="dxa"/>
              <w:right w:w="105" w:type="dxa"/>
            </w:tcMar>
            <w:vAlign w:val="center"/>
          </w:tcPr>
          <w:p w14:paraId="0CBC8D3F">
            <w:pPr>
              <w:widowControl/>
              <w:spacing w:line="300" w:lineRule="auto"/>
              <w:jc w:val="left"/>
              <w:rPr>
                <w:color w:val="auto"/>
                <w:highlight w:val="none"/>
              </w:rPr>
            </w:pPr>
          </w:p>
        </w:tc>
      </w:tr>
    </w:tbl>
    <w:p w14:paraId="2A6FBC43">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★注意：</w:t>
      </w:r>
    </w:p>
    <w:p w14:paraId="5495B6EC">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1、本表应按照下列规定填写：</w:t>
      </w:r>
    </w:p>
    <w:p w14:paraId="32AD64E8">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1.1“商务条件”项下填写的内容应与招标文件第五章“商务条件”的内容保持一致。</w:t>
      </w:r>
    </w:p>
    <w:p w14:paraId="006BBF16">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1.2“投标响应”项下应填写具体的响应内容并与“商务条件”项下填写的内容逐项对应；对“商务条件”项下涉及“≥或＞”、“≤或＜”及某个区间值范围内的内容，应填写具体的数值。</w:t>
      </w:r>
    </w:p>
    <w:p w14:paraId="766999C8">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1.3“是否偏离及说明”项下应按下列规定填写：优于的，填写“正偏离”；符合的，填写“无偏离”；低于的，填写“负偏离”。</w:t>
      </w:r>
    </w:p>
    <w:p w14:paraId="32C08BB4">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2、投标人需要说明的内容若需特殊表达，应先在本表中进行相应说明，再另页应答，否则</w:t>
      </w:r>
      <w:r>
        <w:rPr>
          <w:rStyle w:val="18"/>
          <w:rFonts w:hint="eastAsia" w:ascii="宋体" w:hAnsi="宋体" w:cs="宋体"/>
          <w:color w:val="auto"/>
          <w:sz w:val="21"/>
          <w:szCs w:val="21"/>
          <w:highlight w:val="none"/>
        </w:rPr>
        <w:t>投标无效</w:t>
      </w:r>
      <w:r>
        <w:rPr>
          <w:rFonts w:hint="eastAsia" w:ascii="宋体" w:hAnsi="宋体" w:cs="宋体"/>
          <w:color w:val="auto"/>
          <w:sz w:val="21"/>
          <w:szCs w:val="21"/>
          <w:highlight w:val="none"/>
        </w:rPr>
        <w:t>。</w:t>
      </w:r>
    </w:p>
    <w:p w14:paraId="732D1A74">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3、纸质投标文件正本中的本表应为原件。</w:t>
      </w:r>
    </w:p>
    <w:p w14:paraId="76B6616B">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4FBA6D46">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1C783A36">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14:paraId="4089A356">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14:paraId="64C58A18">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14:paraId="2ECE2438">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34D8D0F0">
      <w:pPr>
        <w:pStyle w:val="13"/>
        <w:widowControl/>
        <w:spacing w:beforeAutospacing="0" w:after="150" w:afterAutospacing="0" w:line="300" w:lineRule="auto"/>
        <w:rPr>
          <w:rFonts w:ascii="宋体" w:hAnsi="宋体" w:cs="宋体"/>
          <w:color w:val="auto"/>
          <w:sz w:val="21"/>
          <w:szCs w:val="21"/>
          <w:highlight w:val="none"/>
        </w:rPr>
      </w:pPr>
      <w:r>
        <w:rPr>
          <w:rFonts w:hint="eastAsia" w:ascii="宋体" w:hAnsi="宋体" w:cs="宋体"/>
          <w:color w:val="auto"/>
          <w:sz w:val="21"/>
          <w:szCs w:val="21"/>
          <w:highlight w:val="none"/>
        </w:rPr>
        <w:t> </w:t>
      </w:r>
    </w:p>
    <w:p w14:paraId="62F815A2">
      <w:pPr>
        <w:pStyle w:val="13"/>
        <w:widowControl/>
        <w:spacing w:beforeAutospacing="0" w:after="150" w:afterAutospacing="0" w:line="300" w:lineRule="auto"/>
        <w:rPr>
          <w:rFonts w:ascii="宋体" w:hAnsi="宋体" w:cs="宋体"/>
          <w:color w:val="auto"/>
          <w:sz w:val="21"/>
          <w:szCs w:val="21"/>
          <w:highlight w:val="none"/>
        </w:rPr>
      </w:pPr>
    </w:p>
    <w:p w14:paraId="1748482A">
      <w:pPr>
        <w:pStyle w:val="13"/>
        <w:widowControl/>
        <w:spacing w:beforeAutospacing="0" w:after="150" w:afterAutospacing="0" w:line="300" w:lineRule="auto"/>
        <w:jc w:val="center"/>
        <w:rPr>
          <w:rStyle w:val="18"/>
          <w:rFonts w:ascii="宋体" w:hAnsi="宋体" w:cs="宋体"/>
          <w:color w:val="auto"/>
          <w:sz w:val="21"/>
          <w:szCs w:val="21"/>
          <w:highlight w:val="none"/>
        </w:rPr>
      </w:pPr>
    </w:p>
    <w:p w14:paraId="4D12615C">
      <w:pPr>
        <w:pStyle w:val="13"/>
        <w:widowControl/>
        <w:spacing w:beforeAutospacing="0" w:after="150" w:afterAutospacing="0" w:line="300" w:lineRule="auto"/>
        <w:jc w:val="center"/>
        <w:rPr>
          <w:color w:val="auto"/>
          <w:highlight w:val="none"/>
        </w:rPr>
      </w:pPr>
      <w:r>
        <w:rPr>
          <w:rStyle w:val="18"/>
          <w:rFonts w:hint="eastAsia" w:ascii="宋体" w:hAnsi="宋体" w:cs="宋体"/>
          <w:color w:val="auto"/>
          <w:sz w:val="21"/>
          <w:szCs w:val="21"/>
          <w:highlight w:val="none"/>
        </w:rPr>
        <w:t>六、投标人提交的其他资料（若有）</w:t>
      </w:r>
    </w:p>
    <w:p w14:paraId="6C6D3204">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54E47A64">
      <w:pPr>
        <w:pStyle w:val="13"/>
        <w:widowControl/>
        <w:spacing w:beforeAutospacing="0" w:after="150" w:afterAutospacing="0" w:line="300" w:lineRule="auto"/>
        <w:jc w:val="center"/>
        <w:rPr>
          <w:color w:val="auto"/>
          <w:highlight w:val="none"/>
        </w:rPr>
      </w:pPr>
      <w:r>
        <w:rPr>
          <w:rFonts w:hint="eastAsia" w:ascii="宋体" w:hAnsi="宋体" w:cs="宋体"/>
          <w:color w:val="auto"/>
          <w:sz w:val="21"/>
          <w:szCs w:val="21"/>
          <w:highlight w:val="none"/>
        </w:rPr>
        <w:t>编制说明</w:t>
      </w:r>
    </w:p>
    <w:p w14:paraId="3EA109FC">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7651CBBE">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1、招标文件要求提交的除</w:t>
      </w:r>
      <w:r>
        <w:rPr>
          <w:rStyle w:val="18"/>
          <w:rFonts w:hint="eastAsia" w:ascii="宋体" w:hAnsi="宋体" w:cs="宋体"/>
          <w:color w:val="auto"/>
          <w:sz w:val="21"/>
          <w:szCs w:val="21"/>
          <w:highlight w:val="none"/>
        </w:rPr>
        <w:t>“资格及资信证明部分”、“报价部分”</w:t>
      </w:r>
      <w:r>
        <w:rPr>
          <w:rFonts w:hint="eastAsia" w:ascii="宋体" w:hAnsi="宋体" w:cs="宋体"/>
          <w:color w:val="auto"/>
          <w:sz w:val="21"/>
          <w:szCs w:val="21"/>
          <w:highlight w:val="none"/>
        </w:rPr>
        <w:t>外的其他证明材料或资料加盖投标人的单位公章后应在此项下提交。</w:t>
      </w:r>
    </w:p>
    <w:p w14:paraId="738EA92E">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2、招标文件要求投标人提供方案（包括但不限于：组织、实施、技术、服务方案等）的，投标人应在此项下提交。</w:t>
      </w:r>
    </w:p>
    <w:p w14:paraId="1FE83CA0">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3、除招标文件另有规定外，投标人认为需要提交的其他证明材料或资料加盖投标人的单位公章后应在此项下提交。</w:t>
      </w:r>
    </w:p>
    <w:p w14:paraId="7CFAA8B5">
      <w:pPr>
        <w:pStyle w:val="13"/>
        <w:widowControl/>
        <w:spacing w:beforeAutospacing="0" w:after="150" w:afterAutospacing="0" w:line="300" w:lineRule="auto"/>
        <w:rPr>
          <w:color w:val="auto"/>
          <w:highlight w:val="none"/>
        </w:rPr>
      </w:pPr>
      <w:r>
        <w:rPr>
          <w:rFonts w:hint="eastAsia" w:ascii="宋体" w:hAnsi="宋体" w:cs="宋体"/>
          <w:color w:val="auto"/>
          <w:sz w:val="21"/>
          <w:szCs w:val="21"/>
          <w:highlight w:val="none"/>
        </w:rPr>
        <w:t> </w:t>
      </w:r>
    </w:p>
    <w:p w14:paraId="33BBFFF0">
      <w:pPr>
        <w:pStyle w:val="3"/>
        <w:widowControl/>
        <w:shd w:val="clear" w:color="050000" w:fill="FFFFFF"/>
        <w:spacing w:before="300" w:beforeAutospacing="0" w:after="150" w:afterAutospacing="0" w:line="300" w:lineRule="auto"/>
        <w:rPr>
          <w:rFonts w:hint="default"/>
          <w:bCs/>
          <w:color w:val="auto"/>
          <w:highlight w:val="none"/>
        </w:rPr>
      </w:pPr>
      <w:r>
        <w:rPr>
          <w:rFonts w:hint="default" w:ascii="Helvetica" w:hAnsi="Helvetica" w:eastAsia="Helvetica" w:cs="Helvetica"/>
          <w:bCs/>
          <w:color w:val="auto"/>
          <w:sz w:val="33"/>
          <w:szCs w:val="33"/>
          <w:highlight w:val="none"/>
          <w:shd w:val="clear" w:color="080000" w:fill="FFFFFF"/>
        </w:rPr>
        <w:t>采购文件相关附件</w:t>
      </w:r>
    </w:p>
    <w:p w14:paraId="36046C38">
      <w:pPr>
        <w:tabs>
          <w:tab w:val="left" w:pos="7143"/>
        </w:tabs>
        <w:spacing w:line="300" w:lineRule="auto"/>
        <w:jc w:val="left"/>
        <w:rPr>
          <w:color w:val="auto"/>
          <w:highlight w:val="none"/>
        </w:rPr>
      </w:pPr>
    </w:p>
    <w:p w14:paraId="73B947E7">
      <w:pPr>
        <w:pStyle w:val="3"/>
        <w:widowControl/>
        <w:shd w:val="clear" w:color="050000" w:fill="FFFFFF"/>
        <w:spacing w:before="300" w:beforeAutospacing="0" w:after="150" w:afterAutospacing="0" w:line="300" w:lineRule="auto"/>
        <w:rPr>
          <w:rFonts w:hint="default"/>
          <w:color w:val="auto"/>
          <w:highlight w:val="none"/>
        </w:rPr>
      </w:pPr>
    </w:p>
    <w:sectPr>
      <w:footerReference r:id="rId3" w:type="default"/>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A67F">
    <w:pPr>
      <w:pStyle w:val="9"/>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0040"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320040" cy="139700"/>
                      </a:xfrm>
                      <a:prstGeom prst="rect">
                        <a:avLst/>
                      </a:prstGeom>
                      <a:noFill/>
                      <a:ln>
                        <a:noFill/>
                      </a:ln>
                    </wps:spPr>
                    <wps:txbx>
                      <w:txbxContent>
                        <w:p w14:paraId="51DFB35E">
                          <w:pPr>
                            <w:pStyle w:val="9"/>
                          </w:pPr>
                          <w:r>
                            <w:fldChar w:fldCharType="begin"/>
                          </w:r>
                          <w:r>
                            <w:instrText xml:space="preserve"> PAGE  \* MERGEFORMAT </w:instrText>
                          </w:r>
                          <w:r>
                            <w:fldChar w:fldCharType="separate"/>
                          </w:r>
                          <w:r>
                            <w:t>41</w:t>
                          </w:r>
                          <w:r>
                            <w:fldChar w:fldCharType="end"/>
                          </w:r>
                        </w:p>
                      </w:txbxContent>
                    </wps:txbx>
                    <wps:bodyPr lIns="0" tIns="0" rIns="0" bIns="0" upright="1">
                      <a:spAutoFit/>
                    </wps:bodyPr>
                  </wps:wsp>
                </a:graphicData>
              </a:graphic>
            </wp:anchor>
          </w:drawing>
        </mc:Choice>
        <mc:Fallback>
          <w:pict>
            <v:rect id="文本框 1" o:spid="_x0000_s1026" o:spt="1" style="position:absolute;left:0pt;margin-top:0pt;height:11pt;width:25.2pt;mso-position-horizontal:center;mso-position-horizontal-relative:margin;z-index:251659264;mso-width-relative:page;mso-height-relative:page;" filled="f" stroked="f" coordsize="21600,21600" o:gfxdata="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gnEv9MAAAADAQAADwAAAAAAAAABACAAAAAiAAAAZHJzL2Rvd25yZXYueG1sUEsBAhQA&#10;FAAAAAgAh07iQNgqvR++AQAAgQMAAA4AAAAAAAAAAQAgAAAAIgEAAGRycy9lMm9Eb2MueG1sUEsF&#10;BgAAAAAGAAYAWQEAAFIFAAAAAA==&#10;">
              <v:fill on="f" focussize="0,0"/>
              <v:stroke on="f"/>
              <v:imagedata o:title=""/>
              <o:lock v:ext="edit" aspectratio="f"/>
              <v:textbox inset="0mm,0mm,0mm,0mm" style="mso-fit-shape-to-text:t;">
                <w:txbxContent>
                  <w:p w14:paraId="51DFB35E">
                    <w:pPr>
                      <w:pStyle w:val="9"/>
                    </w:pPr>
                    <w:r>
                      <w:fldChar w:fldCharType="begin"/>
                    </w:r>
                    <w:r>
                      <w:instrText xml:space="preserve"> PAGE  \* MERGEFORMAT </w:instrText>
                    </w:r>
                    <w:r>
                      <w:fldChar w:fldCharType="separate"/>
                    </w:r>
                    <w:r>
                      <w:t>41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46AC1"/>
    <w:multiLevelType w:val="singleLevel"/>
    <w:tmpl w:val="04B46AC1"/>
    <w:lvl w:ilvl="0" w:tentative="0">
      <w:start w:val="2"/>
      <w:numFmt w:val="chineseCounting"/>
      <w:suff w:val="nothing"/>
      <w:lvlText w:val="%1、"/>
      <w:lvlJc w:val="left"/>
      <w:rPr>
        <w:rFonts w:hint="eastAsia"/>
      </w:rPr>
    </w:lvl>
  </w:abstractNum>
  <w:abstractNum w:abstractNumId="1">
    <w:nsid w:val="5CF748C8"/>
    <w:multiLevelType w:val="multilevel"/>
    <w:tmpl w:val="5CF748C8"/>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M2Y1YTBjNTg4NTEyYzIwODgyZGUyNTA1NzEzODkifQ=="/>
  </w:docVars>
  <w:rsids>
    <w:rsidRoot w:val="00077E47"/>
    <w:rsid w:val="00002C3F"/>
    <w:rsid w:val="000046EF"/>
    <w:rsid w:val="0000559D"/>
    <w:rsid w:val="00010CF3"/>
    <w:rsid w:val="00027812"/>
    <w:rsid w:val="000352A5"/>
    <w:rsid w:val="00077E47"/>
    <w:rsid w:val="00081950"/>
    <w:rsid w:val="000871F9"/>
    <w:rsid w:val="00090361"/>
    <w:rsid w:val="000A048B"/>
    <w:rsid w:val="000A0EBB"/>
    <w:rsid w:val="000C0C25"/>
    <w:rsid w:val="000E0E63"/>
    <w:rsid w:val="000E1C68"/>
    <w:rsid w:val="000E2E3D"/>
    <w:rsid w:val="000E665F"/>
    <w:rsid w:val="000F3BDE"/>
    <w:rsid w:val="001078D5"/>
    <w:rsid w:val="001245F8"/>
    <w:rsid w:val="00125E31"/>
    <w:rsid w:val="00135B2C"/>
    <w:rsid w:val="00145488"/>
    <w:rsid w:val="00192E86"/>
    <w:rsid w:val="001B3BE4"/>
    <w:rsid w:val="001B4837"/>
    <w:rsid w:val="001D71A2"/>
    <w:rsid w:val="001E09D9"/>
    <w:rsid w:val="001E54F1"/>
    <w:rsid w:val="001F11E5"/>
    <w:rsid w:val="001F29B9"/>
    <w:rsid w:val="001F2DE2"/>
    <w:rsid w:val="001F4966"/>
    <w:rsid w:val="001F6300"/>
    <w:rsid w:val="001F63AA"/>
    <w:rsid w:val="001F6487"/>
    <w:rsid w:val="002304D7"/>
    <w:rsid w:val="00231D87"/>
    <w:rsid w:val="00235E70"/>
    <w:rsid w:val="002556F1"/>
    <w:rsid w:val="0025786A"/>
    <w:rsid w:val="00261D7E"/>
    <w:rsid w:val="00272FA5"/>
    <w:rsid w:val="00274847"/>
    <w:rsid w:val="0028101D"/>
    <w:rsid w:val="00281F0B"/>
    <w:rsid w:val="002833B5"/>
    <w:rsid w:val="00292842"/>
    <w:rsid w:val="002A0733"/>
    <w:rsid w:val="002A26F3"/>
    <w:rsid w:val="002B78D6"/>
    <w:rsid w:val="002D7154"/>
    <w:rsid w:val="002D7F15"/>
    <w:rsid w:val="002E07DB"/>
    <w:rsid w:val="002E4BAE"/>
    <w:rsid w:val="002F632C"/>
    <w:rsid w:val="00304576"/>
    <w:rsid w:val="003070B3"/>
    <w:rsid w:val="00313E85"/>
    <w:rsid w:val="00320870"/>
    <w:rsid w:val="00320D74"/>
    <w:rsid w:val="00320DD7"/>
    <w:rsid w:val="00330AF0"/>
    <w:rsid w:val="00334D33"/>
    <w:rsid w:val="00344053"/>
    <w:rsid w:val="00344810"/>
    <w:rsid w:val="00345311"/>
    <w:rsid w:val="00346D52"/>
    <w:rsid w:val="003501C5"/>
    <w:rsid w:val="0035288D"/>
    <w:rsid w:val="00383310"/>
    <w:rsid w:val="00385533"/>
    <w:rsid w:val="0038555E"/>
    <w:rsid w:val="00392D85"/>
    <w:rsid w:val="003A01EC"/>
    <w:rsid w:val="003A74EA"/>
    <w:rsid w:val="003B4706"/>
    <w:rsid w:val="003D2F56"/>
    <w:rsid w:val="003D5641"/>
    <w:rsid w:val="003D7E48"/>
    <w:rsid w:val="00403C74"/>
    <w:rsid w:val="00412717"/>
    <w:rsid w:val="0043698E"/>
    <w:rsid w:val="00437948"/>
    <w:rsid w:val="00447665"/>
    <w:rsid w:val="00455EE9"/>
    <w:rsid w:val="00456FEF"/>
    <w:rsid w:val="0046662C"/>
    <w:rsid w:val="004675AB"/>
    <w:rsid w:val="00475DB6"/>
    <w:rsid w:val="0047773D"/>
    <w:rsid w:val="004810A7"/>
    <w:rsid w:val="004A4450"/>
    <w:rsid w:val="004C04EE"/>
    <w:rsid w:val="004D1C1E"/>
    <w:rsid w:val="004E5DA7"/>
    <w:rsid w:val="004E68A5"/>
    <w:rsid w:val="004F6302"/>
    <w:rsid w:val="004F7CD9"/>
    <w:rsid w:val="00505425"/>
    <w:rsid w:val="00515FA6"/>
    <w:rsid w:val="0054006F"/>
    <w:rsid w:val="005433B1"/>
    <w:rsid w:val="0055382A"/>
    <w:rsid w:val="005570B1"/>
    <w:rsid w:val="00572849"/>
    <w:rsid w:val="00582860"/>
    <w:rsid w:val="005A1105"/>
    <w:rsid w:val="005D2B2C"/>
    <w:rsid w:val="005E047C"/>
    <w:rsid w:val="005E6C15"/>
    <w:rsid w:val="006022E9"/>
    <w:rsid w:val="00620740"/>
    <w:rsid w:val="00637A0C"/>
    <w:rsid w:val="00637CCC"/>
    <w:rsid w:val="006609BD"/>
    <w:rsid w:val="006630C7"/>
    <w:rsid w:val="00671071"/>
    <w:rsid w:val="006715EC"/>
    <w:rsid w:val="006863A5"/>
    <w:rsid w:val="00692614"/>
    <w:rsid w:val="006B2519"/>
    <w:rsid w:val="006B43A4"/>
    <w:rsid w:val="006C209A"/>
    <w:rsid w:val="0070275F"/>
    <w:rsid w:val="007074AB"/>
    <w:rsid w:val="00712379"/>
    <w:rsid w:val="0071416E"/>
    <w:rsid w:val="0073705D"/>
    <w:rsid w:val="0074686A"/>
    <w:rsid w:val="00752289"/>
    <w:rsid w:val="007575EA"/>
    <w:rsid w:val="0076247C"/>
    <w:rsid w:val="0076498A"/>
    <w:rsid w:val="00776D66"/>
    <w:rsid w:val="007D41A9"/>
    <w:rsid w:val="007D6B2E"/>
    <w:rsid w:val="0080089E"/>
    <w:rsid w:val="00805A66"/>
    <w:rsid w:val="00813E1F"/>
    <w:rsid w:val="00853528"/>
    <w:rsid w:val="00856E28"/>
    <w:rsid w:val="008570D6"/>
    <w:rsid w:val="00864C8D"/>
    <w:rsid w:val="00874403"/>
    <w:rsid w:val="008850F7"/>
    <w:rsid w:val="008935BD"/>
    <w:rsid w:val="0089479B"/>
    <w:rsid w:val="008A256B"/>
    <w:rsid w:val="008A3849"/>
    <w:rsid w:val="008A76A0"/>
    <w:rsid w:val="008B05CD"/>
    <w:rsid w:val="008B6148"/>
    <w:rsid w:val="008C2674"/>
    <w:rsid w:val="008C2F6E"/>
    <w:rsid w:val="008C43D8"/>
    <w:rsid w:val="008D7F01"/>
    <w:rsid w:val="008F12F8"/>
    <w:rsid w:val="008F22A4"/>
    <w:rsid w:val="008F4DF6"/>
    <w:rsid w:val="00902104"/>
    <w:rsid w:val="00910368"/>
    <w:rsid w:val="00926D09"/>
    <w:rsid w:val="00931B50"/>
    <w:rsid w:val="009333CE"/>
    <w:rsid w:val="009334F8"/>
    <w:rsid w:val="00944C07"/>
    <w:rsid w:val="00961D34"/>
    <w:rsid w:val="00963AE1"/>
    <w:rsid w:val="00963D2F"/>
    <w:rsid w:val="00972B5E"/>
    <w:rsid w:val="009971B0"/>
    <w:rsid w:val="009A64B3"/>
    <w:rsid w:val="009F4792"/>
    <w:rsid w:val="009F79EC"/>
    <w:rsid w:val="00A054A8"/>
    <w:rsid w:val="00A1153F"/>
    <w:rsid w:val="00A24071"/>
    <w:rsid w:val="00A56824"/>
    <w:rsid w:val="00A649B9"/>
    <w:rsid w:val="00A84CF8"/>
    <w:rsid w:val="00AC2AEB"/>
    <w:rsid w:val="00AF33C6"/>
    <w:rsid w:val="00B048A7"/>
    <w:rsid w:val="00B0613A"/>
    <w:rsid w:val="00B216EF"/>
    <w:rsid w:val="00B25A7D"/>
    <w:rsid w:val="00B348A1"/>
    <w:rsid w:val="00B34A0A"/>
    <w:rsid w:val="00B430C4"/>
    <w:rsid w:val="00B45DC3"/>
    <w:rsid w:val="00B53332"/>
    <w:rsid w:val="00B85185"/>
    <w:rsid w:val="00B90583"/>
    <w:rsid w:val="00B91971"/>
    <w:rsid w:val="00BB0686"/>
    <w:rsid w:val="00BC41DD"/>
    <w:rsid w:val="00BD54EA"/>
    <w:rsid w:val="00BD630A"/>
    <w:rsid w:val="00BE3B0D"/>
    <w:rsid w:val="00BE475C"/>
    <w:rsid w:val="00BF7E67"/>
    <w:rsid w:val="00C007C0"/>
    <w:rsid w:val="00C14BBB"/>
    <w:rsid w:val="00C21BCB"/>
    <w:rsid w:val="00C37021"/>
    <w:rsid w:val="00C61E4C"/>
    <w:rsid w:val="00C822F2"/>
    <w:rsid w:val="00C867BB"/>
    <w:rsid w:val="00CB2587"/>
    <w:rsid w:val="00CB7C0F"/>
    <w:rsid w:val="00CC3970"/>
    <w:rsid w:val="00CE108E"/>
    <w:rsid w:val="00CE4C93"/>
    <w:rsid w:val="00CE6328"/>
    <w:rsid w:val="00D01792"/>
    <w:rsid w:val="00D045DF"/>
    <w:rsid w:val="00D15AC4"/>
    <w:rsid w:val="00D21641"/>
    <w:rsid w:val="00D361C9"/>
    <w:rsid w:val="00D40D69"/>
    <w:rsid w:val="00D43D25"/>
    <w:rsid w:val="00D645DA"/>
    <w:rsid w:val="00D66D4B"/>
    <w:rsid w:val="00DB27B0"/>
    <w:rsid w:val="00DC76AC"/>
    <w:rsid w:val="00DC78C8"/>
    <w:rsid w:val="00DD3F45"/>
    <w:rsid w:val="00DD7094"/>
    <w:rsid w:val="00DE6E46"/>
    <w:rsid w:val="00DF5A7B"/>
    <w:rsid w:val="00E06F34"/>
    <w:rsid w:val="00E20E86"/>
    <w:rsid w:val="00E22237"/>
    <w:rsid w:val="00E22378"/>
    <w:rsid w:val="00E35548"/>
    <w:rsid w:val="00E6190B"/>
    <w:rsid w:val="00E85E6F"/>
    <w:rsid w:val="00EA11B8"/>
    <w:rsid w:val="00EA6E06"/>
    <w:rsid w:val="00EC6A40"/>
    <w:rsid w:val="00ED0A58"/>
    <w:rsid w:val="00ED450C"/>
    <w:rsid w:val="00EE01B1"/>
    <w:rsid w:val="00EE65B6"/>
    <w:rsid w:val="00EE72AB"/>
    <w:rsid w:val="00EF2A7C"/>
    <w:rsid w:val="00F01552"/>
    <w:rsid w:val="00F01B47"/>
    <w:rsid w:val="00F06947"/>
    <w:rsid w:val="00F2210B"/>
    <w:rsid w:val="00F258BB"/>
    <w:rsid w:val="00F463BE"/>
    <w:rsid w:val="00F6705C"/>
    <w:rsid w:val="00F71DF9"/>
    <w:rsid w:val="00F73815"/>
    <w:rsid w:val="00F80C64"/>
    <w:rsid w:val="00F83932"/>
    <w:rsid w:val="00F97D22"/>
    <w:rsid w:val="00FA384D"/>
    <w:rsid w:val="00FB6D7F"/>
    <w:rsid w:val="00FD50EC"/>
    <w:rsid w:val="00FE3E08"/>
    <w:rsid w:val="010F14C9"/>
    <w:rsid w:val="01DA2CFA"/>
    <w:rsid w:val="01EA68A2"/>
    <w:rsid w:val="01F15416"/>
    <w:rsid w:val="021B1804"/>
    <w:rsid w:val="02480CD6"/>
    <w:rsid w:val="02A95439"/>
    <w:rsid w:val="02FF2587"/>
    <w:rsid w:val="033E58F3"/>
    <w:rsid w:val="036D677E"/>
    <w:rsid w:val="03A76AD8"/>
    <w:rsid w:val="04124FD6"/>
    <w:rsid w:val="049D299F"/>
    <w:rsid w:val="04AC1F9B"/>
    <w:rsid w:val="04AE2C39"/>
    <w:rsid w:val="04B93701"/>
    <w:rsid w:val="05602BE9"/>
    <w:rsid w:val="05805766"/>
    <w:rsid w:val="058A6BBC"/>
    <w:rsid w:val="05AF1BA7"/>
    <w:rsid w:val="05B9390D"/>
    <w:rsid w:val="064B03DC"/>
    <w:rsid w:val="06B3150D"/>
    <w:rsid w:val="06B84299"/>
    <w:rsid w:val="06DD254F"/>
    <w:rsid w:val="06F60C8E"/>
    <w:rsid w:val="076D702E"/>
    <w:rsid w:val="07913C76"/>
    <w:rsid w:val="07BD76B5"/>
    <w:rsid w:val="07CB1D35"/>
    <w:rsid w:val="07D2269D"/>
    <w:rsid w:val="07FE5D84"/>
    <w:rsid w:val="08666E90"/>
    <w:rsid w:val="088F5A63"/>
    <w:rsid w:val="09AB728E"/>
    <w:rsid w:val="09EB1D12"/>
    <w:rsid w:val="09EC734D"/>
    <w:rsid w:val="0B2C7EE2"/>
    <w:rsid w:val="0B474268"/>
    <w:rsid w:val="0BB40069"/>
    <w:rsid w:val="0BF9385C"/>
    <w:rsid w:val="0C850D5C"/>
    <w:rsid w:val="0CBE033E"/>
    <w:rsid w:val="0D0A2EC0"/>
    <w:rsid w:val="0D9B66F0"/>
    <w:rsid w:val="0E3F636E"/>
    <w:rsid w:val="0E491152"/>
    <w:rsid w:val="0E6748FC"/>
    <w:rsid w:val="0EBD0E3B"/>
    <w:rsid w:val="0EC97845"/>
    <w:rsid w:val="10241F05"/>
    <w:rsid w:val="10904762"/>
    <w:rsid w:val="10936E31"/>
    <w:rsid w:val="10A5340D"/>
    <w:rsid w:val="10CE5285"/>
    <w:rsid w:val="119463F9"/>
    <w:rsid w:val="1266673E"/>
    <w:rsid w:val="13020E7F"/>
    <w:rsid w:val="133B7D74"/>
    <w:rsid w:val="133C0CF3"/>
    <w:rsid w:val="13582142"/>
    <w:rsid w:val="136F116E"/>
    <w:rsid w:val="13AB106A"/>
    <w:rsid w:val="13CA3E07"/>
    <w:rsid w:val="14047281"/>
    <w:rsid w:val="14491990"/>
    <w:rsid w:val="14763B0F"/>
    <w:rsid w:val="148F1960"/>
    <w:rsid w:val="14BC51FB"/>
    <w:rsid w:val="14E10E31"/>
    <w:rsid w:val="15442D49"/>
    <w:rsid w:val="155A5817"/>
    <w:rsid w:val="155F4470"/>
    <w:rsid w:val="15CA780E"/>
    <w:rsid w:val="1686554E"/>
    <w:rsid w:val="17421D77"/>
    <w:rsid w:val="175F08AB"/>
    <w:rsid w:val="17C5460C"/>
    <w:rsid w:val="17D62327"/>
    <w:rsid w:val="180C0B3F"/>
    <w:rsid w:val="1848050C"/>
    <w:rsid w:val="19526BB4"/>
    <w:rsid w:val="19654FD3"/>
    <w:rsid w:val="19F31F2C"/>
    <w:rsid w:val="1A4A436C"/>
    <w:rsid w:val="1A551442"/>
    <w:rsid w:val="1AC00AF1"/>
    <w:rsid w:val="1AE50D8C"/>
    <w:rsid w:val="1B6738B9"/>
    <w:rsid w:val="1BC852CE"/>
    <w:rsid w:val="1BCF532C"/>
    <w:rsid w:val="1BE85686"/>
    <w:rsid w:val="1CCC07F1"/>
    <w:rsid w:val="1CCD3764"/>
    <w:rsid w:val="1D197638"/>
    <w:rsid w:val="1D536F07"/>
    <w:rsid w:val="1DD71B56"/>
    <w:rsid w:val="1E0862BE"/>
    <w:rsid w:val="1E4D7CC9"/>
    <w:rsid w:val="1E5E62B4"/>
    <w:rsid w:val="1ED24075"/>
    <w:rsid w:val="1F2161B1"/>
    <w:rsid w:val="1FB57E07"/>
    <w:rsid w:val="1FDC2E81"/>
    <w:rsid w:val="200F691E"/>
    <w:rsid w:val="203B32D9"/>
    <w:rsid w:val="203C3AE3"/>
    <w:rsid w:val="20CD585E"/>
    <w:rsid w:val="20F125A9"/>
    <w:rsid w:val="214E70B1"/>
    <w:rsid w:val="2168149E"/>
    <w:rsid w:val="21F45D95"/>
    <w:rsid w:val="223621BA"/>
    <w:rsid w:val="22497510"/>
    <w:rsid w:val="22623FCE"/>
    <w:rsid w:val="22662EA0"/>
    <w:rsid w:val="22E42D15"/>
    <w:rsid w:val="234A525F"/>
    <w:rsid w:val="239F1FD6"/>
    <w:rsid w:val="24023D35"/>
    <w:rsid w:val="24847EF8"/>
    <w:rsid w:val="24991D9A"/>
    <w:rsid w:val="24CC6AA3"/>
    <w:rsid w:val="24E412EF"/>
    <w:rsid w:val="24FE7379"/>
    <w:rsid w:val="26574EDF"/>
    <w:rsid w:val="275C66D0"/>
    <w:rsid w:val="284B3726"/>
    <w:rsid w:val="28543BAC"/>
    <w:rsid w:val="28CA347C"/>
    <w:rsid w:val="28DE601E"/>
    <w:rsid w:val="294B7B4B"/>
    <w:rsid w:val="296466CB"/>
    <w:rsid w:val="29757990"/>
    <w:rsid w:val="299A3DA1"/>
    <w:rsid w:val="29C25F20"/>
    <w:rsid w:val="2A472FF3"/>
    <w:rsid w:val="2A963C2B"/>
    <w:rsid w:val="2AE67692"/>
    <w:rsid w:val="2B22431E"/>
    <w:rsid w:val="2B985E89"/>
    <w:rsid w:val="2BBA66FA"/>
    <w:rsid w:val="2C304E30"/>
    <w:rsid w:val="2C4058A5"/>
    <w:rsid w:val="2C73152C"/>
    <w:rsid w:val="2CB57006"/>
    <w:rsid w:val="2CD02AB9"/>
    <w:rsid w:val="2DAA3469"/>
    <w:rsid w:val="2DDC00DC"/>
    <w:rsid w:val="2E9A009B"/>
    <w:rsid w:val="2F0E154F"/>
    <w:rsid w:val="2F2C13F9"/>
    <w:rsid w:val="2F436B28"/>
    <w:rsid w:val="2F5F3ED2"/>
    <w:rsid w:val="2F6408CD"/>
    <w:rsid w:val="30846606"/>
    <w:rsid w:val="30A13377"/>
    <w:rsid w:val="30DB0C1A"/>
    <w:rsid w:val="30E14C01"/>
    <w:rsid w:val="31B12793"/>
    <w:rsid w:val="31DF3930"/>
    <w:rsid w:val="32193F7E"/>
    <w:rsid w:val="32A4084D"/>
    <w:rsid w:val="32B6766D"/>
    <w:rsid w:val="33422F98"/>
    <w:rsid w:val="334242AE"/>
    <w:rsid w:val="33612C20"/>
    <w:rsid w:val="33615DA7"/>
    <w:rsid w:val="33F73B19"/>
    <w:rsid w:val="345559B3"/>
    <w:rsid w:val="35D44E09"/>
    <w:rsid w:val="36514488"/>
    <w:rsid w:val="36900FE0"/>
    <w:rsid w:val="36A13632"/>
    <w:rsid w:val="370B15BC"/>
    <w:rsid w:val="37142DC8"/>
    <w:rsid w:val="37820D51"/>
    <w:rsid w:val="39374F0E"/>
    <w:rsid w:val="39430C26"/>
    <w:rsid w:val="395A3549"/>
    <w:rsid w:val="3979719D"/>
    <w:rsid w:val="39DE1F11"/>
    <w:rsid w:val="39E96F83"/>
    <w:rsid w:val="3A41112D"/>
    <w:rsid w:val="3A415808"/>
    <w:rsid w:val="3A564FC6"/>
    <w:rsid w:val="3A9D31F0"/>
    <w:rsid w:val="3AD44CE8"/>
    <w:rsid w:val="3B4E60C8"/>
    <w:rsid w:val="3B866C77"/>
    <w:rsid w:val="3B881D85"/>
    <w:rsid w:val="3BD1574E"/>
    <w:rsid w:val="3C3C510D"/>
    <w:rsid w:val="3C4474E7"/>
    <w:rsid w:val="3C6601EC"/>
    <w:rsid w:val="3CAF7977"/>
    <w:rsid w:val="3CD75F5F"/>
    <w:rsid w:val="3D2B4748"/>
    <w:rsid w:val="3D2D4032"/>
    <w:rsid w:val="3D676DE7"/>
    <w:rsid w:val="3D6C5032"/>
    <w:rsid w:val="3D8A3804"/>
    <w:rsid w:val="3D8E199D"/>
    <w:rsid w:val="3E47743A"/>
    <w:rsid w:val="3E63066F"/>
    <w:rsid w:val="3E6423A6"/>
    <w:rsid w:val="3E6664C7"/>
    <w:rsid w:val="3F570819"/>
    <w:rsid w:val="3FAF0F8B"/>
    <w:rsid w:val="4018249E"/>
    <w:rsid w:val="4019053F"/>
    <w:rsid w:val="4060529A"/>
    <w:rsid w:val="4075183B"/>
    <w:rsid w:val="40ED105C"/>
    <w:rsid w:val="40EF5C1A"/>
    <w:rsid w:val="414E16B1"/>
    <w:rsid w:val="41F85BCF"/>
    <w:rsid w:val="42132326"/>
    <w:rsid w:val="42232CD6"/>
    <w:rsid w:val="424853CC"/>
    <w:rsid w:val="426C05E7"/>
    <w:rsid w:val="429E0E35"/>
    <w:rsid w:val="433517D1"/>
    <w:rsid w:val="44A65A1F"/>
    <w:rsid w:val="44F80C36"/>
    <w:rsid w:val="45267D82"/>
    <w:rsid w:val="458000D3"/>
    <w:rsid w:val="458645CE"/>
    <w:rsid w:val="45FC058A"/>
    <w:rsid w:val="46220F1F"/>
    <w:rsid w:val="46652E1D"/>
    <w:rsid w:val="4714320A"/>
    <w:rsid w:val="47D56741"/>
    <w:rsid w:val="483031FD"/>
    <w:rsid w:val="48DA6D25"/>
    <w:rsid w:val="48EA70B0"/>
    <w:rsid w:val="492B471A"/>
    <w:rsid w:val="495916FB"/>
    <w:rsid w:val="49793078"/>
    <w:rsid w:val="497C0086"/>
    <w:rsid w:val="4B1A6144"/>
    <w:rsid w:val="4B946E40"/>
    <w:rsid w:val="4C05173A"/>
    <w:rsid w:val="4C75097F"/>
    <w:rsid w:val="4C8A5A59"/>
    <w:rsid w:val="4C9D64B6"/>
    <w:rsid w:val="4CD63ADF"/>
    <w:rsid w:val="4D12799E"/>
    <w:rsid w:val="4D2B7FCD"/>
    <w:rsid w:val="4D326042"/>
    <w:rsid w:val="4D893C6B"/>
    <w:rsid w:val="4DAC598D"/>
    <w:rsid w:val="4E0D6B83"/>
    <w:rsid w:val="4E2A1BAC"/>
    <w:rsid w:val="4E48198A"/>
    <w:rsid w:val="4E602E55"/>
    <w:rsid w:val="4EB014C3"/>
    <w:rsid w:val="4F417CF6"/>
    <w:rsid w:val="4F637D4D"/>
    <w:rsid w:val="50360EF4"/>
    <w:rsid w:val="505605DA"/>
    <w:rsid w:val="510F0A07"/>
    <w:rsid w:val="518976D2"/>
    <w:rsid w:val="51C953F6"/>
    <w:rsid w:val="51EB1CF5"/>
    <w:rsid w:val="531F3CA2"/>
    <w:rsid w:val="53454955"/>
    <w:rsid w:val="53A37441"/>
    <w:rsid w:val="541E5A5E"/>
    <w:rsid w:val="542A450E"/>
    <w:rsid w:val="54457659"/>
    <w:rsid w:val="5453375D"/>
    <w:rsid w:val="54F75A67"/>
    <w:rsid w:val="556D5793"/>
    <w:rsid w:val="55735A3E"/>
    <w:rsid w:val="560F3913"/>
    <w:rsid w:val="56443B98"/>
    <w:rsid w:val="565F6940"/>
    <w:rsid w:val="56713688"/>
    <w:rsid w:val="575E7FF2"/>
    <w:rsid w:val="5869289D"/>
    <w:rsid w:val="586A7E1F"/>
    <w:rsid w:val="58DC348C"/>
    <w:rsid w:val="59492679"/>
    <w:rsid w:val="596C011C"/>
    <w:rsid w:val="59C27774"/>
    <w:rsid w:val="5A5F46EF"/>
    <w:rsid w:val="5AA026F4"/>
    <w:rsid w:val="5AD609EE"/>
    <w:rsid w:val="5B111659"/>
    <w:rsid w:val="5B3F5BFF"/>
    <w:rsid w:val="5BA30DD8"/>
    <w:rsid w:val="5BAB06DD"/>
    <w:rsid w:val="5BE30453"/>
    <w:rsid w:val="5C3A6A7A"/>
    <w:rsid w:val="5C42200B"/>
    <w:rsid w:val="5C6D7D02"/>
    <w:rsid w:val="5CF17E4C"/>
    <w:rsid w:val="5CFB4059"/>
    <w:rsid w:val="5D1F2139"/>
    <w:rsid w:val="5E413281"/>
    <w:rsid w:val="5EA91D5E"/>
    <w:rsid w:val="5EF96A64"/>
    <w:rsid w:val="5F1073BF"/>
    <w:rsid w:val="5F6B6599"/>
    <w:rsid w:val="5FAB55C7"/>
    <w:rsid w:val="602D023E"/>
    <w:rsid w:val="60680A3A"/>
    <w:rsid w:val="60AB0F3C"/>
    <w:rsid w:val="611543D6"/>
    <w:rsid w:val="61781109"/>
    <w:rsid w:val="61EC5354"/>
    <w:rsid w:val="62C252FC"/>
    <w:rsid w:val="62C71DCB"/>
    <w:rsid w:val="635D34A1"/>
    <w:rsid w:val="63CA46E4"/>
    <w:rsid w:val="64287EC4"/>
    <w:rsid w:val="642E408C"/>
    <w:rsid w:val="646364AD"/>
    <w:rsid w:val="648C1B70"/>
    <w:rsid w:val="64E96A47"/>
    <w:rsid w:val="6504700D"/>
    <w:rsid w:val="650848DF"/>
    <w:rsid w:val="65982F48"/>
    <w:rsid w:val="65D13A9E"/>
    <w:rsid w:val="65DA6BB6"/>
    <w:rsid w:val="65DE6B46"/>
    <w:rsid w:val="65EC32C5"/>
    <w:rsid w:val="66020BD3"/>
    <w:rsid w:val="66130466"/>
    <w:rsid w:val="66A51B8B"/>
    <w:rsid w:val="672B0D2B"/>
    <w:rsid w:val="673B426B"/>
    <w:rsid w:val="67555CF6"/>
    <w:rsid w:val="68041736"/>
    <w:rsid w:val="68AD451C"/>
    <w:rsid w:val="693350E8"/>
    <w:rsid w:val="6A0328A1"/>
    <w:rsid w:val="6A1C4324"/>
    <w:rsid w:val="6A6B128C"/>
    <w:rsid w:val="6A7449B2"/>
    <w:rsid w:val="6AF90B6F"/>
    <w:rsid w:val="6B2353B7"/>
    <w:rsid w:val="6B8E1D53"/>
    <w:rsid w:val="6BB868C1"/>
    <w:rsid w:val="6CEE7631"/>
    <w:rsid w:val="6D1740B1"/>
    <w:rsid w:val="6F021670"/>
    <w:rsid w:val="6F0A69FD"/>
    <w:rsid w:val="6F2850F6"/>
    <w:rsid w:val="6F496CF1"/>
    <w:rsid w:val="6FB410D2"/>
    <w:rsid w:val="6FB64F87"/>
    <w:rsid w:val="70547E28"/>
    <w:rsid w:val="712D790F"/>
    <w:rsid w:val="713A6C7E"/>
    <w:rsid w:val="71705FB1"/>
    <w:rsid w:val="72160CE2"/>
    <w:rsid w:val="72476E8D"/>
    <w:rsid w:val="725B3416"/>
    <w:rsid w:val="72776FAF"/>
    <w:rsid w:val="731E221C"/>
    <w:rsid w:val="73293BFC"/>
    <w:rsid w:val="73596F77"/>
    <w:rsid w:val="735A1AF0"/>
    <w:rsid w:val="737C1021"/>
    <w:rsid w:val="73897F13"/>
    <w:rsid w:val="73BA53D9"/>
    <w:rsid w:val="73DC5FE3"/>
    <w:rsid w:val="73E14A63"/>
    <w:rsid w:val="748035C1"/>
    <w:rsid w:val="74A86F57"/>
    <w:rsid w:val="751C490D"/>
    <w:rsid w:val="7544402E"/>
    <w:rsid w:val="756B5507"/>
    <w:rsid w:val="757F0499"/>
    <w:rsid w:val="75B90985"/>
    <w:rsid w:val="75D6630D"/>
    <w:rsid w:val="7628297D"/>
    <w:rsid w:val="763C0EC4"/>
    <w:rsid w:val="76AF3DAA"/>
    <w:rsid w:val="776E1430"/>
    <w:rsid w:val="77865F53"/>
    <w:rsid w:val="77DE3C3A"/>
    <w:rsid w:val="77E17CC4"/>
    <w:rsid w:val="785E5153"/>
    <w:rsid w:val="78EC7BC3"/>
    <w:rsid w:val="79A73C3D"/>
    <w:rsid w:val="7A2E1215"/>
    <w:rsid w:val="7A4F3CDE"/>
    <w:rsid w:val="7A58416D"/>
    <w:rsid w:val="7A825C0A"/>
    <w:rsid w:val="7AA031C8"/>
    <w:rsid w:val="7B0B71C7"/>
    <w:rsid w:val="7B5359EE"/>
    <w:rsid w:val="7B8D2D81"/>
    <w:rsid w:val="7B9109D9"/>
    <w:rsid w:val="7B9B799B"/>
    <w:rsid w:val="7BD94350"/>
    <w:rsid w:val="7BE84353"/>
    <w:rsid w:val="7C44567A"/>
    <w:rsid w:val="7CBE403B"/>
    <w:rsid w:val="7D624D45"/>
    <w:rsid w:val="7DA011B9"/>
    <w:rsid w:val="7DC77394"/>
    <w:rsid w:val="7DDE7344"/>
    <w:rsid w:val="7E7A0ECD"/>
    <w:rsid w:val="7EC21C85"/>
    <w:rsid w:val="7EC22ADB"/>
    <w:rsid w:val="7EFD29E2"/>
    <w:rsid w:val="7F2D0866"/>
    <w:rsid w:val="7F512764"/>
    <w:rsid w:val="7FC1408E"/>
    <w:rsid w:val="7FEA0F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3"/>
    <w:basedOn w:val="1"/>
    <w:next w:val="4"/>
    <w:unhideWhenUsed/>
    <w:qFormat/>
    <w:uiPriority w:val="0"/>
    <w:pPr>
      <w:spacing w:beforeAutospacing="1" w:afterAutospacing="1"/>
      <w:jc w:val="left"/>
      <w:outlineLvl w:val="2"/>
    </w:pPr>
    <w:rPr>
      <w:rFonts w:hint="eastAsia" w:ascii="宋体" w:hAnsi="宋体" w:cs="宋体"/>
      <w:b/>
      <w:kern w:val="0"/>
      <w:sz w:val="27"/>
      <w:szCs w:val="27"/>
    </w:rPr>
  </w:style>
  <w:style w:type="paragraph" w:styleId="2">
    <w:name w:val="heading 4"/>
    <w:basedOn w:val="1"/>
    <w:next w:val="1"/>
    <w:qFormat/>
    <w:uiPriority w:val="9"/>
    <w:pPr>
      <w:widowControl/>
      <w:spacing w:before="100" w:beforeAutospacing="1" w:after="100" w:afterAutospacing="1" w:line="240" w:lineRule="auto"/>
      <w:jc w:val="left"/>
      <w:outlineLvl w:val="3"/>
    </w:pPr>
    <w:rPr>
      <w:rFonts w:ascii="宋体" w:hAnsi="宋体" w:eastAsia="宋体" w:cs="宋体"/>
      <w:kern w:val="0"/>
      <w:sz w:val="24"/>
      <w:szCs w:val="24"/>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5">
    <w:name w:val="annotation text"/>
    <w:basedOn w:val="1"/>
    <w:qFormat/>
    <w:uiPriority w:val="0"/>
    <w:pPr>
      <w:jc w:val="left"/>
    </w:pPr>
  </w:style>
  <w:style w:type="paragraph" w:styleId="6">
    <w:name w:val="Body Text"/>
    <w:basedOn w:val="1"/>
    <w:qFormat/>
    <w:uiPriority w:val="99"/>
    <w:pPr>
      <w:spacing w:after="120"/>
    </w:pPr>
  </w:style>
  <w:style w:type="paragraph" w:styleId="7">
    <w:name w:val="Plain Text"/>
    <w:basedOn w:val="1"/>
    <w:qFormat/>
    <w:uiPriority w:val="0"/>
    <w:rPr>
      <w:rFonts w:ascii="宋体" w:hAnsi="Courier New"/>
      <w:szCs w:val="20"/>
    </w:rPr>
  </w:style>
  <w:style w:type="paragraph" w:styleId="8">
    <w:name w:val="Balloon Text"/>
    <w:basedOn w:val="1"/>
    <w:link w:val="28"/>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pPr>
      <w:tabs>
        <w:tab w:val="right" w:leader="dot" w:pos="9060"/>
      </w:tabs>
      <w:spacing w:before="120" w:after="120"/>
      <w:jc w:val="left"/>
    </w:pPr>
    <w:rPr>
      <w:b/>
      <w:bCs/>
      <w:caps/>
      <w:sz w:val="24"/>
    </w:rPr>
  </w:style>
  <w:style w:type="paragraph" w:styleId="12">
    <w:name w:val="Body Text 2"/>
    <w:basedOn w:val="1"/>
    <w:qFormat/>
    <w:uiPriority w:val="0"/>
    <w:rPr>
      <w:rFonts w:ascii="宋体" w:hAnsi="宋体"/>
      <w:b/>
      <w:bCs/>
    </w:r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w:basedOn w:val="6"/>
    <w:next w:val="1"/>
    <w:qFormat/>
    <w:uiPriority w:val="0"/>
    <w:pPr>
      <w:ind w:firstLine="420" w:firstLineChars="100"/>
    </w:p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首行缩进"/>
    <w:basedOn w:val="1"/>
    <w:qFormat/>
    <w:uiPriority w:val="0"/>
    <w:pPr>
      <w:autoSpaceDE w:val="0"/>
      <w:autoSpaceDN w:val="0"/>
      <w:adjustRightInd w:val="0"/>
      <w:spacing w:line="360" w:lineRule="auto"/>
      <w:ind w:firstLine="720"/>
      <w:jc w:val="left"/>
    </w:pPr>
    <w:rPr>
      <w:rFonts w:ascii="Arial" w:hAnsi="Arial"/>
      <w:szCs w:val="21"/>
    </w:rPr>
  </w:style>
  <w:style w:type="paragraph" w:customStyle="1" w:styleId="21">
    <w:name w:val="目录 91"/>
    <w:basedOn w:val="1"/>
    <w:next w:val="1"/>
    <w:qFormat/>
    <w:uiPriority w:val="0"/>
    <w:pPr>
      <w:ind w:left="1680"/>
    </w:pPr>
    <w:rPr>
      <w:sz w:val="18"/>
    </w:rPr>
  </w:style>
  <w:style w:type="paragraph" w:customStyle="1" w:styleId="22">
    <w:name w:val="样式 标题 3 + (中文) 黑体 小四 非加粗 段前: 7.8 磅 段后: 0 磅 行距: 固定值 20 磅"/>
    <w:basedOn w:val="3"/>
    <w:qFormat/>
    <w:uiPriority w:val="0"/>
    <w:pPr>
      <w:spacing w:line="400" w:lineRule="exact"/>
    </w:pPr>
    <w:rPr>
      <w:rFonts w:eastAsia="黑体"/>
      <w:b w:val="0"/>
      <w:kern w:val="2"/>
      <w:sz w:val="24"/>
      <w:szCs w:val="20"/>
    </w:rPr>
  </w:style>
  <w:style w:type="paragraph" w:customStyle="1" w:styleId="23">
    <w:name w:val="表格文字"/>
    <w:basedOn w:val="1"/>
    <w:next w:val="6"/>
    <w:qFormat/>
    <w:uiPriority w:val="0"/>
    <w:pPr>
      <w:spacing w:line="360" w:lineRule="auto"/>
      <w:jc w:val="left"/>
    </w:pPr>
    <w:rPr>
      <w:rFonts w:ascii="Times New Roman" w:hAnsi="Times New Roman" w:cs="Times New Roman"/>
      <w:bCs/>
      <w:spacing w:val="10"/>
      <w:kern w:val="0"/>
    </w:rPr>
  </w:style>
  <w:style w:type="paragraph" w:customStyle="1" w:styleId="24">
    <w:name w:val="Table Paragraph"/>
    <w:basedOn w:val="1"/>
    <w:qFormat/>
    <w:uiPriority w:val="1"/>
    <w:pPr>
      <w:autoSpaceDE w:val="0"/>
      <w:autoSpaceDN w:val="0"/>
      <w:jc w:val="left"/>
    </w:pPr>
    <w:rPr>
      <w:rFonts w:ascii="宋体" w:hAnsi="宋体" w:cs="宋体"/>
      <w:kern w:val="0"/>
      <w:sz w:val="22"/>
      <w:szCs w:val="22"/>
    </w:rPr>
  </w:style>
  <w:style w:type="paragraph" w:customStyle="1" w:styleId="25">
    <w:name w:val="列出段落1"/>
    <w:basedOn w:val="1"/>
    <w:qFormat/>
    <w:uiPriority w:val="34"/>
    <w:pPr>
      <w:ind w:firstLine="420" w:firstLineChars="200"/>
    </w:pPr>
    <w:rPr>
      <w:rFonts w:cs="Times New Roman"/>
    </w:rPr>
  </w:style>
  <w:style w:type="paragraph" w:customStyle="1" w:styleId="26">
    <w:name w:val="正文缩进1"/>
    <w:basedOn w:val="1"/>
    <w:qFormat/>
    <w:uiPriority w:val="0"/>
    <w:pPr>
      <w:widowControl/>
      <w:ind w:firstLine="420"/>
      <w:jc w:val="left"/>
    </w:pPr>
    <w:rPr>
      <w:kern w:val="0"/>
      <w:sz w:val="20"/>
      <w:szCs w:val="20"/>
    </w:rPr>
  </w:style>
  <w:style w:type="paragraph" w:customStyle="1" w:styleId="27">
    <w:name w:val="null3"/>
    <w:qFormat/>
    <w:uiPriority w:val="0"/>
    <w:rPr>
      <w:rFonts w:hint="eastAsia" w:ascii="Calibri" w:hAnsi="Calibri" w:eastAsia="宋体" w:cs="Times New Roman"/>
      <w:lang w:val="en-US" w:eastAsia="zh-CN" w:bidi="ar-SA"/>
    </w:rPr>
  </w:style>
  <w:style w:type="character" w:customStyle="1" w:styleId="28">
    <w:name w:val="批注框文本 Char"/>
    <w:basedOn w:val="17"/>
    <w:link w:val="8"/>
    <w:qFormat/>
    <w:uiPriority w:val="0"/>
    <w:rPr>
      <w:rFonts w:ascii="Calibri" w:hAnsi="Calibri" w:cs="黑体"/>
      <w:kern w:val="2"/>
      <w:sz w:val="18"/>
      <w:szCs w:val="18"/>
    </w:rPr>
  </w:style>
  <w:style w:type="character" w:customStyle="1" w:styleId="29">
    <w:name w:val="font161"/>
    <w:qFormat/>
    <w:uiPriority w:val="0"/>
    <w:rPr>
      <w:rFonts w:hint="eastAsia" w:ascii="宋体" w:hAnsi="宋体" w:eastAsia="宋体" w:cs="宋体"/>
      <w:color w:val="000000"/>
      <w:sz w:val="22"/>
      <w:szCs w:val="22"/>
      <w:u w:val="none"/>
    </w:rPr>
  </w:style>
  <w:style w:type="character" w:customStyle="1" w:styleId="30">
    <w:name w:val="font31"/>
    <w:basedOn w:val="17"/>
    <w:qFormat/>
    <w:uiPriority w:val="0"/>
    <w:rPr>
      <w:rFonts w:hint="eastAsia" w:ascii="宋体" w:hAnsi="宋体" w:eastAsia="宋体" w:cs="宋体"/>
      <w:color w:val="000000"/>
      <w:sz w:val="22"/>
      <w:szCs w:val="22"/>
      <w:u w:val="none"/>
    </w:rPr>
  </w:style>
  <w:style w:type="character" w:customStyle="1" w:styleId="31">
    <w:name w:val="font61"/>
    <w:basedOn w:val="17"/>
    <w:qFormat/>
    <w:uiPriority w:val="0"/>
    <w:rPr>
      <w:rFonts w:hint="default" w:ascii="Calibri" w:hAnsi="Calibri" w:cs="Calibri"/>
      <w:color w:val="000000"/>
      <w:sz w:val="22"/>
      <w:szCs w:val="22"/>
      <w:u w:val="none"/>
    </w:rPr>
  </w:style>
  <w:style w:type="character" w:customStyle="1" w:styleId="32">
    <w:name w:val="font41"/>
    <w:basedOn w:val="17"/>
    <w:qFormat/>
    <w:uiPriority w:val="0"/>
    <w:rPr>
      <w:rFonts w:hint="eastAsia" w:ascii="宋体" w:hAnsi="宋体" w:eastAsia="宋体" w:cs="宋体"/>
      <w:color w:val="000000"/>
      <w:sz w:val="22"/>
      <w:szCs w:val="22"/>
      <w:u w:val="none"/>
    </w:rPr>
  </w:style>
  <w:style w:type="character" w:customStyle="1" w:styleId="33">
    <w:name w:val="font51"/>
    <w:basedOn w:val="17"/>
    <w:qFormat/>
    <w:uiPriority w:val="0"/>
    <w:rPr>
      <w:rFonts w:hint="eastAsia" w:ascii="宋体" w:hAnsi="宋体" w:eastAsia="宋体" w:cs="宋体"/>
      <w:b/>
      <w:bCs/>
      <w:color w:val="000000"/>
      <w:sz w:val="22"/>
      <w:szCs w:val="22"/>
      <w:u w:val="none"/>
    </w:rPr>
  </w:style>
  <w:style w:type="character" w:customStyle="1" w:styleId="34">
    <w:name w:val="font21"/>
    <w:basedOn w:val="17"/>
    <w:qFormat/>
    <w:uiPriority w:val="0"/>
    <w:rPr>
      <w:rFonts w:hint="eastAsia" w:ascii="宋体" w:hAnsi="宋体" w:eastAsia="宋体" w:cs="宋体"/>
      <w:color w:val="000000"/>
      <w:sz w:val="20"/>
      <w:szCs w:val="20"/>
      <w:u w:val="none"/>
    </w:rPr>
  </w:style>
  <w:style w:type="character" w:customStyle="1" w:styleId="35">
    <w:name w:val="font101"/>
    <w:basedOn w:val="17"/>
    <w:qFormat/>
    <w:uiPriority w:val="0"/>
    <w:rPr>
      <w:rFonts w:hint="eastAsia" w:ascii="宋体" w:hAnsi="宋体" w:eastAsia="宋体" w:cs="宋体"/>
      <w:color w:val="000000"/>
      <w:sz w:val="20"/>
      <w:szCs w:val="20"/>
      <w:u w:val="none"/>
      <w:vertAlign w:val="superscript"/>
    </w:rPr>
  </w:style>
  <w:style w:type="character" w:customStyle="1" w:styleId="36">
    <w:name w:val="font91"/>
    <w:basedOn w:val="17"/>
    <w:qFormat/>
    <w:uiPriority w:val="0"/>
    <w:rPr>
      <w:rFonts w:hint="default" w:ascii="Times New Roman" w:hAnsi="Times New Roman" w:cs="Times New Roman"/>
      <w:color w:val="000000"/>
      <w:sz w:val="20"/>
      <w:szCs w:val="20"/>
      <w:u w:val="none"/>
    </w:rPr>
  </w:style>
  <w:style w:type="character" w:customStyle="1" w:styleId="37">
    <w:name w:val="font11"/>
    <w:basedOn w:val="17"/>
    <w:qFormat/>
    <w:uiPriority w:val="0"/>
    <w:rPr>
      <w:rFonts w:hint="eastAsia" w:ascii="宋体" w:hAnsi="宋体" w:eastAsia="宋体" w:cs="宋体"/>
      <w:color w:val="000000"/>
      <w:sz w:val="20"/>
      <w:szCs w:val="20"/>
      <w:u w:val="none"/>
    </w:rPr>
  </w:style>
  <w:style w:type="character" w:customStyle="1" w:styleId="38">
    <w:name w:val="font01"/>
    <w:basedOn w:val="17"/>
    <w:qFormat/>
    <w:uiPriority w:val="0"/>
    <w:rPr>
      <w:rFonts w:hint="eastAsia" w:ascii="宋体" w:hAnsi="宋体" w:eastAsia="宋体" w:cs="宋体"/>
      <w:color w:val="000000"/>
      <w:sz w:val="18"/>
      <w:szCs w:val="18"/>
      <w:u w:val="none"/>
    </w:rPr>
  </w:style>
  <w:style w:type="character" w:customStyle="1" w:styleId="39">
    <w:name w:val="font71"/>
    <w:basedOn w:val="17"/>
    <w:qFormat/>
    <w:uiPriority w:val="0"/>
    <w:rPr>
      <w:rFonts w:hint="eastAsia" w:ascii="宋体" w:hAnsi="宋体" w:eastAsia="宋体" w:cs="宋体"/>
      <w:color w:val="000000"/>
      <w:sz w:val="20"/>
      <w:szCs w:val="20"/>
      <w:u w:val="none"/>
    </w:rPr>
  </w:style>
  <w:style w:type="character" w:customStyle="1" w:styleId="40">
    <w:name w:val="font81"/>
    <w:basedOn w:val="17"/>
    <w:qFormat/>
    <w:uiPriority w:val="0"/>
    <w:rPr>
      <w:rFonts w:hint="eastAsia" w:ascii="宋体" w:hAnsi="宋体" w:eastAsia="宋体" w:cs="宋体"/>
      <w:b/>
      <w:bCs/>
      <w:color w:val="000000"/>
      <w:sz w:val="20"/>
      <w:szCs w:val="20"/>
      <w:u w:val="none"/>
    </w:rPr>
  </w:style>
  <w:style w:type="character" w:customStyle="1" w:styleId="41">
    <w:name w:val="font271"/>
    <w:basedOn w:val="17"/>
    <w:qFormat/>
    <w:uiPriority w:val="0"/>
    <w:rPr>
      <w:rFonts w:ascii="Arial" w:hAnsi="Arial" w:cs="Arial"/>
      <w:color w:val="000000"/>
      <w:sz w:val="20"/>
      <w:szCs w:val="20"/>
      <w:u w:val="none"/>
    </w:rPr>
  </w:style>
  <w:style w:type="character" w:customStyle="1" w:styleId="42">
    <w:name w:val="font22"/>
    <w:basedOn w:val="17"/>
    <w:qFormat/>
    <w:uiPriority w:val="0"/>
    <w:rPr>
      <w:rFonts w:hint="eastAsia" w:ascii="宋体" w:hAnsi="宋体" w:eastAsia="宋体" w:cs="宋体"/>
      <w:color w:val="000000"/>
      <w:sz w:val="20"/>
      <w:szCs w:val="20"/>
      <w:u w:val="none"/>
    </w:rPr>
  </w:style>
  <w:style w:type="character" w:customStyle="1" w:styleId="43">
    <w:name w:val="font281"/>
    <w:basedOn w:val="17"/>
    <w:qFormat/>
    <w:uiPriority w:val="0"/>
    <w:rPr>
      <w:rFonts w:hint="default" w:ascii="Arial" w:hAnsi="Arial" w:cs="Arial"/>
      <w:color w:val="000000"/>
      <w:sz w:val="20"/>
      <w:szCs w:val="20"/>
      <w:u w:val="none"/>
    </w:rPr>
  </w:style>
  <w:style w:type="character" w:customStyle="1" w:styleId="44">
    <w:name w:val="font181"/>
    <w:basedOn w:val="17"/>
    <w:qFormat/>
    <w:uiPriority w:val="0"/>
    <w:rPr>
      <w:rFonts w:hint="eastAsia" w:ascii="宋体" w:hAnsi="宋体" w:eastAsia="宋体" w:cs="宋体"/>
      <w:color w:val="000000"/>
      <w:sz w:val="18"/>
      <w:szCs w:val="18"/>
      <w:u w:val="none"/>
    </w:rPr>
  </w:style>
  <w:style w:type="character" w:customStyle="1" w:styleId="45">
    <w:name w:val="font291"/>
    <w:basedOn w:val="17"/>
    <w:qFormat/>
    <w:uiPriority w:val="0"/>
    <w:rPr>
      <w:rFonts w:hint="default" w:ascii="Arial" w:hAnsi="Arial" w:cs="Arial"/>
      <w:color w:val="000000"/>
      <w:sz w:val="18"/>
      <w:szCs w:val="18"/>
      <w:u w:val="none"/>
    </w:rPr>
  </w:style>
  <w:style w:type="character" w:customStyle="1" w:styleId="46">
    <w:name w:val="font241"/>
    <w:basedOn w:val="17"/>
    <w:qFormat/>
    <w:uiPriority w:val="0"/>
    <w:rPr>
      <w:rFonts w:hint="eastAsia" w:ascii="宋体" w:hAnsi="宋体" w:eastAsia="宋体" w:cs="宋体"/>
      <w:color w:val="000000"/>
      <w:sz w:val="20"/>
      <w:szCs w:val="20"/>
      <w:u w:val="none"/>
    </w:rPr>
  </w:style>
  <w:style w:type="character" w:customStyle="1" w:styleId="47">
    <w:name w:val="font112"/>
    <w:basedOn w:val="17"/>
    <w:qFormat/>
    <w:uiPriority w:val="0"/>
    <w:rPr>
      <w:rFonts w:hint="eastAsia" w:ascii="宋体" w:hAnsi="宋体" w:eastAsia="宋体" w:cs="宋体"/>
      <w:b/>
      <w:bCs/>
      <w:color w:val="DD0806"/>
      <w:sz w:val="18"/>
      <w:szCs w:val="18"/>
      <w:u w:val="none"/>
    </w:rPr>
  </w:style>
  <w:style w:type="character" w:customStyle="1" w:styleId="48">
    <w:name w:val="font121"/>
    <w:basedOn w:val="17"/>
    <w:qFormat/>
    <w:uiPriority w:val="0"/>
    <w:rPr>
      <w:rFonts w:ascii="Calibri" w:hAnsi="Calibri" w:cs="Calibri"/>
      <w:color w:val="000000"/>
      <w:sz w:val="18"/>
      <w:szCs w:val="18"/>
      <w:u w:val="none"/>
    </w:rPr>
  </w:style>
  <w:style w:type="character" w:customStyle="1" w:styleId="49">
    <w:name w:val="font131"/>
    <w:basedOn w:val="17"/>
    <w:qFormat/>
    <w:uiPriority w:val="0"/>
    <w:rPr>
      <w:rFonts w:hint="eastAsia" w:ascii="宋体" w:hAnsi="宋体" w:eastAsia="宋体" w:cs="宋体"/>
      <w:color w:val="000000"/>
      <w:sz w:val="18"/>
      <w:szCs w:val="18"/>
      <w:u w:val="none"/>
      <w:vertAlign w:val="superscript"/>
    </w:rPr>
  </w:style>
  <w:style w:type="character" w:customStyle="1" w:styleId="50">
    <w:name w:val="NormalCharacter"/>
    <w:semiHidden/>
    <w:qFormat/>
    <w:uiPriority w:val="0"/>
  </w:style>
  <w:style w:type="paragraph" w:customStyle="1" w:styleId="51">
    <w:name w:val="Table Text"/>
    <w:basedOn w:val="1"/>
    <w:semiHidden/>
    <w:qFormat/>
    <w:uiPriority w:val="0"/>
    <w:rPr>
      <w:rFonts w:ascii="微软雅黑" w:hAnsi="微软雅黑" w:eastAsia="微软雅黑" w:cs="微软雅黑"/>
      <w:sz w:val="20"/>
      <w:szCs w:val="20"/>
      <w:lang w:val="en-US" w:eastAsia="en-US" w:bidi="ar-SA"/>
    </w:rPr>
  </w:style>
  <w:style w:type="table" w:customStyle="1" w:styleId="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WWW.51GHO.NET</Company>
  <Pages>61</Pages>
  <Words>8787</Words>
  <Characters>9213</Characters>
  <Lines>274</Lines>
  <Paragraphs>77</Paragraphs>
  <TotalTime>1</TotalTime>
  <ScaleCrop>false</ScaleCrop>
  <LinksUpToDate>false</LinksUpToDate>
  <CharactersWithSpaces>9280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2025-07-28T08:20:00Z</dcterms:created>
  <dc:creator>Administrator</dc:creator>
  <cp:lastModifiedBy>San.</cp:lastModifiedBy>
  <cp:lastPrinted>2025-07-09T00:33:00Z</cp:lastPrinted>
  <dcterms:modified xsi:type="dcterms:W3CDTF">2025-08-14T07:32:50Z</dcterms:modified>
  <dc:title>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0888BBB1643F40D5A3024C40FEF51B78_13</vt:lpwstr>
  </property>
  <property fmtid="{D5CDD505-2E9C-101B-9397-08002B2CF9AE}" pid="4" name="KSOTemplateDocerSaveRecord">
    <vt:lpwstr>eyJoZGlkIjoiYjRhMDIzMDkwODBjYzNhNzdiNWEyNmNmMzFiYzRhMzMiLCJ1c2VySWQiOiIzODM1Nzg1MzAifQ==</vt:lpwstr>
  </property>
</Properties>
</file>