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389C1">
      <w:pPr>
        <w:keepNext w:val="0"/>
        <w:keepLines w:val="0"/>
        <w:pageBreakBefore w:val="0"/>
        <w:widowControl/>
        <w:wordWrap/>
        <w:overflowPunct/>
        <w:topLinePunct w:val="0"/>
        <w:bidi w:val="0"/>
        <w:adjustRightInd w:val="0"/>
        <w:snapToGrid w:val="0"/>
        <w:spacing w:line="360" w:lineRule="auto"/>
        <w:ind w:left="0" w:right="0"/>
        <w:jc w:val="center"/>
        <w:rPr>
          <w:rFonts w:hint="default" w:ascii="仿宋" w:hAnsi="仿宋" w:eastAsia="仿宋" w:cs="仿宋"/>
          <w:sz w:val="20"/>
          <w:szCs w:val="20"/>
          <w:lang w:val="en-US"/>
        </w:rPr>
      </w:pPr>
      <w:r>
        <w:rPr>
          <w:rFonts w:hint="eastAsia" w:ascii="仿宋" w:hAnsi="仿宋" w:eastAsia="仿宋" w:cs="仿宋"/>
          <w:sz w:val="40"/>
          <w:szCs w:val="40"/>
          <w:highlight w:val="none"/>
          <w:lang w:eastAsia="zh-CN"/>
        </w:rPr>
        <w:t>S309赫章县后河至奎香(黔滇界)公路改扩建电力线路迁改工程(后河至财神段)(10KV 及以下)施工招标</w:t>
      </w:r>
      <w:r>
        <w:rPr>
          <w:rFonts w:hint="eastAsia" w:ascii="仿宋" w:hAnsi="仿宋" w:eastAsia="仿宋" w:cs="仿宋"/>
          <w:sz w:val="40"/>
          <w:szCs w:val="40"/>
          <w:highlight w:val="none"/>
          <w:lang w:val="en-US" w:eastAsia="zh-CN"/>
        </w:rPr>
        <w:t>需求公示</w:t>
      </w:r>
    </w:p>
    <w:p w14:paraId="1DA392F5">
      <w:pPr>
        <w:pStyle w:val="4"/>
        <w:keepNext w:val="0"/>
        <w:keepLines w:val="0"/>
        <w:pageBreakBefore w:val="0"/>
        <w:widowControl/>
        <w:wordWrap/>
        <w:overflowPunct/>
        <w:topLinePunct w:val="0"/>
        <w:bidi w:val="0"/>
        <w:adjustRightInd w:val="0"/>
        <w:snapToGrid w:val="0"/>
        <w:spacing w:line="360" w:lineRule="auto"/>
        <w:ind w:right="0"/>
        <w:rPr>
          <w:rFonts w:hint="eastAsia" w:ascii="仿宋" w:hAnsi="仿宋" w:eastAsia="仿宋" w:cs="仿宋"/>
          <w:color w:val="auto"/>
          <w:sz w:val="32"/>
          <w:szCs w:val="32"/>
        </w:rPr>
      </w:pPr>
      <w:r>
        <w:rPr>
          <w:rFonts w:hint="eastAsia" w:ascii="仿宋" w:hAnsi="仿宋" w:eastAsia="仿宋" w:cs="仿宋"/>
          <w:spacing w:val="-2"/>
          <w:sz w:val="32"/>
          <w:szCs w:val="32"/>
        </w:rPr>
        <w:t>一、投标供应商资格要求：</w:t>
      </w:r>
    </w:p>
    <w:p w14:paraId="59A8AE34">
      <w:pPr>
        <w:keepNext w:val="0"/>
        <w:keepLines w:val="0"/>
        <w:pageBreakBefore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1.具有独立承担民事责任的能力：提供法人或其他组织的营业执照等证明文件，或自然人身份证明（复印件（扫描件）加盖公章）；</w:t>
      </w:r>
    </w:p>
    <w:p w14:paraId="54E8371A">
      <w:pPr>
        <w:keepNext w:val="0"/>
        <w:keepLines w:val="0"/>
        <w:pageBreakBefore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具有良好的商业信誉和健全的财务会计制度：竞标人是法人的，提供2024年度或2025年度经第三方审计机构出具的审计报告或提供2026年1月至竞标截止时间基本开户银行出具的资信证明（附基本账户信息证明材料）(复印件或扫描件加盖公章)；</w:t>
      </w:r>
    </w:p>
    <w:p w14:paraId="36186D9A">
      <w:pPr>
        <w:keepNext w:val="0"/>
        <w:keepLines w:val="0"/>
        <w:pageBreakBefore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3.具有履行合同所必需的设备和专业技术能力：提供竞标人具备履行合同所必需的设备和专业技术能力的证明材料或声明函（声明函格式自拟）；</w:t>
      </w:r>
    </w:p>
    <w:p w14:paraId="52020D8F">
      <w:pPr>
        <w:keepNext w:val="0"/>
        <w:keepLines w:val="0"/>
        <w:pageBreakBefore w:val="0"/>
        <w:widowControl w:val="0"/>
        <w:kinsoku w:val="0"/>
        <w:wordWrap/>
        <w:overflowPunct w:val="0"/>
        <w:topLinePunct w:val="0"/>
        <w:autoSpaceDE w:val="0"/>
        <w:autoSpaceDN w:val="0"/>
        <w:bidi w:val="0"/>
        <w:adjustRightInd w:val="0"/>
        <w:snapToGrid w:val="0"/>
        <w:spacing w:line="360" w:lineRule="auto"/>
        <w:ind w:right="0" w:firstLine="560" w:firstLineChars="200"/>
        <w:textAlignment w:val="top"/>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具有依法缴纳税收和社会保障资金的良好记录：①提供2025年3月至竞标截止时间内任意一个月缴纳税收的凭据或证明材料（依法免税或无欠税的，提供有效的证明文件）。②2025年3月至竞标截止时间内任意一个月的社会保障资金缴纳证明材料（不需要缴纳社会保障资金的，提供有效的证明文件）；</w:t>
      </w:r>
    </w:p>
    <w:p w14:paraId="31E59313">
      <w:pPr>
        <w:keepNext w:val="0"/>
        <w:keepLines w:val="0"/>
        <w:pageBreakBefore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5.参加本次磋商活动前三年内，在经营活动中没有违法违规记录：提供参加磋商活动近3年内在经营活动中没有重大违法记录的书面声明（声明函格式自拟）；</w:t>
      </w:r>
    </w:p>
    <w:p w14:paraId="635FB1E3">
      <w:pPr>
        <w:keepNext w:val="0"/>
        <w:keepLines w:val="0"/>
        <w:pageBreakBefore w:val="0"/>
        <w:kinsoku w:val="0"/>
        <w:wordWrap/>
        <w:overflowPunct w:val="0"/>
        <w:topLinePunct w:val="0"/>
        <w:autoSpaceDE w:val="0"/>
        <w:autoSpaceDN w:val="0"/>
        <w:bidi w:val="0"/>
        <w:adjustRightInd w:val="0"/>
        <w:snapToGrid w:val="0"/>
        <w:spacing w:line="360" w:lineRule="auto"/>
        <w:ind w:firstLine="560" w:firstLineChars="200"/>
        <w:textAlignment w:val="top"/>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法律、行政法规规定的其他条件：①竞标人须承诺：在“信用中国”网站（www.creditchina.gov.cn）、“中国执行信息公开网”（zxgk.court.gov.cn/shixin）、“中国政府采购网”（www.ccgp.gov.cn）等渠道查询中未被列入严重失信主体名单、重大税收违法失信主体名单、失信被执行人名单、政府采购严重违法失信行为记录名单中，如被列入严重失信主体名单、重大税收违法失信主体名单、失信被执行人名单、政府采购严重违法失信行为记录名单中的竞标人取消其竞标资格，并承担由此造成的一切法律责任及后果；②根据《省发展改革委 省法院 省公共资源交易中心关于推进全省公共资源交易领域对法院失信被执行人实施信用联合惩戒的通知》黔发改财金（2020）421号文件要求，采购人或代理机构在递交响应文件截止时间后现场根据贵州信用联合惩戒平台反馈信息，查询竞标人是否属于法院失信被执行人，如被列入取消其竞标资格；③竞标人须提供符合法律、行政法规规定的其他条件的诚信声明。</w:t>
      </w:r>
    </w:p>
    <w:p w14:paraId="1CEAABF1">
      <w:pPr>
        <w:pStyle w:val="4"/>
        <w:keepNext w:val="0"/>
        <w:keepLines w:val="0"/>
        <w:pageBreakBefore w:val="0"/>
        <w:widowControl/>
        <w:wordWrap/>
        <w:overflowPunct/>
        <w:topLinePunct w:val="0"/>
        <w:bidi w:val="0"/>
        <w:adjustRightInd w:val="0"/>
        <w:snapToGrid w:val="0"/>
        <w:spacing w:line="360" w:lineRule="auto"/>
        <w:ind w:right="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（二）本项目所需特殊行业资质或要求：</w:t>
      </w:r>
    </w:p>
    <w:p w14:paraId="0E2B04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1.竞标人须具备建设行政主管部门核发的电力工程施工总承包二级及以上资质或输变电工程专业承包二级及以上资质；</w:t>
      </w:r>
    </w:p>
    <w:p w14:paraId="746C49D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2.竞标人须具备由国家能源监管部门核发的三级及以上承装（修、试）电力设施许可证；</w:t>
      </w:r>
      <w:bookmarkStart w:id="4" w:name="_GoBack"/>
      <w:bookmarkEnd w:id="4"/>
    </w:p>
    <w:p w14:paraId="5FFB87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3.竞标人须具备有效的安全生产许可证；</w:t>
      </w:r>
    </w:p>
    <w:p w14:paraId="6DBAD1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4.竞标人拟派的项目经理须具备机电工程专业二级及以上注册建造师资格,具备有效的安全生产考核合格证书(B类)且未担任其他在建建设项目的项目经理。</w:t>
      </w:r>
    </w:p>
    <w:p w14:paraId="3D674CC9">
      <w:pPr>
        <w:pStyle w:val="4"/>
        <w:keepNext w:val="0"/>
        <w:keepLines w:val="0"/>
        <w:pageBreakBefore w:val="0"/>
        <w:widowControl/>
        <w:wordWrap/>
        <w:overflowPunct/>
        <w:topLinePunct w:val="0"/>
        <w:bidi w:val="0"/>
        <w:adjustRightInd w:val="0"/>
        <w:snapToGrid w:val="0"/>
        <w:spacing w:line="360" w:lineRule="auto"/>
        <w:ind w:right="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（三）本项目不接受联合体竞标</w:t>
      </w:r>
    </w:p>
    <w:p w14:paraId="6D51B3AF">
      <w:pPr>
        <w:rPr>
          <w:rFonts w:hint="eastAsia" w:ascii="仿宋" w:hAnsi="仿宋" w:eastAsia="仿宋" w:cs="仿宋"/>
          <w:spacing w:val="-2"/>
          <w:sz w:val="36"/>
          <w:szCs w:val="36"/>
          <w:lang w:val="en-US" w:eastAsia="zh-CN"/>
        </w:rPr>
      </w:pPr>
      <w:r>
        <w:rPr>
          <w:rFonts w:hint="eastAsia" w:ascii="仿宋" w:hAnsi="仿宋" w:eastAsia="仿宋" w:cs="仿宋"/>
          <w:spacing w:val="-2"/>
          <w:sz w:val="36"/>
          <w:szCs w:val="36"/>
          <w:lang w:val="en-US" w:eastAsia="zh-CN"/>
        </w:rPr>
        <w:br w:type="page"/>
      </w:r>
    </w:p>
    <w:p w14:paraId="3187F88E">
      <w:pPr>
        <w:numPr>
          <w:ilvl w:val="0"/>
          <w:numId w:val="0"/>
        </w:numPr>
        <w:spacing w:line="360" w:lineRule="auto"/>
        <w:jc w:val="center"/>
        <w:rPr>
          <w:rFonts w:hint="eastAsia" w:ascii="仿宋" w:hAnsi="仿宋" w:eastAsia="仿宋" w:cs="仿宋"/>
          <w:b/>
          <w:color w:val="auto"/>
          <w:sz w:val="36"/>
          <w:szCs w:val="36"/>
          <w:lang w:val="en-US" w:eastAsia="zh-CN"/>
        </w:rPr>
      </w:pPr>
      <w:r>
        <w:rPr>
          <w:rFonts w:hint="eastAsia" w:ascii="仿宋" w:hAnsi="仿宋" w:eastAsia="仿宋" w:cs="仿宋"/>
          <w:spacing w:val="-2"/>
          <w:sz w:val="36"/>
          <w:szCs w:val="36"/>
          <w:lang w:val="en-US" w:eastAsia="zh-CN"/>
        </w:rPr>
        <w:t>二、技术要求</w:t>
      </w:r>
      <w:r>
        <w:rPr>
          <w:rFonts w:hint="eastAsia" w:ascii="仿宋" w:hAnsi="仿宋" w:eastAsia="仿宋" w:cs="仿宋"/>
          <w:spacing w:val="-2"/>
          <w:sz w:val="36"/>
          <w:szCs w:val="36"/>
        </w:rPr>
        <w:t>及</w:t>
      </w:r>
      <w:r>
        <w:rPr>
          <w:rFonts w:hint="eastAsia" w:ascii="仿宋" w:hAnsi="仿宋" w:eastAsia="仿宋" w:cs="仿宋"/>
          <w:spacing w:val="-2"/>
          <w:sz w:val="36"/>
          <w:szCs w:val="36"/>
          <w:lang w:val="en-US" w:eastAsia="zh-CN"/>
        </w:rPr>
        <w:t>商务要求</w:t>
      </w:r>
    </w:p>
    <w:p w14:paraId="32DF08E9">
      <w:pPr>
        <w:bidi w:val="0"/>
        <w:jc w:val="center"/>
        <w:rPr>
          <w:rFonts w:hint="eastAsia" w:ascii="仿宋" w:hAnsi="仿宋" w:eastAsia="仿宋" w:cs="仿宋"/>
          <w:sz w:val="32"/>
          <w:szCs w:val="32"/>
          <w:lang w:val="en-US" w:eastAsia="zh-CN"/>
        </w:rPr>
      </w:pPr>
      <w:bookmarkStart w:id="0" w:name="_Toc17459"/>
      <w:bookmarkStart w:id="1" w:name="_Toc5221"/>
      <w:r>
        <w:rPr>
          <w:rFonts w:hint="eastAsia" w:ascii="仿宋" w:hAnsi="仿宋" w:eastAsia="仿宋" w:cs="仿宋"/>
          <w:sz w:val="32"/>
          <w:szCs w:val="32"/>
          <w:lang w:val="en-US" w:eastAsia="zh-CN"/>
        </w:rPr>
        <w:t>第一节 技术要求</w:t>
      </w:r>
      <w:bookmarkEnd w:id="0"/>
    </w:p>
    <w:p w14:paraId="58797ADE">
      <w:pPr>
        <w:bidi w:val="0"/>
        <w:rPr>
          <w:rFonts w:hint="eastAsia"/>
          <w:lang w:val="en-US" w:eastAsia="zh-CN"/>
        </w:rPr>
      </w:pPr>
    </w:p>
    <w:p w14:paraId="0D37A809">
      <w:pPr>
        <w:pageBreakBefore w:val="0"/>
        <w:numPr>
          <w:ilvl w:val="0"/>
          <w:numId w:val="0"/>
        </w:numPr>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一、说明</w:t>
      </w:r>
    </w:p>
    <w:p w14:paraId="10202A48">
      <w:pPr>
        <w:pageBreakBefore w:val="0"/>
        <w:numPr>
          <w:ilvl w:val="0"/>
          <w:numId w:val="0"/>
        </w:numPr>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1.请竞标人仔细阅读采购文件的全部条款。对于采购文件中存在的任何含糊、遗漏、相互矛盾之处，或是对于技术条件不清楚的情况，竞标人应按前附表规定的时间向采购代理机构寻求书面澄清。</w:t>
      </w:r>
    </w:p>
    <w:p w14:paraId="2D18DE35">
      <w:pPr>
        <w:pageBreakBefore w:val="0"/>
        <w:numPr>
          <w:ilvl w:val="0"/>
          <w:numId w:val="0"/>
        </w:numPr>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2.工程量清单项目特征描述是最低限度的技术要求，并未对一切技术细节做出规定，也未充分引述有关标准和规范的条款。</w:t>
      </w:r>
    </w:p>
    <w:p w14:paraId="52A750AF">
      <w:pPr>
        <w:pageBreakBefore w:val="0"/>
        <w:numPr>
          <w:ilvl w:val="0"/>
          <w:numId w:val="0"/>
        </w:numPr>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3.竞标人须承诺所提供工程服务，如若发生侵犯知识产权的行为时，其侵权责任与采购人无关，应由竞标人承担相应的责任，并不得损害采购人的利益。</w:t>
      </w:r>
    </w:p>
    <w:p w14:paraId="7BF28303">
      <w:pPr>
        <w:pageBreakBefore w:val="0"/>
        <w:numPr>
          <w:ilvl w:val="0"/>
          <w:numId w:val="0"/>
        </w:numPr>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4.所遵循的标准和质量保证</w:t>
      </w:r>
    </w:p>
    <w:p w14:paraId="351CB25A">
      <w:pPr>
        <w:pageBreakBefore w:val="0"/>
        <w:numPr>
          <w:ilvl w:val="0"/>
          <w:numId w:val="0"/>
        </w:numPr>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工程按照《建设工程工程量清单计价规范》(GB/T50500-2024)及相关配套文件、贵州省2016版《贵州省五部工程计价定额》及相关配套文件;主要材料价参照《贵州省建设工程造价信息》最新毕节州地区的材料价格结合当地市场价执行</w:t>
      </w:r>
    </w:p>
    <w:p w14:paraId="52F26675">
      <w:pPr>
        <w:pageBreakBefore w:val="0"/>
        <w:numPr>
          <w:ilvl w:val="0"/>
          <w:numId w:val="0"/>
        </w:numPr>
        <w:topLinePunct w:val="0"/>
        <w:bidi w:val="0"/>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二、工程量清单</w:t>
      </w:r>
      <w:bookmarkEnd w:id="1"/>
      <w:r>
        <w:rPr>
          <w:rFonts w:hint="eastAsia" w:ascii="仿宋" w:hAnsi="仿宋" w:eastAsia="仿宋" w:cs="仿宋"/>
          <w:sz w:val="28"/>
          <w:szCs w:val="28"/>
          <w:highlight w:val="none"/>
          <w:lang w:val="en-US" w:eastAsia="zh-CN"/>
        </w:rPr>
        <w:t>：详见附件</w:t>
      </w:r>
    </w:p>
    <w:p w14:paraId="61B6A74B">
      <w:pPr>
        <w:numPr>
          <w:ilvl w:val="0"/>
          <w:numId w:val="0"/>
        </w:numPr>
        <w:bidi w:val="0"/>
        <w:jc w:val="center"/>
        <w:rPr>
          <w:rFonts w:hint="eastAsia" w:ascii="仿宋" w:hAnsi="仿宋" w:eastAsia="仿宋" w:cs="仿宋"/>
          <w:sz w:val="32"/>
          <w:szCs w:val="32"/>
          <w:lang w:val="en-US" w:eastAsia="zh-CN"/>
        </w:rPr>
      </w:pPr>
      <w:bookmarkStart w:id="2" w:name="_Toc25929"/>
      <w:bookmarkStart w:id="3" w:name="_Toc11864"/>
      <w:r>
        <w:rPr>
          <w:rFonts w:hint="eastAsia" w:ascii="仿宋" w:hAnsi="仿宋" w:eastAsia="仿宋" w:cs="仿宋"/>
          <w:snapToGrid w:val="0"/>
          <w:color w:val="000000"/>
          <w:kern w:val="0"/>
          <w:sz w:val="32"/>
          <w:szCs w:val="32"/>
          <w:lang w:val="en-US" w:eastAsia="zh-CN" w:bidi="ar-SA"/>
        </w:rPr>
        <w:t>第二节</w:t>
      </w:r>
      <w:r>
        <w:rPr>
          <w:rFonts w:hint="eastAsia" w:ascii="仿宋" w:hAnsi="仿宋" w:eastAsia="仿宋" w:cs="仿宋"/>
          <w:sz w:val="32"/>
          <w:szCs w:val="32"/>
          <w:lang w:val="en-US" w:eastAsia="zh-CN"/>
        </w:rPr>
        <w:t>商务要求</w:t>
      </w:r>
      <w:bookmarkEnd w:id="2"/>
      <w:bookmarkEnd w:id="3"/>
    </w:p>
    <w:p w14:paraId="70C39BC8">
      <w:pPr>
        <w:bidi w:val="0"/>
        <w:rPr>
          <w:rFonts w:hint="eastAsia"/>
          <w:lang w:val="en-US" w:eastAsia="zh-CN"/>
        </w:rPr>
      </w:pPr>
    </w:p>
    <w:p w14:paraId="7C6D4940">
      <w:pPr>
        <w:pageBreakBefore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一、计划工期：40日历天</w:t>
      </w:r>
    </w:p>
    <w:p w14:paraId="6C02CEAC">
      <w:pPr>
        <w:pageBreakBefore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二、建设地点：采购人指定地点</w:t>
      </w:r>
    </w:p>
    <w:p w14:paraId="0767C17D">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三、工程质量、施工安全文明要求：</w:t>
      </w:r>
    </w:p>
    <w:p w14:paraId="159094F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1.工程质量：符合国家现行有关施工质量验收规范标准。</w:t>
      </w:r>
    </w:p>
    <w:p w14:paraId="7C3382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2.施工安全文明标准化：满足有关规范标准要求。</w:t>
      </w:r>
    </w:p>
    <w:p w14:paraId="0128C634">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四、农民工工资保证金：按毕节市有关规定执行。</w:t>
      </w:r>
    </w:p>
    <w:p w14:paraId="5C1E9904">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五、保修期：工程验收合格之日起，一年。</w:t>
      </w:r>
    </w:p>
    <w:p w14:paraId="66B4AE80">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六、付款方式：签订施工合同时约定。</w:t>
      </w:r>
    </w:p>
    <w:p w14:paraId="04A3B799">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七、验收</w:t>
      </w:r>
    </w:p>
    <w:p w14:paraId="5AE2F1C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1.验收规范：本工程要求的质量标准为符合国家现行有关施工质量验收规范标准。</w:t>
      </w:r>
    </w:p>
    <w:p w14:paraId="57FD5CC1">
      <w:pPr>
        <w:keepNext w:val="0"/>
        <w:keepLines w:val="0"/>
        <w:pageBreakBefore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2.验收方式：按国家相关法律法规和行业标准，采购文件、响应文件及签订的合同验收。</w:t>
      </w:r>
    </w:p>
    <w:p w14:paraId="29CF5014">
      <w:pPr>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八、竞标有效期：自竞标截止之日起 90 个日历日。</w:t>
      </w:r>
    </w:p>
    <w:p w14:paraId="4D7E649F">
      <w:pPr>
        <w:pageBreakBefore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九、其他要求：</w:t>
      </w:r>
    </w:p>
    <w:p w14:paraId="3301B59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1.若响应文件中有英文或其他语种时，请翻译成简体中文。</w:t>
      </w:r>
    </w:p>
    <w:p w14:paraId="5D7223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2.竞标备选方案：本次竞标不允许提供备选方案。</w:t>
      </w:r>
    </w:p>
    <w:p w14:paraId="63A34DC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3.竞标人的报价超过控制价的，作无效竞标处理。</w:t>
      </w:r>
    </w:p>
    <w:p w14:paraId="29EED7C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4.开标结束后，采购人保留对竞标人提供的资料进一步核实的权利，若发现有弄虚作假行为的，采购人将没收其竞标保证金，并上报相关行政主管部门。</w:t>
      </w:r>
    </w:p>
    <w:p w14:paraId="5D47B67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5.竞标人须提供安全事故及质量要求承诺书</w:t>
      </w:r>
    </w:p>
    <w:p w14:paraId="6FF63D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6.竞标人须提供拟派项目人员常驻现场，不得随意更换的承诺书。</w:t>
      </w:r>
    </w:p>
    <w:p w14:paraId="4724AAF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7.竞标人提供不拖欠农民工资承诺书。</w:t>
      </w:r>
    </w:p>
    <w:p w14:paraId="3DFF63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8.采购文件其他未尽事宜，成交人签订施工合同后，双方自行协商。</w:t>
      </w:r>
    </w:p>
    <w:p w14:paraId="046D36E1">
      <w:pPr>
        <w:rPr>
          <w:rFonts w:hint="eastAsia" w:ascii="仿宋" w:hAnsi="仿宋" w:eastAsia="仿宋" w:cs="仿宋"/>
        </w:rPr>
      </w:pPr>
    </w:p>
    <w:sectPr>
      <w:pgSz w:w="11906" w:h="16839"/>
      <w:pgMar w:top="1440" w:right="1800" w:bottom="1440" w:left="1800"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52A18"/>
    <w:rsid w:val="01CD7566"/>
    <w:rsid w:val="0566250A"/>
    <w:rsid w:val="05742A44"/>
    <w:rsid w:val="0AF67B2D"/>
    <w:rsid w:val="0E041443"/>
    <w:rsid w:val="102016F4"/>
    <w:rsid w:val="10D91A83"/>
    <w:rsid w:val="10F13271"/>
    <w:rsid w:val="113367EA"/>
    <w:rsid w:val="1373429D"/>
    <w:rsid w:val="184E6715"/>
    <w:rsid w:val="1F8B663F"/>
    <w:rsid w:val="232C1EE7"/>
    <w:rsid w:val="465F41FD"/>
    <w:rsid w:val="4B4F0B9C"/>
    <w:rsid w:val="5024061C"/>
    <w:rsid w:val="55765BEA"/>
    <w:rsid w:val="5B541BD7"/>
    <w:rsid w:val="5EF60378"/>
    <w:rsid w:val="60E655D4"/>
    <w:rsid w:val="69EF047B"/>
    <w:rsid w:val="70555B7A"/>
    <w:rsid w:val="760F1E76"/>
    <w:rsid w:val="77C05221"/>
    <w:rsid w:val="7A126F01"/>
    <w:rsid w:val="7FB31F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semiHidden/>
    <w:qFormat/>
    <w:uiPriority w:val="0"/>
    <w:rPr>
      <w:rFonts w:ascii="仿宋" w:hAnsi="仿宋" w:eastAsia="仿宋" w:cs="仿宋"/>
      <w:sz w:val="24"/>
      <w:szCs w:val="24"/>
      <w:lang w:val="en-US" w:eastAsia="en-US" w:bidi="ar-SA"/>
    </w:r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spacing w:before="100" w:beforeAutospacing="1" w:after="100" w:afterAutospacing="1"/>
    </w:pPr>
    <w:rPr>
      <w:sz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1918</Words>
  <Characters>2051</Characters>
  <TotalTime>1</TotalTime>
  <ScaleCrop>false</ScaleCrop>
  <LinksUpToDate>false</LinksUpToDate>
  <CharactersWithSpaces>2057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2023-11-27T11:56:00Z</dcterms:created>
  <dc:creator>Administrator.MSMICRO-RAT15OV</dc:creator>
  <cp:lastModifiedBy>A</cp:lastModifiedBy>
  <dcterms:modified xsi:type="dcterms:W3CDTF">2026-03-20T12:09:57Z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2023-12-26T12:56:23Z</vt:filetime>
  </property>
  <property fmtid="{D5CDD505-2E9C-101B-9397-08002B2CF9AE}" pid="4" name="KSOTemplateDocerSaveRecord">
    <vt:lpwstr>eyJoZGlkIjoiODAzMDM3OTI2ZWQ5MDIzODA3ZjcwZTllNDk0ZGFmNGEiLCJ1c2VySWQiOiIxNzM5OTE1MDY1In0=</vt:lpwstr>
  </property>
  <property fmtid="{D5CDD505-2E9C-101B-9397-08002B2CF9AE}" pid="5" name="KSOProductBuildVer">
    <vt:lpwstr>2052-12.1.0.25225</vt:lpwstr>
  </property>
  <property fmtid="{D5CDD505-2E9C-101B-9397-08002B2CF9AE}" pid="6" name="ICV">
    <vt:lpwstr>4B6C4E0AD1234C648C225DCBB7230181_13</vt:lpwstr>
  </property>
</Properties>
</file>