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70403E">
      <w:pPr>
        <w:jc w:val="center"/>
        <w:outlineLvl w:val="0"/>
        <w:rPr>
          <w:rFonts w:ascii="宋体" w:hAnsi="宋体" w:cs="宋体"/>
          <w:b/>
          <w:bCs/>
          <w:color w:val="FF0000"/>
          <w:spacing w:val="80"/>
          <w:sz w:val="44"/>
          <w:szCs w:val="44"/>
        </w:rPr>
      </w:pPr>
    </w:p>
    <w:p w14:paraId="45548486">
      <w:pPr>
        <w:jc w:val="center"/>
        <w:outlineLvl w:val="0"/>
        <w:rPr>
          <w:rFonts w:ascii="宋体" w:hAnsi="宋体" w:cs="宋体"/>
          <w:b/>
          <w:bCs/>
          <w:color w:val="FF0000"/>
          <w:spacing w:val="80"/>
          <w:sz w:val="44"/>
          <w:szCs w:val="44"/>
        </w:rPr>
      </w:pPr>
    </w:p>
    <w:p w14:paraId="06E4C97F">
      <w:pPr>
        <w:jc w:val="center"/>
        <w:outlineLvl w:val="0"/>
        <w:rPr>
          <w:rFonts w:ascii="宋体" w:hAnsi="宋体" w:cs="宋体"/>
          <w:b/>
          <w:bCs/>
          <w:color w:val="FF0000"/>
          <w:spacing w:val="80"/>
          <w:sz w:val="44"/>
          <w:szCs w:val="44"/>
        </w:rPr>
      </w:pPr>
    </w:p>
    <w:p w14:paraId="57821F7A">
      <w:pPr>
        <w:jc w:val="center"/>
        <w:outlineLvl w:val="0"/>
        <w:rPr>
          <w:rFonts w:ascii="宋体" w:hAnsi="宋体" w:cs="宋体"/>
          <w:spacing w:val="80"/>
          <w:sz w:val="96"/>
          <w:szCs w:val="96"/>
        </w:rPr>
      </w:pPr>
    </w:p>
    <w:p w14:paraId="44BF0F5F">
      <w:pPr>
        <w:jc w:val="center"/>
        <w:outlineLvl w:val="0"/>
        <w:rPr>
          <w:rFonts w:ascii="宋体" w:hAnsi="宋体" w:cs="宋体"/>
          <w:spacing w:val="80"/>
          <w:sz w:val="96"/>
          <w:szCs w:val="96"/>
        </w:rPr>
      </w:pPr>
      <w:r>
        <w:rPr>
          <w:rFonts w:hint="eastAsia" w:ascii="宋体" w:hAnsi="宋体" w:cs="宋体"/>
          <w:spacing w:val="80"/>
          <w:sz w:val="96"/>
          <w:szCs w:val="96"/>
        </w:rPr>
        <w:t>货物网上竞采文件</w:t>
      </w:r>
    </w:p>
    <w:p w14:paraId="3D7F2E2B">
      <w:pPr>
        <w:pStyle w:val="3"/>
        <w:bidi w:val="0"/>
        <w:jc w:val="center"/>
        <w:rPr>
          <w:rFonts w:hint="eastAsia"/>
          <w:lang w:eastAsia="zh-CN"/>
        </w:rPr>
      </w:pPr>
      <w:r>
        <w:rPr>
          <w:rFonts w:hint="eastAsia"/>
          <w:lang w:eastAsia="zh-CN"/>
        </w:rPr>
        <w:t>（</w:t>
      </w:r>
      <w:r>
        <w:rPr>
          <w:rFonts w:hint="eastAsia"/>
          <w:lang w:val="en-US" w:eastAsia="zh-CN"/>
        </w:rPr>
        <w:t>电子反拍</w:t>
      </w:r>
      <w:r>
        <w:rPr>
          <w:rFonts w:hint="eastAsia"/>
          <w:lang w:eastAsia="zh-CN"/>
        </w:rPr>
        <w:t>）</w:t>
      </w:r>
    </w:p>
    <w:p w14:paraId="431D34AA">
      <w:pPr>
        <w:spacing w:line="700" w:lineRule="exact"/>
        <w:ind w:left="3435" w:leftChars="557" w:hanging="2265" w:hangingChars="708"/>
        <w:rPr>
          <w:rFonts w:ascii="宋体" w:hAnsi="宋体" w:cs="宋体"/>
          <w:sz w:val="32"/>
          <w:szCs w:val="32"/>
        </w:rPr>
      </w:pPr>
    </w:p>
    <w:p w14:paraId="4CDC0A29">
      <w:pPr>
        <w:spacing w:line="700" w:lineRule="exact"/>
        <w:ind w:left="3435" w:leftChars="557" w:hanging="2265" w:hangingChars="708"/>
        <w:rPr>
          <w:rFonts w:ascii="宋体" w:hAnsi="宋体" w:cs="宋体"/>
          <w:sz w:val="32"/>
          <w:szCs w:val="32"/>
        </w:rPr>
      </w:pPr>
    </w:p>
    <w:p w14:paraId="2A1A531C">
      <w:pPr>
        <w:spacing w:line="700" w:lineRule="exact"/>
        <w:ind w:left="3435" w:leftChars="557" w:hanging="2265" w:hangingChars="708"/>
        <w:rPr>
          <w:rFonts w:ascii="宋体" w:hAnsi="宋体" w:cs="宋体"/>
          <w:sz w:val="32"/>
          <w:szCs w:val="32"/>
        </w:rPr>
      </w:pPr>
    </w:p>
    <w:p w14:paraId="172F01D2">
      <w:pPr>
        <w:spacing w:line="360" w:lineRule="auto"/>
        <w:ind w:left="3435" w:leftChars="557" w:hanging="2265" w:hangingChars="708"/>
        <w:rPr>
          <w:rFonts w:hint="default" w:ascii="宋体" w:hAnsi="宋体" w:cs="宋体"/>
          <w:sz w:val="32"/>
          <w:szCs w:val="32"/>
          <w:lang w:val="en-US"/>
        </w:rPr>
      </w:pPr>
      <w:r>
        <w:rPr>
          <w:rFonts w:hint="eastAsia" w:ascii="宋体" w:hAnsi="宋体" w:cs="宋体"/>
          <w:sz w:val="32"/>
          <w:szCs w:val="32"/>
        </w:rPr>
        <w:t>项目名称：</w:t>
      </w:r>
      <w:r>
        <w:rPr>
          <w:rFonts w:hint="eastAsia" w:ascii="宋体" w:hAnsi="宋体" w:cs="宋体"/>
          <w:kern w:val="0"/>
          <w:sz w:val="32"/>
          <w:szCs w:val="32"/>
          <w:lang w:val="en-US" w:eastAsia="zh-CN"/>
        </w:rPr>
        <w:t>两江中学护眼灯采购项目</w:t>
      </w:r>
    </w:p>
    <w:p w14:paraId="08B90C8D">
      <w:pPr>
        <w:spacing w:line="360" w:lineRule="auto"/>
        <w:ind w:left="3435" w:leftChars="557" w:hanging="2265" w:hangingChars="708"/>
        <w:rPr>
          <w:rFonts w:hint="default" w:ascii="宋体" w:hAnsi="宋体" w:eastAsia="宋体" w:cs="宋体"/>
          <w:sz w:val="32"/>
          <w:szCs w:val="32"/>
          <w:lang w:val="en-US" w:eastAsia="zh-CN"/>
        </w:rPr>
      </w:pPr>
      <w:r>
        <w:rPr>
          <w:rFonts w:hint="eastAsia" w:ascii="宋体" w:hAnsi="宋体" w:cs="宋体"/>
          <w:sz w:val="32"/>
          <w:szCs w:val="32"/>
        </w:rPr>
        <w:t>采购单位：</w:t>
      </w:r>
      <w:r>
        <w:rPr>
          <w:rFonts w:hint="eastAsia" w:ascii="宋体" w:hAnsi="宋体" w:cs="宋体"/>
          <w:sz w:val="32"/>
          <w:szCs w:val="32"/>
          <w:lang w:val="en-US" w:eastAsia="zh-CN"/>
        </w:rPr>
        <w:t>重庆市两江中学校</w:t>
      </w:r>
    </w:p>
    <w:p w14:paraId="6B0D6C7C">
      <w:pPr>
        <w:spacing w:line="700" w:lineRule="exact"/>
        <w:ind w:left="3435" w:leftChars="557" w:hanging="2265" w:hangingChars="708"/>
        <w:rPr>
          <w:rFonts w:ascii="宋体" w:hAnsi="宋体" w:cs="宋体"/>
          <w:sz w:val="32"/>
          <w:szCs w:val="32"/>
        </w:rPr>
      </w:pPr>
    </w:p>
    <w:p w14:paraId="722E76E1">
      <w:pPr>
        <w:spacing w:line="700" w:lineRule="exact"/>
        <w:ind w:left="3435" w:leftChars="557" w:hanging="2265" w:hangingChars="708"/>
        <w:rPr>
          <w:rFonts w:ascii="宋体" w:hAnsi="宋体" w:cs="宋体"/>
          <w:sz w:val="32"/>
          <w:szCs w:val="32"/>
        </w:rPr>
      </w:pPr>
    </w:p>
    <w:p w14:paraId="1CB6329C">
      <w:pPr>
        <w:spacing w:line="700" w:lineRule="exact"/>
        <w:ind w:left="3435" w:leftChars="557" w:hanging="2265" w:hangingChars="708"/>
        <w:rPr>
          <w:rFonts w:ascii="宋体" w:hAnsi="宋体" w:cs="宋体"/>
          <w:sz w:val="32"/>
          <w:szCs w:val="32"/>
        </w:rPr>
      </w:pPr>
    </w:p>
    <w:p w14:paraId="28E4AA0D">
      <w:pPr>
        <w:spacing w:line="700" w:lineRule="exact"/>
        <w:ind w:left="3435" w:leftChars="557" w:hanging="2265" w:hangingChars="708"/>
        <w:rPr>
          <w:rFonts w:ascii="宋体" w:hAnsi="宋体" w:cs="宋体"/>
          <w:sz w:val="32"/>
          <w:szCs w:val="32"/>
        </w:rPr>
      </w:pPr>
    </w:p>
    <w:p w14:paraId="147CFBEB">
      <w:pPr>
        <w:spacing w:line="700" w:lineRule="exact"/>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二零二五年七月</w:t>
      </w:r>
    </w:p>
    <w:p w14:paraId="4304C347">
      <w:pPr>
        <w:spacing w:line="700" w:lineRule="exact"/>
        <w:ind w:left="3435" w:leftChars="557" w:hanging="2265" w:hangingChars="708"/>
        <w:rPr>
          <w:rFonts w:ascii="宋体" w:hAnsi="宋体" w:cs="宋体"/>
          <w:sz w:val="32"/>
          <w:szCs w:val="32"/>
        </w:rPr>
      </w:pPr>
    </w:p>
    <w:p w14:paraId="39DB0E61">
      <w:pPr>
        <w:widowControl/>
        <w:jc w:val="left"/>
        <w:rPr>
          <w:rFonts w:ascii="宋体" w:hAnsi="宋体" w:cs="宋体"/>
          <w:b/>
          <w:sz w:val="24"/>
          <w:szCs w:val="24"/>
        </w:rPr>
      </w:pPr>
      <w:r>
        <w:rPr>
          <w:rFonts w:hint="eastAsia" w:ascii="宋体" w:hAnsi="宋体" w:cs="宋体"/>
          <w:sz w:val="24"/>
          <w:szCs w:val="24"/>
        </w:rPr>
        <w:br w:type="page"/>
      </w:r>
    </w:p>
    <w:p w14:paraId="0CFADC6C">
      <w:pPr>
        <w:pStyle w:val="4"/>
        <w:spacing w:before="0" w:after="0" w:line="360" w:lineRule="auto"/>
        <w:ind w:firstLine="643" w:firstLineChars="200"/>
        <w:rPr>
          <w:rFonts w:ascii="宋体" w:hAnsi="宋体" w:cs="宋体"/>
          <w:szCs w:val="32"/>
        </w:rPr>
      </w:pPr>
      <w:r>
        <w:rPr>
          <w:rFonts w:hint="eastAsia" w:ascii="宋体" w:hAnsi="宋体" w:cs="宋体"/>
          <w:szCs w:val="32"/>
        </w:rPr>
        <w:t>一、采购内容</w:t>
      </w:r>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7DA5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1DC077FF">
            <w:pPr>
              <w:widowControl/>
              <w:spacing w:line="360" w:lineRule="auto"/>
              <w:jc w:val="center"/>
              <w:rPr>
                <w:rFonts w:ascii="宋体" w:hAnsi="宋体" w:cs="宋体"/>
                <w:b/>
                <w:bCs/>
                <w:kern w:val="0"/>
                <w:sz w:val="32"/>
                <w:szCs w:val="32"/>
              </w:rPr>
            </w:pPr>
            <w:r>
              <w:rPr>
                <w:rFonts w:hint="eastAsia" w:ascii="宋体" w:hAnsi="宋体" w:cs="宋体"/>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594F32C7">
            <w:pPr>
              <w:widowControl/>
              <w:spacing w:line="360" w:lineRule="auto"/>
              <w:jc w:val="center"/>
              <w:rPr>
                <w:rFonts w:ascii="宋体" w:hAnsi="宋体" w:cs="宋体"/>
                <w:b/>
                <w:bCs/>
                <w:kern w:val="0"/>
                <w:sz w:val="32"/>
                <w:szCs w:val="32"/>
              </w:rPr>
            </w:pPr>
            <w:r>
              <w:rPr>
                <w:rFonts w:hint="eastAsia" w:ascii="宋体" w:hAnsi="宋体" w:cs="宋体"/>
                <w:b/>
                <w:bCs/>
                <w:kern w:val="0"/>
                <w:sz w:val="32"/>
                <w:szCs w:val="32"/>
              </w:rPr>
              <w:t>采购预算</w:t>
            </w:r>
          </w:p>
          <w:p w14:paraId="4E9B0D4F">
            <w:pPr>
              <w:spacing w:line="360" w:lineRule="auto"/>
              <w:jc w:val="center"/>
              <w:rPr>
                <w:rFonts w:ascii="宋体" w:hAnsi="宋体" w:cs="宋体"/>
                <w:b/>
                <w:bCs/>
                <w:kern w:val="0"/>
                <w:sz w:val="32"/>
                <w:szCs w:val="32"/>
              </w:rPr>
            </w:pPr>
            <w:r>
              <w:rPr>
                <w:rFonts w:hint="eastAsia" w:ascii="宋体" w:hAnsi="宋体" w:cs="宋体"/>
                <w:b/>
                <w:bCs/>
                <w:kern w:val="0"/>
                <w:sz w:val="32"/>
                <w:szCs w:val="32"/>
              </w:rPr>
              <w:t>（元）</w:t>
            </w:r>
          </w:p>
        </w:tc>
        <w:tc>
          <w:tcPr>
            <w:tcW w:w="1903" w:type="dxa"/>
            <w:tcBorders>
              <w:top w:val="single" w:color="auto" w:sz="4" w:space="0"/>
              <w:left w:val="single" w:color="auto" w:sz="4" w:space="0"/>
              <w:right w:val="single" w:color="auto" w:sz="4" w:space="0"/>
            </w:tcBorders>
            <w:vAlign w:val="center"/>
          </w:tcPr>
          <w:p w14:paraId="07762178">
            <w:pPr>
              <w:spacing w:line="360" w:lineRule="auto"/>
              <w:jc w:val="center"/>
              <w:rPr>
                <w:rFonts w:ascii="宋体" w:hAnsi="宋体" w:cs="宋体"/>
                <w:b/>
                <w:bCs/>
                <w:kern w:val="0"/>
                <w:sz w:val="32"/>
                <w:szCs w:val="32"/>
              </w:rPr>
            </w:pPr>
            <w:r>
              <w:rPr>
                <w:rFonts w:hint="eastAsia" w:ascii="宋体" w:hAnsi="宋体" w:cs="宋体"/>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5E146078">
            <w:pPr>
              <w:spacing w:line="360" w:lineRule="auto"/>
              <w:jc w:val="center"/>
              <w:rPr>
                <w:rFonts w:ascii="宋体" w:hAnsi="宋体" w:cs="宋体"/>
                <w:b/>
                <w:bCs/>
                <w:kern w:val="0"/>
                <w:sz w:val="32"/>
                <w:szCs w:val="32"/>
              </w:rPr>
            </w:pPr>
            <w:r>
              <w:rPr>
                <w:rFonts w:hint="eastAsia" w:ascii="宋体" w:hAnsi="宋体" w:cs="宋体"/>
                <w:b/>
                <w:bCs/>
                <w:kern w:val="0"/>
                <w:sz w:val="32"/>
                <w:szCs w:val="32"/>
              </w:rPr>
              <w:t>备注</w:t>
            </w:r>
          </w:p>
        </w:tc>
      </w:tr>
      <w:tr w14:paraId="4AC4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69D97343">
            <w:pPr>
              <w:widowControl/>
              <w:spacing w:line="360" w:lineRule="auto"/>
              <w:rPr>
                <w:rFonts w:hint="default" w:ascii="宋体" w:hAnsi="宋体" w:eastAsia="宋体" w:cs="宋体"/>
                <w:kern w:val="0"/>
                <w:sz w:val="32"/>
                <w:szCs w:val="32"/>
                <w:lang w:val="en-US" w:eastAsia="zh-CN"/>
              </w:rPr>
            </w:pPr>
            <w:r>
              <w:rPr>
                <w:rFonts w:hint="eastAsia" w:ascii="宋体" w:hAnsi="宋体" w:cs="宋体"/>
                <w:kern w:val="0"/>
                <w:sz w:val="32"/>
                <w:szCs w:val="32"/>
                <w:lang w:val="en-US" w:eastAsia="zh-CN"/>
              </w:rPr>
              <w:t>两江中学护眼灯采购项目</w:t>
            </w:r>
          </w:p>
        </w:tc>
        <w:tc>
          <w:tcPr>
            <w:tcW w:w="1746" w:type="dxa"/>
            <w:tcBorders>
              <w:top w:val="single" w:color="auto" w:sz="4" w:space="0"/>
              <w:left w:val="single" w:color="auto" w:sz="4" w:space="0"/>
              <w:right w:val="single" w:color="auto" w:sz="4" w:space="0"/>
            </w:tcBorders>
            <w:vAlign w:val="center"/>
          </w:tcPr>
          <w:p w14:paraId="2E3564E3">
            <w:pPr>
              <w:widowControl/>
              <w:spacing w:line="360" w:lineRule="auto"/>
              <w:jc w:val="center"/>
              <w:rPr>
                <w:rFonts w:ascii="宋体" w:hAnsi="宋体" w:cs="宋体"/>
                <w:kern w:val="0"/>
                <w:sz w:val="32"/>
                <w:szCs w:val="32"/>
              </w:rPr>
            </w:pPr>
            <w:r>
              <w:rPr>
                <w:rFonts w:hint="eastAsia" w:ascii="宋体" w:hAnsi="宋体" w:cs="宋体"/>
                <w:kern w:val="0"/>
                <w:sz w:val="32"/>
                <w:szCs w:val="32"/>
                <w:lang w:val="en-US" w:eastAsia="zh-CN"/>
              </w:rPr>
              <w:t>125840</w:t>
            </w:r>
            <w:r>
              <w:rPr>
                <w:rFonts w:hint="eastAsia" w:ascii="宋体" w:hAnsi="宋体" w:cs="宋体"/>
                <w:kern w:val="0"/>
                <w:sz w:val="32"/>
                <w:szCs w:val="32"/>
              </w:rPr>
              <w:t xml:space="preserve"> </w:t>
            </w:r>
          </w:p>
        </w:tc>
        <w:tc>
          <w:tcPr>
            <w:tcW w:w="1903" w:type="dxa"/>
            <w:tcBorders>
              <w:top w:val="single" w:color="auto" w:sz="4" w:space="0"/>
              <w:left w:val="single" w:color="auto" w:sz="4" w:space="0"/>
              <w:right w:val="single" w:color="auto" w:sz="4" w:space="0"/>
            </w:tcBorders>
            <w:vAlign w:val="center"/>
          </w:tcPr>
          <w:p w14:paraId="6ECAAD6F">
            <w:pPr>
              <w:widowControl/>
              <w:spacing w:line="360" w:lineRule="auto"/>
              <w:jc w:val="center"/>
              <w:rPr>
                <w:rFonts w:ascii="宋体" w:hAnsi="宋体" w:cs="宋体"/>
                <w:kern w:val="0"/>
                <w:sz w:val="32"/>
                <w:szCs w:val="32"/>
              </w:rPr>
            </w:pPr>
            <w:r>
              <w:rPr>
                <w:rFonts w:ascii="宋体" w:hAnsi="宋体" w:cs="宋体"/>
                <w:kern w:val="0"/>
                <w:sz w:val="32"/>
                <w:szCs w:val="32"/>
              </w:rPr>
              <w:t>财政</w:t>
            </w:r>
            <w:r>
              <w:rPr>
                <w:rFonts w:hint="eastAsia" w:ascii="宋体" w:hAnsi="宋体" w:cs="宋体"/>
                <w:kern w:val="0"/>
                <w:sz w:val="32"/>
                <w:szCs w:val="32"/>
              </w:rPr>
              <w:t>保障</w:t>
            </w:r>
          </w:p>
        </w:tc>
        <w:tc>
          <w:tcPr>
            <w:tcW w:w="1231" w:type="dxa"/>
            <w:tcBorders>
              <w:top w:val="single" w:color="auto" w:sz="4" w:space="0"/>
              <w:left w:val="single" w:color="auto" w:sz="4" w:space="0"/>
              <w:right w:val="single" w:color="auto" w:sz="4" w:space="0"/>
            </w:tcBorders>
            <w:vAlign w:val="center"/>
          </w:tcPr>
          <w:p w14:paraId="1CC78681">
            <w:pPr>
              <w:spacing w:line="360" w:lineRule="auto"/>
              <w:rPr>
                <w:rFonts w:ascii="宋体" w:hAnsi="宋体" w:cs="宋体"/>
                <w:b/>
                <w:sz w:val="32"/>
                <w:szCs w:val="32"/>
              </w:rPr>
            </w:pPr>
          </w:p>
        </w:tc>
      </w:tr>
    </w:tbl>
    <w:p w14:paraId="4DA6568B">
      <w:pPr>
        <w:pStyle w:val="4"/>
        <w:spacing w:before="0" w:after="0" w:line="360" w:lineRule="auto"/>
        <w:rPr>
          <w:rFonts w:ascii="宋体" w:hAnsi="宋体" w:cs="宋体"/>
          <w:sz w:val="24"/>
          <w:szCs w:val="24"/>
        </w:rPr>
      </w:pPr>
    </w:p>
    <w:p w14:paraId="614E3C99">
      <w:pPr>
        <w:pStyle w:val="4"/>
        <w:numPr>
          <w:ilvl w:val="0"/>
          <w:numId w:val="13"/>
        </w:numPr>
        <w:spacing w:before="0" w:after="0" w:line="360" w:lineRule="auto"/>
        <w:ind w:firstLine="643" w:firstLineChars="200"/>
        <w:rPr>
          <w:rFonts w:ascii="宋体" w:hAnsi="宋体" w:cs="宋体"/>
        </w:rPr>
      </w:pPr>
      <w:r>
        <w:rPr>
          <w:rFonts w:hint="eastAsia" w:ascii="宋体" w:hAnsi="宋体" w:cs="宋体"/>
          <w:szCs w:val="32"/>
        </w:rPr>
        <w:t>供应商资格条件</w:t>
      </w:r>
    </w:p>
    <w:p w14:paraId="1DDA37CB">
      <w:pPr>
        <w:snapToGrid w:val="0"/>
        <w:spacing w:line="360" w:lineRule="auto"/>
        <w:rPr>
          <w:rFonts w:ascii="宋体" w:hAnsi="宋体" w:cs="宋体"/>
          <w:sz w:val="32"/>
          <w:szCs w:val="32"/>
        </w:rPr>
      </w:pPr>
      <w:r>
        <w:rPr>
          <w:rFonts w:hint="eastAsia" w:ascii="宋体" w:hAnsi="宋体" w:cs="宋体"/>
          <w:sz w:val="32"/>
          <w:szCs w:val="32"/>
        </w:rPr>
        <w:t>符合《中华人民共和国政府采购法》第二十二条规定。</w:t>
      </w:r>
    </w:p>
    <w:p w14:paraId="0EF78230">
      <w:pPr>
        <w:snapToGrid w:val="0"/>
        <w:spacing w:line="360" w:lineRule="auto"/>
        <w:rPr>
          <w:rFonts w:ascii="宋体" w:hAnsi="宋体" w:cs="宋体"/>
          <w:sz w:val="32"/>
          <w:szCs w:val="32"/>
        </w:rPr>
      </w:pPr>
      <w:r>
        <w:rPr>
          <w:rFonts w:hint="eastAsia" w:ascii="宋体" w:hAnsi="宋体" w:cs="宋体"/>
          <w:sz w:val="32"/>
          <w:szCs w:val="32"/>
        </w:rPr>
        <w:t>（一）基本资格要求</w:t>
      </w:r>
    </w:p>
    <w:p w14:paraId="2ADC07B5">
      <w:pPr>
        <w:snapToGrid w:val="0"/>
        <w:spacing w:line="360" w:lineRule="auto"/>
        <w:rPr>
          <w:rFonts w:ascii="宋体" w:hAnsi="宋体" w:cs="宋体"/>
          <w:sz w:val="32"/>
          <w:szCs w:val="32"/>
        </w:rPr>
      </w:pPr>
      <w:r>
        <w:rPr>
          <w:rFonts w:hint="eastAsia" w:ascii="宋体" w:hAnsi="宋体" w:cs="宋体"/>
          <w:sz w:val="32"/>
          <w:szCs w:val="32"/>
        </w:rPr>
        <w:t>1.具有独立承担民事责任的能力;</w:t>
      </w:r>
    </w:p>
    <w:p w14:paraId="060009CE">
      <w:pPr>
        <w:snapToGrid w:val="0"/>
        <w:spacing w:line="360" w:lineRule="auto"/>
        <w:rPr>
          <w:rFonts w:ascii="宋体" w:hAnsi="宋体" w:cs="宋体"/>
          <w:sz w:val="32"/>
          <w:szCs w:val="32"/>
        </w:rPr>
      </w:pPr>
      <w:r>
        <w:rPr>
          <w:rFonts w:hint="eastAsia" w:ascii="宋体" w:hAnsi="宋体" w:cs="宋体"/>
          <w:sz w:val="32"/>
          <w:szCs w:val="32"/>
        </w:rPr>
        <w:t>2.具有良好的商业信誉和健全的财务会计制度;</w:t>
      </w:r>
    </w:p>
    <w:p w14:paraId="0611FD67">
      <w:pPr>
        <w:snapToGrid w:val="0"/>
        <w:spacing w:line="360" w:lineRule="auto"/>
        <w:rPr>
          <w:rFonts w:ascii="宋体" w:hAnsi="宋体" w:cs="宋体"/>
          <w:sz w:val="32"/>
          <w:szCs w:val="32"/>
        </w:rPr>
      </w:pPr>
      <w:r>
        <w:rPr>
          <w:rFonts w:hint="eastAsia" w:ascii="宋体" w:hAnsi="宋体" w:cs="宋体"/>
          <w:sz w:val="32"/>
          <w:szCs w:val="32"/>
        </w:rPr>
        <w:t>3.具有履行合同所必需的设备和专业技术能力;</w:t>
      </w:r>
    </w:p>
    <w:p w14:paraId="28332911">
      <w:pPr>
        <w:snapToGrid w:val="0"/>
        <w:spacing w:line="360" w:lineRule="auto"/>
        <w:rPr>
          <w:rFonts w:ascii="宋体" w:hAnsi="宋体" w:cs="宋体"/>
          <w:sz w:val="32"/>
          <w:szCs w:val="32"/>
        </w:rPr>
      </w:pPr>
      <w:r>
        <w:rPr>
          <w:rFonts w:hint="eastAsia" w:ascii="宋体" w:hAnsi="宋体" w:cs="宋体"/>
          <w:sz w:val="32"/>
          <w:szCs w:val="32"/>
        </w:rPr>
        <w:t>4.有依法缴纳税收和社会保障资金的良好记录;</w:t>
      </w:r>
    </w:p>
    <w:p w14:paraId="37206339">
      <w:pPr>
        <w:snapToGrid w:val="0"/>
        <w:spacing w:line="360" w:lineRule="auto"/>
        <w:rPr>
          <w:rFonts w:ascii="宋体" w:hAnsi="宋体" w:cs="宋体"/>
          <w:sz w:val="32"/>
          <w:szCs w:val="32"/>
        </w:rPr>
      </w:pPr>
      <w:r>
        <w:rPr>
          <w:rFonts w:hint="eastAsia" w:ascii="宋体" w:hAnsi="宋体" w:cs="宋体"/>
          <w:sz w:val="32"/>
          <w:szCs w:val="32"/>
        </w:rPr>
        <w:t>5.参加政府采购活动前三年内，在经营活动中没有重大违法记录;</w:t>
      </w:r>
    </w:p>
    <w:p w14:paraId="247C3F65">
      <w:pPr>
        <w:snapToGrid w:val="0"/>
        <w:spacing w:line="360" w:lineRule="auto"/>
        <w:rPr>
          <w:rFonts w:ascii="宋体" w:hAnsi="宋体" w:cs="宋体"/>
          <w:sz w:val="32"/>
          <w:szCs w:val="32"/>
        </w:rPr>
      </w:pPr>
      <w:r>
        <w:rPr>
          <w:rFonts w:hint="eastAsia" w:ascii="宋体" w:hAnsi="宋体" w:cs="宋体"/>
          <w:sz w:val="32"/>
          <w:szCs w:val="32"/>
        </w:rPr>
        <w:t>6.法律、行政法规规定的其他条件。</w:t>
      </w:r>
    </w:p>
    <w:p w14:paraId="3CB68FAB">
      <w:pPr>
        <w:snapToGrid w:val="0"/>
        <w:spacing w:line="360" w:lineRule="auto"/>
        <w:rPr>
          <w:rFonts w:ascii="宋体" w:hAnsi="宋体" w:cs="宋体"/>
          <w:b/>
          <w:bCs/>
          <w:i/>
          <w:iCs/>
          <w:color w:val="FF0000"/>
          <w:sz w:val="32"/>
          <w:szCs w:val="32"/>
          <w:u w:val="single"/>
        </w:rPr>
      </w:pPr>
      <w:r>
        <w:rPr>
          <w:rFonts w:hint="eastAsia" w:ascii="宋体" w:hAnsi="宋体" w:cs="宋体"/>
          <w:sz w:val="32"/>
          <w:szCs w:val="32"/>
        </w:rPr>
        <w:t>（二）特定资格要求：投标供应商需上传厂商提供的原厂售后服务承诺函的扫描件，签合同时提供原件。</w:t>
      </w:r>
    </w:p>
    <w:p w14:paraId="69989DC4">
      <w:pPr>
        <w:pStyle w:val="4"/>
        <w:spacing w:before="0" w:after="0" w:line="360" w:lineRule="auto"/>
        <w:ind w:firstLine="643" w:firstLineChars="200"/>
        <w:rPr>
          <w:rFonts w:ascii="宋体" w:hAnsi="宋体" w:cs="宋体"/>
          <w:szCs w:val="32"/>
        </w:rPr>
      </w:pPr>
      <w:r>
        <w:rPr>
          <w:rFonts w:hint="eastAsia" w:ascii="宋体" w:hAnsi="宋体" w:cs="宋体"/>
          <w:szCs w:val="32"/>
        </w:rPr>
        <w:t>三、项目的技术规格、数量及质量要求</w:t>
      </w:r>
    </w:p>
    <w:p w14:paraId="1A7E1AAE">
      <w:pPr>
        <w:pStyle w:val="4"/>
        <w:spacing w:before="0" w:after="0" w:line="360" w:lineRule="auto"/>
        <w:ind w:firstLine="320" w:firstLineChars="100"/>
        <w:rPr>
          <w:rFonts w:ascii="宋体" w:hAnsi="宋体" w:cs="宋体"/>
          <w:b w:val="0"/>
          <w:bCs/>
          <w:szCs w:val="32"/>
        </w:rPr>
      </w:pPr>
      <w:r>
        <w:rPr>
          <w:rFonts w:hint="eastAsia" w:ascii="宋体" w:hAnsi="宋体" w:cs="宋体"/>
          <w:b w:val="0"/>
          <w:bCs/>
          <w:szCs w:val="32"/>
        </w:rPr>
        <w:t>（一）采购数量清单</w:t>
      </w:r>
    </w:p>
    <w:tbl>
      <w:tblPr>
        <w:tblStyle w:val="5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884"/>
        <w:gridCol w:w="1584"/>
        <w:gridCol w:w="1182"/>
        <w:gridCol w:w="2167"/>
        <w:gridCol w:w="1981"/>
      </w:tblGrid>
      <w:tr w14:paraId="4BE1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2BDA7493">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序号</w:t>
            </w:r>
          </w:p>
        </w:tc>
        <w:tc>
          <w:tcPr>
            <w:tcW w:w="979" w:type="pct"/>
            <w:vAlign w:val="center"/>
          </w:tcPr>
          <w:p w14:paraId="50C50AE8">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品名</w:t>
            </w:r>
          </w:p>
        </w:tc>
        <w:tc>
          <w:tcPr>
            <w:tcW w:w="823" w:type="pct"/>
            <w:vAlign w:val="center"/>
          </w:tcPr>
          <w:p w14:paraId="4FA8B469">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数量</w:t>
            </w:r>
          </w:p>
        </w:tc>
        <w:tc>
          <w:tcPr>
            <w:tcW w:w="614" w:type="pct"/>
            <w:vAlign w:val="center"/>
          </w:tcPr>
          <w:p w14:paraId="382B3C63">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单位</w:t>
            </w:r>
          </w:p>
        </w:tc>
        <w:tc>
          <w:tcPr>
            <w:tcW w:w="1126" w:type="pct"/>
            <w:vAlign w:val="center"/>
          </w:tcPr>
          <w:p w14:paraId="5C1D6E5B">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最高单价（元）</w:t>
            </w:r>
          </w:p>
        </w:tc>
        <w:tc>
          <w:tcPr>
            <w:tcW w:w="1029" w:type="pct"/>
            <w:vAlign w:val="center"/>
          </w:tcPr>
          <w:p w14:paraId="128C50F3">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品牌、型号</w:t>
            </w:r>
          </w:p>
        </w:tc>
      </w:tr>
      <w:tr w14:paraId="6AAA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25" w:type="pct"/>
            <w:vAlign w:val="center"/>
          </w:tcPr>
          <w:p w14:paraId="00335BB7">
            <w:pPr>
              <w:jc w:val="center"/>
              <w:rPr>
                <w:rFonts w:ascii="新宋体" w:hAnsi="新宋体" w:eastAsia="新宋体" w:cs="新宋体"/>
                <w:sz w:val="18"/>
                <w:szCs w:val="18"/>
              </w:rPr>
            </w:pPr>
            <w:r>
              <w:rPr>
                <w:rFonts w:hint="eastAsia" w:ascii="新宋体" w:hAnsi="新宋体" w:eastAsia="新宋体" w:cs="新宋体"/>
                <w:sz w:val="18"/>
                <w:szCs w:val="18"/>
              </w:rPr>
              <w:t>1</w:t>
            </w:r>
          </w:p>
        </w:tc>
        <w:tc>
          <w:tcPr>
            <w:tcW w:w="979" w:type="pct"/>
            <w:vAlign w:val="center"/>
          </w:tcPr>
          <w:p w14:paraId="5A3FF32C">
            <w:pPr>
              <w:jc w:val="center"/>
              <w:rPr>
                <w:rFonts w:ascii="新宋体" w:hAnsi="新宋体" w:eastAsia="新宋体" w:cs="新宋体"/>
                <w:sz w:val="18"/>
                <w:szCs w:val="18"/>
              </w:rPr>
            </w:pPr>
            <w:r>
              <w:rPr>
                <w:rFonts w:hint="eastAsia" w:ascii="新宋体" w:hAnsi="新宋体" w:eastAsia="新宋体" w:cs="新宋体"/>
                <w:sz w:val="18"/>
                <w:szCs w:val="18"/>
              </w:rPr>
              <w:t>LED教室灯</w:t>
            </w:r>
          </w:p>
        </w:tc>
        <w:tc>
          <w:tcPr>
            <w:tcW w:w="823" w:type="pct"/>
            <w:vAlign w:val="center"/>
          </w:tcPr>
          <w:p w14:paraId="631362FB">
            <w:pPr>
              <w:snapToGrid w:val="0"/>
              <w:spacing w:line="360" w:lineRule="auto"/>
              <w:jc w:val="center"/>
              <w:rPr>
                <w:rFonts w:hint="default" w:ascii="新宋体" w:hAnsi="新宋体" w:eastAsia="新宋体" w:cs="新宋体"/>
                <w:b/>
                <w:bCs/>
                <w:sz w:val="18"/>
                <w:szCs w:val="18"/>
                <w:lang w:val="en-US" w:eastAsia="zh-CN"/>
              </w:rPr>
            </w:pPr>
            <w:r>
              <w:rPr>
                <w:rFonts w:hint="eastAsia" w:ascii="新宋体" w:hAnsi="新宋体" w:eastAsia="新宋体" w:cs="新宋体"/>
                <w:b/>
                <w:bCs/>
                <w:sz w:val="18"/>
                <w:szCs w:val="18"/>
                <w:lang w:val="en-US" w:eastAsia="zh-CN"/>
              </w:rPr>
              <w:t>198</w:t>
            </w:r>
          </w:p>
        </w:tc>
        <w:tc>
          <w:tcPr>
            <w:tcW w:w="614" w:type="pct"/>
            <w:vAlign w:val="center"/>
          </w:tcPr>
          <w:p w14:paraId="4C421CD5">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盏</w:t>
            </w:r>
          </w:p>
        </w:tc>
        <w:tc>
          <w:tcPr>
            <w:tcW w:w="1126" w:type="pct"/>
            <w:vAlign w:val="center"/>
          </w:tcPr>
          <w:p w14:paraId="01FD04F0">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520</w:t>
            </w:r>
          </w:p>
        </w:tc>
        <w:tc>
          <w:tcPr>
            <w:tcW w:w="1029" w:type="pct"/>
            <w:vAlign w:val="center"/>
          </w:tcPr>
          <w:p w14:paraId="64C787E5">
            <w:pPr>
              <w:jc w:val="center"/>
              <w:rPr>
                <w:rFonts w:hint="eastAsia" w:ascii="仿宋" w:hAnsi="仿宋" w:eastAsia="仿宋" w:cs="仿宋"/>
              </w:rPr>
            </w:pPr>
            <w:r>
              <w:rPr>
                <w:rFonts w:hint="eastAsia" w:ascii="仿宋" w:hAnsi="仿宋" w:eastAsia="仿宋" w:cs="仿宋"/>
              </w:rPr>
              <w:t>教室灯品牌：奥莱</w:t>
            </w:r>
          </w:p>
          <w:p w14:paraId="7CB77CA7">
            <w:pPr>
              <w:jc w:val="center"/>
              <w:rPr>
                <w:rFonts w:hint="eastAsia" w:ascii="仿宋" w:hAnsi="仿宋" w:eastAsia="仿宋" w:cs="仿宋"/>
              </w:rPr>
            </w:pPr>
            <w:r>
              <w:rPr>
                <w:rFonts w:hint="eastAsia" w:ascii="仿宋" w:hAnsi="仿宋" w:eastAsia="仿宋" w:cs="仿宋"/>
              </w:rPr>
              <w:t>型号：AC-GL-1002-N-36W</w:t>
            </w:r>
          </w:p>
          <w:p w14:paraId="69BD1372">
            <w:pPr>
              <w:snapToGrid w:val="0"/>
              <w:spacing w:line="360" w:lineRule="auto"/>
              <w:jc w:val="center"/>
              <w:rPr>
                <w:rFonts w:ascii="新宋体" w:hAnsi="新宋体" w:eastAsia="新宋体" w:cs="新宋体"/>
                <w:b/>
                <w:bCs/>
                <w:sz w:val="18"/>
                <w:szCs w:val="18"/>
              </w:rPr>
            </w:pPr>
          </w:p>
        </w:tc>
      </w:tr>
      <w:tr w14:paraId="0F29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1FD44E05">
            <w:pPr>
              <w:jc w:val="center"/>
              <w:rPr>
                <w:rFonts w:ascii="新宋体" w:hAnsi="新宋体" w:eastAsia="新宋体" w:cs="新宋体"/>
                <w:sz w:val="18"/>
                <w:szCs w:val="18"/>
              </w:rPr>
            </w:pPr>
            <w:r>
              <w:rPr>
                <w:rFonts w:hint="eastAsia" w:ascii="新宋体" w:hAnsi="新宋体" w:eastAsia="新宋体" w:cs="新宋体"/>
                <w:sz w:val="18"/>
                <w:szCs w:val="18"/>
              </w:rPr>
              <w:t>2</w:t>
            </w:r>
          </w:p>
        </w:tc>
        <w:tc>
          <w:tcPr>
            <w:tcW w:w="979" w:type="pct"/>
            <w:vAlign w:val="center"/>
          </w:tcPr>
          <w:p w14:paraId="0DC9BB2B">
            <w:pPr>
              <w:jc w:val="center"/>
              <w:rPr>
                <w:rFonts w:ascii="新宋体" w:hAnsi="新宋体" w:eastAsia="新宋体" w:cs="新宋体"/>
                <w:sz w:val="18"/>
                <w:szCs w:val="18"/>
              </w:rPr>
            </w:pPr>
            <w:r>
              <w:rPr>
                <w:rFonts w:hint="eastAsia" w:ascii="新宋体" w:hAnsi="新宋体" w:eastAsia="新宋体" w:cs="新宋体"/>
                <w:sz w:val="18"/>
                <w:szCs w:val="18"/>
              </w:rPr>
              <w:t>LED黑板灯</w:t>
            </w:r>
          </w:p>
        </w:tc>
        <w:tc>
          <w:tcPr>
            <w:tcW w:w="823" w:type="pct"/>
            <w:vAlign w:val="center"/>
          </w:tcPr>
          <w:p w14:paraId="0C0A7B11">
            <w:pPr>
              <w:snapToGrid w:val="0"/>
              <w:spacing w:line="360" w:lineRule="auto"/>
              <w:jc w:val="center"/>
              <w:rPr>
                <w:rFonts w:hint="default" w:ascii="新宋体" w:hAnsi="新宋体" w:eastAsia="新宋体" w:cs="新宋体"/>
                <w:b/>
                <w:bCs/>
                <w:sz w:val="18"/>
                <w:szCs w:val="18"/>
                <w:lang w:val="en-US" w:eastAsia="zh-CN"/>
              </w:rPr>
            </w:pPr>
            <w:r>
              <w:rPr>
                <w:rFonts w:hint="eastAsia" w:ascii="新宋体" w:hAnsi="新宋体" w:eastAsia="新宋体" w:cs="新宋体"/>
                <w:b/>
                <w:bCs/>
                <w:sz w:val="18"/>
                <w:szCs w:val="18"/>
                <w:lang w:val="en-US" w:eastAsia="zh-CN"/>
              </w:rPr>
              <w:t>66</w:t>
            </w:r>
          </w:p>
        </w:tc>
        <w:tc>
          <w:tcPr>
            <w:tcW w:w="614" w:type="pct"/>
            <w:vAlign w:val="center"/>
          </w:tcPr>
          <w:p w14:paraId="41DEA2FA">
            <w:pPr>
              <w:snapToGrid w:val="0"/>
              <w:spacing w:line="360" w:lineRule="auto"/>
              <w:jc w:val="center"/>
              <w:rPr>
                <w:rFonts w:ascii="新宋体" w:hAnsi="新宋体" w:eastAsia="新宋体" w:cs="新宋体"/>
                <w:b/>
                <w:bCs/>
                <w:sz w:val="18"/>
                <w:szCs w:val="18"/>
              </w:rPr>
            </w:pPr>
            <w:r>
              <w:rPr>
                <w:rFonts w:hint="eastAsia" w:ascii="新宋体" w:hAnsi="新宋体" w:eastAsia="新宋体" w:cs="新宋体"/>
                <w:b/>
                <w:bCs/>
                <w:sz w:val="18"/>
                <w:szCs w:val="18"/>
              </w:rPr>
              <w:t>盏</w:t>
            </w:r>
          </w:p>
        </w:tc>
        <w:tc>
          <w:tcPr>
            <w:tcW w:w="1126" w:type="pct"/>
            <w:vAlign w:val="center"/>
          </w:tcPr>
          <w:p w14:paraId="7DFF8D0D">
            <w:pPr>
              <w:snapToGrid w:val="0"/>
              <w:spacing w:line="360" w:lineRule="auto"/>
              <w:jc w:val="center"/>
              <w:rPr>
                <w:rFonts w:ascii="新宋体" w:hAnsi="新宋体" w:eastAsia="新宋体" w:cs="新宋体"/>
                <w:b/>
                <w:bCs/>
                <w:sz w:val="18"/>
                <w:szCs w:val="18"/>
              </w:rPr>
            </w:pPr>
            <w:r>
              <w:rPr>
                <w:rFonts w:ascii="新宋体" w:hAnsi="新宋体" w:eastAsia="新宋体" w:cs="新宋体"/>
                <w:b/>
                <w:bCs/>
                <w:sz w:val="18"/>
                <w:szCs w:val="18"/>
              </w:rPr>
              <w:t>346</w:t>
            </w:r>
          </w:p>
        </w:tc>
        <w:tc>
          <w:tcPr>
            <w:tcW w:w="1029" w:type="pct"/>
            <w:vAlign w:val="center"/>
          </w:tcPr>
          <w:p w14:paraId="2ED5C386">
            <w:pPr>
              <w:jc w:val="center"/>
              <w:rPr>
                <w:rFonts w:hint="eastAsia" w:ascii="仿宋" w:hAnsi="仿宋" w:eastAsia="仿宋" w:cs="仿宋"/>
              </w:rPr>
            </w:pPr>
            <w:r>
              <w:rPr>
                <w:rFonts w:hint="eastAsia" w:ascii="仿宋" w:hAnsi="仿宋" w:eastAsia="仿宋" w:cs="仿宋"/>
              </w:rPr>
              <w:t>黑板灯品牌：奥莱</w:t>
            </w:r>
          </w:p>
          <w:p w14:paraId="542A9AE0">
            <w:pPr>
              <w:jc w:val="center"/>
              <w:rPr>
                <w:rFonts w:hint="eastAsia" w:ascii="仿宋" w:hAnsi="仿宋" w:eastAsia="仿宋" w:cs="仿宋"/>
              </w:rPr>
            </w:pPr>
            <w:r>
              <w:rPr>
                <w:rFonts w:hint="eastAsia" w:ascii="仿宋" w:hAnsi="仿宋" w:eastAsia="仿宋" w:cs="仿宋"/>
              </w:rPr>
              <w:t>型号：AC-GL-1001-N-36W</w:t>
            </w:r>
          </w:p>
          <w:p w14:paraId="26F4779D">
            <w:pPr>
              <w:snapToGrid w:val="0"/>
              <w:spacing w:line="360" w:lineRule="auto"/>
              <w:jc w:val="center"/>
              <w:rPr>
                <w:rFonts w:ascii="新宋体" w:hAnsi="新宋体" w:eastAsia="新宋体" w:cs="新宋体"/>
                <w:b/>
                <w:bCs/>
                <w:sz w:val="18"/>
                <w:szCs w:val="18"/>
              </w:rPr>
            </w:pPr>
          </w:p>
        </w:tc>
      </w:tr>
    </w:tbl>
    <w:p w14:paraId="22B9B0AD">
      <w:pPr>
        <w:pStyle w:val="4"/>
        <w:spacing w:before="0" w:after="0" w:line="360" w:lineRule="auto"/>
        <w:ind w:firstLine="320" w:firstLineChars="100"/>
        <w:rPr>
          <w:rFonts w:ascii="宋体" w:hAnsi="宋体" w:cs="宋体"/>
          <w:b w:val="0"/>
          <w:bCs/>
          <w:szCs w:val="32"/>
        </w:rPr>
      </w:pPr>
    </w:p>
    <w:p w14:paraId="1B255B00">
      <w:pPr>
        <w:pStyle w:val="4"/>
        <w:spacing w:before="0" w:after="0" w:line="360" w:lineRule="auto"/>
        <w:rPr>
          <w:rFonts w:ascii="宋体" w:hAnsi="宋体" w:cs="宋体"/>
          <w:b w:val="0"/>
          <w:bCs/>
          <w:szCs w:val="32"/>
        </w:rPr>
      </w:pPr>
      <w:r>
        <w:rPr>
          <w:rFonts w:hint="eastAsia" w:ascii="宋体" w:hAnsi="宋体" w:cs="宋体"/>
          <w:b w:val="0"/>
          <w:bCs/>
          <w:szCs w:val="32"/>
        </w:rPr>
        <w:t>（二）技术规格及质量要求</w:t>
      </w:r>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896"/>
        <w:gridCol w:w="6887"/>
      </w:tblGrid>
      <w:tr w14:paraId="352E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492" w:type="pct"/>
            <w:vAlign w:val="center"/>
          </w:tcPr>
          <w:p w14:paraId="0B3C8EAB">
            <w:pPr>
              <w:jc w:val="center"/>
              <w:rPr>
                <w:rFonts w:ascii="仿宋" w:hAnsi="仿宋" w:eastAsia="仿宋" w:cs="仿宋"/>
                <w:b/>
                <w:bCs/>
              </w:rPr>
            </w:pPr>
            <w:r>
              <w:rPr>
                <w:rFonts w:hint="eastAsia" w:ascii="仿宋" w:hAnsi="仿宋" w:eastAsia="仿宋" w:cs="仿宋"/>
                <w:b/>
                <w:bCs/>
              </w:rPr>
              <w:t>序号</w:t>
            </w:r>
          </w:p>
        </w:tc>
        <w:tc>
          <w:tcPr>
            <w:tcW w:w="875" w:type="pct"/>
            <w:vAlign w:val="center"/>
          </w:tcPr>
          <w:p w14:paraId="510F5845">
            <w:pPr>
              <w:jc w:val="center"/>
              <w:rPr>
                <w:rFonts w:ascii="仿宋" w:hAnsi="仿宋" w:eastAsia="仿宋" w:cs="仿宋"/>
                <w:b/>
                <w:bCs/>
              </w:rPr>
            </w:pPr>
            <w:r>
              <w:rPr>
                <w:rFonts w:hint="eastAsia" w:ascii="仿宋" w:hAnsi="仿宋" w:eastAsia="仿宋" w:cs="仿宋"/>
                <w:b/>
                <w:bCs/>
              </w:rPr>
              <w:t>产品名称</w:t>
            </w:r>
          </w:p>
        </w:tc>
        <w:tc>
          <w:tcPr>
            <w:tcW w:w="3631" w:type="pct"/>
            <w:vAlign w:val="center"/>
          </w:tcPr>
          <w:p w14:paraId="1AFAE872">
            <w:pPr>
              <w:jc w:val="center"/>
              <w:rPr>
                <w:rFonts w:ascii="仿宋" w:hAnsi="仿宋" w:eastAsia="仿宋" w:cs="仿宋"/>
                <w:b/>
                <w:bCs/>
              </w:rPr>
            </w:pPr>
            <w:r>
              <w:rPr>
                <w:rFonts w:hint="eastAsia" w:ascii="仿宋" w:hAnsi="仿宋" w:eastAsia="仿宋" w:cs="仿宋"/>
                <w:b/>
                <w:bCs/>
              </w:rPr>
              <w:t>技术参数及要求</w:t>
            </w:r>
          </w:p>
        </w:tc>
      </w:tr>
      <w:tr w14:paraId="4032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pct"/>
            <w:vAlign w:val="center"/>
          </w:tcPr>
          <w:p w14:paraId="0BD0575D">
            <w:pPr>
              <w:jc w:val="center"/>
              <w:rPr>
                <w:rFonts w:ascii="仿宋" w:hAnsi="仿宋" w:eastAsia="仿宋" w:cs="仿宋"/>
              </w:rPr>
            </w:pPr>
            <w:r>
              <w:rPr>
                <w:rFonts w:hint="eastAsia" w:ascii="仿宋" w:hAnsi="仿宋" w:eastAsia="仿宋" w:cs="仿宋"/>
              </w:rPr>
              <w:t>1</w:t>
            </w:r>
          </w:p>
        </w:tc>
        <w:tc>
          <w:tcPr>
            <w:tcW w:w="875" w:type="pct"/>
            <w:vAlign w:val="center"/>
          </w:tcPr>
          <w:p w14:paraId="08F017D8">
            <w:pPr>
              <w:jc w:val="center"/>
              <w:rPr>
                <w:rFonts w:hint="eastAsia" w:ascii="仿宋" w:hAnsi="仿宋" w:eastAsia="仿宋" w:cs="仿宋"/>
              </w:rPr>
            </w:pPr>
            <w:r>
              <w:rPr>
                <w:rFonts w:hint="eastAsia" w:ascii="仿宋" w:hAnsi="仿宋" w:eastAsia="仿宋" w:cs="仿宋"/>
              </w:rPr>
              <w:t>教室灯品牌：奥莱</w:t>
            </w:r>
          </w:p>
          <w:p w14:paraId="159EC1EE">
            <w:pPr>
              <w:jc w:val="center"/>
              <w:rPr>
                <w:rFonts w:hint="eastAsia" w:ascii="仿宋" w:hAnsi="仿宋" w:eastAsia="仿宋" w:cs="仿宋"/>
              </w:rPr>
            </w:pPr>
            <w:r>
              <w:rPr>
                <w:rFonts w:hint="eastAsia" w:ascii="仿宋" w:hAnsi="仿宋" w:eastAsia="仿宋" w:cs="仿宋"/>
              </w:rPr>
              <w:t>型号：AC-GL-1002-N-36W</w:t>
            </w:r>
          </w:p>
          <w:p w14:paraId="2461BE7D">
            <w:pPr>
              <w:jc w:val="center"/>
              <w:rPr>
                <w:rFonts w:ascii="仿宋" w:hAnsi="仿宋" w:eastAsia="仿宋" w:cs="仿宋"/>
              </w:rPr>
            </w:pPr>
          </w:p>
        </w:tc>
        <w:tc>
          <w:tcPr>
            <w:tcW w:w="3631" w:type="pct"/>
            <w:vAlign w:val="center"/>
          </w:tcPr>
          <w:p w14:paraId="7EC7770F">
            <w:pPr>
              <w:tabs>
                <w:tab w:val="left" w:pos="252"/>
              </w:tabs>
              <w:jc w:val="left"/>
              <w:rPr>
                <w:rFonts w:hint="eastAsia" w:ascii="宋体" w:hAnsi="宋体" w:cs="宋体"/>
                <w:sz w:val="18"/>
                <w:szCs w:val="18"/>
              </w:rPr>
            </w:pPr>
            <w:r>
              <w:rPr>
                <w:rFonts w:hint="eastAsia" w:ascii="宋体" w:hAnsi="宋体" w:cs="宋体"/>
                <w:sz w:val="18"/>
                <w:szCs w:val="18"/>
              </w:rPr>
              <w:t>基础参数：</w:t>
            </w:r>
          </w:p>
          <w:p w14:paraId="794CFD28">
            <w:pPr>
              <w:tabs>
                <w:tab w:val="left" w:pos="252"/>
              </w:tabs>
              <w:jc w:val="left"/>
              <w:rPr>
                <w:rFonts w:hint="eastAsia" w:ascii="宋体" w:hAnsi="宋体" w:cs="宋体"/>
                <w:sz w:val="18"/>
                <w:szCs w:val="18"/>
              </w:rPr>
            </w:pPr>
            <w:r>
              <w:rPr>
                <w:rFonts w:hint="eastAsia" w:ascii="宋体" w:hAnsi="宋体" w:cs="宋体"/>
                <w:sz w:val="18"/>
                <w:szCs w:val="18"/>
              </w:rPr>
              <w:t>1.灯具整灯通过国家强制性CCC认证；</w:t>
            </w:r>
          </w:p>
          <w:p w14:paraId="4CA7FC3C">
            <w:pPr>
              <w:tabs>
                <w:tab w:val="left" w:pos="252"/>
              </w:tabs>
              <w:jc w:val="left"/>
              <w:rPr>
                <w:rFonts w:hint="eastAsia" w:ascii="宋体" w:hAnsi="宋体" w:cs="宋体"/>
                <w:sz w:val="18"/>
                <w:szCs w:val="18"/>
              </w:rPr>
            </w:pPr>
            <w:r>
              <w:rPr>
                <w:rFonts w:hint="eastAsia" w:ascii="宋体" w:hAnsi="宋体" w:cs="宋体"/>
                <w:sz w:val="18"/>
                <w:szCs w:val="18"/>
              </w:rPr>
              <w:t>2.灯具包括但不仅限于色温（4800K±200K）、显色指数(Ra≥95、R9≥90)、 色容差（≤3 SDCM）、光通量(≥3500 Lm)、光效（≥90 Lm/W）、50000小时光通维持率≥90%等参数的检测报告；</w:t>
            </w:r>
          </w:p>
          <w:p w14:paraId="286ABE05">
            <w:pPr>
              <w:tabs>
                <w:tab w:val="left" w:pos="252"/>
              </w:tabs>
              <w:jc w:val="left"/>
              <w:rPr>
                <w:rFonts w:hint="eastAsia" w:ascii="宋体" w:hAnsi="宋体" w:cs="宋体"/>
                <w:sz w:val="18"/>
                <w:szCs w:val="18"/>
              </w:rPr>
            </w:pPr>
            <w:r>
              <w:rPr>
                <w:rFonts w:hint="eastAsia" w:ascii="宋体" w:hAnsi="宋体" w:cs="宋体"/>
                <w:sz w:val="18"/>
                <w:szCs w:val="18"/>
              </w:rPr>
              <w:t>3.灯具包括但不仅限于无频闪、蓝光危害等级为RG0、光通维持寿命≥50000小时；</w:t>
            </w:r>
          </w:p>
          <w:p w14:paraId="6EC7519B">
            <w:pPr>
              <w:tabs>
                <w:tab w:val="left" w:pos="252"/>
              </w:tabs>
              <w:jc w:val="left"/>
              <w:rPr>
                <w:rFonts w:hint="eastAsia" w:ascii="宋体" w:hAnsi="宋体" w:cs="宋体"/>
                <w:sz w:val="18"/>
                <w:szCs w:val="18"/>
              </w:rPr>
            </w:pPr>
            <w:r>
              <w:rPr>
                <w:rFonts w:hint="eastAsia" w:ascii="宋体" w:hAnsi="宋体" w:cs="宋体"/>
                <w:sz w:val="18"/>
                <w:szCs w:val="18"/>
              </w:rPr>
              <w:t>4.依据 GB 40070 —2021 《儿童青少年学习用品近视防控卫生要求》 标准通过近视防控认证证书。</w:t>
            </w:r>
          </w:p>
          <w:p w14:paraId="1A9FAA5F">
            <w:pPr>
              <w:tabs>
                <w:tab w:val="left" w:pos="252"/>
              </w:tabs>
              <w:jc w:val="left"/>
              <w:rPr>
                <w:rFonts w:hint="eastAsia" w:ascii="宋体" w:hAnsi="宋体" w:cs="宋体"/>
                <w:sz w:val="18"/>
                <w:szCs w:val="18"/>
              </w:rPr>
            </w:pPr>
            <w:r>
              <w:rPr>
                <w:rFonts w:hint="eastAsia" w:ascii="宋体" w:hAnsi="宋体" w:cs="宋体"/>
                <w:sz w:val="18"/>
                <w:szCs w:val="18"/>
              </w:rPr>
              <w:t>其他参数：</w:t>
            </w:r>
          </w:p>
          <w:p w14:paraId="58640588">
            <w:pPr>
              <w:tabs>
                <w:tab w:val="left" w:pos="252"/>
              </w:tabs>
              <w:jc w:val="left"/>
              <w:rPr>
                <w:rFonts w:hint="eastAsia" w:ascii="宋体" w:hAnsi="宋体" w:cs="宋体"/>
                <w:sz w:val="18"/>
                <w:szCs w:val="18"/>
              </w:rPr>
            </w:pPr>
            <w:r>
              <w:rPr>
                <w:rFonts w:hint="eastAsia" w:ascii="宋体" w:hAnsi="宋体" w:cs="宋体"/>
                <w:sz w:val="18"/>
                <w:szCs w:val="18"/>
              </w:rPr>
              <w:t>5.教室灯需依据CQC16-465004-2024认证规则及《GB/T18595》、《GB/T 17626.11》标准取得认证证书；</w:t>
            </w:r>
          </w:p>
          <w:p w14:paraId="7A510BD7">
            <w:pPr>
              <w:tabs>
                <w:tab w:val="left" w:pos="252"/>
              </w:tabs>
              <w:jc w:val="left"/>
              <w:rPr>
                <w:rFonts w:hint="eastAsia" w:ascii="宋体" w:hAnsi="宋体" w:cs="宋体"/>
                <w:sz w:val="18"/>
                <w:szCs w:val="18"/>
              </w:rPr>
            </w:pPr>
            <w:r>
              <w:rPr>
                <w:rFonts w:hint="eastAsia" w:ascii="宋体" w:hAnsi="宋体" w:cs="宋体"/>
                <w:sz w:val="18"/>
                <w:szCs w:val="18"/>
              </w:rPr>
              <w:t>6.教室灯至少依据《GB 7000.1》、《GB/T18595》、《GB/T31831》、《GB/T31897.1》及《GB/T9468》标准满足金属无锈蚀；</w:t>
            </w:r>
          </w:p>
          <w:p w14:paraId="3DC8E4BA">
            <w:pPr>
              <w:tabs>
                <w:tab w:val="left" w:pos="252"/>
              </w:tabs>
              <w:jc w:val="left"/>
              <w:rPr>
                <w:rFonts w:hint="eastAsia" w:ascii="宋体" w:hAnsi="宋体" w:cs="宋体"/>
                <w:sz w:val="18"/>
                <w:szCs w:val="18"/>
              </w:rPr>
            </w:pPr>
            <w:r>
              <w:rPr>
                <w:rFonts w:hint="eastAsia" w:ascii="宋体" w:hAnsi="宋体" w:cs="宋体"/>
                <w:sz w:val="18"/>
                <w:szCs w:val="18"/>
              </w:rPr>
              <w:t>7.教室灯至少依据《GB 7000.1》、《GB/T18595》、《GB/T31831》及《GB/T31897.201》标准通过结构安全认证。</w:t>
            </w:r>
          </w:p>
          <w:p w14:paraId="468A1532">
            <w:pPr>
              <w:tabs>
                <w:tab w:val="left" w:pos="252"/>
              </w:tabs>
              <w:jc w:val="left"/>
              <w:rPr>
                <w:rFonts w:hint="eastAsia" w:ascii="宋体" w:hAnsi="宋体" w:cs="宋体"/>
                <w:sz w:val="18"/>
                <w:szCs w:val="18"/>
              </w:rPr>
            </w:pPr>
          </w:p>
          <w:p w14:paraId="50F72646">
            <w:pPr>
              <w:tabs>
                <w:tab w:val="left" w:pos="252"/>
              </w:tabs>
              <w:jc w:val="left"/>
              <w:rPr>
                <w:rFonts w:hint="eastAsia" w:ascii="宋体" w:hAnsi="宋体" w:cs="宋体"/>
                <w:sz w:val="18"/>
                <w:szCs w:val="18"/>
              </w:rPr>
            </w:pPr>
            <w:r>
              <w:rPr>
                <w:rFonts w:hint="eastAsia" w:ascii="宋体" w:hAnsi="宋体" w:cs="宋体"/>
                <w:sz w:val="18"/>
                <w:szCs w:val="18"/>
              </w:rPr>
              <w:t>第1、4-7项提供中国质量认证中心或权威机构出具的认证证书复印件、全国认证认可信息公共服务平台证书状态为“有效”查询截图证明，并加盖投标人公章。</w:t>
            </w:r>
          </w:p>
          <w:p w14:paraId="3DFF1A4C">
            <w:pPr>
              <w:tabs>
                <w:tab w:val="left" w:pos="252"/>
              </w:tabs>
              <w:jc w:val="left"/>
              <w:rPr>
                <w:rFonts w:hint="eastAsia" w:ascii="宋体" w:hAnsi="宋体" w:cs="宋体"/>
                <w:sz w:val="18"/>
                <w:szCs w:val="18"/>
              </w:rPr>
            </w:pPr>
            <w:r>
              <w:rPr>
                <w:rFonts w:hint="eastAsia" w:ascii="宋体" w:hAnsi="宋体" w:cs="宋体"/>
                <w:sz w:val="18"/>
                <w:szCs w:val="18"/>
              </w:rPr>
              <w:t>第2、3项提供具有CMA和CNAS标志的检测报告复印件(报告中体现产品型号和检测标准，包括但不限于以上参数要求的检测值)、提供报告在全国认证认可信息公共服务平台的查询截图证明，并加盖投标人公章。</w:t>
            </w:r>
          </w:p>
          <w:p w14:paraId="5601EB5D">
            <w:pPr>
              <w:tabs>
                <w:tab w:val="left" w:pos="252"/>
              </w:tabs>
              <w:jc w:val="left"/>
              <w:rPr>
                <w:rFonts w:ascii="仿宋" w:hAnsi="仿宋" w:eastAsia="仿宋" w:cs="仿宋"/>
              </w:rPr>
            </w:pPr>
          </w:p>
        </w:tc>
      </w:tr>
      <w:tr w14:paraId="2B67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pct"/>
            <w:vAlign w:val="center"/>
          </w:tcPr>
          <w:p w14:paraId="1C852C39">
            <w:pPr>
              <w:jc w:val="center"/>
              <w:rPr>
                <w:rFonts w:ascii="仿宋" w:hAnsi="仿宋" w:eastAsia="仿宋" w:cs="仿宋"/>
              </w:rPr>
            </w:pPr>
            <w:r>
              <w:rPr>
                <w:rFonts w:hint="eastAsia" w:ascii="仿宋" w:hAnsi="仿宋" w:eastAsia="仿宋" w:cs="仿宋"/>
              </w:rPr>
              <w:t>2</w:t>
            </w:r>
          </w:p>
        </w:tc>
        <w:tc>
          <w:tcPr>
            <w:tcW w:w="875" w:type="pct"/>
            <w:vAlign w:val="center"/>
          </w:tcPr>
          <w:p w14:paraId="3F6DB9A6">
            <w:pPr>
              <w:jc w:val="center"/>
              <w:rPr>
                <w:rFonts w:hint="eastAsia" w:ascii="仿宋" w:hAnsi="仿宋" w:eastAsia="仿宋" w:cs="仿宋"/>
              </w:rPr>
            </w:pPr>
            <w:r>
              <w:rPr>
                <w:rFonts w:hint="eastAsia" w:ascii="仿宋" w:hAnsi="仿宋" w:eastAsia="仿宋" w:cs="仿宋"/>
              </w:rPr>
              <w:t>黑板灯品牌：奥莱</w:t>
            </w:r>
          </w:p>
          <w:p w14:paraId="6EE60A55">
            <w:pPr>
              <w:jc w:val="center"/>
              <w:rPr>
                <w:rFonts w:hint="eastAsia" w:ascii="仿宋" w:hAnsi="仿宋" w:eastAsia="仿宋" w:cs="仿宋"/>
              </w:rPr>
            </w:pPr>
            <w:r>
              <w:rPr>
                <w:rFonts w:hint="eastAsia" w:ascii="仿宋" w:hAnsi="仿宋" w:eastAsia="仿宋" w:cs="仿宋"/>
              </w:rPr>
              <w:t>型号：AC-GL-1001-N-36W</w:t>
            </w:r>
          </w:p>
          <w:p w14:paraId="099EE936">
            <w:pPr>
              <w:jc w:val="center"/>
              <w:rPr>
                <w:rFonts w:hint="eastAsia" w:ascii="仿宋" w:hAnsi="仿宋" w:eastAsia="仿宋" w:cs="仿宋"/>
              </w:rPr>
            </w:pPr>
          </w:p>
          <w:p w14:paraId="75B5EAEC">
            <w:pPr>
              <w:jc w:val="center"/>
              <w:rPr>
                <w:rFonts w:hint="eastAsia" w:ascii="仿宋" w:hAnsi="仿宋" w:eastAsia="仿宋" w:cs="仿宋"/>
              </w:rPr>
            </w:pPr>
          </w:p>
          <w:p w14:paraId="3C0E5577">
            <w:pPr>
              <w:jc w:val="center"/>
              <w:rPr>
                <w:rFonts w:ascii="仿宋" w:hAnsi="仿宋" w:eastAsia="仿宋" w:cs="仿宋"/>
              </w:rPr>
            </w:pPr>
          </w:p>
        </w:tc>
        <w:tc>
          <w:tcPr>
            <w:tcW w:w="3631" w:type="pct"/>
            <w:vAlign w:val="center"/>
          </w:tcPr>
          <w:p w14:paraId="212485CC">
            <w:pPr>
              <w:rPr>
                <w:rFonts w:hint="eastAsia" w:ascii="宋体" w:hAnsi="宋体" w:cs="宋体"/>
                <w:sz w:val="18"/>
                <w:szCs w:val="18"/>
              </w:rPr>
            </w:pPr>
            <w:r>
              <w:rPr>
                <w:rFonts w:hint="eastAsia" w:ascii="宋体" w:hAnsi="宋体" w:cs="宋体"/>
                <w:sz w:val="18"/>
                <w:szCs w:val="18"/>
              </w:rPr>
              <w:t>基础参数：</w:t>
            </w:r>
          </w:p>
          <w:p w14:paraId="5D5EAD30">
            <w:pPr>
              <w:rPr>
                <w:rFonts w:hint="eastAsia" w:ascii="宋体" w:hAnsi="宋体" w:cs="宋体"/>
                <w:sz w:val="18"/>
                <w:szCs w:val="18"/>
              </w:rPr>
            </w:pPr>
            <w:r>
              <w:rPr>
                <w:rFonts w:hint="eastAsia" w:ascii="宋体" w:hAnsi="宋体" w:cs="宋体"/>
                <w:sz w:val="18"/>
                <w:szCs w:val="18"/>
              </w:rPr>
              <w:t>1.灯具整灯通过国家强制性CCC认证；</w:t>
            </w:r>
          </w:p>
          <w:p w14:paraId="0F4337A4">
            <w:pPr>
              <w:rPr>
                <w:rFonts w:hint="eastAsia" w:ascii="宋体" w:hAnsi="宋体" w:cs="宋体"/>
                <w:sz w:val="18"/>
                <w:szCs w:val="18"/>
              </w:rPr>
            </w:pPr>
            <w:r>
              <w:rPr>
                <w:rFonts w:hint="eastAsia" w:ascii="宋体" w:hAnsi="宋体" w:cs="宋体"/>
                <w:sz w:val="18"/>
                <w:szCs w:val="18"/>
              </w:rPr>
              <w:t>2.灯具包括但不仅限于色温（4800K±200K）、显色指数(Ra≥95、R9≥90)、 色容差（≤3 SDCM）、光通量(≥3500 Lm)、光效（≥90 Lm/W）、50000小时光通维持率≥90%等参数的检测报告；</w:t>
            </w:r>
          </w:p>
          <w:p w14:paraId="5CA844CC">
            <w:pPr>
              <w:rPr>
                <w:rFonts w:hint="eastAsia" w:ascii="宋体" w:hAnsi="宋体" w:cs="宋体"/>
                <w:sz w:val="18"/>
                <w:szCs w:val="18"/>
              </w:rPr>
            </w:pPr>
            <w:r>
              <w:rPr>
                <w:rFonts w:hint="eastAsia" w:ascii="宋体" w:hAnsi="宋体" w:cs="宋体"/>
                <w:sz w:val="18"/>
                <w:szCs w:val="18"/>
              </w:rPr>
              <w:t>3.灯具包括但不仅限于无频闪、蓝光危害等级为RG0、光通维持寿命≥50000小时；</w:t>
            </w:r>
          </w:p>
          <w:p w14:paraId="3275E23F">
            <w:pPr>
              <w:rPr>
                <w:rFonts w:hint="eastAsia" w:ascii="宋体" w:hAnsi="宋体" w:cs="宋体"/>
                <w:sz w:val="18"/>
                <w:szCs w:val="18"/>
              </w:rPr>
            </w:pPr>
            <w:r>
              <w:rPr>
                <w:rFonts w:hint="eastAsia" w:ascii="宋体" w:hAnsi="宋体" w:cs="宋体"/>
                <w:sz w:val="18"/>
                <w:szCs w:val="18"/>
              </w:rPr>
              <w:t>4.依据 GB 40070 —2021 《儿童青少年学习用品近视防控卫生要求》 标准通过近视防控认证证书。</w:t>
            </w:r>
          </w:p>
          <w:p w14:paraId="00E2D15F">
            <w:pPr>
              <w:rPr>
                <w:rFonts w:hint="eastAsia" w:ascii="宋体" w:hAnsi="宋体" w:cs="宋体"/>
                <w:sz w:val="18"/>
                <w:szCs w:val="18"/>
              </w:rPr>
            </w:pPr>
            <w:r>
              <w:rPr>
                <w:rFonts w:hint="eastAsia" w:ascii="宋体" w:hAnsi="宋体" w:cs="宋体"/>
                <w:sz w:val="18"/>
                <w:szCs w:val="18"/>
              </w:rPr>
              <w:t>其他参数：</w:t>
            </w:r>
          </w:p>
          <w:p w14:paraId="7B8934A3">
            <w:pPr>
              <w:rPr>
                <w:rFonts w:hint="eastAsia" w:ascii="宋体" w:hAnsi="宋体" w:cs="宋体"/>
                <w:sz w:val="18"/>
                <w:szCs w:val="18"/>
              </w:rPr>
            </w:pPr>
            <w:r>
              <w:rPr>
                <w:rFonts w:hint="eastAsia" w:ascii="宋体" w:hAnsi="宋体" w:cs="宋体"/>
                <w:sz w:val="18"/>
                <w:szCs w:val="18"/>
              </w:rPr>
              <w:t>5.黑板灯需依据CQC16-465004-2024认证规则及《GB/T18595》、《GB/T 17626.11》标准取得认证证书；</w:t>
            </w:r>
          </w:p>
          <w:p w14:paraId="40178442">
            <w:pPr>
              <w:rPr>
                <w:rFonts w:hint="eastAsia" w:ascii="宋体" w:hAnsi="宋体" w:cs="宋体"/>
                <w:sz w:val="18"/>
                <w:szCs w:val="18"/>
              </w:rPr>
            </w:pPr>
            <w:r>
              <w:rPr>
                <w:rFonts w:hint="eastAsia" w:ascii="宋体" w:hAnsi="宋体" w:cs="宋体"/>
                <w:sz w:val="18"/>
                <w:szCs w:val="18"/>
              </w:rPr>
              <w:t>6.黑板灯至少依据《GB 7000.1》、《GB/T18595》、《GB/T31831》、《GB/T31897.1》及《GB/T9468》标准满足金属无锈蚀；</w:t>
            </w:r>
          </w:p>
          <w:p w14:paraId="5C3F4D02">
            <w:pPr>
              <w:rPr>
                <w:rFonts w:hint="eastAsia" w:ascii="宋体" w:hAnsi="宋体" w:cs="宋体"/>
                <w:sz w:val="18"/>
                <w:szCs w:val="18"/>
              </w:rPr>
            </w:pPr>
            <w:r>
              <w:rPr>
                <w:rFonts w:hint="eastAsia" w:ascii="宋体" w:hAnsi="宋体" w:cs="宋体"/>
                <w:sz w:val="18"/>
                <w:szCs w:val="18"/>
              </w:rPr>
              <w:t>7.黑板灯至少依据《GB 7000.1》、《GB/T18595》、《GB/T31831》及《GB/T31897.201》标准通过结构安全认证。</w:t>
            </w:r>
          </w:p>
          <w:p w14:paraId="0E57FC4F">
            <w:pPr>
              <w:rPr>
                <w:rFonts w:hint="eastAsia" w:ascii="宋体" w:hAnsi="宋体" w:cs="宋体"/>
                <w:sz w:val="18"/>
                <w:szCs w:val="18"/>
              </w:rPr>
            </w:pPr>
          </w:p>
          <w:p w14:paraId="5C752D6A">
            <w:pPr>
              <w:rPr>
                <w:rFonts w:hint="eastAsia" w:ascii="宋体" w:hAnsi="宋体" w:cs="宋体"/>
                <w:sz w:val="18"/>
                <w:szCs w:val="18"/>
              </w:rPr>
            </w:pPr>
            <w:r>
              <w:rPr>
                <w:rFonts w:hint="eastAsia" w:ascii="宋体" w:hAnsi="宋体" w:cs="宋体"/>
                <w:sz w:val="18"/>
                <w:szCs w:val="18"/>
              </w:rPr>
              <w:t>第1、4-7项提供中国质量认证中心或权威机构出具的认证证书复印件、全国认证认可信息公共服务平台证书状态为“有效”查询截图证明，并加盖投标人公章。</w:t>
            </w:r>
          </w:p>
          <w:p w14:paraId="6DC136D9">
            <w:pPr>
              <w:rPr>
                <w:rFonts w:hint="eastAsia" w:ascii="宋体" w:hAnsi="宋体" w:cs="宋体"/>
                <w:sz w:val="18"/>
                <w:szCs w:val="18"/>
              </w:rPr>
            </w:pPr>
            <w:r>
              <w:rPr>
                <w:rFonts w:hint="eastAsia" w:ascii="宋体" w:hAnsi="宋体" w:cs="宋体"/>
                <w:sz w:val="18"/>
                <w:szCs w:val="18"/>
              </w:rPr>
              <w:t>第2、3项提供具有CMA和CNAS标志的检测报告复印件(报告中体现产品型号和检测标准，包括但不限于以上参数要求的检测值)、提供报告在全国认证认可信息公共服务平台的查询截图证明，并加盖投标人公章。</w:t>
            </w:r>
          </w:p>
          <w:p w14:paraId="69BD5192"/>
        </w:tc>
      </w:tr>
    </w:tbl>
    <w:p w14:paraId="147B73E3">
      <w:pPr>
        <w:pStyle w:val="4"/>
        <w:spacing w:before="0" w:after="0" w:line="360" w:lineRule="auto"/>
        <w:ind w:firstLine="320" w:firstLineChars="100"/>
        <w:rPr>
          <w:rFonts w:ascii="宋体" w:hAnsi="宋体" w:cs="宋体"/>
          <w:b w:val="0"/>
          <w:bCs/>
          <w:szCs w:val="32"/>
        </w:rPr>
      </w:pPr>
      <w:r>
        <w:rPr>
          <w:rFonts w:hint="eastAsia" w:ascii="宋体" w:hAnsi="宋体" w:cs="宋体"/>
          <w:b w:val="0"/>
          <w:bCs/>
          <w:szCs w:val="32"/>
        </w:rPr>
        <w:t>（三）安装要求</w:t>
      </w:r>
    </w:p>
    <w:p w14:paraId="349587F4">
      <w:pPr>
        <w:keepNext/>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1.安装前，对改造教室进行数据采集，精准测算灯具点位布局、安装高度等参数，规划线路走向、线路负荷、控制开关等设计，出具教室照明设计方案及施工图纸。</w:t>
      </w:r>
    </w:p>
    <w:p w14:paraId="3112D136">
      <w:pPr>
        <w:keepNext/>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2.供应商须针对项目安排具有相关资质(如电工证)的人员，并在响应文件中提供资质证书复印件。</w:t>
      </w:r>
    </w:p>
    <w:p w14:paraId="04955A19">
      <w:pPr>
        <w:keepNext/>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3.施工阶段，遵照设计方案及施工图纸规范安装灯具，安排专业技术人员现场督促、指导全程施工。</w:t>
      </w:r>
    </w:p>
    <w:p w14:paraId="5ECDD359">
      <w:pPr>
        <w:keepNext/>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4.施工结束后，全面检查、评估灯具安装质量，及时整改未达到安装标准的灯具。</w:t>
      </w:r>
    </w:p>
    <w:p w14:paraId="213EE0AC">
      <w:pPr>
        <w:pStyle w:val="4"/>
        <w:numPr>
          <w:ilvl w:val="0"/>
          <w:numId w:val="13"/>
        </w:numPr>
        <w:spacing w:before="0" w:after="0" w:line="360" w:lineRule="auto"/>
        <w:ind w:firstLine="643" w:firstLineChars="200"/>
        <w:rPr>
          <w:rFonts w:ascii="宋体" w:hAnsi="宋体" w:cs="宋体"/>
          <w:szCs w:val="32"/>
        </w:rPr>
      </w:pPr>
      <w:r>
        <w:rPr>
          <w:rFonts w:hint="eastAsia" w:ascii="宋体" w:hAnsi="宋体" w:cs="宋体"/>
          <w:szCs w:val="32"/>
        </w:rPr>
        <w:t>商务要求</w:t>
      </w:r>
    </w:p>
    <w:p w14:paraId="4C8E398A">
      <w:pPr>
        <w:pStyle w:val="4"/>
        <w:numPr>
          <w:ilvl w:val="0"/>
          <w:numId w:val="14"/>
        </w:numPr>
        <w:spacing w:before="0" w:after="0" w:line="360" w:lineRule="auto"/>
        <w:ind w:left="420" w:leftChars="200"/>
        <w:rPr>
          <w:rFonts w:ascii="宋体" w:hAnsi="宋体" w:cs="宋体"/>
          <w:szCs w:val="32"/>
        </w:rPr>
      </w:pPr>
      <w:r>
        <w:rPr>
          <w:rFonts w:hint="eastAsia" w:ascii="宋体" w:hAnsi="宋体" w:cs="宋体"/>
          <w:szCs w:val="32"/>
        </w:rPr>
        <w:t>报价要求</w:t>
      </w:r>
    </w:p>
    <w:p w14:paraId="68BA15E4">
      <w:pPr>
        <w:keepNext/>
        <w:snapToGrid w:val="0"/>
        <w:spacing w:line="360" w:lineRule="auto"/>
        <w:ind w:firstLine="640" w:firstLineChars="200"/>
        <w:rPr>
          <w:rFonts w:ascii="宋体" w:hAnsi="宋体" w:cs="宋体"/>
          <w:sz w:val="32"/>
          <w:szCs w:val="32"/>
        </w:rPr>
      </w:pPr>
      <w:r>
        <w:rPr>
          <w:rFonts w:hint="eastAsia" w:ascii="宋体" w:hAnsi="宋体" w:cs="宋体"/>
          <w:sz w:val="32"/>
          <w:szCs w:val="32"/>
        </w:rPr>
        <w:t>1.本次竞采报价共分为两轮，供应商必须要参与第一轮报价方可参与第二轮报价。每轮报价开始时间、报价截止时间、有效报价家数均以公告内容为准。</w:t>
      </w:r>
    </w:p>
    <w:p w14:paraId="68F530C1">
      <w:pPr>
        <w:keepNext/>
        <w:keepLines/>
        <w:snapToGrid w:val="0"/>
        <w:spacing w:line="360" w:lineRule="auto"/>
        <w:ind w:firstLine="640" w:firstLineChars="200"/>
        <w:rPr>
          <w:rFonts w:ascii="宋体" w:hAnsi="宋体" w:cs="宋体"/>
          <w:sz w:val="32"/>
          <w:szCs w:val="32"/>
        </w:rPr>
      </w:pPr>
      <w:r>
        <w:rPr>
          <w:rFonts w:hint="eastAsia" w:ascii="宋体" w:hAnsi="宋体" w:cs="宋体"/>
          <w:sz w:val="32"/>
          <w:szCs w:val="32"/>
        </w:rPr>
        <w:t>2.竞采报价是指供应商在正确地完全履行合同义务后采购人应支付给供应商所有的货物价款，本次报价为人民币报价，即（包含且不限于）货物的供货、税金、包装、运输（含二次及多次转运费）、装卸、拆装、保护原有装饰、恢复原样、安装调试（含各种辅材费、人工费）、垃圾清运费、保险费、验收（含第三方检测及验收）、技术服务、售后服务、材料、采购代理服务费、人员培训费、合理的利润、不可预见费及其他国家相关规定的全部费用，实行货到采购人指定地点的所有费用总包干，供应商应根据上述因素自行考虑含入投标总价。因成交供应商自身原因造成漏报、少报皆由其自行承担责任采购不再补偿。</w:t>
      </w:r>
    </w:p>
    <w:p w14:paraId="58931A56">
      <w:pPr>
        <w:pStyle w:val="4"/>
        <w:numPr>
          <w:ilvl w:val="0"/>
          <w:numId w:val="14"/>
        </w:numPr>
        <w:spacing w:before="0" w:after="0" w:line="360" w:lineRule="auto"/>
        <w:ind w:left="420" w:leftChars="200"/>
        <w:rPr>
          <w:rFonts w:ascii="宋体" w:hAnsi="宋体" w:cs="宋体"/>
          <w:szCs w:val="32"/>
        </w:rPr>
      </w:pPr>
      <w:r>
        <w:rPr>
          <w:rFonts w:hint="eastAsia" w:ascii="宋体" w:hAnsi="宋体" w:cs="宋体"/>
          <w:szCs w:val="32"/>
        </w:rPr>
        <w:t>履约保证金</w:t>
      </w:r>
    </w:p>
    <w:p w14:paraId="236DC594">
      <w:pPr>
        <w:pStyle w:val="4"/>
        <w:spacing w:before="0" w:after="0" w:line="360" w:lineRule="auto"/>
        <w:ind w:firstLine="640" w:firstLineChars="200"/>
        <w:rPr>
          <w:rFonts w:ascii="宋体" w:hAnsi="宋体" w:cs="宋体"/>
          <w:b w:val="0"/>
          <w:szCs w:val="32"/>
        </w:rPr>
      </w:pPr>
      <w:r>
        <w:rPr>
          <w:rFonts w:hint="eastAsia" w:ascii="宋体" w:hAnsi="宋体" w:cs="宋体"/>
          <w:b w:val="0"/>
          <w:szCs w:val="32"/>
        </w:rPr>
        <w:t>合同签订前中标人向学校缴纳合同金额10%的履约保证金或保函;若未按时提交，视为自动放弃中标资格，学校将按相关规定重新确定中标人。验收合格后，采购人15个工作日内无息退还履约保证金。</w:t>
      </w:r>
    </w:p>
    <w:p w14:paraId="6A460794">
      <w:pPr>
        <w:keepNext/>
        <w:snapToGrid w:val="0"/>
        <w:spacing w:line="360" w:lineRule="auto"/>
        <w:ind w:firstLine="643" w:firstLineChars="200"/>
        <w:rPr>
          <w:rFonts w:ascii="宋体" w:hAnsi="宋体" w:cs="宋体"/>
          <w:b/>
          <w:bCs/>
          <w:kern w:val="0"/>
          <w:sz w:val="32"/>
          <w:szCs w:val="32"/>
        </w:rPr>
      </w:pPr>
      <w:r>
        <w:rPr>
          <w:rFonts w:hint="eastAsia" w:ascii="宋体" w:hAnsi="宋体" w:cs="宋体"/>
          <w:b/>
          <w:bCs/>
          <w:kern w:val="0"/>
          <w:sz w:val="32"/>
          <w:szCs w:val="32"/>
        </w:rPr>
        <w:t>（三）合同签订</w:t>
      </w:r>
    </w:p>
    <w:p w14:paraId="155A7149">
      <w:pPr>
        <w:keepNext/>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lang w:eastAsia="zh-Hans"/>
        </w:rPr>
        <w:t>签订合同前，中标人提供制造商出具的不低于5年的产品原厂质保函，中标人提供不低于5年的售后服务承诺函，方能签订合同。</w:t>
      </w:r>
    </w:p>
    <w:p w14:paraId="66DE8304">
      <w:pPr>
        <w:pStyle w:val="4"/>
        <w:spacing w:before="0" w:after="0" w:line="360" w:lineRule="auto"/>
        <w:ind w:firstLine="643" w:firstLineChars="200"/>
        <w:rPr>
          <w:rFonts w:ascii="宋体" w:hAnsi="宋体" w:cs="宋体"/>
          <w:szCs w:val="32"/>
        </w:rPr>
      </w:pPr>
      <w:r>
        <w:rPr>
          <w:rFonts w:hint="eastAsia" w:ascii="宋体" w:hAnsi="宋体" w:cs="宋体"/>
          <w:szCs w:val="32"/>
        </w:rPr>
        <w:t>（四）交货期限及地点</w:t>
      </w:r>
    </w:p>
    <w:p w14:paraId="3665AF0C">
      <w:pPr>
        <w:keepNext/>
        <w:snapToGrid w:val="0"/>
        <w:spacing w:line="360" w:lineRule="auto"/>
        <w:ind w:firstLine="640" w:firstLineChars="200"/>
        <w:rPr>
          <w:rFonts w:ascii="宋体" w:hAnsi="宋体" w:cs="宋体"/>
          <w:sz w:val="32"/>
          <w:szCs w:val="32"/>
        </w:rPr>
      </w:pPr>
      <w:r>
        <w:rPr>
          <w:rFonts w:hint="eastAsia" w:ascii="宋体" w:hAnsi="宋体" w:cs="宋体"/>
          <w:sz w:val="32"/>
          <w:szCs w:val="32"/>
        </w:rPr>
        <w:t>1.交货期:中标人应在采购合同签订后20个工作日内交货并完成安装调试。</w:t>
      </w:r>
    </w:p>
    <w:p w14:paraId="660990D1">
      <w:pPr>
        <w:keepNext/>
        <w:snapToGrid w:val="0"/>
        <w:spacing w:line="360" w:lineRule="auto"/>
        <w:ind w:firstLine="640" w:firstLineChars="200"/>
        <w:rPr>
          <w:rFonts w:ascii="宋体" w:hAnsi="宋体" w:cs="宋体"/>
          <w:sz w:val="32"/>
          <w:szCs w:val="32"/>
        </w:rPr>
      </w:pPr>
      <w:r>
        <w:rPr>
          <w:rFonts w:hint="eastAsia" w:ascii="宋体" w:hAnsi="宋体" w:cs="宋体"/>
          <w:sz w:val="32"/>
          <w:szCs w:val="32"/>
        </w:rPr>
        <w:t>2.交货地点：中标人按采购人要求送到使用单位指定地点。</w:t>
      </w:r>
    </w:p>
    <w:p w14:paraId="7409FA51">
      <w:pPr>
        <w:pStyle w:val="4"/>
        <w:spacing w:before="0" w:after="0" w:line="360" w:lineRule="auto"/>
        <w:ind w:firstLine="643" w:firstLineChars="200"/>
        <w:rPr>
          <w:rFonts w:ascii="宋体" w:hAnsi="宋体" w:cs="宋体"/>
          <w:szCs w:val="32"/>
        </w:rPr>
      </w:pPr>
      <w:r>
        <w:rPr>
          <w:rFonts w:hint="eastAsia" w:ascii="宋体" w:hAnsi="宋体" w:cs="宋体"/>
          <w:szCs w:val="32"/>
        </w:rPr>
        <w:t>（五）验收方式</w:t>
      </w:r>
    </w:p>
    <w:p w14:paraId="03FEA6E8">
      <w:pPr>
        <w:pStyle w:val="4"/>
        <w:spacing w:before="0" w:after="0" w:line="360" w:lineRule="auto"/>
        <w:ind w:firstLine="640" w:firstLineChars="200"/>
        <w:rPr>
          <w:rFonts w:ascii="宋体" w:hAnsi="宋体" w:cs="宋体"/>
          <w:b w:val="0"/>
          <w:kern w:val="0"/>
          <w:szCs w:val="32"/>
        </w:rPr>
      </w:pPr>
      <w:r>
        <w:rPr>
          <w:rFonts w:hint="eastAsia" w:ascii="宋体" w:hAnsi="宋体" w:cs="宋体"/>
          <w:b w:val="0"/>
          <w:kern w:val="0"/>
          <w:szCs w:val="32"/>
        </w:rPr>
        <w:t>1.中标人应提供完备的技术资料、装箱单和合格证等，并派遣专业技术人员进行现场安装调试。初次验收条件如下:</w:t>
      </w:r>
    </w:p>
    <w:p w14:paraId="3DD1C227">
      <w:pPr>
        <w:pStyle w:val="4"/>
        <w:spacing w:before="0" w:after="0" w:line="360" w:lineRule="auto"/>
        <w:ind w:firstLine="640" w:firstLineChars="200"/>
        <w:rPr>
          <w:rFonts w:ascii="宋体" w:hAnsi="宋体" w:cs="宋体"/>
          <w:b w:val="0"/>
          <w:kern w:val="0"/>
          <w:szCs w:val="32"/>
        </w:rPr>
      </w:pPr>
      <w:r>
        <w:rPr>
          <w:rFonts w:hint="eastAsia" w:ascii="宋体" w:hAnsi="宋体" w:cs="宋体"/>
          <w:b w:val="0"/>
          <w:kern w:val="0"/>
          <w:szCs w:val="32"/>
        </w:rPr>
        <w:t>(1)设备技术参数与采购合同一致，性能指标达到规定的标准</w:t>
      </w:r>
    </w:p>
    <w:p w14:paraId="0B502D3B">
      <w:pPr>
        <w:pStyle w:val="4"/>
        <w:spacing w:before="0" w:after="0" w:line="360" w:lineRule="auto"/>
        <w:ind w:firstLine="640" w:firstLineChars="200"/>
        <w:rPr>
          <w:rFonts w:ascii="宋体" w:hAnsi="宋体" w:cs="宋体"/>
          <w:b w:val="0"/>
          <w:kern w:val="0"/>
          <w:szCs w:val="32"/>
        </w:rPr>
      </w:pPr>
      <w:r>
        <w:rPr>
          <w:rFonts w:hint="eastAsia" w:ascii="宋体" w:hAnsi="宋体" w:cs="宋体"/>
          <w:b w:val="0"/>
          <w:kern w:val="0"/>
          <w:szCs w:val="32"/>
        </w:rPr>
        <w:t>(2)货物技术资料、装箱单、合格证等资料齐全。</w:t>
      </w:r>
    </w:p>
    <w:p w14:paraId="0560CD08">
      <w:pPr>
        <w:pStyle w:val="4"/>
        <w:spacing w:before="0" w:after="0" w:line="360" w:lineRule="auto"/>
        <w:ind w:firstLine="640" w:firstLineChars="200"/>
        <w:rPr>
          <w:rFonts w:ascii="宋体" w:hAnsi="宋体" w:cs="宋体"/>
          <w:b w:val="0"/>
          <w:kern w:val="0"/>
          <w:szCs w:val="32"/>
        </w:rPr>
      </w:pPr>
      <w:r>
        <w:rPr>
          <w:rFonts w:hint="eastAsia" w:ascii="宋体" w:hAnsi="宋体" w:cs="宋体"/>
          <w:b w:val="0"/>
          <w:kern w:val="0"/>
          <w:szCs w:val="32"/>
        </w:rPr>
        <w:t>(3)在规定时间内完成交货、完成安装，并经采购人确认。</w:t>
      </w:r>
    </w:p>
    <w:p w14:paraId="758AC23A">
      <w:pPr>
        <w:pStyle w:val="4"/>
        <w:spacing w:before="0" w:after="0" w:line="360" w:lineRule="auto"/>
        <w:ind w:firstLine="640" w:firstLineChars="200"/>
        <w:rPr>
          <w:rFonts w:ascii="宋体" w:hAnsi="宋体" w:cs="宋体"/>
          <w:b w:val="0"/>
          <w:kern w:val="0"/>
          <w:szCs w:val="32"/>
        </w:rPr>
      </w:pPr>
      <w:r>
        <w:rPr>
          <w:rFonts w:hint="eastAsia" w:ascii="宋体" w:hAnsi="宋体" w:cs="宋体"/>
          <w:b w:val="0"/>
          <w:kern w:val="0"/>
          <w:szCs w:val="32"/>
        </w:rPr>
        <w:t>(4)在灯具试运行期间所出现的问题得到解决，并运行正常。</w:t>
      </w:r>
    </w:p>
    <w:p w14:paraId="209C3E97">
      <w:pPr>
        <w:pStyle w:val="4"/>
        <w:spacing w:before="0" w:after="0" w:line="360" w:lineRule="auto"/>
        <w:ind w:firstLine="640" w:firstLineChars="200"/>
        <w:rPr>
          <w:rFonts w:ascii="宋体" w:hAnsi="宋体" w:cs="宋体"/>
          <w:b w:val="0"/>
          <w:kern w:val="0"/>
          <w:szCs w:val="32"/>
        </w:rPr>
      </w:pPr>
      <w:r>
        <w:rPr>
          <w:rFonts w:hint="eastAsia" w:ascii="宋体" w:hAnsi="宋体" w:cs="宋体"/>
          <w:b w:val="0"/>
          <w:kern w:val="0"/>
          <w:szCs w:val="32"/>
        </w:rPr>
        <w:t>2.产品在安装调试并试运行符合要求后，中标人提出验收书面申请。</w:t>
      </w:r>
    </w:p>
    <w:p w14:paraId="7255381D">
      <w:pPr>
        <w:pStyle w:val="4"/>
        <w:spacing w:before="0" w:after="0" w:line="360" w:lineRule="auto"/>
        <w:ind w:firstLine="640" w:firstLineChars="200"/>
        <w:rPr>
          <w:rFonts w:ascii="宋体" w:hAnsi="宋体" w:cs="宋体"/>
          <w:b w:val="0"/>
          <w:kern w:val="0"/>
          <w:szCs w:val="32"/>
        </w:rPr>
      </w:pPr>
      <w:r>
        <w:rPr>
          <w:rFonts w:hint="eastAsia" w:ascii="宋体" w:hAnsi="宋体" w:cs="宋体"/>
          <w:b w:val="0"/>
          <w:kern w:val="0"/>
          <w:szCs w:val="32"/>
        </w:rPr>
        <w:t>3.学校邀请第三方检测机构会同供应商共同随机抽检教室(每20间抽检</w:t>
      </w:r>
      <w:r>
        <w:rPr>
          <w:rFonts w:ascii="宋体" w:hAnsi="宋体" w:cs="宋体"/>
          <w:b w:val="0"/>
          <w:kern w:val="0"/>
          <w:szCs w:val="32"/>
        </w:rPr>
        <w:t>2</w:t>
      </w:r>
      <w:r>
        <w:rPr>
          <w:rFonts w:hint="eastAsia" w:ascii="宋体" w:hAnsi="宋体" w:cs="宋体"/>
          <w:b w:val="0"/>
          <w:kern w:val="0"/>
          <w:szCs w:val="32"/>
        </w:rPr>
        <w:t>间，100间以上不低于5间)，按中标产品提供的基础参数标准进行检测，抽检不合格视为项目全部不合格，供应商应在30日内对所有项目教室进行全面整改。整改完成后，学校再次邀请第三方检测机构会同供应商，第二次随机抽检教室(每20间抽检1间，100间以上不低于5间)，按第一次检测标准再次进行检测，检测不合格视为终验不合格。所有检测费用由中标人承担。</w:t>
      </w:r>
    </w:p>
    <w:p w14:paraId="592966BB">
      <w:pPr>
        <w:pStyle w:val="4"/>
        <w:spacing w:before="0" w:after="0" w:line="360" w:lineRule="auto"/>
        <w:ind w:firstLine="640" w:firstLineChars="200"/>
        <w:rPr>
          <w:rFonts w:ascii="宋体" w:hAnsi="宋体" w:cs="宋体"/>
          <w:b w:val="0"/>
          <w:kern w:val="0"/>
          <w:szCs w:val="32"/>
        </w:rPr>
      </w:pPr>
      <w:r>
        <w:rPr>
          <w:rFonts w:hint="eastAsia" w:ascii="宋体" w:hAnsi="宋体" w:cs="宋体"/>
          <w:b w:val="0"/>
          <w:kern w:val="0"/>
          <w:szCs w:val="32"/>
        </w:rPr>
        <w:t>4.终验不合格，拒绝收货，中标人自行下架并免费无偿恢复教室原照明灯具(下架和恢复不得影响学生正常行课)，合同自行解除。</w:t>
      </w:r>
    </w:p>
    <w:p w14:paraId="663AE2D2">
      <w:pPr>
        <w:pStyle w:val="4"/>
        <w:spacing w:before="0" w:after="0" w:line="360" w:lineRule="auto"/>
        <w:ind w:firstLine="643" w:firstLineChars="200"/>
        <w:rPr>
          <w:rFonts w:ascii="宋体" w:hAnsi="宋体" w:cs="宋体"/>
          <w:szCs w:val="32"/>
        </w:rPr>
      </w:pPr>
      <w:r>
        <w:rPr>
          <w:rFonts w:hint="eastAsia" w:ascii="宋体" w:hAnsi="宋体" w:cs="宋体"/>
          <w:szCs w:val="32"/>
        </w:rPr>
        <w:t>（六）质量保证及售后服务</w:t>
      </w:r>
    </w:p>
    <w:p w14:paraId="3E8BCD96">
      <w:pPr>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1.产品质量保证期:自验收合格之日起，其投标产品质量保证期达到5年及以上，且质保期满产品质量仍能够达到《中小学校教室采光和照明卫生标准》(GB7793-2010)。</w:t>
      </w:r>
    </w:p>
    <w:p w14:paraId="067E9188">
      <w:pPr>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 xml:space="preserve">2.售后服务及要求。质保期内，接到维修通知后，24小时内派专业的维修工程师到场维修，48小时内免费完成修复或更换新产品。质保期满后，只收取维修配件费，不收取其他费用。维修零配件应为原厂配件，且质量标准不得低于原配件。 </w:t>
      </w:r>
    </w:p>
    <w:p w14:paraId="708D3BE7">
      <w:pPr>
        <w:snapToGrid w:val="0"/>
        <w:spacing w:line="360" w:lineRule="auto"/>
        <w:ind w:firstLine="643" w:firstLineChars="200"/>
        <w:rPr>
          <w:rFonts w:ascii="宋体" w:hAnsi="宋体" w:cs="宋体"/>
          <w:b/>
          <w:sz w:val="32"/>
          <w:szCs w:val="32"/>
        </w:rPr>
      </w:pPr>
      <w:r>
        <w:rPr>
          <w:rFonts w:hint="eastAsia" w:ascii="宋体" w:hAnsi="宋体" w:cs="宋体"/>
          <w:b/>
          <w:sz w:val="32"/>
          <w:szCs w:val="32"/>
        </w:rPr>
        <w:t>（七）付款方式</w:t>
      </w:r>
    </w:p>
    <w:p w14:paraId="48E85695">
      <w:pPr>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1.预付款(最高至合同金额50%)。中标人需学校在签订合同后支付预付款的，须提供与预付款同等额度的担保函，但预付款金额最高不超过合同金额的50%。学校在收到担保函和相应额度的正式发票后，5个工作日内向区财政局提交付款申请。如中标人收到预付款后不履行相关义务，学校将通过担保函收回已支付的预付款。</w:t>
      </w:r>
    </w:p>
    <w:p w14:paraId="516898A0">
      <w:pPr>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2.货到付款(付至合同执行金额的70%)。中标人在合同约定时间内完成交货，经项目学校验收合格后，经采购人审核确认，中标人出具相应额度的正式发票，学校在5个工作日内向区财政局提交申请付款。</w:t>
      </w:r>
    </w:p>
    <w:p w14:paraId="73667F55">
      <w:pPr>
        <w:snapToGrid w:val="0"/>
        <w:spacing w:line="360" w:lineRule="auto"/>
        <w:ind w:firstLine="640" w:firstLineChars="200"/>
        <w:rPr>
          <w:rFonts w:ascii="宋体" w:hAnsi="宋体" w:cs="宋体"/>
          <w:kern w:val="0"/>
          <w:sz w:val="32"/>
          <w:szCs w:val="32"/>
        </w:rPr>
      </w:pPr>
      <w:r>
        <w:rPr>
          <w:rFonts w:hint="eastAsia" w:ascii="宋体" w:hAnsi="宋体" w:cs="宋体"/>
          <w:kern w:val="0"/>
          <w:sz w:val="32"/>
          <w:szCs w:val="32"/>
        </w:rPr>
        <w:t>3.综合验收付款(付至合同执行金额的100%)。中标人在合同约定时间内完成货物的安装调试并投入正常使用，经学校组织综合验收合格后，中标人出具相应额度的正式发票，学校在5个工作日内向区财政局提交付款申请。</w:t>
      </w:r>
    </w:p>
    <w:p w14:paraId="0D31A06F">
      <w:pPr>
        <w:snapToGrid w:val="0"/>
        <w:spacing w:line="360" w:lineRule="auto"/>
        <w:ind w:firstLine="643" w:firstLineChars="200"/>
        <w:rPr>
          <w:rFonts w:ascii="宋体" w:hAnsi="宋体" w:cs="宋体"/>
          <w:b/>
          <w:bCs/>
          <w:kern w:val="0"/>
          <w:sz w:val="32"/>
          <w:szCs w:val="32"/>
        </w:rPr>
      </w:pPr>
      <w:r>
        <w:rPr>
          <w:rFonts w:hint="eastAsia" w:ascii="宋体" w:hAnsi="宋体" w:cs="宋体"/>
          <w:b/>
          <w:bCs/>
          <w:kern w:val="0"/>
          <w:sz w:val="32"/>
          <w:szCs w:val="32"/>
        </w:rPr>
        <w:t>（八）违约责任</w:t>
      </w:r>
    </w:p>
    <w:p w14:paraId="1685CE85">
      <w:pPr>
        <w:snapToGrid w:val="0"/>
        <w:spacing w:line="360" w:lineRule="auto"/>
        <w:ind w:firstLine="640" w:firstLineChars="200"/>
        <w:rPr>
          <w:rFonts w:hint="eastAsia" w:ascii="宋体" w:hAnsi="宋体" w:eastAsia="宋体" w:cs="宋体"/>
          <w:b w:val="0"/>
          <w:kern w:val="2"/>
          <w:sz w:val="32"/>
          <w:szCs w:val="32"/>
          <w:lang w:val="en-US" w:eastAsia="zh-CN" w:bidi="ar-SA"/>
        </w:rPr>
      </w:pPr>
      <w:bookmarkStart w:id="0" w:name="_GoBack"/>
      <w:r>
        <w:rPr>
          <w:rFonts w:hint="eastAsia" w:ascii="宋体" w:hAnsi="宋体" w:eastAsia="宋体" w:cs="宋体"/>
          <w:b w:val="0"/>
          <w:kern w:val="2"/>
          <w:sz w:val="32"/>
          <w:szCs w:val="32"/>
          <w:lang w:val="en-US" w:eastAsia="zh-CN" w:bidi="ar-SA"/>
        </w:rPr>
        <w:t>1.中标方在实施项目的过程中若有不满足招投标文件要求的行为，且对需方造成损失的，由供方承担一切责任，并赔偿所造成的损失。</w:t>
      </w:r>
    </w:p>
    <w:bookmarkEnd w:id="0"/>
    <w:p w14:paraId="403EB50A">
      <w:pPr>
        <w:pStyle w:val="4"/>
        <w:spacing w:before="0" w:after="0" w:line="360" w:lineRule="auto"/>
        <w:ind w:firstLine="640" w:firstLineChars="200"/>
        <w:rPr>
          <w:rFonts w:ascii="宋体" w:hAnsi="宋体" w:cs="宋体"/>
          <w:b w:val="0"/>
          <w:szCs w:val="32"/>
        </w:rPr>
      </w:pPr>
      <w:r>
        <w:rPr>
          <w:rFonts w:hint="eastAsia" w:ascii="宋体" w:hAnsi="宋体" w:cs="宋体"/>
          <w:b w:val="0"/>
          <w:szCs w:val="32"/>
        </w:rPr>
        <w:t>2.中标人延期完成交货、安装、调试，应按每天以合同总价的万分之五比例向采购人支付违约金,但违约金总额不得超过合同总价的20%。中标人第一次验收不合格，必须在5日内完成整改，如第二次验收仍不合格，合同自行解除，由此造成的一切损失由中标人自行承担。凡因不可抗拒力因素所造成未能按时完成进度或导致延期，双方均不承受违约责任。</w:t>
      </w:r>
    </w:p>
    <w:p w14:paraId="0B5E78F4">
      <w:pPr>
        <w:pStyle w:val="4"/>
        <w:spacing w:before="0" w:after="0" w:line="360" w:lineRule="auto"/>
        <w:ind w:firstLine="643" w:firstLineChars="200"/>
        <w:rPr>
          <w:rFonts w:ascii="宋体" w:hAnsi="宋体" w:cs="宋体"/>
          <w:szCs w:val="32"/>
        </w:rPr>
      </w:pPr>
      <w:r>
        <w:rPr>
          <w:rFonts w:hint="eastAsia" w:ascii="宋体" w:hAnsi="宋体" w:cs="宋体"/>
          <w:szCs w:val="32"/>
        </w:rPr>
        <w:t>（九）供应商响应文件要求</w:t>
      </w:r>
    </w:p>
    <w:p w14:paraId="34EE9399">
      <w:pPr>
        <w:spacing w:line="360" w:lineRule="auto"/>
        <w:ind w:firstLine="640" w:firstLineChars="200"/>
        <w:rPr>
          <w:rFonts w:ascii="宋体" w:hAnsi="宋体" w:cs="宋体"/>
          <w:sz w:val="32"/>
          <w:szCs w:val="32"/>
        </w:rPr>
      </w:pPr>
      <w:r>
        <w:rPr>
          <w:rFonts w:hint="eastAsia" w:ascii="宋体" w:hAnsi="宋体" w:cs="宋体"/>
          <w:sz w:val="32"/>
          <w:szCs w:val="32"/>
        </w:rPr>
        <w:t>供应商必须在平台上按要求上传响应文件，未按要求提供的视为无效供应商。供应商竞价时，须上传竞价文件要求提供的资质证书或证明文件，在报价时上传加盖投标鲜章的扫描件；未按要求的均为无效投标。签订合同时，须提供所招标产品制造商针对本项目的售后服务承诺函（盖厂商鲜章）原件。如需提供的原件与上传的扫描件不一致，视为虚假应标，并报告相关部门进行处理。竞价文件中的参数条款和其他相应条款均为实质性响应条款（指标），要求必须全部满足响应，若有一项未响应或不满足，均按无效投标处理。</w:t>
      </w:r>
    </w:p>
    <w:p w14:paraId="35C88DB3">
      <w:pPr>
        <w:snapToGrid w:val="0"/>
        <w:spacing w:line="360" w:lineRule="auto"/>
        <w:ind w:firstLine="640" w:firstLineChars="200"/>
        <w:rPr>
          <w:rFonts w:ascii="宋体" w:hAnsi="宋体" w:cs="宋体"/>
          <w:sz w:val="32"/>
          <w:szCs w:val="32"/>
        </w:rPr>
      </w:pPr>
      <w:r>
        <w:rPr>
          <w:rFonts w:hint="eastAsia" w:ascii="宋体" w:hAnsi="宋体" w:cs="宋体"/>
          <w:sz w:val="32"/>
          <w:szCs w:val="32"/>
        </w:rPr>
        <w:t>1.响应文件内容</w:t>
      </w:r>
    </w:p>
    <w:p w14:paraId="19BD1504">
      <w:pPr>
        <w:snapToGrid w:val="0"/>
        <w:spacing w:line="360" w:lineRule="auto"/>
        <w:ind w:firstLine="640" w:firstLineChars="200"/>
        <w:rPr>
          <w:rFonts w:ascii="宋体" w:hAnsi="宋体" w:cs="宋体"/>
          <w:sz w:val="32"/>
          <w:szCs w:val="32"/>
        </w:rPr>
      </w:pPr>
      <w:r>
        <w:rPr>
          <w:rFonts w:hint="eastAsia" w:ascii="宋体" w:hAnsi="宋体" w:cs="宋体"/>
          <w:sz w:val="32"/>
          <w:szCs w:val="32"/>
        </w:rPr>
        <w:t>（1）盖鲜章的《报价函》《明细报价表》各1份。</w:t>
      </w:r>
    </w:p>
    <w:p w14:paraId="72680411">
      <w:pPr>
        <w:snapToGrid w:val="0"/>
        <w:spacing w:line="360" w:lineRule="auto"/>
        <w:ind w:firstLine="640" w:firstLineChars="200"/>
        <w:rPr>
          <w:rFonts w:ascii="宋体" w:hAnsi="宋体" w:cs="宋体"/>
          <w:sz w:val="32"/>
          <w:szCs w:val="32"/>
        </w:rPr>
      </w:pPr>
      <w:r>
        <w:rPr>
          <w:rFonts w:hint="eastAsia" w:ascii="宋体" w:hAnsi="宋体" w:cs="宋体"/>
          <w:sz w:val="32"/>
          <w:szCs w:val="32"/>
        </w:rPr>
        <w:t>（2）盖鲜章的《法定代表人身份证明书》1份，</w:t>
      </w:r>
      <w:r>
        <w:rPr>
          <w:rFonts w:hint="eastAsia" w:ascii="宋体" w:hAnsi="宋体" w:cs="宋体"/>
          <w:sz w:val="32"/>
          <w:szCs w:val="32"/>
          <w:lang w:eastAsia="zh-Hans"/>
        </w:rPr>
        <w:t>其中应包含法定代表人身份证复印件</w:t>
      </w:r>
      <w:r>
        <w:rPr>
          <w:rFonts w:hint="eastAsia" w:ascii="宋体" w:hAnsi="宋体" w:cs="宋体"/>
          <w:sz w:val="32"/>
          <w:szCs w:val="32"/>
        </w:rPr>
        <w:t>。若法定代表人委托他人投标，</w:t>
      </w:r>
      <w:r>
        <w:rPr>
          <w:rFonts w:hint="eastAsia" w:ascii="宋体" w:hAnsi="宋体" w:cs="宋体"/>
          <w:sz w:val="32"/>
          <w:szCs w:val="32"/>
          <w:lang w:eastAsia="zh-Hans"/>
        </w:rPr>
        <w:t>请</w:t>
      </w:r>
      <w:r>
        <w:rPr>
          <w:rFonts w:hint="eastAsia" w:ascii="宋体" w:hAnsi="宋体" w:cs="宋体"/>
          <w:sz w:val="32"/>
          <w:szCs w:val="32"/>
        </w:rPr>
        <w:t>提供盖鲜章的《法定代表人授权委托书》1</w:t>
      </w:r>
      <w:r>
        <w:rPr>
          <w:rFonts w:hint="eastAsia" w:ascii="宋体" w:hAnsi="宋体" w:cs="宋体"/>
          <w:sz w:val="32"/>
          <w:szCs w:val="32"/>
          <w:lang w:eastAsia="zh-Hans"/>
        </w:rPr>
        <w:t>份</w:t>
      </w:r>
      <w:r>
        <w:rPr>
          <w:rFonts w:hint="eastAsia" w:ascii="宋体" w:hAnsi="宋体" w:cs="宋体"/>
          <w:sz w:val="32"/>
          <w:szCs w:val="32"/>
        </w:rPr>
        <w:t>，</w:t>
      </w:r>
      <w:r>
        <w:rPr>
          <w:rFonts w:hint="eastAsia" w:ascii="宋体" w:hAnsi="宋体" w:cs="宋体"/>
          <w:sz w:val="32"/>
          <w:szCs w:val="32"/>
          <w:lang w:eastAsia="zh-Hans"/>
        </w:rPr>
        <w:t>其中应包含</w:t>
      </w:r>
      <w:r>
        <w:rPr>
          <w:rFonts w:hint="eastAsia" w:ascii="宋体" w:hAnsi="宋体" w:cs="宋体"/>
          <w:sz w:val="32"/>
          <w:szCs w:val="32"/>
        </w:rPr>
        <w:t>法定代表人及被授权人身份证复印件各1份。</w:t>
      </w:r>
    </w:p>
    <w:p w14:paraId="119021D7">
      <w:pPr>
        <w:ind w:firstLine="640" w:firstLineChars="200"/>
        <w:rPr>
          <w:rFonts w:ascii="宋体" w:hAnsi="宋体" w:cs="宋体"/>
          <w:sz w:val="32"/>
          <w:szCs w:val="32"/>
        </w:rPr>
      </w:pPr>
      <w:r>
        <w:rPr>
          <w:rFonts w:hint="eastAsia" w:ascii="宋体" w:hAnsi="宋体" w:cs="宋体"/>
          <w:sz w:val="32"/>
          <w:szCs w:val="32"/>
        </w:rPr>
        <w:t>（3）盖鲜章的基本资格条件承诺函。</w:t>
      </w:r>
    </w:p>
    <w:p w14:paraId="1E2D9630">
      <w:pPr>
        <w:ind w:firstLine="640" w:firstLineChars="200"/>
        <w:rPr>
          <w:rFonts w:ascii="宋体" w:hAnsi="宋体" w:cs="宋体"/>
          <w:sz w:val="32"/>
          <w:szCs w:val="32"/>
        </w:rPr>
      </w:pPr>
      <w:r>
        <w:rPr>
          <w:rFonts w:hint="eastAsia" w:ascii="宋体" w:hAnsi="宋体" w:cs="宋体"/>
          <w:sz w:val="32"/>
          <w:szCs w:val="32"/>
        </w:rPr>
        <w:t>（</w:t>
      </w:r>
      <w:r>
        <w:rPr>
          <w:rFonts w:ascii="宋体" w:hAnsi="宋体" w:cs="宋体"/>
          <w:sz w:val="32"/>
          <w:szCs w:val="32"/>
        </w:rPr>
        <w:t>4</w:t>
      </w:r>
      <w:r>
        <w:rPr>
          <w:rFonts w:hint="eastAsia" w:ascii="宋体" w:hAnsi="宋体" w:cs="宋体"/>
          <w:sz w:val="32"/>
          <w:szCs w:val="32"/>
        </w:rPr>
        <w:t>）供应商需要提供厂家授权书。</w:t>
      </w:r>
    </w:p>
    <w:p w14:paraId="6B7F2F8B">
      <w:pPr>
        <w:pStyle w:val="67"/>
        <w:ind w:firstLine="640" w:firstLineChars="200"/>
        <w:rPr>
          <w:rFonts w:hAnsi="宋体" w:cs="宋体"/>
          <w:color w:val="auto"/>
          <w:kern w:val="2"/>
          <w:sz w:val="32"/>
          <w:szCs w:val="32"/>
        </w:rPr>
      </w:pPr>
      <w:r>
        <w:rPr>
          <w:rFonts w:hint="eastAsia" w:hAnsi="宋体" w:cs="宋体"/>
          <w:sz w:val="32"/>
          <w:szCs w:val="32"/>
        </w:rPr>
        <w:t>（</w:t>
      </w:r>
      <w:r>
        <w:rPr>
          <w:rFonts w:hAnsi="宋体" w:cs="宋体"/>
          <w:sz w:val="32"/>
          <w:szCs w:val="32"/>
        </w:rPr>
        <w:t>5</w:t>
      </w:r>
      <w:r>
        <w:rPr>
          <w:rFonts w:hint="eastAsia" w:hAnsi="宋体" w:cs="宋体"/>
          <w:sz w:val="32"/>
          <w:szCs w:val="32"/>
        </w:rPr>
        <w:t>）</w:t>
      </w:r>
      <w:r>
        <w:rPr>
          <w:rFonts w:hint="eastAsia" w:hAnsi="宋体" w:cs="宋体"/>
          <w:color w:val="auto"/>
          <w:kern w:val="2"/>
          <w:sz w:val="32"/>
          <w:szCs w:val="32"/>
        </w:rPr>
        <w:t>提供商务响应文件</w:t>
      </w:r>
    </w:p>
    <w:p w14:paraId="55088619">
      <w:pPr>
        <w:pStyle w:val="67"/>
        <w:ind w:firstLine="640" w:firstLineChars="200"/>
        <w:rPr>
          <w:rFonts w:hAnsi="宋体" w:cs="宋体"/>
          <w:color w:val="auto"/>
          <w:kern w:val="2"/>
          <w:sz w:val="32"/>
          <w:szCs w:val="32"/>
        </w:rPr>
      </w:pPr>
      <w:r>
        <w:rPr>
          <w:rFonts w:hint="eastAsia" w:hAnsi="宋体" w:cs="宋体"/>
          <w:sz w:val="32"/>
          <w:szCs w:val="32"/>
        </w:rPr>
        <w:t>（</w:t>
      </w:r>
      <w:r>
        <w:rPr>
          <w:rFonts w:hAnsi="宋体" w:cs="宋体"/>
          <w:sz w:val="32"/>
          <w:szCs w:val="32"/>
        </w:rPr>
        <w:t>6</w:t>
      </w:r>
      <w:r>
        <w:rPr>
          <w:rFonts w:hint="eastAsia" w:hAnsi="宋体" w:cs="宋体"/>
          <w:sz w:val="32"/>
          <w:szCs w:val="32"/>
        </w:rPr>
        <w:t>）</w:t>
      </w:r>
      <w:r>
        <w:rPr>
          <w:rFonts w:hint="eastAsia" w:hAnsi="宋体" w:cs="宋体"/>
          <w:color w:val="auto"/>
          <w:kern w:val="2"/>
          <w:sz w:val="32"/>
          <w:szCs w:val="32"/>
        </w:rPr>
        <w:t>提供售后服务响应文件</w:t>
      </w:r>
    </w:p>
    <w:p w14:paraId="3AFA7009">
      <w:pPr>
        <w:ind w:firstLine="640" w:firstLineChars="200"/>
        <w:rPr>
          <w:rFonts w:hint="eastAsia" w:ascii="宋体" w:hAnsi="宋体" w:cs="宋体"/>
          <w:sz w:val="32"/>
          <w:szCs w:val="32"/>
        </w:rPr>
      </w:pPr>
      <w:r>
        <w:rPr>
          <w:rFonts w:hint="eastAsia" w:ascii="宋体" w:hAnsi="宋体" w:cs="宋体"/>
          <w:sz w:val="32"/>
          <w:szCs w:val="32"/>
        </w:rPr>
        <w:t>（</w:t>
      </w:r>
      <w:r>
        <w:rPr>
          <w:rFonts w:ascii="宋体" w:hAnsi="宋体" w:cs="宋体"/>
          <w:sz w:val="32"/>
          <w:szCs w:val="32"/>
        </w:rPr>
        <w:t>7</w:t>
      </w:r>
      <w:r>
        <w:rPr>
          <w:rFonts w:hint="eastAsia" w:ascii="宋体" w:hAnsi="宋体" w:cs="宋体"/>
          <w:sz w:val="32"/>
          <w:szCs w:val="32"/>
        </w:rPr>
        <w:t>）提供技术规格及质量要求响应文件。</w:t>
      </w:r>
    </w:p>
    <w:p w14:paraId="0740F075">
      <w:pPr>
        <w:snapToGrid w:val="0"/>
        <w:spacing w:line="360" w:lineRule="auto"/>
        <w:ind w:firstLine="640" w:firstLineChars="200"/>
        <w:rPr>
          <w:rFonts w:ascii="宋体" w:hAnsi="宋体" w:cs="宋体"/>
          <w:sz w:val="32"/>
          <w:szCs w:val="32"/>
        </w:rPr>
      </w:pPr>
      <w:r>
        <w:rPr>
          <w:rFonts w:hint="eastAsia" w:ascii="宋体" w:hAnsi="宋体" w:cs="宋体"/>
          <w:sz w:val="32"/>
          <w:szCs w:val="32"/>
        </w:rPr>
        <w:t>（</w:t>
      </w:r>
      <w:r>
        <w:rPr>
          <w:rFonts w:ascii="宋体" w:hAnsi="宋体" w:cs="宋体"/>
          <w:sz w:val="32"/>
          <w:szCs w:val="32"/>
        </w:rPr>
        <w:t>8</w:t>
      </w:r>
      <w:r>
        <w:rPr>
          <w:rFonts w:hint="eastAsia" w:ascii="宋体" w:hAnsi="宋体" w:cs="宋体"/>
          <w:sz w:val="32"/>
          <w:szCs w:val="32"/>
        </w:rPr>
        <w:t>）其他应提供的资料。</w:t>
      </w:r>
    </w:p>
    <w:p w14:paraId="04B491E9">
      <w:pPr>
        <w:snapToGrid w:val="0"/>
        <w:spacing w:line="360" w:lineRule="auto"/>
        <w:ind w:firstLine="640" w:firstLineChars="200"/>
        <w:rPr>
          <w:rFonts w:ascii="宋体" w:hAnsi="宋体" w:cs="宋体"/>
          <w:sz w:val="32"/>
          <w:szCs w:val="32"/>
        </w:rPr>
      </w:pPr>
      <w:r>
        <w:rPr>
          <w:rFonts w:hint="eastAsia" w:ascii="宋体" w:hAnsi="宋体" w:cs="宋体"/>
          <w:sz w:val="32"/>
          <w:szCs w:val="32"/>
        </w:rPr>
        <w:t>2.提交文件的要求</w:t>
      </w:r>
    </w:p>
    <w:p w14:paraId="16A17975">
      <w:pPr>
        <w:snapToGrid w:val="0"/>
        <w:spacing w:line="360" w:lineRule="auto"/>
        <w:ind w:firstLine="640" w:firstLineChars="200"/>
        <w:rPr>
          <w:rFonts w:ascii="宋体" w:hAnsi="宋体" w:cs="宋体"/>
          <w:sz w:val="32"/>
          <w:szCs w:val="32"/>
        </w:rPr>
      </w:pPr>
      <w:r>
        <w:rPr>
          <w:rFonts w:hint="eastAsia" w:ascii="宋体" w:hAnsi="宋体" w:cs="宋体"/>
          <w:sz w:val="32"/>
          <w:szCs w:val="32"/>
        </w:rPr>
        <w:t>（1）供应商线上报名、报价时需上传盖鲜章后的电子文档一份。</w:t>
      </w:r>
    </w:p>
    <w:p w14:paraId="0113DA14">
      <w:pPr>
        <w:snapToGrid w:val="0"/>
        <w:spacing w:line="360" w:lineRule="auto"/>
        <w:ind w:firstLine="640" w:firstLineChars="200"/>
        <w:rPr>
          <w:rFonts w:ascii="宋体" w:hAnsi="宋体" w:cs="宋体"/>
          <w:sz w:val="32"/>
          <w:szCs w:val="32"/>
        </w:rPr>
      </w:pPr>
      <w:r>
        <w:rPr>
          <w:rFonts w:hint="eastAsia" w:ascii="宋体" w:hAnsi="宋体" w:cs="宋体"/>
          <w:sz w:val="32"/>
          <w:szCs w:val="32"/>
        </w:rPr>
        <w:t>（2）</w:t>
      </w:r>
      <w:r>
        <w:rPr>
          <w:rFonts w:hint="eastAsia" w:ascii="宋体" w:hAnsi="宋体" w:cs="宋体"/>
          <w:sz w:val="32"/>
          <w:szCs w:val="32"/>
          <w:lang w:eastAsia="zh-Hans"/>
        </w:rPr>
        <w:t>供应商在系统中的报价与响应文件中的报价不一致时，</w:t>
      </w:r>
      <w:r>
        <w:rPr>
          <w:rFonts w:hint="eastAsia" w:ascii="宋体" w:hAnsi="宋体" w:cs="宋体"/>
          <w:sz w:val="32"/>
          <w:szCs w:val="32"/>
        </w:rPr>
        <w:t>采购人将以</w:t>
      </w:r>
      <w:r>
        <w:rPr>
          <w:rFonts w:hint="eastAsia" w:ascii="宋体" w:hAnsi="宋体" w:cs="宋体"/>
          <w:sz w:val="32"/>
          <w:szCs w:val="32"/>
          <w:lang w:eastAsia="zh-Hans"/>
        </w:rPr>
        <w:t>系统中供应商的报价作为评判依据</w:t>
      </w:r>
      <w:r>
        <w:rPr>
          <w:rFonts w:hint="eastAsia" w:ascii="宋体" w:hAnsi="宋体" w:cs="宋体"/>
          <w:sz w:val="32"/>
          <w:szCs w:val="32"/>
        </w:rPr>
        <w:t>。</w:t>
      </w:r>
    </w:p>
    <w:p w14:paraId="719B5B8A">
      <w:pPr>
        <w:snapToGrid w:val="0"/>
        <w:spacing w:line="360" w:lineRule="auto"/>
        <w:ind w:firstLine="640" w:firstLineChars="200"/>
        <w:rPr>
          <w:rFonts w:ascii="宋体" w:hAnsi="宋体" w:cs="宋体"/>
          <w:sz w:val="32"/>
          <w:szCs w:val="32"/>
        </w:rPr>
      </w:pPr>
      <w:r>
        <w:rPr>
          <w:rFonts w:hint="eastAsia" w:ascii="宋体" w:hAnsi="宋体" w:cs="宋体"/>
          <w:sz w:val="32"/>
          <w:szCs w:val="32"/>
        </w:rPr>
        <w:t>（3）供应商只能有一个有效报价，供应商只能以自己单位名义提交响应文件。</w:t>
      </w:r>
    </w:p>
    <w:p w14:paraId="26D338D9">
      <w:pPr>
        <w:snapToGrid w:val="0"/>
        <w:spacing w:line="360" w:lineRule="auto"/>
        <w:ind w:firstLine="640" w:firstLineChars="200"/>
        <w:rPr>
          <w:rFonts w:ascii="宋体" w:hAnsi="宋体" w:cs="宋体"/>
        </w:rPr>
      </w:pPr>
      <w:r>
        <w:rPr>
          <w:rFonts w:hint="eastAsia" w:ascii="宋体" w:hAnsi="宋体" w:cs="宋体"/>
          <w:sz w:val="32"/>
          <w:szCs w:val="32"/>
        </w:rPr>
        <w:t>（4）供应商制作的响应文件电子文档，须按照要求制作，规定签字、盖章的地方必须按规定签字、盖章，上传的文件需字迹清晰，未按要求制作响应文件的作废标处理。</w:t>
      </w:r>
    </w:p>
    <w:p w14:paraId="7048BD13">
      <w:pPr>
        <w:pStyle w:val="4"/>
        <w:spacing w:before="0" w:after="0" w:line="360" w:lineRule="auto"/>
        <w:ind w:firstLine="643" w:firstLineChars="200"/>
        <w:rPr>
          <w:rFonts w:ascii="宋体" w:hAnsi="宋体" w:cs="宋体"/>
          <w:szCs w:val="32"/>
        </w:rPr>
      </w:pPr>
      <w:r>
        <w:rPr>
          <w:rFonts w:hint="eastAsia" w:ascii="宋体" w:hAnsi="宋体" w:cs="宋体"/>
          <w:szCs w:val="32"/>
        </w:rPr>
        <w:t>（十）成交规则</w:t>
      </w:r>
    </w:p>
    <w:p w14:paraId="2B1E0B98">
      <w:pPr>
        <w:pStyle w:val="50"/>
        <w:spacing w:before="0" w:beforeAutospacing="0" w:after="0" w:afterAutospacing="0" w:line="360" w:lineRule="auto"/>
        <w:ind w:firstLine="640" w:firstLineChars="200"/>
        <w:rPr>
          <w:rFonts w:cs="宋体"/>
          <w:b/>
          <w:bCs/>
          <w:i/>
          <w:iCs/>
          <w:sz w:val="32"/>
          <w:szCs w:val="32"/>
          <w:u w:val="single"/>
        </w:rPr>
      </w:pPr>
      <w:r>
        <w:rPr>
          <w:rFonts w:hint="eastAsia" w:cs="宋体"/>
          <w:sz w:val="32"/>
          <w:szCs w:val="32"/>
        </w:rPr>
        <w:t>采购人在符合审查的供应商中，手动确认报价最低的成为成交供应商。</w:t>
      </w:r>
    </w:p>
    <w:p w14:paraId="58A3A461">
      <w:pPr>
        <w:snapToGrid w:val="0"/>
        <w:spacing w:line="360" w:lineRule="auto"/>
        <w:ind w:firstLine="640" w:firstLineChars="200"/>
        <w:rPr>
          <w:rFonts w:ascii="宋体" w:hAnsi="宋体" w:cs="宋体"/>
          <w:sz w:val="32"/>
          <w:szCs w:val="32"/>
        </w:rPr>
      </w:pPr>
      <w:r>
        <w:rPr>
          <w:rFonts w:hint="eastAsia" w:ascii="宋体" w:hAnsi="宋体" w:cs="宋体"/>
          <w:sz w:val="32"/>
          <w:szCs w:val="32"/>
        </w:rPr>
        <w:t>说明：</w:t>
      </w:r>
    </w:p>
    <w:p w14:paraId="6FFE6F4B">
      <w:pPr>
        <w:snapToGrid w:val="0"/>
        <w:spacing w:line="360" w:lineRule="auto"/>
        <w:ind w:firstLine="640" w:firstLineChars="200"/>
        <w:rPr>
          <w:rFonts w:ascii="宋体" w:hAnsi="宋体" w:cs="宋体"/>
          <w:sz w:val="32"/>
          <w:szCs w:val="32"/>
        </w:rPr>
      </w:pPr>
      <w:r>
        <w:rPr>
          <w:rFonts w:hint="eastAsia" w:ascii="宋体" w:hAnsi="宋体" w:cs="宋体"/>
          <w:sz w:val="32"/>
          <w:szCs w:val="32"/>
        </w:rPr>
        <w:t>1.供应商出现报价相同的情况，依次以质保期时长、售后服务响应快等进行排序。</w:t>
      </w:r>
    </w:p>
    <w:p w14:paraId="36801BB8">
      <w:pPr>
        <w:snapToGrid w:val="0"/>
        <w:spacing w:line="360" w:lineRule="auto"/>
        <w:ind w:firstLine="640" w:firstLineChars="200"/>
        <w:rPr>
          <w:rFonts w:ascii="宋体" w:hAnsi="宋体" w:cs="宋体"/>
          <w:sz w:val="32"/>
          <w:szCs w:val="32"/>
        </w:rPr>
      </w:pPr>
      <w:r>
        <w:rPr>
          <w:rFonts w:hint="eastAsia" w:ascii="宋体" w:hAnsi="宋体" w:cs="宋体"/>
          <w:sz w:val="32"/>
          <w:szCs w:val="32"/>
        </w:rPr>
        <w:t>2.竞采小组认为供应商的报价明显低于其他通过符合性审查供应商的报价，有可能影响产品质量或者不能诚信履约的，应当要求其在合理的时间内提供书面说明，必要时提交相关证明材料；供应商不能证明其报价合理性的，竞采小组应当将其作无效响应处理。</w:t>
      </w:r>
    </w:p>
    <w:p w14:paraId="02C814A6">
      <w:pPr>
        <w:snapToGrid w:val="0"/>
        <w:spacing w:line="360" w:lineRule="auto"/>
        <w:ind w:firstLine="640" w:firstLineChars="200"/>
        <w:rPr>
          <w:rFonts w:ascii="宋体" w:hAnsi="宋体" w:cs="宋体"/>
          <w:b/>
          <w:bCs/>
          <w:i/>
          <w:iCs/>
          <w:sz w:val="32"/>
          <w:szCs w:val="32"/>
          <w:u w:val="single"/>
        </w:rPr>
      </w:pPr>
      <w:r>
        <w:rPr>
          <w:rFonts w:hint="eastAsia" w:ascii="宋体" w:hAnsi="宋体" w:cs="宋体"/>
          <w:sz w:val="32"/>
          <w:szCs w:val="32"/>
        </w:rPr>
        <w:t>3.中标（成交）供应商在中标（成交）通知书发出之日起10日内与采购人签订采购合同，逾期视为放弃中标资格。</w:t>
      </w:r>
    </w:p>
    <w:p w14:paraId="037D0BC0">
      <w:pPr>
        <w:pStyle w:val="4"/>
        <w:spacing w:before="0" w:after="0" w:line="360" w:lineRule="auto"/>
        <w:ind w:firstLine="643" w:firstLineChars="200"/>
        <w:rPr>
          <w:rFonts w:ascii="宋体" w:hAnsi="宋体" w:cs="宋体"/>
          <w:szCs w:val="32"/>
        </w:rPr>
      </w:pPr>
      <w:r>
        <w:rPr>
          <w:rFonts w:hint="eastAsia" w:ascii="宋体" w:hAnsi="宋体" w:cs="宋体"/>
          <w:szCs w:val="32"/>
        </w:rPr>
        <w:t>（十一）联系方式</w:t>
      </w:r>
    </w:p>
    <w:p w14:paraId="38A9D408">
      <w:pPr>
        <w:snapToGrid w:val="0"/>
        <w:spacing w:line="360" w:lineRule="auto"/>
        <w:ind w:firstLine="640" w:firstLineChars="200"/>
        <w:rPr>
          <w:rFonts w:hint="default" w:ascii="宋体" w:hAnsi="宋体" w:eastAsia="宋体" w:cs="宋体"/>
          <w:sz w:val="32"/>
          <w:szCs w:val="32"/>
          <w:lang w:val="en-US" w:eastAsia="zh-CN"/>
        </w:rPr>
      </w:pPr>
      <w:r>
        <w:rPr>
          <w:rFonts w:hint="eastAsia" w:ascii="宋体" w:hAnsi="宋体" w:cs="宋体"/>
          <w:sz w:val="32"/>
          <w:szCs w:val="32"/>
        </w:rPr>
        <w:t>采购单位：</w:t>
      </w:r>
      <w:r>
        <w:rPr>
          <w:rFonts w:hint="eastAsia" w:ascii="宋体" w:hAnsi="宋体" w:cs="宋体"/>
          <w:sz w:val="32"/>
          <w:szCs w:val="32"/>
          <w:lang w:val="en-US" w:eastAsia="zh-CN"/>
        </w:rPr>
        <w:t>重庆市两江中学校</w:t>
      </w:r>
    </w:p>
    <w:p w14:paraId="045D52D6">
      <w:pPr>
        <w:snapToGrid w:val="0"/>
        <w:spacing w:line="360" w:lineRule="auto"/>
        <w:ind w:firstLine="640" w:firstLineChars="200"/>
        <w:rPr>
          <w:rFonts w:hint="default" w:ascii="宋体" w:hAnsi="宋体" w:eastAsia="宋体" w:cs="宋体"/>
          <w:sz w:val="32"/>
          <w:szCs w:val="32"/>
          <w:lang w:val="en-US" w:eastAsia="zh-CN"/>
        </w:rPr>
      </w:pPr>
      <w:r>
        <w:rPr>
          <w:rFonts w:hint="eastAsia" w:ascii="宋体" w:hAnsi="宋体" w:cs="宋体"/>
          <w:sz w:val="32"/>
          <w:szCs w:val="32"/>
        </w:rPr>
        <w:t>联系人：</w:t>
      </w:r>
      <w:r>
        <w:rPr>
          <w:rFonts w:hint="eastAsia" w:ascii="宋体" w:hAnsi="宋体" w:cs="宋体"/>
          <w:sz w:val="32"/>
          <w:szCs w:val="32"/>
          <w:lang w:val="en-US" w:eastAsia="zh-CN"/>
        </w:rPr>
        <w:t>熊老师</w:t>
      </w:r>
    </w:p>
    <w:p w14:paraId="11F1B957">
      <w:pPr>
        <w:snapToGrid w:val="0"/>
        <w:spacing w:line="360" w:lineRule="auto"/>
        <w:ind w:firstLine="640" w:firstLineChars="200"/>
        <w:rPr>
          <w:rFonts w:hint="eastAsia" w:ascii="宋体" w:hAnsi="宋体" w:cs="宋体"/>
          <w:sz w:val="32"/>
          <w:szCs w:val="32"/>
          <w:lang w:val="en-US" w:eastAsia="zh-CN"/>
        </w:rPr>
      </w:pPr>
      <w:r>
        <w:rPr>
          <w:rFonts w:hint="eastAsia" w:ascii="宋体" w:hAnsi="宋体" w:cs="宋体"/>
          <w:sz w:val="32"/>
          <w:szCs w:val="32"/>
        </w:rPr>
        <w:t>电话：</w:t>
      </w:r>
      <w:r>
        <w:rPr>
          <w:rFonts w:hint="eastAsia" w:ascii="宋体" w:hAnsi="宋体" w:cs="宋体"/>
          <w:sz w:val="32"/>
          <w:szCs w:val="32"/>
          <w:lang w:val="en-US" w:eastAsia="zh-CN"/>
        </w:rPr>
        <w:t>15803017036</w:t>
      </w:r>
    </w:p>
    <w:p w14:paraId="3E4BA515">
      <w:pPr>
        <w:snapToGrid w:val="0"/>
        <w:spacing w:line="360" w:lineRule="auto"/>
        <w:ind w:firstLine="640" w:firstLineChars="200"/>
        <w:rPr>
          <w:rFonts w:hint="default" w:ascii="宋体" w:hAnsi="宋体" w:eastAsia="宋体" w:cs="宋体"/>
          <w:sz w:val="32"/>
          <w:szCs w:val="32"/>
          <w:lang w:val="en-US" w:eastAsia="zh-CN"/>
        </w:rPr>
      </w:pPr>
      <w:r>
        <w:rPr>
          <w:rFonts w:hint="eastAsia" w:ascii="宋体" w:hAnsi="宋体" w:cs="宋体"/>
          <w:sz w:val="32"/>
          <w:szCs w:val="32"/>
        </w:rPr>
        <w:t>地址：重庆市渝北区</w:t>
      </w:r>
      <w:r>
        <w:rPr>
          <w:rFonts w:hint="eastAsia" w:ascii="宋体" w:hAnsi="宋体" w:cs="宋体"/>
          <w:sz w:val="32"/>
          <w:szCs w:val="32"/>
          <w:lang w:val="en-US" w:eastAsia="zh-CN"/>
        </w:rPr>
        <w:t>宝圣大道207号</w:t>
      </w:r>
    </w:p>
    <w:p w14:paraId="2EA0602F">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（十二）重新比选与二次比选</w:t>
      </w:r>
    </w:p>
    <w:p w14:paraId="0BB47E79">
      <w:pPr>
        <w:pStyle w:val="67"/>
        <w:ind w:left="1480" w:hanging="64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w:t>
      </w:r>
      <w:r>
        <w:rPr>
          <w:rFonts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rPr>
        <w:t>.1</w:t>
      </w:r>
      <w:r>
        <w:rPr>
          <w:rFonts w:hint="eastAsia" w:ascii="微软雅黑" w:hAnsi="微软雅黑" w:eastAsia="微软雅黑" w:cs="微软雅黑"/>
          <w:color w:val="auto"/>
          <w:kern w:val="2"/>
          <w:sz w:val="32"/>
          <w:szCs w:val="32"/>
        </w:rPr>
        <w:t>重新比选的情形</w:t>
      </w:r>
    </w:p>
    <w:p w14:paraId="4EB5BF4D">
      <w:pPr>
        <w:pStyle w:val="67"/>
        <w:ind w:left="1480" w:hanging="640"/>
        <w:rPr>
          <w:rFonts w:ascii="仿宋_GB2312" w:hAnsi="仿宋_GB2312" w:eastAsia="仿宋_GB2312" w:cs="仿宋_GB2312"/>
          <w:color w:val="auto"/>
          <w:kern w:val="2"/>
          <w:sz w:val="32"/>
          <w:szCs w:val="32"/>
        </w:rPr>
      </w:pPr>
      <w:r>
        <w:rPr>
          <w:rFonts w:hint="eastAsia" w:ascii="微软雅黑" w:hAnsi="微软雅黑" w:eastAsia="微软雅黑" w:cs="微软雅黑"/>
          <w:color w:val="auto"/>
          <w:kern w:val="2"/>
          <w:sz w:val="32"/>
          <w:szCs w:val="32"/>
        </w:rPr>
        <w:t>有下列情形之一的，比选人将重新比选：</w:t>
      </w:r>
    </w:p>
    <w:p w14:paraId="1BA3CA24">
      <w:pPr>
        <w:pStyle w:val="67"/>
        <w:ind w:left="1480" w:hanging="640"/>
        <w:rPr>
          <w:rFonts w:ascii="仿宋_GB2312" w:hAnsi="仿宋_GB2312" w:eastAsia="仿宋_GB2312" w:cs="仿宋_GB2312"/>
          <w:color w:val="auto"/>
          <w:kern w:val="2"/>
          <w:sz w:val="32"/>
          <w:szCs w:val="32"/>
        </w:rPr>
      </w:pPr>
      <w:r>
        <w:rPr>
          <w:rFonts w:hint="eastAsia" w:ascii="微软雅黑" w:hAnsi="微软雅黑" w:eastAsia="微软雅黑" w:cs="微软雅黑"/>
          <w:color w:val="auto"/>
          <w:kern w:val="2"/>
          <w:sz w:val="32"/>
          <w:szCs w:val="32"/>
        </w:rPr>
        <w:t>（</w:t>
      </w:r>
      <w:r>
        <w:rPr>
          <w:rFonts w:hint="eastAsia" w:ascii="仿宋_GB2312" w:hAnsi="仿宋_GB2312" w:eastAsia="仿宋_GB2312" w:cs="仿宋_GB2312"/>
          <w:color w:val="auto"/>
          <w:kern w:val="2"/>
          <w:sz w:val="32"/>
          <w:szCs w:val="32"/>
        </w:rPr>
        <w:t>1</w:t>
      </w:r>
      <w:r>
        <w:rPr>
          <w:rFonts w:hint="eastAsia" w:ascii="微软雅黑" w:hAnsi="微软雅黑" w:eastAsia="微软雅黑" w:cs="微软雅黑"/>
          <w:color w:val="auto"/>
          <w:kern w:val="2"/>
          <w:sz w:val="32"/>
          <w:szCs w:val="32"/>
        </w:rPr>
        <w:t>）竞选截止时间止，竞选人少于</w:t>
      </w:r>
      <w:r>
        <w:rPr>
          <w:rFonts w:hint="eastAsia" w:ascii="仿宋_GB2312" w:hAnsi="仿宋_GB2312" w:eastAsia="仿宋_GB2312" w:cs="仿宋_GB2312"/>
          <w:color w:val="auto"/>
          <w:kern w:val="2"/>
          <w:sz w:val="32"/>
          <w:szCs w:val="32"/>
        </w:rPr>
        <w:t xml:space="preserve"> 3 </w:t>
      </w:r>
      <w:r>
        <w:rPr>
          <w:rFonts w:hint="eastAsia" w:ascii="微软雅黑" w:hAnsi="微软雅黑" w:eastAsia="微软雅黑" w:cs="微软雅黑"/>
          <w:color w:val="auto"/>
          <w:kern w:val="2"/>
          <w:sz w:val="32"/>
          <w:szCs w:val="32"/>
        </w:rPr>
        <w:t>个的；</w:t>
      </w:r>
    </w:p>
    <w:p w14:paraId="0D61B569">
      <w:pPr>
        <w:pStyle w:val="67"/>
        <w:ind w:left="1480" w:hanging="640"/>
        <w:rPr>
          <w:rFonts w:ascii="仿宋_GB2312" w:hAnsi="仿宋_GB2312" w:eastAsia="仿宋_GB2312" w:cs="仿宋_GB2312"/>
          <w:color w:val="auto"/>
          <w:kern w:val="2"/>
          <w:sz w:val="32"/>
          <w:szCs w:val="32"/>
        </w:rPr>
      </w:pPr>
      <w:r>
        <w:rPr>
          <w:rFonts w:hint="eastAsia" w:ascii="微软雅黑" w:hAnsi="微软雅黑" w:eastAsia="微软雅黑" w:cs="微软雅黑"/>
          <w:color w:val="auto"/>
          <w:kern w:val="2"/>
          <w:sz w:val="32"/>
          <w:szCs w:val="32"/>
        </w:rPr>
        <w:t>（</w:t>
      </w:r>
      <w:r>
        <w:rPr>
          <w:rFonts w:hint="eastAsia" w:ascii="仿宋_GB2312" w:hAnsi="仿宋_GB2312" w:eastAsia="仿宋_GB2312" w:cs="仿宋_GB2312"/>
          <w:color w:val="auto"/>
          <w:kern w:val="2"/>
          <w:sz w:val="32"/>
          <w:szCs w:val="32"/>
        </w:rPr>
        <w:t>2</w:t>
      </w:r>
      <w:r>
        <w:rPr>
          <w:rFonts w:hint="eastAsia" w:ascii="微软雅黑" w:hAnsi="微软雅黑" w:eastAsia="微软雅黑" w:cs="微软雅黑"/>
          <w:color w:val="auto"/>
          <w:kern w:val="2"/>
          <w:sz w:val="32"/>
          <w:szCs w:val="32"/>
        </w:rPr>
        <w:t>）经评审委员会评审后否决所有竞选的；</w:t>
      </w:r>
    </w:p>
    <w:p w14:paraId="108107A0">
      <w:pPr>
        <w:pStyle w:val="67"/>
        <w:ind w:left="1480" w:hanging="640"/>
        <w:rPr>
          <w:rFonts w:ascii="仿宋_GB2312" w:hAnsi="仿宋_GB2312" w:eastAsia="仿宋_GB2312" w:cs="仿宋_GB2312"/>
          <w:color w:val="auto"/>
          <w:kern w:val="2"/>
          <w:sz w:val="32"/>
          <w:szCs w:val="32"/>
        </w:rPr>
      </w:pPr>
      <w:r>
        <w:rPr>
          <w:rFonts w:hint="eastAsia" w:ascii="微软雅黑" w:hAnsi="微软雅黑" w:eastAsia="微软雅黑" w:cs="微软雅黑"/>
          <w:color w:val="auto"/>
          <w:kern w:val="2"/>
          <w:sz w:val="32"/>
          <w:szCs w:val="32"/>
        </w:rPr>
        <w:t>（</w:t>
      </w:r>
      <w:r>
        <w:rPr>
          <w:rFonts w:hint="eastAsia" w:ascii="仿宋_GB2312" w:hAnsi="仿宋_GB2312" w:eastAsia="仿宋_GB2312" w:cs="仿宋_GB2312"/>
          <w:color w:val="auto"/>
          <w:kern w:val="2"/>
          <w:sz w:val="32"/>
          <w:szCs w:val="32"/>
        </w:rPr>
        <w:t>3</w:t>
      </w:r>
      <w:r>
        <w:rPr>
          <w:rFonts w:hint="eastAsia" w:ascii="微软雅黑" w:hAnsi="微软雅黑" w:eastAsia="微软雅黑" w:cs="微软雅黑"/>
          <w:color w:val="auto"/>
          <w:kern w:val="2"/>
          <w:sz w:val="32"/>
          <w:szCs w:val="32"/>
        </w:rPr>
        <w:t>）经评审委员会评审后部分竞选被否决，导致有效竞选人不足三个的，评审委员会应当否决所有竞选。但是有效竞选人的经济、技术等指标仍然具有市场竞选力，能够满足竞争性比选文件要求的，评审委员会可以继续评审并确定中选候选人。</w:t>
      </w:r>
    </w:p>
    <w:p w14:paraId="06D58748">
      <w:pPr>
        <w:pStyle w:val="67"/>
        <w:ind w:left="1480" w:hanging="640"/>
        <w:rPr>
          <w:rFonts w:ascii="仿宋_GB2312" w:hAnsi="仿宋_GB2312" w:eastAsia="仿宋_GB2312" w:cs="仿宋_GB2312"/>
          <w:color w:val="auto"/>
          <w:kern w:val="2"/>
          <w:sz w:val="32"/>
          <w:szCs w:val="32"/>
        </w:rPr>
      </w:pPr>
      <w:r>
        <w:rPr>
          <w:rFonts w:hint="eastAsia" w:ascii="微软雅黑" w:hAnsi="微软雅黑" w:eastAsia="微软雅黑" w:cs="微软雅黑"/>
          <w:color w:val="auto"/>
          <w:kern w:val="2"/>
          <w:sz w:val="32"/>
          <w:szCs w:val="32"/>
        </w:rPr>
        <w:t>（</w:t>
      </w:r>
      <w:r>
        <w:rPr>
          <w:rFonts w:hint="eastAsia" w:ascii="仿宋_GB2312" w:hAnsi="仿宋_GB2312" w:eastAsia="仿宋_GB2312" w:cs="仿宋_GB2312"/>
          <w:color w:val="auto"/>
          <w:kern w:val="2"/>
          <w:sz w:val="32"/>
          <w:szCs w:val="32"/>
        </w:rPr>
        <w:t>4</w:t>
      </w:r>
      <w:r>
        <w:rPr>
          <w:rFonts w:hint="eastAsia" w:ascii="微软雅黑" w:hAnsi="微软雅黑" w:eastAsia="微软雅黑" w:cs="微软雅黑"/>
          <w:color w:val="auto"/>
          <w:kern w:val="2"/>
          <w:sz w:val="32"/>
          <w:szCs w:val="32"/>
        </w:rPr>
        <w:t>）法律法规规定的其他情形。</w:t>
      </w:r>
    </w:p>
    <w:p w14:paraId="79BB4211">
      <w:pPr>
        <w:pStyle w:val="67"/>
        <w:ind w:left="1480" w:hanging="64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w:t>
      </w:r>
      <w:r>
        <w:rPr>
          <w:rFonts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rPr>
        <w:t>.2</w:t>
      </w:r>
      <w:r>
        <w:rPr>
          <w:rFonts w:hint="eastAsia" w:ascii="微软雅黑" w:hAnsi="微软雅黑" w:eastAsia="微软雅黑" w:cs="微软雅黑"/>
          <w:color w:val="auto"/>
          <w:kern w:val="2"/>
          <w:sz w:val="32"/>
          <w:szCs w:val="32"/>
        </w:rPr>
        <w:t>重新比选和不再比选</w:t>
      </w:r>
    </w:p>
    <w:p w14:paraId="2485374B">
      <w:pPr>
        <w:pStyle w:val="67"/>
        <w:ind w:left="1480" w:hanging="640"/>
        <w:rPr>
          <w:rFonts w:ascii="仿宋_GB2312" w:hAnsi="仿宋_GB2312" w:eastAsia="仿宋_GB2312" w:cs="仿宋_GB2312"/>
          <w:color w:val="auto"/>
          <w:kern w:val="2"/>
          <w:sz w:val="32"/>
          <w:szCs w:val="32"/>
        </w:rPr>
      </w:pPr>
      <w:r>
        <w:rPr>
          <w:rFonts w:hint="eastAsia" w:ascii="微软雅黑" w:hAnsi="微软雅黑" w:eastAsia="微软雅黑" w:cs="微软雅黑"/>
          <w:color w:val="auto"/>
          <w:kern w:val="2"/>
          <w:sz w:val="32"/>
          <w:szCs w:val="32"/>
        </w:rPr>
        <w:t>重新比选的竞选人仍然少于</w:t>
      </w:r>
      <w:r>
        <w:rPr>
          <w:rFonts w:hint="eastAsia" w:ascii="仿宋_GB2312" w:hAnsi="仿宋_GB2312" w:eastAsia="仿宋_GB2312" w:cs="仿宋_GB2312"/>
          <w:color w:val="auto"/>
          <w:kern w:val="2"/>
          <w:sz w:val="32"/>
          <w:szCs w:val="32"/>
        </w:rPr>
        <w:t>3</w:t>
      </w:r>
      <w:r>
        <w:rPr>
          <w:rFonts w:hint="eastAsia" w:ascii="微软雅黑" w:hAnsi="微软雅黑" w:eastAsia="微软雅黑" w:cs="微软雅黑"/>
          <w:color w:val="auto"/>
          <w:kern w:val="2"/>
          <w:sz w:val="32"/>
          <w:szCs w:val="32"/>
        </w:rPr>
        <w:t>个的，按照相关法律法规规定的程序比选和评审。重新比选经评审有有效竞选人的，应当依法确定中选候选人；无有效竞选人的，可以不在进行比选。</w:t>
      </w:r>
    </w:p>
    <w:p w14:paraId="1AD10D8F">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（十三）低价风险担保</w:t>
      </w:r>
    </w:p>
    <w:p w14:paraId="61848658">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1、低价风险担保：中标价低于最高限价的8</w:t>
      </w:r>
      <w:r>
        <w:rPr>
          <w:rFonts w:ascii="微软雅黑" w:hAnsi="微软雅黑" w:eastAsia="微软雅黑" w:cs="微软雅黑"/>
          <w:color w:val="auto"/>
          <w:kern w:val="2"/>
          <w:sz w:val="32"/>
          <w:szCs w:val="32"/>
        </w:rPr>
        <w:t>0</w:t>
      </w:r>
      <w:r>
        <w:rPr>
          <w:rFonts w:hint="eastAsia" w:ascii="微软雅黑" w:hAnsi="微软雅黑" w:eastAsia="微软雅黑" w:cs="微软雅黑"/>
          <w:color w:val="auto"/>
          <w:kern w:val="2"/>
          <w:sz w:val="32"/>
          <w:szCs w:val="32"/>
        </w:rPr>
        <w:t>%时提供，如不按时足额提供，视为中标人放弃中标，比选人有权不退还其投标保证金，并报招标投标行政监督部门按照信用管理办法的规定处理，对中标人的不良行为直接记12分，纳入重点关注名单。</w:t>
      </w:r>
    </w:p>
    <w:p w14:paraId="1DA0E6D0">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2、中标人提供低价风险担保的形式、金额及期限：</w:t>
      </w:r>
    </w:p>
    <w:p w14:paraId="02E2FABB">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1）低价风险担保的形式：现金或银行保函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比选文件规定。</w:t>
      </w:r>
    </w:p>
    <w:p w14:paraId="3A7065F7">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（2）低价风险担保的金额：（最高限价×85%-中标价）×3，且最高不超过最高限价的85%。</w:t>
      </w:r>
    </w:p>
    <w:p w14:paraId="1C8C3C47">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①红名单优惠：红名单中的中标人低价风险担保金额为应提交金额的   50%   。</w:t>
      </w:r>
    </w:p>
    <w:p w14:paraId="47BE2802">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②红名单认定标准：须中标人所属红名单类别包含在招标范围内；以  开标环节信用状况查询结果  为准。</w:t>
      </w:r>
    </w:p>
    <w:p w14:paraId="7B3E9954">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（3）低价风险担保送达比选人的时间：从比选人中标通知书送达拟中标人之日起  12  工作日内；</w:t>
      </w:r>
    </w:p>
    <w:p w14:paraId="27F450A2">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（4）中标人因自身原因未按中标通知书规定的时限与比选人签订合同的，比选人有权扣除其低价风险担保并取消中标资格。</w:t>
      </w:r>
    </w:p>
    <w:p w14:paraId="7BB35D12">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（5）低价风险担保的期限：自低价风险担保生效之日起至竣工验收合格之日止。</w:t>
      </w:r>
    </w:p>
    <w:p w14:paraId="56E7AC63">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3、低价风险担保的退还时间：见专用合同条款。</w:t>
      </w:r>
    </w:p>
    <w:p w14:paraId="2DCCCF71">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4、采用经评审最低投标价法的项目，拟中标人或者中标人放弃中标项目，无正当理由不与比选人签订合同，在签订合同时向比选人提出附加条件或者更改合同实质性内容，或者拒不按照比选文件规定提交低价风险担保或履约担保的，取消其中标资格，投标保证金不予退还，给比选人造成的损失超过投标保证金数额的，拟中标人或中标人应对超过部分予以赔偿。</w:t>
      </w:r>
    </w:p>
    <w:p w14:paraId="4E2EDA36">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备注：当中标人或拟中标人未按时提交低价风险担保，且属于可以延长低价风险担保提交期限的特殊情形时，经比选人同意，可适当延长低价风险担保的提交期限。</w:t>
      </w:r>
    </w:p>
    <w:p w14:paraId="3C2FB9F1">
      <w:pPr>
        <w:pStyle w:val="67"/>
        <w:ind w:left="1480" w:hanging="640"/>
        <w:rPr>
          <w:rFonts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5、投标总报价低于最高限价85%的，竞选人应在编制投标文件时，在投标函部分中递交低价风险担保提交承诺书。承诺书格式详见第八章竞选文件格式。</w:t>
      </w:r>
    </w:p>
    <w:p w14:paraId="720A89F1">
      <w:pPr>
        <w:snapToGrid w:val="0"/>
        <w:spacing w:line="360" w:lineRule="auto"/>
        <w:ind w:firstLine="640" w:firstLineChars="200"/>
        <w:rPr>
          <w:rFonts w:hint="eastAsia" w:ascii="宋体" w:hAnsi="宋体" w:cs="宋体"/>
          <w:sz w:val="32"/>
          <w:szCs w:val="32"/>
        </w:rPr>
      </w:pPr>
    </w:p>
    <w:p w14:paraId="6CC4942B">
      <w:pPr>
        <w:pStyle w:val="4"/>
        <w:spacing w:before="0" w:after="0" w:line="360" w:lineRule="auto"/>
        <w:ind w:firstLine="643" w:firstLineChars="200"/>
        <w:rPr>
          <w:rFonts w:ascii="宋体" w:hAnsi="宋体" w:cs="宋体"/>
          <w:szCs w:val="32"/>
        </w:rPr>
      </w:pPr>
      <w:r>
        <w:rPr>
          <w:rFonts w:hint="eastAsia" w:ascii="宋体" w:hAnsi="宋体" w:cs="宋体"/>
          <w:szCs w:val="32"/>
        </w:rPr>
        <w:t>（十二）其它有关规定</w:t>
      </w:r>
    </w:p>
    <w:p w14:paraId="3535FA16">
      <w:pPr>
        <w:spacing w:line="360" w:lineRule="auto"/>
        <w:ind w:firstLine="640" w:firstLineChars="200"/>
        <w:rPr>
          <w:rFonts w:ascii="宋体" w:hAnsi="宋体" w:cs="宋体"/>
          <w:sz w:val="32"/>
          <w:szCs w:val="32"/>
        </w:rPr>
      </w:pPr>
      <w:r>
        <w:rPr>
          <w:rFonts w:hint="eastAsia" w:ascii="宋体" w:hAnsi="宋体" w:cs="宋体"/>
          <w:sz w:val="32"/>
          <w:szCs w:val="32"/>
        </w:rPr>
        <w:t>1.凡有意参加此项目的供应商，请于公告发布之日起至报价截止时间之前，在重庆市政府采购云平台网上竞采下载查看本项目竞采文件，无论供应商下载查看与否，均视为已知晓所有实质性要求内容。</w:t>
      </w:r>
    </w:p>
    <w:p w14:paraId="2B25DFEB">
      <w:pPr>
        <w:widowControl/>
        <w:wordWrap w:val="0"/>
        <w:autoSpaceDE w:val="0"/>
        <w:autoSpaceDN w:val="0"/>
        <w:spacing w:line="360" w:lineRule="auto"/>
        <w:ind w:firstLine="640" w:firstLineChars="200"/>
        <w:rPr>
          <w:rFonts w:ascii="宋体" w:hAnsi="宋体" w:cs="宋体"/>
          <w:sz w:val="32"/>
          <w:szCs w:val="32"/>
        </w:rPr>
      </w:pPr>
      <w:r>
        <w:rPr>
          <w:rFonts w:hint="eastAsia" w:ascii="宋体" w:hAnsi="宋体" w:cs="宋体"/>
          <w:sz w:val="32"/>
          <w:szCs w:val="32"/>
        </w:rPr>
        <w:t>2.供应商应于报价开始前完成政府采购网账号注册、政采云账号关联等操作，提前学习网上竞采操作手册并检查账号是否可用，遇到操作问题请及时咨询手册中的客服电话，如因账号注册关联、操作不熟练等原因导致供应商未成功报价，责任由供应商自行承担。</w:t>
      </w:r>
    </w:p>
    <w:p w14:paraId="128C9227">
      <w:pPr>
        <w:widowControl/>
        <w:wordWrap w:val="0"/>
        <w:autoSpaceDE w:val="0"/>
        <w:autoSpaceDN w:val="0"/>
        <w:spacing w:line="360" w:lineRule="auto"/>
        <w:ind w:firstLine="640" w:firstLineChars="200"/>
        <w:rPr>
          <w:rFonts w:ascii="宋体" w:hAnsi="宋体" w:cs="宋体"/>
          <w:sz w:val="32"/>
          <w:szCs w:val="32"/>
        </w:rPr>
      </w:pPr>
      <w:r>
        <w:rPr>
          <w:rFonts w:hint="eastAsia" w:ascii="宋体" w:hAnsi="宋体" w:cs="宋体"/>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宋体" w:hAnsi="宋体" w:cs="宋体"/>
          <w:color w:val="auto"/>
          <w:sz w:val="32"/>
          <w:szCs w:val="32"/>
        </w:rPr>
        <w:t>https://xj.ccgp-chongqing.gov.cn/ge/content/yptczzn/list</w:t>
      </w:r>
      <w:r>
        <w:rPr>
          <w:rStyle w:val="64"/>
          <w:rFonts w:hint="eastAsia" w:ascii="宋体" w:hAnsi="宋体" w:cs="宋体"/>
          <w:color w:val="auto"/>
          <w:sz w:val="32"/>
          <w:szCs w:val="32"/>
        </w:rPr>
        <w:fldChar w:fldCharType="end"/>
      </w:r>
      <w:r>
        <w:rPr>
          <w:rFonts w:hint="eastAsia" w:ascii="宋体" w:hAnsi="宋体" w:cs="宋体"/>
          <w:sz w:val="32"/>
          <w:szCs w:val="32"/>
        </w:rPr>
        <w:t>。</w:t>
      </w:r>
    </w:p>
    <w:p w14:paraId="33DCCDC8">
      <w:pPr>
        <w:spacing w:line="360" w:lineRule="auto"/>
        <w:ind w:firstLine="640" w:firstLineChars="200"/>
        <w:rPr>
          <w:rFonts w:ascii="宋体" w:hAnsi="宋体" w:cs="宋体"/>
          <w:sz w:val="32"/>
          <w:szCs w:val="32"/>
        </w:rPr>
      </w:pPr>
      <w:r>
        <w:rPr>
          <w:rFonts w:hint="eastAsia" w:ascii="宋体" w:hAnsi="宋体" w:cs="宋体"/>
          <w:sz w:val="32"/>
          <w:szCs w:val="32"/>
        </w:rPr>
        <w:t>3.无论竞采结果如何，供应商参与本项目的所有费用均自行承担。</w:t>
      </w:r>
    </w:p>
    <w:p w14:paraId="4FFAED9C">
      <w:pPr>
        <w:spacing w:line="360" w:lineRule="auto"/>
        <w:ind w:firstLine="640" w:firstLineChars="200"/>
        <w:rPr>
          <w:rFonts w:ascii="宋体" w:hAnsi="宋体" w:cs="宋体"/>
          <w:sz w:val="32"/>
          <w:szCs w:val="32"/>
        </w:rPr>
      </w:pPr>
      <w:r>
        <w:rPr>
          <w:rFonts w:hint="eastAsia" w:ascii="宋体" w:hAnsi="宋体" w:cs="宋体"/>
          <w:sz w:val="32"/>
          <w:szCs w:val="32"/>
        </w:rPr>
        <w:t>4.其他未尽事宜由双方在采购合同中详细约定。</w:t>
      </w:r>
    </w:p>
    <w:p w14:paraId="716CA631">
      <w:pPr>
        <w:rPr>
          <w:rFonts w:ascii="宋体" w:hAnsi="宋体" w:cs="宋体"/>
          <w:sz w:val="44"/>
          <w:szCs w:val="44"/>
        </w:rPr>
      </w:pPr>
      <w:r>
        <w:rPr>
          <w:rFonts w:hint="eastAsia" w:ascii="宋体" w:hAnsi="宋体" w:cs="宋体"/>
          <w:sz w:val="44"/>
          <w:szCs w:val="44"/>
        </w:rPr>
        <w:br w:type="page"/>
      </w:r>
    </w:p>
    <w:p w14:paraId="24609354">
      <w:pPr>
        <w:snapToGrid w:val="0"/>
        <w:spacing w:line="360" w:lineRule="auto"/>
        <w:jc w:val="center"/>
        <w:rPr>
          <w:rFonts w:ascii="宋体" w:hAnsi="宋体" w:cs="宋体"/>
        </w:rPr>
      </w:pPr>
      <w:r>
        <w:rPr>
          <w:rFonts w:hint="eastAsia" w:ascii="宋体" w:hAnsi="宋体" w:cs="宋体"/>
          <w:sz w:val="44"/>
          <w:szCs w:val="44"/>
        </w:rPr>
        <w:t>供应商编制响应文件要求</w:t>
      </w:r>
    </w:p>
    <w:p w14:paraId="1B18423C">
      <w:pPr>
        <w:pStyle w:val="4"/>
        <w:spacing w:before="0" w:after="0" w:line="360" w:lineRule="auto"/>
        <w:ind w:firstLine="643" w:firstLineChars="200"/>
        <w:rPr>
          <w:rFonts w:ascii="宋体" w:hAnsi="宋体" w:cs="宋体"/>
          <w:szCs w:val="32"/>
        </w:rPr>
      </w:pPr>
      <w:r>
        <w:rPr>
          <w:rFonts w:hint="eastAsia" w:ascii="宋体" w:hAnsi="宋体" w:cs="宋体"/>
          <w:szCs w:val="32"/>
        </w:rPr>
        <w:t>一、报价</w:t>
      </w:r>
    </w:p>
    <w:p w14:paraId="47988E68">
      <w:pPr>
        <w:snapToGrid w:val="0"/>
        <w:ind w:firstLine="420"/>
        <w:rPr>
          <w:rFonts w:ascii="宋体" w:hAnsi="宋体" w:cs="宋体"/>
          <w:sz w:val="24"/>
          <w:szCs w:val="24"/>
        </w:rPr>
      </w:pPr>
      <w:r>
        <w:rPr>
          <w:rFonts w:hint="eastAsia" w:ascii="宋体" w:hAnsi="宋体" w:cs="宋体"/>
          <w:sz w:val="32"/>
          <w:szCs w:val="32"/>
        </w:rPr>
        <w:t>（一）报价函</w:t>
      </w:r>
    </w:p>
    <w:p w14:paraId="60CA6CCB">
      <w:pPr>
        <w:pStyle w:val="4"/>
        <w:spacing w:before="0" w:after="0" w:line="240" w:lineRule="auto"/>
        <w:jc w:val="center"/>
        <w:rPr>
          <w:rFonts w:ascii="宋体" w:hAnsi="宋体" w:cs="宋体"/>
          <w:szCs w:val="32"/>
        </w:rPr>
      </w:pPr>
      <w:r>
        <w:rPr>
          <w:rFonts w:hint="eastAsia" w:ascii="宋体" w:hAnsi="宋体" w:cs="宋体"/>
          <w:szCs w:val="32"/>
        </w:rPr>
        <w:t>报 价 函</w:t>
      </w:r>
    </w:p>
    <w:p w14:paraId="7E9E1CF2">
      <w:pPr>
        <w:rPr>
          <w:rFonts w:ascii="宋体" w:hAnsi="宋体" w:cs="宋体"/>
        </w:rPr>
      </w:pPr>
    </w:p>
    <w:p w14:paraId="45FA204B">
      <w:pPr>
        <w:rPr>
          <w:rFonts w:ascii="宋体" w:hAnsi="宋体" w:cs="宋体"/>
        </w:rPr>
      </w:pPr>
    </w:p>
    <w:p w14:paraId="040DC6B9">
      <w:pPr>
        <w:spacing w:line="360" w:lineRule="auto"/>
        <w:rPr>
          <w:rStyle w:val="64"/>
          <w:rFonts w:ascii="宋体" w:hAnsi="宋体" w:cs="宋体"/>
          <w:color w:val="auto"/>
          <w:sz w:val="32"/>
          <w:szCs w:val="32"/>
        </w:rPr>
      </w:pPr>
      <w:r>
        <w:rPr>
          <w:rFonts w:hint="eastAsia" w:ascii="宋体" w:hAnsi="宋体" w:cs="宋体"/>
          <w:sz w:val="32"/>
          <w:szCs w:val="32"/>
          <w:u w:val="single"/>
        </w:rPr>
        <w:t xml:space="preserve">                     </w:t>
      </w:r>
      <w:r>
        <w:rPr>
          <w:rStyle w:val="64"/>
          <w:rFonts w:hint="eastAsia" w:ascii="宋体" w:hAnsi="宋体" w:cs="宋体"/>
          <w:color w:val="auto"/>
          <w:sz w:val="32"/>
          <w:szCs w:val="32"/>
        </w:rPr>
        <w:t>（采购单位名称）：</w:t>
      </w:r>
    </w:p>
    <w:p w14:paraId="26F5F4A1">
      <w:pPr>
        <w:spacing w:line="360" w:lineRule="auto"/>
        <w:ind w:firstLine="640" w:firstLineChars="200"/>
        <w:rPr>
          <w:rStyle w:val="64"/>
          <w:rFonts w:ascii="宋体" w:hAnsi="宋体" w:cs="宋体"/>
          <w:color w:val="auto"/>
          <w:sz w:val="32"/>
          <w:szCs w:val="32"/>
        </w:rPr>
      </w:pPr>
      <w:r>
        <w:rPr>
          <w:rStyle w:val="64"/>
          <w:rFonts w:hint="eastAsia" w:ascii="宋体" w:hAnsi="宋体" w:cs="宋体"/>
          <w:color w:val="auto"/>
          <w:sz w:val="32"/>
          <w:szCs w:val="32"/>
        </w:rPr>
        <w:t>我方收到</w:t>
      </w:r>
      <w:r>
        <w:rPr>
          <w:rStyle w:val="64"/>
          <w:rFonts w:hint="eastAsia" w:ascii="宋体" w:hAnsi="宋体" w:cs="宋体"/>
          <w:color w:val="auto"/>
          <w:sz w:val="32"/>
          <w:szCs w:val="32"/>
          <w:u w:val="single"/>
        </w:rPr>
        <w:t xml:space="preserve">                         </w:t>
      </w:r>
      <w:r>
        <w:rPr>
          <w:rStyle w:val="64"/>
          <w:rFonts w:hint="eastAsia" w:ascii="宋体" w:hAnsi="宋体" w:cs="宋体"/>
          <w:color w:val="auto"/>
          <w:sz w:val="32"/>
          <w:szCs w:val="32"/>
        </w:rPr>
        <w:t>（项目名称）的竞采文件，经详细研究，决定参加该项目。</w:t>
      </w:r>
    </w:p>
    <w:p w14:paraId="3F265DF9">
      <w:pPr>
        <w:spacing w:line="360" w:lineRule="auto"/>
        <w:ind w:firstLine="640" w:firstLineChars="200"/>
        <w:rPr>
          <w:rStyle w:val="64"/>
          <w:rFonts w:ascii="宋体" w:hAnsi="宋体" w:cs="宋体"/>
          <w:color w:val="auto"/>
          <w:sz w:val="32"/>
          <w:szCs w:val="32"/>
        </w:rPr>
      </w:pPr>
      <w:r>
        <w:rPr>
          <w:rStyle w:val="64"/>
          <w:rFonts w:hint="eastAsia" w:ascii="宋体" w:hAnsi="宋体" w:cs="宋体"/>
          <w:color w:val="auto"/>
          <w:sz w:val="32"/>
          <w:szCs w:val="32"/>
        </w:rPr>
        <w:t>1</w:t>
      </w:r>
      <w:r>
        <w:rPr>
          <w:rStyle w:val="64"/>
          <w:rFonts w:hint="eastAsia" w:ascii="宋体" w:hAnsi="宋体" w:cs="宋体"/>
          <w:color w:val="auto"/>
          <w:sz w:val="32"/>
          <w:szCs w:val="32"/>
          <w:lang w:eastAsia="zh-Hans"/>
        </w:rPr>
        <w:t>.</w:t>
      </w:r>
      <w:r>
        <w:rPr>
          <w:rStyle w:val="64"/>
          <w:rFonts w:hint="eastAsia" w:ascii="宋体" w:hAnsi="宋体" w:cs="宋体"/>
          <w:color w:val="auto"/>
          <w:sz w:val="32"/>
          <w:szCs w:val="32"/>
        </w:rPr>
        <w:t>愿意按照竞采文件中的一切要求，提供本项目的商品、及服务，报价为人民币大写：</w:t>
      </w:r>
      <w:r>
        <w:rPr>
          <w:rStyle w:val="64"/>
          <w:rFonts w:hint="eastAsia" w:ascii="宋体" w:hAnsi="宋体" w:cs="宋体"/>
          <w:color w:val="auto"/>
          <w:sz w:val="32"/>
          <w:szCs w:val="32"/>
          <w:u w:val="single"/>
        </w:rPr>
        <w:t xml:space="preserve">          </w:t>
      </w:r>
      <w:r>
        <w:rPr>
          <w:rStyle w:val="64"/>
          <w:rFonts w:hint="eastAsia" w:ascii="宋体" w:hAnsi="宋体" w:cs="宋体"/>
          <w:color w:val="auto"/>
          <w:sz w:val="32"/>
          <w:szCs w:val="32"/>
        </w:rPr>
        <w:t>元整；人民币小写</w:t>
      </w:r>
      <w:r>
        <w:rPr>
          <w:rStyle w:val="64"/>
          <w:rFonts w:hint="eastAsia" w:ascii="宋体" w:hAnsi="宋体" w:cs="宋体"/>
          <w:color w:val="auto"/>
          <w:sz w:val="32"/>
          <w:szCs w:val="32"/>
          <w:u w:val="single"/>
        </w:rPr>
        <w:t xml:space="preserve">          </w:t>
      </w:r>
      <w:r>
        <w:rPr>
          <w:rStyle w:val="64"/>
          <w:rFonts w:hint="eastAsia" w:ascii="宋体" w:hAnsi="宋体" w:cs="宋体"/>
          <w:color w:val="auto"/>
          <w:sz w:val="32"/>
          <w:szCs w:val="32"/>
        </w:rPr>
        <w:t>元。</w:t>
      </w:r>
    </w:p>
    <w:p w14:paraId="1EFB7517">
      <w:pPr>
        <w:spacing w:line="360" w:lineRule="auto"/>
        <w:ind w:firstLine="640" w:firstLineChars="200"/>
        <w:rPr>
          <w:rStyle w:val="64"/>
          <w:rFonts w:ascii="宋体" w:hAnsi="宋体" w:cs="宋体"/>
          <w:color w:val="auto"/>
          <w:sz w:val="32"/>
          <w:szCs w:val="32"/>
        </w:rPr>
      </w:pPr>
      <w:r>
        <w:rPr>
          <w:rStyle w:val="64"/>
          <w:rFonts w:hint="eastAsia" w:ascii="宋体" w:hAnsi="宋体" w:cs="宋体"/>
          <w:color w:val="auto"/>
          <w:sz w:val="32"/>
          <w:szCs w:val="32"/>
        </w:rPr>
        <w:t>2.我方现提交的响应文件为：响应文件正本壹份。</w:t>
      </w:r>
    </w:p>
    <w:p w14:paraId="6CB7CF4C">
      <w:pPr>
        <w:spacing w:line="360" w:lineRule="auto"/>
        <w:ind w:firstLine="640" w:firstLineChars="200"/>
        <w:rPr>
          <w:rStyle w:val="64"/>
          <w:rFonts w:ascii="宋体" w:hAnsi="宋体" w:cs="宋体"/>
          <w:color w:val="auto"/>
          <w:sz w:val="32"/>
          <w:szCs w:val="32"/>
        </w:rPr>
      </w:pPr>
      <w:r>
        <w:rPr>
          <w:rStyle w:val="64"/>
          <w:rFonts w:hint="eastAsia" w:ascii="宋体" w:hAnsi="宋体" w:cs="宋体"/>
          <w:color w:val="auto"/>
          <w:sz w:val="32"/>
          <w:szCs w:val="32"/>
        </w:rPr>
        <w:t>3.我方承诺：本次报价的有效期为90天。</w:t>
      </w:r>
    </w:p>
    <w:p w14:paraId="78EDFACF">
      <w:pPr>
        <w:spacing w:line="360" w:lineRule="auto"/>
        <w:ind w:firstLine="640" w:firstLineChars="200"/>
        <w:rPr>
          <w:rStyle w:val="64"/>
          <w:rFonts w:ascii="宋体" w:hAnsi="宋体" w:cs="宋体"/>
          <w:color w:val="auto"/>
          <w:sz w:val="32"/>
          <w:szCs w:val="32"/>
        </w:rPr>
      </w:pPr>
      <w:r>
        <w:rPr>
          <w:rStyle w:val="64"/>
          <w:rFonts w:hint="eastAsia" w:ascii="宋体" w:hAnsi="宋体" w:cs="宋体"/>
          <w:color w:val="auto"/>
          <w:sz w:val="32"/>
          <w:szCs w:val="32"/>
        </w:rPr>
        <w:t>4.我方完全理解和接受竞采文件的一切规定、要求和评审办法。</w:t>
      </w:r>
    </w:p>
    <w:p w14:paraId="2E61A36B">
      <w:pPr>
        <w:spacing w:line="360" w:lineRule="auto"/>
        <w:ind w:firstLine="640" w:firstLineChars="200"/>
        <w:rPr>
          <w:rStyle w:val="64"/>
          <w:rFonts w:ascii="宋体" w:hAnsi="宋体" w:cs="宋体"/>
          <w:color w:val="auto"/>
          <w:sz w:val="32"/>
          <w:szCs w:val="32"/>
        </w:rPr>
      </w:pPr>
      <w:r>
        <w:rPr>
          <w:rStyle w:val="64"/>
          <w:rFonts w:hint="eastAsia" w:ascii="宋体" w:hAnsi="宋体" w:cs="宋体"/>
          <w:color w:val="auto"/>
          <w:sz w:val="32"/>
          <w:szCs w:val="32"/>
        </w:rPr>
        <w:t>5.在整个采购过程中，我方若有违规行为，愿意接受重庆市政府采购云平台相关管理方的</w:t>
      </w:r>
      <w:r>
        <w:rPr>
          <w:rStyle w:val="64"/>
          <w:rFonts w:hint="eastAsia" w:ascii="宋体" w:hAnsi="宋体" w:cs="宋体"/>
          <w:color w:val="auto"/>
          <w:sz w:val="32"/>
          <w:szCs w:val="32"/>
          <w:lang w:eastAsia="zh-Hans"/>
        </w:rPr>
        <w:t>处</w:t>
      </w:r>
      <w:r>
        <w:rPr>
          <w:rStyle w:val="64"/>
          <w:rFonts w:hint="eastAsia" w:ascii="宋体" w:hAnsi="宋体" w:cs="宋体"/>
          <w:color w:val="auto"/>
          <w:sz w:val="32"/>
          <w:szCs w:val="32"/>
        </w:rPr>
        <w:t>罚。</w:t>
      </w:r>
    </w:p>
    <w:p w14:paraId="1F0C199B">
      <w:pPr>
        <w:spacing w:line="360" w:lineRule="auto"/>
        <w:ind w:firstLine="640" w:firstLineChars="200"/>
        <w:rPr>
          <w:rStyle w:val="64"/>
          <w:rFonts w:ascii="宋体" w:hAnsi="宋体" w:cs="宋体"/>
          <w:color w:val="auto"/>
          <w:sz w:val="32"/>
          <w:szCs w:val="32"/>
        </w:rPr>
      </w:pPr>
      <w:r>
        <w:rPr>
          <w:rStyle w:val="64"/>
          <w:rFonts w:hint="eastAsia" w:ascii="宋体" w:hAnsi="宋体" w:cs="宋体"/>
          <w:color w:val="auto"/>
          <w:sz w:val="32"/>
          <w:szCs w:val="32"/>
        </w:rPr>
        <w:t>6.我方若中选，将按照竞采结果签订合同，并且严格履行合同义务。本承诺函将成为合同不可分割的一部分，与合同具有同等的法律效力。</w:t>
      </w:r>
    </w:p>
    <w:p w14:paraId="2E2F120B">
      <w:pPr>
        <w:spacing w:line="360" w:lineRule="auto"/>
        <w:ind w:firstLine="640" w:firstLineChars="200"/>
        <w:rPr>
          <w:rStyle w:val="64"/>
          <w:rFonts w:ascii="宋体" w:hAnsi="宋体" w:cs="宋体"/>
          <w:color w:val="auto"/>
          <w:sz w:val="32"/>
          <w:szCs w:val="32"/>
        </w:rPr>
      </w:pPr>
      <w:r>
        <w:rPr>
          <w:rStyle w:val="64"/>
          <w:rFonts w:hint="eastAsia" w:ascii="宋体" w:hAnsi="宋体" w:cs="宋体"/>
          <w:color w:val="auto"/>
          <w:sz w:val="32"/>
          <w:szCs w:val="32"/>
        </w:rPr>
        <w:t>7.我方理解，最低报价不是成交的唯一条件。</w:t>
      </w:r>
    </w:p>
    <w:p w14:paraId="7B9B3424">
      <w:pPr>
        <w:pStyle w:val="67"/>
        <w:spacing w:line="360" w:lineRule="auto"/>
        <w:rPr>
          <w:rFonts w:hAnsi="宋体" w:cs="宋体"/>
          <w:color w:val="auto"/>
        </w:rPr>
      </w:pPr>
    </w:p>
    <w:p w14:paraId="4B97C65D">
      <w:pPr>
        <w:ind w:firstLine="640" w:firstLineChars="200"/>
        <w:jc w:val="right"/>
        <w:rPr>
          <w:rStyle w:val="64"/>
          <w:rFonts w:ascii="宋体" w:hAnsi="宋体" w:cs="宋体"/>
          <w:color w:val="auto"/>
          <w:sz w:val="32"/>
          <w:szCs w:val="32"/>
        </w:rPr>
      </w:pPr>
      <w:r>
        <w:rPr>
          <w:rStyle w:val="64"/>
          <w:rFonts w:hint="eastAsia" w:ascii="宋体" w:hAnsi="宋体" w:cs="宋体"/>
          <w:color w:val="auto"/>
          <w:sz w:val="32"/>
          <w:szCs w:val="32"/>
        </w:rPr>
        <w:t>供应商名称（公章）：</w:t>
      </w:r>
    </w:p>
    <w:p w14:paraId="717C72A6">
      <w:pPr>
        <w:ind w:firstLine="640" w:firstLineChars="200"/>
        <w:jc w:val="center"/>
        <w:rPr>
          <w:rFonts w:ascii="宋体" w:hAnsi="宋体" w:cs="宋体"/>
          <w:sz w:val="24"/>
          <w:szCs w:val="24"/>
        </w:rPr>
        <w:sectPr>
          <w:footerReference r:id="rId3" w:type="default"/>
          <w:pgSz w:w="11907" w:h="16840"/>
          <w:pgMar w:top="1134" w:right="1191" w:bottom="1134" w:left="1304" w:header="851" w:footer="992" w:gutter="0"/>
          <w:pgNumType w:start="1"/>
          <w:cols w:space="720" w:num="1"/>
          <w:docGrid w:linePitch="380" w:charSpace="-5735"/>
        </w:sectPr>
      </w:pPr>
      <w:r>
        <w:rPr>
          <w:rStyle w:val="64"/>
          <w:rFonts w:hint="eastAsia" w:ascii="宋体" w:hAnsi="宋体" w:cs="宋体"/>
          <w:color w:val="auto"/>
          <w:sz w:val="32"/>
          <w:szCs w:val="32"/>
        </w:rPr>
        <w:t xml:space="preserve">                                  年  月  日</w:t>
      </w:r>
      <w:r>
        <w:rPr>
          <w:rFonts w:hint="eastAsia" w:ascii="宋体" w:hAnsi="宋体" w:cs="宋体"/>
          <w:sz w:val="24"/>
          <w:szCs w:val="24"/>
        </w:rPr>
        <w:t xml:space="preserve">                                        </w:t>
      </w:r>
    </w:p>
    <w:p w14:paraId="259D3D55">
      <w:pPr>
        <w:snapToGrid w:val="0"/>
        <w:spacing w:line="360" w:lineRule="auto"/>
        <w:ind w:firstLine="420"/>
        <w:rPr>
          <w:rFonts w:ascii="宋体" w:hAnsi="宋体" w:cs="宋体"/>
          <w:sz w:val="24"/>
          <w:szCs w:val="24"/>
        </w:rPr>
      </w:pPr>
      <w:r>
        <w:rPr>
          <w:rFonts w:hint="eastAsia" w:ascii="宋体" w:hAnsi="宋体" w:cs="宋体"/>
          <w:sz w:val="32"/>
          <w:szCs w:val="32"/>
        </w:rPr>
        <w:t xml:space="preserve">（二）明细报价表   </w:t>
      </w:r>
      <w:r>
        <w:rPr>
          <w:rFonts w:hint="eastAsia" w:ascii="宋体" w:hAnsi="宋体" w:cs="宋体"/>
          <w:sz w:val="24"/>
          <w:szCs w:val="24"/>
        </w:rPr>
        <w:t xml:space="preserve">     </w:t>
      </w:r>
    </w:p>
    <w:p w14:paraId="78A514CF">
      <w:pPr>
        <w:pStyle w:val="4"/>
        <w:spacing w:before="0" w:after="0" w:line="360" w:lineRule="auto"/>
        <w:jc w:val="center"/>
        <w:rPr>
          <w:rFonts w:ascii="宋体" w:hAnsi="宋体" w:cs="宋体"/>
          <w:sz w:val="24"/>
          <w:szCs w:val="24"/>
        </w:rPr>
      </w:pPr>
      <w:r>
        <w:rPr>
          <w:rFonts w:hint="eastAsia" w:ascii="宋体" w:hAnsi="宋体" w:cs="宋体"/>
          <w:sz w:val="24"/>
          <w:szCs w:val="24"/>
        </w:rPr>
        <w:t xml:space="preserve">    </w:t>
      </w:r>
    </w:p>
    <w:p w14:paraId="4F3A5A39">
      <w:pPr>
        <w:pStyle w:val="4"/>
        <w:spacing w:before="0" w:after="0" w:line="360" w:lineRule="auto"/>
        <w:jc w:val="center"/>
        <w:rPr>
          <w:rFonts w:ascii="宋体" w:hAnsi="宋体" w:cs="宋体"/>
          <w:szCs w:val="32"/>
        </w:rPr>
      </w:pPr>
      <w:r>
        <w:rPr>
          <w:rFonts w:hint="eastAsia" w:ascii="宋体" w:hAnsi="宋体" w:cs="宋体"/>
          <w:szCs w:val="32"/>
        </w:rPr>
        <w:t>明细报价表</w:t>
      </w:r>
      <w:r>
        <w:rPr>
          <w:rFonts w:hint="eastAsia" w:ascii="宋体" w:hAnsi="宋体" w:cs="宋体"/>
          <w:i/>
          <w:iCs/>
          <w:szCs w:val="32"/>
          <w:u w:val="single"/>
        </w:rPr>
        <w:t xml:space="preserve">（请采购人自行修改本表） </w:t>
      </w:r>
    </w:p>
    <w:p w14:paraId="2FF584B2">
      <w:pPr>
        <w:pStyle w:val="4"/>
        <w:spacing w:before="0" w:after="0" w:line="360" w:lineRule="auto"/>
        <w:jc w:val="left"/>
        <w:rPr>
          <w:rFonts w:ascii="宋体" w:hAnsi="宋体" w:cs="宋体"/>
          <w:sz w:val="24"/>
          <w:szCs w:val="24"/>
        </w:rPr>
      </w:pPr>
      <w:r>
        <w:rPr>
          <w:rFonts w:hint="eastAsia" w:ascii="宋体" w:hAnsi="宋体" w:cs="宋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6E4C109A">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55CA80A2">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52F7297F">
            <w:pPr>
              <w:widowControl/>
              <w:jc w:val="center"/>
              <w:rPr>
                <w:rFonts w:ascii="宋体" w:hAnsi="宋体" w:cs="宋体"/>
                <w:b/>
                <w:bCs/>
                <w:kern w:val="0"/>
                <w:sz w:val="28"/>
                <w:szCs w:val="28"/>
              </w:rPr>
            </w:pPr>
            <w:r>
              <w:rPr>
                <w:rFonts w:hint="eastAsia" w:ascii="宋体" w:hAnsi="宋体"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74EFE255">
            <w:pPr>
              <w:widowControl/>
              <w:jc w:val="center"/>
              <w:rPr>
                <w:rFonts w:ascii="宋体" w:hAnsi="宋体" w:cs="宋体"/>
                <w:b/>
                <w:bCs/>
                <w:kern w:val="0"/>
                <w:sz w:val="28"/>
                <w:szCs w:val="28"/>
              </w:rPr>
            </w:pPr>
            <w:r>
              <w:rPr>
                <w:rFonts w:hint="eastAsia" w:ascii="宋体" w:hAnsi="宋体"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395D09A2">
            <w:pPr>
              <w:widowControl/>
              <w:jc w:val="center"/>
              <w:rPr>
                <w:rFonts w:ascii="宋体" w:hAnsi="宋体" w:cs="宋体"/>
                <w:b/>
                <w:bCs/>
                <w:kern w:val="0"/>
                <w:sz w:val="28"/>
                <w:szCs w:val="28"/>
              </w:rPr>
            </w:pPr>
            <w:r>
              <w:rPr>
                <w:rFonts w:hint="eastAsia" w:ascii="宋体" w:hAnsi="宋体"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7F6D0E50">
            <w:pPr>
              <w:widowControl/>
              <w:jc w:val="center"/>
              <w:rPr>
                <w:rFonts w:ascii="宋体" w:hAnsi="宋体" w:cs="宋体"/>
                <w:b/>
                <w:bCs/>
                <w:kern w:val="0"/>
                <w:sz w:val="28"/>
                <w:szCs w:val="28"/>
              </w:rPr>
            </w:pPr>
            <w:r>
              <w:rPr>
                <w:rFonts w:hint="eastAsia" w:ascii="宋体" w:hAnsi="宋体"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0532B9D5">
            <w:pPr>
              <w:widowControl/>
              <w:jc w:val="center"/>
              <w:rPr>
                <w:rFonts w:ascii="宋体" w:hAnsi="宋体" w:cs="宋体"/>
                <w:b/>
                <w:bCs/>
                <w:kern w:val="0"/>
                <w:sz w:val="28"/>
                <w:szCs w:val="28"/>
              </w:rPr>
            </w:pPr>
            <w:r>
              <w:rPr>
                <w:rFonts w:hint="eastAsia" w:ascii="宋体" w:hAnsi="宋体"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2FD39F81">
            <w:pPr>
              <w:widowControl/>
              <w:jc w:val="center"/>
              <w:rPr>
                <w:rFonts w:ascii="宋体" w:hAnsi="宋体" w:cs="宋体"/>
                <w:b/>
                <w:bCs/>
                <w:kern w:val="0"/>
                <w:sz w:val="28"/>
                <w:szCs w:val="28"/>
              </w:rPr>
            </w:pPr>
            <w:r>
              <w:rPr>
                <w:rFonts w:hint="eastAsia" w:ascii="宋体" w:hAnsi="宋体"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590E80E8">
            <w:pPr>
              <w:pStyle w:val="32"/>
              <w:widowControl/>
              <w:jc w:val="center"/>
              <w:rPr>
                <w:rFonts w:ascii="宋体" w:hAnsi="宋体" w:cs="宋体"/>
                <w:b/>
                <w:bCs/>
                <w:kern w:val="0"/>
                <w:sz w:val="28"/>
                <w:szCs w:val="28"/>
              </w:rPr>
            </w:pPr>
            <w:r>
              <w:rPr>
                <w:rFonts w:hint="eastAsia" w:ascii="宋体" w:hAnsi="宋体" w:cs="宋体"/>
                <w:b/>
                <w:bCs/>
                <w:kern w:val="0"/>
                <w:sz w:val="28"/>
                <w:szCs w:val="28"/>
              </w:rPr>
              <w:t>单价</w:t>
            </w:r>
          </w:p>
          <w:p w14:paraId="7FE4DA53">
            <w:pPr>
              <w:pStyle w:val="32"/>
              <w:widowControl/>
              <w:jc w:val="center"/>
              <w:rPr>
                <w:rFonts w:ascii="宋体" w:hAnsi="宋体" w:cs="宋体"/>
                <w:b/>
                <w:bCs/>
                <w:kern w:val="0"/>
                <w:sz w:val="28"/>
                <w:szCs w:val="28"/>
              </w:rPr>
            </w:pPr>
            <w:r>
              <w:rPr>
                <w:rFonts w:hint="eastAsia" w:ascii="宋体" w:hAnsi="宋体"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5ACEE100">
            <w:pPr>
              <w:widowControl/>
              <w:jc w:val="center"/>
              <w:rPr>
                <w:rFonts w:ascii="宋体" w:hAnsi="宋体" w:cs="宋体"/>
                <w:b/>
                <w:bCs/>
                <w:kern w:val="0"/>
                <w:sz w:val="28"/>
                <w:szCs w:val="28"/>
              </w:rPr>
            </w:pPr>
            <w:r>
              <w:rPr>
                <w:rFonts w:hint="eastAsia" w:ascii="宋体" w:hAnsi="宋体" w:cs="宋体"/>
                <w:b/>
                <w:bCs/>
                <w:kern w:val="0"/>
                <w:sz w:val="28"/>
                <w:szCs w:val="28"/>
              </w:rPr>
              <w:t>合计</w:t>
            </w:r>
          </w:p>
          <w:p w14:paraId="42BD687C">
            <w:pPr>
              <w:widowControl/>
              <w:jc w:val="center"/>
              <w:rPr>
                <w:rFonts w:ascii="宋体" w:hAnsi="宋体" w:cs="宋体"/>
                <w:b/>
                <w:bCs/>
                <w:kern w:val="0"/>
                <w:sz w:val="28"/>
                <w:szCs w:val="28"/>
              </w:rPr>
            </w:pPr>
            <w:r>
              <w:rPr>
                <w:rFonts w:hint="eastAsia" w:ascii="宋体" w:hAnsi="宋体" w:cs="宋体"/>
                <w:b/>
                <w:bCs/>
                <w:kern w:val="0"/>
                <w:sz w:val="28"/>
                <w:szCs w:val="28"/>
              </w:rPr>
              <w:t>（元）</w:t>
            </w:r>
          </w:p>
        </w:tc>
      </w:tr>
      <w:tr w14:paraId="3336BCB6">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0504B7E3">
            <w:pPr>
              <w:widowControl/>
              <w:spacing w:line="360" w:lineRule="auto"/>
              <w:jc w:val="center"/>
              <w:textAlignment w:val="center"/>
              <w:rPr>
                <w:rFonts w:ascii="宋体" w:hAnsi="宋体" w:cs="宋体"/>
                <w:kern w:val="0"/>
                <w:sz w:val="24"/>
                <w:szCs w:val="24"/>
              </w:rPr>
            </w:pPr>
          </w:p>
        </w:tc>
        <w:tc>
          <w:tcPr>
            <w:tcW w:w="2410" w:type="dxa"/>
            <w:tcBorders>
              <w:top w:val="nil"/>
              <w:left w:val="nil"/>
              <w:bottom w:val="single" w:color="auto" w:sz="4" w:space="0"/>
              <w:right w:val="single" w:color="auto" w:sz="4" w:space="0"/>
            </w:tcBorders>
            <w:vAlign w:val="center"/>
          </w:tcPr>
          <w:p w14:paraId="53932913">
            <w:pPr>
              <w:widowControl/>
              <w:spacing w:line="360" w:lineRule="auto"/>
              <w:jc w:val="center"/>
              <w:textAlignment w:val="center"/>
              <w:rPr>
                <w:rFonts w:ascii="宋体" w:hAnsi="宋体" w:cs="宋体"/>
                <w:kern w:val="0"/>
                <w:sz w:val="24"/>
                <w:szCs w:val="24"/>
              </w:rPr>
            </w:pPr>
          </w:p>
        </w:tc>
        <w:tc>
          <w:tcPr>
            <w:tcW w:w="850" w:type="dxa"/>
            <w:tcBorders>
              <w:top w:val="nil"/>
              <w:left w:val="nil"/>
              <w:bottom w:val="single" w:color="auto" w:sz="4" w:space="0"/>
              <w:right w:val="single" w:color="auto" w:sz="4" w:space="0"/>
            </w:tcBorders>
            <w:vAlign w:val="center"/>
          </w:tcPr>
          <w:p w14:paraId="26C21AA3">
            <w:pPr>
              <w:widowControl/>
              <w:spacing w:line="360" w:lineRule="auto"/>
              <w:jc w:val="center"/>
              <w:textAlignment w:val="center"/>
              <w:rPr>
                <w:rFonts w:ascii="宋体" w:hAnsi="宋体" w:cs="宋体"/>
                <w:kern w:val="0"/>
                <w:sz w:val="24"/>
                <w:szCs w:val="24"/>
              </w:rPr>
            </w:pPr>
          </w:p>
        </w:tc>
        <w:tc>
          <w:tcPr>
            <w:tcW w:w="709" w:type="dxa"/>
            <w:tcBorders>
              <w:top w:val="nil"/>
              <w:left w:val="nil"/>
              <w:bottom w:val="single" w:color="auto" w:sz="4" w:space="0"/>
              <w:right w:val="single" w:color="auto" w:sz="4" w:space="0"/>
            </w:tcBorders>
            <w:vAlign w:val="center"/>
          </w:tcPr>
          <w:p w14:paraId="7CE5E54B">
            <w:pPr>
              <w:widowControl/>
              <w:spacing w:line="360" w:lineRule="auto"/>
              <w:jc w:val="center"/>
              <w:textAlignment w:val="center"/>
              <w:rPr>
                <w:rFonts w:ascii="宋体" w:hAnsi="宋体" w:cs="宋体"/>
                <w:kern w:val="0"/>
                <w:sz w:val="24"/>
                <w:szCs w:val="24"/>
              </w:rPr>
            </w:pPr>
          </w:p>
        </w:tc>
        <w:tc>
          <w:tcPr>
            <w:tcW w:w="851" w:type="dxa"/>
            <w:tcBorders>
              <w:top w:val="nil"/>
              <w:left w:val="nil"/>
              <w:bottom w:val="single" w:color="auto" w:sz="4" w:space="0"/>
              <w:right w:val="single" w:color="auto" w:sz="4" w:space="0"/>
            </w:tcBorders>
            <w:vAlign w:val="center"/>
          </w:tcPr>
          <w:p w14:paraId="59C8FF7F">
            <w:pPr>
              <w:keepNext/>
              <w:snapToGrid w:val="0"/>
              <w:spacing w:line="360" w:lineRule="auto"/>
              <w:jc w:val="center"/>
              <w:outlineLvl w:val="0"/>
              <w:rPr>
                <w:rFonts w:ascii="宋体" w:hAnsi="宋体" w:cs="宋体"/>
                <w:sz w:val="24"/>
                <w:szCs w:val="24"/>
              </w:rPr>
            </w:pPr>
          </w:p>
        </w:tc>
        <w:tc>
          <w:tcPr>
            <w:tcW w:w="850" w:type="dxa"/>
            <w:tcBorders>
              <w:top w:val="nil"/>
              <w:left w:val="nil"/>
              <w:bottom w:val="single" w:color="auto" w:sz="4" w:space="0"/>
              <w:right w:val="single" w:color="auto" w:sz="4" w:space="0"/>
            </w:tcBorders>
            <w:vAlign w:val="center"/>
          </w:tcPr>
          <w:p w14:paraId="7FEF1088">
            <w:pPr>
              <w:keepNext/>
              <w:snapToGrid w:val="0"/>
              <w:spacing w:line="360" w:lineRule="auto"/>
              <w:jc w:val="center"/>
              <w:outlineLvl w:val="0"/>
              <w:rPr>
                <w:rFonts w:ascii="宋体" w:hAnsi="宋体" w:cs="宋体"/>
                <w:sz w:val="24"/>
                <w:szCs w:val="24"/>
              </w:rPr>
            </w:pPr>
          </w:p>
        </w:tc>
        <w:tc>
          <w:tcPr>
            <w:tcW w:w="851" w:type="dxa"/>
            <w:tcBorders>
              <w:top w:val="nil"/>
              <w:left w:val="nil"/>
              <w:bottom w:val="single" w:color="auto" w:sz="4" w:space="0"/>
              <w:right w:val="single" w:color="auto" w:sz="4" w:space="0"/>
            </w:tcBorders>
            <w:vAlign w:val="center"/>
          </w:tcPr>
          <w:p w14:paraId="496CEF65">
            <w:pPr>
              <w:keepNext/>
              <w:snapToGrid w:val="0"/>
              <w:spacing w:line="360" w:lineRule="auto"/>
              <w:jc w:val="center"/>
              <w:outlineLvl w:val="0"/>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30E4D435">
            <w:pPr>
              <w:keepNext/>
              <w:snapToGrid w:val="0"/>
              <w:spacing w:line="360" w:lineRule="auto"/>
              <w:jc w:val="center"/>
              <w:outlineLvl w:val="0"/>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06E8539F">
            <w:pPr>
              <w:keepNext/>
              <w:snapToGrid w:val="0"/>
              <w:spacing w:line="360" w:lineRule="auto"/>
              <w:jc w:val="center"/>
              <w:outlineLvl w:val="0"/>
              <w:rPr>
                <w:rFonts w:ascii="宋体" w:hAnsi="宋体" w:cs="宋体"/>
                <w:sz w:val="24"/>
                <w:szCs w:val="24"/>
              </w:rPr>
            </w:pPr>
          </w:p>
        </w:tc>
      </w:tr>
      <w:tr w14:paraId="0C124D90">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CAA3AC5">
            <w:pPr>
              <w:widowControl/>
              <w:spacing w:line="360" w:lineRule="auto"/>
              <w:jc w:val="center"/>
              <w:textAlignment w:val="center"/>
              <w:rPr>
                <w:rFonts w:ascii="宋体" w:hAnsi="宋体" w:cs="宋体"/>
                <w:kern w:val="0"/>
                <w:sz w:val="24"/>
                <w:szCs w:val="24"/>
              </w:rPr>
            </w:pPr>
          </w:p>
        </w:tc>
        <w:tc>
          <w:tcPr>
            <w:tcW w:w="2410" w:type="dxa"/>
            <w:tcBorders>
              <w:top w:val="nil"/>
              <w:left w:val="nil"/>
              <w:bottom w:val="single" w:color="auto" w:sz="4" w:space="0"/>
              <w:right w:val="single" w:color="auto" w:sz="4" w:space="0"/>
            </w:tcBorders>
            <w:vAlign w:val="center"/>
          </w:tcPr>
          <w:p w14:paraId="3E424749">
            <w:pPr>
              <w:widowControl/>
              <w:spacing w:line="360" w:lineRule="auto"/>
              <w:jc w:val="center"/>
              <w:textAlignment w:val="center"/>
              <w:rPr>
                <w:rFonts w:ascii="宋体" w:hAnsi="宋体" w:cs="宋体"/>
                <w:kern w:val="0"/>
                <w:sz w:val="24"/>
                <w:szCs w:val="24"/>
              </w:rPr>
            </w:pPr>
          </w:p>
        </w:tc>
        <w:tc>
          <w:tcPr>
            <w:tcW w:w="850" w:type="dxa"/>
            <w:tcBorders>
              <w:top w:val="nil"/>
              <w:left w:val="nil"/>
              <w:bottom w:val="single" w:color="auto" w:sz="4" w:space="0"/>
              <w:right w:val="single" w:color="auto" w:sz="4" w:space="0"/>
            </w:tcBorders>
            <w:vAlign w:val="center"/>
          </w:tcPr>
          <w:p w14:paraId="2C8D6C16">
            <w:pPr>
              <w:widowControl/>
              <w:spacing w:line="360" w:lineRule="auto"/>
              <w:jc w:val="center"/>
              <w:textAlignment w:val="center"/>
              <w:rPr>
                <w:rFonts w:ascii="宋体" w:hAnsi="宋体" w:cs="宋体"/>
                <w:kern w:val="0"/>
                <w:sz w:val="24"/>
                <w:szCs w:val="24"/>
              </w:rPr>
            </w:pPr>
          </w:p>
        </w:tc>
        <w:tc>
          <w:tcPr>
            <w:tcW w:w="709" w:type="dxa"/>
            <w:tcBorders>
              <w:top w:val="nil"/>
              <w:left w:val="nil"/>
              <w:bottom w:val="single" w:color="auto" w:sz="4" w:space="0"/>
              <w:right w:val="single" w:color="auto" w:sz="4" w:space="0"/>
            </w:tcBorders>
            <w:vAlign w:val="center"/>
          </w:tcPr>
          <w:p w14:paraId="70F0A7CD">
            <w:pPr>
              <w:widowControl/>
              <w:spacing w:line="360" w:lineRule="auto"/>
              <w:jc w:val="center"/>
              <w:textAlignment w:val="center"/>
              <w:rPr>
                <w:rFonts w:ascii="宋体" w:hAnsi="宋体" w:cs="宋体"/>
                <w:kern w:val="0"/>
                <w:sz w:val="24"/>
                <w:szCs w:val="24"/>
              </w:rPr>
            </w:pPr>
          </w:p>
        </w:tc>
        <w:tc>
          <w:tcPr>
            <w:tcW w:w="851" w:type="dxa"/>
            <w:tcBorders>
              <w:top w:val="nil"/>
              <w:left w:val="nil"/>
              <w:bottom w:val="single" w:color="auto" w:sz="4" w:space="0"/>
              <w:right w:val="single" w:color="auto" w:sz="4" w:space="0"/>
            </w:tcBorders>
            <w:vAlign w:val="center"/>
          </w:tcPr>
          <w:p w14:paraId="41F6C606">
            <w:pPr>
              <w:keepNext/>
              <w:snapToGrid w:val="0"/>
              <w:spacing w:line="360" w:lineRule="auto"/>
              <w:jc w:val="center"/>
              <w:outlineLvl w:val="0"/>
              <w:rPr>
                <w:rFonts w:ascii="宋体" w:hAnsi="宋体" w:cs="宋体"/>
                <w:sz w:val="24"/>
                <w:szCs w:val="24"/>
              </w:rPr>
            </w:pPr>
          </w:p>
        </w:tc>
        <w:tc>
          <w:tcPr>
            <w:tcW w:w="850" w:type="dxa"/>
            <w:tcBorders>
              <w:top w:val="nil"/>
              <w:left w:val="nil"/>
              <w:bottom w:val="single" w:color="auto" w:sz="4" w:space="0"/>
              <w:right w:val="single" w:color="auto" w:sz="4" w:space="0"/>
            </w:tcBorders>
            <w:vAlign w:val="center"/>
          </w:tcPr>
          <w:p w14:paraId="33C936A9">
            <w:pPr>
              <w:keepNext/>
              <w:snapToGrid w:val="0"/>
              <w:spacing w:line="360" w:lineRule="auto"/>
              <w:jc w:val="center"/>
              <w:outlineLvl w:val="0"/>
              <w:rPr>
                <w:rFonts w:ascii="宋体" w:hAnsi="宋体" w:cs="宋体"/>
                <w:sz w:val="24"/>
                <w:szCs w:val="24"/>
              </w:rPr>
            </w:pPr>
          </w:p>
        </w:tc>
        <w:tc>
          <w:tcPr>
            <w:tcW w:w="851" w:type="dxa"/>
            <w:tcBorders>
              <w:top w:val="nil"/>
              <w:left w:val="nil"/>
              <w:bottom w:val="single" w:color="auto" w:sz="4" w:space="0"/>
              <w:right w:val="single" w:color="auto" w:sz="4" w:space="0"/>
            </w:tcBorders>
            <w:vAlign w:val="center"/>
          </w:tcPr>
          <w:p w14:paraId="2E2C9498">
            <w:pPr>
              <w:keepNext/>
              <w:snapToGrid w:val="0"/>
              <w:spacing w:line="360" w:lineRule="auto"/>
              <w:jc w:val="center"/>
              <w:outlineLvl w:val="0"/>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77863D57">
            <w:pPr>
              <w:keepNext/>
              <w:snapToGrid w:val="0"/>
              <w:spacing w:line="360" w:lineRule="auto"/>
              <w:jc w:val="center"/>
              <w:outlineLvl w:val="0"/>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3677CF0E">
            <w:pPr>
              <w:keepNext/>
              <w:snapToGrid w:val="0"/>
              <w:spacing w:line="360" w:lineRule="auto"/>
              <w:jc w:val="center"/>
              <w:outlineLvl w:val="0"/>
              <w:rPr>
                <w:rFonts w:ascii="宋体" w:hAnsi="宋体" w:cs="宋体"/>
                <w:sz w:val="24"/>
                <w:szCs w:val="24"/>
              </w:rPr>
            </w:pPr>
          </w:p>
        </w:tc>
      </w:tr>
      <w:tr w14:paraId="343E8D0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5DDCB52">
            <w:pPr>
              <w:widowControl/>
              <w:spacing w:line="360" w:lineRule="auto"/>
              <w:jc w:val="center"/>
              <w:textAlignment w:val="center"/>
              <w:rPr>
                <w:rFonts w:ascii="宋体" w:hAnsi="宋体" w:cs="宋体"/>
                <w:kern w:val="0"/>
                <w:sz w:val="24"/>
                <w:szCs w:val="24"/>
              </w:rPr>
            </w:pPr>
          </w:p>
        </w:tc>
        <w:tc>
          <w:tcPr>
            <w:tcW w:w="2410" w:type="dxa"/>
            <w:tcBorders>
              <w:top w:val="nil"/>
              <w:left w:val="nil"/>
              <w:bottom w:val="single" w:color="auto" w:sz="4" w:space="0"/>
              <w:right w:val="single" w:color="auto" w:sz="4" w:space="0"/>
            </w:tcBorders>
            <w:vAlign w:val="center"/>
          </w:tcPr>
          <w:p w14:paraId="115BC833">
            <w:pPr>
              <w:widowControl/>
              <w:spacing w:line="360" w:lineRule="auto"/>
              <w:jc w:val="center"/>
              <w:textAlignment w:val="center"/>
              <w:rPr>
                <w:rFonts w:ascii="宋体" w:hAnsi="宋体" w:cs="宋体"/>
                <w:kern w:val="0"/>
                <w:sz w:val="24"/>
                <w:szCs w:val="24"/>
              </w:rPr>
            </w:pPr>
          </w:p>
        </w:tc>
        <w:tc>
          <w:tcPr>
            <w:tcW w:w="850" w:type="dxa"/>
            <w:tcBorders>
              <w:top w:val="nil"/>
              <w:left w:val="nil"/>
              <w:bottom w:val="single" w:color="auto" w:sz="4" w:space="0"/>
              <w:right w:val="single" w:color="auto" w:sz="4" w:space="0"/>
            </w:tcBorders>
            <w:vAlign w:val="center"/>
          </w:tcPr>
          <w:p w14:paraId="349520AC">
            <w:pPr>
              <w:widowControl/>
              <w:spacing w:line="360" w:lineRule="auto"/>
              <w:jc w:val="center"/>
              <w:textAlignment w:val="center"/>
              <w:rPr>
                <w:rFonts w:ascii="宋体" w:hAnsi="宋体" w:cs="宋体"/>
                <w:kern w:val="0"/>
                <w:sz w:val="24"/>
                <w:szCs w:val="24"/>
              </w:rPr>
            </w:pPr>
          </w:p>
        </w:tc>
        <w:tc>
          <w:tcPr>
            <w:tcW w:w="709" w:type="dxa"/>
            <w:tcBorders>
              <w:top w:val="nil"/>
              <w:left w:val="nil"/>
              <w:bottom w:val="single" w:color="auto" w:sz="4" w:space="0"/>
              <w:right w:val="single" w:color="auto" w:sz="4" w:space="0"/>
            </w:tcBorders>
            <w:vAlign w:val="center"/>
          </w:tcPr>
          <w:p w14:paraId="7F6AD291">
            <w:pPr>
              <w:widowControl/>
              <w:spacing w:line="360" w:lineRule="auto"/>
              <w:jc w:val="center"/>
              <w:textAlignment w:val="center"/>
              <w:rPr>
                <w:rFonts w:ascii="宋体" w:hAnsi="宋体" w:cs="宋体"/>
                <w:kern w:val="0"/>
                <w:sz w:val="24"/>
                <w:szCs w:val="24"/>
              </w:rPr>
            </w:pPr>
          </w:p>
        </w:tc>
        <w:tc>
          <w:tcPr>
            <w:tcW w:w="851" w:type="dxa"/>
            <w:tcBorders>
              <w:top w:val="nil"/>
              <w:left w:val="nil"/>
              <w:bottom w:val="single" w:color="auto" w:sz="4" w:space="0"/>
              <w:right w:val="single" w:color="auto" w:sz="4" w:space="0"/>
            </w:tcBorders>
            <w:vAlign w:val="center"/>
          </w:tcPr>
          <w:p w14:paraId="10FDE47A">
            <w:pPr>
              <w:keepNext/>
              <w:snapToGrid w:val="0"/>
              <w:spacing w:line="360" w:lineRule="auto"/>
              <w:jc w:val="center"/>
              <w:outlineLvl w:val="0"/>
              <w:rPr>
                <w:rFonts w:ascii="宋体" w:hAnsi="宋体" w:cs="宋体"/>
                <w:sz w:val="24"/>
                <w:szCs w:val="24"/>
              </w:rPr>
            </w:pPr>
          </w:p>
        </w:tc>
        <w:tc>
          <w:tcPr>
            <w:tcW w:w="850" w:type="dxa"/>
            <w:tcBorders>
              <w:top w:val="nil"/>
              <w:left w:val="nil"/>
              <w:bottom w:val="single" w:color="auto" w:sz="4" w:space="0"/>
              <w:right w:val="single" w:color="auto" w:sz="4" w:space="0"/>
            </w:tcBorders>
            <w:vAlign w:val="center"/>
          </w:tcPr>
          <w:p w14:paraId="329A0581">
            <w:pPr>
              <w:keepNext/>
              <w:snapToGrid w:val="0"/>
              <w:spacing w:line="360" w:lineRule="auto"/>
              <w:jc w:val="center"/>
              <w:outlineLvl w:val="0"/>
              <w:rPr>
                <w:rFonts w:ascii="宋体" w:hAnsi="宋体" w:cs="宋体"/>
                <w:sz w:val="24"/>
                <w:szCs w:val="24"/>
              </w:rPr>
            </w:pPr>
          </w:p>
        </w:tc>
        <w:tc>
          <w:tcPr>
            <w:tcW w:w="851" w:type="dxa"/>
            <w:tcBorders>
              <w:top w:val="nil"/>
              <w:left w:val="nil"/>
              <w:bottom w:val="single" w:color="auto" w:sz="4" w:space="0"/>
              <w:right w:val="single" w:color="auto" w:sz="4" w:space="0"/>
            </w:tcBorders>
            <w:vAlign w:val="center"/>
          </w:tcPr>
          <w:p w14:paraId="12402D9F">
            <w:pPr>
              <w:keepNext/>
              <w:snapToGrid w:val="0"/>
              <w:spacing w:line="360" w:lineRule="auto"/>
              <w:jc w:val="center"/>
              <w:outlineLvl w:val="0"/>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6921304C">
            <w:pPr>
              <w:keepNext/>
              <w:snapToGrid w:val="0"/>
              <w:spacing w:line="360" w:lineRule="auto"/>
              <w:jc w:val="center"/>
              <w:outlineLvl w:val="0"/>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198C6CC7">
            <w:pPr>
              <w:keepNext/>
              <w:snapToGrid w:val="0"/>
              <w:spacing w:line="360" w:lineRule="auto"/>
              <w:jc w:val="center"/>
              <w:outlineLvl w:val="0"/>
              <w:rPr>
                <w:rFonts w:ascii="宋体" w:hAnsi="宋体" w:cs="宋体"/>
                <w:sz w:val="24"/>
                <w:szCs w:val="24"/>
              </w:rPr>
            </w:pPr>
          </w:p>
        </w:tc>
      </w:tr>
      <w:tr w14:paraId="411A9222">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C7015A3">
            <w:pPr>
              <w:widowControl/>
              <w:spacing w:line="360" w:lineRule="auto"/>
              <w:jc w:val="center"/>
              <w:textAlignment w:val="center"/>
              <w:rPr>
                <w:rFonts w:ascii="宋体" w:hAnsi="宋体" w:cs="宋体"/>
                <w:kern w:val="0"/>
                <w:sz w:val="24"/>
                <w:szCs w:val="24"/>
              </w:rPr>
            </w:pPr>
          </w:p>
        </w:tc>
        <w:tc>
          <w:tcPr>
            <w:tcW w:w="2410" w:type="dxa"/>
            <w:tcBorders>
              <w:top w:val="nil"/>
              <w:left w:val="nil"/>
              <w:bottom w:val="single" w:color="auto" w:sz="4" w:space="0"/>
              <w:right w:val="single" w:color="auto" w:sz="4" w:space="0"/>
            </w:tcBorders>
            <w:vAlign w:val="center"/>
          </w:tcPr>
          <w:p w14:paraId="3791E800">
            <w:pPr>
              <w:widowControl/>
              <w:spacing w:line="360" w:lineRule="auto"/>
              <w:jc w:val="center"/>
              <w:textAlignment w:val="center"/>
              <w:rPr>
                <w:rFonts w:ascii="宋体" w:hAnsi="宋体" w:cs="宋体"/>
                <w:kern w:val="0"/>
                <w:sz w:val="24"/>
                <w:szCs w:val="24"/>
              </w:rPr>
            </w:pPr>
          </w:p>
        </w:tc>
        <w:tc>
          <w:tcPr>
            <w:tcW w:w="850" w:type="dxa"/>
            <w:tcBorders>
              <w:top w:val="nil"/>
              <w:left w:val="nil"/>
              <w:bottom w:val="single" w:color="auto" w:sz="4" w:space="0"/>
              <w:right w:val="single" w:color="auto" w:sz="4" w:space="0"/>
            </w:tcBorders>
            <w:vAlign w:val="center"/>
          </w:tcPr>
          <w:p w14:paraId="0CFFCC17">
            <w:pPr>
              <w:widowControl/>
              <w:spacing w:line="360" w:lineRule="auto"/>
              <w:jc w:val="center"/>
              <w:textAlignment w:val="center"/>
              <w:rPr>
                <w:rFonts w:ascii="宋体" w:hAnsi="宋体" w:cs="宋体"/>
                <w:kern w:val="0"/>
                <w:sz w:val="24"/>
                <w:szCs w:val="24"/>
              </w:rPr>
            </w:pPr>
          </w:p>
        </w:tc>
        <w:tc>
          <w:tcPr>
            <w:tcW w:w="709" w:type="dxa"/>
            <w:tcBorders>
              <w:top w:val="nil"/>
              <w:left w:val="nil"/>
              <w:bottom w:val="single" w:color="auto" w:sz="4" w:space="0"/>
              <w:right w:val="single" w:color="auto" w:sz="4" w:space="0"/>
            </w:tcBorders>
            <w:vAlign w:val="center"/>
          </w:tcPr>
          <w:p w14:paraId="38C799BF">
            <w:pPr>
              <w:widowControl/>
              <w:spacing w:line="360" w:lineRule="auto"/>
              <w:jc w:val="center"/>
              <w:textAlignment w:val="center"/>
              <w:rPr>
                <w:rFonts w:ascii="宋体" w:hAnsi="宋体" w:cs="宋体"/>
                <w:kern w:val="0"/>
                <w:sz w:val="24"/>
                <w:szCs w:val="24"/>
              </w:rPr>
            </w:pPr>
          </w:p>
        </w:tc>
        <w:tc>
          <w:tcPr>
            <w:tcW w:w="851" w:type="dxa"/>
            <w:tcBorders>
              <w:top w:val="nil"/>
              <w:left w:val="nil"/>
              <w:bottom w:val="single" w:color="auto" w:sz="4" w:space="0"/>
              <w:right w:val="single" w:color="auto" w:sz="4" w:space="0"/>
            </w:tcBorders>
            <w:vAlign w:val="center"/>
          </w:tcPr>
          <w:p w14:paraId="162ED1E6">
            <w:pPr>
              <w:keepNext/>
              <w:snapToGrid w:val="0"/>
              <w:spacing w:line="360" w:lineRule="auto"/>
              <w:jc w:val="center"/>
              <w:outlineLvl w:val="0"/>
              <w:rPr>
                <w:rFonts w:ascii="宋体" w:hAnsi="宋体" w:cs="宋体"/>
                <w:sz w:val="24"/>
                <w:szCs w:val="24"/>
              </w:rPr>
            </w:pPr>
          </w:p>
        </w:tc>
        <w:tc>
          <w:tcPr>
            <w:tcW w:w="850" w:type="dxa"/>
            <w:tcBorders>
              <w:top w:val="nil"/>
              <w:left w:val="nil"/>
              <w:bottom w:val="single" w:color="auto" w:sz="4" w:space="0"/>
              <w:right w:val="single" w:color="auto" w:sz="4" w:space="0"/>
            </w:tcBorders>
            <w:vAlign w:val="center"/>
          </w:tcPr>
          <w:p w14:paraId="150F3FEE">
            <w:pPr>
              <w:keepNext/>
              <w:snapToGrid w:val="0"/>
              <w:spacing w:line="360" w:lineRule="auto"/>
              <w:jc w:val="center"/>
              <w:outlineLvl w:val="0"/>
              <w:rPr>
                <w:rFonts w:ascii="宋体" w:hAnsi="宋体" w:cs="宋体"/>
                <w:sz w:val="24"/>
                <w:szCs w:val="24"/>
              </w:rPr>
            </w:pPr>
          </w:p>
        </w:tc>
        <w:tc>
          <w:tcPr>
            <w:tcW w:w="851" w:type="dxa"/>
            <w:tcBorders>
              <w:top w:val="nil"/>
              <w:left w:val="nil"/>
              <w:bottom w:val="single" w:color="auto" w:sz="4" w:space="0"/>
              <w:right w:val="single" w:color="auto" w:sz="4" w:space="0"/>
            </w:tcBorders>
            <w:vAlign w:val="center"/>
          </w:tcPr>
          <w:p w14:paraId="5EBA2CA0">
            <w:pPr>
              <w:keepNext/>
              <w:snapToGrid w:val="0"/>
              <w:spacing w:line="360" w:lineRule="auto"/>
              <w:jc w:val="center"/>
              <w:outlineLvl w:val="0"/>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757C880B">
            <w:pPr>
              <w:keepNext/>
              <w:snapToGrid w:val="0"/>
              <w:spacing w:line="360" w:lineRule="auto"/>
              <w:jc w:val="center"/>
              <w:outlineLvl w:val="0"/>
              <w:rPr>
                <w:rFonts w:ascii="宋体" w:hAnsi="宋体" w:cs="宋体"/>
                <w:sz w:val="24"/>
                <w:szCs w:val="24"/>
              </w:rPr>
            </w:pPr>
          </w:p>
        </w:tc>
        <w:tc>
          <w:tcPr>
            <w:tcW w:w="992" w:type="dxa"/>
            <w:tcBorders>
              <w:top w:val="nil"/>
              <w:left w:val="nil"/>
              <w:bottom w:val="single" w:color="auto" w:sz="4" w:space="0"/>
              <w:right w:val="single" w:color="auto" w:sz="4" w:space="0"/>
            </w:tcBorders>
            <w:vAlign w:val="center"/>
          </w:tcPr>
          <w:p w14:paraId="27D85C15">
            <w:pPr>
              <w:keepNext/>
              <w:snapToGrid w:val="0"/>
              <w:spacing w:line="360" w:lineRule="auto"/>
              <w:jc w:val="center"/>
              <w:outlineLvl w:val="0"/>
              <w:rPr>
                <w:rFonts w:ascii="宋体" w:hAnsi="宋体" w:cs="宋体"/>
                <w:sz w:val="24"/>
                <w:szCs w:val="24"/>
              </w:rPr>
            </w:pPr>
          </w:p>
        </w:tc>
      </w:tr>
      <w:tr w14:paraId="3C668AE4">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7738AB2B">
            <w:pPr>
              <w:keepNext/>
              <w:widowControl/>
              <w:snapToGrid w:val="0"/>
              <w:spacing w:line="360" w:lineRule="auto"/>
              <w:jc w:val="center"/>
              <w:outlineLvl w:val="0"/>
              <w:rPr>
                <w:rFonts w:ascii="宋体" w:hAnsi="宋体" w:cs="宋体"/>
                <w:kern w:val="0"/>
                <w:sz w:val="24"/>
                <w:szCs w:val="24"/>
              </w:rPr>
            </w:pPr>
            <w:r>
              <w:rPr>
                <w:rFonts w:hint="eastAsia" w:ascii="宋体" w:hAnsi="宋体" w:cs="宋体"/>
                <w:kern w:val="0"/>
                <w:sz w:val="24"/>
                <w:szCs w:val="24"/>
              </w:rPr>
              <w:t>合计（元）</w:t>
            </w:r>
          </w:p>
        </w:tc>
        <w:tc>
          <w:tcPr>
            <w:tcW w:w="992" w:type="dxa"/>
            <w:tcBorders>
              <w:top w:val="single" w:color="auto" w:sz="4" w:space="0"/>
              <w:left w:val="nil"/>
              <w:bottom w:val="single" w:color="auto" w:sz="4" w:space="0"/>
              <w:right w:val="single" w:color="auto" w:sz="4" w:space="0"/>
            </w:tcBorders>
          </w:tcPr>
          <w:p w14:paraId="3A44825B">
            <w:pPr>
              <w:keepNext/>
              <w:widowControl/>
              <w:snapToGrid w:val="0"/>
              <w:spacing w:line="360" w:lineRule="auto"/>
              <w:jc w:val="center"/>
              <w:outlineLvl w:val="0"/>
              <w:rPr>
                <w:rFonts w:ascii="宋体" w:hAnsi="宋体" w:cs="宋体"/>
                <w:kern w:val="0"/>
                <w:sz w:val="24"/>
                <w:szCs w:val="24"/>
              </w:rPr>
            </w:pPr>
          </w:p>
        </w:tc>
      </w:tr>
    </w:tbl>
    <w:p w14:paraId="183E37A0">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13CC3EBB">
      <w:pPr>
        <w:snapToGrid w:val="0"/>
        <w:spacing w:line="360" w:lineRule="auto"/>
        <w:ind w:firstLine="640" w:firstLineChars="200"/>
        <w:rPr>
          <w:rFonts w:ascii="宋体" w:hAnsi="宋体" w:cs="宋体"/>
          <w:sz w:val="32"/>
          <w:szCs w:val="32"/>
        </w:rPr>
      </w:pPr>
      <w:r>
        <w:rPr>
          <w:rFonts w:hint="eastAsia" w:ascii="宋体" w:hAnsi="宋体" w:cs="宋体"/>
          <w:sz w:val="32"/>
          <w:szCs w:val="32"/>
        </w:rPr>
        <w:t>填写要求：</w:t>
      </w:r>
    </w:p>
    <w:p w14:paraId="097D0C3C">
      <w:pPr>
        <w:snapToGrid w:val="0"/>
        <w:spacing w:line="360" w:lineRule="auto"/>
        <w:ind w:firstLine="640" w:firstLineChars="200"/>
        <w:rPr>
          <w:rFonts w:ascii="宋体" w:hAnsi="宋体" w:cs="宋体"/>
          <w:sz w:val="32"/>
          <w:szCs w:val="32"/>
        </w:rPr>
      </w:pPr>
      <w:r>
        <w:rPr>
          <w:rFonts w:hint="eastAsia" w:ascii="宋体" w:hAnsi="宋体" w:cs="宋体"/>
          <w:sz w:val="32"/>
          <w:szCs w:val="32"/>
        </w:rPr>
        <w:t>1.供应商应完整填写本表，并逐页盖章。</w:t>
      </w:r>
    </w:p>
    <w:p w14:paraId="3ABD4E48">
      <w:pPr>
        <w:snapToGrid w:val="0"/>
        <w:spacing w:line="360" w:lineRule="auto"/>
        <w:ind w:firstLine="640" w:firstLineChars="200"/>
        <w:rPr>
          <w:rFonts w:ascii="宋体" w:hAnsi="宋体" w:cs="宋体"/>
          <w:sz w:val="32"/>
          <w:szCs w:val="32"/>
        </w:rPr>
      </w:pPr>
      <w:r>
        <w:rPr>
          <w:rFonts w:hint="eastAsia" w:ascii="宋体" w:hAnsi="宋体" w:cs="宋体"/>
          <w:sz w:val="32"/>
          <w:szCs w:val="32"/>
        </w:rPr>
        <w:t>2.该表内容不可扩展、不可变更。</w:t>
      </w:r>
    </w:p>
    <w:p w14:paraId="074FE3ED">
      <w:pPr>
        <w:snapToGrid w:val="0"/>
        <w:spacing w:line="360" w:lineRule="auto"/>
        <w:rPr>
          <w:rFonts w:ascii="宋体" w:hAnsi="宋体" w:cs="宋体"/>
          <w:sz w:val="32"/>
          <w:szCs w:val="32"/>
        </w:rPr>
      </w:pPr>
      <w:r>
        <w:rPr>
          <w:rFonts w:hint="eastAsia" w:ascii="宋体" w:hAnsi="宋体" w:cs="宋体"/>
          <w:sz w:val="32"/>
          <w:szCs w:val="32"/>
        </w:rPr>
        <w:t xml:space="preserve"> </w:t>
      </w:r>
    </w:p>
    <w:p w14:paraId="2ADFEA7C">
      <w:pPr>
        <w:pStyle w:val="252"/>
        <w:spacing w:line="360" w:lineRule="auto"/>
        <w:ind w:left="1600" w:hanging="480"/>
        <w:rPr>
          <w:rFonts w:ascii="宋体" w:hAnsi="宋体" w:cs="宋体"/>
          <w:sz w:val="32"/>
          <w:szCs w:val="32"/>
        </w:rPr>
      </w:pPr>
      <w:r>
        <w:rPr>
          <w:rFonts w:hint="eastAsia" w:ascii="宋体" w:hAnsi="宋体" w:cs="宋体"/>
          <w:sz w:val="32"/>
          <w:szCs w:val="32"/>
        </w:rPr>
        <w:t xml:space="preserve"> </w:t>
      </w:r>
    </w:p>
    <w:p w14:paraId="2323395D">
      <w:pPr>
        <w:spacing w:line="360" w:lineRule="auto"/>
        <w:jc w:val="right"/>
        <w:rPr>
          <w:rFonts w:ascii="宋体" w:hAnsi="宋体" w:cs="宋体"/>
          <w:sz w:val="32"/>
          <w:szCs w:val="32"/>
        </w:rPr>
      </w:pPr>
      <w:r>
        <w:rPr>
          <w:rFonts w:hint="eastAsia" w:ascii="宋体" w:hAnsi="宋体" w:cs="宋体"/>
          <w:sz w:val="32"/>
          <w:szCs w:val="32"/>
        </w:rPr>
        <w:t>供应商名称（公章）：</w:t>
      </w:r>
    </w:p>
    <w:p w14:paraId="2F3839BD">
      <w:pPr>
        <w:spacing w:line="360" w:lineRule="auto"/>
        <w:jc w:val="center"/>
        <w:rPr>
          <w:rFonts w:ascii="宋体" w:hAnsi="宋体" w:cs="宋体"/>
          <w:sz w:val="32"/>
          <w:szCs w:val="32"/>
        </w:rPr>
      </w:pPr>
      <w:r>
        <w:rPr>
          <w:rFonts w:hint="eastAsia" w:ascii="宋体" w:hAnsi="宋体" w:cs="宋体"/>
          <w:sz w:val="32"/>
          <w:szCs w:val="32"/>
        </w:rPr>
        <w:t xml:space="preserve">                                   年  月  日</w:t>
      </w:r>
    </w:p>
    <w:p w14:paraId="444FA3F8">
      <w:pPr>
        <w:pStyle w:val="4"/>
        <w:spacing w:line="360" w:lineRule="auto"/>
        <w:rPr>
          <w:rFonts w:ascii="宋体" w:hAnsi="宋体" w:cs="宋体"/>
        </w:rPr>
      </w:pPr>
      <w:r>
        <w:rPr>
          <w:rFonts w:hint="eastAsia" w:ascii="宋体" w:hAnsi="宋体" w:cs="宋体"/>
        </w:rPr>
        <w:br w:type="page"/>
      </w:r>
    </w:p>
    <w:p w14:paraId="7C7189E0">
      <w:pPr>
        <w:tabs>
          <w:tab w:val="left" w:pos="6300"/>
        </w:tabs>
        <w:snapToGrid w:val="0"/>
        <w:spacing w:line="360" w:lineRule="auto"/>
        <w:ind w:firstLine="643" w:firstLineChars="200"/>
        <w:jc w:val="left"/>
        <w:rPr>
          <w:rFonts w:ascii="宋体" w:hAnsi="宋体" w:cs="宋体"/>
          <w:b/>
          <w:bCs/>
          <w:sz w:val="24"/>
          <w:szCs w:val="24"/>
        </w:rPr>
      </w:pPr>
      <w:r>
        <w:rPr>
          <w:rFonts w:hint="eastAsia" w:ascii="宋体" w:hAnsi="宋体" w:cs="宋体"/>
          <w:b/>
          <w:sz w:val="32"/>
          <w:szCs w:val="32"/>
        </w:rPr>
        <w:t>二、法定代表人身份证明书（格式）/法定代表人授权委托书（格式）</w:t>
      </w:r>
      <w:r>
        <w:rPr>
          <w:rFonts w:hint="eastAsia" w:ascii="宋体" w:hAnsi="宋体" w:cs="宋体"/>
          <w:b/>
          <w:bCs/>
          <w:sz w:val="32"/>
          <w:szCs w:val="32"/>
        </w:rPr>
        <w:t>（二选一）</w:t>
      </w:r>
    </w:p>
    <w:p w14:paraId="14557F0C">
      <w:pPr>
        <w:tabs>
          <w:tab w:val="left" w:pos="6300"/>
        </w:tabs>
        <w:snapToGrid w:val="0"/>
        <w:spacing w:line="360" w:lineRule="auto"/>
        <w:jc w:val="center"/>
        <w:rPr>
          <w:rFonts w:ascii="宋体" w:hAnsi="宋体" w:cs="宋体"/>
          <w:b/>
          <w:bCs/>
          <w:sz w:val="24"/>
          <w:szCs w:val="24"/>
        </w:rPr>
      </w:pPr>
    </w:p>
    <w:p w14:paraId="5CA7D892">
      <w:pPr>
        <w:tabs>
          <w:tab w:val="left" w:pos="6300"/>
        </w:tabs>
        <w:snapToGrid w:val="0"/>
        <w:spacing w:line="360" w:lineRule="auto"/>
        <w:jc w:val="center"/>
        <w:rPr>
          <w:rFonts w:ascii="宋体" w:hAnsi="宋体" w:cs="宋体"/>
          <w:b/>
          <w:bCs/>
          <w:sz w:val="32"/>
          <w:szCs w:val="32"/>
        </w:rPr>
      </w:pPr>
      <w:r>
        <w:rPr>
          <w:rFonts w:hint="eastAsia" w:ascii="宋体" w:hAnsi="宋体" w:cs="宋体"/>
          <w:b/>
          <w:bCs/>
          <w:sz w:val="32"/>
          <w:szCs w:val="32"/>
        </w:rPr>
        <w:t>法定代表人身份证明书</w:t>
      </w:r>
    </w:p>
    <w:p w14:paraId="0F4AF4D6">
      <w:pPr>
        <w:tabs>
          <w:tab w:val="left" w:pos="6300"/>
        </w:tabs>
        <w:snapToGrid w:val="0"/>
        <w:spacing w:line="360" w:lineRule="auto"/>
        <w:rPr>
          <w:rFonts w:ascii="宋体" w:hAnsi="宋体" w:cs="宋体"/>
          <w:sz w:val="32"/>
          <w:szCs w:val="32"/>
          <w:u w:val="single"/>
        </w:rPr>
      </w:pPr>
    </w:p>
    <w:p w14:paraId="34E0E3C8">
      <w:pPr>
        <w:tabs>
          <w:tab w:val="left" w:pos="6300"/>
        </w:tabs>
        <w:snapToGrid w:val="0"/>
        <w:spacing w:line="360" w:lineRule="auto"/>
        <w:rPr>
          <w:rFonts w:ascii="宋体" w:hAnsi="宋体" w:cs="宋体"/>
          <w:sz w:val="32"/>
          <w:szCs w:val="32"/>
        </w:rPr>
      </w:pPr>
      <w:r>
        <w:rPr>
          <w:rFonts w:hint="eastAsia" w:ascii="宋体" w:hAnsi="宋体" w:cs="宋体"/>
          <w:sz w:val="32"/>
          <w:szCs w:val="32"/>
          <w:lang w:eastAsia="zh-Hans"/>
        </w:rPr>
        <w:t>致</w:t>
      </w:r>
      <w:r>
        <w:rPr>
          <w:rFonts w:hint="eastAsia" w:ascii="宋体" w:hAnsi="宋体" w:cs="宋体"/>
          <w:sz w:val="32"/>
          <w:szCs w:val="32"/>
          <w:u w:val="single"/>
        </w:rPr>
        <w:t xml:space="preserve">                     </w:t>
      </w:r>
      <w:r>
        <w:rPr>
          <w:rFonts w:hint="eastAsia" w:ascii="宋体" w:hAnsi="宋体" w:cs="宋体"/>
          <w:sz w:val="32"/>
          <w:szCs w:val="32"/>
        </w:rPr>
        <w:t>（采购单位名称）：</w:t>
      </w:r>
    </w:p>
    <w:p w14:paraId="32072569">
      <w:pPr>
        <w:tabs>
          <w:tab w:val="left" w:pos="6300"/>
        </w:tabs>
        <w:snapToGrid w:val="0"/>
        <w:spacing w:line="360" w:lineRule="auto"/>
        <w:ind w:firstLine="640" w:firstLineChars="200"/>
        <w:jc w:val="left"/>
        <w:rPr>
          <w:rFonts w:ascii="宋体" w:hAnsi="宋体" w:cs="宋体"/>
          <w:sz w:val="32"/>
          <w:szCs w:val="32"/>
        </w:rPr>
      </w:pPr>
      <w:r>
        <w:rPr>
          <w:rFonts w:hint="eastAsia" w:ascii="宋体" w:hAnsi="宋体" w:cs="宋体"/>
          <w:sz w:val="32"/>
          <w:szCs w:val="32"/>
          <w:u w:val="single"/>
        </w:rPr>
        <w:t xml:space="preserve">                   </w:t>
      </w:r>
      <w:r>
        <w:rPr>
          <w:rFonts w:hint="eastAsia" w:ascii="宋体" w:hAnsi="宋体" w:cs="宋体"/>
          <w:sz w:val="32"/>
          <w:szCs w:val="32"/>
        </w:rPr>
        <w:t>（法定代表人名称及身份证代码）是</w:t>
      </w:r>
      <w:r>
        <w:rPr>
          <w:rFonts w:hint="eastAsia" w:ascii="宋体" w:hAnsi="宋体" w:cs="宋体"/>
          <w:sz w:val="32"/>
          <w:szCs w:val="32"/>
          <w:u w:val="single"/>
        </w:rPr>
        <w:t>（供应商名称）</w:t>
      </w:r>
      <w:r>
        <w:rPr>
          <w:rFonts w:hint="eastAsia" w:ascii="宋体" w:hAnsi="宋体" w:cs="宋体"/>
          <w:sz w:val="32"/>
          <w:szCs w:val="32"/>
        </w:rPr>
        <w:t>的法定代表人，电话</w:t>
      </w:r>
      <w:r>
        <w:rPr>
          <w:rFonts w:hint="eastAsia" w:ascii="宋体" w:hAnsi="宋体" w:cs="宋体"/>
          <w:sz w:val="32"/>
          <w:szCs w:val="32"/>
          <w:u w:val="single"/>
        </w:rPr>
        <w:t xml:space="preserve">          </w:t>
      </w:r>
      <w:r>
        <w:rPr>
          <w:rFonts w:hint="eastAsia" w:ascii="宋体" w:hAnsi="宋体" w:cs="宋体"/>
          <w:sz w:val="32"/>
          <w:szCs w:val="32"/>
        </w:rPr>
        <w:t>，代表我单位全权办理上述项目的竞采报价、签约等具体工作，并签署全部有关文件、协议及合同。签字负全部责任。</w:t>
      </w:r>
    </w:p>
    <w:p w14:paraId="5F51AFE2">
      <w:pPr>
        <w:tabs>
          <w:tab w:val="left" w:pos="6300"/>
        </w:tabs>
        <w:snapToGrid w:val="0"/>
        <w:spacing w:line="360" w:lineRule="auto"/>
        <w:ind w:firstLine="570"/>
        <w:rPr>
          <w:rFonts w:ascii="宋体" w:hAnsi="宋体" w:cs="宋体"/>
          <w:sz w:val="32"/>
          <w:szCs w:val="32"/>
        </w:rPr>
      </w:pPr>
    </w:p>
    <w:p w14:paraId="1995B00E">
      <w:pPr>
        <w:tabs>
          <w:tab w:val="left" w:pos="6300"/>
        </w:tabs>
        <w:snapToGrid w:val="0"/>
        <w:spacing w:line="360" w:lineRule="auto"/>
        <w:ind w:firstLine="570"/>
        <w:jc w:val="center"/>
        <w:rPr>
          <w:rFonts w:ascii="宋体" w:hAnsi="宋体" w:cs="宋体"/>
          <w:sz w:val="32"/>
          <w:szCs w:val="32"/>
        </w:rPr>
      </w:pPr>
      <w:r>
        <w:rPr>
          <w:rFonts w:hint="eastAsia" w:ascii="宋体" w:hAnsi="宋体" w:cs="宋体"/>
          <w:sz w:val="32"/>
          <w:szCs w:val="32"/>
        </w:rPr>
        <w:t xml:space="preserve">                      法定代表人（签字或盖章）：                          </w:t>
      </w:r>
    </w:p>
    <w:p w14:paraId="41EE0890">
      <w:pPr>
        <w:tabs>
          <w:tab w:val="left" w:pos="6300"/>
        </w:tabs>
        <w:snapToGrid w:val="0"/>
        <w:spacing w:line="360" w:lineRule="auto"/>
        <w:ind w:firstLine="570"/>
        <w:jc w:val="center"/>
        <w:rPr>
          <w:rFonts w:ascii="宋体" w:hAnsi="宋体" w:cs="宋体"/>
          <w:sz w:val="32"/>
          <w:szCs w:val="32"/>
        </w:rPr>
      </w:pPr>
      <w:r>
        <w:rPr>
          <w:rFonts w:hint="eastAsia" w:ascii="宋体" w:hAnsi="宋体" w:cs="宋体"/>
          <w:sz w:val="32"/>
          <w:szCs w:val="32"/>
        </w:rPr>
        <w:t xml:space="preserve">                    供应商名称（公章）</w:t>
      </w:r>
    </w:p>
    <w:p w14:paraId="0005B11B">
      <w:pPr>
        <w:tabs>
          <w:tab w:val="left" w:pos="6300"/>
        </w:tabs>
        <w:snapToGrid w:val="0"/>
        <w:spacing w:line="360" w:lineRule="auto"/>
        <w:ind w:right="360" w:firstLine="570"/>
        <w:jc w:val="center"/>
        <w:rPr>
          <w:rFonts w:ascii="宋体" w:hAnsi="宋体" w:cs="宋体"/>
        </w:rPr>
      </w:pPr>
      <w:r>
        <w:rPr>
          <w:rFonts w:hint="eastAsia" w:ascii="宋体" w:hAnsi="宋体" w:cs="宋体"/>
          <w:sz w:val="32"/>
          <w:szCs w:val="32"/>
        </w:rPr>
        <w:t xml:space="preserve">                     年   月   日</w:t>
      </w:r>
    </w:p>
    <w:p w14:paraId="2040DB99">
      <w:pPr>
        <w:pStyle w:val="67"/>
        <w:spacing w:line="360" w:lineRule="auto"/>
        <w:rPr>
          <w:rFonts w:hAnsi="宋体" w:cs="宋体"/>
          <w:color w:val="auto"/>
        </w:rPr>
      </w:pPr>
    </w:p>
    <w:p w14:paraId="5CC85E82">
      <w:pPr>
        <w:tabs>
          <w:tab w:val="left" w:pos="6300"/>
        </w:tabs>
        <w:snapToGrid w:val="0"/>
        <w:spacing w:line="360" w:lineRule="auto"/>
        <w:ind w:firstLine="570"/>
        <w:rPr>
          <w:rFonts w:ascii="宋体" w:hAnsi="宋体" w:cs="宋体"/>
          <w:sz w:val="32"/>
          <w:szCs w:val="32"/>
        </w:rPr>
      </w:pPr>
      <w:r>
        <w:rPr>
          <w:rFonts w:hint="eastAsia" w:ascii="宋体" w:hAnsi="宋体" w:cs="宋体"/>
          <w:sz w:val="32"/>
          <w:szCs w:val="32"/>
        </w:rPr>
        <w:t>（附：法定代表人身份证正反面复印件）</w:t>
      </w:r>
    </w:p>
    <w:p w14:paraId="23B6E352">
      <w:pPr>
        <w:pStyle w:val="4"/>
        <w:spacing w:line="360" w:lineRule="auto"/>
        <w:rPr>
          <w:rFonts w:ascii="宋体" w:hAnsi="宋体" w:cs="宋体"/>
        </w:rPr>
      </w:pPr>
    </w:p>
    <w:p w14:paraId="292E938D">
      <w:pPr>
        <w:rPr>
          <w:rFonts w:ascii="宋体" w:hAnsi="宋体" w:cs="宋体"/>
          <w:sz w:val="24"/>
          <w:szCs w:val="24"/>
        </w:rPr>
      </w:pPr>
      <w:r>
        <w:rPr>
          <w:rFonts w:hint="eastAsia" w:ascii="宋体" w:hAnsi="宋体" w:cs="宋体"/>
          <w:sz w:val="24"/>
          <w:szCs w:val="24"/>
        </w:rPr>
        <w:br w:type="page"/>
      </w:r>
    </w:p>
    <w:p w14:paraId="2DF75894">
      <w:pPr>
        <w:pStyle w:val="67"/>
        <w:rPr>
          <w:rFonts w:hAnsi="宋体" w:cs="宋体"/>
          <w:color w:val="auto"/>
        </w:rPr>
      </w:pPr>
    </w:p>
    <w:p w14:paraId="48B61BBA">
      <w:pPr>
        <w:tabs>
          <w:tab w:val="left" w:pos="6300"/>
        </w:tabs>
        <w:snapToGrid w:val="0"/>
        <w:spacing w:line="360" w:lineRule="auto"/>
        <w:jc w:val="center"/>
        <w:rPr>
          <w:rFonts w:ascii="宋体" w:hAnsi="宋体" w:cs="宋体"/>
          <w:b/>
          <w:bCs/>
          <w:sz w:val="32"/>
          <w:szCs w:val="32"/>
        </w:rPr>
      </w:pPr>
      <w:r>
        <w:rPr>
          <w:rFonts w:hint="eastAsia" w:ascii="宋体" w:hAnsi="宋体" w:cs="宋体"/>
          <w:b/>
          <w:bCs/>
          <w:sz w:val="32"/>
          <w:szCs w:val="32"/>
        </w:rPr>
        <w:t>法定代表人授权委托书</w:t>
      </w:r>
    </w:p>
    <w:p w14:paraId="4F5F77C8">
      <w:pPr>
        <w:tabs>
          <w:tab w:val="left" w:pos="6300"/>
        </w:tabs>
        <w:snapToGrid w:val="0"/>
        <w:spacing w:line="360" w:lineRule="auto"/>
        <w:rPr>
          <w:rFonts w:ascii="宋体" w:hAnsi="宋体" w:cs="宋体"/>
          <w:sz w:val="32"/>
          <w:szCs w:val="32"/>
          <w:u w:val="single"/>
        </w:rPr>
      </w:pPr>
    </w:p>
    <w:p w14:paraId="6ACFE37B">
      <w:pPr>
        <w:tabs>
          <w:tab w:val="left" w:pos="6300"/>
        </w:tabs>
        <w:snapToGrid w:val="0"/>
        <w:spacing w:line="360" w:lineRule="auto"/>
        <w:rPr>
          <w:rFonts w:ascii="宋体" w:hAnsi="宋体" w:cs="宋体"/>
          <w:sz w:val="32"/>
          <w:szCs w:val="32"/>
        </w:rPr>
      </w:pPr>
      <w:r>
        <w:rPr>
          <w:rFonts w:hint="eastAsia" w:ascii="宋体" w:hAnsi="宋体" w:cs="宋体"/>
          <w:sz w:val="32"/>
          <w:szCs w:val="32"/>
          <w:lang w:eastAsia="zh-Hans"/>
        </w:rPr>
        <w:t>致</w:t>
      </w:r>
      <w:r>
        <w:rPr>
          <w:rFonts w:hint="eastAsia" w:ascii="宋体" w:hAnsi="宋体" w:cs="宋体"/>
          <w:sz w:val="32"/>
          <w:szCs w:val="32"/>
          <w:u w:val="single"/>
        </w:rPr>
        <w:t xml:space="preserve">                     </w:t>
      </w:r>
      <w:r>
        <w:rPr>
          <w:rFonts w:hint="eastAsia" w:ascii="宋体" w:hAnsi="宋体" w:cs="宋体"/>
          <w:sz w:val="32"/>
          <w:szCs w:val="32"/>
        </w:rPr>
        <w:t>（采购单位名称）：</w:t>
      </w:r>
    </w:p>
    <w:p w14:paraId="3C27CF62">
      <w:pPr>
        <w:tabs>
          <w:tab w:val="left" w:pos="6300"/>
        </w:tabs>
        <w:wordWrap w:val="0"/>
        <w:snapToGrid w:val="0"/>
        <w:spacing w:line="360" w:lineRule="auto"/>
        <w:ind w:firstLine="640" w:firstLineChars="200"/>
        <w:rPr>
          <w:rFonts w:ascii="宋体" w:hAnsi="宋体" w:cs="宋体"/>
          <w:sz w:val="32"/>
          <w:szCs w:val="32"/>
        </w:rPr>
      </w:pPr>
      <w:r>
        <w:rPr>
          <w:rFonts w:hint="eastAsia" w:ascii="宋体" w:hAnsi="宋体" w:cs="宋体"/>
          <w:sz w:val="32"/>
          <w:szCs w:val="32"/>
          <w:u w:val="single"/>
        </w:rPr>
        <w:t xml:space="preserve">                   </w:t>
      </w:r>
      <w:r>
        <w:rPr>
          <w:rFonts w:hint="eastAsia" w:ascii="宋体" w:hAnsi="宋体" w:cs="宋体"/>
          <w:sz w:val="32"/>
          <w:szCs w:val="32"/>
        </w:rPr>
        <w:t>（法定代表人名称）是</w:t>
      </w:r>
      <w:r>
        <w:rPr>
          <w:rFonts w:hint="eastAsia" w:ascii="宋体" w:hAnsi="宋体" w:cs="宋体"/>
          <w:sz w:val="32"/>
          <w:szCs w:val="32"/>
          <w:u w:val="single"/>
        </w:rPr>
        <w:t>（供应商名称）</w:t>
      </w:r>
      <w:r>
        <w:rPr>
          <w:rFonts w:hint="eastAsia" w:ascii="宋体" w:hAnsi="宋体" w:cs="宋体"/>
          <w:sz w:val="32"/>
          <w:szCs w:val="32"/>
        </w:rPr>
        <w:t>的法定代表人，特授权</w:t>
      </w:r>
      <w:r>
        <w:rPr>
          <w:rFonts w:hint="eastAsia" w:ascii="宋体" w:hAnsi="宋体" w:cs="宋体"/>
          <w:sz w:val="32"/>
          <w:szCs w:val="32"/>
          <w:u w:val="single"/>
        </w:rPr>
        <w:t xml:space="preserve">                       </w:t>
      </w:r>
      <w:r>
        <w:rPr>
          <w:rFonts w:hint="eastAsia" w:ascii="宋体" w:hAnsi="宋体" w:cs="宋体"/>
          <w:sz w:val="32"/>
          <w:szCs w:val="32"/>
        </w:rPr>
        <w:t>（被授权人姓名及身份证代码）电话</w:t>
      </w:r>
      <w:r>
        <w:rPr>
          <w:rFonts w:hint="eastAsia" w:ascii="宋体" w:hAnsi="宋体" w:cs="宋体"/>
          <w:sz w:val="32"/>
          <w:szCs w:val="32"/>
          <w:u w:val="single"/>
        </w:rPr>
        <w:t xml:space="preserve">           </w:t>
      </w:r>
      <w:r>
        <w:rPr>
          <w:rFonts w:hint="eastAsia" w:ascii="宋体" w:hAnsi="宋体" w:cs="宋体"/>
          <w:sz w:val="32"/>
          <w:szCs w:val="32"/>
        </w:rPr>
        <w:t>，代表我单位全权办理上述项目的竞采报价、签约等具体工作，并签署全部有关文件、协议及合同。</w:t>
      </w:r>
    </w:p>
    <w:p w14:paraId="5A2FCD64">
      <w:pPr>
        <w:tabs>
          <w:tab w:val="left" w:pos="6300"/>
        </w:tabs>
        <w:snapToGrid w:val="0"/>
        <w:spacing w:line="360" w:lineRule="auto"/>
        <w:ind w:firstLine="640" w:firstLineChars="200"/>
        <w:rPr>
          <w:rFonts w:ascii="宋体" w:hAnsi="宋体" w:cs="宋体"/>
          <w:sz w:val="32"/>
          <w:szCs w:val="32"/>
        </w:rPr>
      </w:pPr>
      <w:r>
        <w:rPr>
          <w:rFonts w:hint="eastAsia" w:ascii="宋体" w:hAnsi="宋体" w:cs="宋体"/>
          <w:sz w:val="32"/>
          <w:szCs w:val="32"/>
        </w:rPr>
        <w:t>我单位对被授权人的签字负全部责任。</w:t>
      </w:r>
    </w:p>
    <w:p w14:paraId="65CA62D3">
      <w:pPr>
        <w:tabs>
          <w:tab w:val="left" w:pos="6300"/>
        </w:tabs>
        <w:snapToGrid w:val="0"/>
        <w:spacing w:line="360" w:lineRule="auto"/>
        <w:ind w:firstLine="640" w:firstLineChars="200"/>
        <w:rPr>
          <w:rFonts w:ascii="宋体" w:hAnsi="宋体" w:cs="宋体"/>
          <w:sz w:val="32"/>
          <w:szCs w:val="32"/>
        </w:rPr>
      </w:pPr>
      <w:r>
        <w:rPr>
          <w:rFonts w:hint="eastAsia" w:ascii="宋体" w:hAnsi="宋体" w:cs="宋体"/>
          <w:sz w:val="32"/>
          <w:szCs w:val="32"/>
        </w:rPr>
        <w:t>在撤消授权</w:t>
      </w:r>
      <w:r>
        <w:rPr>
          <w:rFonts w:hint="eastAsia" w:ascii="宋体" w:hAnsi="宋体" w:cs="宋体"/>
          <w:sz w:val="32"/>
          <w:szCs w:val="32"/>
          <w:lang w:eastAsia="zh-Hans"/>
        </w:rPr>
        <w:t>的</w:t>
      </w:r>
      <w:r>
        <w:rPr>
          <w:rFonts w:hint="eastAsia" w:ascii="宋体" w:hAnsi="宋体" w:cs="宋体"/>
          <w:sz w:val="32"/>
          <w:szCs w:val="32"/>
        </w:rPr>
        <w:t>书面通知以前，本授权书一直有效。被授权人在授权书有效期内签署的所有文件不因授权的撤消而失效。</w:t>
      </w:r>
    </w:p>
    <w:p w14:paraId="7A3FEBA0">
      <w:pPr>
        <w:tabs>
          <w:tab w:val="left" w:pos="6300"/>
        </w:tabs>
        <w:snapToGrid w:val="0"/>
        <w:spacing w:line="360" w:lineRule="auto"/>
        <w:ind w:firstLine="570"/>
        <w:rPr>
          <w:rFonts w:ascii="宋体" w:hAnsi="宋体" w:cs="宋体"/>
          <w:sz w:val="32"/>
          <w:szCs w:val="32"/>
        </w:rPr>
      </w:pPr>
    </w:p>
    <w:p w14:paraId="3BC05A9B">
      <w:pPr>
        <w:tabs>
          <w:tab w:val="left" w:pos="6300"/>
        </w:tabs>
        <w:snapToGrid w:val="0"/>
        <w:spacing w:line="360" w:lineRule="auto"/>
        <w:ind w:firstLine="570"/>
        <w:rPr>
          <w:rFonts w:ascii="宋体" w:hAnsi="宋体" w:cs="宋体"/>
          <w:sz w:val="32"/>
          <w:szCs w:val="32"/>
        </w:rPr>
      </w:pPr>
      <w:r>
        <w:rPr>
          <w:rFonts w:hint="eastAsia" w:ascii="宋体" w:hAnsi="宋体" w:cs="宋体"/>
          <w:sz w:val="32"/>
          <w:szCs w:val="32"/>
        </w:rPr>
        <w:t>被授权人：                          法定代表人：</w:t>
      </w:r>
    </w:p>
    <w:p w14:paraId="261D5E04">
      <w:pPr>
        <w:tabs>
          <w:tab w:val="left" w:pos="6300"/>
        </w:tabs>
        <w:snapToGrid w:val="0"/>
        <w:spacing w:line="360" w:lineRule="auto"/>
        <w:ind w:firstLine="570"/>
        <w:rPr>
          <w:rFonts w:ascii="宋体" w:hAnsi="宋体" w:cs="宋体"/>
          <w:sz w:val="32"/>
          <w:szCs w:val="32"/>
        </w:rPr>
      </w:pPr>
      <w:r>
        <w:rPr>
          <w:rFonts w:hint="eastAsia" w:ascii="宋体" w:hAnsi="宋体" w:cs="宋体"/>
          <w:sz w:val="32"/>
          <w:szCs w:val="32"/>
        </w:rPr>
        <w:t>（签字或盖章）                      （签字或盖章）</w:t>
      </w:r>
    </w:p>
    <w:p w14:paraId="6A2F82AE">
      <w:pPr>
        <w:tabs>
          <w:tab w:val="left" w:pos="6300"/>
        </w:tabs>
        <w:snapToGrid w:val="0"/>
        <w:spacing w:line="360" w:lineRule="auto"/>
        <w:ind w:firstLine="570"/>
        <w:rPr>
          <w:rFonts w:ascii="宋体" w:hAnsi="宋体" w:cs="宋体"/>
          <w:sz w:val="32"/>
          <w:szCs w:val="32"/>
        </w:rPr>
      </w:pPr>
    </w:p>
    <w:p w14:paraId="2C469A4C">
      <w:pPr>
        <w:tabs>
          <w:tab w:val="left" w:pos="6300"/>
        </w:tabs>
        <w:snapToGrid w:val="0"/>
        <w:spacing w:line="360" w:lineRule="auto"/>
        <w:ind w:firstLine="570"/>
        <w:rPr>
          <w:rFonts w:ascii="宋体" w:hAnsi="宋体" w:cs="宋体"/>
          <w:sz w:val="32"/>
          <w:szCs w:val="32"/>
        </w:rPr>
      </w:pPr>
      <w:r>
        <w:rPr>
          <w:rFonts w:hint="eastAsia" w:ascii="宋体" w:hAnsi="宋体" w:cs="宋体"/>
          <w:sz w:val="32"/>
          <w:szCs w:val="32"/>
        </w:rPr>
        <w:t>（附：被授权人、法定代表人身份证正反面复印件）</w:t>
      </w:r>
    </w:p>
    <w:p w14:paraId="7AB715EB">
      <w:pPr>
        <w:tabs>
          <w:tab w:val="left" w:pos="6300"/>
        </w:tabs>
        <w:snapToGrid w:val="0"/>
        <w:spacing w:line="360" w:lineRule="auto"/>
        <w:ind w:firstLine="570"/>
        <w:rPr>
          <w:rFonts w:ascii="宋体" w:hAnsi="宋体" w:cs="宋体"/>
          <w:sz w:val="32"/>
          <w:szCs w:val="32"/>
        </w:rPr>
      </w:pPr>
    </w:p>
    <w:p w14:paraId="2DCC6E3B">
      <w:pPr>
        <w:tabs>
          <w:tab w:val="left" w:pos="6300"/>
        </w:tabs>
        <w:snapToGrid w:val="0"/>
        <w:spacing w:line="360" w:lineRule="auto"/>
        <w:ind w:right="480" w:firstLine="570"/>
        <w:jc w:val="right"/>
        <w:rPr>
          <w:rFonts w:ascii="宋体" w:hAnsi="宋体" w:cs="宋体"/>
          <w:sz w:val="32"/>
          <w:szCs w:val="32"/>
        </w:rPr>
      </w:pPr>
      <w:r>
        <w:rPr>
          <w:rFonts w:hint="eastAsia" w:ascii="宋体" w:hAnsi="宋体" w:cs="宋体"/>
          <w:sz w:val="32"/>
          <w:szCs w:val="32"/>
        </w:rPr>
        <w:t xml:space="preserve">  供应商名称（公章）</w:t>
      </w:r>
    </w:p>
    <w:p w14:paraId="2642F301">
      <w:pPr>
        <w:tabs>
          <w:tab w:val="left" w:pos="6300"/>
        </w:tabs>
        <w:snapToGrid w:val="0"/>
        <w:spacing w:line="360" w:lineRule="auto"/>
        <w:ind w:right="480" w:firstLine="570"/>
        <w:jc w:val="center"/>
        <w:rPr>
          <w:rFonts w:ascii="宋体" w:hAnsi="宋体" w:cs="宋体"/>
          <w:sz w:val="32"/>
          <w:szCs w:val="32"/>
        </w:rPr>
      </w:pPr>
      <w:r>
        <w:rPr>
          <w:rFonts w:hint="eastAsia" w:ascii="宋体" w:hAnsi="宋体" w:cs="宋体"/>
          <w:sz w:val="32"/>
          <w:szCs w:val="32"/>
        </w:rPr>
        <w:t xml:space="preserve">                                年   月   日</w:t>
      </w:r>
    </w:p>
    <w:p w14:paraId="609C396E">
      <w:pPr>
        <w:pStyle w:val="4"/>
        <w:spacing w:line="360" w:lineRule="auto"/>
        <w:rPr>
          <w:rFonts w:ascii="宋体" w:hAnsi="宋体" w:cs="宋体"/>
        </w:rPr>
      </w:pPr>
      <w:r>
        <w:rPr>
          <w:rFonts w:hint="eastAsia" w:ascii="宋体" w:hAnsi="宋体" w:cs="宋体"/>
        </w:rPr>
        <w:br w:type="page"/>
      </w:r>
    </w:p>
    <w:p w14:paraId="17104378">
      <w:pPr>
        <w:numPr>
          <w:ilvl w:val="0"/>
          <w:numId w:val="15"/>
        </w:numPr>
        <w:tabs>
          <w:tab w:val="left" w:pos="6300"/>
        </w:tabs>
        <w:snapToGrid w:val="0"/>
        <w:spacing w:line="360" w:lineRule="auto"/>
        <w:ind w:firstLine="643" w:firstLineChars="200"/>
        <w:rPr>
          <w:rFonts w:ascii="宋体" w:hAnsi="宋体" w:cs="宋体"/>
          <w:b/>
          <w:sz w:val="32"/>
          <w:szCs w:val="32"/>
        </w:rPr>
      </w:pPr>
      <w:r>
        <w:rPr>
          <w:rFonts w:hint="eastAsia" w:ascii="宋体" w:hAnsi="宋体" w:cs="宋体"/>
          <w:b/>
          <w:sz w:val="32"/>
          <w:szCs w:val="32"/>
        </w:rPr>
        <w:t>基本资格条件承诺函</w:t>
      </w:r>
    </w:p>
    <w:p w14:paraId="0C6868D5">
      <w:pPr>
        <w:pStyle w:val="67"/>
        <w:rPr>
          <w:rFonts w:hAnsi="宋体" w:cs="宋体"/>
          <w:color w:val="auto"/>
        </w:rPr>
      </w:pPr>
    </w:p>
    <w:p w14:paraId="42095EE3">
      <w:pPr>
        <w:snapToGrid w:val="0"/>
        <w:spacing w:line="360" w:lineRule="auto"/>
        <w:ind w:firstLine="570"/>
        <w:jc w:val="center"/>
        <w:rPr>
          <w:rFonts w:ascii="宋体" w:hAnsi="宋体" w:cs="宋体"/>
          <w:b/>
          <w:sz w:val="32"/>
          <w:szCs w:val="32"/>
        </w:rPr>
      </w:pPr>
      <w:r>
        <w:rPr>
          <w:rFonts w:hint="eastAsia" w:ascii="宋体" w:hAnsi="宋体" w:cs="宋体"/>
          <w:b/>
          <w:sz w:val="32"/>
          <w:szCs w:val="32"/>
        </w:rPr>
        <w:t>基本资格条件承诺函</w:t>
      </w:r>
    </w:p>
    <w:p w14:paraId="5187B7CA">
      <w:pPr>
        <w:snapToGrid w:val="0"/>
        <w:spacing w:line="360" w:lineRule="auto"/>
        <w:rPr>
          <w:rFonts w:ascii="宋体" w:hAnsi="宋体" w:cs="宋体"/>
          <w:b/>
          <w:sz w:val="24"/>
          <w:szCs w:val="24"/>
        </w:rPr>
      </w:pPr>
      <w:r>
        <w:rPr>
          <w:rFonts w:hint="eastAsia" w:ascii="宋体" w:hAnsi="宋体" w:cs="宋体"/>
          <w:b/>
          <w:sz w:val="24"/>
          <w:szCs w:val="24"/>
        </w:rPr>
        <w:t xml:space="preserve"> </w:t>
      </w:r>
    </w:p>
    <w:p w14:paraId="0593A5BC">
      <w:pPr>
        <w:snapToGrid w:val="0"/>
        <w:spacing w:line="360" w:lineRule="auto"/>
        <w:rPr>
          <w:rFonts w:ascii="宋体" w:hAnsi="宋体" w:cs="宋体"/>
          <w:sz w:val="32"/>
          <w:szCs w:val="32"/>
        </w:rPr>
      </w:pPr>
      <w:r>
        <w:rPr>
          <w:rFonts w:hint="eastAsia" w:ascii="宋体" w:hAnsi="宋体" w:cs="宋体"/>
          <w:sz w:val="32"/>
          <w:szCs w:val="32"/>
        </w:rPr>
        <w:t>致</w:t>
      </w:r>
      <w:r>
        <w:rPr>
          <w:rFonts w:hint="eastAsia" w:ascii="宋体" w:hAnsi="宋体" w:cs="宋体"/>
          <w:sz w:val="32"/>
          <w:szCs w:val="32"/>
          <w:u w:val="single"/>
        </w:rPr>
        <w:t xml:space="preserve">                   </w:t>
      </w:r>
      <w:r>
        <w:rPr>
          <w:rFonts w:hint="eastAsia" w:ascii="宋体" w:hAnsi="宋体" w:cs="宋体"/>
          <w:sz w:val="32"/>
          <w:szCs w:val="32"/>
        </w:rPr>
        <w:t>（采购单位名称）：</w:t>
      </w:r>
    </w:p>
    <w:p w14:paraId="530D72F4">
      <w:pPr>
        <w:snapToGrid w:val="0"/>
        <w:spacing w:line="360" w:lineRule="auto"/>
        <w:ind w:firstLine="640" w:firstLineChars="200"/>
        <w:rPr>
          <w:rFonts w:ascii="宋体" w:hAnsi="宋体" w:cs="宋体"/>
          <w:sz w:val="32"/>
          <w:szCs w:val="32"/>
        </w:rPr>
      </w:pPr>
      <w:r>
        <w:rPr>
          <w:rFonts w:hint="eastAsia" w:ascii="宋体" w:hAnsi="宋体" w:cs="宋体"/>
          <w:sz w:val="32"/>
          <w:szCs w:val="32"/>
          <w:u w:val="single"/>
        </w:rPr>
        <w:t xml:space="preserve">                  </w:t>
      </w:r>
      <w:r>
        <w:rPr>
          <w:rFonts w:hint="eastAsia" w:ascii="宋体" w:hAnsi="宋体" w:cs="宋体"/>
          <w:sz w:val="32"/>
          <w:szCs w:val="32"/>
        </w:rPr>
        <w:t>（供应商名称）郑重承诺：</w:t>
      </w:r>
    </w:p>
    <w:p w14:paraId="19BABF49">
      <w:pPr>
        <w:spacing w:line="360" w:lineRule="auto"/>
        <w:ind w:firstLine="640" w:firstLineChars="200"/>
        <w:rPr>
          <w:rFonts w:ascii="宋体" w:hAnsi="宋体" w:cs="宋体"/>
          <w:sz w:val="32"/>
          <w:szCs w:val="32"/>
        </w:rPr>
      </w:pPr>
      <w:r>
        <w:rPr>
          <w:rFonts w:hint="eastAsia" w:ascii="宋体" w:hAnsi="宋体" w:cs="宋体"/>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2096DF1E">
      <w:pPr>
        <w:spacing w:line="360" w:lineRule="auto"/>
        <w:ind w:firstLine="640" w:firstLineChars="200"/>
        <w:rPr>
          <w:rFonts w:ascii="宋体" w:hAnsi="宋体" w:cs="宋体"/>
          <w:sz w:val="32"/>
          <w:szCs w:val="32"/>
        </w:rPr>
      </w:pPr>
      <w:r>
        <w:rPr>
          <w:rFonts w:hint="eastAsia" w:ascii="宋体" w:hAnsi="宋体" w:cs="宋体"/>
          <w:sz w:val="32"/>
          <w:szCs w:val="32"/>
        </w:rPr>
        <w:t>2.我方未列入在信用中国网站（www.creditchina.gov.cn）“失信被执行人”、“重大税收违法案件当事人名单”中，也未列入中国政府采购网（www.ccgp.gov.cn）“政府采购严重违法失信行为记录名单”中。</w:t>
      </w:r>
    </w:p>
    <w:p w14:paraId="431208D4">
      <w:pPr>
        <w:spacing w:line="360" w:lineRule="auto"/>
        <w:ind w:firstLine="640" w:firstLineChars="200"/>
        <w:rPr>
          <w:rFonts w:ascii="宋体" w:hAnsi="宋体" w:cs="宋体"/>
          <w:sz w:val="32"/>
          <w:szCs w:val="32"/>
        </w:rPr>
      </w:pPr>
      <w:r>
        <w:rPr>
          <w:rFonts w:hint="eastAsia" w:ascii="宋体" w:hAnsi="宋体" w:cs="宋体"/>
          <w:sz w:val="32"/>
          <w:szCs w:val="32"/>
        </w:rPr>
        <w:t>3.我方在项目评审环节结束后，随时接受采购人检查验证，配合提供相关证明材料，证明符合《中华人民共和国政府采购法》第二十二条规定的供应商基本资格条件。</w:t>
      </w:r>
    </w:p>
    <w:p w14:paraId="7258AAE0">
      <w:pPr>
        <w:snapToGrid w:val="0"/>
        <w:spacing w:line="360" w:lineRule="auto"/>
        <w:ind w:firstLine="640" w:firstLineChars="200"/>
        <w:rPr>
          <w:rFonts w:ascii="宋体" w:hAnsi="宋体" w:cs="宋体"/>
          <w:sz w:val="32"/>
          <w:szCs w:val="32"/>
        </w:rPr>
      </w:pPr>
      <w:r>
        <w:rPr>
          <w:rFonts w:hint="eastAsia" w:ascii="宋体" w:hAnsi="宋体" w:cs="宋体"/>
          <w:sz w:val="32"/>
          <w:szCs w:val="32"/>
        </w:rPr>
        <w:t>我方对以上承诺负全部法律责任。</w:t>
      </w:r>
    </w:p>
    <w:p w14:paraId="505754AE">
      <w:pPr>
        <w:snapToGrid w:val="0"/>
        <w:spacing w:line="360" w:lineRule="auto"/>
        <w:ind w:firstLine="640" w:firstLineChars="200"/>
        <w:rPr>
          <w:rFonts w:ascii="宋体" w:hAnsi="宋体" w:cs="宋体"/>
          <w:sz w:val="32"/>
          <w:szCs w:val="32"/>
        </w:rPr>
      </w:pPr>
      <w:r>
        <w:rPr>
          <w:rFonts w:hint="eastAsia" w:ascii="宋体" w:hAnsi="宋体" w:cs="宋体"/>
          <w:sz w:val="32"/>
          <w:szCs w:val="32"/>
        </w:rPr>
        <w:t>特此承诺。</w:t>
      </w:r>
    </w:p>
    <w:p w14:paraId="681DBD60">
      <w:pPr>
        <w:pStyle w:val="67"/>
        <w:rPr>
          <w:rFonts w:hAnsi="宋体" w:cs="宋体"/>
          <w:color w:val="auto"/>
        </w:rPr>
      </w:pPr>
    </w:p>
    <w:p w14:paraId="24214BA9">
      <w:pPr>
        <w:tabs>
          <w:tab w:val="left" w:pos="6300"/>
        </w:tabs>
        <w:snapToGrid w:val="0"/>
        <w:spacing w:line="360" w:lineRule="auto"/>
        <w:ind w:right="480" w:firstLine="570"/>
        <w:jc w:val="right"/>
        <w:rPr>
          <w:rFonts w:ascii="宋体" w:hAnsi="宋体" w:cs="宋体"/>
          <w:sz w:val="32"/>
          <w:szCs w:val="32"/>
        </w:rPr>
      </w:pPr>
      <w:r>
        <w:rPr>
          <w:rFonts w:hint="eastAsia" w:ascii="宋体" w:hAnsi="宋体" w:cs="宋体"/>
          <w:sz w:val="32"/>
          <w:szCs w:val="32"/>
        </w:rPr>
        <w:t xml:space="preserve">  供应商名称（公章）</w:t>
      </w:r>
    </w:p>
    <w:p w14:paraId="01AC2A09">
      <w:pPr>
        <w:tabs>
          <w:tab w:val="left" w:pos="6300"/>
        </w:tabs>
        <w:snapToGrid w:val="0"/>
        <w:spacing w:line="360" w:lineRule="auto"/>
        <w:ind w:right="480" w:firstLine="570"/>
        <w:jc w:val="center"/>
        <w:rPr>
          <w:rFonts w:ascii="宋体" w:hAnsi="宋体" w:cs="宋体"/>
          <w:sz w:val="32"/>
          <w:szCs w:val="32"/>
        </w:rPr>
      </w:pPr>
      <w:r>
        <w:rPr>
          <w:rFonts w:hint="eastAsia" w:ascii="宋体" w:hAnsi="宋体" w:cs="宋体"/>
          <w:sz w:val="32"/>
          <w:szCs w:val="32"/>
        </w:rPr>
        <w:t xml:space="preserve">                                年   月   日</w:t>
      </w:r>
    </w:p>
    <w:p w14:paraId="4591ECE4">
      <w:pPr>
        <w:spacing w:line="360" w:lineRule="auto"/>
        <w:jc w:val="right"/>
        <w:rPr>
          <w:rFonts w:ascii="宋体" w:hAnsi="宋体" w:cs="宋体"/>
          <w:sz w:val="32"/>
          <w:szCs w:val="32"/>
        </w:rPr>
      </w:pPr>
      <w:r>
        <w:rPr>
          <w:rFonts w:hint="eastAsia" w:ascii="宋体" w:hAnsi="宋体" w:cs="宋体"/>
          <w:sz w:val="32"/>
          <w:szCs w:val="32"/>
        </w:rPr>
        <w:br w:type="page"/>
      </w:r>
    </w:p>
    <w:p w14:paraId="788FED50">
      <w:pPr>
        <w:tabs>
          <w:tab w:val="left" w:pos="6300"/>
        </w:tabs>
        <w:snapToGrid w:val="0"/>
        <w:spacing w:line="360" w:lineRule="auto"/>
        <w:ind w:firstLine="643" w:firstLineChars="200"/>
        <w:rPr>
          <w:rFonts w:ascii="宋体" w:hAnsi="宋体" w:cs="宋体"/>
          <w:b/>
          <w:sz w:val="32"/>
          <w:szCs w:val="32"/>
        </w:rPr>
      </w:pPr>
      <w:r>
        <w:rPr>
          <w:rFonts w:hint="eastAsia" w:ascii="宋体" w:hAnsi="宋体" w:cs="宋体"/>
          <w:b/>
          <w:sz w:val="32"/>
          <w:szCs w:val="32"/>
        </w:rPr>
        <w:t>四、特定资格条件证书或证明文件</w:t>
      </w:r>
    </w:p>
    <w:p w14:paraId="1981739E">
      <w:pPr>
        <w:pStyle w:val="4"/>
        <w:spacing w:line="360" w:lineRule="auto"/>
        <w:rPr>
          <w:rFonts w:ascii="宋体" w:hAnsi="宋体" w:cs="宋体"/>
        </w:rPr>
      </w:pPr>
    </w:p>
    <w:p w14:paraId="384E5DDF">
      <w:pPr>
        <w:tabs>
          <w:tab w:val="left" w:pos="6300"/>
        </w:tabs>
        <w:snapToGrid w:val="0"/>
        <w:spacing w:line="360" w:lineRule="auto"/>
        <w:ind w:right="480" w:firstLine="570"/>
        <w:jc w:val="right"/>
        <w:rPr>
          <w:rFonts w:ascii="宋体" w:hAnsi="宋体" w:cs="宋体"/>
          <w:sz w:val="24"/>
          <w:szCs w:val="24"/>
        </w:rPr>
      </w:pPr>
    </w:p>
    <w:p w14:paraId="6ABB7562">
      <w:pPr>
        <w:pStyle w:val="4"/>
        <w:spacing w:line="360" w:lineRule="auto"/>
        <w:rPr>
          <w:rFonts w:ascii="宋体" w:hAnsi="宋体" w:cs="宋体"/>
        </w:rPr>
      </w:pPr>
    </w:p>
    <w:p w14:paraId="7A442C33">
      <w:pPr>
        <w:spacing w:line="360" w:lineRule="auto"/>
        <w:rPr>
          <w:rFonts w:ascii="宋体" w:hAnsi="宋体" w:cs="宋体"/>
        </w:rPr>
      </w:pPr>
    </w:p>
    <w:p w14:paraId="4378D3EB">
      <w:pPr>
        <w:pStyle w:val="4"/>
        <w:spacing w:line="360" w:lineRule="auto"/>
        <w:rPr>
          <w:rFonts w:ascii="宋体" w:hAnsi="宋体" w:cs="宋体"/>
        </w:rPr>
      </w:pPr>
    </w:p>
    <w:p w14:paraId="02E0CA98">
      <w:pPr>
        <w:spacing w:line="360" w:lineRule="auto"/>
        <w:rPr>
          <w:rFonts w:ascii="宋体" w:hAnsi="宋体" w:cs="宋体"/>
        </w:rPr>
      </w:pPr>
    </w:p>
    <w:p w14:paraId="4D6DF2B0">
      <w:pPr>
        <w:pStyle w:val="4"/>
        <w:spacing w:line="360" w:lineRule="auto"/>
        <w:rPr>
          <w:rFonts w:ascii="宋体" w:hAnsi="宋体" w:cs="宋体"/>
        </w:rPr>
      </w:pPr>
    </w:p>
    <w:p w14:paraId="573447CD">
      <w:pPr>
        <w:spacing w:line="360" w:lineRule="auto"/>
        <w:rPr>
          <w:rFonts w:ascii="宋体" w:hAnsi="宋体" w:cs="宋体"/>
        </w:rPr>
      </w:pPr>
    </w:p>
    <w:p w14:paraId="0CC47DF9">
      <w:pPr>
        <w:pStyle w:val="4"/>
        <w:spacing w:line="360" w:lineRule="auto"/>
        <w:rPr>
          <w:rFonts w:ascii="宋体" w:hAnsi="宋体" w:cs="宋体"/>
        </w:rPr>
      </w:pPr>
    </w:p>
    <w:p w14:paraId="32DFF78E">
      <w:pPr>
        <w:spacing w:line="360" w:lineRule="auto"/>
        <w:rPr>
          <w:rFonts w:ascii="宋体" w:hAnsi="宋体" w:cs="宋体"/>
        </w:rPr>
      </w:pPr>
    </w:p>
    <w:p w14:paraId="3801A8B0">
      <w:pPr>
        <w:pStyle w:val="4"/>
        <w:spacing w:line="360" w:lineRule="auto"/>
        <w:rPr>
          <w:rFonts w:ascii="宋体" w:hAnsi="宋体" w:cs="宋体"/>
        </w:rPr>
      </w:pPr>
    </w:p>
    <w:p w14:paraId="7BD6751E">
      <w:pPr>
        <w:spacing w:line="360" w:lineRule="auto"/>
        <w:rPr>
          <w:rFonts w:ascii="宋体" w:hAnsi="宋体" w:cs="宋体"/>
        </w:rPr>
      </w:pPr>
    </w:p>
    <w:p w14:paraId="6F53ECE8">
      <w:pPr>
        <w:pStyle w:val="4"/>
        <w:spacing w:line="360" w:lineRule="auto"/>
        <w:rPr>
          <w:rFonts w:ascii="宋体" w:hAnsi="宋体" w:cs="宋体"/>
        </w:rPr>
      </w:pPr>
    </w:p>
    <w:p w14:paraId="3B66901A">
      <w:pPr>
        <w:spacing w:line="360" w:lineRule="auto"/>
        <w:rPr>
          <w:rFonts w:ascii="宋体" w:hAnsi="宋体" w:cs="宋体"/>
        </w:rPr>
      </w:pPr>
    </w:p>
    <w:p w14:paraId="21DECFFA">
      <w:pPr>
        <w:tabs>
          <w:tab w:val="left" w:pos="6300"/>
        </w:tabs>
        <w:snapToGrid w:val="0"/>
        <w:spacing w:line="360" w:lineRule="auto"/>
        <w:ind w:right="-1"/>
        <w:rPr>
          <w:rFonts w:ascii="宋体" w:hAnsi="宋体" w:cs="宋体"/>
          <w:sz w:val="24"/>
          <w:szCs w:val="24"/>
        </w:rPr>
      </w:pPr>
      <w:r>
        <w:rPr>
          <w:rFonts w:hint="eastAsia" w:ascii="宋体" w:hAnsi="宋体" w:cs="宋体"/>
          <w:sz w:val="24"/>
          <w:szCs w:val="24"/>
        </w:rPr>
        <w:t>---------------------------------------------------------------------</w:t>
      </w:r>
    </w:p>
    <w:p w14:paraId="09C0F7C3">
      <w:pPr>
        <w:tabs>
          <w:tab w:val="left" w:pos="6300"/>
        </w:tabs>
        <w:snapToGrid w:val="0"/>
        <w:spacing w:line="360" w:lineRule="auto"/>
        <w:ind w:firstLine="570"/>
        <w:rPr>
          <w:rFonts w:ascii="宋体" w:hAnsi="宋体" w:cs="宋体"/>
          <w:sz w:val="24"/>
          <w:szCs w:val="24"/>
        </w:rPr>
      </w:pPr>
    </w:p>
    <w:p w14:paraId="78D2C7BB">
      <w:pPr>
        <w:tabs>
          <w:tab w:val="left" w:pos="6300"/>
        </w:tabs>
        <w:snapToGrid w:val="0"/>
        <w:spacing w:line="360" w:lineRule="auto"/>
        <w:rPr>
          <w:rFonts w:ascii="宋体" w:hAnsi="宋体" w:cs="宋体"/>
          <w:sz w:val="32"/>
          <w:szCs w:val="32"/>
        </w:rPr>
      </w:pPr>
    </w:p>
    <w:p w14:paraId="12ED3A19">
      <w:pPr>
        <w:tabs>
          <w:tab w:val="left" w:pos="6300"/>
        </w:tabs>
        <w:snapToGrid w:val="0"/>
        <w:spacing w:line="360" w:lineRule="auto"/>
        <w:ind w:right="480" w:firstLine="570"/>
        <w:jc w:val="center"/>
        <w:rPr>
          <w:rFonts w:ascii="宋体" w:hAnsi="宋体" w:cs="宋体"/>
        </w:rPr>
      </w:pPr>
      <w:r>
        <w:rPr>
          <w:rFonts w:hint="eastAsia" w:ascii="宋体" w:hAnsi="宋体" w:cs="宋体"/>
          <w:sz w:val="32"/>
          <w:szCs w:val="32"/>
        </w:rPr>
        <w:t>（结束）</w:t>
      </w:r>
    </w:p>
    <w:p w14:paraId="54F3FE54">
      <w:pPr>
        <w:tabs>
          <w:tab w:val="left" w:pos="6300"/>
        </w:tabs>
        <w:snapToGrid w:val="0"/>
        <w:spacing w:line="360" w:lineRule="auto"/>
        <w:ind w:right="480" w:firstLine="570"/>
        <w:jc w:val="center"/>
        <w:rPr>
          <w:rFonts w:ascii="宋体" w:hAnsi="宋体" w:cs="宋体"/>
          <w:sz w:val="24"/>
          <w:szCs w:val="24"/>
        </w:rPr>
      </w:pP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00"/>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E7E9">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5595A">
                          <w:pPr>
                            <w:pStyle w:val="3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E5595A">
                    <w:pPr>
                      <w:pStyle w:val="3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348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B24F0">
                          <w:pPr>
                            <w:pStyle w:val="35"/>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31BB24F0">
                    <w:pPr>
                      <w:pStyle w:val="35"/>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75ABA"/>
    <w:multiLevelType w:val="singleLevel"/>
    <w:tmpl w:val="9D275AB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CAEB845"/>
    <w:multiLevelType w:val="singleLevel"/>
    <w:tmpl w:val="0CAEB845"/>
    <w:lvl w:ilvl="0" w:tentative="0">
      <w:start w:val="2"/>
      <w:numFmt w:val="chineseCounting"/>
      <w:suff w:val="nothing"/>
      <w:lvlText w:val="%1、"/>
      <w:lvlJc w:val="left"/>
      <w:rPr>
        <w:rFonts w:hint="eastAsia"/>
      </w:rPr>
    </w:lvl>
  </w:abstractNum>
  <w:abstractNum w:abstractNumId="14">
    <w:nsid w:val="628F9547"/>
    <w:multiLevelType w:val="singleLevel"/>
    <w:tmpl w:val="628F9547"/>
    <w:lvl w:ilvl="0" w:tentative="0">
      <w:start w:val="3"/>
      <w:numFmt w:val="chineseCounting"/>
      <w:suff w:val="nothing"/>
      <w:lvlText w:val="%1、"/>
      <w:lvlJc w:val="left"/>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075C7"/>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58F1"/>
    <w:rsid w:val="001765E3"/>
    <w:rsid w:val="001829E7"/>
    <w:rsid w:val="00191E27"/>
    <w:rsid w:val="00192985"/>
    <w:rsid w:val="00192D4E"/>
    <w:rsid w:val="001A3E64"/>
    <w:rsid w:val="001E44D9"/>
    <w:rsid w:val="001E73E2"/>
    <w:rsid w:val="001F074F"/>
    <w:rsid w:val="001F74AE"/>
    <w:rsid w:val="002122FC"/>
    <w:rsid w:val="0021327B"/>
    <w:rsid w:val="0021595A"/>
    <w:rsid w:val="00223B9B"/>
    <w:rsid w:val="0022691C"/>
    <w:rsid w:val="00226A1A"/>
    <w:rsid w:val="00227B9B"/>
    <w:rsid w:val="002676F5"/>
    <w:rsid w:val="00287AF0"/>
    <w:rsid w:val="00297EC4"/>
    <w:rsid w:val="002B0676"/>
    <w:rsid w:val="002C7EDF"/>
    <w:rsid w:val="002F2847"/>
    <w:rsid w:val="002F5C86"/>
    <w:rsid w:val="00302B92"/>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E61C5"/>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B2BD0"/>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A1846"/>
    <w:rsid w:val="008F3680"/>
    <w:rsid w:val="008F47B5"/>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9F2686"/>
    <w:rsid w:val="00A06259"/>
    <w:rsid w:val="00A07FF4"/>
    <w:rsid w:val="00A13D05"/>
    <w:rsid w:val="00A23558"/>
    <w:rsid w:val="00A3078D"/>
    <w:rsid w:val="00A56F1E"/>
    <w:rsid w:val="00A614CD"/>
    <w:rsid w:val="00A8591D"/>
    <w:rsid w:val="00A9133B"/>
    <w:rsid w:val="00AC755D"/>
    <w:rsid w:val="00AD78C0"/>
    <w:rsid w:val="00AF3E34"/>
    <w:rsid w:val="00AF70BC"/>
    <w:rsid w:val="00B000A7"/>
    <w:rsid w:val="00B01F29"/>
    <w:rsid w:val="00B23A81"/>
    <w:rsid w:val="00B3337A"/>
    <w:rsid w:val="00B43355"/>
    <w:rsid w:val="00B47D95"/>
    <w:rsid w:val="00B47F90"/>
    <w:rsid w:val="00B57B36"/>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72FBE"/>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7610150"/>
    <w:rsid w:val="083A0E94"/>
    <w:rsid w:val="08ED3546"/>
    <w:rsid w:val="0BAA1613"/>
    <w:rsid w:val="0BF82BDA"/>
    <w:rsid w:val="0EFE3F6B"/>
    <w:rsid w:val="101E0686"/>
    <w:rsid w:val="15B54A01"/>
    <w:rsid w:val="1C0E01AF"/>
    <w:rsid w:val="2A9A00C1"/>
    <w:rsid w:val="2BB47C37"/>
    <w:rsid w:val="2DA2461E"/>
    <w:rsid w:val="2E407EB5"/>
    <w:rsid w:val="31D874D8"/>
    <w:rsid w:val="34CC3626"/>
    <w:rsid w:val="39D961DF"/>
    <w:rsid w:val="3EDB7D99"/>
    <w:rsid w:val="3FB916D1"/>
    <w:rsid w:val="3FCD46EF"/>
    <w:rsid w:val="411B1F4A"/>
    <w:rsid w:val="41E937BF"/>
    <w:rsid w:val="43260821"/>
    <w:rsid w:val="45FB04BF"/>
    <w:rsid w:val="47170312"/>
    <w:rsid w:val="481C72EE"/>
    <w:rsid w:val="49037957"/>
    <w:rsid w:val="4BC9209C"/>
    <w:rsid w:val="4C7B378D"/>
    <w:rsid w:val="4E99569F"/>
    <w:rsid w:val="5A9515D1"/>
    <w:rsid w:val="5B8C0E98"/>
    <w:rsid w:val="5BFDB513"/>
    <w:rsid w:val="639635F7"/>
    <w:rsid w:val="65F91B55"/>
    <w:rsid w:val="660F4DA3"/>
    <w:rsid w:val="67B15328"/>
    <w:rsid w:val="68786463"/>
    <w:rsid w:val="690A10C7"/>
    <w:rsid w:val="6D6B59CB"/>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4"/>
    <w:qFormat/>
    <w:uiPriority w:val="0"/>
    <w:rPr>
      <w:sz w:val="24"/>
    </w:rPr>
  </w:style>
  <w:style w:type="character" w:customStyle="1" w:styleId="75">
    <w:name w:val="批注文字 Char"/>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6"/>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18</Pages>
  <Words>6854</Words>
  <Characters>7482</Characters>
  <Lines>64</Lines>
  <Paragraphs>18</Paragraphs>
  <TotalTime>2</TotalTime>
  <ScaleCrop>false</ScaleCrop>
  <LinksUpToDate>false</LinksUpToDate>
  <CharactersWithSpaces>8110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Administrator</cp:lastModifiedBy>
  <cp:lastPrinted>2025-07-08T02:46:00Z</cp:lastPrinted>
  <dcterms:modified xsi:type="dcterms:W3CDTF">2025-07-17T07:21:02Z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eyJoZGlkIjoiMzc3ZWNmMjY3NDRkYTZlNWFhNDJkMDU2YzE0YjEzNzgiLCJ1c2VySWQiOiI4MjQzMDM1MzQifQ==</vt:lpwstr>
  </property>
  <property fmtid="{D5CDD505-2E9C-101B-9397-08002B2CF9AE}" pid="4" name="ICV">
    <vt:lpwstr>F4FADB8859A64150954C1BA5548AD8C1_13</vt:lpwstr>
  </property>
</Properties>
</file>