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517F7">
      <w:pPr>
        <w:tabs>
          <w:tab w:val="center" w:pos="4592"/>
          <w:tab w:val="left" w:pos="5921"/>
        </w:tabs>
        <w:spacing w:line="360" w:lineRule="auto"/>
        <w:jc w:val="both"/>
        <w:outlineLvl w:val="9"/>
        <w:rPr>
          <w:rFonts w:hint="eastAsia" w:ascii="Times New Roman" w:hAnsi="Times New Roman"/>
          <w:b/>
          <w:bCs/>
          <w:sz w:val="72"/>
          <w:szCs w:val="72"/>
          <w:u w:val="none"/>
          <w:lang w:eastAsia="zh-CN"/>
        </w:rPr>
      </w:pPr>
      <w:r>
        <w:rPr>
          <w:rFonts w:hint="eastAsia"/>
          <w:b/>
          <w:bCs/>
          <w:color w:val="auto"/>
        </w:rPr>
        <w:drawing>
          <wp:anchor distT="0" distB="0" distL="114300" distR="114300" simplePos="0" relativeHeight="251660288" behindDoc="1" locked="0" layoutInCell="1" allowOverlap="1">
            <wp:simplePos x="0" y="0"/>
            <wp:positionH relativeFrom="column">
              <wp:posOffset>95250</wp:posOffset>
            </wp:positionH>
            <wp:positionV relativeFrom="paragraph">
              <wp:posOffset>-140335</wp:posOffset>
            </wp:positionV>
            <wp:extent cx="1127760" cy="975995"/>
            <wp:effectExtent l="0" t="0" r="0" b="14605"/>
            <wp:wrapTight wrapText="bothSides">
              <wp:wrapPolygon>
                <wp:start x="0" y="0"/>
                <wp:lineTo x="0" y="21249"/>
                <wp:lineTo x="21308" y="21249"/>
                <wp:lineTo x="21308" y="0"/>
                <wp:lineTo x="0" y="0"/>
              </wp:wrapPolygon>
            </wp:wrapTight>
            <wp:docPr id="1" name="图片 2" descr="e9fddeda7b172815239d0ccd3016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9fddeda7b172815239d0ccd3016e63"/>
                    <pic:cNvPicPr>
                      <a:picLocks noChangeAspect="1"/>
                    </pic:cNvPicPr>
                  </pic:nvPicPr>
                  <pic:blipFill>
                    <a:blip r:embed="rId11"/>
                    <a:stretch>
                      <a:fillRect/>
                    </a:stretch>
                  </pic:blipFill>
                  <pic:spPr>
                    <a:xfrm>
                      <a:off x="0" y="0"/>
                      <a:ext cx="1127760" cy="975995"/>
                    </a:xfrm>
                    <a:prstGeom prst="rect">
                      <a:avLst/>
                    </a:prstGeom>
                    <a:noFill/>
                    <a:ln>
                      <a:noFill/>
                    </a:ln>
                  </pic:spPr>
                </pic:pic>
              </a:graphicData>
            </a:graphic>
          </wp:anchor>
        </w:drawing>
      </w:r>
    </w:p>
    <w:p w14:paraId="4CE5DD1D">
      <w:pPr>
        <w:tabs>
          <w:tab w:val="center" w:pos="4592"/>
          <w:tab w:val="left" w:pos="5921"/>
        </w:tabs>
        <w:spacing w:line="360" w:lineRule="auto"/>
        <w:jc w:val="center"/>
        <w:outlineLvl w:val="9"/>
        <w:rPr>
          <w:rFonts w:hint="eastAsia" w:ascii="Times New Roman" w:hAnsi="Times New Roman"/>
          <w:b/>
          <w:bCs/>
          <w:sz w:val="72"/>
          <w:szCs w:val="72"/>
          <w:u w:val="none"/>
          <w:lang w:eastAsia="zh-CN"/>
        </w:rPr>
      </w:pPr>
    </w:p>
    <w:p w14:paraId="4455AB41">
      <w:pPr>
        <w:tabs>
          <w:tab w:val="center" w:pos="4592"/>
          <w:tab w:val="left" w:pos="5921"/>
        </w:tabs>
        <w:spacing w:line="360" w:lineRule="auto"/>
        <w:jc w:val="center"/>
        <w:outlineLvl w:val="0"/>
        <w:rPr>
          <w:rFonts w:hint="eastAsia" w:ascii="Times New Roman" w:hAnsi="Times New Roman" w:eastAsia="宋体"/>
          <w:b/>
          <w:bCs/>
          <w:sz w:val="72"/>
          <w:szCs w:val="72"/>
          <w:u w:val="none"/>
          <w:lang w:eastAsia="zh-CN"/>
        </w:rPr>
      </w:pPr>
      <w:bookmarkStart w:id="0" w:name="_Toc15542"/>
      <w:r>
        <w:rPr>
          <w:rFonts w:hint="eastAsia" w:ascii="Times New Roman" w:hAnsi="Times New Roman"/>
          <w:b/>
          <w:bCs/>
          <w:sz w:val="72"/>
          <w:szCs w:val="72"/>
          <w:u w:val="none"/>
          <w:lang w:eastAsia="zh-CN"/>
        </w:rPr>
        <w:t>永济市开张镇全域土地综合整治（2025年）项目全过程工程咨询服务</w:t>
      </w:r>
      <w:bookmarkEnd w:id="0"/>
    </w:p>
    <w:p w14:paraId="46FE5382">
      <w:pPr>
        <w:pStyle w:val="27"/>
        <w:ind w:firstLine="1044"/>
        <w:rPr>
          <w:b/>
          <w:bCs/>
          <w:sz w:val="52"/>
          <w:szCs w:val="52"/>
          <w:u w:val="none"/>
        </w:rPr>
      </w:pPr>
    </w:p>
    <w:p w14:paraId="6661823C">
      <w:pPr>
        <w:pStyle w:val="27"/>
        <w:ind w:left="0" w:leftChars="0" w:firstLine="0" w:firstLineChars="0"/>
        <w:rPr>
          <w:b/>
          <w:bCs/>
          <w:sz w:val="52"/>
          <w:szCs w:val="52"/>
          <w:u w:val="none"/>
        </w:rPr>
      </w:pPr>
    </w:p>
    <w:p w14:paraId="486FD69F">
      <w:pPr>
        <w:pStyle w:val="27"/>
        <w:ind w:left="0" w:leftChars="0" w:firstLine="0" w:firstLineChars="0"/>
        <w:rPr>
          <w:b/>
          <w:bCs/>
          <w:sz w:val="52"/>
          <w:szCs w:val="52"/>
          <w:u w:val="none"/>
        </w:rPr>
      </w:pPr>
    </w:p>
    <w:p w14:paraId="52542CC2">
      <w:pPr>
        <w:rPr>
          <w:u w:val="none"/>
        </w:rPr>
      </w:pPr>
    </w:p>
    <w:p w14:paraId="54886F43">
      <w:pPr>
        <w:rPr>
          <w:u w:val="none"/>
        </w:rPr>
      </w:pPr>
    </w:p>
    <w:p w14:paraId="03D710E0">
      <w:pPr>
        <w:tabs>
          <w:tab w:val="center" w:pos="4592"/>
          <w:tab w:val="left" w:pos="5921"/>
        </w:tabs>
        <w:spacing w:line="360" w:lineRule="auto"/>
        <w:jc w:val="center"/>
        <w:rPr>
          <w:rFonts w:ascii="Times New Roman" w:hAnsi="Times New Roman"/>
          <w:b/>
          <w:bCs/>
          <w:sz w:val="52"/>
          <w:szCs w:val="52"/>
          <w:u w:val="none"/>
        </w:rPr>
      </w:pPr>
      <w:r>
        <w:rPr>
          <w:rFonts w:hint="eastAsia" w:ascii="Times New Roman" w:hAnsi="Times New Roman"/>
          <w:b/>
          <w:bCs/>
          <w:sz w:val="72"/>
          <w:szCs w:val="72"/>
          <w:u w:val="none"/>
        </w:rPr>
        <w:t>招 标 文 件</w:t>
      </w:r>
    </w:p>
    <w:p w14:paraId="36017A61">
      <w:pPr>
        <w:rPr>
          <w:u w:val="none"/>
        </w:rPr>
      </w:pPr>
    </w:p>
    <w:p w14:paraId="529C6985">
      <w:pPr>
        <w:pStyle w:val="27"/>
        <w:rPr>
          <w:u w:val="none"/>
        </w:rPr>
      </w:pPr>
    </w:p>
    <w:p w14:paraId="3FF8B58C">
      <w:pPr>
        <w:rPr>
          <w:u w:val="none"/>
        </w:rPr>
      </w:pPr>
    </w:p>
    <w:p w14:paraId="3A6E4626">
      <w:pPr>
        <w:rPr>
          <w:u w:val="none"/>
        </w:rPr>
      </w:pPr>
    </w:p>
    <w:p w14:paraId="0672885D">
      <w:pPr>
        <w:pStyle w:val="25"/>
        <w:jc w:val="both"/>
        <w:outlineLvl w:val="9"/>
        <w:rPr>
          <w:u w:val="none"/>
        </w:rPr>
      </w:pPr>
    </w:p>
    <w:p w14:paraId="46A4B371">
      <w:pPr>
        <w:jc w:val="both"/>
        <w:outlineLvl w:val="0"/>
        <w:rPr>
          <w:rFonts w:hint="eastAsia" w:ascii="Times New Roman" w:hAnsi="Times New Roman" w:eastAsia="宋体"/>
          <w:b/>
          <w:bCs/>
          <w:sz w:val="32"/>
          <w:szCs w:val="40"/>
          <w:u w:val="none"/>
          <w:lang w:eastAsia="zh-CN"/>
        </w:rPr>
      </w:pPr>
      <w:bookmarkStart w:id="1" w:name="_Toc3233"/>
      <w:bookmarkStart w:id="2" w:name="_Toc27040"/>
      <w:bookmarkStart w:id="3" w:name="_Toc24697"/>
      <w:r>
        <w:rPr>
          <w:rFonts w:hint="eastAsia" w:ascii="Times New Roman" w:hAnsi="Times New Roman"/>
          <w:b/>
          <w:bCs/>
          <w:sz w:val="32"/>
          <w:szCs w:val="40"/>
          <w:u w:val="none"/>
        </w:rPr>
        <w:t>采 购 人：</w:t>
      </w:r>
      <w:bookmarkEnd w:id="1"/>
      <w:bookmarkEnd w:id="2"/>
      <w:r>
        <w:rPr>
          <w:rFonts w:hint="eastAsia" w:ascii="Times New Roman" w:hAnsi="Times New Roman"/>
          <w:b/>
          <w:bCs/>
          <w:sz w:val="32"/>
          <w:szCs w:val="40"/>
          <w:u w:val="none"/>
          <w:lang w:eastAsia="zh-CN"/>
        </w:rPr>
        <w:t>永济黄河流域生态</w:t>
      </w:r>
      <w:r>
        <w:rPr>
          <w:rFonts w:hint="eastAsia" w:ascii="Times New Roman" w:hAnsi="Times New Roman"/>
          <w:b/>
          <w:bCs/>
          <w:sz w:val="32"/>
          <w:szCs w:val="40"/>
          <w:u w:val="none"/>
          <w:lang w:val="en-US" w:eastAsia="zh-CN"/>
        </w:rPr>
        <w:t>保</w:t>
      </w:r>
      <w:r>
        <w:rPr>
          <w:rFonts w:hint="eastAsia" w:ascii="Times New Roman" w:hAnsi="Times New Roman"/>
          <w:b/>
          <w:bCs/>
          <w:sz w:val="32"/>
          <w:szCs w:val="40"/>
          <w:u w:val="none"/>
          <w:lang w:eastAsia="zh-CN"/>
        </w:rPr>
        <w:t>护和高质量发展促进中心</w:t>
      </w:r>
      <w:bookmarkEnd w:id="3"/>
    </w:p>
    <w:p w14:paraId="2F1E6AE8">
      <w:pPr>
        <w:jc w:val="both"/>
        <w:outlineLvl w:val="0"/>
        <w:rPr>
          <w:rFonts w:hint="eastAsia" w:eastAsia="宋体"/>
          <w:b/>
          <w:bCs/>
          <w:sz w:val="32"/>
          <w:szCs w:val="40"/>
          <w:u w:val="none"/>
          <w:lang w:eastAsia="zh-CN"/>
        </w:rPr>
      </w:pPr>
      <w:bookmarkStart w:id="4" w:name="_Toc26591"/>
      <w:bookmarkStart w:id="5" w:name="_Toc16858"/>
      <w:bookmarkStart w:id="6" w:name="_Toc9243"/>
      <w:r>
        <w:rPr>
          <w:rFonts w:hint="eastAsia" w:ascii="Times New Roman" w:hAnsi="Times New Roman"/>
          <w:b/>
          <w:bCs/>
          <w:sz w:val="32"/>
          <w:szCs w:val="40"/>
          <w:u w:val="none"/>
        </w:rPr>
        <w:t>代理机构：</w:t>
      </w:r>
      <w:bookmarkEnd w:id="4"/>
      <w:r>
        <w:rPr>
          <w:rFonts w:hint="eastAsia" w:ascii="Times New Roman" w:hAnsi="Times New Roman"/>
          <w:b/>
          <w:bCs/>
          <w:sz w:val="32"/>
          <w:szCs w:val="40"/>
          <w:u w:val="none"/>
          <w:lang w:eastAsia="zh-CN"/>
        </w:rPr>
        <w:t>山西诚赢天下工程项目管理有限公司</w:t>
      </w:r>
      <w:bookmarkEnd w:id="5"/>
      <w:bookmarkEnd w:id="6"/>
    </w:p>
    <w:p w14:paraId="1E714E41">
      <w:pPr>
        <w:jc w:val="both"/>
        <w:rPr>
          <w:u w:val="none"/>
        </w:rPr>
      </w:pPr>
      <w:r>
        <w:rPr>
          <w:rFonts w:hint="eastAsia"/>
          <w:b/>
          <w:bCs/>
          <w:sz w:val="32"/>
          <w:szCs w:val="40"/>
          <w:u w:val="none"/>
          <w:lang w:val="en-US" w:eastAsia="zh-CN"/>
        </w:rPr>
        <w:t>日    期：</w:t>
      </w:r>
      <w:r>
        <w:rPr>
          <w:rFonts w:hint="eastAsia"/>
          <w:b/>
          <w:bCs/>
          <w:sz w:val="32"/>
          <w:szCs w:val="40"/>
          <w:u w:val="none"/>
        </w:rPr>
        <w:t>二</w:t>
      </w:r>
      <w:r>
        <w:rPr>
          <w:rFonts w:hint="eastAsia"/>
          <w:b/>
          <w:bCs/>
          <w:sz w:val="32"/>
          <w:szCs w:val="40"/>
          <w:u w:val="none"/>
          <w:lang w:val="en-US" w:eastAsia="zh-CN"/>
        </w:rPr>
        <w:t>〇</w:t>
      </w:r>
      <w:r>
        <w:rPr>
          <w:rFonts w:hint="eastAsia"/>
          <w:b/>
          <w:bCs/>
          <w:sz w:val="32"/>
          <w:szCs w:val="40"/>
          <w:u w:val="none"/>
        </w:rPr>
        <w:t>二</w:t>
      </w:r>
      <w:r>
        <w:rPr>
          <w:rFonts w:hint="eastAsia"/>
          <w:b/>
          <w:bCs/>
          <w:sz w:val="32"/>
          <w:szCs w:val="40"/>
          <w:u w:val="none"/>
          <w:lang w:val="en-US" w:eastAsia="zh-CN"/>
        </w:rPr>
        <w:t>五</w:t>
      </w:r>
      <w:r>
        <w:rPr>
          <w:rFonts w:hint="eastAsia"/>
          <w:b/>
          <w:bCs/>
          <w:sz w:val="32"/>
          <w:szCs w:val="40"/>
          <w:u w:val="none"/>
        </w:rPr>
        <w:t>年</w:t>
      </w:r>
      <w:r>
        <w:rPr>
          <w:rFonts w:hint="eastAsia"/>
          <w:b/>
          <w:bCs/>
          <w:sz w:val="32"/>
          <w:szCs w:val="40"/>
          <w:u w:val="none"/>
          <w:lang w:val="en-US" w:eastAsia="zh-CN"/>
        </w:rPr>
        <w:t>十一</w:t>
      </w:r>
      <w:r>
        <w:rPr>
          <w:rFonts w:hint="eastAsia"/>
          <w:b/>
          <w:bCs/>
          <w:sz w:val="32"/>
          <w:szCs w:val="40"/>
          <w:u w:val="none"/>
        </w:rPr>
        <w:t>月</w:t>
      </w:r>
    </w:p>
    <w:p w14:paraId="2670CD1D">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sectPr>
          <w:headerReference r:id="rId4" w:type="first"/>
          <w:headerReference r:id="rId3" w:type="default"/>
          <w:pgSz w:w="11907" w:h="16840"/>
          <w:pgMar w:top="1701" w:right="1588" w:bottom="1588" w:left="1588" w:header="851" w:footer="1304" w:gutter="0"/>
          <w:pgNumType w:start="1"/>
          <w:cols w:space="720" w:num="1"/>
          <w:titlePg/>
          <w:docGrid w:type="lines" w:linePitch="312" w:charSpace="0"/>
        </w:sectPr>
      </w:pPr>
    </w:p>
    <w:sdt>
      <w:sdtPr>
        <w:rPr>
          <w:rFonts w:ascii="宋体" w:hAnsi="宋体" w:eastAsia="宋体" w:cs="Times New Roman"/>
          <w:kern w:val="2"/>
          <w:sz w:val="21"/>
          <w:lang w:val="en-US" w:eastAsia="zh-CN" w:bidi="ar-SA"/>
        </w:rPr>
        <w:id w:val="147457012"/>
        <w15:color w:val="DBDBDB"/>
        <w:docPartObj>
          <w:docPartGallery w:val="Table of Contents"/>
          <w:docPartUnique/>
        </w:docPartObj>
      </w:sdtPr>
      <w:sdtEndPr>
        <w:rPr>
          <w:rFonts w:ascii="Arial" w:hAnsi="Arial" w:eastAsia="宋体" w:cs="Arial"/>
          <w:b/>
          <w:bCs/>
          <w:kern w:val="2"/>
          <w:sz w:val="32"/>
          <w:szCs w:val="32"/>
          <w:u w:val="none"/>
          <w:lang w:val="en-US" w:eastAsia="zh-CN" w:bidi="ar-SA"/>
        </w:rPr>
      </w:sdtEndPr>
      <w:sdtContent>
        <w:p w14:paraId="3F32BCE5">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sz w:val="28"/>
              <w:szCs w:val="24"/>
            </w:rPr>
          </w:pPr>
          <w:r>
            <w:rPr>
              <w:rFonts w:hint="eastAsia" w:ascii="宋体" w:hAnsi="宋体" w:eastAsia="宋体" w:cs="宋体"/>
              <w:b w:val="0"/>
              <w:bCs w:val="0"/>
              <w:sz w:val="28"/>
              <w:szCs w:val="24"/>
            </w:rPr>
            <w:t>目录</w:t>
          </w:r>
          <w:r>
            <w:rPr>
              <w:rFonts w:hint="eastAsia" w:ascii="宋体" w:hAnsi="宋体" w:eastAsia="宋体" w:cs="宋体"/>
              <w:b w:val="0"/>
              <w:bCs w:val="0"/>
              <w:sz w:val="28"/>
              <w:szCs w:val="24"/>
              <w:u w:val="none"/>
            </w:rPr>
            <w:fldChar w:fldCharType="begin"/>
          </w:r>
          <w:r>
            <w:rPr>
              <w:rFonts w:hint="eastAsia" w:ascii="宋体" w:hAnsi="宋体" w:eastAsia="宋体" w:cs="宋体"/>
              <w:b w:val="0"/>
              <w:bCs w:val="0"/>
              <w:sz w:val="28"/>
              <w:szCs w:val="24"/>
              <w:u w:val="none"/>
            </w:rPr>
            <w:instrText xml:space="preserve">TOC \o "1-1" \h \u </w:instrText>
          </w:r>
          <w:r>
            <w:rPr>
              <w:rFonts w:hint="eastAsia" w:ascii="宋体" w:hAnsi="宋体" w:eastAsia="宋体" w:cs="宋体"/>
              <w:b w:val="0"/>
              <w:bCs w:val="0"/>
              <w:sz w:val="28"/>
              <w:szCs w:val="24"/>
              <w:u w:val="none"/>
            </w:rPr>
            <w:fldChar w:fldCharType="separate"/>
          </w:r>
        </w:p>
        <w:p w14:paraId="37A3F503">
          <w:pPr>
            <w:pStyle w:val="19"/>
            <w:keepNext w:val="0"/>
            <w:keepLines w:val="0"/>
            <w:pageBreakBefore w:val="0"/>
            <w:tabs>
              <w:tab w:val="right" w:leader="dot" w:pos="873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u w:val="none"/>
            </w:rPr>
            <w:fldChar w:fldCharType="begin"/>
          </w:r>
          <w:r>
            <w:rPr>
              <w:rFonts w:hint="eastAsia" w:ascii="宋体" w:hAnsi="宋体" w:eastAsia="宋体" w:cs="宋体"/>
              <w:b w:val="0"/>
              <w:bCs w:val="0"/>
              <w:sz w:val="24"/>
              <w:szCs w:val="24"/>
            </w:rPr>
            <w:instrText xml:space="preserve"> HYPERLINK \l _Toc19812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第一章 招标公告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_Toc19812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u w:val="none"/>
            </w:rPr>
            <w:fldChar w:fldCharType="end"/>
          </w:r>
        </w:p>
        <w:p w14:paraId="093F14D0">
          <w:pPr>
            <w:pStyle w:val="19"/>
            <w:keepNext w:val="0"/>
            <w:keepLines w:val="0"/>
            <w:pageBreakBefore w:val="0"/>
            <w:tabs>
              <w:tab w:val="right" w:leader="dot" w:pos="873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u w:val="none"/>
            </w:rPr>
            <w:fldChar w:fldCharType="begin"/>
          </w:r>
          <w:r>
            <w:rPr>
              <w:rFonts w:hint="eastAsia" w:ascii="宋体" w:hAnsi="宋体" w:eastAsia="宋体" w:cs="宋体"/>
              <w:b w:val="0"/>
              <w:bCs w:val="0"/>
              <w:sz w:val="24"/>
              <w:szCs w:val="24"/>
            </w:rPr>
            <w:instrText xml:space="preserve"> HYPERLINK \l _Toc12846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第二章 招标文件前附表及投标须知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_Toc12846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u w:val="none"/>
            </w:rPr>
            <w:fldChar w:fldCharType="end"/>
          </w:r>
        </w:p>
        <w:p w14:paraId="4179EA26">
          <w:pPr>
            <w:pStyle w:val="19"/>
            <w:keepNext w:val="0"/>
            <w:keepLines w:val="0"/>
            <w:pageBreakBefore w:val="0"/>
            <w:tabs>
              <w:tab w:val="right" w:leader="dot" w:pos="873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u w:val="none"/>
            </w:rPr>
            <w:fldChar w:fldCharType="begin"/>
          </w:r>
          <w:r>
            <w:rPr>
              <w:rFonts w:hint="eastAsia" w:ascii="宋体" w:hAnsi="宋体" w:eastAsia="宋体" w:cs="宋体"/>
              <w:b w:val="0"/>
              <w:bCs w:val="0"/>
              <w:sz w:val="24"/>
              <w:szCs w:val="24"/>
            </w:rPr>
            <w:instrText xml:space="preserve"> HYPERLINK \l _Toc27211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w:t>
          </w: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章 采购需求</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_Toc27211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u w:val="none"/>
            </w:rPr>
            <w:fldChar w:fldCharType="end"/>
          </w:r>
        </w:p>
        <w:p w14:paraId="3A2012D0">
          <w:pPr>
            <w:pStyle w:val="19"/>
            <w:keepNext w:val="0"/>
            <w:keepLines w:val="0"/>
            <w:pageBreakBefore w:val="0"/>
            <w:tabs>
              <w:tab w:val="right" w:leader="dot" w:pos="873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u w:val="none"/>
            </w:rPr>
            <w:fldChar w:fldCharType="begin"/>
          </w:r>
          <w:r>
            <w:rPr>
              <w:rFonts w:hint="eastAsia" w:ascii="宋体" w:hAnsi="宋体" w:eastAsia="宋体" w:cs="宋体"/>
              <w:b w:val="0"/>
              <w:bCs w:val="0"/>
              <w:sz w:val="24"/>
              <w:szCs w:val="24"/>
            </w:rPr>
            <w:instrText xml:space="preserve"> HYPERLINK \l _Toc13622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w:t>
          </w: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章 评标方法及标准</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_Toc13622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u w:val="none"/>
            </w:rPr>
            <w:fldChar w:fldCharType="end"/>
          </w:r>
        </w:p>
        <w:p w14:paraId="75703D58">
          <w:pPr>
            <w:pStyle w:val="19"/>
            <w:keepNext w:val="0"/>
            <w:keepLines w:val="0"/>
            <w:pageBreakBefore w:val="0"/>
            <w:tabs>
              <w:tab w:val="right" w:leader="dot" w:pos="873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u w:val="none"/>
            </w:rPr>
            <w:fldChar w:fldCharType="begin"/>
          </w:r>
          <w:r>
            <w:rPr>
              <w:rFonts w:hint="eastAsia" w:ascii="宋体" w:hAnsi="宋体" w:eastAsia="宋体" w:cs="宋体"/>
              <w:b w:val="0"/>
              <w:bCs w:val="0"/>
              <w:sz w:val="24"/>
              <w:szCs w:val="24"/>
            </w:rPr>
            <w:instrText xml:space="preserve"> HYPERLINK \l _Toc18078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w:t>
          </w: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rPr>
            <w:t>章 合同格式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_Toc18078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u w:val="none"/>
            </w:rPr>
            <w:fldChar w:fldCharType="end"/>
          </w:r>
        </w:p>
        <w:p w14:paraId="774B093E">
          <w:pPr>
            <w:pStyle w:val="19"/>
            <w:keepNext w:val="0"/>
            <w:keepLines w:val="0"/>
            <w:pageBreakBefore w:val="0"/>
            <w:tabs>
              <w:tab w:val="right" w:leader="dot" w:pos="873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u w:val="none"/>
            </w:rPr>
            <w:fldChar w:fldCharType="begin"/>
          </w:r>
          <w:r>
            <w:rPr>
              <w:rFonts w:hint="eastAsia" w:ascii="宋体" w:hAnsi="宋体" w:eastAsia="宋体" w:cs="宋体"/>
              <w:b w:val="0"/>
              <w:bCs w:val="0"/>
              <w:sz w:val="24"/>
              <w:szCs w:val="24"/>
            </w:rPr>
            <w:instrText xml:space="preserve"> HYPERLINK \l _Toc6170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第六章 投标文件的组成</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_Toc6170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u w:val="none"/>
            </w:rPr>
            <w:fldChar w:fldCharType="end"/>
          </w:r>
        </w:p>
        <w:p w14:paraId="59C10B91">
          <w:pPr>
            <w:pStyle w:val="25"/>
            <w:keepNext w:val="0"/>
            <w:keepLines w:val="0"/>
            <w:pageBreakBefore w:val="0"/>
            <w:kinsoku/>
            <w:wordWrap/>
            <w:overflowPunct/>
            <w:topLinePunct w:val="0"/>
            <w:autoSpaceDE/>
            <w:autoSpaceDN/>
            <w:bidi w:val="0"/>
            <w:adjustRightInd/>
            <w:snapToGrid/>
            <w:spacing w:line="360" w:lineRule="auto"/>
            <w:textAlignment w:val="auto"/>
            <w:outlineLvl w:val="9"/>
            <w:rPr>
              <w:rFonts w:ascii="Arial" w:hAnsi="Arial" w:eastAsia="宋体" w:cs="Arial"/>
              <w:b/>
              <w:bCs/>
              <w:kern w:val="2"/>
              <w:sz w:val="32"/>
              <w:szCs w:val="32"/>
              <w:u w:val="none"/>
              <w:lang w:val="en-US" w:eastAsia="zh-CN" w:bidi="ar-SA"/>
            </w:rPr>
          </w:pPr>
          <w:r>
            <w:rPr>
              <w:rFonts w:hint="eastAsia" w:ascii="宋体" w:hAnsi="宋体" w:eastAsia="宋体" w:cs="宋体"/>
              <w:b w:val="0"/>
              <w:bCs w:val="0"/>
              <w:sz w:val="44"/>
              <w:szCs w:val="44"/>
              <w:u w:val="none"/>
            </w:rPr>
            <w:fldChar w:fldCharType="end"/>
          </w:r>
        </w:p>
      </w:sdtContent>
    </w:sdt>
    <w:p w14:paraId="4BE91244"/>
    <w:p w14:paraId="4B17D3FC">
      <w:pPr>
        <w:pStyle w:val="25"/>
        <w:outlineLvl w:val="9"/>
        <w:rPr>
          <w:u w:val="none"/>
        </w:rPr>
        <w:sectPr>
          <w:pgSz w:w="11907" w:h="16840"/>
          <w:pgMar w:top="1701" w:right="1588" w:bottom="1588" w:left="1588" w:header="851" w:footer="1304" w:gutter="0"/>
          <w:pgNumType w:start="1"/>
          <w:cols w:space="720" w:num="1"/>
          <w:titlePg/>
          <w:docGrid w:type="lines" w:linePitch="312" w:charSpace="0"/>
        </w:sectPr>
      </w:pPr>
      <w:bookmarkStart w:id="162" w:name="_GoBack"/>
      <w:bookmarkEnd w:id="162"/>
    </w:p>
    <w:p w14:paraId="5BBFB414">
      <w:pPr>
        <w:pStyle w:val="2"/>
        <w:rPr>
          <w:u w:val="none"/>
        </w:rPr>
      </w:pPr>
      <w:bookmarkStart w:id="7" w:name="_Toc31663"/>
      <w:bookmarkStart w:id="8" w:name="_Toc24193"/>
      <w:bookmarkStart w:id="9" w:name="_Toc32350"/>
      <w:bookmarkStart w:id="10" w:name="_Toc25779"/>
      <w:bookmarkStart w:id="11" w:name="_Toc1551"/>
      <w:bookmarkStart w:id="12" w:name="_Toc19329"/>
      <w:bookmarkStart w:id="13" w:name="_Toc11388"/>
      <w:bookmarkStart w:id="14" w:name="_Toc16372"/>
      <w:bookmarkStart w:id="15" w:name="_Toc15111"/>
      <w:bookmarkStart w:id="16" w:name="_Toc3299"/>
      <w:bookmarkStart w:id="17" w:name="_Toc32539"/>
      <w:bookmarkStart w:id="18" w:name="_Toc19812"/>
      <w:r>
        <w:rPr>
          <w:rFonts w:hint="eastAsia"/>
          <w:u w:val="none"/>
        </w:rPr>
        <w:t>第一章 招标公告</w:t>
      </w:r>
      <w:bookmarkEnd w:id="7"/>
      <w:bookmarkEnd w:id="8"/>
      <w:bookmarkEnd w:id="9"/>
      <w:bookmarkEnd w:id="10"/>
      <w:bookmarkEnd w:id="11"/>
      <w:bookmarkEnd w:id="12"/>
      <w:bookmarkEnd w:id="13"/>
      <w:bookmarkEnd w:id="14"/>
      <w:bookmarkEnd w:id="15"/>
      <w:bookmarkEnd w:id="16"/>
      <w:bookmarkEnd w:id="17"/>
      <w:bookmarkEnd w:id="18"/>
    </w:p>
    <w:tbl>
      <w:tblPr>
        <w:tblStyle w:val="28"/>
        <w:tblpPr w:leftFromText="180" w:rightFromText="180" w:vertAnchor="text" w:horzAnchor="page" w:tblpX="1747" w:tblpY="79"/>
        <w:tblOverlap w:val="never"/>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8"/>
      </w:tblGrid>
      <w:tr w14:paraId="4CD8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238" w:type="dxa"/>
            <w:tcBorders>
              <w:top w:val="single" w:color="auto" w:sz="4" w:space="0"/>
              <w:left w:val="single" w:color="auto" w:sz="4" w:space="0"/>
              <w:bottom w:val="single" w:color="auto" w:sz="4" w:space="0"/>
              <w:right w:val="single" w:color="auto" w:sz="4" w:space="0"/>
            </w:tcBorders>
          </w:tcPr>
          <w:p w14:paraId="0B26044E">
            <w:pPr>
              <w:autoSpaceDE w:val="0"/>
              <w:spacing w:line="440" w:lineRule="exact"/>
              <w:ind w:firstLine="480" w:firstLineChars="200"/>
              <w:jc w:val="left"/>
              <w:rPr>
                <w:u w:val="none"/>
              </w:rPr>
            </w:pPr>
            <w:bookmarkStart w:id="19" w:name="_Toc19866_WPSOffice_Level1"/>
            <w:r>
              <w:rPr>
                <w:rFonts w:hint="eastAsia" w:ascii="宋体" w:hAnsi="宋体" w:cs="宋体"/>
                <w:sz w:val="24"/>
                <w:u w:val="none"/>
              </w:rPr>
              <w:t>项目概况</w:t>
            </w:r>
          </w:p>
          <w:p w14:paraId="71862D44">
            <w:pPr>
              <w:adjustRightInd w:val="0"/>
              <w:snapToGrid w:val="0"/>
              <w:spacing w:line="450" w:lineRule="exact"/>
              <w:ind w:firstLine="480" w:firstLineChars="200"/>
              <w:rPr>
                <w:rFonts w:ascii="宋体" w:hAnsi="宋体" w:cs="宋体"/>
                <w:sz w:val="24"/>
                <w:szCs w:val="24"/>
                <w:u w:val="none"/>
              </w:rPr>
            </w:pPr>
            <w:r>
              <w:rPr>
                <w:rFonts w:hint="eastAsia" w:ascii="宋体" w:hAnsi="宋体" w:cs="宋体"/>
                <w:caps w:val="0"/>
                <w:color w:val="auto"/>
                <w:spacing w:val="0"/>
                <w:sz w:val="24"/>
                <w:szCs w:val="24"/>
                <w:highlight w:val="none"/>
                <w:lang w:eastAsia="zh-CN"/>
              </w:rPr>
              <w:t>永济市开张镇全域土地综合整治（2025年）项目全过程工程咨询服务</w:t>
            </w:r>
            <w:r>
              <w:rPr>
                <w:rFonts w:hint="eastAsia" w:ascii="宋体" w:hAnsi="宋体" w:eastAsia="宋体" w:cs="宋体"/>
                <w:caps w:val="0"/>
                <w:color w:val="auto"/>
                <w:spacing w:val="0"/>
                <w:sz w:val="24"/>
                <w:szCs w:val="24"/>
                <w:highlight w:val="none"/>
              </w:rPr>
              <w:t>的潜在</w:t>
            </w:r>
            <w:r>
              <w:rPr>
                <w:rFonts w:hint="eastAsia" w:ascii="宋体" w:hAnsi="宋体" w:eastAsia="宋体" w:cs="宋体"/>
                <w:caps w:val="0"/>
                <w:color w:val="auto"/>
                <w:spacing w:val="0"/>
                <w:sz w:val="24"/>
                <w:szCs w:val="24"/>
                <w:highlight w:val="none"/>
                <w:lang w:eastAsia="zh-CN"/>
              </w:rPr>
              <w:t>供应商</w:t>
            </w:r>
            <w:r>
              <w:rPr>
                <w:rFonts w:hint="eastAsia" w:ascii="宋体" w:hAnsi="宋体" w:eastAsia="宋体" w:cs="宋体"/>
                <w:caps w:val="0"/>
                <w:color w:val="auto"/>
                <w:spacing w:val="0"/>
                <w:sz w:val="24"/>
                <w:szCs w:val="24"/>
                <w:highlight w:val="none"/>
              </w:rPr>
              <w:t>应在山西政府采购平台获取采购文件，并于</w:t>
            </w:r>
            <w:r>
              <w:rPr>
                <w:rFonts w:hint="eastAsia" w:ascii="宋体" w:hAnsi="宋体" w:cs="宋体"/>
                <w:color w:val="auto"/>
                <w:sz w:val="24"/>
                <w:szCs w:val="24"/>
                <w:highlight w:val="none"/>
                <w:lang w:val="en-US" w:eastAsia="zh-CN"/>
              </w:rPr>
              <w:t>2025年12月03日09:00</w:t>
            </w:r>
            <w:r>
              <w:rPr>
                <w:rFonts w:hint="eastAsia" w:ascii="宋体" w:hAnsi="宋体" w:eastAsia="宋体" w:cs="宋体"/>
                <w:caps w:val="0"/>
                <w:color w:val="auto"/>
                <w:spacing w:val="0"/>
                <w:sz w:val="24"/>
                <w:szCs w:val="24"/>
                <w:highlight w:val="none"/>
              </w:rPr>
              <w:t>（北京时间）前递交</w:t>
            </w:r>
            <w:r>
              <w:rPr>
                <w:rFonts w:hint="eastAsia" w:ascii="宋体" w:hAnsi="宋体" w:cs="宋体"/>
                <w:caps w:val="0"/>
                <w:color w:val="auto"/>
                <w:spacing w:val="0"/>
                <w:sz w:val="24"/>
                <w:szCs w:val="24"/>
                <w:highlight w:val="none"/>
                <w:lang w:eastAsia="zh-CN"/>
              </w:rPr>
              <w:t>投标</w:t>
            </w:r>
            <w:r>
              <w:rPr>
                <w:rFonts w:hint="eastAsia" w:ascii="宋体" w:hAnsi="宋体" w:eastAsia="宋体" w:cs="宋体"/>
                <w:caps w:val="0"/>
                <w:color w:val="auto"/>
                <w:spacing w:val="0"/>
                <w:sz w:val="24"/>
                <w:szCs w:val="24"/>
                <w:highlight w:val="none"/>
                <w:lang w:eastAsia="zh-CN"/>
              </w:rPr>
              <w:t>文件</w:t>
            </w:r>
            <w:r>
              <w:rPr>
                <w:rFonts w:hint="eastAsia" w:ascii="宋体" w:hAnsi="宋体" w:cs="宋体"/>
                <w:kern w:val="0"/>
                <w:sz w:val="24"/>
                <w:szCs w:val="24"/>
                <w:u w:val="none"/>
              </w:rPr>
              <w:t>。</w:t>
            </w:r>
          </w:p>
        </w:tc>
      </w:tr>
    </w:tbl>
    <w:p w14:paraId="17E0EE11">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jc w:val="both"/>
        <w:textAlignment w:val="auto"/>
        <w:rPr>
          <w:rFonts w:hint="eastAsia" w:ascii="宋体" w:hAnsi="宋体" w:eastAsia="宋体" w:cs="宋体"/>
          <w:sz w:val="31"/>
          <w:szCs w:val="31"/>
          <w:highlight w:val="none"/>
        </w:rPr>
      </w:pPr>
      <w:r>
        <w:rPr>
          <w:rStyle w:val="31"/>
          <w:rFonts w:hint="eastAsia" w:ascii="宋体" w:hAnsi="宋体" w:eastAsia="宋体" w:cs="宋体"/>
          <w:sz w:val="24"/>
          <w:szCs w:val="24"/>
          <w:highlight w:val="none"/>
        </w:rPr>
        <w:t>一、项目基本情况</w:t>
      </w:r>
    </w:p>
    <w:p w14:paraId="65E4B33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项目编号：1408812025CGK00129</w:t>
      </w:r>
    </w:p>
    <w:p w14:paraId="78432F2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eastAsia="zh-CN"/>
        </w:rPr>
      </w:pPr>
      <w:r>
        <w:rPr>
          <w:rFonts w:hint="eastAsia" w:ascii="宋体" w:hAnsi="宋体" w:eastAsia="宋体" w:cs="宋体"/>
          <w:sz w:val="24"/>
          <w:szCs w:val="24"/>
          <w:highlight w:val="none"/>
        </w:rPr>
        <w:t>项目名称：</w:t>
      </w:r>
      <w:r>
        <w:rPr>
          <w:rStyle w:val="35"/>
          <w:rFonts w:hint="eastAsia" w:ascii="宋体" w:hAnsi="宋体" w:cs="宋体"/>
          <w:sz w:val="24"/>
          <w:szCs w:val="24"/>
          <w:highlight w:val="none"/>
          <w:lang w:eastAsia="zh-CN"/>
        </w:rPr>
        <w:t>永济市开张镇全域土地综合整治（2025年）项目全过程工程咨询服务</w:t>
      </w:r>
    </w:p>
    <w:p w14:paraId="01DF7E4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eastAsia="zh-CN"/>
        </w:rPr>
      </w:pPr>
      <w:r>
        <w:rPr>
          <w:rFonts w:hint="eastAsia" w:ascii="宋体" w:hAnsi="宋体" w:eastAsia="宋体" w:cs="宋体"/>
          <w:sz w:val="24"/>
          <w:szCs w:val="24"/>
          <w:highlight w:val="none"/>
        </w:rPr>
        <w:t>预算金额（元）：</w:t>
      </w:r>
      <w:r>
        <w:rPr>
          <w:rStyle w:val="35"/>
          <w:rFonts w:hint="eastAsia" w:ascii="宋体" w:hAnsi="宋体" w:cs="宋体"/>
          <w:sz w:val="24"/>
          <w:szCs w:val="24"/>
          <w:highlight w:val="none"/>
          <w:lang w:eastAsia="zh-CN"/>
        </w:rPr>
        <w:t>14185000元</w:t>
      </w:r>
    </w:p>
    <w:p w14:paraId="2C68BD9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rPr>
        <w:t>最高限价（元）：</w:t>
      </w:r>
      <w:r>
        <w:rPr>
          <w:rFonts w:hint="eastAsia" w:cs="宋体"/>
          <w:sz w:val="24"/>
          <w:szCs w:val="24"/>
          <w:highlight w:val="none"/>
          <w:lang w:val="en-US" w:eastAsia="zh-CN"/>
        </w:rPr>
        <w:t>/</w:t>
      </w:r>
    </w:p>
    <w:p w14:paraId="2AD6565E">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sz w:val="24"/>
          <w:szCs w:val="24"/>
          <w:highlight w:val="none"/>
        </w:rPr>
        <w:t>采购需求：</w:t>
      </w:r>
      <w:r>
        <w:rPr>
          <w:rFonts w:hint="eastAsia" w:ascii="宋体" w:hAnsi="宋体" w:eastAsia="宋体" w:cs="宋体"/>
          <w:kern w:val="0"/>
          <w:sz w:val="24"/>
          <w:szCs w:val="24"/>
          <w:highlight w:val="none"/>
          <w:shd w:val="clear" w:color="auto" w:fill="F7F7F7"/>
          <w:lang w:val="en-US" w:eastAsia="zh-CN" w:bidi="ar"/>
        </w:rPr>
        <w:br w:type="textWrapping"/>
      </w:r>
      <w:r>
        <w:rPr>
          <w:rFonts w:hint="eastAsia" w:ascii="宋体" w:hAnsi="宋体" w:eastAsia="宋体" w:cs="宋体"/>
          <w:sz w:val="24"/>
          <w:szCs w:val="24"/>
          <w:highlight w:val="none"/>
          <w:lang w:val="en-US" w:eastAsia="zh-CN"/>
        </w:rPr>
        <w:t>     标项名称：</w:t>
      </w:r>
      <w:r>
        <w:rPr>
          <w:rFonts w:hint="eastAsia" w:ascii="宋体" w:hAnsi="宋体" w:cs="宋体"/>
          <w:sz w:val="24"/>
          <w:szCs w:val="24"/>
          <w:highlight w:val="none"/>
          <w:lang w:val="en-US" w:eastAsia="zh-CN"/>
        </w:rPr>
        <w:t>永济市开张镇全域土地综合整治（2025年）项目全过程工程咨询服务</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数量：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预算金额（元）：</w:t>
      </w:r>
      <w:r>
        <w:rPr>
          <w:rFonts w:hint="eastAsia" w:ascii="宋体" w:hAnsi="宋体" w:cs="宋体"/>
          <w:sz w:val="24"/>
          <w:szCs w:val="24"/>
          <w:highlight w:val="none"/>
          <w:lang w:val="en-US" w:eastAsia="zh-CN"/>
        </w:rPr>
        <w:t>14185000元</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简要规格描述：建设规模：整治建设区域总面积2639.65公顷，其中农用地整治与土壤治理2538.92公顷，村庄建设用地整理23.86公顷，乡村生态保护修复76.87公顷。建设内容：农用地整治、建设用地整理、乡村生态保护修复、乡村风貌提升和历史文化保护、产业导入与农业发展五项内容。</w:t>
      </w:r>
      <w:r>
        <w:rPr>
          <w:rFonts w:hint="eastAsia" w:ascii="宋体" w:hAnsi="宋体" w:cs="宋体"/>
          <w:sz w:val="24"/>
          <w:szCs w:val="24"/>
          <w:highlight w:val="none"/>
          <w:lang w:val="en-US" w:eastAsia="zh-CN"/>
        </w:rPr>
        <w:t>本项目采购</w:t>
      </w:r>
      <w:r>
        <w:rPr>
          <w:rFonts w:hint="eastAsia" w:ascii="宋体" w:hAnsi="宋体" w:eastAsia="宋体" w:cs="宋体"/>
          <w:sz w:val="24"/>
          <w:szCs w:val="24"/>
          <w:highlight w:val="none"/>
          <w:lang w:val="en-US" w:eastAsia="zh-CN"/>
        </w:rPr>
        <w:t>内容：1.全过程项目管理、2.</w:t>
      </w:r>
      <w:r>
        <w:rPr>
          <w:rFonts w:hint="eastAsia" w:ascii="宋体" w:hAnsi="宋体" w:cs="宋体"/>
          <w:sz w:val="24"/>
          <w:szCs w:val="24"/>
          <w:highlight w:val="none"/>
          <w:lang w:val="en-US" w:eastAsia="zh-CN"/>
        </w:rPr>
        <w:t>后续环节</w:t>
      </w:r>
      <w:r>
        <w:rPr>
          <w:rFonts w:hint="eastAsia" w:ascii="宋体" w:hAnsi="宋体" w:eastAsia="宋体" w:cs="宋体"/>
          <w:sz w:val="24"/>
          <w:szCs w:val="24"/>
          <w:highlight w:val="none"/>
          <w:lang w:val="en-US" w:eastAsia="zh-CN"/>
        </w:rPr>
        <w:t>招标代理服务、3.社会稳定风险分析报告、4.环境影响评估报告、5.水影响评价报告、</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.可行性研究报告、</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全过程造价咨询。</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备注：</w:t>
      </w:r>
    </w:p>
    <w:p w14:paraId="0CFF4C4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default" w:ascii="宋体" w:hAnsi="宋体" w:eastAsia="宋体" w:cs="宋体"/>
          <w:highlight w:val="none"/>
          <w:lang w:val="en-US" w:eastAsia="zh-CN"/>
        </w:rPr>
      </w:pPr>
      <w:r>
        <w:rPr>
          <w:rFonts w:hint="eastAsia" w:ascii="宋体" w:hAnsi="宋体" w:eastAsia="宋体" w:cs="宋体"/>
          <w:highlight w:val="none"/>
        </w:rPr>
        <w:t>合同履约期限：</w:t>
      </w:r>
      <w:r>
        <w:rPr>
          <w:rFonts w:hint="eastAsia" w:cs="宋体"/>
          <w:highlight w:val="none"/>
          <w:lang w:eastAsia="zh-CN"/>
        </w:rPr>
        <w:t>标项</w:t>
      </w:r>
      <w:r>
        <w:rPr>
          <w:rFonts w:hint="eastAsia" w:cs="宋体"/>
          <w:highlight w:val="none"/>
          <w:lang w:val="en-US" w:eastAsia="zh-CN"/>
        </w:rPr>
        <w:t>1</w:t>
      </w:r>
      <w:r>
        <w:rPr>
          <w:rStyle w:val="35"/>
          <w:rFonts w:hint="eastAsia" w:ascii="宋体" w:hAnsi="宋体" w:eastAsia="宋体" w:cs="宋体"/>
          <w:highlight w:val="none"/>
        </w:rPr>
        <w:t>，</w:t>
      </w:r>
      <w:r>
        <w:rPr>
          <w:rStyle w:val="35"/>
          <w:rFonts w:hint="eastAsia" w:ascii="宋体" w:hAnsi="宋体" w:cs="宋体"/>
          <w:highlight w:val="none"/>
          <w:lang w:val="en-US" w:eastAsia="zh-CN"/>
        </w:rPr>
        <w:t>自合同协议书签订之日起至</w:t>
      </w:r>
      <w:r>
        <w:rPr>
          <w:rFonts w:hint="eastAsia" w:ascii="宋体" w:hAnsi="宋体" w:cs="宋体"/>
          <w:sz w:val="24"/>
          <w:szCs w:val="24"/>
          <w:highlight w:val="none"/>
          <w:lang w:val="en-US" w:eastAsia="zh-CN"/>
        </w:rPr>
        <w:t>全过程工程咨询服务各项</w:t>
      </w:r>
      <w:r>
        <w:rPr>
          <w:rStyle w:val="35"/>
          <w:rFonts w:hint="eastAsia" w:ascii="宋体" w:hAnsi="宋体" w:cs="宋体"/>
          <w:highlight w:val="none"/>
          <w:lang w:val="en-US" w:eastAsia="zh-CN"/>
        </w:rPr>
        <w:t>内容完成止。</w:t>
      </w:r>
    </w:p>
    <w:p w14:paraId="09C017B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本项目（</w:t>
      </w:r>
      <w:r>
        <w:rPr>
          <w:rStyle w:val="35"/>
          <w:rFonts w:hint="eastAsia" w:ascii="宋体" w:hAnsi="宋体" w:cs="宋体"/>
          <w:highlight w:val="none"/>
          <w:lang w:eastAsia="zh-CN"/>
        </w:rPr>
        <w:t>是</w:t>
      </w:r>
      <w:r>
        <w:rPr>
          <w:rFonts w:hint="eastAsia" w:ascii="宋体" w:hAnsi="宋体" w:eastAsia="宋体" w:cs="宋体"/>
          <w:highlight w:val="none"/>
        </w:rPr>
        <w:t>）接受联合体投标。</w:t>
      </w:r>
    </w:p>
    <w:p w14:paraId="4DE5F79D">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jc w:val="both"/>
        <w:textAlignment w:val="auto"/>
        <w:rPr>
          <w:rFonts w:hint="eastAsia" w:ascii="宋体" w:hAnsi="宋体" w:eastAsia="宋体" w:cs="宋体"/>
          <w:sz w:val="27"/>
          <w:szCs w:val="27"/>
          <w:highlight w:val="none"/>
        </w:rPr>
      </w:pPr>
      <w:r>
        <w:rPr>
          <w:rStyle w:val="31"/>
          <w:rFonts w:hint="eastAsia" w:ascii="宋体" w:hAnsi="宋体" w:eastAsia="宋体" w:cs="宋体"/>
          <w:sz w:val="24"/>
          <w:szCs w:val="24"/>
          <w:highlight w:val="none"/>
        </w:rPr>
        <w:t>二、申请人的资格要求：</w:t>
      </w:r>
    </w:p>
    <w:p w14:paraId="6D4C206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1.满足《中华人民共和国政府采购法》第二十二条规定；</w:t>
      </w:r>
    </w:p>
    <w:p w14:paraId="3C65856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eastAsia="zh-CN"/>
        </w:rPr>
      </w:pPr>
      <w:r>
        <w:rPr>
          <w:rFonts w:hint="eastAsia" w:ascii="宋体" w:hAnsi="宋体" w:eastAsia="宋体" w:cs="宋体"/>
          <w:highlight w:val="none"/>
        </w:rPr>
        <w:t>2.落实政府采购政策需满足的资格要求：</w:t>
      </w:r>
      <w:r>
        <w:rPr>
          <w:rFonts w:hint="eastAsia" w:ascii="宋体" w:hAnsi="宋体" w:cs="宋体"/>
          <w:highlight w:val="none"/>
          <w:lang w:eastAsia="zh-CN"/>
        </w:rPr>
        <w:t>供应商应为中小企业或供应商以联合体形式参加采购活动，且联合体中中小企业承担的部分达到40%，其中，小微企业承担部分达到60%。</w:t>
      </w:r>
    </w:p>
    <w:p w14:paraId="01B1C69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eastAsia="zh-CN"/>
        </w:rPr>
      </w:pPr>
      <w:r>
        <w:rPr>
          <w:rFonts w:hint="eastAsia" w:ascii="宋体" w:hAnsi="宋体" w:eastAsia="宋体" w:cs="宋体"/>
          <w:highlight w:val="none"/>
        </w:rPr>
        <w:t>3.本项目的特定资格要求：</w:t>
      </w:r>
      <w:r>
        <w:rPr>
          <w:rFonts w:hint="eastAsia" w:ascii="宋体" w:hAnsi="宋体" w:eastAsia="宋体" w:cs="宋体"/>
          <w:highlight w:val="none"/>
        </w:rPr>
        <w:br w:type="textWrapping"/>
      </w:r>
      <w:r>
        <w:rPr>
          <w:rFonts w:hint="eastAsia" w:ascii="宋体" w:hAnsi="宋体" w:eastAsia="宋体" w:cs="宋体"/>
          <w:highlight w:val="none"/>
        </w:rPr>
        <w:t>【包1】</w:t>
      </w:r>
      <w:r>
        <w:rPr>
          <w:rFonts w:hint="eastAsia" w:ascii="宋体" w:hAnsi="宋体" w:cs="宋体"/>
          <w:highlight w:val="none"/>
          <w:lang w:eastAsia="zh-CN"/>
        </w:rPr>
        <w:t>（</w:t>
      </w:r>
      <w:r>
        <w:rPr>
          <w:rFonts w:hint="eastAsia" w:ascii="宋体" w:hAnsi="宋体" w:cs="宋体"/>
          <w:highlight w:val="none"/>
          <w:lang w:val="en-US" w:eastAsia="zh-CN"/>
        </w:rPr>
        <w:t>1</w:t>
      </w:r>
      <w:r>
        <w:rPr>
          <w:rFonts w:hint="eastAsia" w:ascii="宋体" w:hAnsi="宋体" w:cs="宋体"/>
          <w:highlight w:val="none"/>
          <w:lang w:eastAsia="zh-CN"/>
        </w:rPr>
        <w:t>）</w:t>
      </w:r>
      <w:r>
        <w:rPr>
          <w:rFonts w:hint="eastAsia" w:ascii="宋体" w:hAnsi="宋体" w:cs="宋体"/>
          <w:highlight w:val="none"/>
          <w:lang w:val="en-US" w:eastAsia="zh-CN"/>
        </w:rPr>
        <w:t>投标人</w:t>
      </w:r>
      <w:r>
        <w:rPr>
          <w:rFonts w:hint="eastAsia" w:ascii="宋体" w:hAnsi="宋体" w:cs="宋体"/>
          <w:color w:val="auto"/>
          <w:sz w:val="24"/>
          <w:highlight w:val="none"/>
          <w:lang w:eastAsia="zh-CN"/>
        </w:rPr>
        <w:t>在“全国投资项目在线审批监管平台”已备案，且工程咨询单位名录的咨询专业和服务范围包括</w:t>
      </w:r>
      <w:r>
        <w:rPr>
          <w:rFonts w:hint="eastAsia" w:cs="宋体"/>
          <w:color w:val="auto"/>
          <w:sz w:val="24"/>
          <w:highlight w:val="none"/>
          <w:lang w:eastAsia="zh-CN"/>
        </w:rPr>
        <w:t>“其他（土地整理）/全过程工程咨询”</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cs="宋体"/>
          <w:color w:val="auto"/>
          <w:sz w:val="24"/>
          <w:highlight w:val="none"/>
          <w:lang w:eastAsia="zh-CN"/>
        </w:rPr>
        <w:t>拟派项目负责人具备咨询工程师（投资）登记证书</w:t>
      </w:r>
      <w:r>
        <w:rPr>
          <w:rFonts w:hint="eastAsia" w:ascii="宋体" w:hAnsi="宋体" w:cs="宋体"/>
          <w:color w:val="auto"/>
          <w:sz w:val="24"/>
          <w:highlight w:val="none"/>
          <w:lang w:eastAsia="zh-CN"/>
        </w:rPr>
        <w:t>。</w:t>
      </w:r>
    </w:p>
    <w:p w14:paraId="0A47241C">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jc w:val="both"/>
        <w:textAlignment w:val="auto"/>
        <w:rPr>
          <w:rFonts w:hint="eastAsia" w:ascii="宋体" w:hAnsi="宋体" w:eastAsia="宋体" w:cs="宋体"/>
          <w:sz w:val="27"/>
          <w:szCs w:val="27"/>
          <w:highlight w:val="none"/>
        </w:rPr>
      </w:pPr>
      <w:r>
        <w:rPr>
          <w:rStyle w:val="31"/>
          <w:rFonts w:hint="eastAsia" w:ascii="宋体" w:hAnsi="宋体" w:eastAsia="宋体" w:cs="宋体"/>
          <w:sz w:val="24"/>
          <w:szCs w:val="24"/>
          <w:highlight w:val="none"/>
        </w:rPr>
        <w:t>三、获取采购文件</w:t>
      </w:r>
    </w:p>
    <w:p w14:paraId="1762646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时间：</w:t>
      </w:r>
      <w:r>
        <w:rPr>
          <w:rStyle w:val="35"/>
          <w:rFonts w:hint="eastAsia" w:ascii="宋体" w:hAnsi="宋体" w:eastAsia="宋体" w:cs="宋体"/>
          <w:highlight w:val="none"/>
        </w:rPr>
        <w:t>2025年</w:t>
      </w:r>
      <w:r>
        <w:rPr>
          <w:rStyle w:val="35"/>
          <w:rFonts w:hint="eastAsia" w:ascii="宋体" w:hAnsi="宋体" w:eastAsia="宋体" w:cs="宋体"/>
          <w:highlight w:val="none"/>
          <w:lang w:val="en-US" w:eastAsia="zh-CN"/>
        </w:rPr>
        <w:t>11</w:t>
      </w:r>
      <w:r>
        <w:rPr>
          <w:rStyle w:val="35"/>
          <w:rFonts w:hint="eastAsia" w:ascii="宋体" w:hAnsi="宋体" w:eastAsia="宋体" w:cs="宋体"/>
          <w:highlight w:val="none"/>
        </w:rPr>
        <w:t>月</w:t>
      </w:r>
      <w:r>
        <w:rPr>
          <w:rStyle w:val="35"/>
          <w:rFonts w:hint="eastAsia" w:ascii="宋体" w:hAnsi="宋体" w:eastAsia="宋体" w:cs="宋体"/>
          <w:highlight w:val="none"/>
          <w:lang w:val="en-US" w:eastAsia="zh-CN"/>
        </w:rPr>
        <w:t>09</w:t>
      </w:r>
      <w:r>
        <w:rPr>
          <w:rStyle w:val="35"/>
          <w:rFonts w:hint="eastAsia" w:ascii="宋体" w:hAnsi="宋体" w:eastAsia="宋体" w:cs="宋体"/>
          <w:highlight w:val="none"/>
        </w:rPr>
        <w:t>日</w:t>
      </w:r>
      <w:r>
        <w:rPr>
          <w:rFonts w:hint="eastAsia" w:ascii="宋体" w:hAnsi="宋体" w:eastAsia="宋体" w:cs="宋体"/>
          <w:highlight w:val="none"/>
        </w:rPr>
        <w:t>至</w:t>
      </w:r>
      <w:r>
        <w:rPr>
          <w:rStyle w:val="35"/>
          <w:rFonts w:hint="eastAsia" w:ascii="宋体" w:hAnsi="宋体" w:eastAsia="宋体" w:cs="宋体"/>
          <w:highlight w:val="none"/>
        </w:rPr>
        <w:t>2025年</w:t>
      </w:r>
      <w:r>
        <w:rPr>
          <w:rStyle w:val="35"/>
          <w:rFonts w:hint="eastAsia" w:ascii="宋体" w:hAnsi="宋体" w:eastAsia="宋体" w:cs="宋体"/>
          <w:highlight w:val="none"/>
          <w:lang w:val="en-US" w:eastAsia="zh-CN"/>
        </w:rPr>
        <w:t>11</w:t>
      </w:r>
      <w:r>
        <w:rPr>
          <w:rStyle w:val="35"/>
          <w:rFonts w:hint="eastAsia" w:ascii="宋体" w:hAnsi="宋体" w:eastAsia="宋体" w:cs="宋体"/>
          <w:highlight w:val="none"/>
        </w:rPr>
        <w:t>月</w:t>
      </w:r>
      <w:r>
        <w:rPr>
          <w:rStyle w:val="35"/>
          <w:rFonts w:hint="eastAsia" w:ascii="宋体" w:hAnsi="宋体" w:eastAsia="宋体" w:cs="宋体"/>
          <w:highlight w:val="none"/>
          <w:lang w:val="en-US" w:eastAsia="zh-CN"/>
        </w:rPr>
        <w:t>14</w:t>
      </w:r>
      <w:r>
        <w:rPr>
          <w:rStyle w:val="35"/>
          <w:rFonts w:hint="eastAsia" w:ascii="宋体" w:hAnsi="宋体" w:eastAsia="宋体" w:cs="宋体"/>
          <w:highlight w:val="none"/>
        </w:rPr>
        <w:t>日</w:t>
      </w:r>
      <w:r>
        <w:rPr>
          <w:rFonts w:hint="eastAsia" w:ascii="宋体" w:hAnsi="宋体" w:eastAsia="宋体" w:cs="宋体"/>
          <w:highlight w:val="none"/>
        </w:rPr>
        <w:t>，每天上午</w:t>
      </w:r>
      <w:r>
        <w:rPr>
          <w:rStyle w:val="35"/>
          <w:rFonts w:hint="eastAsia" w:ascii="宋体" w:hAnsi="宋体" w:eastAsia="宋体" w:cs="宋体"/>
          <w:highlight w:val="none"/>
        </w:rPr>
        <w:t>00:00至12:00</w:t>
      </w:r>
      <w:r>
        <w:rPr>
          <w:rFonts w:hint="eastAsia" w:ascii="宋体" w:hAnsi="宋体" w:eastAsia="宋体" w:cs="宋体"/>
          <w:highlight w:val="none"/>
        </w:rPr>
        <w:t>，下午</w:t>
      </w:r>
      <w:r>
        <w:rPr>
          <w:rStyle w:val="35"/>
          <w:rFonts w:hint="eastAsia" w:ascii="宋体" w:hAnsi="宋体" w:eastAsia="宋体" w:cs="宋体"/>
          <w:highlight w:val="none"/>
        </w:rPr>
        <w:t>12:00至23:59</w:t>
      </w:r>
      <w:r>
        <w:rPr>
          <w:rFonts w:hint="eastAsia" w:ascii="宋体" w:hAnsi="宋体" w:eastAsia="宋体" w:cs="宋体"/>
          <w:highlight w:val="none"/>
        </w:rPr>
        <w:t>（北京时间，法定节假日除外）</w:t>
      </w:r>
    </w:p>
    <w:p w14:paraId="5BF3AB9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地点：</w:t>
      </w:r>
      <w:r>
        <w:rPr>
          <w:rStyle w:val="35"/>
          <w:rFonts w:hint="eastAsia" w:ascii="宋体" w:hAnsi="宋体" w:eastAsia="宋体" w:cs="宋体"/>
          <w:highlight w:val="none"/>
        </w:rPr>
        <w:t>政采云平台线上获取</w:t>
      </w:r>
    </w:p>
    <w:p w14:paraId="7C218A0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方式：</w:t>
      </w:r>
      <w:r>
        <w:rPr>
          <w:rStyle w:val="35"/>
          <w:rFonts w:hint="eastAsia" w:ascii="宋体" w:hAnsi="宋体" w:eastAsia="宋体" w:cs="宋体"/>
          <w:highlight w:val="none"/>
        </w:rPr>
        <w:t>在线获取</w:t>
      </w:r>
    </w:p>
    <w:p w14:paraId="3E4F002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售价（元）：</w:t>
      </w:r>
      <w:r>
        <w:rPr>
          <w:rStyle w:val="35"/>
          <w:rFonts w:hint="eastAsia" w:ascii="宋体" w:hAnsi="宋体" w:eastAsia="宋体" w:cs="宋体"/>
          <w:highlight w:val="none"/>
        </w:rPr>
        <w:t>0</w:t>
      </w:r>
    </w:p>
    <w:p w14:paraId="7EFC1382">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jc w:val="both"/>
        <w:textAlignment w:val="auto"/>
        <w:rPr>
          <w:rFonts w:hint="eastAsia" w:ascii="宋体" w:hAnsi="宋体" w:eastAsia="宋体" w:cs="宋体"/>
          <w:sz w:val="27"/>
          <w:szCs w:val="27"/>
          <w:highlight w:val="none"/>
        </w:rPr>
      </w:pPr>
      <w:r>
        <w:rPr>
          <w:rStyle w:val="31"/>
          <w:rFonts w:hint="eastAsia" w:ascii="宋体" w:hAnsi="宋体" w:eastAsia="宋体" w:cs="宋体"/>
          <w:sz w:val="24"/>
          <w:szCs w:val="24"/>
          <w:highlight w:val="none"/>
        </w:rPr>
        <w:t>四、响应文件提交</w:t>
      </w:r>
    </w:p>
    <w:p w14:paraId="688FB8A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sz w:val="24"/>
          <w:szCs w:val="24"/>
          <w:highlight w:val="none"/>
        </w:rPr>
        <w:t>截止时间：</w:t>
      </w:r>
      <w:r>
        <w:rPr>
          <w:rStyle w:val="35"/>
          <w:rFonts w:hint="eastAsia" w:ascii="宋体" w:hAnsi="宋体" w:eastAsia="宋体" w:cs="宋体"/>
          <w:sz w:val="24"/>
          <w:szCs w:val="24"/>
          <w:highlight w:val="none"/>
          <w:lang w:eastAsia="zh-CN"/>
        </w:rPr>
        <w:t>2025年12月03日 09:00</w:t>
      </w:r>
      <w:r>
        <w:rPr>
          <w:rFonts w:hint="eastAsia" w:ascii="宋体" w:hAnsi="宋体" w:eastAsia="宋体" w:cs="宋体"/>
          <w:sz w:val="24"/>
          <w:szCs w:val="24"/>
          <w:highlight w:val="none"/>
        </w:rPr>
        <w:t>（北京时间）</w:t>
      </w:r>
    </w:p>
    <w:p w14:paraId="6AB8EAE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sz w:val="24"/>
          <w:szCs w:val="24"/>
          <w:highlight w:val="none"/>
        </w:rPr>
        <w:t>地点：</w:t>
      </w:r>
      <w:r>
        <w:rPr>
          <w:rStyle w:val="35"/>
          <w:rFonts w:hint="eastAsia" w:ascii="宋体" w:hAnsi="宋体" w:eastAsia="宋体" w:cs="宋体"/>
          <w:sz w:val="24"/>
          <w:szCs w:val="24"/>
          <w:highlight w:val="none"/>
        </w:rPr>
        <w:t>请登录政采云投标客户端投标</w:t>
      </w:r>
    </w:p>
    <w:p w14:paraId="5A6E5100">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jc w:val="both"/>
        <w:textAlignment w:val="auto"/>
        <w:rPr>
          <w:rFonts w:hint="eastAsia" w:ascii="宋体" w:hAnsi="宋体" w:eastAsia="宋体" w:cs="宋体"/>
          <w:sz w:val="27"/>
          <w:szCs w:val="27"/>
          <w:highlight w:val="none"/>
        </w:rPr>
      </w:pPr>
      <w:r>
        <w:rPr>
          <w:rStyle w:val="31"/>
          <w:rFonts w:hint="eastAsia" w:ascii="宋体" w:hAnsi="宋体" w:eastAsia="宋体" w:cs="宋体"/>
          <w:sz w:val="24"/>
          <w:szCs w:val="24"/>
          <w:highlight w:val="none"/>
        </w:rPr>
        <w:t>五、响应文件开启</w:t>
      </w:r>
    </w:p>
    <w:p w14:paraId="23CFFB9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sz w:val="24"/>
          <w:szCs w:val="24"/>
          <w:highlight w:val="none"/>
        </w:rPr>
        <w:t>开启时间：</w:t>
      </w:r>
      <w:r>
        <w:rPr>
          <w:rStyle w:val="35"/>
          <w:rFonts w:hint="eastAsia" w:ascii="宋体" w:hAnsi="宋体" w:eastAsia="宋体" w:cs="宋体"/>
          <w:sz w:val="24"/>
          <w:szCs w:val="24"/>
          <w:highlight w:val="none"/>
          <w:lang w:eastAsia="zh-CN"/>
        </w:rPr>
        <w:t>2025年12月03日 09:00</w:t>
      </w:r>
    </w:p>
    <w:p w14:paraId="1126E09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地点：山西省运城市盐湖区运城市河东东街城建大厦西楼三层运城市公共资源交易中心（运城市政府采购中心）</w:t>
      </w:r>
    </w:p>
    <w:p w14:paraId="1FA8D9F4">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jc w:val="both"/>
        <w:textAlignment w:val="auto"/>
        <w:rPr>
          <w:rFonts w:hint="eastAsia" w:ascii="宋体" w:hAnsi="宋体" w:eastAsia="宋体" w:cs="宋体"/>
          <w:sz w:val="31"/>
          <w:szCs w:val="31"/>
          <w:highlight w:val="none"/>
        </w:rPr>
      </w:pPr>
      <w:r>
        <w:rPr>
          <w:rStyle w:val="31"/>
          <w:rFonts w:hint="eastAsia" w:ascii="宋体" w:hAnsi="宋体" w:eastAsia="宋体" w:cs="宋体"/>
          <w:sz w:val="24"/>
          <w:szCs w:val="24"/>
          <w:highlight w:val="none"/>
        </w:rPr>
        <w:t>六、公告期限</w:t>
      </w:r>
    </w:p>
    <w:p w14:paraId="3156525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自本公告发布之日起</w:t>
      </w:r>
      <w:r>
        <w:rPr>
          <w:rFonts w:hint="eastAsia" w:ascii="宋体" w:hAnsi="宋体" w:cs="宋体"/>
          <w:highlight w:val="none"/>
          <w:lang w:val="en-US" w:eastAsia="zh-CN"/>
        </w:rPr>
        <w:t>5</w:t>
      </w:r>
      <w:r>
        <w:rPr>
          <w:rFonts w:hint="eastAsia" w:ascii="宋体" w:hAnsi="宋体" w:eastAsia="宋体" w:cs="宋体"/>
          <w:highlight w:val="none"/>
        </w:rPr>
        <w:t>个工作日。</w:t>
      </w:r>
    </w:p>
    <w:p w14:paraId="50E85888">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jc w:val="both"/>
        <w:textAlignment w:val="auto"/>
        <w:rPr>
          <w:rFonts w:hint="eastAsia" w:ascii="宋体" w:hAnsi="宋体" w:eastAsia="宋体" w:cs="宋体"/>
          <w:sz w:val="27"/>
          <w:szCs w:val="27"/>
          <w:highlight w:val="none"/>
        </w:rPr>
      </w:pPr>
      <w:r>
        <w:rPr>
          <w:rStyle w:val="31"/>
          <w:rFonts w:hint="eastAsia" w:ascii="宋体" w:hAnsi="宋体" w:eastAsia="宋体" w:cs="宋体"/>
          <w:sz w:val="24"/>
          <w:szCs w:val="24"/>
          <w:highlight w:val="none"/>
        </w:rPr>
        <w:t>七、其他补充事宜</w:t>
      </w:r>
    </w:p>
    <w:p w14:paraId="2288FF1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Style w:val="35"/>
          <w:rFonts w:hint="eastAsia" w:ascii="宋体" w:hAnsi="宋体" w:eastAsia="宋体" w:cs="宋体"/>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42D3694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highlight w:val="none"/>
        </w:rPr>
      </w:pPr>
      <w:r>
        <w:rPr>
          <w:rFonts w:hint="eastAsia" w:ascii="宋体" w:hAnsi="宋体" w:eastAsia="宋体" w:cs="宋体"/>
          <w:highlight w:val="none"/>
        </w:rPr>
        <w:t>  代理费支付方式： </w:t>
      </w:r>
      <w:r>
        <w:rPr>
          <w:rStyle w:val="35"/>
          <w:rFonts w:hint="eastAsia" w:ascii="宋体" w:hAnsi="宋体" w:eastAsia="宋体" w:cs="宋体"/>
          <w:highlight w:val="none"/>
        </w:rPr>
        <w:t>供应商支付</w:t>
      </w:r>
    </w:p>
    <w:p w14:paraId="1EA6693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highlight w:val="none"/>
        </w:rPr>
      </w:pPr>
      <w:r>
        <w:rPr>
          <w:rFonts w:hint="eastAsia" w:ascii="宋体" w:hAnsi="宋体" w:eastAsia="宋体" w:cs="宋体"/>
          <w:highlight w:val="none"/>
        </w:rPr>
        <w:t>  代理费收费标准： 招标代理服务费参考国家发展和改革委员会计价格【2002】1980号和发改办价格【2011】534号文件及规定收费的</w:t>
      </w:r>
      <w:r>
        <w:rPr>
          <w:rFonts w:hint="eastAsia" w:cs="宋体"/>
          <w:highlight w:val="none"/>
          <w:lang w:val="en-US" w:eastAsia="zh-CN"/>
        </w:rPr>
        <w:t>81</w:t>
      </w:r>
      <w:r>
        <w:rPr>
          <w:rFonts w:hint="eastAsia" w:ascii="宋体" w:hAnsi="宋体" w:eastAsia="宋体" w:cs="宋体"/>
          <w:highlight w:val="none"/>
        </w:rPr>
        <w:t>%计费。中标人领取通知书时，采用现金或电汇方式一次性支付给采购代理机构</w:t>
      </w:r>
      <w:r>
        <w:rPr>
          <w:rStyle w:val="35"/>
          <w:rFonts w:hint="eastAsia" w:ascii="宋体" w:hAnsi="宋体" w:eastAsia="宋体" w:cs="宋体"/>
          <w:highlight w:val="none"/>
        </w:rPr>
        <w:t>。</w:t>
      </w:r>
    </w:p>
    <w:p w14:paraId="4031C5D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default" w:ascii="宋体" w:hAnsi="宋体" w:eastAsia="宋体" w:cs="宋体"/>
          <w:highlight w:val="none"/>
          <w:lang w:val="en-US" w:eastAsia="zh-CN"/>
        </w:rPr>
      </w:pPr>
      <w:r>
        <w:rPr>
          <w:rFonts w:hint="eastAsia" w:ascii="宋体" w:hAnsi="宋体" w:eastAsia="宋体" w:cs="宋体"/>
          <w:highlight w:val="none"/>
        </w:rPr>
        <w:t>  代理费收费金额（元）：</w:t>
      </w:r>
      <w:r>
        <w:rPr>
          <w:rFonts w:hint="eastAsia" w:cs="宋体"/>
          <w:highlight w:val="none"/>
          <w:lang w:val="en-US" w:eastAsia="zh-CN"/>
        </w:rPr>
        <w:t>64000</w:t>
      </w:r>
    </w:p>
    <w:p w14:paraId="539F9465">
      <w:pPr>
        <w:pStyle w:val="2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jc w:val="both"/>
        <w:textAlignment w:val="auto"/>
        <w:rPr>
          <w:rFonts w:hint="eastAsia" w:ascii="宋体" w:hAnsi="宋体" w:eastAsia="宋体" w:cs="宋体"/>
          <w:sz w:val="31"/>
          <w:szCs w:val="31"/>
          <w:highlight w:val="none"/>
        </w:rPr>
      </w:pPr>
      <w:r>
        <w:rPr>
          <w:rStyle w:val="31"/>
          <w:rFonts w:hint="eastAsia" w:ascii="宋体" w:hAnsi="宋体" w:eastAsia="宋体" w:cs="宋体"/>
          <w:sz w:val="24"/>
          <w:szCs w:val="24"/>
          <w:highlight w:val="none"/>
        </w:rPr>
        <w:t>八、凡对本次招标提出询问，请按以下方式联系</w:t>
      </w:r>
    </w:p>
    <w:p w14:paraId="38D1A14B">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1.采购人信息</w:t>
      </w:r>
    </w:p>
    <w:p w14:paraId="058EFF6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eastAsia="zh-CN"/>
        </w:rPr>
      </w:pPr>
      <w:r>
        <w:rPr>
          <w:rFonts w:hint="eastAsia" w:ascii="宋体" w:hAnsi="宋体" w:eastAsia="宋体" w:cs="宋体"/>
          <w:highlight w:val="none"/>
        </w:rPr>
        <w:t>名 称：</w:t>
      </w:r>
      <w:r>
        <w:rPr>
          <w:rFonts w:hint="eastAsia" w:ascii="宋体" w:hAnsi="宋体" w:cs="宋体"/>
          <w:color w:val="auto"/>
          <w:sz w:val="24"/>
          <w:highlight w:val="none"/>
          <w:lang w:eastAsia="zh-CN"/>
        </w:rPr>
        <w:t>永济黄河流域生态</w:t>
      </w:r>
      <w:r>
        <w:rPr>
          <w:rFonts w:hint="eastAsia" w:cs="宋体"/>
          <w:color w:val="auto"/>
          <w:sz w:val="24"/>
          <w:highlight w:val="none"/>
          <w:lang w:val="en-US" w:eastAsia="zh-CN"/>
        </w:rPr>
        <w:t>保</w:t>
      </w:r>
      <w:r>
        <w:rPr>
          <w:rFonts w:hint="eastAsia" w:ascii="宋体" w:hAnsi="宋体" w:cs="宋体"/>
          <w:color w:val="auto"/>
          <w:sz w:val="24"/>
          <w:highlight w:val="none"/>
          <w:lang w:eastAsia="zh-CN"/>
        </w:rPr>
        <w:t>护和高质量发展促进中心</w:t>
      </w:r>
    </w:p>
    <w:p w14:paraId="367CA23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地 址：</w:t>
      </w:r>
      <w:r>
        <w:rPr>
          <w:rStyle w:val="35"/>
          <w:rFonts w:hint="eastAsia" w:ascii="宋体" w:hAnsi="宋体" w:eastAsia="宋体" w:cs="宋体"/>
          <w:highlight w:val="none"/>
          <w:lang w:eastAsia="zh-CN"/>
        </w:rPr>
        <w:t>山西省永济市市府西街4号</w:t>
      </w:r>
    </w:p>
    <w:p w14:paraId="649A6E2B">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default" w:ascii="宋体" w:hAnsi="宋体" w:eastAsia="宋体" w:cs="宋体"/>
          <w:highlight w:val="none"/>
          <w:lang w:val="en-US"/>
        </w:rPr>
      </w:pPr>
      <w:r>
        <w:rPr>
          <w:rFonts w:hint="eastAsia" w:ascii="宋体" w:hAnsi="宋体" w:eastAsia="宋体" w:cs="宋体"/>
          <w:highlight w:val="none"/>
        </w:rPr>
        <w:t>联系方式：</w:t>
      </w:r>
      <w:r>
        <w:rPr>
          <w:rStyle w:val="35"/>
          <w:rFonts w:hint="eastAsia" w:ascii="宋体" w:hAnsi="宋体" w:eastAsia="宋体" w:cs="宋体"/>
          <w:highlight w:val="none"/>
          <w:lang w:val="en-US" w:eastAsia="zh-CN"/>
        </w:rPr>
        <w:t>0359-8022758</w:t>
      </w:r>
    </w:p>
    <w:p w14:paraId="0CE2CBA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2.采购代理机构信息</w:t>
      </w:r>
    </w:p>
    <w:p w14:paraId="266CEF0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名 称：</w:t>
      </w:r>
      <w:r>
        <w:rPr>
          <w:rFonts w:hint="eastAsia" w:ascii="宋体" w:hAnsi="宋体" w:cs="宋体"/>
          <w:color w:val="auto"/>
          <w:sz w:val="24"/>
          <w:highlight w:val="none"/>
          <w:lang w:eastAsia="zh-CN"/>
        </w:rPr>
        <w:t>山西诚赢天下工程项目管理有限公司</w:t>
      </w:r>
    </w:p>
    <w:p w14:paraId="4EE383D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山西省运城市盐湖区红旗东街金水湾1号楼21层</w:t>
      </w:r>
    </w:p>
    <w:p w14:paraId="6AACB43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eastAsia="zh-CN"/>
        </w:rPr>
        <w:t>0359-83333</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3</w:t>
      </w:r>
    </w:p>
    <w:p w14:paraId="15F26D0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rPr>
      </w:pPr>
      <w:r>
        <w:rPr>
          <w:rFonts w:hint="eastAsia" w:ascii="宋体" w:hAnsi="宋体" w:eastAsia="宋体" w:cs="宋体"/>
          <w:highlight w:val="none"/>
        </w:rPr>
        <w:t>3.项目联系方式</w:t>
      </w:r>
    </w:p>
    <w:p w14:paraId="72090E9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highlight w:val="none"/>
          <w:lang w:eastAsia="zh-CN"/>
        </w:rPr>
        <w:t>张先生</w:t>
      </w:r>
    </w:p>
    <w:p w14:paraId="5B6A848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highlight w:val="none"/>
          <w:lang w:eastAsia="zh-CN"/>
        </w:rPr>
      </w:pPr>
      <w:r>
        <w:rPr>
          <w:rFonts w:hint="eastAsia" w:ascii="宋体" w:hAnsi="宋体" w:eastAsia="宋体" w:cs="宋体"/>
          <w:highlight w:val="none"/>
        </w:rPr>
        <w:t>电 话：</w:t>
      </w:r>
      <w:r>
        <w:rPr>
          <w:rFonts w:hint="eastAsia" w:ascii="宋体" w:hAnsi="宋体" w:eastAsia="宋体" w:cs="宋体"/>
          <w:highlight w:val="none"/>
          <w:lang w:eastAsia="zh-CN"/>
        </w:rPr>
        <w:t>0359-83333</w:t>
      </w:r>
      <w:r>
        <w:rPr>
          <w:rFonts w:hint="eastAsia" w:ascii="宋体" w:hAnsi="宋体" w:eastAsia="宋体" w:cs="宋体"/>
          <w:highlight w:val="none"/>
          <w:lang w:val="en-US" w:eastAsia="zh-CN"/>
        </w:rPr>
        <w:t>7</w:t>
      </w:r>
      <w:r>
        <w:rPr>
          <w:rFonts w:hint="eastAsia" w:ascii="宋体" w:hAnsi="宋体" w:eastAsia="宋体" w:cs="宋体"/>
          <w:highlight w:val="none"/>
          <w:lang w:eastAsia="zh-CN"/>
        </w:rPr>
        <w:t>3</w:t>
      </w:r>
    </w:p>
    <w:p w14:paraId="11DB2FD8">
      <w:pPr>
        <w:pStyle w:val="2"/>
        <w:outlineLvl w:val="9"/>
        <w:rPr>
          <w:u w:val="none"/>
        </w:rPr>
        <w:sectPr>
          <w:footerReference r:id="rId5" w:type="default"/>
          <w:pgSz w:w="11907" w:h="16840"/>
          <w:pgMar w:top="1701" w:right="1588" w:bottom="1588" w:left="1588" w:header="851" w:footer="1304" w:gutter="0"/>
          <w:pgNumType w:fmt="decimal" w:start="1"/>
          <w:cols w:space="720" w:num="1"/>
          <w:docGrid w:type="lines" w:linePitch="312" w:charSpace="0"/>
        </w:sectPr>
      </w:pPr>
      <w:bookmarkStart w:id="20" w:name="_Toc16689"/>
      <w:bookmarkStart w:id="21" w:name="_Toc10953"/>
      <w:bookmarkStart w:id="22" w:name="_Toc15210"/>
      <w:bookmarkStart w:id="23" w:name="_Toc13277"/>
    </w:p>
    <w:p w14:paraId="7C986C78">
      <w:pPr>
        <w:pStyle w:val="2"/>
        <w:rPr>
          <w:rFonts w:ascii="宋体" w:hAnsi="宋体" w:cs="宋体"/>
          <w:szCs w:val="32"/>
          <w:u w:val="none"/>
        </w:rPr>
      </w:pPr>
      <w:bookmarkStart w:id="24" w:name="_Toc30668"/>
      <w:bookmarkStart w:id="25" w:name="_Toc12846"/>
      <w:r>
        <w:rPr>
          <w:u w:val="none"/>
        </w:rPr>
        <w:t>第二章 招标文件前附表及投标须知</w:t>
      </w:r>
      <w:bookmarkEnd w:id="20"/>
      <w:bookmarkEnd w:id="21"/>
      <w:bookmarkEnd w:id="22"/>
      <w:bookmarkEnd w:id="23"/>
      <w:bookmarkEnd w:id="24"/>
      <w:bookmarkEnd w:id="25"/>
    </w:p>
    <w:p w14:paraId="27EE07E7">
      <w:pPr>
        <w:adjustRightInd w:val="0"/>
        <w:snapToGrid w:val="0"/>
        <w:spacing w:line="360" w:lineRule="auto"/>
        <w:jc w:val="center"/>
        <w:rPr>
          <w:rFonts w:ascii="宋体" w:hAnsi="宋体" w:cs="宋体"/>
          <w:b/>
          <w:sz w:val="32"/>
          <w:szCs w:val="32"/>
          <w:u w:val="none"/>
        </w:rPr>
      </w:pPr>
      <w:r>
        <w:rPr>
          <w:rFonts w:hint="eastAsia" w:ascii="宋体" w:hAnsi="宋体" w:cs="宋体"/>
          <w:b/>
          <w:sz w:val="32"/>
          <w:szCs w:val="32"/>
          <w:u w:val="none"/>
        </w:rPr>
        <w:t>招标文件前附表</w:t>
      </w:r>
      <w:bookmarkEnd w:id="19"/>
    </w:p>
    <w:tbl>
      <w:tblPr>
        <w:tblStyle w:val="2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763"/>
        <w:gridCol w:w="2755"/>
        <w:gridCol w:w="3366"/>
      </w:tblGrid>
      <w:tr w14:paraId="0FB7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1792" w:type="dxa"/>
            <w:vAlign w:val="center"/>
          </w:tcPr>
          <w:p w14:paraId="48C46F61">
            <w:pPr>
              <w:spacing w:line="340" w:lineRule="exact"/>
              <w:jc w:val="center"/>
              <w:rPr>
                <w:rFonts w:ascii="宋体" w:hAnsi="宋体" w:cs="宋体"/>
                <w:b/>
                <w:bCs/>
                <w:sz w:val="24"/>
                <w:szCs w:val="24"/>
                <w:u w:val="none"/>
              </w:rPr>
            </w:pPr>
            <w:r>
              <w:rPr>
                <w:rFonts w:hint="eastAsia" w:ascii="宋体" w:hAnsi="宋体" w:cs="宋体"/>
                <w:b/>
                <w:bCs/>
                <w:sz w:val="24"/>
                <w:szCs w:val="24"/>
                <w:u w:val="none"/>
              </w:rPr>
              <w:t>条款号</w:t>
            </w:r>
          </w:p>
        </w:tc>
        <w:tc>
          <w:tcPr>
            <w:tcW w:w="1763" w:type="dxa"/>
            <w:vAlign w:val="center"/>
          </w:tcPr>
          <w:p w14:paraId="62F8EBC2">
            <w:pPr>
              <w:spacing w:line="340" w:lineRule="exact"/>
              <w:jc w:val="center"/>
              <w:rPr>
                <w:rFonts w:ascii="宋体" w:hAnsi="宋体" w:cs="宋体"/>
                <w:b/>
                <w:bCs/>
                <w:sz w:val="24"/>
                <w:szCs w:val="24"/>
                <w:u w:val="none"/>
              </w:rPr>
            </w:pPr>
            <w:r>
              <w:rPr>
                <w:rFonts w:hint="eastAsia" w:ascii="宋体" w:hAnsi="宋体" w:cs="宋体"/>
                <w:b/>
                <w:bCs/>
                <w:sz w:val="24"/>
                <w:szCs w:val="24"/>
                <w:u w:val="none"/>
              </w:rPr>
              <w:t>条款名称</w:t>
            </w:r>
          </w:p>
        </w:tc>
        <w:tc>
          <w:tcPr>
            <w:tcW w:w="6121" w:type="dxa"/>
            <w:gridSpan w:val="2"/>
            <w:vAlign w:val="center"/>
          </w:tcPr>
          <w:p w14:paraId="7F641611">
            <w:pPr>
              <w:spacing w:line="340" w:lineRule="exact"/>
              <w:jc w:val="center"/>
              <w:rPr>
                <w:rFonts w:ascii="宋体" w:hAnsi="宋体" w:cs="宋体"/>
                <w:b/>
                <w:bCs/>
                <w:sz w:val="24"/>
                <w:szCs w:val="24"/>
                <w:u w:val="none"/>
              </w:rPr>
            </w:pPr>
            <w:r>
              <w:rPr>
                <w:rFonts w:hint="eastAsia" w:ascii="宋体" w:hAnsi="宋体" w:cs="宋体"/>
                <w:b/>
                <w:bCs/>
                <w:sz w:val="24"/>
                <w:szCs w:val="24"/>
                <w:u w:val="none"/>
              </w:rPr>
              <w:t>编列内容规定</w:t>
            </w:r>
          </w:p>
        </w:tc>
      </w:tr>
      <w:tr w14:paraId="7552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676" w:type="dxa"/>
            <w:gridSpan w:val="4"/>
            <w:vAlign w:val="center"/>
          </w:tcPr>
          <w:p w14:paraId="567024C0">
            <w:pPr>
              <w:spacing w:line="340" w:lineRule="exact"/>
              <w:jc w:val="center"/>
              <w:rPr>
                <w:rFonts w:ascii="宋体" w:hAnsi="宋体" w:cs="宋体"/>
                <w:b/>
                <w:bCs/>
                <w:sz w:val="24"/>
                <w:szCs w:val="24"/>
                <w:u w:val="none"/>
              </w:rPr>
            </w:pPr>
            <w:r>
              <w:rPr>
                <w:rFonts w:hint="eastAsia" w:ascii="宋体" w:hAnsi="宋体" w:cs="宋体"/>
                <w:b/>
                <w:bCs/>
                <w:sz w:val="24"/>
                <w:szCs w:val="24"/>
                <w:u w:val="none"/>
              </w:rPr>
              <w:t>第一章 投标须知（前附表）</w:t>
            </w:r>
          </w:p>
        </w:tc>
      </w:tr>
      <w:tr w14:paraId="6FDE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676" w:type="dxa"/>
            <w:gridSpan w:val="4"/>
            <w:vAlign w:val="center"/>
          </w:tcPr>
          <w:p w14:paraId="4DD230D2">
            <w:pPr>
              <w:spacing w:line="340" w:lineRule="exact"/>
              <w:jc w:val="left"/>
              <w:rPr>
                <w:rFonts w:ascii="宋体" w:hAnsi="宋体" w:cs="宋体"/>
                <w:b/>
                <w:bCs/>
                <w:sz w:val="24"/>
                <w:szCs w:val="24"/>
                <w:u w:val="none"/>
              </w:rPr>
            </w:pPr>
            <w:r>
              <w:rPr>
                <w:rFonts w:hint="eastAsia" w:ascii="宋体" w:hAnsi="宋体" w:cs="宋体"/>
                <w:b/>
                <w:bCs/>
                <w:sz w:val="24"/>
                <w:szCs w:val="24"/>
                <w:u w:val="none"/>
              </w:rPr>
              <w:t>一、说明</w:t>
            </w:r>
          </w:p>
        </w:tc>
      </w:tr>
      <w:tr w14:paraId="733C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92" w:type="dxa"/>
          </w:tcPr>
          <w:p w14:paraId="2A2DD728">
            <w:pPr>
              <w:spacing w:line="340" w:lineRule="exact"/>
              <w:rPr>
                <w:rFonts w:ascii="宋体" w:hAnsi="宋体" w:cs="宋体"/>
                <w:sz w:val="24"/>
                <w:szCs w:val="24"/>
                <w:u w:val="none"/>
              </w:rPr>
            </w:pPr>
            <w:r>
              <w:rPr>
                <w:rFonts w:hint="eastAsia" w:ascii="宋体" w:hAnsi="宋体" w:cs="宋体"/>
                <w:sz w:val="24"/>
                <w:szCs w:val="24"/>
                <w:u w:val="none"/>
              </w:rPr>
              <w:t>第二章 第1.1</w:t>
            </w:r>
            <w:r>
              <w:rPr>
                <w:rFonts w:hint="eastAsia" w:ascii="宋体" w:hAnsi="宋体" w:cs="宋体"/>
                <w:sz w:val="24"/>
                <w:szCs w:val="24"/>
                <w:u w:val="none"/>
                <w:lang w:val="zh-CN"/>
              </w:rPr>
              <w:t>款</w:t>
            </w:r>
          </w:p>
        </w:tc>
        <w:tc>
          <w:tcPr>
            <w:tcW w:w="1763" w:type="dxa"/>
          </w:tcPr>
          <w:p w14:paraId="6F4A0EBE">
            <w:pPr>
              <w:spacing w:line="340" w:lineRule="exact"/>
              <w:rPr>
                <w:rFonts w:ascii="宋体" w:hAnsi="宋体" w:cs="宋体"/>
                <w:sz w:val="24"/>
                <w:szCs w:val="24"/>
                <w:u w:val="none"/>
              </w:rPr>
            </w:pPr>
            <w:r>
              <w:rPr>
                <w:rFonts w:hint="eastAsia" w:ascii="宋体" w:hAnsi="宋体" w:cs="宋体"/>
                <w:sz w:val="24"/>
                <w:szCs w:val="24"/>
                <w:u w:val="none"/>
              </w:rPr>
              <w:t>采购项目</w:t>
            </w:r>
          </w:p>
        </w:tc>
        <w:tc>
          <w:tcPr>
            <w:tcW w:w="6121" w:type="dxa"/>
            <w:gridSpan w:val="2"/>
          </w:tcPr>
          <w:p w14:paraId="3C682C91">
            <w:pPr>
              <w:spacing w:line="340" w:lineRule="exact"/>
              <w:rPr>
                <w:rFonts w:ascii="宋体" w:hAnsi="宋体" w:cs="宋体"/>
                <w:sz w:val="24"/>
                <w:szCs w:val="24"/>
                <w:u w:val="none"/>
              </w:rPr>
            </w:pPr>
            <w:r>
              <w:rPr>
                <w:rFonts w:hint="eastAsia" w:ascii="宋体" w:hAnsi="宋体" w:cs="宋体"/>
                <w:kern w:val="0"/>
                <w:sz w:val="24"/>
                <w:szCs w:val="24"/>
                <w:u w:val="none"/>
                <w:lang w:eastAsia="zh-CN"/>
              </w:rPr>
              <w:t>永济市开张镇全域土地综合整治（2025年）项目全过程工程咨询服务</w:t>
            </w:r>
            <w:r>
              <w:rPr>
                <w:rFonts w:hint="eastAsia" w:ascii="宋体" w:hAnsi="宋体" w:cs="宋体"/>
                <w:kern w:val="0"/>
                <w:sz w:val="24"/>
                <w:szCs w:val="24"/>
                <w:u w:val="none"/>
              </w:rPr>
              <w:t xml:space="preserve"> </w:t>
            </w:r>
          </w:p>
        </w:tc>
      </w:tr>
      <w:tr w14:paraId="6FA9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792" w:type="dxa"/>
            <w:vAlign w:val="center"/>
          </w:tcPr>
          <w:p w14:paraId="08D73EE8">
            <w:pPr>
              <w:spacing w:line="340" w:lineRule="exact"/>
              <w:rPr>
                <w:rFonts w:ascii="宋体" w:hAnsi="宋体" w:cs="宋体"/>
                <w:sz w:val="24"/>
                <w:szCs w:val="24"/>
                <w:u w:val="none"/>
              </w:rPr>
            </w:pPr>
            <w:r>
              <w:rPr>
                <w:rFonts w:hint="eastAsia" w:ascii="宋体" w:hAnsi="宋体" w:cs="宋体"/>
                <w:sz w:val="24"/>
                <w:szCs w:val="24"/>
                <w:u w:val="none"/>
              </w:rPr>
              <w:t>第二章第2.1</w:t>
            </w:r>
            <w:r>
              <w:rPr>
                <w:rFonts w:hint="eastAsia" w:ascii="宋体" w:hAnsi="宋体" w:cs="宋体"/>
                <w:sz w:val="24"/>
                <w:szCs w:val="24"/>
                <w:u w:val="none"/>
                <w:lang w:val="zh-CN"/>
              </w:rPr>
              <w:t>款</w:t>
            </w:r>
          </w:p>
        </w:tc>
        <w:tc>
          <w:tcPr>
            <w:tcW w:w="1763" w:type="dxa"/>
            <w:vAlign w:val="center"/>
          </w:tcPr>
          <w:p w14:paraId="21C3B831">
            <w:pPr>
              <w:spacing w:line="340" w:lineRule="exact"/>
              <w:rPr>
                <w:rFonts w:ascii="宋体" w:hAnsi="宋体" w:cs="宋体"/>
                <w:sz w:val="24"/>
                <w:szCs w:val="24"/>
                <w:u w:val="none"/>
              </w:rPr>
            </w:pPr>
            <w:r>
              <w:rPr>
                <w:rFonts w:hint="eastAsia" w:ascii="宋体" w:hAnsi="宋体" w:cs="宋体"/>
                <w:sz w:val="24"/>
                <w:szCs w:val="24"/>
                <w:u w:val="none"/>
              </w:rPr>
              <w:t>采购人</w:t>
            </w:r>
          </w:p>
        </w:tc>
        <w:tc>
          <w:tcPr>
            <w:tcW w:w="6121" w:type="dxa"/>
            <w:gridSpan w:val="2"/>
            <w:vAlign w:val="center"/>
          </w:tcPr>
          <w:p w14:paraId="02B260DC">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rPr>
              <w:t>名    称：</w:t>
            </w:r>
            <w:r>
              <w:rPr>
                <w:rFonts w:hint="eastAsia" w:ascii="宋体" w:hAnsi="宋体" w:cs="宋体"/>
                <w:sz w:val="24"/>
                <w:szCs w:val="24"/>
                <w:u w:val="none"/>
                <w:lang w:eastAsia="zh-CN"/>
              </w:rPr>
              <w:t>永济黄河流域生态</w:t>
            </w:r>
            <w:r>
              <w:rPr>
                <w:rFonts w:hint="eastAsia" w:ascii="宋体" w:hAnsi="宋体" w:cs="宋体"/>
                <w:sz w:val="24"/>
                <w:szCs w:val="24"/>
                <w:u w:val="none"/>
                <w:lang w:val="en-US" w:eastAsia="zh-CN"/>
              </w:rPr>
              <w:t>保</w:t>
            </w:r>
            <w:r>
              <w:rPr>
                <w:rFonts w:hint="eastAsia" w:ascii="宋体" w:hAnsi="宋体" w:cs="宋体"/>
                <w:sz w:val="24"/>
                <w:szCs w:val="24"/>
                <w:u w:val="none"/>
                <w:lang w:eastAsia="zh-CN"/>
              </w:rPr>
              <w:t>护和高质量发展促进中心</w:t>
            </w:r>
          </w:p>
          <w:p w14:paraId="3744979D">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rPr>
              <w:t>地    址：</w:t>
            </w:r>
            <w:r>
              <w:rPr>
                <w:rFonts w:hint="eastAsia" w:ascii="宋体" w:hAnsi="宋体" w:cs="宋体"/>
                <w:sz w:val="24"/>
                <w:szCs w:val="24"/>
                <w:u w:val="none"/>
                <w:lang w:eastAsia="zh-CN"/>
              </w:rPr>
              <w:t>山西省永济市市府西街4号</w:t>
            </w:r>
          </w:p>
          <w:p w14:paraId="3F5DC007">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rPr>
              <w:t>联 系 人：</w:t>
            </w:r>
            <w:r>
              <w:rPr>
                <w:rFonts w:hint="eastAsia" w:ascii="宋体" w:hAnsi="宋体" w:cs="宋体"/>
                <w:sz w:val="24"/>
                <w:szCs w:val="24"/>
                <w:u w:val="none"/>
                <w:lang w:eastAsia="zh-CN"/>
              </w:rPr>
              <w:t>张先生</w:t>
            </w:r>
          </w:p>
          <w:p w14:paraId="54FB80E4">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rPr>
              <w:t>联系方式：</w:t>
            </w:r>
            <w:r>
              <w:rPr>
                <w:rFonts w:hint="eastAsia" w:ascii="宋体" w:hAnsi="宋体" w:cs="宋体"/>
                <w:sz w:val="24"/>
                <w:szCs w:val="24"/>
                <w:u w:val="none"/>
                <w:lang w:eastAsia="zh-CN"/>
              </w:rPr>
              <w:t>0359-8022758</w:t>
            </w:r>
          </w:p>
        </w:tc>
      </w:tr>
      <w:tr w14:paraId="2FF3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792" w:type="dxa"/>
            <w:vAlign w:val="center"/>
          </w:tcPr>
          <w:p w14:paraId="19113D97">
            <w:pPr>
              <w:spacing w:line="340" w:lineRule="exact"/>
              <w:rPr>
                <w:rFonts w:ascii="宋体" w:hAnsi="宋体" w:cs="宋体"/>
                <w:sz w:val="24"/>
                <w:szCs w:val="24"/>
                <w:u w:val="none"/>
              </w:rPr>
            </w:pPr>
            <w:r>
              <w:rPr>
                <w:rFonts w:hint="eastAsia" w:ascii="宋体" w:hAnsi="宋体" w:cs="宋体"/>
                <w:sz w:val="24"/>
                <w:szCs w:val="24"/>
                <w:u w:val="none"/>
              </w:rPr>
              <w:t>第二章第2.2</w:t>
            </w:r>
            <w:r>
              <w:rPr>
                <w:rFonts w:hint="eastAsia" w:ascii="宋体" w:hAnsi="宋体" w:cs="宋体"/>
                <w:sz w:val="24"/>
                <w:szCs w:val="24"/>
                <w:u w:val="none"/>
                <w:lang w:val="zh-CN"/>
              </w:rPr>
              <w:t>款</w:t>
            </w:r>
          </w:p>
        </w:tc>
        <w:tc>
          <w:tcPr>
            <w:tcW w:w="1763" w:type="dxa"/>
            <w:vAlign w:val="center"/>
          </w:tcPr>
          <w:p w14:paraId="1624CA71">
            <w:pPr>
              <w:spacing w:line="340" w:lineRule="exact"/>
              <w:rPr>
                <w:rFonts w:ascii="宋体" w:hAnsi="宋体" w:cs="宋体"/>
                <w:sz w:val="24"/>
                <w:szCs w:val="24"/>
                <w:u w:val="none"/>
              </w:rPr>
            </w:pPr>
            <w:r>
              <w:rPr>
                <w:rFonts w:hint="eastAsia" w:ascii="宋体" w:hAnsi="宋体" w:cs="宋体"/>
                <w:sz w:val="24"/>
                <w:szCs w:val="24"/>
                <w:u w:val="none"/>
              </w:rPr>
              <w:t>采购代理机构</w:t>
            </w:r>
          </w:p>
        </w:tc>
        <w:tc>
          <w:tcPr>
            <w:tcW w:w="6121" w:type="dxa"/>
            <w:gridSpan w:val="2"/>
            <w:vAlign w:val="center"/>
          </w:tcPr>
          <w:p w14:paraId="05312E3A">
            <w:pPr>
              <w:spacing w:line="340" w:lineRule="exact"/>
              <w:rPr>
                <w:rFonts w:hint="eastAsia" w:ascii="宋体" w:hAnsi="宋体" w:eastAsia="宋体" w:cs="宋体"/>
                <w:sz w:val="24"/>
                <w:szCs w:val="24"/>
                <w:u w:val="none"/>
                <w:lang w:eastAsia="zh-CN"/>
              </w:rPr>
            </w:pPr>
            <w:r>
              <w:rPr>
                <w:rFonts w:ascii="宋体" w:hAnsi="宋体" w:cs="宋体"/>
                <w:sz w:val="24"/>
                <w:szCs w:val="24"/>
                <w:u w:val="none"/>
              </w:rPr>
              <w:t>名    称：</w:t>
            </w:r>
            <w:r>
              <w:rPr>
                <w:rFonts w:hint="eastAsia" w:ascii="宋体" w:hAnsi="宋体" w:cs="宋体"/>
                <w:sz w:val="24"/>
                <w:szCs w:val="24"/>
                <w:u w:val="none"/>
                <w:lang w:eastAsia="zh-CN"/>
              </w:rPr>
              <w:t>山西诚赢天下工程项目管理有限公司</w:t>
            </w:r>
          </w:p>
          <w:p w14:paraId="0CA52DB7">
            <w:pPr>
              <w:spacing w:line="340" w:lineRule="exact"/>
              <w:rPr>
                <w:rFonts w:hint="eastAsia" w:ascii="宋体" w:hAnsi="宋体" w:eastAsia="宋体" w:cs="宋体"/>
                <w:sz w:val="24"/>
                <w:szCs w:val="24"/>
                <w:u w:val="none"/>
                <w:lang w:eastAsia="zh-CN"/>
              </w:rPr>
            </w:pPr>
            <w:r>
              <w:rPr>
                <w:rFonts w:ascii="宋体" w:hAnsi="宋体" w:cs="宋体"/>
                <w:sz w:val="24"/>
                <w:szCs w:val="24"/>
                <w:u w:val="none"/>
              </w:rPr>
              <w:t>地    址：</w:t>
            </w:r>
            <w:r>
              <w:rPr>
                <w:rFonts w:hint="eastAsia" w:ascii="宋体" w:hAnsi="宋体" w:cs="宋体"/>
                <w:sz w:val="24"/>
                <w:szCs w:val="24"/>
                <w:u w:val="none"/>
                <w:lang w:eastAsia="zh-CN"/>
              </w:rPr>
              <w:t>运城市盐湖区红旗东街金水湾小区1号楼21层</w:t>
            </w:r>
          </w:p>
          <w:p w14:paraId="410B98FA">
            <w:pPr>
              <w:spacing w:line="340" w:lineRule="exact"/>
              <w:rPr>
                <w:rFonts w:hint="eastAsia" w:ascii="宋体" w:hAnsi="宋体" w:eastAsia="宋体" w:cs="宋体"/>
                <w:sz w:val="24"/>
                <w:szCs w:val="24"/>
                <w:u w:val="none"/>
                <w:lang w:eastAsia="zh-CN"/>
              </w:rPr>
            </w:pPr>
            <w:r>
              <w:rPr>
                <w:rFonts w:ascii="宋体" w:hAnsi="宋体" w:cs="宋体"/>
                <w:sz w:val="24"/>
                <w:szCs w:val="24"/>
                <w:u w:val="none"/>
              </w:rPr>
              <w:t>联</w:t>
            </w:r>
            <w:r>
              <w:rPr>
                <w:rFonts w:hint="eastAsia" w:ascii="宋体" w:hAnsi="宋体" w:cs="宋体"/>
                <w:sz w:val="24"/>
                <w:szCs w:val="24"/>
                <w:u w:val="none"/>
              </w:rPr>
              <w:t xml:space="preserve"> </w:t>
            </w:r>
            <w:r>
              <w:rPr>
                <w:rFonts w:ascii="宋体" w:hAnsi="宋体" w:cs="宋体"/>
                <w:sz w:val="24"/>
                <w:szCs w:val="24"/>
                <w:u w:val="none"/>
              </w:rPr>
              <w:t>系</w:t>
            </w:r>
            <w:r>
              <w:rPr>
                <w:rFonts w:hint="eastAsia" w:ascii="宋体" w:hAnsi="宋体" w:cs="宋体"/>
                <w:sz w:val="24"/>
                <w:szCs w:val="24"/>
                <w:u w:val="none"/>
              </w:rPr>
              <w:t xml:space="preserve"> </w:t>
            </w:r>
            <w:r>
              <w:rPr>
                <w:rFonts w:ascii="宋体" w:hAnsi="宋体" w:cs="宋体"/>
                <w:sz w:val="24"/>
                <w:szCs w:val="24"/>
                <w:u w:val="none"/>
              </w:rPr>
              <w:t>人：</w:t>
            </w:r>
            <w:r>
              <w:rPr>
                <w:rFonts w:hint="eastAsia" w:ascii="宋体" w:hAnsi="宋体" w:cs="宋体"/>
                <w:sz w:val="24"/>
                <w:szCs w:val="24"/>
                <w:u w:val="none"/>
                <w:lang w:eastAsia="zh-CN"/>
              </w:rPr>
              <w:t>张先生</w:t>
            </w:r>
          </w:p>
          <w:p w14:paraId="32DC4031">
            <w:pPr>
              <w:spacing w:line="340" w:lineRule="exact"/>
              <w:rPr>
                <w:rFonts w:hint="eastAsia" w:ascii="宋体" w:hAnsi="宋体" w:eastAsia="宋体" w:cs="宋体"/>
                <w:sz w:val="24"/>
                <w:szCs w:val="24"/>
                <w:u w:val="none"/>
                <w:lang w:eastAsia="zh-CN"/>
              </w:rPr>
            </w:pPr>
            <w:r>
              <w:rPr>
                <w:rFonts w:ascii="宋体" w:hAnsi="宋体" w:cs="宋体"/>
                <w:sz w:val="24"/>
                <w:szCs w:val="24"/>
                <w:u w:val="none"/>
              </w:rPr>
              <w:t>联系方式：</w:t>
            </w:r>
            <w:r>
              <w:rPr>
                <w:rFonts w:hint="eastAsia" w:ascii="宋体" w:hAnsi="宋体" w:cs="宋体"/>
                <w:sz w:val="24"/>
                <w:szCs w:val="24"/>
                <w:u w:val="none"/>
                <w:lang w:eastAsia="zh-CN"/>
              </w:rPr>
              <w:t>0359-8333373</w:t>
            </w:r>
          </w:p>
          <w:p w14:paraId="4C2D7BF4">
            <w:pPr>
              <w:spacing w:line="340" w:lineRule="exact"/>
              <w:rPr>
                <w:rFonts w:hint="eastAsia" w:ascii="宋体" w:hAnsi="宋体" w:eastAsia="宋体" w:cs="宋体"/>
                <w:sz w:val="24"/>
                <w:szCs w:val="24"/>
                <w:u w:val="none"/>
                <w:lang w:eastAsia="zh-CN"/>
              </w:rPr>
            </w:pPr>
            <w:r>
              <w:rPr>
                <w:rFonts w:ascii="宋体" w:hAnsi="宋体" w:cs="宋体"/>
                <w:sz w:val="24"/>
                <w:szCs w:val="24"/>
                <w:u w:val="none"/>
              </w:rPr>
              <w:t>邮    箱：</w:t>
            </w:r>
            <w:r>
              <w:rPr>
                <w:rFonts w:hint="eastAsia" w:ascii="宋体" w:hAnsi="宋体"/>
                <w:sz w:val="24"/>
                <w:u w:val="none"/>
                <w:lang w:eastAsia="zh-CN"/>
              </w:rPr>
              <w:t>cytx3373@163.com</w:t>
            </w:r>
          </w:p>
        </w:tc>
      </w:tr>
      <w:tr w14:paraId="760F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92" w:type="dxa"/>
            <w:vAlign w:val="center"/>
          </w:tcPr>
          <w:p w14:paraId="5914383B">
            <w:pPr>
              <w:spacing w:line="340" w:lineRule="exact"/>
              <w:rPr>
                <w:rFonts w:ascii="宋体" w:hAnsi="宋体" w:cs="宋体"/>
                <w:sz w:val="24"/>
                <w:szCs w:val="24"/>
                <w:u w:val="none"/>
              </w:rPr>
            </w:pPr>
            <w:r>
              <w:rPr>
                <w:rFonts w:hint="eastAsia" w:ascii="宋体" w:hAnsi="宋体" w:cs="宋体"/>
                <w:sz w:val="24"/>
                <w:szCs w:val="24"/>
                <w:u w:val="none"/>
              </w:rPr>
              <w:t>第二章第3.1</w:t>
            </w:r>
            <w:r>
              <w:rPr>
                <w:rFonts w:hint="eastAsia" w:ascii="宋体" w:hAnsi="宋体" w:cs="宋体"/>
                <w:sz w:val="24"/>
                <w:szCs w:val="24"/>
                <w:u w:val="none"/>
                <w:lang w:val="zh-CN"/>
              </w:rPr>
              <w:t>款</w:t>
            </w:r>
          </w:p>
        </w:tc>
        <w:tc>
          <w:tcPr>
            <w:tcW w:w="1763" w:type="dxa"/>
            <w:vAlign w:val="center"/>
          </w:tcPr>
          <w:p w14:paraId="5D9499A0">
            <w:pPr>
              <w:spacing w:line="340" w:lineRule="exact"/>
              <w:rPr>
                <w:rFonts w:ascii="宋体" w:hAnsi="宋体" w:cs="宋体"/>
                <w:sz w:val="24"/>
                <w:szCs w:val="24"/>
                <w:u w:val="none"/>
              </w:rPr>
            </w:pPr>
            <w:r>
              <w:rPr>
                <w:rFonts w:hint="eastAsia" w:ascii="宋体" w:hAnsi="宋体" w:cs="宋体"/>
                <w:sz w:val="24"/>
                <w:szCs w:val="24"/>
                <w:u w:val="none"/>
              </w:rPr>
              <w:t>投标人资格条件</w:t>
            </w:r>
          </w:p>
        </w:tc>
        <w:tc>
          <w:tcPr>
            <w:tcW w:w="6121" w:type="dxa"/>
            <w:gridSpan w:val="2"/>
            <w:vAlign w:val="center"/>
          </w:tcPr>
          <w:p w14:paraId="0053A33B">
            <w:pPr>
              <w:spacing w:line="340" w:lineRule="exact"/>
              <w:rPr>
                <w:sz w:val="24"/>
                <w:szCs w:val="24"/>
                <w:u w:val="none"/>
                <w:lang w:val="zh-CN"/>
              </w:rPr>
            </w:pPr>
            <w:r>
              <w:rPr>
                <w:rFonts w:hint="eastAsia"/>
                <w:sz w:val="24"/>
                <w:szCs w:val="24"/>
                <w:u w:val="none"/>
                <w:lang w:val="zh-CN"/>
              </w:rPr>
              <w:t>见采购公告</w:t>
            </w:r>
          </w:p>
        </w:tc>
      </w:tr>
      <w:tr w14:paraId="1C29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92" w:type="dxa"/>
            <w:vAlign w:val="center"/>
          </w:tcPr>
          <w:p w14:paraId="4689CEFF">
            <w:pPr>
              <w:spacing w:line="340" w:lineRule="exact"/>
              <w:rPr>
                <w:rFonts w:ascii="宋体" w:hAnsi="宋体" w:cs="宋体"/>
                <w:sz w:val="24"/>
                <w:szCs w:val="24"/>
                <w:highlight w:val="none"/>
                <w:u w:val="none"/>
              </w:rPr>
            </w:pPr>
            <w:r>
              <w:rPr>
                <w:rFonts w:hint="eastAsia" w:ascii="宋体" w:hAnsi="宋体" w:cs="宋体"/>
                <w:sz w:val="24"/>
                <w:szCs w:val="24"/>
                <w:highlight w:val="none"/>
                <w:u w:val="none"/>
              </w:rPr>
              <w:t>第二章第5.1</w:t>
            </w:r>
            <w:r>
              <w:rPr>
                <w:rFonts w:hint="eastAsia" w:ascii="宋体" w:hAnsi="宋体" w:cs="宋体"/>
                <w:sz w:val="24"/>
                <w:szCs w:val="24"/>
                <w:highlight w:val="none"/>
                <w:u w:val="none"/>
                <w:lang w:val="zh-CN"/>
              </w:rPr>
              <w:t>款</w:t>
            </w:r>
          </w:p>
        </w:tc>
        <w:tc>
          <w:tcPr>
            <w:tcW w:w="1763" w:type="dxa"/>
            <w:vAlign w:val="center"/>
          </w:tcPr>
          <w:p w14:paraId="2973BD40">
            <w:pPr>
              <w:spacing w:line="340" w:lineRule="exact"/>
              <w:rPr>
                <w:rFonts w:ascii="宋体" w:hAnsi="宋体" w:cs="宋体"/>
                <w:sz w:val="24"/>
                <w:szCs w:val="24"/>
                <w:highlight w:val="none"/>
                <w:u w:val="none"/>
              </w:rPr>
            </w:pPr>
            <w:r>
              <w:rPr>
                <w:rFonts w:hint="eastAsia" w:ascii="宋体" w:hAnsi="宋体" w:cs="宋体"/>
                <w:sz w:val="24"/>
                <w:szCs w:val="24"/>
                <w:highlight w:val="none"/>
                <w:u w:val="none"/>
              </w:rPr>
              <w:t>联合体投标</w:t>
            </w:r>
          </w:p>
        </w:tc>
        <w:tc>
          <w:tcPr>
            <w:tcW w:w="6121" w:type="dxa"/>
            <w:gridSpan w:val="2"/>
            <w:vAlign w:val="center"/>
          </w:tcPr>
          <w:p w14:paraId="55AE50E8">
            <w:pPr>
              <w:spacing w:line="340" w:lineRule="exac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本项目允许联合体投标。联合体投标的应满足下列要求：</w:t>
            </w:r>
          </w:p>
          <w:p w14:paraId="73FF602F">
            <w:pPr>
              <w:spacing w:line="340" w:lineRule="exac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①本项目最多允许</w:t>
            </w:r>
            <w:r>
              <w:rPr>
                <w:rFonts w:hint="eastAsia" w:ascii="宋体" w:hAnsi="宋体" w:cs="宋体"/>
                <w:sz w:val="24"/>
                <w:szCs w:val="24"/>
                <w:highlight w:val="none"/>
                <w:u w:val="none"/>
                <w:lang w:val="en-US" w:eastAsia="zh-CN"/>
              </w:rPr>
              <w:t>三</w:t>
            </w:r>
            <w:r>
              <w:rPr>
                <w:rFonts w:hint="eastAsia" w:ascii="宋体" w:hAnsi="宋体" w:eastAsia="宋体" w:cs="宋体"/>
                <w:sz w:val="24"/>
                <w:szCs w:val="24"/>
                <w:highlight w:val="none"/>
                <w:u w:val="none"/>
                <w:lang w:val="en-US" w:eastAsia="zh-CN"/>
              </w:rPr>
              <w:t>家单位组成联合体投标，以一个投标人的身份共同投标。联合体各方应当分别具备承担招标项目的能力和相应的资质条件。</w:t>
            </w:r>
          </w:p>
          <w:p w14:paraId="3281E3F2">
            <w:pPr>
              <w:spacing w:line="340" w:lineRule="exac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②联合体各方必须签署具有法律效力的</w:t>
            </w:r>
            <w:r>
              <w:rPr>
                <w:rFonts w:hint="eastAsia" w:ascii="宋体" w:hAnsi="宋体" w:cs="宋体"/>
                <w:sz w:val="24"/>
                <w:szCs w:val="24"/>
                <w:highlight w:val="none"/>
                <w:u w:val="none"/>
                <w:lang w:val="en-US" w:eastAsia="zh-CN"/>
              </w:rPr>
              <w:t>联合体共同响应协议书</w:t>
            </w:r>
            <w:r>
              <w:rPr>
                <w:rFonts w:hint="eastAsia" w:ascii="宋体" w:hAnsi="宋体" w:eastAsia="宋体" w:cs="宋体"/>
                <w:sz w:val="24"/>
                <w:szCs w:val="24"/>
                <w:highlight w:val="none"/>
                <w:u w:val="none"/>
                <w:lang w:val="en-US" w:eastAsia="zh-CN"/>
              </w:rPr>
              <w:t>，明确项目牵头人、各自的项目负责人，约定各方拟承担的工作和责任。</w:t>
            </w:r>
          </w:p>
          <w:p w14:paraId="4002CDFB">
            <w:pPr>
              <w:spacing w:line="340" w:lineRule="exac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③</w:t>
            </w:r>
            <w:r>
              <w:rPr>
                <w:rFonts w:hint="eastAsia" w:ascii="宋体" w:hAnsi="宋体" w:cs="宋体"/>
                <w:sz w:val="24"/>
                <w:szCs w:val="24"/>
                <w:highlight w:val="none"/>
                <w:u w:val="none"/>
                <w:lang w:val="en-US" w:eastAsia="zh-CN"/>
              </w:rPr>
              <w:t>拟派</w:t>
            </w:r>
            <w:r>
              <w:rPr>
                <w:rFonts w:hint="eastAsia" w:ascii="宋体" w:hAnsi="宋体" w:eastAsia="宋体" w:cs="宋体"/>
                <w:sz w:val="24"/>
                <w:szCs w:val="24"/>
                <w:highlight w:val="none"/>
                <w:u w:val="none"/>
                <w:lang w:val="en-US" w:eastAsia="zh-CN"/>
              </w:rPr>
              <w:t>项目负责人必须为联合体牵头人单位人员，负责项目的全过程综合管理和组织实施。</w:t>
            </w:r>
          </w:p>
          <w:p w14:paraId="54B8C845">
            <w:pPr>
              <w:spacing w:line="340" w:lineRule="exac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④联合体各方签订共同投标协议后，不得再以自己的名义单独投标，也不得组成新的联合体或参加其他联合体在本项目中投标。</w:t>
            </w:r>
          </w:p>
          <w:p w14:paraId="11610A06">
            <w:pPr>
              <w:spacing w:line="340" w:lineRule="exact"/>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⑤联合体中标的，联合体各方应当共同与</w:t>
            </w:r>
            <w:r>
              <w:rPr>
                <w:rFonts w:hint="eastAsia" w:ascii="宋体" w:hAnsi="宋体" w:cs="宋体"/>
                <w:sz w:val="24"/>
                <w:szCs w:val="24"/>
                <w:highlight w:val="none"/>
                <w:u w:val="none"/>
                <w:lang w:val="en-US" w:eastAsia="zh-CN"/>
              </w:rPr>
              <w:t>采购</w:t>
            </w:r>
            <w:r>
              <w:rPr>
                <w:rFonts w:hint="eastAsia" w:ascii="宋体" w:hAnsi="宋体" w:eastAsia="宋体" w:cs="宋体"/>
                <w:sz w:val="24"/>
                <w:szCs w:val="24"/>
                <w:highlight w:val="none"/>
                <w:u w:val="none"/>
                <w:lang w:val="en-US" w:eastAsia="zh-CN"/>
              </w:rPr>
              <w:t>人签订合同，就中标项目向招标人承担连带责任；未经</w:t>
            </w:r>
            <w:r>
              <w:rPr>
                <w:rFonts w:hint="eastAsia" w:ascii="宋体" w:hAnsi="宋体" w:cs="宋体"/>
                <w:sz w:val="24"/>
                <w:szCs w:val="24"/>
                <w:highlight w:val="none"/>
                <w:u w:val="none"/>
                <w:lang w:val="en-US" w:eastAsia="zh-CN"/>
              </w:rPr>
              <w:t>采购</w:t>
            </w:r>
            <w:r>
              <w:rPr>
                <w:rFonts w:hint="eastAsia" w:ascii="宋体" w:hAnsi="宋体" w:eastAsia="宋体" w:cs="宋体"/>
                <w:sz w:val="24"/>
                <w:szCs w:val="24"/>
                <w:highlight w:val="none"/>
                <w:u w:val="none"/>
                <w:lang w:val="en-US" w:eastAsia="zh-CN"/>
              </w:rPr>
              <w:t>人书面同意，联合体的成员结构、相互关系均不得变动。</w:t>
            </w:r>
          </w:p>
        </w:tc>
      </w:tr>
      <w:tr w14:paraId="11FA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676" w:type="dxa"/>
            <w:gridSpan w:val="4"/>
            <w:vAlign w:val="center"/>
          </w:tcPr>
          <w:p w14:paraId="66A722E2">
            <w:pPr>
              <w:spacing w:line="340" w:lineRule="exact"/>
              <w:rPr>
                <w:rFonts w:ascii="宋体" w:hAnsi="宋体" w:cs="宋体"/>
                <w:sz w:val="24"/>
                <w:szCs w:val="24"/>
                <w:u w:val="none"/>
              </w:rPr>
            </w:pPr>
            <w:r>
              <w:rPr>
                <w:rFonts w:hint="eastAsia" w:ascii="宋体" w:hAnsi="宋体" w:cs="宋体"/>
                <w:b/>
                <w:bCs/>
                <w:sz w:val="24"/>
                <w:szCs w:val="24"/>
                <w:u w:val="none"/>
              </w:rPr>
              <w:t>二、招标文件</w:t>
            </w:r>
          </w:p>
        </w:tc>
      </w:tr>
      <w:tr w14:paraId="324B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92" w:type="dxa"/>
            <w:vAlign w:val="center"/>
          </w:tcPr>
          <w:p w14:paraId="03267D3A">
            <w:pPr>
              <w:spacing w:line="340" w:lineRule="exact"/>
              <w:rPr>
                <w:rFonts w:ascii="宋体" w:hAnsi="宋体" w:cs="宋体"/>
                <w:sz w:val="24"/>
                <w:szCs w:val="24"/>
                <w:u w:val="none"/>
              </w:rPr>
            </w:pPr>
            <w:r>
              <w:rPr>
                <w:rFonts w:hint="eastAsia" w:ascii="宋体" w:hAnsi="宋体" w:cs="宋体"/>
                <w:sz w:val="24"/>
                <w:szCs w:val="24"/>
                <w:u w:val="none"/>
              </w:rPr>
              <w:t>第二章第6.3</w:t>
            </w:r>
            <w:r>
              <w:rPr>
                <w:rFonts w:hint="eastAsia" w:ascii="宋体" w:hAnsi="宋体" w:cs="宋体"/>
                <w:sz w:val="24"/>
                <w:szCs w:val="24"/>
                <w:u w:val="none"/>
                <w:lang w:val="zh-CN"/>
              </w:rPr>
              <w:t>款</w:t>
            </w:r>
          </w:p>
        </w:tc>
        <w:tc>
          <w:tcPr>
            <w:tcW w:w="1763" w:type="dxa"/>
            <w:vAlign w:val="center"/>
          </w:tcPr>
          <w:p w14:paraId="16FE0182">
            <w:pPr>
              <w:spacing w:line="340" w:lineRule="exact"/>
              <w:rPr>
                <w:rFonts w:ascii="宋体" w:hAnsi="宋体" w:cs="宋体"/>
                <w:sz w:val="24"/>
                <w:szCs w:val="24"/>
                <w:u w:val="none"/>
              </w:rPr>
            </w:pPr>
            <w:r>
              <w:rPr>
                <w:rFonts w:hint="eastAsia" w:ascii="宋体" w:hAnsi="宋体" w:cs="宋体"/>
                <w:sz w:val="24"/>
                <w:szCs w:val="24"/>
                <w:u w:val="none"/>
              </w:rPr>
              <w:t>财政部门指定的媒体</w:t>
            </w:r>
          </w:p>
        </w:tc>
        <w:tc>
          <w:tcPr>
            <w:tcW w:w="6121" w:type="dxa"/>
            <w:gridSpan w:val="2"/>
            <w:vAlign w:val="center"/>
          </w:tcPr>
          <w:p w14:paraId="2F08774A">
            <w:pPr>
              <w:spacing w:line="340" w:lineRule="exact"/>
              <w:rPr>
                <w:rFonts w:ascii="宋体" w:hAnsi="宋体" w:cs="宋体"/>
                <w:sz w:val="24"/>
                <w:szCs w:val="24"/>
                <w:u w:val="none"/>
              </w:rPr>
            </w:pPr>
            <w:r>
              <w:rPr>
                <w:rFonts w:hint="eastAsia" w:ascii="宋体" w:hAnsi="宋体" w:cs="宋体"/>
                <w:sz w:val="24"/>
                <w:szCs w:val="24"/>
                <w:u w:val="none"/>
              </w:rPr>
              <w:t>山西省政府采购网</w:t>
            </w:r>
          </w:p>
        </w:tc>
      </w:tr>
      <w:tr w14:paraId="3590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92" w:type="dxa"/>
            <w:vAlign w:val="center"/>
          </w:tcPr>
          <w:p w14:paraId="71CD9940">
            <w:pPr>
              <w:spacing w:line="340" w:lineRule="exact"/>
              <w:rPr>
                <w:rFonts w:ascii="宋体" w:hAnsi="宋体" w:cs="宋体"/>
                <w:sz w:val="24"/>
                <w:szCs w:val="24"/>
                <w:u w:val="none"/>
              </w:rPr>
            </w:pPr>
            <w:r>
              <w:rPr>
                <w:rFonts w:hint="eastAsia" w:ascii="宋体" w:hAnsi="宋体" w:cs="宋体"/>
                <w:sz w:val="24"/>
                <w:szCs w:val="24"/>
                <w:u w:val="none"/>
              </w:rPr>
              <w:t>第二章第7.1</w:t>
            </w:r>
            <w:r>
              <w:rPr>
                <w:rFonts w:hint="eastAsia" w:ascii="宋体" w:hAnsi="宋体" w:cs="宋体"/>
                <w:sz w:val="24"/>
                <w:szCs w:val="24"/>
                <w:u w:val="none"/>
                <w:lang w:val="zh-CN"/>
              </w:rPr>
              <w:t>款</w:t>
            </w:r>
          </w:p>
        </w:tc>
        <w:tc>
          <w:tcPr>
            <w:tcW w:w="1763" w:type="dxa"/>
            <w:vAlign w:val="center"/>
          </w:tcPr>
          <w:p w14:paraId="0A4420EF">
            <w:pPr>
              <w:spacing w:line="340" w:lineRule="exact"/>
              <w:rPr>
                <w:rFonts w:ascii="宋体" w:hAnsi="宋体" w:cs="宋体"/>
                <w:sz w:val="24"/>
                <w:szCs w:val="24"/>
                <w:u w:val="none"/>
              </w:rPr>
            </w:pPr>
            <w:r>
              <w:rPr>
                <w:rFonts w:hint="eastAsia" w:ascii="宋体" w:hAnsi="宋体" w:cs="宋体"/>
                <w:sz w:val="24"/>
                <w:szCs w:val="24"/>
                <w:u w:val="none"/>
              </w:rPr>
              <w:t>招标文件的提供期限</w:t>
            </w:r>
          </w:p>
        </w:tc>
        <w:tc>
          <w:tcPr>
            <w:tcW w:w="6121" w:type="dxa"/>
            <w:gridSpan w:val="2"/>
            <w:vAlign w:val="center"/>
          </w:tcPr>
          <w:p w14:paraId="381875FE">
            <w:pPr>
              <w:spacing w:line="340" w:lineRule="exact"/>
              <w:rPr>
                <w:rFonts w:ascii="宋体" w:hAnsi="宋体" w:cs="宋体"/>
                <w:sz w:val="24"/>
                <w:szCs w:val="24"/>
                <w:u w:val="none"/>
              </w:rPr>
            </w:pPr>
            <w:r>
              <w:rPr>
                <w:rFonts w:hint="eastAsia"/>
                <w:sz w:val="24"/>
                <w:szCs w:val="24"/>
                <w:u w:val="none"/>
                <w:lang w:val="zh-CN"/>
              </w:rPr>
              <w:t>见采购公告</w:t>
            </w:r>
          </w:p>
        </w:tc>
      </w:tr>
      <w:tr w14:paraId="69B1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792" w:type="dxa"/>
            <w:vAlign w:val="center"/>
          </w:tcPr>
          <w:p w14:paraId="02F2E6E1">
            <w:pPr>
              <w:spacing w:line="340" w:lineRule="exact"/>
              <w:rPr>
                <w:rFonts w:ascii="宋体" w:hAnsi="宋体" w:cs="宋体"/>
                <w:sz w:val="24"/>
                <w:szCs w:val="24"/>
                <w:u w:val="none"/>
              </w:rPr>
            </w:pPr>
            <w:r>
              <w:rPr>
                <w:rFonts w:hint="eastAsia" w:ascii="宋体" w:hAnsi="宋体" w:cs="宋体"/>
                <w:sz w:val="24"/>
                <w:szCs w:val="24"/>
                <w:u w:val="none"/>
              </w:rPr>
              <w:t>第二章第7.2</w:t>
            </w:r>
            <w:r>
              <w:rPr>
                <w:rFonts w:hint="eastAsia" w:ascii="宋体" w:hAnsi="宋体" w:cs="宋体"/>
                <w:sz w:val="24"/>
                <w:szCs w:val="24"/>
                <w:u w:val="none"/>
                <w:lang w:val="zh-CN"/>
              </w:rPr>
              <w:t>款</w:t>
            </w:r>
          </w:p>
        </w:tc>
        <w:tc>
          <w:tcPr>
            <w:tcW w:w="1763" w:type="dxa"/>
            <w:vAlign w:val="center"/>
          </w:tcPr>
          <w:p w14:paraId="4FF3A31A">
            <w:pPr>
              <w:spacing w:line="340" w:lineRule="exact"/>
              <w:rPr>
                <w:rFonts w:ascii="宋体" w:hAnsi="宋体" w:cs="宋体"/>
                <w:sz w:val="24"/>
                <w:szCs w:val="24"/>
                <w:u w:val="none"/>
              </w:rPr>
            </w:pPr>
            <w:r>
              <w:rPr>
                <w:rFonts w:hint="eastAsia" w:ascii="宋体" w:hAnsi="宋体" w:cs="宋体"/>
                <w:sz w:val="24"/>
                <w:szCs w:val="24"/>
                <w:u w:val="none"/>
              </w:rPr>
              <w:t>采购文件的获取</w:t>
            </w:r>
          </w:p>
        </w:tc>
        <w:tc>
          <w:tcPr>
            <w:tcW w:w="6121" w:type="dxa"/>
            <w:gridSpan w:val="2"/>
            <w:vAlign w:val="center"/>
          </w:tcPr>
          <w:p w14:paraId="78517FA6">
            <w:pPr>
              <w:spacing w:line="340" w:lineRule="exact"/>
              <w:rPr>
                <w:rFonts w:ascii="宋体" w:hAnsi="宋体" w:cs="宋体"/>
                <w:sz w:val="24"/>
                <w:szCs w:val="24"/>
                <w:u w:val="none"/>
              </w:rPr>
            </w:pPr>
            <w:r>
              <w:rPr>
                <w:rFonts w:hint="eastAsia" w:ascii="宋体" w:hAnsi="宋体" w:cs="宋体"/>
                <w:sz w:val="24"/>
                <w:szCs w:val="24"/>
                <w:u w:val="none"/>
              </w:rPr>
              <w:t>通过山西省政府采购网-政采云平台获取电子版采购文件，此为获取采购文件的唯一途径，通过其他渠道获取采购文件的不具备投标资格。</w:t>
            </w:r>
          </w:p>
        </w:tc>
      </w:tr>
      <w:tr w14:paraId="0F74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792" w:type="dxa"/>
            <w:vAlign w:val="center"/>
          </w:tcPr>
          <w:p w14:paraId="70D86464">
            <w:pPr>
              <w:spacing w:line="340" w:lineRule="exact"/>
              <w:rPr>
                <w:rFonts w:ascii="宋体" w:hAnsi="宋体" w:cs="宋体"/>
                <w:sz w:val="24"/>
                <w:szCs w:val="24"/>
                <w:u w:val="none"/>
              </w:rPr>
            </w:pPr>
            <w:r>
              <w:rPr>
                <w:rFonts w:hint="eastAsia" w:ascii="宋体" w:hAnsi="宋体" w:cs="宋体"/>
                <w:sz w:val="24"/>
                <w:szCs w:val="24"/>
                <w:u w:val="none"/>
              </w:rPr>
              <w:t>第二章第8.3款</w:t>
            </w:r>
          </w:p>
        </w:tc>
        <w:tc>
          <w:tcPr>
            <w:tcW w:w="1763" w:type="dxa"/>
            <w:vAlign w:val="center"/>
          </w:tcPr>
          <w:p w14:paraId="5179B76F">
            <w:pPr>
              <w:spacing w:line="340" w:lineRule="exact"/>
              <w:rPr>
                <w:rFonts w:ascii="宋体" w:hAnsi="宋体" w:cs="宋体"/>
                <w:sz w:val="24"/>
                <w:szCs w:val="24"/>
                <w:u w:val="none"/>
              </w:rPr>
            </w:pPr>
            <w:r>
              <w:rPr>
                <w:rFonts w:hint="eastAsia" w:ascii="宋体" w:hAnsi="宋体" w:cs="宋体"/>
                <w:sz w:val="24"/>
                <w:szCs w:val="24"/>
                <w:u w:val="none"/>
              </w:rPr>
              <w:t>一般条款允许偏离的最高项数</w:t>
            </w:r>
          </w:p>
        </w:tc>
        <w:tc>
          <w:tcPr>
            <w:tcW w:w="6121" w:type="dxa"/>
            <w:gridSpan w:val="2"/>
            <w:vAlign w:val="center"/>
          </w:tcPr>
          <w:p w14:paraId="5EF939A3">
            <w:pPr>
              <w:spacing w:line="340" w:lineRule="exact"/>
              <w:rPr>
                <w:rFonts w:ascii="宋体" w:hAnsi="宋体" w:cs="宋体"/>
                <w:sz w:val="24"/>
                <w:szCs w:val="24"/>
                <w:u w:val="none"/>
              </w:rPr>
            </w:pPr>
            <w:r>
              <w:rPr>
                <w:rFonts w:hint="eastAsia" w:ascii="宋体" w:hAnsi="宋体" w:cs="宋体"/>
                <w:sz w:val="24"/>
                <w:szCs w:val="24"/>
                <w:u w:val="none"/>
              </w:rPr>
              <w:t>一般条款偏离项数之和≥1项将导致无效投标。</w:t>
            </w:r>
          </w:p>
        </w:tc>
      </w:tr>
      <w:tr w14:paraId="6D3E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92" w:type="dxa"/>
            <w:vAlign w:val="center"/>
          </w:tcPr>
          <w:p w14:paraId="672DB683">
            <w:pPr>
              <w:spacing w:line="340" w:lineRule="exact"/>
              <w:rPr>
                <w:rFonts w:ascii="宋体" w:hAnsi="宋体" w:cs="宋体"/>
                <w:sz w:val="24"/>
                <w:szCs w:val="24"/>
                <w:u w:val="none"/>
              </w:rPr>
            </w:pPr>
            <w:r>
              <w:rPr>
                <w:rFonts w:hint="eastAsia" w:ascii="宋体" w:hAnsi="宋体" w:cs="宋体"/>
                <w:sz w:val="24"/>
                <w:szCs w:val="24"/>
                <w:u w:val="none"/>
              </w:rPr>
              <w:t>第二章第10.1</w:t>
            </w:r>
            <w:r>
              <w:rPr>
                <w:rFonts w:hint="eastAsia" w:ascii="宋体" w:hAnsi="宋体" w:cs="宋体"/>
                <w:sz w:val="24"/>
                <w:szCs w:val="24"/>
                <w:u w:val="none"/>
                <w:lang w:val="zh-CN"/>
              </w:rPr>
              <w:t>款</w:t>
            </w:r>
          </w:p>
        </w:tc>
        <w:tc>
          <w:tcPr>
            <w:tcW w:w="1763" w:type="dxa"/>
            <w:vAlign w:val="center"/>
          </w:tcPr>
          <w:p w14:paraId="7F620066">
            <w:pPr>
              <w:spacing w:line="340" w:lineRule="exact"/>
              <w:rPr>
                <w:rFonts w:ascii="宋体" w:hAnsi="宋体" w:cs="宋体"/>
                <w:sz w:val="24"/>
                <w:szCs w:val="24"/>
                <w:u w:val="none"/>
              </w:rPr>
            </w:pPr>
            <w:r>
              <w:rPr>
                <w:rFonts w:hint="eastAsia" w:ascii="宋体" w:hAnsi="宋体" w:cs="宋体"/>
                <w:sz w:val="24"/>
                <w:szCs w:val="24"/>
                <w:u w:val="none"/>
              </w:rPr>
              <w:t>提交投标文件</w:t>
            </w:r>
          </w:p>
          <w:p w14:paraId="363D3D03">
            <w:pPr>
              <w:spacing w:line="340" w:lineRule="exact"/>
              <w:rPr>
                <w:rFonts w:ascii="宋体" w:hAnsi="宋体" w:cs="宋体"/>
                <w:sz w:val="24"/>
                <w:szCs w:val="24"/>
                <w:u w:val="none"/>
              </w:rPr>
            </w:pPr>
            <w:r>
              <w:rPr>
                <w:rFonts w:hint="eastAsia" w:ascii="宋体" w:hAnsi="宋体" w:cs="宋体"/>
                <w:sz w:val="24"/>
                <w:szCs w:val="24"/>
                <w:u w:val="none"/>
              </w:rPr>
              <w:t>截止时间</w:t>
            </w:r>
          </w:p>
          <w:p w14:paraId="7B35BC85">
            <w:pPr>
              <w:spacing w:line="340" w:lineRule="exact"/>
              <w:rPr>
                <w:rFonts w:ascii="宋体" w:hAnsi="宋体" w:cs="宋体"/>
                <w:sz w:val="24"/>
                <w:szCs w:val="24"/>
                <w:u w:val="none"/>
              </w:rPr>
            </w:pPr>
            <w:r>
              <w:rPr>
                <w:rFonts w:hint="eastAsia" w:ascii="宋体" w:hAnsi="宋体" w:cs="宋体"/>
                <w:sz w:val="24"/>
                <w:szCs w:val="24"/>
                <w:u w:val="none"/>
              </w:rPr>
              <w:t>（开标时间）</w:t>
            </w:r>
          </w:p>
        </w:tc>
        <w:tc>
          <w:tcPr>
            <w:tcW w:w="6121" w:type="dxa"/>
            <w:gridSpan w:val="2"/>
            <w:vAlign w:val="center"/>
          </w:tcPr>
          <w:p w14:paraId="0F8055A8">
            <w:pPr>
              <w:spacing w:line="340" w:lineRule="exact"/>
              <w:rPr>
                <w:rFonts w:ascii="宋体" w:hAnsi="宋体" w:cs="宋体"/>
                <w:sz w:val="24"/>
                <w:szCs w:val="24"/>
                <w:u w:val="none"/>
              </w:rPr>
            </w:pPr>
            <w:r>
              <w:rPr>
                <w:rFonts w:hint="eastAsia" w:ascii="宋体" w:hAnsi="宋体" w:cs="宋体"/>
                <w:kern w:val="0"/>
                <w:sz w:val="24"/>
                <w:szCs w:val="24"/>
                <w:lang w:val="en-US" w:eastAsia="zh-CN" w:bidi="ar"/>
              </w:rPr>
              <w:t>2025年12月03日09时00分</w:t>
            </w:r>
            <w:r>
              <w:rPr>
                <w:rFonts w:hint="eastAsia" w:ascii="宋体" w:hAnsi="宋体" w:cs="宋体"/>
                <w:sz w:val="24"/>
                <w:szCs w:val="24"/>
                <w:u w:val="none"/>
              </w:rPr>
              <w:t>（北京时间）</w:t>
            </w:r>
          </w:p>
        </w:tc>
      </w:tr>
      <w:tr w14:paraId="2D7B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676" w:type="dxa"/>
            <w:gridSpan w:val="4"/>
            <w:vAlign w:val="center"/>
          </w:tcPr>
          <w:p w14:paraId="31CFBEE4">
            <w:pPr>
              <w:spacing w:line="340" w:lineRule="exact"/>
              <w:rPr>
                <w:rFonts w:ascii="宋体" w:hAnsi="宋体" w:cs="宋体"/>
                <w:sz w:val="24"/>
                <w:szCs w:val="24"/>
                <w:u w:val="none"/>
              </w:rPr>
            </w:pPr>
            <w:r>
              <w:rPr>
                <w:rFonts w:hint="eastAsia" w:ascii="宋体" w:hAnsi="宋体" w:cs="宋体"/>
                <w:b/>
                <w:bCs/>
                <w:sz w:val="24"/>
                <w:szCs w:val="24"/>
                <w:u w:val="none"/>
              </w:rPr>
              <w:t>三、投标文件的编写</w:t>
            </w:r>
          </w:p>
        </w:tc>
      </w:tr>
      <w:tr w14:paraId="3BFB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92" w:type="dxa"/>
            <w:vAlign w:val="center"/>
          </w:tcPr>
          <w:p w14:paraId="463231EC">
            <w:pPr>
              <w:spacing w:line="340" w:lineRule="exact"/>
              <w:rPr>
                <w:rFonts w:ascii="宋体" w:hAnsi="宋体" w:cs="宋体"/>
                <w:sz w:val="24"/>
                <w:szCs w:val="24"/>
                <w:u w:val="none"/>
              </w:rPr>
            </w:pPr>
            <w:r>
              <w:rPr>
                <w:rFonts w:hint="eastAsia" w:ascii="宋体" w:hAnsi="宋体" w:cs="宋体"/>
                <w:sz w:val="24"/>
                <w:szCs w:val="24"/>
                <w:u w:val="none"/>
              </w:rPr>
              <w:t>第二章第14.3</w:t>
            </w:r>
            <w:r>
              <w:rPr>
                <w:rFonts w:hint="eastAsia" w:ascii="宋体" w:hAnsi="宋体" w:cs="宋体"/>
                <w:sz w:val="24"/>
                <w:szCs w:val="24"/>
                <w:u w:val="none"/>
                <w:lang w:val="zh-CN"/>
              </w:rPr>
              <w:t>款</w:t>
            </w:r>
          </w:p>
        </w:tc>
        <w:tc>
          <w:tcPr>
            <w:tcW w:w="1763" w:type="dxa"/>
            <w:vAlign w:val="center"/>
          </w:tcPr>
          <w:p w14:paraId="5936D991">
            <w:pPr>
              <w:spacing w:line="340" w:lineRule="exact"/>
              <w:rPr>
                <w:rFonts w:ascii="宋体" w:hAnsi="宋体" w:cs="宋体"/>
                <w:sz w:val="24"/>
                <w:szCs w:val="24"/>
                <w:u w:val="none"/>
              </w:rPr>
            </w:pPr>
            <w:r>
              <w:rPr>
                <w:rFonts w:hint="eastAsia" w:ascii="宋体" w:hAnsi="宋体" w:cs="宋体"/>
                <w:sz w:val="24"/>
                <w:szCs w:val="24"/>
                <w:u w:val="none"/>
              </w:rPr>
              <w:t>备选方案</w:t>
            </w:r>
          </w:p>
        </w:tc>
        <w:tc>
          <w:tcPr>
            <w:tcW w:w="6121" w:type="dxa"/>
            <w:gridSpan w:val="2"/>
            <w:vAlign w:val="center"/>
          </w:tcPr>
          <w:p w14:paraId="2AA1B8AB">
            <w:pPr>
              <w:spacing w:line="340" w:lineRule="exact"/>
              <w:rPr>
                <w:rFonts w:ascii="宋体" w:hAnsi="宋体" w:cs="宋体"/>
                <w:sz w:val="24"/>
                <w:szCs w:val="24"/>
                <w:u w:val="none"/>
              </w:rPr>
            </w:pPr>
            <w:r>
              <w:rPr>
                <w:rFonts w:hint="eastAsia" w:ascii="宋体" w:hAnsi="宋体" w:cs="宋体"/>
                <w:sz w:val="24"/>
                <w:szCs w:val="24"/>
                <w:u w:val="none"/>
              </w:rPr>
              <w:t>不接受</w:t>
            </w:r>
          </w:p>
        </w:tc>
      </w:tr>
      <w:tr w14:paraId="017B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92" w:type="dxa"/>
            <w:vAlign w:val="center"/>
          </w:tcPr>
          <w:p w14:paraId="6AB59D9F">
            <w:pPr>
              <w:spacing w:line="340" w:lineRule="exact"/>
              <w:rPr>
                <w:rFonts w:ascii="宋体" w:hAnsi="宋体" w:cs="宋体"/>
                <w:sz w:val="24"/>
                <w:szCs w:val="24"/>
                <w:u w:val="none"/>
              </w:rPr>
            </w:pPr>
            <w:r>
              <w:rPr>
                <w:rFonts w:hint="eastAsia" w:ascii="宋体" w:hAnsi="宋体" w:cs="宋体"/>
                <w:sz w:val="24"/>
                <w:szCs w:val="24"/>
                <w:u w:val="none"/>
              </w:rPr>
              <w:t>第二章第14.</w:t>
            </w:r>
            <w:r>
              <w:rPr>
                <w:rFonts w:hint="eastAsia" w:ascii="宋体" w:hAnsi="宋体" w:cs="宋体"/>
                <w:sz w:val="24"/>
                <w:szCs w:val="24"/>
                <w:u w:val="none"/>
                <w:lang w:val="en-US" w:eastAsia="zh-CN"/>
              </w:rPr>
              <w:t>6</w:t>
            </w:r>
            <w:r>
              <w:rPr>
                <w:rFonts w:hint="eastAsia" w:ascii="宋体" w:hAnsi="宋体" w:cs="宋体"/>
                <w:sz w:val="24"/>
                <w:szCs w:val="24"/>
                <w:u w:val="none"/>
                <w:lang w:val="zh-CN"/>
              </w:rPr>
              <w:t>款</w:t>
            </w:r>
          </w:p>
        </w:tc>
        <w:tc>
          <w:tcPr>
            <w:tcW w:w="1763" w:type="dxa"/>
            <w:vAlign w:val="center"/>
          </w:tcPr>
          <w:p w14:paraId="7E663738">
            <w:pPr>
              <w:spacing w:line="340" w:lineRule="exact"/>
              <w:rPr>
                <w:rFonts w:ascii="宋体" w:hAnsi="宋体" w:cs="宋体"/>
                <w:sz w:val="24"/>
                <w:szCs w:val="24"/>
                <w:u w:val="none"/>
              </w:rPr>
            </w:pPr>
            <w:r>
              <w:rPr>
                <w:rFonts w:hint="eastAsia" w:ascii="宋体" w:hAnsi="宋体" w:cs="宋体"/>
                <w:sz w:val="24"/>
                <w:szCs w:val="24"/>
                <w:u w:val="none"/>
              </w:rPr>
              <w:t>采购预算金额</w:t>
            </w:r>
          </w:p>
        </w:tc>
        <w:tc>
          <w:tcPr>
            <w:tcW w:w="6121" w:type="dxa"/>
            <w:gridSpan w:val="2"/>
            <w:vAlign w:val="center"/>
          </w:tcPr>
          <w:p w14:paraId="11DDC422">
            <w:pPr>
              <w:spacing w:line="340" w:lineRule="exact"/>
              <w:rPr>
                <w:rFonts w:ascii="宋体" w:hAnsi="宋体" w:cs="宋体"/>
                <w:sz w:val="24"/>
                <w:szCs w:val="24"/>
                <w:u w:val="none"/>
              </w:rPr>
            </w:pPr>
            <w:r>
              <w:rPr>
                <w:rStyle w:val="35"/>
                <w:rFonts w:hint="eastAsia" w:ascii="宋体" w:hAnsi="宋体" w:cs="宋体"/>
                <w:sz w:val="24"/>
                <w:szCs w:val="24"/>
                <w:highlight w:val="none"/>
                <w:lang w:eastAsia="zh-CN"/>
              </w:rPr>
              <w:t>14185000元</w:t>
            </w:r>
          </w:p>
        </w:tc>
      </w:tr>
      <w:tr w14:paraId="3DCF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92" w:type="dxa"/>
            <w:vAlign w:val="center"/>
          </w:tcPr>
          <w:p w14:paraId="44959CB6">
            <w:pPr>
              <w:spacing w:line="340" w:lineRule="exact"/>
              <w:rPr>
                <w:rFonts w:ascii="宋体" w:hAnsi="宋体" w:cs="宋体"/>
                <w:sz w:val="24"/>
                <w:szCs w:val="24"/>
                <w:u w:val="none"/>
              </w:rPr>
            </w:pPr>
            <w:r>
              <w:rPr>
                <w:rFonts w:hint="eastAsia" w:ascii="宋体" w:hAnsi="宋体" w:cs="宋体"/>
                <w:sz w:val="24"/>
                <w:szCs w:val="24"/>
                <w:u w:val="none"/>
              </w:rPr>
              <w:t>第二章第14.</w:t>
            </w:r>
            <w:r>
              <w:rPr>
                <w:rFonts w:hint="eastAsia" w:ascii="宋体" w:hAnsi="宋体" w:cs="宋体"/>
                <w:sz w:val="24"/>
                <w:szCs w:val="24"/>
                <w:u w:val="none"/>
                <w:lang w:val="en-US" w:eastAsia="zh-CN"/>
              </w:rPr>
              <w:t>7</w:t>
            </w:r>
            <w:r>
              <w:rPr>
                <w:rFonts w:hint="eastAsia" w:ascii="宋体" w:hAnsi="宋体" w:cs="宋体"/>
                <w:sz w:val="24"/>
                <w:szCs w:val="24"/>
                <w:u w:val="none"/>
                <w:lang w:val="zh-CN"/>
              </w:rPr>
              <w:t>款</w:t>
            </w:r>
          </w:p>
        </w:tc>
        <w:tc>
          <w:tcPr>
            <w:tcW w:w="1763" w:type="dxa"/>
            <w:vAlign w:val="center"/>
          </w:tcPr>
          <w:p w14:paraId="5916B2AC">
            <w:pPr>
              <w:spacing w:line="340" w:lineRule="exact"/>
              <w:rPr>
                <w:rFonts w:ascii="宋体" w:hAnsi="宋体" w:cs="宋体"/>
                <w:sz w:val="24"/>
                <w:szCs w:val="24"/>
                <w:u w:val="none"/>
              </w:rPr>
            </w:pPr>
            <w:r>
              <w:rPr>
                <w:rFonts w:hint="eastAsia" w:ascii="宋体" w:hAnsi="宋体" w:cs="宋体"/>
                <w:sz w:val="24"/>
                <w:szCs w:val="24"/>
                <w:u w:val="none"/>
              </w:rPr>
              <w:t>最高限价</w:t>
            </w:r>
          </w:p>
        </w:tc>
        <w:tc>
          <w:tcPr>
            <w:tcW w:w="6121" w:type="dxa"/>
            <w:gridSpan w:val="2"/>
            <w:vAlign w:val="center"/>
          </w:tcPr>
          <w:p w14:paraId="7D446B77">
            <w:pPr>
              <w:spacing w:line="340" w:lineRule="exact"/>
              <w:rPr>
                <w:rFonts w:ascii="宋体" w:hAnsi="宋体" w:cs="宋体"/>
                <w:sz w:val="24"/>
                <w:szCs w:val="24"/>
                <w:u w:val="none"/>
              </w:rPr>
            </w:pPr>
            <w:r>
              <w:rPr>
                <w:rFonts w:hint="eastAsia" w:ascii="宋体" w:hAnsi="宋体" w:cs="宋体"/>
                <w:sz w:val="24"/>
                <w:szCs w:val="24"/>
                <w:u w:val="none"/>
                <w:lang w:eastAsia="zh-CN"/>
              </w:rPr>
              <w:t>财政评审价格的100%</w:t>
            </w:r>
          </w:p>
        </w:tc>
      </w:tr>
      <w:tr w14:paraId="49E3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92" w:type="dxa"/>
            <w:vAlign w:val="center"/>
          </w:tcPr>
          <w:p w14:paraId="2253347D">
            <w:pPr>
              <w:spacing w:line="340" w:lineRule="exact"/>
              <w:rPr>
                <w:rFonts w:ascii="宋体" w:hAnsi="宋体" w:cs="宋体"/>
                <w:sz w:val="24"/>
                <w:szCs w:val="24"/>
                <w:u w:val="none"/>
              </w:rPr>
            </w:pPr>
            <w:r>
              <w:rPr>
                <w:rFonts w:hint="eastAsia" w:ascii="宋体" w:hAnsi="宋体" w:cs="宋体"/>
                <w:sz w:val="24"/>
                <w:szCs w:val="24"/>
                <w:u w:val="none"/>
              </w:rPr>
              <w:t>第二章第17.1</w:t>
            </w:r>
            <w:r>
              <w:rPr>
                <w:rFonts w:hint="eastAsia" w:ascii="宋体" w:hAnsi="宋体" w:cs="宋体"/>
                <w:sz w:val="24"/>
                <w:szCs w:val="24"/>
                <w:u w:val="none"/>
                <w:lang w:val="zh-CN"/>
              </w:rPr>
              <w:t>款</w:t>
            </w:r>
          </w:p>
        </w:tc>
        <w:tc>
          <w:tcPr>
            <w:tcW w:w="1763" w:type="dxa"/>
            <w:vAlign w:val="center"/>
          </w:tcPr>
          <w:p w14:paraId="5965A048">
            <w:pPr>
              <w:spacing w:line="340" w:lineRule="exact"/>
              <w:rPr>
                <w:rFonts w:ascii="宋体" w:hAnsi="宋体" w:cs="宋体"/>
                <w:sz w:val="24"/>
                <w:szCs w:val="24"/>
                <w:u w:val="none"/>
              </w:rPr>
            </w:pPr>
            <w:r>
              <w:rPr>
                <w:rFonts w:hint="eastAsia" w:ascii="宋体" w:hAnsi="宋体" w:cs="宋体"/>
                <w:sz w:val="24"/>
                <w:szCs w:val="24"/>
                <w:u w:val="none"/>
              </w:rPr>
              <w:t>投标保证金</w:t>
            </w:r>
          </w:p>
        </w:tc>
        <w:tc>
          <w:tcPr>
            <w:tcW w:w="6121" w:type="dxa"/>
            <w:gridSpan w:val="2"/>
            <w:vAlign w:val="center"/>
          </w:tcPr>
          <w:p w14:paraId="4596F373">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1.交纳方式：通过本单位基本银行账户汇款、支票、汇票、本票或金融机构、担保机构出具的保函等非现金形式提交。</w:t>
            </w:r>
          </w:p>
          <w:p w14:paraId="6EA37D1B">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2.截止时间：</w:t>
            </w:r>
            <w:r>
              <w:rPr>
                <w:rFonts w:hint="eastAsia" w:ascii="宋体" w:hAnsi="宋体" w:cs="宋体"/>
                <w:kern w:val="0"/>
                <w:sz w:val="24"/>
                <w:szCs w:val="24"/>
                <w:lang w:val="en-US" w:eastAsia="zh-CN" w:bidi="ar"/>
              </w:rPr>
              <w:t>2025年12月03日09时00分</w:t>
            </w:r>
            <w:r>
              <w:rPr>
                <w:rFonts w:hint="eastAsia" w:ascii="宋体" w:hAnsi="宋体" w:eastAsia="宋体" w:cs="宋体"/>
                <w:color w:val="auto"/>
                <w:sz w:val="24"/>
                <w:szCs w:val="32"/>
                <w:highlight w:val="none"/>
                <w:lang w:val="en-US" w:eastAsia="zh-CN"/>
              </w:rPr>
              <w:t>（北京时间）（以实际到账时间为准）；</w:t>
            </w:r>
          </w:p>
          <w:p w14:paraId="401E66F9">
            <w:pPr>
              <w:numPr>
                <w:ilvl w:val="0"/>
                <w:numId w:val="0"/>
              </w:numPr>
              <w:spacing w:line="3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3.投标保证金：</w:t>
            </w:r>
            <w:r>
              <w:rPr>
                <w:rFonts w:hint="eastAsia" w:ascii="宋体" w:hAnsi="宋体" w:cs="宋体"/>
                <w:sz w:val="24"/>
                <w:szCs w:val="24"/>
                <w:u w:val="none"/>
                <w:lang w:eastAsia="zh-CN"/>
              </w:rPr>
              <w:t>壹拾肆万元整</w:t>
            </w:r>
            <w:r>
              <w:rPr>
                <w:rFonts w:hint="eastAsia" w:ascii="宋体" w:hAnsi="宋体" w:eastAsia="宋体" w:cs="宋体"/>
                <w:color w:val="auto"/>
                <w:sz w:val="24"/>
                <w:szCs w:val="32"/>
                <w:highlight w:val="none"/>
                <w:lang w:val="en-US" w:eastAsia="zh-CN"/>
              </w:rPr>
              <w:t>。交纳投标保证金时请在备注栏中注明</w:t>
            </w:r>
            <w:r>
              <w:rPr>
                <w:rFonts w:hint="eastAsia" w:ascii="宋体" w:hAnsi="宋体" w:eastAsia="宋体" w:cs="宋体"/>
                <w:b/>
                <w:bCs/>
                <w:color w:val="auto"/>
                <w:sz w:val="24"/>
                <w:szCs w:val="32"/>
                <w:highlight w:val="none"/>
                <w:lang w:val="en-US" w:eastAsia="zh-CN"/>
              </w:rPr>
              <w:t>项目编号</w:t>
            </w:r>
            <w:r>
              <w:rPr>
                <w:rFonts w:hint="eastAsia" w:ascii="宋体" w:hAnsi="宋体" w:cs="宋体"/>
                <w:b/>
                <w:bCs/>
                <w:color w:val="auto"/>
                <w:sz w:val="24"/>
                <w:szCs w:val="32"/>
                <w:highlight w:val="none"/>
                <w:lang w:val="en-US" w:eastAsia="zh-CN"/>
              </w:rPr>
              <w:t>或项目名称</w:t>
            </w:r>
          </w:p>
          <w:p w14:paraId="6832FBCE">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4.支付账户信息</w:t>
            </w:r>
          </w:p>
          <w:p w14:paraId="6037DB59">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开户名：山西诚赢天下工程项目管理有限公司</w:t>
            </w:r>
          </w:p>
          <w:p w14:paraId="49E04628">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开户行：</w:t>
            </w:r>
            <w:r>
              <w:rPr>
                <w:rFonts w:hint="eastAsia" w:cs="Times New Roman"/>
                <w:b w:val="0"/>
                <w:bCs w:val="0"/>
                <w:color w:val="auto"/>
                <w:sz w:val="24"/>
                <w:szCs w:val="24"/>
                <w:highlight w:val="none"/>
                <w:lang w:val="en-US" w:eastAsia="zh-CN"/>
              </w:rPr>
              <w:t>华夏银行股份有限公司运城支行</w:t>
            </w:r>
          </w:p>
          <w:p w14:paraId="10542A1F">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行号：304181011066</w:t>
            </w:r>
          </w:p>
          <w:p w14:paraId="49AD2B52">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账号：11761000000680596</w:t>
            </w:r>
          </w:p>
          <w:p w14:paraId="4F493D49">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5.以汇款或者支票形式提交的投标保证金应当从其基本账户转出。 </w:t>
            </w:r>
          </w:p>
          <w:p w14:paraId="0276C1FB">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采用银行汇款和支票，应当明确收款账号，投标文件中需附汇票存根或银行转账通知扫描件及其基本账户转出的证明。</w:t>
            </w:r>
          </w:p>
          <w:p w14:paraId="5B47A524">
            <w:pPr>
              <w:numPr>
                <w:ilvl w:val="0"/>
                <w:numId w:val="0"/>
              </w:numPr>
              <w:spacing w:line="340" w:lineRule="exac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6.采用非电汇形式缴纳的，供应商须在投标截止前将支票、汇票、本票或金融机构、担保机构出具的保函原件扫描件发送至山西诚赢天下工程项目管理有限公司。邮件标题格式为：项目名称+公司名称。</w:t>
            </w:r>
          </w:p>
          <w:p w14:paraId="7079B625">
            <w:pPr>
              <w:spacing w:line="340" w:lineRule="exact"/>
              <w:rPr>
                <w:sz w:val="24"/>
                <w:szCs w:val="24"/>
                <w:u w:val="none"/>
              </w:rPr>
            </w:pPr>
            <w:r>
              <w:rPr>
                <w:rFonts w:hint="eastAsia" w:ascii="宋体" w:hAnsi="宋体" w:eastAsia="宋体" w:cs="宋体"/>
                <w:color w:val="auto"/>
                <w:sz w:val="24"/>
                <w:szCs w:val="32"/>
                <w:highlight w:val="none"/>
                <w:lang w:val="en-US" w:eastAsia="zh-CN"/>
              </w:rPr>
              <w:t>7.电汇形式退还方式：通过本单位基本银行账户退还，退还投标保证金时，银行手续费由供应商自行承担。</w:t>
            </w:r>
          </w:p>
        </w:tc>
      </w:tr>
      <w:tr w14:paraId="48C5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792" w:type="dxa"/>
            <w:vAlign w:val="center"/>
          </w:tcPr>
          <w:p w14:paraId="673C06F0">
            <w:pPr>
              <w:spacing w:line="340" w:lineRule="exact"/>
              <w:rPr>
                <w:rFonts w:ascii="宋体" w:hAnsi="宋体" w:cs="宋体"/>
                <w:sz w:val="24"/>
                <w:szCs w:val="24"/>
                <w:u w:val="none"/>
              </w:rPr>
            </w:pPr>
            <w:r>
              <w:rPr>
                <w:rFonts w:hint="eastAsia" w:ascii="宋体" w:hAnsi="宋体" w:cs="宋体"/>
                <w:sz w:val="24"/>
                <w:szCs w:val="24"/>
                <w:u w:val="none"/>
              </w:rPr>
              <w:t>第二章第18.1</w:t>
            </w:r>
            <w:r>
              <w:rPr>
                <w:rFonts w:hint="eastAsia" w:ascii="宋体" w:hAnsi="宋体" w:cs="宋体"/>
                <w:sz w:val="24"/>
                <w:szCs w:val="24"/>
                <w:u w:val="none"/>
                <w:lang w:val="zh-CN"/>
              </w:rPr>
              <w:t>款</w:t>
            </w:r>
          </w:p>
        </w:tc>
        <w:tc>
          <w:tcPr>
            <w:tcW w:w="1763" w:type="dxa"/>
            <w:vAlign w:val="center"/>
          </w:tcPr>
          <w:p w14:paraId="5271229C">
            <w:pPr>
              <w:spacing w:line="340" w:lineRule="exact"/>
              <w:rPr>
                <w:rFonts w:ascii="宋体" w:hAnsi="宋体" w:cs="宋体"/>
                <w:sz w:val="24"/>
                <w:szCs w:val="24"/>
                <w:u w:val="none"/>
              </w:rPr>
            </w:pPr>
            <w:r>
              <w:rPr>
                <w:rFonts w:hint="eastAsia" w:ascii="宋体" w:hAnsi="宋体" w:cs="宋体"/>
                <w:sz w:val="24"/>
                <w:szCs w:val="24"/>
                <w:u w:val="none"/>
              </w:rPr>
              <w:t>投标有效期</w:t>
            </w:r>
          </w:p>
        </w:tc>
        <w:tc>
          <w:tcPr>
            <w:tcW w:w="6121" w:type="dxa"/>
            <w:gridSpan w:val="2"/>
            <w:vAlign w:val="center"/>
          </w:tcPr>
          <w:p w14:paraId="258BF402">
            <w:pPr>
              <w:spacing w:line="340" w:lineRule="exact"/>
              <w:rPr>
                <w:rFonts w:ascii="宋体" w:hAnsi="宋体" w:cs="宋体"/>
                <w:sz w:val="24"/>
                <w:szCs w:val="24"/>
                <w:u w:val="none"/>
              </w:rPr>
            </w:pPr>
            <w:r>
              <w:rPr>
                <w:rFonts w:hint="eastAsia" w:ascii="宋体" w:hAnsi="宋体" w:cs="宋体"/>
                <w:sz w:val="24"/>
                <w:szCs w:val="24"/>
                <w:u w:val="none"/>
              </w:rPr>
              <w:t>60日历天</w:t>
            </w:r>
          </w:p>
        </w:tc>
      </w:tr>
      <w:tr w14:paraId="59FD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92" w:type="dxa"/>
            <w:vAlign w:val="center"/>
          </w:tcPr>
          <w:p w14:paraId="2E483925">
            <w:pPr>
              <w:spacing w:line="340" w:lineRule="exact"/>
              <w:rPr>
                <w:rFonts w:ascii="宋体" w:hAnsi="宋体" w:cs="宋体"/>
                <w:sz w:val="24"/>
                <w:szCs w:val="24"/>
                <w:u w:val="none"/>
              </w:rPr>
            </w:pPr>
            <w:r>
              <w:rPr>
                <w:rFonts w:hint="eastAsia" w:ascii="宋体" w:hAnsi="宋体" w:cs="宋体"/>
                <w:sz w:val="24"/>
                <w:szCs w:val="24"/>
                <w:u w:val="none"/>
              </w:rPr>
              <w:t>第二章第19.1</w:t>
            </w:r>
            <w:r>
              <w:rPr>
                <w:rFonts w:hint="eastAsia" w:ascii="宋体" w:hAnsi="宋体" w:cs="宋体"/>
                <w:sz w:val="24"/>
                <w:szCs w:val="24"/>
                <w:u w:val="none"/>
                <w:lang w:val="zh-CN"/>
              </w:rPr>
              <w:t>款</w:t>
            </w:r>
          </w:p>
        </w:tc>
        <w:tc>
          <w:tcPr>
            <w:tcW w:w="1763" w:type="dxa"/>
            <w:vAlign w:val="center"/>
          </w:tcPr>
          <w:p w14:paraId="31FD4EBA">
            <w:pPr>
              <w:snapToGrid w:val="0"/>
              <w:spacing w:line="340" w:lineRule="exact"/>
              <w:rPr>
                <w:rFonts w:ascii="宋体" w:hAnsi="宋体" w:cs="宋体"/>
                <w:sz w:val="24"/>
                <w:szCs w:val="24"/>
                <w:u w:val="none"/>
              </w:rPr>
            </w:pPr>
            <w:r>
              <w:rPr>
                <w:rFonts w:hint="eastAsia" w:ascii="宋体" w:hAnsi="宋体" w:cs="宋体"/>
                <w:sz w:val="24"/>
                <w:szCs w:val="24"/>
                <w:u w:val="none"/>
              </w:rPr>
              <w:t>投标文件份数</w:t>
            </w:r>
          </w:p>
        </w:tc>
        <w:tc>
          <w:tcPr>
            <w:tcW w:w="6121" w:type="dxa"/>
            <w:gridSpan w:val="2"/>
            <w:vAlign w:val="center"/>
          </w:tcPr>
          <w:p w14:paraId="2CFCC71C">
            <w:pPr>
              <w:snapToGrid w:val="0"/>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电子响应文件一份</w:t>
            </w:r>
            <w:r>
              <w:rPr>
                <w:rFonts w:ascii="宋体" w:hAnsi="宋体" w:cs="宋体"/>
                <w:color w:val="auto"/>
                <w:sz w:val="24"/>
                <w:szCs w:val="24"/>
                <w:highlight w:val="none"/>
                <w:u w:val="none"/>
              </w:rPr>
              <w:t>。</w:t>
            </w:r>
          </w:p>
          <w:p w14:paraId="59CF3EEC">
            <w:pPr>
              <w:snapToGrid w:val="0"/>
              <w:spacing w:line="340" w:lineRule="exact"/>
              <w:rPr>
                <w:rFonts w:ascii="宋体" w:hAnsi="宋体" w:cs="宋体"/>
                <w:color w:val="auto"/>
                <w:sz w:val="24"/>
                <w:szCs w:val="24"/>
                <w:highlight w:val="none"/>
                <w:u w:val="none"/>
              </w:rPr>
            </w:pPr>
            <w:r>
              <w:rPr>
                <w:rFonts w:ascii="宋体" w:hAnsi="宋体" w:cs="宋体"/>
                <w:color w:val="auto"/>
                <w:sz w:val="24"/>
                <w:szCs w:val="24"/>
                <w:highlight w:val="none"/>
                <w:u w:val="none"/>
              </w:rPr>
              <w:t>注：各</w:t>
            </w:r>
            <w:r>
              <w:rPr>
                <w:rFonts w:hint="eastAsia" w:ascii="宋体" w:hAnsi="宋体" w:cs="宋体"/>
                <w:color w:val="auto"/>
                <w:sz w:val="24"/>
                <w:szCs w:val="24"/>
                <w:highlight w:val="none"/>
                <w:u w:val="none"/>
                <w:lang w:eastAsia="zh-CN"/>
              </w:rPr>
              <w:t>供应商</w:t>
            </w:r>
            <w:r>
              <w:rPr>
                <w:rFonts w:ascii="宋体" w:hAnsi="宋体" w:cs="宋体"/>
                <w:color w:val="auto"/>
                <w:sz w:val="24"/>
                <w:szCs w:val="24"/>
                <w:highlight w:val="none"/>
                <w:u w:val="none"/>
              </w:rPr>
              <w:t>开标现场自行准备电脑用于开标解密，本次项目开标解密时长为</w:t>
            </w:r>
            <w:r>
              <w:rPr>
                <w:rFonts w:hint="eastAsia" w:ascii="宋体" w:hAnsi="宋体" w:cs="宋体"/>
                <w:color w:val="auto"/>
                <w:sz w:val="24"/>
                <w:szCs w:val="24"/>
                <w:highlight w:val="none"/>
                <w:u w:val="none"/>
              </w:rPr>
              <w:t>30</w:t>
            </w:r>
            <w:r>
              <w:rPr>
                <w:rFonts w:ascii="宋体" w:hAnsi="宋体" w:cs="宋体"/>
                <w:color w:val="auto"/>
                <w:sz w:val="24"/>
                <w:szCs w:val="24"/>
                <w:highlight w:val="none"/>
                <w:u w:val="none"/>
              </w:rPr>
              <w:t>分钟，超时导致解密失败，后果由</w:t>
            </w:r>
            <w:r>
              <w:rPr>
                <w:rFonts w:hint="eastAsia" w:ascii="宋体" w:hAnsi="宋体" w:cs="宋体"/>
                <w:color w:val="auto"/>
                <w:sz w:val="24"/>
                <w:szCs w:val="24"/>
                <w:highlight w:val="none"/>
                <w:u w:val="none"/>
                <w:lang w:eastAsia="zh-CN"/>
              </w:rPr>
              <w:t>供应商</w:t>
            </w:r>
            <w:r>
              <w:rPr>
                <w:rFonts w:ascii="宋体" w:hAnsi="宋体" w:cs="宋体"/>
                <w:color w:val="auto"/>
                <w:sz w:val="24"/>
                <w:szCs w:val="24"/>
                <w:highlight w:val="none"/>
                <w:u w:val="none"/>
              </w:rPr>
              <w:t xml:space="preserve">自行负责。                  </w:t>
            </w:r>
          </w:p>
          <w:p w14:paraId="5F7C792E">
            <w:pPr>
              <w:snapToGrid w:val="0"/>
              <w:spacing w:line="340" w:lineRule="exact"/>
              <w:jc w:val="lef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1</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供应商</w:t>
            </w:r>
            <w:r>
              <w:rPr>
                <w:rFonts w:ascii="宋体" w:hAnsi="宋体" w:cs="宋体"/>
                <w:color w:val="auto"/>
                <w:sz w:val="24"/>
                <w:szCs w:val="24"/>
                <w:highlight w:val="none"/>
                <w:u w:val="none"/>
              </w:rPr>
              <w:t>要按照采购文件要求进行签章和加密，并在开标时使用制作电子版</w:t>
            </w:r>
            <w:r>
              <w:rPr>
                <w:rFonts w:hint="eastAsia" w:ascii="宋体" w:hAnsi="宋体" w:cs="宋体"/>
                <w:color w:val="auto"/>
                <w:sz w:val="24"/>
                <w:szCs w:val="24"/>
                <w:highlight w:val="none"/>
                <w:u w:val="none"/>
                <w:lang w:eastAsia="zh-CN"/>
              </w:rPr>
              <w:t>响应文件</w:t>
            </w:r>
            <w:r>
              <w:rPr>
                <w:rFonts w:ascii="宋体" w:hAnsi="宋体" w:cs="宋体"/>
                <w:color w:val="auto"/>
                <w:sz w:val="24"/>
                <w:szCs w:val="24"/>
                <w:highlight w:val="none"/>
                <w:u w:val="none"/>
              </w:rPr>
              <w:t>的 CA 数字证书进行解密操作。开标过程中，因</w:t>
            </w:r>
            <w:r>
              <w:rPr>
                <w:rFonts w:hint="eastAsia" w:ascii="宋体" w:hAnsi="宋体" w:cs="宋体"/>
                <w:color w:val="auto"/>
                <w:sz w:val="24"/>
                <w:szCs w:val="24"/>
                <w:highlight w:val="none"/>
                <w:u w:val="none"/>
                <w:lang w:eastAsia="zh-CN"/>
              </w:rPr>
              <w:t>供应商</w:t>
            </w:r>
            <w:r>
              <w:rPr>
                <w:rFonts w:ascii="宋体" w:hAnsi="宋体" w:cs="宋体"/>
                <w:color w:val="auto"/>
                <w:sz w:val="24"/>
                <w:szCs w:val="24"/>
                <w:highlight w:val="none"/>
                <w:u w:val="none"/>
              </w:rPr>
              <w:t>个人原因造成</w:t>
            </w:r>
            <w:r>
              <w:rPr>
                <w:rFonts w:hint="eastAsia" w:ascii="宋体" w:hAnsi="宋体" w:cs="宋体"/>
                <w:color w:val="auto"/>
                <w:sz w:val="24"/>
                <w:szCs w:val="24"/>
                <w:highlight w:val="none"/>
                <w:u w:val="none"/>
                <w:lang w:eastAsia="zh-CN"/>
              </w:rPr>
              <w:t>响应文件</w:t>
            </w:r>
            <w:r>
              <w:rPr>
                <w:rFonts w:ascii="宋体" w:hAnsi="宋体" w:cs="宋体"/>
                <w:color w:val="auto"/>
                <w:sz w:val="24"/>
                <w:szCs w:val="24"/>
                <w:highlight w:val="none"/>
                <w:u w:val="none"/>
              </w:rPr>
              <w:t xml:space="preserve">未解密的，视为无效投标。 </w:t>
            </w:r>
          </w:p>
          <w:p w14:paraId="01B3E704">
            <w:pPr>
              <w:snapToGrid w:val="0"/>
              <w:spacing w:line="340" w:lineRule="exact"/>
              <w:jc w:val="lef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2</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lang w:eastAsia="zh-CN"/>
              </w:rPr>
              <w:t>供应商</w:t>
            </w:r>
            <w:r>
              <w:rPr>
                <w:rFonts w:ascii="宋体" w:hAnsi="宋体" w:cs="宋体"/>
                <w:color w:val="auto"/>
                <w:sz w:val="24"/>
                <w:szCs w:val="24"/>
                <w:highlight w:val="none"/>
                <w:u w:val="none"/>
              </w:rPr>
              <w:t>通过投标客户端编制完</w:t>
            </w:r>
            <w:r>
              <w:rPr>
                <w:rFonts w:hint="eastAsia" w:ascii="宋体" w:hAnsi="宋体" w:cs="宋体"/>
                <w:color w:val="auto"/>
                <w:sz w:val="24"/>
                <w:szCs w:val="24"/>
                <w:highlight w:val="none"/>
                <w:u w:val="none"/>
                <w:lang w:val="en-US" w:eastAsia="zh-CN"/>
              </w:rPr>
              <w:t>响应文件</w:t>
            </w:r>
            <w:r>
              <w:rPr>
                <w:rFonts w:ascii="宋体" w:hAnsi="宋体" w:cs="宋体"/>
                <w:color w:val="auto"/>
                <w:sz w:val="24"/>
                <w:szCs w:val="24"/>
                <w:highlight w:val="none"/>
                <w:u w:val="none"/>
              </w:rPr>
              <w:t>后，使用企业 CA 数字证书对</w:t>
            </w:r>
            <w:r>
              <w:rPr>
                <w:rFonts w:hint="eastAsia" w:ascii="宋体" w:hAnsi="宋体" w:cs="宋体"/>
                <w:color w:val="auto"/>
                <w:sz w:val="24"/>
                <w:szCs w:val="24"/>
                <w:highlight w:val="none"/>
                <w:u w:val="none"/>
                <w:lang w:val="en-US" w:eastAsia="zh-CN"/>
              </w:rPr>
              <w:t>响应文件</w:t>
            </w:r>
            <w:r>
              <w:rPr>
                <w:rFonts w:ascii="宋体" w:hAnsi="宋体" w:cs="宋体"/>
                <w:color w:val="auto"/>
                <w:sz w:val="24"/>
                <w:szCs w:val="24"/>
                <w:highlight w:val="none"/>
                <w:u w:val="none"/>
              </w:rPr>
              <w:t>进行加密，生成加密后的</w:t>
            </w:r>
            <w:r>
              <w:rPr>
                <w:rFonts w:hint="eastAsia" w:ascii="宋体" w:hAnsi="宋体" w:cs="宋体"/>
                <w:color w:val="auto"/>
                <w:sz w:val="24"/>
                <w:szCs w:val="24"/>
                <w:highlight w:val="none"/>
                <w:u w:val="none"/>
                <w:lang w:val="en-US" w:eastAsia="zh-CN"/>
              </w:rPr>
              <w:t>响应文件</w:t>
            </w:r>
            <w:r>
              <w:rPr>
                <w:rFonts w:ascii="宋体" w:hAnsi="宋体" w:cs="宋体"/>
                <w:color w:val="auto"/>
                <w:sz w:val="24"/>
                <w:szCs w:val="24"/>
                <w:highlight w:val="none"/>
                <w:u w:val="none"/>
              </w:rPr>
              <w:t>，在开标时再行解密。</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加密、解密必须使用同一CA数字证书</w:t>
            </w:r>
            <w:r>
              <w:rPr>
                <w:rFonts w:hint="eastAsia" w:ascii="宋体" w:hAnsi="宋体" w:cs="宋体"/>
                <w:color w:val="auto"/>
                <w:sz w:val="24"/>
                <w:szCs w:val="24"/>
                <w:highlight w:val="none"/>
                <w:u w:val="none"/>
              </w:rPr>
              <w:t>）。</w:t>
            </w:r>
          </w:p>
          <w:p w14:paraId="43908E8E">
            <w:pPr>
              <w:snapToGrid w:val="0"/>
              <w:spacing w:line="340" w:lineRule="exact"/>
              <w:jc w:val="lef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3</w:t>
            </w:r>
            <w:r>
              <w:rPr>
                <w:rFonts w:hint="eastAsia" w:ascii="宋体" w:hAnsi="宋体" w:cs="宋体"/>
                <w:color w:val="auto"/>
                <w:sz w:val="24"/>
                <w:szCs w:val="24"/>
                <w:highlight w:val="none"/>
                <w:u w:val="none"/>
                <w:lang w:eastAsia="zh-CN"/>
              </w:rPr>
              <w:t>、供应商</w:t>
            </w:r>
            <w:r>
              <w:rPr>
                <w:rFonts w:hint="eastAsia" w:ascii="宋体" w:hAnsi="宋体" w:cs="宋体"/>
                <w:color w:val="auto"/>
                <w:sz w:val="24"/>
                <w:szCs w:val="24"/>
                <w:highlight w:val="none"/>
                <w:u w:val="none"/>
              </w:rPr>
              <w:t>应使用政采云系统的响应文件编制工具，按照操作手册编制电子</w:t>
            </w:r>
            <w:r>
              <w:rPr>
                <w:rFonts w:hint="eastAsia" w:ascii="宋体" w:hAnsi="宋体" w:cs="宋体"/>
                <w:color w:val="auto"/>
                <w:sz w:val="24"/>
                <w:szCs w:val="24"/>
                <w:highlight w:val="none"/>
                <w:u w:val="none"/>
                <w:lang w:val="en-US" w:eastAsia="zh-CN"/>
              </w:rPr>
              <w:t>响应文件</w:t>
            </w:r>
            <w:r>
              <w:rPr>
                <w:rFonts w:hint="eastAsia" w:ascii="宋体" w:hAnsi="宋体" w:cs="宋体"/>
                <w:color w:val="auto"/>
                <w:sz w:val="24"/>
                <w:szCs w:val="24"/>
                <w:highlight w:val="none"/>
                <w:u w:val="none"/>
              </w:rPr>
              <w:t>，并使用数字证书（CA）按照</w:t>
            </w:r>
            <w:r>
              <w:rPr>
                <w:rFonts w:hint="eastAsia" w:ascii="宋体" w:hAnsi="宋体" w:cs="宋体"/>
                <w:color w:val="auto"/>
                <w:sz w:val="24"/>
                <w:szCs w:val="24"/>
                <w:highlight w:val="none"/>
                <w:u w:val="none"/>
                <w:lang w:val="en-US" w:eastAsia="zh-CN"/>
              </w:rPr>
              <w:t>采购</w:t>
            </w:r>
            <w:r>
              <w:rPr>
                <w:rFonts w:hint="eastAsia" w:ascii="宋体" w:hAnsi="宋体" w:cs="宋体"/>
                <w:color w:val="auto"/>
                <w:sz w:val="24"/>
                <w:szCs w:val="24"/>
                <w:highlight w:val="none"/>
                <w:u w:val="none"/>
              </w:rPr>
              <w:t>文件规定签字、签章。同时使用数字证书（CA）对</w:t>
            </w:r>
            <w:r>
              <w:rPr>
                <w:rFonts w:hint="eastAsia" w:ascii="宋体" w:hAnsi="宋体" w:cs="宋体"/>
                <w:color w:val="auto"/>
                <w:sz w:val="24"/>
                <w:szCs w:val="24"/>
                <w:highlight w:val="none"/>
                <w:u w:val="none"/>
                <w:lang w:val="en-US" w:eastAsia="zh-CN"/>
              </w:rPr>
              <w:t>响应文件</w:t>
            </w:r>
            <w:r>
              <w:rPr>
                <w:rFonts w:hint="eastAsia" w:ascii="宋体" w:hAnsi="宋体" w:cs="宋体"/>
                <w:color w:val="auto"/>
                <w:sz w:val="24"/>
                <w:szCs w:val="24"/>
                <w:highlight w:val="none"/>
                <w:u w:val="none"/>
              </w:rPr>
              <w:t>进行加密。</w:t>
            </w:r>
          </w:p>
          <w:p w14:paraId="597DDD37">
            <w:pPr>
              <w:snapToGrid w:val="0"/>
              <w:spacing w:line="340" w:lineRule="exact"/>
              <w:jc w:val="lef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rPr>
              <w:t>在上传电子</w:t>
            </w:r>
            <w:r>
              <w:rPr>
                <w:rFonts w:hint="eastAsia" w:ascii="宋体" w:hAnsi="宋体" w:cs="宋体"/>
                <w:color w:val="auto"/>
                <w:sz w:val="24"/>
                <w:szCs w:val="24"/>
                <w:highlight w:val="none"/>
                <w:u w:val="none"/>
                <w:lang w:val="en-US" w:eastAsia="zh-CN"/>
              </w:rPr>
              <w:t>响应文件</w:t>
            </w:r>
            <w:r>
              <w:rPr>
                <w:rFonts w:hint="eastAsia" w:ascii="宋体" w:hAnsi="宋体" w:cs="宋体"/>
                <w:color w:val="auto"/>
                <w:sz w:val="24"/>
                <w:szCs w:val="24"/>
                <w:highlight w:val="none"/>
                <w:u w:val="none"/>
              </w:rPr>
              <w:t>时，需对应系统中每个模块要求，形成独立的PDF格式文件，按照指定对应模块，逐条完成上传，保存后提交。</w:t>
            </w:r>
          </w:p>
          <w:p w14:paraId="7BF39DF0">
            <w:pPr>
              <w:snapToGrid w:val="0"/>
              <w:spacing w:line="340" w:lineRule="exact"/>
              <w:jc w:val="left"/>
              <w:rPr>
                <w:rFonts w:ascii="宋体" w:hAnsi="宋体" w:cs="宋体"/>
                <w:color w:val="auto"/>
                <w:sz w:val="24"/>
                <w:szCs w:val="24"/>
                <w:highlight w:val="none"/>
                <w:u w:val="none"/>
              </w:rPr>
            </w:pPr>
            <w:r>
              <w:rPr>
                <w:rFonts w:hint="eastAsia" w:ascii="宋体" w:hAnsi="宋体" w:cs="宋体"/>
                <w:color w:val="auto"/>
                <w:sz w:val="24"/>
                <w:szCs w:val="24"/>
                <w:highlight w:val="none"/>
                <w:u w:val="none"/>
              </w:rPr>
              <w:t>如：上传营业执照和开户许可证，要把营业执照和开户许可证形成独立PDF格式文档，在模块处完成上传。</w:t>
            </w:r>
          </w:p>
          <w:p w14:paraId="5ACE201A">
            <w:pPr>
              <w:snapToGrid w:val="0"/>
              <w:spacing w:line="340" w:lineRule="exact"/>
              <w:jc w:val="left"/>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5、请在投标系统“商务技术模块”上传完整第七章 响应文件格式要求的所有内容。</w:t>
            </w:r>
            <w:r>
              <w:rPr>
                <w:rFonts w:hint="eastAsia" w:ascii="宋体" w:hAnsi="宋体" w:cs="宋体"/>
                <w:color w:val="auto"/>
                <w:sz w:val="24"/>
                <w:szCs w:val="24"/>
                <w:highlight w:val="none"/>
                <w:u w:val="none"/>
              </w:rPr>
              <w:t>如果</w:t>
            </w:r>
            <w:r>
              <w:rPr>
                <w:rFonts w:hint="eastAsia" w:ascii="宋体" w:hAnsi="宋体" w:cs="宋体"/>
                <w:color w:val="auto"/>
                <w:sz w:val="24"/>
                <w:szCs w:val="24"/>
                <w:highlight w:val="none"/>
                <w:u w:val="none"/>
                <w:lang w:val="en-US" w:eastAsia="zh-CN"/>
              </w:rPr>
              <w:t>供应商</w:t>
            </w:r>
            <w:r>
              <w:rPr>
                <w:rFonts w:hint="eastAsia" w:ascii="宋体" w:hAnsi="宋体" w:cs="宋体"/>
                <w:color w:val="auto"/>
                <w:sz w:val="24"/>
                <w:szCs w:val="24"/>
                <w:highlight w:val="none"/>
                <w:u w:val="none"/>
              </w:rPr>
              <w:t>没有按规定</w:t>
            </w:r>
            <w:r>
              <w:rPr>
                <w:rFonts w:hint="eastAsia" w:ascii="宋体" w:hAnsi="宋体" w:cs="宋体"/>
                <w:color w:val="auto"/>
                <w:sz w:val="24"/>
                <w:szCs w:val="24"/>
                <w:highlight w:val="none"/>
                <w:u w:val="none"/>
                <w:lang w:val="en-US" w:eastAsia="zh-CN"/>
              </w:rPr>
              <w:t>上传</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将可能导致投标被否决。</w:t>
            </w:r>
          </w:p>
          <w:p w14:paraId="73F4C7A9">
            <w:pPr>
              <w:snapToGrid w:val="0"/>
              <w:spacing w:line="340" w:lineRule="exact"/>
              <w:jc w:val="lef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cs="宋体"/>
                <w:color w:val="auto"/>
                <w:sz w:val="24"/>
                <w:szCs w:val="24"/>
                <w:highlight w:val="none"/>
                <w:u w:val="none"/>
              </w:rPr>
              <w:t>电子</w:t>
            </w:r>
            <w:r>
              <w:rPr>
                <w:rFonts w:hint="eastAsia" w:ascii="宋体" w:hAnsi="宋体" w:cs="宋体"/>
                <w:color w:val="auto"/>
                <w:sz w:val="24"/>
                <w:szCs w:val="24"/>
                <w:highlight w:val="none"/>
                <w:u w:val="none"/>
                <w:lang w:eastAsia="zh-CN"/>
              </w:rPr>
              <w:t>响应文件</w:t>
            </w:r>
            <w:r>
              <w:rPr>
                <w:rFonts w:hint="eastAsia" w:ascii="宋体" w:hAnsi="宋体" w:cs="宋体"/>
                <w:color w:val="auto"/>
                <w:sz w:val="24"/>
                <w:szCs w:val="24"/>
                <w:highlight w:val="none"/>
                <w:u w:val="none"/>
              </w:rPr>
              <w:t>所附各类证件、证书、证明，均随响应文件统一编排页码进行上传。</w:t>
            </w:r>
          </w:p>
          <w:p w14:paraId="7BF3337D">
            <w:pPr>
              <w:snapToGrid w:val="0"/>
              <w:spacing w:line="340" w:lineRule="exact"/>
              <w:jc w:val="left"/>
              <w:rPr>
                <w:rFonts w:ascii="宋体" w:hAnsi="宋体" w:cs="宋体"/>
                <w:sz w:val="24"/>
                <w:szCs w:val="24"/>
                <w:u w:val="none"/>
              </w:rPr>
            </w:pP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u w:val="none"/>
              </w:rPr>
              <w:t>如果</w:t>
            </w:r>
            <w:r>
              <w:rPr>
                <w:rFonts w:hint="eastAsia" w:ascii="宋体" w:hAnsi="宋体" w:cs="宋体"/>
                <w:color w:val="auto"/>
                <w:sz w:val="24"/>
                <w:szCs w:val="24"/>
                <w:highlight w:val="none"/>
                <w:u w:val="none"/>
                <w:lang w:val="en-US" w:eastAsia="zh-CN"/>
              </w:rPr>
              <w:t>供应商</w:t>
            </w:r>
            <w:r>
              <w:rPr>
                <w:rFonts w:hint="eastAsia" w:ascii="宋体" w:hAnsi="宋体" w:cs="宋体"/>
                <w:color w:val="auto"/>
                <w:sz w:val="24"/>
                <w:szCs w:val="24"/>
                <w:highlight w:val="none"/>
                <w:u w:val="none"/>
              </w:rPr>
              <w:t>没有按规定网上递交电子</w:t>
            </w:r>
            <w:r>
              <w:rPr>
                <w:rFonts w:hint="eastAsia" w:ascii="宋体" w:hAnsi="宋体" w:cs="宋体"/>
                <w:color w:val="auto"/>
                <w:sz w:val="24"/>
                <w:szCs w:val="24"/>
                <w:highlight w:val="none"/>
                <w:u w:val="none"/>
                <w:lang w:eastAsia="zh-CN"/>
              </w:rPr>
              <w:t>响应文件</w:t>
            </w:r>
            <w:r>
              <w:rPr>
                <w:rFonts w:hint="eastAsia" w:ascii="宋体" w:hAnsi="宋体" w:cs="宋体"/>
                <w:color w:val="auto"/>
                <w:sz w:val="24"/>
                <w:szCs w:val="24"/>
                <w:highlight w:val="none"/>
                <w:u w:val="none"/>
              </w:rPr>
              <w:t>，视为投标无效。</w:t>
            </w:r>
          </w:p>
        </w:tc>
      </w:tr>
      <w:tr w14:paraId="6EE5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676" w:type="dxa"/>
            <w:gridSpan w:val="4"/>
            <w:vAlign w:val="center"/>
          </w:tcPr>
          <w:p w14:paraId="0140BE28">
            <w:pPr>
              <w:spacing w:line="340" w:lineRule="exact"/>
              <w:rPr>
                <w:rFonts w:ascii="宋体" w:hAnsi="宋体" w:cs="宋体"/>
                <w:sz w:val="24"/>
                <w:szCs w:val="24"/>
                <w:u w:val="none"/>
              </w:rPr>
            </w:pPr>
            <w:r>
              <w:rPr>
                <w:rFonts w:hint="eastAsia" w:ascii="宋体" w:hAnsi="宋体" w:cs="宋体"/>
                <w:b/>
                <w:bCs/>
                <w:sz w:val="24"/>
                <w:szCs w:val="24"/>
                <w:u w:val="none"/>
              </w:rPr>
              <w:t>四、投标文件的递交</w:t>
            </w:r>
          </w:p>
        </w:tc>
      </w:tr>
      <w:tr w14:paraId="7AD0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2" w:type="dxa"/>
            <w:vAlign w:val="center"/>
          </w:tcPr>
          <w:p w14:paraId="4398C041">
            <w:pPr>
              <w:spacing w:line="340" w:lineRule="exact"/>
              <w:rPr>
                <w:rFonts w:ascii="宋体" w:hAnsi="宋体" w:cs="宋体"/>
                <w:sz w:val="24"/>
                <w:szCs w:val="24"/>
                <w:u w:val="none"/>
              </w:rPr>
            </w:pPr>
            <w:r>
              <w:rPr>
                <w:rFonts w:hint="eastAsia" w:ascii="宋体" w:hAnsi="宋体" w:cs="宋体"/>
                <w:sz w:val="24"/>
                <w:szCs w:val="24"/>
                <w:u w:val="none"/>
              </w:rPr>
              <w:t>第二章第20.1</w:t>
            </w:r>
            <w:r>
              <w:rPr>
                <w:rFonts w:hint="eastAsia" w:ascii="宋体" w:hAnsi="宋体" w:cs="宋体"/>
                <w:sz w:val="24"/>
                <w:szCs w:val="24"/>
                <w:u w:val="none"/>
                <w:lang w:val="zh-CN"/>
              </w:rPr>
              <w:t>款</w:t>
            </w:r>
          </w:p>
        </w:tc>
        <w:tc>
          <w:tcPr>
            <w:tcW w:w="1763" w:type="dxa"/>
            <w:vAlign w:val="center"/>
          </w:tcPr>
          <w:p w14:paraId="5B5D7E5D">
            <w:pPr>
              <w:spacing w:line="340" w:lineRule="exact"/>
              <w:rPr>
                <w:rFonts w:ascii="宋体" w:hAnsi="宋体" w:cs="宋体"/>
                <w:sz w:val="24"/>
                <w:szCs w:val="24"/>
                <w:u w:val="none"/>
              </w:rPr>
            </w:pPr>
            <w:r>
              <w:rPr>
                <w:rFonts w:hint="eastAsia" w:ascii="宋体" w:hAnsi="宋体" w:cs="宋体"/>
                <w:sz w:val="24"/>
                <w:szCs w:val="24"/>
                <w:u w:val="none"/>
              </w:rPr>
              <w:t>投标文件的递交地点</w:t>
            </w:r>
          </w:p>
        </w:tc>
        <w:tc>
          <w:tcPr>
            <w:tcW w:w="6121" w:type="dxa"/>
            <w:gridSpan w:val="2"/>
            <w:vAlign w:val="center"/>
          </w:tcPr>
          <w:p w14:paraId="00937C07">
            <w:pPr>
              <w:spacing w:line="340" w:lineRule="exact"/>
              <w:rPr>
                <w:rFonts w:ascii="宋体" w:hAnsi="宋体" w:cs="宋体"/>
                <w:sz w:val="24"/>
                <w:szCs w:val="24"/>
                <w:u w:val="none"/>
              </w:rPr>
            </w:pPr>
            <w:r>
              <w:rPr>
                <w:rFonts w:hint="eastAsia"/>
                <w:sz w:val="24"/>
                <w:szCs w:val="24"/>
                <w:u w:val="none"/>
                <w:lang w:val="en-US" w:eastAsia="zh-CN"/>
              </w:rPr>
              <w:t>山西省政府采购网</w:t>
            </w:r>
          </w:p>
        </w:tc>
      </w:tr>
      <w:tr w14:paraId="747B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676" w:type="dxa"/>
            <w:gridSpan w:val="4"/>
            <w:vAlign w:val="center"/>
          </w:tcPr>
          <w:p w14:paraId="7D181F20">
            <w:pPr>
              <w:spacing w:line="340" w:lineRule="exact"/>
              <w:rPr>
                <w:rFonts w:ascii="宋体" w:hAnsi="宋体" w:cs="宋体"/>
                <w:sz w:val="24"/>
                <w:szCs w:val="24"/>
                <w:u w:val="none"/>
              </w:rPr>
            </w:pPr>
            <w:r>
              <w:rPr>
                <w:rFonts w:hint="eastAsia" w:ascii="宋体" w:hAnsi="宋体" w:cs="宋体"/>
                <w:b/>
                <w:bCs/>
                <w:sz w:val="24"/>
                <w:szCs w:val="24"/>
                <w:u w:val="none"/>
              </w:rPr>
              <w:t>五、开标和评标</w:t>
            </w:r>
          </w:p>
        </w:tc>
      </w:tr>
      <w:tr w14:paraId="4B3C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792" w:type="dxa"/>
            <w:vAlign w:val="center"/>
          </w:tcPr>
          <w:p w14:paraId="28878A63">
            <w:pPr>
              <w:spacing w:line="340" w:lineRule="exact"/>
              <w:rPr>
                <w:rFonts w:ascii="宋体" w:hAnsi="宋体" w:cs="宋体"/>
                <w:sz w:val="24"/>
                <w:szCs w:val="24"/>
                <w:u w:val="none"/>
              </w:rPr>
            </w:pPr>
            <w:r>
              <w:rPr>
                <w:rFonts w:hint="eastAsia" w:ascii="宋体" w:hAnsi="宋体" w:cs="宋体"/>
                <w:sz w:val="24"/>
                <w:szCs w:val="24"/>
                <w:u w:val="none"/>
              </w:rPr>
              <w:t>其他</w:t>
            </w:r>
          </w:p>
        </w:tc>
        <w:tc>
          <w:tcPr>
            <w:tcW w:w="1763" w:type="dxa"/>
            <w:vAlign w:val="center"/>
          </w:tcPr>
          <w:p w14:paraId="03CBDE62">
            <w:pPr>
              <w:spacing w:line="340" w:lineRule="exact"/>
              <w:rPr>
                <w:rFonts w:ascii="宋体" w:hAnsi="宋体" w:cs="宋体"/>
                <w:sz w:val="24"/>
                <w:szCs w:val="24"/>
                <w:u w:val="none"/>
              </w:rPr>
            </w:pPr>
            <w:r>
              <w:rPr>
                <w:rFonts w:hint="eastAsia" w:ascii="宋体" w:hAnsi="宋体" w:cs="宋体"/>
                <w:sz w:val="24"/>
                <w:szCs w:val="24"/>
                <w:u w:val="none"/>
              </w:rPr>
              <w:t>资格审核资料</w:t>
            </w:r>
          </w:p>
        </w:tc>
        <w:tc>
          <w:tcPr>
            <w:tcW w:w="6121" w:type="dxa"/>
            <w:gridSpan w:val="2"/>
            <w:vAlign w:val="center"/>
          </w:tcPr>
          <w:p w14:paraId="4394296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见资格性审查表。</w:t>
            </w:r>
          </w:p>
          <w:p w14:paraId="2C5E4B81">
            <w:pPr>
              <w:spacing w:line="340" w:lineRule="exact"/>
              <w:rPr>
                <w:sz w:val="24"/>
                <w:szCs w:val="24"/>
                <w:u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资格</w:t>
            </w:r>
            <w:r>
              <w:rPr>
                <w:rFonts w:hint="eastAsia" w:ascii="宋体" w:hAnsi="宋体" w:eastAsia="宋体" w:cs="宋体"/>
                <w:b/>
                <w:bCs/>
                <w:color w:val="auto"/>
                <w:sz w:val="24"/>
                <w:szCs w:val="24"/>
                <w:highlight w:val="none"/>
              </w:rPr>
              <w:t>材料</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均要求</w:t>
            </w:r>
            <w:r>
              <w:rPr>
                <w:rFonts w:hint="eastAsia" w:ascii="宋体" w:hAnsi="宋体" w:eastAsia="宋体" w:cs="宋体"/>
                <w:b/>
                <w:bCs/>
                <w:color w:val="auto"/>
                <w:sz w:val="24"/>
                <w:szCs w:val="24"/>
                <w:highlight w:val="none"/>
                <w:lang w:val="en-US" w:eastAsia="zh-CN"/>
              </w:rPr>
              <w:t>清晰可见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因供应商原因导致电子响应文件不清晰致使评审专家无法确定是否符合招标文件要求的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后果由</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自行承担。</w:t>
            </w:r>
          </w:p>
        </w:tc>
      </w:tr>
      <w:tr w14:paraId="5AB7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676" w:type="dxa"/>
            <w:gridSpan w:val="4"/>
            <w:vAlign w:val="center"/>
          </w:tcPr>
          <w:p w14:paraId="623F1D23">
            <w:pPr>
              <w:spacing w:line="340" w:lineRule="exact"/>
              <w:rPr>
                <w:rFonts w:ascii="宋体" w:hAnsi="宋体" w:cs="宋体"/>
                <w:sz w:val="24"/>
                <w:szCs w:val="24"/>
                <w:u w:val="none"/>
              </w:rPr>
            </w:pPr>
            <w:r>
              <w:rPr>
                <w:rFonts w:hint="eastAsia" w:ascii="宋体" w:hAnsi="宋体" w:cs="宋体"/>
                <w:b/>
                <w:bCs/>
                <w:sz w:val="24"/>
                <w:szCs w:val="24"/>
                <w:u w:val="none"/>
              </w:rPr>
              <w:t>六、合同签订</w:t>
            </w:r>
          </w:p>
        </w:tc>
      </w:tr>
      <w:tr w14:paraId="6E2C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792" w:type="dxa"/>
            <w:vAlign w:val="center"/>
          </w:tcPr>
          <w:p w14:paraId="0F583FD3">
            <w:pPr>
              <w:spacing w:line="340" w:lineRule="exact"/>
              <w:rPr>
                <w:rFonts w:ascii="宋体" w:hAnsi="宋体" w:cs="宋体"/>
                <w:sz w:val="24"/>
                <w:szCs w:val="24"/>
                <w:u w:val="none"/>
              </w:rPr>
            </w:pPr>
            <w:r>
              <w:rPr>
                <w:rFonts w:hint="eastAsia" w:ascii="宋体" w:hAnsi="宋体" w:cs="宋体"/>
                <w:sz w:val="24"/>
                <w:szCs w:val="24"/>
                <w:u w:val="none"/>
              </w:rPr>
              <w:t>第二章第29.1</w:t>
            </w:r>
            <w:r>
              <w:rPr>
                <w:rFonts w:hint="eastAsia" w:ascii="宋体" w:hAnsi="宋体" w:cs="宋体"/>
                <w:sz w:val="24"/>
                <w:szCs w:val="24"/>
                <w:u w:val="none"/>
                <w:lang w:val="zh-CN"/>
              </w:rPr>
              <w:t>款</w:t>
            </w:r>
          </w:p>
        </w:tc>
        <w:tc>
          <w:tcPr>
            <w:tcW w:w="1763" w:type="dxa"/>
            <w:vAlign w:val="center"/>
          </w:tcPr>
          <w:p w14:paraId="380EBB76">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lang w:eastAsia="zh-CN"/>
              </w:rPr>
              <w:t>履约保证金</w:t>
            </w:r>
          </w:p>
        </w:tc>
        <w:tc>
          <w:tcPr>
            <w:tcW w:w="6121" w:type="dxa"/>
            <w:gridSpan w:val="2"/>
            <w:vAlign w:val="center"/>
          </w:tcPr>
          <w:p w14:paraId="1BAC99BE">
            <w:pPr>
              <w:spacing w:line="340" w:lineRule="exact"/>
              <w:rPr>
                <w:rFonts w:hint="default" w:ascii="宋体" w:hAnsi="宋体" w:eastAsia="宋体" w:cs="宋体"/>
                <w:sz w:val="24"/>
                <w:szCs w:val="24"/>
                <w:u w:val="none"/>
                <w:lang w:val="en-US" w:eastAsia="zh-CN"/>
              </w:rPr>
            </w:pPr>
            <w:r>
              <w:rPr>
                <w:rFonts w:hint="eastAsia" w:ascii="宋体" w:hAnsi="宋体" w:cs="宋体"/>
                <w:sz w:val="24"/>
                <w:szCs w:val="24"/>
                <w:u w:val="none"/>
                <w:lang w:val="en-US" w:eastAsia="zh-CN"/>
              </w:rPr>
              <w:t>无</w:t>
            </w:r>
          </w:p>
        </w:tc>
      </w:tr>
      <w:tr w14:paraId="2AD0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92" w:type="dxa"/>
            <w:vAlign w:val="center"/>
          </w:tcPr>
          <w:p w14:paraId="1CEA56EB">
            <w:pPr>
              <w:spacing w:line="340" w:lineRule="exact"/>
              <w:rPr>
                <w:rFonts w:ascii="宋体" w:hAnsi="宋体" w:cs="宋体"/>
                <w:color w:val="auto"/>
                <w:sz w:val="24"/>
                <w:szCs w:val="24"/>
                <w:u w:val="none"/>
              </w:rPr>
            </w:pPr>
            <w:r>
              <w:rPr>
                <w:rFonts w:hint="eastAsia" w:ascii="宋体" w:hAnsi="宋体" w:cs="宋体"/>
                <w:color w:val="auto"/>
                <w:sz w:val="24"/>
                <w:szCs w:val="24"/>
                <w:u w:val="none"/>
              </w:rPr>
              <w:t>第二章第36.1</w:t>
            </w:r>
            <w:r>
              <w:rPr>
                <w:rFonts w:hint="eastAsia" w:ascii="宋体" w:hAnsi="宋体" w:cs="宋体"/>
                <w:color w:val="auto"/>
                <w:sz w:val="24"/>
                <w:szCs w:val="24"/>
                <w:u w:val="none"/>
                <w:lang w:val="zh-CN"/>
              </w:rPr>
              <w:t>款</w:t>
            </w:r>
          </w:p>
        </w:tc>
        <w:tc>
          <w:tcPr>
            <w:tcW w:w="1763" w:type="dxa"/>
            <w:vAlign w:val="center"/>
          </w:tcPr>
          <w:p w14:paraId="2FF271E8">
            <w:pPr>
              <w:spacing w:line="340" w:lineRule="exact"/>
              <w:rPr>
                <w:rFonts w:ascii="宋体" w:hAnsi="宋体" w:cs="宋体"/>
                <w:color w:val="auto"/>
                <w:sz w:val="24"/>
                <w:szCs w:val="24"/>
                <w:u w:val="none"/>
              </w:rPr>
            </w:pPr>
            <w:r>
              <w:rPr>
                <w:rFonts w:hint="eastAsia" w:ascii="宋体" w:hAnsi="宋体" w:cs="宋体"/>
                <w:color w:val="auto"/>
                <w:sz w:val="24"/>
                <w:szCs w:val="24"/>
                <w:u w:val="none"/>
              </w:rPr>
              <w:t>招标代理服务费</w:t>
            </w:r>
          </w:p>
        </w:tc>
        <w:tc>
          <w:tcPr>
            <w:tcW w:w="6121" w:type="dxa"/>
            <w:gridSpan w:val="2"/>
            <w:vAlign w:val="center"/>
          </w:tcPr>
          <w:p w14:paraId="2AE35B79">
            <w:pPr>
              <w:spacing w:line="340" w:lineRule="exact"/>
              <w:rPr>
                <w:rFonts w:ascii="宋体" w:hAnsi="宋体" w:cs="宋体"/>
                <w:color w:val="auto"/>
                <w:sz w:val="24"/>
                <w:szCs w:val="24"/>
                <w:u w:val="none"/>
              </w:rPr>
            </w:pPr>
            <w:r>
              <w:rPr>
                <w:rFonts w:hint="eastAsia" w:ascii="宋体" w:hAnsi="宋体" w:cs="宋体"/>
                <w:color w:val="auto"/>
                <w:sz w:val="24"/>
                <w:szCs w:val="24"/>
                <w:u w:val="none"/>
              </w:rPr>
              <w:t>招标代理服务费参考国家发展和改革委员会计价格【2002】1980号和发改办价格【2011】534号文件及规定收费的</w:t>
            </w:r>
            <w:r>
              <w:rPr>
                <w:rFonts w:hint="eastAsia" w:ascii="宋体" w:hAnsi="宋体" w:cs="宋体"/>
                <w:color w:val="auto"/>
                <w:sz w:val="24"/>
                <w:szCs w:val="24"/>
                <w:u w:val="none"/>
                <w:lang w:val="en-US" w:eastAsia="zh-CN"/>
              </w:rPr>
              <w:t>81</w:t>
            </w:r>
            <w:r>
              <w:rPr>
                <w:rFonts w:hint="eastAsia" w:ascii="宋体" w:hAnsi="宋体" w:cs="宋体"/>
                <w:color w:val="auto"/>
                <w:sz w:val="24"/>
                <w:szCs w:val="24"/>
                <w:u w:val="none"/>
              </w:rPr>
              <w:t>%计费。中标人领取通知书时，采用现金或电汇方式一次性支付给采购代理机构</w:t>
            </w:r>
            <w:r>
              <w:rPr>
                <w:rFonts w:hint="eastAsia" w:ascii="宋体" w:hAnsi="宋体" w:cs="宋体"/>
                <w:color w:val="auto"/>
                <w:sz w:val="24"/>
                <w:szCs w:val="24"/>
                <w:u w:val="none"/>
                <w:lang w:eastAsia="zh-CN"/>
              </w:rPr>
              <w:t>（人民币</w:t>
            </w:r>
            <w:r>
              <w:rPr>
                <w:rFonts w:hint="eastAsia" w:ascii="宋体" w:hAnsi="宋体" w:cs="宋体"/>
                <w:color w:val="auto"/>
                <w:sz w:val="24"/>
                <w:szCs w:val="24"/>
                <w:u w:val="none"/>
                <w:lang w:val="en-US" w:eastAsia="zh-CN"/>
              </w:rPr>
              <w:t>64000元</w:t>
            </w:r>
            <w:r>
              <w:rPr>
                <w:rFonts w:hint="eastAsia" w:ascii="宋体" w:hAnsi="宋体" w:cs="宋体"/>
                <w:color w:val="auto"/>
                <w:sz w:val="24"/>
                <w:szCs w:val="24"/>
                <w:u w:val="none"/>
                <w:lang w:eastAsia="zh-CN"/>
              </w:rPr>
              <w:t>）</w:t>
            </w:r>
            <w:r>
              <w:rPr>
                <w:rFonts w:hint="eastAsia" w:ascii="宋体" w:hAnsi="宋体" w:cs="宋体"/>
                <w:color w:val="auto"/>
                <w:sz w:val="24"/>
                <w:szCs w:val="24"/>
                <w:u w:val="none"/>
              </w:rPr>
              <w:t>。</w:t>
            </w:r>
          </w:p>
        </w:tc>
      </w:tr>
      <w:tr w14:paraId="3915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76" w:type="dxa"/>
            <w:gridSpan w:val="4"/>
            <w:vAlign w:val="center"/>
          </w:tcPr>
          <w:p w14:paraId="078DBF2C">
            <w:pPr>
              <w:spacing w:line="340" w:lineRule="exact"/>
              <w:jc w:val="center"/>
              <w:rPr>
                <w:rFonts w:ascii="宋体" w:hAnsi="宋体" w:cs="宋体"/>
                <w:sz w:val="24"/>
                <w:szCs w:val="24"/>
                <w:u w:val="none"/>
              </w:rPr>
            </w:pPr>
            <w:r>
              <w:rPr>
                <w:rFonts w:hint="eastAsia" w:ascii="宋体" w:hAnsi="宋体" w:cs="宋体"/>
                <w:sz w:val="24"/>
                <w:szCs w:val="24"/>
                <w:u w:val="none"/>
              </w:rPr>
              <w:t>第</w:t>
            </w:r>
            <w:r>
              <w:rPr>
                <w:rFonts w:hint="eastAsia" w:ascii="宋体" w:hAnsi="宋体" w:cs="宋体"/>
                <w:sz w:val="24"/>
                <w:szCs w:val="24"/>
                <w:u w:val="none"/>
                <w:lang w:eastAsia="zh-CN"/>
              </w:rPr>
              <w:t>四</w:t>
            </w:r>
            <w:r>
              <w:rPr>
                <w:rFonts w:hint="eastAsia" w:ascii="宋体" w:hAnsi="宋体" w:cs="宋体"/>
                <w:sz w:val="24"/>
                <w:szCs w:val="24"/>
                <w:u w:val="none"/>
              </w:rPr>
              <w:t>章  评标方法及标准（综合评分法）（前附表）</w:t>
            </w:r>
          </w:p>
        </w:tc>
      </w:tr>
      <w:tr w14:paraId="6241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92" w:type="dxa"/>
            <w:vAlign w:val="center"/>
          </w:tcPr>
          <w:p w14:paraId="107A3B41">
            <w:pPr>
              <w:spacing w:line="340" w:lineRule="exact"/>
              <w:rPr>
                <w:rFonts w:ascii="宋体" w:hAnsi="宋体" w:cs="宋体"/>
                <w:color w:val="auto"/>
                <w:sz w:val="24"/>
                <w:szCs w:val="24"/>
                <w:u w:val="none"/>
              </w:rPr>
            </w:pPr>
            <w:r>
              <w:rPr>
                <w:rFonts w:hint="eastAsia" w:ascii="宋体" w:hAnsi="宋体" w:cs="宋体"/>
                <w:color w:val="auto"/>
                <w:sz w:val="24"/>
                <w:szCs w:val="24"/>
                <w:u w:val="none"/>
              </w:rPr>
              <w:t>第</w:t>
            </w:r>
            <w:r>
              <w:rPr>
                <w:rFonts w:hint="eastAsia" w:ascii="宋体" w:hAnsi="宋体" w:cs="宋体"/>
                <w:color w:val="auto"/>
                <w:sz w:val="24"/>
                <w:szCs w:val="24"/>
                <w:u w:val="none"/>
                <w:lang w:eastAsia="zh-CN"/>
              </w:rPr>
              <w:t>四</w:t>
            </w:r>
            <w:r>
              <w:rPr>
                <w:rFonts w:hint="eastAsia" w:ascii="宋体" w:hAnsi="宋体" w:cs="宋体"/>
                <w:color w:val="auto"/>
                <w:sz w:val="24"/>
                <w:szCs w:val="24"/>
                <w:u w:val="none"/>
              </w:rPr>
              <w:t>章第2.1</w:t>
            </w:r>
            <w:r>
              <w:rPr>
                <w:rFonts w:hint="eastAsia" w:ascii="宋体" w:hAnsi="宋体" w:cs="宋体"/>
                <w:color w:val="auto"/>
                <w:sz w:val="24"/>
                <w:szCs w:val="24"/>
                <w:u w:val="none"/>
                <w:lang w:val="zh-CN"/>
              </w:rPr>
              <w:t>款</w:t>
            </w:r>
          </w:p>
        </w:tc>
        <w:tc>
          <w:tcPr>
            <w:tcW w:w="1763" w:type="dxa"/>
            <w:vAlign w:val="center"/>
          </w:tcPr>
          <w:p w14:paraId="64490A46">
            <w:pPr>
              <w:spacing w:line="340" w:lineRule="exact"/>
              <w:rPr>
                <w:rFonts w:ascii="宋体" w:hAnsi="宋体" w:cs="宋体"/>
                <w:color w:val="auto"/>
                <w:sz w:val="24"/>
                <w:szCs w:val="24"/>
                <w:u w:val="none"/>
              </w:rPr>
            </w:pPr>
            <w:r>
              <w:rPr>
                <w:rFonts w:hint="eastAsia" w:ascii="宋体" w:hAnsi="宋体" w:cs="宋体"/>
                <w:color w:val="auto"/>
                <w:sz w:val="24"/>
                <w:szCs w:val="24"/>
                <w:u w:val="none"/>
              </w:rPr>
              <w:t>评标因素和标准</w:t>
            </w:r>
          </w:p>
        </w:tc>
        <w:tc>
          <w:tcPr>
            <w:tcW w:w="6121" w:type="dxa"/>
            <w:gridSpan w:val="2"/>
            <w:vAlign w:val="center"/>
          </w:tcPr>
          <w:p w14:paraId="6420F885">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rPr>
              <w:t>商务、技术、报价</w:t>
            </w:r>
          </w:p>
        </w:tc>
      </w:tr>
      <w:tr w14:paraId="57C6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92" w:type="dxa"/>
            <w:vMerge w:val="restart"/>
            <w:vAlign w:val="center"/>
          </w:tcPr>
          <w:p w14:paraId="5E45AADD">
            <w:pPr>
              <w:spacing w:line="340" w:lineRule="exact"/>
              <w:rPr>
                <w:rFonts w:ascii="宋体" w:hAnsi="宋体" w:cs="宋体"/>
                <w:color w:val="auto"/>
                <w:sz w:val="24"/>
                <w:szCs w:val="24"/>
                <w:u w:val="none"/>
              </w:rPr>
            </w:pPr>
            <w:r>
              <w:rPr>
                <w:rFonts w:hint="eastAsia" w:ascii="宋体" w:hAnsi="宋体" w:cs="宋体"/>
                <w:color w:val="auto"/>
                <w:sz w:val="24"/>
                <w:szCs w:val="24"/>
                <w:u w:val="none"/>
              </w:rPr>
              <w:t>第</w:t>
            </w:r>
            <w:r>
              <w:rPr>
                <w:rFonts w:hint="eastAsia" w:ascii="宋体" w:hAnsi="宋体" w:cs="宋体"/>
                <w:color w:val="auto"/>
                <w:sz w:val="24"/>
                <w:szCs w:val="24"/>
                <w:u w:val="none"/>
                <w:lang w:eastAsia="zh-CN"/>
              </w:rPr>
              <w:t>四</w:t>
            </w:r>
            <w:r>
              <w:rPr>
                <w:rFonts w:hint="eastAsia" w:ascii="宋体" w:hAnsi="宋体" w:cs="宋体"/>
                <w:color w:val="auto"/>
                <w:sz w:val="24"/>
                <w:szCs w:val="24"/>
                <w:u w:val="none"/>
              </w:rPr>
              <w:t>章第2.2</w:t>
            </w:r>
            <w:r>
              <w:rPr>
                <w:rFonts w:hint="eastAsia" w:ascii="宋体" w:hAnsi="宋体" w:cs="宋体"/>
                <w:color w:val="auto"/>
                <w:sz w:val="24"/>
                <w:szCs w:val="24"/>
                <w:u w:val="none"/>
                <w:lang w:val="zh-CN"/>
              </w:rPr>
              <w:t>款</w:t>
            </w:r>
          </w:p>
        </w:tc>
        <w:tc>
          <w:tcPr>
            <w:tcW w:w="1763" w:type="dxa"/>
            <w:vMerge w:val="restart"/>
            <w:vAlign w:val="center"/>
          </w:tcPr>
          <w:p w14:paraId="611A47C1">
            <w:pPr>
              <w:spacing w:line="340" w:lineRule="exact"/>
              <w:rPr>
                <w:rFonts w:ascii="宋体" w:hAnsi="宋体" w:cs="宋体"/>
                <w:color w:val="auto"/>
                <w:sz w:val="24"/>
                <w:szCs w:val="24"/>
                <w:u w:val="none"/>
              </w:rPr>
            </w:pPr>
            <w:r>
              <w:rPr>
                <w:rFonts w:hint="eastAsia" w:ascii="宋体" w:hAnsi="宋体" w:cs="宋体"/>
                <w:color w:val="auto"/>
                <w:sz w:val="24"/>
                <w:szCs w:val="24"/>
                <w:u w:val="none"/>
              </w:rPr>
              <w:t>权值</w:t>
            </w:r>
          </w:p>
        </w:tc>
        <w:tc>
          <w:tcPr>
            <w:tcW w:w="2755" w:type="dxa"/>
            <w:vAlign w:val="center"/>
          </w:tcPr>
          <w:p w14:paraId="79E8FABB">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rPr>
              <w:t>评审因素</w:t>
            </w:r>
          </w:p>
        </w:tc>
        <w:tc>
          <w:tcPr>
            <w:tcW w:w="3366" w:type="dxa"/>
            <w:vAlign w:val="center"/>
          </w:tcPr>
          <w:p w14:paraId="7425F25A">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rPr>
              <w:t>权值</w:t>
            </w:r>
          </w:p>
        </w:tc>
      </w:tr>
      <w:tr w14:paraId="375B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vMerge w:val="continue"/>
            <w:vAlign w:val="center"/>
          </w:tcPr>
          <w:p w14:paraId="17DFDEC4">
            <w:pPr>
              <w:spacing w:line="340" w:lineRule="exact"/>
              <w:rPr>
                <w:rFonts w:ascii="宋体" w:hAnsi="宋体" w:cs="宋体"/>
                <w:color w:val="auto"/>
                <w:sz w:val="24"/>
                <w:szCs w:val="24"/>
                <w:u w:val="none"/>
              </w:rPr>
            </w:pPr>
          </w:p>
        </w:tc>
        <w:tc>
          <w:tcPr>
            <w:tcW w:w="1763" w:type="dxa"/>
            <w:vMerge w:val="continue"/>
            <w:vAlign w:val="center"/>
          </w:tcPr>
          <w:p w14:paraId="2D203FB6">
            <w:pPr>
              <w:spacing w:line="340" w:lineRule="exact"/>
              <w:rPr>
                <w:rFonts w:ascii="宋体" w:hAnsi="宋体" w:cs="宋体"/>
                <w:color w:val="auto"/>
                <w:sz w:val="24"/>
                <w:szCs w:val="24"/>
                <w:u w:val="none"/>
              </w:rPr>
            </w:pPr>
          </w:p>
        </w:tc>
        <w:tc>
          <w:tcPr>
            <w:tcW w:w="2755" w:type="dxa"/>
            <w:vAlign w:val="center"/>
          </w:tcPr>
          <w:p w14:paraId="443CAA9E">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rPr>
              <w:t>商务</w:t>
            </w:r>
          </w:p>
        </w:tc>
        <w:tc>
          <w:tcPr>
            <w:tcW w:w="3366" w:type="dxa"/>
            <w:vAlign w:val="center"/>
          </w:tcPr>
          <w:p w14:paraId="7DD8A163">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14</w:t>
            </w:r>
            <w:r>
              <w:rPr>
                <w:rFonts w:hint="eastAsia" w:ascii="宋体" w:hAnsi="宋体" w:cs="宋体"/>
                <w:color w:val="auto"/>
                <w:sz w:val="24"/>
                <w:szCs w:val="24"/>
                <w:highlight w:val="none"/>
                <w:u w:val="none"/>
              </w:rPr>
              <w:t>％</w:t>
            </w:r>
          </w:p>
        </w:tc>
      </w:tr>
      <w:tr w14:paraId="77FA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92" w:type="dxa"/>
            <w:vMerge w:val="continue"/>
            <w:vAlign w:val="center"/>
          </w:tcPr>
          <w:p w14:paraId="5E67A287">
            <w:pPr>
              <w:spacing w:line="340" w:lineRule="exact"/>
              <w:rPr>
                <w:rFonts w:ascii="宋体" w:hAnsi="宋体" w:cs="宋体"/>
                <w:color w:val="auto"/>
                <w:sz w:val="24"/>
                <w:szCs w:val="24"/>
                <w:u w:val="none"/>
              </w:rPr>
            </w:pPr>
          </w:p>
        </w:tc>
        <w:tc>
          <w:tcPr>
            <w:tcW w:w="1763" w:type="dxa"/>
            <w:vMerge w:val="continue"/>
            <w:vAlign w:val="center"/>
          </w:tcPr>
          <w:p w14:paraId="1BD25736">
            <w:pPr>
              <w:spacing w:line="340" w:lineRule="exact"/>
              <w:rPr>
                <w:rFonts w:ascii="宋体" w:hAnsi="宋体" w:cs="宋体"/>
                <w:color w:val="auto"/>
                <w:sz w:val="24"/>
                <w:szCs w:val="24"/>
                <w:u w:val="none"/>
              </w:rPr>
            </w:pPr>
          </w:p>
        </w:tc>
        <w:tc>
          <w:tcPr>
            <w:tcW w:w="2755" w:type="dxa"/>
            <w:vAlign w:val="center"/>
          </w:tcPr>
          <w:p w14:paraId="6EDB0756">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rPr>
              <w:t>技术</w:t>
            </w:r>
          </w:p>
        </w:tc>
        <w:tc>
          <w:tcPr>
            <w:tcW w:w="3366" w:type="dxa"/>
            <w:vAlign w:val="center"/>
          </w:tcPr>
          <w:p w14:paraId="4ECBB21D">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76</w:t>
            </w:r>
            <w:r>
              <w:rPr>
                <w:rFonts w:hint="eastAsia" w:ascii="宋体" w:hAnsi="宋体" w:cs="宋体"/>
                <w:color w:val="auto"/>
                <w:sz w:val="24"/>
                <w:szCs w:val="24"/>
                <w:highlight w:val="none"/>
                <w:u w:val="none"/>
              </w:rPr>
              <w:t>％</w:t>
            </w:r>
          </w:p>
        </w:tc>
      </w:tr>
      <w:tr w14:paraId="5E2B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92" w:type="dxa"/>
            <w:vMerge w:val="continue"/>
            <w:vAlign w:val="center"/>
          </w:tcPr>
          <w:p w14:paraId="130A5D44">
            <w:pPr>
              <w:spacing w:line="340" w:lineRule="exact"/>
              <w:rPr>
                <w:rFonts w:ascii="宋体" w:hAnsi="宋体" w:cs="宋体"/>
                <w:color w:val="auto"/>
                <w:sz w:val="24"/>
                <w:szCs w:val="24"/>
                <w:u w:val="none"/>
              </w:rPr>
            </w:pPr>
          </w:p>
        </w:tc>
        <w:tc>
          <w:tcPr>
            <w:tcW w:w="1763" w:type="dxa"/>
            <w:vMerge w:val="continue"/>
            <w:vAlign w:val="center"/>
          </w:tcPr>
          <w:p w14:paraId="2777DF44">
            <w:pPr>
              <w:spacing w:line="340" w:lineRule="exact"/>
              <w:rPr>
                <w:rFonts w:ascii="宋体" w:hAnsi="宋体" w:cs="宋体"/>
                <w:color w:val="auto"/>
                <w:sz w:val="24"/>
                <w:szCs w:val="24"/>
                <w:u w:val="none"/>
              </w:rPr>
            </w:pPr>
          </w:p>
        </w:tc>
        <w:tc>
          <w:tcPr>
            <w:tcW w:w="2755" w:type="dxa"/>
            <w:vAlign w:val="center"/>
          </w:tcPr>
          <w:p w14:paraId="180E6434">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rPr>
              <w:t>报价</w:t>
            </w:r>
          </w:p>
        </w:tc>
        <w:tc>
          <w:tcPr>
            <w:tcW w:w="3366" w:type="dxa"/>
            <w:vAlign w:val="center"/>
          </w:tcPr>
          <w:p w14:paraId="51D087DB">
            <w:pPr>
              <w:spacing w:line="340" w:lineRule="exact"/>
              <w:rPr>
                <w:rFonts w:ascii="宋体" w:hAnsi="宋体" w:cs="宋体"/>
                <w:color w:val="auto"/>
                <w:sz w:val="24"/>
                <w:szCs w:val="24"/>
                <w:highlight w:val="none"/>
                <w:u w:val="none"/>
              </w:rPr>
            </w:pPr>
            <w:r>
              <w:rPr>
                <w:rFonts w:hint="eastAsia" w:ascii="宋体" w:hAnsi="宋体" w:cs="宋体"/>
                <w:color w:val="auto"/>
                <w:sz w:val="24"/>
                <w:szCs w:val="24"/>
                <w:highlight w:val="none"/>
                <w:u w:val="none"/>
                <w:lang w:val="en-US" w:eastAsia="zh-CN"/>
              </w:rPr>
              <w:t>10</w:t>
            </w:r>
            <w:r>
              <w:rPr>
                <w:rFonts w:hint="eastAsia" w:ascii="宋体" w:hAnsi="宋体" w:cs="宋体"/>
                <w:color w:val="auto"/>
                <w:sz w:val="24"/>
                <w:szCs w:val="24"/>
                <w:highlight w:val="none"/>
                <w:u w:val="none"/>
              </w:rPr>
              <w:t>％</w:t>
            </w:r>
          </w:p>
        </w:tc>
      </w:tr>
      <w:tr w14:paraId="4CF8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2" w:type="dxa"/>
            <w:vAlign w:val="center"/>
          </w:tcPr>
          <w:p w14:paraId="4D0D71A5">
            <w:pPr>
              <w:spacing w:line="340" w:lineRule="exact"/>
              <w:rPr>
                <w:rFonts w:ascii="宋体" w:hAnsi="宋体" w:cs="宋体"/>
                <w:sz w:val="24"/>
                <w:szCs w:val="24"/>
                <w:u w:val="none"/>
              </w:rPr>
            </w:pPr>
            <w:r>
              <w:rPr>
                <w:rFonts w:hint="eastAsia" w:ascii="宋体" w:hAnsi="宋体" w:cs="宋体"/>
                <w:sz w:val="24"/>
                <w:szCs w:val="24"/>
                <w:u w:val="none"/>
              </w:rPr>
              <w:t>第</w:t>
            </w:r>
            <w:r>
              <w:rPr>
                <w:rFonts w:hint="eastAsia" w:ascii="宋体" w:hAnsi="宋体" w:cs="宋体"/>
                <w:sz w:val="24"/>
                <w:szCs w:val="24"/>
                <w:u w:val="none"/>
                <w:lang w:eastAsia="zh-CN"/>
              </w:rPr>
              <w:t>四</w:t>
            </w:r>
            <w:r>
              <w:rPr>
                <w:rFonts w:hint="eastAsia" w:ascii="宋体" w:hAnsi="宋体" w:cs="宋体"/>
                <w:sz w:val="24"/>
                <w:szCs w:val="24"/>
                <w:u w:val="none"/>
              </w:rPr>
              <w:t>章第3.2</w:t>
            </w:r>
            <w:r>
              <w:rPr>
                <w:rFonts w:hint="eastAsia" w:ascii="宋体" w:hAnsi="宋体" w:cs="宋体"/>
                <w:sz w:val="24"/>
                <w:szCs w:val="24"/>
                <w:u w:val="none"/>
                <w:lang w:val="zh-CN"/>
              </w:rPr>
              <w:t>款</w:t>
            </w:r>
          </w:p>
        </w:tc>
        <w:tc>
          <w:tcPr>
            <w:tcW w:w="1763" w:type="dxa"/>
            <w:vAlign w:val="center"/>
          </w:tcPr>
          <w:p w14:paraId="7D84150F">
            <w:pPr>
              <w:spacing w:line="340" w:lineRule="exact"/>
              <w:rPr>
                <w:rFonts w:ascii="宋体" w:hAnsi="宋体" w:cs="宋体"/>
                <w:sz w:val="24"/>
                <w:szCs w:val="24"/>
                <w:u w:val="none"/>
              </w:rPr>
            </w:pPr>
            <w:r>
              <w:rPr>
                <w:rFonts w:hint="eastAsia" w:ascii="宋体" w:hAnsi="宋体" w:cs="宋体"/>
                <w:sz w:val="24"/>
                <w:szCs w:val="24"/>
                <w:u w:val="none"/>
              </w:rPr>
              <w:t>无效投标的规定</w:t>
            </w:r>
          </w:p>
        </w:tc>
        <w:tc>
          <w:tcPr>
            <w:tcW w:w="6121" w:type="dxa"/>
            <w:gridSpan w:val="2"/>
            <w:vAlign w:val="center"/>
          </w:tcPr>
          <w:p w14:paraId="53F0FE40">
            <w:pPr>
              <w:spacing w:line="340" w:lineRule="exact"/>
              <w:rPr>
                <w:sz w:val="24"/>
                <w:szCs w:val="24"/>
                <w:u w:val="none"/>
              </w:rPr>
            </w:pPr>
            <w:r>
              <w:rPr>
                <w:rFonts w:hint="eastAsia"/>
                <w:sz w:val="24"/>
                <w:szCs w:val="24"/>
                <w:u w:val="none"/>
              </w:rPr>
              <w:t>投标文件属下列情况之一的，应在资格性、符合性检查时按照无效投标处理：</w:t>
            </w:r>
          </w:p>
          <w:p w14:paraId="39B9CD19">
            <w:pPr>
              <w:spacing w:line="340" w:lineRule="exact"/>
              <w:rPr>
                <w:sz w:val="24"/>
                <w:szCs w:val="24"/>
                <w:u w:val="none"/>
              </w:rPr>
            </w:pPr>
            <w:r>
              <w:rPr>
                <w:rFonts w:hint="eastAsia"/>
                <w:sz w:val="24"/>
                <w:szCs w:val="24"/>
                <w:u w:val="none"/>
              </w:rPr>
              <w:t>1）应交未交投标保证金或金额不足、投标保证金形式不符合招标文件要求的；</w:t>
            </w:r>
          </w:p>
          <w:p w14:paraId="3CE91609">
            <w:pPr>
              <w:spacing w:line="340" w:lineRule="exact"/>
              <w:rPr>
                <w:sz w:val="24"/>
                <w:szCs w:val="24"/>
                <w:u w:val="none"/>
              </w:rPr>
            </w:pPr>
            <w:r>
              <w:rPr>
                <w:rFonts w:hint="eastAsia"/>
                <w:sz w:val="24"/>
                <w:szCs w:val="24"/>
                <w:u w:val="none"/>
              </w:rPr>
              <w:t>（2）未按照招标文件规定要求签署、盖章的；</w:t>
            </w:r>
          </w:p>
          <w:p w14:paraId="2C5A92D0">
            <w:pPr>
              <w:spacing w:line="340" w:lineRule="exact"/>
              <w:rPr>
                <w:sz w:val="24"/>
                <w:szCs w:val="24"/>
                <w:u w:val="none"/>
              </w:rPr>
            </w:pPr>
            <w:r>
              <w:rPr>
                <w:rFonts w:hint="eastAsia"/>
                <w:sz w:val="24"/>
                <w:szCs w:val="24"/>
                <w:u w:val="none"/>
              </w:rPr>
              <w:t>（3）投标有效期不足的；</w:t>
            </w:r>
          </w:p>
          <w:p w14:paraId="6E602E30">
            <w:pPr>
              <w:spacing w:line="340" w:lineRule="exact"/>
              <w:rPr>
                <w:sz w:val="24"/>
                <w:szCs w:val="24"/>
                <w:u w:val="none"/>
              </w:rPr>
            </w:pPr>
            <w:r>
              <w:rPr>
                <w:rFonts w:hint="eastAsia"/>
                <w:sz w:val="24"/>
                <w:szCs w:val="24"/>
                <w:u w:val="none"/>
              </w:rPr>
              <w:t>（4）参加政府采购活动前</w:t>
            </w:r>
            <w:r>
              <w:rPr>
                <w:rFonts w:hint="eastAsia"/>
                <w:sz w:val="24"/>
                <w:szCs w:val="24"/>
                <w:u w:val="none"/>
                <w:lang w:eastAsia="zh-CN"/>
              </w:rPr>
              <w:t>自合同协议书签订之日起至全过程工程咨询服务各项内容完成止</w:t>
            </w:r>
            <w:r>
              <w:rPr>
                <w:rFonts w:hint="eastAsia"/>
                <w:sz w:val="24"/>
                <w:szCs w:val="24"/>
                <w:u w:val="none"/>
              </w:rPr>
              <w:t xml:space="preserve">内，在经营活动中有重大违法记录的； </w:t>
            </w:r>
          </w:p>
          <w:p w14:paraId="4DBF5FFB">
            <w:pPr>
              <w:spacing w:line="340" w:lineRule="exact"/>
              <w:rPr>
                <w:sz w:val="24"/>
                <w:szCs w:val="24"/>
                <w:u w:val="none"/>
              </w:rPr>
            </w:pPr>
            <w:r>
              <w:rPr>
                <w:rFonts w:hint="eastAsia"/>
                <w:sz w:val="24"/>
                <w:szCs w:val="24"/>
                <w:u w:val="none"/>
              </w:rPr>
              <w:t>（5）不具备第二章“投标须知”第3.1</w:t>
            </w:r>
            <w:r>
              <w:rPr>
                <w:rFonts w:hint="eastAsia"/>
                <w:sz w:val="24"/>
                <w:szCs w:val="24"/>
                <w:u w:val="none"/>
                <w:lang w:val="zh-CN"/>
              </w:rPr>
              <w:t>款</w:t>
            </w:r>
            <w:r>
              <w:rPr>
                <w:rFonts w:hint="eastAsia"/>
                <w:sz w:val="24"/>
                <w:szCs w:val="24"/>
                <w:u w:val="none"/>
              </w:rPr>
              <w:t>规定的投标人资格要求的；</w:t>
            </w:r>
          </w:p>
          <w:p w14:paraId="2351E125">
            <w:pPr>
              <w:spacing w:line="340" w:lineRule="exact"/>
              <w:rPr>
                <w:sz w:val="24"/>
                <w:szCs w:val="24"/>
                <w:u w:val="none"/>
              </w:rPr>
            </w:pPr>
            <w:r>
              <w:rPr>
                <w:rFonts w:hint="eastAsia"/>
                <w:sz w:val="24"/>
                <w:szCs w:val="24"/>
                <w:u w:val="none"/>
              </w:rPr>
              <w:t>（6）不满足第二章“投标须知”第9.1</w:t>
            </w:r>
            <w:r>
              <w:rPr>
                <w:rFonts w:hint="eastAsia"/>
                <w:sz w:val="24"/>
                <w:szCs w:val="24"/>
                <w:u w:val="none"/>
                <w:lang w:val="zh-CN"/>
              </w:rPr>
              <w:t>款</w:t>
            </w:r>
            <w:r>
              <w:rPr>
                <w:rFonts w:hint="eastAsia"/>
                <w:sz w:val="24"/>
                <w:szCs w:val="24"/>
                <w:u w:val="none"/>
              </w:rPr>
              <w:t>、第9.2</w:t>
            </w:r>
            <w:r>
              <w:rPr>
                <w:rFonts w:hint="eastAsia"/>
                <w:sz w:val="24"/>
                <w:szCs w:val="24"/>
                <w:u w:val="none"/>
                <w:lang w:val="zh-CN"/>
              </w:rPr>
              <w:t>款</w:t>
            </w:r>
            <w:r>
              <w:rPr>
                <w:rFonts w:hint="eastAsia"/>
                <w:sz w:val="24"/>
                <w:szCs w:val="24"/>
                <w:u w:val="none"/>
              </w:rPr>
              <w:t>规定的实质性要求的；</w:t>
            </w:r>
          </w:p>
          <w:p w14:paraId="28325719">
            <w:pPr>
              <w:spacing w:line="340" w:lineRule="exact"/>
              <w:rPr>
                <w:sz w:val="24"/>
                <w:szCs w:val="24"/>
                <w:u w:val="none"/>
              </w:rPr>
            </w:pPr>
            <w:r>
              <w:rPr>
                <w:rFonts w:hint="eastAsia"/>
                <w:sz w:val="24"/>
                <w:szCs w:val="24"/>
                <w:u w:val="none"/>
              </w:rPr>
              <w:t>（7）同一投标人提交两个以上不同的投标文件或者投标报价的；</w:t>
            </w:r>
          </w:p>
          <w:p w14:paraId="1DC2E2E4">
            <w:pPr>
              <w:spacing w:line="340" w:lineRule="exact"/>
              <w:rPr>
                <w:sz w:val="24"/>
                <w:szCs w:val="24"/>
                <w:u w:val="none"/>
              </w:rPr>
            </w:pPr>
            <w:r>
              <w:rPr>
                <w:rFonts w:hint="eastAsia"/>
                <w:sz w:val="24"/>
                <w:szCs w:val="24"/>
                <w:u w:val="none"/>
              </w:rPr>
              <w:t>（8）投标文件载明的投标范围小于招标文件规定的招标范围的（缺漏招标文件所要求的内容）；</w:t>
            </w:r>
          </w:p>
          <w:p w14:paraId="70FC0312">
            <w:pPr>
              <w:spacing w:line="340" w:lineRule="exact"/>
              <w:rPr>
                <w:sz w:val="24"/>
                <w:szCs w:val="24"/>
                <w:u w:val="none"/>
              </w:rPr>
            </w:pPr>
            <w:r>
              <w:rPr>
                <w:rFonts w:hint="eastAsia"/>
                <w:sz w:val="24"/>
                <w:szCs w:val="24"/>
                <w:u w:val="none"/>
              </w:rPr>
              <w:t>（9）投标货物性能、规格、检验标准和方法、服务等不满足招标文件的相关要求和超出采购人接受的偏差范围的；</w:t>
            </w:r>
          </w:p>
          <w:p w14:paraId="740FC392">
            <w:pPr>
              <w:spacing w:line="340" w:lineRule="exact"/>
              <w:rPr>
                <w:sz w:val="24"/>
                <w:szCs w:val="24"/>
                <w:u w:val="none"/>
              </w:rPr>
            </w:pPr>
            <w:r>
              <w:rPr>
                <w:rFonts w:hint="eastAsia"/>
                <w:sz w:val="24"/>
                <w:szCs w:val="24"/>
                <w:u w:val="none"/>
              </w:rPr>
              <w:t>（10）投标文件附有采购人不能接受的条件；</w:t>
            </w:r>
          </w:p>
          <w:p w14:paraId="1B1E8E11">
            <w:pPr>
              <w:spacing w:line="340" w:lineRule="exact"/>
              <w:rPr>
                <w:sz w:val="24"/>
                <w:szCs w:val="24"/>
                <w:u w:val="none"/>
              </w:rPr>
            </w:pPr>
            <w:r>
              <w:rPr>
                <w:rFonts w:hint="eastAsia"/>
                <w:sz w:val="24"/>
                <w:szCs w:val="24"/>
                <w:u w:val="none"/>
              </w:rPr>
              <w:t>（11）不符合招标文件规定的分包、转包规定等其他实质性要求；</w:t>
            </w:r>
          </w:p>
          <w:p w14:paraId="0E85F3C1">
            <w:pPr>
              <w:spacing w:line="340" w:lineRule="exact"/>
              <w:rPr>
                <w:sz w:val="24"/>
                <w:szCs w:val="24"/>
                <w:u w:val="none"/>
              </w:rPr>
            </w:pPr>
            <w:r>
              <w:rPr>
                <w:rFonts w:hint="eastAsia"/>
                <w:sz w:val="24"/>
                <w:szCs w:val="24"/>
                <w:u w:val="none"/>
              </w:rPr>
              <w:t>（12）不符合法律、法规的规定。</w:t>
            </w:r>
          </w:p>
        </w:tc>
      </w:tr>
      <w:tr w14:paraId="2922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792" w:type="dxa"/>
            <w:vAlign w:val="center"/>
          </w:tcPr>
          <w:p w14:paraId="6D18B6F1">
            <w:pPr>
              <w:spacing w:line="340" w:lineRule="exact"/>
              <w:rPr>
                <w:rFonts w:ascii="宋体" w:hAnsi="宋体" w:cs="宋体"/>
                <w:sz w:val="24"/>
                <w:szCs w:val="24"/>
                <w:u w:val="none"/>
              </w:rPr>
            </w:pPr>
            <w:r>
              <w:rPr>
                <w:rFonts w:hint="eastAsia" w:ascii="宋体" w:hAnsi="宋体" w:cs="宋体"/>
                <w:sz w:val="24"/>
                <w:szCs w:val="24"/>
                <w:u w:val="none"/>
              </w:rPr>
              <w:t>第</w:t>
            </w:r>
            <w:r>
              <w:rPr>
                <w:rFonts w:hint="eastAsia" w:ascii="宋体" w:hAnsi="宋体" w:cs="宋体"/>
                <w:sz w:val="24"/>
                <w:szCs w:val="24"/>
                <w:u w:val="none"/>
                <w:lang w:eastAsia="zh-CN"/>
              </w:rPr>
              <w:t>四</w:t>
            </w:r>
            <w:r>
              <w:rPr>
                <w:rFonts w:hint="eastAsia" w:ascii="宋体" w:hAnsi="宋体" w:cs="宋体"/>
                <w:sz w:val="24"/>
                <w:szCs w:val="24"/>
                <w:u w:val="none"/>
              </w:rPr>
              <w:t>章第3.3</w:t>
            </w:r>
            <w:r>
              <w:rPr>
                <w:rFonts w:hint="eastAsia" w:ascii="宋体" w:hAnsi="宋体" w:cs="宋体"/>
                <w:sz w:val="24"/>
                <w:szCs w:val="24"/>
                <w:u w:val="none"/>
                <w:lang w:val="zh-CN"/>
              </w:rPr>
              <w:t>款</w:t>
            </w:r>
          </w:p>
        </w:tc>
        <w:tc>
          <w:tcPr>
            <w:tcW w:w="1763" w:type="dxa"/>
            <w:vAlign w:val="center"/>
          </w:tcPr>
          <w:p w14:paraId="29B19E01">
            <w:pPr>
              <w:spacing w:line="340" w:lineRule="exact"/>
              <w:rPr>
                <w:rFonts w:ascii="宋体" w:hAnsi="宋体" w:cs="宋体"/>
                <w:sz w:val="24"/>
                <w:szCs w:val="24"/>
                <w:u w:val="none"/>
              </w:rPr>
            </w:pPr>
            <w:r>
              <w:rPr>
                <w:rFonts w:hint="eastAsia" w:ascii="宋体" w:hAnsi="宋体" w:cs="宋体"/>
                <w:sz w:val="24"/>
                <w:szCs w:val="24"/>
                <w:u w:val="none"/>
              </w:rPr>
              <w:t>废标的规定</w:t>
            </w:r>
          </w:p>
        </w:tc>
        <w:tc>
          <w:tcPr>
            <w:tcW w:w="6121" w:type="dxa"/>
            <w:gridSpan w:val="2"/>
            <w:vAlign w:val="center"/>
          </w:tcPr>
          <w:p w14:paraId="41625FF3">
            <w:pPr>
              <w:spacing w:line="340" w:lineRule="exact"/>
              <w:rPr>
                <w:rFonts w:ascii="宋体" w:hAnsi="宋体" w:cs="宋体"/>
                <w:sz w:val="24"/>
                <w:szCs w:val="24"/>
                <w:u w:val="none"/>
              </w:rPr>
            </w:pPr>
            <w:r>
              <w:rPr>
                <w:rFonts w:hint="eastAsia" w:ascii="宋体" w:hAnsi="宋体" w:cs="宋体"/>
                <w:sz w:val="24"/>
                <w:szCs w:val="24"/>
                <w:u w:val="none"/>
              </w:rPr>
              <w:t>有下列情形之一时，评标委员会应予以废标：</w:t>
            </w:r>
          </w:p>
          <w:p w14:paraId="3F7189DF">
            <w:pPr>
              <w:spacing w:line="340" w:lineRule="exact"/>
              <w:rPr>
                <w:rFonts w:ascii="宋体" w:hAnsi="宋体" w:cs="宋体"/>
                <w:sz w:val="24"/>
                <w:szCs w:val="24"/>
                <w:u w:val="none"/>
              </w:rPr>
            </w:pPr>
            <w:r>
              <w:rPr>
                <w:rFonts w:hint="eastAsia" w:ascii="宋体" w:hAnsi="宋体" w:cs="宋体"/>
                <w:sz w:val="24"/>
                <w:szCs w:val="24"/>
                <w:u w:val="none"/>
              </w:rPr>
              <w:t>（1）符合专业条件的投标人或者对招标文件作实质性响应的投标人不足三家的；</w:t>
            </w:r>
          </w:p>
          <w:p w14:paraId="7EF752EF">
            <w:pPr>
              <w:spacing w:line="340" w:lineRule="exact"/>
              <w:rPr>
                <w:rFonts w:ascii="宋体" w:hAnsi="宋体" w:cs="宋体"/>
                <w:sz w:val="24"/>
                <w:szCs w:val="24"/>
                <w:u w:val="none"/>
              </w:rPr>
            </w:pPr>
            <w:r>
              <w:rPr>
                <w:rFonts w:hint="eastAsia" w:ascii="宋体" w:hAnsi="宋体" w:cs="宋体"/>
                <w:sz w:val="24"/>
                <w:szCs w:val="24"/>
                <w:u w:val="none"/>
              </w:rPr>
              <w:t>（2）出现影响采购公正的违法、违规行为的；</w:t>
            </w:r>
          </w:p>
          <w:p w14:paraId="0591316C">
            <w:pPr>
              <w:spacing w:line="340" w:lineRule="exact"/>
              <w:rPr>
                <w:rFonts w:ascii="宋体" w:hAnsi="宋体" w:cs="宋体"/>
                <w:sz w:val="24"/>
                <w:szCs w:val="24"/>
                <w:u w:val="none"/>
              </w:rPr>
            </w:pPr>
            <w:r>
              <w:rPr>
                <w:rFonts w:hint="eastAsia" w:ascii="宋体" w:hAnsi="宋体" w:cs="宋体"/>
                <w:sz w:val="24"/>
                <w:szCs w:val="24"/>
                <w:u w:val="none"/>
              </w:rPr>
              <w:t>（3）投标人的报价均超过了采购预算的；</w:t>
            </w:r>
          </w:p>
          <w:p w14:paraId="4F1E85F9">
            <w:pPr>
              <w:spacing w:line="340" w:lineRule="exact"/>
              <w:rPr>
                <w:rFonts w:ascii="宋体" w:hAnsi="宋体" w:cs="宋体"/>
                <w:sz w:val="24"/>
                <w:szCs w:val="24"/>
                <w:u w:val="none"/>
              </w:rPr>
            </w:pPr>
            <w:r>
              <w:rPr>
                <w:rFonts w:hint="eastAsia" w:ascii="宋体" w:hAnsi="宋体" w:cs="宋体"/>
                <w:sz w:val="24"/>
                <w:szCs w:val="24"/>
                <w:u w:val="none"/>
              </w:rPr>
              <w:t>（4）因重大变故，采购任务取消的。</w:t>
            </w:r>
          </w:p>
        </w:tc>
      </w:tr>
      <w:tr w14:paraId="4806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92" w:type="dxa"/>
            <w:vAlign w:val="center"/>
          </w:tcPr>
          <w:p w14:paraId="5C9E39E9">
            <w:pPr>
              <w:spacing w:line="340" w:lineRule="exact"/>
              <w:rPr>
                <w:rFonts w:ascii="宋体" w:hAnsi="宋体" w:cs="宋体"/>
                <w:sz w:val="24"/>
                <w:szCs w:val="24"/>
                <w:u w:val="none"/>
              </w:rPr>
            </w:pPr>
            <w:r>
              <w:rPr>
                <w:rFonts w:hint="eastAsia" w:ascii="宋体" w:hAnsi="宋体" w:cs="宋体"/>
                <w:sz w:val="24"/>
                <w:szCs w:val="24"/>
                <w:u w:val="none"/>
              </w:rPr>
              <w:t>第</w:t>
            </w:r>
            <w:r>
              <w:rPr>
                <w:rFonts w:hint="eastAsia" w:ascii="宋体" w:hAnsi="宋体" w:cs="宋体"/>
                <w:sz w:val="24"/>
                <w:szCs w:val="24"/>
                <w:u w:val="none"/>
                <w:lang w:eastAsia="zh-CN"/>
              </w:rPr>
              <w:t>四</w:t>
            </w:r>
            <w:r>
              <w:rPr>
                <w:rFonts w:hint="eastAsia" w:ascii="宋体" w:hAnsi="宋体" w:cs="宋体"/>
                <w:sz w:val="24"/>
                <w:szCs w:val="24"/>
                <w:u w:val="none"/>
              </w:rPr>
              <w:t>章第6</w:t>
            </w:r>
            <w:r>
              <w:rPr>
                <w:rFonts w:hint="eastAsia" w:ascii="宋体" w:hAnsi="宋体" w:cs="宋体"/>
                <w:sz w:val="24"/>
                <w:szCs w:val="24"/>
                <w:u w:val="none"/>
                <w:lang w:val="zh-CN"/>
              </w:rPr>
              <w:t>款</w:t>
            </w:r>
          </w:p>
        </w:tc>
        <w:tc>
          <w:tcPr>
            <w:tcW w:w="1763" w:type="dxa"/>
            <w:vAlign w:val="center"/>
          </w:tcPr>
          <w:p w14:paraId="152EB2BC">
            <w:pPr>
              <w:spacing w:line="340" w:lineRule="exact"/>
              <w:rPr>
                <w:rFonts w:ascii="宋体" w:hAnsi="宋体" w:cs="宋体"/>
                <w:sz w:val="24"/>
                <w:szCs w:val="24"/>
                <w:u w:val="none"/>
              </w:rPr>
            </w:pPr>
            <w:r>
              <w:rPr>
                <w:rFonts w:hint="eastAsia" w:ascii="宋体" w:hAnsi="宋体" w:cs="宋体"/>
                <w:sz w:val="24"/>
                <w:szCs w:val="24"/>
                <w:u w:val="none"/>
              </w:rPr>
              <w:t>确定中标人</w:t>
            </w:r>
          </w:p>
        </w:tc>
        <w:tc>
          <w:tcPr>
            <w:tcW w:w="6121" w:type="dxa"/>
            <w:gridSpan w:val="2"/>
            <w:vAlign w:val="center"/>
          </w:tcPr>
          <w:p w14:paraId="0678FA22">
            <w:pPr>
              <w:spacing w:line="340" w:lineRule="exact"/>
              <w:rPr>
                <w:rFonts w:ascii="宋体" w:hAnsi="宋体" w:cs="宋体"/>
                <w:sz w:val="24"/>
                <w:szCs w:val="24"/>
                <w:u w:val="none"/>
              </w:rPr>
            </w:pPr>
            <w:r>
              <w:rPr>
                <w:rFonts w:hint="eastAsia" w:ascii="宋体" w:hAnsi="宋体" w:cs="宋体"/>
                <w:sz w:val="24"/>
                <w:szCs w:val="24"/>
                <w:u w:val="none"/>
              </w:rPr>
              <w:t>评标委员会按得分从高到低的顺序对投标人进行排序（当投标人得分相同时，报价低者排名在前；当投标人综合评分且报价相同时，按技术部分得分由高者排名在前。）推荐排名第一的投标人为中标候选人。</w:t>
            </w:r>
          </w:p>
        </w:tc>
      </w:tr>
      <w:tr w14:paraId="0EC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92" w:type="dxa"/>
            <w:vAlign w:val="center"/>
          </w:tcPr>
          <w:p w14:paraId="47FC34F8">
            <w:pPr>
              <w:spacing w:line="340" w:lineRule="exact"/>
              <w:rPr>
                <w:rFonts w:ascii="宋体" w:hAnsi="宋体" w:cs="宋体"/>
                <w:sz w:val="24"/>
                <w:szCs w:val="24"/>
                <w:u w:val="none"/>
              </w:rPr>
            </w:pPr>
            <w:r>
              <w:rPr>
                <w:rFonts w:hint="eastAsia" w:ascii="宋体" w:hAnsi="宋体" w:cs="宋体"/>
                <w:sz w:val="24"/>
                <w:szCs w:val="24"/>
                <w:u w:val="none"/>
              </w:rPr>
              <w:t>本项目需要落实的政府采购政策</w:t>
            </w:r>
          </w:p>
        </w:tc>
        <w:tc>
          <w:tcPr>
            <w:tcW w:w="7884" w:type="dxa"/>
            <w:gridSpan w:val="3"/>
            <w:vAlign w:val="center"/>
          </w:tcPr>
          <w:p w14:paraId="156E38A6">
            <w:pPr>
              <w:spacing w:line="340" w:lineRule="exact"/>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13C87EC2">
            <w:pPr>
              <w:spacing w:line="340" w:lineRule="exact"/>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2、《政府采购促进中小企业发展管理办法》（财库﹝2020﹞46 号）；</w:t>
            </w:r>
          </w:p>
          <w:p w14:paraId="3C44E509">
            <w:pPr>
              <w:spacing w:line="340" w:lineRule="exact"/>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3、《财政部、司法部关于政府采购支持监狱企业发展有关问题的通知》（财库[2014]68号）；</w:t>
            </w:r>
          </w:p>
          <w:p w14:paraId="208DC984">
            <w:pPr>
              <w:spacing w:line="340" w:lineRule="exact"/>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4、《财政部 民政部 中国残疾人联合会关于促进残疾人就业政府采购政策的通知》（财库〔2017〕141号）。</w:t>
            </w:r>
          </w:p>
          <w:p w14:paraId="5F4B398F">
            <w:pPr>
              <w:spacing w:line="340" w:lineRule="exact"/>
              <w:rPr>
                <w:rFonts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w:t>
            </w:r>
            <w:r>
              <w:rPr>
                <w:rFonts w:eastAsia="宋体" w:cs="Times New Roman"/>
                <w:color w:val="auto"/>
                <w:sz w:val="24"/>
                <w:szCs w:val="32"/>
                <w:highlight w:val="none"/>
                <w:u w:val="none"/>
              </w:rPr>
              <w:fldChar w:fldCharType="begin"/>
            </w:r>
            <w:r>
              <w:rPr>
                <w:rFonts w:eastAsia="宋体" w:cs="Times New Roman"/>
                <w:color w:val="auto"/>
                <w:sz w:val="24"/>
                <w:szCs w:val="32"/>
                <w:highlight w:val="none"/>
                <w:u w:val="none"/>
              </w:rPr>
              <w:instrText xml:space="preserve"> HYPERLINK \l "_Toc19413 " </w:instrText>
            </w:r>
            <w:r>
              <w:rPr>
                <w:rFonts w:eastAsia="宋体" w:cs="Times New Roman"/>
                <w:color w:val="auto"/>
                <w:sz w:val="24"/>
                <w:szCs w:val="32"/>
                <w:highlight w:val="none"/>
                <w:u w:val="none"/>
              </w:rPr>
              <w:fldChar w:fldCharType="separate"/>
            </w:r>
            <w:r>
              <w:rPr>
                <w:rFonts w:hint="eastAsia" w:ascii="宋体" w:hAnsi="宋体" w:eastAsia="宋体" w:cs="宋体"/>
                <w:color w:val="auto"/>
                <w:sz w:val="24"/>
                <w:szCs w:val="24"/>
                <w:highlight w:val="none"/>
                <w:u w:val="none"/>
              </w:rPr>
              <w:t>关于印发《节能产品政府采购</w:t>
            </w:r>
            <w:r>
              <w:rPr>
                <w:rFonts w:eastAsia="宋体" w:cs="Times New Roman"/>
                <w:color w:val="auto"/>
                <w:sz w:val="24"/>
                <w:szCs w:val="32"/>
                <w:highlight w:val="none"/>
                <w:u w:val="none"/>
              </w:rPr>
              <w:fldChar w:fldCharType="end"/>
            </w:r>
            <w:r>
              <w:rPr>
                <w:rFonts w:eastAsia="宋体" w:cs="Times New Roman"/>
                <w:color w:val="auto"/>
                <w:sz w:val="24"/>
                <w:szCs w:val="32"/>
                <w:highlight w:val="none"/>
                <w:u w:val="none"/>
              </w:rPr>
              <w:fldChar w:fldCharType="begin"/>
            </w:r>
            <w:r>
              <w:rPr>
                <w:rFonts w:eastAsia="宋体" w:cs="Times New Roman"/>
                <w:color w:val="auto"/>
                <w:sz w:val="24"/>
                <w:szCs w:val="32"/>
                <w:highlight w:val="none"/>
                <w:u w:val="none"/>
              </w:rPr>
              <w:instrText xml:space="preserve"> HYPERLINK \l "_Toc22393 " </w:instrText>
            </w:r>
            <w:r>
              <w:rPr>
                <w:rFonts w:eastAsia="宋体" w:cs="Times New Roman"/>
                <w:color w:val="auto"/>
                <w:sz w:val="24"/>
                <w:szCs w:val="32"/>
                <w:highlight w:val="none"/>
                <w:u w:val="none"/>
              </w:rPr>
              <w:fldChar w:fldCharType="separate"/>
            </w:r>
            <w:r>
              <w:rPr>
                <w:rFonts w:hint="eastAsia" w:ascii="宋体" w:hAnsi="宋体" w:eastAsia="宋体" w:cs="宋体"/>
                <w:color w:val="auto"/>
                <w:sz w:val="24"/>
                <w:szCs w:val="24"/>
                <w:highlight w:val="none"/>
                <w:u w:val="none"/>
              </w:rPr>
              <w:t>实施意见》的通知（财库〔2004〕185号）</w:t>
            </w:r>
            <w:r>
              <w:rPr>
                <w:rFonts w:eastAsia="宋体" w:cs="Times New Roman"/>
                <w:color w:val="auto"/>
                <w:sz w:val="24"/>
                <w:szCs w:val="32"/>
                <w:highlight w:val="none"/>
                <w:u w:val="none"/>
              </w:rPr>
              <w:fldChar w:fldCharType="end"/>
            </w:r>
          </w:p>
          <w:p w14:paraId="29E3416F">
            <w:pPr>
              <w:spacing w:line="340" w:lineRule="exact"/>
              <w:rPr>
                <w:rFonts w:eastAsia="宋体" w:cs="Times New Roman"/>
                <w:color w:val="auto"/>
                <w:sz w:val="24"/>
                <w:szCs w:val="32"/>
                <w:highlight w:val="none"/>
                <w:u w:val="none"/>
              </w:rPr>
            </w:pPr>
            <w:r>
              <w:rPr>
                <w:rFonts w:hint="eastAsia" w:ascii="宋体" w:hAnsi="宋体" w:eastAsia="宋体" w:cs="宋体"/>
                <w:color w:val="auto"/>
                <w:sz w:val="24"/>
                <w:szCs w:val="24"/>
                <w:highlight w:val="none"/>
                <w:u w:val="none"/>
              </w:rPr>
              <w:t>6、</w:t>
            </w:r>
            <w:r>
              <w:rPr>
                <w:rFonts w:eastAsia="宋体" w:cs="Times New Roman"/>
                <w:color w:val="auto"/>
                <w:sz w:val="24"/>
                <w:szCs w:val="32"/>
                <w:highlight w:val="none"/>
                <w:u w:val="none"/>
              </w:rPr>
              <w:fldChar w:fldCharType="begin"/>
            </w:r>
            <w:r>
              <w:rPr>
                <w:rFonts w:eastAsia="宋体" w:cs="Times New Roman"/>
                <w:color w:val="auto"/>
                <w:sz w:val="24"/>
                <w:szCs w:val="32"/>
                <w:highlight w:val="none"/>
                <w:u w:val="none"/>
              </w:rPr>
              <w:instrText xml:space="preserve"> HYPERLINK \l "_Toc23604 " </w:instrText>
            </w:r>
            <w:r>
              <w:rPr>
                <w:rFonts w:eastAsia="宋体" w:cs="Times New Roman"/>
                <w:color w:val="auto"/>
                <w:sz w:val="24"/>
                <w:szCs w:val="32"/>
                <w:highlight w:val="none"/>
                <w:u w:val="none"/>
              </w:rPr>
              <w:fldChar w:fldCharType="separate"/>
            </w:r>
            <w:r>
              <w:rPr>
                <w:rFonts w:hint="eastAsia" w:ascii="宋体" w:hAnsi="宋体" w:eastAsia="宋体" w:cs="宋体"/>
                <w:color w:val="auto"/>
                <w:sz w:val="24"/>
                <w:szCs w:val="24"/>
                <w:highlight w:val="none"/>
                <w:u w:val="none"/>
              </w:rPr>
              <w:t>关于环境标志产品政府采购实施的意见（财库〔2006〕90号）</w:t>
            </w:r>
            <w:r>
              <w:rPr>
                <w:rFonts w:eastAsia="宋体" w:cs="Times New Roman"/>
                <w:color w:val="auto"/>
                <w:sz w:val="24"/>
                <w:szCs w:val="32"/>
                <w:highlight w:val="none"/>
                <w:u w:val="none"/>
              </w:rPr>
              <w:fldChar w:fldCharType="end"/>
            </w:r>
          </w:p>
          <w:p w14:paraId="308FD774">
            <w:pPr>
              <w:spacing w:line="340" w:lineRule="exact"/>
              <w:rPr>
                <w:rFonts w:ascii="宋体" w:hAnsi="宋体" w:cs="宋体"/>
                <w:sz w:val="24"/>
                <w:szCs w:val="24"/>
                <w:u w:val="none"/>
              </w:rPr>
            </w:pPr>
            <w:r>
              <w:rPr>
                <w:rFonts w:hint="eastAsia" w:cs="Times New Roman"/>
                <w:color w:val="auto"/>
                <w:sz w:val="24"/>
                <w:szCs w:val="32"/>
                <w:highlight w:val="none"/>
                <w:u w:val="none"/>
                <w:lang w:val="en-US" w:eastAsia="zh-CN"/>
              </w:rPr>
              <w:t>7、</w:t>
            </w:r>
            <w:r>
              <w:rPr>
                <w:rFonts w:hint="eastAsia" w:eastAsia="宋体" w:cs="Times New Roman"/>
                <w:color w:val="auto"/>
                <w:sz w:val="24"/>
                <w:szCs w:val="32"/>
                <w:highlight w:val="none"/>
                <w:u w:val="none"/>
              </w:rPr>
              <w:t>山西省财政厅关于进一步加大政府采购支持中小企业力度助力扎实稳住经济的通知</w:t>
            </w:r>
            <w:r>
              <w:rPr>
                <w:rFonts w:hint="eastAsia" w:eastAsia="宋体" w:cs="Times New Roman"/>
                <w:color w:val="auto"/>
                <w:sz w:val="24"/>
                <w:szCs w:val="32"/>
                <w:highlight w:val="none"/>
                <w:u w:val="none"/>
                <w:lang w:eastAsia="zh-CN"/>
              </w:rPr>
              <w:t>（</w:t>
            </w:r>
            <w:r>
              <w:rPr>
                <w:rFonts w:hint="eastAsia" w:eastAsia="宋体" w:cs="Times New Roman"/>
                <w:color w:val="auto"/>
                <w:sz w:val="24"/>
                <w:szCs w:val="32"/>
                <w:highlight w:val="none"/>
                <w:u w:val="none"/>
              </w:rPr>
              <w:t>晋财购〔2022〕6号</w:t>
            </w:r>
            <w:r>
              <w:rPr>
                <w:rFonts w:hint="eastAsia" w:eastAsia="宋体" w:cs="Times New Roman"/>
                <w:color w:val="auto"/>
                <w:sz w:val="24"/>
                <w:szCs w:val="32"/>
                <w:highlight w:val="none"/>
                <w:u w:val="none"/>
                <w:lang w:eastAsia="zh-CN"/>
              </w:rPr>
              <w:t>）</w:t>
            </w:r>
          </w:p>
        </w:tc>
      </w:tr>
      <w:tr w14:paraId="5965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92" w:type="dxa"/>
            <w:vAlign w:val="center"/>
          </w:tcPr>
          <w:p w14:paraId="20C57DE4">
            <w:pPr>
              <w:spacing w:line="340" w:lineRule="exact"/>
              <w:rPr>
                <w:rFonts w:ascii="宋体" w:hAnsi="宋体" w:cs="宋体"/>
                <w:sz w:val="24"/>
                <w:szCs w:val="24"/>
                <w:u w:val="none"/>
              </w:rPr>
            </w:pPr>
            <w:r>
              <w:rPr>
                <w:rFonts w:hint="eastAsia" w:ascii="宋体" w:hAnsi="宋体" w:cs="宋体"/>
                <w:sz w:val="24"/>
                <w:szCs w:val="24"/>
                <w:u w:val="none"/>
              </w:rPr>
              <w:t>落实政府采购政策采取的措施</w:t>
            </w:r>
          </w:p>
        </w:tc>
        <w:tc>
          <w:tcPr>
            <w:tcW w:w="7884" w:type="dxa"/>
            <w:gridSpan w:val="3"/>
            <w:vAlign w:val="center"/>
          </w:tcPr>
          <w:p w14:paraId="38BA0084">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本次招标落实政府采购政策如下，投标人必须响应，否则视为无效投标。</w:t>
            </w:r>
          </w:p>
          <w:p w14:paraId="309703DC">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1、本项目如为中小企业目投标：</w:t>
            </w:r>
          </w:p>
          <w:p w14:paraId="31188CA2">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（1）须按照工信部联〔2011〕300号《中小企业划型标准规定》的标准如实填写《中小企业声明函》（格式见第六章 投标文件组成）。</w:t>
            </w:r>
          </w:p>
          <w:p w14:paraId="61822FBF">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（2）价格优惠：①本项目对属于小型和微型企业提供服务的价格给予15％的扣除，用扣除后的价格参与评审。（本项内容以投标人提供的《中小企业声明函》为准，否则不予认可）。</w:t>
            </w:r>
          </w:p>
          <w:p w14:paraId="55911FC5">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②本项目如为大型企业投标：要求大型企业与中小企业组成联合体，联合体中中小企业承担部分达到40%，其中，小微企业承担部分达到60%。</w:t>
            </w:r>
          </w:p>
          <w:p w14:paraId="716D27AB">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对于联合协议约定小微企业的合同份额占到合同总金额30%以上的，对联合体的报价给予6%的扣除，用扣除后的价格参加评审。组成联合体的中小企业与联合体内其他企业不得存在直接控股、管理关系。不享受价格扣除优惠政策。其中小微企业必须明确，且按采购文件格式要求，如实填写。（本项内容以投标人提供的《联合体共同响应协议书》为准，否则不予认可）。</w:t>
            </w:r>
          </w:p>
          <w:p w14:paraId="1F18B892">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2、监狱企业参加本项目投标时：</w:t>
            </w:r>
          </w:p>
          <w:p w14:paraId="62D839EC">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（1）须出具监狱管理局、戒毒管理局等主管部门出具的证明文件。</w:t>
            </w:r>
          </w:p>
          <w:p w14:paraId="31A39E10">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（2）监狱企业属于小型、微型企业的，不重复享受政策。</w:t>
            </w:r>
          </w:p>
          <w:p w14:paraId="10297F18">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3、残疾人福利性单位参加本项目投标时：</w:t>
            </w:r>
          </w:p>
          <w:p w14:paraId="03632D7C">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（1）残疾人福利性单位应满足以下条件：</w:t>
            </w:r>
          </w:p>
          <w:p w14:paraId="66E2B093">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①安置的残疾人占本单位在职职工人数的比例不低于25%（含25%），并且安置的残疾人人数不低于10人（含10人）。</w:t>
            </w:r>
          </w:p>
          <w:p w14:paraId="01364F84">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②依法与安置的每位残疾人签订了一年以上（含一年）的劳动合同或服务协议。</w:t>
            </w:r>
          </w:p>
          <w:p w14:paraId="0042449F">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③为安置的每位残疾人按时缴纳了社会保险。</w:t>
            </w:r>
          </w:p>
          <w:p w14:paraId="0B3CDE32">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④向安置的每位残疾人支付的工资不低于单位所在区县适用的经省级人民政府批准的月最低工资标准。</w:t>
            </w:r>
          </w:p>
          <w:p w14:paraId="3ED5C938">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⑤提供本单位制造的货物（由本单位承担工程/提供服务），或者提供其他残疾人福利性单位制造的货物（不包括使用非残疾人福利性单位注册商标的货物）。</w:t>
            </w:r>
          </w:p>
          <w:p w14:paraId="2FF3EB83">
            <w:pPr>
              <w:spacing w:line="340" w:lineRule="exact"/>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须如实填写《残疾人福利性单位声明函》（格式见第六章 投标文件组成），并附相关证明材料。</w:t>
            </w:r>
          </w:p>
          <w:p w14:paraId="01AC3BAC">
            <w:pPr>
              <w:spacing w:line="340" w:lineRule="exact"/>
            </w:pPr>
            <w:r>
              <w:rPr>
                <w:rFonts w:hint="eastAsia" w:ascii="宋体" w:hAnsi="宋体" w:cs="宋体"/>
                <w:b w:val="0"/>
                <w:bCs w:val="0"/>
                <w:color w:val="auto"/>
                <w:sz w:val="24"/>
                <w:szCs w:val="32"/>
                <w:highlight w:val="none"/>
                <w:lang w:val="en-US" w:eastAsia="zh-CN"/>
              </w:rPr>
              <w:t>⑥残疾人单位属于小型、微型企业的，不重复享受政策。</w:t>
            </w:r>
            <w:r>
              <w:rPr>
                <w:rFonts w:hint="eastAsia" w:ascii="宋体" w:hAnsi="宋体" w:cs="宋体"/>
                <w:sz w:val="24"/>
                <w:highlight w:val="none"/>
              </w:rPr>
              <w:br w:type="textWrapping"/>
            </w:r>
            <w:r>
              <w:rPr>
                <w:rFonts w:hint="eastAsia" w:ascii="宋体" w:hAnsi="宋体" w:cs="宋体"/>
                <w:b/>
                <w:bCs/>
                <w:sz w:val="24"/>
                <w:highlight w:val="none"/>
              </w:rPr>
              <w:t>本项目</w:t>
            </w:r>
            <w:r>
              <w:rPr>
                <w:rFonts w:ascii="宋体" w:hAnsi="宋体" w:cs="宋体"/>
                <w:b/>
                <w:bCs/>
                <w:sz w:val="24"/>
                <w:highlight w:val="none"/>
              </w:rPr>
              <w:t>所属行业</w:t>
            </w:r>
            <w:r>
              <w:rPr>
                <w:rFonts w:hint="eastAsia" w:ascii="宋体" w:hAnsi="宋体" w:cs="宋体"/>
                <w:b/>
                <w:bCs/>
                <w:sz w:val="24"/>
                <w:highlight w:val="none"/>
              </w:rPr>
              <w:t>为：</w:t>
            </w:r>
            <w:r>
              <w:rPr>
                <w:rFonts w:hint="eastAsia" w:ascii="宋体" w:hAnsi="宋体" w:cs="宋体"/>
                <w:b/>
                <w:bCs/>
                <w:sz w:val="24"/>
                <w:highlight w:val="none"/>
                <w:lang w:eastAsia="zh-CN"/>
              </w:rPr>
              <w:t>其他未列明行业</w:t>
            </w:r>
            <w:r>
              <w:rPr>
                <w:rFonts w:hint="eastAsia" w:ascii="宋体" w:hAnsi="宋体" w:cs="宋体"/>
                <w:b/>
                <w:bCs/>
                <w:sz w:val="24"/>
                <w:highlight w:val="none"/>
              </w:rPr>
              <w:t>。</w:t>
            </w:r>
          </w:p>
        </w:tc>
      </w:tr>
      <w:tr w14:paraId="593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676" w:type="dxa"/>
            <w:gridSpan w:val="4"/>
            <w:vAlign w:val="center"/>
          </w:tcPr>
          <w:p w14:paraId="504A292B">
            <w:pPr>
              <w:spacing w:line="340" w:lineRule="exact"/>
              <w:jc w:val="center"/>
              <w:rPr>
                <w:rFonts w:ascii="宋体" w:hAnsi="宋体" w:cs="宋体"/>
                <w:sz w:val="24"/>
                <w:szCs w:val="24"/>
                <w:u w:val="none"/>
              </w:rPr>
            </w:pPr>
            <w:r>
              <w:rPr>
                <w:rFonts w:hint="eastAsia" w:ascii="宋体" w:hAnsi="宋体" w:cs="宋体"/>
                <w:b/>
                <w:bCs/>
                <w:sz w:val="24"/>
                <w:szCs w:val="24"/>
                <w:u w:val="none"/>
              </w:rPr>
              <w:t>第</w:t>
            </w:r>
            <w:r>
              <w:rPr>
                <w:rFonts w:hint="eastAsia" w:ascii="宋体" w:hAnsi="宋体" w:cs="宋体"/>
                <w:b/>
                <w:bCs/>
                <w:sz w:val="24"/>
                <w:szCs w:val="24"/>
                <w:u w:val="none"/>
                <w:lang w:eastAsia="zh-CN"/>
              </w:rPr>
              <w:t>五</w:t>
            </w:r>
            <w:r>
              <w:rPr>
                <w:rFonts w:hint="eastAsia" w:ascii="宋体" w:hAnsi="宋体" w:cs="宋体"/>
                <w:b/>
                <w:bCs/>
                <w:sz w:val="24"/>
                <w:szCs w:val="24"/>
                <w:u w:val="none"/>
              </w:rPr>
              <w:t>章  政府采购合同格式</w:t>
            </w:r>
          </w:p>
        </w:tc>
      </w:tr>
      <w:tr w14:paraId="0D08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2" w:type="dxa"/>
            <w:vAlign w:val="center"/>
          </w:tcPr>
          <w:p w14:paraId="2957ABF5">
            <w:pPr>
              <w:spacing w:line="340" w:lineRule="exact"/>
              <w:rPr>
                <w:rFonts w:ascii="宋体" w:hAnsi="宋体" w:cs="宋体"/>
                <w:sz w:val="24"/>
                <w:szCs w:val="24"/>
                <w:u w:val="none"/>
              </w:rPr>
            </w:pPr>
            <w:r>
              <w:rPr>
                <w:rFonts w:hint="eastAsia" w:ascii="宋体" w:hAnsi="宋体" w:cs="宋体"/>
                <w:sz w:val="24"/>
                <w:szCs w:val="24"/>
                <w:u w:val="none"/>
              </w:rPr>
              <w:t xml:space="preserve">甲方名称、地址 </w:t>
            </w:r>
          </w:p>
        </w:tc>
        <w:tc>
          <w:tcPr>
            <w:tcW w:w="7884" w:type="dxa"/>
            <w:gridSpan w:val="3"/>
            <w:vAlign w:val="center"/>
          </w:tcPr>
          <w:p w14:paraId="4F65C732">
            <w:pPr>
              <w:spacing w:line="340" w:lineRule="exact"/>
              <w:rPr>
                <w:rFonts w:hint="eastAsia" w:ascii="宋体" w:hAnsi="宋体" w:eastAsia="宋体" w:cs="宋体"/>
                <w:sz w:val="24"/>
                <w:szCs w:val="24"/>
                <w:u w:val="none"/>
                <w:lang w:val="zh-CN" w:eastAsia="zh-CN"/>
              </w:rPr>
            </w:pPr>
            <w:r>
              <w:rPr>
                <w:rFonts w:hint="eastAsia" w:ascii="宋体" w:hAnsi="宋体" w:cs="宋体"/>
                <w:sz w:val="24"/>
                <w:szCs w:val="24"/>
                <w:u w:val="none"/>
                <w:lang w:val="zh-CN"/>
              </w:rPr>
              <w:t>采 购 人：</w:t>
            </w:r>
            <w:r>
              <w:rPr>
                <w:rFonts w:hint="eastAsia" w:ascii="宋体" w:hAnsi="宋体" w:cs="宋体"/>
                <w:sz w:val="24"/>
                <w:szCs w:val="24"/>
                <w:u w:val="none"/>
                <w:lang w:eastAsia="zh-CN"/>
              </w:rPr>
              <w:t>永济黄河流域生态</w:t>
            </w:r>
            <w:r>
              <w:rPr>
                <w:rFonts w:hint="eastAsia" w:ascii="宋体" w:hAnsi="宋体" w:cs="宋体"/>
                <w:sz w:val="24"/>
                <w:szCs w:val="24"/>
                <w:u w:val="none"/>
                <w:lang w:val="en-US" w:eastAsia="zh-CN"/>
              </w:rPr>
              <w:t>保</w:t>
            </w:r>
            <w:r>
              <w:rPr>
                <w:rFonts w:hint="eastAsia" w:ascii="宋体" w:hAnsi="宋体" w:cs="宋体"/>
                <w:sz w:val="24"/>
                <w:szCs w:val="24"/>
                <w:u w:val="none"/>
                <w:lang w:eastAsia="zh-CN"/>
              </w:rPr>
              <w:t>护和高质量发展促进中心</w:t>
            </w:r>
          </w:p>
          <w:p w14:paraId="57845C70">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lang w:val="zh-CN"/>
              </w:rPr>
              <w:t>地    址：</w:t>
            </w:r>
            <w:r>
              <w:rPr>
                <w:rFonts w:hint="eastAsia" w:ascii="宋体" w:hAnsi="宋体" w:cs="宋体"/>
                <w:sz w:val="24"/>
                <w:szCs w:val="24"/>
                <w:u w:val="none"/>
                <w:lang w:eastAsia="zh-CN"/>
              </w:rPr>
              <w:t>山西省永济市市府西街4号</w:t>
            </w:r>
          </w:p>
        </w:tc>
      </w:tr>
      <w:tr w14:paraId="329A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92" w:type="dxa"/>
            <w:vAlign w:val="center"/>
          </w:tcPr>
          <w:p w14:paraId="5162E943">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lang w:eastAsia="zh-CN"/>
              </w:rPr>
              <w:t>项目地点</w:t>
            </w:r>
          </w:p>
        </w:tc>
        <w:tc>
          <w:tcPr>
            <w:tcW w:w="7884" w:type="dxa"/>
            <w:gridSpan w:val="3"/>
            <w:vAlign w:val="center"/>
          </w:tcPr>
          <w:p w14:paraId="25D47A05">
            <w:pPr>
              <w:spacing w:line="340" w:lineRule="exact"/>
              <w:rPr>
                <w:rFonts w:hint="default" w:ascii="宋体" w:hAnsi="宋体" w:eastAsia="宋体" w:cs="宋体"/>
                <w:sz w:val="24"/>
                <w:szCs w:val="24"/>
                <w:u w:val="none"/>
                <w:lang w:val="en-US" w:eastAsia="zh-CN"/>
              </w:rPr>
            </w:pPr>
            <w:r>
              <w:rPr>
                <w:rFonts w:hint="eastAsia" w:ascii="宋体" w:hAnsi="宋体" w:cs="宋体"/>
                <w:sz w:val="24"/>
                <w:szCs w:val="24"/>
                <w:u w:val="none"/>
                <w:lang w:val="en-US" w:eastAsia="zh-CN"/>
              </w:rPr>
              <w:t>永济市开张镇的开张村、杜村、西开张村、高淮村、田营村、寒暑村、城子埒村、常旗营村、杨庄村、土桥村10个行政村的全域范围。</w:t>
            </w:r>
          </w:p>
        </w:tc>
      </w:tr>
      <w:tr w14:paraId="3FD1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92" w:type="dxa"/>
            <w:vAlign w:val="center"/>
          </w:tcPr>
          <w:p w14:paraId="0D7168D8">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lang w:eastAsia="zh-CN"/>
              </w:rPr>
              <w:t>合同履约期限</w:t>
            </w:r>
          </w:p>
        </w:tc>
        <w:tc>
          <w:tcPr>
            <w:tcW w:w="7884" w:type="dxa"/>
            <w:gridSpan w:val="3"/>
            <w:vAlign w:val="center"/>
          </w:tcPr>
          <w:p w14:paraId="0FCE7931">
            <w:pPr>
              <w:spacing w:line="340" w:lineRule="exact"/>
              <w:rPr>
                <w:rFonts w:ascii="宋体" w:hAnsi="宋体" w:cs="宋体"/>
                <w:sz w:val="24"/>
                <w:szCs w:val="24"/>
                <w:u w:val="none"/>
              </w:rPr>
            </w:pPr>
            <w:r>
              <w:rPr>
                <w:rFonts w:hint="eastAsia" w:ascii="宋体" w:hAnsi="宋体" w:cs="宋体"/>
                <w:color w:val="auto"/>
                <w:sz w:val="24"/>
                <w:szCs w:val="24"/>
                <w:highlight w:val="none"/>
                <w:u w:val="none"/>
                <w:lang w:val="en-US" w:eastAsia="zh-CN"/>
              </w:rPr>
              <w:t>自合同协议书签订之日起至全过程工程咨询服务各项内容完成止</w:t>
            </w:r>
          </w:p>
        </w:tc>
      </w:tr>
      <w:tr w14:paraId="48C2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92" w:type="dxa"/>
            <w:vAlign w:val="center"/>
          </w:tcPr>
          <w:p w14:paraId="003ACE5B">
            <w:pPr>
              <w:spacing w:line="340" w:lineRule="exact"/>
              <w:rPr>
                <w:rFonts w:ascii="宋体" w:hAnsi="宋体" w:cs="宋体"/>
                <w:sz w:val="24"/>
                <w:szCs w:val="24"/>
                <w:u w:val="none"/>
              </w:rPr>
            </w:pPr>
            <w:r>
              <w:rPr>
                <w:rFonts w:hint="eastAsia" w:ascii="宋体" w:hAnsi="宋体" w:cs="宋体"/>
                <w:sz w:val="24"/>
                <w:szCs w:val="24"/>
                <w:u w:val="none"/>
              </w:rPr>
              <w:t>合同价款支付方式</w:t>
            </w:r>
          </w:p>
        </w:tc>
        <w:tc>
          <w:tcPr>
            <w:tcW w:w="7884" w:type="dxa"/>
            <w:gridSpan w:val="3"/>
            <w:vAlign w:val="center"/>
          </w:tcPr>
          <w:p w14:paraId="7FA97566">
            <w:pPr>
              <w:widowControl/>
              <w:tabs>
                <w:tab w:val="left" w:pos="425"/>
              </w:tabs>
              <w:snapToGrid w:val="0"/>
              <w:spacing w:line="360" w:lineRule="auto"/>
              <w:jc w:val="left"/>
              <w:rPr>
                <w:rFonts w:ascii="宋体" w:hAnsi="宋体" w:cs="宋体"/>
                <w:sz w:val="24"/>
                <w:szCs w:val="24"/>
                <w:u w:val="none"/>
              </w:rPr>
            </w:pPr>
            <w:r>
              <w:rPr>
                <w:rFonts w:hint="eastAsia" w:ascii="宋体" w:hAnsi="宋体" w:cs="宋体"/>
                <w:sz w:val="24"/>
                <w:szCs w:val="24"/>
                <w:u w:val="none"/>
              </w:rPr>
              <w:t>详见“第</w:t>
            </w:r>
            <w:r>
              <w:rPr>
                <w:rFonts w:hint="eastAsia" w:ascii="宋体" w:hAnsi="宋体" w:cs="宋体"/>
                <w:sz w:val="24"/>
                <w:szCs w:val="24"/>
                <w:u w:val="none"/>
                <w:lang w:val="en-US" w:eastAsia="zh-CN"/>
              </w:rPr>
              <w:t>三</w:t>
            </w:r>
            <w:r>
              <w:rPr>
                <w:rFonts w:hint="eastAsia" w:ascii="宋体" w:hAnsi="宋体" w:cs="宋体"/>
                <w:sz w:val="24"/>
                <w:szCs w:val="24"/>
                <w:u w:val="none"/>
              </w:rPr>
              <w:t>章  采购需求”</w:t>
            </w:r>
          </w:p>
        </w:tc>
      </w:tr>
      <w:tr w14:paraId="794A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92" w:type="dxa"/>
            <w:vAlign w:val="center"/>
          </w:tcPr>
          <w:p w14:paraId="0AD2C7BC">
            <w:pPr>
              <w:spacing w:line="340" w:lineRule="exact"/>
              <w:rPr>
                <w:rFonts w:ascii="宋体" w:hAnsi="宋体" w:cs="宋体"/>
                <w:sz w:val="24"/>
                <w:szCs w:val="24"/>
                <w:u w:val="none"/>
              </w:rPr>
            </w:pPr>
            <w:r>
              <w:rPr>
                <w:rFonts w:hint="eastAsia" w:ascii="宋体" w:hAnsi="宋体" w:cs="宋体"/>
                <w:sz w:val="24"/>
                <w:szCs w:val="24"/>
                <w:u w:val="none"/>
              </w:rPr>
              <w:t>技术要求</w:t>
            </w:r>
          </w:p>
        </w:tc>
        <w:tc>
          <w:tcPr>
            <w:tcW w:w="7884" w:type="dxa"/>
            <w:gridSpan w:val="3"/>
            <w:vAlign w:val="center"/>
          </w:tcPr>
          <w:p w14:paraId="3ED824EC">
            <w:pPr>
              <w:spacing w:line="340" w:lineRule="exact"/>
              <w:rPr>
                <w:rFonts w:ascii="宋体" w:hAnsi="宋体" w:cs="宋体"/>
                <w:sz w:val="24"/>
                <w:szCs w:val="24"/>
                <w:u w:val="none"/>
              </w:rPr>
            </w:pPr>
            <w:r>
              <w:rPr>
                <w:rFonts w:hint="eastAsia" w:ascii="宋体" w:hAnsi="宋体" w:cs="宋体"/>
                <w:sz w:val="24"/>
                <w:szCs w:val="24"/>
                <w:u w:val="none"/>
              </w:rPr>
              <w:t>详见“第</w:t>
            </w:r>
            <w:r>
              <w:rPr>
                <w:rFonts w:hint="eastAsia" w:ascii="宋体" w:hAnsi="宋体" w:cs="宋体"/>
                <w:sz w:val="24"/>
                <w:szCs w:val="24"/>
                <w:u w:val="none"/>
                <w:lang w:val="en-US" w:eastAsia="zh-CN"/>
              </w:rPr>
              <w:t>三</w:t>
            </w:r>
            <w:r>
              <w:rPr>
                <w:rFonts w:hint="eastAsia" w:ascii="宋体" w:hAnsi="宋体" w:cs="宋体"/>
                <w:sz w:val="24"/>
                <w:szCs w:val="24"/>
                <w:u w:val="none"/>
              </w:rPr>
              <w:t>章  采购需求”</w:t>
            </w:r>
          </w:p>
        </w:tc>
      </w:tr>
      <w:tr w14:paraId="431A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92" w:type="dxa"/>
            <w:vAlign w:val="center"/>
          </w:tcPr>
          <w:p w14:paraId="4D4B1280">
            <w:pPr>
              <w:spacing w:line="340" w:lineRule="exact"/>
              <w:rPr>
                <w:rFonts w:hint="eastAsia" w:ascii="宋体" w:hAnsi="宋体" w:eastAsia="宋体" w:cs="宋体"/>
                <w:sz w:val="24"/>
                <w:szCs w:val="24"/>
                <w:u w:val="none"/>
                <w:lang w:eastAsia="zh-CN"/>
              </w:rPr>
            </w:pPr>
            <w:r>
              <w:rPr>
                <w:rFonts w:hint="eastAsia" w:ascii="宋体" w:hAnsi="宋体" w:cs="宋体"/>
                <w:sz w:val="24"/>
                <w:szCs w:val="24"/>
                <w:u w:val="none"/>
                <w:lang w:eastAsia="zh-CN"/>
              </w:rPr>
              <w:t>其他说明</w:t>
            </w:r>
          </w:p>
        </w:tc>
        <w:tc>
          <w:tcPr>
            <w:tcW w:w="7884" w:type="dxa"/>
            <w:gridSpan w:val="3"/>
            <w:vAlign w:val="center"/>
          </w:tcPr>
          <w:p w14:paraId="0E3B8EAB">
            <w:pPr>
              <w:spacing w:line="340" w:lineRule="exact"/>
              <w:rPr>
                <w:rFonts w:ascii="宋体" w:hAnsi="宋体" w:cs="宋体"/>
                <w:sz w:val="24"/>
                <w:szCs w:val="24"/>
                <w:u w:val="none"/>
              </w:rPr>
            </w:pPr>
            <w:r>
              <w:rPr>
                <w:rFonts w:hint="eastAsia" w:ascii="宋体" w:hAnsi="宋体" w:cs="宋体"/>
                <w:sz w:val="24"/>
                <w:szCs w:val="24"/>
                <w:u w:val="none"/>
                <w:lang w:val="en-US" w:eastAsia="zh-CN"/>
              </w:rPr>
              <w:t>如</w:t>
            </w:r>
            <w:r>
              <w:rPr>
                <w:rFonts w:hint="eastAsia" w:ascii="宋体" w:hAnsi="宋体" w:cs="宋体"/>
                <w:sz w:val="24"/>
                <w:szCs w:val="24"/>
                <w:u w:val="none"/>
              </w:rPr>
              <w:t>本项目未能通过主管部门的</w:t>
            </w:r>
            <w:r>
              <w:rPr>
                <w:rFonts w:hint="eastAsia" w:ascii="宋体" w:hAnsi="宋体" w:cs="宋体"/>
                <w:sz w:val="24"/>
                <w:szCs w:val="24"/>
                <w:u w:val="none"/>
                <w:lang w:eastAsia="zh-CN"/>
              </w:rPr>
              <w:t>审批</w:t>
            </w:r>
            <w:r>
              <w:rPr>
                <w:rFonts w:hint="eastAsia" w:ascii="宋体" w:hAnsi="宋体" w:cs="宋体"/>
                <w:sz w:val="24"/>
                <w:szCs w:val="24"/>
                <w:u w:val="none"/>
              </w:rPr>
              <w:t>，导致项目取消或咨询服务费无法支付等风险，投标人应提前研判，风险自担。</w:t>
            </w:r>
          </w:p>
        </w:tc>
      </w:tr>
    </w:tbl>
    <w:p w14:paraId="686724E4">
      <w:pPr>
        <w:adjustRightInd w:val="0"/>
        <w:snapToGrid w:val="0"/>
        <w:spacing w:line="360" w:lineRule="auto"/>
        <w:ind w:firstLine="1675" w:firstLineChars="596"/>
        <w:rPr>
          <w:rFonts w:ascii="宋体" w:hAnsi="宋体" w:cs="宋体"/>
          <w:b/>
          <w:bCs/>
          <w:sz w:val="28"/>
          <w:szCs w:val="28"/>
          <w:u w:val="none"/>
        </w:rPr>
        <w:sectPr>
          <w:footerReference r:id="rId6" w:type="default"/>
          <w:pgSz w:w="11907" w:h="16840"/>
          <w:pgMar w:top="1701" w:right="1588" w:bottom="1588" w:left="1588" w:header="851" w:footer="1304" w:gutter="0"/>
          <w:pgNumType w:fmt="decimal"/>
          <w:cols w:space="720" w:num="1"/>
          <w:docGrid w:type="lines" w:linePitch="312" w:charSpace="0"/>
        </w:sectPr>
      </w:pPr>
    </w:p>
    <w:p w14:paraId="3EB4F2C0">
      <w:pPr>
        <w:pStyle w:val="15"/>
        <w:adjustRightInd w:val="0"/>
        <w:snapToGrid w:val="0"/>
        <w:spacing w:line="420" w:lineRule="exact"/>
        <w:jc w:val="center"/>
        <w:rPr>
          <w:rFonts w:hAnsi="宋体" w:cs="宋体"/>
          <w:b/>
          <w:spacing w:val="100"/>
          <w:sz w:val="32"/>
          <w:szCs w:val="32"/>
          <w:u w:val="none"/>
        </w:rPr>
      </w:pPr>
      <w:bookmarkStart w:id="26" w:name="_Toc28412_WPSOffice_Level1"/>
      <w:r>
        <w:rPr>
          <w:rFonts w:hint="eastAsia" w:hAnsi="宋体" w:cs="宋体"/>
          <w:b/>
          <w:sz w:val="32"/>
          <w:szCs w:val="32"/>
          <w:u w:val="none"/>
        </w:rPr>
        <w:t xml:space="preserve">  投标须知</w:t>
      </w:r>
      <w:bookmarkEnd w:id="26"/>
    </w:p>
    <w:p w14:paraId="362BD0EF">
      <w:pPr>
        <w:adjustRightInd w:val="0"/>
        <w:snapToGrid w:val="0"/>
        <w:spacing w:line="420" w:lineRule="exact"/>
        <w:rPr>
          <w:rFonts w:ascii="宋体" w:hAnsi="宋体" w:cs="宋体"/>
          <w:b/>
          <w:sz w:val="24"/>
          <w:szCs w:val="24"/>
          <w:u w:val="none"/>
        </w:rPr>
      </w:pPr>
      <w:bookmarkStart w:id="27" w:name="_Toc13825"/>
      <w:bookmarkStart w:id="28" w:name="_Toc1005"/>
      <w:bookmarkStart w:id="29" w:name="_Toc6386"/>
      <w:bookmarkStart w:id="30" w:name="_Toc23392"/>
      <w:bookmarkStart w:id="31" w:name="_Toc23227"/>
      <w:bookmarkStart w:id="32" w:name="_Toc2068"/>
      <w:r>
        <w:rPr>
          <w:rFonts w:hint="eastAsia" w:ascii="宋体" w:hAnsi="宋体" w:cs="宋体"/>
          <w:b/>
          <w:sz w:val="24"/>
          <w:szCs w:val="24"/>
          <w:u w:val="none"/>
        </w:rPr>
        <w:t>一、说明</w:t>
      </w:r>
    </w:p>
    <w:p w14:paraId="2AB84492">
      <w:pPr>
        <w:adjustRightInd w:val="0"/>
        <w:snapToGrid w:val="0"/>
        <w:spacing w:line="420" w:lineRule="exact"/>
        <w:rPr>
          <w:rFonts w:ascii="宋体" w:hAnsi="宋体" w:cs="宋体"/>
          <w:b/>
          <w:bCs/>
          <w:sz w:val="24"/>
          <w:szCs w:val="24"/>
          <w:u w:val="none"/>
        </w:rPr>
      </w:pPr>
      <w:r>
        <w:rPr>
          <w:rFonts w:hint="eastAsia" w:ascii="宋体" w:hAnsi="宋体" w:cs="宋体"/>
          <w:b/>
          <w:bCs/>
          <w:sz w:val="24"/>
          <w:szCs w:val="24"/>
          <w:u w:val="none"/>
        </w:rPr>
        <w:t>1.适用范围</w:t>
      </w:r>
    </w:p>
    <w:p w14:paraId="7B93B011">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1.1本招标文件仅适用于第一章“招标文件前附表”（以下简称</w:t>
      </w:r>
      <w:r>
        <w:rPr>
          <w:rFonts w:hint="eastAsia" w:ascii="宋体" w:hAnsi="宋体" w:cs="宋体"/>
          <w:b/>
          <w:sz w:val="24"/>
          <w:szCs w:val="24"/>
          <w:u w:val="none"/>
        </w:rPr>
        <w:t>招标文件前附表</w:t>
      </w:r>
      <w:r>
        <w:rPr>
          <w:rFonts w:hint="eastAsia" w:ascii="宋体" w:hAnsi="宋体" w:cs="宋体"/>
          <w:sz w:val="24"/>
          <w:szCs w:val="24"/>
          <w:u w:val="none"/>
        </w:rPr>
        <w:t>）中所叙述的采购项目。</w:t>
      </w:r>
    </w:p>
    <w:p w14:paraId="222D8247">
      <w:pPr>
        <w:adjustRightInd w:val="0"/>
        <w:snapToGrid w:val="0"/>
        <w:spacing w:line="420" w:lineRule="exact"/>
        <w:rPr>
          <w:rFonts w:ascii="宋体" w:hAnsi="宋体" w:cs="宋体"/>
          <w:b/>
          <w:bCs/>
          <w:sz w:val="24"/>
          <w:szCs w:val="24"/>
          <w:u w:val="none"/>
        </w:rPr>
      </w:pPr>
      <w:r>
        <w:rPr>
          <w:rFonts w:hint="eastAsia" w:ascii="宋体" w:hAnsi="宋体" w:cs="宋体"/>
          <w:b/>
          <w:bCs/>
          <w:sz w:val="24"/>
          <w:szCs w:val="24"/>
          <w:u w:val="none"/>
        </w:rPr>
        <w:t>2.定义</w:t>
      </w:r>
    </w:p>
    <w:p w14:paraId="335546CF">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2.1 “采购人”系指依法进行政府采购的国家机关、事业单位、团体组织。本采购项目的采购人名称、地址、电话、联系人见</w:t>
      </w:r>
      <w:r>
        <w:rPr>
          <w:rFonts w:hint="eastAsia" w:ascii="宋体" w:hAnsi="宋体" w:cs="宋体"/>
          <w:b/>
          <w:sz w:val="24"/>
          <w:szCs w:val="24"/>
          <w:u w:val="none"/>
        </w:rPr>
        <w:t>招标文件前附表</w:t>
      </w:r>
      <w:r>
        <w:rPr>
          <w:rFonts w:hint="eastAsia" w:ascii="宋体" w:hAnsi="宋体" w:cs="宋体"/>
          <w:sz w:val="24"/>
          <w:szCs w:val="24"/>
          <w:u w:val="none"/>
        </w:rPr>
        <w:t>。</w:t>
      </w:r>
    </w:p>
    <w:p w14:paraId="77F7B6EF">
      <w:pPr>
        <w:adjustRightInd w:val="0"/>
        <w:snapToGrid w:val="0"/>
        <w:spacing w:line="420" w:lineRule="exact"/>
        <w:ind w:firstLine="480" w:firstLineChars="200"/>
        <w:rPr>
          <w:rFonts w:ascii="宋体" w:hAnsi="宋体" w:cs="宋体"/>
          <w:b/>
          <w:sz w:val="24"/>
          <w:szCs w:val="24"/>
          <w:u w:val="none"/>
        </w:rPr>
      </w:pPr>
      <w:r>
        <w:rPr>
          <w:rFonts w:hint="eastAsia" w:ascii="宋体" w:hAnsi="宋体" w:cs="宋体"/>
          <w:sz w:val="24"/>
          <w:szCs w:val="24"/>
          <w:u w:val="none"/>
        </w:rPr>
        <w:t>2.2 “采购代理机构”系指接受采购人委托，代理采购项目的经财政部门认定资格的政府采购代理机构。本采购项目的采购代理机构名称、地址、电话、联系人、邮箱见</w:t>
      </w:r>
      <w:r>
        <w:rPr>
          <w:rFonts w:hint="eastAsia" w:ascii="宋体" w:hAnsi="宋体" w:cs="宋体"/>
          <w:b/>
          <w:sz w:val="24"/>
          <w:szCs w:val="24"/>
          <w:u w:val="none"/>
        </w:rPr>
        <w:t>招标文件前附表。</w:t>
      </w:r>
    </w:p>
    <w:p w14:paraId="7292F4D7">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2.3 “投标人”系指响应招标、参加投标竞争的法人、其他组织或自然人。</w:t>
      </w:r>
    </w:p>
    <w:p w14:paraId="020A5250">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2.4 “货物”系指投标人按招标文件要求</w:t>
      </w:r>
      <w:r>
        <w:rPr>
          <w:rFonts w:hint="eastAsia" w:ascii="宋体" w:hAnsi="宋体" w:cs="宋体"/>
          <w:sz w:val="24"/>
          <w:szCs w:val="24"/>
          <w:u w:val="none"/>
          <w:lang w:eastAsia="zh-CN"/>
        </w:rPr>
        <w:t>，</w:t>
      </w:r>
      <w:r>
        <w:rPr>
          <w:rFonts w:hint="eastAsia" w:ascii="宋体" w:hAnsi="宋体" w:cs="宋体"/>
          <w:sz w:val="24"/>
          <w:szCs w:val="24"/>
          <w:u w:val="none"/>
        </w:rPr>
        <w:t>向采购人提供的各种形态和种类的物品，包括原材料、设备、产品（包括软件）及相关的其备品备件、工具、手册</w:t>
      </w:r>
      <w:r>
        <w:rPr>
          <w:rFonts w:hint="eastAsia" w:ascii="宋体" w:hAnsi="宋体" w:cs="宋体"/>
          <w:sz w:val="24"/>
          <w:szCs w:val="24"/>
          <w:u w:val="none"/>
          <w:lang w:eastAsia="zh-CN"/>
        </w:rPr>
        <w:t>及其他</w:t>
      </w:r>
      <w:r>
        <w:rPr>
          <w:rFonts w:hint="eastAsia" w:ascii="宋体" w:hAnsi="宋体" w:cs="宋体"/>
          <w:sz w:val="24"/>
          <w:szCs w:val="24"/>
          <w:u w:val="none"/>
        </w:rPr>
        <w:t>技术资料和材料。</w:t>
      </w:r>
    </w:p>
    <w:p w14:paraId="2EE73641">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2.5 “服务”系指招标文件规定投标人须承担的服务</w:t>
      </w:r>
      <w:r>
        <w:rPr>
          <w:rFonts w:hint="eastAsia" w:ascii="宋体" w:hAnsi="宋体" w:cs="宋体"/>
          <w:sz w:val="24"/>
          <w:szCs w:val="24"/>
          <w:u w:val="none"/>
          <w:lang w:eastAsia="zh-CN"/>
        </w:rPr>
        <w:t>及其他的</w:t>
      </w:r>
      <w:r>
        <w:rPr>
          <w:rFonts w:hint="eastAsia" w:ascii="宋体" w:hAnsi="宋体" w:cs="宋体"/>
          <w:sz w:val="24"/>
          <w:szCs w:val="24"/>
          <w:u w:val="none"/>
        </w:rPr>
        <w:t>义务。</w:t>
      </w:r>
    </w:p>
    <w:p w14:paraId="3628D4D7">
      <w:pPr>
        <w:adjustRightInd w:val="0"/>
        <w:snapToGrid w:val="0"/>
        <w:spacing w:line="420" w:lineRule="exact"/>
        <w:rPr>
          <w:rFonts w:ascii="宋体" w:hAnsi="宋体" w:cs="宋体"/>
          <w:b/>
          <w:bCs/>
          <w:sz w:val="24"/>
          <w:szCs w:val="24"/>
          <w:u w:val="none"/>
        </w:rPr>
      </w:pPr>
      <w:r>
        <w:rPr>
          <w:rFonts w:hint="eastAsia" w:ascii="宋体" w:hAnsi="宋体" w:cs="宋体"/>
          <w:b/>
          <w:bCs/>
          <w:sz w:val="24"/>
          <w:szCs w:val="24"/>
          <w:u w:val="none"/>
        </w:rPr>
        <w:t>3.投标人的资格要求</w:t>
      </w:r>
    </w:p>
    <w:p w14:paraId="0CF99B98">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3.1投标人应当符合</w:t>
      </w:r>
      <w:r>
        <w:rPr>
          <w:rFonts w:hint="eastAsia" w:ascii="宋体" w:hAnsi="宋体" w:cs="宋体"/>
          <w:b/>
          <w:sz w:val="24"/>
          <w:szCs w:val="24"/>
          <w:u w:val="none"/>
        </w:rPr>
        <w:t>招标文件前附表</w:t>
      </w:r>
      <w:r>
        <w:rPr>
          <w:rFonts w:hint="eastAsia" w:ascii="宋体" w:hAnsi="宋体" w:cs="宋体"/>
          <w:sz w:val="24"/>
          <w:szCs w:val="24"/>
          <w:u w:val="none"/>
        </w:rPr>
        <w:t>中规定的下列资格条件要求；</w:t>
      </w:r>
    </w:p>
    <w:p w14:paraId="0BBA7CFE">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（l）</w:t>
      </w:r>
      <w:r>
        <w:rPr>
          <w:rFonts w:hint="eastAsia" w:ascii="宋体" w:hAnsi="宋体" w:cs="宋体"/>
          <w:kern w:val="0"/>
          <w:sz w:val="24"/>
          <w:szCs w:val="24"/>
          <w:u w:val="none"/>
          <w:lang w:val="zh-CN"/>
        </w:rPr>
        <w:t>《政府采购法》第二十二条第一款规定的</w:t>
      </w:r>
      <w:r>
        <w:rPr>
          <w:rFonts w:hint="eastAsia" w:ascii="宋体" w:hAnsi="宋体" w:cs="宋体"/>
          <w:sz w:val="24"/>
          <w:szCs w:val="24"/>
          <w:u w:val="none"/>
        </w:rPr>
        <w:t>投标人基本资格条件</w:t>
      </w:r>
      <w:r>
        <w:rPr>
          <w:rFonts w:hint="eastAsia" w:ascii="宋体" w:hAnsi="宋体" w:cs="宋体"/>
          <w:kern w:val="0"/>
          <w:sz w:val="24"/>
          <w:szCs w:val="24"/>
          <w:u w:val="none"/>
          <w:lang w:val="zh-CN"/>
        </w:rPr>
        <w:t>；</w:t>
      </w:r>
    </w:p>
    <w:p w14:paraId="171E5E2B">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（2）采购项目有特殊要求，招标文件</w:t>
      </w:r>
      <w:r>
        <w:rPr>
          <w:rFonts w:hint="eastAsia" w:ascii="宋体" w:hAnsi="宋体" w:cs="宋体"/>
          <w:kern w:val="0"/>
          <w:sz w:val="24"/>
          <w:szCs w:val="24"/>
          <w:u w:val="none"/>
          <w:lang w:val="zh-CN"/>
        </w:rPr>
        <w:t>规定的</w:t>
      </w:r>
      <w:r>
        <w:rPr>
          <w:rFonts w:hint="eastAsia" w:ascii="宋体" w:hAnsi="宋体" w:cs="宋体"/>
          <w:sz w:val="24"/>
          <w:szCs w:val="24"/>
          <w:u w:val="none"/>
        </w:rPr>
        <w:t>投标人特定资格条件。</w:t>
      </w:r>
    </w:p>
    <w:p w14:paraId="6EC20D51">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3.2投标人不得存在下列情形之一：</w:t>
      </w:r>
    </w:p>
    <w:p w14:paraId="034C7C29">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（l）与采购人或采购代理机构存在</w:t>
      </w:r>
      <w:r>
        <w:rPr>
          <w:rFonts w:hint="eastAsia" w:ascii="宋体" w:hAnsi="宋体" w:cs="宋体"/>
          <w:bCs/>
          <w:sz w:val="24"/>
          <w:szCs w:val="24"/>
          <w:u w:val="none"/>
        </w:rPr>
        <w:t>隶属关系或者其他利害关系</w:t>
      </w:r>
      <w:r>
        <w:rPr>
          <w:rFonts w:hint="eastAsia" w:ascii="宋体" w:hAnsi="宋体" w:cs="宋体"/>
          <w:sz w:val="24"/>
          <w:szCs w:val="24"/>
          <w:u w:val="none"/>
        </w:rPr>
        <w:t>。</w:t>
      </w:r>
    </w:p>
    <w:p w14:paraId="59B28CD2">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（2）投标人或者其</w:t>
      </w:r>
      <w:r>
        <w:rPr>
          <w:rFonts w:hint="eastAsia" w:ascii="宋体" w:hAnsi="宋体" w:cs="宋体"/>
          <w:sz w:val="24"/>
          <w:szCs w:val="24"/>
          <w:u w:val="none"/>
          <w:lang w:eastAsia="zh-CN"/>
        </w:rPr>
        <w:t>法定代表人</w:t>
      </w:r>
      <w:r>
        <w:rPr>
          <w:rFonts w:hint="eastAsia" w:ascii="宋体" w:hAnsi="宋体" w:cs="宋体"/>
          <w:sz w:val="24"/>
          <w:szCs w:val="24"/>
          <w:u w:val="none"/>
        </w:rPr>
        <w:t>、董事、监事、高级管理人员因经营活动中的违法行为受到行政处罚，但警告和罚款额在三万元以下的行政处罚除外；</w:t>
      </w:r>
    </w:p>
    <w:p w14:paraId="68DD82E6">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（3）投标人或者其</w:t>
      </w:r>
      <w:r>
        <w:rPr>
          <w:rFonts w:hint="eastAsia" w:ascii="宋体" w:hAnsi="宋体" w:cs="宋体"/>
          <w:sz w:val="24"/>
          <w:szCs w:val="24"/>
          <w:u w:val="none"/>
          <w:lang w:eastAsia="zh-CN"/>
        </w:rPr>
        <w:t>法定代表人</w:t>
      </w:r>
      <w:r>
        <w:rPr>
          <w:rFonts w:hint="eastAsia" w:ascii="宋体" w:hAnsi="宋体" w:cs="宋体"/>
          <w:sz w:val="24"/>
          <w:szCs w:val="24"/>
          <w:u w:val="none"/>
        </w:rPr>
        <w:t>、董事、监事、高级管理人员因经营活动中的违法行为受到刑事处罚。</w:t>
      </w:r>
    </w:p>
    <w:p w14:paraId="73090A47">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3.3</w:t>
      </w:r>
      <w:r>
        <w:rPr>
          <w:rFonts w:hint="eastAsia" w:ascii="宋体" w:hAnsi="宋体" w:cs="宋体"/>
          <w:sz w:val="24"/>
          <w:szCs w:val="24"/>
          <w:u w:val="none"/>
          <w:lang w:eastAsia="zh-CN"/>
        </w:rPr>
        <w:t>法定代表人</w:t>
      </w:r>
      <w:r>
        <w:rPr>
          <w:rFonts w:hint="eastAsia" w:ascii="宋体" w:hAnsi="宋体" w:cs="宋体"/>
          <w:sz w:val="24"/>
          <w:szCs w:val="24"/>
          <w:u w:val="none"/>
        </w:rPr>
        <w:t>或者负责人为同一人或者存在控股、管理关系的两个以上投标人，不得参加同一政府采购项目投标。</w:t>
      </w:r>
    </w:p>
    <w:p w14:paraId="008AA263">
      <w:pPr>
        <w:adjustRightInd w:val="0"/>
        <w:snapToGrid w:val="0"/>
        <w:spacing w:line="420" w:lineRule="exact"/>
        <w:ind w:left="723" w:hanging="723" w:hangingChars="300"/>
        <w:rPr>
          <w:rFonts w:ascii="宋体" w:hAnsi="宋体" w:cs="宋体"/>
          <w:b/>
          <w:bCs/>
          <w:sz w:val="24"/>
          <w:szCs w:val="24"/>
          <w:u w:val="none"/>
        </w:rPr>
      </w:pPr>
      <w:r>
        <w:rPr>
          <w:rFonts w:hint="eastAsia" w:ascii="宋体" w:hAnsi="宋体" w:cs="宋体"/>
          <w:b/>
          <w:bCs/>
          <w:sz w:val="24"/>
          <w:szCs w:val="24"/>
          <w:u w:val="none"/>
        </w:rPr>
        <w:t>4.投标费用</w:t>
      </w:r>
    </w:p>
    <w:p w14:paraId="75B3F9B3">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4.1投标人应自行承担所有参与投标的相关费用，不论投标的结果如何，采购人或者采购代理机构均无义务和责任承担这些费用。</w:t>
      </w:r>
    </w:p>
    <w:p w14:paraId="6710C446">
      <w:pPr>
        <w:pStyle w:val="15"/>
        <w:adjustRightInd w:val="0"/>
        <w:snapToGrid w:val="0"/>
        <w:spacing w:line="420" w:lineRule="exact"/>
        <w:rPr>
          <w:rFonts w:hAnsi="宋体" w:cs="宋体"/>
          <w:b/>
          <w:sz w:val="24"/>
          <w:szCs w:val="24"/>
          <w:u w:val="none"/>
        </w:rPr>
      </w:pPr>
      <w:r>
        <w:rPr>
          <w:rFonts w:hint="eastAsia" w:hAnsi="宋体" w:cs="宋体"/>
          <w:b/>
          <w:sz w:val="24"/>
          <w:szCs w:val="24"/>
          <w:u w:val="none"/>
        </w:rPr>
        <w:t>5．联合体投标</w:t>
      </w:r>
    </w:p>
    <w:p w14:paraId="4216A69F">
      <w:pPr>
        <w:pStyle w:val="15"/>
        <w:adjustRightInd w:val="0"/>
        <w:snapToGrid w:val="0"/>
        <w:spacing w:line="420" w:lineRule="exact"/>
        <w:ind w:firstLine="480" w:firstLineChars="200"/>
        <w:rPr>
          <w:rFonts w:hAnsi="宋体" w:cs="宋体"/>
          <w:sz w:val="24"/>
          <w:szCs w:val="24"/>
          <w:u w:val="none"/>
        </w:rPr>
      </w:pPr>
      <w:r>
        <w:rPr>
          <w:rFonts w:hint="eastAsia" w:hAnsi="宋体" w:cs="宋体"/>
          <w:sz w:val="24"/>
          <w:szCs w:val="24"/>
          <w:u w:val="none"/>
        </w:rPr>
        <w:t>5.1</w:t>
      </w:r>
      <w:r>
        <w:rPr>
          <w:rFonts w:hint="eastAsia" w:hAnsi="宋体" w:cs="宋体"/>
          <w:sz w:val="24"/>
          <w:szCs w:val="24"/>
          <w:u w:val="none"/>
          <w:lang w:eastAsia="zh-CN"/>
        </w:rPr>
        <w:t>见</w:t>
      </w:r>
      <w:r>
        <w:rPr>
          <w:rFonts w:hint="eastAsia" w:hAnsi="宋体" w:cs="宋体"/>
          <w:b/>
          <w:sz w:val="24"/>
          <w:szCs w:val="24"/>
          <w:u w:val="none"/>
        </w:rPr>
        <w:t>招标文件前附表</w:t>
      </w:r>
      <w:r>
        <w:rPr>
          <w:rFonts w:hint="eastAsia" w:hAnsi="宋体" w:cs="宋体"/>
          <w:sz w:val="24"/>
          <w:szCs w:val="24"/>
          <w:u w:val="none"/>
        </w:rPr>
        <w:t>规定。</w:t>
      </w:r>
    </w:p>
    <w:p w14:paraId="0A519965">
      <w:pPr>
        <w:adjustRightInd w:val="0"/>
        <w:snapToGrid w:val="0"/>
        <w:spacing w:line="420" w:lineRule="exact"/>
        <w:rPr>
          <w:rFonts w:ascii="宋体" w:hAnsi="宋体" w:cs="宋体"/>
          <w:b/>
          <w:sz w:val="24"/>
          <w:szCs w:val="24"/>
          <w:u w:val="none"/>
        </w:rPr>
      </w:pPr>
      <w:r>
        <w:rPr>
          <w:rFonts w:hint="eastAsia" w:ascii="宋体" w:hAnsi="宋体" w:cs="宋体"/>
          <w:b/>
          <w:sz w:val="24"/>
          <w:szCs w:val="24"/>
          <w:u w:val="none"/>
        </w:rPr>
        <w:t>二、招标文件</w:t>
      </w:r>
    </w:p>
    <w:p w14:paraId="1913D169">
      <w:pPr>
        <w:adjustRightInd w:val="0"/>
        <w:snapToGrid w:val="0"/>
        <w:spacing w:line="420" w:lineRule="exact"/>
        <w:rPr>
          <w:rFonts w:ascii="宋体" w:hAnsi="宋体" w:cs="宋体"/>
          <w:b/>
          <w:bCs/>
          <w:sz w:val="24"/>
          <w:szCs w:val="24"/>
          <w:u w:val="none"/>
        </w:rPr>
      </w:pPr>
      <w:r>
        <w:rPr>
          <w:rFonts w:hint="eastAsia" w:ascii="宋体" w:hAnsi="宋体" w:cs="宋体"/>
          <w:b/>
          <w:bCs/>
          <w:sz w:val="24"/>
          <w:szCs w:val="24"/>
          <w:u w:val="none"/>
        </w:rPr>
        <w:t>6.招标文件的构成</w:t>
      </w:r>
    </w:p>
    <w:p w14:paraId="6CB8F54E">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6.1 招标文件共六章，内容如下：</w:t>
      </w:r>
    </w:p>
    <w:p w14:paraId="6F073A34">
      <w:pPr>
        <w:adjustRightInd w:val="0"/>
        <w:snapToGrid w:val="0"/>
        <w:spacing w:line="42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HYPERLINK \l "_Toc22702_WPSOffice_Level1"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第一章 招标公告</w:t>
      </w:r>
      <w:r>
        <w:rPr>
          <w:rFonts w:hint="eastAsia" w:ascii="宋体" w:hAnsi="宋体" w:eastAsia="宋体" w:cs="宋体"/>
          <w:sz w:val="24"/>
          <w:szCs w:val="24"/>
          <w:u w:val="none"/>
        </w:rPr>
        <w:fldChar w:fldCharType="end"/>
      </w:r>
    </w:p>
    <w:p w14:paraId="25BFB2BA">
      <w:pPr>
        <w:adjustRightInd w:val="0"/>
        <w:snapToGrid w:val="0"/>
        <w:spacing w:line="42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 xml:space="preserve">第二章 </w:t>
      </w: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HYPERLINK \l "_Toc19866_WPSOffice_Level1"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招标文件前附表及投标须知</w:t>
      </w:r>
      <w:r>
        <w:rPr>
          <w:rFonts w:hint="eastAsia" w:ascii="宋体" w:hAnsi="宋体" w:eastAsia="宋体" w:cs="宋体"/>
          <w:sz w:val="24"/>
          <w:szCs w:val="24"/>
          <w:u w:val="none"/>
        </w:rPr>
        <w:fldChar w:fldCharType="end"/>
      </w:r>
    </w:p>
    <w:p w14:paraId="37B2C43B">
      <w:pPr>
        <w:adjustRightInd w:val="0"/>
        <w:snapToGrid w:val="0"/>
        <w:spacing w:line="42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HYPERLINK \l "_Toc27702_WPSOffice_Level1"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第</w:t>
      </w:r>
      <w:r>
        <w:rPr>
          <w:rFonts w:hint="eastAsia" w:ascii="宋体" w:hAnsi="宋体" w:eastAsia="宋体" w:cs="宋体"/>
          <w:sz w:val="24"/>
          <w:szCs w:val="24"/>
          <w:u w:val="none"/>
          <w:lang w:val="en-US" w:eastAsia="zh-CN"/>
        </w:rPr>
        <w:t>三</w:t>
      </w:r>
      <w:r>
        <w:rPr>
          <w:rFonts w:hint="eastAsia" w:ascii="宋体" w:hAnsi="宋体" w:eastAsia="宋体" w:cs="宋体"/>
          <w:sz w:val="24"/>
          <w:szCs w:val="24"/>
          <w:u w:val="none"/>
        </w:rPr>
        <w:t>章 采购需求</w:t>
      </w:r>
      <w:r>
        <w:rPr>
          <w:rFonts w:hint="eastAsia" w:ascii="宋体" w:hAnsi="宋体" w:eastAsia="宋体" w:cs="宋体"/>
          <w:sz w:val="24"/>
          <w:szCs w:val="24"/>
          <w:u w:val="none"/>
        </w:rPr>
        <w:fldChar w:fldCharType="end"/>
      </w:r>
    </w:p>
    <w:p w14:paraId="29F94CC1">
      <w:pPr>
        <w:adjustRightInd w:val="0"/>
        <w:snapToGrid w:val="0"/>
        <w:spacing w:line="42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HYPERLINK \l "_Toc27939_WPSOffice_Level1"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第</w:t>
      </w:r>
      <w:r>
        <w:rPr>
          <w:rFonts w:hint="eastAsia" w:ascii="宋体" w:hAnsi="宋体" w:eastAsia="宋体" w:cs="宋体"/>
          <w:sz w:val="24"/>
          <w:szCs w:val="24"/>
          <w:u w:val="none"/>
          <w:lang w:val="en-US" w:eastAsia="zh-CN"/>
        </w:rPr>
        <w:t>四</w:t>
      </w:r>
      <w:r>
        <w:rPr>
          <w:rFonts w:hint="eastAsia" w:ascii="宋体" w:hAnsi="宋体" w:eastAsia="宋体" w:cs="宋体"/>
          <w:sz w:val="24"/>
          <w:szCs w:val="24"/>
          <w:u w:val="none"/>
        </w:rPr>
        <w:t>章 评标方法及标准</w:t>
      </w:r>
      <w:r>
        <w:rPr>
          <w:rFonts w:hint="eastAsia" w:ascii="宋体" w:hAnsi="宋体" w:eastAsia="宋体" w:cs="宋体"/>
          <w:sz w:val="24"/>
          <w:szCs w:val="24"/>
          <w:u w:val="none"/>
        </w:rPr>
        <w:fldChar w:fldCharType="end"/>
      </w:r>
    </w:p>
    <w:p w14:paraId="166C3A27">
      <w:pPr>
        <w:adjustRightInd w:val="0"/>
        <w:snapToGrid w:val="0"/>
        <w:spacing w:line="42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第</w:t>
      </w:r>
      <w:r>
        <w:rPr>
          <w:rFonts w:hint="eastAsia" w:ascii="宋体" w:hAnsi="宋体" w:eastAsia="宋体" w:cs="宋体"/>
          <w:sz w:val="24"/>
          <w:szCs w:val="24"/>
          <w:u w:val="none"/>
          <w:lang w:val="en-US" w:eastAsia="zh-CN"/>
        </w:rPr>
        <w:t>五</w:t>
      </w:r>
      <w:r>
        <w:rPr>
          <w:rFonts w:hint="eastAsia" w:ascii="宋体" w:hAnsi="宋体" w:eastAsia="宋体" w:cs="宋体"/>
          <w:sz w:val="24"/>
          <w:szCs w:val="24"/>
          <w:u w:val="none"/>
        </w:rPr>
        <w:t>章 政府采购合同格式</w:t>
      </w:r>
    </w:p>
    <w:p w14:paraId="0FCF677B">
      <w:pPr>
        <w:adjustRightInd w:val="0"/>
        <w:snapToGrid w:val="0"/>
        <w:spacing w:line="42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fldChar w:fldCharType="begin"/>
      </w:r>
      <w:r>
        <w:rPr>
          <w:rFonts w:hint="eastAsia" w:ascii="宋体" w:hAnsi="宋体" w:eastAsia="宋体" w:cs="宋体"/>
          <w:sz w:val="24"/>
          <w:szCs w:val="24"/>
          <w:u w:val="none"/>
        </w:rPr>
        <w:instrText xml:space="preserve"> HYPERLINK \l "_Toc24854_WPSOffice_Level1" </w:instrText>
      </w:r>
      <w:r>
        <w:rPr>
          <w:rFonts w:hint="eastAsia" w:ascii="宋体" w:hAnsi="宋体" w:eastAsia="宋体" w:cs="宋体"/>
          <w:sz w:val="24"/>
          <w:szCs w:val="24"/>
          <w:u w:val="none"/>
        </w:rPr>
        <w:fldChar w:fldCharType="separate"/>
      </w:r>
      <w:r>
        <w:rPr>
          <w:rFonts w:hint="eastAsia" w:ascii="宋体" w:hAnsi="宋体" w:eastAsia="宋体" w:cs="宋体"/>
          <w:sz w:val="24"/>
          <w:szCs w:val="24"/>
          <w:u w:val="none"/>
        </w:rPr>
        <w:t>第六章 投标文件的组成</w:t>
      </w:r>
      <w:r>
        <w:rPr>
          <w:rFonts w:hint="eastAsia" w:ascii="宋体" w:hAnsi="宋体" w:eastAsia="宋体" w:cs="宋体"/>
          <w:sz w:val="24"/>
          <w:szCs w:val="24"/>
          <w:u w:val="none"/>
        </w:rPr>
        <w:fldChar w:fldCharType="end"/>
      </w:r>
    </w:p>
    <w:p w14:paraId="0BEE4F18">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6.2本章第10.1</w:t>
      </w:r>
      <w:r>
        <w:rPr>
          <w:rFonts w:hint="eastAsia" w:ascii="宋体" w:hAnsi="宋体" w:cs="宋体"/>
          <w:sz w:val="24"/>
          <w:szCs w:val="24"/>
          <w:u w:val="none"/>
          <w:lang w:val="zh-CN"/>
        </w:rPr>
        <w:t>款</w:t>
      </w:r>
      <w:r>
        <w:rPr>
          <w:rFonts w:hint="eastAsia" w:ascii="宋体" w:hAnsi="宋体" w:cs="宋体"/>
          <w:sz w:val="24"/>
          <w:szCs w:val="24"/>
          <w:u w:val="none"/>
        </w:rPr>
        <w:t>对招标文件所作的澄清、修改，构成招标文件的组成部分。</w:t>
      </w:r>
    </w:p>
    <w:p w14:paraId="301D6E06">
      <w:pPr>
        <w:adjustRightInd w:val="0"/>
        <w:snapToGrid w:val="0"/>
        <w:spacing w:line="420" w:lineRule="exact"/>
        <w:ind w:firstLine="480" w:firstLineChars="200"/>
        <w:rPr>
          <w:rFonts w:ascii="宋体" w:hAnsi="宋体" w:cs="宋体"/>
          <w:b/>
          <w:sz w:val="24"/>
          <w:szCs w:val="24"/>
          <w:u w:val="none"/>
        </w:rPr>
      </w:pPr>
      <w:r>
        <w:rPr>
          <w:rFonts w:hint="eastAsia" w:ascii="宋体" w:hAnsi="宋体" w:cs="宋体"/>
          <w:sz w:val="24"/>
          <w:szCs w:val="24"/>
          <w:u w:val="none"/>
        </w:rPr>
        <w:t>6.3采购代理机构须在财政部门指定的媒体上发布电子招标文件，电子招标文件有同等的法律效力。</w:t>
      </w:r>
    </w:p>
    <w:p w14:paraId="3D3B2596">
      <w:pPr>
        <w:adjustRightInd w:val="0"/>
        <w:snapToGrid w:val="0"/>
        <w:spacing w:line="420" w:lineRule="exact"/>
        <w:ind w:firstLine="480" w:firstLineChars="200"/>
        <w:rPr>
          <w:rFonts w:ascii="宋体" w:hAnsi="宋体" w:cs="宋体"/>
          <w:sz w:val="24"/>
          <w:szCs w:val="24"/>
          <w:u w:val="none"/>
        </w:rPr>
      </w:pPr>
      <w:r>
        <w:rPr>
          <w:rFonts w:hint="eastAsia" w:ascii="宋体" w:hAnsi="宋体" w:cs="宋体"/>
          <w:sz w:val="24"/>
          <w:szCs w:val="24"/>
          <w:u w:val="none"/>
        </w:rPr>
        <w:t>6.4投标人应仔细阅读招标文件的全部内容，按照招标文件要求编制投标文件。任何对招标文件的忽略或误解不能作为投标文件存在缺陷或瑕疵的理由，其风险由投标人承担。</w:t>
      </w:r>
    </w:p>
    <w:p w14:paraId="4361882B">
      <w:pPr>
        <w:pStyle w:val="15"/>
        <w:adjustRightInd w:val="0"/>
        <w:snapToGrid w:val="0"/>
        <w:spacing w:line="420" w:lineRule="exact"/>
        <w:rPr>
          <w:rFonts w:hAnsi="宋体" w:cs="宋体"/>
          <w:b/>
          <w:sz w:val="24"/>
          <w:szCs w:val="24"/>
          <w:u w:val="none"/>
        </w:rPr>
      </w:pPr>
      <w:r>
        <w:rPr>
          <w:rFonts w:hint="eastAsia" w:hAnsi="宋体" w:cs="宋体"/>
          <w:b/>
          <w:sz w:val="24"/>
          <w:szCs w:val="24"/>
          <w:u w:val="none"/>
        </w:rPr>
        <w:t>7.招标文件的提供期限</w:t>
      </w:r>
    </w:p>
    <w:p w14:paraId="6577A465">
      <w:pPr>
        <w:pStyle w:val="15"/>
        <w:adjustRightInd w:val="0"/>
        <w:snapToGrid w:val="0"/>
        <w:spacing w:line="420" w:lineRule="exact"/>
        <w:ind w:firstLine="480" w:firstLineChars="200"/>
        <w:rPr>
          <w:rFonts w:hAnsi="宋体" w:cs="宋体"/>
          <w:sz w:val="24"/>
          <w:szCs w:val="24"/>
          <w:u w:val="none"/>
        </w:rPr>
      </w:pPr>
      <w:r>
        <w:rPr>
          <w:rFonts w:hint="eastAsia" w:hAnsi="宋体" w:cs="宋体"/>
          <w:sz w:val="24"/>
          <w:szCs w:val="24"/>
          <w:u w:val="none"/>
        </w:rPr>
        <w:t>7.1招标文件的提供期限自开始发出之日起不得少于</w:t>
      </w:r>
      <w:r>
        <w:rPr>
          <w:rFonts w:hint="eastAsia" w:hAnsi="宋体" w:cs="宋体"/>
          <w:b/>
          <w:bCs/>
          <w:sz w:val="24"/>
          <w:szCs w:val="24"/>
          <w:u w:val="none"/>
        </w:rPr>
        <w:t>五个工作日</w:t>
      </w:r>
      <w:r>
        <w:rPr>
          <w:rFonts w:hint="eastAsia" w:hAnsi="宋体" w:cs="宋体"/>
          <w:sz w:val="24"/>
          <w:szCs w:val="24"/>
          <w:u w:val="none"/>
        </w:rPr>
        <w:t>。具体提供期限见</w:t>
      </w:r>
      <w:r>
        <w:rPr>
          <w:rFonts w:hint="eastAsia" w:hAnsi="宋体" w:cs="宋体"/>
          <w:b/>
          <w:sz w:val="24"/>
          <w:szCs w:val="24"/>
          <w:u w:val="none"/>
        </w:rPr>
        <w:t>招标文件前附表</w:t>
      </w:r>
      <w:r>
        <w:rPr>
          <w:rFonts w:hint="eastAsia" w:hAnsi="宋体" w:cs="宋体"/>
          <w:sz w:val="24"/>
          <w:szCs w:val="24"/>
          <w:u w:val="none"/>
        </w:rPr>
        <w:t>。</w:t>
      </w:r>
    </w:p>
    <w:p w14:paraId="7CB6C3D0">
      <w:pPr>
        <w:pStyle w:val="15"/>
        <w:adjustRightInd w:val="0"/>
        <w:snapToGrid w:val="0"/>
        <w:spacing w:line="420" w:lineRule="exact"/>
        <w:ind w:firstLine="480" w:firstLineChars="200"/>
        <w:rPr>
          <w:rFonts w:hAnsi="宋体" w:cs="宋体"/>
          <w:sz w:val="24"/>
          <w:szCs w:val="24"/>
          <w:u w:val="none"/>
        </w:rPr>
      </w:pPr>
      <w:r>
        <w:rPr>
          <w:rFonts w:hint="eastAsia" w:hAnsi="宋体" w:cs="宋体"/>
          <w:sz w:val="24"/>
          <w:szCs w:val="24"/>
          <w:u w:val="none"/>
        </w:rPr>
        <w:t>7.2投标人应按</w:t>
      </w:r>
      <w:r>
        <w:rPr>
          <w:rFonts w:hint="eastAsia" w:hAnsi="宋体" w:cs="宋体"/>
          <w:b/>
          <w:sz w:val="24"/>
          <w:szCs w:val="24"/>
          <w:u w:val="none"/>
        </w:rPr>
        <w:t>招标文件前附表</w:t>
      </w:r>
      <w:r>
        <w:rPr>
          <w:rFonts w:hint="eastAsia" w:hAnsi="宋体" w:cs="宋体"/>
          <w:sz w:val="24"/>
          <w:szCs w:val="24"/>
          <w:u w:val="none"/>
        </w:rPr>
        <w:t>规定的方式获取招标文件。</w:t>
      </w:r>
    </w:p>
    <w:p w14:paraId="2992806D">
      <w:pPr>
        <w:pStyle w:val="15"/>
        <w:adjustRightInd w:val="0"/>
        <w:snapToGrid w:val="0"/>
        <w:spacing w:line="420" w:lineRule="exact"/>
        <w:ind w:firstLine="480" w:firstLineChars="200"/>
        <w:rPr>
          <w:rFonts w:hAnsi="宋体" w:cs="宋体"/>
          <w:sz w:val="24"/>
          <w:szCs w:val="24"/>
          <w:u w:val="none"/>
        </w:rPr>
      </w:pPr>
      <w:r>
        <w:rPr>
          <w:rFonts w:hint="eastAsia" w:hAnsi="宋体" w:cs="宋体"/>
          <w:sz w:val="24"/>
          <w:szCs w:val="24"/>
          <w:u w:val="none"/>
        </w:rPr>
        <w:t>7.3招标文件的提供期限截止时，购买招标文件的投标人少于三家，采购代理机构</w:t>
      </w:r>
      <w:r>
        <w:rPr>
          <w:rFonts w:hint="eastAsia" w:hAnsi="宋体" w:cs="宋体"/>
          <w:kern w:val="0"/>
          <w:sz w:val="24"/>
          <w:szCs w:val="24"/>
          <w:u w:val="none"/>
        </w:rPr>
        <w:t>可以</w:t>
      </w:r>
      <w:r>
        <w:rPr>
          <w:rFonts w:hint="eastAsia" w:hAnsi="宋体" w:cs="宋体"/>
          <w:sz w:val="24"/>
          <w:szCs w:val="24"/>
          <w:u w:val="none"/>
        </w:rPr>
        <w:t>延长招标文件的提供期限或者不再限制提供期限，或者修改招标文件，重新发布招标公告。延长招标文件的提供期限或者不再限制提供期限的，遵守本章第10.1</w:t>
      </w:r>
      <w:r>
        <w:rPr>
          <w:rFonts w:hint="eastAsia" w:hAnsi="宋体" w:cs="宋体"/>
          <w:kern w:val="0"/>
          <w:sz w:val="24"/>
          <w:szCs w:val="24"/>
          <w:u w:val="none"/>
          <w:lang w:val="zh-CN"/>
        </w:rPr>
        <w:t>款</w:t>
      </w:r>
      <w:r>
        <w:rPr>
          <w:rFonts w:hint="eastAsia" w:hAnsi="宋体" w:cs="宋体"/>
          <w:sz w:val="24"/>
          <w:szCs w:val="24"/>
          <w:u w:val="none"/>
        </w:rPr>
        <w:t>关于</w:t>
      </w:r>
      <w:r>
        <w:rPr>
          <w:rFonts w:hint="eastAsia" w:hAnsi="宋体" w:cs="宋体"/>
          <w:bCs/>
          <w:sz w:val="24"/>
          <w:szCs w:val="24"/>
          <w:u w:val="none"/>
        </w:rPr>
        <w:t>招标文件修改的规定。</w:t>
      </w:r>
    </w:p>
    <w:p w14:paraId="0DE742B3">
      <w:pPr>
        <w:pStyle w:val="15"/>
        <w:tabs>
          <w:tab w:val="center" w:pos="4422"/>
        </w:tabs>
        <w:adjustRightInd w:val="0"/>
        <w:snapToGrid w:val="0"/>
        <w:spacing w:line="420" w:lineRule="exact"/>
        <w:rPr>
          <w:rFonts w:hAnsi="宋体" w:cs="宋体"/>
          <w:b/>
          <w:sz w:val="24"/>
          <w:szCs w:val="24"/>
          <w:u w:val="none"/>
        </w:rPr>
      </w:pPr>
      <w:r>
        <w:rPr>
          <w:rFonts w:hint="eastAsia" w:hAnsi="宋体" w:cs="宋体"/>
          <w:b/>
          <w:sz w:val="24"/>
          <w:szCs w:val="24"/>
          <w:u w:val="none"/>
        </w:rPr>
        <w:t>8.偏离</w:t>
      </w:r>
    </w:p>
    <w:p w14:paraId="1CAB5CFC">
      <w:pPr>
        <w:pStyle w:val="15"/>
        <w:adjustRightInd w:val="0"/>
        <w:snapToGrid w:val="0"/>
        <w:spacing w:line="420" w:lineRule="exact"/>
        <w:ind w:firstLine="480" w:firstLineChars="200"/>
        <w:rPr>
          <w:rFonts w:hAnsi="宋体" w:cs="宋体"/>
          <w:sz w:val="24"/>
          <w:szCs w:val="24"/>
          <w:u w:val="none"/>
        </w:rPr>
      </w:pPr>
      <w:r>
        <w:rPr>
          <w:rFonts w:hint="eastAsia" w:hAnsi="宋体" w:cs="宋体"/>
          <w:sz w:val="24"/>
          <w:szCs w:val="24"/>
          <w:u w:val="none"/>
        </w:rPr>
        <w:t>8.1本条所称偏离为投标文件对招标文件的偏离，即不满足、或不响应招标文件的要求。偏离分为对招标文件的实质性要求条款偏离和对招标文件的一般商务和技术条款（参数）偏离。</w:t>
      </w:r>
    </w:p>
    <w:p w14:paraId="05FCF6F4">
      <w:pPr>
        <w:pStyle w:val="15"/>
        <w:adjustRightInd w:val="0"/>
        <w:snapToGrid w:val="0"/>
        <w:spacing w:line="420" w:lineRule="exact"/>
        <w:ind w:firstLine="480" w:firstLineChars="200"/>
        <w:rPr>
          <w:rFonts w:hAnsi="宋体" w:cs="宋体"/>
          <w:sz w:val="24"/>
          <w:szCs w:val="24"/>
          <w:u w:val="none"/>
        </w:rPr>
      </w:pPr>
      <w:r>
        <w:rPr>
          <w:rFonts w:hint="eastAsia" w:hAnsi="宋体" w:cs="宋体"/>
          <w:sz w:val="24"/>
          <w:szCs w:val="24"/>
          <w:u w:val="none"/>
        </w:rPr>
        <w:t>8.2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14:paraId="20AA2175">
      <w:pPr>
        <w:tabs>
          <w:tab w:val="left" w:pos="0"/>
        </w:tabs>
        <w:adjustRightInd w:val="0"/>
        <w:snapToGrid w:val="0"/>
        <w:spacing w:line="420" w:lineRule="exact"/>
        <w:ind w:firstLine="480" w:firstLineChars="200"/>
        <w:rPr>
          <w:rFonts w:ascii="宋体" w:hAnsi="宋体" w:cs="宋体"/>
          <w:b/>
          <w:sz w:val="24"/>
          <w:szCs w:val="24"/>
          <w:highlight w:val="red"/>
          <w:u w:val="none"/>
        </w:rPr>
      </w:pPr>
      <w:r>
        <w:rPr>
          <w:rFonts w:hint="eastAsia" w:ascii="宋体" w:hAnsi="宋体" w:cs="宋体"/>
          <w:sz w:val="24"/>
          <w:szCs w:val="24"/>
          <w:u w:val="none"/>
        </w:rPr>
        <w:t>8.3第二章“招标文件前附表”中“采购合同格式条款（前附表）”和第</w:t>
      </w:r>
      <w:r>
        <w:rPr>
          <w:rFonts w:hint="eastAsia" w:ascii="宋体" w:hAnsi="宋体" w:cs="宋体"/>
          <w:sz w:val="24"/>
          <w:szCs w:val="24"/>
          <w:u w:val="none"/>
          <w:lang w:eastAsia="zh-CN"/>
        </w:rPr>
        <w:t>三</w:t>
      </w:r>
      <w:r>
        <w:rPr>
          <w:rFonts w:hint="eastAsia" w:ascii="宋体" w:hAnsi="宋体" w:cs="宋体"/>
          <w:sz w:val="24"/>
          <w:szCs w:val="24"/>
          <w:u w:val="none"/>
        </w:rPr>
        <w:t>章“采购需求”中的一般商务和技术条款，在超出允许偏离的条款数（最高项数）时，在评标时将其视为无效投标。前述章节中一般商务和技术条款允许偏离的最高项数见</w:t>
      </w:r>
      <w:r>
        <w:rPr>
          <w:rFonts w:hint="eastAsia" w:ascii="宋体" w:hAnsi="宋体" w:cs="宋体"/>
          <w:b/>
          <w:sz w:val="24"/>
          <w:szCs w:val="24"/>
          <w:u w:val="none"/>
        </w:rPr>
        <w:t>招标文件前附表。</w:t>
      </w:r>
    </w:p>
    <w:p w14:paraId="192D9365">
      <w:pPr>
        <w:adjustRightInd w:val="0"/>
        <w:snapToGrid w:val="0"/>
        <w:spacing w:line="420" w:lineRule="exact"/>
        <w:rPr>
          <w:rFonts w:ascii="宋体" w:hAnsi="宋体" w:cs="宋体"/>
          <w:b/>
          <w:sz w:val="24"/>
          <w:szCs w:val="24"/>
          <w:u w:val="none"/>
        </w:rPr>
      </w:pPr>
      <w:r>
        <w:rPr>
          <w:rFonts w:hint="eastAsia" w:ascii="宋体" w:hAnsi="宋体" w:cs="宋体"/>
          <w:b/>
          <w:sz w:val="24"/>
          <w:szCs w:val="24"/>
          <w:u w:val="none"/>
        </w:rPr>
        <w:t>9.招标文件的澄清与修改</w:t>
      </w:r>
    </w:p>
    <w:p w14:paraId="00CC55C7">
      <w:pPr>
        <w:autoSpaceDE w:val="0"/>
        <w:autoSpaceDN w:val="0"/>
        <w:adjustRightInd w:val="0"/>
        <w:snapToGrid w:val="0"/>
        <w:spacing w:line="420" w:lineRule="exact"/>
        <w:jc w:val="left"/>
        <w:rPr>
          <w:rFonts w:ascii="宋体" w:hAnsi="宋体" w:cs="宋体"/>
          <w:b/>
          <w:bCs/>
          <w:sz w:val="24"/>
          <w:szCs w:val="24"/>
          <w:u w:val="none"/>
        </w:rPr>
      </w:pPr>
      <w:r>
        <w:rPr>
          <w:rFonts w:hint="eastAsia" w:ascii="宋体" w:hAnsi="宋体" w:cs="宋体"/>
          <w:sz w:val="24"/>
          <w:szCs w:val="24"/>
          <w:u w:val="none"/>
        </w:rPr>
        <w:t xml:space="preserve">   9.1 投标人应仔细阅读和检查招标文件的全部内容。如发现缺页或附件不全，应及时向采购人提出，以便补齐。如有疑问，应在投标截止时间15天前通过平台向采购人提出；未在规定时间内提出异议的，视为对招标文件无异议。招标文件的澄清将在投标截止时间15天前在平台发布，澄清文件一经在平台发布，视作已发给所有投标人，各投标人应随时关注报名项目信息，及时</w:t>
      </w:r>
      <w:r>
        <w:rPr>
          <w:rFonts w:hint="eastAsia" w:ascii="宋体" w:hAnsi="宋体" w:cs="宋体"/>
          <w:sz w:val="24"/>
          <w:szCs w:val="24"/>
          <w:u w:val="none"/>
          <w:lang w:eastAsia="zh-CN"/>
        </w:rPr>
        <w:t>登录</w:t>
      </w:r>
      <w:r>
        <w:rPr>
          <w:rFonts w:hint="eastAsia" w:ascii="宋体" w:hAnsi="宋体" w:cs="宋体"/>
          <w:sz w:val="24"/>
          <w:szCs w:val="24"/>
          <w:u w:val="none"/>
        </w:rPr>
        <w:t xml:space="preserve">平台下载相关文件，否则所造成的一切后果由投标人自行承担。 </w:t>
      </w:r>
      <w:r>
        <w:rPr>
          <w:rFonts w:hint="eastAsia" w:ascii="宋体" w:hAnsi="宋体" w:cs="宋体"/>
          <w:sz w:val="24"/>
          <w:szCs w:val="24"/>
          <w:u w:val="none"/>
        </w:rPr>
        <w:cr/>
      </w:r>
      <w:r>
        <w:rPr>
          <w:rFonts w:hint="eastAsia" w:ascii="宋体" w:hAnsi="宋体" w:cs="宋体"/>
          <w:b/>
          <w:sz w:val="24"/>
          <w:szCs w:val="24"/>
          <w:u w:val="none"/>
        </w:rPr>
        <w:t xml:space="preserve">   9.2 </w:t>
      </w:r>
      <w:r>
        <w:rPr>
          <w:rFonts w:hint="eastAsia" w:ascii="宋体" w:hAnsi="宋体" w:cs="宋体"/>
          <w:sz w:val="24"/>
          <w:szCs w:val="24"/>
          <w:u w:val="none"/>
        </w:rPr>
        <w:t xml:space="preserve">招标文件的澄清将在投标截止时间15天前在平台发布。但不指明澄清问题的来源。如果澄清通知发出的时间距投标截止时间不足15天，投标截止时间应相应延长。 </w:t>
      </w:r>
    </w:p>
    <w:p w14:paraId="505858F1">
      <w:pPr>
        <w:adjustRightInd w:val="0"/>
        <w:snapToGrid w:val="0"/>
        <w:spacing w:line="420" w:lineRule="exact"/>
        <w:rPr>
          <w:rFonts w:ascii="宋体" w:hAnsi="宋体" w:cs="宋体"/>
          <w:b/>
          <w:bCs/>
          <w:sz w:val="24"/>
          <w:szCs w:val="24"/>
          <w:u w:val="none"/>
        </w:rPr>
      </w:pPr>
      <w:r>
        <w:rPr>
          <w:rFonts w:hint="eastAsia" w:ascii="宋体" w:hAnsi="宋体" w:cs="宋体"/>
          <w:b/>
          <w:bCs/>
          <w:sz w:val="24"/>
          <w:szCs w:val="24"/>
          <w:u w:val="none"/>
        </w:rPr>
        <w:t>10.</w:t>
      </w:r>
      <w:r>
        <w:rPr>
          <w:rFonts w:hint="eastAsia" w:ascii="宋体" w:hAnsi="宋体" w:cs="宋体"/>
          <w:b/>
          <w:sz w:val="24"/>
          <w:szCs w:val="24"/>
          <w:u w:val="none"/>
        </w:rPr>
        <w:t>延长投标截止时间和开标时间</w:t>
      </w:r>
    </w:p>
    <w:p w14:paraId="2A6158E3">
      <w:pPr>
        <w:autoSpaceDE w:val="0"/>
        <w:autoSpaceDN w:val="0"/>
        <w:adjustRightInd w:val="0"/>
        <w:snapToGrid w:val="0"/>
        <w:spacing w:line="42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10.1</w:t>
      </w:r>
      <w:r>
        <w:rPr>
          <w:rFonts w:hint="eastAsia" w:ascii="宋体" w:hAnsi="宋体" w:cs="宋体"/>
          <w:sz w:val="24"/>
          <w:szCs w:val="24"/>
          <w:u w:val="none"/>
        </w:rPr>
        <w:t>采购代理机构可以视采购具体情况，延长投标截止时间和开标时间，但应当在本章</w:t>
      </w:r>
      <w:r>
        <w:rPr>
          <w:rFonts w:hint="eastAsia" w:ascii="宋体" w:hAnsi="宋体" w:cs="宋体"/>
          <w:kern w:val="0"/>
          <w:sz w:val="24"/>
          <w:szCs w:val="24"/>
          <w:u w:val="none"/>
        </w:rPr>
        <w:t>规定的</w:t>
      </w:r>
      <w:r>
        <w:rPr>
          <w:rFonts w:hint="eastAsia" w:ascii="宋体" w:hAnsi="宋体" w:cs="宋体"/>
          <w:sz w:val="24"/>
          <w:szCs w:val="24"/>
          <w:u w:val="none"/>
        </w:rPr>
        <w:t>提交投标文件的截止时间</w:t>
      </w:r>
      <w:r>
        <w:rPr>
          <w:rFonts w:hint="eastAsia" w:ascii="宋体" w:hAnsi="宋体" w:cs="宋体"/>
          <w:b/>
          <w:bCs/>
          <w:sz w:val="24"/>
          <w:szCs w:val="24"/>
          <w:u w:val="none"/>
        </w:rPr>
        <w:t>三日</w:t>
      </w:r>
      <w:r>
        <w:rPr>
          <w:rFonts w:hint="eastAsia" w:ascii="宋体" w:hAnsi="宋体" w:cs="宋体"/>
          <w:sz w:val="24"/>
          <w:szCs w:val="24"/>
          <w:u w:val="none"/>
        </w:rPr>
        <w:t>前，将变更时间在平台发布，一经在平台发布，视作已发给所有投标人。</w:t>
      </w:r>
    </w:p>
    <w:p w14:paraId="13BDD881">
      <w:pPr>
        <w:adjustRightInd w:val="0"/>
        <w:snapToGrid w:val="0"/>
        <w:spacing w:line="420" w:lineRule="exact"/>
        <w:jc w:val="left"/>
        <w:rPr>
          <w:rFonts w:ascii="宋体" w:hAnsi="宋体" w:cs="宋体"/>
          <w:b/>
          <w:sz w:val="24"/>
          <w:szCs w:val="24"/>
          <w:u w:val="none"/>
        </w:rPr>
      </w:pPr>
      <w:r>
        <w:rPr>
          <w:rFonts w:hint="eastAsia" w:ascii="宋体" w:hAnsi="宋体" w:cs="宋体"/>
          <w:b/>
          <w:sz w:val="24"/>
          <w:szCs w:val="24"/>
          <w:u w:val="none"/>
        </w:rPr>
        <w:t>三、投标文件</w:t>
      </w:r>
    </w:p>
    <w:p w14:paraId="322C6AE3">
      <w:pPr>
        <w:adjustRightInd w:val="0"/>
        <w:snapToGrid w:val="0"/>
        <w:spacing w:line="420" w:lineRule="exact"/>
        <w:jc w:val="left"/>
        <w:rPr>
          <w:rFonts w:ascii="宋体" w:hAnsi="宋体" w:cs="宋体"/>
          <w:b/>
          <w:bCs/>
          <w:sz w:val="24"/>
          <w:szCs w:val="24"/>
          <w:u w:val="none"/>
        </w:rPr>
      </w:pPr>
      <w:r>
        <w:rPr>
          <w:rFonts w:hint="eastAsia" w:ascii="宋体" w:hAnsi="宋体" w:cs="宋体"/>
          <w:b/>
          <w:bCs/>
          <w:sz w:val="24"/>
          <w:szCs w:val="24"/>
          <w:u w:val="none"/>
        </w:rPr>
        <w:t>11.投标语言</w:t>
      </w:r>
    </w:p>
    <w:p w14:paraId="26166284">
      <w:pPr>
        <w:adjustRightInd w:val="0"/>
        <w:snapToGrid w:val="0"/>
        <w:spacing w:line="420" w:lineRule="exact"/>
        <w:ind w:firstLine="480" w:firstLineChars="200"/>
        <w:jc w:val="left"/>
        <w:rPr>
          <w:rFonts w:ascii="宋体" w:hAnsi="宋体" w:cs="宋体"/>
          <w:sz w:val="24"/>
          <w:szCs w:val="24"/>
          <w:u w:val="none"/>
        </w:rPr>
      </w:pPr>
      <w:r>
        <w:rPr>
          <w:rFonts w:hint="eastAsia" w:ascii="宋体" w:hAnsi="宋体" w:cs="宋体"/>
          <w:sz w:val="24"/>
          <w:szCs w:val="24"/>
          <w:u w:val="none"/>
        </w:rPr>
        <w:t>11.1投标人提交的投标文件及投标人与采购代理机构就有关投标的所有来往函电均使用中文。投标人可以提交</w:t>
      </w:r>
      <w:r>
        <w:rPr>
          <w:rFonts w:hint="eastAsia" w:ascii="宋体" w:hAnsi="宋体" w:cs="宋体"/>
          <w:sz w:val="24"/>
          <w:szCs w:val="24"/>
          <w:u w:val="none"/>
          <w:lang w:eastAsia="zh-CN"/>
        </w:rPr>
        <w:t>其他语言</w:t>
      </w:r>
      <w:r>
        <w:rPr>
          <w:rFonts w:hint="eastAsia" w:ascii="宋体" w:hAnsi="宋体" w:cs="宋体"/>
          <w:sz w:val="24"/>
          <w:szCs w:val="24"/>
          <w:u w:val="none"/>
        </w:rPr>
        <w:t>的资料，但应附有中文注释，有差异时以中文为准。</w:t>
      </w:r>
    </w:p>
    <w:p w14:paraId="73038FD7">
      <w:pPr>
        <w:adjustRightInd w:val="0"/>
        <w:snapToGrid w:val="0"/>
        <w:spacing w:line="420" w:lineRule="exact"/>
        <w:jc w:val="left"/>
        <w:rPr>
          <w:rFonts w:ascii="宋体" w:hAnsi="宋体" w:cs="宋体"/>
          <w:b/>
          <w:sz w:val="24"/>
          <w:szCs w:val="24"/>
          <w:u w:val="none"/>
        </w:rPr>
      </w:pPr>
      <w:r>
        <w:rPr>
          <w:rFonts w:hint="eastAsia" w:ascii="宋体" w:hAnsi="宋体" w:cs="宋体"/>
          <w:b/>
          <w:sz w:val="24"/>
          <w:szCs w:val="24"/>
          <w:u w:val="none"/>
        </w:rPr>
        <w:t>12.计量单位</w:t>
      </w:r>
    </w:p>
    <w:p w14:paraId="66F4442E">
      <w:pPr>
        <w:adjustRightInd w:val="0"/>
        <w:snapToGrid w:val="0"/>
        <w:spacing w:line="420" w:lineRule="exact"/>
        <w:ind w:firstLine="480" w:firstLineChars="200"/>
        <w:jc w:val="left"/>
        <w:rPr>
          <w:rFonts w:ascii="宋体" w:hAnsi="宋体" w:cs="宋体"/>
          <w:sz w:val="24"/>
          <w:szCs w:val="24"/>
          <w:u w:val="none"/>
        </w:rPr>
      </w:pPr>
      <w:r>
        <w:rPr>
          <w:rFonts w:hint="eastAsia" w:ascii="宋体" w:hAnsi="宋体" w:cs="宋体"/>
          <w:sz w:val="24"/>
          <w:szCs w:val="24"/>
          <w:u w:val="none"/>
        </w:rPr>
        <w:t>12.1所有计量均采用中华人民共和国法定计量单位。</w:t>
      </w:r>
    </w:p>
    <w:p w14:paraId="22A9E234">
      <w:pPr>
        <w:adjustRightInd w:val="0"/>
        <w:snapToGrid w:val="0"/>
        <w:spacing w:line="420" w:lineRule="exact"/>
        <w:jc w:val="left"/>
        <w:rPr>
          <w:rFonts w:ascii="宋体" w:hAnsi="宋体" w:cs="宋体"/>
          <w:b/>
          <w:bCs/>
          <w:sz w:val="24"/>
          <w:szCs w:val="24"/>
          <w:u w:val="none"/>
        </w:rPr>
      </w:pPr>
      <w:r>
        <w:rPr>
          <w:rFonts w:hint="eastAsia" w:ascii="宋体" w:hAnsi="宋体" w:cs="宋体"/>
          <w:b/>
          <w:bCs/>
          <w:sz w:val="24"/>
          <w:szCs w:val="24"/>
          <w:u w:val="none"/>
        </w:rPr>
        <w:t>13.投标文件的组成及相关要求</w:t>
      </w:r>
    </w:p>
    <w:p w14:paraId="3AEDF564">
      <w:pPr>
        <w:spacing w:line="500" w:lineRule="exact"/>
        <w:ind w:firstLine="480" w:firstLineChars="200"/>
        <w:jc w:val="left"/>
        <w:rPr>
          <w:rFonts w:ascii="宋体" w:hAnsi="宋体" w:cs="宋体"/>
          <w:sz w:val="24"/>
          <w:szCs w:val="24"/>
          <w:u w:val="none"/>
        </w:rPr>
      </w:pPr>
      <w:r>
        <w:rPr>
          <w:rFonts w:hint="eastAsia" w:ascii="宋体" w:hAnsi="宋体" w:cs="宋体"/>
          <w:sz w:val="24"/>
          <w:szCs w:val="24"/>
          <w:u w:val="none"/>
        </w:rPr>
        <w:t>13.1投标文件分为资格审查部分、报价部分、商务及技术部分。</w:t>
      </w:r>
    </w:p>
    <w:p w14:paraId="0EB68AA5">
      <w:pPr>
        <w:spacing w:line="500" w:lineRule="exact"/>
        <w:ind w:firstLine="482" w:firstLineChars="200"/>
        <w:jc w:val="left"/>
        <w:rPr>
          <w:rFonts w:ascii="宋体" w:hAnsi="宋体" w:cs="宋体"/>
          <w:b/>
          <w:sz w:val="24"/>
          <w:szCs w:val="24"/>
          <w:u w:val="none"/>
        </w:rPr>
      </w:pPr>
      <w:r>
        <w:rPr>
          <w:rFonts w:hint="eastAsia" w:ascii="宋体" w:hAnsi="宋体" w:cs="宋体"/>
          <w:b/>
          <w:sz w:val="24"/>
          <w:szCs w:val="24"/>
          <w:u w:val="none"/>
        </w:rPr>
        <w:t>投标人通过投标客户端编制完投标文件后，使用企业CA数字证书对投标文件进行</w:t>
      </w:r>
      <w:r>
        <w:rPr>
          <w:rFonts w:hint="eastAsia" w:ascii="宋体" w:hAnsi="宋体" w:cs="宋体"/>
          <w:b/>
          <w:sz w:val="24"/>
          <w:szCs w:val="24"/>
          <w:u w:val="none"/>
          <w:lang w:val="en-US" w:eastAsia="zh-CN"/>
        </w:rPr>
        <w:t>签章和</w:t>
      </w:r>
      <w:r>
        <w:rPr>
          <w:rFonts w:hint="eastAsia" w:ascii="宋体" w:hAnsi="宋体" w:cs="宋体"/>
          <w:b/>
          <w:sz w:val="24"/>
          <w:szCs w:val="24"/>
          <w:u w:val="none"/>
        </w:rPr>
        <w:t>加密，生成加密后的投标文件，在开标时再进行解密（加密、解密必须使用同一CA数字证书）。</w:t>
      </w:r>
    </w:p>
    <w:p w14:paraId="30E67A28">
      <w:pPr>
        <w:spacing w:line="500" w:lineRule="exact"/>
        <w:ind w:firstLine="480" w:firstLineChars="200"/>
        <w:jc w:val="left"/>
        <w:rPr>
          <w:rFonts w:ascii="宋体" w:hAnsi="宋体" w:cs="宋体"/>
          <w:sz w:val="24"/>
          <w:szCs w:val="24"/>
          <w:u w:val="none"/>
        </w:rPr>
      </w:pPr>
      <w:r>
        <w:rPr>
          <w:rFonts w:hint="eastAsia" w:ascii="宋体" w:hAnsi="宋体" w:cs="宋体"/>
          <w:sz w:val="24"/>
          <w:szCs w:val="24"/>
          <w:u w:val="none"/>
        </w:rPr>
        <w:t>商务部分指投标人提交的证明其有资格参加投标和中标后有能力履行合同的文件。</w:t>
      </w:r>
    </w:p>
    <w:p w14:paraId="43B1BADD">
      <w:pPr>
        <w:spacing w:line="500" w:lineRule="exact"/>
        <w:ind w:firstLine="480" w:firstLineChars="200"/>
        <w:jc w:val="left"/>
        <w:rPr>
          <w:rFonts w:ascii="宋体" w:hAnsi="宋体" w:cs="宋体"/>
          <w:sz w:val="24"/>
          <w:szCs w:val="24"/>
          <w:u w:val="none"/>
        </w:rPr>
      </w:pPr>
      <w:r>
        <w:rPr>
          <w:rFonts w:hint="eastAsia" w:ascii="宋体" w:hAnsi="宋体" w:cs="宋体"/>
          <w:sz w:val="24"/>
          <w:szCs w:val="24"/>
          <w:u w:val="none"/>
        </w:rPr>
        <w:t>技术部分指投标人提交的能够证明投标人提供的服务符合招标文件规定的文件。</w:t>
      </w:r>
    </w:p>
    <w:p w14:paraId="39E9B91B">
      <w:pPr>
        <w:widowControl/>
        <w:tabs>
          <w:tab w:val="left" w:pos="0"/>
        </w:tabs>
        <w:snapToGrid w:val="0"/>
        <w:spacing w:line="420" w:lineRule="exact"/>
        <w:ind w:firstLine="624"/>
        <w:jc w:val="left"/>
        <w:rPr>
          <w:rFonts w:hint="eastAsia" w:ascii="宋体" w:hAnsi="宋体" w:eastAsia="宋体" w:cs="宋体"/>
          <w:bCs/>
          <w:sz w:val="24"/>
          <w:szCs w:val="24"/>
          <w:u w:val="none"/>
        </w:rPr>
      </w:pPr>
      <w:r>
        <w:rPr>
          <w:rFonts w:hint="eastAsia" w:ascii="宋体" w:hAnsi="宋体" w:eastAsia="宋体" w:cs="宋体"/>
          <w:bCs/>
          <w:sz w:val="24"/>
          <w:szCs w:val="24"/>
          <w:u w:val="none"/>
        </w:rPr>
        <w:t>本次招标，投标人应按本招标文件要求提交资格、报价、商务、技术部分内容和需要投标人自行编写的其他文件，其中加*项目若有缺失或无效，将导致投标被拒绝。（具体填写要求及格式详见招标文件第六章）。</w:t>
      </w:r>
    </w:p>
    <w:p w14:paraId="38009BD7">
      <w:pPr>
        <w:widowControl/>
        <w:tabs>
          <w:tab w:val="left" w:pos="0"/>
        </w:tabs>
        <w:snapToGrid w:val="0"/>
        <w:spacing w:line="420" w:lineRule="exact"/>
        <w:ind w:firstLine="624"/>
        <w:jc w:val="left"/>
        <w:rPr>
          <w:rFonts w:hint="default" w:ascii="宋体" w:hAnsi="宋体" w:eastAsia="宋体" w:cs="宋体"/>
          <w:bCs/>
          <w:sz w:val="24"/>
          <w:szCs w:val="24"/>
          <w:u w:val="none"/>
          <w:lang w:val="en-US" w:eastAsia="zh-CN"/>
        </w:rPr>
      </w:pPr>
      <w:r>
        <w:rPr>
          <w:rFonts w:hint="eastAsia" w:ascii="宋体" w:hAnsi="宋体" w:eastAsia="宋体" w:cs="宋体"/>
          <w:bCs/>
          <w:sz w:val="24"/>
          <w:szCs w:val="24"/>
          <w:u w:val="none"/>
        </w:rPr>
        <w:t>13.2投标文件要求内容及编排顺序见</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rPr>
        <w:t>招标文件第六章</w:t>
      </w:r>
      <w:r>
        <w:rPr>
          <w:rFonts w:hint="eastAsia" w:ascii="宋体" w:hAnsi="宋体" w:eastAsia="宋体" w:cs="宋体"/>
          <w:bCs/>
          <w:sz w:val="24"/>
          <w:szCs w:val="24"/>
          <w:u w:val="none"/>
          <w:lang w:eastAsia="zh-CN"/>
        </w:rPr>
        <w:t>”要求</w:t>
      </w:r>
    </w:p>
    <w:p w14:paraId="4B7EDDD9">
      <w:pPr>
        <w:widowControl/>
        <w:tabs>
          <w:tab w:val="left" w:pos="0"/>
        </w:tabs>
        <w:snapToGrid w:val="0"/>
        <w:spacing w:line="420" w:lineRule="exact"/>
        <w:ind w:firstLine="624"/>
        <w:jc w:val="left"/>
        <w:rPr>
          <w:rFonts w:ascii="宋体" w:hAnsi="宋体" w:cs="宋体"/>
          <w:bCs/>
          <w:kern w:val="0"/>
          <w:sz w:val="24"/>
          <w:szCs w:val="24"/>
          <w:u w:val="none"/>
        </w:rPr>
      </w:pPr>
      <w:r>
        <w:rPr>
          <w:rFonts w:hint="eastAsia" w:ascii="宋体" w:hAnsi="宋体" w:cs="宋体"/>
          <w:bCs/>
          <w:sz w:val="24"/>
          <w:szCs w:val="24"/>
          <w:u w:val="none"/>
        </w:rPr>
        <w:t>13.3</w:t>
      </w:r>
      <w:r>
        <w:rPr>
          <w:rFonts w:hint="eastAsia" w:ascii="宋体" w:hAnsi="宋体" w:cs="宋体"/>
          <w:bCs/>
          <w:kern w:val="0"/>
          <w:sz w:val="24"/>
          <w:szCs w:val="24"/>
          <w:u w:val="none"/>
        </w:rPr>
        <w:t>投标内容填写说明</w:t>
      </w:r>
    </w:p>
    <w:p w14:paraId="2883E093">
      <w:pPr>
        <w:widowControl/>
        <w:tabs>
          <w:tab w:val="left" w:pos="567"/>
        </w:tabs>
        <w:snapToGrid w:val="0"/>
        <w:spacing w:line="420" w:lineRule="exact"/>
        <w:ind w:firstLine="624"/>
        <w:jc w:val="left"/>
        <w:rPr>
          <w:rFonts w:ascii="宋体" w:hAnsi="宋体" w:cs="宋体"/>
          <w:bCs/>
          <w:kern w:val="0"/>
          <w:sz w:val="24"/>
          <w:szCs w:val="24"/>
          <w:u w:val="none"/>
        </w:rPr>
      </w:pPr>
      <w:r>
        <w:rPr>
          <w:rFonts w:hint="eastAsia" w:ascii="宋体" w:hAnsi="宋体" w:cs="宋体"/>
          <w:bCs/>
          <w:sz w:val="24"/>
          <w:szCs w:val="24"/>
          <w:u w:val="none"/>
        </w:rPr>
        <w:t>（1）</w:t>
      </w:r>
      <w:r>
        <w:rPr>
          <w:rFonts w:hint="eastAsia" w:ascii="宋体" w:hAnsi="宋体" w:cs="宋体"/>
          <w:bCs/>
          <w:kern w:val="0"/>
          <w:sz w:val="24"/>
          <w:szCs w:val="24"/>
          <w:u w:val="none"/>
        </w:rPr>
        <w:t>投标人应详细阅读招标文件的全部内容。投标文件须对招标文件中的内容做出实质性和完整性的响应。</w:t>
      </w:r>
    </w:p>
    <w:p w14:paraId="116B56EC">
      <w:pPr>
        <w:widowControl/>
        <w:tabs>
          <w:tab w:val="left" w:pos="567"/>
        </w:tabs>
        <w:snapToGrid w:val="0"/>
        <w:spacing w:line="420" w:lineRule="exact"/>
        <w:ind w:firstLine="624"/>
        <w:jc w:val="left"/>
        <w:rPr>
          <w:rFonts w:ascii="宋体" w:hAnsi="宋体" w:cs="宋体"/>
          <w:bCs/>
          <w:kern w:val="0"/>
          <w:sz w:val="24"/>
          <w:szCs w:val="24"/>
          <w:u w:val="none"/>
        </w:rPr>
      </w:pPr>
      <w:r>
        <w:rPr>
          <w:rFonts w:hint="eastAsia" w:ascii="宋体" w:hAnsi="宋体" w:cs="宋体"/>
          <w:bCs/>
          <w:sz w:val="24"/>
          <w:szCs w:val="24"/>
          <w:u w:val="none"/>
        </w:rPr>
        <w:t>（2）</w:t>
      </w:r>
      <w:r>
        <w:rPr>
          <w:rFonts w:hint="eastAsia" w:ascii="宋体" w:hAnsi="宋体" w:cs="宋体"/>
          <w:bCs/>
          <w:kern w:val="0"/>
          <w:sz w:val="24"/>
          <w:szCs w:val="24"/>
          <w:u w:val="none"/>
        </w:rPr>
        <w:t>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22E952D0">
      <w:pPr>
        <w:adjustRightInd w:val="0"/>
        <w:snapToGrid w:val="0"/>
        <w:spacing w:line="420" w:lineRule="exact"/>
        <w:ind w:firstLine="480" w:firstLineChars="200"/>
        <w:jc w:val="left"/>
        <w:rPr>
          <w:rFonts w:ascii="宋体" w:hAnsi="宋体" w:cs="宋体"/>
          <w:bCs/>
          <w:sz w:val="24"/>
          <w:szCs w:val="24"/>
          <w:u w:val="none"/>
        </w:rPr>
      </w:pPr>
      <w:r>
        <w:rPr>
          <w:rFonts w:hint="eastAsia" w:ascii="宋体" w:hAnsi="宋体" w:cs="宋体"/>
          <w:bCs/>
          <w:sz w:val="24"/>
          <w:szCs w:val="24"/>
          <w:u w:val="none"/>
        </w:rPr>
        <w:t>（3）投标文件内容及题目的编排顺序和编号按本章第13.1</w:t>
      </w:r>
      <w:r>
        <w:rPr>
          <w:rFonts w:hint="eastAsia" w:ascii="宋体" w:hAnsi="宋体" w:cs="宋体"/>
          <w:bCs/>
          <w:kern w:val="0"/>
          <w:sz w:val="24"/>
          <w:szCs w:val="24"/>
          <w:u w:val="none"/>
          <w:lang w:val="zh-CN"/>
        </w:rPr>
        <w:t>款</w:t>
      </w:r>
      <w:r>
        <w:rPr>
          <w:rFonts w:hint="eastAsia" w:ascii="宋体" w:hAnsi="宋体" w:cs="宋体"/>
          <w:bCs/>
          <w:sz w:val="24"/>
          <w:szCs w:val="24"/>
          <w:u w:val="none"/>
        </w:rPr>
        <w:t>要求的结构，为方便评标，</w:t>
      </w:r>
      <w:r>
        <w:rPr>
          <w:rFonts w:hint="eastAsia" w:ascii="宋体" w:hAnsi="宋体" w:cs="宋体"/>
          <w:bCs/>
          <w:kern w:val="0"/>
          <w:sz w:val="24"/>
          <w:szCs w:val="24"/>
          <w:u w:val="none"/>
        </w:rPr>
        <w:t>按照招标文件第六章格式要求逐项填写；无相应内容可填的项应填写“无”、“/”、“没有相应指标”等明确的回答文字。统一编目录、编页码。投标文件由于编排混乱导致投标文件被误读或查找不到，其责任应当由投标人承担。纸质版文件的装订必须采用胶订形式，不得采用活页装订。</w:t>
      </w:r>
      <w:r>
        <w:rPr>
          <w:rFonts w:hint="eastAsia" w:ascii="宋体" w:hAnsi="宋体" w:cs="宋体"/>
          <w:bCs/>
          <w:kern w:val="0"/>
          <w:sz w:val="24"/>
          <w:szCs w:val="24"/>
          <w:u w:val="none"/>
        </w:rPr>
        <w:tab/>
      </w:r>
    </w:p>
    <w:p w14:paraId="0758E68D">
      <w:pPr>
        <w:widowControl/>
        <w:tabs>
          <w:tab w:val="left" w:pos="567"/>
        </w:tabs>
        <w:snapToGrid w:val="0"/>
        <w:spacing w:line="420" w:lineRule="exact"/>
        <w:jc w:val="left"/>
        <w:rPr>
          <w:rFonts w:ascii="宋体" w:hAnsi="宋体" w:cs="宋体"/>
          <w:kern w:val="0"/>
          <w:sz w:val="24"/>
          <w:szCs w:val="24"/>
          <w:u w:val="none"/>
        </w:rPr>
      </w:pPr>
      <w:r>
        <w:rPr>
          <w:rFonts w:hint="eastAsia" w:ascii="宋体" w:hAnsi="宋体" w:cs="宋体"/>
          <w:bCs/>
          <w:sz w:val="24"/>
          <w:szCs w:val="24"/>
          <w:u w:val="none"/>
        </w:rPr>
        <w:t xml:space="preserve">    （4）</w:t>
      </w:r>
      <w:r>
        <w:rPr>
          <w:rFonts w:hint="eastAsia" w:ascii="宋体" w:hAnsi="宋体" w:cs="宋体"/>
          <w:bCs/>
          <w:kern w:val="0"/>
          <w:sz w:val="24"/>
          <w:szCs w:val="24"/>
          <w:u w:val="none"/>
        </w:rPr>
        <w:t>投标人必须保证投标文件所提供的全部资料真实可靠，并接受评标委员会对其中任何资料进一步审查的要求。</w:t>
      </w:r>
    </w:p>
    <w:p w14:paraId="06B63B0B">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13.4根据《政府采购法》第四十二条的规定，投标人无论中标与否，其投标文件不予退还。</w:t>
      </w:r>
    </w:p>
    <w:p w14:paraId="77C9C53F">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13.5投标人如有投标优惠，涉及价格的，应当直接在开标一览表的投标报价中给出（即投标报价中已包含价格折扣）。</w:t>
      </w:r>
    </w:p>
    <w:p w14:paraId="7BDB866D">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14.投标报价</w:t>
      </w:r>
    </w:p>
    <w:p w14:paraId="192E609F">
      <w:pPr>
        <w:adjustRightInd w:val="0"/>
        <w:snapToGrid w:val="0"/>
        <w:spacing w:line="400" w:lineRule="exact"/>
        <w:ind w:firstLine="480" w:firstLineChars="200"/>
        <w:jc w:val="left"/>
        <w:rPr>
          <w:rFonts w:hint="eastAsia" w:ascii="宋体" w:cs="宋体"/>
          <w:sz w:val="24"/>
          <w:szCs w:val="24"/>
          <w:u w:val="none"/>
        </w:rPr>
      </w:pPr>
      <w:r>
        <w:rPr>
          <w:rFonts w:hint="eastAsia" w:ascii="宋体" w:cs="宋体"/>
          <w:sz w:val="24"/>
          <w:szCs w:val="24"/>
          <w:u w:val="none"/>
        </w:rPr>
        <w:t>14.1 投标人应按招标文件规定的服务要求、责任范围和合同条件，以</w:t>
      </w:r>
      <w:r>
        <w:rPr>
          <w:rFonts w:hint="eastAsia" w:ascii="宋体" w:cs="宋体"/>
          <w:sz w:val="24"/>
          <w:szCs w:val="24"/>
          <w:u w:val="none"/>
          <w:lang w:val="en-US" w:eastAsia="zh-CN"/>
        </w:rPr>
        <w:t>折扣比例</w:t>
      </w:r>
      <w:r>
        <w:rPr>
          <w:rFonts w:hint="eastAsia" w:ascii="宋体" w:cs="宋体"/>
          <w:sz w:val="24"/>
          <w:szCs w:val="24"/>
          <w:u w:val="none"/>
        </w:rPr>
        <w:t>进行报价。</w:t>
      </w:r>
      <w:r>
        <w:rPr>
          <w:rFonts w:hint="eastAsia" w:ascii="宋体" w:cs="宋体"/>
          <w:sz w:val="24"/>
          <w:szCs w:val="24"/>
          <w:u w:val="none"/>
          <w:lang w:val="en-US" w:eastAsia="zh-CN"/>
        </w:rPr>
        <w:tab/>
      </w:r>
      <w:r>
        <w:rPr>
          <w:rFonts w:hint="eastAsia" w:ascii="宋体" w:cs="宋体"/>
          <w:sz w:val="24"/>
          <w:szCs w:val="24"/>
          <w:u w:val="none"/>
        </w:rPr>
        <w:t>折扣比例定义为相对于报价基数的百分比。供应商报价时，应报出正的（＋）百分比，取整数。例如：下浮10%，折扣比例应填写为90%。</w:t>
      </w:r>
    </w:p>
    <w:p w14:paraId="6CCEBA0F">
      <w:pPr>
        <w:tabs>
          <w:tab w:val="left" w:pos="0"/>
          <w:tab w:val="left" w:pos="7560"/>
          <w:tab w:val="left" w:pos="7740"/>
          <w:tab w:val="left" w:pos="7920"/>
        </w:tabs>
        <w:adjustRightInd w:val="0"/>
        <w:snapToGrid w:val="0"/>
        <w:spacing w:line="400" w:lineRule="exact"/>
        <w:ind w:right="17" w:rightChars="8" w:firstLine="480" w:firstLineChars="200"/>
        <w:rPr>
          <w:rFonts w:ascii="宋体" w:cs="宋体"/>
          <w:sz w:val="24"/>
          <w:szCs w:val="24"/>
          <w:u w:val="none"/>
        </w:rPr>
      </w:pPr>
      <w:r>
        <w:rPr>
          <w:rFonts w:hint="eastAsia" w:ascii="宋体" w:cs="宋体"/>
          <w:sz w:val="24"/>
          <w:szCs w:val="24"/>
          <w:u w:val="none"/>
        </w:rPr>
        <w:t>14.2投标人应按开标一览表的内容和格式要求填写各项服务的总价。投标总价中不得包含招标文件要求以外的内容，否则，在评标时不予核减。投标总价中也不得缺漏招标文件所要求的内容，否则，在评标时将其视为无效投标。</w:t>
      </w:r>
    </w:p>
    <w:p w14:paraId="6EB0D37B">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14.3除</w:t>
      </w:r>
      <w:r>
        <w:rPr>
          <w:rFonts w:hint="eastAsia" w:hAnsi="宋体" w:cs="宋体"/>
          <w:b/>
          <w:sz w:val="24"/>
          <w:szCs w:val="24"/>
          <w:u w:val="none"/>
        </w:rPr>
        <w:t>招标文件前附表</w:t>
      </w:r>
      <w:r>
        <w:rPr>
          <w:rFonts w:hint="eastAsia" w:hAnsi="宋体" w:cs="宋体"/>
          <w:sz w:val="24"/>
          <w:szCs w:val="24"/>
          <w:u w:val="none"/>
        </w:rPr>
        <w:t>允许提交备选方案外，投标人只允许有一个报价，不接受选择性报价，否则，在评标时将其视为无效投标。</w:t>
      </w:r>
    </w:p>
    <w:p w14:paraId="711D28FA">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14.</w:t>
      </w:r>
      <w:r>
        <w:rPr>
          <w:rFonts w:hint="eastAsia" w:hAnsi="宋体" w:cs="宋体"/>
          <w:sz w:val="24"/>
          <w:szCs w:val="24"/>
          <w:u w:val="none"/>
          <w:lang w:val="en-US" w:eastAsia="zh-CN"/>
        </w:rPr>
        <w:t>4</w:t>
      </w:r>
      <w:r>
        <w:rPr>
          <w:rFonts w:hint="eastAsia" w:hAnsi="宋体" w:cs="宋体"/>
          <w:sz w:val="24"/>
          <w:szCs w:val="24"/>
          <w:u w:val="none"/>
        </w:rPr>
        <w:t xml:space="preserve"> 投标人的投标报价应当直接在开标一览表的投标报价中</w:t>
      </w:r>
      <w:r>
        <w:rPr>
          <w:rFonts w:hint="eastAsia" w:hAnsi="宋体" w:cs="宋体"/>
          <w:kern w:val="0"/>
          <w:sz w:val="24"/>
          <w:szCs w:val="24"/>
          <w:u w:val="none"/>
        </w:rPr>
        <w:t>显著处注明，只有开标时唱出的报价优惠承诺才会在评标时予以考虑。除报价优惠承诺外，任何超出招标文件要求等其他形式的优惠，在评标时将不作为价格折算的必备条件。</w:t>
      </w:r>
    </w:p>
    <w:p w14:paraId="567B650C">
      <w:pPr>
        <w:pStyle w:val="15"/>
        <w:adjustRightInd w:val="0"/>
        <w:snapToGrid w:val="0"/>
        <w:spacing w:line="400" w:lineRule="exact"/>
        <w:ind w:firstLine="480" w:firstLineChars="200"/>
        <w:jc w:val="left"/>
        <w:rPr>
          <w:rFonts w:hAnsi="宋体" w:cs="宋体"/>
          <w:kern w:val="0"/>
          <w:sz w:val="24"/>
          <w:szCs w:val="24"/>
          <w:u w:val="none"/>
        </w:rPr>
      </w:pPr>
      <w:r>
        <w:rPr>
          <w:rFonts w:hint="eastAsia" w:hAnsi="宋体" w:cs="宋体"/>
          <w:sz w:val="24"/>
          <w:szCs w:val="24"/>
          <w:u w:val="none"/>
        </w:rPr>
        <w:t>14.</w:t>
      </w:r>
      <w:r>
        <w:rPr>
          <w:rFonts w:hint="eastAsia" w:hAnsi="宋体" w:cs="宋体"/>
          <w:sz w:val="24"/>
          <w:szCs w:val="24"/>
          <w:u w:val="none"/>
          <w:lang w:val="en-US" w:eastAsia="zh-CN"/>
        </w:rPr>
        <w:t>5</w:t>
      </w:r>
      <w:r>
        <w:rPr>
          <w:rFonts w:hint="eastAsia" w:hAnsi="宋体" w:cs="宋体"/>
          <w:kern w:val="0"/>
          <w:sz w:val="24"/>
          <w:szCs w:val="24"/>
          <w:u w:val="none"/>
        </w:rPr>
        <w:t>采用综合评标法的，最低报价不能作为中标的保证。</w:t>
      </w:r>
    </w:p>
    <w:p w14:paraId="6C5CD8D1">
      <w:pPr>
        <w:pStyle w:val="15"/>
        <w:adjustRightInd w:val="0"/>
        <w:snapToGrid w:val="0"/>
        <w:spacing w:line="400" w:lineRule="exact"/>
        <w:ind w:firstLine="480" w:firstLineChars="200"/>
        <w:jc w:val="left"/>
        <w:rPr>
          <w:rFonts w:hAnsi="宋体" w:cs="宋体"/>
          <w:kern w:val="0"/>
          <w:sz w:val="24"/>
          <w:szCs w:val="24"/>
          <w:u w:val="none"/>
        </w:rPr>
      </w:pPr>
      <w:r>
        <w:rPr>
          <w:rFonts w:hint="eastAsia" w:hAnsi="宋体" w:cs="宋体"/>
          <w:kern w:val="0"/>
          <w:sz w:val="24"/>
          <w:szCs w:val="24"/>
          <w:u w:val="none"/>
        </w:rPr>
        <w:t>14.</w:t>
      </w:r>
      <w:r>
        <w:rPr>
          <w:rFonts w:hint="eastAsia" w:hAnsi="宋体" w:cs="宋体"/>
          <w:kern w:val="0"/>
          <w:sz w:val="24"/>
          <w:szCs w:val="24"/>
          <w:u w:val="none"/>
          <w:lang w:val="en-US" w:eastAsia="zh-CN"/>
        </w:rPr>
        <w:t>6</w:t>
      </w:r>
      <w:r>
        <w:rPr>
          <w:rFonts w:hint="eastAsia" w:hAnsi="宋体" w:cs="宋体"/>
          <w:kern w:val="0"/>
          <w:sz w:val="24"/>
          <w:szCs w:val="24"/>
          <w:u w:val="none"/>
        </w:rPr>
        <w:t>采购预算金额见投标须知前附表。</w:t>
      </w:r>
    </w:p>
    <w:p w14:paraId="4FA79EC0">
      <w:pPr>
        <w:pStyle w:val="15"/>
        <w:adjustRightInd w:val="0"/>
        <w:snapToGrid w:val="0"/>
        <w:spacing w:line="400" w:lineRule="exact"/>
        <w:ind w:firstLine="480" w:firstLineChars="200"/>
        <w:jc w:val="left"/>
        <w:rPr>
          <w:rFonts w:hAnsi="宋体" w:cs="宋体"/>
          <w:kern w:val="0"/>
          <w:sz w:val="24"/>
          <w:szCs w:val="24"/>
          <w:u w:val="none"/>
        </w:rPr>
      </w:pPr>
      <w:r>
        <w:rPr>
          <w:rFonts w:hint="eastAsia" w:hAnsi="宋体" w:cs="宋体"/>
          <w:kern w:val="0"/>
          <w:sz w:val="24"/>
          <w:szCs w:val="24"/>
          <w:u w:val="none"/>
        </w:rPr>
        <w:t>14.</w:t>
      </w:r>
      <w:r>
        <w:rPr>
          <w:rFonts w:hint="eastAsia" w:hAnsi="宋体" w:cs="宋体"/>
          <w:kern w:val="0"/>
          <w:sz w:val="24"/>
          <w:szCs w:val="24"/>
          <w:u w:val="none"/>
          <w:lang w:val="en-US" w:eastAsia="zh-CN"/>
        </w:rPr>
        <w:t>7</w:t>
      </w:r>
      <w:r>
        <w:rPr>
          <w:rFonts w:hint="eastAsia" w:hAnsi="宋体" w:cs="宋体"/>
          <w:kern w:val="0"/>
          <w:sz w:val="24"/>
          <w:szCs w:val="24"/>
          <w:u w:val="none"/>
        </w:rPr>
        <w:t>最高限价见投标须知前附表。</w:t>
      </w:r>
    </w:p>
    <w:p w14:paraId="5B6DE493">
      <w:pPr>
        <w:pStyle w:val="15"/>
        <w:adjustRightInd w:val="0"/>
        <w:snapToGrid w:val="0"/>
        <w:spacing w:line="400" w:lineRule="exact"/>
        <w:jc w:val="left"/>
        <w:rPr>
          <w:rFonts w:hAnsi="宋体" w:cs="宋体"/>
          <w:b/>
          <w:sz w:val="24"/>
          <w:szCs w:val="24"/>
          <w:u w:val="none"/>
        </w:rPr>
      </w:pPr>
      <w:r>
        <w:rPr>
          <w:rFonts w:hint="eastAsia" w:hAnsi="宋体" w:cs="宋体"/>
          <w:b/>
          <w:sz w:val="24"/>
          <w:szCs w:val="24"/>
          <w:u w:val="none"/>
        </w:rPr>
        <w:t>15.备选方案</w:t>
      </w:r>
    </w:p>
    <w:p w14:paraId="330A4D29">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15.1除本章第14.3</w:t>
      </w:r>
      <w:r>
        <w:rPr>
          <w:rFonts w:hint="eastAsia" w:hAnsi="宋体" w:cs="宋体"/>
          <w:kern w:val="0"/>
          <w:sz w:val="24"/>
          <w:szCs w:val="24"/>
          <w:u w:val="none"/>
          <w:lang w:val="zh-CN"/>
        </w:rPr>
        <w:t>款</w:t>
      </w:r>
      <w:r>
        <w:rPr>
          <w:rFonts w:hint="eastAsia" w:hAnsi="宋体" w:cs="宋体"/>
          <w:sz w:val="24"/>
          <w:szCs w:val="24"/>
          <w:u w:val="none"/>
        </w:rPr>
        <w:t>另有规定外，本采购项目不接受备选方案投标。</w:t>
      </w:r>
    </w:p>
    <w:p w14:paraId="2D150848">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16.投标人的资格证明文件</w:t>
      </w:r>
    </w:p>
    <w:p w14:paraId="5910C43C">
      <w:pPr>
        <w:adjustRightInd w:val="0"/>
        <w:snapToGrid w:val="0"/>
        <w:spacing w:line="400" w:lineRule="exact"/>
        <w:ind w:firstLine="482" w:firstLineChars="200"/>
        <w:jc w:val="left"/>
        <w:rPr>
          <w:rFonts w:ascii="宋体" w:hAnsi="宋体" w:cs="宋体"/>
          <w:b/>
          <w:bCs/>
          <w:sz w:val="24"/>
          <w:szCs w:val="24"/>
          <w:u w:val="none"/>
        </w:rPr>
      </w:pPr>
      <w:r>
        <w:rPr>
          <w:rFonts w:hint="eastAsia" w:ascii="宋体" w:hAnsi="宋体" w:cs="宋体"/>
          <w:b/>
          <w:bCs/>
          <w:sz w:val="24"/>
          <w:szCs w:val="24"/>
          <w:u w:val="none"/>
        </w:rPr>
        <w:t>本项目采用资格后审，开标结束后，由采购人或采购代理机构依法对投标人的</w:t>
      </w:r>
      <w:r>
        <w:rPr>
          <w:rFonts w:hint="eastAsia" w:ascii="宋体" w:hAnsi="宋体" w:cs="宋体"/>
          <w:b/>
          <w:bCs/>
          <w:sz w:val="24"/>
          <w:szCs w:val="24"/>
          <w:u w:val="none"/>
          <w:lang w:val="en-US" w:eastAsia="zh-CN"/>
        </w:rPr>
        <w:t>信用情况及</w:t>
      </w:r>
      <w:r>
        <w:rPr>
          <w:rFonts w:hint="eastAsia" w:ascii="宋体" w:hAnsi="宋体" w:cs="宋体"/>
          <w:b/>
          <w:bCs/>
          <w:sz w:val="24"/>
          <w:szCs w:val="24"/>
          <w:u w:val="none"/>
        </w:rPr>
        <w:t>资格进行审查，</w:t>
      </w:r>
      <w:r>
        <w:rPr>
          <w:rFonts w:hint="eastAsia" w:ascii="宋体" w:hAnsi="宋体" w:cs="宋体"/>
          <w:b/>
          <w:bCs/>
          <w:sz w:val="24"/>
          <w:szCs w:val="24"/>
          <w:u w:val="none"/>
          <w:lang w:val="en-US" w:eastAsia="zh-CN"/>
        </w:rPr>
        <w:t>合格</w:t>
      </w:r>
      <w:r>
        <w:rPr>
          <w:rFonts w:hint="eastAsia" w:ascii="宋体" w:hAnsi="宋体" w:cs="宋体"/>
          <w:b/>
          <w:bCs/>
          <w:sz w:val="24"/>
          <w:szCs w:val="24"/>
          <w:u w:val="none"/>
        </w:rPr>
        <w:t>投标人不足3家的，不得评标。本项目资格审查资料如下：</w:t>
      </w:r>
    </w:p>
    <w:tbl>
      <w:tblPr>
        <w:tblStyle w:val="28"/>
        <w:tblpPr w:leftFromText="180" w:rightFromText="180" w:vertAnchor="text" w:horzAnchor="page" w:tblpXSpec="center" w:tblpY="175"/>
        <w:tblOverlap w:val="never"/>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799"/>
        <w:gridCol w:w="2654"/>
      </w:tblGrid>
      <w:tr w14:paraId="4031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2" w:type="dxa"/>
          </w:tcPr>
          <w:p w14:paraId="02377BA1">
            <w:pPr>
              <w:spacing w:line="400" w:lineRule="exact"/>
              <w:jc w:val="center"/>
              <w:rPr>
                <w:rFonts w:ascii="宋体" w:hAnsi="宋体" w:cs="宋体"/>
                <w:sz w:val="24"/>
                <w:szCs w:val="24"/>
                <w:u w:val="none"/>
              </w:rPr>
            </w:pPr>
            <w:r>
              <w:rPr>
                <w:rFonts w:hint="eastAsia" w:ascii="宋体" w:hAnsi="宋体" w:cs="宋体"/>
                <w:sz w:val="24"/>
                <w:szCs w:val="24"/>
                <w:u w:val="none"/>
              </w:rPr>
              <w:t>序号</w:t>
            </w:r>
          </w:p>
        </w:tc>
        <w:tc>
          <w:tcPr>
            <w:tcW w:w="5799" w:type="dxa"/>
          </w:tcPr>
          <w:p w14:paraId="5767ED1D">
            <w:pPr>
              <w:spacing w:line="400" w:lineRule="exact"/>
              <w:jc w:val="center"/>
              <w:rPr>
                <w:rFonts w:ascii="宋体" w:hAnsi="宋体" w:cs="宋体"/>
                <w:sz w:val="24"/>
                <w:szCs w:val="24"/>
                <w:u w:val="none"/>
              </w:rPr>
            </w:pPr>
            <w:r>
              <w:rPr>
                <w:rFonts w:hint="eastAsia" w:ascii="宋体" w:hAnsi="宋体" w:cs="宋体"/>
                <w:sz w:val="24"/>
                <w:szCs w:val="24"/>
                <w:u w:val="none"/>
              </w:rPr>
              <w:t>评审因素</w:t>
            </w:r>
          </w:p>
        </w:tc>
        <w:tc>
          <w:tcPr>
            <w:tcW w:w="2654" w:type="dxa"/>
            <w:vAlign w:val="center"/>
          </w:tcPr>
          <w:p w14:paraId="7C4ED09B">
            <w:pPr>
              <w:spacing w:line="400" w:lineRule="exact"/>
              <w:jc w:val="center"/>
              <w:rPr>
                <w:rFonts w:ascii="宋体" w:hAnsi="宋体" w:cs="宋体"/>
                <w:sz w:val="24"/>
                <w:szCs w:val="24"/>
                <w:u w:val="none"/>
              </w:rPr>
            </w:pPr>
            <w:r>
              <w:rPr>
                <w:rFonts w:hint="eastAsia" w:ascii="宋体" w:hAnsi="宋体" w:cs="宋体"/>
                <w:sz w:val="24"/>
                <w:szCs w:val="24"/>
                <w:u w:val="none"/>
              </w:rPr>
              <w:t>评审标准</w:t>
            </w:r>
          </w:p>
        </w:tc>
      </w:tr>
      <w:tr w14:paraId="5C75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08AB469A">
            <w:pPr>
              <w:spacing w:line="400" w:lineRule="exact"/>
              <w:jc w:val="center"/>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1</w:t>
            </w:r>
          </w:p>
        </w:tc>
        <w:tc>
          <w:tcPr>
            <w:tcW w:w="5799" w:type="dxa"/>
            <w:vAlign w:val="center"/>
          </w:tcPr>
          <w:p w14:paraId="7DB7F93D">
            <w:pPr>
              <w:rPr>
                <w:rFonts w:hint="eastAsia" w:ascii="宋体" w:hAnsi="宋体" w:cs="宋体"/>
                <w:sz w:val="24"/>
                <w:szCs w:val="24"/>
                <w:u w:val="none"/>
              </w:rPr>
            </w:pPr>
            <w:r>
              <w:rPr>
                <w:rFonts w:hint="eastAsia" w:ascii="宋体" w:hAnsi="宋体" w:cs="宋体"/>
                <w:kern w:val="0"/>
                <w:sz w:val="24"/>
                <w:szCs w:val="24"/>
                <w:u w:val="none"/>
              </w:rPr>
              <w:t>若为</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需提交</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身份证明；若为授权委托代理人需提交</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身份证明及</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授权书</w:t>
            </w:r>
          </w:p>
        </w:tc>
        <w:tc>
          <w:tcPr>
            <w:tcW w:w="2654" w:type="dxa"/>
            <w:vAlign w:val="center"/>
          </w:tcPr>
          <w:p w14:paraId="539C5BD9">
            <w:pPr>
              <w:spacing w:line="400" w:lineRule="exact"/>
              <w:rPr>
                <w:rFonts w:hint="eastAsia" w:ascii="宋体" w:hAnsi="宋体" w:cs="宋体"/>
                <w:sz w:val="24"/>
                <w:szCs w:val="24"/>
                <w:u w:val="none"/>
              </w:rPr>
            </w:pPr>
            <w:r>
              <w:rPr>
                <w:rFonts w:hint="eastAsia" w:ascii="宋体" w:hAnsi="宋体" w:cs="宋体"/>
                <w:sz w:val="24"/>
                <w:szCs w:val="24"/>
                <w:u w:val="none"/>
              </w:rPr>
              <w:t>符合招标文件要求</w:t>
            </w:r>
          </w:p>
        </w:tc>
      </w:tr>
      <w:tr w14:paraId="2FB1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30E38BCC">
            <w:pPr>
              <w:spacing w:line="400" w:lineRule="exact"/>
              <w:jc w:val="center"/>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2</w:t>
            </w:r>
          </w:p>
        </w:tc>
        <w:tc>
          <w:tcPr>
            <w:tcW w:w="5799" w:type="dxa"/>
            <w:vAlign w:val="center"/>
          </w:tcPr>
          <w:p w14:paraId="25BA3468">
            <w:pPr>
              <w:rPr>
                <w:rFonts w:hint="eastAsia" w:ascii="宋体" w:hAnsi="宋体" w:cs="宋体"/>
                <w:sz w:val="24"/>
                <w:szCs w:val="24"/>
                <w:u w:val="none"/>
              </w:rPr>
            </w:pPr>
            <w:r>
              <w:rPr>
                <w:rFonts w:hint="eastAsia" w:ascii="宋体" w:hAnsi="宋体" w:cs="宋体"/>
                <w:kern w:val="0"/>
                <w:sz w:val="24"/>
                <w:szCs w:val="24"/>
                <w:u w:val="none"/>
              </w:rPr>
              <w:t>投标函</w:t>
            </w:r>
          </w:p>
        </w:tc>
        <w:tc>
          <w:tcPr>
            <w:tcW w:w="2654" w:type="dxa"/>
            <w:vAlign w:val="center"/>
          </w:tcPr>
          <w:p w14:paraId="2178A818">
            <w:pPr>
              <w:spacing w:line="400" w:lineRule="exact"/>
              <w:rPr>
                <w:rFonts w:hint="eastAsia" w:ascii="宋体" w:hAnsi="宋体" w:cs="宋体"/>
                <w:sz w:val="24"/>
                <w:szCs w:val="24"/>
                <w:u w:val="none"/>
              </w:rPr>
            </w:pPr>
            <w:r>
              <w:rPr>
                <w:rFonts w:hint="eastAsia" w:ascii="宋体" w:hAnsi="宋体" w:cs="宋体"/>
                <w:sz w:val="24"/>
                <w:szCs w:val="24"/>
                <w:u w:val="none"/>
              </w:rPr>
              <w:t>符合招标文件要求</w:t>
            </w:r>
          </w:p>
        </w:tc>
      </w:tr>
      <w:tr w14:paraId="04AA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314F828D">
            <w:pPr>
              <w:spacing w:line="400" w:lineRule="exact"/>
              <w:jc w:val="center"/>
              <w:rPr>
                <w:rFonts w:hint="eastAsia" w:ascii="宋体" w:hAnsi="宋体" w:eastAsia="宋体" w:cs="宋体"/>
                <w:sz w:val="24"/>
                <w:szCs w:val="24"/>
                <w:u w:val="none"/>
                <w:lang w:eastAsia="zh-CN"/>
              </w:rPr>
            </w:pPr>
            <w:r>
              <w:rPr>
                <w:rFonts w:hint="eastAsia" w:ascii="宋体" w:hAnsi="宋体" w:cs="宋体"/>
                <w:sz w:val="24"/>
                <w:szCs w:val="24"/>
                <w:u w:val="none"/>
                <w:lang w:val="en-US" w:eastAsia="zh-CN"/>
              </w:rPr>
              <w:t>3</w:t>
            </w:r>
          </w:p>
        </w:tc>
        <w:tc>
          <w:tcPr>
            <w:tcW w:w="5799" w:type="dxa"/>
            <w:vAlign w:val="center"/>
          </w:tcPr>
          <w:p w14:paraId="25C0B344">
            <w:pPr>
              <w:rPr>
                <w:rFonts w:ascii="宋体" w:hAnsi="宋体" w:cs="宋体"/>
                <w:kern w:val="0"/>
                <w:sz w:val="24"/>
                <w:szCs w:val="24"/>
                <w:u w:val="none"/>
              </w:rPr>
            </w:pPr>
            <w:r>
              <w:rPr>
                <w:rFonts w:hint="eastAsia" w:ascii="宋体" w:hAnsi="宋体" w:cs="宋体"/>
                <w:sz w:val="24"/>
                <w:szCs w:val="24"/>
                <w:u w:val="none"/>
              </w:rPr>
              <w:t>具有独立承担民事责任的能力</w:t>
            </w:r>
          </w:p>
        </w:tc>
        <w:tc>
          <w:tcPr>
            <w:tcW w:w="2654" w:type="dxa"/>
            <w:vAlign w:val="center"/>
          </w:tcPr>
          <w:p w14:paraId="5A257F6E">
            <w:pPr>
              <w:spacing w:line="400" w:lineRule="exact"/>
              <w:rPr>
                <w:rFonts w:hint="eastAsia" w:ascii="宋体" w:hAnsi="宋体" w:eastAsia="宋体" w:cs="宋体"/>
                <w:sz w:val="24"/>
                <w:szCs w:val="24"/>
                <w:u w:val="none"/>
                <w:lang w:eastAsia="zh-CN"/>
              </w:rPr>
            </w:pPr>
            <w:r>
              <w:rPr>
                <w:rFonts w:hint="eastAsia" w:ascii="宋体" w:hAnsi="宋体" w:cs="宋体"/>
                <w:sz w:val="24"/>
                <w:szCs w:val="24"/>
                <w:u w:val="none"/>
              </w:rPr>
              <w:t>提供</w:t>
            </w:r>
            <w:r>
              <w:rPr>
                <w:rFonts w:hint="eastAsia" w:ascii="宋体" w:hAnsi="宋体" w:cs="宋体"/>
                <w:sz w:val="24"/>
                <w:szCs w:val="24"/>
                <w:u w:val="none"/>
                <w:lang w:eastAsia="zh-CN"/>
              </w:rPr>
              <w:t>供应商信用承诺书</w:t>
            </w:r>
          </w:p>
        </w:tc>
      </w:tr>
      <w:tr w14:paraId="025C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0FFD81FB">
            <w:pPr>
              <w:spacing w:line="400" w:lineRule="exact"/>
              <w:jc w:val="center"/>
              <w:rPr>
                <w:rFonts w:hint="eastAsia" w:ascii="宋体" w:hAnsi="宋体" w:eastAsia="宋体" w:cs="宋体"/>
                <w:sz w:val="24"/>
                <w:szCs w:val="24"/>
                <w:u w:val="none"/>
                <w:lang w:eastAsia="zh-CN"/>
              </w:rPr>
            </w:pPr>
            <w:r>
              <w:rPr>
                <w:rFonts w:hint="eastAsia" w:ascii="宋体" w:hAnsi="宋体" w:cs="宋体"/>
                <w:sz w:val="24"/>
                <w:szCs w:val="24"/>
                <w:u w:val="none"/>
                <w:lang w:val="en-US" w:eastAsia="zh-CN"/>
              </w:rPr>
              <w:t>4</w:t>
            </w:r>
          </w:p>
        </w:tc>
        <w:tc>
          <w:tcPr>
            <w:tcW w:w="5799" w:type="dxa"/>
            <w:vAlign w:val="center"/>
          </w:tcPr>
          <w:p w14:paraId="1193DAD6">
            <w:pPr>
              <w:rPr>
                <w:rFonts w:ascii="宋体" w:hAnsi="宋体" w:cs="宋体"/>
                <w:kern w:val="0"/>
                <w:sz w:val="24"/>
                <w:szCs w:val="24"/>
                <w:u w:val="none"/>
              </w:rPr>
            </w:pPr>
            <w:r>
              <w:rPr>
                <w:rFonts w:hint="eastAsia" w:ascii="宋体" w:hAnsi="宋体" w:cs="宋体"/>
                <w:sz w:val="24"/>
                <w:szCs w:val="24"/>
                <w:u w:val="none"/>
              </w:rPr>
              <w:t>具有良好的商业信誉和健全的财务会计制度</w:t>
            </w:r>
          </w:p>
        </w:tc>
        <w:tc>
          <w:tcPr>
            <w:tcW w:w="2654" w:type="dxa"/>
            <w:vAlign w:val="center"/>
          </w:tcPr>
          <w:p w14:paraId="1004AF46">
            <w:pPr>
              <w:spacing w:line="400" w:lineRule="exact"/>
              <w:rPr>
                <w:rFonts w:hint="eastAsia" w:ascii="宋体" w:hAnsi="宋体" w:eastAsia="宋体" w:cs="宋体"/>
                <w:sz w:val="24"/>
                <w:szCs w:val="24"/>
                <w:u w:val="none"/>
                <w:lang w:eastAsia="zh-CN"/>
              </w:rPr>
            </w:pPr>
            <w:r>
              <w:rPr>
                <w:rFonts w:hint="eastAsia" w:ascii="宋体" w:hAnsi="宋体" w:cs="宋体"/>
                <w:sz w:val="24"/>
                <w:szCs w:val="24"/>
                <w:u w:val="none"/>
              </w:rPr>
              <w:t>提供</w:t>
            </w:r>
            <w:r>
              <w:rPr>
                <w:rFonts w:hint="eastAsia" w:ascii="宋体" w:hAnsi="宋体" w:cs="宋体"/>
                <w:sz w:val="24"/>
                <w:szCs w:val="24"/>
                <w:u w:val="none"/>
                <w:lang w:eastAsia="zh-CN"/>
              </w:rPr>
              <w:t>供应商信用承诺书</w:t>
            </w:r>
          </w:p>
        </w:tc>
      </w:tr>
      <w:tr w14:paraId="1A7D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7455A3AA">
            <w:pPr>
              <w:spacing w:line="400" w:lineRule="exact"/>
              <w:jc w:val="center"/>
              <w:rPr>
                <w:rFonts w:hint="eastAsia" w:ascii="宋体" w:hAnsi="宋体" w:eastAsia="宋体" w:cs="宋体"/>
                <w:sz w:val="24"/>
                <w:szCs w:val="24"/>
                <w:u w:val="none"/>
                <w:lang w:eastAsia="zh-CN"/>
              </w:rPr>
            </w:pPr>
            <w:r>
              <w:rPr>
                <w:rFonts w:hint="eastAsia" w:ascii="宋体" w:hAnsi="宋体" w:cs="宋体"/>
                <w:sz w:val="24"/>
                <w:szCs w:val="24"/>
                <w:u w:val="none"/>
                <w:lang w:val="en-US" w:eastAsia="zh-CN"/>
              </w:rPr>
              <w:t>5</w:t>
            </w:r>
          </w:p>
        </w:tc>
        <w:tc>
          <w:tcPr>
            <w:tcW w:w="5799" w:type="dxa"/>
            <w:vAlign w:val="center"/>
          </w:tcPr>
          <w:p w14:paraId="47001C5D">
            <w:pPr>
              <w:rPr>
                <w:rFonts w:ascii="宋体" w:hAnsi="宋体" w:cs="宋体"/>
                <w:kern w:val="0"/>
                <w:sz w:val="24"/>
                <w:szCs w:val="24"/>
                <w:u w:val="none"/>
              </w:rPr>
            </w:pPr>
            <w:r>
              <w:rPr>
                <w:rFonts w:hint="eastAsia" w:ascii="宋体" w:hAnsi="宋体" w:cs="宋体"/>
                <w:sz w:val="24"/>
                <w:szCs w:val="24"/>
                <w:u w:val="none"/>
              </w:rPr>
              <w:t>具有履行合同所必需的设备和专业技术能力</w:t>
            </w:r>
          </w:p>
        </w:tc>
        <w:tc>
          <w:tcPr>
            <w:tcW w:w="2654" w:type="dxa"/>
            <w:vAlign w:val="center"/>
          </w:tcPr>
          <w:p w14:paraId="0BCE2338">
            <w:pPr>
              <w:spacing w:line="400" w:lineRule="exact"/>
              <w:rPr>
                <w:rFonts w:hint="eastAsia" w:ascii="宋体" w:hAnsi="宋体" w:eastAsia="宋体" w:cs="宋体"/>
                <w:sz w:val="24"/>
                <w:szCs w:val="24"/>
                <w:u w:val="none"/>
                <w:lang w:eastAsia="zh-CN"/>
              </w:rPr>
            </w:pPr>
            <w:r>
              <w:rPr>
                <w:rFonts w:hint="eastAsia" w:ascii="宋体" w:hAnsi="宋体" w:cs="宋体"/>
                <w:sz w:val="24"/>
                <w:szCs w:val="24"/>
                <w:u w:val="none"/>
              </w:rPr>
              <w:t>提供</w:t>
            </w:r>
            <w:r>
              <w:rPr>
                <w:rFonts w:hint="eastAsia" w:ascii="宋体" w:hAnsi="宋体" w:cs="宋体"/>
                <w:sz w:val="24"/>
                <w:szCs w:val="24"/>
                <w:u w:val="none"/>
                <w:lang w:eastAsia="zh-CN"/>
              </w:rPr>
              <w:t>供应商信用承诺书</w:t>
            </w:r>
          </w:p>
        </w:tc>
      </w:tr>
      <w:tr w14:paraId="5B9A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7550393B">
            <w:pPr>
              <w:spacing w:line="400" w:lineRule="exact"/>
              <w:jc w:val="center"/>
              <w:rPr>
                <w:rFonts w:hint="eastAsia" w:ascii="宋体" w:hAnsi="宋体" w:eastAsia="宋体" w:cs="宋体"/>
                <w:sz w:val="24"/>
                <w:szCs w:val="24"/>
                <w:u w:val="none"/>
                <w:lang w:eastAsia="zh-CN"/>
              </w:rPr>
            </w:pPr>
            <w:r>
              <w:rPr>
                <w:rFonts w:hint="eastAsia" w:ascii="宋体" w:hAnsi="宋体" w:cs="宋体"/>
                <w:sz w:val="24"/>
                <w:szCs w:val="24"/>
                <w:u w:val="none"/>
                <w:lang w:val="en-US" w:eastAsia="zh-CN"/>
              </w:rPr>
              <w:t>6</w:t>
            </w:r>
          </w:p>
        </w:tc>
        <w:tc>
          <w:tcPr>
            <w:tcW w:w="5799" w:type="dxa"/>
            <w:vAlign w:val="center"/>
          </w:tcPr>
          <w:p w14:paraId="073085C8">
            <w:pPr>
              <w:rPr>
                <w:rFonts w:ascii="宋体" w:hAnsi="宋体" w:cs="宋体"/>
                <w:kern w:val="0"/>
                <w:sz w:val="24"/>
                <w:szCs w:val="24"/>
                <w:u w:val="none"/>
              </w:rPr>
            </w:pPr>
            <w:r>
              <w:rPr>
                <w:rFonts w:hint="eastAsia" w:ascii="宋体" w:hAnsi="宋体" w:cs="宋体"/>
                <w:sz w:val="24"/>
                <w:szCs w:val="24"/>
                <w:u w:val="none"/>
              </w:rPr>
              <w:t>有依法缴纳税收和社会保障资金的良好记录</w:t>
            </w:r>
          </w:p>
        </w:tc>
        <w:tc>
          <w:tcPr>
            <w:tcW w:w="2654" w:type="dxa"/>
            <w:vAlign w:val="center"/>
          </w:tcPr>
          <w:p w14:paraId="7A4E5105">
            <w:pPr>
              <w:spacing w:line="400" w:lineRule="exact"/>
              <w:rPr>
                <w:rFonts w:hint="eastAsia" w:ascii="宋体" w:hAnsi="宋体" w:eastAsia="宋体" w:cs="宋体"/>
                <w:sz w:val="24"/>
                <w:szCs w:val="24"/>
                <w:u w:val="none"/>
                <w:lang w:eastAsia="zh-CN"/>
              </w:rPr>
            </w:pPr>
            <w:r>
              <w:rPr>
                <w:rFonts w:hint="eastAsia" w:ascii="宋体" w:hAnsi="宋体" w:cs="宋体"/>
                <w:sz w:val="24"/>
                <w:szCs w:val="24"/>
                <w:u w:val="none"/>
              </w:rPr>
              <w:t>提供</w:t>
            </w:r>
            <w:r>
              <w:rPr>
                <w:rFonts w:hint="eastAsia" w:ascii="宋体" w:hAnsi="宋体" w:cs="宋体"/>
                <w:sz w:val="24"/>
                <w:szCs w:val="24"/>
                <w:u w:val="none"/>
                <w:lang w:eastAsia="zh-CN"/>
              </w:rPr>
              <w:t>供应商信用承诺书</w:t>
            </w:r>
          </w:p>
        </w:tc>
      </w:tr>
      <w:tr w14:paraId="4D0D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6BCBEAD6">
            <w:pPr>
              <w:spacing w:line="400" w:lineRule="exact"/>
              <w:jc w:val="center"/>
              <w:rPr>
                <w:rFonts w:hint="eastAsia" w:ascii="宋体" w:hAnsi="宋体" w:eastAsia="宋体" w:cs="宋体"/>
                <w:sz w:val="24"/>
                <w:szCs w:val="24"/>
                <w:u w:val="none"/>
                <w:lang w:eastAsia="zh-CN"/>
              </w:rPr>
            </w:pPr>
            <w:r>
              <w:rPr>
                <w:rFonts w:hint="eastAsia" w:ascii="宋体" w:hAnsi="宋体" w:cs="宋体"/>
                <w:sz w:val="24"/>
                <w:szCs w:val="24"/>
                <w:u w:val="none"/>
                <w:lang w:val="en-US" w:eastAsia="zh-CN"/>
              </w:rPr>
              <w:t>7</w:t>
            </w:r>
          </w:p>
        </w:tc>
        <w:tc>
          <w:tcPr>
            <w:tcW w:w="5799" w:type="dxa"/>
            <w:vAlign w:val="center"/>
          </w:tcPr>
          <w:p w14:paraId="35AC0C81">
            <w:pPr>
              <w:rPr>
                <w:rFonts w:ascii="宋体" w:hAnsi="宋体" w:cs="宋体"/>
                <w:kern w:val="0"/>
                <w:sz w:val="24"/>
                <w:szCs w:val="24"/>
                <w:u w:val="none"/>
              </w:rPr>
            </w:pPr>
            <w:r>
              <w:rPr>
                <w:rFonts w:hint="eastAsia" w:ascii="宋体" w:hAnsi="宋体" w:cs="宋体"/>
                <w:sz w:val="24"/>
                <w:szCs w:val="24"/>
                <w:u w:val="none"/>
              </w:rPr>
              <w:t>参加政府采购活动前</w:t>
            </w:r>
            <w:r>
              <w:rPr>
                <w:rFonts w:hint="eastAsia" w:ascii="宋体" w:hAnsi="宋体" w:cs="宋体"/>
                <w:sz w:val="24"/>
                <w:szCs w:val="24"/>
                <w:u w:val="none"/>
                <w:lang w:eastAsia="zh-CN"/>
              </w:rPr>
              <w:t>自合同协议书签订之日起至全过程工程咨询服务各项内容完成止</w:t>
            </w:r>
            <w:r>
              <w:rPr>
                <w:rFonts w:hint="eastAsia" w:ascii="宋体" w:hAnsi="宋体" w:cs="宋体"/>
                <w:sz w:val="24"/>
                <w:szCs w:val="24"/>
                <w:u w:val="none"/>
              </w:rPr>
              <w:t>内，在经营活动中没有重大违法记录</w:t>
            </w:r>
          </w:p>
        </w:tc>
        <w:tc>
          <w:tcPr>
            <w:tcW w:w="2654" w:type="dxa"/>
            <w:vAlign w:val="center"/>
          </w:tcPr>
          <w:p w14:paraId="4156F073">
            <w:pPr>
              <w:spacing w:line="400" w:lineRule="exact"/>
              <w:rPr>
                <w:rFonts w:hint="eastAsia" w:ascii="宋体" w:hAnsi="宋体" w:eastAsia="宋体" w:cs="宋体"/>
                <w:sz w:val="24"/>
                <w:szCs w:val="24"/>
                <w:u w:val="none"/>
                <w:lang w:eastAsia="zh-CN"/>
              </w:rPr>
            </w:pPr>
            <w:r>
              <w:rPr>
                <w:rFonts w:hint="eastAsia" w:ascii="宋体" w:hAnsi="宋体" w:cs="宋体"/>
                <w:sz w:val="24"/>
                <w:szCs w:val="24"/>
                <w:u w:val="none"/>
              </w:rPr>
              <w:t>提供</w:t>
            </w:r>
            <w:r>
              <w:rPr>
                <w:rFonts w:hint="eastAsia" w:ascii="宋体" w:hAnsi="宋体" w:cs="宋体"/>
                <w:sz w:val="24"/>
                <w:szCs w:val="24"/>
                <w:u w:val="none"/>
                <w:lang w:eastAsia="zh-CN"/>
              </w:rPr>
              <w:t>供应商信用承诺书</w:t>
            </w:r>
          </w:p>
        </w:tc>
      </w:tr>
      <w:tr w14:paraId="2BCF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6D862241">
            <w:pPr>
              <w:spacing w:line="400" w:lineRule="exact"/>
              <w:jc w:val="center"/>
              <w:rPr>
                <w:rFonts w:ascii="宋体" w:hAnsi="宋体" w:cs="宋体"/>
                <w:sz w:val="24"/>
                <w:szCs w:val="24"/>
                <w:u w:val="none"/>
              </w:rPr>
            </w:pPr>
            <w:r>
              <w:rPr>
                <w:rFonts w:hint="eastAsia" w:ascii="宋体" w:hAnsi="宋体" w:cs="宋体"/>
                <w:sz w:val="24"/>
                <w:szCs w:val="24"/>
                <w:u w:val="none"/>
              </w:rPr>
              <w:t>8</w:t>
            </w:r>
          </w:p>
        </w:tc>
        <w:tc>
          <w:tcPr>
            <w:tcW w:w="5799" w:type="dxa"/>
            <w:vAlign w:val="center"/>
          </w:tcPr>
          <w:p w14:paraId="617DE69B">
            <w:pPr>
              <w:rPr>
                <w:rFonts w:ascii="宋体" w:hAnsi="宋体" w:cs="宋体"/>
                <w:sz w:val="24"/>
                <w:szCs w:val="24"/>
                <w:u w:val="none"/>
              </w:rPr>
            </w:pPr>
            <w:r>
              <w:rPr>
                <w:rFonts w:hint="eastAsia" w:ascii="宋体" w:hAnsi="宋体" w:cs="宋体"/>
                <w:sz w:val="24"/>
                <w:szCs w:val="24"/>
                <w:u w:val="none"/>
              </w:rPr>
              <w:t>营业执照</w:t>
            </w:r>
          </w:p>
        </w:tc>
        <w:tc>
          <w:tcPr>
            <w:tcW w:w="2654" w:type="dxa"/>
            <w:vAlign w:val="center"/>
          </w:tcPr>
          <w:p w14:paraId="0268C3CD">
            <w:pPr>
              <w:spacing w:line="400" w:lineRule="exact"/>
              <w:rPr>
                <w:rFonts w:ascii="宋体" w:hAnsi="宋体" w:cs="宋体"/>
                <w:sz w:val="24"/>
                <w:szCs w:val="24"/>
                <w:u w:val="none"/>
              </w:rPr>
            </w:pPr>
            <w:r>
              <w:rPr>
                <w:rFonts w:hint="eastAsia" w:ascii="宋体" w:hAnsi="宋体" w:cs="宋体"/>
                <w:sz w:val="24"/>
                <w:szCs w:val="24"/>
                <w:u w:val="none"/>
              </w:rPr>
              <w:t>具备有效的营业执照</w:t>
            </w:r>
          </w:p>
        </w:tc>
      </w:tr>
      <w:tr w14:paraId="7BE2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2" w:type="dxa"/>
            <w:vAlign w:val="center"/>
          </w:tcPr>
          <w:p w14:paraId="7430429F">
            <w:pPr>
              <w:spacing w:line="400" w:lineRule="exact"/>
              <w:jc w:val="center"/>
              <w:rPr>
                <w:rFonts w:ascii="宋体" w:hAnsi="宋体" w:cs="宋体"/>
                <w:sz w:val="24"/>
                <w:szCs w:val="24"/>
                <w:u w:val="none"/>
              </w:rPr>
            </w:pPr>
            <w:r>
              <w:rPr>
                <w:rFonts w:hint="eastAsia" w:ascii="宋体" w:hAnsi="宋体" w:cs="宋体"/>
                <w:sz w:val="24"/>
                <w:szCs w:val="24"/>
                <w:u w:val="none"/>
              </w:rPr>
              <w:t>9</w:t>
            </w:r>
          </w:p>
        </w:tc>
        <w:tc>
          <w:tcPr>
            <w:tcW w:w="5799" w:type="dxa"/>
            <w:vAlign w:val="center"/>
          </w:tcPr>
          <w:p w14:paraId="30F81603">
            <w:pPr>
              <w:rPr>
                <w:rFonts w:ascii="宋体" w:hAnsi="宋体" w:cs="宋体"/>
                <w:sz w:val="24"/>
                <w:szCs w:val="24"/>
                <w:u w:val="none"/>
              </w:rPr>
            </w:pPr>
            <w:r>
              <w:rPr>
                <w:rFonts w:hint="eastAsia" w:ascii="宋体" w:hAnsi="宋体" w:cs="宋体"/>
                <w:sz w:val="24"/>
                <w:szCs w:val="24"/>
                <w:u w:val="none"/>
              </w:rPr>
              <w:t>银行基本账户开户许可证或基本存款账户信息</w:t>
            </w:r>
          </w:p>
        </w:tc>
        <w:tc>
          <w:tcPr>
            <w:tcW w:w="2654" w:type="dxa"/>
            <w:vAlign w:val="center"/>
          </w:tcPr>
          <w:p w14:paraId="7FF5010F">
            <w:pPr>
              <w:spacing w:line="400" w:lineRule="exact"/>
              <w:rPr>
                <w:rFonts w:ascii="宋体" w:hAnsi="宋体" w:cs="宋体"/>
                <w:sz w:val="24"/>
                <w:szCs w:val="24"/>
                <w:u w:val="none"/>
              </w:rPr>
            </w:pPr>
            <w:r>
              <w:rPr>
                <w:rFonts w:hint="eastAsia" w:ascii="宋体" w:hAnsi="宋体" w:cs="宋体"/>
                <w:sz w:val="24"/>
                <w:szCs w:val="24"/>
                <w:u w:val="none"/>
              </w:rPr>
              <w:t>具备有效的开户许可证或基本存款账户信息</w:t>
            </w:r>
          </w:p>
        </w:tc>
      </w:tr>
      <w:tr w14:paraId="4D37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92" w:type="dxa"/>
            <w:vAlign w:val="center"/>
          </w:tcPr>
          <w:p w14:paraId="716270BA">
            <w:pPr>
              <w:spacing w:line="400" w:lineRule="exact"/>
              <w:jc w:val="center"/>
              <w:rPr>
                <w:rFonts w:hint="default" w:ascii="宋体" w:hAnsi="宋体" w:eastAsia="宋体" w:cs="宋体"/>
                <w:sz w:val="24"/>
                <w:szCs w:val="24"/>
                <w:u w:val="none"/>
                <w:lang w:val="en-US" w:eastAsia="zh-CN"/>
              </w:rPr>
            </w:pPr>
            <w:r>
              <w:rPr>
                <w:rFonts w:hint="eastAsia" w:ascii="宋体" w:hAnsi="宋体" w:cs="宋体"/>
                <w:sz w:val="24"/>
                <w:szCs w:val="24"/>
                <w:u w:val="none"/>
                <w:lang w:val="en-US" w:eastAsia="zh-CN"/>
              </w:rPr>
              <w:t>10</w:t>
            </w:r>
          </w:p>
        </w:tc>
        <w:tc>
          <w:tcPr>
            <w:tcW w:w="5799" w:type="dxa"/>
            <w:vAlign w:val="center"/>
          </w:tcPr>
          <w:p w14:paraId="38EEB0E2">
            <w:pPr>
              <w:rPr>
                <w:rFonts w:ascii="宋体" w:hAnsi="宋体" w:cs="宋体"/>
                <w:sz w:val="24"/>
                <w:szCs w:val="24"/>
                <w:u w:val="none"/>
              </w:rPr>
            </w:pPr>
            <w:r>
              <w:rPr>
                <w:rFonts w:hint="eastAsia" w:ascii="宋体" w:hAnsi="宋体" w:cs="宋体"/>
                <w:sz w:val="24"/>
                <w:szCs w:val="24"/>
                <w:u w:val="none"/>
              </w:rPr>
              <w:t>投标保证金缴纳凭证</w:t>
            </w:r>
          </w:p>
        </w:tc>
        <w:tc>
          <w:tcPr>
            <w:tcW w:w="2654" w:type="dxa"/>
            <w:vAlign w:val="center"/>
          </w:tcPr>
          <w:p w14:paraId="5DEFC88F">
            <w:pPr>
              <w:spacing w:line="400" w:lineRule="exact"/>
              <w:rPr>
                <w:rFonts w:ascii="宋体" w:hAnsi="宋体" w:cs="宋体"/>
                <w:sz w:val="24"/>
                <w:szCs w:val="24"/>
                <w:u w:val="none"/>
              </w:rPr>
            </w:pPr>
            <w:r>
              <w:rPr>
                <w:rFonts w:hint="eastAsia" w:ascii="宋体" w:hAnsi="宋体" w:cs="宋体"/>
                <w:sz w:val="24"/>
                <w:szCs w:val="24"/>
                <w:u w:val="none"/>
              </w:rPr>
              <w:t>符合招标文件要求</w:t>
            </w:r>
          </w:p>
        </w:tc>
      </w:tr>
      <w:tr w14:paraId="0EEE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2" w:type="dxa"/>
            <w:vAlign w:val="center"/>
          </w:tcPr>
          <w:p w14:paraId="1A78E4ED">
            <w:pPr>
              <w:spacing w:line="400" w:lineRule="exact"/>
              <w:jc w:val="center"/>
              <w:rPr>
                <w:rFonts w:hint="default" w:ascii="宋体" w:hAnsi="宋体" w:eastAsia="宋体" w:cs="宋体"/>
                <w:sz w:val="24"/>
                <w:szCs w:val="24"/>
                <w:u w:val="none"/>
                <w:lang w:val="en-US" w:eastAsia="zh-CN"/>
              </w:rPr>
            </w:pPr>
            <w:r>
              <w:rPr>
                <w:rFonts w:hint="eastAsia" w:ascii="宋体" w:hAnsi="宋体" w:cs="宋体"/>
                <w:sz w:val="24"/>
                <w:szCs w:val="24"/>
                <w:u w:val="none"/>
                <w:lang w:val="en-US" w:eastAsia="zh-CN"/>
              </w:rPr>
              <w:t>11</w:t>
            </w:r>
          </w:p>
        </w:tc>
        <w:tc>
          <w:tcPr>
            <w:tcW w:w="5799" w:type="dxa"/>
            <w:vAlign w:val="center"/>
          </w:tcPr>
          <w:p w14:paraId="5D89EFB6">
            <w:pPr>
              <w:adjustRightInd w:val="0"/>
              <w:snapToGrid w:val="0"/>
              <w:spacing w:line="420" w:lineRule="exact"/>
              <w:jc w:val="left"/>
              <w:rPr>
                <w:rFonts w:ascii="宋体" w:hAnsi="宋体" w:cs="宋体"/>
                <w:sz w:val="24"/>
                <w:szCs w:val="24"/>
                <w:u w:val="none"/>
              </w:rPr>
            </w:pPr>
            <w:r>
              <w:rPr>
                <w:rFonts w:hint="eastAsia" w:ascii="宋体" w:hAnsi="宋体" w:cs="宋体"/>
                <w:sz w:val="24"/>
                <w:szCs w:val="24"/>
                <w:u w:val="none"/>
              </w:rPr>
              <w:t>诚信投标承诺书</w:t>
            </w:r>
          </w:p>
        </w:tc>
        <w:tc>
          <w:tcPr>
            <w:tcW w:w="2654" w:type="dxa"/>
            <w:vAlign w:val="center"/>
          </w:tcPr>
          <w:p w14:paraId="4060A6C7">
            <w:pPr>
              <w:spacing w:line="400" w:lineRule="exact"/>
              <w:rPr>
                <w:rFonts w:ascii="宋体" w:hAnsi="宋体" w:cs="宋体"/>
                <w:sz w:val="24"/>
                <w:szCs w:val="24"/>
                <w:u w:val="none"/>
              </w:rPr>
            </w:pPr>
            <w:r>
              <w:rPr>
                <w:rFonts w:hint="eastAsia" w:ascii="宋体" w:hAnsi="宋体" w:cs="宋体"/>
                <w:sz w:val="24"/>
                <w:szCs w:val="24"/>
                <w:u w:val="none"/>
              </w:rPr>
              <w:t>符合招标文件要求</w:t>
            </w:r>
          </w:p>
        </w:tc>
      </w:tr>
      <w:tr w14:paraId="15DF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2" w:type="dxa"/>
            <w:vAlign w:val="center"/>
          </w:tcPr>
          <w:p w14:paraId="14CA89F3">
            <w:pPr>
              <w:spacing w:line="400" w:lineRule="exact"/>
              <w:jc w:val="center"/>
              <w:rPr>
                <w:rFonts w:hint="default" w:ascii="宋体" w:hAnsi="宋体" w:cs="宋体"/>
                <w:sz w:val="24"/>
                <w:szCs w:val="24"/>
                <w:u w:val="none"/>
                <w:lang w:val="en-US" w:eastAsia="zh-CN"/>
              </w:rPr>
            </w:pPr>
            <w:r>
              <w:rPr>
                <w:rFonts w:hint="eastAsia" w:ascii="宋体" w:hAnsi="宋体" w:cs="宋体"/>
                <w:sz w:val="24"/>
                <w:szCs w:val="24"/>
                <w:u w:val="none"/>
                <w:lang w:val="en-US" w:eastAsia="zh-CN"/>
              </w:rPr>
              <w:t>12</w:t>
            </w:r>
          </w:p>
        </w:tc>
        <w:tc>
          <w:tcPr>
            <w:tcW w:w="5799" w:type="dxa"/>
            <w:vAlign w:val="center"/>
          </w:tcPr>
          <w:p w14:paraId="03CE411E">
            <w:pPr>
              <w:adjustRightInd w:val="0"/>
              <w:snapToGrid w:val="0"/>
              <w:spacing w:line="420" w:lineRule="exact"/>
              <w:jc w:val="left"/>
              <w:rPr>
                <w:rFonts w:hint="eastAsia" w:ascii="宋体" w:hAnsi="宋体" w:eastAsia="宋体" w:cs="宋体"/>
                <w:sz w:val="24"/>
                <w:szCs w:val="24"/>
                <w:u w:val="none"/>
                <w:lang w:eastAsia="zh-CN"/>
              </w:rPr>
            </w:pPr>
            <w:r>
              <w:rPr>
                <w:rFonts w:hint="eastAsia" w:ascii="宋体" w:hAnsi="宋体" w:eastAsia="宋体" w:cs="宋体"/>
                <w:color w:val="auto"/>
                <w:sz w:val="24"/>
                <w:szCs w:val="24"/>
                <w:highlight w:val="none"/>
                <w:lang w:val="en-US" w:eastAsia="zh-CN"/>
              </w:rPr>
              <w:t>供应商应为中小企业或供应商以联合体形式参加采购活动，且联合体中中小企业承担的部分达到40%，其中，小微企业承担部分达到60%。</w:t>
            </w:r>
          </w:p>
        </w:tc>
        <w:tc>
          <w:tcPr>
            <w:tcW w:w="2654" w:type="dxa"/>
            <w:vAlign w:val="center"/>
          </w:tcPr>
          <w:p w14:paraId="318D34E6">
            <w:pPr>
              <w:spacing w:line="40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请根据要求单独上传《中小企业声明函》。格式以采购文件要求为准。</w:t>
            </w:r>
          </w:p>
          <w:p w14:paraId="52232E78">
            <w:pPr>
              <w:spacing w:line="400" w:lineRule="exact"/>
              <w:rPr>
                <w:rFonts w:hint="eastAsia" w:ascii="宋体" w:hAnsi="宋体" w:cs="宋体"/>
                <w:sz w:val="24"/>
                <w:szCs w:val="24"/>
                <w:u w:val="none"/>
              </w:rPr>
            </w:pPr>
            <w:r>
              <w:rPr>
                <w:rFonts w:hint="eastAsia" w:ascii="宋体" w:hAnsi="宋体" w:cs="宋体"/>
                <w:color w:val="auto"/>
                <w:sz w:val="24"/>
                <w:szCs w:val="24"/>
                <w:highlight w:val="none"/>
                <w:lang w:val="en-US" w:eastAsia="zh-CN"/>
              </w:rPr>
              <w:t>请根据要求单独上传《联合协议》，并在联合体协议中进行约定，格式以采购文件要求为准。</w:t>
            </w:r>
          </w:p>
        </w:tc>
      </w:tr>
      <w:tr w14:paraId="5B4D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vAlign w:val="center"/>
          </w:tcPr>
          <w:p w14:paraId="02497C17">
            <w:pPr>
              <w:spacing w:line="400" w:lineRule="exact"/>
              <w:jc w:val="center"/>
              <w:rPr>
                <w:rFonts w:hint="default" w:ascii="宋体" w:hAnsi="宋体" w:cs="宋体"/>
                <w:sz w:val="24"/>
                <w:szCs w:val="24"/>
                <w:u w:val="none"/>
                <w:lang w:val="en-US" w:eastAsia="zh-CN"/>
              </w:rPr>
            </w:pPr>
            <w:r>
              <w:rPr>
                <w:rFonts w:hint="eastAsia" w:ascii="宋体" w:hAnsi="宋体" w:cs="宋体"/>
                <w:sz w:val="24"/>
                <w:szCs w:val="24"/>
                <w:u w:val="none"/>
                <w:lang w:val="en-US" w:eastAsia="zh-CN"/>
              </w:rPr>
              <w:t>13</w:t>
            </w:r>
          </w:p>
        </w:tc>
        <w:tc>
          <w:tcPr>
            <w:tcW w:w="5799" w:type="dxa"/>
            <w:vAlign w:val="center"/>
          </w:tcPr>
          <w:p w14:paraId="0DDDCC7B">
            <w:pPr>
              <w:adjustRightInd w:val="0"/>
              <w:snapToGrid w:val="0"/>
              <w:spacing w:line="420" w:lineRule="exact"/>
              <w:jc w:val="left"/>
              <w:rPr>
                <w:rFonts w:hint="eastAsia" w:ascii="宋体" w:hAnsi="宋体" w:cs="宋体"/>
                <w:sz w:val="24"/>
                <w:szCs w:val="24"/>
                <w:u w:val="none"/>
              </w:rPr>
            </w:pPr>
            <w:r>
              <w:rPr>
                <w:rFonts w:hint="eastAsia" w:ascii="宋体" w:hAnsi="宋体" w:cs="宋体"/>
                <w:sz w:val="24"/>
                <w:szCs w:val="24"/>
                <w:u w:val="none"/>
                <w:lang w:eastAsia="zh-CN"/>
              </w:rPr>
              <w:t>（</w:t>
            </w:r>
            <w:r>
              <w:rPr>
                <w:rFonts w:hint="eastAsia" w:ascii="宋体" w:hAnsi="宋体" w:cs="宋体"/>
                <w:sz w:val="24"/>
                <w:szCs w:val="24"/>
                <w:u w:val="none"/>
                <w:lang w:val="en-US" w:eastAsia="zh-CN"/>
              </w:rPr>
              <w:t>1</w:t>
            </w:r>
            <w:r>
              <w:rPr>
                <w:rFonts w:hint="eastAsia" w:ascii="宋体" w:hAnsi="宋体" w:cs="宋体"/>
                <w:sz w:val="24"/>
                <w:szCs w:val="24"/>
                <w:u w:val="none"/>
                <w:lang w:eastAsia="zh-CN"/>
              </w:rPr>
              <w:t>）</w:t>
            </w:r>
            <w:r>
              <w:rPr>
                <w:rFonts w:hint="eastAsia" w:ascii="宋体" w:hAnsi="宋体" w:cs="宋体"/>
                <w:sz w:val="24"/>
                <w:szCs w:val="24"/>
                <w:u w:val="none"/>
                <w:lang w:val="en-US" w:eastAsia="zh-CN"/>
              </w:rPr>
              <w:t>投标人</w:t>
            </w:r>
            <w:r>
              <w:rPr>
                <w:rFonts w:hint="eastAsia" w:ascii="宋体" w:hAnsi="宋体" w:cs="宋体"/>
                <w:sz w:val="24"/>
                <w:szCs w:val="24"/>
                <w:u w:val="none"/>
                <w:lang w:eastAsia="zh-CN"/>
              </w:rPr>
              <w:t>在“全国投资项目在线审批监管平台”已备案，且工程咨询单位名录的咨询专业和服务范围包括“其他（土地整理）/全过程工程咨询”；（</w:t>
            </w:r>
            <w:r>
              <w:rPr>
                <w:rFonts w:hint="eastAsia" w:ascii="宋体" w:hAnsi="宋体" w:cs="宋体"/>
                <w:sz w:val="24"/>
                <w:szCs w:val="24"/>
                <w:u w:val="none"/>
                <w:lang w:val="en-US" w:eastAsia="zh-CN"/>
              </w:rPr>
              <w:t>2</w:t>
            </w:r>
            <w:r>
              <w:rPr>
                <w:rFonts w:hint="eastAsia" w:ascii="宋体" w:hAnsi="宋体" w:cs="宋体"/>
                <w:sz w:val="24"/>
                <w:szCs w:val="24"/>
                <w:u w:val="none"/>
                <w:lang w:eastAsia="zh-CN"/>
              </w:rPr>
              <w:t>）拟派项目负责人具备咨询工程师（投资）登记证书。</w:t>
            </w:r>
          </w:p>
        </w:tc>
        <w:tc>
          <w:tcPr>
            <w:tcW w:w="2654" w:type="dxa"/>
            <w:vAlign w:val="center"/>
          </w:tcPr>
          <w:p w14:paraId="0071BB20">
            <w:pPr>
              <w:spacing w:line="400" w:lineRule="exact"/>
              <w:rPr>
                <w:rFonts w:hint="eastAsia" w:ascii="宋体" w:hAnsi="宋体" w:eastAsia="宋体" w:cs="宋体"/>
                <w:sz w:val="24"/>
                <w:szCs w:val="24"/>
                <w:u w:val="none"/>
                <w:lang w:eastAsia="zh-CN"/>
              </w:rPr>
            </w:pPr>
            <w:r>
              <w:rPr>
                <w:rFonts w:hint="eastAsia" w:ascii="宋体" w:hAnsi="宋体" w:cs="宋体"/>
                <w:sz w:val="24"/>
                <w:szCs w:val="24"/>
                <w:u w:val="none"/>
                <w:lang w:eastAsia="zh-CN"/>
              </w:rPr>
              <w:t>（</w:t>
            </w:r>
            <w:r>
              <w:rPr>
                <w:rFonts w:hint="eastAsia" w:ascii="宋体" w:hAnsi="宋体" w:cs="宋体"/>
                <w:sz w:val="24"/>
                <w:szCs w:val="24"/>
                <w:u w:val="none"/>
                <w:lang w:val="en-US" w:eastAsia="zh-CN"/>
              </w:rPr>
              <w:t>1</w:t>
            </w:r>
            <w:r>
              <w:rPr>
                <w:rFonts w:hint="eastAsia" w:ascii="宋体" w:hAnsi="宋体" w:cs="宋体"/>
                <w:sz w:val="24"/>
                <w:szCs w:val="24"/>
                <w:u w:val="none"/>
                <w:lang w:eastAsia="zh-CN"/>
              </w:rPr>
              <w:t>）供应商提供有效的“全国投资项目在线审批监管平台”截图；（</w:t>
            </w:r>
            <w:r>
              <w:rPr>
                <w:rFonts w:hint="eastAsia" w:ascii="宋体" w:hAnsi="宋体" w:cs="宋体"/>
                <w:sz w:val="24"/>
                <w:szCs w:val="24"/>
                <w:u w:val="none"/>
                <w:lang w:val="en-US" w:eastAsia="zh-CN"/>
              </w:rPr>
              <w:t>2</w:t>
            </w:r>
            <w:r>
              <w:rPr>
                <w:rFonts w:hint="eastAsia" w:ascii="宋体" w:hAnsi="宋体" w:cs="宋体"/>
                <w:sz w:val="24"/>
                <w:szCs w:val="24"/>
                <w:u w:val="none"/>
                <w:lang w:eastAsia="zh-CN"/>
              </w:rPr>
              <w:t>）提供拟派项目负责人的</w:t>
            </w:r>
            <w:r>
              <w:rPr>
                <w:rFonts w:hint="eastAsia" w:ascii="宋体" w:hAnsi="宋体" w:eastAsia="宋体" w:cs="宋体"/>
                <w:color w:val="auto"/>
                <w:sz w:val="24"/>
                <w:szCs w:val="24"/>
                <w:lang w:eastAsia="zh-CN"/>
              </w:rPr>
              <w:t>身份证明及</w:t>
            </w:r>
            <w:r>
              <w:rPr>
                <w:rFonts w:hint="eastAsia" w:ascii="宋体" w:hAnsi="宋体" w:cs="宋体"/>
                <w:sz w:val="24"/>
                <w:szCs w:val="24"/>
                <w:u w:val="none"/>
                <w:lang w:eastAsia="zh-CN"/>
              </w:rPr>
              <w:t>咨询工程师（投资）登记证书。</w:t>
            </w:r>
          </w:p>
        </w:tc>
      </w:tr>
    </w:tbl>
    <w:p w14:paraId="224B92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4"/>
          <w:highlight w:val="none"/>
          <w:lang w:val="en-US" w:eastAsia="zh-CN"/>
        </w:rPr>
      </w:pPr>
      <w:r>
        <w:rPr>
          <w:rFonts w:hint="eastAsia" w:ascii="宋体" w:hAnsi="宋体" w:cs="宋体"/>
          <w:b/>
          <w:bCs/>
          <w:color w:val="auto"/>
          <w:sz w:val="24"/>
          <w:szCs w:val="24"/>
          <w:highlight w:val="none"/>
          <w:lang w:val="en-US" w:eastAsia="zh-CN"/>
        </w:rPr>
        <w:t>注：在使用电子投标客户端编制投标文件时，以上第3项-第7项内容均应按本采购文件“第六章 投标文件组成”中的“供应商信用承诺书（格式）”编写上传，未按规定提供视为未实质性响应采购文件要求，按无效投标（响应）处理。</w:t>
      </w:r>
    </w:p>
    <w:p w14:paraId="33071880">
      <w:pPr>
        <w:adjustRightInd w:val="0"/>
        <w:snapToGrid w:val="0"/>
        <w:spacing w:line="400" w:lineRule="exact"/>
        <w:jc w:val="left"/>
        <w:rPr>
          <w:u w:val="none"/>
        </w:rPr>
      </w:pPr>
      <w:r>
        <w:rPr>
          <w:rFonts w:hint="eastAsia" w:ascii="宋体" w:hAnsi="宋体" w:cs="宋体"/>
          <w:b/>
          <w:bCs/>
          <w:sz w:val="24"/>
          <w:szCs w:val="24"/>
          <w:u w:val="none"/>
        </w:rPr>
        <w:t>17.投标保证金</w:t>
      </w:r>
    </w:p>
    <w:p w14:paraId="105707E3">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17.1</w:t>
      </w:r>
      <w:r>
        <w:rPr>
          <w:rFonts w:hint="eastAsia" w:ascii="宋体" w:hAnsi="宋体" w:cs="宋体"/>
          <w:b/>
          <w:sz w:val="24"/>
          <w:szCs w:val="24"/>
          <w:u w:val="none"/>
        </w:rPr>
        <w:t>招标文件前附表</w:t>
      </w:r>
      <w:r>
        <w:rPr>
          <w:rFonts w:hint="eastAsia" w:ascii="宋体" w:hAnsi="宋体" w:cs="宋体"/>
          <w:sz w:val="24"/>
          <w:szCs w:val="24"/>
          <w:u w:val="none"/>
        </w:rPr>
        <w:t>规定</w:t>
      </w:r>
      <w:r>
        <w:rPr>
          <w:rFonts w:hint="eastAsia" w:ascii="宋体" w:hAnsi="宋体" w:cs="宋体"/>
          <w:sz w:val="24"/>
          <w:szCs w:val="24"/>
          <w:u w:val="none"/>
          <w:lang w:eastAsia="zh-CN"/>
        </w:rPr>
        <w:t>缴纳</w:t>
      </w:r>
      <w:r>
        <w:rPr>
          <w:rFonts w:hint="eastAsia" w:ascii="宋体" w:hAnsi="宋体" w:cs="宋体"/>
          <w:bCs/>
          <w:sz w:val="24"/>
          <w:szCs w:val="24"/>
          <w:u w:val="none"/>
        </w:rPr>
        <w:t>投标保证金的</w:t>
      </w:r>
      <w:r>
        <w:rPr>
          <w:rFonts w:hint="eastAsia" w:ascii="宋体" w:hAnsi="宋体" w:cs="宋体"/>
          <w:sz w:val="24"/>
          <w:szCs w:val="24"/>
          <w:u w:val="none"/>
        </w:rPr>
        <w:t>，投标人应</w:t>
      </w:r>
      <w:r>
        <w:rPr>
          <w:rFonts w:hint="eastAsia" w:ascii="宋体" w:hAnsi="宋体" w:cs="宋体"/>
          <w:bCs/>
          <w:sz w:val="24"/>
          <w:szCs w:val="24"/>
          <w:u w:val="none"/>
        </w:rPr>
        <w:t>在</w:t>
      </w:r>
      <w:r>
        <w:rPr>
          <w:rFonts w:hint="eastAsia" w:ascii="宋体" w:hAnsi="宋体" w:cs="宋体"/>
          <w:sz w:val="24"/>
          <w:szCs w:val="24"/>
          <w:u w:val="none"/>
        </w:rPr>
        <w:t>本章规定的</w:t>
      </w:r>
      <w:r>
        <w:rPr>
          <w:rFonts w:hint="eastAsia" w:ascii="宋体" w:hAnsi="宋体" w:cs="宋体"/>
          <w:bCs/>
          <w:sz w:val="24"/>
          <w:szCs w:val="24"/>
          <w:u w:val="none"/>
        </w:rPr>
        <w:t>投标截止时间前，按前附表规定的方式投标保证金</w:t>
      </w:r>
      <w:r>
        <w:rPr>
          <w:rFonts w:hint="eastAsia" w:ascii="宋体" w:hAnsi="宋体" w:cs="宋体"/>
          <w:sz w:val="24"/>
          <w:szCs w:val="24"/>
          <w:u w:val="none"/>
        </w:rPr>
        <w:t>。</w:t>
      </w:r>
      <w:r>
        <w:rPr>
          <w:rFonts w:hint="eastAsia" w:ascii="宋体" w:hAnsi="宋体" w:cs="宋体"/>
          <w:bCs/>
          <w:sz w:val="24"/>
          <w:szCs w:val="24"/>
          <w:u w:val="none"/>
        </w:rPr>
        <w:t>投标保证金有效期应与</w:t>
      </w:r>
      <w:r>
        <w:rPr>
          <w:rFonts w:hint="eastAsia" w:ascii="宋体" w:hAnsi="宋体" w:cs="宋体"/>
          <w:sz w:val="24"/>
          <w:szCs w:val="24"/>
          <w:u w:val="none"/>
        </w:rPr>
        <w:t>本章第18.1</w:t>
      </w:r>
      <w:r>
        <w:rPr>
          <w:rFonts w:hint="eastAsia" w:ascii="宋体" w:hAnsi="宋体" w:cs="宋体"/>
          <w:kern w:val="0"/>
          <w:sz w:val="24"/>
          <w:szCs w:val="24"/>
          <w:u w:val="none"/>
          <w:lang w:val="zh-CN"/>
        </w:rPr>
        <w:t>款</w:t>
      </w:r>
      <w:r>
        <w:rPr>
          <w:rFonts w:hint="eastAsia" w:ascii="宋体" w:hAnsi="宋体" w:cs="宋体"/>
          <w:sz w:val="24"/>
          <w:szCs w:val="24"/>
          <w:u w:val="none"/>
        </w:rPr>
        <w:t>规定</w:t>
      </w:r>
      <w:r>
        <w:rPr>
          <w:rFonts w:hint="eastAsia" w:ascii="宋体" w:hAnsi="宋体" w:cs="宋体"/>
          <w:bCs/>
          <w:sz w:val="24"/>
          <w:szCs w:val="24"/>
          <w:u w:val="none"/>
        </w:rPr>
        <w:t>的投标有效期一致。投标人</w:t>
      </w:r>
      <w:r>
        <w:rPr>
          <w:rFonts w:hint="eastAsia" w:ascii="宋体" w:hAnsi="宋体" w:cs="宋体"/>
          <w:sz w:val="24"/>
          <w:szCs w:val="24"/>
          <w:u w:val="none"/>
        </w:rPr>
        <w:t>未按照招标文件要求提交投标保证金的，</w:t>
      </w:r>
      <w:r>
        <w:rPr>
          <w:rFonts w:hint="eastAsia" w:ascii="宋体" w:hAnsi="宋体" w:cs="宋体"/>
          <w:bCs/>
          <w:sz w:val="24"/>
          <w:szCs w:val="24"/>
          <w:u w:val="none"/>
        </w:rPr>
        <w:t>采购代理机构</w:t>
      </w:r>
      <w:r>
        <w:rPr>
          <w:rFonts w:hint="eastAsia" w:ascii="宋体" w:hAnsi="宋体" w:cs="宋体"/>
          <w:sz w:val="24"/>
          <w:szCs w:val="24"/>
          <w:u w:val="none"/>
        </w:rPr>
        <w:t>应当拒绝接收投标人的投标文件或评标委员会在评标时将其视为无效投标。</w:t>
      </w:r>
    </w:p>
    <w:p w14:paraId="4EDA6F8B">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17.2 未中标的投标人的投标保证金，将在中标通知书发出之日起五个工作日内退还。</w:t>
      </w:r>
    </w:p>
    <w:p w14:paraId="6FDC7292">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17.3中标的投标人的投标保证金，将在政府采购合同签订之日起五个工作日内无息退还。</w:t>
      </w:r>
    </w:p>
    <w:p w14:paraId="1FD08EEA">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17.4有以下情形之一的，投标保证金将不予退还：</w:t>
      </w:r>
    </w:p>
    <w:p w14:paraId="2D7EB93F">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（1）投标人在本章第19.1</w:t>
      </w:r>
      <w:r>
        <w:rPr>
          <w:rFonts w:hint="eastAsia" w:ascii="宋体" w:hAnsi="宋体" w:cs="宋体"/>
          <w:kern w:val="0"/>
          <w:sz w:val="24"/>
          <w:szCs w:val="24"/>
          <w:u w:val="none"/>
          <w:lang w:val="zh-CN"/>
        </w:rPr>
        <w:t>款</w:t>
      </w:r>
      <w:r>
        <w:rPr>
          <w:rFonts w:hint="eastAsia" w:ascii="宋体" w:hAnsi="宋体" w:cs="宋体"/>
          <w:bCs/>
          <w:sz w:val="24"/>
          <w:szCs w:val="24"/>
          <w:u w:val="none"/>
        </w:rPr>
        <w:t>规定的</w:t>
      </w:r>
      <w:r>
        <w:rPr>
          <w:rFonts w:hint="eastAsia" w:ascii="宋体" w:hAnsi="宋体" w:cs="宋体"/>
          <w:sz w:val="24"/>
          <w:szCs w:val="24"/>
          <w:u w:val="none"/>
        </w:rPr>
        <w:t xml:space="preserve">投标有效期内撤回或修改投标文件； </w:t>
      </w:r>
    </w:p>
    <w:p w14:paraId="303204F1">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（2）有《政府采购货物和服务招标投标管理办法》第七十五条情形之一。</w:t>
      </w:r>
    </w:p>
    <w:p w14:paraId="34440235">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18.投标有效期</w:t>
      </w:r>
    </w:p>
    <w:p w14:paraId="67014BA2">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18.1投标有效期见</w:t>
      </w:r>
      <w:r>
        <w:rPr>
          <w:rFonts w:hint="eastAsia" w:ascii="宋体" w:hAnsi="宋体" w:cs="宋体"/>
          <w:b/>
          <w:sz w:val="24"/>
          <w:szCs w:val="24"/>
          <w:u w:val="none"/>
        </w:rPr>
        <w:t>招标文件前附表</w:t>
      </w:r>
      <w:r>
        <w:rPr>
          <w:rFonts w:hint="eastAsia" w:ascii="宋体" w:hAnsi="宋体" w:cs="宋体"/>
          <w:sz w:val="24"/>
          <w:szCs w:val="24"/>
          <w:u w:val="none"/>
        </w:rPr>
        <w:t>，在此期间投标文件对投标人具有法律约束力，以保证采购人有足够的时间完成评标、定标以及签订合同。投标有效期从本章第10.1</w:t>
      </w:r>
      <w:r>
        <w:rPr>
          <w:rFonts w:hint="eastAsia" w:ascii="宋体" w:hAnsi="宋体" w:cs="宋体"/>
          <w:kern w:val="0"/>
          <w:sz w:val="24"/>
          <w:szCs w:val="24"/>
          <w:u w:val="none"/>
          <w:lang w:val="zh-CN"/>
        </w:rPr>
        <w:t>款</w:t>
      </w:r>
      <w:r>
        <w:rPr>
          <w:rFonts w:hint="eastAsia" w:ascii="宋体" w:hAnsi="宋体" w:cs="宋体"/>
          <w:sz w:val="24"/>
          <w:szCs w:val="24"/>
          <w:u w:val="none"/>
        </w:rPr>
        <w:t>规定的投标截止之日起计算。投标有效期不足的，在评标时将其视为无效投标。</w:t>
      </w:r>
    </w:p>
    <w:p w14:paraId="382DB5BF">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18.2 特殊情况需延长投标有效期的，采购代理机构可于投标有效期届满之前，要求投标人同意延长有效期，采购代理机构的要求与投标人的答复均应为书面形式。投标人拒绝延长的，其投标在原投标</w:t>
      </w:r>
      <w:r>
        <w:rPr>
          <w:rFonts w:hint="eastAsia" w:ascii="宋体" w:hAnsi="宋体" w:cs="宋体"/>
          <w:sz w:val="24"/>
          <w:szCs w:val="24"/>
          <w:u w:val="none"/>
          <w:lang w:eastAsia="zh-CN"/>
        </w:rPr>
        <w:t>有效期</w:t>
      </w:r>
      <w:r>
        <w:rPr>
          <w:rFonts w:hint="eastAsia" w:ascii="宋体" w:hAnsi="宋体" w:cs="宋体"/>
          <w:sz w:val="24"/>
          <w:szCs w:val="24"/>
          <w:u w:val="none"/>
        </w:rPr>
        <w:t>届满后将不再有效，但有权收回其投标保证金；投标人同意延长的，应相应延长其投标保证金的有效期，但不允许修改或撤回投标文件。</w:t>
      </w:r>
    </w:p>
    <w:p w14:paraId="6C80599A">
      <w:pPr>
        <w:adjustRightInd w:val="0"/>
        <w:snapToGrid w:val="0"/>
        <w:spacing w:line="400" w:lineRule="exact"/>
        <w:jc w:val="left"/>
        <w:rPr>
          <w:rFonts w:hint="eastAsia" w:ascii="宋体" w:hAnsi="宋体" w:eastAsia="宋体" w:cs="宋体"/>
          <w:b/>
          <w:bCs/>
          <w:sz w:val="24"/>
          <w:szCs w:val="24"/>
          <w:u w:val="none"/>
          <w:lang w:eastAsia="zh-CN"/>
        </w:rPr>
      </w:pPr>
      <w:r>
        <w:rPr>
          <w:rFonts w:hint="eastAsia" w:ascii="宋体" w:hAnsi="宋体" w:cs="宋体"/>
          <w:b/>
          <w:bCs/>
          <w:sz w:val="24"/>
          <w:szCs w:val="24"/>
          <w:u w:val="none"/>
        </w:rPr>
        <w:t>19.</w:t>
      </w:r>
      <w:r>
        <w:rPr>
          <w:rFonts w:hint="eastAsia" w:ascii="宋体" w:hAnsi="宋体" w:cs="宋体"/>
          <w:b/>
          <w:bCs/>
          <w:sz w:val="24"/>
          <w:szCs w:val="24"/>
          <w:u w:val="none"/>
          <w:lang w:eastAsia="zh-CN"/>
        </w:rPr>
        <w:t>投标文件的编制</w:t>
      </w:r>
    </w:p>
    <w:p w14:paraId="2B7A4C54">
      <w:pPr>
        <w:widowControl/>
        <w:tabs>
          <w:tab w:val="left" w:pos="567"/>
        </w:tabs>
        <w:snapToGrid w:val="0"/>
        <w:spacing w:line="400" w:lineRule="exact"/>
        <w:ind w:firstLine="480" w:firstLineChars="200"/>
        <w:jc w:val="left"/>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19.1</w:t>
      </w:r>
      <w:r>
        <w:rPr>
          <w:rFonts w:hint="eastAsia" w:ascii="宋体" w:hAnsi="宋体" w:cs="宋体"/>
          <w:sz w:val="24"/>
          <w:szCs w:val="24"/>
          <w:u w:val="none"/>
        </w:rPr>
        <w:t>投标</w:t>
      </w:r>
      <w:r>
        <w:rPr>
          <w:rFonts w:ascii="宋体" w:hAnsi="宋体" w:cs="宋体"/>
          <w:sz w:val="24"/>
          <w:szCs w:val="24"/>
          <w:u w:val="none"/>
        </w:rPr>
        <w:t>人要按照采购文件要求进行签章和加密</w:t>
      </w:r>
      <w:r>
        <w:rPr>
          <w:rFonts w:hint="eastAsia" w:ascii="宋体" w:hAnsi="宋体" w:cs="宋体"/>
          <w:b/>
          <w:bCs/>
          <w:sz w:val="24"/>
          <w:szCs w:val="24"/>
          <w:u w:val="none"/>
          <w:lang w:eastAsia="zh-CN"/>
        </w:rPr>
        <w:t>。</w:t>
      </w:r>
    </w:p>
    <w:p w14:paraId="14016DC3">
      <w:pPr>
        <w:widowControl/>
        <w:tabs>
          <w:tab w:val="left" w:pos="567"/>
        </w:tabs>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19</w:t>
      </w:r>
      <w:r>
        <w:rPr>
          <w:rFonts w:hint="eastAsia" w:ascii="宋体" w:hAnsi="宋体" w:cs="宋体"/>
          <w:sz w:val="24"/>
          <w:szCs w:val="24"/>
          <w:u w:val="none"/>
          <w:lang w:val="en-US" w:eastAsia="zh-CN"/>
        </w:rPr>
        <w:t>.2</w:t>
      </w:r>
      <w:r>
        <w:rPr>
          <w:rFonts w:hint="eastAsia" w:ascii="宋体" w:hAnsi="宋体" w:cs="宋体"/>
          <w:sz w:val="24"/>
          <w:szCs w:val="24"/>
          <w:u w:val="none"/>
        </w:rPr>
        <w:t>投标文件应字迹清楚、内容齐全。投标文件中的任何行间插字、涂改和增删，改动之处应加盖单位章或由投标人的</w:t>
      </w:r>
      <w:r>
        <w:rPr>
          <w:rFonts w:hint="eastAsia" w:ascii="宋体" w:hAnsi="宋体" w:cs="宋体"/>
          <w:sz w:val="24"/>
          <w:szCs w:val="24"/>
          <w:u w:val="none"/>
          <w:lang w:eastAsia="zh-CN"/>
        </w:rPr>
        <w:t>法定代表人</w:t>
      </w:r>
      <w:r>
        <w:rPr>
          <w:rFonts w:hint="eastAsia" w:ascii="宋体" w:hAnsi="宋体" w:cs="宋体"/>
          <w:sz w:val="24"/>
          <w:szCs w:val="24"/>
          <w:u w:val="none"/>
        </w:rPr>
        <w:t>或其授权的代理人签字确认。不按上述要求盖章和签字的，在评标时将其视为无效投标。</w:t>
      </w:r>
    </w:p>
    <w:p w14:paraId="6F939491">
      <w:pPr>
        <w:widowControl/>
        <w:tabs>
          <w:tab w:val="left" w:pos="567"/>
        </w:tabs>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19.</w:t>
      </w:r>
      <w:r>
        <w:rPr>
          <w:rFonts w:hint="eastAsia" w:ascii="宋体" w:hAnsi="宋体" w:cs="宋体"/>
          <w:sz w:val="24"/>
          <w:szCs w:val="24"/>
          <w:u w:val="none"/>
          <w:lang w:val="en-US" w:eastAsia="zh-CN"/>
        </w:rPr>
        <w:t>3</w:t>
      </w:r>
      <w:r>
        <w:rPr>
          <w:rFonts w:hint="eastAsia" w:ascii="宋体" w:hAnsi="宋体" w:cs="宋体"/>
          <w:sz w:val="24"/>
          <w:szCs w:val="24"/>
          <w:u w:val="none"/>
        </w:rPr>
        <w:t>因投标文件字迹潦草或表达不清所引起的不利后果由投标人承担。</w:t>
      </w:r>
    </w:p>
    <w:p w14:paraId="596BF855">
      <w:pPr>
        <w:widowControl/>
        <w:tabs>
          <w:tab w:val="left" w:pos="567"/>
        </w:tabs>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19</w:t>
      </w:r>
      <w:r>
        <w:rPr>
          <w:rFonts w:hint="eastAsia" w:ascii="宋体" w:hAnsi="宋体" w:cs="宋体"/>
          <w:sz w:val="24"/>
          <w:szCs w:val="24"/>
          <w:u w:val="none"/>
          <w:lang w:val="en-US" w:eastAsia="zh-CN"/>
        </w:rPr>
        <w:t>.4</w:t>
      </w:r>
      <w:r>
        <w:rPr>
          <w:rFonts w:hint="eastAsia" w:ascii="宋体" w:hAnsi="宋体" w:cs="宋体"/>
          <w:sz w:val="24"/>
          <w:szCs w:val="24"/>
          <w:u w:val="none"/>
        </w:rPr>
        <w:t>投标人在投标文件及相关文件的签订、履行、通知等事项的书面文件中的“单位盖章”、“印章”、“公章”等处均仅指与当事人名称全称相一致的标准公章，不得</w:t>
      </w:r>
      <w:r>
        <w:rPr>
          <w:rFonts w:hint="eastAsia" w:ascii="宋体" w:hAnsi="宋体" w:cs="宋体"/>
          <w:sz w:val="24"/>
          <w:szCs w:val="24"/>
          <w:u w:val="none"/>
          <w:lang w:eastAsia="zh-CN"/>
        </w:rPr>
        <w:t>使用其他</w:t>
      </w:r>
      <w:r>
        <w:rPr>
          <w:rFonts w:hint="eastAsia" w:ascii="宋体" w:hAnsi="宋体" w:cs="宋体"/>
          <w:sz w:val="24"/>
          <w:szCs w:val="24"/>
          <w:u w:val="none"/>
        </w:rPr>
        <w:t>（如带有“专用章”等字样）的印章。</w:t>
      </w:r>
    </w:p>
    <w:p w14:paraId="5EF59451">
      <w:pPr>
        <w:adjustRightInd w:val="0"/>
        <w:snapToGrid w:val="0"/>
        <w:spacing w:line="400" w:lineRule="exact"/>
        <w:jc w:val="left"/>
        <w:rPr>
          <w:rFonts w:ascii="宋体" w:hAnsi="宋体" w:cs="宋体"/>
          <w:b/>
          <w:sz w:val="24"/>
          <w:szCs w:val="24"/>
          <w:u w:val="none"/>
        </w:rPr>
      </w:pPr>
      <w:r>
        <w:rPr>
          <w:rFonts w:hint="eastAsia" w:ascii="宋体" w:hAnsi="宋体" w:cs="宋体"/>
          <w:b/>
          <w:sz w:val="24"/>
          <w:szCs w:val="24"/>
          <w:u w:val="none"/>
        </w:rPr>
        <w:t>四、投标文件的递交</w:t>
      </w:r>
    </w:p>
    <w:p w14:paraId="6A8788A4">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20.投标文件的递交</w:t>
      </w:r>
    </w:p>
    <w:p w14:paraId="0DF834F6">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20.1电子投标文件：</w:t>
      </w:r>
      <w:r>
        <w:rPr>
          <w:rFonts w:hint="eastAsia" w:ascii="宋体" w:hAnsi="宋体" w:cs="宋体"/>
          <w:sz w:val="24"/>
          <w:szCs w:val="24"/>
          <w:u w:val="none"/>
          <w:lang w:eastAsia="zh-CN"/>
        </w:rPr>
        <w:t>请登录</w:t>
      </w:r>
      <w:r>
        <w:rPr>
          <w:rFonts w:hint="eastAsia" w:ascii="宋体" w:hAnsi="宋体" w:cs="宋体"/>
          <w:sz w:val="24"/>
          <w:szCs w:val="24"/>
          <w:u w:val="none"/>
        </w:rPr>
        <w:t>政采云客户端投标。</w:t>
      </w:r>
    </w:p>
    <w:p w14:paraId="6007F6BE">
      <w:pPr>
        <w:snapToGrid w:val="0"/>
        <w:spacing w:line="400" w:lineRule="exact"/>
        <w:ind w:firstLine="480" w:firstLineChars="200"/>
        <w:rPr>
          <w:rFonts w:ascii="宋体" w:hAnsi="宋体" w:cs="宋体"/>
          <w:sz w:val="24"/>
          <w:szCs w:val="24"/>
          <w:u w:val="none"/>
        </w:rPr>
      </w:pPr>
      <w:r>
        <w:rPr>
          <w:rFonts w:hint="eastAsia" w:ascii="宋体" w:hAnsi="宋体" w:cs="宋体"/>
          <w:sz w:val="24"/>
          <w:szCs w:val="24"/>
          <w:u w:val="none"/>
        </w:rPr>
        <w:t>20.2本项目开标方式为远程不见面开标，各投标人</w:t>
      </w:r>
      <w:r>
        <w:rPr>
          <w:rFonts w:hint="eastAsia" w:ascii="宋体" w:hAnsi="宋体" w:cs="宋体"/>
          <w:sz w:val="24"/>
          <w:szCs w:val="24"/>
          <w:u w:val="none"/>
          <w:lang w:eastAsia="zh-CN"/>
        </w:rPr>
        <w:t>应</w:t>
      </w:r>
      <w:r>
        <w:rPr>
          <w:rFonts w:hint="eastAsia" w:ascii="宋体" w:hAnsi="宋体" w:cs="宋体"/>
          <w:b/>
          <w:bCs/>
          <w:sz w:val="24"/>
          <w:szCs w:val="24"/>
          <w:u w:val="none"/>
        </w:rPr>
        <w:t>通过山西省政府采购网下载电子投标文件制作工具进行制作，</w:t>
      </w:r>
      <w:r>
        <w:rPr>
          <w:rFonts w:hint="eastAsia" w:ascii="宋体" w:hAnsi="宋体" w:cs="宋体"/>
          <w:b/>
          <w:bCs/>
          <w:sz w:val="24"/>
          <w:u w:val="none"/>
        </w:rPr>
        <w:t>按照采购文件要求进行签章和加密，并在开标时使用制作电子版投标文件的CA数字证书进行解密操作。无法解密所产生的后果由投标人（投标人）自行承担。</w:t>
      </w:r>
    </w:p>
    <w:p w14:paraId="4E99ABDA">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21.投标文件的修改和撤回</w:t>
      </w:r>
    </w:p>
    <w:p w14:paraId="7C44936E">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21.1在前附表规定的投标截止时间前，投标人可以修改、补充或撤回</w:t>
      </w:r>
      <w:r>
        <w:rPr>
          <w:rFonts w:hint="eastAsia" w:ascii="宋体" w:hAnsi="宋体" w:cs="宋体"/>
          <w:sz w:val="24"/>
          <w:szCs w:val="24"/>
          <w:u w:val="none"/>
          <w:lang w:eastAsia="zh-CN"/>
        </w:rPr>
        <w:t>已</w:t>
      </w:r>
      <w:r>
        <w:rPr>
          <w:rFonts w:hint="eastAsia" w:ascii="宋体" w:hAnsi="宋体" w:cs="宋体"/>
          <w:sz w:val="24"/>
          <w:szCs w:val="24"/>
          <w:u w:val="none"/>
        </w:rPr>
        <w:t>递交的投标文件。</w:t>
      </w:r>
      <w:r>
        <w:rPr>
          <w:rFonts w:hint="eastAsia" w:ascii="宋体" w:hAnsi="宋体" w:cs="宋体"/>
          <w:kern w:val="0"/>
          <w:sz w:val="24"/>
          <w:szCs w:val="24"/>
          <w:u w:val="none"/>
        </w:rPr>
        <w:t>在投标截止时间之后，投标人不得对其投标文件进行补充、修改或撤回。</w:t>
      </w:r>
    </w:p>
    <w:p w14:paraId="572EF985">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21.2修改、补充的内容为投标文件的组成部分。修改、补充的投标文件应按本章第</w:t>
      </w:r>
      <w:r>
        <w:rPr>
          <w:rFonts w:hint="eastAsia" w:ascii="宋体" w:hAnsi="宋体" w:cs="宋体"/>
          <w:bCs/>
          <w:sz w:val="24"/>
          <w:szCs w:val="24"/>
          <w:u w:val="none"/>
        </w:rPr>
        <w:t>20、21项</w:t>
      </w:r>
      <w:r>
        <w:rPr>
          <w:rFonts w:hint="eastAsia" w:ascii="宋体" w:hAnsi="宋体" w:cs="宋体"/>
          <w:sz w:val="24"/>
          <w:szCs w:val="24"/>
          <w:u w:val="none"/>
        </w:rPr>
        <w:t>规定编制、</w:t>
      </w:r>
      <w:r>
        <w:rPr>
          <w:rFonts w:hint="eastAsia" w:ascii="宋体" w:hAnsi="宋体" w:cs="宋体"/>
          <w:bCs/>
          <w:sz w:val="24"/>
          <w:szCs w:val="24"/>
          <w:u w:val="none"/>
        </w:rPr>
        <w:t>签署、</w:t>
      </w:r>
      <w:r>
        <w:rPr>
          <w:rFonts w:hint="eastAsia" w:ascii="宋体" w:hAnsi="宋体" w:cs="宋体"/>
          <w:sz w:val="24"/>
          <w:szCs w:val="24"/>
          <w:u w:val="none"/>
        </w:rPr>
        <w:t>密封、标记和递交，并标明“修改、补充”字样。</w:t>
      </w:r>
    </w:p>
    <w:p w14:paraId="323EEFB8">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21.3投标人撤回投标文件的，采购代理机构自收到投标人书面撤回通知之日起五日内退还已收取的投标保证金。</w:t>
      </w:r>
    </w:p>
    <w:p w14:paraId="2879BFE9">
      <w:pPr>
        <w:pStyle w:val="24"/>
        <w:adjustRightInd w:val="0"/>
        <w:snapToGrid w:val="0"/>
        <w:spacing w:before="0" w:beforeAutospacing="0" w:after="0" w:afterAutospacing="0" w:line="400" w:lineRule="exact"/>
        <w:rPr>
          <w:b/>
          <w:szCs w:val="24"/>
          <w:u w:val="none"/>
        </w:rPr>
      </w:pPr>
      <w:r>
        <w:rPr>
          <w:rStyle w:val="31"/>
          <w:rFonts w:hint="eastAsia"/>
          <w:szCs w:val="24"/>
          <w:u w:val="none"/>
        </w:rPr>
        <w:t>22.</w:t>
      </w:r>
      <w:r>
        <w:rPr>
          <w:rFonts w:hint="eastAsia"/>
          <w:b/>
          <w:szCs w:val="24"/>
          <w:u w:val="none"/>
        </w:rPr>
        <w:t>串通投标行为</w:t>
      </w:r>
    </w:p>
    <w:p w14:paraId="2ADC555A">
      <w:pPr>
        <w:pStyle w:val="24"/>
        <w:adjustRightInd w:val="0"/>
        <w:snapToGrid w:val="0"/>
        <w:spacing w:before="0" w:beforeAutospacing="0" w:after="0" w:afterAutospacing="0" w:line="400" w:lineRule="exact"/>
        <w:ind w:firstLine="456" w:firstLineChars="200"/>
        <w:rPr>
          <w:szCs w:val="24"/>
          <w:u w:val="none"/>
        </w:rPr>
      </w:pPr>
      <w:r>
        <w:rPr>
          <w:rFonts w:hint="eastAsia"/>
          <w:spacing w:val="-6"/>
          <w:szCs w:val="24"/>
          <w:u w:val="none"/>
        </w:rPr>
        <w:t>22.1</w:t>
      </w:r>
      <w:r>
        <w:rPr>
          <w:rFonts w:hint="eastAsia"/>
          <w:szCs w:val="24"/>
          <w:u w:val="none"/>
        </w:rPr>
        <w:t>投标人有以下情形之一的，可认定其有串通投标行为，中标无效：</w:t>
      </w:r>
    </w:p>
    <w:p w14:paraId="11344C5A">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（1）投标人之间协商投标报价等投标文件的实质性内容；</w:t>
      </w:r>
    </w:p>
    <w:p w14:paraId="1AAD9A50">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（2）投标人之间约定中标人；</w:t>
      </w:r>
    </w:p>
    <w:p w14:paraId="1AACD21E">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（3）投标人之间约定部分投标人放弃投标或者中标；</w:t>
      </w:r>
    </w:p>
    <w:p w14:paraId="7C80F4F6">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（4）属于同一集团、协会、商会等组织成员的投标人按照该组织要求协同投标；</w:t>
      </w:r>
    </w:p>
    <w:p w14:paraId="44A82EE4">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（5）投标人之间为谋取中标或者排斥特定投标人而采取的其他联合行动；</w:t>
      </w:r>
    </w:p>
    <w:p w14:paraId="354D773E">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（6）不同投标人的投标文件由同一单位或者个人编制；</w:t>
      </w:r>
    </w:p>
    <w:p w14:paraId="5CCB733B">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（7）不同投标人委托同一单位或者个人办理投标事宜；</w:t>
      </w:r>
    </w:p>
    <w:p w14:paraId="3BCEDF42">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（8）不同投标人的投标文件载明的项目管理成员为同一人；</w:t>
      </w:r>
    </w:p>
    <w:p w14:paraId="4D285299">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（9）不同投标人的投标文件异常一致或者投标报价呈规律性差异；</w:t>
      </w:r>
    </w:p>
    <w:p w14:paraId="140EF01E">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（10）不同投标人的投标文件相互混装；</w:t>
      </w:r>
    </w:p>
    <w:p w14:paraId="35E3AC98">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（11）不同投标人的投标保证金从同一单位或者个人的账户转出；</w:t>
      </w:r>
    </w:p>
    <w:p w14:paraId="5839AB8A">
      <w:pPr>
        <w:spacing w:line="440" w:lineRule="exact"/>
        <w:ind w:firstLine="480" w:firstLineChars="200"/>
        <w:rPr>
          <w:rFonts w:ascii="宋体" w:hAnsi="宋体" w:cs="宋体"/>
          <w:sz w:val="24"/>
          <w:u w:val="none"/>
        </w:rPr>
      </w:pPr>
      <w:r>
        <w:rPr>
          <w:rFonts w:hint="eastAsia" w:ascii="宋体" w:hAnsi="宋体" w:cs="宋体"/>
          <w:sz w:val="24"/>
          <w:u w:val="none"/>
        </w:rPr>
        <w:t>（12）不同投标人的投标文件由同一电子设备编制、打印加密或者上传；</w:t>
      </w:r>
    </w:p>
    <w:p w14:paraId="39CC216F">
      <w:pPr>
        <w:spacing w:line="440" w:lineRule="exact"/>
        <w:ind w:firstLine="480" w:firstLineChars="200"/>
        <w:rPr>
          <w:rFonts w:ascii="宋体" w:hAnsi="宋体" w:cs="宋体"/>
          <w:sz w:val="24"/>
          <w:u w:val="none"/>
        </w:rPr>
      </w:pPr>
      <w:r>
        <w:rPr>
          <w:rFonts w:hint="eastAsia" w:ascii="宋体" w:hAnsi="宋体" w:cs="宋体"/>
          <w:sz w:val="24"/>
          <w:u w:val="none"/>
        </w:rPr>
        <w:t>（13）不同投标人的投标文件的实质性内容存在两处以上细节错误一致；</w:t>
      </w:r>
    </w:p>
    <w:p w14:paraId="5ECC013C">
      <w:pPr>
        <w:spacing w:line="440" w:lineRule="exact"/>
        <w:ind w:firstLine="480" w:firstLineChars="200"/>
        <w:rPr>
          <w:rFonts w:ascii="宋体" w:hAnsi="宋体" w:cs="宋体"/>
          <w:sz w:val="24"/>
          <w:u w:val="none"/>
        </w:rPr>
      </w:pPr>
      <w:r>
        <w:rPr>
          <w:rFonts w:hint="eastAsia" w:ascii="宋体" w:hAnsi="宋体" w:cs="宋体"/>
          <w:sz w:val="24"/>
          <w:u w:val="none"/>
        </w:rPr>
        <w:t>（14）电子投标文件记录的MAC地址、硬盘序列号等硬件信息出现任一相同情况，包含不同投标人在不同批次投标活动中信息相同情况；</w:t>
      </w:r>
    </w:p>
    <w:p w14:paraId="2BBAA78B">
      <w:pPr>
        <w:spacing w:line="440" w:lineRule="exact"/>
        <w:ind w:firstLine="480" w:firstLineChars="200"/>
        <w:rPr>
          <w:rFonts w:ascii="宋体" w:hAnsi="宋体" w:cs="宋体"/>
          <w:sz w:val="24"/>
          <w:u w:val="none"/>
        </w:rPr>
      </w:pPr>
      <w:r>
        <w:rPr>
          <w:rFonts w:hint="eastAsia" w:ascii="宋体" w:hAnsi="宋体" w:cs="宋体"/>
          <w:sz w:val="24"/>
          <w:u w:val="none"/>
        </w:rPr>
        <w:t>（15）投标文件的制作、记录上传IP地址，投标人购买招标文件IP地址等信息出现任一相同情况；</w:t>
      </w:r>
    </w:p>
    <w:p w14:paraId="11A4BBA9">
      <w:pPr>
        <w:pStyle w:val="24"/>
        <w:adjustRightInd w:val="0"/>
        <w:snapToGrid w:val="0"/>
        <w:spacing w:before="0" w:beforeAutospacing="0" w:after="0" w:afterAutospacing="0" w:line="400" w:lineRule="exact"/>
        <w:ind w:firstLine="480" w:firstLineChars="200"/>
        <w:rPr>
          <w:szCs w:val="24"/>
          <w:u w:val="none"/>
        </w:rPr>
      </w:pPr>
      <w:r>
        <w:rPr>
          <w:rFonts w:hint="eastAsia"/>
          <w:szCs w:val="24"/>
          <w:u w:val="none"/>
        </w:rPr>
        <w:t>（16）法律、法规或规章规定的其他串通投标行为。</w:t>
      </w:r>
    </w:p>
    <w:p w14:paraId="77C593D5">
      <w:pPr>
        <w:pStyle w:val="24"/>
        <w:adjustRightInd w:val="0"/>
        <w:snapToGrid w:val="0"/>
        <w:spacing w:before="0" w:beforeAutospacing="0" w:after="0" w:afterAutospacing="0" w:line="400" w:lineRule="exact"/>
        <w:rPr>
          <w:b/>
          <w:szCs w:val="24"/>
          <w:u w:val="none"/>
        </w:rPr>
      </w:pPr>
      <w:r>
        <w:rPr>
          <w:rFonts w:hint="eastAsia"/>
          <w:b/>
          <w:szCs w:val="24"/>
          <w:u w:val="none"/>
        </w:rPr>
        <w:t>五、开标和评标</w:t>
      </w:r>
    </w:p>
    <w:p w14:paraId="571E1A96">
      <w:pPr>
        <w:adjustRightInd w:val="0"/>
        <w:snapToGrid w:val="0"/>
        <w:spacing w:line="400" w:lineRule="exact"/>
        <w:ind w:firstLine="482" w:firstLineChars="200"/>
        <w:jc w:val="left"/>
        <w:rPr>
          <w:rFonts w:ascii="宋体" w:hAnsi="宋体" w:cs="宋体"/>
          <w:b/>
          <w:bCs/>
          <w:sz w:val="24"/>
          <w:szCs w:val="24"/>
          <w:u w:val="none"/>
        </w:rPr>
      </w:pPr>
      <w:r>
        <w:rPr>
          <w:rFonts w:hint="eastAsia" w:ascii="宋体" w:hAnsi="宋体" w:cs="宋体"/>
          <w:b/>
          <w:bCs/>
          <w:sz w:val="24"/>
          <w:szCs w:val="24"/>
          <w:u w:val="none"/>
        </w:rPr>
        <w:t>23.开标</w:t>
      </w:r>
    </w:p>
    <w:p w14:paraId="1ECD529F">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（1）宣布开标纪律；</w:t>
      </w:r>
    </w:p>
    <w:p w14:paraId="237920B4">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（2）介绍主持人、开标人、唱标人、记录人、监标人等有关人员姓名；</w:t>
      </w:r>
    </w:p>
    <w:p w14:paraId="23DDC575">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（3）公布在投标截止时间前递交投标文件的投标人名称；</w:t>
      </w:r>
    </w:p>
    <w:p w14:paraId="5E6417E3">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（4）由各投标人代表使用本单位CA进行远程解密，解密完成后开始唱标。</w:t>
      </w:r>
    </w:p>
    <w:p w14:paraId="0B6A34E4">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（5）设有最高限价（采购预算金额）的，公布最高限价（采购预算金额）；</w:t>
      </w:r>
    </w:p>
    <w:p w14:paraId="095141C6">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（6）投标人代表使用本单位CA对报价内容进行确认；</w:t>
      </w:r>
    </w:p>
    <w:p w14:paraId="0604D804">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（7）开标结束。</w:t>
      </w:r>
    </w:p>
    <w:p w14:paraId="0604B735">
      <w:pPr>
        <w:adjustRightInd w:val="0"/>
        <w:snapToGrid w:val="0"/>
        <w:spacing w:line="400" w:lineRule="exact"/>
        <w:ind w:firstLine="482" w:firstLineChars="200"/>
        <w:jc w:val="left"/>
        <w:rPr>
          <w:rFonts w:ascii="宋体" w:hAnsi="宋体" w:cs="宋体"/>
          <w:b/>
          <w:bCs/>
          <w:sz w:val="24"/>
          <w:szCs w:val="24"/>
          <w:u w:val="none"/>
        </w:rPr>
      </w:pPr>
      <w:r>
        <w:rPr>
          <w:rFonts w:hint="eastAsia" w:ascii="宋体" w:hAnsi="宋体" w:cs="宋体"/>
          <w:b/>
          <w:bCs/>
          <w:sz w:val="24"/>
          <w:szCs w:val="24"/>
          <w:u w:val="none"/>
        </w:rPr>
        <w:t>24.评标委员会</w:t>
      </w:r>
    </w:p>
    <w:p w14:paraId="51538229">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24.1评标由采购人或采购代理机构依法组建的评标委员会负责，评标委员会由</w:t>
      </w:r>
      <w:r>
        <w:rPr>
          <w:rFonts w:hint="eastAsia" w:ascii="宋体" w:hAnsi="宋体" w:cs="宋体"/>
          <w:sz w:val="24"/>
          <w:szCs w:val="24"/>
          <w:u w:val="none"/>
          <w:lang w:val="en-US" w:eastAsia="zh-CN"/>
        </w:rPr>
        <w:t>7人组成，其中</w:t>
      </w:r>
      <w:r>
        <w:rPr>
          <w:rFonts w:hint="eastAsia" w:ascii="宋体" w:hAnsi="宋体" w:cs="宋体"/>
          <w:sz w:val="24"/>
          <w:szCs w:val="24"/>
          <w:u w:val="none"/>
        </w:rPr>
        <w:t>经济、技术等方面的专家</w:t>
      </w:r>
      <w:r>
        <w:rPr>
          <w:rFonts w:hint="eastAsia" w:ascii="宋体" w:hAnsi="宋体" w:cs="宋体"/>
          <w:sz w:val="24"/>
          <w:szCs w:val="24"/>
          <w:u w:val="none"/>
          <w:lang w:val="en-US" w:eastAsia="zh-CN"/>
        </w:rPr>
        <w:t>不少于2/3</w:t>
      </w:r>
      <w:r>
        <w:rPr>
          <w:rFonts w:hint="eastAsia" w:ascii="宋体" w:hAnsi="宋体" w:cs="宋体"/>
          <w:sz w:val="24"/>
          <w:szCs w:val="24"/>
          <w:u w:val="none"/>
        </w:rPr>
        <w:t>。</w:t>
      </w:r>
    </w:p>
    <w:p w14:paraId="6FEC5257">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24.2评标委员会成员与投标人存在利害关系的，应当回避。</w:t>
      </w:r>
      <w:r>
        <w:rPr>
          <w:rFonts w:hint="eastAsia" w:ascii="宋体" w:hAnsi="宋体" w:cs="宋体"/>
          <w:kern w:val="0"/>
          <w:sz w:val="24"/>
          <w:szCs w:val="24"/>
          <w:u w:val="none"/>
        </w:rPr>
        <w:t>招标代理机构（或招标人）就招标文件征询过意见的专家</w:t>
      </w:r>
      <w:r>
        <w:rPr>
          <w:rFonts w:hint="eastAsia" w:ascii="宋体" w:hAnsi="宋体" w:cs="宋体"/>
          <w:kern w:val="0"/>
          <w:sz w:val="24"/>
          <w:szCs w:val="24"/>
          <w:u w:val="none"/>
          <w:lang w:eastAsia="zh-CN"/>
        </w:rPr>
        <w:t>，</w:t>
      </w:r>
      <w:r>
        <w:rPr>
          <w:rFonts w:hint="eastAsia" w:ascii="宋体" w:hAnsi="宋体" w:cs="宋体"/>
          <w:kern w:val="0"/>
          <w:sz w:val="24"/>
          <w:szCs w:val="24"/>
          <w:u w:val="none"/>
        </w:rPr>
        <w:t xml:space="preserve">不得作为评标专家参加评标。 </w:t>
      </w:r>
    </w:p>
    <w:p w14:paraId="0EE26CCF">
      <w:pPr>
        <w:pStyle w:val="15"/>
        <w:adjustRightInd w:val="0"/>
        <w:snapToGrid w:val="0"/>
        <w:spacing w:line="400" w:lineRule="exact"/>
        <w:ind w:firstLine="482" w:firstLineChars="200"/>
        <w:jc w:val="left"/>
        <w:rPr>
          <w:rFonts w:hAnsi="宋体" w:cs="宋体"/>
          <w:b/>
          <w:bCs/>
          <w:sz w:val="24"/>
          <w:szCs w:val="24"/>
          <w:u w:val="none"/>
        </w:rPr>
      </w:pPr>
      <w:r>
        <w:rPr>
          <w:rFonts w:hint="eastAsia" w:hAnsi="宋体" w:cs="宋体"/>
          <w:b/>
          <w:bCs/>
          <w:sz w:val="24"/>
          <w:szCs w:val="24"/>
          <w:u w:val="none"/>
        </w:rPr>
        <w:t>25.评标</w:t>
      </w:r>
    </w:p>
    <w:p w14:paraId="393E5085">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25.1 评标委员会应严格按照</w:t>
      </w:r>
      <w:r>
        <w:rPr>
          <w:rFonts w:hint="eastAsia" w:hAnsi="宋体" w:cs="宋体"/>
          <w:bCs/>
          <w:sz w:val="24"/>
          <w:szCs w:val="24"/>
          <w:u w:val="none"/>
        </w:rPr>
        <w:t>第</w:t>
      </w:r>
      <w:r>
        <w:rPr>
          <w:rFonts w:hint="eastAsia" w:hAnsi="宋体" w:cs="宋体"/>
          <w:bCs/>
          <w:sz w:val="24"/>
          <w:szCs w:val="24"/>
          <w:u w:val="none"/>
          <w:lang w:val="en-US" w:eastAsia="zh-CN"/>
        </w:rPr>
        <w:t>四</w:t>
      </w:r>
      <w:r>
        <w:rPr>
          <w:rFonts w:hint="eastAsia" w:hAnsi="宋体" w:cs="宋体"/>
          <w:bCs/>
          <w:sz w:val="24"/>
          <w:szCs w:val="24"/>
          <w:u w:val="none"/>
        </w:rPr>
        <w:t>章“评标方法及标准”</w:t>
      </w:r>
      <w:r>
        <w:rPr>
          <w:rFonts w:hint="eastAsia" w:hAnsi="宋体" w:cs="宋体"/>
          <w:sz w:val="24"/>
          <w:szCs w:val="24"/>
          <w:u w:val="none"/>
        </w:rPr>
        <w:t xml:space="preserve"> 规定的评标方法、评审因素、标准和程序以及有关法律、法规及规章对投标文件进行评审。</w:t>
      </w:r>
    </w:p>
    <w:p w14:paraId="689159AD">
      <w:pPr>
        <w:widowControl/>
        <w:tabs>
          <w:tab w:val="left" w:pos="0"/>
        </w:tabs>
        <w:snapToGrid w:val="0"/>
        <w:spacing w:line="400" w:lineRule="exact"/>
        <w:ind w:firstLine="624"/>
        <w:jc w:val="left"/>
        <w:rPr>
          <w:rFonts w:ascii="宋体" w:hAnsi="宋体" w:cs="宋体"/>
          <w:kern w:val="0"/>
          <w:sz w:val="24"/>
          <w:szCs w:val="24"/>
          <w:u w:val="none"/>
        </w:rPr>
      </w:pPr>
      <w:r>
        <w:rPr>
          <w:rFonts w:hint="eastAsia" w:ascii="宋体" w:hAnsi="宋体" w:cs="宋体"/>
          <w:b/>
          <w:kern w:val="0"/>
          <w:sz w:val="24"/>
          <w:szCs w:val="24"/>
          <w:u w:val="none"/>
        </w:rPr>
        <w:t>25.2评标过程保密</w:t>
      </w:r>
    </w:p>
    <w:p w14:paraId="249CD204">
      <w:pPr>
        <w:widowControl/>
        <w:tabs>
          <w:tab w:val="left" w:pos="567"/>
        </w:tabs>
        <w:snapToGrid w:val="0"/>
        <w:spacing w:line="400" w:lineRule="exact"/>
        <w:ind w:firstLine="624"/>
        <w:jc w:val="left"/>
        <w:rPr>
          <w:rFonts w:ascii="宋体" w:hAnsi="宋体" w:cs="宋体"/>
          <w:kern w:val="0"/>
          <w:sz w:val="24"/>
          <w:szCs w:val="24"/>
          <w:u w:val="none"/>
        </w:rPr>
      </w:pPr>
      <w:r>
        <w:rPr>
          <w:rFonts w:hint="eastAsia" w:ascii="宋体" w:hAnsi="宋体" w:cs="宋体"/>
          <w:kern w:val="0"/>
          <w:sz w:val="24"/>
          <w:szCs w:val="24"/>
          <w:u w:val="none"/>
        </w:rPr>
        <w:t>开标之后，直到授予</w:t>
      </w:r>
      <w:r>
        <w:rPr>
          <w:rFonts w:hint="eastAsia" w:ascii="宋体" w:hAnsi="宋体" w:cs="宋体"/>
          <w:sz w:val="24"/>
          <w:szCs w:val="24"/>
          <w:u w:val="none"/>
        </w:rPr>
        <w:t>中标人</w:t>
      </w:r>
      <w:r>
        <w:rPr>
          <w:rFonts w:hint="eastAsia" w:ascii="宋体" w:hAnsi="宋体" w:cs="宋体"/>
          <w:kern w:val="0"/>
          <w:sz w:val="24"/>
          <w:szCs w:val="24"/>
          <w:u w:val="none"/>
        </w:rPr>
        <w:t>合同止，凡是属于审查、澄清、评价和比较投标的有关资料以及授标意向等，均不得向投标人或其他与评标无关的人员透露。</w:t>
      </w:r>
    </w:p>
    <w:p w14:paraId="282AB983">
      <w:pPr>
        <w:widowControl/>
        <w:tabs>
          <w:tab w:val="left" w:pos="0"/>
        </w:tabs>
        <w:snapToGrid w:val="0"/>
        <w:spacing w:line="400" w:lineRule="exact"/>
        <w:ind w:firstLine="624"/>
        <w:jc w:val="left"/>
        <w:rPr>
          <w:rFonts w:ascii="宋体" w:hAnsi="宋体" w:cs="宋体"/>
          <w:kern w:val="0"/>
          <w:sz w:val="24"/>
          <w:szCs w:val="24"/>
          <w:u w:val="none"/>
        </w:rPr>
      </w:pPr>
      <w:r>
        <w:rPr>
          <w:rFonts w:hint="eastAsia" w:ascii="宋体" w:hAnsi="宋体" w:cs="宋体"/>
          <w:b/>
          <w:kern w:val="0"/>
          <w:sz w:val="24"/>
          <w:szCs w:val="24"/>
          <w:u w:val="none"/>
        </w:rPr>
        <w:t>25.3关于投标人非实质性响应滞后发现的处理规则</w:t>
      </w:r>
    </w:p>
    <w:p w14:paraId="492B6B10">
      <w:pPr>
        <w:widowControl/>
        <w:snapToGrid w:val="0"/>
        <w:spacing w:line="400" w:lineRule="exact"/>
        <w:ind w:firstLine="480" w:firstLineChars="200"/>
        <w:jc w:val="left"/>
        <w:rPr>
          <w:rFonts w:ascii="宋体" w:hAnsi="宋体" w:cs="宋体"/>
          <w:b/>
          <w:kern w:val="0"/>
          <w:sz w:val="24"/>
          <w:szCs w:val="24"/>
          <w:u w:val="none"/>
        </w:rPr>
      </w:pPr>
      <w:r>
        <w:rPr>
          <w:rFonts w:hint="eastAsia" w:ascii="宋体" w:hAnsi="宋体" w:cs="宋体"/>
          <w:kern w:val="0"/>
          <w:sz w:val="24"/>
          <w:szCs w:val="24"/>
          <w:u w:val="none"/>
        </w:rPr>
        <w:t>无论基于何种原因，各项本应做拒绝投标处理的情形，即便未被及时发现而使该投标人进入初审、详细评审</w:t>
      </w:r>
      <w:r>
        <w:rPr>
          <w:rFonts w:hint="eastAsia" w:ascii="宋体" w:hAnsi="宋体" w:cs="宋体"/>
          <w:kern w:val="0"/>
          <w:sz w:val="24"/>
          <w:szCs w:val="24"/>
          <w:u w:val="none"/>
          <w:lang w:eastAsia="zh-CN"/>
        </w:rPr>
        <w:t>或其他</w:t>
      </w:r>
      <w:r>
        <w:rPr>
          <w:rFonts w:hint="eastAsia" w:ascii="宋体" w:hAnsi="宋体" w:cs="宋体"/>
          <w:kern w:val="0"/>
          <w:sz w:val="24"/>
          <w:szCs w:val="24"/>
          <w:u w:val="none"/>
        </w:rPr>
        <w:t>后续程序，包括已经签约的情形。一旦被发现存在上述情形，</w:t>
      </w:r>
      <w:r>
        <w:rPr>
          <w:rFonts w:hint="eastAsia" w:ascii="宋体" w:hAnsi="宋体" w:cs="宋体"/>
          <w:b/>
          <w:kern w:val="0"/>
          <w:sz w:val="24"/>
          <w:szCs w:val="24"/>
          <w:u w:val="none"/>
        </w:rPr>
        <w:t>采购代理机构（或采购人）均有权决定取消该投标人的此前评审结果，或决定对该投标予以拒绝，并有权采取相应的补救及纠正措施。</w:t>
      </w:r>
    </w:p>
    <w:p w14:paraId="6FD3FB2F">
      <w:pPr>
        <w:adjustRightInd w:val="0"/>
        <w:snapToGrid w:val="0"/>
        <w:spacing w:line="400" w:lineRule="exact"/>
        <w:jc w:val="left"/>
        <w:rPr>
          <w:rFonts w:ascii="宋体" w:hAnsi="宋体" w:cs="宋体"/>
          <w:b/>
          <w:sz w:val="24"/>
          <w:szCs w:val="24"/>
          <w:u w:val="none"/>
        </w:rPr>
      </w:pPr>
      <w:r>
        <w:rPr>
          <w:rFonts w:hint="eastAsia" w:ascii="宋体" w:hAnsi="宋体" w:cs="宋体"/>
          <w:b/>
          <w:sz w:val="24"/>
          <w:szCs w:val="24"/>
          <w:u w:val="none"/>
        </w:rPr>
        <w:t>六、中标信息公布与投标人</w:t>
      </w:r>
      <w:r>
        <w:rPr>
          <w:rFonts w:hint="eastAsia" w:ascii="宋体" w:hAnsi="宋体" w:cs="宋体"/>
          <w:b/>
          <w:bCs/>
          <w:sz w:val="24"/>
          <w:szCs w:val="24"/>
          <w:u w:val="none"/>
        </w:rPr>
        <w:t>质疑</w:t>
      </w:r>
    </w:p>
    <w:p w14:paraId="67679EE2">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26.中标信息公布</w:t>
      </w:r>
    </w:p>
    <w:p w14:paraId="3820015C">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26.1中标人确定后，中标信息将在指定的媒体上公布。采购代理机构或采购人对未中标的投标人不</w:t>
      </w:r>
      <w:r>
        <w:rPr>
          <w:rFonts w:hint="eastAsia" w:ascii="宋体" w:hAnsi="宋体" w:cs="宋体"/>
          <w:sz w:val="24"/>
          <w:szCs w:val="24"/>
          <w:u w:val="none"/>
          <w:lang w:eastAsia="zh-CN"/>
        </w:rPr>
        <w:t>作</w:t>
      </w:r>
      <w:r>
        <w:rPr>
          <w:rFonts w:hint="eastAsia" w:ascii="宋体" w:hAnsi="宋体" w:cs="宋体"/>
          <w:sz w:val="24"/>
          <w:szCs w:val="24"/>
          <w:u w:val="none"/>
        </w:rPr>
        <w:t>未中标原因解释。</w:t>
      </w:r>
    </w:p>
    <w:p w14:paraId="4F9B1EF0">
      <w:pPr>
        <w:adjustRightInd w:val="0"/>
        <w:snapToGrid w:val="0"/>
        <w:spacing w:line="400" w:lineRule="exact"/>
        <w:jc w:val="left"/>
        <w:rPr>
          <w:rFonts w:ascii="宋体" w:hAnsi="宋体" w:cs="宋体"/>
          <w:sz w:val="24"/>
          <w:szCs w:val="24"/>
          <w:u w:val="none"/>
        </w:rPr>
      </w:pPr>
      <w:r>
        <w:rPr>
          <w:rFonts w:hint="eastAsia" w:ascii="宋体" w:hAnsi="宋体" w:cs="宋体"/>
          <w:b/>
          <w:bCs/>
          <w:sz w:val="24"/>
          <w:szCs w:val="24"/>
          <w:u w:val="none"/>
        </w:rPr>
        <w:t>27.</w:t>
      </w:r>
      <w:r>
        <w:rPr>
          <w:rFonts w:hint="eastAsia" w:ascii="宋体" w:hAnsi="宋体" w:cs="宋体"/>
          <w:b/>
          <w:sz w:val="24"/>
          <w:szCs w:val="24"/>
          <w:u w:val="none"/>
        </w:rPr>
        <w:t>投标人</w:t>
      </w:r>
      <w:r>
        <w:rPr>
          <w:rFonts w:hint="eastAsia" w:ascii="宋体" w:hAnsi="宋体" w:cs="宋体"/>
          <w:b/>
          <w:bCs/>
          <w:sz w:val="24"/>
          <w:szCs w:val="24"/>
          <w:u w:val="none"/>
        </w:rPr>
        <w:t>质疑</w:t>
      </w:r>
    </w:p>
    <w:p w14:paraId="4D51D1F7">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27.1招标程序受《中华人民共和国政府采购法》和相关法律法规的约束，并受到严格的内部监督，以确保授予合同过程的公平公正。</w:t>
      </w:r>
    </w:p>
    <w:p w14:paraId="6D22E88B">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27.2投标人对招标文件条款或技术、商务参数有异议的，应当在开标前通过澄清或修改程序提出。</w:t>
      </w:r>
    </w:p>
    <w:p w14:paraId="78150EBF">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27.3投标人对采购事项有疑问的，可以向招标代理机构进行询问。</w:t>
      </w:r>
    </w:p>
    <w:p w14:paraId="149B662E">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27.4投标人认为其投标未获公平评审或者中标结果使自己的合法权益受到损害的，应当在中标结果公告发布之日起7个工作日内提出质疑。</w:t>
      </w:r>
    </w:p>
    <w:p w14:paraId="0F550D6F">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27.5质疑函应当由</w:t>
      </w:r>
      <w:r>
        <w:rPr>
          <w:rFonts w:hint="eastAsia" w:ascii="宋体" w:hAnsi="宋体" w:cs="宋体"/>
          <w:sz w:val="24"/>
          <w:szCs w:val="24"/>
          <w:u w:val="none"/>
          <w:lang w:eastAsia="zh-CN"/>
        </w:rPr>
        <w:t>法定代表人</w:t>
      </w:r>
      <w:r>
        <w:rPr>
          <w:rFonts w:hint="eastAsia" w:ascii="宋体" w:hAnsi="宋体" w:cs="宋体"/>
          <w:sz w:val="24"/>
          <w:szCs w:val="24"/>
          <w:u w:val="none"/>
        </w:rPr>
        <w:t>或者其授权代表签字或加盖本人姓名章，并加盖投标单位公章，</w:t>
      </w:r>
      <w:r>
        <w:rPr>
          <w:rFonts w:hint="eastAsia" w:ascii="宋体" w:hAnsi="宋体" w:cs="宋体"/>
          <w:sz w:val="24"/>
          <w:szCs w:val="24"/>
          <w:u w:val="none"/>
          <w:lang w:eastAsia="zh-CN"/>
        </w:rPr>
        <w:t>通过</w:t>
      </w:r>
      <w:r>
        <w:rPr>
          <w:rFonts w:hint="eastAsia" w:ascii="宋体" w:hAnsi="宋体" w:cs="宋体"/>
          <w:sz w:val="24"/>
          <w:szCs w:val="24"/>
          <w:u w:val="none"/>
        </w:rPr>
        <w:t>政府采购平台进入“项目质疑管理”栏目向采购人、采购代理机构在线提起质疑。</w:t>
      </w:r>
    </w:p>
    <w:p w14:paraId="0F534D31">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27.6质疑函应当包括以下主要内容：</w:t>
      </w:r>
    </w:p>
    <w:p w14:paraId="7348D24C">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（1）投标人的姓名或者名称、地址、邮编、联系人及联系电话；</w:t>
      </w:r>
    </w:p>
    <w:p w14:paraId="66E7B7A7">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（2）质疑项目的名称、编号；</w:t>
      </w:r>
    </w:p>
    <w:p w14:paraId="3D541254">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（3）具体、明确的质疑事项和与质疑事项相关的请求；</w:t>
      </w:r>
    </w:p>
    <w:p w14:paraId="2E3DBB43">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（4）事实依据；</w:t>
      </w:r>
    </w:p>
    <w:p w14:paraId="1CF89C49">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（5）必要的法律依据；</w:t>
      </w:r>
    </w:p>
    <w:p w14:paraId="1333A4EB">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（6）提出质疑的日期。</w:t>
      </w:r>
    </w:p>
    <w:p w14:paraId="21491080">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27.7质疑应遵循“谁主张、谁举证”的原则，质疑函应当附相关证明材料。</w:t>
      </w:r>
    </w:p>
    <w:p w14:paraId="007C8BD0">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27.8有下列情形之一的，属于无效质疑，招标人可不予受理：</w:t>
      </w:r>
    </w:p>
    <w:p w14:paraId="64EECC56">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（1）未在有效期限内提出质疑的；</w:t>
      </w:r>
    </w:p>
    <w:p w14:paraId="5DBB66F8">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（2）质疑未以书面形式提出的；</w:t>
      </w:r>
    </w:p>
    <w:p w14:paraId="39982894">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（3）所提交材料未明示属于质疑材料的；</w:t>
      </w:r>
    </w:p>
    <w:p w14:paraId="4F91416F">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（4）质疑函没有</w:t>
      </w:r>
      <w:r>
        <w:rPr>
          <w:rFonts w:hint="eastAsia" w:ascii="宋体" w:hAnsi="宋体" w:cs="宋体"/>
          <w:sz w:val="24"/>
          <w:szCs w:val="24"/>
          <w:u w:val="none"/>
          <w:lang w:eastAsia="zh-CN"/>
        </w:rPr>
        <w:t>法定代表人</w:t>
      </w:r>
      <w:r>
        <w:rPr>
          <w:rFonts w:hint="eastAsia" w:ascii="宋体" w:hAnsi="宋体" w:cs="宋体"/>
          <w:sz w:val="24"/>
          <w:szCs w:val="24"/>
          <w:u w:val="none"/>
        </w:rPr>
        <w:t>签署本人姓名或加盖本人姓名章和单位公章的；质疑函有参加采购项目的授权代表签名或本人姓名章，但没有</w:t>
      </w:r>
      <w:r>
        <w:rPr>
          <w:rFonts w:hint="eastAsia" w:ascii="宋体" w:hAnsi="宋体" w:cs="宋体"/>
          <w:sz w:val="24"/>
          <w:szCs w:val="24"/>
          <w:u w:val="none"/>
          <w:lang w:eastAsia="zh-CN"/>
        </w:rPr>
        <w:t>法定代表人</w:t>
      </w:r>
      <w:r>
        <w:rPr>
          <w:rFonts w:hint="eastAsia" w:ascii="宋体" w:hAnsi="宋体" w:cs="宋体"/>
          <w:sz w:val="24"/>
          <w:szCs w:val="24"/>
          <w:u w:val="none"/>
        </w:rPr>
        <w:t>特别授权的。</w:t>
      </w:r>
    </w:p>
    <w:p w14:paraId="185F8261">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（5）质疑函未提供有效联系人或联系方式的；</w:t>
      </w:r>
    </w:p>
    <w:p w14:paraId="71369FAF">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（6）质疑事项已经进入投诉或者行政复议或者诉讼程序的；</w:t>
      </w:r>
    </w:p>
    <w:p w14:paraId="3B041632">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（7）质疑函未附相关证明材料，被视为无有效证据支持的。</w:t>
      </w:r>
    </w:p>
    <w:p w14:paraId="095A9450">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（8）投标人对招标文件条款或技术参数有异议，未在开标前通过澄清或修改程序提出，而于开标后对招标文件提出质疑的；</w:t>
      </w:r>
    </w:p>
    <w:p w14:paraId="3290F813">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（9）在提出本次质疑前半年内连续三次质疑而无事实依据的；</w:t>
      </w:r>
    </w:p>
    <w:p w14:paraId="0284A49E">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（10）</w:t>
      </w:r>
      <w:r>
        <w:rPr>
          <w:rFonts w:hint="eastAsia" w:ascii="宋体" w:hAnsi="宋体" w:cs="宋体"/>
          <w:sz w:val="24"/>
          <w:szCs w:val="24"/>
          <w:u w:val="none"/>
          <w:lang w:eastAsia="zh-CN"/>
        </w:rPr>
        <w:t>其他不符合</w:t>
      </w:r>
      <w:r>
        <w:rPr>
          <w:rFonts w:hint="eastAsia" w:ascii="宋体" w:hAnsi="宋体" w:cs="宋体"/>
          <w:sz w:val="24"/>
          <w:szCs w:val="24"/>
          <w:u w:val="none"/>
        </w:rPr>
        <w:t>受理条件的情形</w:t>
      </w:r>
    </w:p>
    <w:p w14:paraId="4160216D">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27.9采购代理机构将在收到书面质疑后7个工作日内审查质疑事项，</w:t>
      </w:r>
      <w:r>
        <w:rPr>
          <w:rFonts w:hint="eastAsia" w:ascii="宋体" w:hAnsi="宋体" w:cs="宋体"/>
          <w:sz w:val="24"/>
          <w:szCs w:val="24"/>
          <w:u w:val="none"/>
          <w:lang w:eastAsia="zh-CN"/>
        </w:rPr>
        <w:t>作出</w:t>
      </w:r>
      <w:r>
        <w:rPr>
          <w:rFonts w:hint="eastAsia" w:ascii="宋体" w:hAnsi="宋体" w:cs="宋体"/>
          <w:sz w:val="24"/>
          <w:szCs w:val="24"/>
          <w:u w:val="none"/>
        </w:rPr>
        <w:t>答复或相关处理决定，并以书面形式通知质疑投标人和其他有关投标人，但答复的内容不涉及商业秘密。</w:t>
      </w:r>
    </w:p>
    <w:p w14:paraId="4E8DC96E">
      <w:pPr>
        <w:adjustRightInd w:val="0"/>
        <w:snapToGrid w:val="0"/>
        <w:spacing w:line="400" w:lineRule="exact"/>
        <w:ind w:firstLine="480" w:firstLineChars="200"/>
        <w:jc w:val="left"/>
        <w:rPr>
          <w:rFonts w:ascii="宋体" w:hAnsi="宋体" w:cs="宋体"/>
          <w:sz w:val="24"/>
          <w:szCs w:val="24"/>
          <w:u w:val="none"/>
        </w:rPr>
      </w:pPr>
      <w:r>
        <w:rPr>
          <w:rFonts w:hint="eastAsia" w:ascii="宋体" w:hAnsi="宋体" w:cs="宋体"/>
          <w:sz w:val="24"/>
          <w:szCs w:val="24"/>
          <w:u w:val="none"/>
        </w:rPr>
        <w:t>27.10质疑投标人对招标代理机构的答复不满意的，可以在答复期满后15个工作日内向本级财政部门提起投诉。</w:t>
      </w:r>
    </w:p>
    <w:p w14:paraId="5283366A">
      <w:pPr>
        <w:adjustRightInd w:val="0"/>
        <w:snapToGrid w:val="0"/>
        <w:spacing w:line="400" w:lineRule="exact"/>
        <w:jc w:val="left"/>
        <w:rPr>
          <w:rFonts w:ascii="宋体" w:hAnsi="宋体" w:cs="宋体"/>
          <w:b/>
          <w:sz w:val="24"/>
          <w:szCs w:val="24"/>
          <w:u w:val="none"/>
        </w:rPr>
      </w:pPr>
      <w:r>
        <w:rPr>
          <w:rFonts w:hint="eastAsia" w:ascii="宋体" w:hAnsi="宋体" w:cs="宋体"/>
          <w:b/>
          <w:sz w:val="24"/>
          <w:szCs w:val="24"/>
          <w:u w:val="none"/>
        </w:rPr>
        <w:t>七、合同签订</w:t>
      </w:r>
    </w:p>
    <w:p w14:paraId="36FA42D5">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28.中标结果通知</w:t>
      </w:r>
    </w:p>
    <w:p w14:paraId="631DA83D">
      <w:pPr>
        <w:widowControl/>
        <w:tabs>
          <w:tab w:val="left" w:pos="567"/>
        </w:tabs>
        <w:snapToGrid w:val="0"/>
        <w:spacing w:line="400" w:lineRule="exact"/>
        <w:ind w:firstLine="480" w:firstLineChars="200"/>
        <w:jc w:val="left"/>
        <w:rPr>
          <w:rFonts w:ascii="宋体" w:hAnsi="宋体" w:cs="宋体"/>
          <w:kern w:val="0"/>
          <w:sz w:val="24"/>
          <w:szCs w:val="24"/>
          <w:u w:val="none"/>
        </w:rPr>
      </w:pPr>
      <w:r>
        <w:rPr>
          <w:rFonts w:hint="eastAsia" w:ascii="宋体" w:hAnsi="宋体" w:cs="宋体"/>
          <w:sz w:val="24"/>
          <w:szCs w:val="24"/>
          <w:u w:val="none"/>
        </w:rPr>
        <w:t xml:space="preserve">28.1 </w:t>
      </w:r>
      <w:r>
        <w:rPr>
          <w:rFonts w:hint="eastAsia" w:ascii="宋体" w:hAnsi="宋体" w:cs="宋体"/>
          <w:kern w:val="0"/>
          <w:sz w:val="24"/>
          <w:szCs w:val="24"/>
          <w:u w:val="none"/>
        </w:rPr>
        <w:t>中标人确定后</w:t>
      </w:r>
      <w:r>
        <w:rPr>
          <w:rFonts w:hint="eastAsia" w:ascii="宋体" w:hAnsi="宋体" w:cs="宋体"/>
          <w:kern w:val="0"/>
          <w:sz w:val="24"/>
          <w:szCs w:val="24"/>
          <w:u w:val="none"/>
          <w:lang w:eastAsia="zh-CN"/>
        </w:rPr>
        <w:t>，</w:t>
      </w:r>
      <w:r>
        <w:rPr>
          <w:rFonts w:hint="eastAsia" w:ascii="宋体" w:hAnsi="宋体" w:cs="宋体"/>
          <w:sz w:val="24"/>
          <w:szCs w:val="24"/>
          <w:u w:val="none"/>
        </w:rPr>
        <w:t>采购</w:t>
      </w:r>
      <w:r>
        <w:rPr>
          <w:rFonts w:hint="eastAsia" w:ascii="宋体" w:hAnsi="宋体" w:cs="宋体"/>
          <w:kern w:val="0"/>
          <w:sz w:val="24"/>
          <w:szCs w:val="24"/>
          <w:u w:val="none"/>
        </w:rPr>
        <w:t>代理机构将在刊登本次招标公告的媒体上发布中标公告，并以书面形式向中标人发出中标通知书，但该中标结果的有效性不依赖于未中标的投标人是否知道中标结果。中标通知书对招标人和中标人具有同等法律效力。中标通知书发出以后，招标人改变中标结果或者中标人放弃中标，应当承担相应的法律责任。</w:t>
      </w:r>
    </w:p>
    <w:p w14:paraId="297DB25B">
      <w:pPr>
        <w:widowControl/>
        <w:tabs>
          <w:tab w:val="left" w:pos="567"/>
        </w:tabs>
        <w:snapToGrid w:val="0"/>
        <w:spacing w:line="40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28.2招标代理机构（或招标人）对未中标的投标人不做未中标原因的解释。</w:t>
      </w:r>
    </w:p>
    <w:p w14:paraId="27B79DBD">
      <w:pPr>
        <w:widowControl/>
        <w:tabs>
          <w:tab w:val="left" w:pos="567"/>
        </w:tabs>
        <w:snapToGrid w:val="0"/>
        <w:spacing w:line="40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28.3中标通知书是合同的组成部分。</w:t>
      </w:r>
    </w:p>
    <w:p w14:paraId="7880E245">
      <w:pPr>
        <w:adjustRightInd w:val="0"/>
        <w:snapToGrid w:val="0"/>
        <w:spacing w:line="400" w:lineRule="exact"/>
        <w:rPr>
          <w:rFonts w:hint="eastAsia" w:ascii="宋体" w:hAnsi="宋体" w:eastAsia="宋体" w:cs="宋体"/>
          <w:b/>
          <w:kern w:val="0"/>
          <w:sz w:val="24"/>
          <w:szCs w:val="24"/>
          <w:u w:val="none"/>
          <w:lang w:eastAsia="zh-CN"/>
        </w:rPr>
      </w:pPr>
      <w:r>
        <w:rPr>
          <w:rFonts w:hint="eastAsia" w:ascii="宋体" w:hAnsi="宋体" w:cs="宋体"/>
          <w:b/>
          <w:kern w:val="0"/>
          <w:sz w:val="24"/>
          <w:szCs w:val="24"/>
          <w:u w:val="none"/>
        </w:rPr>
        <w:t>29.</w:t>
      </w:r>
      <w:r>
        <w:rPr>
          <w:rFonts w:hint="eastAsia" w:ascii="宋体" w:hAnsi="宋体" w:cs="宋体"/>
          <w:b/>
          <w:kern w:val="0"/>
          <w:sz w:val="24"/>
          <w:szCs w:val="24"/>
          <w:u w:val="none"/>
          <w:lang w:eastAsia="zh-CN"/>
        </w:rPr>
        <w:t>履约保证金</w:t>
      </w:r>
    </w:p>
    <w:p w14:paraId="4FC80A78">
      <w:pPr>
        <w:adjustRightInd w:val="0"/>
        <w:snapToGrid w:val="0"/>
        <w:spacing w:line="400" w:lineRule="exact"/>
        <w:ind w:firstLine="480" w:firstLineChars="200"/>
        <w:rPr>
          <w:rFonts w:ascii="宋体" w:hAnsi="宋体" w:cs="宋体"/>
          <w:sz w:val="24"/>
          <w:szCs w:val="24"/>
          <w:u w:val="none"/>
        </w:rPr>
      </w:pPr>
      <w:r>
        <w:rPr>
          <w:rFonts w:hint="eastAsia" w:ascii="宋体" w:hAnsi="宋体" w:cs="宋体"/>
          <w:kern w:val="0"/>
          <w:sz w:val="24"/>
          <w:szCs w:val="24"/>
          <w:u w:val="none"/>
        </w:rPr>
        <w:t>29.1</w:t>
      </w:r>
      <w:r>
        <w:rPr>
          <w:rFonts w:hint="eastAsia" w:ascii="宋体" w:hAnsi="宋体" w:cs="宋体"/>
          <w:kern w:val="0"/>
          <w:sz w:val="24"/>
          <w:szCs w:val="24"/>
          <w:u w:val="none"/>
          <w:lang w:val="en-US" w:eastAsia="zh-CN"/>
        </w:rPr>
        <w:t>履约保证金：无</w:t>
      </w:r>
      <w:r>
        <w:rPr>
          <w:rFonts w:hint="eastAsia" w:ascii="宋体" w:hAnsi="宋体" w:cs="宋体"/>
          <w:spacing w:val="2"/>
          <w:sz w:val="24"/>
          <w:szCs w:val="24"/>
          <w:u w:val="none"/>
        </w:rPr>
        <w:t>。</w:t>
      </w:r>
    </w:p>
    <w:p w14:paraId="54D2E03C">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30.签订合同</w:t>
      </w:r>
    </w:p>
    <w:p w14:paraId="3A16617E">
      <w:pPr>
        <w:adjustRightInd w:val="0"/>
        <w:snapToGrid w:val="0"/>
        <w:spacing w:line="400" w:lineRule="exact"/>
        <w:ind w:firstLine="480" w:firstLineChars="200"/>
        <w:jc w:val="left"/>
        <w:rPr>
          <w:rFonts w:ascii="宋体" w:hAnsi="宋体" w:cs="宋体"/>
          <w:kern w:val="0"/>
          <w:sz w:val="24"/>
          <w:szCs w:val="24"/>
          <w:u w:val="none"/>
        </w:rPr>
      </w:pPr>
      <w:r>
        <w:rPr>
          <w:rFonts w:hint="eastAsia" w:ascii="宋体" w:hAnsi="宋体" w:cs="宋体"/>
          <w:sz w:val="24"/>
          <w:szCs w:val="24"/>
          <w:u w:val="none"/>
        </w:rPr>
        <w:t>30.1 采购人应自</w:t>
      </w:r>
      <w:r>
        <w:rPr>
          <w:rFonts w:hint="eastAsia" w:ascii="宋体" w:hAnsi="宋体" w:cs="宋体"/>
          <w:kern w:val="0"/>
          <w:sz w:val="24"/>
          <w:szCs w:val="24"/>
          <w:u w:val="none"/>
        </w:rPr>
        <w:t>中标</w:t>
      </w:r>
      <w:r>
        <w:rPr>
          <w:rFonts w:hint="eastAsia" w:ascii="宋体" w:hAnsi="宋体" w:cs="宋体"/>
          <w:sz w:val="24"/>
          <w:szCs w:val="24"/>
          <w:u w:val="none"/>
        </w:rPr>
        <w:t>通知书发出之日起</w:t>
      </w:r>
      <w:r>
        <w:rPr>
          <w:rFonts w:hint="eastAsia" w:ascii="宋体" w:hAnsi="宋体" w:cs="宋体"/>
          <w:b/>
          <w:bCs/>
          <w:sz w:val="24"/>
          <w:szCs w:val="24"/>
          <w:u w:val="none"/>
        </w:rPr>
        <w:t>三十日</w:t>
      </w:r>
      <w:r>
        <w:rPr>
          <w:rFonts w:hint="eastAsia" w:ascii="宋体" w:hAnsi="宋体" w:cs="宋体"/>
          <w:sz w:val="24"/>
          <w:szCs w:val="24"/>
          <w:u w:val="none"/>
        </w:rPr>
        <w:t>内，按</w:t>
      </w:r>
      <w:r>
        <w:rPr>
          <w:rFonts w:hint="eastAsia" w:ascii="宋体" w:hAnsi="宋体" w:cs="宋体"/>
          <w:kern w:val="0"/>
          <w:sz w:val="24"/>
          <w:szCs w:val="24"/>
          <w:u w:val="none"/>
        </w:rPr>
        <w:t>中标</w:t>
      </w:r>
      <w:r>
        <w:rPr>
          <w:rFonts w:hint="eastAsia" w:ascii="宋体" w:hAnsi="宋体" w:cs="宋体"/>
          <w:sz w:val="24"/>
          <w:szCs w:val="24"/>
          <w:u w:val="none"/>
        </w:rPr>
        <w:t>通知书指定的时间、地点与</w:t>
      </w:r>
      <w:r>
        <w:rPr>
          <w:rFonts w:hint="eastAsia" w:ascii="宋体" w:hAnsi="宋体" w:cs="宋体"/>
          <w:kern w:val="0"/>
          <w:sz w:val="24"/>
          <w:szCs w:val="24"/>
          <w:u w:val="none"/>
        </w:rPr>
        <w:t>中标人</w:t>
      </w:r>
      <w:r>
        <w:rPr>
          <w:rFonts w:hint="eastAsia" w:ascii="宋体" w:hAnsi="宋体" w:cs="宋体"/>
          <w:sz w:val="24"/>
          <w:szCs w:val="24"/>
          <w:u w:val="none"/>
        </w:rPr>
        <w:t>签订政府采购合同。</w:t>
      </w:r>
      <w:r>
        <w:rPr>
          <w:rFonts w:hint="eastAsia" w:ascii="宋体" w:hAnsi="宋体" w:cs="宋体"/>
          <w:kern w:val="0"/>
          <w:sz w:val="24"/>
          <w:szCs w:val="24"/>
          <w:u w:val="none"/>
        </w:rPr>
        <w:t>中标</w:t>
      </w:r>
      <w:r>
        <w:rPr>
          <w:rFonts w:hint="eastAsia" w:ascii="宋体" w:hAnsi="宋体" w:cs="宋体"/>
          <w:sz w:val="24"/>
          <w:szCs w:val="24"/>
          <w:u w:val="none"/>
        </w:rPr>
        <w:t>人拒绝与采购人签订合同的，采购人可以按照评审报告推荐的</w:t>
      </w:r>
      <w:r>
        <w:rPr>
          <w:rFonts w:hint="eastAsia" w:ascii="宋体" w:hAnsi="宋体" w:cs="宋体"/>
          <w:kern w:val="0"/>
          <w:sz w:val="24"/>
          <w:szCs w:val="24"/>
          <w:u w:val="none"/>
        </w:rPr>
        <w:t>中标</w:t>
      </w:r>
      <w:r>
        <w:rPr>
          <w:rFonts w:hint="eastAsia" w:ascii="宋体" w:hAnsi="宋体" w:cs="宋体"/>
          <w:sz w:val="24"/>
          <w:szCs w:val="24"/>
          <w:u w:val="none"/>
        </w:rPr>
        <w:t>候选人名单排序，确定下一候选人为</w:t>
      </w:r>
      <w:r>
        <w:rPr>
          <w:rFonts w:hint="eastAsia" w:ascii="宋体" w:hAnsi="宋体" w:cs="宋体"/>
          <w:kern w:val="0"/>
          <w:sz w:val="24"/>
          <w:szCs w:val="24"/>
          <w:u w:val="none"/>
        </w:rPr>
        <w:t>中标</w:t>
      </w:r>
      <w:r>
        <w:rPr>
          <w:rFonts w:hint="eastAsia" w:ascii="宋体" w:hAnsi="宋体" w:cs="宋体"/>
          <w:sz w:val="24"/>
          <w:szCs w:val="24"/>
          <w:u w:val="none"/>
        </w:rPr>
        <w:t>人，也可以重新开展政府采购活动。</w:t>
      </w:r>
      <w:r>
        <w:rPr>
          <w:rFonts w:hint="eastAsia" w:ascii="宋体" w:hAnsi="宋体" w:cs="宋体"/>
          <w:sz w:val="24"/>
          <w:szCs w:val="24"/>
          <w:u w:val="none"/>
        </w:rPr>
        <w:br w:type="textWrapping"/>
      </w:r>
      <w:r>
        <w:rPr>
          <w:rFonts w:hint="eastAsia" w:ascii="宋体" w:hAnsi="宋体" w:cs="宋体"/>
          <w:sz w:val="24"/>
          <w:szCs w:val="24"/>
          <w:u w:val="none"/>
          <w:lang w:val="en-US" w:eastAsia="zh-CN"/>
        </w:rPr>
        <w:t xml:space="preserve">    </w:t>
      </w:r>
      <w:r>
        <w:rPr>
          <w:rFonts w:hint="eastAsia" w:ascii="宋体" w:hAnsi="宋体" w:cs="宋体"/>
          <w:sz w:val="24"/>
          <w:szCs w:val="24"/>
          <w:u w:val="none"/>
        </w:rPr>
        <w:t xml:space="preserve">30.2 </w:t>
      </w:r>
      <w:r>
        <w:rPr>
          <w:rFonts w:hint="eastAsia" w:ascii="宋体" w:hAnsi="宋体" w:cs="宋体"/>
          <w:kern w:val="0"/>
          <w:sz w:val="24"/>
          <w:szCs w:val="24"/>
          <w:u w:val="none"/>
        </w:rPr>
        <w:t>中标人应按照招标文件、投标文件及评标过程中的有关澄清、说明或者补正文件的内容与招标人签订合同。中标人不得再与招标人签订背离合同实质性内容</w:t>
      </w:r>
      <w:r>
        <w:rPr>
          <w:rFonts w:hint="eastAsia" w:ascii="宋体" w:hAnsi="宋体" w:cs="宋体"/>
          <w:kern w:val="0"/>
          <w:sz w:val="24"/>
          <w:szCs w:val="24"/>
          <w:u w:val="none"/>
          <w:lang w:eastAsia="zh-CN"/>
        </w:rPr>
        <w:t>的其他</w:t>
      </w:r>
      <w:r>
        <w:rPr>
          <w:rFonts w:hint="eastAsia" w:ascii="宋体" w:hAnsi="宋体" w:cs="宋体"/>
          <w:kern w:val="0"/>
          <w:sz w:val="24"/>
          <w:szCs w:val="24"/>
          <w:u w:val="none"/>
        </w:rPr>
        <w:t>协议或声明。</w:t>
      </w:r>
    </w:p>
    <w:p w14:paraId="4BA9D63F">
      <w:pPr>
        <w:widowControl/>
        <w:tabs>
          <w:tab w:val="left" w:pos="567"/>
        </w:tabs>
        <w:snapToGrid w:val="0"/>
        <w:spacing w:line="400" w:lineRule="exact"/>
        <w:jc w:val="left"/>
        <w:rPr>
          <w:rFonts w:ascii="宋体" w:hAnsi="宋体" w:cs="宋体"/>
          <w:bCs/>
          <w:sz w:val="24"/>
          <w:szCs w:val="24"/>
          <w:u w:val="none"/>
        </w:rPr>
      </w:pPr>
      <w:r>
        <w:rPr>
          <w:rFonts w:hint="eastAsia" w:ascii="宋体" w:hAnsi="宋体" w:cs="宋体"/>
          <w:sz w:val="24"/>
          <w:szCs w:val="24"/>
          <w:u w:val="none"/>
        </w:rPr>
        <w:t xml:space="preserve">    30.3 </w:t>
      </w:r>
      <w:r>
        <w:rPr>
          <w:rFonts w:hint="eastAsia" w:ascii="宋体" w:hAnsi="宋体" w:cs="宋体"/>
          <w:kern w:val="0"/>
          <w:sz w:val="24"/>
          <w:szCs w:val="24"/>
          <w:u w:val="none"/>
        </w:rPr>
        <w:t>中标人</w:t>
      </w:r>
      <w:r>
        <w:rPr>
          <w:rFonts w:hint="eastAsia" w:ascii="宋体" w:hAnsi="宋体" w:cs="宋体"/>
          <w:bCs/>
          <w:sz w:val="24"/>
          <w:szCs w:val="24"/>
          <w:u w:val="none"/>
        </w:rPr>
        <w:t>应当按照合同约定履行义务。</w:t>
      </w:r>
      <w:r>
        <w:rPr>
          <w:kern w:val="0"/>
          <w:sz w:val="24"/>
          <w:u w:val="none"/>
        </w:rPr>
        <w:t>未经招标代理机构（或招标人）事先给予书面同意不得转包、分包，亦不得将合同全部及任何权利、义务向第三方转让，否则将被视为严重违约，采购代理机构（或招标人）有权决定按照</w:t>
      </w:r>
      <w:r>
        <w:rPr>
          <w:rFonts w:hint="eastAsia" w:ascii="宋体" w:hAnsi="宋体" w:cs="宋体"/>
          <w:kern w:val="0"/>
          <w:sz w:val="24"/>
          <w:szCs w:val="24"/>
          <w:u w:val="none"/>
        </w:rPr>
        <w:t>中标人中标</w:t>
      </w:r>
      <w:r>
        <w:rPr>
          <w:kern w:val="0"/>
          <w:sz w:val="24"/>
          <w:u w:val="none"/>
        </w:rPr>
        <w:t>后毁标、终止或解除合同等依约处理。</w:t>
      </w:r>
    </w:p>
    <w:p w14:paraId="2F1377DF">
      <w:pPr>
        <w:adjustRightInd w:val="0"/>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31.</w:t>
      </w:r>
      <w:r>
        <w:rPr>
          <w:rFonts w:hint="eastAsia" w:ascii="宋体" w:hAnsi="宋体" w:cs="宋体"/>
          <w:b/>
          <w:sz w:val="24"/>
          <w:szCs w:val="24"/>
          <w:u w:val="none"/>
        </w:rPr>
        <w:t>政府采购合同履行中</w:t>
      </w:r>
      <w:r>
        <w:rPr>
          <w:rFonts w:hint="eastAsia" w:ascii="宋体" w:hAnsi="宋体" w:cs="宋体"/>
          <w:b/>
          <w:bCs/>
          <w:sz w:val="24"/>
          <w:szCs w:val="24"/>
          <w:u w:val="none"/>
        </w:rPr>
        <w:t>数量的变更</w:t>
      </w:r>
    </w:p>
    <w:p w14:paraId="5948507C">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31.1政府采购合同履行中，采购人需追加与合同标的相同的货物服务的，在不改变合同其他条款的前提下，可以与中标人协商签订补充合同。</w:t>
      </w:r>
    </w:p>
    <w:p w14:paraId="24B8A51C">
      <w:pPr>
        <w:pStyle w:val="15"/>
        <w:adjustRightInd w:val="0"/>
        <w:snapToGrid w:val="0"/>
        <w:spacing w:line="400" w:lineRule="exact"/>
        <w:ind w:firstLine="480" w:firstLineChars="200"/>
        <w:jc w:val="left"/>
        <w:rPr>
          <w:rFonts w:hint="eastAsia" w:hAnsi="宋体" w:cs="宋体"/>
          <w:b/>
          <w:sz w:val="24"/>
          <w:szCs w:val="24"/>
          <w:u w:val="none"/>
        </w:rPr>
      </w:pPr>
      <w:r>
        <w:rPr>
          <w:rFonts w:hint="eastAsia" w:hAnsi="宋体" w:cs="宋体"/>
          <w:sz w:val="24"/>
          <w:szCs w:val="24"/>
          <w:u w:val="none"/>
          <w:lang w:val="en-US" w:eastAsia="zh-CN"/>
        </w:rPr>
        <w:t>31.2补充合同金额不超过原合同采购金额的10%。</w:t>
      </w:r>
    </w:p>
    <w:p w14:paraId="3F77FED5">
      <w:pPr>
        <w:pStyle w:val="15"/>
        <w:adjustRightInd w:val="0"/>
        <w:snapToGrid w:val="0"/>
        <w:spacing w:line="400" w:lineRule="exact"/>
        <w:jc w:val="left"/>
        <w:rPr>
          <w:rFonts w:hAnsi="宋体" w:cs="宋体"/>
          <w:b/>
          <w:sz w:val="24"/>
          <w:szCs w:val="24"/>
          <w:u w:val="none"/>
        </w:rPr>
      </w:pPr>
      <w:r>
        <w:rPr>
          <w:rFonts w:hint="eastAsia" w:hAnsi="宋体" w:cs="宋体"/>
          <w:b/>
          <w:sz w:val="24"/>
          <w:szCs w:val="24"/>
          <w:u w:val="none"/>
        </w:rPr>
        <w:t>八、特殊情形的规定</w:t>
      </w:r>
    </w:p>
    <w:p w14:paraId="47CD9585">
      <w:pPr>
        <w:pStyle w:val="15"/>
        <w:adjustRightInd w:val="0"/>
        <w:snapToGrid w:val="0"/>
        <w:spacing w:line="400" w:lineRule="exact"/>
        <w:jc w:val="left"/>
        <w:rPr>
          <w:rFonts w:hAnsi="宋体" w:cs="宋体"/>
          <w:b/>
          <w:sz w:val="24"/>
          <w:szCs w:val="24"/>
          <w:u w:val="none"/>
        </w:rPr>
      </w:pPr>
      <w:r>
        <w:rPr>
          <w:rFonts w:hint="eastAsia" w:hAnsi="宋体" w:cs="宋体"/>
          <w:b/>
          <w:sz w:val="24"/>
          <w:szCs w:val="24"/>
          <w:u w:val="none"/>
        </w:rPr>
        <w:t>32.特殊情形</w:t>
      </w:r>
    </w:p>
    <w:p w14:paraId="7ABDB0E6">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32.1特殊情形是指：在本章第10.1</w:t>
      </w:r>
      <w:r>
        <w:rPr>
          <w:rFonts w:hint="eastAsia" w:hAnsi="宋体" w:cs="宋体"/>
          <w:kern w:val="0"/>
          <w:sz w:val="24"/>
          <w:szCs w:val="24"/>
          <w:u w:val="none"/>
          <w:lang w:val="zh-CN"/>
        </w:rPr>
        <w:t>款</w:t>
      </w:r>
      <w:r>
        <w:rPr>
          <w:rFonts w:hint="eastAsia" w:hAnsi="宋体" w:cs="宋体"/>
          <w:sz w:val="24"/>
          <w:szCs w:val="24"/>
          <w:u w:val="none"/>
        </w:rPr>
        <w:t>规定的投标截止时间</w:t>
      </w:r>
      <w:r>
        <w:rPr>
          <w:rFonts w:hint="eastAsia" w:hAnsi="宋体" w:cs="宋体"/>
          <w:kern w:val="0"/>
          <w:sz w:val="24"/>
          <w:szCs w:val="24"/>
          <w:u w:val="none"/>
          <w:lang w:val="zh-CN"/>
        </w:rPr>
        <w:t>递交投标文件或者经评审实质性响应招标文件要求的投标单位只有两家的情形。</w:t>
      </w:r>
    </w:p>
    <w:p w14:paraId="753B1478">
      <w:pPr>
        <w:pStyle w:val="15"/>
        <w:adjustRightInd w:val="0"/>
        <w:snapToGrid w:val="0"/>
        <w:spacing w:line="400" w:lineRule="exact"/>
        <w:jc w:val="left"/>
        <w:rPr>
          <w:rFonts w:hAnsi="宋体" w:cs="宋体"/>
          <w:b/>
          <w:sz w:val="24"/>
          <w:szCs w:val="24"/>
          <w:u w:val="none"/>
        </w:rPr>
      </w:pPr>
      <w:r>
        <w:rPr>
          <w:rFonts w:hint="eastAsia" w:hAnsi="宋体" w:cs="宋体"/>
          <w:b/>
          <w:sz w:val="24"/>
          <w:szCs w:val="24"/>
          <w:u w:val="none"/>
        </w:rPr>
        <w:t>33.特殊情形规定</w:t>
      </w:r>
    </w:p>
    <w:p w14:paraId="309B6E33">
      <w:pPr>
        <w:pStyle w:val="15"/>
        <w:adjustRightInd w:val="0"/>
        <w:snapToGrid w:val="0"/>
        <w:spacing w:line="400" w:lineRule="exact"/>
        <w:ind w:firstLine="480" w:firstLineChars="200"/>
        <w:jc w:val="left"/>
        <w:rPr>
          <w:rFonts w:hAnsi="宋体" w:cs="宋体"/>
          <w:kern w:val="0"/>
          <w:sz w:val="24"/>
          <w:szCs w:val="24"/>
          <w:u w:val="none"/>
          <w:lang w:val="zh-CN"/>
        </w:rPr>
      </w:pPr>
      <w:r>
        <w:rPr>
          <w:rFonts w:hint="eastAsia" w:hAnsi="宋体" w:cs="宋体"/>
          <w:sz w:val="24"/>
          <w:szCs w:val="24"/>
          <w:u w:val="none"/>
        </w:rPr>
        <w:t>33.1符合本章第33.1</w:t>
      </w:r>
      <w:r>
        <w:rPr>
          <w:rFonts w:hint="eastAsia" w:hAnsi="宋体" w:cs="宋体"/>
          <w:kern w:val="0"/>
          <w:sz w:val="24"/>
          <w:szCs w:val="24"/>
          <w:u w:val="none"/>
          <w:lang w:val="zh-CN"/>
        </w:rPr>
        <w:t>款</w:t>
      </w:r>
      <w:r>
        <w:rPr>
          <w:rFonts w:hint="eastAsia" w:hAnsi="宋体" w:cs="宋体"/>
          <w:sz w:val="24"/>
          <w:szCs w:val="24"/>
          <w:u w:val="none"/>
        </w:rPr>
        <w:t>情形的，</w:t>
      </w:r>
      <w:r>
        <w:rPr>
          <w:rFonts w:hint="eastAsia" w:hAnsi="宋体" w:cs="宋体"/>
          <w:kern w:val="0"/>
          <w:sz w:val="24"/>
          <w:szCs w:val="24"/>
          <w:u w:val="none"/>
          <w:lang w:val="zh-CN"/>
        </w:rPr>
        <w:t>经同级财政部门批准后在不变更投标人资格条件和采购需求的前提下与这两家投标人进行竞争性谈判。</w:t>
      </w:r>
    </w:p>
    <w:p w14:paraId="71C2C658">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33.2符合本章第33.1</w:t>
      </w:r>
      <w:r>
        <w:rPr>
          <w:rFonts w:hint="eastAsia" w:hAnsi="宋体" w:cs="宋体"/>
          <w:kern w:val="0"/>
          <w:sz w:val="24"/>
          <w:szCs w:val="24"/>
          <w:u w:val="none"/>
          <w:lang w:val="zh-CN"/>
        </w:rPr>
        <w:t>款</w:t>
      </w:r>
      <w:r>
        <w:rPr>
          <w:rFonts w:hint="eastAsia" w:hAnsi="宋体" w:cs="宋体"/>
          <w:sz w:val="24"/>
          <w:szCs w:val="24"/>
          <w:u w:val="none"/>
        </w:rPr>
        <w:t>情形未进行资格性、符合性检查的，按第</w:t>
      </w:r>
      <w:r>
        <w:rPr>
          <w:rFonts w:hint="eastAsia" w:hAnsi="宋体" w:cs="宋体"/>
          <w:sz w:val="24"/>
          <w:szCs w:val="24"/>
          <w:u w:val="none"/>
          <w:lang w:eastAsia="zh-CN"/>
        </w:rPr>
        <w:t>四</w:t>
      </w:r>
      <w:r>
        <w:rPr>
          <w:rFonts w:hint="eastAsia" w:hAnsi="宋体" w:cs="宋体"/>
          <w:sz w:val="24"/>
          <w:szCs w:val="24"/>
          <w:u w:val="none"/>
        </w:rPr>
        <w:t>章“评标方法及标准”第2.1</w:t>
      </w:r>
      <w:r>
        <w:rPr>
          <w:rFonts w:hint="eastAsia" w:hAnsi="宋体" w:cs="宋体"/>
          <w:kern w:val="0"/>
          <w:sz w:val="24"/>
          <w:szCs w:val="24"/>
          <w:u w:val="none"/>
          <w:lang w:val="zh-CN"/>
        </w:rPr>
        <w:t>款</w:t>
      </w:r>
      <w:r>
        <w:rPr>
          <w:rFonts w:hint="eastAsia" w:hAnsi="宋体" w:cs="宋体"/>
          <w:sz w:val="24"/>
          <w:szCs w:val="24"/>
          <w:u w:val="none"/>
        </w:rPr>
        <w:t>规定进行资格性、符合性审查。当符合招标文件第</w:t>
      </w:r>
      <w:r>
        <w:rPr>
          <w:rFonts w:hint="eastAsia" w:hAnsi="宋体" w:cs="宋体"/>
          <w:sz w:val="24"/>
          <w:szCs w:val="24"/>
          <w:u w:val="none"/>
          <w:lang w:eastAsia="zh-CN"/>
        </w:rPr>
        <w:t>四</w:t>
      </w:r>
      <w:r>
        <w:rPr>
          <w:rFonts w:hint="eastAsia" w:hAnsi="宋体" w:cs="宋体"/>
          <w:sz w:val="24"/>
          <w:szCs w:val="24"/>
          <w:u w:val="none"/>
        </w:rPr>
        <w:t>章“评标方法及标准”第2.1</w:t>
      </w:r>
      <w:r>
        <w:rPr>
          <w:rFonts w:hint="eastAsia" w:hAnsi="宋体" w:cs="宋体"/>
          <w:kern w:val="0"/>
          <w:sz w:val="24"/>
          <w:szCs w:val="24"/>
          <w:u w:val="none"/>
          <w:lang w:val="zh-CN"/>
        </w:rPr>
        <w:t>款</w:t>
      </w:r>
      <w:r>
        <w:rPr>
          <w:rFonts w:hint="eastAsia" w:hAnsi="宋体" w:cs="宋体"/>
          <w:sz w:val="24"/>
          <w:szCs w:val="24"/>
          <w:u w:val="none"/>
        </w:rPr>
        <w:t>规定的</w:t>
      </w:r>
      <w:r>
        <w:rPr>
          <w:rFonts w:hint="eastAsia" w:hAnsi="宋体" w:cs="宋体"/>
          <w:kern w:val="0"/>
          <w:sz w:val="24"/>
          <w:szCs w:val="24"/>
          <w:u w:val="none"/>
        </w:rPr>
        <w:t>投标人</w:t>
      </w:r>
      <w:r>
        <w:rPr>
          <w:rFonts w:hint="eastAsia" w:hAnsi="宋体" w:cs="宋体"/>
          <w:sz w:val="24"/>
          <w:szCs w:val="24"/>
          <w:u w:val="none"/>
        </w:rPr>
        <w:t>少于两家（不含两家）时，重新采购。</w:t>
      </w:r>
    </w:p>
    <w:p w14:paraId="5C4E509F">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33.3谈判投标人应按谈判小组的书面通知参加谈判、递交最终报价。</w:t>
      </w:r>
    </w:p>
    <w:p w14:paraId="18FC8E93">
      <w:pPr>
        <w:pStyle w:val="15"/>
        <w:adjustRightInd w:val="0"/>
        <w:snapToGrid w:val="0"/>
        <w:spacing w:line="400" w:lineRule="exact"/>
        <w:jc w:val="left"/>
        <w:rPr>
          <w:rFonts w:hAnsi="宋体" w:cs="宋体"/>
          <w:b/>
          <w:sz w:val="24"/>
          <w:szCs w:val="24"/>
          <w:u w:val="none"/>
        </w:rPr>
      </w:pPr>
      <w:r>
        <w:rPr>
          <w:rFonts w:hint="eastAsia" w:hAnsi="宋体" w:cs="宋体"/>
          <w:b/>
          <w:sz w:val="24"/>
          <w:szCs w:val="24"/>
          <w:u w:val="none"/>
        </w:rPr>
        <w:t>九、其他规定</w:t>
      </w:r>
    </w:p>
    <w:p w14:paraId="0A988460">
      <w:pPr>
        <w:pStyle w:val="15"/>
        <w:adjustRightInd w:val="0"/>
        <w:snapToGrid w:val="0"/>
        <w:spacing w:line="400" w:lineRule="exact"/>
        <w:jc w:val="left"/>
        <w:rPr>
          <w:rFonts w:hAnsi="宋体" w:cs="宋体"/>
          <w:b/>
          <w:bCs/>
          <w:sz w:val="24"/>
          <w:szCs w:val="24"/>
          <w:u w:val="none"/>
        </w:rPr>
      </w:pPr>
      <w:r>
        <w:rPr>
          <w:rFonts w:hint="eastAsia" w:hAnsi="宋体" w:cs="宋体"/>
          <w:b/>
          <w:bCs/>
          <w:sz w:val="24"/>
          <w:szCs w:val="24"/>
          <w:u w:val="none"/>
        </w:rPr>
        <w:t>34.政策与法规</w:t>
      </w:r>
    </w:p>
    <w:p w14:paraId="0DB7A025">
      <w:pPr>
        <w:pStyle w:val="15"/>
        <w:adjustRightInd w:val="0"/>
        <w:snapToGrid w:val="0"/>
        <w:spacing w:line="400" w:lineRule="exact"/>
        <w:ind w:firstLine="480" w:firstLineChars="200"/>
        <w:jc w:val="left"/>
        <w:rPr>
          <w:rFonts w:hAnsi="宋体" w:cs="宋体"/>
          <w:sz w:val="24"/>
          <w:szCs w:val="24"/>
          <w:u w:val="none"/>
        </w:rPr>
      </w:pPr>
      <w:r>
        <w:rPr>
          <w:rFonts w:hint="eastAsia" w:hAnsi="宋体" w:cs="宋体"/>
          <w:sz w:val="24"/>
          <w:szCs w:val="24"/>
          <w:u w:val="none"/>
        </w:rPr>
        <w:t>34.1招标文件的未尽事项执行《中华人民共和国政府采购法》、《中华人民共和国政府采购法实施条例》和《政府采购货物和服务招标投标管理办法》等相关法律、法规的规定。</w:t>
      </w:r>
    </w:p>
    <w:p w14:paraId="22A649D1">
      <w:pPr>
        <w:widowControl/>
        <w:snapToGrid w:val="0"/>
        <w:spacing w:line="400" w:lineRule="exact"/>
        <w:jc w:val="left"/>
        <w:rPr>
          <w:rFonts w:ascii="宋体" w:hAnsi="宋体" w:cs="宋体"/>
          <w:b/>
          <w:bCs/>
          <w:sz w:val="24"/>
          <w:szCs w:val="24"/>
          <w:u w:val="none"/>
        </w:rPr>
      </w:pPr>
      <w:r>
        <w:rPr>
          <w:rFonts w:hint="eastAsia" w:ascii="宋体" w:hAnsi="宋体" w:cs="宋体"/>
          <w:b/>
          <w:bCs/>
          <w:sz w:val="24"/>
          <w:szCs w:val="24"/>
          <w:u w:val="none"/>
        </w:rPr>
        <w:t>35.披露</w:t>
      </w:r>
    </w:p>
    <w:p w14:paraId="623676BB">
      <w:pPr>
        <w:widowControl/>
        <w:snapToGrid w:val="0"/>
        <w:spacing w:line="400" w:lineRule="exact"/>
        <w:ind w:firstLine="480" w:firstLineChars="200"/>
        <w:jc w:val="left"/>
        <w:rPr>
          <w:rFonts w:ascii="宋体" w:hAnsi="宋体" w:cs="宋体"/>
          <w:kern w:val="0"/>
          <w:sz w:val="24"/>
          <w:szCs w:val="24"/>
          <w:u w:val="none"/>
        </w:rPr>
      </w:pPr>
      <w:r>
        <w:rPr>
          <w:rFonts w:hint="eastAsia" w:ascii="宋体" w:hAnsi="宋体" w:cs="宋体"/>
          <w:sz w:val="24"/>
          <w:szCs w:val="24"/>
          <w:u w:val="none"/>
        </w:rPr>
        <w:t>35.1</w:t>
      </w:r>
      <w:r>
        <w:rPr>
          <w:rFonts w:hint="eastAsia" w:ascii="宋体" w:hAnsi="宋体" w:cs="宋体"/>
          <w:kern w:val="0"/>
          <w:sz w:val="24"/>
          <w:szCs w:val="24"/>
          <w:u w:val="none"/>
        </w:rPr>
        <w:t>采购代理机构（或采购人）有权将投标人提供的所有资料向有关政府部门或评审标书的有关人员披露。</w:t>
      </w:r>
    </w:p>
    <w:p w14:paraId="2BC9C32B">
      <w:pPr>
        <w:widowControl/>
        <w:snapToGrid w:val="0"/>
        <w:spacing w:line="400" w:lineRule="exact"/>
        <w:ind w:firstLine="480" w:firstLineChars="200"/>
        <w:jc w:val="left"/>
        <w:rPr>
          <w:rFonts w:ascii="宋体" w:hAnsi="宋体" w:cs="宋体"/>
          <w:b/>
          <w:bCs/>
          <w:sz w:val="24"/>
          <w:szCs w:val="24"/>
          <w:u w:val="none"/>
        </w:rPr>
      </w:pPr>
      <w:r>
        <w:rPr>
          <w:rFonts w:hint="eastAsia" w:ascii="宋体" w:hAnsi="宋体" w:cs="宋体"/>
          <w:kern w:val="0"/>
          <w:sz w:val="24"/>
          <w:szCs w:val="24"/>
          <w:u w:val="none"/>
        </w:rPr>
        <w:t>35.2在采购代理机构（或采购人）认为适当时、国家机关调查、审查、审计时以及其他符合法律规定的情形下，无须事先征求投标人/中标人同意而可以披露关于招标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56DBF128">
      <w:pPr>
        <w:widowControl/>
        <w:snapToGrid w:val="0"/>
        <w:spacing w:line="420" w:lineRule="exact"/>
        <w:jc w:val="left"/>
        <w:rPr>
          <w:rFonts w:ascii="宋体" w:hAnsi="宋体" w:cs="宋体"/>
          <w:sz w:val="24"/>
          <w:szCs w:val="24"/>
          <w:u w:val="none"/>
        </w:rPr>
      </w:pPr>
      <w:r>
        <w:rPr>
          <w:rFonts w:hint="eastAsia" w:ascii="宋体" w:hAnsi="宋体" w:cs="宋体"/>
          <w:b/>
          <w:bCs/>
          <w:sz w:val="24"/>
          <w:szCs w:val="24"/>
          <w:u w:val="none"/>
        </w:rPr>
        <w:t>36.招标代理服务费</w:t>
      </w:r>
    </w:p>
    <w:p w14:paraId="1EA0BA98">
      <w:pPr>
        <w:widowControl/>
        <w:snapToGrid w:val="0"/>
        <w:spacing w:line="480" w:lineRule="exact"/>
        <w:jc w:val="left"/>
        <w:rPr>
          <w:rFonts w:ascii="宋体" w:hAnsi="宋体" w:cs="宋体"/>
          <w:b/>
          <w:sz w:val="32"/>
          <w:szCs w:val="32"/>
          <w:u w:val="none"/>
        </w:rPr>
      </w:pPr>
      <w:r>
        <w:rPr>
          <w:rFonts w:hint="eastAsia" w:ascii="宋体" w:hAnsi="宋体" w:cs="宋体"/>
          <w:sz w:val="24"/>
          <w:szCs w:val="24"/>
          <w:u w:val="none"/>
        </w:rPr>
        <w:t>36.1见前附表。</w:t>
      </w:r>
    </w:p>
    <w:p w14:paraId="288B9169">
      <w:pPr>
        <w:pStyle w:val="2"/>
        <w:outlineLvl w:val="9"/>
        <w:rPr>
          <w:rFonts w:hint="eastAsia"/>
          <w:u w:val="none"/>
        </w:rPr>
        <w:sectPr>
          <w:headerReference r:id="rId7" w:type="default"/>
          <w:footerReference r:id="rId8" w:type="default"/>
          <w:pgSz w:w="11906" w:h="16838"/>
          <w:pgMar w:top="1701" w:right="1587" w:bottom="1587" w:left="1587" w:header="851" w:footer="1134" w:gutter="0"/>
          <w:pgNumType w:fmt="decimal"/>
          <w:cols w:space="720" w:num="1"/>
          <w:docGrid w:type="lines" w:linePitch="330" w:charSpace="0"/>
        </w:sectPr>
      </w:pPr>
      <w:bookmarkStart w:id="33" w:name="_Toc31306"/>
      <w:bookmarkStart w:id="34" w:name="_Toc24264"/>
      <w:bookmarkStart w:id="35" w:name="_Toc25460"/>
      <w:bookmarkStart w:id="36" w:name="_Toc19000"/>
    </w:p>
    <w:p w14:paraId="7AAAACFC">
      <w:pPr>
        <w:pStyle w:val="2"/>
        <w:rPr>
          <w:u w:val="none"/>
        </w:rPr>
      </w:pPr>
      <w:bookmarkStart w:id="37" w:name="_Toc27211"/>
      <w:bookmarkStart w:id="38" w:name="_Toc1942"/>
      <w:r>
        <w:rPr>
          <w:rFonts w:hint="eastAsia"/>
          <w:u w:val="none"/>
        </w:rPr>
        <w:t>第</w:t>
      </w:r>
      <w:r>
        <w:rPr>
          <w:rFonts w:hint="eastAsia"/>
          <w:u w:val="none"/>
          <w:lang w:val="en-US" w:eastAsia="zh-CN"/>
        </w:rPr>
        <w:t>三</w:t>
      </w:r>
      <w:r>
        <w:rPr>
          <w:rFonts w:hint="eastAsia"/>
          <w:u w:val="none"/>
        </w:rPr>
        <w:t>章 采购需求</w:t>
      </w:r>
      <w:bookmarkEnd w:id="33"/>
      <w:bookmarkEnd w:id="34"/>
      <w:bookmarkEnd w:id="35"/>
      <w:bookmarkEnd w:id="37"/>
      <w:bookmarkEnd w:id="38"/>
    </w:p>
    <w:p w14:paraId="5C6BF10F">
      <w:pPr>
        <w:keepNext w:val="0"/>
        <w:keepLines w:val="0"/>
        <w:pageBreakBefore w:val="0"/>
        <w:widowControl/>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color w:val="auto"/>
          <w:sz w:val="24"/>
          <w:szCs w:val="24"/>
          <w:highlight w:val="none"/>
          <w:u w:val="none"/>
          <w:lang w:val="en-US" w:eastAsia="zh-CN"/>
        </w:rPr>
      </w:pPr>
      <w:bookmarkStart w:id="39" w:name="_Toc15600"/>
      <w:bookmarkStart w:id="40" w:name="_Toc27250"/>
      <w:r>
        <w:rPr>
          <w:rFonts w:hint="eastAsia" w:ascii="宋体" w:hAnsi="宋体" w:cs="宋体"/>
          <w:b/>
          <w:bCs/>
          <w:color w:val="000000"/>
          <w:kern w:val="0"/>
          <w:sz w:val="24"/>
          <w:szCs w:val="24"/>
          <w:u w:val="none"/>
          <w:lang w:val="en-US" w:eastAsia="zh-CN"/>
        </w:rPr>
        <w:t>一</w:t>
      </w:r>
      <w:r>
        <w:rPr>
          <w:rFonts w:hint="eastAsia" w:ascii="宋体" w:hAnsi="宋体" w:cs="宋体"/>
          <w:b/>
          <w:bCs/>
          <w:color w:val="000000"/>
          <w:kern w:val="0"/>
          <w:sz w:val="24"/>
          <w:szCs w:val="24"/>
          <w:u w:val="none"/>
        </w:rPr>
        <w:t>、商务要求：</w:t>
      </w:r>
    </w:p>
    <w:p w14:paraId="1342B645">
      <w:pPr>
        <w:snapToGrid w:val="0"/>
        <w:spacing w:line="440" w:lineRule="exact"/>
        <w:ind w:firstLine="480" w:firstLineChars="200"/>
        <w:rPr>
          <w:rFonts w:hint="eastAsia" w:ascii="宋体" w:hAnsi="宋体" w:eastAsia="宋体" w:cs="宋体"/>
          <w:color w:val="auto"/>
          <w:kern w:val="0"/>
          <w:sz w:val="24"/>
          <w:u w:val="none"/>
          <w:lang w:eastAsia="zh-CN"/>
        </w:rPr>
      </w:pPr>
      <w:r>
        <w:rPr>
          <w:rFonts w:hint="eastAsia" w:ascii="宋体" w:hAnsi="宋体" w:cs="宋体"/>
          <w:color w:val="auto"/>
          <w:kern w:val="0"/>
          <w:sz w:val="24"/>
          <w:u w:val="none"/>
        </w:rPr>
        <w:t>1.项目名称：</w:t>
      </w:r>
      <w:r>
        <w:rPr>
          <w:rFonts w:hint="eastAsia" w:ascii="宋体" w:hAnsi="宋体" w:cs="宋体"/>
          <w:color w:val="auto"/>
          <w:kern w:val="0"/>
          <w:sz w:val="24"/>
          <w:u w:val="none"/>
          <w:lang w:eastAsia="zh-CN"/>
        </w:rPr>
        <w:t>永济市开张镇全域土地综合整治（2025年）项目全过程工程咨询服务</w:t>
      </w:r>
    </w:p>
    <w:p w14:paraId="2BD34C1A">
      <w:pPr>
        <w:snapToGrid w:val="0"/>
        <w:spacing w:line="440" w:lineRule="exact"/>
        <w:ind w:firstLine="480" w:firstLineChars="200"/>
        <w:rPr>
          <w:rFonts w:hint="default"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2.建设规模：</w:t>
      </w:r>
      <w:r>
        <w:rPr>
          <w:rFonts w:hint="eastAsia" w:ascii="宋体" w:hAnsi="宋体" w:eastAsia="宋体" w:cs="宋体"/>
          <w:sz w:val="24"/>
          <w:szCs w:val="24"/>
          <w:highlight w:val="none"/>
          <w:lang w:val="en-US" w:eastAsia="zh-CN"/>
        </w:rPr>
        <w:t>整治建设区域总面积2639.65公顷，其中农用地整治与土壤治理2538.92公顷，村庄建设用地整理23.86公顷，乡村生态保护修复76.87公顷。</w:t>
      </w:r>
    </w:p>
    <w:p w14:paraId="6B31AE2D">
      <w:pPr>
        <w:snapToGrid w:val="0"/>
        <w:spacing w:line="440" w:lineRule="exact"/>
        <w:ind w:firstLine="480" w:firstLineChars="200"/>
        <w:rPr>
          <w:rFonts w:hint="default"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3.建设内容：</w:t>
      </w:r>
      <w:r>
        <w:rPr>
          <w:rFonts w:hint="eastAsia" w:ascii="宋体" w:hAnsi="宋体" w:eastAsia="宋体" w:cs="宋体"/>
          <w:sz w:val="24"/>
          <w:szCs w:val="24"/>
          <w:highlight w:val="none"/>
          <w:lang w:val="en-US" w:eastAsia="zh-CN"/>
        </w:rPr>
        <w:t>农用地整治、建设用地整理、乡村生态保护修复、乡村风貌提升和历史文化保护、产业导入与农业发展五项内容。</w:t>
      </w:r>
    </w:p>
    <w:p w14:paraId="4D7351B6">
      <w:pPr>
        <w:snapToGrid w:val="0"/>
        <w:spacing w:line="440" w:lineRule="exact"/>
        <w:ind w:firstLine="480" w:firstLineChars="200"/>
        <w:rPr>
          <w:rFonts w:hint="default"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4.本项目采购内容：</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全过程项目管理、</w:t>
      </w:r>
      <w:r>
        <w:rPr>
          <w:rFonts w:hint="eastAsia" w:ascii="宋体" w:hAnsi="宋体" w:cs="宋体"/>
          <w:sz w:val="24"/>
          <w:szCs w:val="24"/>
          <w:highlight w:val="none"/>
          <w:lang w:val="en-US" w:eastAsia="zh-CN"/>
        </w:rPr>
        <w:t>（2）后续环节</w:t>
      </w:r>
      <w:r>
        <w:rPr>
          <w:rFonts w:hint="eastAsia" w:ascii="宋体" w:hAnsi="宋体" w:eastAsia="宋体" w:cs="宋体"/>
          <w:sz w:val="24"/>
          <w:szCs w:val="24"/>
          <w:highlight w:val="none"/>
          <w:lang w:val="en-US" w:eastAsia="zh-CN"/>
        </w:rPr>
        <w:t>招标代理服务、</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社会稳定风险分析报告、</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环境影响评估报告、</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水影响评价报告、</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可行性研究报告、</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全过程造价咨询。</w:t>
      </w:r>
    </w:p>
    <w:p w14:paraId="64EACA7A">
      <w:pPr>
        <w:snapToGrid w:val="0"/>
        <w:spacing w:line="44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.预算金额：</w:t>
      </w:r>
      <w:r>
        <w:rPr>
          <w:rStyle w:val="35"/>
          <w:rFonts w:hint="eastAsia" w:ascii="宋体" w:hAnsi="宋体" w:cs="宋体"/>
          <w:sz w:val="24"/>
          <w:szCs w:val="24"/>
          <w:highlight w:val="none"/>
          <w:lang w:eastAsia="zh-CN"/>
        </w:rPr>
        <w:t>14185000元</w:t>
      </w:r>
    </w:p>
    <w:p w14:paraId="5287BD54">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6.最高限价：</w:t>
      </w:r>
      <w:r>
        <w:rPr>
          <w:rFonts w:hint="eastAsia" w:ascii="宋体" w:hAnsi="宋体" w:cs="宋体"/>
          <w:sz w:val="24"/>
          <w:szCs w:val="24"/>
          <w:u w:val="none"/>
          <w:lang w:eastAsia="zh-CN"/>
        </w:rPr>
        <w:t>财政评审价格的100%</w:t>
      </w:r>
    </w:p>
    <w:p w14:paraId="7970705D">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7.合同履约期限：</w:t>
      </w:r>
      <w:r>
        <w:rPr>
          <w:rFonts w:hint="eastAsia" w:ascii="宋体" w:hAnsi="宋体" w:cs="宋体"/>
          <w:sz w:val="24"/>
          <w:szCs w:val="24"/>
          <w:u w:val="none"/>
          <w:lang w:val="en-US" w:eastAsia="zh-CN"/>
        </w:rPr>
        <w:t>自合同协议书签订之日起至全过程工程咨询服务各项内容完成止</w:t>
      </w:r>
    </w:p>
    <w:p w14:paraId="5AA22F19">
      <w:pPr>
        <w:snapToGrid w:val="0"/>
        <w:spacing w:line="440" w:lineRule="exact"/>
        <w:ind w:firstLine="480" w:firstLineChars="200"/>
        <w:rPr>
          <w:rFonts w:hint="eastAsia" w:ascii="宋体" w:hAnsi="宋体" w:eastAsia="宋体" w:cs="宋体"/>
          <w:color w:val="auto"/>
          <w:kern w:val="0"/>
          <w:sz w:val="24"/>
          <w:highlight w:val="none"/>
          <w:u w:val="none"/>
          <w:lang w:val="en-US" w:eastAsia="zh-CN"/>
        </w:rPr>
      </w:pPr>
      <w:r>
        <w:rPr>
          <w:rFonts w:hint="eastAsia" w:ascii="宋体" w:hAnsi="宋体" w:eastAsia="宋体" w:cs="宋体"/>
          <w:color w:val="auto"/>
          <w:kern w:val="0"/>
          <w:sz w:val="24"/>
          <w:highlight w:val="none"/>
          <w:u w:val="none"/>
          <w:lang w:val="en-US" w:eastAsia="zh-CN"/>
        </w:rPr>
        <w:t>8.项目地点：</w:t>
      </w:r>
      <w:r>
        <w:rPr>
          <w:rFonts w:hint="eastAsia" w:ascii="宋体" w:hAnsi="宋体" w:cs="宋体"/>
          <w:color w:val="auto"/>
          <w:kern w:val="0"/>
          <w:sz w:val="24"/>
          <w:highlight w:val="none"/>
          <w:u w:val="none"/>
          <w:lang w:val="en-US" w:eastAsia="zh-CN"/>
        </w:rPr>
        <w:t>永济市</w:t>
      </w:r>
      <w:r>
        <w:rPr>
          <w:rFonts w:hint="eastAsia" w:ascii="宋体" w:hAnsi="宋体" w:eastAsia="宋体" w:cs="宋体"/>
          <w:color w:val="auto"/>
          <w:kern w:val="0"/>
          <w:sz w:val="24"/>
          <w:highlight w:val="none"/>
          <w:u w:val="none"/>
          <w:lang w:val="en-US" w:eastAsia="zh-CN"/>
        </w:rPr>
        <w:t>开张镇的开张村、杜村、西开张村、高淮村、田营村、寒暑村、城子埒村、常旗营村、杨庄村、土桥村10个行政村的全域范围。</w:t>
      </w:r>
    </w:p>
    <w:p w14:paraId="78F8CADD">
      <w:pPr>
        <w:snapToGrid w:val="0"/>
        <w:spacing w:line="440" w:lineRule="exact"/>
        <w:ind w:firstLine="480" w:firstLineChars="200"/>
        <w:rPr>
          <w:rFonts w:hint="eastAsia" w:ascii="宋体" w:hAnsi="宋体" w:eastAsia="宋体" w:cs="宋体"/>
          <w:color w:val="auto"/>
          <w:kern w:val="0"/>
          <w:sz w:val="24"/>
          <w:highlight w:val="none"/>
          <w:u w:val="none"/>
          <w:lang w:val="en-US" w:eastAsia="zh-CN"/>
        </w:rPr>
      </w:pPr>
      <w:r>
        <w:rPr>
          <w:rFonts w:hint="eastAsia" w:ascii="宋体" w:hAnsi="宋体" w:eastAsia="宋体" w:cs="宋体"/>
          <w:color w:val="auto"/>
          <w:kern w:val="0"/>
          <w:sz w:val="24"/>
          <w:highlight w:val="none"/>
          <w:u w:val="none"/>
          <w:lang w:val="en-US" w:eastAsia="zh-CN"/>
        </w:rPr>
        <w:t>5.付款方式</w:t>
      </w:r>
      <w:r>
        <w:rPr>
          <w:rFonts w:hint="eastAsia" w:ascii="宋体" w:hAnsi="宋体" w:cs="宋体"/>
          <w:color w:val="auto"/>
          <w:kern w:val="0"/>
          <w:sz w:val="24"/>
          <w:highlight w:val="none"/>
          <w:u w:val="none"/>
          <w:lang w:val="en-US" w:eastAsia="zh-CN"/>
        </w:rPr>
        <w:t>：本项目每一项采购内容</w:t>
      </w:r>
      <w:r>
        <w:rPr>
          <w:rFonts w:hint="eastAsia" w:ascii="宋体" w:hAnsi="宋体" w:eastAsia="宋体" w:cs="宋体"/>
          <w:color w:val="auto"/>
          <w:kern w:val="0"/>
          <w:sz w:val="24"/>
          <w:highlight w:val="none"/>
          <w:u w:val="none"/>
          <w:lang w:val="en-US" w:eastAsia="zh-CN"/>
        </w:rPr>
        <w:t>实施完成后，申请财政评审，按照财政评审价格乘以中标折扣比例进行结算。</w:t>
      </w:r>
    </w:p>
    <w:p w14:paraId="48AD87F5">
      <w:pPr>
        <w:snapToGrid w:val="0"/>
        <w:spacing w:line="440" w:lineRule="exact"/>
        <w:ind w:firstLine="480" w:firstLineChars="200"/>
        <w:rPr>
          <w:rFonts w:hint="default" w:ascii="宋体" w:hAnsi="宋体" w:eastAsia="宋体" w:cs="宋体"/>
          <w:color w:val="auto"/>
          <w:kern w:val="0"/>
          <w:sz w:val="24"/>
          <w:highlight w:val="none"/>
          <w:u w:val="none"/>
          <w:lang w:val="en-US" w:eastAsia="zh-CN"/>
        </w:rPr>
      </w:pPr>
      <w:r>
        <w:rPr>
          <w:rFonts w:hint="eastAsia" w:ascii="宋体" w:hAnsi="宋体" w:eastAsia="宋体" w:cs="宋体"/>
          <w:color w:val="auto"/>
          <w:kern w:val="0"/>
          <w:sz w:val="24"/>
          <w:highlight w:val="none"/>
          <w:u w:val="none"/>
          <w:lang w:val="en-US" w:eastAsia="zh-CN"/>
        </w:rPr>
        <w:t>6.质量要求：满足采购人要求且符合国家及行业现行标准规范要求。</w:t>
      </w:r>
    </w:p>
    <w:p w14:paraId="5989F133">
      <w:pPr>
        <w:snapToGrid w:val="0"/>
        <w:spacing w:line="440" w:lineRule="exact"/>
        <w:ind w:firstLine="480" w:firstLineChars="200"/>
        <w:rPr>
          <w:rFonts w:hint="eastAsia" w:ascii="宋体" w:hAnsi="宋体" w:eastAsia="宋体" w:cs="宋体"/>
          <w:color w:val="auto"/>
          <w:kern w:val="0"/>
          <w:sz w:val="24"/>
          <w:highlight w:val="none"/>
          <w:u w:val="none"/>
          <w:lang w:val="en-US" w:eastAsia="zh-CN"/>
        </w:rPr>
      </w:pPr>
      <w:r>
        <w:rPr>
          <w:rFonts w:hint="eastAsia" w:ascii="宋体" w:hAnsi="宋体" w:eastAsia="宋体" w:cs="宋体"/>
          <w:color w:val="auto"/>
          <w:kern w:val="0"/>
          <w:sz w:val="24"/>
          <w:highlight w:val="none"/>
          <w:u w:val="none"/>
          <w:lang w:val="en-US" w:eastAsia="zh-CN"/>
        </w:rPr>
        <w:t>7.验收标准：满足采购人要求且符合国家及行业现行标准规范要求和投标文件承诺。</w:t>
      </w:r>
    </w:p>
    <w:p w14:paraId="3CFD431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宋体" w:hAnsi="宋体" w:eastAsia="宋体" w:cs="宋体"/>
          <w:snapToGrid/>
          <w:color w:val="auto"/>
          <w:kern w:val="0"/>
          <w:sz w:val="24"/>
          <w:szCs w:val="20"/>
          <w:u w:val="none"/>
          <w:lang w:eastAsia="zh-CN"/>
        </w:rPr>
      </w:pPr>
      <w:r>
        <w:rPr>
          <w:rFonts w:hint="eastAsia" w:ascii="宋体" w:hAnsi="宋体" w:cs="宋体"/>
          <w:b/>
          <w:bCs/>
          <w:sz w:val="24"/>
          <w:szCs w:val="24"/>
          <w:u w:val="none"/>
          <w:lang w:val="en-US" w:eastAsia="zh-CN"/>
        </w:rPr>
        <w:t>二、技术要求：</w:t>
      </w:r>
      <w:bookmarkStart w:id="41" w:name="_Toc27513"/>
      <w:bookmarkStart w:id="42" w:name="_Toc2278"/>
      <w:r>
        <w:rPr>
          <w:rFonts w:hint="eastAsia"/>
          <w:u w:val="none"/>
        </w:rPr>
        <w:br w:type="textWrapping"/>
      </w:r>
      <w:r>
        <w:rPr>
          <w:rFonts w:hint="eastAsia" w:ascii="宋体" w:hAnsi="宋体" w:eastAsia="宋体" w:cs="宋体"/>
          <w:snapToGrid/>
          <w:color w:val="auto"/>
          <w:kern w:val="0"/>
          <w:sz w:val="24"/>
          <w:szCs w:val="20"/>
          <w:u w:val="none"/>
          <w:lang w:eastAsia="zh-CN"/>
        </w:rPr>
        <w:t>1. 全过程项目管理：</w:t>
      </w:r>
    </w:p>
    <w:p w14:paraId="4AEC5BC9">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对项目从决策、规划、设计、施工（执行）到竣工验收、运营后评价的整个生命周期，进行全方面、一体化的计划、组织、指挥、协调、控制和评价。按项目生命周期划分的四个核心阶段：项目决策与启动阶段、项目规划与设计阶段、项目执行与监控阶段、项目收尾与后评价阶段。贯穿全过程的整合、范围、进度、成本、质量、资源、沟通、风险、采购、相关方管理。将项目视为一个完整的生命过程，进行系统性、前瞻性和动态化的管理，确保项目目标最终成功实现。</w:t>
      </w:r>
    </w:p>
    <w:p w14:paraId="4CAC3D48">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2. 招标代理服务：</w:t>
      </w:r>
    </w:p>
    <w:p w14:paraId="67280A0F">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受招标人（业主）委托，在其授权范围内 ，以专业机构身份，依法合规地组织工程、货物或服务采购的全程活动。前期策划： 编制招标方案与文件。 中期组织： 发布公告、组织答疑、接收投标、主持开标评标。后期跟进： 公示结果、协助定标、协调合同签订。确保招标过程的合法性、规范性、专业性 ，帮助业主择优选择中标方 ，并控制风险与成本。</w:t>
      </w:r>
    </w:p>
    <w:p w14:paraId="7DF67F6B">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3. 社会稳定风险分析报告</w:t>
      </w:r>
    </w:p>
    <w:p w14:paraId="0A4C40CD">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在重大事项（如重大项目、重要政策）决策前 ，系统性地分析、预测该项目可能引发的社会稳定风险，并提出防范和化解措施的专业评估报告。其核心目的是从源头上预防和减少社会矛盾。包含：风险调查、风险识别、风险估计、风险防范措施、风险等级判定、最终结论 ， 明确项目在落实措施后是否“低风险”且“ 可控”。</w:t>
      </w:r>
    </w:p>
    <w:p w14:paraId="2836CC4A">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4. 环境影响评估报告</w:t>
      </w:r>
    </w:p>
    <w:p w14:paraId="16F3187B">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在项目（如工程、建设）规划和决策前，对其实施后可能对环境造成的物理、化学、生物、社会等影响进行系统性的分析、预测和评估，并提出预防或减轻不良环境影响的对策和措施的专业文件。其核心目的是在发展中保护环境 ，实现可持续发展。包含：项目分析、环境现状、影响预测、减缓措施、结论与建议。旨在预测和防范项目对自然环境的负面影响，是项目获得环保批准的关键依据。</w:t>
      </w:r>
    </w:p>
    <w:p w14:paraId="55DE6B58">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5. 水影响评价报告</w:t>
      </w:r>
    </w:p>
    <w:p w14:paraId="35E3FB87">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在项目（如建设工程）开工前，对其在施工和运营期间可能对水资源、水环境、水生态造成的影响进行预测、分析和评估，并提出具体防治措施的专业文件。其核心目的是保障水资源可持续利用 ，防治水害。包含：水资源论证、防洪影响评价、水生态与水土保持评价、影响综合评价、减缓措施与结论。旨在保障建设项目用水合理、排水达标，并确保防洪安全和水生态健康的专项审批文件。</w:t>
      </w:r>
    </w:p>
    <w:p w14:paraId="60FFF417">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cs="宋体"/>
          <w:snapToGrid/>
          <w:color w:val="auto"/>
          <w:kern w:val="0"/>
          <w:sz w:val="24"/>
          <w:szCs w:val="20"/>
          <w:u w:val="none"/>
          <w:lang w:val="en-US" w:eastAsia="zh-CN"/>
        </w:rPr>
        <w:t>6</w:t>
      </w:r>
      <w:r>
        <w:rPr>
          <w:rFonts w:hint="eastAsia" w:ascii="宋体" w:hAnsi="宋体" w:eastAsia="宋体" w:cs="宋体"/>
          <w:snapToGrid/>
          <w:color w:val="auto"/>
          <w:kern w:val="0"/>
          <w:sz w:val="24"/>
          <w:szCs w:val="20"/>
          <w:u w:val="none"/>
          <w:lang w:eastAsia="zh-CN"/>
        </w:rPr>
        <w:t>. 可行性研究报告</w:t>
      </w:r>
    </w:p>
    <w:p w14:paraId="11D48DDB">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可行性研究报告是在一项投资或工程项目决策之前，通过对该项目的技术、经济、工程、环境等多方面进行全面调查、分析、论证和评价，从而提出该项目是否值得投资和如何建设的综合性研究文件。它是项目投资决策的核心依据。包含：项目背景与必要性、市场与需求分析、技术方案、选址与建设条件、环境影响与节能、投资估算与资金筹措、财务评价、社会评价与风险分析、研究结论。为项目决策提供全面、科学的“体检报告”，核心是回答三个问题：“项目是否值得做？”、“技术能否实现？” 以及“经济上是否合算？”。</w:t>
      </w:r>
    </w:p>
    <w:p w14:paraId="4C709423">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cs="宋体"/>
          <w:snapToGrid/>
          <w:color w:val="auto"/>
          <w:kern w:val="0"/>
          <w:sz w:val="24"/>
          <w:szCs w:val="20"/>
          <w:u w:val="none"/>
          <w:lang w:val="en-US" w:eastAsia="zh-CN"/>
        </w:rPr>
        <w:t>7</w:t>
      </w:r>
      <w:r>
        <w:rPr>
          <w:rFonts w:hint="eastAsia" w:ascii="宋体" w:hAnsi="宋体" w:eastAsia="宋体" w:cs="宋体"/>
          <w:snapToGrid/>
          <w:color w:val="auto"/>
          <w:kern w:val="0"/>
          <w:sz w:val="24"/>
          <w:szCs w:val="20"/>
          <w:u w:val="none"/>
          <w:lang w:eastAsia="zh-CN"/>
        </w:rPr>
        <w:t>. 全过程造价咨询</w:t>
      </w:r>
    </w:p>
    <w:p w14:paraId="3C8E897F">
      <w:pPr>
        <w:widowControl w:val="0"/>
        <w:kinsoku/>
        <w:autoSpaceDE/>
        <w:autoSpaceDN/>
        <w:adjustRightInd/>
        <w:snapToGrid w:val="0"/>
        <w:spacing w:line="440" w:lineRule="exact"/>
        <w:ind w:firstLine="480" w:firstLineChars="200"/>
        <w:jc w:val="both"/>
        <w:textAlignment w:val="auto"/>
        <w:rPr>
          <w:rFonts w:hint="eastAsia" w:ascii="宋体" w:hAnsi="宋体" w:eastAsia="宋体" w:cs="宋体"/>
          <w:snapToGrid/>
          <w:color w:val="auto"/>
          <w:kern w:val="0"/>
          <w:sz w:val="24"/>
          <w:szCs w:val="20"/>
          <w:u w:val="none"/>
          <w:lang w:eastAsia="zh-CN"/>
        </w:rPr>
      </w:pPr>
      <w:r>
        <w:rPr>
          <w:rFonts w:hint="eastAsia" w:ascii="宋体" w:hAnsi="宋体" w:eastAsia="宋体" w:cs="宋体"/>
          <w:snapToGrid/>
          <w:color w:val="auto"/>
          <w:kern w:val="0"/>
          <w:sz w:val="24"/>
          <w:szCs w:val="20"/>
          <w:u w:val="none"/>
          <w:lang w:eastAsia="zh-CN"/>
        </w:rPr>
        <w:t>受业主（投资方）委托，对一个建设项目从决策、设计、招投标、施工到竣工结算的全生命周期 ，进行连续、动态的造价管理和控制服务。包含：投资决策阶段、设计阶段、招投标阶段、施工阶段、竣工阶段。是一项贯穿项目始终的“成本管家”服务，其核心目标是在确保质量与工期的前提下，合理确定并有效控制工程造价， 防止“三超”（概算超估算、预算超概算、结算超预算），实现投资效益最大化。</w:t>
      </w:r>
    </w:p>
    <w:p w14:paraId="64DB0A5C">
      <w:pPr>
        <w:pStyle w:val="2"/>
        <w:rPr>
          <w:rFonts w:hint="eastAsia"/>
          <w:u w:val="none"/>
        </w:rPr>
        <w:sectPr>
          <w:footerReference r:id="rId9" w:type="default"/>
          <w:pgSz w:w="11906" w:h="16838"/>
          <w:pgMar w:top="1440" w:right="1800" w:bottom="1440" w:left="1800" w:header="851" w:footer="992" w:gutter="0"/>
          <w:pgNumType w:fmt="decimal"/>
          <w:cols w:space="720" w:num="1"/>
          <w:docGrid w:type="lines" w:linePitch="312" w:charSpace="0"/>
        </w:sectPr>
      </w:pPr>
    </w:p>
    <w:p w14:paraId="7D4C1F05">
      <w:pPr>
        <w:pStyle w:val="2"/>
        <w:rPr>
          <w:u w:val="none"/>
        </w:rPr>
      </w:pPr>
      <w:bookmarkStart w:id="43" w:name="_Toc13622"/>
      <w:r>
        <w:rPr>
          <w:rFonts w:hint="eastAsia"/>
          <w:u w:val="none"/>
        </w:rPr>
        <w:t>第</w:t>
      </w:r>
      <w:r>
        <w:rPr>
          <w:rFonts w:hint="eastAsia"/>
          <w:u w:val="none"/>
          <w:lang w:val="en-US" w:eastAsia="zh-CN"/>
        </w:rPr>
        <w:t>四</w:t>
      </w:r>
      <w:r>
        <w:rPr>
          <w:rFonts w:hint="eastAsia"/>
          <w:u w:val="none"/>
        </w:rPr>
        <w:t>章 评标方法及标准</w:t>
      </w:r>
      <w:bookmarkEnd w:id="27"/>
      <w:bookmarkEnd w:id="28"/>
      <w:bookmarkEnd w:id="29"/>
      <w:bookmarkEnd w:id="30"/>
      <w:bookmarkEnd w:id="31"/>
      <w:bookmarkEnd w:id="32"/>
      <w:bookmarkEnd w:id="36"/>
      <w:bookmarkEnd w:id="39"/>
      <w:bookmarkEnd w:id="40"/>
      <w:bookmarkEnd w:id="41"/>
      <w:bookmarkEnd w:id="42"/>
      <w:bookmarkEnd w:id="43"/>
    </w:p>
    <w:p w14:paraId="7FB420ED">
      <w:pPr>
        <w:adjustRightInd w:val="0"/>
        <w:snapToGrid w:val="0"/>
        <w:spacing w:line="480" w:lineRule="exact"/>
        <w:rPr>
          <w:rFonts w:ascii="宋体" w:hAnsi="宋体" w:cs="宋体"/>
          <w:b/>
          <w:sz w:val="24"/>
          <w:szCs w:val="24"/>
          <w:u w:val="none"/>
        </w:rPr>
      </w:pPr>
      <w:r>
        <w:rPr>
          <w:rFonts w:hint="eastAsia" w:ascii="宋体" w:hAnsi="宋体" w:cs="宋体"/>
          <w:b/>
          <w:bCs/>
          <w:sz w:val="24"/>
          <w:szCs w:val="24"/>
          <w:u w:val="none"/>
        </w:rPr>
        <w:t>一、</w:t>
      </w:r>
      <w:r>
        <w:rPr>
          <w:rFonts w:hint="eastAsia" w:ascii="宋体" w:hAnsi="宋体" w:cs="宋体"/>
          <w:b/>
          <w:sz w:val="24"/>
          <w:szCs w:val="24"/>
          <w:u w:val="none"/>
        </w:rPr>
        <w:t>总则</w:t>
      </w:r>
    </w:p>
    <w:p w14:paraId="40ED91F5">
      <w:pPr>
        <w:adjustRightInd w:val="0"/>
        <w:snapToGrid w:val="0"/>
        <w:spacing w:line="480" w:lineRule="exact"/>
        <w:rPr>
          <w:rFonts w:ascii="宋体" w:hAnsi="宋体" w:cs="宋体"/>
          <w:b/>
          <w:sz w:val="24"/>
          <w:szCs w:val="24"/>
          <w:u w:val="none"/>
        </w:rPr>
      </w:pPr>
      <w:r>
        <w:rPr>
          <w:rFonts w:hint="eastAsia" w:ascii="宋体" w:hAnsi="宋体" w:cs="宋体"/>
          <w:b/>
          <w:sz w:val="24"/>
          <w:szCs w:val="24"/>
          <w:u w:val="none"/>
        </w:rPr>
        <w:t>1.评标委员会</w:t>
      </w:r>
    </w:p>
    <w:p w14:paraId="59B1C246">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1.1评标由依法组成的评标委员会负责。</w:t>
      </w:r>
    </w:p>
    <w:p w14:paraId="087D0202">
      <w:pPr>
        <w:adjustRightInd w:val="0"/>
        <w:snapToGrid w:val="0"/>
        <w:spacing w:line="480" w:lineRule="exact"/>
        <w:rPr>
          <w:rFonts w:ascii="宋体" w:hAnsi="宋体" w:cs="宋体"/>
          <w:b/>
          <w:sz w:val="24"/>
          <w:szCs w:val="24"/>
          <w:u w:val="none"/>
        </w:rPr>
      </w:pPr>
      <w:r>
        <w:rPr>
          <w:rFonts w:hint="eastAsia" w:ascii="宋体" w:hAnsi="宋体" w:cs="宋体"/>
          <w:b/>
          <w:bCs/>
          <w:sz w:val="24"/>
          <w:szCs w:val="24"/>
          <w:u w:val="none"/>
        </w:rPr>
        <w:t>2.</w:t>
      </w:r>
      <w:r>
        <w:rPr>
          <w:rFonts w:hint="eastAsia" w:ascii="宋体" w:hAnsi="宋体" w:cs="宋体"/>
          <w:b/>
          <w:sz w:val="24"/>
          <w:szCs w:val="24"/>
          <w:u w:val="none"/>
        </w:rPr>
        <w:t>评标方法</w:t>
      </w:r>
    </w:p>
    <w:p w14:paraId="537E7B8B">
      <w:pPr>
        <w:tabs>
          <w:tab w:val="left" w:pos="0"/>
        </w:tabs>
        <w:adjustRightInd w:val="0"/>
        <w:snapToGrid w:val="0"/>
        <w:spacing w:line="480" w:lineRule="exact"/>
        <w:rPr>
          <w:rFonts w:ascii="宋体" w:hAnsi="宋体" w:cs="宋体"/>
          <w:sz w:val="24"/>
          <w:szCs w:val="24"/>
          <w:u w:val="none"/>
        </w:rPr>
      </w:pPr>
      <w:r>
        <w:rPr>
          <w:rFonts w:hint="eastAsia" w:ascii="宋体" w:hAnsi="宋体" w:cs="宋体"/>
          <w:sz w:val="24"/>
          <w:szCs w:val="24"/>
          <w:u w:val="none"/>
        </w:rPr>
        <w:t xml:space="preserve">    2.1评标方法：综合评分法，即投标文件能够最大限度</w:t>
      </w:r>
      <w:r>
        <w:rPr>
          <w:rFonts w:hint="eastAsia" w:ascii="宋体" w:hAnsi="宋体" w:cs="宋体"/>
          <w:sz w:val="24"/>
          <w:szCs w:val="24"/>
          <w:u w:val="none"/>
          <w:lang w:eastAsia="zh-CN"/>
        </w:rPr>
        <w:t>地</w:t>
      </w:r>
      <w:r>
        <w:rPr>
          <w:rFonts w:hint="eastAsia" w:ascii="宋体" w:hAnsi="宋体" w:cs="宋体"/>
          <w:sz w:val="24"/>
          <w:szCs w:val="24"/>
          <w:u w:val="none"/>
        </w:rPr>
        <w:t>满足招标文件规定的各项综合评价标准，评标委员会按得分从高到低的顺序对投标人进行排序（当投标人得分相同时，报价低者排名在前；当投标人综合评分且报价相同时，按技术部分得分由高者排名在前。）推荐排名第一的投标人为中标候选人。</w:t>
      </w:r>
    </w:p>
    <w:p w14:paraId="50F55500">
      <w:pPr>
        <w:tabs>
          <w:tab w:val="left" w:pos="0"/>
        </w:tabs>
        <w:adjustRightInd w:val="0"/>
        <w:snapToGrid w:val="0"/>
        <w:spacing w:line="480" w:lineRule="exact"/>
        <w:rPr>
          <w:rFonts w:ascii="宋体" w:hAnsi="宋体" w:cs="宋体"/>
          <w:sz w:val="24"/>
          <w:szCs w:val="24"/>
          <w:u w:val="none"/>
        </w:rPr>
      </w:pPr>
      <w:r>
        <w:rPr>
          <w:rFonts w:hint="eastAsia" w:ascii="宋体" w:hAnsi="宋体" w:cs="宋体"/>
          <w:sz w:val="24"/>
          <w:szCs w:val="24"/>
          <w:u w:val="none"/>
        </w:rPr>
        <w:t xml:space="preserve">    评标因素：商务、技术、报价、对招标文件的响应程度，以及相应的比重或者权值等，但不包括第</w:t>
      </w:r>
      <w:r>
        <w:rPr>
          <w:rFonts w:hint="eastAsia" w:ascii="宋体" w:hAnsi="宋体" w:cs="宋体"/>
          <w:sz w:val="24"/>
          <w:szCs w:val="24"/>
          <w:u w:val="none"/>
          <w:lang w:eastAsia="zh-CN"/>
        </w:rPr>
        <w:t>二</w:t>
      </w:r>
      <w:r>
        <w:rPr>
          <w:rFonts w:hint="eastAsia" w:ascii="宋体" w:hAnsi="宋体" w:cs="宋体"/>
          <w:sz w:val="24"/>
          <w:szCs w:val="24"/>
          <w:u w:val="none"/>
        </w:rPr>
        <w:t>章“投标须知”第3.1</w:t>
      </w:r>
      <w:r>
        <w:rPr>
          <w:rFonts w:hint="eastAsia" w:ascii="宋体" w:hAnsi="宋体" w:cs="宋体"/>
          <w:sz w:val="24"/>
          <w:szCs w:val="24"/>
          <w:u w:val="none"/>
          <w:lang w:val="zh-CN"/>
        </w:rPr>
        <w:t>款</w:t>
      </w:r>
      <w:r>
        <w:rPr>
          <w:rFonts w:hint="eastAsia" w:ascii="宋体" w:hAnsi="宋体" w:cs="宋体"/>
          <w:sz w:val="24"/>
          <w:szCs w:val="24"/>
          <w:u w:val="none"/>
        </w:rPr>
        <w:t>规定的投标人资格条件。</w:t>
      </w:r>
    </w:p>
    <w:p w14:paraId="3AB73C93">
      <w:pPr>
        <w:tabs>
          <w:tab w:val="left" w:pos="0"/>
        </w:tabs>
        <w:adjustRightInd w:val="0"/>
        <w:snapToGrid w:val="0"/>
        <w:spacing w:line="480" w:lineRule="exact"/>
        <w:ind w:firstLine="480" w:firstLineChars="200"/>
        <w:rPr>
          <w:rFonts w:ascii="宋体" w:hAnsi="宋体" w:cs="宋体"/>
          <w:b/>
          <w:sz w:val="24"/>
          <w:szCs w:val="24"/>
          <w:u w:val="none"/>
        </w:rPr>
      </w:pPr>
      <w:r>
        <w:rPr>
          <w:rFonts w:hint="eastAsia" w:ascii="宋体" w:hAnsi="宋体" w:cs="宋体"/>
          <w:bCs/>
          <w:sz w:val="24"/>
          <w:szCs w:val="24"/>
          <w:u w:val="none"/>
        </w:rPr>
        <w:t>2.2</w:t>
      </w:r>
      <w:r>
        <w:rPr>
          <w:rFonts w:hint="eastAsia" w:ascii="宋体" w:hAnsi="宋体" w:cs="宋体"/>
          <w:sz w:val="24"/>
          <w:szCs w:val="24"/>
          <w:u w:val="none"/>
        </w:rPr>
        <w:t>权值的取值范围见下表，本采购项目的权值见</w:t>
      </w:r>
      <w:r>
        <w:rPr>
          <w:rFonts w:hint="eastAsia" w:ascii="宋体" w:hAnsi="宋体" w:cs="宋体"/>
          <w:b/>
          <w:sz w:val="24"/>
          <w:szCs w:val="24"/>
          <w:u w:val="none"/>
        </w:rPr>
        <w:t>招标文件前附表。</w:t>
      </w:r>
    </w:p>
    <w:tbl>
      <w:tblPr>
        <w:tblStyle w:val="2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8"/>
        <w:gridCol w:w="772"/>
      </w:tblGrid>
      <w:tr w14:paraId="612C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tcPr>
          <w:p w14:paraId="1EFA5F44">
            <w:pPr>
              <w:spacing w:line="460" w:lineRule="exact"/>
              <w:jc w:val="center"/>
              <w:rPr>
                <w:rFonts w:ascii="宋体" w:cs="宋体"/>
                <w:sz w:val="24"/>
                <w:szCs w:val="24"/>
                <w:u w:val="none"/>
              </w:rPr>
            </w:pPr>
            <w:r>
              <w:rPr>
                <w:rFonts w:hint="eastAsia" w:ascii="宋体" w:cs="宋体"/>
                <w:sz w:val="24"/>
                <w:szCs w:val="24"/>
                <w:u w:val="none"/>
              </w:rPr>
              <w:t>评定内容及标准</w:t>
            </w:r>
          </w:p>
        </w:tc>
        <w:tc>
          <w:tcPr>
            <w:tcW w:w="772" w:type="dxa"/>
          </w:tcPr>
          <w:p w14:paraId="3BE7D5CC">
            <w:pPr>
              <w:spacing w:line="460" w:lineRule="exact"/>
              <w:jc w:val="center"/>
              <w:rPr>
                <w:rFonts w:ascii="宋体" w:cs="宋体"/>
                <w:sz w:val="24"/>
                <w:szCs w:val="24"/>
                <w:u w:val="none"/>
              </w:rPr>
            </w:pPr>
            <w:r>
              <w:rPr>
                <w:rFonts w:hint="eastAsia" w:ascii="宋体" w:cs="宋体"/>
                <w:sz w:val="24"/>
                <w:szCs w:val="24"/>
                <w:u w:val="none"/>
              </w:rPr>
              <w:t>满分</w:t>
            </w:r>
          </w:p>
        </w:tc>
      </w:tr>
      <w:tr w14:paraId="5EAF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tcPr>
          <w:p w14:paraId="48421EA7">
            <w:pPr>
              <w:spacing w:line="460" w:lineRule="exact"/>
              <w:rPr>
                <w:rFonts w:ascii="宋体" w:cs="宋体"/>
                <w:sz w:val="24"/>
                <w:szCs w:val="24"/>
                <w:u w:val="none"/>
              </w:rPr>
            </w:pPr>
            <w:r>
              <w:rPr>
                <w:rFonts w:hint="eastAsia" w:ascii="宋体" w:cs="宋体"/>
                <w:b/>
                <w:bCs/>
                <w:sz w:val="24"/>
                <w:szCs w:val="24"/>
                <w:u w:val="none"/>
              </w:rPr>
              <w:t>一、商务部分（</w:t>
            </w:r>
            <w:r>
              <w:rPr>
                <w:rFonts w:hint="eastAsia" w:ascii="宋体" w:cs="宋体"/>
                <w:b/>
                <w:bCs/>
                <w:sz w:val="24"/>
                <w:szCs w:val="24"/>
                <w:u w:val="none"/>
                <w:lang w:val="en-US" w:eastAsia="zh-CN"/>
              </w:rPr>
              <w:t>14</w:t>
            </w:r>
            <w:r>
              <w:rPr>
                <w:rFonts w:hint="eastAsia" w:ascii="宋体" w:cs="宋体"/>
                <w:b/>
                <w:bCs/>
                <w:sz w:val="24"/>
                <w:szCs w:val="24"/>
                <w:u w:val="none"/>
              </w:rPr>
              <w:t>分）</w:t>
            </w:r>
          </w:p>
        </w:tc>
        <w:tc>
          <w:tcPr>
            <w:tcW w:w="772" w:type="dxa"/>
            <w:vAlign w:val="center"/>
          </w:tcPr>
          <w:p w14:paraId="04520306">
            <w:pPr>
              <w:spacing w:line="460" w:lineRule="exact"/>
              <w:jc w:val="center"/>
              <w:rPr>
                <w:rFonts w:ascii="宋体" w:cs="宋体"/>
                <w:sz w:val="24"/>
                <w:szCs w:val="24"/>
                <w:u w:val="none"/>
              </w:rPr>
            </w:pPr>
            <w:r>
              <w:rPr>
                <w:rFonts w:hint="eastAsia" w:ascii="宋体" w:cs="宋体"/>
                <w:b/>
                <w:bCs/>
                <w:sz w:val="24"/>
                <w:szCs w:val="24"/>
                <w:u w:val="none"/>
                <w:lang w:val="en-US" w:eastAsia="zh-CN"/>
              </w:rPr>
              <w:t>14</w:t>
            </w:r>
            <w:r>
              <w:rPr>
                <w:rFonts w:hint="eastAsia" w:ascii="宋体" w:cs="宋体"/>
                <w:b/>
                <w:bCs/>
                <w:sz w:val="24"/>
                <w:szCs w:val="24"/>
                <w:u w:val="none"/>
              </w:rPr>
              <w:t>分</w:t>
            </w:r>
          </w:p>
        </w:tc>
      </w:tr>
      <w:tr w14:paraId="1D06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348" w:type="dxa"/>
            <w:vAlign w:val="center"/>
          </w:tcPr>
          <w:p w14:paraId="2ACB493B">
            <w:pPr>
              <w:widowControl/>
              <w:spacing w:line="460" w:lineRule="exact"/>
              <w:ind w:firstLine="470" w:firstLineChars="200"/>
              <w:jc w:val="left"/>
              <w:textAlignment w:val="baseline"/>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1.类似项目业绩（</w:t>
            </w:r>
            <w:r>
              <w:rPr>
                <w:rFonts w:hint="eastAsia" w:ascii="宋体" w:hAnsi="宋体" w:cs="宋体"/>
                <w:b/>
                <w:bCs/>
                <w:color w:val="auto"/>
                <w:spacing w:val="-3"/>
                <w:sz w:val="24"/>
                <w:szCs w:val="24"/>
                <w:highlight w:val="none"/>
                <w:lang w:val="en-US" w:eastAsia="zh-CN"/>
              </w:rPr>
              <w:t>8</w:t>
            </w:r>
            <w:r>
              <w:rPr>
                <w:rFonts w:hint="eastAsia" w:ascii="宋体" w:hAnsi="宋体" w:eastAsia="宋体" w:cs="宋体"/>
                <w:b/>
                <w:bCs/>
                <w:color w:val="auto"/>
                <w:spacing w:val="-3"/>
                <w:sz w:val="24"/>
                <w:szCs w:val="24"/>
                <w:highlight w:val="none"/>
                <w:lang w:val="en-US" w:eastAsia="zh-CN"/>
              </w:rPr>
              <w:t>分）</w:t>
            </w:r>
          </w:p>
          <w:p w14:paraId="6DA9A8E8">
            <w:pPr>
              <w:widowControl/>
              <w:spacing w:line="460" w:lineRule="exact"/>
              <w:ind w:firstLine="468" w:firstLineChars="200"/>
              <w:jc w:val="left"/>
              <w:textAlignment w:val="baseline"/>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2022年1月1日至投标截止之日</w:t>
            </w:r>
            <w:r>
              <w:rPr>
                <w:rFonts w:hint="eastAsia" w:ascii="宋体" w:hAnsi="宋体" w:eastAsia="宋体" w:cs="宋体"/>
                <w:b w:val="0"/>
                <w:bCs w:val="0"/>
                <w:color w:val="auto"/>
                <w:spacing w:val="-3"/>
                <w:sz w:val="24"/>
                <w:szCs w:val="24"/>
                <w:highlight w:val="none"/>
                <w:lang w:val="zh-CN" w:eastAsia="zh-CN"/>
              </w:rPr>
              <w:t>具有与本项目相同或相类似的业绩。以投标人提供的</w:t>
            </w:r>
            <w:r>
              <w:rPr>
                <w:rFonts w:hint="eastAsia" w:ascii="宋体" w:hAnsi="宋体" w:eastAsia="宋体" w:cs="宋体"/>
                <w:b w:val="0"/>
                <w:bCs w:val="0"/>
                <w:color w:val="auto"/>
                <w:spacing w:val="-3"/>
                <w:sz w:val="24"/>
                <w:szCs w:val="24"/>
                <w:highlight w:val="none"/>
                <w:lang w:val="en-US" w:eastAsia="zh-CN"/>
              </w:rPr>
              <w:t>自身</w:t>
            </w:r>
            <w:r>
              <w:rPr>
                <w:rFonts w:hint="eastAsia" w:ascii="宋体" w:hAnsi="宋体" w:eastAsia="宋体" w:cs="宋体"/>
                <w:b w:val="0"/>
                <w:bCs w:val="0"/>
                <w:color w:val="auto"/>
                <w:spacing w:val="-3"/>
                <w:sz w:val="24"/>
                <w:szCs w:val="24"/>
                <w:highlight w:val="none"/>
                <w:lang w:val="zh-CN" w:eastAsia="zh-CN"/>
              </w:rPr>
              <w:t>合同为准，要求必须提供与最终用户签订的合同首页、合同金额所在页、服务事项页、签字盖章页作为证明，否则视为无效业绩。提供一个合同得</w:t>
            </w:r>
            <w:r>
              <w:rPr>
                <w:rFonts w:hint="eastAsia" w:ascii="宋体" w:hAnsi="宋体" w:cs="宋体"/>
                <w:b w:val="0"/>
                <w:bCs w:val="0"/>
                <w:color w:val="auto"/>
                <w:spacing w:val="-3"/>
                <w:sz w:val="24"/>
                <w:szCs w:val="24"/>
                <w:highlight w:val="none"/>
                <w:lang w:val="en-US" w:eastAsia="zh-CN"/>
              </w:rPr>
              <w:t>2</w:t>
            </w:r>
            <w:r>
              <w:rPr>
                <w:rFonts w:hint="eastAsia" w:ascii="宋体" w:hAnsi="宋体" w:eastAsia="宋体" w:cs="宋体"/>
                <w:b w:val="0"/>
                <w:bCs w:val="0"/>
                <w:color w:val="auto"/>
                <w:spacing w:val="-3"/>
                <w:sz w:val="24"/>
                <w:szCs w:val="24"/>
                <w:highlight w:val="none"/>
                <w:lang w:val="en-US" w:eastAsia="zh-CN"/>
              </w:rPr>
              <w:t>分</w:t>
            </w:r>
            <w:r>
              <w:rPr>
                <w:rFonts w:hint="eastAsia" w:ascii="宋体" w:hAnsi="宋体" w:eastAsia="宋体" w:cs="宋体"/>
                <w:b w:val="0"/>
                <w:bCs w:val="0"/>
                <w:color w:val="auto"/>
                <w:spacing w:val="-3"/>
                <w:sz w:val="24"/>
                <w:szCs w:val="24"/>
                <w:highlight w:val="none"/>
                <w:lang w:val="zh-CN" w:eastAsia="zh-CN"/>
              </w:rPr>
              <w:t>，</w:t>
            </w:r>
            <w:r>
              <w:rPr>
                <w:rFonts w:hint="eastAsia" w:ascii="宋体" w:hAnsi="宋体" w:eastAsia="宋体" w:cs="宋体"/>
                <w:b w:val="0"/>
                <w:bCs w:val="0"/>
                <w:color w:val="auto"/>
                <w:spacing w:val="-3"/>
                <w:sz w:val="24"/>
                <w:szCs w:val="24"/>
                <w:highlight w:val="none"/>
                <w:lang w:val="en-US" w:eastAsia="zh-CN"/>
              </w:rPr>
              <w:t>最高得</w:t>
            </w:r>
            <w:r>
              <w:rPr>
                <w:rFonts w:hint="eastAsia" w:ascii="宋体" w:hAnsi="宋体" w:cs="宋体"/>
                <w:b w:val="0"/>
                <w:bCs w:val="0"/>
                <w:color w:val="auto"/>
                <w:spacing w:val="-3"/>
                <w:sz w:val="24"/>
                <w:szCs w:val="24"/>
                <w:highlight w:val="none"/>
                <w:lang w:val="en-US" w:eastAsia="zh-CN"/>
              </w:rPr>
              <w:t>8</w:t>
            </w:r>
            <w:r>
              <w:rPr>
                <w:rFonts w:hint="eastAsia" w:ascii="宋体" w:hAnsi="宋体" w:eastAsia="宋体" w:cs="宋体"/>
                <w:b w:val="0"/>
                <w:bCs w:val="0"/>
                <w:color w:val="auto"/>
                <w:spacing w:val="-3"/>
                <w:sz w:val="24"/>
                <w:szCs w:val="24"/>
                <w:highlight w:val="none"/>
                <w:lang w:val="en-US" w:eastAsia="zh-CN"/>
              </w:rPr>
              <w:t>分。(如为联合体投标，联合体成员的业绩均可计分）</w:t>
            </w:r>
          </w:p>
        </w:tc>
        <w:tc>
          <w:tcPr>
            <w:tcW w:w="772" w:type="dxa"/>
            <w:vAlign w:val="center"/>
          </w:tcPr>
          <w:p w14:paraId="1413D50F">
            <w:pPr>
              <w:spacing w:line="460" w:lineRule="exact"/>
              <w:jc w:val="center"/>
              <w:rPr>
                <w:rFonts w:ascii="宋体" w:cs="宋体"/>
                <w:sz w:val="24"/>
                <w:szCs w:val="24"/>
                <w:u w:val="none"/>
              </w:rPr>
            </w:pPr>
            <w:r>
              <w:rPr>
                <w:rFonts w:hint="eastAsia" w:ascii="宋体" w:cs="宋体"/>
                <w:sz w:val="24"/>
                <w:szCs w:val="24"/>
                <w:u w:val="none"/>
                <w:lang w:val="en-US" w:eastAsia="zh-CN"/>
              </w:rPr>
              <w:t>8</w:t>
            </w:r>
            <w:r>
              <w:rPr>
                <w:rFonts w:hint="eastAsia" w:ascii="宋体" w:cs="宋体"/>
                <w:sz w:val="24"/>
                <w:szCs w:val="24"/>
                <w:u w:val="none"/>
              </w:rPr>
              <w:t>分</w:t>
            </w:r>
          </w:p>
        </w:tc>
      </w:tr>
      <w:tr w14:paraId="274E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348" w:type="dxa"/>
            <w:vAlign w:val="center"/>
          </w:tcPr>
          <w:p w14:paraId="5FB6FB1D">
            <w:pPr>
              <w:widowControl/>
              <w:numPr>
                <w:ilvl w:val="0"/>
                <w:numId w:val="0"/>
              </w:numPr>
              <w:spacing w:line="460" w:lineRule="exact"/>
              <w:ind w:leftChars="228"/>
              <w:jc w:val="left"/>
              <w:textAlignment w:val="baseline"/>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2.拟投入的人员资格情况（</w:t>
            </w:r>
            <w:r>
              <w:rPr>
                <w:rFonts w:hint="eastAsia" w:ascii="宋体" w:hAnsi="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lang w:val="en-US" w:eastAsia="zh-CN"/>
              </w:rPr>
              <w:t>分）</w:t>
            </w:r>
            <w:r>
              <w:rPr>
                <w:rFonts w:hint="eastAsia" w:ascii="宋体" w:hAnsi="宋体" w:eastAsia="宋体" w:cs="宋体"/>
                <w:b/>
                <w:bCs/>
                <w:color w:val="auto"/>
                <w:spacing w:val="-3"/>
                <w:sz w:val="24"/>
                <w:szCs w:val="24"/>
                <w:highlight w:val="none"/>
                <w:lang w:val="en-US" w:eastAsia="zh-CN"/>
              </w:rPr>
              <w:br w:type="textWrapping"/>
            </w:r>
            <w:r>
              <w:rPr>
                <w:rFonts w:hint="eastAsia" w:ascii="宋体" w:hAnsi="宋体" w:eastAsia="宋体" w:cs="宋体"/>
                <w:b w:val="0"/>
                <w:bCs w:val="0"/>
                <w:color w:val="auto"/>
                <w:spacing w:val="-3"/>
                <w:sz w:val="24"/>
                <w:szCs w:val="24"/>
                <w:highlight w:val="none"/>
                <w:lang w:val="en-US" w:eastAsia="zh-CN"/>
              </w:rPr>
              <w:t>项目组成员（不含项目负责人）每具有一名工程类中级工程师及以上资格，</w:t>
            </w:r>
          </w:p>
          <w:p w14:paraId="66B094D6">
            <w:pPr>
              <w:widowControl/>
              <w:numPr>
                <w:ilvl w:val="0"/>
                <w:numId w:val="0"/>
              </w:numPr>
              <w:spacing w:line="460" w:lineRule="exact"/>
              <w:jc w:val="left"/>
              <w:textAlignment w:val="baseline"/>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或工程类一级注册证书的人员得1分，最高得</w:t>
            </w:r>
            <w:r>
              <w:rPr>
                <w:rFonts w:hint="eastAsia" w:ascii="宋体" w:hAnsi="宋体" w:cs="宋体"/>
                <w:b w:val="0"/>
                <w:bCs w:val="0"/>
                <w:color w:val="auto"/>
                <w:spacing w:val="-3"/>
                <w:sz w:val="24"/>
                <w:szCs w:val="24"/>
                <w:highlight w:val="none"/>
                <w:lang w:val="en-US" w:eastAsia="zh-CN"/>
              </w:rPr>
              <w:t>6</w:t>
            </w:r>
            <w:r>
              <w:rPr>
                <w:rFonts w:hint="eastAsia" w:ascii="宋体" w:hAnsi="宋体" w:eastAsia="宋体" w:cs="宋体"/>
                <w:b w:val="0"/>
                <w:bCs w:val="0"/>
                <w:color w:val="auto"/>
                <w:spacing w:val="-3"/>
                <w:sz w:val="24"/>
                <w:szCs w:val="24"/>
                <w:highlight w:val="none"/>
                <w:lang w:val="en-US" w:eastAsia="zh-CN"/>
              </w:rPr>
              <w:t>分。</w:t>
            </w:r>
          </w:p>
          <w:p w14:paraId="55A37997">
            <w:pPr>
              <w:widowControl/>
              <w:spacing w:line="460" w:lineRule="exact"/>
              <w:ind w:firstLine="468" w:firstLineChars="200"/>
              <w:jc w:val="left"/>
              <w:textAlignment w:val="baseline"/>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项目组成人员同时具有职称资格及注册资格的，不重复计分。响应文件中应附项目组成人员的身份证、职称证/注册证、劳动合同或社保证明的复印件，否则不予计分。(如为联合体投标，联合体成员提供的人员均可计分）</w:t>
            </w:r>
          </w:p>
        </w:tc>
        <w:tc>
          <w:tcPr>
            <w:tcW w:w="772" w:type="dxa"/>
            <w:vAlign w:val="center"/>
          </w:tcPr>
          <w:p w14:paraId="0D7E1CF0">
            <w:pPr>
              <w:spacing w:line="460" w:lineRule="exact"/>
              <w:jc w:val="center"/>
              <w:rPr>
                <w:rFonts w:hint="default" w:ascii="宋体" w:cs="宋体"/>
                <w:sz w:val="24"/>
                <w:szCs w:val="24"/>
                <w:u w:val="none"/>
                <w:lang w:val="en-US" w:eastAsia="zh-CN"/>
              </w:rPr>
            </w:pPr>
            <w:r>
              <w:rPr>
                <w:rFonts w:hint="eastAsia" w:ascii="宋体" w:cs="宋体"/>
                <w:sz w:val="24"/>
                <w:szCs w:val="24"/>
                <w:u w:val="none"/>
                <w:lang w:val="en-US" w:eastAsia="zh-CN"/>
              </w:rPr>
              <w:t>6分</w:t>
            </w:r>
          </w:p>
        </w:tc>
      </w:tr>
      <w:tr w14:paraId="3B68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vAlign w:val="center"/>
          </w:tcPr>
          <w:p w14:paraId="460B999C">
            <w:pPr>
              <w:snapToGrid w:val="0"/>
              <w:spacing w:line="460" w:lineRule="exact"/>
              <w:rPr>
                <w:rFonts w:ascii="宋体" w:cs="宋体"/>
                <w:b/>
                <w:bCs/>
                <w:sz w:val="24"/>
                <w:szCs w:val="24"/>
                <w:u w:val="none"/>
              </w:rPr>
            </w:pPr>
            <w:r>
              <w:rPr>
                <w:rFonts w:hint="eastAsia" w:ascii="宋体" w:hAnsi="Times New Roman" w:cs="宋体"/>
                <w:b/>
                <w:bCs/>
                <w:sz w:val="24"/>
                <w:szCs w:val="24"/>
                <w:u w:val="none"/>
              </w:rPr>
              <w:t>二、技术部分（</w:t>
            </w:r>
            <w:r>
              <w:rPr>
                <w:rFonts w:hint="eastAsia" w:ascii="宋体" w:hAnsi="Times New Roman" w:cs="宋体"/>
                <w:b/>
                <w:bCs/>
                <w:sz w:val="24"/>
                <w:szCs w:val="24"/>
                <w:u w:val="none"/>
                <w:lang w:val="en-US" w:eastAsia="zh-CN"/>
              </w:rPr>
              <w:t>76</w:t>
            </w:r>
            <w:r>
              <w:rPr>
                <w:rFonts w:hint="eastAsia" w:ascii="宋体" w:hAnsi="Times New Roman" w:cs="宋体"/>
                <w:b/>
                <w:bCs/>
                <w:sz w:val="24"/>
                <w:szCs w:val="24"/>
                <w:u w:val="none"/>
              </w:rPr>
              <w:t>分）</w:t>
            </w:r>
            <w:r>
              <w:rPr>
                <w:rFonts w:hint="eastAsia" w:ascii="宋体" w:hAnsi="Times New Roman" w:cs="宋体"/>
                <w:sz w:val="24"/>
                <w:szCs w:val="24"/>
                <w:u w:val="none"/>
              </w:rPr>
              <w:t xml:space="preserve">  </w:t>
            </w:r>
          </w:p>
        </w:tc>
        <w:tc>
          <w:tcPr>
            <w:tcW w:w="772" w:type="dxa"/>
            <w:vAlign w:val="center"/>
          </w:tcPr>
          <w:p w14:paraId="63E30AD4">
            <w:pPr>
              <w:spacing w:line="460" w:lineRule="exact"/>
              <w:jc w:val="center"/>
              <w:rPr>
                <w:rFonts w:ascii="宋体" w:cs="宋体"/>
                <w:b/>
                <w:bCs/>
                <w:sz w:val="24"/>
                <w:szCs w:val="24"/>
                <w:u w:val="none"/>
              </w:rPr>
            </w:pPr>
            <w:r>
              <w:rPr>
                <w:rFonts w:hint="eastAsia" w:ascii="宋体" w:cs="宋体"/>
                <w:b/>
                <w:bCs/>
                <w:sz w:val="24"/>
                <w:szCs w:val="24"/>
                <w:u w:val="none"/>
                <w:lang w:val="en-US" w:eastAsia="zh-CN"/>
              </w:rPr>
              <w:t>76</w:t>
            </w:r>
            <w:r>
              <w:rPr>
                <w:rFonts w:hint="eastAsia" w:ascii="宋体" w:cs="宋体"/>
                <w:b/>
                <w:bCs/>
                <w:sz w:val="24"/>
                <w:szCs w:val="24"/>
                <w:u w:val="none"/>
              </w:rPr>
              <w:t>分</w:t>
            </w:r>
          </w:p>
        </w:tc>
      </w:tr>
      <w:tr w14:paraId="6784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vAlign w:val="center"/>
          </w:tcPr>
          <w:p w14:paraId="797617C4">
            <w:pPr>
              <w:pStyle w:val="59"/>
              <w:numPr>
                <w:ilvl w:val="0"/>
                <w:numId w:val="0"/>
              </w:numPr>
              <w:snapToGrid w:val="0"/>
              <w:spacing w:before="0" w:beforeAutospacing="0" w:after="0" w:afterAutospacing="0" w:line="460" w:lineRule="exact"/>
              <w:jc w:val="both"/>
              <w:rPr>
                <w:rFonts w:hint="default" w:cs="宋体"/>
                <w:b/>
                <w:bCs w:val="0"/>
                <w:sz w:val="24"/>
                <w:szCs w:val="24"/>
                <w:u w:val="none"/>
                <w:lang w:val="en-US" w:eastAsia="zh-CN"/>
              </w:rPr>
            </w:pPr>
            <w:r>
              <w:rPr>
                <w:rFonts w:hint="eastAsia" w:cs="宋体"/>
                <w:b/>
                <w:bCs w:val="0"/>
                <w:sz w:val="24"/>
                <w:szCs w:val="24"/>
                <w:u w:val="none"/>
                <w:lang w:val="en-US" w:eastAsia="zh-CN"/>
              </w:rPr>
              <w:t>1、</w:t>
            </w:r>
            <w:r>
              <w:rPr>
                <w:rFonts w:hint="eastAsia" w:ascii="宋体" w:hAnsi="宋体" w:cs="宋体"/>
                <w:b/>
                <w:bCs w:val="0"/>
                <w:sz w:val="24"/>
                <w:szCs w:val="24"/>
                <w:u w:val="none"/>
                <w:lang w:val="en-US" w:eastAsia="zh-CN"/>
              </w:rPr>
              <w:t>项目</w:t>
            </w:r>
            <w:r>
              <w:rPr>
                <w:rFonts w:hint="eastAsia" w:cs="宋体"/>
                <w:b/>
                <w:bCs w:val="0"/>
                <w:sz w:val="24"/>
                <w:szCs w:val="24"/>
                <w:u w:val="none"/>
                <w:lang w:val="en-US" w:eastAsia="zh-CN"/>
              </w:rPr>
              <w:t>实施方案</w:t>
            </w:r>
            <w:r>
              <w:rPr>
                <w:rFonts w:hint="default" w:cs="宋体"/>
                <w:b/>
                <w:bCs w:val="0"/>
                <w:sz w:val="24"/>
                <w:szCs w:val="24"/>
                <w:u w:val="none"/>
                <w:lang w:val="en-US" w:eastAsia="zh-CN"/>
              </w:rPr>
              <w:t>（</w:t>
            </w:r>
            <w:r>
              <w:rPr>
                <w:rFonts w:hint="eastAsia" w:cs="宋体"/>
                <w:b/>
                <w:bCs w:val="0"/>
                <w:sz w:val="24"/>
                <w:szCs w:val="24"/>
                <w:u w:val="none"/>
                <w:lang w:val="en-US" w:eastAsia="zh-CN"/>
              </w:rPr>
              <w:t>24</w:t>
            </w:r>
            <w:r>
              <w:rPr>
                <w:rFonts w:hint="default" w:cs="宋体"/>
                <w:b/>
                <w:bCs w:val="0"/>
                <w:sz w:val="24"/>
                <w:szCs w:val="24"/>
                <w:u w:val="none"/>
                <w:lang w:val="en-US" w:eastAsia="zh-CN"/>
              </w:rPr>
              <w:t>分）</w:t>
            </w:r>
          </w:p>
          <w:p w14:paraId="044EFE18">
            <w:pPr>
              <w:pStyle w:val="59"/>
              <w:numPr>
                <w:ilvl w:val="0"/>
                <w:numId w:val="0"/>
              </w:numPr>
              <w:snapToGrid w:val="0"/>
              <w:spacing w:before="0" w:beforeAutospacing="0" w:after="0" w:afterAutospacing="0" w:line="460" w:lineRule="exact"/>
              <w:ind w:firstLine="468" w:firstLineChars="200"/>
              <w:jc w:val="both"/>
              <w:rPr>
                <w:rFonts w:hint="default" w:cs="宋体"/>
                <w:b/>
                <w:bCs w:val="0"/>
                <w:sz w:val="24"/>
                <w:szCs w:val="24"/>
                <w:u w:val="none"/>
                <w:lang w:val="en-US" w:eastAsia="zh-CN"/>
              </w:rPr>
            </w:pPr>
            <w:r>
              <w:rPr>
                <w:rFonts w:hint="eastAsia" w:ascii="宋体" w:hAnsi="宋体" w:eastAsia="宋体" w:cs="宋体"/>
                <w:b w:val="0"/>
                <w:bCs w:val="0"/>
                <w:color w:val="auto"/>
                <w:spacing w:val="-3"/>
                <w:sz w:val="24"/>
                <w:szCs w:val="24"/>
                <w:highlight w:val="none"/>
                <w:lang w:val="en-US" w:eastAsia="zh-CN"/>
              </w:rPr>
              <w:t>投标人针对本项目应制定项目实施方案，包括但不仅限于：①对项目背景、现场的掌握情况；②工作计划安排；③拟投入的各项资源情况；④各项采购内容的工作流程；⑤重点关键点分析及对策；⑥与业主及政府相关职能部门的沟通协调措施。</w:t>
            </w:r>
            <w:r>
              <w:rPr>
                <w:rFonts w:hint="eastAsia" w:ascii="宋体" w:hAnsi="宋体" w:eastAsia="宋体" w:cs="宋体"/>
                <w:b w:val="0"/>
                <w:bCs w:val="0"/>
                <w:color w:val="auto"/>
                <w:spacing w:val="-3"/>
                <w:sz w:val="24"/>
                <w:szCs w:val="24"/>
                <w:highlight w:val="none"/>
                <w:lang w:val="en-US" w:eastAsia="zh-CN"/>
              </w:rPr>
              <w:br w:type="textWrapping"/>
            </w:r>
            <w:r>
              <w:rPr>
                <w:rFonts w:hint="eastAsia" w:ascii="宋体" w:hAnsi="宋体" w:eastAsia="宋体" w:cs="宋体"/>
                <w:b w:val="0"/>
                <w:bCs w:val="0"/>
                <w:color w:val="auto"/>
                <w:spacing w:val="-3"/>
                <w:sz w:val="24"/>
                <w:szCs w:val="24"/>
                <w:highlight w:val="none"/>
                <w:lang w:val="en-US" w:eastAsia="zh-CN"/>
              </w:rPr>
              <w:t xml:space="preserve">   以上内容每有一项缺失的扣4分，每项中每有1处存在内容缺陷（缺陷是指以下情形中的任意一项：项目及工作的理解片面主观；内容不清晰或交叉混乱；内容与项目需求不符；制定的内容不科学、不合理）扣1分，扣完为止，未提供不得分</w:t>
            </w:r>
            <w:r>
              <w:rPr>
                <w:rFonts w:hint="default" w:ascii="宋体" w:hAnsi="宋体" w:eastAsia="宋体" w:cs="仿宋_GB2312"/>
                <w:kern w:val="2"/>
                <w:sz w:val="24"/>
                <w:szCs w:val="24"/>
                <w:u w:val="none"/>
                <w:lang w:val="en-US" w:eastAsia="zh-CN" w:bidi="ar-SA"/>
              </w:rPr>
              <w:t>。</w:t>
            </w:r>
          </w:p>
        </w:tc>
        <w:tc>
          <w:tcPr>
            <w:tcW w:w="772" w:type="dxa"/>
            <w:vAlign w:val="center"/>
          </w:tcPr>
          <w:p w14:paraId="7B234811">
            <w:pPr>
              <w:pStyle w:val="59"/>
              <w:snapToGrid w:val="0"/>
              <w:spacing w:before="0" w:beforeAutospacing="0" w:after="0" w:afterAutospacing="0" w:line="460" w:lineRule="exact"/>
              <w:jc w:val="both"/>
              <w:rPr>
                <w:szCs w:val="24"/>
                <w:u w:val="none"/>
              </w:rPr>
            </w:pPr>
            <w:r>
              <w:rPr>
                <w:rFonts w:hint="eastAsia"/>
                <w:szCs w:val="24"/>
                <w:u w:val="none"/>
                <w:lang w:val="en-US" w:eastAsia="zh-CN"/>
              </w:rPr>
              <w:t>24</w:t>
            </w:r>
            <w:r>
              <w:rPr>
                <w:rFonts w:hint="eastAsia"/>
                <w:szCs w:val="24"/>
                <w:u w:val="none"/>
              </w:rPr>
              <w:t>分</w:t>
            </w:r>
          </w:p>
        </w:tc>
      </w:tr>
      <w:tr w14:paraId="3A36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vAlign w:val="center"/>
          </w:tcPr>
          <w:p w14:paraId="10A51EAF">
            <w:pPr>
              <w:widowControl/>
              <w:spacing w:line="460" w:lineRule="exact"/>
              <w:ind w:firstLine="470" w:firstLineChars="200"/>
              <w:jc w:val="left"/>
              <w:textAlignment w:val="baseline"/>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2.</w:t>
            </w:r>
            <w:r>
              <w:rPr>
                <w:rFonts w:hint="eastAsia" w:ascii="宋体" w:hAnsi="宋体" w:eastAsia="宋体" w:cs="宋体"/>
                <w:b/>
                <w:bCs/>
                <w:color w:val="auto"/>
                <w:spacing w:val="-3"/>
                <w:sz w:val="24"/>
                <w:szCs w:val="24"/>
                <w:highlight w:val="none"/>
                <w:lang w:val="zh-CN" w:eastAsia="zh-CN"/>
              </w:rPr>
              <w:t>人员安排、岗位职责及组织机构</w:t>
            </w:r>
            <w:r>
              <w:rPr>
                <w:rFonts w:hint="eastAsia" w:ascii="宋体" w:hAnsi="宋体" w:eastAsia="宋体" w:cs="宋体"/>
                <w:b/>
                <w:bCs/>
                <w:color w:val="auto"/>
                <w:spacing w:val="-3"/>
                <w:sz w:val="24"/>
                <w:szCs w:val="24"/>
                <w:highlight w:val="none"/>
                <w:lang w:val="en-US" w:eastAsia="zh-CN"/>
              </w:rPr>
              <w:t>（16分）</w:t>
            </w:r>
          </w:p>
          <w:p w14:paraId="377D63BE">
            <w:pPr>
              <w:pStyle w:val="59"/>
              <w:snapToGrid w:val="0"/>
              <w:spacing w:before="0" w:beforeAutospacing="0" w:after="0" w:afterAutospacing="0" w:line="460" w:lineRule="exact"/>
              <w:ind w:firstLine="468" w:firstLineChars="200"/>
              <w:jc w:val="both"/>
              <w:rPr>
                <w:rFonts w:hint="eastAsia" w:eastAsia="宋体"/>
                <w:color w:val="auto"/>
                <w:szCs w:val="24"/>
                <w:u w:val="none"/>
                <w:lang w:eastAsia="zh-CN"/>
              </w:rPr>
            </w:pPr>
            <w:r>
              <w:rPr>
                <w:rFonts w:hint="eastAsia" w:ascii="宋体" w:hAnsi="宋体" w:eastAsia="宋体" w:cs="宋体"/>
                <w:b w:val="0"/>
                <w:bCs w:val="0"/>
                <w:color w:val="auto"/>
                <w:spacing w:val="-3"/>
                <w:sz w:val="24"/>
                <w:szCs w:val="24"/>
                <w:highlight w:val="none"/>
                <w:lang w:val="en-US" w:eastAsia="zh-CN"/>
              </w:rPr>
              <w:t>投标人针对本项目应制定人员安排、岗位职责及组织机构，包括但不限于①人员基本信息、②人员组织结构及分工、③人员稳定性保障措施、④监督机制。</w:t>
            </w:r>
            <w:r>
              <w:rPr>
                <w:rFonts w:hint="eastAsia" w:ascii="宋体" w:hAnsi="宋体" w:eastAsia="宋体" w:cs="宋体"/>
                <w:b w:val="0"/>
                <w:bCs w:val="0"/>
                <w:color w:val="auto"/>
                <w:spacing w:val="-3"/>
                <w:sz w:val="24"/>
                <w:szCs w:val="24"/>
                <w:highlight w:val="none"/>
                <w:lang w:val="en-US" w:eastAsia="zh-CN"/>
              </w:rPr>
              <w:br w:type="textWrapping"/>
            </w:r>
            <w:r>
              <w:rPr>
                <w:rFonts w:hint="eastAsia" w:ascii="宋体" w:hAnsi="宋体" w:eastAsia="宋体" w:cs="宋体"/>
                <w:b w:val="0"/>
                <w:bCs w:val="0"/>
                <w:color w:val="auto"/>
                <w:spacing w:val="-3"/>
                <w:sz w:val="24"/>
                <w:szCs w:val="24"/>
                <w:highlight w:val="none"/>
                <w:lang w:val="en-US" w:eastAsia="zh-CN"/>
              </w:rPr>
              <w:t xml:space="preserve">    以上内容每有一项缺失的扣4分，每项中每有1处存在内容缺陷（缺陷是指以下情形中的任意一项：项目及工作的理解片面主观；内容不清晰或交叉混乱；内容与项目需求不符；制定的内容不科学、不合理）扣1分，扣完为止，未提供不得分。</w:t>
            </w:r>
          </w:p>
        </w:tc>
        <w:tc>
          <w:tcPr>
            <w:tcW w:w="772" w:type="dxa"/>
            <w:vAlign w:val="center"/>
          </w:tcPr>
          <w:p w14:paraId="0C68944B">
            <w:pPr>
              <w:pStyle w:val="59"/>
              <w:snapToGrid w:val="0"/>
              <w:spacing w:before="0" w:beforeAutospacing="0" w:after="0" w:afterAutospacing="0" w:line="460" w:lineRule="exact"/>
              <w:jc w:val="center"/>
              <w:rPr>
                <w:color w:val="auto"/>
                <w:szCs w:val="24"/>
                <w:u w:val="none"/>
              </w:rPr>
            </w:pPr>
            <w:r>
              <w:rPr>
                <w:rFonts w:hint="eastAsia"/>
                <w:b/>
                <w:bCs/>
                <w:color w:val="auto"/>
                <w:szCs w:val="24"/>
                <w:u w:val="none"/>
                <w:lang w:val="en-US" w:eastAsia="zh-CN"/>
              </w:rPr>
              <w:t>16</w:t>
            </w:r>
            <w:r>
              <w:rPr>
                <w:rFonts w:hint="eastAsia"/>
                <w:b/>
                <w:bCs/>
                <w:color w:val="auto"/>
                <w:szCs w:val="24"/>
                <w:u w:val="none"/>
              </w:rPr>
              <w:t>分</w:t>
            </w:r>
          </w:p>
        </w:tc>
      </w:tr>
      <w:tr w14:paraId="3DD7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vAlign w:val="center"/>
          </w:tcPr>
          <w:p w14:paraId="4C91EE86">
            <w:pPr>
              <w:widowControl/>
              <w:spacing w:line="460" w:lineRule="exact"/>
              <w:ind w:firstLine="470" w:firstLineChars="200"/>
              <w:jc w:val="left"/>
              <w:textAlignment w:val="baseline"/>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3.管理制度（</w:t>
            </w:r>
            <w:r>
              <w:rPr>
                <w:rFonts w:hint="eastAsia" w:ascii="宋体" w:hAnsi="宋体" w:cs="宋体"/>
                <w:b/>
                <w:bCs/>
                <w:color w:val="auto"/>
                <w:spacing w:val="-3"/>
                <w:sz w:val="24"/>
                <w:szCs w:val="24"/>
                <w:highlight w:val="none"/>
                <w:lang w:val="en-US" w:eastAsia="zh-CN"/>
              </w:rPr>
              <w:t>12</w:t>
            </w:r>
            <w:r>
              <w:rPr>
                <w:rFonts w:hint="eastAsia" w:ascii="宋体" w:hAnsi="宋体" w:eastAsia="宋体" w:cs="宋体"/>
                <w:b/>
                <w:bCs/>
                <w:color w:val="auto"/>
                <w:spacing w:val="-3"/>
                <w:sz w:val="24"/>
                <w:szCs w:val="24"/>
                <w:highlight w:val="none"/>
                <w:lang w:val="en-US" w:eastAsia="zh-CN"/>
              </w:rPr>
              <w:t>分）</w:t>
            </w:r>
          </w:p>
          <w:p w14:paraId="788E5FC7">
            <w:pPr>
              <w:widowControl/>
              <w:spacing w:line="460" w:lineRule="exact"/>
              <w:ind w:firstLine="468" w:firstLineChars="200"/>
              <w:jc w:val="left"/>
              <w:textAlignment w:val="baseline"/>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投标人针对本项目应制定相关的管理制度，内容包括但不限于：①人员工作纪律与廉政管理；②档案管理；③保密管理。</w:t>
            </w:r>
          </w:p>
          <w:p w14:paraId="3ED33D3D">
            <w:pPr>
              <w:pStyle w:val="59"/>
              <w:snapToGrid w:val="0"/>
              <w:spacing w:before="0" w:beforeAutospacing="0" w:after="0" w:afterAutospacing="0" w:line="460" w:lineRule="exact"/>
              <w:ind w:firstLine="468" w:firstLineChars="200"/>
              <w:jc w:val="both"/>
              <w:rPr>
                <w:color w:val="auto"/>
                <w:szCs w:val="24"/>
                <w:u w:val="none"/>
              </w:rPr>
            </w:pPr>
            <w:r>
              <w:rPr>
                <w:rFonts w:hint="eastAsia" w:ascii="宋体" w:hAnsi="宋体" w:eastAsia="宋体" w:cs="宋体"/>
                <w:b w:val="0"/>
                <w:bCs w:val="0"/>
                <w:color w:val="auto"/>
                <w:spacing w:val="-3"/>
                <w:sz w:val="24"/>
                <w:szCs w:val="24"/>
                <w:highlight w:val="none"/>
                <w:lang w:val="en-US" w:eastAsia="zh-CN"/>
              </w:rPr>
              <w:t>以上内容每有一项缺失的扣4分，每项中每有1处存在内容缺陷（缺陷是指以下情形中的任意一项：项目及工作的理解片面主观；内容不清晰或交叉混乱；内容与项目需求不符；制定的内容不科学、不合理）扣1分，扣完为止，未提供不得分。</w:t>
            </w:r>
          </w:p>
        </w:tc>
        <w:tc>
          <w:tcPr>
            <w:tcW w:w="772" w:type="dxa"/>
            <w:vAlign w:val="center"/>
          </w:tcPr>
          <w:p w14:paraId="1E73559F">
            <w:pPr>
              <w:pStyle w:val="59"/>
              <w:snapToGrid w:val="0"/>
              <w:spacing w:before="0" w:beforeAutospacing="0" w:after="0" w:afterAutospacing="0" w:line="460" w:lineRule="exact"/>
              <w:jc w:val="center"/>
              <w:rPr>
                <w:b/>
                <w:bCs/>
                <w:color w:val="auto"/>
                <w:szCs w:val="24"/>
                <w:u w:val="none"/>
              </w:rPr>
            </w:pPr>
            <w:r>
              <w:rPr>
                <w:rFonts w:hint="eastAsia"/>
                <w:b/>
                <w:bCs/>
                <w:color w:val="auto"/>
                <w:szCs w:val="24"/>
                <w:u w:val="none"/>
                <w:lang w:val="en-US" w:eastAsia="zh-CN"/>
              </w:rPr>
              <w:t>12</w:t>
            </w:r>
            <w:r>
              <w:rPr>
                <w:rFonts w:hint="eastAsia"/>
                <w:b/>
                <w:bCs/>
                <w:color w:val="auto"/>
                <w:szCs w:val="24"/>
                <w:u w:val="none"/>
              </w:rPr>
              <w:t>分</w:t>
            </w:r>
          </w:p>
        </w:tc>
      </w:tr>
      <w:tr w14:paraId="3A79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vAlign w:val="center"/>
          </w:tcPr>
          <w:p w14:paraId="17BF02D8">
            <w:pPr>
              <w:widowControl/>
              <w:spacing w:line="460" w:lineRule="exact"/>
              <w:ind w:firstLine="470" w:firstLineChars="200"/>
              <w:jc w:val="left"/>
              <w:textAlignment w:val="baseline"/>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4</w:t>
            </w:r>
            <w:r>
              <w:rPr>
                <w:rFonts w:hint="default" w:ascii="宋体" w:hAnsi="宋体" w:eastAsia="宋体" w:cs="宋体"/>
                <w:b/>
                <w:bCs/>
                <w:color w:val="auto"/>
                <w:spacing w:val="-3"/>
                <w:sz w:val="24"/>
                <w:szCs w:val="24"/>
                <w:highlight w:val="none"/>
                <w:lang w:val="en-US" w:eastAsia="zh-CN"/>
              </w:rPr>
              <w:t>.</w:t>
            </w:r>
            <w:r>
              <w:rPr>
                <w:rFonts w:hint="eastAsia" w:ascii="宋体" w:hAnsi="宋体" w:eastAsia="宋体" w:cs="宋体"/>
                <w:b/>
                <w:bCs/>
                <w:color w:val="auto"/>
                <w:spacing w:val="-3"/>
                <w:sz w:val="24"/>
                <w:szCs w:val="24"/>
                <w:highlight w:val="none"/>
                <w:lang w:val="en-US" w:eastAsia="zh-CN"/>
              </w:rPr>
              <w:t>质量控制措施（8</w:t>
            </w:r>
            <w:r>
              <w:rPr>
                <w:rFonts w:hint="default" w:ascii="宋体" w:hAnsi="宋体" w:eastAsia="宋体" w:cs="宋体"/>
                <w:b/>
                <w:bCs/>
                <w:color w:val="auto"/>
                <w:spacing w:val="-3"/>
                <w:sz w:val="24"/>
                <w:szCs w:val="24"/>
                <w:highlight w:val="none"/>
                <w:lang w:val="en-US" w:eastAsia="zh-CN"/>
              </w:rPr>
              <w:t>分</w:t>
            </w:r>
            <w:r>
              <w:rPr>
                <w:rFonts w:hint="eastAsia" w:ascii="宋体" w:hAnsi="宋体" w:eastAsia="宋体" w:cs="宋体"/>
                <w:b/>
                <w:bCs/>
                <w:color w:val="auto"/>
                <w:spacing w:val="-3"/>
                <w:sz w:val="24"/>
                <w:szCs w:val="24"/>
                <w:highlight w:val="none"/>
                <w:lang w:val="en-US" w:eastAsia="zh-CN"/>
              </w:rPr>
              <w:t>）</w:t>
            </w:r>
          </w:p>
          <w:p w14:paraId="1ABE729B">
            <w:pPr>
              <w:pStyle w:val="59"/>
              <w:snapToGrid w:val="0"/>
              <w:spacing w:before="0" w:beforeAutospacing="0" w:after="0" w:afterAutospacing="0" w:line="460" w:lineRule="exact"/>
              <w:ind w:firstLine="468" w:firstLineChars="200"/>
              <w:jc w:val="both"/>
              <w:rPr>
                <w:color w:val="auto"/>
                <w:szCs w:val="24"/>
                <w:u w:val="none"/>
              </w:rPr>
            </w:pPr>
            <w:r>
              <w:rPr>
                <w:rFonts w:hint="eastAsia" w:ascii="宋体" w:hAnsi="宋体" w:eastAsia="宋体" w:cs="宋体"/>
                <w:b w:val="0"/>
                <w:bCs w:val="0"/>
                <w:color w:val="auto"/>
                <w:spacing w:val="-3"/>
                <w:sz w:val="24"/>
                <w:szCs w:val="24"/>
                <w:highlight w:val="none"/>
                <w:lang w:val="en-US" w:eastAsia="zh-CN"/>
              </w:rPr>
              <w:t>投标人针对本项目应制定质量控制措施，内容包括但不限于：①质量保证体系；②质量保障措施</w:t>
            </w:r>
            <w:r>
              <w:rPr>
                <w:rFonts w:hint="default" w:ascii="宋体" w:hAnsi="宋体" w:eastAsia="宋体" w:cs="宋体"/>
                <w:b w:val="0"/>
                <w:bCs w:val="0"/>
                <w:color w:val="auto"/>
                <w:spacing w:val="-3"/>
                <w:sz w:val="24"/>
                <w:szCs w:val="24"/>
                <w:highlight w:val="none"/>
                <w:lang w:val="en-US" w:eastAsia="zh-CN"/>
              </w:rPr>
              <w:t>。</w:t>
            </w:r>
            <w:r>
              <w:rPr>
                <w:rFonts w:hint="default" w:ascii="宋体" w:hAnsi="宋体" w:eastAsia="宋体" w:cs="宋体"/>
                <w:b w:val="0"/>
                <w:bCs w:val="0"/>
                <w:color w:val="auto"/>
                <w:spacing w:val="-3"/>
                <w:sz w:val="24"/>
                <w:szCs w:val="24"/>
                <w:highlight w:val="none"/>
                <w:lang w:val="en-US" w:eastAsia="zh-CN"/>
              </w:rPr>
              <w:br w:type="textWrapping"/>
            </w:r>
            <w:r>
              <w:rPr>
                <w:rFonts w:hint="eastAsia" w:ascii="宋体" w:hAnsi="宋体" w:eastAsia="宋体" w:cs="宋体"/>
                <w:b w:val="0"/>
                <w:bCs w:val="0"/>
                <w:color w:val="auto"/>
                <w:spacing w:val="-3"/>
                <w:sz w:val="24"/>
                <w:szCs w:val="24"/>
                <w:highlight w:val="none"/>
                <w:lang w:val="en-US" w:eastAsia="zh-CN"/>
              </w:rPr>
              <w:t xml:space="preserve">    以上内容每有一项缺失的扣4分，每项中每有1处存在内容缺陷（缺陷是指以下情形中的任意一项：项目及工作的理解片面主观；内容不清晰或交叉混乱；内容与项目需求不符；制定的内容不科学、不合理）扣1分，扣完为止，未提供不得分</w:t>
            </w:r>
            <w:r>
              <w:rPr>
                <w:rFonts w:hint="default" w:ascii="宋体" w:hAnsi="宋体" w:eastAsia="宋体" w:cs="宋体"/>
                <w:b w:val="0"/>
                <w:bCs w:val="0"/>
                <w:color w:val="auto"/>
                <w:spacing w:val="-3"/>
                <w:sz w:val="24"/>
                <w:szCs w:val="24"/>
                <w:highlight w:val="none"/>
                <w:lang w:val="en-US" w:eastAsia="zh-CN"/>
              </w:rPr>
              <w:t>。</w:t>
            </w:r>
          </w:p>
        </w:tc>
        <w:tc>
          <w:tcPr>
            <w:tcW w:w="772" w:type="dxa"/>
            <w:vAlign w:val="center"/>
          </w:tcPr>
          <w:p w14:paraId="79F294F9">
            <w:pPr>
              <w:pStyle w:val="59"/>
              <w:snapToGrid w:val="0"/>
              <w:spacing w:before="0" w:beforeAutospacing="0" w:after="0" w:afterAutospacing="0" w:line="460" w:lineRule="exact"/>
              <w:jc w:val="center"/>
              <w:rPr>
                <w:b/>
                <w:bCs/>
                <w:color w:val="auto"/>
                <w:szCs w:val="24"/>
                <w:u w:val="none"/>
              </w:rPr>
            </w:pPr>
            <w:r>
              <w:rPr>
                <w:rFonts w:hint="eastAsia"/>
                <w:b/>
                <w:bCs/>
                <w:color w:val="auto"/>
                <w:szCs w:val="24"/>
                <w:u w:val="none"/>
                <w:lang w:val="en-US" w:eastAsia="zh-CN"/>
              </w:rPr>
              <w:t>8</w:t>
            </w:r>
            <w:r>
              <w:rPr>
                <w:rFonts w:hint="eastAsia"/>
                <w:b/>
                <w:bCs/>
                <w:color w:val="auto"/>
                <w:szCs w:val="24"/>
                <w:u w:val="none"/>
              </w:rPr>
              <w:t>分</w:t>
            </w:r>
          </w:p>
        </w:tc>
      </w:tr>
      <w:tr w14:paraId="7D1B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vAlign w:val="center"/>
          </w:tcPr>
          <w:p w14:paraId="05B802D3">
            <w:pPr>
              <w:widowControl/>
              <w:spacing w:line="460" w:lineRule="exact"/>
              <w:ind w:firstLine="470" w:firstLineChars="200"/>
              <w:jc w:val="left"/>
              <w:textAlignment w:val="baseline"/>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5</w:t>
            </w:r>
            <w:r>
              <w:rPr>
                <w:rFonts w:hint="default" w:ascii="宋体" w:hAnsi="宋体" w:eastAsia="宋体" w:cs="宋体"/>
                <w:b/>
                <w:bCs/>
                <w:color w:val="auto"/>
                <w:spacing w:val="-3"/>
                <w:sz w:val="24"/>
                <w:szCs w:val="24"/>
                <w:highlight w:val="none"/>
                <w:lang w:val="en-US" w:eastAsia="zh-CN"/>
              </w:rPr>
              <w:t>.</w:t>
            </w:r>
            <w:r>
              <w:rPr>
                <w:rFonts w:hint="eastAsia" w:ascii="宋体" w:hAnsi="宋体" w:eastAsia="宋体" w:cs="宋体"/>
                <w:b/>
                <w:bCs/>
                <w:color w:val="auto"/>
                <w:spacing w:val="-3"/>
                <w:sz w:val="24"/>
                <w:szCs w:val="24"/>
                <w:highlight w:val="none"/>
                <w:lang w:val="en-US" w:eastAsia="zh-CN"/>
              </w:rPr>
              <w:t>安全控制措施（8</w:t>
            </w:r>
            <w:r>
              <w:rPr>
                <w:rFonts w:hint="default" w:ascii="宋体" w:hAnsi="宋体" w:eastAsia="宋体" w:cs="宋体"/>
                <w:b/>
                <w:bCs/>
                <w:color w:val="auto"/>
                <w:spacing w:val="-3"/>
                <w:sz w:val="24"/>
                <w:szCs w:val="24"/>
                <w:highlight w:val="none"/>
                <w:lang w:val="en-US" w:eastAsia="zh-CN"/>
              </w:rPr>
              <w:t>分</w:t>
            </w:r>
            <w:r>
              <w:rPr>
                <w:rFonts w:hint="eastAsia" w:ascii="宋体" w:hAnsi="宋体" w:eastAsia="宋体" w:cs="宋体"/>
                <w:b/>
                <w:bCs/>
                <w:color w:val="auto"/>
                <w:spacing w:val="-3"/>
                <w:sz w:val="24"/>
                <w:szCs w:val="24"/>
                <w:highlight w:val="none"/>
                <w:lang w:val="en-US" w:eastAsia="zh-CN"/>
              </w:rPr>
              <w:t>）</w:t>
            </w:r>
          </w:p>
          <w:p w14:paraId="1FD31D2C">
            <w:pPr>
              <w:pStyle w:val="59"/>
              <w:snapToGrid w:val="0"/>
              <w:spacing w:before="0" w:beforeAutospacing="0" w:after="0" w:afterAutospacing="0" w:line="460" w:lineRule="exact"/>
              <w:ind w:firstLine="468" w:firstLineChars="200"/>
              <w:jc w:val="both"/>
              <w:rPr>
                <w:rFonts w:hint="eastAsia"/>
                <w:color w:val="auto"/>
                <w:szCs w:val="24"/>
                <w:u w:val="none"/>
                <w:lang w:val="en-US" w:eastAsia="zh-CN"/>
              </w:rPr>
            </w:pPr>
            <w:r>
              <w:rPr>
                <w:rFonts w:hint="eastAsia" w:ascii="宋体" w:hAnsi="宋体" w:eastAsia="宋体" w:cs="宋体"/>
                <w:b w:val="0"/>
                <w:bCs w:val="0"/>
                <w:color w:val="auto"/>
                <w:spacing w:val="-3"/>
                <w:sz w:val="24"/>
                <w:szCs w:val="24"/>
                <w:highlight w:val="none"/>
                <w:lang w:val="en-US" w:eastAsia="zh-CN"/>
              </w:rPr>
              <w:t>供应商针对本项目应制定安全控制措施，内容包括但不限于：①安全保证体系；②安全保障措施</w:t>
            </w:r>
            <w:r>
              <w:rPr>
                <w:rFonts w:hint="default" w:ascii="宋体" w:hAnsi="宋体" w:eastAsia="宋体" w:cs="宋体"/>
                <w:b w:val="0"/>
                <w:bCs w:val="0"/>
                <w:color w:val="auto"/>
                <w:spacing w:val="-3"/>
                <w:sz w:val="24"/>
                <w:szCs w:val="24"/>
                <w:highlight w:val="none"/>
                <w:lang w:val="en-US" w:eastAsia="zh-CN"/>
              </w:rPr>
              <w:t>。</w:t>
            </w:r>
            <w:r>
              <w:rPr>
                <w:rFonts w:hint="default" w:ascii="宋体" w:hAnsi="宋体" w:eastAsia="宋体" w:cs="宋体"/>
                <w:b w:val="0"/>
                <w:bCs w:val="0"/>
                <w:color w:val="auto"/>
                <w:spacing w:val="-3"/>
                <w:sz w:val="24"/>
                <w:szCs w:val="24"/>
                <w:highlight w:val="none"/>
                <w:lang w:val="en-US" w:eastAsia="zh-CN"/>
              </w:rPr>
              <w:br w:type="textWrapping"/>
            </w:r>
            <w:r>
              <w:rPr>
                <w:rFonts w:hint="eastAsia" w:ascii="宋体" w:hAnsi="宋体" w:eastAsia="宋体" w:cs="宋体"/>
                <w:b w:val="0"/>
                <w:bCs w:val="0"/>
                <w:color w:val="auto"/>
                <w:spacing w:val="-3"/>
                <w:sz w:val="24"/>
                <w:szCs w:val="24"/>
                <w:highlight w:val="none"/>
                <w:lang w:val="en-US" w:eastAsia="zh-CN"/>
              </w:rPr>
              <w:t xml:space="preserve">    以上内容每有一项缺失的扣4分，每项中每有1处存在内容缺陷（缺陷是指以下情形中的任意一项：项目及工作的理解片面主观；内容不清晰或交叉混乱；内容与项目需求不符；制定的内容不科学、不合理）扣1分，扣完为止，未提供不得分</w:t>
            </w:r>
            <w:r>
              <w:rPr>
                <w:rFonts w:hint="default" w:ascii="宋体" w:hAnsi="宋体" w:eastAsia="宋体" w:cs="宋体"/>
                <w:b w:val="0"/>
                <w:bCs w:val="0"/>
                <w:color w:val="auto"/>
                <w:spacing w:val="-3"/>
                <w:sz w:val="24"/>
                <w:szCs w:val="24"/>
                <w:highlight w:val="none"/>
                <w:lang w:val="en-US" w:eastAsia="zh-CN"/>
              </w:rPr>
              <w:t>。</w:t>
            </w:r>
          </w:p>
        </w:tc>
        <w:tc>
          <w:tcPr>
            <w:tcW w:w="772" w:type="dxa"/>
            <w:vAlign w:val="center"/>
          </w:tcPr>
          <w:p w14:paraId="17E22FCA">
            <w:pPr>
              <w:pStyle w:val="59"/>
              <w:snapToGrid w:val="0"/>
              <w:spacing w:before="0" w:beforeAutospacing="0" w:after="0" w:afterAutospacing="0" w:line="460" w:lineRule="exact"/>
              <w:jc w:val="both"/>
              <w:rPr>
                <w:rFonts w:hint="default"/>
                <w:color w:val="auto"/>
                <w:szCs w:val="24"/>
                <w:u w:val="none"/>
                <w:lang w:val="en-US" w:eastAsia="zh-CN"/>
              </w:rPr>
            </w:pPr>
            <w:r>
              <w:rPr>
                <w:rFonts w:hint="eastAsia"/>
                <w:b/>
                <w:bCs/>
                <w:color w:val="auto"/>
                <w:szCs w:val="24"/>
                <w:u w:val="none"/>
                <w:lang w:val="en-US" w:eastAsia="zh-CN"/>
              </w:rPr>
              <w:br w:type="textWrapping"/>
            </w:r>
            <w:r>
              <w:rPr>
                <w:rFonts w:hint="eastAsia"/>
                <w:b/>
                <w:bCs/>
                <w:color w:val="auto"/>
                <w:szCs w:val="24"/>
                <w:u w:val="none"/>
                <w:lang w:val="en-US" w:eastAsia="zh-CN"/>
              </w:rPr>
              <w:br w:type="textWrapping"/>
            </w:r>
            <w:r>
              <w:rPr>
                <w:rFonts w:hint="eastAsia"/>
                <w:b/>
                <w:bCs/>
                <w:color w:val="auto"/>
                <w:szCs w:val="24"/>
                <w:u w:val="none"/>
                <w:lang w:val="en-US" w:eastAsia="zh-CN"/>
              </w:rPr>
              <w:br w:type="textWrapping"/>
            </w:r>
            <w:r>
              <w:rPr>
                <w:rFonts w:hint="eastAsia"/>
                <w:b/>
                <w:bCs/>
                <w:color w:val="auto"/>
                <w:szCs w:val="24"/>
                <w:u w:val="none"/>
                <w:lang w:val="en-US" w:eastAsia="zh-CN"/>
              </w:rPr>
              <w:t>8</w:t>
            </w:r>
            <w:r>
              <w:rPr>
                <w:rFonts w:hint="eastAsia"/>
                <w:b/>
                <w:bCs/>
                <w:color w:val="auto"/>
                <w:szCs w:val="24"/>
                <w:u w:val="none"/>
              </w:rPr>
              <w:t>分</w:t>
            </w:r>
            <w:r>
              <w:rPr>
                <w:rFonts w:hint="eastAsia"/>
                <w:color w:val="auto"/>
                <w:szCs w:val="24"/>
                <w:u w:val="none"/>
                <w:lang w:val="en-US" w:eastAsia="zh-CN"/>
              </w:rPr>
              <w:t xml:space="preserve"> </w:t>
            </w:r>
          </w:p>
        </w:tc>
      </w:tr>
      <w:tr w14:paraId="02D4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vAlign w:val="center"/>
          </w:tcPr>
          <w:p w14:paraId="79C3B674">
            <w:pPr>
              <w:widowControl/>
              <w:spacing w:line="460" w:lineRule="exact"/>
              <w:ind w:firstLine="470" w:firstLineChars="200"/>
              <w:jc w:val="left"/>
              <w:textAlignment w:val="baseline"/>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6.应急响应方案（8分）</w:t>
            </w:r>
          </w:p>
          <w:p w14:paraId="2908BB1E">
            <w:pPr>
              <w:widowControl/>
              <w:spacing w:line="460" w:lineRule="exact"/>
              <w:ind w:firstLine="468" w:firstLineChars="200"/>
              <w:jc w:val="left"/>
              <w:textAlignment w:val="baseline"/>
              <w:rPr>
                <w:rFonts w:hint="eastAsia"/>
                <w:color w:val="auto"/>
                <w:szCs w:val="24"/>
                <w:u w:val="none"/>
                <w:lang w:val="en-US" w:eastAsia="zh-CN"/>
              </w:rPr>
            </w:pPr>
            <w:r>
              <w:rPr>
                <w:rFonts w:hint="eastAsia" w:ascii="宋体" w:hAnsi="宋体" w:eastAsia="宋体" w:cs="宋体"/>
                <w:b w:val="0"/>
                <w:bCs w:val="0"/>
                <w:color w:val="auto"/>
                <w:spacing w:val="-3"/>
                <w:sz w:val="24"/>
                <w:szCs w:val="24"/>
                <w:highlight w:val="none"/>
                <w:lang w:val="en-US" w:eastAsia="zh-CN"/>
              </w:rPr>
              <w:t>投标人针对本项目应制定应急响应方案，内容包括但不限于：①可能的</w:t>
            </w:r>
            <w:r>
              <w:rPr>
                <w:rFonts w:hint="eastAsia" w:ascii="宋体" w:hAnsi="宋体" w:eastAsia="宋体" w:cs="宋体"/>
                <w:b w:val="0"/>
                <w:bCs w:val="0"/>
                <w:color w:val="auto"/>
                <w:spacing w:val="-3"/>
                <w:kern w:val="0"/>
                <w:sz w:val="24"/>
                <w:szCs w:val="24"/>
                <w:highlight w:val="none"/>
                <w:lang w:val="en-US" w:eastAsia="zh-CN" w:bidi="ar-SA"/>
              </w:rPr>
              <w:t>突发事件；</w:t>
            </w:r>
            <w:r>
              <w:rPr>
                <w:rFonts w:hint="eastAsia" w:ascii="宋体" w:hAnsi="宋体" w:eastAsia="宋体" w:cs="宋体"/>
                <w:b w:val="0"/>
                <w:bCs w:val="0"/>
                <w:color w:val="auto"/>
                <w:spacing w:val="-3"/>
                <w:sz w:val="24"/>
                <w:szCs w:val="24"/>
                <w:highlight w:val="none"/>
                <w:lang w:val="en-US" w:eastAsia="zh-CN"/>
              </w:rPr>
              <w:t>②</w:t>
            </w:r>
            <w:r>
              <w:rPr>
                <w:rFonts w:hint="eastAsia" w:ascii="宋体" w:hAnsi="宋体" w:eastAsia="宋体" w:cs="宋体"/>
                <w:b w:val="0"/>
                <w:bCs w:val="0"/>
                <w:color w:val="auto"/>
                <w:spacing w:val="-3"/>
                <w:kern w:val="0"/>
                <w:sz w:val="24"/>
                <w:szCs w:val="24"/>
                <w:highlight w:val="none"/>
                <w:lang w:val="en-US" w:eastAsia="zh-CN" w:bidi="ar-SA"/>
              </w:rPr>
              <w:t>响应时间；</w:t>
            </w:r>
            <w:r>
              <w:rPr>
                <w:rFonts w:hint="eastAsia" w:ascii="宋体" w:hAnsi="宋体" w:eastAsia="宋体" w:cs="宋体"/>
                <w:b w:val="0"/>
                <w:bCs w:val="0"/>
                <w:color w:val="auto"/>
                <w:spacing w:val="-3"/>
                <w:sz w:val="24"/>
                <w:szCs w:val="24"/>
                <w:highlight w:val="none"/>
                <w:lang w:val="en-US" w:eastAsia="zh-CN"/>
              </w:rPr>
              <w:t>③</w:t>
            </w:r>
            <w:r>
              <w:rPr>
                <w:rFonts w:hint="eastAsia" w:ascii="宋体" w:hAnsi="宋体" w:eastAsia="宋体" w:cs="宋体"/>
                <w:b w:val="0"/>
                <w:bCs w:val="0"/>
                <w:color w:val="auto"/>
                <w:spacing w:val="-3"/>
                <w:kern w:val="0"/>
                <w:sz w:val="24"/>
                <w:szCs w:val="24"/>
                <w:highlight w:val="none"/>
                <w:lang w:val="en-US" w:eastAsia="zh-CN" w:bidi="ar-SA"/>
              </w:rPr>
              <w:t>响应方式；</w:t>
            </w:r>
            <w:r>
              <w:rPr>
                <w:rFonts w:hint="eastAsia" w:ascii="宋体" w:hAnsi="宋体" w:eastAsia="宋体" w:cs="宋体"/>
                <w:b w:val="0"/>
                <w:bCs w:val="0"/>
                <w:color w:val="auto"/>
                <w:spacing w:val="-3"/>
                <w:sz w:val="24"/>
                <w:szCs w:val="24"/>
                <w:highlight w:val="none"/>
                <w:lang w:val="en-US" w:eastAsia="zh-CN"/>
              </w:rPr>
              <w:t>④</w:t>
            </w:r>
            <w:r>
              <w:rPr>
                <w:rFonts w:hint="eastAsia" w:ascii="宋体" w:hAnsi="宋体" w:eastAsia="宋体" w:cs="宋体"/>
                <w:b w:val="0"/>
                <w:bCs w:val="0"/>
                <w:color w:val="auto"/>
                <w:spacing w:val="-3"/>
                <w:kern w:val="0"/>
                <w:sz w:val="24"/>
                <w:szCs w:val="24"/>
                <w:highlight w:val="none"/>
                <w:lang w:val="en-US" w:eastAsia="zh-CN" w:bidi="ar-SA"/>
              </w:rPr>
              <w:t>响应人员配置和应对举措。</w:t>
            </w:r>
            <w:r>
              <w:rPr>
                <w:rFonts w:hint="eastAsia" w:ascii="宋体" w:hAnsi="宋体" w:eastAsia="宋体" w:cs="宋体"/>
                <w:b w:val="0"/>
                <w:bCs w:val="0"/>
                <w:color w:val="auto"/>
                <w:spacing w:val="-3"/>
                <w:kern w:val="0"/>
                <w:sz w:val="24"/>
                <w:szCs w:val="24"/>
                <w:highlight w:val="none"/>
                <w:lang w:val="en-US" w:eastAsia="zh-CN" w:bidi="ar-SA"/>
              </w:rPr>
              <w:br w:type="textWrapping"/>
            </w:r>
            <w:r>
              <w:rPr>
                <w:rFonts w:hint="eastAsia" w:ascii="宋体" w:hAnsi="宋体" w:eastAsia="宋体" w:cs="宋体"/>
                <w:b w:val="0"/>
                <w:bCs w:val="0"/>
                <w:color w:val="auto"/>
                <w:spacing w:val="-3"/>
                <w:kern w:val="0"/>
                <w:sz w:val="24"/>
                <w:szCs w:val="24"/>
                <w:highlight w:val="none"/>
                <w:lang w:val="en-US" w:eastAsia="zh-CN" w:bidi="ar-SA"/>
              </w:rPr>
              <w:t xml:space="preserve">     </w:t>
            </w:r>
            <w:r>
              <w:rPr>
                <w:rFonts w:hint="eastAsia" w:ascii="宋体" w:hAnsi="宋体" w:eastAsia="宋体" w:cs="宋体"/>
                <w:b w:val="0"/>
                <w:bCs w:val="0"/>
                <w:color w:val="auto"/>
                <w:spacing w:val="-3"/>
                <w:sz w:val="24"/>
                <w:szCs w:val="24"/>
                <w:highlight w:val="none"/>
                <w:lang w:val="en-US" w:eastAsia="zh-CN"/>
              </w:rPr>
              <w:t>以上内容每有一项缺失的扣2分，每项中每有1处存在内容缺陷（缺陷是指以下情形中的任意一项：项目及工作的理解片面主观；内容不清晰或交叉混乱；内容与项目需求不符；制定的内容不科学、不合理）扣1分，扣完为止，未提供不得分。</w:t>
            </w:r>
          </w:p>
        </w:tc>
        <w:tc>
          <w:tcPr>
            <w:tcW w:w="772" w:type="dxa"/>
            <w:vAlign w:val="center"/>
          </w:tcPr>
          <w:p w14:paraId="661ADAB7">
            <w:pPr>
              <w:pStyle w:val="59"/>
              <w:snapToGrid w:val="0"/>
              <w:spacing w:before="0" w:beforeAutospacing="0" w:after="0" w:afterAutospacing="0" w:line="460" w:lineRule="exact"/>
              <w:jc w:val="center"/>
              <w:rPr>
                <w:rFonts w:hint="default"/>
                <w:color w:val="auto"/>
                <w:szCs w:val="24"/>
                <w:u w:val="none"/>
                <w:lang w:val="en-US" w:eastAsia="zh-CN"/>
              </w:rPr>
            </w:pPr>
            <w:r>
              <w:rPr>
                <w:rFonts w:hint="eastAsia"/>
                <w:b/>
                <w:bCs/>
                <w:color w:val="auto"/>
                <w:szCs w:val="24"/>
                <w:u w:val="none"/>
                <w:lang w:val="en-US" w:eastAsia="zh-CN"/>
              </w:rPr>
              <w:t>8分</w:t>
            </w:r>
          </w:p>
        </w:tc>
      </w:tr>
      <w:tr w14:paraId="2D3A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vAlign w:val="center"/>
          </w:tcPr>
          <w:p w14:paraId="44995B0E">
            <w:pPr>
              <w:tabs>
                <w:tab w:val="left" w:pos="0"/>
              </w:tabs>
              <w:spacing w:line="460" w:lineRule="exact"/>
              <w:rPr>
                <w:rFonts w:ascii="宋体" w:cs="宋体"/>
                <w:b/>
                <w:bCs/>
                <w:sz w:val="24"/>
                <w:szCs w:val="24"/>
                <w:u w:val="none"/>
              </w:rPr>
            </w:pPr>
            <w:r>
              <w:rPr>
                <w:rFonts w:hint="eastAsia" w:ascii="宋体" w:cs="宋体"/>
                <w:b/>
                <w:bCs/>
                <w:sz w:val="24"/>
                <w:szCs w:val="24"/>
                <w:u w:val="none"/>
              </w:rPr>
              <w:t>三、价格部分（</w:t>
            </w:r>
            <w:r>
              <w:rPr>
                <w:rFonts w:hint="eastAsia" w:ascii="宋体" w:cs="宋体"/>
                <w:b/>
                <w:bCs/>
                <w:sz w:val="24"/>
                <w:szCs w:val="24"/>
                <w:u w:val="none"/>
                <w:lang w:val="en-US" w:eastAsia="zh-CN"/>
              </w:rPr>
              <w:t>10</w:t>
            </w:r>
            <w:r>
              <w:rPr>
                <w:rFonts w:hint="eastAsia" w:ascii="宋体" w:cs="宋体"/>
                <w:b/>
                <w:bCs/>
                <w:sz w:val="24"/>
                <w:szCs w:val="24"/>
                <w:u w:val="none"/>
              </w:rPr>
              <w:t>分）</w:t>
            </w:r>
          </w:p>
        </w:tc>
        <w:tc>
          <w:tcPr>
            <w:tcW w:w="772" w:type="dxa"/>
            <w:vAlign w:val="center"/>
          </w:tcPr>
          <w:p w14:paraId="168DE8FD">
            <w:pPr>
              <w:spacing w:line="460" w:lineRule="exact"/>
              <w:jc w:val="center"/>
              <w:rPr>
                <w:rFonts w:ascii="宋体" w:cs="宋体"/>
                <w:b/>
                <w:bCs/>
                <w:sz w:val="24"/>
                <w:szCs w:val="24"/>
                <w:u w:val="none"/>
              </w:rPr>
            </w:pPr>
            <w:r>
              <w:rPr>
                <w:rFonts w:hint="eastAsia" w:ascii="宋体" w:cs="宋体"/>
                <w:b/>
                <w:bCs/>
                <w:sz w:val="24"/>
                <w:szCs w:val="24"/>
                <w:u w:val="none"/>
                <w:lang w:val="en-US" w:eastAsia="zh-CN"/>
              </w:rPr>
              <w:t>10</w:t>
            </w:r>
            <w:r>
              <w:rPr>
                <w:rFonts w:hint="eastAsia" w:ascii="宋体" w:cs="宋体"/>
                <w:b/>
                <w:bCs/>
                <w:sz w:val="24"/>
                <w:szCs w:val="24"/>
                <w:u w:val="none"/>
              </w:rPr>
              <w:t>分</w:t>
            </w:r>
          </w:p>
        </w:tc>
      </w:tr>
      <w:tr w14:paraId="22C8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348" w:type="dxa"/>
            <w:vAlign w:val="center"/>
          </w:tcPr>
          <w:p w14:paraId="55BB299C">
            <w:pPr>
              <w:spacing w:line="360" w:lineRule="auto"/>
              <w:rPr>
                <w:rFonts w:ascii="宋体" w:hAnsi="宋体" w:cs="宋体"/>
                <w:sz w:val="24"/>
                <w:szCs w:val="24"/>
                <w:u w:val="none"/>
              </w:rPr>
            </w:pPr>
            <w:r>
              <w:rPr>
                <w:rFonts w:hint="eastAsia" w:ascii="宋体" w:hAnsi="宋体" w:cs="宋体"/>
                <w:sz w:val="24"/>
                <w:szCs w:val="24"/>
                <w:u w:val="none"/>
              </w:rPr>
              <w:t>（1）综合评分法中的价格分统一采用低价优先法计算，即满足招标文件要求且报价最低的投标人的价格为评标基准价，其价格分为满分</w:t>
            </w:r>
            <w:r>
              <w:rPr>
                <w:rFonts w:hint="eastAsia" w:ascii="宋体" w:hAnsi="宋体" w:cs="宋体"/>
                <w:sz w:val="24"/>
                <w:szCs w:val="24"/>
                <w:u w:val="none"/>
                <w:lang w:val="en-US" w:eastAsia="zh-CN"/>
              </w:rPr>
              <w:t>10</w:t>
            </w:r>
            <w:r>
              <w:rPr>
                <w:rFonts w:hint="eastAsia" w:ascii="宋体" w:hAnsi="宋体" w:cs="宋体"/>
                <w:sz w:val="24"/>
                <w:szCs w:val="24"/>
                <w:u w:val="none"/>
              </w:rPr>
              <w:t>分。</w:t>
            </w:r>
          </w:p>
          <w:p w14:paraId="071630F5">
            <w:pPr>
              <w:spacing w:line="360" w:lineRule="auto"/>
              <w:rPr>
                <w:rFonts w:ascii="宋体" w:hAnsi="宋体" w:cs="宋体"/>
                <w:sz w:val="24"/>
                <w:szCs w:val="24"/>
                <w:u w:val="none"/>
              </w:rPr>
            </w:pPr>
            <w:r>
              <w:rPr>
                <w:rFonts w:hint="eastAsia" w:ascii="宋体" w:hAnsi="宋体" w:cs="宋体"/>
                <w:sz w:val="24"/>
                <w:szCs w:val="24"/>
                <w:u w:val="none"/>
              </w:rPr>
              <w:t>（2）其他价格投标人的价格分统一按照下列公式计算：</w:t>
            </w:r>
          </w:p>
          <w:p w14:paraId="67F4C78A">
            <w:pPr>
              <w:spacing w:line="360" w:lineRule="auto"/>
              <w:rPr>
                <w:rFonts w:ascii="宋体" w:hAnsi="宋体" w:cs="宋体"/>
                <w:sz w:val="24"/>
                <w:szCs w:val="24"/>
                <w:u w:val="none"/>
              </w:rPr>
            </w:pPr>
            <w:r>
              <w:rPr>
                <w:rFonts w:hint="eastAsia" w:ascii="宋体" w:hAnsi="宋体" w:cs="宋体"/>
                <w:sz w:val="24"/>
                <w:szCs w:val="24"/>
                <w:u w:val="none"/>
              </w:rPr>
              <w:t>投标报价得分=（评标基准价/投标报价）×</w:t>
            </w:r>
            <w:r>
              <w:rPr>
                <w:rFonts w:hint="eastAsia" w:ascii="宋体" w:hAnsi="宋体" w:cs="宋体"/>
                <w:sz w:val="24"/>
                <w:szCs w:val="24"/>
                <w:u w:val="none"/>
                <w:lang w:val="en-US" w:eastAsia="zh-CN"/>
              </w:rPr>
              <w:t>10</w:t>
            </w:r>
            <w:r>
              <w:rPr>
                <w:rFonts w:hint="eastAsia" w:ascii="宋体" w:hAnsi="宋体" w:cs="宋体"/>
                <w:sz w:val="24"/>
                <w:szCs w:val="24"/>
                <w:u w:val="none"/>
              </w:rPr>
              <w:t>×100％，计算至小数点后2位，四舍五入。</w:t>
            </w:r>
          </w:p>
          <w:p w14:paraId="31DC8A4B">
            <w:pPr>
              <w:spacing w:line="460" w:lineRule="exact"/>
              <w:ind w:left="961" w:leftChars="228" w:hanging="482" w:hangingChars="200"/>
              <w:rPr>
                <w:sz w:val="24"/>
                <w:szCs w:val="24"/>
                <w:u w:val="none"/>
              </w:rPr>
            </w:pPr>
            <w:r>
              <w:rPr>
                <w:rFonts w:hint="eastAsia" w:ascii="宋体" w:hAnsi="宋体" w:cs="宋体"/>
                <w:b/>
                <w:bCs/>
                <w:sz w:val="24"/>
                <w:szCs w:val="24"/>
                <w:u w:val="none"/>
                <w:lang w:val="en-US" w:eastAsia="zh-CN"/>
              </w:rPr>
              <w:t xml:space="preserve">注：（1）投标报价不得超过最高限价，超过最高限价的按无效投标处理。                                                                                                                                                                                                                                                                                                                                                                                                                                                                                                                                                                </w:t>
            </w:r>
          </w:p>
        </w:tc>
        <w:tc>
          <w:tcPr>
            <w:tcW w:w="772" w:type="dxa"/>
            <w:vAlign w:val="center"/>
          </w:tcPr>
          <w:p w14:paraId="41ABC0C1">
            <w:pPr>
              <w:spacing w:line="460" w:lineRule="exact"/>
              <w:jc w:val="center"/>
              <w:rPr>
                <w:rFonts w:ascii="宋体" w:cs="宋体"/>
                <w:sz w:val="24"/>
                <w:szCs w:val="24"/>
                <w:u w:val="none"/>
              </w:rPr>
            </w:pPr>
            <w:r>
              <w:rPr>
                <w:rFonts w:hint="eastAsia" w:ascii="宋体" w:cs="宋体"/>
                <w:sz w:val="24"/>
                <w:szCs w:val="24"/>
                <w:u w:val="none"/>
                <w:lang w:val="en-US" w:eastAsia="zh-CN"/>
              </w:rPr>
              <w:t>10</w:t>
            </w:r>
            <w:r>
              <w:rPr>
                <w:rFonts w:hint="eastAsia" w:ascii="宋体" w:cs="宋体"/>
                <w:sz w:val="24"/>
                <w:szCs w:val="24"/>
                <w:u w:val="none"/>
              </w:rPr>
              <w:t>分</w:t>
            </w:r>
          </w:p>
        </w:tc>
      </w:tr>
    </w:tbl>
    <w:p w14:paraId="13822965">
      <w:pPr>
        <w:tabs>
          <w:tab w:val="left" w:pos="0"/>
        </w:tabs>
        <w:adjustRightInd w:val="0"/>
        <w:snapToGrid w:val="0"/>
        <w:spacing w:line="480" w:lineRule="exact"/>
        <w:rPr>
          <w:rFonts w:ascii="宋体" w:hAnsi="宋体" w:cs="宋体"/>
          <w:b/>
          <w:kern w:val="0"/>
          <w:sz w:val="24"/>
          <w:szCs w:val="24"/>
          <w:u w:val="none"/>
        </w:rPr>
      </w:pPr>
      <w:r>
        <w:rPr>
          <w:rFonts w:hint="eastAsia" w:ascii="宋体" w:hAnsi="宋体" w:cs="宋体"/>
          <w:b/>
          <w:kern w:val="0"/>
          <w:sz w:val="24"/>
          <w:szCs w:val="24"/>
          <w:u w:val="none"/>
        </w:rPr>
        <w:t>二、评标程序</w:t>
      </w:r>
    </w:p>
    <w:p w14:paraId="502E93C9">
      <w:pPr>
        <w:adjustRightInd w:val="0"/>
        <w:snapToGrid w:val="0"/>
        <w:spacing w:line="480" w:lineRule="exact"/>
        <w:ind w:right="-109" w:rightChars="-52"/>
        <w:rPr>
          <w:rFonts w:ascii="宋体" w:hAnsi="宋体" w:cs="宋体"/>
          <w:b/>
          <w:bCs/>
          <w:sz w:val="24"/>
          <w:szCs w:val="24"/>
          <w:u w:val="none"/>
        </w:rPr>
      </w:pPr>
      <w:r>
        <w:rPr>
          <w:rFonts w:hint="eastAsia" w:ascii="宋体" w:hAnsi="宋体" w:cs="宋体"/>
          <w:b/>
          <w:bCs/>
          <w:sz w:val="24"/>
          <w:szCs w:val="24"/>
          <w:u w:val="none"/>
        </w:rPr>
        <w:t>3.投标文件的初步</w:t>
      </w:r>
      <w:r>
        <w:rPr>
          <w:rFonts w:hint="eastAsia" w:ascii="宋体" w:hAnsi="宋体" w:cs="宋体"/>
          <w:b/>
          <w:sz w:val="24"/>
          <w:szCs w:val="24"/>
          <w:u w:val="none"/>
        </w:rPr>
        <w:t>评审</w:t>
      </w:r>
    </w:p>
    <w:p w14:paraId="707AAD09">
      <w:pPr>
        <w:adjustRightInd w:val="0"/>
        <w:snapToGrid w:val="0"/>
        <w:spacing w:line="480" w:lineRule="exact"/>
        <w:ind w:firstLine="482" w:firstLineChars="200"/>
        <w:rPr>
          <w:rFonts w:ascii="宋体" w:hAnsi="宋体" w:cs="宋体"/>
          <w:b/>
          <w:bCs/>
          <w:sz w:val="24"/>
          <w:szCs w:val="24"/>
          <w:u w:val="none"/>
        </w:rPr>
      </w:pPr>
      <w:r>
        <w:rPr>
          <w:rFonts w:hint="eastAsia" w:ascii="宋体" w:hAnsi="宋体" w:cs="宋体"/>
          <w:b/>
          <w:bCs/>
          <w:sz w:val="24"/>
          <w:szCs w:val="24"/>
          <w:u w:val="none"/>
        </w:rPr>
        <w:t>3.1符合性检查。</w:t>
      </w:r>
    </w:p>
    <w:p w14:paraId="44BA7C8E">
      <w:pPr>
        <w:adjustRightInd w:val="0"/>
        <w:snapToGrid w:val="0"/>
        <w:spacing w:line="480" w:lineRule="exact"/>
        <w:ind w:firstLine="480" w:firstLineChars="200"/>
        <w:rPr>
          <w:rFonts w:ascii="宋体" w:hAnsi="宋体" w:cs="宋体"/>
          <w:spacing w:val="-6"/>
          <w:sz w:val="24"/>
          <w:szCs w:val="24"/>
          <w:u w:val="none"/>
        </w:rPr>
      </w:pPr>
      <w:r>
        <w:rPr>
          <w:rFonts w:hint="eastAsia" w:ascii="宋体" w:hAnsi="宋体" w:cs="宋体"/>
          <w:sz w:val="24"/>
          <w:szCs w:val="24"/>
          <w:u w:val="none"/>
        </w:rPr>
        <w:t>（1）依据招标文件的规定，从投标文件的有效性、完整</w:t>
      </w:r>
      <w:r>
        <w:rPr>
          <w:rFonts w:hint="eastAsia" w:ascii="宋体" w:hAnsi="宋体" w:cs="宋体"/>
          <w:spacing w:val="-6"/>
          <w:sz w:val="24"/>
          <w:szCs w:val="24"/>
          <w:u w:val="none"/>
        </w:rPr>
        <w:t>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tbl>
      <w:tblPr>
        <w:tblStyle w:val="2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5602"/>
      </w:tblGrid>
      <w:tr w14:paraId="200C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4" w:type="dxa"/>
          </w:tcPr>
          <w:p w14:paraId="4165F236">
            <w:pPr>
              <w:adjustRightInd w:val="0"/>
              <w:snapToGrid w:val="0"/>
              <w:spacing w:line="400" w:lineRule="exact"/>
              <w:ind w:right="-109" w:rightChars="-52"/>
              <w:rPr>
                <w:rFonts w:ascii="宋体" w:hAnsi="宋体" w:cs="宋体"/>
                <w:sz w:val="24"/>
                <w:szCs w:val="24"/>
                <w:u w:val="none"/>
              </w:rPr>
            </w:pPr>
            <w:r>
              <w:rPr>
                <w:rFonts w:hint="eastAsia" w:ascii="宋体" w:hAnsi="宋体" w:cs="宋体"/>
                <w:sz w:val="24"/>
                <w:szCs w:val="24"/>
                <w:u w:val="none"/>
              </w:rPr>
              <w:t xml:space="preserve"> 序号</w:t>
            </w:r>
          </w:p>
        </w:tc>
        <w:tc>
          <w:tcPr>
            <w:tcW w:w="2263" w:type="dxa"/>
            <w:vAlign w:val="center"/>
          </w:tcPr>
          <w:p w14:paraId="3180F852">
            <w:pPr>
              <w:adjustRightInd w:val="0"/>
              <w:snapToGrid w:val="0"/>
              <w:spacing w:line="400" w:lineRule="exact"/>
              <w:ind w:right="-109" w:rightChars="-52"/>
              <w:jc w:val="center"/>
              <w:rPr>
                <w:rFonts w:ascii="宋体" w:hAnsi="宋体" w:cs="宋体"/>
                <w:sz w:val="24"/>
                <w:szCs w:val="24"/>
                <w:u w:val="none"/>
              </w:rPr>
            </w:pPr>
            <w:r>
              <w:rPr>
                <w:rFonts w:hint="eastAsia" w:ascii="宋体" w:hAnsi="宋体" w:cs="宋体"/>
                <w:sz w:val="24"/>
                <w:szCs w:val="24"/>
                <w:u w:val="none"/>
              </w:rPr>
              <w:t>评审因素</w:t>
            </w:r>
          </w:p>
        </w:tc>
        <w:tc>
          <w:tcPr>
            <w:tcW w:w="5602" w:type="dxa"/>
            <w:vAlign w:val="center"/>
          </w:tcPr>
          <w:p w14:paraId="4E86F272">
            <w:pPr>
              <w:adjustRightInd w:val="0"/>
              <w:snapToGrid w:val="0"/>
              <w:spacing w:line="400" w:lineRule="exact"/>
              <w:ind w:right="-109" w:rightChars="-52"/>
              <w:jc w:val="center"/>
              <w:rPr>
                <w:rFonts w:ascii="宋体" w:hAnsi="宋体" w:cs="宋体"/>
                <w:sz w:val="24"/>
                <w:szCs w:val="24"/>
                <w:u w:val="none"/>
              </w:rPr>
            </w:pPr>
            <w:r>
              <w:rPr>
                <w:rFonts w:hint="eastAsia" w:ascii="宋体" w:hAnsi="宋体" w:cs="宋体"/>
                <w:sz w:val="24"/>
                <w:szCs w:val="24"/>
                <w:u w:val="none"/>
              </w:rPr>
              <w:t>评审标准</w:t>
            </w:r>
          </w:p>
        </w:tc>
      </w:tr>
      <w:tr w14:paraId="559D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4" w:type="dxa"/>
            <w:vAlign w:val="center"/>
          </w:tcPr>
          <w:p w14:paraId="109DF947">
            <w:pPr>
              <w:spacing w:line="400" w:lineRule="exact"/>
              <w:jc w:val="center"/>
              <w:rPr>
                <w:rFonts w:ascii="宋体" w:hAnsi="宋体" w:cs="宋体"/>
                <w:sz w:val="24"/>
                <w:szCs w:val="24"/>
                <w:u w:val="none"/>
              </w:rPr>
            </w:pPr>
            <w:r>
              <w:rPr>
                <w:rFonts w:hint="eastAsia" w:ascii="宋体" w:hAnsi="宋体" w:cs="宋体"/>
                <w:sz w:val="24"/>
                <w:szCs w:val="24"/>
                <w:u w:val="none"/>
              </w:rPr>
              <w:t>1</w:t>
            </w:r>
          </w:p>
        </w:tc>
        <w:tc>
          <w:tcPr>
            <w:tcW w:w="2263" w:type="dxa"/>
            <w:vAlign w:val="center"/>
          </w:tcPr>
          <w:p w14:paraId="7ECA5EC7">
            <w:pPr>
              <w:adjustRightInd w:val="0"/>
              <w:spacing w:line="400" w:lineRule="exact"/>
              <w:rPr>
                <w:rFonts w:ascii="宋体" w:hAnsi="宋体" w:cs="宋体"/>
                <w:kern w:val="0"/>
                <w:sz w:val="24"/>
                <w:szCs w:val="24"/>
                <w:u w:val="none"/>
              </w:rPr>
            </w:pPr>
            <w:r>
              <w:rPr>
                <w:rFonts w:hint="eastAsia" w:ascii="宋体" w:hAnsi="宋体" w:cs="宋体"/>
                <w:kern w:val="0"/>
                <w:sz w:val="24"/>
                <w:szCs w:val="24"/>
                <w:u w:val="none"/>
              </w:rPr>
              <w:t>投标人名称</w:t>
            </w:r>
          </w:p>
        </w:tc>
        <w:tc>
          <w:tcPr>
            <w:tcW w:w="5602" w:type="dxa"/>
            <w:vAlign w:val="center"/>
          </w:tcPr>
          <w:p w14:paraId="4A984EC9">
            <w:pPr>
              <w:spacing w:line="400" w:lineRule="exact"/>
              <w:rPr>
                <w:rFonts w:ascii="宋体" w:hAnsi="宋体" w:cs="宋体"/>
                <w:kern w:val="0"/>
                <w:sz w:val="24"/>
                <w:szCs w:val="24"/>
                <w:u w:val="none"/>
              </w:rPr>
            </w:pPr>
            <w:r>
              <w:rPr>
                <w:rFonts w:hint="eastAsia" w:ascii="宋体" w:hAnsi="宋体" w:cs="宋体"/>
                <w:kern w:val="0"/>
                <w:sz w:val="24"/>
                <w:szCs w:val="24"/>
                <w:u w:val="none"/>
              </w:rPr>
              <w:t>与营业执照</w:t>
            </w:r>
            <w:r>
              <w:rPr>
                <w:rFonts w:hint="eastAsia" w:ascii="宋体" w:hAnsi="宋体" w:cs="宋体"/>
                <w:sz w:val="24"/>
                <w:szCs w:val="24"/>
                <w:u w:val="none"/>
              </w:rPr>
              <w:t>等证件</w:t>
            </w:r>
            <w:r>
              <w:rPr>
                <w:rFonts w:hint="eastAsia" w:ascii="宋体" w:hAnsi="宋体" w:cs="宋体"/>
                <w:kern w:val="0"/>
                <w:sz w:val="24"/>
                <w:szCs w:val="24"/>
                <w:u w:val="none"/>
              </w:rPr>
              <w:t>名称一致</w:t>
            </w:r>
          </w:p>
        </w:tc>
      </w:tr>
      <w:tr w14:paraId="6F27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4" w:type="dxa"/>
            <w:vAlign w:val="center"/>
          </w:tcPr>
          <w:p w14:paraId="18824FE9">
            <w:pPr>
              <w:spacing w:line="400" w:lineRule="exact"/>
              <w:jc w:val="center"/>
              <w:rPr>
                <w:rFonts w:ascii="宋体" w:hAnsi="宋体" w:cs="宋体"/>
                <w:sz w:val="24"/>
                <w:szCs w:val="24"/>
                <w:u w:val="none"/>
              </w:rPr>
            </w:pPr>
            <w:r>
              <w:rPr>
                <w:rFonts w:hint="eastAsia" w:ascii="宋体" w:hAnsi="宋体" w:cs="宋体"/>
                <w:sz w:val="24"/>
                <w:szCs w:val="24"/>
                <w:u w:val="none"/>
              </w:rPr>
              <w:t>2</w:t>
            </w:r>
          </w:p>
        </w:tc>
        <w:tc>
          <w:tcPr>
            <w:tcW w:w="2263" w:type="dxa"/>
            <w:vAlign w:val="center"/>
          </w:tcPr>
          <w:p w14:paraId="060D00F7">
            <w:pPr>
              <w:adjustRightInd w:val="0"/>
              <w:spacing w:line="400" w:lineRule="exact"/>
              <w:rPr>
                <w:rFonts w:ascii="宋体" w:hAnsi="宋体" w:cs="宋体"/>
                <w:sz w:val="24"/>
                <w:szCs w:val="24"/>
                <w:u w:val="none"/>
              </w:rPr>
            </w:pPr>
            <w:r>
              <w:rPr>
                <w:rFonts w:hint="eastAsia" w:ascii="宋体" w:hAnsi="宋体" w:cs="宋体"/>
                <w:kern w:val="0"/>
                <w:sz w:val="24"/>
                <w:szCs w:val="24"/>
                <w:u w:val="none"/>
              </w:rPr>
              <w:t>投标文件签字盖章</w:t>
            </w:r>
          </w:p>
        </w:tc>
        <w:tc>
          <w:tcPr>
            <w:tcW w:w="5602" w:type="dxa"/>
            <w:vAlign w:val="center"/>
          </w:tcPr>
          <w:p w14:paraId="39D674A8">
            <w:pPr>
              <w:spacing w:line="400" w:lineRule="exact"/>
              <w:rPr>
                <w:rFonts w:ascii="宋体" w:hAnsi="宋体" w:cs="宋体"/>
                <w:sz w:val="24"/>
                <w:szCs w:val="24"/>
                <w:u w:val="none"/>
              </w:rPr>
            </w:pPr>
            <w:r>
              <w:rPr>
                <w:rFonts w:hint="eastAsia" w:ascii="宋体" w:hAnsi="宋体" w:cs="宋体"/>
                <w:kern w:val="0"/>
                <w:sz w:val="24"/>
                <w:szCs w:val="24"/>
                <w:u w:val="none"/>
              </w:rPr>
              <w:t>投标文件签字盖章符合招标文件规定</w:t>
            </w:r>
          </w:p>
        </w:tc>
      </w:tr>
      <w:tr w14:paraId="2803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4" w:type="dxa"/>
            <w:vAlign w:val="center"/>
          </w:tcPr>
          <w:p w14:paraId="6CCB2C49">
            <w:pPr>
              <w:spacing w:line="400" w:lineRule="exact"/>
              <w:jc w:val="center"/>
              <w:rPr>
                <w:rFonts w:hint="eastAsia" w:ascii="宋体" w:hAnsi="宋体" w:eastAsia="宋体" w:cs="宋体"/>
                <w:sz w:val="24"/>
                <w:szCs w:val="24"/>
                <w:u w:val="none"/>
                <w:lang w:eastAsia="zh-CN"/>
              </w:rPr>
            </w:pPr>
            <w:r>
              <w:rPr>
                <w:rFonts w:hint="eastAsia" w:ascii="宋体" w:hAnsi="宋体" w:cs="宋体"/>
                <w:sz w:val="24"/>
                <w:szCs w:val="24"/>
                <w:u w:val="none"/>
                <w:lang w:val="en-US" w:eastAsia="zh-CN"/>
              </w:rPr>
              <w:t>3</w:t>
            </w:r>
          </w:p>
        </w:tc>
        <w:tc>
          <w:tcPr>
            <w:tcW w:w="2263" w:type="dxa"/>
            <w:vAlign w:val="center"/>
          </w:tcPr>
          <w:p w14:paraId="42C8A482">
            <w:pPr>
              <w:adjustRightInd w:val="0"/>
              <w:spacing w:line="400" w:lineRule="exact"/>
              <w:rPr>
                <w:rFonts w:hint="eastAsia" w:ascii="宋体" w:hAnsi="宋体" w:cs="宋体"/>
                <w:kern w:val="0"/>
                <w:sz w:val="24"/>
                <w:szCs w:val="24"/>
                <w:u w:val="none"/>
                <w:lang w:eastAsia="zh-CN"/>
              </w:rPr>
            </w:pPr>
            <w:r>
              <w:rPr>
                <w:rFonts w:hint="eastAsia" w:ascii="宋体" w:hAnsi="宋体" w:cs="宋体"/>
                <w:kern w:val="0"/>
                <w:sz w:val="24"/>
                <w:szCs w:val="24"/>
                <w:u w:val="none"/>
              </w:rPr>
              <w:t>投标有效期</w:t>
            </w:r>
          </w:p>
        </w:tc>
        <w:tc>
          <w:tcPr>
            <w:tcW w:w="5602" w:type="dxa"/>
            <w:vAlign w:val="center"/>
          </w:tcPr>
          <w:p w14:paraId="2286C41B">
            <w:pPr>
              <w:adjustRightInd w:val="0"/>
              <w:spacing w:line="400" w:lineRule="exact"/>
              <w:rPr>
                <w:rFonts w:hint="eastAsia" w:ascii="宋体" w:hAnsi="宋体" w:cs="宋体"/>
                <w:kern w:val="0"/>
                <w:sz w:val="24"/>
                <w:szCs w:val="24"/>
                <w:u w:val="none"/>
                <w:lang w:eastAsia="zh-CN"/>
              </w:rPr>
            </w:pPr>
            <w:r>
              <w:rPr>
                <w:rFonts w:hint="eastAsia" w:ascii="宋体" w:hAnsi="宋体" w:cs="宋体"/>
                <w:kern w:val="0"/>
                <w:sz w:val="24"/>
                <w:szCs w:val="24"/>
                <w:u w:val="none"/>
              </w:rPr>
              <w:t>投标有效期符合招标文件规定的有效期</w:t>
            </w:r>
          </w:p>
        </w:tc>
      </w:tr>
      <w:tr w14:paraId="44ED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4" w:type="dxa"/>
            <w:vAlign w:val="center"/>
          </w:tcPr>
          <w:p w14:paraId="7593AD4C">
            <w:pPr>
              <w:spacing w:line="400" w:lineRule="exact"/>
              <w:jc w:val="center"/>
              <w:rPr>
                <w:rFonts w:hint="eastAsia" w:ascii="宋体" w:hAnsi="宋体" w:eastAsia="宋体" w:cs="宋体"/>
                <w:sz w:val="24"/>
                <w:szCs w:val="24"/>
                <w:u w:val="none"/>
                <w:lang w:eastAsia="zh-CN"/>
              </w:rPr>
            </w:pPr>
            <w:r>
              <w:rPr>
                <w:rFonts w:hint="eastAsia" w:ascii="宋体" w:hAnsi="宋体" w:cs="宋体"/>
                <w:sz w:val="24"/>
                <w:szCs w:val="24"/>
                <w:u w:val="none"/>
                <w:lang w:val="en-US" w:eastAsia="zh-CN"/>
              </w:rPr>
              <w:t>4</w:t>
            </w:r>
          </w:p>
        </w:tc>
        <w:tc>
          <w:tcPr>
            <w:tcW w:w="2263" w:type="dxa"/>
            <w:vAlign w:val="center"/>
          </w:tcPr>
          <w:p w14:paraId="64AD73C4">
            <w:pPr>
              <w:spacing w:line="400" w:lineRule="exact"/>
              <w:rPr>
                <w:rFonts w:hint="eastAsia" w:ascii="宋体" w:hAnsi="宋体" w:eastAsia="宋体" w:cs="宋体"/>
                <w:kern w:val="0"/>
                <w:sz w:val="24"/>
                <w:szCs w:val="24"/>
                <w:u w:val="none"/>
                <w:lang w:eastAsia="zh-CN"/>
              </w:rPr>
            </w:pPr>
            <w:r>
              <w:rPr>
                <w:rFonts w:hint="eastAsia" w:ascii="宋体" w:hAnsi="宋体" w:cs="宋体"/>
                <w:kern w:val="0"/>
                <w:sz w:val="24"/>
                <w:szCs w:val="24"/>
                <w:u w:val="none"/>
                <w:lang w:eastAsia="zh-CN"/>
              </w:rPr>
              <w:t>合同履约期限</w:t>
            </w:r>
          </w:p>
        </w:tc>
        <w:tc>
          <w:tcPr>
            <w:tcW w:w="5602" w:type="dxa"/>
            <w:vAlign w:val="center"/>
          </w:tcPr>
          <w:p w14:paraId="0FB1254E">
            <w:pPr>
              <w:spacing w:line="400" w:lineRule="exact"/>
              <w:rPr>
                <w:rFonts w:ascii="宋体" w:hAnsi="宋体" w:cs="宋体"/>
                <w:sz w:val="24"/>
                <w:szCs w:val="24"/>
                <w:u w:val="none"/>
              </w:rPr>
            </w:pPr>
            <w:r>
              <w:rPr>
                <w:rFonts w:hint="eastAsia" w:ascii="宋体" w:hAnsi="宋体" w:cs="宋体"/>
                <w:kern w:val="0"/>
                <w:sz w:val="24"/>
                <w:szCs w:val="24"/>
                <w:u w:val="none"/>
                <w:lang w:eastAsia="zh-CN"/>
              </w:rPr>
              <w:t>合同履约期限</w:t>
            </w:r>
            <w:r>
              <w:rPr>
                <w:rFonts w:hint="eastAsia" w:ascii="宋体" w:hAnsi="宋体" w:cs="宋体"/>
                <w:kern w:val="0"/>
                <w:sz w:val="24"/>
                <w:szCs w:val="24"/>
                <w:u w:val="none"/>
              </w:rPr>
              <w:t>符合招标文件规定</w:t>
            </w:r>
          </w:p>
        </w:tc>
      </w:tr>
      <w:tr w14:paraId="3680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4" w:type="dxa"/>
            <w:vAlign w:val="center"/>
          </w:tcPr>
          <w:p w14:paraId="4547B2F2">
            <w:pPr>
              <w:spacing w:line="400" w:lineRule="exact"/>
              <w:jc w:val="center"/>
              <w:rPr>
                <w:rFonts w:hint="eastAsia" w:ascii="宋体" w:hAnsi="宋体" w:eastAsia="宋体" w:cs="宋体"/>
                <w:sz w:val="24"/>
                <w:szCs w:val="24"/>
                <w:u w:val="none"/>
                <w:lang w:eastAsia="zh-CN"/>
              </w:rPr>
            </w:pPr>
            <w:r>
              <w:rPr>
                <w:rFonts w:hint="eastAsia" w:ascii="宋体" w:hAnsi="宋体" w:cs="宋体"/>
                <w:sz w:val="24"/>
                <w:szCs w:val="24"/>
                <w:u w:val="none"/>
                <w:lang w:val="en-US" w:eastAsia="zh-CN"/>
              </w:rPr>
              <w:t>5</w:t>
            </w:r>
          </w:p>
        </w:tc>
        <w:tc>
          <w:tcPr>
            <w:tcW w:w="2263" w:type="dxa"/>
            <w:vAlign w:val="center"/>
          </w:tcPr>
          <w:p w14:paraId="07B4CFE2">
            <w:pPr>
              <w:spacing w:line="400" w:lineRule="exact"/>
              <w:jc w:val="left"/>
              <w:rPr>
                <w:rFonts w:ascii="宋体" w:hAnsi="宋体" w:cs="宋体"/>
                <w:sz w:val="24"/>
                <w:szCs w:val="24"/>
                <w:u w:val="none"/>
              </w:rPr>
            </w:pPr>
            <w:r>
              <w:rPr>
                <w:rFonts w:hint="eastAsia" w:ascii="宋体" w:hAnsi="宋体" w:cs="宋体"/>
                <w:sz w:val="24"/>
                <w:szCs w:val="24"/>
                <w:u w:val="none"/>
              </w:rPr>
              <w:t>投标报价</w:t>
            </w:r>
          </w:p>
        </w:tc>
        <w:tc>
          <w:tcPr>
            <w:tcW w:w="5602" w:type="dxa"/>
            <w:vAlign w:val="center"/>
          </w:tcPr>
          <w:p w14:paraId="379606CD">
            <w:pPr>
              <w:tabs>
                <w:tab w:val="left" w:pos="0"/>
              </w:tabs>
              <w:adjustRightInd w:val="0"/>
              <w:snapToGrid w:val="0"/>
              <w:spacing w:line="460" w:lineRule="exact"/>
              <w:jc w:val="left"/>
              <w:rPr>
                <w:rFonts w:ascii="宋体" w:hAnsi="宋体" w:cs="宋体"/>
                <w:sz w:val="24"/>
                <w:szCs w:val="24"/>
                <w:u w:val="none"/>
              </w:rPr>
            </w:pPr>
            <w:r>
              <w:rPr>
                <w:rFonts w:hint="eastAsia" w:ascii="宋体" w:hAnsi="宋体" w:cs="宋体"/>
                <w:kern w:val="0"/>
                <w:sz w:val="24"/>
                <w:u w:val="none"/>
              </w:rPr>
              <w:t>投标报价唯一且低于（含等于）最高限价</w:t>
            </w:r>
          </w:p>
        </w:tc>
      </w:tr>
      <w:tr w14:paraId="6D46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4" w:type="dxa"/>
            <w:vAlign w:val="center"/>
          </w:tcPr>
          <w:p w14:paraId="7AEAEADC">
            <w:pPr>
              <w:spacing w:line="400" w:lineRule="exact"/>
              <w:jc w:val="center"/>
              <w:rPr>
                <w:rFonts w:hint="default" w:ascii="宋体" w:hAnsi="宋体" w:cs="宋体"/>
                <w:sz w:val="24"/>
                <w:szCs w:val="24"/>
                <w:u w:val="none"/>
                <w:lang w:val="en-US" w:eastAsia="zh-CN"/>
              </w:rPr>
            </w:pPr>
            <w:r>
              <w:rPr>
                <w:rFonts w:hint="eastAsia" w:ascii="宋体" w:hAnsi="宋体" w:cs="宋体"/>
                <w:sz w:val="24"/>
                <w:szCs w:val="24"/>
                <w:u w:val="none"/>
                <w:lang w:val="en-US" w:eastAsia="zh-CN"/>
              </w:rPr>
              <w:t>6</w:t>
            </w:r>
          </w:p>
        </w:tc>
        <w:tc>
          <w:tcPr>
            <w:tcW w:w="2263" w:type="dxa"/>
            <w:vAlign w:val="center"/>
          </w:tcPr>
          <w:p w14:paraId="43A32E27">
            <w:pPr>
              <w:spacing w:line="400" w:lineRule="exact"/>
              <w:jc w:val="left"/>
              <w:rPr>
                <w:rFonts w:hint="default" w:ascii="宋体" w:hAnsi="宋体" w:cs="宋体"/>
                <w:sz w:val="24"/>
                <w:szCs w:val="24"/>
                <w:u w:val="none"/>
                <w:lang w:val="en-US" w:eastAsia="zh-CN"/>
              </w:rPr>
            </w:pPr>
            <w:r>
              <w:rPr>
                <w:rFonts w:hint="eastAsia" w:ascii="宋体" w:hAnsi="宋体" w:cs="宋体"/>
                <w:sz w:val="24"/>
                <w:szCs w:val="24"/>
                <w:u w:val="none"/>
                <w:lang w:val="en-US" w:eastAsia="zh-CN"/>
              </w:rPr>
              <w:t>其他实质性内容</w:t>
            </w:r>
          </w:p>
        </w:tc>
        <w:tc>
          <w:tcPr>
            <w:tcW w:w="5602" w:type="dxa"/>
            <w:vAlign w:val="center"/>
          </w:tcPr>
          <w:p w14:paraId="5C5E4FD9">
            <w:pPr>
              <w:tabs>
                <w:tab w:val="left" w:pos="0"/>
              </w:tabs>
              <w:adjustRightInd w:val="0"/>
              <w:snapToGrid w:val="0"/>
              <w:spacing w:line="460" w:lineRule="exact"/>
              <w:jc w:val="left"/>
              <w:rPr>
                <w:rFonts w:hint="eastAsia" w:ascii="宋体" w:hAnsi="宋体" w:cs="宋体"/>
                <w:sz w:val="24"/>
                <w:szCs w:val="24"/>
                <w:u w:val="none"/>
                <w:lang w:val="en-US" w:eastAsia="zh-CN"/>
              </w:rPr>
            </w:pPr>
            <w:r>
              <w:rPr>
                <w:rFonts w:hint="eastAsia" w:ascii="宋体" w:hAnsi="宋体" w:cs="宋体"/>
                <w:kern w:val="0"/>
                <w:sz w:val="24"/>
                <w:u w:val="none"/>
                <w:lang w:val="en-US" w:eastAsia="zh-CN"/>
              </w:rPr>
              <w:t>符合招标文件规定</w:t>
            </w:r>
          </w:p>
        </w:tc>
      </w:tr>
    </w:tbl>
    <w:p w14:paraId="2D646B8A">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（2）投标人不得通过修正或撤销不合要求的偏离从而使其投标成为实质上响应的投标。</w:t>
      </w:r>
    </w:p>
    <w:p w14:paraId="7018FA31">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3.2 投标文件属下列情况之一的，应当在资格性、符合性检查时按照无效投标处理，无效投标的情况同时在</w:t>
      </w:r>
      <w:r>
        <w:rPr>
          <w:rFonts w:hint="eastAsia" w:ascii="宋体" w:hAnsi="宋体" w:cs="宋体"/>
          <w:b/>
          <w:sz w:val="24"/>
          <w:szCs w:val="24"/>
          <w:u w:val="none"/>
        </w:rPr>
        <w:t>招标文件前附表</w:t>
      </w:r>
      <w:r>
        <w:rPr>
          <w:rFonts w:hint="eastAsia" w:ascii="宋体" w:hAnsi="宋体" w:cs="宋体"/>
          <w:sz w:val="24"/>
          <w:szCs w:val="24"/>
          <w:u w:val="none"/>
        </w:rPr>
        <w:t>集中列示：</w:t>
      </w:r>
    </w:p>
    <w:p w14:paraId="41466AC7">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（1）应交未交投标保证金或金额不足、投标保证金形式不符合招标文件要求的；</w:t>
      </w:r>
    </w:p>
    <w:p w14:paraId="726A77C6">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（2）未按照招标文件规定要求签署、盖章的；</w:t>
      </w:r>
    </w:p>
    <w:p w14:paraId="112D7506">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（3）投标有效期不足的；</w:t>
      </w:r>
    </w:p>
    <w:p w14:paraId="39B79622">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（4）参加政府采购活动前</w:t>
      </w:r>
      <w:r>
        <w:rPr>
          <w:rFonts w:hint="eastAsia" w:ascii="宋体" w:hAnsi="宋体" w:cs="宋体"/>
          <w:sz w:val="24"/>
          <w:szCs w:val="24"/>
          <w:u w:val="none"/>
          <w:lang w:eastAsia="zh-CN"/>
        </w:rPr>
        <w:t>自合同协议书签订之日起至全过程工程咨询服务各项内容完成止</w:t>
      </w:r>
      <w:r>
        <w:rPr>
          <w:rFonts w:hint="eastAsia" w:ascii="宋体" w:hAnsi="宋体" w:cs="宋体"/>
          <w:sz w:val="24"/>
          <w:szCs w:val="24"/>
          <w:u w:val="none"/>
        </w:rPr>
        <w:t xml:space="preserve">内，在经营活动中有重大违法记录的； </w:t>
      </w:r>
    </w:p>
    <w:p w14:paraId="6AA9EFB8">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（5）不具备第</w:t>
      </w:r>
      <w:r>
        <w:rPr>
          <w:rFonts w:hint="eastAsia" w:ascii="宋体" w:hAnsi="宋体" w:cs="宋体"/>
          <w:sz w:val="24"/>
          <w:szCs w:val="24"/>
          <w:u w:val="none"/>
          <w:lang w:eastAsia="zh-CN"/>
        </w:rPr>
        <w:t>二</w:t>
      </w:r>
      <w:r>
        <w:rPr>
          <w:rFonts w:hint="eastAsia" w:ascii="宋体" w:hAnsi="宋体" w:cs="宋体"/>
          <w:sz w:val="24"/>
          <w:szCs w:val="24"/>
          <w:u w:val="none"/>
        </w:rPr>
        <w:t>章“投标须知”第3.1</w:t>
      </w:r>
      <w:r>
        <w:rPr>
          <w:rFonts w:hint="eastAsia" w:ascii="宋体" w:hAnsi="宋体" w:cs="宋体"/>
          <w:sz w:val="24"/>
          <w:szCs w:val="24"/>
          <w:u w:val="none"/>
          <w:lang w:val="zh-CN"/>
        </w:rPr>
        <w:t>款</w:t>
      </w:r>
      <w:r>
        <w:rPr>
          <w:rFonts w:hint="eastAsia" w:ascii="宋体" w:hAnsi="宋体" w:cs="宋体"/>
          <w:sz w:val="24"/>
          <w:szCs w:val="24"/>
          <w:u w:val="none"/>
        </w:rPr>
        <w:t>规定的投标人资格要求的；</w:t>
      </w:r>
    </w:p>
    <w:p w14:paraId="66DD63FD">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（6）不满足第</w:t>
      </w:r>
      <w:r>
        <w:rPr>
          <w:rFonts w:hint="eastAsia" w:ascii="宋体" w:hAnsi="宋体" w:cs="宋体"/>
          <w:sz w:val="24"/>
          <w:szCs w:val="24"/>
          <w:u w:val="none"/>
          <w:lang w:eastAsia="zh-CN"/>
        </w:rPr>
        <w:t>二</w:t>
      </w:r>
      <w:r>
        <w:rPr>
          <w:rFonts w:hint="eastAsia" w:ascii="宋体" w:hAnsi="宋体" w:cs="宋体"/>
          <w:sz w:val="24"/>
          <w:szCs w:val="24"/>
          <w:u w:val="none"/>
        </w:rPr>
        <w:t>章“投标须知”第10.1</w:t>
      </w:r>
      <w:r>
        <w:rPr>
          <w:rFonts w:hint="eastAsia" w:ascii="宋体" w:hAnsi="宋体" w:cs="宋体"/>
          <w:sz w:val="24"/>
          <w:szCs w:val="24"/>
          <w:u w:val="none"/>
          <w:lang w:val="zh-CN"/>
        </w:rPr>
        <w:t>款</w:t>
      </w:r>
      <w:r>
        <w:rPr>
          <w:rFonts w:hint="eastAsia" w:ascii="宋体" w:hAnsi="宋体" w:cs="宋体"/>
          <w:sz w:val="24"/>
          <w:szCs w:val="24"/>
          <w:u w:val="none"/>
        </w:rPr>
        <w:t>、第10.2</w:t>
      </w:r>
      <w:r>
        <w:rPr>
          <w:rFonts w:hint="eastAsia" w:ascii="宋体" w:hAnsi="宋体" w:cs="宋体"/>
          <w:sz w:val="24"/>
          <w:szCs w:val="24"/>
          <w:u w:val="none"/>
          <w:lang w:val="zh-CN"/>
        </w:rPr>
        <w:t>款</w:t>
      </w:r>
      <w:r>
        <w:rPr>
          <w:rFonts w:hint="eastAsia" w:ascii="宋体" w:hAnsi="宋体" w:cs="宋体"/>
          <w:sz w:val="24"/>
          <w:szCs w:val="24"/>
          <w:u w:val="none"/>
        </w:rPr>
        <w:t>规定的实质性要求的；</w:t>
      </w:r>
    </w:p>
    <w:p w14:paraId="6B59E3D5">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（7）同一投标人提交两个以上不同的投标文件或者投标报价的；</w:t>
      </w:r>
    </w:p>
    <w:p w14:paraId="36EF1EA4">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（8）投标文件载明的投标范围小于招标文件规定的招标范围的（缺漏招标文件所要求的内容）；</w:t>
      </w:r>
    </w:p>
    <w:p w14:paraId="5E334A3C">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（9）投标货物性能、规格、检验标准和方法、服务等不满足招标文件的相关要求和超出采购人接受的偏差范围的；</w:t>
      </w:r>
    </w:p>
    <w:p w14:paraId="4858EE24">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（10）投标文件附有采购人不能接受的条件；</w:t>
      </w:r>
    </w:p>
    <w:p w14:paraId="165DF90D">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（11）不符合招标文件规定的分包、转包规定等其他实质性要求；</w:t>
      </w:r>
    </w:p>
    <w:p w14:paraId="791D913D">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（12）不符合法律、法规的规定。</w:t>
      </w:r>
    </w:p>
    <w:p w14:paraId="244A6828">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3.3 有下列情形之一时，评标委员会应予以废标，并将理由通知所有投标人。废标的情形同时在</w:t>
      </w:r>
      <w:r>
        <w:rPr>
          <w:rFonts w:hint="eastAsia" w:ascii="宋体" w:hAnsi="宋体" w:cs="宋体"/>
          <w:b/>
          <w:sz w:val="24"/>
          <w:szCs w:val="24"/>
          <w:u w:val="none"/>
        </w:rPr>
        <w:t>招标文件前附表</w:t>
      </w:r>
      <w:r>
        <w:rPr>
          <w:rFonts w:hint="eastAsia" w:ascii="宋体" w:hAnsi="宋体" w:cs="宋体"/>
          <w:sz w:val="24"/>
          <w:szCs w:val="24"/>
          <w:u w:val="none"/>
        </w:rPr>
        <w:t>集中列示：</w:t>
      </w:r>
    </w:p>
    <w:p w14:paraId="2CE52F0D">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（1）符合专业条件的投标人或者对招标文件作实质性响应的投标人不足三家的；</w:t>
      </w:r>
    </w:p>
    <w:p w14:paraId="6792A238">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（2）出现影响采购公正的违法、违规行为的；</w:t>
      </w:r>
    </w:p>
    <w:p w14:paraId="3D9508E1">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（3）因重大变故，采购任务取消的。</w:t>
      </w:r>
    </w:p>
    <w:p w14:paraId="6A017C2D">
      <w:pPr>
        <w:adjustRightInd w:val="0"/>
        <w:snapToGrid w:val="0"/>
        <w:spacing w:line="440" w:lineRule="exact"/>
        <w:ind w:firstLine="482" w:firstLineChars="200"/>
        <w:rPr>
          <w:rFonts w:ascii="宋体" w:hAnsi="宋体" w:cs="宋体"/>
          <w:bCs/>
          <w:sz w:val="24"/>
          <w:szCs w:val="24"/>
          <w:u w:val="none"/>
        </w:rPr>
      </w:pPr>
      <w:r>
        <w:rPr>
          <w:rFonts w:hint="eastAsia" w:ascii="宋体" w:hAnsi="宋体" w:cs="宋体"/>
          <w:b/>
          <w:bCs/>
          <w:sz w:val="24"/>
          <w:szCs w:val="24"/>
          <w:u w:val="none"/>
        </w:rPr>
        <w:t>4.澄清有关问题</w:t>
      </w:r>
    </w:p>
    <w:p w14:paraId="74E3869B">
      <w:pPr>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14:paraId="2B0EB741">
      <w:pPr>
        <w:tabs>
          <w:tab w:val="left" w:pos="0"/>
        </w:tabs>
        <w:adjustRightInd w:val="0"/>
        <w:snapToGrid w:val="0"/>
        <w:spacing w:line="440" w:lineRule="exact"/>
        <w:ind w:firstLine="480" w:firstLineChars="200"/>
        <w:rPr>
          <w:rFonts w:ascii="宋体" w:hAnsi="宋体" w:cs="宋体"/>
          <w:bCs/>
          <w:sz w:val="24"/>
          <w:szCs w:val="24"/>
          <w:u w:val="none"/>
        </w:rPr>
      </w:pPr>
      <w:r>
        <w:rPr>
          <w:rFonts w:hint="eastAsia" w:ascii="宋体" w:hAnsi="宋体" w:cs="宋体"/>
          <w:sz w:val="24"/>
          <w:szCs w:val="24"/>
          <w:u w:val="none"/>
        </w:rPr>
        <w:t>4.2投标人不得对下列</w:t>
      </w:r>
      <w:r>
        <w:rPr>
          <w:rFonts w:hint="eastAsia" w:ascii="宋体" w:hAnsi="宋体" w:cs="宋体"/>
          <w:sz w:val="24"/>
          <w:szCs w:val="24"/>
          <w:u w:val="none"/>
          <w:lang w:eastAsia="zh-CN"/>
        </w:rPr>
        <w:t>内容</w:t>
      </w:r>
      <w:r>
        <w:rPr>
          <w:rFonts w:hint="eastAsia" w:ascii="宋体" w:hAnsi="宋体" w:cs="宋体"/>
          <w:bCs/>
          <w:sz w:val="24"/>
          <w:szCs w:val="24"/>
          <w:u w:val="none"/>
        </w:rPr>
        <w:t>进行澄清或补充：</w:t>
      </w:r>
    </w:p>
    <w:p w14:paraId="0B3EC7BE">
      <w:pPr>
        <w:tabs>
          <w:tab w:val="left" w:pos="0"/>
        </w:tabs>
        <w:adjustRightInd w:val="0"/>
        <w:snapToGrid w:val="0"/>
        <w:spacing w:line="440" w:lineRule="exact"/>
        <w:ind w:firstLine="480" w:firstLineChars="200"/>
        <w:rPr>
          <w:rFonts w:ascii="宋体" w:hAnsi="宋体" w:cs="宋体"/>
          <w:bCs/>
          <w:sz w:val="24"/>
          <w:szCs w:val="24"/>
          <w:u w:val="none"/>
        </w:rPr>
      </w:pPr>
      <w:r>
        <w:rPr>
          <w:rFonts w:hint="eastAsia" w:ascii="宋体" w:hAnsi="宋体" w:cs="宋体"/>
          <w:sz w:val="24"/>
          <w:szCs w:val="24"/>
          <w:u w:val="none"/>
        </w:rPr>
        <w:t>（1）开标时，</w:t>
      </w:r>
      <w:r>
        <w:rPr>
          <w:rFonts w:hint="eastAsia" w:ascii="宋体" w:hAnsi="宋体" w:cs="宋体"/>
          <w:bCs/>
          <w:sz w:val="24"/>
          <w:szCs w:val="24"/>
          <w:u w:val="none"/>
        </w:rPr>
        <w:t>未宣读的投标价格、价格折扣和</w:t>
      </w:r>
      <w:r>
        <w:rPr>
          <w:rFonts w:hint="eastAsia" w:ascii="宋体" w:hAnsi="宋体" w:cs="宋体"/>
          <w:sz w:val="24"/>
          <w:szCs w:val="24"/>
          <w:u w:val="none"/>
        </w:rPr>
        <w:t>第</w:t>
      </w:r>
      <w:r>
        <w:rPr>
          <w:rFonts w:hint="eastAsia" w:ascii="宋体" w:hAnsi="宋体" w:cs="宋体"/>
          <w:sz w:val="24"/>
          <w:szCs w:val="24"/>
          <w:u w:val="none"/>
          <w:lang w:eastAsia="zh-CN"/>
        </w:rPr>
        <w:t>二</w:t>
      </w:r>
      <w:r>
        <w:rPr>
          <w:rFonts w:hint="eastAsia" w:ascii="宋体" w:hAnsi="宋体" w:cs="宋体"/>
          <w:sz w:val="24"/>
          <w:szCs w:val="24"/>
          <w:u w:val="none"/>
        </w:rPr>
        <w:t>章“投标须知”第16.1</w:t>
      </w:r>
      <w:r>
        <w:rPr>
          <w:rFonts w:hint="eastAsia" w:ascii="宋体" w:hAnsi="宋体" w:cs="宋体"/>
          <w:kern w:val="0"/>
          <w:sz w:val="24"/>
          <w:szCs w:val="24"/>
          <w:u w:val="none"/>
          <w:lang w:val="zh-CN"/>
        </w:rPr>
        <w:t>款</w:t>
      </w:r>
      <w:r>
        <w:rPr>
          <w:rFonts w:hint="eastAsia" w:ascii="宋体" w:hAnsi="宋体" w:cs="宋体"/>
          <w:bCs/>
          <w:sz w:val="24"/>
          <w:szCs w:val="24"/>
          <w:u w:val="none"/>
        </w:rPr>
        <w:t>允许提</w:t>
      </w:r>
      <w:r>
        <w:rPr>
          <w:rFonts w:hint="eastAsia" w:ascii="宋体" w:hAnsi="宋体" w:cs="宋体"/>
          <w:sz w:val="24"/>
          <w:szCs w:val="24"/>
          <w:u w:val="none"/>
        </w:rPr>
        <w:t>交</w:t>
      </w:r>
      <w:r>
        <w:rPr>
          <w:rFonts w:hint="eastAsia" w:ascii="宋体" w:hAnsi="宋体" w:cs="宋体"/>
          <w:bCs/>
          <w:sz w:val="24"/>
          <w:szCs w:val="24"/>
          <w:u w:val="none"/>
        </w:rPr>
        <w:t>的备选方案等实质性内容。</w:t>
      </w:r>
    </w:p>
    <w:p w14:paraId="5CC8F1A9">
      <w:pPr>
        <w:tabs>
          <w:tab w:val="left" w:pos="0"/>
        </w:tabs>
        <w:adjustRightInd w:val="0"/>
        <w:snapToGrid w:val="0"/>
        <w:spacing w:line="440" w:lineRule="exact"/>
        <w:ind w:firstLine="480" w:firstLineChars="200"/>
        <w:rPr>
          <w:rFonts w:ascii="宋体" w:hAnsi="宋体" w:cs="宋体"/>
          <w:bCs/>
          <w:sz w:val="24"/>
          <w:szCs w:val="24"/>
          <w:u w:val="none"/>
        </w:rPr>
      </w:pPr>
      <w:r>
        <w:rPr>
          <w:rFonts w:hint="eastAsia" w:ascii="宋体" w:hAnsi="宋体" w:cs="宋体"/>
          <w:sz w:val="24"/>
          <w:szCs w:val="24"/>
          <w:u w:val="none"/>
        </w:rPr>
        <w:t>（2）不满足第</w:t>
      </w:r>
      <w:r>
        <w:rPr>
          <w:rFonts w:hint="eastAsia" w:ascii="宋体" w:hAnsi="宋体" w:cs="宋体"/>
          <w:sz w:val="24"/>
          <w:szCs w:val="24"/>
          <w:u w:val="none"/>
          <w:lang w:eastAsia="zh-CN"/>
        </w:rPr>
        <w:t>二</w:t>
      </w:r>
      <w:r>
        <w:rPr>
          <w:rFonts w:hint="eastAsia" w:ascii="宋体" w:hAnsi="宋体" w:cs="宋体"/>
          <w:sz w:val="24"/>
          <w:szCs w:val="24"/>
          <w:u w:val="none"/>
        </w:rPr>
        <w:t>章投标须知第9.1</w:t>
      </w:r>
      <w:r>
        <w:rPr>
          <w:rFonts w:hint="eastAsia" w:ascii="宋体" w:hAnsi="宋体" w:cs="宋体"/>
          <w:kern w:val="0"/>
          <w:sz w:val="24"/>
          <w:szCs w:val="24"/>
          <w:u w:val="none"/>
          <w:lang w:val="zh-CN"/>
        </w:rPr>
        <w:t>款</w:t>
      </w:r>
      <w:r>
        <w:rPr>
          <w:rFonts w:hint="eastAsia" w:ascii="宋体" w:hAnsi="宋体" w:cs="宋体"/>
          <w:sz w:val="24"/>
          <w:szCs w:val="24"/>
          <w:u w:val="none"/>
        </w:rPr>
        <w:t>、第9.2</w:t>
      </w:r>
      <w:r>
        <w:rPr>
          <w:rFonts w:hint="eastAsia" w:ascii="宋体" w:hAnsi="宋体" w:cs="宋体"/>
          <w:kern w:val="0"/>
          <w:sz w:val="24"/>
          <w:szCs w:val="24"/>
          <w:u w:val="none"/>
          <w:lang w:val="zh-CN"/>
        </w:rPr>
        <w:t>款</w:t>
      </w:r>
      <w:r>
        <w:rPr>
          <w:rFonts w:hint="eastAsia" w:ascii="宋体" w:hAnsi="宋体" w:cs="宋体"/>
          <w:bCs/>
          <w:sz w:val="24"/>
          <w:szCs w:val="24"/>
          <w:u w:val="none"/>
        </w:rPr>
        <w:t>规定的</w:t>
      </w:r>
      <w:r>
        <w:rPr>
          <w:rFonts w:hint="eastAsia" w:ascii="宋体" w:hAnsi="宋体" w:cs="宋体"/>
          <w:sz w:val="24"/>
          <w:szCs w:val="24"/>
          <w:u w:val="none"/>
        </w:rPr>
        <w:t>实质性要求的</w:t>
      </w:r>
      <w:r>
        <w:rPr>
          <w:rFonts w:hint="eastAsia" w:ascii="宋体" w:hAnsi="宋体" w:cs="宋体"/>
          <w:bCs/>
          <w:sz w:val="24"/>
          <w:szCs w:val="24"/>
          <w:u w:val="none"/>
        </w:rPr>
        <w:t>投标文件内容。</w:t>
      </w:r>
    </w:p>
    <w:p w14:paraId="78B6822C">
      <w:pPr>
        <w:tabs>
          <w:tab w:val="left" w:pos="0"/>
        </w:tabs>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4.3 投标文件报价出现前后不一致的，除招标文件另有规定外，按照下列规定修正：</w:t>
      </w:r>
    </w:p>
    <w:p w14:paraId="1E0CFB3C">
      <w:pPr>
        <w:tabs>
          <w:tab w:val="left" w:pos="0"/>
        </w:tabs>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（1）投标文件中开标一览表（报价表）内容与投标文件中相应内容不一致的，以开标一览表（报价表）为准；</w:t>
      </w:r>
    </w:p>
    <w:p w14:paraId="4F7721A2">
      <w:pPr>
        <w:tabs>
          <w:tab w:val="left" w:pos="0"/>
        </w:tabs>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（2）大写金额和小写金额不一致的，以大写金额为准；</w:t>
      </w:r>
    </w:p>
    <w:p w14:paraId="72B95E32">
      <w:pPr>
        <w:tabs>
          <w:tab w:val="left" w:pos="0"/>
        </w:tabs>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（3）单价金额小数点或者百分比有明显错位的，以开标一览表的总价为准，并修改单价；</w:t>
      </w:r>
    </w:p>
    <w:p w14:paraId="52AB163F">
      <w:pPr>
        <w:tabs>
          <w:tab w:val="left" w:pos="0"/>
        </w:tabs>
        <w:adjustRightInd w:val="0"/>
        <w:snapToGrid w:val="0"/>
        <w:spacing w:line="440" w:lineRule="exact"/>
        <w:ind w:firstLine="480" w:firstLineChars="200"/>
        <w:rPr>
          <w:rFonts w:ascii="宋体" w:hAnsi="宋体" w:cs="宋体"/>
          <w:sz w:val="24"/>
          <w:szCs w:val="24"/>
          <w:u w:val="none"/>
        </w:rPr>
      </w:pPr>
      <w:r>
        <w:rPr>
          <w:rFonts w:hint="eastAsia" w:ascii="宋体" w:hAnsi="宋体" w:cs="宋体"/>
          <w:sz w:val="24"/>
          <w:szCs w:val="24"/>
          <w:u w:val="none"/>
        </w:rPr>
        <w:t>（4）总价金额与按单价汇总金额不一致的，以单价金额计算结果为准。</w:t>
      </w:r>
    </w:p>
    <w:p w14:paraId="6618E23C">
      <w:pPr>
        <w:tabs>
          <w:tab w:val="left" w:pos="0"/>
        </w:tabs>
        <w:adjustRightInd w:val="0"/>
        <w:snapToGrid w:val="0"/>
        <w:spacing w:line="430" w:lineRule="exact"/>
        <w:ind w:firstLine="480" w:firstLineChars="200"/>
        <w:rPr>
          <w:rFonts w:ascii="宋体" w:hAnsi="宋体" w:cs="宋体"/>
          <w:sz w:val="24"/>
          <w:szCs w:val="24"/>
          <w:u w:val="none"/>
        </w:rPr>
      </w:pPr>
      <w:r>
        <w:rPr>
          <w:rFonts w:hint="eastAsia" w:ascii="宋体" w:hAnsi="宋体" w:cs="宋体"/>
          <w:sz w:val="24"/>
          <w:szCs w:val="24"/>
          <w:u w:val="none"/>
        </w:rPr>
        <w:t xml:space="preserve"> 若投标人拒绝接受上述修正，在评标时将其视为无效投标。</w:t>
      </w:r>
    </w:p>
    <w:p w14:paraId="6912E9C6">
      <w:pPr>
        <w:tabs>
          <w:tab w:val="left" w:pos="0"/>
        </w:tabs>
        <w:adjustRightInd w:val="0"/>
        <w:snapToGrid w:val="0"/>
        <w:spacing w:line="430" w:lineRule="exact"/>
        <w:ind w:firstLine="480" w:firstLineChars="200"/>
        <w:rPr>
          <w:rFonts w:ascii="宋体" w:hAnsi="宋体" w:cs="宋体"/>
          <w:sz w:val="24"/>
          <w:szCs w:val="24"/>
          <w:u w:val="none"/>
        </w:rPr>
      </w:pPr>
      <w:r>
        <w:rPr>
          <w:rFonts w:hint="eastAsia" w:ascii="宋体" w:hAnsi="宋体" w:cs="宋体"/>
          <w:sz w:val="24"/>
          <w:szCs w:val="24"/>
          <w:u w:val="none"/>
        </w:rPr>
        <w:t>4.4 投标人的澄清、说明或者补正应该采用书面形式，由</w:t>
      </w:r>
      <w:r>
        <w:rPr>
          <w:rFonts w:hint="eastAsia" w:ascii="宋体" w:hAnsi="宋体" w:cs="宋体"/>
          <w:sz w:val="24"/>
          <w:szCs w:val="24"/>
          <w:u w:val="none"/>
          <w:lang w:eastAsia="zh-CN"/>
        </w:rPr>
        <w:t>法定代表人</w:t>
      </w:r>
      <w:r>
        <w:rPr>
          <w:rFonts w:hint="eastAsia" w:ascii="宋体" w:hAnsi="宋体" w:cs="宋体"/>
          <w:sz w:val="24"/>
          <w:szCs w:val="24"/>
          <w:u w:val="none"/>
        </w:rPr>
        <w:t>或其授权的代理人签字，并按评标委员会的通知要求递交。</w:t>
      </w:r>
    </w:p>
    <w:p w14:paraId="5F89FB8B">
      <w:pPr>
        <w:tabs>
          <w:tab w:val="left" w:pos="0"/>
        </w:tabs>
        <w:adjustRightInd w:val="0"/>
        <w:snapToGrid w:val="0"/>
        <w:spacing w:line="430" w:lineRule="exact"/>
        <w:ind w:firstLine="480" w:firstLineChars="200"/>
        <w:rPr>
          <w:rFonts w:ascii="宋体" w:hAnsi="宋体" w:cs="宋体"/>
          <w:sz w:val="24"/>
          <w:szCs w:val="24"/>
          <w:u w:val="none"/>
        </w:rPr>
      </w:pPr>
      <w:r>
        <w:rPr>
          <w:rFonts w:hint="eastAsia" w:ascii="宋体" w:hAnsi="宋体" w:cs="宋体"/>
          <w:sz w:val="24"/>
          <w:szCs w:val="24"/>
          <w:u w:val="none"/>
        </w:rPr>
        <w:t>4.5 有效的书面澄清材料，是投标文件的补充材料，成为投标文件的组成部分。</w:t>
      </w:r>
    </w:p>
    <w:p w14:paraId="4FC1FB29">
      <w:pPr>
        <w:tabs>
          <w:tab w:val="left" w:pos="0"/>
        </w:tabs>
        <w:adjustRightInd w:val="0"/>
        <w:snapToGrid w:val="0"/>
        <w:spacing w:line="430" w:lineRule="exact"/>
        <w:ind w:firstLine="482" w:firstLineChars="200"/>
        <w:rPr>
          <w:rFonts w:ascii="宋体" w:hAnsi="宋体" w:cs="宋体"/>
          <w:b/>
          <w:bCs/>
          <w:sz w:val="24"/>
          <w:szCs w:val="24"/>
          <w:u w:val="none"/>
        </w:rPr>
      </w:pPr>
      <w:r>
        <w:rPr>
          <w:rFonts w:hint="eastAsia" w:ascii="宋体" w:hAnsi="宋体" w:cs="宋体"/>
          <w:b/>
          <w:bCs/>
          <w:sz w:val="24"/>
          <w:szCs w:val="24"/>
          <w:u w:val="none"/>
        </w:rPr>
        <w:t>5.比较与评价（详细评审）</w:t>
      </w:r>
    </w:p>
    <w:p w14:paraId="1CD35FD5">
      <w:pPr>
        <w:tabs>
          <w:tab w:val="left" w:pos="0"/>
        </w:tabs>
        <w:adjustRightInd w:val="0"/>
        <w:snapToGrid w:val="0"/>
        <w:spacing w:line="430" w:lineRule="exact"/>
        <w:ind w:firstLine="480" w:firstLineChars="200"/>
        <w:rPr>
          <w:rFonts w:ascii="宋体" w:hAnsi="宋体" w:cs="宋体"/>
          <w:bCs/>
          <w:spacing w:val="-6"/>
          <w:sz w:val="24"/>
          <w:szCs w:val="24"/>
          <w:u w:val="none"/>
        </w:rPr>
      </w:pPr>
      <w:bookmarkStart w:id="44" w:name="_Toc27702_WPSOffice_Level1"/>
      <w:r>
        <w:rPr>
          <w:rFonts w:hint="eastAsia" w:ascii="宋体" w:hAnsi="宋体" w:cs="宋体"/>
          <w:bCs/>
          <w:sz w:val="24"/>
          <w:szCs w:val="24"/>
          <w:u w:val="none"/>
        </w:rPr>
        <w:t>5.1</w:t>
      </w:r>
      <w:r>
        <w:rPr>
          <w:rFonts w:hint="eastAsia" w:ascii="宋体" w:hAnsi="宋体" w:cs="宋体"/>
          <w:bCs/>
          <w:spacing w:val="-6"/>
          <w:sz w:val="24"/>
          <w:szCs w:val="24"/>
          <w:u w:val="none"/>
        </w:rPr>
        <w:t>评标委员会应按照招标文件中规定的评标方法、</w:t>
      </w:r>
      <w:r>
        <w:rPr>
          <w:rFonts w:hint="eastAsia" w:ascii="宋体" w:hAnsi="宋体" w:cs="宋体"/>
          <w:spacing w:val="-6"/>
          <w:sz w:val="24"/>
          <w:szCs w:val="24"/>
          <w:u w:val="none"/>
        </w:rPr>
        <w:t>标准和评标因素，只</w:t>
      </w:r>
      <w:r>
        <w:rPr>
          <w:rFonts w:hint="eastAsia" w:ascii="宋体" w:hAnsi="宋体" w:cs="宋体"/>
          <w:bCs/>
          <w:spacing w:val="-6"/>
          <w:sz w:val="24"/>
          <w:szCs w:val="24"/>
          <w:u w:val="none"/>
        </w:rPr>
        <w:t>对</w:t>
      </w:r>
      <w:r>
        <w:rPr>
          <w:rFonts w:hint="eastAsia" w:ascii="宋体" w:hAnsi="宋体" w:cs="宋体"/>
          <w:spacing w:val="-6"/>
          <w:sz w:val="24"/>
          <w:szCs w:val="24"/>
          <w:u w:val="none"/>
        </w:rPr>
        <w:t>资格性检查和符合性检查</w:t>
      </w:r>
      <w:r>
        <w:rPr>
          <w:rFonts w:hint="eastAsia" w:ascii="宋体" w:hAnsi="宋体" w:cs="宋体"/>
          <w:bCs/>
          <w:spacing w:val="-6"/>
          <w:sz w:val="24"/>
          <w:szCs w:val="24"/>
          <w:u w:val="none"/>
          <w:lang w:val="en-US" w:eastAsia="zh-CN"/>
        </w:rPr>
        <w:t>合格</w:t>
      </w:r>
      <w:r>
        <w:rPr>
          <w:rFonts w:hint="eastAsia" w:ascii="宋体" w:hAnsi="宋体" w:cs="宋体"/>
          <w:bCs/>
          <w:spacing w:val="-6"/>
          <w:sz w:val="24"/>
          <w:szCs w:val="24"/>
          <w:u w:val="none"/>
        </w:rPr>
        <w:t>的投标文件进行评估，综合比较与评价。</w:t>
      </w:r>
    </w:p>
    <w:p w14:paraId="248D1C80">
      <w:pPr>
        <w:widowControl/>
        <w:adjustRightInd w:val="0"/>
        <w:snapToGrid w:val="0"/>
        <w:spacing w:line="430" w:lineRule="exact"/>
        <w:ind w:firstLine="480" w:firstLineChars="200"/>
        <w:jc w:val="left"/>
        <w:rPr>
          <w:rFonts w:ascii="宋体" w:hAnsi="宋体" w:cs="宋体"/>
          <w:sz w:val="24"/>
          <w:szCs w:val="24"/>
          <w:u w:val="none"/>
        </w:rPr>
      </w:pPr>
      <w:r>
        <w:rPr>
          <w:rFonts w:hint="eastAsia" w:ascii="宋体" w:hAnsi="宋体" w:cs="宋体"/>
          <w:bCs/>
          <w:sz w:val="24"/>
          <w:szCs w:val="24"/>
          <w:u w:val="none"/>
        </w:rPr>
        <w:t>5.2</w:t>
      </w:r>
      <w:r>
        <w:rPr>
          <w:rFonts w:hint="eastAsia" w:ascii="宋体" w:hAnsi="宋体" w:cs="宋体"/>
          <w:sz w:val="24"/>
          <w:szCs w:val="24"/>
          <w:u w:val="none"/>
        </w:rPr>
        <w:t>投标报价评价。评标委员会以开标时承认的投标报价为基础，</w:t>
      </w:r>
      <w:r>
        <w:rPr>
          <w:rFonts w:hint="eastAsia" w:ascii="宋体" w:hAnsi="宋体" w:cs="宋体"/>
          <w:kern w:val="0"/>
          <w:sz w:val="24"/>
          <w:szCs w:val="24"/>
          <w:u w:val="none"/>
        </w:rPr>
        <w:t>依次</w:t>
      </w:r>
      <w:r>
        <w:rPr>
          <w:rFonts w:hint="eastAsia" w:ascii="宋体" w:hAnsi="宋体" w:cs="宋体"/>
          <w:sz w:val="24"/>
          <w:szCs w:val="24"/>
          <w:u w:val="none"/>
        </w:rPr>
        <w:t>对投标报价进行</w:t>
      </w:r>
      <w:r>
        <w:rPr>
          <w:rFonts w:hint="eastAsia" w:ascii="宋体" w:hAnsi="宋体" w:cs="宋体"/>
          <w:kern w:val="0"/>
          <w:sz w:val="24"/>
          <w:szCs w:val="24"/>
          <w:u w:val="none"/>
        </w:rPr>
        <w:t>算术</w:t>
      </w:r>
      <w:r>
        <w:rPr>
          <w:rFonts w:hint="eastAsia" w:ascii="宋体" w:hAnsi="宋体" w:cs="宋体"/>
          <w:sz w:val="24"/>
          <w:szCs w:val="24"/>
          <w:u w:val="none"/>
        </w:rPr>
        <w:t>修正和采购政策优惠价格计算。</w:t>
      </w:r>
    </w:p>
    <w:p w14:paraId="77EE9722">
      <w:pPr>
        <w:tabs>
          <w:tab w:val="left" w:pos="0"/>
        </w:tabs>
        <w:adjustRightInd w:val="0"/>
        <w:snapToGrid w:val="0"/>
        <w:spacing w:line="430" w:lineRule="exact"/>
        <w:ind w:firstLine="456" w:firstLineChars="200"/>
        <w:rPr>
          <w:rFonts w:ascii="宋体" w:hAnsi="宋体" w:cs="宋体"/>
          <w:bCs/>
          <w:spacing w:val="-6"/>
          <w:sz w:val="24"/>
          <w:szCs w:val="24"/>
          <w:u w:val="none"/>
        </w:rPr>
      </w:pPr>
      <w:r>
        <w:rPr>
          <w:rFonts w:hint="eastAsia" w:ascii="宋体" w:hAnsi="宋体" w:cs="宋体"/>
          <w:bCs/>
          <w:spacing w:val="-6"/>
          <w:sz w:val="24"/>
          <w:szCs w:val="24"/>
          <w:u w:val="none"/>
        </w:rPr>
        <w:t>5.3价格分采用低价优先法计算，即满足招标文件要求且投标价格最低的投标报价为评标基准价，其价格分为满分，其他有效投标人的价格分按照下列公式计算：</w:t>
      </w:r>
    </w:p>
    <w:p w14:paraId="4BAD00EE">
      <w:pPr>
        <w:tabs>
          <w:tab w:val="left" w:pos="0"/>
        </w:tabs>
        <w:adjustRightInd w:val="0"/>
        <w:snapToGrid w:val="0"/>
        <w:spacing w:line="430" w:lineRule="exact"/>
        <w:ind w:firstLine="456" w:firstLineChars="200"/>
        <w:rPr>
          <w:rFonts w:ascii="宋体" w:hAnsi="宋体" w:cs="宋体"/>
          <w:bCs/>
          <w:spacing w:val="-6"/>
          <w:sz w:val="24"/>
          <w:szCs w:val="24"/>
          <w:u w:val="none"/>
        </w:rPr>
      </w:pPr>
      <w:r>
        <w:rPr>
          <w:rFonts w:hint="eastAsia" w:ascii="宋体" w:hAnsi="宋体" w:cs="宋体"/>
          <w:bCs/>
          <w:spacing w:val="-6"/>
          <w:sz w:val="24"/>
          <w:szCs w:val="24"/>
          <w:u w:val="none"/>
        </w:rPr>
        <w:t>投标报价得分=（评标基准价／投标报价）×价格权值</w:t>
      </w:r>
      <w:r>
        <w:rPr>
          <w:rFonts w:hint="eastAsia" w:ascii="宋体" w:hAnsi="宋体" w:cs="宋体"/>
          <w:bCs/>
          <w:spacing w:val="-6"/>
          <w:sz w:val="24"/>
          <w:szCs w:val="24"/>
          <w:u w:val="none"/>
          <w:lang w:val="en-US" w:eastAsia="zh-CN"/>
        </w:rPr>
        <w:t>10%</w:t>
      </w:r>
      <w:r>
        <w:rPr>
          <w:rFonts w:hint="eastAsia" w:ascii="宋体" w:hAnsi="宋体" w:cs="宋体"/>
          <w:bCs/>
          <w:spacing w:val="-6"/>
          <w:sz w:val="24"/>
          <w:szCs w:val="24"/>
          <w:u w:val="none"/>
        </w:rPr>
        <w:t>×100；</w:t>
      </w:r>
    </w:p>
    <w:p w14:paraId="024BC929">
      <w:pPr>
        <w:tabs>
          <w:tab w:val="left" w:pos="0"/>
        </w:tabs>
        <w:adjustRightInd w:val="0"/>
        <w:snapToGrid w:val="0"/>
        <w:spacing w:line="430" w:lineRule="exact"/>
        <w:ind w:firstLine="456" w:firstLineChars="200"/>
        <w:rPr>
          <w:rFonts w:ascii="宋体" w:hAnsi="宋体" w:cs="宋体"/>
          <w:bCs/>
          <w:spacing w:val="-6"/>
          <w:sz w:val="24"/>
          <w:szCs w:val="24"/>
          <w:u w:val="none"/>
        </w:rPr>
      </w:pPr>
      <w:r>
        <w:rPr>
          <w:rFonts w:hint="eastAsia" w:ascii="宋体" w:hAnsi="宋体" w:cs="宋体"/>
          <w:bCs/>
          <w:spacing w:val="-6"/>
          <w:sz w:val="24"/>
          <w:szCs w:val="24"/>
          <w:u w:val="none"/>
        </w:rPr>
        <w:t>本项所称投标报价为按本章第5.2</w:t>
      </w:r>
      <w:r>
        <w:rPr>
          <w:rFonts w:hint="eastAsia" w:ascii="宋体" w:hAnsi="宋体" w:cs="宋体"/>
          <w:bCs/>
          <w:spacing w:val="-6"/>
          <w:sz w:val="24"/>
          <w:szCs w:val="24"/>
          <w:u w:val="none"/>
          <w:lang w:val="zh-CN"/>
        </w:rPr>
        <w:t>款</w:t>
      </w:r>
      <w:r>
        <w:rPr>
          <w:rFonts w:hint="eastAsia" w:ascii="宋体" w:hAnsi="宋体" w:cs="宋体"/>
          <w:bCs/>
          <w:spacing w:val="-6"/>
          <w:sz w:val="24"/>
          <w:szCs w:val="24"/>
          <w:u w:val="none"/>
        </w:rPr>
        <w:t>规定评价后的投标报价。</w:t>
      </w:r>
    </w:p>
    <w:p w14:paraId="469101CB">
      <w:pPr>
        <w:tabs>
          <w:tab w:val="left" w:pos="0"/>
        </w:tabs>
        <w:adjustRightInd w:val="0"/>
        <w:snapToGrid w:val="0"/>
        <w:spacing w:line="430" w:lineRule="exact"/>
        <w:ind w:firstLine="456" w:firstLineChars="200"/>
        <w:rPr>
          <w:rFonts w:ascii="宋体" w:hAnsi="宋体" w:cs="宋体"/>
          <w:bCs/>
          <w:spacing w:val="-6"/>
          <w:sz w:val="24"/>
          <w:szCs w:val="24"/>
          <w:u w:val="none"/>
        </w:rPr>
      </w:pPr>
      <w:r>
        <w:rPr>
          <w:rFonts w:hint="eastAsia" w:ascii="宋体" w:hAnsi="宋体" w:cs="宋体"/>
          <w:bCs/>
          <w:spacing w:val="-6"/>
          <w:sz w:val="24"/>
          <w:szCs w:val="24"/>
          <w:u w:val="none"/>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14:paraId="6871674C">
      <w:pPr>
        <w:tabs>
          <w:tab w:val="left" w:pos="0"/>
        </w:tabs>
        <w:adjustRightInd w:val="0"/>
        <w:snapToGrid w:val="0"/>
        <w:spacing w:line="430" w:lineRule="exact"/>
        <w:ind w:firstLine="456" w:firstLineChars="200"/>
        <w:rPr>
          <w:rFonts w:ascii="宋体" w:hAnsi="宋体" w:cs="宋体"/>
          <w:bCs/>
          <w:spacing w:val="-6"/>
          <w:sz w:val="24"/>
          <w:szCs w:val="24"/>
          <w:u w:val="none"/>
        </w:rPr>
      </w:pPr>
      <w:r>
        <w:rPr>
          <w:rFonts w:hint="eastAsia" w:ascii="宋体" w:hAnsi="宋体" w:cs="宋体"/>
          <w:bCs/>
          <w:spacing w:val="-6"/>
          <w:sz w:val="24"/>
          <w:szCs w:val="24"/>
          <w:u w:val="none"/>
        </w:rPr>
        <w:t>5.4涉及政府采购政策优惠的，按招标文件前附表规定调整投标人的技术、价格得分或总得分。</w:t>
      </w:r>
    </w:p>
    <w:p w14:paraId="7BD9998D">
      <w:pPr>
        <w:tabs>
          <w:tab w:val="left" w:pos="0"/>
        </w:tabs>
        <w:adjustRightInd w:val="0"/>
        <w:snapToGrid w:val="0"/>
        <w:spacing w:line="430" w:lineRule="exact"/>
        <w:ind w:firstLine="456" w:firstLineChars="200"/>
        <w:rPr>
          <w:rFonts w:ascii="宋体" w:hAnsi="宋体" w:cs="宋体"/>
          <w:bCs/>
          <w:spacing w:val="-6"/>
          <w:sz w:val="24"/>
          <w:szCs w:val="24"/>
          <w:u w:val="none"/>
        </w:rPr>
      </w:pPr>
      <w:r>
        <w:rPr>
          <w:rFonts w:hint="eastAsia" w:ascii="宋体" w:hAnsi="宋体" w:cs="宋体"/>
          <w:bCs/>
          <w:spacing w:val="-6"/>
          <w:sz w:val="24"/>
          <w:szCs w:val="24"/>
          <w:u w:val="none"/>
        </w:rPr>
        <w:t>5.5涉及多处获得政府采购政策优惠的，涉及调整得分的，按本章第5.4</w:t>
      </w:r>
      <w:r>
        <w:rPr>
          <w:rFonts w:hint="eastAsia" w:ascii="宋体" w:hAnsi="宋体" w:cs="宋体"/>
          <w:bCs/>
          <w:spacing w:val="-6"/>
          <w:sz w:val="24"/>
          <w:szCs w:val="24"/>
          <w:u w:val="none"/>
          <w:lang w:val="zh-CN"/>
        </w:rPr>
        <w:t>款</w:t>
      </w:r>
      <w:r>
        <w:rPr>
          <w:rFonts w:hint="eastAsia" w:ascii="宋体" w:hAnsi="宋体" w:cs="宋体"/>
          <w:bCs/>
          <w:spacing w:val="-6"/>
          <w:sz w:val="24"/>
          <w:szCs w:val="24"/>
          <w:u w:val="none"/>
        </w:rPr>
        <w:t>规定调整得分；涉及调整价格的，按本章第5.2</w:t>
      </w:r>
      <w:r>
        <w:rPr>
          <w:rFonts w:hint="eastAsia" w:ascii="宋体" w:hAnsi="宋体" w:cs="宋体"/>
          <w:bCs/>
          <w:spacing w:val="-6"/>
          <w:sz w:val="24"/>
          <w:szCs w:val="24"/>
          <w:u w:val="none"/>
          <w:lang w:val="zh-CN"/>
        </w:rPr>
        <w:t>款</w:t>
      </w:r>
      <w:r>
        <w:rPr>
          <w:rFonts w:hint="eastAsia" w:ascii="宋体" w:hAnsi="宋体" w:cs="宋体"/>
          <w:bCs/>
          <w:spacing w:val="-6"/>
          <w:sz w:val="24"/>
          <w:szCs w:val="24"/>
          <w:u w:val="none"/>
        </w:rPr>
        <w:t>规定调整价格。综合调整见招标文件前附表相关规定。</w:t>
      </w:r>
    </w:p>
    <w:p w14:paraId="1EF669AE">
      <w:pPr>
        <w:tabs>
          <w:tab w:val="left" w:pos="0"/>
        </w:tabs>
        <w:adjustRightInd w:val="0"/>
        <w:snapToGrid w:val="0"/>
        <w:spacing w:line="430" w:lineRule="exact"/>
        <w:ind w:firstLine="456" w:firstLineChars="200"/>
        <w:rPr>
          <w:u w:val="none"/>
        </w:rPr>
      </w:pPr>
      <w:r>
        <w:rPr>
          <w:rFonts w:hint="eastAsia" w:ascii="宋体" w:hAnsi="宋体" w:cs="宋体"/>
          <w:bCs/>
          <w:spacing w:val="-6"/>
          <w:sz w:val="24"/>
          <w:szCs w:val="24"/>
          <w:u w:val="none"/>
        </w:rPr>
        <w:t>5.7评标时，评标委员会各成员应当独立对每个投标人的投标文件进行评价、评分，计算每个投标人技术部分得分时以算术平均值为其得分。然后汇总每个投标人每项评分因素的得分为其最后得分。</w:t>
      </w:r>
    </w:p>
    <w:p w14:paraId="4E366EDE">
      <w:pPr>
        <w:tabs>
          <w:tab w:val="left" w:pos="0"/>
        </w:tabs>
        <w:adjustRightInd w:val="0"/>
        <w:snapToGrid w:val="0"/>
        <w:spacing w:line="430" w:lineRule="exact"/>
        <w:ind w:firstLine="458" w:firstLineChars="200"/>
        <w:rPr>
          <w:rFonts w:ascii="宋体" w:hAnsi="宋体" w:cs="宋体"/>
          <w:b/>
          <w:spacing w:val="-6"/>
          <w:sz w:val="24"/>
          <w:szCs w:val="24"/>
          <w:u w:val="none"/>
        </w:rPr>
      </w:pPr>
      <w:r>
        <w:rPr>
          <w:rFonts w:hint="eastAsia" w:ascii="宋体" w:hAnsi="宋体" w:cs="宋体"/>
          <w:b/>
          <w:spacing w:val="-6"/>
          <w:sz w:val="24"/>
          <w:szCs w:val="24"/>
          <w:u w:val="none"/>
        </w:rPr>
        <w:t>6.确定中标人</w:t>
      </w:r>
    </w:p>
    <w:p w14:paraId="3982CBAA">
      <w:pPr>
        <w:tabs>
          <w:tab w:val="left" w:pos="0"/>
        </w:tabs>
        <w:adjustRightInd w:val="0"/>
        <w:snapToGrid w:val="0"/>
        <w:spacing w:line="430" w:lineRule="exact"/>
        <w:ind w:firstLine="456" w:firstLineChars="200"/>
        <w:rPr>
          <w:rFonts w:ascii="宋体" w:hAnsi="宋体" w:cs="宋体"/>
          <w:bCs/>
          <w:spacing w:val="-6"/>
          <w:sz w:val="24"/>
          <w:szCs w:val="24"/>
          <w:u w:val="none"/>
        </w:rPr>
      </w:pPr>
      <w:r>
        <w:rPr>
          <w:rFonts w:hint="eastAsia" w:ascii="宋体" w:hAnsi="宋体" w:cs="宋体"/>
          <w:bCs/>
          <w:spacing w:val="-6"/>
          <w:sz w:val="24"/>
          <w:szCs w:val="24"/>
          <w:u w:val="none"/>
        </w:rPr>
        <w:t>评标委员会按得分从高到低的</w:t>
      </w:r>
      <w:r>
        <w:rPr>
          <w:rFonts w:hint="eastAsia" w:ascii="宋体" w:hAnsi="宋体" w:cs="宋体"/>
          <w:sz w:val="24"/>
          <w:szCs w:val="24"/>
          <w:u w:val="none"/>
        </w:rPr>
        <w:t>顺序</w:t>
      </w:r>
      <w:r>
        <w:rPr>
          <w:rFonts w:hint="eastAsia" w:ascii="宋体" w:hAnsi="宋体" w:cs="宋体"/>
          <w:bCs/>
          <w:spacing w:val="-6"/>
          <w:sz w:val="24"/>
          <w:szCs w:val="24"/>
          <w:u w:val="none"/>
        </w:rPr>
        <w:t>对投标人进行排序（当投标人得分相同时，报价低者排名在前；当投标人综合评分且报价相同时，按技术部分得分由高者排名在前。）推荐排名第一的投标人为中标候选人。</w:t>
      </w:r>
    </w:p>
    <w:p w14:paraId="042FD394">
      <w:pPr>
        <w:adjustRightInd w:val="0"/>
        <w:snapToGrid w:val="0"/>
        <w:spacing w:line="360" w:lineRule="auto"/>
        <w:jc w:val="center"/>
        <w:outlineLvl w:val="0"/>
        <w:rPr>
          <w:rFonts w:ascii="宋体" w:hAnsi="宋体" w:cs="宋体"/>
          <w:sz w:val="24"/>
          <w:szCs w:val="24"/>
          <w:u w:val="none"/>
        </w:rPr>
      </w:pPr>
      <w:r>
        <w:rPr>
          <w:rFonts w:hint="eastAsia" w:ascii="宋体" w:hAnsi="宋体" w:cs="宋体"/>
          <w:b/>
          <w:bCs/>
          <w:sz w:val="32"/>
          <w:szCs w:val="32"/>
          <w:u w:val="none"/>
        </w:rPr>
        <w:br w:type="page"/>
      </w:r>
      <w:bookmarkStart w:id="45" w:name="_Toc18078"/>
      <w:bookmarkStart w:id="46" w:name="_Toc11799"/>
      <w:bookmarkStart w:id="47" w:name="_Toc20053"/>
      <w:bookmarkStart w:id="48" w:name="_Toc25335"/>
      <w:bookmarkStart w:id="49" w:name="_Toc26337"/>
      <w:bookmarkStart w:id="50" w:name="_Toc26098"/>
      <w:bookmarkStart w:id="51" w:name="_Toc4586"/>
      <w:bookmarkStart w:id="52" w:name="_Toc11944"/>
      <w:bookmarkStart w:id="53" w:name="_Toc23985"/>
      <w:bookmarkStart w:id="54" w:name="_Toc20035"/>
      <w:bookmarkStart w:id="55" w:name="_Toc5819"/>
      <w:bookmarkStart w:id="56" w:name="_Toc29903"/>
      <w:r>
        <w:rPr>
          <w:rStyle w:val="38"/>
          <w:rFonts w:hint="eastAsia"/>
          <w:u w:val="none"/>
        </w:rPr>
        <w:t>第</w:t>
      </w:r>
      <w:r>
        <w:rPr>
          <w:rStyle w:val="38"/>
          <w:rFonts w:hint="eastAsia"/>
          <w:u w:val="none"/>
          <w:lang w:val="en-US" w:eastAsia="zh-CN"/>
        </w:rPr>
        <w:t>五</w:t>
      </w:r>
      <w:r>
        <w:rPr>
          <w:rStyle w:val="38"/>
          <w:rFonts w:hint="eastAsia"/>
          <w:u w:val="none"/>
        </w:rPr>
        <w:t xml:space="preserve">章 </w:t>
      </w:r>
      <w:bookmarkEnd w:id="44"/>
      <w:r>
        <w:rPr>
          <w:rStyle w:val="38"/>
          <w:rFonts w:hint="eastAsia"/>
          <w:u w:val="none"/>
        </w:rPr>
        <w:t>合同格式</w:t>
      </w:r>
      <w:bookmarkEnd w:id="45"/>
      <w:bookmarkEnd w:id="46"/>
      <w:bookmarkEnd w:id="47"/>
      <w:bookmarkEnd w:id="48"/>
      <w:bookmarkEnd w:id="49"/>
      <w:bookmarkEnd w:id="50"/>
      <w:bookmarkEnd w:id="51"/>
      <w:bookmarkEnd w:id="52"/>
      <w:bookmarkEnd w:id="53"/>
      <w:bookmarkEnd w:id="54"/>
      <w:bookmarkEnd w:id="55"/>
      <w:bookmarkEnd w:id="56"/>
    </w:p>
    <w:p w14:paraId="6538B6EA">
      <w:pPr>
        <w:widowControl/>
        <w:adjustRightInd w:val="0"/>
        <w:snapToGrid w:val="0"/>
        <w:jc w:val="left"/>
        <w:rPr>
          <w:rFonts w:hint="eastAsia" w:ascii="宋体" w:hAnsi="宋体" w:cs="宋体"/>
          <w:spacing w:val="10"/>
          <w:kern w:val="0"/>
          <w:sz w:val="24"/>
          <w:highlight w:val="none"/>
        </w:rPr>
      </w:pPr>
      <w:bookmarkStart w:id="57" w:name="_Toc29164"/>
      <w:bookmarkStart w:id="58" w:name="_Toc351203494"/>
      <w:r>
        <w:rPr>
          <w:rFonts w:hint="eastAsia" w:ascii="宋体" w:hAnsi="宋体" w:cs="宋体"/>
          <w:spacing w:val="10"/>
          <w:kern w:val="0"/>
          <w:sz w:val="24"/>
          <w:highlight w:val="none"/>
        </w:rPr>
        <w:t>甲 方：</w:t>
      </w:r>
    </w:p>
    <w:p w14:paraId="2AE6F2C9">
      <w:pPr>
        <w:widowControl/>
        <w:adjustRightInd w:val="0"/>
        <w:snapToGrid w:val="0"/>
        <w:jc w:val="left"/>
        <w:rPr>
          <w:rFonts w:hint="eastAsia" w:ascii="宋体" w:hAnsi="宋体" w:cs="宋体"/>
          <w:spacing w:val="10"/>
          <w:kern w:val="0"/>
          <w:sz w:val="24"/>
          <w:highlight w:val="none"/>
        </w:rPr>
      </w:pPr>
    </w:p>
    <w:p w14:paraId="06F6AA6D">
      <w:pPr>
        <w:widowControl/>
        <w:adjustRightInd w:val="0"/>
        <w:snapToGrid w:val="0"/>
        <w:jc w:val="left"/>
        <w:rPr>
          <w:rFonts w:hint="eastAsia" w:ascii="宋体" w:hAnsi="宋体" w:cs="宋体"/>
          <w:spacing w:val="10"/>
          <w:kern w:val="0"/>
          <w:sz w:val="24"/>
          <w:highlight w:val="none"/>
        </w:rPr>
      </w:pPr>
      <w:r>
        <w:rPr>
          <w:rFonts w:hint="eastAsia" w:ascii="宋体" w:hAnsi="宋体" w:cs="宋体"/>
          <w:spacing w:val="10"/>
          <w:kern w:val="0"/>
          <w:sz w:val="24"/>
          <w:highlight w:val="none"/>
        </w:rPr>
        <w:t>乙 方：</w:t>
      </w:r>
    </w:p>
    <w:p w14:paraId="5AD8212C">
      <w:pPr>
        <w:widowControl/>
        <w:adjustRightInd w:val="0"/>
        <w:snapToGrid w:val="0"/>
        <w:spacing w:line="240" w:lineRule="exact"/>
        <w:jc w:val="left"/>
        <w:rPr>
          <w:rFonts w:hint="eastAsia"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spacing w:val="12"/>
          <w:kern w:val="0"/>
          <w:sz w:val="24"/>
          <w:highlight w:val="none"/>
        </w:rPr>
        <w:t xml:space="preserve"> </w:t>
      </w:r>
    </w:p>
    <w:p w14:paraId="163B4D7D">
      <w:pPr>
        <w:widowControl/>
        <w:snapToGrid w:val="0"/>
        <w:spacing w:line="600" w:lineRule="exact"/>
        <w:ind w:firstLine="522" w:firstLineChars="200"/>
        <w:jc w:val="left"/>
        <w:rPr>
          <w:rFonts w:hint="eastAsia" w:ascii="宋体" w:hAnsi="宋体" w:cs="宋体"/>
          <w:b/>
          <w:bCs/>
          <w:spacing w:val="10"/>
          <w:kern w:val="0"/>
          <w:sz w:val="24"/>
          <w:highlight w:val="none"/>
        </w:rPr>
      </w:pPr>
      <w:r>
        <w:rPr>
          <w:rFonts w:hint="eastAsia" w:ascii="宋体" w:hAnsi="宋体" w:cs="宋体"/>
          <w:b/>
          <w:bCs/>
          <w:spacing w:val="10"/>
          <w:kern w:val="0"/>
          <w:sz w:val="24"/>
          <w:highlight w:val="none"/>
        </w:rPr>
        <w:t>一、合同内容</w:t>
      </w:r>
    </w:p>
    <w:p w14:paraId="78C95021">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1、合同内容及明细（由经办部门与对方单位议定）</w:t>
      </w:r>
    </w:p>
    <w:p w14:paraId="3667F77F">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（1）ＸＸＸＸＸＸＸＸ</w:t>
      </w:r>
    </w:p>
    <w:p w14:paraId="0DE7AE34">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（2）ＸＸＸＸＸＸＸＸ</w:t>
      </w:r>
    </w:p>
    <w:p w14:paraId="7AB8AE44">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w:t>
      </w:r>
    </w:p>
    <w:p w14:paraId="4D77E52F">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2、合同相关要求（由经办部门与对方单位议定，主要是技术要求、售后服务要求、质量保证要求等）</w:t>
      </w:r>
    </w:p>
    <w:p w14:paraId="506E84B9">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（1）ＸＸＸＸＸＸＸＸ</w:t>
      </w:r>
    </w:p>
    <w:p w14:paraId="59BEAC58">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（2）ＸＸＸＸＸＸＸＸ</w:t>
      </w:r>
    </w:p>
    <w:p w14:paraId="2DF38F42">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w:t>
      </w:r>
    </w:p>
    <w:p w14:paraId="6366ACC5">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3、甲方的权利及义务（由经办部门与对方单位议定）</w:t>
      </w:r>
    </w:p>
    <w:p w14:paraId="0E6620FC">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（1）ＸＸＸＸＸＸＸＸ</w:t>
      </w:r>
    </w:p>
    <w:p w14:paraId="6A1F11D5">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（2）ＸＸＸＸＸＸＸＸ</w:t>
      </w:r>
    </w:p>
    <w:p w14:paraId="0879B41F">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w:t>
      </w:r>
    </w:p>
    <w:p w14:paraId="4CB8F8E4">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4、乙方的权利及义务（由经办部门与对方单位议定）</w:t>
      </w:r>
    </w:p>
    <w:p w14:paraId="522D4814">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（1）ＸＸＸＸＸＸＸＸ</w:t>
      </w:r>
    </w:p>
    <w:p w14:paraId="40869CCC">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（2）ＸＸＸＸＸＸＸＸ</w:t>
      </w:r>
    </w:p>
    <w:p w14:paraId="71B78FA1">
      <w:pPr>
        <w:widowControl/>
        <w:adjustRightInd w:val="0"/>
        <w:snapToGrid w:val="0"/>
        <w:spacing w:line="600" w:lineRule="exact"/>
        <w:ind w:firstLine="522" w:firstLineChars="200"/>
        <w:jc w:val="left"/>
        <w:rPr>
          <w:rFonts w:hint="eastAsia" w:ascii="宋体" w:hAnsi="宋体" w:cs="宋体"/>
          <w:kern w:val="0"/>
          <w:sz w:val="24"/>
          <w:highlight w:val="none"/>
        </w:rPr>
      </w:pPr>
      <w:r>
        <w:rPr>
          <w:rFonts w:hint="eastAsia" w:ascii="宋体" w:hAnsi="宋体" w:cs="宋体"/>
          <w:b/>
          <w:bCs/>
          <w:spacing w:val="10"/>
          <w:kern w:val="0"/>
          <w:sz w:val="24"/>
          <w:highlight w:val="none"/>
        </w:rPr>
        <w:t>二、合同总金额：</w:t>
      </w:r>
    </w:p>
    <w:p w14:paraId="2B30ECBC">
      <w:pPr>
        <w:widowControl/>
        <w:adjustRightInd w:val="0"/>
        <w:snapToGrid w:val="0"/>
        <w:spacing w:line="600" w:lineRule="exact"/>
        <w:ind w:firstLine="783" w:firstLineChars="300"/>
        <w:jc w:val="left"/>
        <w:rPr>
          <w:rFonts w:hint="eastAsia" w:ascii="宋体" w:hAnsi="宋体" w:cs="宋体"/>
          <w:kern w:val="0"/>
          <w:sz w:val="24"/>
          <w:highlight w:val="none"/>
        </w:rPr>
      </w:pPr>
      <w:r>
        <w:rPr>
          <w:rFonts w:hint="eastAsia" w:ascii="宋体" w:hAnsi="宋体" w:cs="宋体"/>
          <w:b/>
          <w:bCs/>
          <w:spacing w:val="10"/>
          <w:kern w:val="0"/>
          <w:sz w:val="24"/>
          <w:highlight w:val="none"/>
        </w:rPr>
        <w:t>人民币</w:t>
      </w:r>
      <w:r>
        <w:rPr>
          <w:rFonts w:hint="eastAsia" w:ascii="宋体" w:hAnsi="宋体" w:cs="宋体"/>
          <w:spacing w:val="10"/>
          <w:kern w:val="0"/>
          <w:sz w:val="24"/>
          <w:highlight w:val="none"/>
        </w:rPr>
        <w:t xml:space="preserve">（大写）： </w:t>
      </w:r>
    </w:p>
    <w:p w14:paraId="5A7F7C66">
      <w:pPr>
        <w:widowControl/>
        <w:adjustRightInd w:val="0"/>
        <w:snapToGrid w:val="0"/>
        <w:spacing w:line="600" w:lineRule="exact"/>
        <w:jc w:val="left"/>
        <w:rPr>
          <w:rFonts w:hint="eastAsia" w:ascii="宋体" w:hAnsi="宋体" w:cs="宋体"/>
          <w:kern w:val="0"/>
          <w:sz w:val="24"/>
          <w:highlight w:val="none"/>
        </w:rPr>
      </w:pPr>
      <w:r>
        <w:rPr>
          <w:rFonts w:hint="eastAsia" w:ascii="宋体" w:hAnsi="宋体" w:cs="宋体"/>
          <w:spacing w:val="10"/>
          <w:kern w:val="0"/>
          <w:sz w:val="24"/>
          <w:highlight w:val="none"/>
        </w:rPr>
        <w:t xml:space="preserve">            （小写）：￥</w:t>
      </w:r>
    </w:p>
    <w:p w14:paraId="0EF39D4A">
      <w:pPr>
        <w:widowControl/>
        <w:adjustRightInd w:val="0"/>
        <w:snapToGrid w:val="0"/>
        <w:spacing w:line="600" w:lineRule="exact"/>
        <w:ind w:firstLine="520" w:firstLineChars="200"/>
        <w:jc w:val="left"/>
        <w:rPr>
          <w:rFonts w:hint="eastAsia" w:ascii="宋体" w:hAnsi="宋体" w:cs="宋体"/>
          <w:kern w:val="0"/>
          <w:sz w:val="24"/>
          <w:highlight w:val="none"/>
        </w:rPr>
      </w:pPr>
      <w:r>
        <w:rPr>
          <w:rFonts w:hint="eastAsia" w:ascii="宋体" w:hAnsi="宋体" w:cs="宋体"/>
          <w:spacing w:val="10"/>
          <w:kern w:val="0"/>
          <w:sz w:val="24"/>
          <w:highlight w:val="none"/>
        </w:rPr>
        <w:t>此价格为合同执行不变价，不因国家政策变化而变化。</w:t>
      </w:r>
    </w:p>
    <w:p w14:paraId="10C8EF17">
      <w:pPr>
        <w:widowControl/>
        <w:adjustRightInd w:val="0"/>
        <w:snapToGrid w:val="0"/>
        <w:spacing w:line="600" w:lineRule="exact"/>
        <w:ind w:firstLine="522" w:firstLineChars="200"/>
        <w:jc w:val="left"/>
        <w:rPr>
          <w:rFonts w:hint="eastAsia" w:ascii="宋体" w:hAnsi="宋体" w:cs="宋体"/>
          <w:kern w:val="0"/>
          <w:sz w:val="24"/>
          <w:highlight w:val="none"/>
        </w:rPr>
      </w:pPr>
      <w:r>
        <w:rPr>
          <w:rFonts w:hint="eastAsia" w:ascii="宋体" w:hAnsi="宋体" w:cs="宋体"/>
          <w:b/>
          <w:bCs/>
          <w:spacing w:val="10"/>
          <w:kern w:val="0"/>
          <w:sz w:val="24"/>
          <w:highlight w:val="none"/>
        </w:rPr>
        <w:t>三、付款方式</w:t>
      </w:r>
    </w:p>
    <w:p w14:paraId="5F8A8735">
      <w:pPr>
        <w:widowControl/>
        <w:snapToGrid w:val="0"/>
        <w:spacing w:line="600" w:lineRule="exact"/>
        <w:jc w:val="left"/>
        <w:rPr>
          <w:rFonts w:hint="eastAsia" w:ascii="宋体" w:hAnsi="宋体" w:eastAsia="宋体" w:cs="宋体"/>
          <w:b/>
          <w:bCs/>
          <w:spacing w:val="10"/>
          <w:kern w:val="0"/>
          <w:sz w:val="24"/>
          <w:highlight w:val="none"/>
          <w:lang w:eastAsia="zh-CN"/>
        </w:rPr>
      </w:pPr>
      <w:r>
        <w:rPr>
          <w:rFonts w:hint="eastAsia" w:ascii="宋体" w:hAnsi="宋体" w:cs="宋体"/>
          <w:spacing w:val="10"/>
          <w:kern w:val="0"/>
          <w:sz w:val="24"/>
          <w:highlight w:val="none"/>
          <w:u w:val="none"/>
        </w:rPr>
        <w:t xml:space="preserve"> </w:t>
      </w:r>
      <w:r>
        <w:rPr>
          <w:rFonts w:hint="eastAsia" w:ascii="宋体" w:hAnsi="宋体" w:cs="宋体"/>
          <w:spacing w:val="10"/>
          <w:kern w:val="0"/>
          <w:sz w:val="24"/>
          <w:highlight w:val="none"/>
          <w:u w:val="none"/>
          <w:lang w:val="en-US" w:eastAsia="zh-CN"/>
        </w:rPr>
        <w:t xml:space="preserve">    </w:t>
      </w:r>
      <w:r>
        <w:rPr>
          <w:rFonts w:hint="eastAsia" w:ascii="宋体" w:hAnsi="宋体" w:cs="宋体"/>
          <w:spacing w:val="10"/>
          <w:kern w:val="0"/>
          <w:sz w:val="24"/>
          <w:highlight w:val="none"/>
          <w:u w:val="single"/>
          <w:lang w:val="en-US" w:eastAsia="zh-CN"/>
        </w:rPr>
        <w:t xml:space="preserve">                              </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u w:val="none"/>
          <w:lang w:eastAsia="zh-CN"/>
        </w:rPr>
        <w:t>。</w:t>
      </w:r>
    </w:p>
    <w:p w14:paraId="34B78AA0">
      <w:pPr>
        <w:widowControl/>
        <w:snapToGrid w:val="0"/>
        <w:spacing w:line="600" w:lineRule="exact"/>
        <w:ind w:firstLine="522" w:firstLineChars="200"/>
        <w:jc w:val="left"/>
        <w:rPr>
          <w:rFonts w:hint="eastAsia" w:ascii="宋体" w:hAnsi="宋体" w:cs="宋体"/>
          <w:b/>
          <w:bCs/>
          <w:spacing w:val="10"/>
          <w:kern w:val="0"/>
          <w:sz w:val="24"/>
          <w:highlight w:val="none"/>
        </w:rPr>
      </w:pPr>
      <w:r>
        <w:rPr>
          <w:rFonts w:hint="eastAsia" w:ascii="宋体" w:hAnsi="宋体" w:cs="宋体"/>
          <w:b/>
          <w:bCs/>
          <w:spacing w:val="10"/>
          <w:kern w:val="0"/>
          <w:sz w:val="24"/>
          <w:highlight w:val="none"/>
        </w:rPr>
        <w:t>四、合同修改</w:t>
      </w:r>
    </w:p>
    <w:p w14:paraId="537C170A">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1、合同在履行过程中，如果有一方认为需要修改，需向另一方提出书面的修改建议和理由，双方协商一致后，可以变更或订立补充合同，经双方签署后生效。</w:t>
      </w:r>
    </w:p>
    <w:p w14:paraId="4F0BA782">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2、补充合同与本合同具有同等法律效力。补充合同与本合同内容不一致的，以补充合同内容为准。</w:t>
      </w:r>
    </w:p>
    <w:p w14:paraId="2B587001">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3、如果双方未就合同修改达成一致意见，则本合同继续有效。</w:t>
      </w:r>
    </w:p>
    <w:p w14:paraId="31C03175">
      <w:pPr>
        <w:widowControl/>
        <w:snapToGrid w:val="0"/>
        <w:spacing w:line="600" w:lineRule="exact"/>
        <w:ind w:firstLine="522" w:firstLineChars="200"/>
        <w:jc w:val="left"/>
        <w:rPr>
          <w:rFonts w:hint="eastAsia" w:ascii="宋体" w:hAnsi="宋体" w:cs="宋体"/>
          <w:b/>
          <w:bCs/>
          <w:spacing w:val="10"/>
          <w:kern w:val="0"/>
          <w:sz w:val="24"/>
          <w:highlight w:val="none"/>
        </w:rPr>
      </w:pPr>
      <w:r>
        <w:rPr>
          <w:rFonts w:hint="eastAsia" w:ascii="宋体" w:hAnsi="宋体" w:cs="宋体"/>
          <w:b/>
          <w:bCs/>
          <w:spacing w:val="10"/>
          <w:kern w:val="0"/>
          <w:sz w:val="24"/>
          <w:highlight w:val="none"/>
        </w:rPr>
        <w:t>五、争议处理</w:t>
      </w:r>
    </w:p>
    <w:p w14:paraId="2650ECF5">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1、对于执行本合同过程中发生的争议应本着友好协商的原则解决。</w:t>
      </w:r>
    </w:p>
    <w:p w14:paraId="2C2D1A0E">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2、如果双方通过协商不能达成一致，可向合同签订地的人民法院提起诉讼。</w:t>
      </w:r>
    </w:p>
    <w:p w14:paraId="2FF32D37">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3、在争议处理过程中，除正在协商或诉讼的部分外，合同的其他部分继续执行。</w:t>
      </w:r>
    </w:p>
    <w:p w14:paraId="7EC2AFB8">
      <w:pPr>
        <w:widowControl/>
        <w:snapToGrid w:val="0"/>
        <w:spacing w:line="600" w:lineRule="exact"/>
        <w:ind w:firstLine="522" w:firstLineChars="200"/>
        <w:jc w:val="left"/>
        <w:rPr>
          <w:rFonts w:hint="eastAsia" w:ascii="宋体" w:hAnsi="宋体" w:cs="宋体"/>
          <w:b/>
          <w:bCs/>
          <w:spacing w:val="10"/>
          <w:kern w:val="0"/>
          <w:sz w:val="24"/>
          <w:highlight w:val="none"/>
        </w:rPr>
      </w:pPr>
      <w:r>
        <w:rPr>
          <w:rFonts w:hint="eastAsia" w:ascii="宋体" w:hAnsi="宋体" w:cs="宋体"/>
          <w:b/>
          <w:bCs/>
          <w:spacing w:val="10"/>
          <w:kern w:val="0"/>
          <w:sz w:val="24"/>
          <w:highlight w:val="none"/>
        </w:rPr>
        <w:t>六、违约责任</w:t>
      </w:r>
    </w:p>
    <w:p w14:paraId="03DC8367">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1、任何一方在未取得对方书面同意前，无权将本合同规定之权利及义务转让给第三方。</w:t>
      </w:r>
    </w:p>
    <w:p w14:paraId="23346992">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2、甲乙任何一方违反本合同规定造成本合同不能履行或者不能完全履行的，由过错方承担法律及经济责任；如属双方过错，应根据实际情况，由双方分别按过错轻重程度承担各自的法律及经济责任。</w:t>
      </w:r>
    </w:p>
    <w:p w14:paraId="624A7022">
      <w:pPr>
        <w:widowControl/>
        <w:snapToGrid w:val="0"/>
        <w:spacing w:line="600" w:lineRule="exact"/>
        <w:ind w:firstLine="522" w:firstLineChars="200"/>
        <w:jc w:val="left"/>
        <w:rPr>
          <w:rFonts w:hint="eastAsia" w:ascii="宋体" w:hAnsi="宋体" w:cs="宋体"/>
          <w:b/>
          <w:bCs/>
          <w:spacing w:val="10"/>
          <w:kern w:val="0"/>
          <w:sz w:val="24"/>
          <w:highlight w:val="none"/>
        </w:rPr>
      </w:pPr>
      <w:r>
        <w:rPr>
          <w:rFonts w:hint="eastAsia" w:ascii="宋体" w:hAnsi="宋体" w:cs="宋体"/>
          <w:b/>
          <w:bCs/>
          <w:spacing w:val="10"/>
          <w:kern w:val="0"/>
          <w:sz w:val="24"/>
          <w:highlight w:val="none"/>
        </w:rPr>
        <w:t>七、不可抗力</w:t>
      </w:r>
    </w:p>
    <w:p w14:paraId="13BB38F0">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bCs/>
          <w:spacing w:val="10"/>
          <w:kern w:val="0"/>
          <w:sz w:val="24"/>
          <w:highlight w:val="none"/>
        </w:rPr>
        <w:t>甲乙双方的任何一方由于不可抗力的原因不能履行合同时，应及时向对方通报不能履行或不能完全履行理由，在取得对方认可后，方可允许延期履行、部分履行或者不履行合同，并根据情况可部分或全部免于承担违约责任。</w:t>
      </w:r>
    </w:p>
    <w:p w14:paraId="26D3E31C">
      <w:pPr>
        <w:widowControl/>
        <w:snapToGrid w:val="0"/>
        <w:spacing w:line="600" w:lineRule="exact"/>
        <w:ind w:firstLine="522" w:firstLineChars="200"/>
        <w:jc w:val="left"/>
        <w:rPr>
          <w:rFonts w:hint="eastAsia" w:ascii="宋体" w:hAnsi="宋体" w:cs="宋体"/>
          <w:b/>
          <w:bCs/>
          <w:spacing w:val="10"/>
          <w:kern w:val="0"/>
          <w:sz w:val="24"/>
          <w:highlight w:val="none"/>
        </w:rPr>
      </w:pPr>
      <w:r>
        <w:rPr>
          <w:rFonts w:hint="eastAsia" w:ascii="宋体" w:hAnsi="宋体" w:cs="宋体"/>
          <w:b/>
          <w:bCs/>
          <w:spacing w:val="10"/>
          <w:kern w:val="0"/>
          <w:sz w:val="24"/>
          <w:highlight w:val="none"/>
        </w:rPr>
        <w:t>八、其他事项</w:t>
      </w:r>
    </w:p>
    <w:p w14:paraId="03A40111">
      <w:pPr>
        <w:widowControl/>
        <w:snapToGrid w:val="0"/>
        <w:spacing w:line="600" w:lineRule="exact"/>
        <w:ind w:firstLine="520" w:firstLineChars="200"/>
        <w:jc w:val="left"/>
        <w:rPr>
          <w:rFonts w:hint="eastAsia" w:ascii="宋体" w:hAnsi="宋体" w:cs="宋体"/>
          <w:bCs/>
          <w:spacing w:val="10"/>
          <w:kern w:val="0"/>
          <w:sz w:val="24"/>
          <w:highlight w:val="none"/>
        </w:rPr>
      </w:pPr>
      <w:r>
        <w:rPr>
          <w:rFonts w:hint="eastAsia" w:ascii="宋体" w:hAnsi="宋体" w:cs="宋体"/>
          <w:spacing w:val="10"/>
          <w:kern w:val="0"/>
          <w:sz w:val="24"/>
          <w:highlight w:val="none"/>
        </w:rPr>
        <w:t>1</w:t>
      </w:r>
      <w:r>
        <w:rPr>
          <w:rFonts w:hint="eastAsia" w:ascii="宋体" w:hAnsi="宋体" w:cs="宋体"/>
          <w:bCs/>
          <w:spacing w:val="10"/>
          <w:kern w:val="0"/>
          <w:sz w:val="24"/>
          <w:highlight w:val="none"/>
        </w:rPr>
        <w:t>、本合同一式Ｘ份，甲方执Ｘ份，乙方执Ｘ份，自甲乙双方签字盖章之日起生效，具有同等法律效力。</w:t>
      </w:r>
    </w:p>
    <w:p w14:paraId="683856C6">
      <w:pPr>
        <w:widowControl/>
        <w:adjustRightInd w:val="0"/>
        <w:snapToGrid w:val="0"/>
        <w:spacing w:line="600" w:lineRule="exact"/>
        <w:ind w:firstLine="555"/>
        <w:jc w:val="left"/>
        <w:rPr>
          <w:rFonts w:hint="eastAsia" w:ascii="宋体" w:hAnsi="宋体" w:cs="宋体"/>
          <w:kern w:val="0"/>
          <w:sz w:val="24"/>
          <w:highlight w:val="none"/>
        </w:rPr>
      </w:pPr>
      <w:r>
        <w:rPr>
          <w:rFonts w:hint="eastAsia" w:ascii="宋体" w:hAnsi="宋体" w:cs="宋体"/>
          <w:bCs/>
          <w:spacing w:val="10"/>
          <w:kern w:val="0"/>
          <w:sz w:val="24"/>
          <w:highlight w:val="none"/>
        </w:rPr>
        <w:t>2、本合同未尽事宜，法律法规明文规定的，按法律法规规定执行；法律法规没有明文规定的，由双方协商解决。</w:t>
      </w:r>
    </w:p>
    <w:p w14:paraId="21AA3F48">
      <w:pPr>
        <w:widowControl/>
        <w:adjustRightInd w:val="0"/>
        <w:snapToGrid w:val="0"/>
        <w:spacing w:line="620" w:lineRule="exact"/>
        <w:jc w:val="left"/>
        <w:rPr>
          <w:rFonts w:hint="eastAsia" w:ascii="宋体" w:hAnsi="宋体" w:cs="宋体"/>
          <w:kern w:val="0"/>
          <w:sz w:val="24"/>
          <w:highlight w:val="none"/>
        </w:rPr>
      </w:pPr>
      <w:r>
        <w:rPr>
          <w:rFonts w:hint="eastAsia" w:ascii="宋体" w:hAnsi="宋体" w:cs="宋体"/>
          <w:b/>
          <w:bCs/>
          <w:kern w:val="0"/>
          <w:sz w:val="24"/>
          <w:highlight w:val="none"/>
        </w:rPr>
        <w:t xml:space="preserve">甲方（章）：                           乙方（章）：            </w:t>
      </w:r>
    </w:p>
    <w:p w14:paraId="25EA5567">
      <w:pPr>
        <w:widowControl/>
        <w:adjustRightInd w:val="0"/>
        <w:snapToGrid w:val="0"/>
        <w:spacing w:line="620" w:lineRule="exact"/>
        <w:jc w:val="left"/>
        <w:rPr>
          <w:rFonts w:hint="eastAsia" w:ascii="宋体" w:hAnsi="宋体" w:cs="宋体"/>
          <w:kern w:val="0"/>
          <w:sz w:val="24"/>
          <w:highlight w:val="none"/>
        </w:rPr>
      </w:pPr>
      <w:r>
        <w:rPr>
          <w:rFonts w:hint="eastAsia" w:ascii="宋体" w:hAnsi="宋体" w:cs="宋体"/>
          <w:kern w:val="0"/>
          <w:sz w:val="24"/>
          <w:highlight w:val="none"/>
        </w:rPr>
        <w:t xml:space="preserve">法人代表：                              法人代表：                </w:t>
      </w:r>
    </w:p>
    <w:p w14:paraId="0BDE628A">
      <w:pPr>
        <w:widowControl/>
        <w:adjustRightInd w:val="0"/>
        <w:snapToGrid w:val="0"/>
        <w:spacing w:line="620" w:lineRule="exact"/>
        <w:jc w:val="left"/>
        <w:rPr>
          <w:rFonts w:hint="eastAsia" w:ascii="宋体" w:hAnsi="宋体" w:cs="宋体"/>
          <w:kern w:val="0"/>
          <w:sz w:val="24"/>
          <w:highlight w:val="none"/>
        </w:rPr>
      </w:pPr>
      <w:r>
        <w:rPr>
          <w:rFonts w:hint="eastAsia" w:ascii="宋体" w:hAnsi="宋体" w:cs="宋体"/>
          <w:kern w:val="0"/>
          <w:sz w:val="24"/>
          <w:highlight w:val="none"/>
        </w:rPr>
        <w:t xml:space="preserve">委托代理人：                            委托代理人：               </w:t>
      </w:r>
    </w:p>
    <w:p w14:paraId="1DF5DBE4">
      <w:pPr>
        <w:widowControl/>
        <w:adjustRightInd w:val="0"/>
        <w:snapToGrid w:val="0"/>
        <w:spacing w:line="620" w:lineRule="exact"/>
        <w:jc w:val="left"/>
        <w:rPr>
          <w:rFonts w:hint="eastAsia" w:ascii="宋体" w:hAnsi="宋体" w:cs="宋体"/>
          <w:kern w:val="0"/>
          <w:sz w:val="24"/>
          <w:highlight w:val="none"/>
        </w:rPr>
      </w:pPr>
      <w:r>
        <w:rPr>
          <w:rFonts w:hint="eastAsia" w:ascii="宋体" w:hAnsi="宋体" w:cs="宋体"/>
          <w:kern w:val="0"/>
          <w:sz w:val="24"/>
          <w:highlight w:val="none"/>
        </w:rPr>
        <w:t xml:space="preserve">地 址：                                 地 址：                   </w:t>
      </w:r>
    </w:p>
    <w:p w14:paraId="6A1128A3">
      <w:pPr>
        <w:widowControl/>
        <w:adjustRightInd w:val="0"/>
        <w:snapToGrid w:val="0"/>
        <w:spacing w:line="620" w:lineRule="exact"/>
        <w:jc w:val="left"/>
        <w:rPr>
          <w:rFonts w:hint="eastAsia" w:ascii="宋体" w:hAnsi="宋体" w:cs="宋体"/>
          <w:kern w:val="0"/>
          <w:sz w:val="24"/>
          <w:highlight w:val="none"/>
        </w:rPr>
      </w:pPr>
      <w:r>
        <w:rPr>
          <w:rFonts w:hint="eastAsia" w:ascii="宋体" w:hAnsi="宋体" w:cs="宋体"/>
          <w:kern w:val="0"/>
          <w:sz w:val="24"/>
          <w:highlight w:val="none"/>
        </w:rPr>
        <w:t xml:space="preserve">电 话：                                 电 话：                    </w:t>
      </w:r>
    </w:p>
    <w:p w14:paraId="0D0C3B04">
      <w:pPr>
        <w:widowControl/>
        <w:adjustRightInd w:val="0"/>
        <w:snapToGrid w:val="0"/>
        <w:spacing w:line="620" w:lineRule="exact"/>
        <w:jc w:val="left"/>
        <w:rPr>
          <w:rFonts w:hint="eastAsia" w:ascii="宋体" w:hAnsi="宋体" w:cs="宋体"/>
          <w:kern w:val="0"/>
          <w:sz w:val="24"/>
          <w:highlight w:val="none"/>
        </w:rPr>
      </w:pPr>
      <w:r>
        <w:rPr>
          <w:rFonts w:hint="eastAsia" w:ascii="宋体" w:hAnsi="宋体" w:cs="宋体"/>
          <w:kern w:val="0"/>
          <w:sz w:val="24"/>
          <w:highlight w:val="none"/>
        </w:rPr>
        <w:t xml:space="preserve">开户银行：                              开户银行：                </w:t>
      </w:r>
    </w:p>
    <w:p w14:paraId="302BD617">
      <w:pPr>
        <w:widowControl/>
        <w:adjustRightInd w:val="0"/>
        <w:snapToGrid w:val="0"/>
        <w:spacing w:line="620" w:lineRule="exact"/>
        <w:jc w:val="left"/>
        <w:rPr>
          <w:rFonts w:hint="eastAsia" w:ascii="宋体" w:hAnsi="宋体" w:cs="宋体"/>
          <w:kern w:val="0"/>
          <w:sz w:val="24"/>
          <w:highlight w:val="none"/>
        </w:rPr>
      </w:pPr>
      <w:r>
        <w:rPr>
          <w:rFonts w:hint="eastAsia" w:ascii="宋体" w:hAnsi="宋体" w:cs="宋体"/>
          <w:kern w:val="0"/>
          <w:sz w:val="24"/>
          <w:highlight w:val="none"/>
        </w:rPr>
        <w:t xml:space="preserve">账 号：                                 账 号                      </w:t>
      </w:r>
    </w:p>
    <w:p w14:paraId="5BA21427">
      <w:pPr>
        <w:widowControl/>
        <w:jc w:val="left"/>
        <w:rPr>
          <w:rFonts w:hint="eastAsia" w:ascii="宋体" w:hAnsi="宋体" w:cs="宋体"/>
          <w:kern w:val="0"/>
          <w:sz w:val="24"/>
          <w:highlight w:val="none"/>
        </w:rPr>
      </w:pPr>
    </w:p>
    <w:p w14:paraId="1751327D">
      <w:pPr>
        <w:snapToGrid w:val="0"/>
        <w:spacing w:line="500" w:lineRule="exact"/>
        <w:rPr>
          <w:rFonts w:hint="eastAsia" w:ascii="宋体" w:hAnsi="宋体" w:cs="宋体"/>
          <w:b/>
          <w:bCs/>
          <w:kern w:val="44"/>
          <w:sz w:val="24"/>
          <w:szCs w:val="20"/>
          <w:highlight w:val="none"/>
        </w:rPr>
      </w:pPr>
      <w:r>
        <w:rPr>
          <w:rFonts w:hint="eastAsia" w:ascii="宋体" w:hAnsi="宋体" w:cs="宋体"/>
          <w:kern w:val="0"/>
          <w:sz w:val="24"/>
          <w:highlight w:val="none"/>
        </w:rPr>
        <w:t>日 期：    年    月    日               日 期：    年    月    日</w:t>
      </w:r>
    </w:p>
    <w:p w14:paraId="049CDA1E">
      <w:pPr>
        <w:pStyle w:val="61"/>
        <w:spacing w:line="660" w:lineRule="exact"/>
        <w:rPr>
          <w:rFonts w:hint="eastAsia" w:ascii="仿宋_GB2312" w:hAnsi="华文楷体" w:eastAsia="仿宋_GB2312"/>
          <w:color w:val="000000" w:themeColor="text1"/>
          <w14:textFill>
            <w14:solidFill>
              <w14:schemeClr w14:val="tx1"/>
            </w14:solidFill>
          </w14:textFill>
        </w:rPr>
      </w:pPr>
      <w:r>
        <w:rPr>
          <w:rFonts w:hint="eastAsia" w:ascii="宋体" w:hAnsi="宋体" w:eastAsia="宋体" w:cs="宋体"/>
          <w:b/>
          <w:bCs/>
          <w:color w:val="auto"/>
          <w:kern w:val="44"/>
          <w:sz w:val="24"/>
          <w:szCs w:val="20"/>
          <w:highlight w:val="none"/>
        </w:rPr>
        <w:t>注：经双方协商，可采用其他合同格式</w:t>
      </w:r>
      <w:r>
        <w:rPr>
          <w:rFonts w:hint="eastAsia" w:ascii="宋体" w:hAnsi="宋体" w:cs="宋体"/>
          <w:b/>
          <w:bCs/>
          <w:color w:val="auto"/>
          <w:kern w:val="44"/>
          <w:sz w:val="24"/>
          <w:szCs w:val="20"/>
          <w:highlight w:val="none"/>
          <w:lang w:val="en-US" w:eastAsia="zh-CN"/>
        </w:rPr>
        <w:t>。</w:t>
      </w:r>
    </w:p>
    <w:bookmarkEnd w:id="57"/>
    <w:p w14:paraId="4CC96648">
      <w:pPr>
        <w:tabs>
          <w:tab w:val="center" w:pos="4153"/>
          <w:tab w:val="right" w:pos="8306"/>
        </w:tabs>
        <w:snapToGrid w:val="0"/>
        <w:jc w:val="left"/>
        <w:rPr>
          <w:rFonts w:ascii="宋体" w:hAnsi="宋体" w:cs="宋体"/>
          <w:kern w:val="0"/>
          <w:u w:val="none"/>
        </w:rPr>
      </w:pPr>
    </w:p>
    <w:bookmarkEnd w:id="58"/>
    <w:p w14:paraId="058D360A">
      <w:pPr>
        <w:pStyle w:val="2"/>
        <w:rPr>
          <w:u w:val="none"/>
        </w:rPr>
      </w:pPr>
      <w:bookmarkStart w:id="59" w:name="_Toc8938"/>
      <w:bookmarkStart w:id="60" w:name="_Toc26030"/>
      <w:bookmarkStart w:id="61" w:name="_Toc30221"/>
      <w:bookmarkStart w:id="62" w:name="_Toc31442"/>
      <w:bookmarkStart w:id="63" w:name="_Toc22204"/>
      <w:bookmarkStart w:id="64" w:name="_Toc6170"/>
      <w:r>
        <w:rPr>
          <w:rFonts w:hint="eastAsia"/>
          <w:u w:val="none"/>
        </w:rPr>
        <w:t>第六章 投标文件的组成</w:t>
      </w:r>
      <w:bookmarkEnd w:id="59"/>
      <w:bookmarkEnd w:id="60"/>
      <w:bookmarkEnd w:id="61"/>
      <w:bookmarkEnd w:id="62"/>
      <w:bookmarkEnd w:id="63"/>
      <w:bookmarkEnd w:id="64"/>
    </w:p>
    <w:p w14:paraId="65DF8434">
      <w:pPr>
        <w:pStyle w:val="25"/>
        <w:jc w:val="both"/>
        <w:outlineLvl w:val="9"/>
        <w:rPr>
          <w:u w:val="none"/>
        </w:rPr>
      </w:pPr>
    </w:p>
    <w:p w14:paraId="52AAA98A">
      <w:pPr>
        <w:rPr>
          <w:u w:val="none"/>
        </w:rPr>
      </w:pPr>
    </w:p>
    <w:p w14:paraId="6F5805F3">
      <w:pPr>
        <w:pStyle w:val="12"/>
        <w:rPr>
          <w:u w:val="none"/>
        </w:rPr>
      </w:pPr>
    </w:p>
    <w:p w14:paraId="18D3A709">
      <w:pPr>
        <w:adjustRightInd w:val="0"/>
        <w:snapToGrid w:val="0"/>
        <w:ind w:firstLine="2609" w:firstLineChars="500"/>
        <w:rPr>
          <w:b/>
          <w:bCs w:val="0"/>
          <w:u w:val="none"/>
        </w:rPr>
      </w:pPr>
      <w:r>
        <w:rPr>
          <w:rFonts w:hint="eastAsia" w:ascii="黑体" w:eastAsia="黑体"/>
          <w:b/>
          <w:bCs w:val="0"/>
          <w:spacing w:val="20"/>
          <w:sz w:val="48"/>
          <w:szCs w:val="48"/>
          <w:u w:val="none"/>
        </w:rPr>
        <w:t>（项目名称）</w:t>
      </w:r>
    </w:p>
    <w:p w14:paraId="37F5548E">
      <w:pPr>
        <w:adjustRightInd w:val="0"/>
        <w:snapToGrid w:val="0"/>
        <w:jc w:val="center"/>
        <w:rPr>
          <w:rFonts w:ascii="黑体" w:hAnsi="黑体" w:eastAsia="黑体"/>
          <w:b/>
          <w:sz w:val="28"/>
          <w:szCs w:val="28"/>
          <w:u w:val="none"/>
        </w:rPr>
      </w:pPr>
      <w:r>
        <w:rPr>
          <w:rFonts w:hint="eastAsia" w:ascii="黑体" w:hAnsi="黑体" w:eastAsia="黑体"/>
          <w:b/>
          <w:sz w:val="28"/>
          <w:szCs w:val="28"/>
          <w:u w:val="none"/>
        </w:rPr>
        <w:br w:type="textWrapping"/>
      </w:r>
      <w:r>
        <w:rPr>
          <w:rFonts w:hint="eastAsia" w:ascii="黑体" w:hAnsi="黑体" w:eastAsia="黑体"/>
          <w:b/>
          <w:sz w:val="28"/>
          <w:szCs w:val="28"/>
          <w:u w:val="none"/>
        </w:rPr>
        <w:t>项目编号：（           ）</w:t>
      </w:r>
    </w:p>
    <w:p w14:paraId="2C912F09">
      <w:pPr>
        <w:pStyle w:val="23"/>
        <w:rPr>
          <w:rFonts w:ascii="黑体" w:hAnsi="黑体" w:eastAsia="黑体"/>
          <w:b/>
          <w:sz w:val="28"/>
          <w:szCs w:val="28"/>
          <w:u w:val="none"/>
        </w:rPr>
      </w:pPr>
    </w:p>
    <w:p w14:paraId="325F25B3">
      <w:pPr>
        <w:pStyle w:val="23"/>
        <w:rPr>
          <w:rFonts w:ascii="黑体" w:hAnsi="黑体" w:eastAsia="黑体"/>
          <w:b/>
          <w:sz w:val="28"/>
          <w:szCs w:val="28"/>
          <w:u w:val="none"/>
        </w:rPr>
      </w:pPr>
    </w:p>
    <w:p w14:paraId="42F8D3EE">
      <w:pPr>
        <w:pStyle w:val="23"/>
        <w:rPr>
          <w:rFonts w:ascii="黑体" w:hAnsi="黑体" w:eastAsia="黑体"/>
          <w:b/>
          <w:sz w:val="28"/>
          <w:szCs w:val="28"/>
          <w:u w:val="none"/>
        </w:rPr>
      </w:pPr>
    </w:p>
    <w:p w14:paraId="175DB9C9">
      <w:pPr>
        <w:pStyle w:val="23"/>
        <w:rPr>
          <w:rFonts w:ascii="黑体" w:hAnsi="黑体" w:eastAsia="黑体"/>
          <w:b/>
          <w:sz w:val="28"/>
          <w:szCs w:val="28"/>
          <w:u w:val="none"/>
        </w:rPr>
      </w:pPr>
    </w:p>
    <w:p w14:paraId="42966548">
      <w:pPr>
        <w:adjustRightInd w:val="0"/>
        <w:snapToGrid w:val="0"/>
        <w:jc w:val="center"/>
        <w:rPr>
          <w:rFonts w:ascii="黑体" w:hAnsi="黑体" w:eastAsia="黑体"/>
          <w:b/>
          <w:sz w:val="72"/>
          <w:szCs w:val="72"/>
          <w:u w:val="none"/>
        </w:rPr>
      </w:pPr>
      <w:r>
        <w:rPr>
          <w:rFonts w:hint="eastAsia" w:ascii="黑体" w:hAnsi="黑体" w:eastAsia="黑体"/>
          <w:b/>
          <w:sz w:val="72"/>
          <w:szCs w:val="72"/>
          <w:u w:val="none"/>
        </w:rPr>
        <w:t>投标文件</w:t>
      </w:r>
    </w:p>
    <w:p w14:paraId="39B68BB4">
      <w:pPr>
        <w:adjustRightInd w:val="0"/>
        <w:snapToGrid w:val="0"/>
        <w:jc w:val="center"/>
        <w:rPr>
          <w:rFonts w:ascii="黑体" w:hAnsi="黑体" w:eastAsia="黑体"/>
          <w:b/>
          <w:sz w:val="44"/>
          <w:szCs w:val="44"/>
          <w:u w:val="none"/>
        </w:rPr>
      </w:pPr>
    </w:p>
    <w:p w14:paraId="3CC910BE">
      <w:pPr>
        <w:adjustRightInd w:val="0"/>
        <w:snapToGrid w:val="0"/>
        <w:jc w:val="center"/>
        <w:rPr>
          <w:rFonts w:ascii="黑体" w:hAnsi="黑体" w:eastAsia="黑体"/>
          <w:b/>
          <w:sz w:val="28"/>
          <w:u w:val="none"/>
        </w:rPr>
      </w:pPr>
    </w:p>
    <w:p w14:paraId="046745F4">
      <w:pPr>
        <w:adjustRightInd w:val="0"/>
        <w:snapToGrid w:val="0"/>
        <w:rPr>
          <w:rFonts w:ascii="黑体" w:hAnsi="黑体" w:eastAsia="黑体"/>
          <w:b/>
          <w:sz w:val="28"/>
          <w:szCs w:val="28"/>
          <w:u w:val="none"/>
        </w:rPr>
      </w:pPr>
    </w:p>
    <w:p w14:paraId="52E2349E">
      <w:pPr>
        <w:adjustRightInd w:val="0"/>
        <w:snapToGrid w:val="0"/>
        <w:rPr>
          <w:rFonts w:ascii="黑体" w:hAnsi="黑体" w:eastAsia="黑体"/>
          <w:b/>
          <w:sz w:val="28"/>
          <w:szCs w:val="28"/>
          <w:u w:val="none"/>
        </w:rPr>
      </w:pPr>
    </w:p>
    <w:p w14:paraId="1FCF4EE7">
      <w:pPr>
        <w:adjustRightInd w:val="0"/>
        <w:snapToGrid w:val="0"/>
        <w:rPr>
          <w:rFonts w:ascii="黑体" w:hAnsi="黑体" w:eastAsia="黑体"/>
          <w:b/>
          <w:sz w:val="28"/>
          <w:szCs w:val="28"/>
          <w:u w:val="none"/>
        </w:rPr>
      </w:pPr>
    </w:p>
    <w:p w14:paraId="1BA5E33B">
      <w:pPr>
        <w:adjustRightInd w:val="0"/>
        <w:snapToGrid w:val="0"/>
        <w:rPr>
          <w:rFonts w:ascii="黑体" w:hAnsi="黑体" w:eastAsia="黑体"/>
          <w:b/>
          <w:sz w:val="28"/>
          <w:szCs w:val="28"/>
          <w:u w:val="none"/>
        </w:rPr>
      </w:pPr>
    </w:p>
    <w:p w14:paraId="63F284A4">
      <w:pPr>
        <w:adjustRightInd w:val="0"/>
        <w:snapToGrid w:val="0"/>
        <w:rPr>
          <w:rFonts w:ascii="黑体" w:hAnsi="黑体" w:eastAsia="黑体"/>
          <w:b/>
          <w:sz w:val="28"/>
          <w:szCs w:val="28"/>
          <w:u w:val="none"/>
        </w:rPr>
      </w:pPr>
    </w:p>
    <w:p w14:paraId="488632ED">
      <w:pPr>
        <w:adjustRightInd w:val="0"/>
        <w:snapToGrid w:val="0"/>
        <w:rPr>
          <w:rFonts w:ascii="黑体" w:hAnsi="黑体" w:eastAsia="黑体"/>
          <w:b/>
          <w:sz w:val="28"/>
          <w:szCs w:val="28"/>
          <w:u w:val="none"/>
        </w:rPr>
      </w:pPr>
    </w:p>
    <w:p w14:paraId="314B4933">
      <w:pPr>
        <w:adjustRightInd w:val="0"/>
        <w:snapToGrid w:val="0"/>
        <w:spacing w:line="480" w:lineRule="auto"/>
        <w:jc w:val="center"/>
        <w:rPr>
          <w:rFonts w:ascii="宋体" w:hAnsi="宋体"/>
          <w:b/>
          <w:sz w:val="32"/>
          <w:szCs w:val="32"/>
          <w:u w:val="none"/>
        </w:rPr>
      </w:pPr>
      <w:r>
        <w:rPr>
          <w:rFonts w:hint="eastAsia" w:ascii="宋体" w:hAnsi="宋体"/>
          <w:b/>
          <w:sz w:val="32"/>
          <w:szCs w:val="32"/>
          <w:u w:val="none"/>
        </w:rPr>
        <w:t>投标人：</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u w:val="none"/>
        </w:rPr>
        <w:t>（单位公章）</w:t>
      </w:r>
    </w:p>
    <w:p w14:paraId="45B173B4">
      <w:pPr>
        <w:adjustRightInd w:val="0"/>
        <w:snapToGrid w:val="0"/>
        <w:spacing w:line="480" w:lineRule="auto"/>
        <w:jc w:val="center"/>
        <w:rPr>
          <w:rFonts w:ascii="宋体" w:hAnsi="宋体"/>
          <w:b/>
          <w:sz w:val="32"/>
          <w:szCs w:val="32"/>
          <w:u w:val="none"/>
        </w:rPr>
      </w:pPr>
      <w:r>
        <w:rPr>
          <w:rFonts w:hint="eastAsia" w:ascii="宋体" w:hAnsi="宋体"/>
          <w:b/>
          <w:sz w:val="32"/>
          <w:szCs w:val="32"/>
          <w:u w:val="none"/>
          <w:lang w:eastAsia="zh-CN"/>
        </w:rPr>
        <w:t>法定代表人</w:t>
      </w:r>
      <w:r>
        <w:rPr>
          <w:rFonts w:hint="eastAsia" w:ascii="宋体" w:hAnsi="宋体"/>
          <w:b/>
          <w:sz w:val="32"/>
          <w:szCs w:val="32"/>
          <w:u w:val="none"/>
        </w:rPr>
        <w:t>或其委托代理人：</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none"/>
        </w:rPr>
        <w:t>（签字或盖章）</w:t>
      </w:r>
    </w:p>
    <w:p w14:paraId="2D3D2605">
      <w:pPr>
        <w:adjustRightInd w:val="0"/>
        <w:snapToGrid w:val="0"/>
        <w:spacing w:line="480" w:lineRule="auto"/>
        <w:jc w:val="center"/>
        <w:rPr>
          <w:rFonts w:ascii="宋体" w:hAnsi="宋体"/>
          <w:b/>
          <w:sz w:val="32"/>
          <w:szCs w:val="32"/>
          <w:u w:val="none"/>
        </w:rPr>
      </w:pPr>
      <w:r>
        <w:rPr>
          <w:rFonts w:ascii="宋体" w:hAnsi="宋体"/>
          <w:b/>
          <w:sz w:val="32"/>
          <w:szCs w:val="32"/>
          <w:u w:val="none"/>
        </w:rPr>
        <w:t>XX</w:t>
      </w:r>
      <w:r>
        <w:rPr>
          <w:rFonts w:hint="eastAsia" w:ascii="宋体" w:hAnsi="宋体"/>
          <w:b/>
          <w:sz w:val="32"/>
          <w:szCs w:val="32"/>
          <w:u w:val="none"/>
        </w:rPr>
        <w:t>年</w:t>
      </w:r>
      <w:r>
        <w:rPr>
          <w:rFonts w:ascii="宋体" w:hAnsi="宋体"/>
          <w:b/>
          <w:sz w:val="32"/>
          <w:szCs w:val="32"/>
          <w:u w:val="none"/>
        </w:rPr>
        <w:t>XX</w:t>
      </w:r>
      <w:r>
        <w:rPr>
          <w:rFonts w:hint="eastAsia" w:ascii="宋体" w:hAnsi="宋体"/>
          <w:b/>
          <w:sz w:val="32"/>
          <w:szCs w:val="32"/>
          <w:u w:val="none"/>
        </w:rPr>
        <w:t>月</w:t>
      </w:r>
      <w:r>
        <w:rPr>
          <w:rFonts w:ascii="宋体" w:hAnsi="宋体"/>
          <w:b/>
          <w:sz w:val="32"/>
          <w:szCs w:val="32"/>
          <w:u w:val="none"/>
        </w:rPr>
        <w:t>XX</w:t>
      </w:r>
      <w:r>
        <w:rPr>
          <w:rFonts w:hint="eastAsia" w:ascii="宋体" w:hAnsi="宋体"/>
          <w:b/>
          <w:sz w:val="32"/>
          <w:szCs w:val="32"/>
          <w:u w:val="none"/>
        </w:rPr>
        <w:t>日</w:t>
      </w:r>
    </w:p>
    <w:p w14:paraId="73EC6AF0">
      <w:pPr>
        <w:adjustRightInd w:val="0"/>
        <w:snapToGrid w:val="0"/>
        <w:spacing w:line="400" w:lineRule="exact"/>
        <w:jc w:val="center"/>
        <w:rPr>
          <w:rFonts w:ascii="宋体" w:hAnsi="宋体" w:cs="宋体"/>
          <w:b/>
          <w:bCs/>
          <w:kern w:val="0"/>
          <w:sz w:val="24"/>
          <w:szCs w:val="24"/>
          <w:u w:val="none"/>
        </w:rPr>
        <w:sectPr>
          <w:pgSz w:w="11906" w:h="16838"/>
          <w:pgMar w:top="1440" w:right="1800" w:bottom="1440" w:left="1800" w:header="851" w:footer="992" w:gutter="0"/>
          <w:pgNumType w:fmt="decimal"/>
          <w:cols w:space="720" w:num="1"/>
          <w:docGrid w:type="lines" w:linePitch="312" w:charSpace="0"/>
        </w:sectPr>
      </w:pPr>
    </w:p>
    <w:p w14:paraId="10AD28BE">
      <w:pPr>
        <w:adjustRightInd w:val="0"/>
        <w:snapToGrid w:val="0"/>
        <w:spacing w:line="400" w:lineRule="exact"/>
        <w:jc w:val="center"/>
        <w:rPr>
          <w:rFonts w:ascii="宋体" w:hAnsi="宋体" w:cs="宋体"/>
          <w:b/>
          <w:bCs/>
          <w:kern w:val="0"/>
          <w:sz w:val="24"/>
          <w:szCs w:val="24"/>
          <w:u w:val="none"/>
        </w:rPr>
      </w:pPr>
      <w:r>
        <w:rPr>
          <w:rFonts w:hint="eastAsia" w:ascii="宋体" w:hAnsi="宋体" w:cs="宋体"/>
          <w:b/>
          <w:bCs/>
          <w:kern w:val="0"/>
          <w:sz w:val="24"/>
          <w:szCs w:val="24"/>
          <w:u w:val="none"/>
        </w:rPr>
        <w:t>目 录</w:t>
      </w:r>
    </w:p>
    <w:p w14:paraId="7170E59E">
      <w:pPr>
        <w:widowControl/>
        <w:tabs>
          <w:tab w:val="left" w:pos="1440"/>
        </w:tabs>
        <w:snapToGrid w:val="0"/>
        <w:spacing w:line="460" w:lineRule="exact"/>
        <w:ind w:firstLine="354" w:firstLineChars="147"/>
        <w:jc w:val="left"/>
        <w:rPr>
          <w:rFonts w:ascii="宋体" w:hAnsi="宋体" w:cs="宋体"/>
          <w:b/>
          <w:kern w:val="0"/>
          <w:sz w:val="24"/>
          <w:szCs w:val="24"/>
          <w:u w:val="none"/>
        </w:rPr>
      </w:pPr>
      <w:r>
        <w:rPr>
          <w:rFonts w:hint="eastAsia" w:ascii="宋体" w:hAnsi="宋体" w:cs="宋体"/>
          <w:b/>
          <w:kern w:val="0"/>
          <w:sz w:val="24"/>
          <w:szCs w:val="24"/>
          <w:u w:val="none"/>
        </w:rPr>
        <w:t>一、资格审查部分：</w:t>
      </w:r>
    </w:p>
    <w:p w14:paraId="66E2C21B">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lang w:val="en-US" w:eastAsia="zh-CN"/>
        </w:rPr>
        <w:t>1</w:t>
      </w:r>
      <w:r>
        <w:rPr>
          <w:rFonts w:hint="eastAsia" w:ascii="宋体" w:hAnsi="宋体" w:cs="宋体"/>
          <w:kern w:val="0"/>
          <w:sz w:val="24"/>
          <w:szCs w:val="24"/>
          <w:u w:val="none"/>
        </w:rPr>
        <w:t>、若为</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需提交</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身份证明；若为授权委托代理人需提交</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身份证明及</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授权书</w:t>
      </w:r>
      <w:r>
        <w:rPr>
          <w:rFonts w:hint="eastAsia" w:ascii="宋体" w:hAnsi="宋体" w:cs="宋体"/>
          <w:spacing w:val="10"/>
          <w:kern w:val="0"/>
          <w:sz w:val="24"/>
          <w:szCs w:val="24"/>
          <w:u w:val="none"/>
        </w:rPr>
        <w:t>（见‘投标文件格式’）</w:t>
      </w:r>
      <w:r>
        <w:rPr>
          <w:rFonts w:hint="eastAsia" w:ascii="宋体" w:hAnsi="宋体" w:cs="宋体"/>
          <w:kern w:val="0"/>
          <w:sz w:val="24"/>
          <w:szCs w:val="24"/>
          <w:u w:val="none"/>
        </w:rPr>
        <w:t>；</w:t>
      </w:r>
    </w:p>
    <w:p w14:paraId="2A34358A">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lang w:val="en-US" w:eastAsia="zh-CN"/>
        </w:rPr>
        <w:t>2</w:t>
      </w:r>
      <w:r>
        <w:rPr>
          <w:rFonts w:hint="eastAsia" w:ascii="宋体" w:hAnsi="宋体" w:cs="宋体"/>
          <w:kern w:val="0"/>
          <w:sz w:val="24"/>
          <w:szCs w:val="24"/>
          <w:u w:val="none"/>
        </w:rPr>
        <w:t>、投标函</w:t>
      </w:r>
      <w:r>
        <w:rPr>
          <w:rFonts w:hint="eastAsia" w:ascii="宋体" w:hAnsi="宋体" w:cs="宋体"/>
          <w:spacing w:val="10"/>
          <w:kern w:val="0"/>
          <w:sz w:val="24"/>
          <w:szCs w:val="24"/>
          <w:u w:val="none"/>
        </w:rPr>
        <w:t>（见‘投标文件格式’）</w:t>
      </w:r>
      <w:r>
        <w:rPr>
          <w:rFonts w:hint="eastAsia" w:ascii="宋体" w:hAnsi="宋体" w:cs="宋体"/>
          <w:kern w:val="0"/>
          <w:sz w:val="24"/>
          <w:szCs w:val="24"/>
          <w:u w:val="none"/>
        </w:rPr>
        <w:t>；</w:t>
      </w:r>
    </w:p>
    <w:p w14:paraId="0A0E2770">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lang w:val="en-US" w:eastAsia="zh-CN"/>
        </w:rPr>
        <w:t>3</w:t>
      </w:r>
      <w:r>
        <w:rPr>
          <w:rFonts w:hint="eastAsia" w:ascii="宋体" w:hAnsi="宋体" w:cs="宋体"/>
          <w:kern w:val="0"/>
          <w:sz w:val="24"/>
          <w:szCs w:val="24"/>
          <w:u w:val="none"/>
        </w:rPr>
        <w:t>、</w:t>
      </w:r>
      <w:r>
        <w:rPr>
          <w:rFonts w:hint="eastAsia" w:ascii="宋体" w:hAnsi="宋体" w:cs="宋体"/>
          <w:kern w:val="0"/>
          <w:sz w:val="24"/>
          <w:szCs w:val="24"/>
          <w:u w:val="none"/>
          <w:lang w:eastAsia="zh-CN"/>
        </w:rPr>
        <w:t>供应商信用承诺书</w:t>
      </w:r>
      <w:r>
        <w:rPr>
          <w:rFonts w:hint="eastAsia" w:ascii="宋体" w:hAnsi="宋体" w:cs="宋体"/>
          <w:spacing w:val="10"/>
          <w:kern w:val="0"/>
          <w:sz w:val="24"/>
          <w:szCs w:val="24"/>
          <w:u w:val="none"/>
        </w:rPr>
        <w:t>（见‘投标文件格式’）；</w:t>
      </w:r>
    </w:p>
    <w:p w14:paraId="41CA4D20">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4、营业执照；</w:t>
      </w:r>
    </w:p>
    <w:p w14:paraId="4D9F3FB4">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5、</w:t>
      </w:r>
      <w:r>
        <w:rPr>
          <w:rFonts w:hint="eastAsia" w:ascii="宋体" w:hAnsi="宋体" w:cs="宋体"/>
          <w:sz w:val="24"/>
          <w:szCs w:val="24"/>
          <w:u w:val="none"/>
        </w:rPr>
        <w:t>银行基本账户开户许可证或基本存款账户信息</w:t>
      </w:r>
      <w:r>
        <w:rPr>
          <w:rFonts w:hint="eastAsia" w:ascii="宋体" w:hAnsi="宋体" w:cs="宋体"/>
          <w:kern w:val="0"/>
          <w:sz w:val="24"/>
          <w:szCs w:val="24"/>
          <w:u w:val="none"/>
        </w:rPr>
        <w:t>；</w:t>
      </w:r>
    </w:p>
    <w:p w14:paraId="2DF5D9E0">
      <w:pPr>
        <w:adjustRightInd w:val="0"/>
        <w:snapToGrid w:val="0"/>
        <w:spacing w:line="460" w:lineRule="exact"/>
        <w:ind w:firstLine="480" w:firstLineChars="200"/>
        <w:jc w:val="left"/>
        <w:rPr>
          <w:rFonts w:ascii="宋体" w:hAnsi="宋体" w:cs="宋体"/>
          <w:b/>
          <w:kern w:val="0"/>
          <w:sz w:val="24"/>
          <w:szCs w:val="24"/>
          <w:u w:val="none"/>
        </w:rPr>
      </w:pPr>
      <w:r>
        <w:rPr>
          <w:rFonts w:hint="eastAsia" w:ascii="宋体" w:hAnsi="宋体" w:cs="宋体"/>
          <w:sz w:val="24"/>
          <w:szCs w:val="24"/>
          <w:u w:val="none"/>
          <w:lang w:val="en-US" w:eastAsia="zh-CN"/>
        </w:rPr>
        <w:t>6</w:t>
      </w:r>
      <w:r>
        <w:rPr>
          <w:rFonts w:hint="eastAsia" w:ascii="宋体" w:hAnsi="宋体" w:cs="宋体"/>
          <w:sz w:val="24"/>
          <w:szCs w:val="24"/>
          <w:u w:val="none"/>
        </w:rPr>
        <w:t>、投标保证金缴纳凭证；</w:t>
      </w:r>
    </w:p>
    <w:p w14:paraId="277CFCED">
      <w:pPr>
        <w:adjustRightInd w:val="0"/>
        <w:snapToGrid w:val="0"/>
        <w:spacing w:line="460" w:lineRule="exact"/>
        <w:ind w:firstLine="480" w:firstLineChars="200"/>
        <w:jc w:val="left"/>
        <w:rPr>
          <w:rFonts w:ascii="宋体" w:hAnsi="宋体" w:cs="宋体"/>
          <w:sz w:val="24"/>
          <w:szCs w:val="24"/>
          <w:u w:val="none"/>
        </w:rPr>
      </w:pPr>
      <w:r>
        <w:rPr>
          <w:rFonts w:hint="eastAsia" w:ascii="宋体" w:hAnsi="宋体" w:cs="宋体"/>
          <w:sz w:val="24"/>
          <w:szCs w:val="24"/>
          <w:u w:val="none"/>
          <w:lang w:val="en-US" w:eastAsia="zh-CN"/>
        </w:rPr>
        <w:t>7</w:t>
      </w:r>
      <w:r>
        <w:rPr>
          <w:rFonts w:hint="eastAsia" w:ascii="宋体" w:hAnsi="宋体" w:cs="宋体"/>
          <w:sz w:val="24"/>
          <w:szCs w:val="24"/>
          <w:u w:val="none"/>
        </w:rPr>
        <w:t>、诚信投标承诺书</w:t>
      </w:r>
      <w:r>
        <w:rPr>
          <w:rFonts w:hint="eastAsia" w:ascii="宋体" w:hAnsi="宋体" w:cs="宋体"/>
          <w:spacing w:val="10"/>
          <w:kern w:val="0"/>
          <w:sz w:val="24"/>
          <w:szCs w:val="24"/>
          <w:u w:val="none"/>
        </w:rPr>
        <w:t>（见‘投标文件格式’）</w:t>
      </w:r>
      <w:r>
        <w:rPr>
          <w:rFonts w:hint="eastAsia" w:ascii="宋体" w:hAnsi="宋体" w:cs="宋体"/>
          <w:sz w:val="24"/>
          <w:szCs w:val="24"/>
          <w:u w:val="none"/>
        </w:rPr>
        <w:t>；</w:t>
      </w:r>
    </w:p>
    <w:p w14:paraId="6974A453">
      <w:pPr>
        <w:widowControl/>
        <w:snapToGrid w:val="0"/>
        <w:spacing w:line="460" w:lineRule="exact"/>
        <w:ind w:firstLine="480" w:firstLineChars="200"/>
        <w:jc w:val="left"/>
        <w:rPr>
          <w:rFonts w:hint="default"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8、中小企业声明函（见‘投标文件格式’）</w:t>
      </w:r>
      <w:r>
        <w:rPr>
          <w:rFonts w:hint="eastAsia" w:ascii="宋体" w:hAnsi="宋体" w:cs="宋体"/>
          <w:kern w:val="0"/>
          <w:sz w:val="24"/>
          <w:szCs w:val="24"/>
          <w:u w:val="none"/>
        </w:rPr>
        <w:t>（</w:t>
      </w:r>
      <w:r>
        <w:rPr>
          <w:rFonts w:hint="eastAsia" w:ascii="宋体" w:hAnsi="宋体" w:cs="宋体"/>
          <w:kern w:val="0"/>
          <w:sz w:val="24"/>
          <w:szCs w:val="24"/>
          <w:u w:val="none"/>
          <w:lang w:eastAsia="zh-CN"/>
        </w:rPr>
        <w:t>如</w:t>
      </w:r>
      <w:r>
        <w:rPr>
          <w:rFonts w:hint="eastAsia" w:ascii="宋体" w:hAnsi="宋体" w:cs="宋体"/>
          <w:kern w:val="0"/>
          <w:sz w:val="24"/>
          <w:szCs w:val="24"/>
          <w:u w:val="none"/>
        </w:rPr>
        <w:t>有）</w:t>
      </w:r>
      <w:r>
        <w:rPr>
          <w:rFonts w:hint="eastAsia" w:ascii="宋体" w:hAnsi="宋体" w:cs="宋体"/>
          <w:kern w:val="0"/>
          <w:sz w:val="24"/>
          <w:szCs w:val="24"/>
          <w:u w:val="none"/>
          <w:lang w:eastAsia="zh-CN"/>
        </w:rPr>
        <w:t>；</w:t>
      </w:r>
    </w:p>
    <w:p w14:paraId="53A3691D">
      <w:pPr>
        <w:widowControl/>
        <w:snapToGrid w:val="0"/>
        <w:spacing w:line="460" w:lineRule="exact"/>
        <w:ind w:firstLine="480" w:firstLineChars="200"/>
        <w:jc w:val="left"/>
        <w:rPr>
          <w:rFonts w:hint="eastAsia" w:ascii="宋体" w:hAnsi="宋体" w:eastAsia="宋体" w:cs="宋体"/>
          <w:kern w:val="0"/>
          <w:sz w:val="24"/>
          <w:szCs w:val="24"/>
          <w:u w:val="none"/>
          <w:lang w:val="en-US" w:eastAsia="zh-CN"/>
        </w:rPr>
      </w:pPr>
      <w:r>
        <w:rPr>
          <w:rFonts w:hint="eastAsia" w:ascii="宋体" w:hAnsi="宋体" w:eastAsia="宋体" w:cs="宋体"/>
          <w:kern w:val="0"/>
          <w:sz w:val="24"/>
          <w:szCs w:val="24"/>
          <w:u w:val="none"/>
          <w:lang w:val="en-US" w:eastAsia="zh-CN"/>
        </w:rPr>
        <w:t>9、</w:t>
      </w:r>
      <w:r>
        <w:rPr>
          <w:rFonts w:hint="eastAsia" w:ascii="宋体" w:hAnsi="宋体" w:cs="宋体"/>
          <w:kern w:val="0"/>
          <w:sz w:val="24"/>
          <w:szCs w:val="24"/>
          <w:u w:val="none"/>
          <w:lang w:val="en-US" w:eastAsia="zh-CN"/>
        </w:rPr>
        <w:t>联合体共同响应协议书</w:t>
      </w:r>
      <w:r>
        <w:rPr>
          <w:rFonts w:hint="eastAsia" w:ascii="宋体" w:hAnsi="宋体" w:cs="宋体"/>
          <w:kern w:val="0"/>
          <w:sz w:val="24"/>
          <w:szCs w:val="24"/>
          <w:u w:val="none"/>
        </w:rPr>
        <w:t>（见‘投标文件格式’）（</w:t>
      </w:r>
      <w:r>
        <w:rPr>
          <w:rFonts w:hint="eastAsia" w:ascii="宋体" w:hAnsi="宋体" w:cs="宋体"/>
          <w:kern w:val="0"/>
          <w:sz w:val="24"/>
          <w:szCs w:val="24"/>
          <w:u w:val="none"/>
          <w:lang w:eastAsia="zh-CN"/>
        </w:rPr>
        <w:t>如</w:t>
      </w:r>
      <w:r>
        <w:rPr>
          <w:rFonts w:hint="eastAsia" w:ascii="宋体" w:hAnsi="宋体" w:cs="宋体"/>
          <w:kern w:val="0"/>
          <w:sz w:val="24"/>
          <w:szCs w:val="24"/>
          <w:u w:val="none"/>
        </w:rPr>
        <w:t>有）</w:t>
      </w:r>
      <w:r>
        <w:rPr>
          <w:rFonts w:hint="eastAsia" w:ascii="宋体" w:hAnsi="宋体" w:cs="宋体"/>
          <w:kern w:val="0"/>
          <w:sz w:val="24"/>
          <w:szCs w:val="24"/>
          <w:u w:val="none"/>
          <w:lang w:eastAsia="zh-CN"/>
        </w:rPr>
        <w:t>；</w:t>
      </w:r>
    </w:p>
    <w:p w14:paraId="11E21A77">
      <w:pPr>
        <w:adjustRightInd w:val="0"/>
        <w:snapToGrid w:val="0"/>
        <w:spacing w:line="460" w:lineRule="exact"/>
        <w:ind w:firstLine="480" w:firstLineChars="200"/>
        <w:jc w:val="left"/>
        <w:rPr>
          <w:rFonts w:hint="default" w:ascii="宋体" w:hAnsi="宋体" w:eastAsia="宋体" w:cs="宋体"/>
          <w:b/>
          <w:kern w:val="0"/>
          <w:sz w:val="24"/>
          <w:szCs w:val="24"/>
          <w:u w:val="none"/>
          <w:lang w:val="en-US" w:eastAsia="zh-CN"/>
        </w:rPr>
      </w:pPr>
      <w:r>
        <w:rPr>
          <w:rFonts w:hint="eastAsia" w:ascii="宋体" w:hAnsi="宋体" w:eastAsia="宋体" w:cs="宋体"/>
          <w:sz w:val="24"/>
          <w:szCs w:val="24"/>
          <w:u w:val="none"/>
          <w:lang w:val="en-US" w:eastAsia="zh-CN"/>
        </w:rPr>
        <w:t>10、（1）投标人在“全国投资项目在线审批监管平台”已备案，且工程咨询单位名录的咨询专业和服务范围包括</w:t>
      </w:r>
      <w:r>
        <w:rPr>
          <w:rFonts w:hint="eastAsia" w:ascii="宋体" w:hAnsi="宋体" w:cs="宋体"/>
          <w:sz w:val="24"/>
          <w:szCs w:val="24"/>
          <w:u w:val="none"/>
          <w:lang w:val="en-US" w:eastAsia="zh-CN"/>
        </w:rPr>
        <w:t>“其他（土地整理）/全过程工程咨询”</w:t>
      </w:r>
      <w:r>
        <w:rPr>
          <w:rFonts w:hint="eastAsia" w:ascii="宋体" w:hAnsi="宋体" w:eastAsia="宋体" w:cs="宋体"/>
          <w:sz w:val="24"/>
          <w:szCs w:val="24"/>
          <w:u w:val="none"/>
          <w:lang w:val="en-US" w:eastAsia="zh-CN"/>
        </w:rPr>
        <w:t>；（2）</w:t>
      </w:r>
      <w:r>
        <w:rPr>
          <w:rFonts w:hint="eastAsia" w:ascii="宋体" w:hAnsi="宋体" w:cs="宋体"/>
          <w:sz w:val="24"/>
          <w:szCs w:val="24"/>
          <w:u w:val="none"/>
          <w:lang w:val="en-US" w:eastAsia="zh-CN"/>
        </w:rPr>
        <w:t>拟派项目负责人具备咨询工程师（投资）登记证书</w:t>
      </w:r>
      <w:r>
        <w:rPr>
          <w:rFonts w:hint="eastAsia" w:ascii="宋体" w:hAnsi="宋体" w:eastAsia="宋体" w:cs="宋体"/>
          <w:sz w:val="24"/>
          <w:szCs w:val="24"/>
          <w:u w:val="none"/>
          <w:lang w:val="en-US" w:eastAsia="zh-CN"/>
        </w:rPr>
        <w:t>。</w:t>
      </w:r>
    </w:p>
    <w:p w14:paraId="094BEC28">
      <w:pPr>
        <w:adjustRightInd w:val="0"/>
        <w:snapToGrid w:val="0"/>
        <w:spacing w:line="460" w:lineRule="exact"/>
        <w:ind w:left="420" w:leftChars="200"/>
        <w:jc w:val="left"/>
        <w:rPr>
          <w:rFonts w:ascii="宋体" w:hAnsi="宋体" w:cs="宋体"/>
          <w:b/>
          <w:spacing w:val="10"/>
          <w:kern w:val="0"/>
          <w:sz w:val="24"/>
          <w:szCs w:val="24"/>
          <w:u w:val="none"/>
        </w:rPr>
      </w:pPr>
      <w:r>
        <w:rPr>
          <w:rFonts w:hint="eastAsia" w:ascii="宋体" w:hAnsi="宋体" w:cs="宋体"/>
          <w:b/>
          <w:kern w:val="0"/>
          <w:sz w:val="24"/>
          <w:szCs w:val="24"/>
          <w:u w:val="none"/>
        </w:rPr>
        <w:t>二、</w:t>
      </w:r>
      <w:r>
        <w:rPr>
          <w:rFonts w:hint="eastAsia" w:ascii="宋体" w:hAnsi="宋体" w:cs="宋体"/>
          <w:b/>
          <w:spacing w:val="10"/>
          <w:kern w:val="0"/>
          <w:sz w:val="24"/>
          <w:szCs w:val="24"/>
          <w:u w:val="none"/>
        </w:rPr>
        <w:t>报价部分</w:t>
      </w:r>
    </w:p>
    <w:p w14:paraId="4D93EBF6">
      <w:pPr>
        <w:adjustRightInd w:val="0"/>
        <w:snapToGrid w:val="0"/>
        <w:spacing w:line="460" w:lineRule="exact"/>
        <w:ind w:firstLine="480" w:firstLineChars="200"/>
        <w:jc w:val="left"/>
        <w:rPr>
          <w:rFonts w:ascii="宋体" w:hAnsi="宋体" w:cs="宋体"/>
          <w:spacing w:val="10"/>
          <w:kern w:val="0"/>
          <w:sz w:val="24"/>
          <w:szCs w:val="24"/>
          <w:u w:val="none"/>
        </w:rPr>
      </w:pPr>
      <w:r>
        <w:rPr>
          <w:rFonts w:hint="eastAsia" w:ascii="宋体" w:hAnsi="宋体" w:cs="宋体"/>
          <w:sz w:val="24"/>
          <w:szCs w:val="24"/>
          <w:u w:val="none"/>
        </w:rPr>
        <w:t>1、</w:t>
      </w:r>
      <w:r>
        <w:rPr>
          <w:rFonts w:hint="eastAsia" w:ascii="宋体" w:hAnsi="宋体" w:cs="宋体"/>
          <w:spacing w:val="10"/>
          <w:kern w:val="0"/>
          <w:sz w:val="24"/>
          <w:szCs w:val="24"/>
          <w:u w:val="none"/>
        </w:rPr>
        <w:t>开标一览表（见‘投标文件格式’）；</w:t>
      </w:r>
    </w:p>
    <w:p w14:paraId="2F2DAE87">
      <w:pPr>
        <w:widowControl/>
        <w:tabs>
          <w:tab w:val="left" w:pos="1440"/>
        </w:tabs>
        <w:snapToGrid w:val="0"/>
        <w:spacing w:line="460" w:lineRule="exact"/>
        <w:ind w:firstLine="354" w:firstLineChars="147"/>
        <w:jc w:val="left"/>
        <w:rPr>
          <w:rFonts w:ascii="宋体" w:hAnsi="宋体" w:cs="宋体"/>
          <w:kern w:val="0"/>
          <w:sz w:val="24"/>
          <w:szCs w:val="24"/>
          <w:u w:val="none"/>
        </w:rPr>
      </w:pPr>
      <w:r>
        <w:rPr>
          <w:rFonts w:hint="eastAsia" w:ascii="宋体" w:hAnsi="宋体" w:cs="宋体"/>
          <w:b/>
          <w:kern w:val="0"/>
          <w:sz w:val="24"/>
          <w:szCs w:val="24"/>
          <w:u w:val="none"/>
        </w:rPr>
        <w:t>三、商务、技术部分</w:t>
      </w:r>
      <w:r>
        <w:rPr>
          <w:rFonts w:hint="eastAsia" w:ascii="宋体" w:hAnsi="宋体" w:cs="宋体"/>
          <w:kern w:val="0"/>
          <w:sz w:val="24"/>
          <w:szCs w:val="24"/>
          <w:u w:val="none"/>
        </w:rPr>
        <w:t>：</w:t>
      </w:r>
    </w:p>
    <w:p w14:paraId="0C628FA8">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1、投标人企业简况</w:t>
      </w:r>
      <w:r>
        <w:rPr>
          <w:rFonts w:hint="eastAsia" w:ascii="宋体" w:hAnsi="宋体" w:cs="宋体"/>
          <w:spacing w:val="10"/>
          <w:kern w:val="0"/>
          <w:sz w:val="24"/>
          <w:szCs w:val="24"/>
          <w:u w:val="none"/>
        </w:rPr>
        <w:t>（格式自拟）</w:t>
      </w:r>
      <w:r>
        <w:rPr>
          <w:rFonts w:hint="eastAsia" w:ascii="宋体" w:hAnsi="宋体" w:cs="宋体"/>
          <w:kern w:val="0"/>
          <w:sz w:val="24"/>
          <w:szCs w:val="24"/>
          <w:u w:val="none"/>
        </w:rPr>
        <w:t>；</w:t>
      </w:r>
    </w:p>
    <w:p w14:paraId="54156A01">
      <w:pPr>
        <w:widowControl/>
        <w:snapToGrid w:val="0"/>
        <w:spacing w:line="460" w:lineRule="exact"/>
        <w:ind w:firstLine="480" w:firstLineChars="200"/>
        <w:jc w:val="left"/>
        <w:rPr>
          <w:rFonts w:ascii="宋体" w:hAnsi="宋体" w:cs="宋体"/>
          <w:sz w:val="24"/>
          <w:u w:val="none"/>
        </w:rPr>
      </w:pPr>
      <w:r>
        <w:rPr>
          <w:rFonts w:hint="eastAsia" w:ascii="宋体" w:hAnsi="宋体" w:cs="宋体"/>
          <w:kern w:val="0"/>
          <w:sz w:val="24"/>
          <w:szCs w:val="24"/>
          <w:u w:val="none"/>
        </w:rPr>
        <w:t>2、</w:t>
      </w:r>
      <w:r>
        <w:rPr>
          <w:rFonts w:hint="eastAsia" w:ascii="宋体" w:hAnsi="宋体" w:cs="宋体"/>
          <w:kern w:val="0"/>
          <w:sz w:val="24"/>
          <w:szCs w:val="24"/>
          <w:u w:val="none"/>
          <w:lang w:eastAsia="zh-CN"/>
        </w:rPr>
        <w:t>投标人类似项目业绩一览表</w:t>
      </w:r>
      <w:r>
        <w:rPr>
          <w:rFonts w:hint="eastAsia" w:ascii="宋体" w:hAnsi="宋体" w:cs="宋体"/>
          <w:kern w:val="0"/>
          <w:sz w:val="24"/>
          <w:szCs w:val="24"/>
          <w:u w:val="none"/>
        </w:rPr>
        <w:t>（见‘投标文件格式’）；</w:t>
      </w:r>
    </w:p>
    <w:p w14:paraId="31724A94">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3、项目服务团队人员配备表</w:t>
      </w:r>
      <w:r>
        <w:rPr>
          <w:rFonts w:hint="eastAsia" w:ascii="宋体" w:hAnsi="宋体" w:cs="宋体"/>
          <w:spacing w:val="10"/>
          <w:kern w:val="0"/>
          <w:sz w:val="24"/>
          <w:szCs w:val="24"/>
          <w:u w:val="none"/>
        </w:rPr>
        <w:t>（见‘投标文件格式’）；</w:t>
      </w:r>
    </w:p>
    <w:p w14:paraId="18F5F757">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4、技术</w:t>
      </w:r>
      <w:r>
        <w:rPr>
          <w:rFonts w:hint="eastAsia" w:ascii="宋体" w:hAnsi="宋体" w:cs="宋体"/>
          <w:kern w:val="0"/>
          <w:sz w:val="24"/>
          <w:szCs w:val="24"/>
          <w:u w:val="none"/>
          <w:lang w:eastAsia="zh-CN"/>
        </w:rPr>
        <w:t>服务</w:t>
      </w:r>
      <w:r>
        <w:rPr>
          <w:rFonts w:hint="eastAsia" w:ascii="宋体" w:hAnsi="宋体" w:cs="宋体"/>
          <w:kern w:val="0"/>
          <w:sz w:val="24"/>
          <w:szCs w:val="24"/>
          <w:u w:val="none"/>
        </w:rPr>
        <w:t>方案；</w:t>
      </w:r>
    </w:p>
    <w:p w14:paraId="1AE5E3CE">
      <w:pPr>
        <w:widowControl/>
        <w:snapToGrid w:val="0"/>
        <w:spacing w:line="46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5、监狱企业、残疾人企业证明文件（见‘投标文件格式’）（</w:t>
      </w:r>
      <w:r>
        <w:rPr>
          <w:rFonts w:hint="eastAsia" w:ascii="宋体" w:hAnsi="宋体" w:cs="宋体"/>
          <w:kern w:val="0"/>
          <w:sz w:val="24"/>
          <w:szCs w:val="24"/>
          <w:u w:val="none"/>
          <w:lang w:eastAsia="zh-CN"/>
        </w:rPr>
        <w:t>如</w:t>
      </w:r>
      <w:r>
        <w:rPr>
          <w:rFonts w:hint="eastAsia" w:ascii="宋体" w:hAnsi="宋体" w:cs="宋体"/>
          <w:kern w:val="0"/>
          <w:sz w:val="24"/>
          <w:szCs w:val="24"/>
          <w:u w:val="none"/>
        </w:rPr>
        <w:t>有）；</w:t>
      </w:r>
    </w:p>
    <w:p w14:paraId="2066D149">
      <w:pPr>
        <w:adjustRightInd w:val="0"/>
        <w:snapToGrid w:val="0"/>
        <w:spacing w:line="460" w:lineRule="exact"/>
        <w:ind w:firstLine="480" w:firstLineChars="200"/>
        <w:rPr>
          <w:rFonts w:ascii="宋体" w:hAnsi="宋体" w:cs="宋体"/>
          <w:b/>
          <w:bCs/>
          <w:kern w:val="0"/>
          <w:sz w:val="24"/>
          <w:szCs w:val="24"/>
          <w:u w:val="none"/>
        </w:rPr>
      </w:pPr>
      <w:r>
        <w:rPr>
          <w:rFonts w:hint="eastAsia" w:ascii="宋体" w:hAnsi="宋体" w:cs="宋体"/>
          <w:kern w:val="0"/>
          <w:sz w:val="24"/>
          <w:szCs w:val="24"/>
          <w:u w:val="none"/>
        </w:rPr>
        <w:t>6、投标人认为需要提供的其他材料。</w:t>
      </w:r>
    </w:p>
    <w:p w14:paraId="32C8D493">
      <w:pPr>
        <w:adjustRightInd w:val="0"/>
        <w:snapToGrid w:val="0"/>
        <w:spacing w:line="460" w:lineRule="exact"/>
        <w:jc w:val="center"/>
        <w:rPr>
          <w:rFonts w:ascii="宋体" w:hAnsi="宋体" w:cs="宋体"/>
          <w:b/>
          <w:bCs/>
          <w:kern w:val="0"/>
          <w:sz w:val="24"/>
          <w:szCs w:val="24"/>
          <w:u w:val="none"/>
        </w:rPr>
        <w:sectPr>
          <w:pgSz w:w="11906" w:h="16838"/>
          <w:pgMar w:top="1440" w:right="1800" w:bottom="1440" w:left="1800" w:header="851" w:footer="992" w:gutter="0"/>
          <w:pgNumType w:fmt="decimal"/>
          <w:cols w:space="720" w:num="1"/>
          <w:docGrid w:type="lines" w:linePitch="312" w:charSpace="0"/>
        </w:sectPr>
      </w:pPr>
    </w:p>
    <w:p w14:paraId="6AD06FD0">
      <w:pPr>
        <w:adjustRightInd w:val="0"/>
        <w:snapToGrid w:val="0"/>
        <w:spacing w:line="400" w:lineRule="exact"/>
        <w:jc w:val="center"/>
        <w:rPr>
          <w:rFonts w:ascii="宋体" w:hAnsi="宋体" w:cs="宋体"/>
          <w:b/>
          <w:bCs/>
          <w:sz w:val="24"/>
          <w:szCs w:val="24"/>
          <w:u w:val="none"/>
        </w:rPr>
      </w:pPr>
      <w:r>
        <w:rPr>
          <w:rFonts w:hint="eastAsia" w:ascii="宋体" w:hAnsi="宋体" w:cs="宋体"/>
          <w:b/>
          <w:bCs/>
          <w:kern w:val="0"/>
          <w:sz w:val="24"/>
          <w:szCs w:val="24"/>
          <w:u w:val="none"/>
          <w:lang w:eastAsia="zh-CN"/>
        </w:rPr>
        <w:t>法定代表人</w:t>
      </w:r>
      <w:r>
        <w:rPr>
          <w:rFonts w:hint="eastAsia" w:ascii="宋体" w:hAnsi="宋体" w:cs="宋体"/>
          <w:b/>
          <w:bCs/>
          <w:kern w:val="0"/>
          <w:sz w:val="24"/>
          <w:szCs w:val="24"/>
          <w:u w:val="none"/>
        </w:rPr>
        <w:t>身份证明书</w:t>
      </w:r>
      <w:r>
        <w:rPr>
          <w:rFonts w:hint="eastAsia" w:ascii="宋体" w:hAnsi="宋体" w:cs="宋体"/>
          <w:b/>
          <w:bCs/>
          <w:sz w:val="24"/>
          <w:szCs w:val="24"/>
          <w:u w:val="none"/>
        </w:rPr>
        <w:t>（格式）</w:t>
      </w:r>
    </w:p>
    <w:p w14:paraId="175CDCF7">
      <w:pPr>
        <w:autoSpaceDE w:val="0"/>
        <w:autoSpaceDN w:val="0"/>
        <w:adjustRightInd w:val="0"/>
        <w:snapToGrid w:val="0"/>
        <w:spacing w:line="520" w:lineRule="exact"/>
        <w:jc w:val="left"/>
        <w:rPr>
          <w:rFonts w:hint="eastAsia" w:ascii="宋体" w:hAnsi="宋体" w:eastAsia="宋体" w:cs="宋体"/>
          <w:kern w:val="0"/>
          <w:sz w:val="24"/>
          <w:szCs w:val="24"/>
          <w:u w:val="none"/>
          <w:lang w:val="en-US" w:eastAsia="zh-CN"/>
        </w:rPr>
      </w:pPr>
      <w:r>
        <w:rPr>
          <w:rFonts w:hint="eastAsia" w:ascii="宋体" w:hAnsi="宋体" w:cs="宋体"/>
          <w:sz w:val="24"/>
          <w:szCs w:val="24"/>
          <w:u w:val="none"/>
        </w:rPr>
        <w:t>投标人</w:t>
      </w:r>
      <w:r>
        <w:rPr>
          <w:rFonts w:hint="eastAsia" w:ascii="宋体" w:hAnsi="宋体" w:cs="宋体"/>
          <w:kern w:val="0"/>
          <w:sz w:val="24"/>
          <w:szCs w:val="24"/>
          <w:u w:val="none"/>
        </w:rPr>
        <w:t>名称：</w:t>
      </w:r>
      <w:r>
        <w:rPr>
          <w:rFonts w:hint="eastAsia" w:ascii="宋体" w:hAnsi="宋体" w:cs="宋体"/>
          <w:kern w:val="0"/>
          <w:sz w:val="24"/>
          <w:szCs w:val="24"/>
          <w:u w:val="single"/>
        </w:rPr>
        <w:t xml:space="preserve">                 </w:t>
      </w:r>
    </w:p>
    <w:p w14:paraId="50F02DD4">
      <w:pPr>
        <w:autoSpaceDE w:val="0"/>
        <w:autoSpaceDN w:val="0"/>
        <w:adjustRightInd w:val="0"/>
        <w:snapToGrid w:val="0"/>
        <w:spacing w:line="520" w:lineRule="exact"/>
        <w:jc w:val="left"/>
        <w:rPr>
          <w:rFonts w:hint="eastAsia" w:ascii="宋体" w:hAnsi="宋体" w:eastAsia="宋体" w:cs="宋体"/>
          <w:kern w:val="0"/>
          <w:sz w:val="24"/>
          <w:szCs w:val="24"/>
          <w:u w:val="none"/>
          <w:lang w:eastAsia="zh-CN"/>
        </w:rPr>
      </w:pPr>
      <w:r>
        <w:rPr>
          <w:rFonts w:hint="eastAsia" w:ascii="宋体" w:hAnsi="宋体" w:cs="宋体"/>
          <w:kern w:val="0"/>
          <w:sz w:val="24"/>
          <w:szCs w:val="24"/>
          <w:u w:val="none"/>
        </w:rPr>
        <w:t>统一信用代码：</w:t>
      </w:r>
      <w:r>
        <w:rPr>
          <w:rFonts w:hint="eastAsia" w:ascii="宋体" w:hAnsi="宋体" w:cs="宋体"/>
          <w:kern w:val="0"/>
          <w:sz w:val="24"/>
          <w:szCs w:val="24"/>
          <w:u w:val="single"/>
        </w:rPr>
        <w:t xml:space="preserve">               </w:t>
      </w:r>
    </w:p>
    <w:p w14:paraId="5947A881">
      <w:pPr>
        <w:autoSpaceDE w:val="0"/>
        <w:autoSpaceDN w:val="0"/>
        <w:adjustRightInd w:val="0"/>
        <w:snapToGrid w:val="0"/>
        <w:spacing w:line="520" w:lineRule="exact"/>
        <w:jc w:val="left"/>
        <w:rPr>
          <w:rFonts w:ascii="宋体" w:hAnsi="宋体" w:cs="宋体"/>
          <w:kern w:val="0"/>
          <w:sz w:val="24"/>
          <w:szCs w:val="24"/>
          <w:u w:val="none"/>
        </w:rPr>
      </w:pPr>
      <w:r>
        <w:rPr>
          <w:rFonts w:hint="eastAsia" w:ascii="宋体" w:hAnsi="宋体" w:cs="宋体"/>
          <w:kern w:val="0"/>
          <w:sz w:val="24"/>
          <w:szCs w:val="24"/>
          <w:u w:val="none"/>
        </w:rPr>
        <w:t>注册地址：</w:t>
      </w:r>
      <w:r>
        <w:rPr>
          <w:rFonts w:hint="eastAsia" w:ascii="宋体" w:hAnsi="宋体" w:cs="宋体"/>
          <w:kern w:val="0"/>
          <w:sz w:val="24"/>
          <w:szCs w:val="24"/>
          <w:u w:val="single"/>
        </w:rPr>
        <w:t xml:space="preserve">                 </w:t>
      </w:r>
      <w:r>
        <w:rPr>
          <w:rFonts w:hint="eastAsia" w:ascii="宋体" w:hAnsi="宋体" w:cs="宋体"/>
          <w:kern w:val="0"/>
          <w:sz w:val="24"/>
          <w:szCs w:val="24"/>
          <w:u w:val="none"/>
        </w:rPr>
        <w:t xml:space="preserve">           </w:t>
      </w:r>
    </w:p>
    <w:p w14:paraId="4AA9E7CA">
      <w:pPr>
        <w:autoSpaceDE w:val="0"/>
        <w:autoSpaceDN w:val="0"/>
        <w:adjustRightInd w:val="0"/>
        <w:snapToGrid w:val="0"/>
        <w:spacing w:line="520" w:lineRule="exact"/>
        <w:jc w:val="left"/>
        <w:rPr>
          <w:rFonts w:ascii="宋体" w:hAnsi="宋体" w:cs="宋体"/>
          <w:kern w:val="0"/>
          <w:sz w:val="24"/>
          <w:szCs w:val="24"/>
          <w:u w:val="none"/>
        </w:rPr>
      </w:pPr>
      <w:r>
        <w:rPr>
          <w:rFonts w:hint="eastAsia" w:ascii="宋体" w:hAnsi="宋体" w:cs="宋体"/>
          <w:kern w:val="0"/>
          <w:sz w:val="24"/>
          <w:szCs w:val="24"/>
          <w:u w:val="none"/>
        </w:rPr>
        <w:t>成立时间：</w:t>
      </w:r>
      <w:r>
        <w:rPr>
          <w:rFonts w:hint="eastAsia" w:ascii="宋体" w:hAnsi="宋体" w:cs="宋体"/>
          <w:kern w:val="0"/>
          <w:sz w:val="24"/>
          <w:szCs w:val="24"/>
          <w:u w:val="single"/>
        </w:rPr>
        <w:t xml:space="preserve">      </w:t>
      </w:r>
      <w:r>
        <w:rPr>
          <w:rFonts w:hint="eastAsia" w:ascii="宋体" w:hAnsi="宋体" w:cs="宋体"/>
          <w:kern w:val="0"/>
          <w:sz w:val="24"/>
          <w:szCs w:val="24"/>
          <w:u w:val="none"/>
        </w:rPr>
        <w:t>年</w:t>
      </w:r>
      <w:r>
        <w:rPr>
          <w:rFonts w:hint="eastAsia" w:ascii="宋体" w:hAnsi="宋体" w:cs="宋体"/>
          <w:kern w:val="0"/>
          <w:sz w:val="24"/>
          <w:szCs w:val="24"/>
          <w:u w:val="single"/>
        </w:rPr>
        <w:t xml:space="preserve">      </w:t>
      </w:r>
      <w:r>
        <w:rPr>
          <w:rFonts w:hint="eastAsia" w:ascii="宋体" w:hAnsi="宋体" w:cs="宋体"/>
          <w:kern w:val="0"/>
          <w:sz w:val="24"/>
          <w:szCs w:val="24"/>
          <w:u w:val="none"/>
        </w:rPr>
        <w:t>月</w:t>
      </w:r>
      <w:r>
        <w:rPr>
          <w:rFonts w:hint="eastAsia" w:ascii="宋体" w:hAnsi="宋体" w:cs="宋体"/>
          <w:kern w:val="0"/>
          <w:sz w:val="24"/>
          <w:szCs w:val="24"/>
          <w:u w:val="single"/>
        </w:rPr>
        <w:t xml:space="preserve">      </w:t>
      </w:r>
      <w:r>
        <w:rPr>
          <w:rFonts w:hint="eastAsia" w:ascii="宋体" w:hAnsi="宋体" w:cs="宋体"/>
          <w:kern w:val="0"/>
          <w:sz w:val="24"/>
          <w:szCs w:val="24"/>
          <w:u w:val="none"/>
        </w:rPr>
        <w:t>日</w:t>
      </w:r>
    </w:p>
    <w:p w14:paraId="169D59AA">
      <w:pPr>
        <w:autoSpaceDE w:val="0"/>
        <w:autoSpaceDN w:val="0"/>
        <w:adjustRightInd w:val="0"/>
        <w:snapToGrid w:val="0"/>
        <w:spacing w:line="520" w:lineRule="exact"/>
        <w:jc w:val="left"/>
        <w:rPr>
          <w:rFonts w:ascii="宋体" w:hAnsi="宋体" w:cs="宋体"/>
          <w:kern w:val="0"/>
          <w:sz w:val="24"/>
          <w:szCs w:val="24"/>
          <w:u w:val="none"/>
        </w:rPr>
      </w:pPr>
      <w:r>
        <w:rPr>
          <w:rFonts w:hint="eastAsia" w:ascii="宋体" w:hAnsi="宋体" w:cs="宋体"/>
          <w:kern w:val="0"/>
          <w:sz w:val="24"/>
          <w:szCs w:val="24"/>
          <w:u w:val="none"/>
        </w:rPr>
        <w:t>经营期限：</w:t>
      </w:r>
      <w:r>
        <w:rPr>
          <w:rFonts w:hint="eastAsia" w:ascii="宋体" w:hAnsi="宋体" w:cs="宋体"/>
          <w:kern w:val="0"/>
          <w:sz w:val="24"/>
          <w:szCs w:val="24"/>
          <w:u w:val="single"/>
        </w:rPr>
        <w:t xml:space="preserve">                 </w:t>
      </w:r>
      <w:r>
        <w:rPr>
          <w:rFonts w:hint="eastAsia" w:ascii="宋体" w:hAnsi="宋体" w:cs="宋体"/>
          <w:kern w:val="0"/>
          <w:sz w:val="24"/>
          <w:szCs w:val="24"/>
          <w:u w:val="none"/>
        </w:rPr>
        <w:t xml:space="preserve">       </w:t>
      </w:r>
    </w:p>
    <w:p w14:paraId="0A8C9A75">
      <w:pPr>
        <w:autoSpaceDE w:val="0"/>
        <w:autoSpaceDN w:val="0"/>
        <w:adjustRightInd w:val="0"/>
        <w:snapToGrid w:val="0"/>
        <w:spacing w:line="520" w:lineRule="exact"/>
        <w:jc w:val="left"/>
        <w:rPr>
          <w:rFonts w:ascii="宋体" w:hAnsi="宋体" w:cs="宋体"/>
          <w:kern w:val="0"/>
          <w:sz w:val="24"/>
          <w:szCs w:val="24"/>
          <w:u w:val="none"/>
        </w:rPr>
      </w:pPr>
      <w:r>
        <w:rPr>
          <w:rFonts w:hint="eastAsia" w:ascii="宋体" w:hAnsi="宋体" w:cs="宋体"/>
          <w:kern w:val="0"/>
          <w:sz w:val="24"/>
          <w:szCs w:val="24"/>
          <w:u w:val="none"/>
        </w:rPr>
        <w:t>经营范围：</w:t>
      </w:r>
      <w:r>
        <w:rPr>
          <w:rFonts w:hint="eastAsia" w:ascii="宋体" w:hAnsi="宋体" w:cs="宋体"/>
          <w:kern w:val="0"/>
          <w:sz w:val="24"/>
          <w:szCs w:val="24"/>
          <w:u w:val="single"/>
        </w:rPr>
        <w:t xml:space="preserve">                 </w:t>
      </w:r>
    </w:p>
    <w:p w14:paraId="0FDDD0A3">
      <w:pPr>
        <w:autoSpaceDE w:val="0"/>
        <w:autoSpaceDN w:val="0"/>
        <w:adjustRightInd w:val="0"/>
        <w:snapToGrid w:val="0"/>
        <w:spacing w:line="520" w:lineRule="exact"/>
        <w:jc w:val="left"/>
        <w:rPr>
          <w:rFonts w:ascii="宋体" w:hAnsi="宋体" w:cs="宋体"/>
          <w:kern w:val="0"/>
          <w:sz w:val="24"/>
          <w:szCs w:val="24"/>
          <w:u w:val="none"/>
        </w:rPr>
      </w:pPr>
      <w:r>
        <w:rPr>
          <w:rFonts w:hint="eastAsia" w:ascii="宋体" w:hAnsi="宋体" w:cs="宋体"/>
          <w:kern w:val="0"/>
          <w:sz w:val="24"/>
          <w:szCs w:val="24"/>
          <w:u w:val="none"/>
        </w:rPr>
        <w:t>姓名：</w:t>
      </w:r>
      <w:r>
        <w:rPr>
          <w:rFonts w:hint="eastAsia" w:ascii="宋体" w:hAnsi="宋体" w:cs="宋体"/>
          <w:kern w:val="0"/>
          <w:sz w:val="24"/>
          <w:szCs w:val="24"/>
          <w:u w:val="single"/>
        </w:rPr>
        <w:t xml:space="preserve">      </w:t>
      </w:r>
      <w:r>
        <w:rPr>
          <w:rFonts w:hint="eastAsia" w:ascii="宋体" w:hAnsi="宋体" w:cs="宋体"/>
          <w:kern w:val="0"/>
          <w:sz w:val="24"/>
          <w:szCs w:val="24"/>
          <w:u w:val="none"/>
        </w:rPr>
        <w:t>性别：</w:t>
      </w:r>
      <w:r>
        <w:rPr>
          <w:rFonts w:hint="eastAsia" w:ascii="宋体" w:hAnsi="宋体" w:cs="宋体"/>
          <w:kern w:val="0"/>
          <w:sz w:val="24"/>
          <w:szCs w:val="24"/>
          <w:u w:val="single"/>
        </w:rPr>
        <w:t xml:space="preserve">      </w:t>
      </w:r>
      <w:r>
        <w:rPr>
          <w:rFonts w:hint="eastAsia" w:ascii="宋体" w:hAnsi="宋体" w:cs="宋体"/>
          <w:kern w:val="0"/>
          <w:sz w:val="24"/>
          <w:szCs w:val="24"/>
          <w:u w:val="none"/>
        </w:rPr>
        <w:t>年龄：</w:t>
      </w:r>
      <w:r>
        <w:rPr>
          <w:rFonts w:hint="eastAsia" w:ascii="宋体" w:hAnsi="宋体" w:cs="宋体"/>
          <w:kern w:val="0"/>
          <w:sz w:val="24"/>
          <w:szCs w:val="24"/>
          <w:u w:val="single"/>
        </w:rPr>
        <w:t xml:space="preserve">      </w:t>
      </w:r>
      <w:r>
        <w:rPr>
          <w:rFonts w:hint="eastAsia" w:ascii="宋体" w:hAnsi="宋体" w:cs="宋体"/>
          <w:kern w:val="0"/>
          <w:sz w:val="24"/>
          <w:szCs w:val="24"/>
          <w:u w:val="none"/>
        </w:rPr>
        <w:t>职务：</w:t>
      </w:r>
      <w:r>
        <w:rPr>
          <w:rFonts w:hint="eastAsia" w:ascii="宋体" w:hAnsi="宋体" w:cs="宋体"/>
          <w:kern w:val="0"/>
          <w:sz w:val="24"/>
          <w:szCs w:val="24"/>
          <w:u w:val="single"/>
        </w:rPr>
        <w:t xml:space="preserve">      </w:t>
      </w:r>
      <w:r>
        <w:rPr>
          <w:rFonts w:hint="eastAsia" w:ascii="宋体" w:hAnsi="宋体" w:cs="宋体"/>
          <w:kern w:val="0"/>
          <w:sz w:val="24"/>
          <w:szCs w:val="24"/>
          <w:u w:val="none"/>
        </w:rPr>
        <w:t xml:space="preserve">系  </w:t>
      </w:r>
      <w:r>
        <w:rPr>
          <w:rFonts w:hint="eastAsia" w:ascii="宋体" w:hAnsi="宋体" w:cs="宋体"/>
          <w:kern w:val="0"/>
          <w:sz w:val="24"/>
          <w:szCs w:val="24"/>
          <w:u w:val="single"/>
        </w:rPr>
        <w:t xml:space="preserve">      </w:t>
      </w:r>
      <w:r>
        <w:rPr>
          <w:rFonts w:hint="eastAsia" w:ascii="宋体" w:hAnsi="宋体" w:cs="宋体"/>
          <w:kern w:val="0"/>
          <w:sz w:val="24"/>
          <w:szCs w:val="24"/>
          <w:u w:val="none"/>
        </w:rPr>
        <w:t>（</w:t>
      </w:r>
      <w:r>
        <w:rPr>
          <w:rFonts w:hint="eastAsia" w:ascii="宋体" w:hAnsi="宋体" w:cs="宋体"/>
          <w:sz w:val="24"/>
          <w:szCs w:val="24"/>
          <w:u w:val="none"/>
        </w:rPr>
        <w:t>投标人</w:t>
      </w:r>
      <w:r>
        <w:rPr>
          <w:rFonts w:hint="eastAsia" w:ascii="宋体" w:hAnsi="宋体" w:cs="宋体"/>
          <w:kern w:val="0"/>
          <w:sz w:val="24"/>
          <w:szCs w:val="24"/>
          <w:u w:val="none"/>
        </w:rPr>
        <w:t>名称）的</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w:t>
      </w:r>
    </w:p>
    <w:p w14:paraId="052BFA21">
      <w:pPr>
        <w:autoSpaceDE w:val="0"/>
        <w:autoSpaceDN w:val="0"/>
        <w:adjustRightInd w:val="0"/>
        <w:snapToGrid w:val="0"/>
        <w:spacing w:line="520" w:lineRule="exact"/>
        <w:jc w:val="left"/>
        <w:rPr>
          <w:rFonts w:ascii="宋体" w:hAnsi="宋体" w:cs="宋体"/>
          <w:kern w:val="0"/>
          <w:sz w:val="24"/>
          <w:szCs w:val="24"/>
          <w:u w:val="none"/>
        </w:rPr>
      </w:pPr>
      <w:r>
        <w:rPr>
          <w:rFonts w:hint="eastAsia" w:ascii="宋体" w:hAnsi="宋体" w:cs="宋体"/>
          <w:kern w:val="0"/>
          <w:sz w:val="24"/>
          <w:szCs w:val="24"/>
          <w:u w:val="none"/>
        </w:rPr>
        <w:t>特此证明。</w:t>
      </w:r>
    </w:p>
    <w:p w14:paraId="1C570538">
      <w:pPr>
        <w:autoSpaceDE w:val="0"/>
        <w:autoSpaceDN w:val="0"/>
        <w:adjustRightInd w:val="0"/>
        <w:snapToGrid w:val="0"/>
        <w:spacing w:line="400" w:lineRule="exact"/>
        <w:jc w:val="left"/>
        <w:rPr>
          <w:rFonts w:ascii="宋体" w:hAnsi="宋体" w:cs="宋体"/>
          <w:kern w:val="0"/>
          <w:sz w:val="24"/>
          <w:szCs w:val="24"/>
          <w:u w:val="none"/>
        </w:rPr>
      </w:pP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FFA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1A756188">
            <w:pPr>
              <w:adjustRightInd w:val="0"/>
              <w:snapToGrid w:val="0"/>
              <w:spacing w:line="400" w:lineRule="exact"/>
              <w:jc w:val="center"/>
              <w:rPr>
                <w:rFonts w:ascii="宋体" w:hAnsi="宋体" w:cs="宋体"/>
                <w:sz w:val="24"/>
                <w:szCs w:val="24"/>
                <w:u w:val="none"/>
              </w:rPr>
            </w:pPr>
            <w:r>
              <w:rPr>
                <w:rFonts w:hint="eastAsia" w:ascii="宋体" w:hAnsi="宋体" w:cs="宋体"/>
                <w:sz w:val="24"/>
                <w:szCs w:val="24"/>
                <w:u w:val="none"/>
                <w:lang w:eastAsia="zh-CN"/>
              </w:rPr>
              <w:t>法定代表人</w:t>
            </w:r>
            <w:r>
              <w:rPr>
                <w:rFonts w:hint="eastAsia" w:ascii="宋体" w:hAnsi="宋体" w:cs="宋体"/>
                <w:sz w:val="24"/>
                <w:szCs w:val="24"/>
                <w:u w:val="none"/>
              </w:rPr>
              <w:t>身份证复印件</w:t>
            </w:r>
          </w:p>
        </w:tc>
      </w:tr>
    </w:tbl>
    <w:p w14:paraId="6E7EA492">
      <w:pPr>
        <w:adjustRightInd w:val="0"/>
        <w:snapToGrid w:val="0"/>
        <w:spacing w:line="400" w:lineRule="exact"/>
        <w:rPr>
          <w:rFonts w:ascii="宋体" w:hAnsi="宋体" w:cs="宋体"/>
          <w:sz w:val="24"/>
          <w:szCs w:val="24"/>
          <w:u w:val="none"/>
        </w:rPr>
      </w:pPr>
    </w:p>
    <w:p w14:paraId="32B26139">
      <w:pPr>
        <w:adjustRightInd w:val="0"/>
        <w:snapToGrid w:val="0"/>
        <w:spacing w:line="400" w:lineRule="exact"/>
        <w:rPr>
          <w:rFonts w:ascii="宋体" w:hAnsi="宋体" w:cs="宋体"/>
          <w:sz w:val="24"/>
          <w:szCs w:val="24"/>
          <w:u w:val="none"/>
        </w:rPr>
      </w:pPr>
    </w:p>
    <w:p w14:paraId="3E975651">
      <w:pPr>
        <w:adjustRightInd w:val="0"/>
        <w:snapToGrid w:val="0"/>
        <w:spacing w:line="400" w:lineRule="exact"/>
        <w:rPr>
          <w:rFonts w:ascii="宋体" w:hAnsi="宋体" w:cs="宋体"/>
          <w:sz w:val="24"/>
          <w:szCs w:val="24"/>
          <w:u w:val="none"/>
        </w:rPr>
      </w:pPr>
    </w:p>
    <w:p w14:paraId="62D29382">
      <w:pPr>
        <w:adjustRightInd w:val="0"/>
        <w:snapToGrid w:val="0"/>
        <w:spacing w:line="520" w:lineRule="exact"/>
        <w:ind w:right="420"/>
        <w:rPr>
          <w:rFonts w:hint="default" w:ascii="宋体" w:hAnsi="宋体" w:eastAsia="宋体" w:cs="宋体"/>
          <w:sz w:val="24"/>
          <w:szCs w:val="24"/>
          <w:u w:val="none"/>
          <w:lang w:val="en-US" w:eastAsia="zh-CN"/>
        </w:rPr>
      </w:pPr>
      <w:r>
        <w:rPr>
          <w:rFonts w:hint="eastAsia" w:ascii="宋体" w:hAnsi="宋体" w:cs="宋体"/>
          <w:sz w:val="24"/>
          <w:szCs w:val="24"/>
          <w:u w:val="none"/>
        </w:rPr>
        <w:t>投标人名称（单位章）：</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14:paraId="54CA7EAA">
      <w:pPr>
        <w:tabs>
          <w:tab w:val="left" w:pos="4790"/>
        </w:tabs>
        <w:jc w:val="left"/>
        <w:rPr>
          <w:rFonts w:ascii="宋体" w:hAnsi="宋体" w:cs="宋体"/>
          <w:sz w:val="24"/>
          <w:szCs w:val="24"/>
          <w:u w:val="none"/>
        </w:rPr>
      </w:pPr>
    </w:p>
    <w:p w14:paraId="0B75CEE2">
      <w:pPr>
        <w:tabs>
          <w:tab w:val="left" w:pos="4790"/>
        </w:tabs>
        <w:jc w:val="left"/>
        <w:rPr>
          <w:rFonts w:ascii="宋体" w:hAnsi="宋体" w:cs="宋体"/>
          <w:sz w:val="24"/>
          <w:szCs w:val="24"/>
          <w:u w:val="none"/>
        </w:rPr>
      </w:pPr>
      <w:r>
        <w:rPr>
          <w:rFonts w:hint="eastAsia" w:ascii="宋体" w:hAnsi="宋体" w:cs="宋体"/>
          <w:sz w:val="24"/>
          <w:szCs w:val="24"/>
          <w:u w:val="none"/>
        </w:rPr>
        <w:t>日期：</w:t>
      </w:r>
      <w:r>
        <w:rPr>
          <w:rFonts w:hint="eastAsia" w:ascii="宋体" w:hAnsi="宋体" w:cs="宋体"/>
          <w:kern w:val="0"/>
          <w:sz w:val="24"/>
          <w:szCs w:val="24"/>
          <w:u w:val="single"/>
        </w:rPr>
        <w:t xml:space="preserve">      </w:t>
      </w:r>
      <w:r>
        <w:rPr>
          <w:rFonts w:hint="eastAsia" w:ascii="宋体" w:hAnsi="宋体" w:cs="宋体"/>
          <w:kern w:val="0"/>
          <w:sz w:val="24"/>
          <w:szCs w:val="24"/>
          <w:u w:val="none"/>
        </w:rPr>
        <w:t>年</w:t>
      </w:r>
      <w:r>
        <w:rPr>
          <w:rFonts w:hint="eastAsia" w:ascii="宋体" w:hAnsi="宋体" w:cs="宋体"/>
          <w:kern w:val="0"/>
          <w:sz w:val="24"/>
          <w:szCs w:val="24"/>
          <w:u w:val="single"/>
        </w:rPr>
        <w:t xml:space="preserve">      </w:t>
      </w:r>
      <w:r>
        <w:rPr>
          <w:rFonts w:hint="eastAsia" w:ascii="宋体" w:hAnsi="宋体" w:cs="宋体"/>
          <w:kern w:val="0"/>
          <w:sz w:val="24"/>
          <w:szCs w:val="24"/>
          <w:u w:val="none"/>
        </w:rPr>
        <w:t>月</w:t>
      </w:r>
      <w:r>
        <w:rPr>
          <w:rFonts w:hint="eastAsia" w:ascii="宋体" w:hAnsi="宋体" w:cs="宋体"/>
          <w:kern w:val="0"/>
          <w:sz w:val="24"/>
          <w:szCs w:val="24"/>
          <w:u w:val="single"/>
        </w:rPr>
        <w:t xml:space="preserve">      </w:t>
      </w:r>
      <w:r>
        <w:rPr>
          <w:rFonts w:hint="eastAsia" w:ascii="宋体" w:hAnsi="宋体" w:cs="宋体"/>
          <w:kern w:val="0"/>
          <w:sz w:val="24"/>
          <w:szCs w:val="24"/>
          <w:u w:val="none"/>
        </w:rPr>
        <w:t>日</w:t>
      </w:r>
    </w:p>
    <w:p w14:paraId="2821CE58">
      <w:pPr>
        <w:pStyle w:val="25"/>
        <w:jc w:val="both"/>
        <w:outlineLvl w:val="9"/>
        <w:rPr>
          <w:rFonts w:ascii="宋体" w:hAnsi="宋体" w:cs="宋体"/>
          <w:sz w:val="24"/>
          <w:szCs w:val="24"/>
          <w:u w:val="none"/>
        </w:rPr>
      </w:pPr>
    </w:p>
    <w:p w14:paraId="4DB87DB1">
      <w:pPr>
        <w:adjustRightInd w:val="0"/>
        <w:snapToGrid w:val="0"/>
        <w:spacing w:line="400" w:lineRule="exact"/>
        <w:jc w:val="center"/>
        <w:rPr>
          <w:rFonts w:hint="eastAsia" w:ascii="宋体" w:hAnsi="宋体" w:cs="宋体"/>
          <w:b/>
          <w:bCs/>
          <w:kern w:val="0"/>
          <w:sz w:val="24"/>
          <w:szCs w:val="24"/>
          <w:u w:val="none"/>
          <w:lang w:eastAsia="zh-CN"/>
        </w:rPr>
        <w:sectPr>
          <w:pgSz w:w="11906" w:h="16838"/>
          <w:pgMar w:top="1440" w:right="1800" w:bottom="1440" w:left="1800" w:header="851" w:footer="992" w:gutter="0"/>
          <w:pgNumType w:fmt="decimal"/>
          <w:cols w:space="720" w:num="1"/>
          <w:docGrid w:type="lines" w:linePitch="312" w:charSpace="0"/>
        </w:sectPr>
      </w:pPr>
    </w:p>
    <w:p w14:paraId="55D5CA58">
      <w:pPr>
        <w:adjustRightInd w:val="0"/>
        <w:snapToGrid w:val="0"/>
        <w:spacing w:line="400" w:lineRule="exact"/>
        <w:jc w:val="center"/>
        <w:rPr>
          <w:rFonts w:ascii="宋体" w:hAnsi="宋体" w:cs="宋体"/>
          <w:b/>
          <w:bCs/>
          <w:kern w:val="0"/>
          <w:sz w:val="24"/>
          <w:szCs w:val="24"/>
          <w:u w:val="none"/>
        </w:rPr>
      </w:pPr>
      <w:r>
        <w:rPr>
          <w:rFonts w:hint="eastAsia" w:ascii="宋体" w:hAnsi="宋体" w:cs="宋体"/>
          <w:b/>
          <w:bCs/>
          <w:kern w:val="0"/>
          <w:sz w:val="24"/>
          <w:szCs w:val="24"/>
          <w:u w:val="none"/>
          <w:lang w:eastAsia="zh-CN"/>
        </w:rPr>
        <w:t>法定代表人</w:t>
      </w:r>
      <w:r>
        <w:rPr>
          <w:rFonts w:hint="eastAsia" w:ascii="宋体" w:hAnsi="宋体" w:cs="宋体"/>
          <w:b/>
          <w:bCs/>
          <w:kern w:val="0"/>
          <w:sz w:val="24"/>
          <w:szCs w:val="24"/>
          <w:u w:val="none"/>
        </w:rPr>
        <w:t>授权委托书</w:t>
      </w:r>
      <w:r>
        <w:rPr>
          <w:rFonts w:hint="eastAsia" w:ascii="宋体" w:hAnsi="宋体" w:cs="宋体"/>
          <w:b/>
          <w:bCs/>
          <w:sz w:val="24"/>
          <w:szCs w:val="24"/>
          <w:u w:val="none"/>
        </w:rPr>
        <w:t>（格式）</w:t>
      </w:r>
    </w:p>
    <w:p w14:paraId="4C535582">
      <w:pPr>
        <w:autoSpaceDE w:val="0"/>
        <w:autoSpaceDN w:val="0"/>
        <w:adjustRightInd w:val="0"/>
        <w:snapToGrid w:val="0"/>
        <w:spacing w:line="520" w:lineRule="exact"/>
        <w:ind w:firstLine="480" w:firstLineChars="200"/>
        <w:jc w:val="left"/>
        <w:rPr>
          <w:rFonts w:ascii="宋体" w:hAnsi="宋体" w:cs="宋体"/>
          <w:kern w:val="0"/>
          <w:sz w:val="24"/>
          <w:szCs w:val="24"/>
          <w:u w:val="none"/>
        </w:rPr>
      </w:pPr>
      <w:r>
        <w:rPr>
          <w:rFonts w:hint="eastAsia" w:ascii="宋体" w:hAnsi="宋体" w:cs="宋体"/>
          <w:kern w:val="0"/>
          <w:sz w:val="24"/>
          <w:szCs w:val="24"/>
          <w:u w:val="none"/>
        </w:rPr>
        <w:t>本人</w:t>
      </w:r>
      <w:r>
        <w:rPr>
          <w:rFonts w:hint="eastAsia" w:ascii="宋体" w:hAnsi="宋体" w:cs="宋体"/>
          <w:sz w:val="24"/>
          <w:szCs w:val="24"/>
          <w:u w:val="single"/>
        </w:rPr>
        <w:t xml:space="preserve">            </w:t>
      </w:r>
      <w:r>
        <w:rPr>
          <w:rFonts w:hint="eastAsia" w:ascii="宋体" w:hAnsi="宋体" w:cs="宋体"/>
          <w:kern w:val="0"/>
          <w:sz w:val="24"/>
          <w:szCs w:val="24"/>
          <w:u w:val="none"/>
        </w:rPr>
        <w:t xml:space="preserve">（姓名、职务）系 </w:t>
      </w:r>
      <w:r>
        <w:rPr>
          <w:rFonts w:hint="eastAsia" w:ascii="宋体" w:hAnsi="宋体" w:cs="宋体"/>
          <w:sz w:val="24"/>
          <w:szCs w:val="24"/>
          <w:u w:val="single"/>
        </w:rPr>
        <w:t xml:space="preserve">            </w:t>
      </w:r>
      <w:r>
        <w:rPr>
          <w:rFonts w:hint="eastAsia" w:ascii="宋体" w:hAnsi="宋体" w:cs="宋体"/>
          <w:kern w:val="0"/>
          <w:sz w:val="24"/>
          <w:szCs w:val="24"/>
          <w:u w:val="none"/>
        </w:rPr>
        <w:t>（</w:t>
      </w:r>
      <w:r>
        <w:rPr>
          <w:rFonts w:hint="eastAsia" w:ascii="宋体" w:hAnsi="宋体" w:cs="宋体"/>
          <w:sz w:val="24"/>
          <w:szCs w:val="24"/>
          <w:u w:val="none"/>
        </w:rPr>
        <w:t>投标人</w:t>
      </w:r>
      <w:r>
        <w:rPr>
          <w:rFonts w:hint="eastAsia" w:ascii="宋体" w:hAnsi="宋体" w:cs="宋体"/>
          <w:kern w:val="0"/>
          <w:sz w:val="24"/>
          <w:szCs w:val="24"/>
          <w:u w:val="none"/>
        </w:rPr>
        <w:t>名称）的</w:t>
      </w:r>
      <w:r>
        <w:rPr>
          <w:rFonts w:hint="eastAsia" w:ascii="宋体" w:hAnsi="宋体" w:cs="宋体"/>
          <w:kern w:val="0"/>
          <w:sz w:val="24"/>
          <w:szCs w:val="24"/>
          <w:u w:val="none"/>
          <w:lang w:eastAsia="zh-CN"/>
        </w:rPr>
        <w:t>法定代表人</w:t>
      </w:r>
      <w:r>
        <w:rPr>
          <w:rFonts w:hint="eastAsia" w:ascii="宋体" w:hAnsi="宋体" w:cs="宋体"/>
          <w:kern w:val="0"/>
          <w:sz w:val="24"/>
          <w:szCs w:val="24"/>
          <w:u w:val="none"/>
        </w:rPr>
        <w:t>，现授权</w:t>
      </w:r>
      <w:r>
        <w:rPr>
          <w:rFonts w:hint="eastAsia" w:ascii="宋体" w:hAnsi="宋体" w:cs="宋体"/>
          <w:sz w:val="24"/>
          <w:szCs w:val="24"/>
          <w:u w:val="single"/>
        </w:rPr>
        <w:t xml:space="preserve">            </w:t>
      </w:r>
      <w:r>
        <w:rPr>
          <w:rFonts w:hint="eastAsia" w:ascii="宋体" w:hAnsi="宋体" w:cs="宋体"/>
          <w:kern w:val="0"/>
          <w:sz w:val="24"/>
          <w:szCs w:val="24"/>
          <w:u w:val="none"/>
        </w:rPr>
        <w:t>（姓名、职务）为我方代理人。代理人根据授权，以我方名义签署、澄清、说明、补正、递交、撤回、修改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kern w:val="0"/>
          <w:sz w:val="24"/>
          <w:szCs w:val="24"/>
          <w:u w:val="none"/>
        </w:rPr>
        <w:t>（项目名称、项目编号）投标文件、签订合同和处理有关事宜，其法律后果由我方承担。</w:t>
      </w:r>
    </w:p>
    <w:p w14:paraId="53F34E49">
      <w:pPr>
        <w:adjustRightInd w:val="0"/>
        <w:snapToGrid w:val="0"/>
        <w:spacing w:line="520" w:lineRule="exact"/>
        <w:ind w:firstLine="435"/>
        <w:rPr>
          <w:rFonts w:ascii="宋体" w:hAnsi="宋体" w:cs="宋体"/>
          <w:kern w:val="0"/>
          <w:sz w:val="24"/>
          <w:szCs w:val="24"/>
          <w:u w:val="none"/>
        </w:rPr>
      </w:pPr>
      <w:r>
        <w:rPr>
          <w:rFonts w:hint="eastAsia" w:ascii="宋体" w:hAnsi="宋体" w:cs="宋体"/>
          <w:kern w:val="0"/>
          <w:sz w:val="24"/>
          <w:szCs w:val="24"/>
          <w:u w:val="none"/>
        </w:rPr>
        <w:t>代理人无转委托权。</w:t>
      </w:r>
    </w:p>
    <w:p w14:paraId="78DCF2B0">
      <w:pPr>
        <w:adjustRightInd w:val="0"/>
        <w:snapToGrid w:val="0"/>
        <w:spacing w:line="520" w:lineRule="exact"/>
        <w:ind w:firstLine="435"/>
        <w:rPr>
          <w:rFonts w:ascii="宋体" w:hAnsi="宋体" w:cs="宋体"/>
          <w:sz w:val="24"/>
          <w:szCs w:val="24"/>
          <w:u w:val="none"/>
        </w:rPr>
      </w:pPr>
      <w:r>
        <w:rPr>
          <w:rFonts w:hint="eastAsia" w:ascii="宋体" w:hAnsi="宋体" w:cs="宋体"/>
          <w:sz w:val="24"/>
          <w:szCs w:val="24"/>
          <w:u w:val="none"/>
        </w:rPr>
        <w:t>本授权书于</w:t>
      </w:r>
      <w:r>
        <w:rPr>
          <w:rFonts w:hint="eastAsia" w:ascii="宋体" w:hAnsi="宋体" w:cs="宋体"/>
          <w:kern w:val="0"/>
          <w:sz w:val="24"/>
          <w:szCs w:val="24"/>
          <w:u w:val="single"/>
        </w:rPr>
        <w:t xml:space="preserve">      </w:t>
      </w:r>
      <w:r>
        <w:rPr>
          <w:rFonts w:hint="eastAsia" w:ascii="宋体" w:hAnsi="宋体" w:cs="宋体"/>
          <w:kern w:val="0"/>
          <w:sz w:val="24"/>
          <w:szCs w:val="24"/>
          <w:u w:val="none"/>
        </w:rPr>
        <w:t>年</w:t>
      </w:r>
      <w:r>
        <w:rPr>
          <w:rFonts w:hint="eastAsia" w:ascii="宋体" w:hAnsi="宋体" w:cs="宋体"/>
          <w:kern w:val="0"/>
          <w:sz w:val="24"/>
          <w:szCs w:val="24"/>
          <w:u w:val="single"/>
        </w:rPr>
        <w:t xml:space="preserve">      </w:t>
      </w:r>
      <w:r>
        <w:rPr>
          <w:rFonts w:hint="eastAsia" w:ascii="宋体" w:hAnsi="宋体" w:cs="宋体"/>
          <w:kern w:val="0"/>
          <w:sz w:val="24"/>
          <w:szCs w:val="24"/>
          <w:u w:val="none"/>
        </w:rPr>
        <w:t>月</w:t>
      </w:r>
      <w:r>
        <w:rPr>
          <w:rFonts w:hint="eastAsia" w:ascii="宋体" w:hAnsi="宋体" w:cs="宋体"/>
          <w:kern w:val="0"/>
          <w:sz w:val="24"/>
          <w:szCs w:val="24"/>
          <w:u w:val="single"/>
        </w:rPr>
        <w:t xml:space="preserve">      </w:t>
      </w:r>
      <w:r>
        <w:rPr>
          <w:rFonts w:hint="eastAsia" w:ascii="宋体" w:hAnsi="宋体" w:cs="宋体"/>
          <w:kern w:val="0"/>
          <w:sz w:val="24"/>
          <w:szCs w:val="24"/>
          <w:u w:val="none"/>
        </w:rPr>
        <w:t>日</w:t>
      </w:r>
      <w:r>
        <w:rPr>
          <w:rFonts w:hint="eastAsia" w:ascii="宋体" w:hAnsi="宋体" w:cs="宋体"/>
          <w:sz w:val="24"/>
          <w:szCs w:val="24"/>
          <w:u w:val="none"/>
        </w:rPr>
        <w:t>签字生效，特此声明。</w:t>
      </w:r>
    </w:p>
    <w:p w14:paraId="23B5386A">
      <w:pPr>
        <w:pStyle w:val="37"/>
        <w:rPr>
          <w:u w:val="none"/>
        </w:rPr>
      </w:pP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CE4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676C800B">
            <w:pPr>
              <w:adjustRightInd w:val="0"/>
              <w:snapToGrid w:val="0"/>
              <w:spacing w:line="400" w:lineRule="exact"/>
              <w:jc w:val="center"/>
              <w:rPr>
                <w:rFonts w:ascii="宋体" w:hAnsi="宋体" w:cs="宋体"/>
                <w:sz w:val="24"/>
                <w:szCs w:val="24"/>
                <w:u w:val="none"/>
              </w:rPr>
            </w:pPr>
            <w:r>
              <w:rPr>
                <w:rFonts w:hint="eastAsia" w:ascii="宋体" w:hAnsi="宋体" w:cs="宋体"/>
                <w:sz w:val="24"/>
                <w:szCs w:val="24"/>
                <w:u w:val="none"/>
                <w:lang w:eastAsia="zh-CN"/>
              </w:rPr>
              <w:t>法定代表人</w:t>
            </w:r>
            <w:r>
              <w:rPr>
                <w:rFonts w:hint="eastAsia" w:ascii="宋体" w:hAnsi="宋体" w:cs="宋体"/>
                <w:sz w:val="24"/>
                <w:szCs w:val="24"/>
                <w:u w:val="none"/>
              </w:rPr>
              <w:t>身份证复印件</w:t>
            </w:r>
          </w:p>
        </w:tc>
      </w:tr>
    </w:tbl>
    <w:p w14:paraId="15AEADEC">
      <w:pPr>
        <w:adjustRightInd w:val="0"/>
        <w:snapToGrid w:val="0"/>
        <w:spacing w:line="400" w:lineRule="exact"/>
        <w:ind w:firstLine="480" w:firstLineChars="200"/>
        <w:rPr>
          <w:rFonts w:ascii="宋体" w:hAnsi="宋体" w:cs="宋体"/>
          <w:sz w:val="24"/>
          <w:szCs w:val="24"/>
          <w:u w:val="none"/>
        </w:rPr>
      </w:pP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8AB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11439562">
            <w:pPr>
              <w:adjustRightInd w:val="0"/>
              <w:snapToGrid w:val="0"/>
              <w:spacing w:line="400" w:lineRule="exact"/>
              <w:jc w:val="center"/>
              <w:rPr>
                <w:rFonts w:ascii="宋体" w:hAnsi="宋体" w:cs="宋体"/>
                <w:sz w:val="24"/>
                <w:szCs w:val="24"/>
                <w:u w:val="none"/>
              </w:rPr>
            </w:pPr>
            <w:r>
              <w:rPr>
                <w:rFonts w:hint="eastAsia" w:ascii="宋体" w:hAnsi="宋体" w:cs="宋体"/>
                <w:sz w:val="24"/>
                <w:szCs w:val="24"/>
                <w:u w:val="none"/>
              </w:rPr>
              <w:t>委托代理人身份证复印件</w:t>
            </w:r>
          </w:p>
        </w:tc>
      </w:tr>
    </w:tbl>
    <w:p w14:paraId="4EC61C07">
      <w:pPr>
        <w:adjustRightInd w:val="0"/>
        <w:snapToGrid w:val="0"/>
        <w:spacing w:line="520" w:lineRule="exact"/>
        <w:rPr>
          <w:rFonts w:ascii="宋体" w:hAnsi="宋体" w:cs="宋体"/>
          <w:sz w:val="24"/>
          <w:szCs w:val="24"/>
          <w:u w:val="none"/>
        </w:rPr>
      </w:pPr>
    </w:p>
    <w:p w14:paraId="78ADC841">
      <w:pPr>
        <w:adjustRightInd w:val="0"/>
        <w:snapToGrid w:val="0"/>
        <w:spacing w:line="520" w:lineRule="exact"/>
        <w:rPr>
          <w:rFonts w:ascii="宋体" w:hAnsi="宋体" w:cs="宋体"/>
          <w:sz w:val="24"/>
          <w:szCs w:val="24"/>
          <w:u w:val="none"/>
        </w:rPr>
      </w:pPr>
      <w:r>
        <w:rPr>
          <w:rFonts w:hint="eastAsia" w:ascii="宋体" w:hAnsi="宋体" w:cs="宋体"/>
          <w:sz w:val="24"/>
          <w:szCs w:val="24"/>
          <w:u w:val="none"/>
        </w:rPr>
        <w:t>投标人名称（单位章）：</w:t>
      </w:r>
      <w:r>
        <w:rPr>
          <w:rFonts w:hint="eastAsia" w:ascii="宋体" w:hAnsi="宋体" w:cs="宋体"/>
          <w:sz w:val="24"/>
          <w:szCs w:val="24"/>
          <w:u w:val="single"/>
        </w:rPr>
        <w:t xml:space="preserve">           </w:t>
      </w:r>
    </w:p>
    <w:p w14:paraId="2162007C">
      <w:pPr>
        <w:adjustRightInd w:val="0"/>
        <w:snapToGrid w:val="0"/>
        <w:spacing w:line="520" w:lineRule="exact"/>
        <w:ind w:right="420"/>
        <w:rPr>
          <w:rFonts w:ascii="宋体" w:hAnsi="宋体" w:cs="宋体"/>
          <w:sz w:val="24"/>
          <w:szCs w:val="24"/>
          <w:u w:val="none"/>
        </w:rPr>
      </w:pPr>
      <w:r>
        <w:rPr>
          <w:rFonts w:hint="eastAsia" w:ascii="宋体" w:hAnsi="宋体" w:cs="宋体"/>
          <w:sz w:val="24"/>
          <w:szCs w:val="24"/>
          <w:u w:val="none"/>
          <w:lang w:eastAsia="zh-CN"/>
        </w:rPr>
        <w:t>法定代表人</w:t>
      </w:r>
      <w:r>
        <w:rPr>
          <w:rFonts w:hint="eastAsia" w:ascii="宋体" w:hAnsi="宋体" w:cs="宋体"/>
          <w:sz w:val="24"/>
          <w:szCs w:val="24"/>
          <w:u w:val="none"/>
        </w:rPr>
        <w:t>（签字</w:t>
      </w:r>
      <w:r>
        <w:rPr>
          <w:rFonts w:hint="eastAsia" w:ascii="宋体" w:hAnsi="宋体" w:cs="宋体"/>
          <w:sz w:val="24"/>
          <w:szCs w:val="24"/>
          <w:u w:val="none"/>
          <w:lang w:eastAsia="zh-CN"/>
        </w:rPr>
        <w:t>或盖章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14:paraId="4510C284">
      <w:pPr>
        <w:adjustRightInd w:val="0"/>
        <w:snapToGrid w:val="0"/>
        <w:spacing w:line="520" w:lineRule="exact"/>
        <w:ind w:right="420"/>
        <w:rPr>
          <w:rFonts w:ascii="宋体" w:hAnsi="宋体" w:cs="宋体"/>
          <w:sz w:val="24"/>
          <w:szCs w:val="24"/>
          <w:u w:val="none"/>
        </w:rPr>
      </w:pPr>
      <w:r>
        <w:rPr>
          <w:rFonts w:hint="eastAsia" w:ascii="宋体" w:hAnsi="宋体" w:cs="宋体"/>
          <w:sz w:val="24"/>
          <w:szCs w:val="24"/>
          <w:u w:val="none"/>
        </w:rPr>
        <w:t>委托代理人（签字</w:t>
      </w:r>
      <w:r>
        <w:rPr>
          <w:rFonts w:hint="eastAsia" w:ascii="宋体" w:hAnsi="宋体" w:cs="宋体"/>
          <w:sz w:val="24"/>
          <w:szCs w:val="24"/>
          <w:u w:val="none"/>
          <w:lang w:eastAsia="zh-CN"/>
        </w:rPr>
        <w:t>或盖章</w:t>
      </w:r>
      <w:r>
        <w:rPr>
          <w:rFonts w:hint="eastAsia" w:ascii="宋体" w:hAnsi="宋体" w:cs="宋体"/>
          <w:sz w:val="24"/>
          <w:szCs w:val="24"/>
          <w:u w:val="none"/>
        </w:rPr>
        <w:t xml:space="preserve">）： </w:t>
      </w:r>
      <w:r>
        <w:rPr>
          <w:rFonts w:hint="eastAsia" w:ascii="宋体" w:hAnsi="宋体" w:cs="宋体"/>
          <w:sz w:val="24"/>
          <w:szCs w:val="24"/>
          <w:u w:val="single"/>
        </w:rPr>
        <w:t xml:space="preserve">            </w:t>
      </w:r>
    </w:p>
    <w:p w14:paraId="0F3A5653">
      <w:pPr>
        <w:adjustRightInd w:val="0"/>
        <w:snapToGrid w:val="0"/>
        <w:spacing w:line="400" w:lineRule="exact"/>
        <w:rPr>
          <w:rFonts w:ascii="宋体" w:hAnsi="宋体" w:cs="宋体"/>
          <w:b/>
          <w:bCs/>
          <w:sz w:val="24"/>
          <w:szCs w:val="24"/>
          <w:u w:val="none"/>
        </w:rPr>
      </w:pPr>
      <w:r>
        <w:rPr>
          <w:rFonts w:hint="eastAsia" w:ascii="宋体" w:hAnsi="宋体" w:cs="宋体"/>
          <w:sz w:val="24"/>
          <w:szCs w:val="24"/>
          <w:u w:val="none"/>
        </w:rPr>
        <w:t>日期：</w:t>
      </w:r>
      <w:r>
        <w:rPr>
          <w:rFonts w:hint="eastAsia" w:ascii="宋体" w:hAnsi="宋体" w:cs="宋体"/>
          <w:kern w:val="0"/>
          <w:sz w:val="24"/>
          <w:szCs w:val="24"/>
          <w:u w:val="single"/>
        </w:rPr>
        <w:t xml:space="preserve">      </w:t>
      </w:r>
      <w:r>
        <w:rPr>
          <w:rFonts w:hint="eastAsia" w:ascii="宋体" w:hAnsi="宋体" w:cs="宋体"/>
          <w:kern w:val="0"/>
          <w:sz w:val="24"/>
          <w:szCs w:val="24"/>
          <w:u w:val="none"/>
        </w:rPr>
        <w:t>年</w:t>
      </w:r>
      <w:r>
        <w:rPr>
          <w:rFonts w:hint="eastAsia" w:ascii="宋体" w:hAnsi="宋体" w:cs="宋体"/>
          <w:kern w:val="0"/>
          <w:sz w:val="24"/>
          <w:szCs w:val="24"/>
          <w:u w:val="single"/>
        </w:rPr>
        <w:t xml:space="preserve">      </w:t>
      </w:r>
      <w:r>
        <w:rPr>
          <w:rFonts w:hint="eastAsia" w:ascii="宋体" w:hAnsi="宋体" w:cs="宋体"/>
          <w:kern w:val="0"/>
          <w:sz w:val="24"/>
          <w:szCs w:val="24"/>
          <w:u w:val="none"/>
        </w:rPr>
        <w:t>月</w:t>
      </w:r>
      <w:r>
        <w:rPr>
          <w:rFonts w:hint="eastAsia" w:ascii="宋体" w:hAnsi="宋体" w:cs="宋体"/>
          <w:kern w:val="0"/>
          <w:sz w:val="24"/>
          <w:szCs w:val="24"/>
          <w:u w:val="single"/>
        </w:rPr>
        <w:t xml:space="preserve">      </w:t>
      </w:r>
      <w:r>
        <w:rPr>
          <w:rFonts w:hint="eastAsia" w:ascii="宋体" w:hAnsi="宋体" w:cs="宋体"/>
          <w:kern w:val="0"/>
          <w:sz w:val="24"/>
          <w:szCs w:val="24"/>
          <w:u w:val="none"/>
        </w:rPr>
        <w:t>日</w:t>
      </w:r>
    </w:p>
    <w:p w14:paraId="33AF18BB">
      <w:pPr>
        <w:pStyle w:val="7"/>
        <w:ind w:left="0" w:leftChars="0"/>
        <w:rPr>
          <w:rFonts w:ascii="宋体" w:hAnsi="宋体" w:cs="Arial"/>
          <w:b/>
          <w:sz w:val="24"/>
          <w:szCs w:val="24"/>
          <w:u w:val="none"/>
        </w:rPr>
      </w:pPr>
    </w:p>
    <w:p w14:paraId="39794C27">
      <w:pPr>
        <w:adjustRightInd w:val="0"/>
        <w:snapToGrid w:val="0"/>
        <w:spacing w:line="600" w:lineRule="exact"/>
        <w:jc w:val="center"/>
        <w:outlineLvl w:val="9"/>
        <w:rPr>
          <w:rFonts w:hint="eastAsia" w:ascii="宋体" w:hAnsi="宋体" w:cs="宋体"/>
          <w:b/>
          <w:sz w:val="24"/>
          <w:szCs w:val="24"/>
          <w:u w:val="none"/>
        </w:rPr>
        <w:sectPr>
          <w:pgSz w:w="11906" w:h="16838"/>
          <w:pgMar w:top="1440" w:right="1800" w:bottom="1440" w:left="1800" w:header="851" w:footer="992" w:gutter="0"/>
          <w:pgNumType w:fmt="decimal"/>
          <w:cols w:space="720" w:num="1"/>
          <w:docGrid w:type="lines" w:linePitch="312" w:charSpace="0"/>
        </w:sectPr>
      </w:pPr>
      <w:bookmarkStart w:id="65" w:name="_Toc7120"/>
      <w:bookmarkStart w:id="66" w:name="_Toc25954"/>
      <w:bookmarkStart w:id="67" w:name="_Toc20771"/>
      <w:bookmarkStart w:id="68" w:name="_Toc28707"/>
      <w:bookmarkStart w:id="69" w:name="_Toc14087_WPSOffice_Level1"/>
      <w:bookmarkStart w:id="70" w:name="_Toc25227"/>
      <w:bookmarkStart w:id="71" w:name="_Toc18576"/>
      <w:bookmarkStart w:id="72" w:name="_Toc16393"/>
      <w:bookmarkStart w:id="73" w:name="_Toc6660"/>
      <w:bookmarkStart w:id="74" w:name="_Toc30649"/>
      <w:bookmarkStart w:id="75" w:name="_Toc21979"/>
      <w:bookmarkStart w:id="76" w:name="_Toc17881"/>
      <w:bookmarkStart w:id="77" w:name="_Toc19020_WPSOffice_Level1"/>
      <w:bookmarkStart w:id="78" w:name="_Toc7428"/>
      <w:bookmarkStart w:id="79" w:name="_Toc22742"/>
      <w:bookmarkStart w:id="80" w:name="_Toc10458"/>
      <w:bookmarkStart w:id="81" w:name="_Toc18609"/>
    </w:p>
    <w:p w14:paraId="304C8E78">
      <w:pPr>
        <w:adjustRightInd w:val="0"/>
        <w:snapToGrid w:val="0"/>
        <w:spacing w:line="600" w:lineRule="exact"/>
        <w:jc w:val="center"/>
        <w:outlineLvl w:val="0"/>
        <w:rPr>
          <w:rFonts w:ascii="宋体" w:hAnsi="宋体" w:cs="宋体"/>
          <w:b/>
          <w:sz w:val="24"/>
          <w:szCs w:val="24"/>
          <w:u w:val="none"/>
        </w:rPr>
      </w:pPr>
      <w:bookmarkStart w:id="82" w:name="_Toc15868"/>
      <w:bookmarkStart w:id="83" w:name="_Toc13117"/>
      <w:r>
        <w:rPr>
          <w:rFonts w:hint="eastAsia" w:ascii="宋体" w:hAnsi="宋体" w:cs="宋体"/>
          <w:b/>
          <w:sz w:val="24"/>
          <w:szCs w:val="24"/>
          <w:u w:val="none"/>
        </w:rPr>
        <w:t>投标函</w:t>
      </w:r>
      <w:bookmarkEnd w:id="65"/>
      <w:bookmarkEnd w:id="66"/>
      <w:bookmarkEnd w:id="67"/>
      <w:bookmarkEnd w:id="68"/>
      <w:bookmarkEnd w:id="69"/>
      <w:bookmarkEnd w:id="70"/>
      <w:r>
        <w:rPr>
          <w:rFonts w:hint="eastAsia" w:ascii="宋体" w:hAnsi="宋体" w:cs="宋体"/>
          <w:b/>
          <w:sz w:val="24"/>
          <w:szCs w:val="24"/>
          <w:u w:val="none"/>
        </w:rPr>
        <w:t>（格式）</w:t>
      </w:r>
      <w:bookmarkEnd w:id="71"/>
      <w:bookmarkEnd w:id="72"/>
      <w:bookmarkEnd w:id="73"/>
      <w:bookmarkEnd w:id="74"/>
      <w:bookmarkEnd w:id="75"/>
      <w:bookmarkEnd w:id="82"/>
      <w:bookmarkEnd w:id="83"/>
    </w:p>
    <w:p w14:paraId="0D988BAC">
      <w:pPr>
        <w:adjustRightInd w:val="0"/>
        <w:snapToGrid w:val="0"/>
        <w:spacing w:line="480" w:lineRule="exact"/>
        <w:rPr>
          <w:rFonts w:ascii="宋体" w:hAnsi="宋体" w:cs="宋体"/>
          <w:sz w:val="24"/>
          <w:szCs w:val="24"/>
          <w:u w:val="none"/>
        </w:rPr>
      </w:pPr>
      <w:r>
        <w:rPr>
          <w:rFonts w:hint="eastAsia" w:ascii="宋体" w:hAnsi="宋体" w:cs="宋体"/>
          <w:sz w:val="24"/>
          <w:szCs w:val="24"/>
          <w:u w:val="none"/>
        </w:rPr>
        <w:t>致：</w:t>
      </w:r>
      <w:r>
        <w:rPr>
          <w:rFonts w:hint="eastAsia" w:ascii="宋体" w:hAnsi="宋体" w:cs="宋体"/>
          <w:sz w:val="24"/>
          <w:szCs w:val="24"/>
          <w:u w:val="single"/>
        </w:rPr>
        <w:t xml:space="preserve">            </w:t>
      </w:r>
      <w:r>
        <w:rPr>
          <w:rFonts w:hint="eastAsia" w:ascii="宋体" w:hAnsi="宋体" w:cs="宋体"/>
          <w:sz w:val="24"/>
          <w:szCs w:val="24"/>
          <w:u w:val="none"/>
        </w:rPr>
        <w:t>（采购代理机构）：</w:t>
      </w:r>
    </w:p>
    <w:p w14:paraId="64283CB3">
      <w:pPr>
        <w:adjustRightInd w:val="0"/>
        <w:snapToGrid w:val="0"/>
        <w:spacing w:line="480" w:lineRule="exact"/>
        <w:ind w:firstLine="435"/>
        <w:rPr>
          <w:rFonts w:ascii="宋体" w:hAnsi="宋体" w:cs="宋体"/>
          <w:sz w:val="24"/>
          <w:szCs w:val="24"/>
          <w:u w:val="none"/>
        </w:rPr>
      </w:pPr>
      <w:r>
        <w:rPr>
          <w:rFonts w:hint="eastAsia" w:ascii="宋体" w:hAnsi="宋体" w:cs="宋体"/>
          <w:sz w:val="24"/>
          <w:szCs w:val="24"/>
          <w:u w:val="none"/>
        </w:rPr>
        <w:t xml:space="preserve">根据贵方的 </w:t>
      </w:r>
      <w:r>
        <w:rPr>
          <w:rFonts w:hint="eastAsia" w:ascii="宋体" w:hAnsi="宋体" w:cs="宋体"/>
          <w:sz w:val="24"/>
          <w:szCs w:val="24"/>
          <w:u w:val="single"/>
        </w:rPr>
        <w:t xml:space="preserve">            </w:t>
      </w:r>
      <w:r>
        <w:rPr>
          <w:rFonts w:hint="eastAsia" w:ascii="宋体" w:hAnsi="宋体" w:cs="宋体"/>
          <w:sz w:val="24"/>
          <w:szCs w:val="24"/>
          <w:u w:val="none"/>
        </w:rPr>
        <w:t>（项目名称、项目编号）的招标文件，签字代表         （姓名、职务）经正式授权并代表投标人</w:t>
      </w:r>
      <w:r>
        <w:rPr>
          <w:rFonts w:hint="eastAsia" w:ascii="宋体" w:hAnsi="宋体" w:cs="宋体"/>
          <w:sz w:val="24"/>
          <w:szCs w:val="24"/>
          <w:u w:val="single"/>
        </w:rPr>
        <w:t xml:space="preserve">            </w:t>
      </w:r>
      <w:r>
        <w:rPr>
          <w:rFonts w:hint="eastAsia" w:ascii="宋体" w:hAnsi="宋体" w:cs="宋体"/>
          <w:sz w:val="24"/>
          <w:szCs w:val="24"/>
          <w:u w:val="none"/>
        </w:rPr>
        <w:t>（投标人名称、地址）提交本项目投标文件，并在此声明，所递交的投标文件内容完整、真实。</w:t>
      </w:r>
    </w:p>
    <w:p w14:paraId="2F0AB66F">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在此，签字代表宣布同意如下：</w:t>
      </w:r>
    </w:p>
    <w:p w14:paraId="0BB6014E">
      <w:pPr>
        <w:adjustRightInd w:val="0"/>
        <w:snapToGrid w:val="0"/>
        <w:spacing w:line="480" w:lineRule="exact"/>
        <w:rPr>
          <w:rFonts w:ascii="宋体" w:hAnsi="宋体" w:cs="宋体"/>
          <w:sz w:val="24"/>
          <w:szCs w:val="24"/>
          <w:u w:val="none"/>
        </w:rPr>
      </w:pPr>
      <w:r>
        <w:rPr>
          <w:rFonts w:hint="eastAsia" w:ascii="宋体" w:hAnsi="宋体" w:cs="宋体"/>
          <w:sz w:val="24"/>
          <w:szCs w:val="24"/>
          <w:u w:val="none"/>
        </w:rPr>
        <w:t xml:space="preserve">    1、投标人将按招标文件的规定履行合同责任和义务。</w:t>
      </w:r>
    </w:p>
    <w:p w14:paraId="47B6BA15">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2、投标人已详细审查全部招标文件。我们完全理解并同意放弃对这方面有不明及误解的权力。</w:t>
      </w:r>
    </w:p>
    <w:p w14:paraId="2FCAD3D4">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3、本投标有效期为自招标文件规定的提交投标文件截止之日起</w:t>
      </w:r>
      <w:r>
        <w:rPr>
          <w:rFonts w:hint="eastAsia" w:ascii="宋体" w:hAnsi="宋体" w:cs="宋体"/>
          <w:i w:val="0"/>
          <w:iCs w:val="0"/>
          <w:sz w:val="24"/>
          <w:szCs w:val="24"/>
          <w:u w:val="single"/>
        </w:rPr>
        <w:t xml:space="preserve">      </w:t>
      </w:r>
      <w:r>
        <w:rPr>
          <w:rFonts w:hint="eastAsia" w:ascii="宋体" w:hAnsi="宋体" w:cs="宋体"/>
          <w:sz w:val="24"/>
          <w:szCs w:val="24"/>
          <w:u w:val="none"/>
        </w:rPr>
        <w:t>日历天。在投标有效期内我方同意遵守本投标文件中的承诺且在此期限期满之前投标文件对我方具有法律约束力。</w:t>
      </w:r>
    </w:p>
    <w:p w14:paraId="020D8FF5">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4、根据第</w:t>
      </w:r>
      <w:r>
        <w:rPr>
          <w:rFonts w:hint="eastAsia" w:ascii="宋体" w:hAnsi="宋体" w:cs="宋体"/>
          <w:sz w:val="24"/>
          <w:szCs w:val="24"/>
          <w:u w:val="none"/>
          <w:lang w:eastAsia="zh-CN"/>
        </w:rPr>
        <w:t>二</w:t>
      </w:r>
      <w:r>
        <w:rPr>
          <w:rFonts w:hint="eastAsia" w:ascii="宋体" w:hAnsi="宋体" w:cs="宋体"/>
          <w:sz w:val="24"/>
          <w:szCs w:val="24"/>
          <w:u w:val="none"/>
        </w:rPr>
        <w:t>章“投标须知”第3条规定，我方承诺：</w:t>
      </w:r>
    </w:p>
    <w:p w14:paraId="15799D4B">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（1） 我们在参加本项目政府采购活动前</w:t>
      </w:r>
      <w:r>
        <w:rPr>
          <w:rFonts w:hint="eastAsia" w:ascii="宋体" w:hAnsi="宋体" w:cs="宋体"/>
          <w:sz w:val="24"/>
          <w:szCs w:val="24"/>
          <w:u w:val="none"/>
          <w:lang w:eastAsia="zh-CN"/>
        </w:rPr>
        <w:t>自合同协议书签订之日起至全过程工程咨询服务各项内容完成止</w:t>
      </w:r>
      <w:r>
        <w:rPr>
          <w:rFonts w:hint="eastAsia" w:ascii="宋体" w:hAnsi="宋体" w:cs="宋体"/>
          <w:sz w:val="24"/>
          <w:szCs w:val="24"/>
          <w:u w:val="none"/>
        </w:rPr>
        <w:t>内，在经营活动中没有违背法律的行为；</w:t>
      </w:r>
    </w:p>
    <w:p w14:paraId="32CE2279">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（2） 我们依照有关法律的规定，没有偷税、漏税的行为，没有逃避缴纳社会保险资金的行为；</w:t>
      </w:r>
    </w:p>
    <w:p w14:paraId="73164FDF">
      <w:pPr>
        <w:adjustRightInd w:val="0"/>
        <w:snapToGrid w:val="0"/>
        <w:spacing w:line="480" w:lineRule="exact"/>
        <w:ind w:firstLine="480" w:firstLineChars="200"/>
        <w:rPr>
          <w:rFonts w:ascii="宋体" w:hAnsi="宋体" w:cs="宋体"/>
          <w:spacing w:val="-4"/>
          <w:sz w:val="24"/>
          <w:szCs w:val="24"/>
          <w:u w:val="none"/>
        </w:rPr>
      </w:pPr>
      <w:r>
        <w:rPr>
          <w:rFonts w:hint="eastAsia" w:ascii="宋体" w:hAnsi="宋体" w:cs="宋体"/>
          <w:sz w:val="24"/>
          <w:szCs w:val="24"/>
          <w:u w:val="none"/>
        </w:rPr>
        <w:t xml:space="preserve">（3） </w:t>
      </w:r>
      <w:r>
        <w:rPr>
          <w:rFonts w:hint="eastAsia" w:ascii="宋体" w:hAnsi="宋体" w:cs="宋体"/>
          <w:spacing w:val="-4"/>
          <w:sz w:val="24"/>
          <w:szCs w:val="24"/>
          <w:u w:val="none"/>
        </w:rPr>
        <w:t>与采购人和采购代理机构</w:t>
      </w:r>
      <w:r>
        <w:rPr>
          <w:rFonts w:hint="eastAsia" w:ascii="宋体" w:hAnsi="宋体" w:cs="宋体"/>
          <w:bCs/>
          <w:spacing w:val="-4"/>
          <w:sz w:val="24"/>
          <w:szCs w:val="24"/>
          <w:u w:val="none"/>
        </w:rPr>
        <w:t>无任何的隶属关系或者其他利害关系</w:t>
      </w:r>
      <w:r>
        <w:rPr>
          <w:rFonts w:hint="eastAsia" w:ascii="宋体" w:hAnsi="宋体" w:cs="宋体"/>
          <w:spacing w:val="-4"/>
          <w:sz w:val="24"/>
          <w:szCs w:val="24"/>
          <w:u w:val="none"/>
        </w:rPr>
        <w:t>。</w:t>
      </w:r>
    </w:p>
    <w:p w14:paraId="07696E6A">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 xml:space="preserve">5、同意提供贵方可能要求的与其投标有关的一切数据或资料。 </w:t>
      </w:r>
    </w:p>
    <w:p w14:paraId="61AF9681">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6、否决投标后，在收到贵方的通知后，我方本投标函及所有投标文件中声明、授权、承诺、盖章签字等，对于贵方采用竞争性谈判采购仍然有效。我方遵守贵方招标文件关于特殊情形采用竞争性谈判采购的有关规定，并无异议。</w:t>
      </w:r>
    </w:p>
    <w:p w14:paraId="4AA5BE09">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7、与本投标有关的一切正式往来信函请寄：</w:t>
      </w:r>
    </w:p>
    <w:p w14:paraId="7356A00C">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地址：</w:t>
      </w:r>
      <w:r>
        <w:rPr>
          <w:rFonts w:hint="eastAsia" w:ascii="宋体" w:hAnsi="宋体" w:cs="宋体"/>
          <w:sz w:val="24"/>
          <w:szCs w:val="24"/>
          <w:u w:val="single"/>
        </w:rPr>
        <w:t xml:space="preserve">            </w:t>
      </w:r>
      <w:r>
        <w:rPr>
          <w:rFonts w:hint="eastAsia" w:ascii="宋体" w:hAnsi="宋体" w:cs="宋体"/>
          <w:sz w:val="24"/>
          <w:szCs w:val="24"/>
          <w:u w:val="none"/>
        </w:rPr>
        <w:t xml:space="preserve">  邮编：</w:t>
      </w:r>
      <w:r>
        <w:rPr>
          <w:rFonts w:hint="eastAsia" w:ascii="宋体" w:hAnsi="宋体" w:cs="宋体"/>
          <w:sz w:val="24"/>
          <w:szCs w:val="24"/>
          <w:u w:val="single"/>
        </w:rPr>
        <w:t xml:space="preserve">            </w:t>
      </w:r>
    </w:p>
    <w:p w14:paraId="511CA310">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电话：</w:t>
      </w:r>
      <w:r>
        <w:rPr>
          <w:rFonts w:hint="eastAsia" w:ascii="宋体" w:hAnsi="宋体" w:cs="宋体"/>
          <w:sz w:val="24"/>
          <w:szCs w:val="24"/>
          <w:u w:val="single"/>
        </w:rPr>
        <w:t xml:space="preserve">            </w:t>
      </w:r>
      <w:r>
        <w:rPr>
          <w:rFonts w:hint="eastAsia" w:ascii="宋体" w:hAnsi="宋体" w:cs="宋体"/>
          <w:sz w:val="24"/>
          <w:szCs w:val="24"/>
          <w:u w:val="none"/>
        </w:rPr>
        <w:t xml:space="preserve">  传真：</w:t>
      </w:r>
      <w:r>
        <w:rPr>
          <w:rFonts w:hint="eastAsia" w:ascii="宋体" w:hAnsi="宋体" w:cs="宋体"/>
          <w:sz w:val="24"/>
          <w:szCs w:val="24"/>
          <w:u w:val="single"/>
        </w:rPr>
        <w:t xml:space="preserve">            </w:t>
      </w:r>
    </w:p>
    <w:p w14:paraId="392293D2">
      <w:pPr>
        <w:pStyle w:val="15"/>
        <w:adjustRightInd w:val="0"/>
        <w:snapToGrid w:val="0"/>
        <w:spacing w:line="480" w:lineRule="exact"/>
        <w:ind w:firstLine="480" w:firstLineChars="200"/>
        <w:rPr>
          <w:rFonts w:hAnsi="宋体" w:cs="宋体"/>
          <w:sz w:val="24"/>
          <w:szCs w:val="24"/>
          <w:u w:val="none"/>
        </w:rPr>
      </w:pPr>
      <w:r>
        <w:rPr>
          <w:rFonts w:hint="eastAsia" w:hAnsi="宋体" w:cs="宋体"/>
          <w:sz w:val="24"/>
          <w:szCs w:val="24"/>
          <w:u w:val="none"/>
        </w:rPr>
        <w:t>投标人名称（盖章）：</w:t>
      </w:r>
      <w:r>
        <w:rPr>
          <w:rFonts w:hint="eastAsia" w:ascii="宋体" w:hAnsi="宋体" w:cs="宋体"/>
          <w:sz w:val="24"/>
          <w:szCs w:val="24"/>
          <w:u w:val="single"/>
        </w:rPr>
        <w:t xml:space="preserve">            </w:t>
      </w:r>
    </w:p>
    <w:p w14:paraId="74D76B0C">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lang w:eastAsia="zh-CN"/>
        </w:rPr>
        <w:t>法定代表人</w:t>
      </w:r>
      <w:r>
        <w:rPr>
          <w:rFonts w:hint="eastAsia" w:ascii="宋体" w:hAnsi="宋体" w:cs="宋体"/>
          <w:sz w:val="24"/>
          <w:szCs w:val="24"/>
          <w:u w:val="none"/>
        </w:rPr>
        <w:t>或其授权的代理人（签字</w:t>
      </w:r>
      <w:r>
        <w:rPr>
          <w:rFonts w:hint="eastAsia" w:ascii="宋体" w:hAnsi="宋体" w:cs="宋体"/>
          <w:sz w:val="24"/>
          <w:szCs w:val="24"/>
          <w:u w:val="none"/>
          <w:lang w:eastAsia="zh-CN"/>
        </w:rPr>
        <w:t>或盖章</w:t>
      </w:r>
      <w:r>
        <w:rPr>
          <w:rFonts w:hint="eastAsia" w:ascii="宋体" w:hAnsi="宋体" w:cs="宋体"/>
          <w:sz w:val="24"/>
          <w:szCs w:val="24"/>
          <w:u w:val="none"/>
        </w:rPr>
        <w:t>）：</w:t>
      </w:r>
      <w:r>
        <w:rPr>
          <w:rFonts w:hint="eastAsia" w:ascii="宋体" w:hAnsi="宋体" w:cs="宋体"/>
          <w:sz w:val="24"/>
          <w:szCs w:val="24"/>
          <w:u w:val="single"/>
        </w:rPr>
        <w:t xml:space="preserve">            </w:t>
      </w:r>
      <w:r>
        <w:rPr>
          <w:rFonts w:hint="eastAsia" w:ascii="宋体" w:hAnsi="宋体" w:cs="宋体"/>
          <w:sz w:val="24"/>
          <w:szCs w:val="24"/>
          <w:u w:val="none"/>
        </w:rPr>
        <w:t xml:space="preserve"> </w:t>
      </w:r>
    </w:p>
    <w:p w14:paraId="46937DCD">
      <w:pPr>
        <w:adjustRightInd w:val="0"/>
        <w:snapToGrid w:val="0"/>
        <w:spacing w:line="480" w:lineRule="exact"/>
        <w:ind w:firstLine="480" w:firstLineChars="200"/>
        <w:rPr>
          <w:rFonts w:ascii="宋体" w:hAnsi="宋体" w:cs="宋体"/>
          <w:sz w:val="24"/>
          <w:szCs w:val="24"/>
          <w:u w:val="none"/>
        </w:rPr>
      </w:pPr>
      <w:r>
        <w:rPr>
          <w:rFonts w:hint="eastAsia" w:ascii="宋体" w:hAnsi="宋体" w:cs="宋体"/>
          <w:sz w:val="24"/>
          <w:szCs w:val="24"/>
          <w:u w:val="none"/>
        </w:rPr>
        <w:t>日期：</w:t>
      </w:r>
      <w:r>
        <w:rPr>
          <w:rFonts w:hint="eastAsia" w:ascii="宋体" w:hAnsi="宋体" w:cs="宋体"/>
          <w:kern w:val="0"/>
          <w:sz w:val="24"/>
          <w:szCs w:val="24"/>
          <w:u w:val="single"/>
        </w:rPr>
        <w:t xml:space="preserve">      </w:t>
      </w:r>
      <w:r>
        <w:rPr>
          <w:rFonts w:hint="eastAsia" w:ascii="宋体" w:hAnsi="宋体" w:cs="宋体"/>
          <w:kern w:val="0"/>
          <w:sz w:val="24"/>
          <w:szCs w:val="24"/>
          <w:u w:val="none"/>
        </w:rPr>
        <w:t>年</w:t>
      </w:r>
      <w:r>
        <w:rPr>
          <w:rFonts w:hint="eastAsia" w:ascii="宋体" w:hAnsi="宋体" w:cs="宋体"/>
          <w:kern w:val="0"/>
          <w:sz w:val="24"/>
          <w:szCs w:val="24"/>
          <w:u w:val="single"/>
        </w:rPr>
        <w:t xml:space="preserve">      </w:t>
      </w:r>
      <w:r>
        <w:rPr>
          <w:rFonts w:hint="eastAsia" w:ascii="宋体" w:hAnsi="宋体" w:cs="宋体"/>
          <w:kern w:val="0"/>
          <w:sz w:val="24"/>
          <w:szCs w:val="24"/>
          <w:u w:val="none"/>
        </w:rPr>
        <w:t>月</w:t>
      </w:r>
      <w:r>
        <w:rPr>
          <w:rFonts w:hint="eastAsia" w:ascii="宋体" w:hAnsi="宋体" w:cs="宋体"/>
          <w:kern w:val="0"/>
          <w:sz w:val="24"/>
          <w:szCs w:val="24"/>
          <w:u w:val="single"/>
        </w:rPr>
        <w:t xml:space="preserve">      </w:t>
      </w:r>
      <w:r>
        <w:rPr>
          <w:rFonts w:hint="eastAsia" w:ascii="宋体" w:hAnsi="宋体" w:cs="宋体"/>
          <w:kern w:val="0"/>
          <w:sz w:val="24"/>
          <w:szCs w:val="24"/>
          <w:u w:val="none"/>
        </w:rPr>
        <w:t>日</w:t>
      </w:r>
    </w:p>
    <w:p w14:paraId="2E0334D2">
      <w:pPr>
        <w:adjustRightInd w:val="0"/>
        <w:snapToGrid w:val="0"/>
        <w:spacing w:line="480" w:lineRule="exact"/>
        <w:ind w:firstLine="480" w:firstLineChars="200"/>
        <w:rPr>
          <w:rFonts w:ascii="宋体" w:hAnsi="宋体" w:cs="宋体"/>
          <w:sz w:val="24"/>
          <w:szCs w:val="24"/>
          <w:u w:val="none"/>
        </w:rPr>
      </w:pPr>
    </w:p>
    <w:p w14:paraId="143AEFD2">
      <w:pPr>
        <w:adjustRightInd w:val="0"/>
        <w:snapToGrid w:val="0"/>
        <w:spacing w:line="480" w:lineRule="exact"/>
        <w:ind w:left="13" w:leftChars="6" w:firstLine="482" w:firstLineChars="200"/>
        <w:rPr>
          <w:rFonts w:ascii="宋体" w:hAnsi="宋体" w:cs="宋体"/>
          <w:sz w:val="24"/>
          <w:szCs w:val="24"/>
          <w:u w:val="none"/>
        </w:rPr>
      </w:pPr>
      <w:r>
        <w:rPr>
          <w:rFonts w:hint="eastAsia" w:ascii="宋体" w:hAnsi="宋体" w:cs="宋体"/>
          <w:b/>
          <w:sz w:val="24"/>
          <w:szCs w:val="24"/>
          <w:u w:val="none"/>
        </w:rPr>
        <w:t>备注</w:t>
      </w:r>
      <w:r>
        <w:rPr>
          <w:rFonts w:hint="eastAsia" w:ascii="宋体" w:hAnsi="宋体" w:cs="宋体"/>
          <w:sz w:val="24"/>
          <w:szCs w:val="24"/>
          <w:u w:val="none"/>
        </w:rPr>
        <w:t>：1、除可填报项目外，对本投标函的任何修改将被视为非实质性响应投标，在评标时将其视为无效投标。</w:t>
      </w:r>
    </w:p>
    <w:p w14:paraId="70BC6625">
      <w:pPr>
        <w:widowControl/>
        <w:spacing w:line="480" w:lineRule="exact"/>
        <w:ind w:left="13" w:leftChars="6" w:firstLine="480" w:firstLineChars="200"/>
        <w:jc w:val="left"/>
        <w:rPr>
          <w:rFonts w:ascii="宋体" w:hAnsi="宋体" w:cs="宋体"/>
          <w:spacing w:val="-4"/>
          <w:sz w:val="24"/>
          <w:szCs w:val="24"/>
          <w:u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4"/>
          <w:szCs w:val="24"/>
          <w:u w:val="none"/>
        </w:rPr>
        <w:t>2、</w:t>
      </w:r>
      <w:r>
        <w:rPr>
          <w:rFonts w:hint="eastAsia" w:ascii="宋体" w:hAnsi="宋体" w:cs="宋体"/>
          <w:spacing w:val="-4"/>
          <w:sz w:val="24"/>
          <w:szCs w:val="24"/>
          <w:u w:val="none"/>
        </w:rPr>
        <w:t>投标人注册成立不足</w:t>
      </w:r>
      <w:r>
        <w:rPr>
          <w:rFonts w:hint="eastAsia" w:ascii="宋体" w:hAnsi="宋体" w:cs="宋体"/>
          <w:spacing w:val="-4"/>
          <w:sz w:val="24"/>
          <w:szCs w:val="24"/>
          <w:u w:val="none"/>
          <w:lang w:eastAsia="zh-CN"/>
        </w:rPr>
        <w:t>自合同协议书签订之日起至全过程工程咨询服务各项内容完成止</w:t>
      </w:r>
      <w:r>
        <w:rPr>
          <w:rFonts w:hint="eastAsia" w:ascii="宋体" w:hAnsi="宋体" w:cs="宋体"/>
          <w:spacing w:val="-4"/>
          <w:sz w:val="24"/>
          <w:szCs w:val="24"/>
          <w:u w:val="none"/>
        </w:rPr>
        <w:t>的，承诺与声明从单位成立始至参加本项目政府采购活动止（后同）。</w:t>
      </w:r>
    </w:p>
    <w:p w14:paraId="13CA3031">
      <w:pPr>
        <w:adjustRightInd w:val="0"/>
        <w:snapToGrid w:val="0"/>
        <w:spacing w:line="400" w:lineRule="exact"/>
        <w:jc w:val="center"/>
        <w:outlineLvl w:val="0"/>
        <w:rPr>
          <w:rFonts w:ascii="宋体" w:hAnsi="宋体" w:cs="宋体"/>
          <w:b/>
          <w:sz w:val="24"/>
          <w:szCs w:val="24"/>
          <w:u w:val="none"/>
        </w:rPr>
      </w:pPr>
      <w:bookmarkStart w:id="84" w:name="_Toc13026"/>
      <w:bookmarkStart w:id="85" w:name="_Toc10751"/>
      <w:bookmarkStart w:id="86" w:name="_Toc5941"/>
      <w:bookmarkStart w:id="87" w:name="_Toc19614"/>
      <w:bookmarkStart w:id="88" w:name="_Toc15115"/>
      <w:bookmarkStart w:id="89" w:name="_Toc27129"/>
      <w:r>
        <w:rPr>
          <w:rFonts w:hint="eastAsia" w:ascii="宋体" w:hAnsi="宋体" w:cs="宋体"/>
          <w:b/>
          <w:sz w:val="24"/>
          <w:szCs w:val="24"/>
          <w:u w:val="none"/>
          <w:lang w:eastAsia="zh-CN"/>
        </w:rPr>
        <w:t>供应商信用承诺书</w:t>
      </w:r>
      <w:r>
        <w:rPr>
          <w:rFonts w:hint="eastAsia" w:ascii="宋体" w:hAnsi="宋体" w:cs="宋体"/>
          <w:b/>
          <w:bCs/>
          <w:sz w:val="24"/>
          <w:szCs w:val="24"/>
          <w:u w:val="none"/>
        </w:rPr>
        <w:t>（格式）</w:t>
      </w:r>
      <w:bookmarkEnd w:id="76"/>
      <w:bookmarkEnd w:id="84"/>
      <w:bookmarkEnd w:id="85"/>
      <w:bookmarkEnd w:id="86"/>
      <w:bookmarkEnd w:id="87"/>
      <w:bookmarkEnd w:id="88"/>
      <w:bookmarkEnd w:id="89"/>
    </w:p>
    <w:p w14:paraId="5A9DC981">
      <w:pPr>
        <w:tabs>
          <w:tab w:val="left" w:pos="5580"/>
        </w:tabs>
        <w:spacing w:line="360" w:lineRule="auto"/>
        <w:rPr>
          <w:sz w:val="24"/>
          <w:u w:val="none"/>
        </w:rPr>
      </w:pPr>
    </w:p>
    <w:p w14:paraId="40088DF7">
      <w:pPr>
        <w:tabs>
          <w:tab w:val="left" w:pos="5580"/>
        </w:tabs>
        <w:spacing w:line="360" w:lineRule="auto"/>
        <w:rPr>
          <w:sz w:val="24"/>
          <w:u w:val="none"/>
        </w:rPr>
      </w:pPr>
      <w:r>
        <w:rPr>
          <w:sz w:val="24"/>
          <w:u w:val="none"/>
        </w:rPr>
        <w:t>致：</w:t>
      </w:r>
      <w:r>
        <w:rPr>
          <w:rFonts w:hint="eastAsia"/>
          <w:sz w:val="24"/>
          <w:u w:val="single"/>
          <w:lang w:val="en-US" w:eastAsia="zh-CN"/>
        </w:rPr>
        <w:t xml:space="preserve">             </w:t>
      </w:r>
      <w:r>
        <w:rPr>
          <w:rFonts w:hint="eastAsia"/>
          <w:sz w:val="24"/>
          <w:u w:val="none"/>
          <w:lang w:val="en-US" w:eastAsia="zh-CN"/>
        </w:rPr>
        <w:t>（</w:t>
      </w:r>
      <w:r>
        <w:rPr>
          <w:sz w:val="24"/>
          <w:u w:val="none"/>
        </w:rPr>
        <w:t>采购人</w:t>
      </w:r>
      <w:r>
        <w:rPr>
          <w:rFonts w:hint="eastAsia"/>
          <w:sz w:val="24"/>
          <w:u w:val="none"/>
          <w:lang w:val="en-US" w:eastAsia="zh-CN"/>
        </w:rPr>
        <w:t>）</w:t>
      </w:r>
    </w:p>
    <w:p w14:paraId="20B977E0">
      <w:pPr>
        <w:spacing w:line="360" w:lineRule="auto"/>
        <w:ind w:firstLine="480" w:firstLineChars="200"/>
        <w:rPr>
          <w:sz w:val="24"/>
          <w:u w:val="none"/>
        </w:rPr>
      </w:pPr>
      <w:r>
        <w:rPr>
          <w:sz w:val="24"/>
          <w:u w:val="none"/>
        </w:rPr>
        <w:t>在参与本次项目投标中，我单位承诺：</w:t>
      </w:r>
    </w:p>
    <w:p w14:paraId="1210625C">
      <w:pPr>
        <w:numPr>
          <w:ilvl w:val="0"/>
          <w:numId w:val="1"/>
        </w:numPr>
        <w:spacing w:line="360" w:lineRule="auto"/>
        <w:ind w:left="1134"/>
        <w:rPr>
          <w:sz w:val="24"/>
          <w:szCs w:val="22"/>
          <w:u w:val="none"/>
        </w:rPr>
      </w:pPr>
      <w:r>
        <w:rPr>
          <w:rFonts w:hint="eastAsia" w:ascii="宋体" w:hAnsi="宋体" w:cs="宋体"/>
          <w:sz w:val="24"/>
          <w:szCs w:val="24"/>
          <w:u w:val="none"/>
        </w:rPr>
        <w:t>具有独立承担民事责任的能力；</w:t>
      </w:r>
    </w:p>
    <w:p w14:paraId="650E403B">
      <w:pPr>
        <w:numPr>
          <w:ilvl w:val="0"/>
          <w:numId w:val="1"/>
        </w:numPr>
        <w:spacing w:line="360" w:lineRule="auto"/>
        <w:ind w:left="1134"/>
        <w:rPr>
          <w:sz w:val="24"/>
          <w:szCs w:val="22"/>
          <w:u w:val="none"/>
        </w:rPr>
      </w:pPr>
      <w:r>
        <w:rPr>
          <w:sz w:val="24"/>
          <w:szCs w:val="22"/>
          <w:u w:val="none"/>
        </w:rPr>
        <w:t>具有良好的商业信誉和健全的财务会计制度；</w:t>
      </w:r>
    </w:p>
    <w:p w14:paraId="1691C2AD">
      <w:pPr>
        <w:numPr>
          <w:ilvl w:val="0"/>
          <w:numId w:val="1"/>
        </w:numPr>
        <w:spacing w:line="360" w:lineRule="auto"/>
        <w:ind w:left="1134"/>
        <w:rPr>
          <w:sz w:val="24"/>
          <w:szCs w:val="22"/>
          <w:u w:val="none"/>
        </w:rPr>
      </w:pPr>
      <w:r>
        <w:rPr>
          <w:sz w:val="24"/>
          <w:szCs w:val="22"/>
          <w:u w:val="none"/>
        </w:rPr>
        <w:t>具有履行合同所必需的设备和专业技术能力；</w:t>
      </w:r>
    </w:p>
    <w:p w14:paraId="17844FAA">
      <w:pPr>
        <w:numPr>
          <w:ilvl w:val="0"/>
          <w:numId w:val="1"/>
        </w:numPr>
        <w:spacing w:line="360" w:lineRule="auto"/>
        <w:ind w:left="1134"/>
        <w:rPr>
          <w:sz w:val="24"/>
          <w:szCs w:val="22"/>
          <w:u w:val="none"/>
        </w:rPr>
      </w:pPr>
      <w:r>
        <w:rPr>
          <w:sz w:val="24"/>
          <w:szCs w:val="22"/>
          <w:u w:val="none"/>
        </w:rPr>
        <w:t>有依法缴纳税收和社会保障资金的良好记录；</w:t>
      </w:r>
    </w:p>
    <w:p w14:paraId="5A3F095B">
      <w:pPr>
        <w:numPr>
          <w:ilvl w:val="0"/>
          <w:numId w:val="1"/>
        </w:numPr>
        <w:spacing w:line="360" w:lineRule="auto"/>
        <w:ind w:left="1134"/>
        <w:rPr>
          <w:sz w:val="24"/>
          <w:szCs w:val="22"/>
          <w:u w:val="none"/>
        </w:rPr>
      </w:pPr>
      <w:r>
        <w:rPr>
          <w:sz w:val="24"/>
          <w:szCs w:val="22"/>
          <w:u w:val="none"/>
        </w:rPr>
        <w:t>参加政府采购活动前</w:t>
      </w:r>
      <w:r>
        <w:rPr>
          <w:rFonts w:hint="eastAsia"/>
          <w:sz w:val="24"/>
          <w:szCs w:val="22"/>
          <w:u w:val="none"/>
          <w:lang w:eastAsia="zh-CN"/>
        </w:rPr>
        <w:t>自合同协议书签订之日起至全过程工程咨询服务各项内容完成止</w:t>
      </w:r>
      <w:r>
        <w:rPr>
          <w:sz w:val="24"/>
          <w:szCs w:val="22"/>
          <w:u w:val="none"/>
        </w:rPr>
        <w:t>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FCB031">
      <w:pPr>
        <w:numPr>
          <w:ilvl w:val="0"/>
          <w:numId w:val="1"/>
        </w:numPr>
        <w:spacing w:line="360" w:lineRule="auto"/>
        <w:ind w:left="1134"/>
        <w:rPr>
          <w:sz w:val="24"/>
          <w:szCs w:val="22"/>
          <w:u w:val="none"/>
        </w:rPr>
      </w:pPr>
      <w:r>
        <w:rPr>
          <w:sz w:val="24"/>
          <w:szCs w:val="22"/>
          <w:u w:val="none"/>
        </w:rPr>
        <w:t>与我单位存在“单位负责人为同一人或者存在直接控股、管理关系”的其他法人单位信息如下（如有，不论其是否参加同一合同项下的政府采购活动均须填写）：</w:t>
      </w:r>
    </w:p>
    <w:tbl>
      <w:tblPr>
        <w:tblStyle w:val="2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1AB0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5A31E929">
            <w:pPr>
              <w:jc w:val="center"/>
              <w:rPr>
                <w:sz w:val="24"/>
                <w:u w:val="none"/>
              </w:rPr>
            </w:pPr>
            <w:r>
              <w:rPr>
                <w:sz w:val="24"/>
                <w:u w:val="none"/>
              </w:rPr>
              <w:t>序号</w:t>
            </w:r>
          </w:p>
        </w:tc>
        <w:tc>
          <w:tcPr>
            <w:tcW w:w="4574" w:type="dxa"/>
            <w:vAlign w:val="center"/>
          </w:tcPr>
          <w:p w14:paraId="4E23DFF2">
            <w:pPr>
              <w:jc w:val="center"/>
              <w:rPr>
                <w:sz w:val="24"/>
                <w:u w:val="none"/>
              </w:rPr>
            </w:pPr>
            <w:r>
              <w:rPr>
                <w:sz w:val="24"/>
                <w:u w:val="none"/>
              </w:rPr>
              <w:t>单位名称</w:t>
            </w:r>
          </w:p>
        </w:tc>
        <w:tc>
          <w:tcPr>
            <w:tcW w:w="2976" w:type="dxa"/>
            <w:vAlign w:val="center"/>
          </w:tcPr>
          <w:p w14:paraId="7BFC2AC2">
            <w:pPr>
              <w:jc w:val="center"/>
              <w:rPr>
                <w:sz w:val="24"/>
                <w:u w:val="none"/>
              </w:rPr>
            </w:pPr>
            <w:r>
              <w:rPr>
                <w:sz w:val="24"/>
                <w:u w:val="none"/>
              </w:rPr>
              <w:t>相互关系</w:t>
            </w:r>
          </w:p>
        </w:tc>
      </w:tr>
      <w:tr w14:paraId="45372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AB96038">
            <w:pPr>
              <w:jc w:val="center"/>
              <w:rPr>
                <w:sz w:val="24"/>
                <w:u w:val="none"/>
              </w:rPr>
            </w:pPr>
            <w:r>
              <w:rPr>
                <w:sz w:val="24"/>
                <w:u w:val="none"/>
              </w:rPr>
              <w:t>1</w:t>
            </w:r>
          </w:p>
        </w:tc>
        <w:tc>
          <w:tcPr>
            <w:tcW w:w="4574" w:type="dxa"/>
            <w:vAlign w:val="center"/>
          </w:tcPr>
          <w:p w14:paraId="1B988C0E">
            <w:pPr>
              <w:jc w:val="center"/>
              <w:rPr>
                <w:sz w:val="24"/>
                <w:u w:val="none"/>
              </w:rPr>
            </w:pPr>
          </w:p>
        </w:tc>
        <w:tc>
          <w:tcPr>
            <w:tcW w:w="2976" w:type="dxa"/>
            <w:vAlign w:val="center"/>
          </w:tcPr>
          <w:p w14:paraId="2D63C5AD">
            <w:pPr>
              <w:jc w:val="center"/>
              <w:rPr>
                <w:sz w:val="24"/>
                <w:u w:val="none"/>
              </w:rPr>
            </w:pPr>
          </w:p>
        </w:tc>
      </w:tr>
      <w:tr w14:paraId="5FA0E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952B76">
            <w:pPr>
              <w:jc w:val="center"/>
              <w:rPr>
                <w:sz w:val="24"/>
                <w:u w:val="none"/>
              </w:rPr>
            </w:pPr>
            <w:r>
              <w:rPr>
                <w:sz w:val="24"/>
                <w:u w:val="none"/>
              </w:rPr>
              <w:t>2</w:t>
            </w:r>
          </w:p>
        </w:tc>
        <w:tc>
          <w:tcPr>
            <w:tcW w:w="4574" w:type="dxa"/>
            <w:vAlign w:val="center"/>
          </w:tcPr>
          <w:p w14:paraId="10CF124D">
            <w:pPr>
              <w:jc w:val="center"/>
              <w:rPr>
                <w:sz w:val="24"/>
                <w:u w:val="none"/>
              </w:rPr>
            </w:pPr>
          </w:p>
        </w:tc>
        <w:tc>
          <w:tcPr>
            <w:tcW w:w="2976" w:type="dxa"/>
            <w:vAlign w:val="center"/>
          </w:tcPr>
          <w:p w14:paraId="238F19B0">
            <w:pPr>
              <w:jc w:val="center"/>
              <w:rPr>
                <w:sz w:val="24"/>
                <w:u w:val="none"/>
              </w:rPr>
            </w:pPr>
          </w:p>
        </w:tc>
      </w:tr>
      <w:tr w14:paraId="43CF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212AEC">
            <w:pPr>
              <w:jc w:val="center"/>
              <w:rPr>
                <w:sz w:val="24"/>
                <w:u w:val="none"/>
              </w:rPr>
            </w:pPr>
            <w:r>
              <w:rPr>
                <w:sz w:val="24"/>
                <w:u w:val="none"/>
              </w:rPr>
              <w:t>…</w:t>
            </w:r>
          </w:p>
        </w:tc>
        <w:tc>
          <w:tcPr>
            <w:tcW w:w="4574" w:type="dxa"/>
            <w:vAlign w:val="center"/>
          </w:tcPr>
          <w:p w14:paraId="0C378FCE">
            <w:pPr>
              <w:jc w:val="center"/>
              <w:rPr>
                <w:sz w:val="24"/>
                <w:u w:val="none"/>
              </w:rPr>
            </w:pPr>
          </w:p>
        </w:tc>
        <w:tc>
          <w:tcPr>
            <w:tcW w:w="2976" w:type="dxa"/>
            <w:vAlign w:val="center"/>
          </w:tcPr>
          <w:p w14:paraId="6B2E7A3E">
            <w:pPr>
              <w:jc w:val="center"/>
              <w:rPr>
                <w:sz w:val="24"/>
                <w:u w:val="none"/>
              </w:rPr>
            </w:pPr>
          </w:p>
        </w:tc>
      </w:tr>
    </w:tbl>
    <w:p w14:paraId="4F1966BC">
      <w:pPr>
        <w:rPr>
          <w:u w:val="none"/>
        </w:rPr>
      </w:pPr>
    </w:p>
    <w:p w14:paraId="5B396084">
      <w:pPr>
        <w:ind w:firstLine="480" w:firstLineChars="200"/>
        <w:rPr>
          <w:sz w:val="24"/>
          <w:szCs w:val="22"/>
          <w:u w:val="none"/>
        </w:rPr>
      </w:pPr>
      <w:r>
        <w:rPr>
          <w:sz w:val="24"/>
          <w:u w:val="none"/>
        </w:rPr>
        <w:t>上述声明真实有效，否则我方负全部责任。</w:t>
      </w:r>
    </w:p>
    <w:p w14:paraId="57F4814D">
      <w:pPr>
        <w:spacing w:line="360" w:lineRule="auto"/>
        <w:rPr>
          <w:sz w:val="24"/>
          <w:u w:val="none"/>
        </w:rPr>
      </w:pPr>
    </w:p>
    <w:p w14:paraId="1C873F67">
      <w:pPr>
        <w:autoSpaceDE w:val="0"/>
        <w:autoSpaceDN w:val="0"/>
        <w:adjustRightInd w:val="0"/>
        <w:snapToGrid w:val="0"/>
        <w:spacing w:before="25" w:after="25" w:line="360" w:lineRule="auto"/>
        <w:jc w:val="center"/>
        <w:rPr>
          <w:color w:val="000000"/>
          <w:sz w:val="24"/>
          <w:u w:val="none"/>
          <w:lang w:val="zh-CN"/>
        </w:rPr>
      </w:pPr>
      <w:r>
        <w:rPr>
          <w:rFonts w:hint="eastAsia"/>
          <w:color w:val="000000"/>
          <w:sz w:val="24"/>
          <w:u w:val="none"/>
        </w:rPr>
        <w:t xml:space="preserve">                                </w:t>
      </w:r>
      <w:r>
        <w:rPr>
          <w:color w:val="000000"/>
          <w:sz w:val="24"/>
          <w:u w:val="none"/>
        </w:rPr>
        <w:t>投标人名称（加盖公章）</w:t>
      </w:r>
      <w:r>
        <w:rPr>
          <w:color w:val="000000"/>
          <w:sz w:val="24"/>
          <w:u w:val="none"/>
          <w:lang w:val="zh-CN"/>
        </w:rPr>
        <w:t>： ____________</w:t>
      </w:r>
    </w:p>
    <w:p w14:paraId="2044AC0A">
      <w:pPr>
        <w:spacing w:line="360" w:lineRule="auto"/>
        <w:ind w:right="360" w:firstLine="480"/>
        <w:jc w:val="right"/>
        <w:rPr>
          <w:sz w:val="24"/>
          <w:u w:val="none"/>
        </w:rPr>
      </w:pPr>
      <w:r>
        <w:rPr>
          <w:color w:val="000000"/>
          <w:sz w:val="24"/>
          <w:u w:val="none"/>
        </w:rPr>
        <w:t xml:space="preserve">日期：_____年______月______日   </w:t>
      </w:r>
    </w:p>
    <w:p w14:paraId="3D97A368">
      <w:pPr>
        <w:spacing w:line="360" w:lineRule="auto"/>
        <w:rPr>
          <w:sz w:val="24"/>
          <w:u w:val="none"/>
        </w:rPr>
      </w:pPr>
      <w:r>
        <w:rPr>
          <w:sz w:val="24"/>
          <w:u w:val="none"/>
        </w:rPr>
        <w:t>说明：</w:t>
      </w:r>
      <w:r>
        <w:rPr>
          <w:rFonts w:hint="eastAsia"/>
          <w:sz w:val="24"/>
          <w:u w:val="none"/>
        </w:rPr>
        <w:t>投标人承诺不实的，依据《政府采购法》第七十七条“提供虚假材料谋取中标、成交的”有关规定予以处理</w:t>
      </w:r>
      <w:r>
        <w:rPr>
          <w:sz w:val="24"/>
          <w:u w:val="none"/>
        </w:rPr>
        <w:t>。</w:t>
      </w:r>
    </w:p>
    <w:p w14:paraId="10D2A7DF">
      <w:pPr>
        <w:tabs>
          <w:tab w:val="left" w:pos="5580"/>
        </w:tabs>
        <w:spacing w:line="360" w:lineRule="auto"/>
        <w:rPr>
          <w:sz w:val="24"/>
          <w:u w:val="none"/>
        </w:rPr>
        <w:sectPr>
          <w:pgSz w:w="11907" w:h="16840"/>
          <w:pgMar w:top="1418" w:right="1134" w:bottom="1418" w:left="1701" w:header="851" w:footer="851" w:gutter="0"/>
          <w:pgNumType w:fmt="decimal"/>
          <w:cols w:space="720" w:num="1"/>
          <w:docGrid w:linePitch="462" w:charSpace="0"/>
        </w:sectPr>
      </w:pPr>
    </w:p>
    <w:p w14:paraId="6C9DF2A6">
      <w:pPr>
        <w:adjustRightInd w:val="0"/>
        <w:snapToGrid w:val="0"/>
        <w:spacing w:line="400" w:lineRule="exact"/>
        <w:jc w:val="center"/>
        <w:outlineLvl w:val="0"/>
        <w:rPr>
          <w:rFonts w:hint="eastAsia" w:ascii="宋体" w:hAnsi="宋体" w:cs="宋体"/>
          <w:b/>
          <w:sz w:val="24"/>
          <w:szCs w:val="24"/>
          <w:u w:val="none"/>
        </w:rPr>
      </w:pPr>
      <w:bookmarkStart w:id="90" w:name="_Toc32429"/>
      <w:bookmarkStart w:id="91" w:name="_Toc6065"/>
      <w:bookmarkStart w:id="92" w:name="_Toc16777"/>
      <w:bookmarkStart w:id="93" w:name="_Toc12598"/>
      <w:bookmarkStart w:id="94" w:name="_Toc11622"/>
      <w:bookmarkStart w:id="95" w:name="_Toc15601"/>
      <w:r>
        <w:rPr>
          <w:rFonts w:hint="eastAsia" w:ascii="宋体" w:hAnsi="宋体" w:cs="宋体"/>
          <w:b/>
          <w:sz w:val="24"/>
          <w:szCs w:val="24"/>
          <w:u w:val="none"/>
        </w:rPr>
        <w:t>营业执照</w:t>
      </w:r>
      <w:r>
        <w:rPr>
          <w:rFonts w:hint="eastAsia" w:ascii="宋体" w:hAnsi="宋体" w:cs="宋体"/>
          <w:b/>
          <w:sz w:val="24"/>
          <w:szCs w:val="24"/>
          <w:u w:val="none"/>
        </w:rPr>
        <w:br w:type="textWrapping"/>
      </w:r>
      <w:bookmarkEnd w:id="90"/>
    </w:p>
    <w:p w14:paraId="70782519">
      <w:pPr>
        <w:adjustRightInd w:val="0"/>
        <w:snapToGrid w:val="0"/>
        <w:spacing w:line="400" w:lineRule="exact"/>
        <w:jc w:val="both"/>
        <w:outlineLvl w:val="0"/>
        <w:rPr>
          <w:rFonts w:hint="eastAsia" w:ascii="宋体" w:hAnsi="宋体" w:cs="宋体"/>
          <w:b/>
          <w:sz w:val="32"/>
          <w:szCs w:val="32"/>
          <w:u w:val="none"/>
        </w:rPr>
        <w:sectPr>
          <w:pgSz w:w="11906" w:h="16838"/>
          <w:pgMar w:top="1440" w:right="1800" w:bottom="1440" w:left="1800" w:header="851" w:footer="992" w:gutter="0"/>
          <w:pgNumType w:fmt="decimal"/>
          <w:cols w:space="720" w:num="1"/>
          <w:docGrid w:type="lines" w:linePitch="312" w:charSpace="0"/>
        </w:sectPr>
      </w:pPr>
      <w:bookmarkStart w:id="96" w:name="_Toc11907"/>
      <w:r>
        <w:rPr>
          <w:rFonts w:hint="eastAsia"/>
          <w:sz w:val="24"/>
          <w:szCs w:val="32"/>
          <w:u w:val="none"/>
          <w:lang w:eastAsia="zh-CN"/>
        </w:rPr>
        <w:t>如为联合体投标，则联合体各方的营业执照均须提供。</w:t>
      </w:r>
      <w:bookmarkEnd w:id="96"/>
    </w:p>
    <w:p w14:paraId="5A16EA0C">
      <w:pPr>
        <w:adjustRightInd w:val="0"/>
        <w:snapToGrid w:val="0"/>
        <w:spacing w:line="400" w:lineRule="exact"/>
        <w:jc w:val="center"/>
        <w:outlineLvl w:val="0"/>
        <w:rPr>
          <w:rFonts w:hint="eastAsia" w:ascii="宋体" w:hAnsi="宋体" w:cs="宋体"/>
          <w:b/>
          <w:sz w:val="24"/>
          <w:szCs w:val="24"/>
          <w:u w:val="none"/>
        </w:rPr>
      </w:pPr>
      <w:bookmarkStart w:id="97" w:name="_Toc27964"/>
      <w:r>
        <w:rPr>
          <w:rFonts w:hint="eastAsia" w:ascii="宋体" w:hAnsi="宋体" w:cs="宋体"/>
          <w:b/>
          <w:sz w:val="24"/>
          <w:szCs w:val="24"/>
          <w:u w:val="none"/>
        </w:rPr>
        <w:t>银行基本账户开户许可证或基本存款账户信息</w:t>
      </w:r>
      <w:r>
        <w:rPr>
          <w:rFonts w:hint="eastAsia" w:ascii="宋体" w:hAnsi="宋体" w:cs="宋体"/>
          <w:b/>
          <w:sz w:val="24"/>
          <w:szCs w:val="24"/>
          <w:u w:val="none"/>
        </w:rPr>
        <w:br w:type="textWrapping"/>
      </w:r>
      <w:bookmarkEnd w:id="97"/>
    </w:p>
    <w:p w14:paraId="426D03AA">
      <w:pPr>
        <w:adjustRightInd w:val="0"/>
        <w:snapToGrid w:val="0"/>
        <w:spacing w:line="400" w:lineRule="exact"/>
        <w:jc w:val="both"/>
        <w:outlineLvl w:val="0"/>
        <w:rPr>
          <w:rFonts w:hint="eastAsia" w:ascii="宋体" w:hAnsi="宋体" w:cs="宋体"/>
          <w:b/>
          <w:sz w:val="24"/>
          <w:szCs w:val="24"/>
          <w:u w:val="none"/>
        </w:rPr>
        <w:sectPr>
          <w:pgSz w:w="11906" w:h="16838"/>
          <w:pgMar w:top="1440" w:right="1800" w:bottom="1440" w:left="1800" w:header="851" w:footer="992" w:gutter="0"/>
          <w:pgNumType w:fmt="decimal"/>
          <w:cols w:space="720" w:num="1"/>
          <w:docGrid w:type="lines" w:linePitch="312" w:charSpace="0"/>
        </w:sectPr>
      </w:pPr>
      <w:bookmarkStart w:id="98" w:name="_Toc19221"/>
      <w:r>
        <w:rPr>
          <w:rFonts w:hint="eastAsia"/>
          <w:sz w:val="24"/>
          <w:szCs w:val="32"/>
          <w:u w:val="none"/>
          <w:lang w:eastAsia="zh-CN"/>
        </w:rPr>
        <w:t>如为联合体投标，则联合体各方的</w:t>
      </w:r>
      <w:r>
        <w:rPr>
          <w:rFonts w:hint="eastAsia" w:ascii="宋体" w:hAnsi="宋体" w:cs="宋体"/>
          <w:sz w:val="24"/>
          <w:szCs w:val="24"/>
          <w:u w:val="none"/>
        </w:rPr>
        <w:t>银行基本账户开户许可证或基本存款账户信息</w:t>
      </w:r>
      <w:r>
        <w:rPr>
          <w:rFonts w:hint="eastAsia"/>
          <w:sz w:val="24"/>
          <w:szCs w:val="32"/>
          <w:u w:val="none"/>
          <w:lang w:eastAsia="zh-CN"/>
        </w:rPr>
        <w:t>均须提供。</w:t>
      </w:r>
      <w:bookmarkEnd w:id="98"/>
    </w:p>
    <w:p w14:paraId="0064E0FF">
      <w:pPr>
        <w:adjustRightInd w:val="0"/>
        <w:snapToGrid w:val="0"/>
        <w:spacing w:line="400" w:lineRule="exact"/>
        <w:jc w:val="center"/>
        <w:outlineLvl w:val="0"/>
        <w:rPr>
          <w:rFonts w:hint="eastAsia" w:ascii="宋体" w:hAnsi="宋体" w:cs="宋体"/>
          <w:b/>
          <w:sz w:val="24"/>
          <w:szCs w:val="24"/>
          <w:u w:val="none"/>
        </w:rPr>
        <w:sectPr>
          <w:pgSz w:w="11906" w:h="16838"/>
          <w:pgMar w:top="1440" w:right="1800" w:bottom="1440" w:left="1800" w:header="851" w:footer="992" w:gutter="0"/>
          <w:pgNumType w:fmt="decimal"/>
          <w:cols w:space="720" w:num="1"/>
          <w:docGrid w:type="lines" w:linePitch="312" w:charSpace="0"/>
        </w:sectPr>
      </w:pPr>
      <w:bookmarkStart w:id="99" w:name="_Toc5486"/>
      <w:r>
        <w:rPr>
          <w:rFonts w:hint="eastAsia" w:ascii="宋体" w:hAnsi="宋体" w:cs="宋体"/>
          <w:b/>
          <w:sz w:val="24"/>
          <w:szCs w:val="24"/>
          <w:u w:val="none"/>
        </w:rPr>
        <w:t>投标保证金缴纳凭证</w:t>
      </w:r>
      <w:bookmarkEnd w:id="99"/>
    </w:p>
    <w:p w14:paraId="75EEFFD2">
      <w:pPr>
        <w:adjustRightInd w:val="0"/>
        <w:snapToGrid w:val="0"/>
        <w:spacing w:line="400" w:lineRule="exact"/>
        <w:jc w:val="center"/>
        <w:outlineLvl w:val="0"/>
        <w:rPr>
          <w:rFonts w:ascii="宋体" w:hAnsi="宋体" w:cs="宋体"/>
          <w:b/>
          <w:sz w:val="24"/>
          <w:szCs w:val="24"/>
          <w:u w:val="none"/>
        </w:rPr>
      </w:pPr>
      <w:bookmarkStart w:id="100" w:name="_Toc13540"/>
      <w:r>
        <w:rPr>
          <w:rFonts w:hint="eastAsia" w:ascii="宋体" w:hAnsi="宋体" w:cs="宋体"/>
          <w:b/>
          <w:sz w:val="24"/>
          <w:szCs w:val="24"/>
          <w:u w:val="none"/>
        </w:rPr>
        <w:t>诚信投标承诺书</w:t>
      </w:r>
      <w:bookmarkEnd w:id="77"/>
      <w:bookmarkEnd w:id="78"/>
      <w:bookmarkEnd w:id="79"/>
      <w:bookmarkEnd w:id="80"/>
      <w:r>
        <w:rPr>
          <w:rFonts w:hint="eastAsia" w:ascii="宋体" w:hAnsi="宋体" w:cs="宋体"/>
          <w:b/>
          <w:bCs/>
          <w:sz w:val="24"/>
          <w:szCs w:val="24"/>
          <w:u w:val="none"/>
        </w:rPr>
        <w:t>（格式）</w:t>
      </w:r>
      <w:bookmarkEnd w:id="81"/>
      <w:bookmarkEnd w:id="91"/>
      <w:bookmarkEnd w:id="92"/>
      <w:bookmarkEnd w:id="93"/>
      <w:bookmarkEnd w:id="94"/>
      <w:bookmarkEnd w:id="95"/>
      <w:bookmarkEnd w:id="100"/>
    </w:p>
    <w:p w14:paraId="7C0357A1">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br w:type="textWrapping"/>
      </w:r>
      <w:r>
        <w:rPr>
          <w:rFonts w:hint="eastAsia"/>
          <w:szCs w:val="24"/>
          <w:u w:val="none"/>
        </w:rPr>
        <w:t>本人以企业</w:t>
      </w:r>
      <w:r>
        <w:rPr>
          <w:rFonts w:hint="eastAsia"/>
          <w:szCs w:val="24"/>
          <w:u w:val="none"/>
          <w:lang w:eastAsia="zh-CN"/>
        </w:rPr>
        <w:t>法定代表人</w:t>
      </w:r>
      <w:r>
        <w:rPr>
          <w:rFonts w:hint="eastAsia"/>
          <w:szCs w:val="24"/>
          <w:u w:val="none"/>
        </w:rPr>
        <w:t>的身份郑重承诺：</w:t>
      </w:r>
    </w:p>
    <w:p w14:paraId="5246DF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u w:val="none"/>
        </w:rPr>
      </w:pPr>
      <w:r>
        <w:rPr>
          <w:rFonts w:hint="eastAsia" w:ascii="宋体" w:hAnsi="宋体" w:cs="宋体"/>
          <w:sz w:val="24"/>
          <w:szCs w:val="24"/>
          <w:u w:val="none"/>
        </w:rPr>
        <w:t>一、将遵循公开、公正和诚实信用的原则自愿参加</w:t>
      </w:r>
      <w:r>
        <w:rPr>
          <w:rFonts w:hint="eastAsia" w:ascii="宋体" w:hAnsi="宋体" w:cs="宋体"/>
          <w:sz w:val="24"/>
          <w:szCs w:val="24"/>
          <w:u w:val="single"/>
          <w:lang w:eastAsia="zh-CN"/>
        </w:rPr>
        <w:t>永济市开张镇全域土地综合整治（2025年）项目全过程工程咨询服务</w:t>
      </w:r>
      <w:r>
        <w:rPr>
          <w:rFonts w:hint="eastAsia" w:ascii="宋体" w:hAnsi="宋体" w:cs="宋体"/>
          <w:sz w:val="24"/>
          <w:szCs w:val="24"/>
          <w:u w:val="none"/>
        </w:rPr>
        <w:t>的投标；</w:t>
      </w:r>
    </w:p>
    <w:p w14:paraId="718B7276">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二、所提供的一切材料都是真实、有效、合法的；</w:t>
      </w:r>
    </w:p>
    <w:p w14:paraId="6733C691">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三、不出借、转让资质证书，不让他人挂靠投标，不以他人名义投标或者以其他方式弄虚作假，骗取中标；</w:t>
      </w:r>
    </w:p>
    <w:p w14:paraId="6976A21C">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四、不与其他投标人相互串通投标报价，不排挤其他投标人的公平竞争、损害招标人的合法权益；</w:t>
      </w:r>
    </w:p>
    <w:p w14:paraId="3910C297">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五、不与招标人、招标代理机构或其他投标人串通投标，损害国家利益、社会公共利益或者他人的合法权益；</w:t>
      </w:r>
    </w:p>
    <w:p w14:paraId="62ADDA72">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六、严格遵守开标现场纪律，服从监管人员管理；</w:t>
      </w:r>
    </w:p>
    <w:p w14:paraId="435F182C">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七、保证中标后不转包，若有分包征得采购单位同意；</w:t>
      </w:r>
    </w:p>
    <w:p w14:paraId="6CB05CA2">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八、保证中标之后，按照投标文件承诺履约，如有违反，同意接受采购单位违约处罚；</w:t>
      </w:r>
    </w:p>
    <w:p w14:paraId="7B6E3481">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九、保证企业及所属相关人员在本次投标中无行贿等犯罪行为；</w:t>
      </w:r>
    </w:p>
    <w:p w14:paraId="1B18FEF0">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十、如在投标过程和公示期间发生投诉行为，投诉内容符合要求，投诉材料加盖企业公章或由</w:t>
      </w:r>
      <w:r>
        <w:rPr>
          <w:rFonts w:hint="eastAsia"/>
          <w:szCs w:val="24"/>
          <w:u w:val="none"/>
          <w:lang w:eastAsia="zh-CN"/>
        </w:rPr>
        <w:t>法定代表人</w:t>
      </w:r>
      <w:r>
        <w:rPr>
          <w:rFonts w:hint="eastAsia"/>
          <w:szCs w:val="24"/>
          <w:u w:val="none"/>
        </w:rPr>
        <w:t>授权委托人签字，并附有关身份证明复印件。不恶意投诉，对本公司提供的投诉线索的真实性负责，否则愿接受有关部门的处罚。</w:t>
      </w:r>
    </w:p>
    <w:p w14:paraId="5278AC9E">
      <w:pPr>
        <w:pStyle w:val="2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Cs w:val="24"/>
          <w:u w:val="none"/>
        </w:rPr>
      </w:pPr>
      <w:r>
        <w:rPr>
          <w:rFonts w:hint="eastAsia"/>
          <w:szCs w:val="24"/>
          <w:u w:val="none"/>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28260144">
      <w:pPr>
        <w:pStyle w:val="24"/>
        <w:spacing w:before="0" w:beforeAutospacing="0" w:after="0" w:afterAutospacing="0" w:line="480" w:lineRule="exact"/>
        <w:ind w:firstLine="360" w:firstLineChars="150"/>
        <w:rPr>
          <w:rFonts w:hint="eastAsia"/>
          <w:color w:val="000000"/>
          <w:szCs w:val="24"/>
          <w:u w:val="none"/>
        </w:rPr>
      </w:pPr>
    </w:p>
    <w:p w14:paraId="33F5B2C7">
      <w:pPr>
        <w:pStyle w:val="24"/>
        <w:spacing w:before="0" w:beforeAutospacing="0" w:after="0" w:afterAutospacing="0" w:line="480" w:lineRule="exact"/>
        <w:ind w:firstLine="360" w:firstLineChars="150"/>
        <w:rPr>
          <w:color w:val="000000"/>
          <w:szCs w:val="24"/>
          <w:u w:val="none"/>
        </w:rPr>
      </w:pPr>
      <w:r>
        <w:rPr>
          <w:rFonts w:hint="eastAsia"/>
          <w:color w:val="000000"/>
          <w:szCs w:val="24"/>
          <w:u w:val="none"/>
        </w:rPr>
        <w:t>开户银行：                     基本银行账户：</w:t>
      </w:r>
    </w:p>
    <w:p w14:paraId="3E5F7A3C">
      <w:pPr>
        <w:pStyle w:val="24"/>
        <w:spacing w:before="0" w:beforeAutospacing="0" w:after="0" w:afterAutospacing="0" w:line="480" w:lineRule="exact"/>
        <w:ind w:firstLine="360" w:firstLineChars="150"/>
        <w:rPr>
          <w:color w:val="000000"/>
          <w:szCs w:val="24"/>
          <w:u w:val="none"/>
        </w:rPr>
      </w:pPr>
      <w:r>
        <w:rPr>
          <w:rFonts w:hint="eastAsia"/>
          <w:color w:val="000000"/>
          <w:szCs w:val="24"/>
          <w:u w:val="none"/>
        </w:rPr>
        <w:t xml:space="preserve">投标单位（公章）：             </w:t>
      </w:r>
      <w:r>
        <w:rPr>
          <w:rFonts w:hint="eastAsia"/>
          <w:color w:val="000000"/>
          <w:szCs w:val="24"/>
          <w:u w:val="none"/>
          <w:lang w:eastAsia="zh-CN"/>
        </w:rPr>
        <w:t>法定代表人</w:t>
      </w:r>
      <w:r>
        <w:rPr>
          <w:rFonts w:hint="eastAsia"/>
          <w:szCs w:val="24"/>
          <w:u w:val="none"/>
        </w:rPr>
        <w:t>（签字</w:t>
      </w:r>
      <w:r>
        <w:rPr>
          <w:rFonts w:hint="eastAsia"/>
          <w:szCs w:val="24"/>
          <w:u w:val="none"/>
          <w:lang w:val="en-US" w:eastAsia="zh-CN"/>
        </w:rPr>
        <w:t>或</w:t>
      </w:r>
      <w:r>
        <w:rPr>
          <w:rFonts w:hint="eastAsia"/>
          <w:szCs w:val="24"/>
          <w:u w:val="none"/>
        </w:rPr>
        <w:t>盖章）</w:t>
      </w:r>
      <w:r>
        <w:rPr>
          <w:rFonts w:hint="eastAsia"/>
          <w:color w:val="000000"/>
          <w:szCs w:val="24"/>
          <w:u w:val="none"/>
        </w:rPr>
        <w:t>：</w:t>
      </w:r>
    </w:p>
    <w:p w14:paraId="2E1BBBAA">
      <w:pPr>
        <w:tabs>
          <w:tab w:val="left" w:pos="5205"/>
        </w:tabs>
        <w:spacing w:line="480" w:lineRule="exact"/>
        <w:rPr>
          <w:rFonts w:ascii="宋体" w:hAnsi="宋体" w:cs="宋体"/>
          <w:sz w:val="24"/>
          <w:szCs w:val="24"/>
          <w:u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4"/>
          <w:szCs w:val="24"/>
          <w:u w:val="none"/>
        </w:rPr>
        <w:tab/>
      </w:r>
      <w:r>
        <w:rPr>
          <w:rFonts w:hint="eastAsia" w:ascii="宋体" w:hAnsi="宋体" w:cs="宋体"/>
          <w:sz w:val="24"/>
          <w:szCs w:val="24"/>
          <w:u w:val="none"/>
        </w:rPr>
        <w:t xml:space="preserve">   日   期：年   月   日</w:t>
      </w:r>
    </w:p>
    <w:p w14:paraId="47495B7E">
      <w:pPr>
        <w:pStyle w:val="24"/>
        <w:spacing w:before="0" w:beforeAutospacing="0" w:afterLines="50" w:afterAutospacing="0" w:line="360" w:lineRule="auto"/>
        <w:jc w:val="center"/>
        <w:outlineLvl w:val="0"/>
        <w:rPr>
          <w:szCs w:val="24"/>
          <w:u w:val="none"/>
        </w:rPr>
      </w:pPr>
      <w:bookmarkStart w:id="101" w:name="_Toc9856"/>
      <w:bookmarkStart w:id="102" w:name="_Toc14956"/>
      <w:bookmarkStart w:id="103" w:name="_Toc8495"/>
      <w:bookmarkStart w:id="104" w:name="_Toc4928"/>
      <w:bookmarkStart w:id="105" w:name="_Toc11014"/>
      <w:bookmarkStart w:id="106" w:name="_Toc7277"/>
      <w:bookmarkStart w:id="107" w:name="_Toc25664"/>
      <w:bookmarkStart w:id="108" w:name="_Toc21391"/>
      <w:bookmarkStart w:id="109" w:name="_Toc7239_WPSOffice_Level1"/>
      <w:bookmarkStart w:id="110" w:name="_Toc27433"/>
      <w:bookmarkStart w:id="111" w:name="_Toc24682"/>
      <w:bookmarkStart w:id="112" w:name="_Toc13298"/>
      <w:bookmarkStart w:id="113" w:name="_Toc700"/>
      <w:bookmarkStart w:id="114" w:name="_Toc6567"/>
      <w:bookmarkStart w:id="115" w:name="_Toc5024"/>
      <w:r>
        <w:rPr>
          <w:rFonts w:hint="eastAsia"/>
          <w:b/>
          <w:u w:val="none"/>
        </w:rPr>
        <w:t>中小企业声明函（格式）</w:t>
      </w:r>
      <w:bookmarkEnd w:id="101"/>
      <w:bookmarkEnd w:id="102"/>
      <w:bookmarkEnd w:id="103"/>
      <w:bookmarkEnd w:id="104"/>
      <w:bookmarkEnd w:id="105"/>
      <w:bookmarkEnd w:id="106"/>
    </w:p>
    <w:p w14:paraId="6BA44134">
      <w:pPr>
        <w:jc w:val="center"/>
        <w:rPr>
          <w:rFonts w:hint="eastAsia" w:ascii="宋体" w:hAnsi="宋体" w:cs="宋体"/>
          <w:sz w:val="21"/>
          <w:szCs w:val="21"/>
          <w:u w:val="none"/>
        </w:rPr>
      </w:pPr>
      <w:r>
        <w:rPr>
          <w:sz w:val="21"/>
          <w:szCs w:val="21"/>
        </w:rPr>
        <w:t>（以下格式文件由供应商根据需要选用）</w:t>
      </w:r>
    </w:p>
    <w:p w14:paraId="5B694AF4">
      <w:pPr>
        <w:spacing w:line="500" w:lineRule="exact"/>
        <w:ind w:firstLine="480" w:firstLineChars="200"/>
        <w:jc w:val="left"/>
        <w:rPr>
          <w:rFonts w:ascii="宋体" w:hAnsi="宋体" w:cs="宋体"/>
          <w:sz w:val="24"/>
          <w:u w:val="none"/>
        </w:rPr>
      </w:pPr>
      <w:r>
        <w:rPr>
          <w:rFonts w:hint="eastAsia" w:ascii="宋体" w:hAnsi="宋体" w:cs="宋体"/>
          <w:sz w:val="24"/>
          <w:u w:val="none"/>
        </w:rPr>
        <w:t>本公司郑重声明，根据《政府采购促进中小企业发展管理办法》（财库﹝2020﹞46 号）的规定，本公司参加</w:t>
      </w:r>
      <w:r>
        <w:rPr>
          <w:rFonts w:hint="eastAsia" w:ascii="宋体" w:hAnsi="宋体" w:cs="宋体"/>
          <w:sz w:val="24"/>
          <w:u w:val="single"/>
          <w:lang w:eastAsia="zh-CN"/>
        </w:rPr>
        <w:t>永济黄河流域生态保护和高质量发展促进中心</w:t>
      </w:r>
      <w:r>
        <w:rPr>
          <w:rFonts w:hint="eastAsia" w:ascii="宋体" w:hAnsi="宋体" w:cs="宋体"/>
          <w:sz w:val="24"/>
          <w:u w:val="none"/>
        </w:rPr>
        <w:t>（单位名称）的</w:t>
      </w:r>
      <w:r>
        <w:rPr>
          <w:rFonts w:hint="eastAsia" w:ascii="宋体" w:hAnsi="宋体" w:cs="宋体"/>
          <w:kern w:val="0"/>
          <w:sz w:val="24"/>
          <w:u w:val="single"/>
          <w:lang w:eastAsia="zh-CN"/>
        </w:rPr>
        <w:t>永济市开张镇全域土地综合整治（2025年）项目全过程工程咨询服务</w:t>
      </w:r>
      <w:r>
        <w:rPr>
          <w:rFonts w:hint="eastAsia" w:ascii="宋体" w:hAnsi="宋体" w:cs="宋体"/>
          <w:sz w:val="24"/>
          <w:u w:val="none"/>
        </w:rPr>
        <w:t>（项目名称）采购活动，服务全部由符合政策要求的中小企业承接）。相关企业的具体情况如下：</w:t>
      </w:r>
    </w:p>
    <w:p w14:paraId="777E8E0B">
      <w:pPr>
        <w:spacing w:line="500" w:lineRule="exact"/>
        <w:ind w:firstLine="480" w:firstLineChars="200"/>
        <w:jc w:val="left"/>
        <w:rPr>
          <w:rFonts w:ascii="宋体" w:hAnsi="宋体" w:cs="宋体"/>
          <w:sz w:val="24"/>
          <w:u w:val="none"/>
        </w:rPr>
      </w:pPr>
      <w:r>
        <w:rPr>
          <w:rFonts w:hint="eastAsia" w:ascii="宋体" w:hAnsi="宋体" w:cs="宋体"/>
          <w:sz w:val="24"/>
          <w:u w:val="none"/>
        </w:rPr>
        <w:t xml:space="preserve">1. </w:t>
      </w:r>
      <w:r>
        <w:rPr>
          <w:rFonts w:hint="eastAsia" w:ascii="宋体" w:hAnsi="宋体" w:cs="宋体"/>
          <w:kern w:val="0"/>
          <w:sz w:val="24"/>
          <w:u w:val="single"/>
          <w:lang w:eastAsia="zh-CN"/>
        </w:rPr>
        <w:t>永济市开张镇全域土地综合整治（2025年）项目全过程工程咨询服务</w:t>
      </w:r>
      <w:r>
        <w:rPr>
          <w:rFonts w:hint="eastAsia" w:ascii="宋体" w:hAnsi="宋体" w:cs="宋体"/>
          <w:sz w:val="24"/>
          <w:u w:val="single"/>
        </w:rPr>
        <w:t>（</w:t>
      </w:r>
      <w:r>
        <w:rPr>
          <w:rFonts w:hint="eastAsia" w:ascii="宋体" w:hAnsi="宋体" w:cs="宋体"/>
          <w:sz w:val="24"/>
          <w:u w:val="none"/>
        </w:rPr>
        <w:t>标的名称），属于</w:t>
      </w:r>
      <w:r>
        <w:rPr>
          <w:color w:val="000000"/>
          <w:sz w:val="24"/>
          <w:u w:val="none"/>
        </w:rPr>
        <w:t>_____</w:t>
      </w:r>
      <w:r>
        <w:rPr>
          <w:rFonts w:hint="eastAsia" w:ascii="宋体" w:hAnsi="宋体" w:cs="宋体"/>
          <w:sz w:val="24"/>
          <w:u w:val="none"/>
        </w:rPr>
        <w:t>（采购文件中明确的所属行业）；承接企业为</w:t>
      </w:r>
      <w:r>
        <w:rPr>
          <w:color w:val="000000"/>
          <w:sz w:val="24"/>
          <w:u w:val="none"/>
        </w:rPr>
        <w:t>_____</w:t>
      </w:r>
      <w:r>
        <w:rPr>
          <w:rFonts w:hint="eastAsia" w:ascii="宋体" w:hAnsi="宋体" w:cs="宋体"/>
          <w:sz w:val="24"/>
          <w:u w:val="none"/>
        </w:rPr>
        <w:t>（企业名称），从业人员</w:t>
      </w:r>
      <w:r>
        <w:rPr>
          <w:color w:val="000000"/>
          <w:sz w:val="24"/>
          <w:u w:val="none"/>
        </w:rPr>
        <w:t>_____</w:t>
      </w:r>
      <w:r>
        <w:rPr>
          <w:rFonts w:hint="eastAsia" w:ascii="宋体" w:hAnsi="宋体" w:cs="宋体"/>
          <w:sz w:val="24"/>
          <w:u w:val="none"/>
        </w:rPr>
        <w:t>人，营业收入为</w:t>
      </w:r>
      <w:r>
        <w:rPr>
          <w:color w:val="000000"/>
          <w:sz w:val="24"/>
          <w:u w:val="none"/>
        </w:rPr>
        <w:t>_____</w:t>
      </w:r>
      <w:r>
        <w:rPr>
          <w:rFonts w:hint="eastAsia" w:ascii="宋体" w:hAnsi="宋体" w:cs="宋体"/>
          <w:sz w:val="24"/>
          <w:u w:val="none"/>
        </w:rPr>
        <w:t>万元，资产总额为</w:t>
      </w:r>
      <w:r>
        <w:rPr>
          <w:color w:val="000000"/>
          <w:sz w:val="24"/>
          <w:u w:val="none"/>
        </w:rPr>
        <w:t>_____</w:t>
      </w:r>
      <w:r>
        <w:rPr>
          <w:rFonts w:hint="eastAsia" w:ascii="宋体" w:hAnsi="宋体" w:cs="宋体"/>
          <w:sz w:val="24"/>
          <w:u w:val="none"/>
        </w:rPr>
        <w:t>万元，属于</w:t>
      </w:r>
      <w:r>
        <w:rPr>
          <w:color w:val="000000"/>
          <w:sz w:val="24"/>
          <w:u w:val="none"/>
        </w:rPr>
        <w:t>_____</w:t>
      </w:r>
      <w:r>
        <w:rPr>
          <w:rFonts w:hint="eastAsia" w:ascii="宋体" w:hAnsi="宋体" w:cs="宋体"/>
          <w:sz w:val="24"/>
          <w:u w:val="none"/>
        </w:rPr>
        <w:t xml:space="preserve">（中型企业、小型企业、微型企业）； </w:t>
      </w:r>
    </w:p>
    <w:p w14:paraId="129A97AF">
      <w:pPr>
        <w:spacing w:line="500" w:lineRule="exact"/>
        <w:ind w:firstLine="480" w:firstLineChars="200"/>
        <w:jc w:val="left"/>
        <w:rPr>
          <w:rFonts w:ascii="宋体" w:hAnsi="宋体" w:cs="宋体"/>
          <w:sz w:val="24"/>
          <w:u w:val="none"/>
        </w:rPr>
      </w:pPr>
      <w:r>
        <w:rPr>
          <w:rFonts w:hint="eastAsia" w:ascii="宋体" w:hAnsi="宋体" w:cs="宋体"/>
          <w:sz w:val="24"/>
          <w:u w:val="none"/>
        </w:rPr>
        <w:t>以上企业，不属于大企业的分支机构，不存在控股股东为大企业的情形，也不存在与大企业的负责人为同一人的情形。</w:t>
      </w:r>
    </w:p>
    <w:p w14:paraId="74963FBA">
      <w:pPr>
        <w:spacing w:line="500" w:lineRule="exact"/>
        <w:ind w:firstLine="480" w:firstLineChars="200"/>
        <w:jc w:val="left"/>
        <w:rPr>
          <w:rFonts w:ascii="宋体" w:hAnsi="宋体" w:cs="宋体"/>
          <w:sz w:val="24"/>
          <w:u w:val="none"/>
        </w:rPr>
      </w:pPr>
      <w:r>
        <w:rPr>
          <w:rFonts w:hint="eastAsia" w:ascii="宋体" w:hAnsi="宋体" w:cs="宋体"/>
          <w:sz w:val="24"/>
          <w:u w:val="none"/>
        </w:rPr>
        <w:t xml:space="preserve">本企业对上述声明内容的真实性负责。如有虚假，将依法承担相应责任。 </w:t>
      </w:r>
    </w:p>
    <w:p w14:paraId="6591117A">
      <w:pPr>
        <w:spacing w:line="500" w:lineRule="exact"/>
        <w:ind w:firstLine="480" w:firstLineChars="200"/>
        <w:jc w:val="left"/>
        <w:rPr>
          <w:rFonts w:ascii="宋体" w:hAnsi="宋体" w:cs="宋体"/>
          <w:sz w:val="24"/>
          <w:u w:val="none"/>
        </w:rPr>
      </w:pPr>
    </w:p>
    <w:p w14:paraId="4E8B000C">
      <w:pPr>
        <w:spacing w:line="500" w:lineRule="exact"/>
        <w:ind w:firstLine="480" w:firstLineChars="200"/>
        <w:jc w:val="left"/>
        <w:rPr>
          <w:rFonts w:ascii="宋体" w:hAnsi="宋体" w:cs="宋体"/>
          <w:sz w:val="24"/>
          <w:u w:val="none"/>
        </w:rPr>
      </w:pPr>
      <w:r>
        <w:rPr>
          <w:rFonts w:hint="eastAsia" w:ascii="宋体" w:hAnsi="宋体" w:cs="宋体"/>
          <w:sz w:val="24"/>
          <w:u w:val="none"/>
        </w:rPr>
        <w:t xml:space="preserve">企业名称（盖章）： </w:t>
      </w:r>
    </w:p>
    <w:p w14:paraId="4939F86C">
      <w:pPr>
        <w:spacing w:line="500" w:lineRule="exact"/>
        <w:ind w:firstLine="480" w:firstLineChars="200"/>
        <w:jc w:val="left"/>
        <w:rPr>
          <w:rFonts w:ascii="宋体" w:hAnsi="宋体" w:cs="宋体"/>
          <w:sz w:val="24"/>
          <w:u w:val="none"/>
        </w:rPr>
      </w:pPr>
      <w:r>
        <w:rPr>
          <w:rFonts w:hint="eastAsia" w:ascii="宋体" w:hAnsi="宋体" w:cs="宋体"/>
          <w:sz w:val="24"/>
          <w:u w:val="none"/>
        </w:rPr>
        <w:t>日 期：</w:t>
      </w:r>
      <w:r>
        <w:rPr>
          <w:color w:val="000000"/>
          <w:sz w:val="24"/>
          <w:u w:val="none"/>
        </w:rPr>
        <w:t>_____年______月______日</w:t>
      </w:r>
    </w:p>
    <w:p w14:paraId="4A73B29B">
      <w:pPr>
        <w:widowControl/>
        <w:adjustRightInd w:val="0"/>
        <w:snapToGrid w:val="0"/>
        <w:spacing w:line="520" w:lineRule="exact"/>
        <w:ind w:firstLine="480" w:firstLineChars="200"/>
        <w:jc w:val="left"/>
        <w:rPr>
          <w:rFonts w:ascii="宋体" w:hAnsi="宋体" w:cs="宋体"/>
          <w:kern w:val="0"/>
          <w:sz w:val="24"/>
          <w:u w:val="none"/>
        </w:rPr>
      </w:pPr>
    </w:p>
    <w:p w14:paraId="3A70D3A0">
      <w:pPr>
        <w:adjustRightInd w:val="0"/>
        <w:snapToGrid w:val="0"/>
        <w:spacing w:line="520" w:lineRule="exact"/>
        <w:jc w:val="center"/>
        <w:rPr>
          <w:rFonts w:ascii="仿宋_GB2312" w:hAnsi="宋体" w:eastAsia="仿宋_GB2312"/>
          <w:sz w:val="28"/>
          <w:szCs w:val="28"/>
          <w:u w:val="none"/>
        </w:rPr>
      </w:pPr>
    </w:p>
    <w:p w14:paraId="64283304">
      <w:pPr>
        <w:widowControl/>
        <w:adjustRightInd w:val="0"/>
        <w:snapToGrid w:val="0"/>
        <w:spacing w:line="520" w:lineRule="exact"/>
        <w:ind w:firstLine="504" w:firstLineChars="200"/>
        <w:jc w:val="left"/>
        <w:rPr>
          <w:rFonts w:ascii="宋体" w:hAnsi="宋体" w:cs="宋体"/>
          <w:spacing w:val="6"/>
          <w:kern w:val="0"/>
          <w:sz w:val="24"/>
          <w:u w:val="none"/>
        </w:rPr>
      </w:pPr>
      <w:r>
        <w:rPr>
          <w:rFonts w:hint="eastAsia" w:ascii="宋体" w:hAnsi="宋体" w:cs="宋体"/>
          <w:spacing w:val="6"/>
          <w:kern w:val="0"/>
          <w:sz w:val="24"/>
          <w:u w:val="none"/>
        </w:rPr>
        <w:t>备注：（1）从业人员、营业收入、资产总额填报上一年度数据，无上一年度数据的新成立企业可不填报。</w:t>
      </w:r>
    </w:p>
    <w:p w14:paraId="6B98B8EB">
      <w:pPr>
        <w:widowControl/>
        <w:adjustRightInd w:val="0"/>
        <w:snapToGrid w:val="0"/>
        <w:spacing w:line="520" w:lineRule="exact"/>
        <w:ind w:firstLine="1260" w:firstLineChars="500"/>
        <w:jc w:val="left"/>
        <w:rPr>
          <w:rFonts w:ascii="宋体" w:hAnsi="宋体" w:cs="宋体"/>
          <w:spacing w:val="6"/>
          <w:kern w:val="0"/>
          <w:sz w:val="24"/>
          <w:u w:val="none"/>
        </w:rPr>
        <w:sectPr>
          <w:pgSz w:w="11906" w:h="16838"/>
          <w:pgMar w:top="1701" w:right="1588" w:bottom="1588" w:left="1588" w:header="851" w:footer="1134" w:gutter="0"/>
          <w:pgNumType w:fmt="decimal"/>
          <w:cols w:space="720" w:num="1"/>
          <w:docGrid w:linePitch="312" w:charSpace="0"/>
        </w:sectPr>
      </w:pPr>
      <w:r>
        <w:rPr>
          <w:rFonts w:hint="eastAsia" w:ascii="宋体" w:hAnsi="宋体" w:cs="宋体"/>
          <w:spacing w:val="6"/>
          <w:kern w:val="0"/>
          <w:sz w:val="24"/>
          <w:u w:val="none"/>
        </w:rPr>
        <w:t>（2）中、小、微企业划分标准执行《中小企业划型标准规定》（工信部联企业〔2011〕300号文件）。</w:t>
      </w:r>
    </w:p>
    <w:p w14:paraId="0BA54BA5">
      <w:pPr>
        <w:pStyle w:val="3"/>
        <w:ind w:right="-42" w:rightChars="-20"/>
        <w:jc w:val="center"/>
        <w:outlineLvl w:val="2"/>
        <w:rPr>
          <w:rFonts w:hint="eastAsia" w:ascii="宋体" w:hAnsi="宋体" w:eastAsia="宋体" w:cs="宋体"/>
          <w:b/>
          <w:bCs/>
          <w:color w:val="auto"/>
          <w:sz w:val="24"/>
          <w:szCs w:val="24"/>
          <w:highlight w:val="none"/>
          <w:lang w:eastAsia="zh-CN"/>
        </w:rPr>
      </w:pPr>
      <w:bookmarkStart w:id="116" w:name="_Toc17577"/>
      <w:bookmarkStart w:id="117" w:name="_Toc29128"/>
      <w:bookmarkStart w:id="118" w:name="_Toc13645"/>
      <w:r>
        <w:rPr>
          <w:rFonts w:hint="eastAsia" w:cs="宋体"/>
          <w:b/>
          <w:bCs/>
          <w:color w:val="auto"/>
          <w:sz w:val="24"/>
          <w:szCs w:val="24"/>
          <w:highlight w:val="none"/>
          <w:lang w:eastAsia="zh-CN"/>
        </w:rPr>
        <w:t>联合体共同响应协议书</w:t>
      </w:r>
      <w:r>
        <w:rPr>
          <w:rFonts w:hint="eastAsia" w:ascii="宋体" w:hAnsi="宋体" w:eastAsia="宋体" w:cs="宋体"/>
          <w:b/>
          <w:bCs/>
          <w:color w:val="auto"/>
          <w:sz w:val="24"/>
          <w:szCs w:val="24"/>
          <w:highlight w:val="none"/>
          <w:lang w:eastAsia="zh-CN"/>
        </w:rPr>
        <w:t>（格式）</w:t>
      </w:r>
    </w:p>
    <w:p w14:paraId="4C35CED8">
      <w:pPr>
        <w:jc w:val="center"/>
      </w:pPr>
      <w:r>
        <w:t>（以下格式文件由供应商根据需要选用）</w:t>
      </w:r>
    </w:p>
    <w:p w14:paraId="1045A7A8">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立约方：</w:t>
      </w:r>
      <w:r>
        <w:rPr>
          <w:u w:val="single"/>
        </w:rPr>
        <w:t>（甲公司全称）</w:t>
      </w:r>
    </w:p>
    <w:p w14:paraId="111FC796">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rPr>
          <w:u w:val="single"/>
        </w:rPr>
        <w:t>（乙公司全称）</w:t>
      </w:r>
    </w:p>
    <w:p w14:paraId="4B60F30A">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rPr>
          <w:u w:val="single"/>
        </w:rPr>
        <w:t>（……公司全称）</w:t>
      </w:r>
    </w:p>
    <w:p w14:paraId="3C913CBB">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14:paraId="0193A3EC">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一、联合体各方关系</w:t>
      </w:r>
    </w:p>
    <w:p w14:paraId="043D2524">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14:paraId="5B8100E2">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二、联合体内部有关事项约定如下：</w:t>
      </w:r>
    </w:p>
    <w:p w14:paraId="580AC6E6">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1.（甲公司全称）作为联合体的牵头单位，代表联合体双方负责响应和合同实施阶段的主办、协调工作。</w:t>
      </w:r>
    </w:p>
    <w:p w14:paraId="27C616FE">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2.联合体将严格按照文件的各项要求，递交响应文件，切实执行一切合同文件，共同承担合同规定的一切义务和责任，同时按照内部职责的划分，承担自身所负的责任和风险，在法律在承担连带责任。</w:t>
      </w:r>
    </w:p>
    <w:p w14:paraId="38360F59">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3.如果本联合体成交，（甲公司全称）负责本项目___________部分，（乙公司全称）负责本项目___________部分。</w:t>
      </w:r>
    </w:p>
    <w:p w14:paraId="0BA35349">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4.如成交，联合体各方共同与（采购人）签订合同书，并就成交项目向采购人负责有连带的和各自的法律责任；</w:t>
      </w:r>
    </w:p>
    <w:p w14:paraId="48E8ABEA">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5.联合体成员____（公司全称）为（请填写：小型、微型）企业，将承担合同总金额____%的工作内容（联合体成员中有小型、微型企业时适用）。</w:t>
      </w:r>
    </w:p>
    <w:p w14:paraId="68B9C897">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05E77C2">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四、联合体如因违约过失责任而导致采购人经济损失或被索赔时，本联合体任何一方均同意无条件优先清偿采购人的一切债务和经济赔偿。</w:t>
      </w:r>
    </w:p>
    <w:p w14:paraId="22D87D66">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五、本协议在自签署之日起生效，有效期内有效，如获成交资格，合同有效期延续至合同履行完毕之日。</w:t>
      </w:r>
    </w:p>
    <w:p w14:paraId="123185E5">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t>六、本协议书正本一式____份，随响应文件装订____份，送采购人____份，联合体成员各一份；副本一式____份，联合体成员各执____份。</w:t>
      </w:r>
    </w:p>
    <w:p w14:paraId="075B70C6">
      <w:pPr>
        <w:jc w:val="right"/>
      </w:pPr>
    </w:p>
    <w:p w14:paraId="4914EC78">
      <w:pPr>
        <w:jc w:val="right"/>
      </w:pPr>
      <w:r>
        <w:t>甲公司全称：____（盖章）________，</w:t>
      </w:r>
    </w:p>
    <w:p w14:paraId="639A1C30">
      <w:pPr>
        <w:jc w:val="right"/>
      </w:pPr>
      <w:r>
        <w:t>____年____月 ____日，</w:t>
      </w:r>
    </w:p>
    <w:p w14:paraId="5308311F">
      <w:pPr>
        <w:jc w:val="right"/>
      </w:pPr>
    </w:p>
    <w:p w14:paraId="6AE931BC">
      <w:pPr>
        <w:jc w:val="right"/>
      </w:pPr>
      <w:r>
        <w:t>乙公司全称：____（盖章）________，</w:t>
      </w:r>
    </w:p>
    <w:p w14:paraId="5FA85020">
      <w:pPr>
        <w:jc w:val="right"/>
      </w:pPr>
      <w:r>
        <w:t>____年____月____日，</w:t>
      </w:r>
    </w:p>
    <w:p w14:paraId="4BE3557C">
      <w:pPr>
        <w:jc w:val="right"/>
      </w:pPr>
    </w:p>
    <w:p w14:paraId="6ED4C141">
      <w:pPr>
        <w:jc w:val="right"/>
      </w:pPr>
      <w:r>
        <w:t>……公司全称：____（盖章）________，</w:t>
      </w:r>
    </w:p>
    <w:p w14:paraId="0B4D931D">
      <w:pPr>
        <w:jc w:val="right"/>
      </w:pPr>
      <w:r>
        <w:t>____年____月____日</w:t>
      </w:r>
    </w:p>
    <w:p w14:paraId="46570BD1">
      <w:pPr>
        <w:ind w:firstLine="480"/>
      </w:pPr>
    </w:p>
    <w:p w14:paraId="3BAC6609">
      <w:pPr>
        <w:ind w:firstLine="480"/>
      </w:pPr>
      <w:r>
        <w:t>注：1．联合响应时需签本协议，联合体各方成员应在本协议上共同盖章确认。</w:t>
      </w:r>
    </w:p>
    <w:p w14:paraId="13502342">
      <w:pPr>
        <w:ind w:firstLine="480"/>
      </w:pPr>
      <w:r>
        <w:t>2．本协议内容不得擅自修改。此协议将作为签订合同的附件之一。</w:t>
      </w:r>
    </w:p>
    <w:p w14:paraId="2B842995">
      <w:pPr>
        <w:pStyle w:val="3"/>
        <w:ind w:right="-42" w:rightChars="-20"/>
        <w:jc w:val="left"/>
        <w:outlineLvl w:val="2"/>
        <w:rPr>
          <w:rFonts w:hint="eastAsia" w:ascii="宋体" w:hAnsi="宋体" w:eastAsia="宋体" w:cs="宋体"/>
          <w:b/>
          <w:bCs/>
          <w:color w:val="auto"/>
          <w:sz w:val="24"/>
          <w:szCs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7DB0C6DF">
      <w:pPr>
        <w:bidi w:val="0"/>
        <w:jc w:val="center"/>
        <w:rPr>
          <w:rFonts w:hint="eastAsia"/>
          <w:lang w:val="en-US" w:eastAsia="zh-CN"/>
        </w:rPr>
      </w:pPr>
      <w:r>
        <w:rPr>
          <w:rFonts w:hint="eastAsia" w:ascii="宋体" w:hAnsi="宋体" w:eastAsia="宋体" w:cs="宋体"/>
          <w:b/>
          <w:bCs/>
          <w:color w:val="auto"/>
          <w:kern w:val="0"/>
          <w:sz w:val="24"/>
          <w:szCs w:val="24"/>
          <w:highlight w:val="none"/>
          <w:lang w:val="en-US" w:eastAsia="zh-CN" w:bidi="ar-SA"/>
        </w:rPr>
        <w:t>特定资格要求</w:t>
      </w:r>
    </w:p>
    <w:p w14:paraId="21467EDE">
      <w:pPr>
        <w:pStyle w:val="3"/>
        <w:ind w:right="-42" w:rightChars="-20"/>
        <w:jc w:val="left"/>
        <w:outlineLvl w:val="2"/>
        <w:rPr>
          <w:rFonts w:hint="eastAsia" w:ascii="宋体" w:hAnsi="宋体" w:eastAsia="宋体" w:cs="宋体"/>
          <w:b/>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bCs/>
          <w:color w:val="auto"/>
          <w:sz w:val="24"/>
          <w:szCs w:val="24"/>
          <w:highlight w:val="none"/>
          <w:lang w:val="en-US" w:eastAsia="zh-CN"/>
        </w:rPr>
        <w:t>（1）投标人在“全国投资项目在线审批监管平台”已备案，且工程咨询单位名录的咨询专业和服务范围包括</w:t>
      </w:r>
      <w:r>
        <w:rPr>
          <w:rFonts w:hint="eastAsia" w:cs="宋体"/>
          <w:b/>
          <w:bCs/>
          <w:color w:val="auto"/>
          <w:sz w:val="24"/>
          <w:szCs w:val="24"/>
          <w:highlight w:val="none"/>
          <w:lang w:val="en-US" w:eastAsia="zh-CN"/>
        </w:rPr>
        <w:t>“其他（土地整理）/全过程工程咨询”</w:t>
      </w: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拟派项目负责人具备咨询工程师（投资）登记证书</w:t>
      </w:r>
      <w:r>
        <w:rPr>
          <w:rFonts w:hint="eastAsia" w:ascii="宋体" w:hAnsi="宋体" w:eastAsia="宋体" w:cs="宋体"/>
          <w:b/>
          <w:bCs/>
          <w:color w:val="auto"/>
          <w:sz w:val="24"/>
          <w:szCs w:val="24"/>
          <w:highlight w:val="none"/>
          <w:lang w:val="en-US" w:eastAsia="zh-CN"/>
        </w:rPr>
        <w:t>。</w:t>
      </w:r>
    </w:p>
    <w:p w14:paraId="3BEC0CC8">
      <w:pPr>
        <w:widowControl/>
        <w:spacing w:line="600" w:lineRule="exact"/>
        <w:jc w:val="center"/>
        <w:outlineLvl w:val="0"/>
        <w:rPr>
          <w:rFonts w:ascii="宋体" w:hAnsi="宋体" w:cs="宋体"/>
          <w:b/>
          <w:bCs/>
          <w:sz w:val="24"/>
          <w:szCs w:val="24"/>
          <w:u w:val="none"/>
        </w:rPr>
      </w:pPr>
      <w:bookmarkStart w:id="119" w:name="_Toc4034"/>
      <w:r>
        <w:rPr>
          <w:rFonts w:hint="eastAsia" w:ascii="宋体" w:hAnsi="宋体" w:cs="宋体"/>
          <w:b/>
          <w:bCs/>
          <w:sz w:val="24"/>
          <w:szCs w:val="24"/>
          <w:u w:val="none"/>
        </w:rPr>
        <w:t>开标一览表</w:t>
      </w:r>
      <w:bookmarkEnd w:id="107"/>
      <w:bookmarkEnd w:id="108"/>
      <w:bookmarkEnd w:id="109"/>
      <w:bookmarkEnd w:id="110"/>
      <w:bookmarkEnd w:id="111"/>
      <w:bookmarkEnd w:id="112"/>
      <w:r>
        <w:rPr>
          <w:rFonts w:hint="eastAsia" w:ascii="宋体" w:hAnsi="宋体" w:cs="宋体"/>
          <w:b/>
          <w:bCs/>
          <w:sz w:val="24"/>
          <w:szCs w:val="24"/>
          <w:u w:val="none"/>
        </w:rPr>
        <w:t>（格式）</w:t>
      </w:r>
      <w:bookmarkEnd w:id="113"/>
      <w:bookmarkEnd w:id="114"/>
      <w:bookmarkEnd w:id="115"/>
      <w:bookmarkEnd w:id="116"/>
      <w:bookmarkEnd w:id="117"/>
      <w:bookmarkEnd w:id="118"/>
      <w:bookmarkEnd w:id="119"/>
    </w:p>
    <w:p w14:paraId="102D11F8">
      <w:pPr>
        <w:adjustRightInd w:val="0"/>
        <w:snapToGrid w:val="0"/>
        <w:spacing w:line="400" w:lineRule="exact"/>
        <w:jc w:val="left"/>
        <w:rPr>
          <w:rFonts w:ascii="宋体" w:hAnsi="宋体" w:cs="宋体"/>
          <w:sz w:val="24"/>
          <w:szCs w:val="24"/>
          <w:u w:val="none"/>
        </w:rPr>
      </w:pPr>
    </w:p>
    <w:tbl>
      <w:tblPr>
        <w:tblStyle w:val="2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6933"/>
      </w:tblGrid>
      <w:tr w14:paraId="4B7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vAlign w:val="center"/>
          </w:tcPr>
          <w:p w14:paraId="6E5689D5">
            <w:pPr>
              <w:jc w:val="center"/>
              <w:rPr>
                <w:rFonts w:ascii="宋体" w:cs="宋体"/>
                <w:b/>
                <w:sz w:val="24"/>
                <w:szCs w:val="24"/>
                <w:u w:val="none"/>
              </w:rPr>
            </w:pPr>
            <w:r>
              <w:rPr>
                <w:rFonts w:hint="eastAsia" w:ascii="宋体" w:cs="宋体"/>
                <w:b/>
                <w:sz w:val="24"/>
                <w:szCs w:val="24"/>
                <w:u w:val="none"/>
              </w:rPr>
              <w:t>项目名称</w:t>
            </w:r>
          </w:p>
        </w:tc>
        <w:tc>
          <w:tcPr>
            <w:tcW w:w="6933" w:type="dxa"/>
            <w:vAlign w:val="center"/>
          </w:tcPr>
          <w:p w14:paraId="4B5A4CBD">
            <w:pPr>
              <w:jc w:val="center"/>
              <w:rPr>
                <w:rFonts w:hint="eastAsia" w:ascii="宋体" w:eastAsia="宋体" w:cs="宋体"/>
                <w:sz w:val="24"/>
                <w:szCs w:val="24"/>
                <w:u w:val="none"/>
                <w:lang w:eastAsia="zh-CN"/>
              </w:rPr>
            </w:pPr>
            <w:r>
              <w:rPr>
                <w:rFonts w:hint="eastAsia" w:ascii="宋体" w:hAnsi="宋体" w:cs="宋体"/>
                <w:sz w:val="24"/>
                <w:u w:val="none"/>
                <w:lang w:eastAsia="zh-CN"/>
              </w:rPr>
              <w:t>永济市开张镇全域土地综合整治（2025年）项目全过程工程咨询服务</w:t>
            </w:r>
          </w:p>
        </w:tc>
      </w:tr>
      <w:tr w14:paraId="00F6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vAlign w:val="center"/>
          </w:tcPr>
          <w:p w14:paraId="5E67A8E9">
            <w:pPr>
              <w:jc w:val="center"/>
              <w:rPr>
                <w:rFonts w:ascii="宋体" w:cs="宋体"/>
                <w:sz w:val="24"/>
                <w:szCs w:val="24"/>
                <w:u w:val="none"/>
                <w:lang w:val="sq-AL" w:eastAsia="sq-AL"/>
              </w:rPr>
            </w:pPr>
            <w:r>
              <w:rPr>
                <w:rFonts w:hint="eastAsia" w:ascii="宋体" w:cs="宋体"/>
                <w:b/>
                <w:sz w:val="24"/>
                <w:szCs w:val="24"/>
                <w:u w:val="none"/>
              </w:rPr>
              <w:t>投标报价</w:t>
            </w:r>
          </w:p>
        </w:tc>
        <w:tc>
          <w:tcPr>
            <w:tcW w:w="6933" w:type="dxa"/>
            <w:vAlign w:val="center"/>
          </w:tcPr>
          <w:p w14:paraId="04E73BE8">
            <w:pPr>
              <w:jc w:val="center"/>
              <w:rPr>
                <w:rFonts w:hint="eastAsia" w:eastAsia="宋体"/>
                <w:u w:val="none"/>
                <w:lang w:val="en-US" w:eastAsia="zh-CN"/>
              </w:rPr>
            </w:pPr>
            <w:r>
              <w:rPr>
                <w:color w:val="auto"/>
                <w:sz w:val="24"/>
                <w:szCs w:val="24"/>
              </w:rPr>
              <w:t>（大写）</w:t>
            </w:r>
            <w:r>
              <w:rPr>
                <w:rFonts w:hint="eastAsia" w:ascii="宋体" w:hAnsi="宋体" w:cs="宋体"/>
                <w:sz w:val="24"/>
                <w:szCs w:val="24"/>
                <w:u w:val="none"/>
                <w:lang w:eastAsia="zh-CN"/>
              </w:rPr>
              <w:t>财政评审价格的</w:t>
            </w:r>
            <w:r>
              <w:rPr>
                <w:rFonts w:hint="eastAsia"/>
                <w:color w:val="auto"/>
                <w:sz w:val="24"/>
                <w:szCs w:val="24"/>
                <w:lang w:eastAsia="zh-CN"/>
              </w:rPr>
              <w:t>百分之</w:t>
            </w:r>
            <w:r>
              <w:rPr>
                <w:color w:val="auto"/>
                <w:sz w:val="24"/>
                <w:szCs w:val="24"/>
                <w:u w:val="single"/>
              </w:rPr>
              <w:t xml:space="preserve">        </w:t>
            </w:r>
            <w:r>
              <w:rPr>
                <w:rFonts w:hint="eastAsia"/>
                <w:color w:val="auto"/>
                <w:sz w:val="24"/>
                <w:szCs w:val="24"/>
                <w:lang w:eastAsia="zh-CN"/>
              </w:rPr>
              <w:t>（小写：</w:t>
            </w:r>
            <w:r>
              <w:rPr>
                <w:color w:val="auto"/>
                <w:sz w:val="24"/>
                <w:szCs w:val="24"/>
                <w:u w:val="single"/>
              </w:rPr>
              <w:t xml:space="preserve">   </w:t>
            </w:r>
            <w:r>
              <w:rPr>
                <w:rFonts w:hint="eastAsia"/>
                <w:color w:val="auto"/>
                <w:sz w:val="24"/>
                <w:szCs w:val="24"/>
                <w:u w:val="none"/>
                <w:lang w:val="en-US" w:eastAsia="zh-CN"/>
              </w:rPr>
              <w:t>%</w:t>
            </w:r>
            <w:r>
              <w:rPr>
                <w:rFonts w:hint="eastAsia"/>
                <w:color w:val="auto"/>
                <w:sz w:val="24"/>
                <w:szCs w:val="24"/>
                <w:lang w:eastAsia="zh-CN"/>
              </w:rPr>
              <w:t>）</w:t>
            </w:r>
          </w:p>
        </w:tc>
      </w:tr>
      <w:tr w14:paraId="00A1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vAlign w:val="center"/>
          </w:tcPr>
          <w:p w14:paraId="4B8D857D">
            <w:pPr>
              <w:adjustRightInd w:val="0"/>
              <w:snapToGrid w:val="0"/>
              <w:jc w:val="center"/>
              <w:rPr>
                <w:rFonts w:hint="eastAsia" w:ascii="宋体" w:eastAsia="宋体" w:cs="宋体"/>
                <w:b/>
                <w:sz w:val="24"/>
                <w:szCs w:val="24"/>
                <w:u w:val="none"/>
                <w:lang w:val="sq-AL" w:eastAsia="zh-CN"/>
              </w:rPr>
            </w:pPr>
            <w:r>
              <w:rPr>
                <w:rFonts w:hint="eastAsia" w:ascii="宋体" w:hAnsi="宋体" w:cs="宋体"/>
                <w:b/>
                <w:bCs/>
                <w:sz w:val="24"/>
                <w:szCs w:val="24"/>
                <w:u w:val="none"/>
                <w:lang w:eastAsia="zh-CN"/>
              </w:rPr>
              <w:t>合同履约期限</w:t>
            </w:r>
          </w:p>
        </w:tc>
        <w:tc>
          <w:tcPr>
            <w:tcW w:w="6933" w:type="dxa"/>
            <w:vAlign w:val="center"/>
          </w:tcPr>
          <w:p w14:paraId="6C10EF3E">
            <w:pPr>
              <w:jc w:val="center"/>
              <w:rPr>
                <w:rFonts w:ascii="宋体" w:cs="宋体"/>
                <w:sz w:val="24"/>
                <w:szCs w:val="24"/>
                <w:u w:val="none"/>
              </w:rPr>
            </w:pPr>
          </w:p>
        </w:tc>
      </w:tr>
      <w:tr w14:paraId="0539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vAlign w:val="center"/>
          </w:tcPr>
          <w:p w14:paraId="60F8EBB9">
            <w:pPr>
              <w:adjustRightInd w:val="0"/>
              <w:snapToGrid w:val="0"/>
              <w:jc w:val="center"/>
              <w:rPr>
                <w:rFonts w:hint="default" w:ascii="宋体" w:eastAsia="宋体" w:cs="宋体"/>
                <w:b/>
                <w:sz w:val="24"/>
                <w:szCs w:val="24"/>
                <w:u w:val="none"/>
                <w:lang w:val="en-US" w:eastAsia="zh-CN"/>
              </w:rPr>
            </w:pPr>
            <w:r>
              <w:rPr>
                <w:rFonts w:hint="eastAsia" w:ascii="宋体" w:hAnsi="宋体" w:cs="宋体"/>
                <w:b/>
                <w:bCs/>
                <w:sz w:val="24"/>
                <w:szCs w:val="24"/>
                <w:u w:val="none"/>
                <w:lang w:val="en-US" w:eastAsia="zh-CN"/>
              </w:rPr>
              <w:t>质量承诺</w:t>
            </w:r>
          </w:p>
        </w:tc>
        <w:tc>
          <w:tcPr>
            <w:tcW w:w="6933" w:type="dxa"/>
            <w:vAlign w:val="center"/>
          </w:tcPr>
          <w:p w14:paraId="23A4FC93">
            <w:pPr>
              <w:jc w:val="center"/>
              <w:rPr>
                <w:rFonts w:ascii="宋体" w:cs="宋体"/>
                <w:sz w:val="24"/>
                <w:szCs w:val="24"/>
                <w:u w:val="none"/>
              </w:rPr>
            </w:pPr>
          </w:p>
        </w:tc>
      </w:tr>
      <w:tr w14:paraId="404B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227" w:type="dxa"/>
            <w:vAlign w:val="center"/>
          </w:tcPr>
          <w:p w14:paraId="6CA7F641">
            <w:pPr>
              <w:jc w:val="center"/>
              <w:rPr>
                <w:rFonts w:ascii="宋体" w:cs="宋体"/>
                <w:b/>
                <w:sz w:val="24"/>
                <w:szCs w:val="24"/>
                <w:u w:val="none"/>
              </w:rPr>
            </w:pPr>
            <w:r>
              <w:rPr>
                <w:rFonts w:hint="eastAsia" w:ascii="宋体" w:cs="宋体"/>
                <w:b/>
                <w:sz w:val="24"/>
                <w:szCs w:val="24"/>
                <w:u w:val="none"/>
              </w:rPr>
              <w:t>项目负责人</w:t>
            </w:r>
          </w:p>
        </w:tc>
        <w:tc>
          <w:tcPr>
            <w:tcW w:w="6933" w:type="dxa"/>
            <w:vAlign w:val="center"/>
          </w:tcPr>
          <w:p w14:paraId="19580483">
            <w:pPr>
              <w:jc w:val="center"/>
              <w:rPr>
                <w:rFonts w:ascii="宋体" w:cs="宋体"/>
                <w:sz w:val="24"/>
                <w:szCs w:val="24"/>
                <w:u w:val="none"/>
              </w:rPr>
            </w:pPr>
          </w:p>
        </w:tc>
      </w:tr>
      <w:tr w14:paraId="22C6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227" w:type="dxa"/>
            <w:vAlign w:val="center"/>
          </w:tcPr>
          <w:p w14:paraId="2AB218AD">
            <w:pPr>
              <w:jc w:val="center"/>
              <w:rPr>
                <w:rFonts w:ascii="宋体" w:cs="宋体"/>
                <w:sz w:val="24"/>
                <w:szCs w:val="24"/>
                <w:u w:val="none"/>
                <w:lang w:val="sq-AL" w:eastAsia="sq-AL"/>
              </w:rPr>
            </w:pPr>
            <w:r>
              <w:rPr>
                <w:rFonts w:hint="eastAsia" w:ascii="宋体" w:cs="宋体"/>
                <w:sz w:val="24"/>
                <w:szCs w:val="24"/>
                <w:u w:val="none"/>
                <w:lang w:val="sq-AL" w:eastAsia="sq-AL"/>
              </w:rPr>
              <w:t>备注</w:t>
            </w:r>
          </w:p>
        </w:tc>
        <w:tc>
          <w:tcPr>
            <w:tcW w:w="6933" w:type="dxa"/>
            <w:vAlign w:val="center"/>
          </w:tcPr>
          <w:p w14:paraId="58BFB34B">
            <w:pPr>
              <w:jc w:val="center"/>
              <w:rPr>
                <w:rFonts w:ascii="宋体" w:cs="宋体"/>
                <w:sz w:val="24"/>
                <w:szCs w:val="24"/>
                <w:u w:val="none"/>
              </w:rPr>
            </w:pPr>
          </w:p>
        </w:tc>
      </w:tr>
    </w:tbl>
    <w:p w14:paraId="08A53BF8">
      <w:pPr>
        <w:adjustRightInd w:val="0"/>
        <w:snapToGrid w:val="0"/>
        <w:spacing w:line="520" w:lineRule="exact"/>
        <w:rPr>
          <w:rFonts w:ascii="宋体" w:hAnsi="宋体" w:cs="宋体"/>
          <w:sz w:val="24"/>
          <w:szCs w:val="24"/>
          <w:u w:val="none"/>
        </w:rPr>
      </w:pPr>
    </w:p>
    <w:p w14:paraId="16FDEC93">
      <w:pPr>
        <w:adjustRightInd w:val="0"/>
        <w:snapToGrid w:val="0"/>
        <w:spacing w:line="520" w:lineRule="exact"/>
        <w:rPr>
          <w:rFonts w:ascii="宋体" w:hAnsi="宋体" w:cs="宋体"/>
          <w:sz w:val="24"/>
          <w:szCs w:val="24"/>
          <w:u w:val="none"/>
        </w:rPr>
      </w:pPr>
      <w:r>
        <w:rPr>
          <w:rFonts w:hint="eastAsia" w:ascii="宋体" w:hAnsi="宋体" w:cs="宋体"/>
          <w:sz w:val="24"/>
          <w:szCs w:val="24"/>
          <w:u w:val="none"/>
        </w:rPr>
        <w:t>投标人名称（单位章）：</w:t>
      </w:r>
      <w:r>
        <w:rPr>
          <w:rFonts w:hint="eastAsia" w:ascii="宋体" w:hAnsi="宋体" w:cs="宋体"/>
          <w:sz w:val="24"/>
          <w:szCs w:val="24"/>
          <w:u w:val="single"/>
          <w:lang w:val="en-US" w:eastAsia="zh-CN"/>
        </w:rPr>
        <w:t xml:space="preserve">             </w:t>
      </w:r>
      <w:r>
        <w:rPr>
          <w:rFonts w:hint="eastAsia" w:ascii="宋体" w:hAnsi="宋体" w:cs="宋体"/>
          <w:sz w:val="24"/>
          <w:szCs w:val="24"/>
          <w:u w:val="none"/>
        </w:rPr>
        <w:t xml:space="preserve"> </w:t>
      </w:r>
    </w:p>
    <w:p w14:paraId="422DDE16">
      <w:pPr>
        <w:adjustRightInd w:val="0"/>
        <w:snapToGrid w:val="0"/>
        <w:spacing w:line="520" w:lineRule="exact"/>
        <w:rPr>
          <w:rFonts w:ascii="宋体" w:hAnsi="宋体" w:cs="宋体"/>
          <w:sz w:val="24"/>
          <w:szCs w:val="24"/>
          <w:u w:val="none"/>
        </w:rPr>
      </w:pPr>
      <w:r>
        <w:rPr>
          <w:rFonts w:hint="eastAsia" w:ascii="宋体" w:hAnsi="宋体" w:cs="宋体"/>
          <w:sz w:val="24"/>
          <w:szCs w:val="24"/>
          <w:u w:val="none"/>
          <w:lang w:eastAsia="zh-CN"/>
        </w:rPr>
        <w:t>法定代表人</w:t>
      </w:r>
      <w:r>
        <w:rPr>
          <w:rFonts w:hint="eastAsia" w:ascii="宋体" w:hAnsi="宋体" w:cs="宋体"/>
          <w:sz w:val="24"/>
          <w:szCs w:val="24"/>
          <w:u w:val="none"/>
        </w:rPr>
        <w:t>或其授权的代理人（签字</w:t>
      </w:r>
      <w:r>
        <w:rPr>
          <w:rFonts w:hint="eastAsia" w:ascii="宋体" w:hAnsi="宋体" w:cs="宋体"/>
          <w:sz w:val="24"/>
          <w:szCs w:val="24"/>
          <w:u w:val="none"/>
          <w:lang w:eastAsia="zh-CN"/>
        </w:rPr>
        <w:t>或盖章</w:t>
      </w:r>
      <w:r>
        <w:rPr>
          <w:rFonts w:hint="eastAsia" w:ascii="宋体" w:hAnsi="宋体" w:cs="宋体"/>
          <w:sz w:val="24"/>
          <w:szCs w:val="24"/>
          <w:u w:val="none"/>
        </w:rPr>
        <w:t>）：</w:t>
      </w:r>
      <w:r>
        <w:rPr>
          <w:rFonts w:hint="eastAsia" w:ascii="宋体" w:hAnsi="宋体" w:cs="宋体"/>
          <w:sz w:val="24"/>
          <w:szCs w:val="24"/>
          <w:u w:val="single"/>
          <w:lang w:val="en-US" w:eastAsia="zh-CN"/>
        </w:rPr>
        <w:t xml:space="preserve">             </w:t>
      </w:r>
    </w:p>
    <w:p w14:paraId="218CFCF1">
      <w:pPr>
        <w:adjustRightInd w:val="0"/>
        <w:snapToGrid w:val="0"/>
        <w:spacing w:line="520" w:lineRule="exact"/>
        <w:rPr>
          <w:rFonts w:ascii="宋体" w:hAnsi="宋体" w:cs="宋体"/>
          <w:sz w:val="24"/>
          <w:szCs w:val="24"/>
          <w:u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4"/>
          <w:szCs w:val="24"/>
          <w:u w:val="none"/>
        </w:rPr>
        <w:t>日期：</w:t>
      </w:r>
      <w:r>
        <w:rPr>
          <w:color w:val="000000"/>
          <w:sz w:val="24"/>
          <w:u w:val="none"/>
        </w:rPr>
        <w:t>_____年______月______日</w:t>
      </w:r>
    </w:p>
    <w:p w14:paraId="4E20C3FF">
      <w:pPr>
        <w:pStyle w:val="15"/>
        <w:adjustRightInd w:val="0"/>
        <w:snapToGrid w:val="0"/>
        <w:spacing w:line="400" w:lineRule="exact"/>
        <w:jc w:val="center"/>
        <w:outlineLvl w:val="0"/>
        <w:rPr>
          <w:rFonts w:hAnsi="宋体" w:cs="宋体"/>
          <w:b/>
          <w:bCs/>
          <w:sz w:val="24"/>
          <w:szCs w:val="24"/>
          <w:u w:val="none"/>
        </w:rPr>
      </w:pPr>
      <w:bookmarkStart w:id="120" w:name="_Toc8229"/>
      <w:bookmarkStart w:id="121" w:name="_Toc27789"/>
      <w:bookmarkStart w:id="122" w:name="_Toc6905"/>
      <w:bookmarkStart w:id="123" w:name="_Toc10474"/>
      <w:bookmarkStart w:id="124" w:name="_Toc22645"/>
      <w:bookmarkStart w:id="125" w:name="_Toc13591"/>
      <w:bookmarkStart w:id="126" w:name="_Toc1254"/>
      <w:r>
        <w:rPr>
          <w:rFonts w:hint="eastAsia" w:hAnsi="宋体" w:cs="宋体"/>
          <w:b/>
          <w:bCs/>
          <w:kern w:val="0"/>
          <w:sz w:val="24"/>
          <w:szCs w:val="24"/>
          <w:u w:val="none"/>
          <w:lang w:eastAsia="zh-CN"/>
        </w:rPr>
        <w:t>投标人类似项目业绩一览表</w:t>
      </w:r>
      <w:r>
        <w:rPr>
          <w:rFonts w:hint="eastAsia" w:hAnsi="宋体" w:cs="宋体"/>
          <w:b/>
          <w:bCs/>
          <w:sz w:val="24"/>
          <w:szCs w:val="24"/>
          <w:u w:val="none"/>
        </w:rPr>
        <w:t>（格式）</w:t>
      </w:r>
      <w:bookmarkEnd w:id="120"/>
      <w:bookmarkEnd w:id="121"/>
      <w:bookmarkEnd w:id="122"/>
      <w:bookmarkEnd w:id="123"/>
      <w:bookmarkEnd w:id="124"/>
      <w:bookmarkEnd w:id="125"/>
      <w:bookmarkEnd w:id="126"/>
    </w:p>
    <w:p w14:paraId="444F34AE">
      <w:pPr>
        <w:pStyle w:val="15"/>
        <w:adjustRightInd w:val="0"/>
        <w:snapToGrid w:val="0"/>
        <w:spacing w:line="400" w:lineRule="exact"/>
        <w:rPr>
          <w:rFonts w:hAnsi="宋体" w:cs="宋体"/>
          <w:sz w:val="24"/>
          <w:szCs w:val="24"/>
          <w:u w:val="none"/>
        </w:rPr>
      </w:pPr>
    </w:p>
    <w:tbl>
      <w:tblPr>
        <w:tblStyle w:val="28"/>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65"/>
        <w:gridCol w:w="1485"/>
        <w:gridCol w:w="1305"/>
        <w:gridCol w:w="1605"/>
        <w:gridCol w:w="1515"/>
        <w:gridCol w:w="1417"/>
      </w:tblGrid>
      <w:tr w14:paraId="3C1A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1" w:type="dxa"/>
            <w:vAlign w:val="center"/>
          </w:tcPr>
          <w:p w14:paraId="3FEF686C">
            <w:pPr>
              <w:widowControl/>
              <w:snapToGrid w:val="0"/>
              <w:ind w:left="480" w:hanging="480" w:hangingChars="200"/>
              <w:jc w:val="center"/>
              <w:rPr>
                <w:rFonts w:ascii="宋体" w:hAnsi="宋体"/>
                <w:sz w:val="24"/>
                <w:szCs w:val="24"/>
                <w:u w:val="none"/>
              </w:rPr>
            </w:pPr>
            <w:r>
              <w:rPr>
                <w:rFonts w:hint="eastAsia" w:ascii="宋体" w:hAnsi="宋体"/>
                <w:sz w:val="24"/>
                <w:szCs w:val="24"/>
                <w:u w:val="none"/>
              </w:rPr>
              <w:t>序号</w:t>
            </w:r>
          </w:p>
        </w:tc>
        <w:tc>
          <w:tcPr>
            <w:tcW w:w="1365" w:type="dxa"/>
            <w:vAlign w:val="center"/>
          </w:tcPr>
          <w:p w14:paraId="2C4353EE">
            <w:pPr>
              <w:widowControl/>
              <w:snapToGrid w:val="0"/>
              <w:ind w:left="480" w:hanging="480" w:hangingChars="200"/>
              <w:jc w:val="center"/>
              <w:rPr>
                <w:rFonts w:ascii="宋体" w:hAnsi="宋体"/>
                <w:sz w:val="24"/>
                <w:szCs w:val="24"/>
                <w:u w:val="none"/>
              </w:rPr>
            </w:pPr>
            <w:r>
              <w:rPr>
                <w:rFonts w:hint="eastAsia" w:ascii="宋体" w:hAnsi="宋体"/>
                <w:sz w:val="24"/>
                <w:szCs w:val="24"/>
                <w:u w:val="none"/>
              </w:rPr>
              <w:t>项目名称</w:t>
            </w:r>
          </w:p>
        </w:tc>
        <w:tc>
          <w:tcPr>
            <w:tcW w:w="1485" w:type="dxa"/>
            <w:vAlign w:val="center"/>
          </w:tcPr>
          <w:p w14:paraId="289FD670">
            <w:pPr>
              <w:widowControl/>
              <w:snapToGrid w:val="0"/>
              <w:ind w:left="480" w:hanging="480" w:hangingChars="200"/>
              <w:jc w:val="center"/>
              <w:rPr>
                <w:rFonts w:ascii="宋体" w:hAnsi="宋体"/>
                <w:sz w:val="24"/>
                <w:szCs w:val="24"/>
                <w:u w:val="none"/>
              </w:rPr>
            </w:pPr>
            <w:r>
              <w:rPr>
                <w:rFonts w:hint="eastAsia" w:ascii="宋体" w:hAnsi="宋体"/>
                <w:sz w:val="24"/>
                <w:szCs w:val="24"/>
                <w:u w:val="none"/>
              </w:rPr>
              <w:t>业主单位</w:t>
            </w:r>
          </w:p>
        </w:tc>
        <w:tc>
          <w:tcPr>
            <w:tcW w:w="1305" w:type="dxa"/>
            <w:vAlign w:val="center"/>
          </w:tcPr>
          <w:p w14:paraId="43ABE3AB">
            <w:pPr>
              <w:widowControl/>
              <w:snapToGrid w:val="0"/>
              <w:ind w:left="480" w:hanging="480" w:hangingChars="200"/>
              <w:rPr>
                <w:rFonts w:ascii="宋体" w:hAnsi="宋体"/>
                <w:sz w:val="24"/>
                <w:szCs w:val="24"/>
                <w:u w:val="none"/>
              </w:rPr>
            </w:pPr>
            <w:r>
              <w:rPr>
                <w:rFonts w:hint="eastAsia" w:ascii="宋体" w:hAnsi="宋体"/>
                <w:sz w:val="24"/>
                <w:szCs w:val="24"/>
                <w:u w:val="none"/>
              </w:rPr>
              <w:t>合同金额</w:t>
            </w:r>
          </w:p>
        </w:tc>
        <w:tc>
          <w:tcPr>
            <w:tcW w:w="1605" w:type="dxa"/>
            <w:vAlign w:val="center"/>
          </w:tcPr>
          <w:p w14:paraId="3F1A7D8B">
            <w:pPr>
              <w:widowControl/>
              <w:snapToGrid w:val="0"/>
              <w:ind w:left="480" w:hanging="480" w:hangingChars="200"/>
              <w:jc w:val="center"/>
              <w:rPr>
                <w:rFonts w:ascii="宋体" w:hAnsi="宋体"/>
                <w:sz w:val="24"/>
                <w:szCs w:val="24"/>
                <w:u w:val="none"/>
              </w:rPr>
            </w:pPr>
            <w:r>
              <w:rPr>
                <w:rFonts w:hint="eastAsia" w:ascii="宋体" w:hAnsi="宋体"/>
                <w:sz w:val="24"/>
                <w:szCs w:val="24"/>
                <w:u w:val="none"/>
              </w:rPr>
              <w:t>签订时间</w:t>
            </w:r>
          </w:p>
        </w:tc>
        <w:tc>
          <w:tcPr>
            <w:tcW w:w="1515" w:type="dxa"/>
            <w:vAlign w:val="center"/>
          </w:tcPr>
          <w:p w14:paraId="2063E68A">
            <w:pPr>
              <w:widowControl/>
              <w:snapToGrid w:val="0"/>
              <w:ind w:left="480" w:hanging="480" w:hangingChars="200"/>
              <w:jc w:val="center"/>
              <w:rPr>
                <w:rFonts w:hint="default" w:ascii="宋体" w:hAnsi="宋体" w:eastAsia="宋体"/>
                <w:sz w:val="24"/>
                <w:szCs w:val="24"/>
                <w:u w:val="none"/>
                <w:lang w:val="en-US" w:eastAsia="zh-CN"/>
              </w:rPr>
            </w:pPr>
            <w:r>
              <w:rPr>
                <w:rFonts w:hint="eastAsia" w:ascii="宋体" w:hAnsi="宋体"/>
                <w:sz w:val="24"/>
                <w:szCs w:val="24"/>
                <w:u w:val="none"/>
                <w:lang w:val="en-US" w:eastAsia="zh-CN"/>
              </w:rPr>
              <w:t>合同期限</w:t>
            </w:r>
          </w:p>
        </w:tc>
        <w:tc>
          <w:tcPr>
            <w:tcW w:w="1417" w:type="dxa"/>
            <w:vAlign w:val="center"/>
          </w:tcPr>
          <w:p w14:paraId="5238DAFA">
            <w:pPr>
              <w:widowControl/>
              <w:snapToGrid w:val="0"/>
              <w:ind w:left="480" w:hanging="480" w:hangingChars="200"/>
              <w:jc w:val="center"/>
              <w:rPr>
                <w:rFonts w:hint="default" w:ascii="宋体" w:hAnsi="宋体" w:eastAsia="宋体"/>
                <w:sz w:val="24"/>
                <w:szCs w:val="24"/>
                <w:u w:val="none"/>
                <w:lang w:val="en-US" w:eastAsia="zh-CN"/>
              </w:rPr>
            </w:pPr>
            <w:r>
              <w:rPr>
                <w:rFonts w:hint="eastAsia" w:ascii="宋体" w:hAnsi="宋体"/>
                <w:sz w:val="24"/>
                <w:szCs w:val="24"/>
                <w:u w:val="none"/>
                <w:lang w:val="en-US" w:eastAsia="zh-CN"/>
              </w:rPr>
              <w:t>主要内容</w:t>
            </w:r>
          </w:p>
        </w:tc>
      </w:tr>
      <w:tr w14:paraId="5DB1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1" w:type="dxa"/>
            <w:vAlign w:val="center"/>
          </w:tcPr>
          <w:p w14:paraId="12A9764D">
            <w:pPr>
              <w:widowControl/>
              <w:snapToGrid w:val="0"/>
              <w:ind w:left="560" w:hanging="560" w:hangingChars="200"/>
              <w:jc w:val="center"/>
              <w:rPr>
                <w:rFonts w:ascii="宋体" w:hAnsi="宋体"/>
                <w:sz w:val="28"/>
                <w:szCs w:val="28"/>
                <w:u w:val="none"/>
              </w:rPr>
            </w:pPr>
          </w:p>
        </w:tc>
        <w:tc>
          <w:tcPr>
            <w:tcW w:w="1365" w:type="dxa"/>
            <w:vAlign w:val="center"/>
          </w:tcPr>
          <w:p w14:paraId="51E0EEB6">
            <w:pPr>
              <w:widowControl/>
              <w:snapToGrid w:val="0"/>
              <w:ind w:left="560" w:hanging="560" w:hangingChars="200"/>
              <w:jc w:val="center"/>
              <w:rPr>
                <w:rFonts w:ascii="宋体" w:hAnsi="宋体"/>
                <w:sz w:val="28"/>
                <w:szCs w:val="28"/>
                <w:u w:val="none"/>
              </w:rPr>
            </w:pPr>
          </w:p>
        </w:tc>
        <w:tc>
          <w:tcPr>
            <w:tcW w:w="1485" w:type="dxa"/>
            <w:vAlign w:val="center"/>
          </w:tcPr>
          <w:p w14:paraId="754E4A40">
            <w:pPr>
              <w:widowControl/>
              <w:snapToGrid w:val="0"/>
              <w:ind w:left="560" w:hanging="560" w:hangingChars="200"/>
              <w:jc w:val="center"/>
              <w:rPr>
                <w:rFonts w:ascii="宋体" w:hAnsi="宋体"/>
                <w:sz w:val="28"/>
                <w:szCs w:val="28"/>
                <w:u w:val="none"/>
              </w:rPr>
            </w:pPr>
          </w:p>
        </w:tc>
        <w:tc>
          <w:tcPr>
            <w:tcW w:w="1305" w:type="dxa"/>
            <w:vAlign w:val="center"/>
          </w:tcPr>
          <w:p w14:paraId="76593667">
            <w:pPr>
              <w:widowControl/>
              <w:snapToGrid w:val="0"/>
              <w:ind w:left="560" w:hanging="560" w:hangingChars="200"/>
              <w:jc w:val="center"/>
              <w:rPr>
                <w:rFonts w:ascii="宋体" w:hAnsi="宋体"/>
                <w:sz w:val="28"/>
                <w:szCs w:val="28"/>
                <w:u w:val="none"/>
              </w:rPr>
            </w:pPr>
          </w:p>
        </w:tc>
        <w:tc>
          <w:tcPr>
            <w:tcW w:w="1605" w:type="dxa"/>
            <w:vAlign w:val="center"/>
          </w:tcPr>
          <w:p w14:paraId="289E903D">
            <w:pPr>
              <w:widowControl/>
              <w:snapToGrid w:val="0"/>
              <w:ind w:left="560" w:hanging="560" w:hangingChars="200"/>
              <w:jc w:val="center"/>
              <w:rPr>
                <w:rFonts w:ascii="宋体" w:hAnsi="宋体"/>
                <w:sz w:val="28"/>
                <w:szCs w:val="28"/>
                <w:u w:val="none"/>
              </w:rPr>
            </w:pPr>
          </w:p>
        </w:tc>
        <w:tc>
          <w:tcPr>
            <w:tcW w:w="1515" w:type="dxa"/>
            <w:vAlign w:val="center"/>
          </w:tcPr>
          <w:p w14:paraId="1039F982">
            <w:pPr>
              <w:widowControl/>
              <w:snapToGrid w:val="0"/>
              <w:ind w:left="560" w:hanging="560" w:hangingChars="200"/>
              <w:jc w:val="center"/>
              <w:rPr>
                <w:rFonts w:ascii="宋体" w:hAnsi="宋体"/>
                <w:sz w:val="28"/>
                <w:szCs w:val="28"/>
                <w:u w:val="none"/>
              </w:rPr>
            </w:pPr>
          </w:p>
        </w:tc>
        <w:tc>
          <w:tcPr>
            <w:tcW w:w="1417" w:type="dxa"/>
            <w:vAlign w:val="center"/>
          </w:tcPr>
          <w:p w14:paraId="1AE4DE20">
            <w:pPr>
              <w:widowControl/>
              <w:snapToGrid w:val="0"/>
              <w:ind w:left="560" w:hanging="560" w:hangingChars="200"/>
              <w:jc w:val="center"/>
              <w:rPr>
                <w:rFonts w:ascii="宋体" w:hAnsi="宋体"/>
                <w:sz w:val="28"/>
                <w:szCs w:val="28"/>
                <w:u w:val="none"/>
              </w:rPr>
            </w:pPr>
          </w:p>
        </w:tc>
      </w:tr>
      <w:tr w14:paraId="581B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1" w:type="dxa"/>
            <w:vAlign w:val="center"/>
          </w:tcPr>
          <w:p w14:paraId="12593A90">
            <w:pPr>
              <w:widowControl/>
              <w:snapToGrid w:val="0"/>
              <w:ind w:left="560" w:hanging="560" w:hangingChars="200"/>
              <w:jc w:val="center"/>
              <w:rPr>
                <w:rFonts w:ascii="宋体" w:hAnsi="宋体"/>
                <w:sz w:val="28"/>
                <w:szCs w:val="28"/>
                <w:u w:val="none"/>
              </w:rPr>
            </w:pPr>
          </w:p>
        </w:tc>
        <w:tc>
          <w:tcPr>
            <w:tcW w:w="1365" w:type="dxa"/>
            <w:vAlign w:val="center"/>
          </w:tcPr>
          <w:p w14:paraId="08D4F209">
            <w:pPr>
              <w:widowControl/>
              <w:snapToGrid w:val="0"/>
              <w:ind w:left="560" w:hanging="560" w:hangingChars="200"/>
              <w:jc w:val="center"/>
              <w:rPr>
                <w:rFonts w:ascii="宋体" w:hAnsi="宋体"/>
                <w:sz w:val="28"/>
                <w:szCs w:val="28"/>
                <w:u w:val="none"/>
              </w:rPr>
            </w:pPr>
          </w:p>
        </w:tc>
        <w:tc>
          <w:tcPr>
            <w:tcW w:w="1485" w:type="dxa"/>
            <w:vAlign w:val="center"/>
          </w:tcPr>
          <w:p w14:paraId="12EFD6FD">
            <w:pPr>
              <w:widowControl/>
              <w:snapToGrid w:val="0"/>
              <w:ind w:left="560" w:hanging="560" w:hangingChars="200"/>
              <w:jc w:val="center"/>
              <w:rPr>
                <w:rFonts w:ascii="宋体" w:hAnsi="宋体"/>
                <w:sz w:val="28"/>
                <w:szCs w:val="28"/>
                <w:u w:val="none"/>
              </w:rPr>
            </w:pPr>
          </w:p>
        </w:tc>
        <w:tc>
          <w:tcPr>
            <w:tcW w:w="1305" w:type="dxa"/>
            <w:vAlign w:val="center"/>
          </w:tcPr>
          <w:p w14:paraId="2B59F65F">
            <w:pPr>
              <w:widowControl/>
              <w:snapToGrid w:val="0"/>
              <w:ind w:left="560" w:hanging="560" w:hangingChars="200"/>
              <w:jc w:val="center"/>
              <w:rPr>
                <w:rFonts w:ascii="宋体" w:hAnsi="宋体"/>
                <w:sz w:val="28"/>
                <w:szCs w:val="28"/>
                <w:u w:val="none"/>
              </w:rPr>
            </w:pPr>
          </w:p>
        </w:tc>
        <w:tc>
          <w:tcPr>
            <w:tcW w:w="1605" w:type="dxa"/>
            <w:vAlign w:val="center"/>
          </w:tcPr>
          <w:p w14:paraId="049C797F">
            <w:pPr>
              <w:widowControl/>
              <w:snapToGrid w:val="0"/>
              <w:ind w:left="560" w:hanging="560" w:hangingChars="200"/>
              <w:jc w:val="center"/>
              <w:rPr>
                <w:rFonts w:ascii="宋体" w:hAnsi="宋体"/>
                <w:sz w:val="28"/>
                <w:szCs w:val="28"/>
                <w:u w:val="none"/>
              </w:rPr>
            </w:pPr>
          </w:p>
        </w:tc>
        <w:tc>
          <w:tcPr>
            <w:tcW w:w="1515" w:type="dxa"/>
            <w:vAlign w:val="center"/>
          </w:tcPr>
          <w:p w14:paraId="741647E6">
            <w:pPr>
              <w:widowControl/>
              <w:snapToGrid w:val="0"/>
              <w:ind w:left="560" w:hanging="560" w:hangingChars="200"/>
              <w:jc w:val="center"/>
              <w:rPr>
                <w:rFonts w:ascii="宋体" w:hAnsi="宋体"/>
                <w:sz w:val="28"/>
                <w:szCs w:val="28"/>
                <w:u w:val="none"/>
              </w:rPr>
            </w:pPr>
          </w:p>
        </w:tc>
        <w:tc>
          <w:tcPr>
            <w:tcW w:w="1417" w:type="dxa"/>
            <w:vAlign w:val="center"/>
          </w:tcPr>
          <w:p w14:paraId="4F4FF596">
            <w:pPr>
              <w:widowControl/>
              <w:snapToGrid w:val="0"/>
              <w:ind w:left="560" w:hanging="560" w:hangingChars="200"/>
              <w:jc w:val="center"/>
              <w:rPr>
                <w:rFonts w:ascii="宋体" w:hAnsi="宋体"/>
                <w:sz w:val="28"/>
                <w:szCs w:val="28"/>
                <w:u w:val="none"/>
              </w:rPr>
            </w:pPr>
          </w:p>
        </w:tc>
      </w:tr>
      <w:tr w14:paraId="5245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1" w:type="dxa"/>
            <w:vAlign w:val="center"/>
          </w:tcPr>
          <w:p w14:paraId="63760562">
            <w:pPr>
              <w:widowControl/>
              <w:snapToGrid w:val="0"/>
              <w:ind w:left="560" w:hanging="560" w:hangingChars="200"/>
              <w:jc w:val="center"/>
              <w:rPr>
                <w:rFonts w:ascii="宋体" w:hAnsi="宋体"/>
                <w:sz w:val="28"/>
                <w:szCs w:val="28"/>
                <w:u w:val="none"/>
              </w:rPr>
            </w:pPr>
          </w:p>
        </w:tc>
        <w:tc>
          <w:tcPr>
            <w:tcW w:w="1365" w:type="dxa"/>
            <w:vAlign w:val="center"/>
          </w:tcPr>
          <w:p w14:paraId="3C72DFF8">
            <w:pPr>
              <w:widowControl/>
              <w:snapToGrid w:val="0"/>
              <w:ind w:left="560" w:hanging="560" w:hangingChars="200"/>
              <w:jc w:val="center"/>
              <w:rPr>
                <w:rFonts w:ascii="宋体" w:hAnsi="宋体"/>
                <w:sz w:val="28"/>
                <w:szCs w:val="28"/>
                <w:u w:val="none"/>
              </w:rPr>
            </w:pPr>
          </w:p>
        </w:tc>
        <w:tc>
          <w:tcPr>
            <w:tcW w:w="1485" w:type="dxa"/>
            <w:vAlign w:val="center"/>
          </w:tcPr>
          <w:p w14:paraId="166F7E80">
            <w:pPr>
              <w:widowControl/>
              <w:snapToGrid w:val="0"/>
              <w:ind w:left="560" w:hanging="560" w:hangingChars="200"/>
              <w:jc w:val="center"/>
              <w:rPr>
                <w:rFonts w:ascii="宋体" w:hAnsi="宋体"/>
                <w:sz w:val="28"/>
                <w:szCs w:val="28"/>
                <w:u w:val="none"/>
              </w:rPr>
            </w:pPr>
          </w:p>
        </w:tc>
        <w:tc>
          <w:tcPr>
            <w:tcW w:w="1305" w:type="dxa"/>
            <w:vAlign w:val="center"/>
          </w:tcPr>
          <w:p w14:paraId="6E775B81">
            <w:pPr>
              <w:widowControl/>
              <w:snapToGrid w:val="0"/>
              <w:ind w:left="560" w:hanging="560" w:hangingChars="200"/>
              <w:jc w:val="center"/>
              <w:rPr>
                <w:rFonts w:ascii="宋体" w:hAnsi="宋体"/>
                <w:sz w:val="28"/>
                <w:szCs w:val="28"/>
                <w:u w:val="none"/>
              </w:rPr>
            </w:pPr>
          </w:p>
        </w:tc>
        <w:tc>
          <w:tcPr>
            <w:tcW w:w="1605" w:type="dxa"/>
            <w:vAlign w:val="center"/>
          </w:tcPr>
          <w:p w14:paraId="5DCC11CB">
            <w:pPr>
              <w:widowControl/>
              <w:snapToGrid w:val="0"/>
              <w:ind w:left="560" w:hanging="560" w:hangingChars="200"/>
              <w:jc w:val="center"/>
              <w:rPr>
                <w:rFonts w:ascii="宋体" w:hAnsi="宋体"/>
                <w:sz w:val="28"/>
                <w:szCs w:val="28"/>
                <w:u w:val="none"/>
              </w:rPr>
            </w:pPr>
          </w:p>
        </w:tc>
        <w:tc>
          <w:tcPr>
            <w:tcW w:w="1515" w:type="dxa"/>
            <w:vAlign w:val="center"/>
          </w:tcPr>
          <w:p w14:paraId="422A3613">
            <w:pPr>
              <w:widowControl/>
              <w:snapToGrid w:val="0"/>
              <w:ind w:left="560" w:hanging="560" w:hangingChars="200"/>
              <w:jc w:val="center"/>
              <w:rPr>
                <w:rFonts w:ascii="宋体" w:hAnsi="宋体"/>
                <w:sz w:val="28"/>
                <w:szCs w:val="28"/>
                <w:u w:val="none"/>
              </w:rPr>
            </w:pPr>
          </w:p>
        </w:tc>
        <w:tc>
          <w:tcPr>
            <w:tcW w:w="1417" w:type="dxa"/>
            <w:vAlign w:val="center"/>
          </w:tcPr>
          <w:p w14:paraId="5C2051CA">
            <w:pPr>
              <w:widowControl/>
              <w:snapToGrid w:val="0"/>
              <w:ind w:left="560" w:hanging="560" w:hangingChars="200"/>
              <w:jc w:val="center"/>
              <w:rPr>
                <w:rFonts w:ascii="宋体" w:hAnsi="宋体"/>
                <w:sz w:val="28"/>
                <w:szCs w:val="28"/>
                <w:u w:val="none"/>
              </w:rPr>
            </w:pPr>
          </w:p>
        </w:tc>
      </w:tr>
      <w:tr w14:paraId="7C12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1" w:type="dxa"/>
            <w:vAlign w:val="center"/>
          </w:tcPr>
          <w:p w14:paraId="6E006B78">
            <w:pPr>
              <w:widowControl/>
              <w:snapToGrid w:val="0"/>
              <w:ind w:left="560" w:hanging="560" w:hangingChars="200"/>
              <w:jc w:val="center"/>
              <w:rPr>
                <w:rFonts w:ascii="宋体" w:hAnsi="宋体"/>
                <w:sz w:val="28"/>
                <w:szCs w:val="28"/>
                <w:u w:val="none"/>
              </w:rPr>
            </w:pPr>
          </w:p>
        </w:tc>
        <w:tc>
          <w:tcPr>
            <w:tcW w:w="1365" w:type="dxa"/>
            <w:vAlign w:val="center"/>
          </w:tcPr>
          <w:p w14:paraId="32160733">
            <w:pPr>
              <w:widowControl/>
              <w:snapToGrid w:val="0"/>
              <w:ind w:left="560" w:hanging="560" w:hangingChars="200"/>
              <w:jc w:val="center"/>
              <w:rPr>
                <w:rFonts w:ascii="宋体" w:hAnsi="宋体"/>
                <w:sz w:val="28"/>
                <w:szCs w:val="28"/>
                <w:u w:val="none"/>
              </w:rPr>
            </w:pPr>
          </w:p>
        </w:tc>
        <w:tc>
          <w:tcPr>
            <w:tcW w:w="1485" w:type="dxa"/>
            <w:vAlign w:val="center"/>
          </w:tcPr>
          <w:p w14:paraId="3610EAB6">
            <w:pPr>
              <w:widowControl/>
              <w:snapToGrid w:val="0"/>
              <w:ind w:left="560" w:hanging="560" w:hangingChars="200"/>
              <w:jc w:val="center"/>
              <w:rPr>
                <w:rFonts w:ascii="宋体" w:hAnsi="宋体"/>
                <w:sz w:val="28"/>
                <w:szCs w:val="28"/>
                <w:u w:val="none"/>
              </w:rPr>
            </w:pPr>
          </w:p>
        </w:tc>
        <w:tc>
          <w:tcPr>
            <w:tcW w:w="1305" w:type="dxa"/>
            <w:vAlign w:val="center"/>
          </w:tcPr>
          <w:p w14:paraId="0BD515FB">
            <w:pPr>
              <w:widowControl/>
              <w:snapToGrid w:val="0"/>
              <w:ind w:left="560" w:hanging="560" w:hangingChars="200"/>
              <w:jc w:val="center"/>
              <w:rPr>
                <w:rFonts w:ascii="宋体" w:hAnsi="宋体"/>
                <w:sz w:val="28"/>
                <w:szCs w:val="28"/>
                <w:u w:val="none"/>
              </w:rPr>
            </w:pPr>
          </w:p>
        </w:tc>
        <w:tc>
          <w:tcPr>
            <w:tcW w:w="1605" w:type="dxa"/>
            <w:vAlign w:val="center"/>
          </w:tcPr>
          <w:p w14:paraId="7E1993B9">
            <w:pPr>
              <w:widowControl/>
              <w:snapToGrid w:val="0"/>
              <w:ind w:left="560" w:hanging="560" w:hangingChars="200"/>
              <w:jc w:val="center"/>
              <w:rPr>
                <w:rFonts w:ascii="宋体" w:hAnsi="宋体"/>
                <w:sz w:val="28"/>
                <w:szCs w:val="28"/>
                <w:u w:val="none"/>
              </w:rPr>
            </w:pPr>
          </w:p>
        </w:tc>
        <w:tc>
          <w:tcPr>
            <w:tcW w:w="1515" w:type="dxa"/>
            <w:vAlign w:val="center"/>
          </w:tcPr>
          <w:p w14:paraId="44E276B4">
            <w:pPr>
              <w:widowControl/>
              <w:snapToGrid w:val="0"/>
              <w:ind w:left="560" w:hanging="560" w:hangingChars="200"/>
              <w:jc w:val="center"/>
              <w:rPr>
                <w:rFonts w:ascii="宋体" w:hAnsi="宋体"/>
                <w:sz w:val="28"/>
                <w:szCs w:val="28"/>
                <w:u w:val="none"/>
              </w:rPr>
            </w:pPr>
          </w:p>
        </w:tc>
        <w:tc>
          <w:tcPr>
            <w:tcW w:w="1417" w:type="dxa"/>
            <w:vAlign w:val="center"/>
          </w:tcPr>
          <w:p w14:paraId="0CFDD757">
            <w:pPr>
              <w:widowControl/>
              <w:snapToGrid w:val="0"/>
              <w:ind w:left="560" w:hanging="560" w:hangingChars="200"/>
              <w:jc w:val="center"/>
              <w:rPr>
                <w:rFonts w:ascii="宋体" w:hAnsi="宋体"/>
                <w:sz w:val="28"/>
                <w:szCs w:val="28"/>
                <w:u w:val="none"/>
              </w:rPr>
            </w:pPr>
          </w:p>
        </w:tc>
      </w:tr>
      <w:tr w14:paraId="0A60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1" w:type="dxa"/>
            <w:vAlign w:val="center"/>
          </w:tcPr>
          <w:p w14:paraId="1547211A">
            <w:pPr>
              <w:widowControl/>
              <w:snapToGrid w:val="0"/>
              <w:ind w:left="560" w:hanging="560" w:hangingChars="200"/>
              <w:jc w:val="center"/>
              <w:rPr>
                <w:rFonts w:ascii="宋体" w:hAnsi="宋体"/>
                <w:sz w:val="28"/>
                <w:szCs w:val="28"/>
                <w:u w:val="none"/>
              </w:rPr>
            </w:pPr>
          </w:p>
        </w:tc>
        <w:tc>
          <w:tcPr>
            <w:tcW w:w="1365" w:type="dxa"/>
            <w:vAlign w:val="center"/>
          </w:tcPr>
          <w:p w14:paraId="1EE1EDEC">
            <w:pPr>
              <w:widowControl/>
              <w:snapToGrid w:val="0"/>
              <w:ind w:left="560" w:hanging="560" w:hangingChars="200"/>
              <w:jc w:val="center"/>
              <w:rPr>
                <w:rFonts w:ascii="宋体" w:hAnsi="宋体"/>
                <w:sz w:val="28"/>
                <w:szCs w:val="28"/>
                <w:u w:val="none"/>
              </w:rPr>
            </w:pPr>
          </w:p>
        </w:tc>
        <w:tc>
          <w:tcPr>
            <w:tcW w:w="1485" w:type="dxa"/>
            <w:vAlign w:val="center"/>
          </w:tcPr>
          <w:p w14:paraId="2B0F975C">
            <w:pPr>
              <w:widowControl/>
              <w:snapToGrid w:val="0"/>
              <w:ind w:left="560" w:hanging="560" w:hangingChars="200"/>
              <w:jc w:val="center"/>
              <w:rPr>
                <w:rFonts w:ascii="宋体" w:hAnsi="宋体"/>
                <w:sz w:val="28"/>
                <w:szCs w:val="28"/>
                <w:u w:val="none"/>
              </w:rPr>
            </w:pPr>
          </w:p>
        </w:tc>
        <w:tc>
          <w:tcPr>
            <w:tcW w:w="1305" w:type="dxa"/>
            <w:vAlign w:val="center"/>
          </w:tcPr>
          <w:p w14:paraId="6EA55C72">
            <w:pPr>
              <w:widowControl/>
              <w:snapToGrid w:val="0"/>
              <w:ind w:left="560" w:hanging="560" w:hangingChars="200"/>
              <w:jc w:val="center"/>
              <w:rPr>
                <w:rFonts w:ascii="宋体" w:hAnsi="宋体"/>
                <w:sz w:val="28"/>
                <w:szCs w:val="28"/>
                <w:u w:val="none"/>
              </w:rPr>
            </w:pPr>
          </w:p>
        </w:tc>
        <w:tc>
          <w:tcPr>
            <w:tcW w:w="1605" w:type="dxa"/>
            <w:vAlign w:val="center"/>
          </w:tcPr>
          <w:p w14:paraId="18ACF2F3">
            <w:pPr>
              <w:widowControl/>
              <w:snapToGrid w:val="0"/>
              <w:ind w:left="560" w:hanging="560" w:hangingChars="200"/>
              <w:jc w:val="center"/>
              <w:rPr>
                <w:rFonts w:ascii="宋体" w:hAnsi="宋体"/>
                <w:sz w:val="28"/>
                <w:szCs w:val="28"/>
                <w:u w:val="none"/>
              </w:rPr>
            </w:pPr>
          </w:p>
        </w:tc>
        <w:tc>
          <w:tcPr>
            <w:tcW w:w="1515" w:type="dxa"/>
            <w:vAlign w:val="center"/>
          </w:tcPr>
          <w:p w14:paraId="220931F7">
            <w:pPr>
              <w:widowControl/>
              <w:snapToGrid w:val="0"/>
              <w:ind w:left="560" w:hanging="560" w:hangingChars="200"/>
              <w:jc w:val="center"/>
              <w:rPr>
                <w:rFonts w:ascii="宋体" w:hAnsi="宋体"/>
                <w:sz w:val="28"/>
                <w:szCs w:val="28"/>
                <w:u w:val="none"/>
              </w:rPr>
            </w:pPr>
          </w:p>
        </w:tc>
        <w:tc>
          <w:tcPr>
            <w:tcW w:w="1417" w:type="dxa"/>
            <w:vAlign w:val="center"/>
          </w:tcPr>
          <w:p w14:paraId="162AEB44">
            <w:pPr>
              <w:widowControl/>
              <w:snapToGrid w:val="0"/>
              <w:ind w:left="560" w:hanging="560" w:hangingChars="200"/>
              <w:jc w:val="center"/>
              <w:rPr>
                <w:rFonts w:ascii="宋体" w:hAnsi="宋体"/>
                <w:sz w:val="28"/>
                <w:szCs w:val="28"/>
                <w:u w:val="none"/>
              </w:rPr>
            </w:pPr>
          </w:p>
        </w:tc>
      </w:tr>
      <w:tr w14:paraId="4CF6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31" w:type="dxa"/>
            <w:vAlign w:val="center"/>
          </w:tcPr>
          <w:p w14:paraId="3A8F132B">
            <w:pPr>
              <w:widowControl/>
              <w:snapToGrid w:val="0"/>
              <w:ind w:left="560" w:hanging="560" w:hangingChars="200"/>
              <w:jc w:val="center"/>
              <w:rPr>
                <w:rFonts w:ascii="宋体" w:hAnsi="宋体"/>
                <w:sz w:val="28"/>
                <w:szCs w:val="28"/>
                <w:u w:val="none"/>
              </w:rPr>
            </w:pPr>
          </w:p>
        </w:tc>
        <w:tc>
          <w:tcPr>
            <w:tcW w:w="1365" w:type="dxa"/>
            <w:vAlign w:val="center"/>
          </w:tcPr>
          <w:p w14:paraId="23AD5D59">
            <w:pPr>
              <w:widowControl/>
              <w:snapToGrid w:val="0"/>
              <w:ind w:left="560" w:hanging="560" w:hangingChars="200"/>
              <w:jc w:val="center"/>
              <w:rPr>
                <w:rFonts w:ascii="宋体" w:hAnsi="宋体"/>
                <w:sz w:val="28"/>
                <w:szCs w:val="28"/>
                <w:u w:val="none"/>
              </w:rPr>
            </w:pPr>
          </w:p>
        </w:tc>
        <w:tc>
          <w:tcPr>
            <w:tcW w:w="1485" w:type="dxa"/>
            <w:vAlign w:val="center"/>
          </w:tcPr>
          <w:p w14:paraId="0CD31B77">
            <w:pPr>
              <w:widowControl/>
              <w:snapToGrid w:val="0"/>
              <w:ind w:left="560" w:hanging="560" w:hangingChars="200"/>
              <w:jc w:val="center"/>
              <w:rPr>
                <w:rFonts w:ascii="宋体" w:hAnsi="宋体"/>
                <w:sz w:val="28"/>
                <w:szCs w:val="28"/>
                <w:u w:val="none"/>
              </w:rPr>
            </w:pPr>
          </w:p>
        </w:tc>
        <w:tc>
          <w:tcPr>
            <w:tcW w:w="1305" w:type="dxa"/>
            <w:vAlign w:val="center"/>
          </w:tcPr>
          <w:p w14:paraId="073624E2">
            <w:pPr>
              <w:widowControl/>
              <w:snapToGrid w:val="0"/>
              <w:ind w:left="560" w:hanging="560" w:hangingChars="200"/>
              <w:jc w:val="center"/>
              <w:rPr>
                <w:rFonts w:ascii="宋体" w:hAnsi="宋体"/>
                <w:sz w:val="28"/>
                <w:szCs w:val="28"/>
                <w:u w:val="none"/>
              </w:rPr>
            </w:pPr>
          </w:p>
        </w:tc>
        <w:tc>
          <w:tcPr>
            <w:tcW w:w="1605" w:type="dxa"/>
            <w:vAlign w:val="center"/>
          </w:tcPr>
          <w:p w14:paraId="3549172F">
            <w:pPr>
              <w:widowControl/>
              <w:snapToGrid w:val="0"/>
              <w:ind w:left="560" w:hanging="560" w:hangingChars="200"/>
              <w:jc w:val="center"/>
              <w:rPr>
                <w:rFonts w:ascii="宋体" w:hAnsi="宋体"/>
                <w:sz w:val="28"/>
                <w:szCs w:val="28"/>
                <w:u w:val="none"/>
              </w:rPr>
            </w:pPr>
          </w:p>
        </w:tc>
        <w:tc>
          <w:tcPr>
            <w:tcW w:w="1515" w:type="dxa"/>
            <w:vAlign w:val="center"/>
          </w:tcPr>
          <w:p w14:paraId="01FD5AFA">
            <w:pPr>
              <w:widowControl/>
              <w:snapToGrid w:val="0"/>
              <w:ind w:left="560" w:hanging="560" w:hangingChars="200"/>
              <w:jc w:val="center"/>
              <w:rPr>
                <w:rFonts w:ascii="宋体" w:hAnsi="宋体"/>
                <w:sz w:val="28"/>
                <w:szCs w:val="28"/>
                <w:u w:val="none"/>
              </w:rPr>
            </w:pPr>
          </w:p>
        </w:tc>
        <w:tc>
          <w:tcPr>
            <w:tcW w:w="1417" w:type="dxa"/>
            <w:vAlign w:val="center"/>
          </w:tcPr>
          <w:p w14:paraId="4A6FC06E">
            <w:pPr>
              <w:widowControl/>
              <w:snapToGrid w:val="0"/>
              <w:ind w:left="560" w:hanging="560" w:hangingChars="200"/>
              <w:jc w:val="center"/>
              <w:rPr>
                <w:rFonts w:ascii="宋体" w:hAnsi="宋体"/>
                <w:sz w:val="28"/>
                <w:szCs w:val="28"/>
                <w:u w:val="none"/>
              </w:rPr>
            </w:pPr>
          </w:p>
        </w:tc>
      </w:tr>
    </w:tbl>
    <w:p w14:paraId="58AAA261">
      <w:pPr>
        <w:widowControl/>
        <w:spacing w:line="460" w:lineRule="exact"/>
        <w:jc w:val="left"/>
        <w:rPr>
          <w:rFonts w:ascii="宋体" w:hAnsi="宋体" w:cs="宋体"/>
          <w:sz w:val="24"/>
          <w:szCs w:val="24"/>
          <w:u w:val="none"/>
        </w:rPr>
      </w:pPr>
    </w:p>
    <w:p w14:paraId="69542694">
      <w:pPr>
        <w:widowControl/>
        <w:spacing w:line="460" w:lineRule="exact"/>
        <w:jc w:val="left"/>
        <w:rPr>
          <w:rFonts w:ascii="宋体" w:hAnsi="宋体" w:cs="宋体"/>
          <w:sz w:val="24"/>
          <w:szCs w:val="24"/>
          <w:u w:val="none"/>
        </w:rPr>
      </w:pPr>
      <w:r>
        <w:rPr>
          <w:rFonts w:hint="eastAsia" w:ascii="宋体" w:hAnsi="宋体" w:cs="宋体"/>
          <w:sz w:val="24"/>
          <w:szCs w:val="24"/>
          <w:u w:val="none"/>
        </w:rPr>
        <w:t>注：</w:t>
      </w:r>
      <w:r>
        <w:rPr>
          <w:rFonts w:hint="eastAsia" w:ascii="宋体" w:hAnsi="宋体" w:cs="宋体"/>
          <w:sz w:val="24"/>
          <w:szCs w:val="24"/>
          <w:u w:val="none"/>
          <w:lang w:eastAsia="zh-CN"/>
        </w:rPr>
        <w:t>如为</w:t>
      </w:r>
      <w:r>
        <w:rPr>
          <w:rFonts w:hint="eastAsia" w:ascii="宋体" w:hAnsi="宋体" w:cs="宋体"/>
          <w:sz w:val="24"/>
          <w:szCs w:val="24"/>
          <w:u w:val="none"/>
        </w:rPr>
        <w:t>后附相关证明材料并加盖投标人公章。</w:t>
      </w:r>
    </w:p>
    <w:p w14:paraId="5A320B5E">
      <w:pPr>
        <w:pStyle w:val="15"/>
        <w:adjustRightInd w:val="0"/>
        <w:snapToGrid w:val="0"/>
        <w:spacing w:line="400" w:lineRule="exact"/>
        <w:rPr>
          <w:rFonts w:hAnsi="宋体" w:cs="宋体"/>
          <w:sz w:val="24"/>
          <w:szCs w:val="24"/>
          <w:u w:val="none"/>
        </w:rPr>
      </w:pPr>
    </w:p>
    <w:p w14:paraId="55CC96AE">
      <w:pPr>
        <w:pStyle w:val="15"/>
        <w:adjustRightInd w:val="0"/>
        <w:snapToGrid w:val="0"/>
        <w:spacing w:line="400" w:lineRule="exact"/>
        <w:rPr>
          <w:rFonts w:hAnsi="宋体" w:cs="宋体"/>
          <w:sz w:val="24"/>
          <w:szCs w:val="24"/>
          <w:u w:val="none"/>
        </w:rPr>
      </w:pPr>
    </w:p>
    <w:p w14:paraId="7EAE9B47">
      <w:pPr>
        <w:adjustRightInd w:val="0"/>
        <w:snapToGrid w:val="0"/>
        <w:spacing w:line="520" w:lineRule="exact"/>
        <w:rPr>
          <w:rFonts w:ascii="宋体" w:hAnsi="宋体" w:cs="宋体"/>
          <w:sz w:val="24"/>
          <w:szCs w:val="24"/>
          <w:u w:val="none"/>
        </w:rPr>
      </w:pPr>
      <w:r>
        <w:rPr>
          <w:rFonts w:hint="eastAsia" w:ascii="宋体" w:hAnsi="宋体" w:cs="宋体"/>
          <w:sz w:val="24"/>
          <w:szCs w:val="24"/>
          <w:u w:val="none"/>
        </w:rPr>
        <w:t>投标人名称（单位章）：</w:t>
      </w:r>
      <w:r>
        <w:rPr>
          <w:rFonts w:hint="eastAsia" w:ascii="宋体" w:hAnsi="宋体" w:cs="宋体"/>
          <w:sz w:val="24"/>
          <w:szCs w:val="24"/>
          <w:u w:val="single"/>
          <w:lang w:val="en-US" w:eastAsia="zh-CN"/>
        </w:rPr>
        <w:t xml:space="preserve">             </w:t>
      </w:r>
    </w:p>
    <w:p w14:paraId="19269E86">
      <w:pPr>
        <w:adjustRightInd w:val="0"/>
        <w:snapToGrid w:val="0"/>
        <w:spacing w:line="520" w:lineRule="exact"/>
        <w:rPr>
          <w:rFonts w:ascii="宋体" w:hAnsi="宋体" w:cs="宋体"/>
          <w:sz w:val="24"/>
          <w:szCs w:val="24"/>
          <w:u w:val="none"/>
        </w:rPr>
      </w:pPr>
      <w:r>
        <w:rPr>
          <w:rFonts w:hint="eastAsia" w:ascii="宋体" w:hAnsi="宋体" w:cs="宋体"/>
          <w:sz w:val="24"/>
          <w:szCs w:val="24"/>
          <w:u w:val="none"/>
          <w:lang w:eastAsia="zh-CN"/>
        </w:rPr>
        <w:t>法定代表人</w:t>
      </w:r>
      <w:r>
        <w:rPr>
          <w:rFonts w:hint="eastAsia" w:ascii="宋体" w:hAnsi="宋体" w:cs="宋体"/>
          <w:sz w:val="24"/>
          <w:szCs w:val="24"/>
          <w:u w:val="none"/>
        </w:rPr>
        <w:t>或其授权的代理人（签字</w:t>
      </w:r>
      <w:r>
        <w:rPr>
          <w:rFonts w:hint="eastAsia" w:ascii="宋体" w:hAnsi="宋体" w:cs="宋体"/>
          <w:sz w:val="24"/>
          <w:szCs w:val="24"/>
          <w:u w:val="none"/>
          <w:lang w:eastAsia="zh-CN"/>
        </w:rPr>
        <w:t>或盖章</w:t>
      </w:r>
      <w:r>
        <w:rPr>
          <w:rFonts w:hint="eastAsia" w:ascii="宋体" w:hAnsi="宋体" w:cs="宋体"/>
          <w:sz w:val="24"/>
          <w:szCs w:val="24"/>
          <w:u w:val="none"/>
        </w:rPr>
        <w:t>）：</w:t>
      </w:r>
      <w:r>
        <w:rPr>
          <w:rFonts w:hint="eastAsia" w:ascii="宋体" w:hAnsi="宋体" w:cs="宋体"/>
          <w:sz w:val="24"/>
          <w:szCs w:val="24"/>
          <w:u w:val="single"/>
          <w:lang w:val="en-US" w:eastAsia="zh-CN"/>
        </w:rPr>
        <w:t xml:space="preserve">             </w:t>
      </w:r>
    </w:p>
    <w:p w14:paraId="68EFEA15">
      <w:pPr>
        <w:adjustRightInd w:val="0"/>
        <w:snapToGrid w:val="0"/>
        <w:spacing w:line="520" w:lineRule="exact"/>
        <w:rPr>
          <w:rFonts w:ascii="宋体" w:hAnsi="宋体" w:cs="宋体"/>
          <w:sz w:val="24"/>
          <w:szCs w:val="24"/>
          <w:u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4"/>
          <w:szCs w:val="24"/>
          <w:u w:val="none"/>
        </w:rPr>
        <w:t>日期：</w:t>
      </w:r>
      <w:r>
        <w:rPr>
          <w:color w:val="000000"/>
          <w:sz w:val="24"/>
          <w:u w:val="none"/>
        </w:rPr>
        <w:t>_____年______月______日</w:t>
      </w:r>
    </w:p>
    <w:p w14:paraId="16512432">
      <w:pPr>
        <w:pStyle w:val="24"/>
        <w:widowControl w:val="0"/>
        <w:spacing w:line="200" w:lineRule="atLeast"/>
        <w:jc w:val="center"/>
        <w:outlineLvl w:val="0"/>
        <w:rPr>
          <w:b/>
          <w:u w:val="none"/>
        </w:rPr>
      </w:pPr>
      <w:bookmarkStart w:id="127" w:name="_Toc4413"/>
      <w:bookmarkStart w:id="128" w:name="_Toc31613"/>
      <w:bookmarkStart w:id="129" w:name="_Toc19667"/>
      <w:bookmarkStart w:id="130" w:name="_Toc167"/>
      <w:bookmarkStart w:id="131" w:name="_Toc28315"/>
      <w:bookmarkStart w:id="132" w:name="_Toc13358"/>
      <w:bookmarkStart w:id="133" w:name="_Toc27422"/>
      <w:bookmarkStart w:id="134" w:name="_Toc5976"/>
      <w:bookmarkStart w:id="135" w:name="_Toc24476"/>
      <w:bookmarkStart w:id="136" w:name="_Toc32273"/>
      <w:r>
        <w:rPr>
          <w:rFonts w:hint="eastAsia"/>
          <w:b/>
          <w:u w:val="none"/>
        </w:rPr>
        <w:t>项目服务团队人员配备表</w:t>
      </w:r>
      <w:r>
        <w:rPr>
          <w:rFonts w:hint="eastAsia"/>
          <w:b/>
          <w:bCs/>
          <w:u w:val="none"/>
        </w:rPr>
        <w:t>（格式）</w:t>
      </w:r>
      <w:bookmarkEnd w:id="127"/>
      <w:bookmarkEnd w:id="128"/>
      <w:bookmarkEnd w:id="129"/>
      <w:bookmarkEnd w:id="130"/>
      <w:bookmarkEnd w:id="131"/>
      <w:bookmarkEnd w:id="132"/>
    </w:p>
    <w:tbl>
      <w:tblPr>
        <w:tblStyle w:val="28"/>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104"/>
        <w:gridCol w:w="993"/>
        <w:gridCol w:w="850"/>
        <w:gridCol w:w="1468"/>
        <w:gridCol w:w="788"/>
        <w:gridCol w:w="865"/>
        <w:gridCol w:w="1050"/>
        <w:gridCol w:w="8"/>
        <w:gridCol w:w="1277"/>
      </w:tblGrid>
      <w:tr w14:paraId="17AE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vMerge w:val="restart"/>
            <w:noWrap w:val="0"/>
            <w:vAlign w:val="center"/>
          </w:tcPr>
          <w:p w14:paraId="396F692E">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04" w:type="dxa"/>
            <w:vMerge w:val="restart"/>
            <w:noWrap w:val="0"/>
            <w:vAlign w:val="center"/>
          </w:tcPr>
          <w:p w14:paraId="3C29BE35">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93" w:type="dxa"/>
            <w:vMerge w:val="restart"/>
            <w:noWrap w:val="0"/>
            <w:vAlign w:val="center"/>
          </w:tcPr>
          <w:p w14:paraId="2F42BBBB">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850" w:type="dxa"/>
            <w:vMerge w:val="restart"/>
            <w:noWrap w:val="0"/>
            <w:vAlign w:val="center"/>
          </w:tcPr>
          <w:p w14:paraId="7AFE6390">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171" w:type="dxa"/>
            <w:gridSpan w:val="4"/>
            <w:noWrap w:val="0"/>
            <w:vAlign w:val="center"/>
          </w:tcPr>
          <w:p w14:paraId="41F7F17B">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1285" w:type="dxa"/>
            <w:gridSpan w:val="2"/>
            <w:vMerge w:val="restart"/>
            <w:noWrap w:val="0"/>
            <w:vAlign w:val="center"/>
          </w:tcPr>
          <w:p w14:paraId="1B289576">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828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vMerge w:val="continue"/>
            <w:noWrap w:val="0"/>
            <w:vAlign w:val="center"/>
          </w:tcPr>
          <w:p w14:paraId="72387DA2">
            <w:pPr>
              <w:spacing w:line="440" w:lineRule="exact"/>
              <w:ind w:right="-42" w:rightChars="-20"/>
              <w:jc w:val="center"/>
              <w:rPr>
                <w:rFonts w:hint="eastAsia" w:ascii="宋体" w:hAnsi="宋体" w:eastAsia="宋体" w:cs="宋体"/>
                <w:color w:val="auto"/>
                <w:szCs w:val="21"/>
                <w:highlight w:val="none"/>
              </w:rPr>
            </w:pPr>
          </w:p>
        </w:tc>
        <w:tc>
          <w:tcPr>
            <w:tcW w:w="1104" w:type="dxa"/>
            <w:vMerge w:val="continue"/>
            <w:noWrap w:val="0"/>
            <w:vAlign w:val="center"/>
          </w:tcPr>
          <w:p w14:paraId="3F2D821D">
            <w:pPr>
              <w:spacing w:line="440" w:lineRule="exact"/>
              <w:ind w:right="-42" w:rightChars="-20"/>
              <w:jc w:val="center"/>
              <w:rPr>
                <w:rFonts w:hint="eastAsia" w:ascii="宋体" w:hAnsi="宋体" w:eastAsia="宋体" w:cs="宋体"/>
                <w:color w:val="auto"/>
                <w:szCs w:val="21"/>
                <w:highlight w:val="none"/>
              </w:rPr>
            </w:pPr>
          </w:p>
        </w:tc>
        <w:tc>
          <w:tcPr>
            <w:tcW w:w="993" w:type="dxa"/>
            <w:vMerge w:val="continue"/>
            <w:noWrap w:val="0"/>
            <w:vAlign w:val="center"/>
          </w:tcPr>
          <w:p w14:paraId="6415D9AD">
            <w:pPr>
              <w:spacing w:line="440" w:lineRule="exact"/>
              <w:ind w:right="-42" w:rightChars="-20"/>
              <w:jc w:val="center"/>
              <w:rPr>
                <w:rFonts w:hint="eastAsia" w:ascii="宋体" w:hAnsi="宋体" w:eastAsia="宋体" w:cs="宋体"/>
                <w:color w:val="auto"/>
                <w:szCs w:val="21"/>
                <w:highlight w:val="none"/>
              </w:rPr>
            </w:pPr>
          </w:p>
        </w:tc>
        <w:tc>
          <w:tcPr>
            <w:tcW w:w="850" w:type="dxa"/>
            <w:vMerge w:val="continue"/>
            <w:noWrap w:val="0"/>
            <w:vAlign w:val="center"/>
          </w:tcPr>
          <w:p w14:paraId="1D205850">
            <w:pPr>
              <w:spacing w:line="440" w:lineRule="exact"/>
              <w:ind w:right="-42" w:rightChars="-20"/>
              <w:jc w:val="center"/>
              <w:rPr>
                <w:rFonts w:hint="eastAsia" w:ascii="宋体" w:hAnsi="宋体" w:eastAsia="宋体" w:cs="宋体"/>
                <w:color w:val="auto"/>
                <w:szCs w:val="21"/>
                <w:highlight w:val="none"/>
              </w:rPr>
            </w:pPr>
          </w:p>
        </w:tc>
        <w:tc>
          <w:tcPr>
            <w:tcW w:w="1468" w:type="dxa"/>
            <w:noWrap w:val="0"/>
            <w:vAlign w:val="center"/>
          </w:tcPr>
          <w:p w14:paraId="138967D5">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88" w:type="dxa"/>
            <w:noWrap w:val="0"/>
            <w:vAlign w:val="center"/>
          </w:tcPr>
          <w:p w14:paraId="20765025">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865" w:type="dxa"/>
            <w:noWrap w:val="0"/>
            <w:vAlign w:val="center"/>
          </w:tcPr>
          <w:p w14:paraId="78476950">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050" w:type="dxa"/>
            <w:noWrap w:val="0"/>
            <w:vAlign w:val="center"/>
          </w:tcPr>
          <w:p w14:paraId="7E81840A">
            <w:pPr>
              <w:spacing w:line="440" w:lineRule="exact"/>
              <w:ind w:right="-42" w:rightChars="-2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1285" w:type="dxa"/>
            <w:gridSpan w:val="2"/>
            <w:vMerge w:val="continue"/>
            <w:noWrap w:val="0"/>
            <w:vAlign w:val="center"/>
          </w:tcPr>
          <w:p w14:paraId="3C3E6FF9">
            <w:pPr>
              <w:spacing w:line="440" w:lineRule="exact"/>
              <w:ind w:right="-42" w:rightChars="-20"/>
              <w:jc w:val="center"/>
              <w:rPr>
                <w:rFonts w:hint="eastAsia" w:ascii="宋体" w:hAnsi="宋体" w:eastAsia="宋体" w:cs="宋体"/>
                <w:color w:val="auto"/>
                <w:szCs w:val="21"/>
                <w:highlight w:val="none"/>
              </w:rPr>
            </w:pPr>
          </w:p>
        </w:tc>
      </w:tr>
      <w:tr w14:paraId="7A77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center"/>
          </w:tcPr>
          <w:p w14:paraId="71837393">
            <w:pPr>
              <w:spacing w:line="440" w:lineRule="exact"/>
              <w:ind w:right="-42" w:rightChars="-20"/>
              <w:jc w:val="center"/>
              <w:rPr>
                <w:rFonts w:hint="eastAsia" w:ascii="宋体" w:hAnsi="宋体" w:eastAsia="宋体" w:cs="宋体"/>
                <w:color w:val="auto"/>
                <w:szCs w:val="21"/>
                <w:highlight w:val="none"/>
              </w:rPr>
            </w:pPr>
          </w:p>
        </w:tc>
        <w:tc>
          <w:tcPr>
            <w:tcW w:w="1104" w:type="dxa"/>
            <w:noWrap w:val="0"/>
            <w:vAlign w:val="center"/>
          </w:tcPr>
          <w:p w14:paraId="25FC4641">
            <w:pPr>
              <w:spacing w:line="440" w:lineRule="exact"/>
              <w:ind w:right="-42" w:rightChars="-20"/>
              <w:jc w:val="center"/>
              <w:rPr>
                <w:rFonts w:hint="eastAsia" w:ascii="宋体" w:hAnsi="宋体" w:eastAsia="宋体" w:cs="宋体"/>
                <w:color w:val="auto"/>
                <w:szCs w:val="21"/>
                <w:highlight w:val="none"/>
              </w:rPr>
            </w:pPr>
          </w:p>
        </w:tc>
        <w:tc>
          <w:tcPr>
            <w:tcW w:w="993" w:type="dxa"/>
            <w:noWrap w:val="0"/>
            <w:vAlign w:val="center"/>
          </w:tcPr>
          <w:p w14:paraId="1AE0B45A">
            <w:pPr>
              <w:spacing w:line="440" w:lineRule="exact"/>
              <w:ind w:right="-42" w:rightChars="-20"/>
              <w:jc w:val="center"/>
              <w:rPr>
                <w:rFonts w:hint="eastAsia" w:ascii="宋体" w:hAnsi="宋体" w:eastAsia="宋体" w:cs="宋体"/>
                <w:color w:val="auto"/>
                <w:szCs w:val="21"/>
                <w:highlight w:val="none"/>
              </w:rPr>
            </w:pPr>
          </w:p>
        </w:tc>
        <w:tc>
          <w:tcPr>
            <w:tcW w:w="850" w:type="dxa"/>
            <w:noWrap w:val="0"/>
            <w:vAlign w:val="center"/>
          </w:tcPr>
          <w:p w14:paraId="063DD9F9">
            <w:pPr>
              <w:spacing w:line="440" w:lineRule="exact"/>
              <w:ind w:right="-42" w:rightChars="-20"/>
              <w:jc w:val="center"/>
              <w:rPr>
                <w:rFonts w:hint="eastAsia" w:ascii="宋体" w:hAnsi="宋体" w:eastAsia="宋体" w:cs="宋体"/>
                <w:color w:val="auto"/>
                <w:szCs w:val="21"/>
                <w:highlight w:val="none"/>
              </w:rPr>
            </w:pPr>
          </w:p>
        </w:tc>
        <w:tc>
          <w:tcPr>
            <w:tcW w:w="1468" w:type="dxa"/>
            <w:noWrap w:val="0"/>
            <w:vAlign w:val="center"/>
          </w:tcPr>
          <w:p w14:paraId="6159C78E">
            <w:pPr>
              <w:spacing w:line="440" w:lineRule="exact"/>
              <w:ind w:right="-42" w:rightChars="-20"/>
              <w:jc w:val="center"/>
              <w:rPr>
                <w:rFonts w:hint="eastAsia" w:ascii="宋体" w:hAnsi="宋体" w:eastAsia="宋体" w:cs="宋体"/>
                <w:color w:val="auto"/>
                <w:szCs w:val="21"/>
                <w:highlight w:val="none"/>
              </w:rPr>
            </w:pPr>
          </w:p>
        </w:tc>
        <w:tc>
          <w:tcPr>
            <w:tcW w:w="788" w:type="dxa"/>
            <w:noWrap w:val="0"/>
            <w:vAlign w:val="center"/>
          </w:tcPr>
          <w:p w14:paraId="411453B2">
            <w:pPr>
              <w:spacing w:line="440" w:lineRule="exact"/>
              <w:ind w:right="-42" w:rightChars="-20"/>
              <w:jc w:val="center"/>
              <w:rPr>
                <w:rFonts w:hint="eastAsia" w:ascii="宋体" w:hAnsi="宋体" w:eastAsia="宋体" w:cs="宋体"/>
                <w:color w:val="auto"/>
                <w:szCs w:val="21"/>
                <w:highlight w:val="none"/>
              </w:rPr>
            </w:pPr>
          </w:p>
        </w:tc>
        <w:tc>
          <w:tcPr>
            <w:tcW w:w="865" w:type="dxa"/>
            <w:noWrap w:val="0"/>
            <w:vAlign w:val="center"/>
          </w:tcPr>
          <w:p w14:paraId="3E7E3EBB">
            <w:pPr>
              <w:spacing w:line="440" w:lineRule="exact"/>
              <w:ind w:right="-42" w:rightChars="-20"/>
              <w:jc w:val="center"/>
              <w:rPr>
                <w:rFonts w:hint="eastAsia" w:ascii="宋体" w:hAnsi="宋体" w:eastAsia="宋体" w:cs="宋体"/>
                <w:color w:val="auto"/>
                <w:szCs w:val="21"/>
                <w:highlight w:val="none"/>
              </w:rPr>
            </w:pPr>
          </w:p>
        </w:tc>
        <w:tc>
          <w:tcPr>
            <w:tcW w:w="1058" w:type="dxa"/>
            <w:gridSpan w:val="2"/>
            <w:noWrap w:val="0"/>
            <w:vAlign w:val="center"/>
          </w:tcPr>
          <w:p w14:paraId="6C4A6D76">
            <w:pPr>
              <w:spacing w:line="440" w:lineRule="exact"/>
              <w:ind w:right="-42" w:rightChars="-20"/>
              <w:jc w:val="center"/>
              <w:rPr>
                <w:rFonts w:hint="eastAsia" w:ascii="宋体" w:hAnsi="宋体" w:eastAsia="宋体" w:cs="宋体"/>
                <w:color w:val="auto"/>
                <w:szCs w:val="21"/>
                <w:highlight w:val="none"/>
              </w:rPr>
            </w:pPr>
          </w:p>
        </w:tc>
        <w:tc>
          <w:tcPr>
            <w:tcW w:w="1277" w:type="dxa"/>
            <w:noWrap w:val="0"/>
            <w:vAlign w:val="center"/>
          </w:tcPr>
          <w:p w14:paraId="13887491">
            <w:pPr>
              <w:spacing w:line="440" w:lineRule="exact"/>
              <w:ind w:right="-42" w:rightChars="-20"/>
              <w:jc w:val="center"/>
              <w:rPr>
                <w:rFonts w:hint="eastAsia" w:ascii="宋体" w:hAnsi="宋体" w:eastAsia="宋体" w:cs="宋体"/>
                <w:color w:val="auto"/>
                <w:szCs w:val="21"/>
                <w:highlight w:val="none"/>
              </w:rPr>
            </w:pPr>
          </w:p>
        </w:tc>
      </w:tr>
      <w:tr w14:paraId="51BE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center"/>
          </w:tcPr>
          <w:p w14:paraId="3FB3C6BB">
            <w:pPr>
              <w:spacing w:line="440" w:lineRule="exact"/>
              <w:ind w:right="-42" w:rightChars="-20"/>
              <w:jc w:val="center"/>
              <w:rPr>
                <w:rFonts w:hint="eastAsia" w:ascii="仿宋" w:hAnsi="仿宋" w:eastAsia="仿宋" w:cs="仿宋"/>
                <w:color w:val="auto"/>
                <w:szCs w:val="21"/>
                <w:highlight w:val="none"/>
              </w:rPr>
            </w:pPr>
          </w:p>
        </w:tc>
        <w:tc>
          <w:tcPr>
            <w:tcW w:w="1104" w:type="dxa"/>
            <w:noWrap w:val="0"/>
            <w:vAlign w:val="center"/>
          </w:tcPr>
          <w:p w14:paraId="4901DB77">
            <w:pPr>
              <w:spacing w:line="440" w:lineRule="exact"/>
              <w:ind w:right="-42" w:rightChars="-20"/>
              <w:jc w:val="center"/>
              <w:rPr>
                <w:rFonts w:hint="eastAsia" w:ascii="仿宋" w:hAnsi="仿宋" w:eastAsia="仿宋" w:cs="仿宋"/>
                <w:color w:val="auto"/>
                <w:szCs w:val="21"/>
                <w:highlight w:val="none"/>
              </w:rPr>
            </w:pPr>
          </w:p>
        </w:tc>
        <w:tc>
          <w:tcPr>
            <w:tcW w:w="993" w:type="dxa"/>
            <w:noWrap w:val="0"/>
            <w:vAlign w:val="center"/>
          </w:tcPr>
          <w:p w14:paraId="3C019C83">
            <w:pPr>
              <w:spacing w:line="440" w:lineRule="exact"/>
              <w:ind w:right="-42" w:rightChars="-20"/>
              <w:jc w:val="center"/>
              <w:rPr>
                <w:rFonts w:hint="eastAsia" w:ascii="仿宋" w:hAnsi="仿宋" w:eastAsia="仿宋" w:cs="仿宋"/>
                <w:color w:val="auto"/>
                <w:szCs w:val="21"/>
                <w:highlight w:val="none"/>
              </w:rPr>
            </w:pPr>
          </w:p>
        </w:tc>
        <w:tc>
          <w:tcPr>
            <w:tcW w:w="850" w:type="dxa"/>
            <w:noWrap w:val="0"/>
            <w:vAlign w:val="center"/>
          </w:tcPr>
          <w:p w14:paraId="0EA6588E">
            <w:pPr>
              <w:spacing w:line="440" w:lineRule="exact"/>
              <w:ind w:right="-42" w:rightChars="-20"/>
              <w:jc w:val="center"/>
              <w:rPr>
                <w:rFonts w:hint="eastAsia" w:ascii="仿宋" w:hAnsi="仿宋" w:eastAsia="仿宋" w:cs="仿宋"/>
                <w:color w:val="auto"/>
                <w:szCs w:val="21"/>
                <w:highlight w:val="none"/>
              </w:rPr>
            </w:pPr>
          </w:p>
        </w:tc>
        <w:tc>
          <w:tcPr>
            <w:tcW w:w="1468" w:type="dxa"/>
            <w:noWrap w:val="0"/>
            <w:vAlign w:val="center"/>
          </w:tcPr>
          <w:p w14:paraId="2A5C94AB">
            <w:pPr>
              <w:spacing w:line="440" w:lineRule="exact"/>
              <w:ind w:right="-42" w:rightChars="-20"/>
              <w:jc w:val="center"/>
              <w:rPr>
                <w:rFonts w:hint="eastAsia" w:ascii="仿宋" w:hAnsi="仿宋" w:eastAsia="仿宋" w:cs="仿宋"/>
                <w:color w:val="auto"/>
                <w:szCs w:val="21"/>
                <w:highlight w:val="none"/>
              </w:rPr>
            </w:pPr>
          </w:p>
        </w:tc>
        <w:tc>
          <w:tcPr>
            <w:tcW w:w="788" w:type="dxa"/>
            <w:noWrap w:val="0"/>
            <w:vAlign w:val="center"/>
          </w:tcPr>
          <w:p w14:paraId="07893906">
            <w:pPr>
              <w:spacing w:line="440" w:lineRule="exact"/>
              <w:ind w:right="-42" w:rightChars="-20"/>
              <w:jc w:val="center"/>
              <w:rPr>
                <w:rFonts w:hint="eastAsia" w:ascii="仿宋" w:hAnsi="仿宋" w:eastAsia="仿宋" w:cs="仿宋"/>
                <w:color w:val="auto"/>
                <w:szCs w:val="21"/>
                <w:highlight w:val="none"/>
              </w:rPr>
            </w:pPr>
          </w:p>
        </w:tc>
        <w:tc>
          <w:tcPr>
            <w:tcW w:w="865" w:type="dxa"/>
            <w:noWrap w:val="0"/>
            <w:vAlign w:val="center"/>
          </w:tcPr>
          <w:p w14:paraId="0A6E8BC2">
            <w:pPr>
              <w:spacing w:line="440" w:lineRule="exact"/>
              <w:ind w:right="-42" w:rightChars="-20"/>
              <w:jc w:val="center"/>
              <w:rPr>
                <w:rFonts w:hint="eastAsia" w:ascii="仿宋" w:hAnsi="仿宋" w:eastAsia="仿宋" w:cs="仿宋"/>
                <w:color w:val="auto"/>
                <w:szCs w:val="21"/>
                <w:highlight w:val="none"/>
              </w:rPr>
            </w:pPr>
          </w:p>
        </w:tc>
        <w:tc>
          <w:tcPr>
            <w:tcW w:w="1058" w:type="dxa"/>
            <w:gridSpan w:val="2"/>
            <w:noWrap w:val="0"/>
            <w:vAlign w:val="center"/>
          </w:tcPr>
          <w:p w14:paraId="7232810D">
            <w:pPr>
              <w:spacing w:line="440" w:lineRule="exact"/>
              <w:ind w:right="-42" w:rightChars="-20"/>
              <w:jc w:val="center"/>
              <w:rPr>
                <w:rFonts w:hint="eastAsia" w:ascii="仿宋" w:hAnsi="仿宋" w:eastAsia="仿宋" w:cs="仿宋"/>
                <w:color w:val="auto"/>
                <w:szCs w:val="21"/>
                <w:highlight w:val="none"/>
              </w:rPr>
            </w:pPr>
          </w:p>
        </w:tc>
        <w:tc>
          <w:tcPr>
            <w:tcW w:w="1277" w:type="dxa"/>
            <w:noWrap w:val="0"/>
            <w:vAlign w:val="center"/>
          </w:tcPr>
          <w:p w14:paraId="52E1D44A">
            <w:pPr>
              <w:spacing w:line="440" w:lineRule="exact"/>
              <w:ind w:right="-42" w:rightChars="-20"/>
              <w:jc w:val="center"/>
              <w:rPr>
                <w:rFonts w:hint="eastAsia" w:ascii="仿宋" w:hAnsi="仿宋" w:eastAsia="仿宋" w:cs="仿宋"/>
                <w:color w:val="auto"/>
                <w:szCs w:val="21"/>
                <w:highlight w:val="none"/>
              </w:rPr>
            </w:pPr>
          </w:p>
        </w:tc>
      </w:tr>
      <w:tr w14:paraId="18BF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center"/>
          </w:tcPr>
          <w:p w14:paraId="4010D6CB">
            <w:pPr>
              <w:spacing w:line="440" w:lineRule="exact"/>
              <w:ind w:right="-42" w:rightChars="-20"/>
              <w:jc w:val="center"/>
              <w:rPr>
                <w:rFonts w:hint="eastAsia" w:ascii="仿宋" w:hAnsi="仿宋" w:eastAsia="仿宋" w:cs="仿宋"/>
                <w:color w:val="auto"/>
                <w:szCs w:val="21"/>
                <w:highlight w:val="none"/>
              </w:rPr>
            </w:pPr>
          </w:p>
        </w:tc>
        <w:tc>
          <w:tcPr>
            <w:tcW w:w="1104" w:type="dxa"/>
            <w:noWrap w:val="0"/>
            <w:vAlign w:val="center"/>
          </w:tcPr>
          <w:p w14:paraId="607B1934">
            <w:pPr>
              <w:spacing w:line="440" w:lineRule="exact"/>
              <w:ind w:right="-42" w:rightChars="-20"/>
              <w:jc w:val="center"/>
              <w:rPr>
                <w:rFonts w:hint="eastAsia" w:ascii="仿宋" w:hAnsi="仿宋" w:eastAsia="仿宋" w:cs="仿宋"/>
                <w:color w:val="auto"/>
                <w:szCs w:val="21"/>
                <w:highlight w:val="none"/>
              </w:rPr>
            </w:pPr>
          </w:p>
        </w:tc>
        <w:tc>
          <w:tcPr>
            <w:tcW w:w="993" w:type="dxa"/>
            <w:noWrap w:val="0"/>
            <w:vAlign w:val="center"/>
          </w:tcPr>
          <w:p w14:paraId="3F36810D">
            <w:pPr>
              <w:spacing w:line="440" w:lineRule="exact"/>
              <w:ind w:right="-42" w:rightChars="-20"/>
              <w:jc w:val="center"/>
              <w:rPr>
                <w:rFonts w:hint="eastAsia" w:ascii="仿宋" w:hAnsi="仿宋" w:eastAsia="仿宋" w:cs="仿宋"/>
                <w:color w:val="auto"/>
                <w:szCs w:val="21"/>
                <w:highlight w:val="none"/>
              </w:rPr>
            </w:pPr>
          </w:p>
        </w:tc>
        <w:tc>
          <w:tcPr>
            <w:tcW w:w="850" w:type="dxa"/>
            <w:noWrap w:val="0"/>
            <w:vAlign w:val="center"/>
          </w:tcPr>
          <w:p w14:paraId="59EBA935">
            <w:pPr>
              <w:spacing w:line="440" w:lineRule="exact"/>
              <w:ind w:right="-42" w:rightChars="-20"/>
              <w:jc w:val="center"/>
              <w:rPr>
                <w:rFonts w:hint="eastAsia" w:ascii="仿宋" w:hAnsi="仿宋" w:eastAsia="仿宋" w:cs="仿宋"/>
                <w:color w:val="auto"/>
                <w:szCs w:val="21"/>
                <w:highlight w:val="none"/>
              </w:rPr>
            </w:pPr>
          </w:p>
        </w:tc>
        <w:tc>
          <w:tcPr>
            <w:tcW w:w="1468" w:type="dxa"/>
            <w:noWrap w:val="0"/>
            <w:vAlign w:val="center"/>
          </w:tcPr>
          <w:p w14:paraId="1F45A985">
            <w:pPr>
              <w:spacing w:line="440" w:lineRule="exact"/>
              <w:ind w:right="-42" w:rightChars="-20"/>
              <w:jc w:val="center"/>
              <w:rPr>
                <w:rFonts w:hint="eastAsia" w:ascii="仿宋" w:hAnsi="仿宋" w:eastAsia="仿宋" w:cs="仿宋"/>
                <w:color w:val="auto"/>
                <w:szCs w:val="21"/>
                <w:highlight w:val="none"/>
              </w:rPr>
            </w:pPr>
          </w:p>
        </w:tc>
        <w:tc>
          <w:tcPr>
            <w:tcW w:w="788" w:type="dxa"/>
            <w:noWrap w:val="0"/>
            <w:vAlign w:val="top"/>
          </w:tcPr>
          <w:p w14:paraId="5A25959C">
            <w:pPr>
              <w:spacing w:line="440" w:lineRule="exact"/>
              <w:ind w:right="-42" w:rightChars="-20"/>
              <w:jc w:val="center"/>
              <w:rPr>
                <w:rFonts w:hint="eastAsia" w:ascii="仿宋" w:hAnsi="仿宋" w:eastAsia="仿宋" w:cs="仿宋"/>
                <w:color w:val="auto"/>
                <w:szCs w:val="21"/>
                <w:highlight w:val="none"/>
              </w:rPr>
            </w:pPr>
          </w:p>
        </w:tc>
        <w:tc>
          <w:tcPr>
            <w:tcW w:w="865" w:type="dxa"/>
            <w:noWrap w:val="0"/>
            <w:vAlign w:val="top"/>
          </w:tcPr>
          <w:p w14:paraId="0C27C4AE">
            <w:pPr>
              <w:spacing w:line="440" w:lineRule="exact"/>
              <w:ind w:right="-42" w:rightChars="-20"/>
              <w:jc w:val="center"/>
              <w:rPr>
                <w:rFonts w:hint="eastAsia" w:ascii="仿宋" w:hAnsi="仿宋" w:eastAsia="仿宋" w:cs="仿宋"/>
                <w:color w:val="auto"/>
                <w:szCs w:val="21"/>
                <w:highlight w:val="none"/>
              </w:rPr>
            </w:pPr>
          </w:p>
        </w:tc>
        <w:tc>
          <w:tcPr>
            <w:tcW w:w="1058" w:type="dxa"/>
            <w:gridSpan w:val="2"/>
            <w:noWrap w:val="0"/>
            <w:vAlign w:val="center"/>
          </w:tcPr>
          <w:p w14:paraId="0D62C598">
            <w:pPr>
              <w:spacing w:line="440" w:lineRule="exact"/>
              <w:ind w:right="-42" w:rightChars="-20"/>
              <w:jc w:val="center"/>
              <w:rPr>
                <w:rFonts w:hint="eastAsia" w:ascii="仿宋" w:hAnsi="仿宋" w:eastAsia="仿宋" w:cs="仿宋"/>
                <w:color w:val="auto"/>
                <w:szCs w:val="21"/>
                <w:highlight w:val="none"/>
              </w:rPr>
            </w:pPr>
          </w:p>
        </w:tc>
        <w:tc>
          <w:tcPr>
            <w:tcW w:w="1277" w:type="dxa"/>
            <w:noWrap w:val="0"/>
            <w:vAlign w:val="center"/>
          </w:tcPr>
          <w:p w14:paraId="236E41C4">
            <w:pPr>
              <w:spacing w:line="440" w:lineRule="exact"/>
              <w:ind w:right="-42" w:rightChars="-20"/>
              <w:jc w:val="center"/>
              <w:rPr>
                <w:rFonts w:hint="eastAsia" w:ascii="仿宋" w:hAnsi="仿宋" w:eastAsia="仿宋" w:cs="仿宋"/>
                <w:color w:val="auto"/>
                <w:szCs w:val="21"/>
                <w:highlight w:val="none"/>
              </w:rPr>
            </w:pPr>
          </w:p>
        </w:tc>
      </w:tr>
      <w:tr w14:paraId="61DE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top"/>
          </w:tcPr>
          <w:p w14:paraId="00B7633A">
            <w:pPr>
              <w:spacing w:line="440" w:lineRule="exact"/>
              <w:ind w:right="-42" w:rightChars="-20"/>
              <w:jc w:val="center"/>
              <w:rPr>
                <w:rFonts w:hint="eastAsia" w:ascii="仿宋" w:hAnsi="仿宋" w:eastAsia="仿宋" w:cs="仿宋"/>
                <w:color w:val="auto"/>
                <w:szCs w:val="21"/>
                <w:highlight w:val="none"/>
              </w:rPr>
            </w:pPr>
          </w:p>
        </w:tc>
        <w:tc>
          <w:tcPr>
            <w:tcW w:w="1104" w:type="dxa"/>
            <w:noWrap w:val="0"/>
            <w:vAlign w:val="top"/>
          </w:tcPr>
          <w:p w14:paraId="23963FB9">
            <w:pPr>
              <w:spacing w:line="440" w:lineRule="exact"/>
              <w:ind w:right="-42" w:rightChars="-20"/>
              <w:jc w:val="center"/>
              <w:rPr>
                <w:rFonts w:hint="eastAsia" w:ascii="仿宋" w:hAnsi="仿宋" w:eastAsia="仿宋" w:cs="仿宋"/>
                <w:color w:val="auto"/>
                <w:szCs w:val="21"/>
                <w:highlight w:val="none"/>
              </w:rPr>
            </w:pPr>
          </w:p>
        </w:tc>
        <w:tc>
          <w:tcPr>
            <w:tcW w:w="993" w:type="dxa"/>
            <w:noWrap w:val="0"/>
            <w:vAlign w:val="top"/>
          </w:tcPr>
          <w:p w14:paraId="165C8D25">
            <w:pPr>
              <w:spacing w:line="440" w:lineRule="exact"/>
              <w:ind w:right="-42" w:rightChars="-20"/>
              <w:jc w:val="center"/>
              <w:rPr>
                <w:rFonts w:hint="eastAsia" w:ascii="仿宋" w:hAnsi="仿宋" w:eastAsia="仿宋" w:cs="仿宋"/>
                <w:color w:val="auto"/>
                <w:szCs w:val="21"/>
                <w:highlight w:val="none"/>
              </w:rPr>
            </w:pPr>
          </w:p>
        </w:tc>
        <w:tc>
          <w:tcPr>
            <w:tcW w:w="850" w:type="dxa"/>
            <w:noWrap w:val="0"/>
            <w:vAlign w:val="top"/>
          </w:tcPr>
          <w:p w14:paraId="4C073350">
            <w:pPr>
              <w:spacing w:line="440" w:lineRule="exact"/>
              <w:ind w:right="-42" w:rightChars="-20"/>
              <w:jc w:val="center"/>
              <w:rPr>
                <w:rFonts w:hint="eastAsia" w:ascii="仿宋" w:hAnsi="仿宋" w:eastAsia="仿宋" w:cs="仿宋"/>
                <w:color w:val="auto"/>
                <w:szCs w:val="21"/>
                <w:highlight w:val="none"/>
              </w:rPr>
            </w:pPr>
          </w:p>
        </w:tc>
        <w:tc>
          <w:tcPr>
            <w:tcW w:w="1468" w:type="dxa"/>
            <w:noWrap w:val="0"/>
            <w:vAlign w:val="top"/>
          </w:tcPr>
          <w:p w14:paraId="37DBAA91">
            <w:pPr>
              <w:spacing w:line="440" w:lineRule="exact"/>
              <w:ind w:right="-42" w:rightChars="-20"/>
              <w:jc w:val="center"/>
              <w:rPr>
                <w:rFonts w:hint="eastAsia" w:ascii="仿宋" w:hAnsi="仿宋" w:eastAsia="仿宋" w:cs="仿宋"/>
                <w:color w:val="auto"/>
                <w:szCs w:val="21"/>
                <w:highlight w:val="none"/>
              </w:rPr>
            </w:pPr>
          </w:p>
        </w:tc>
        <w:tc>
          <w:tcPr>
            <w:tcW w:w="788" w:type="dxa"/>
            <w:noWrap w:val="0"/>
            <w:vAlign w:val="top"/>
          </w:tcPr>
          <w:p w14:paraId="172761CC">
            <w:pPr>
              <w:spacing w:line="440" w:lineRule="exact"/>
              <w:ind w:right="-42" w:rightChars="-20"/>
              <w:jc w:val="center"/>
              <w:rPr>
                <w:rFonts w:hint="eastAsia" w:ascii="仿宋" w:hAnsi="仿宋" w:eastAsia="仿宋" w:cs="仿宋"/>
                <w:color w:val="auto"/>
                <w:szCs w:val="21"/>
                <w:highlight w:val="none"/>
              </w:rPr>
            </w:pPr>
          </w:p>
        </w:tc>
        <w:tc>
          <w:tcPr>
            <w:tcW w:w="865" w:type="dxa"/>
            <w:noWrap w:val="0"/>
            <w:vAlign w:val="top"/>
          </w:tcPr>
          <w:p w14:paraId="6CE89EE8">
            <w:pPr>
              <w:spacing w:line="440" w:lineRule="exact"/>
              <w:ind w:right="-42" w:rightChars="-20"/>
              <w:jc w:val="center"/>
              <w:rPr>
                <w:rFonts w:hint="eastAsia" w:ascii="仿宋" w:hAnsi="仿宋" w:eastAsia="仿宋" w:cs="仿宋"/>
                <w:color w:val="auto"/>
                <w:szCs w:val="21"/>
                <w:highlight w:val="none"/>
              </w:rPr>
            </w:pPr>
          </w:p>
        </w:tc>
        <w:tc>
          <w:tcPr>
            <w:tcW w:w="1058" w:type="dxa"/>
            <w:gridSpan w:val="2"/>
            <w:noWrap w:val="0"/>
            <w:vAlign w:val="top"/>
          </w:tcPr>
          <w:p w14:paraId="438EC68C">
            <w:pPr>
              <w:spacing w:line="440" w:lineRule="exact"/>
              <w:ind w:right="-42" w:rightChars="-20"/>
              <w:jc w:val="center"/>
              <w:rPr>
                <w:rFonts w:hint="eastAsia" w:ascii="仿宋" w:hAnsi="仿宋" w:eastAsia="仿宋" w:cs="仿宋"/>
                <w:color w:val="auto"/>
                <w:szCs w:val="21"/>
                <w:highlight w:val="none"/>
              </w:rPr>
            </w:pPr>
          </w:p>
        </w:tc>
        <w:tc>
          <w:tcPr>
            <w:tcW w:w="1277" w:type="dxa"/>
            <w:noWrap w:val="0"/>
            <w:vAlign w:val="top"/>
          </w:tcPr>
          <w:p w14:paraId="396DB3CC">
            <w:pPr>
              <w:spacing w:line="440" w:lineRule="exact"/>
              <w:ind w:right="-42" w:rightChars="-20"/>
              <w:jc w:val="center"/>
              <w:rPr>
                <w:rFonts w:hint="eastAsia" w:ascii="仿宋" w:hAnsi="仿宋" w:eastAsia="仿宋" w:cs="仿宋"/>
                <w:color w:val="auto"/>
                <w:szCs w:val="21"/>
                <w:highlight w:val="none"/>
              </w:rPr>
            </w:pPr>
          </w:p>
        </w:tc>
      </w:tr>
      <w:tr w14:paraId="4BF0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top"/>
          </w:tcPr>
          <w:p w14:paraId="5D616FB9">
            <w:pPr>
              <w:spacing w:line="440" w:lineRule="exact"/>
              <w:ind w:right="-42" w:rightChars="-20"/>
              <w:jc w:val="center"/>
              <w:rPr>
                <w:rFonts w:hint="eastAsia" w:ascii="仿宋" w:hAnsi="仿宋" w:eastAsia="仿宋" w:cs="仿宋"/>
                <w:color w:val="auto"/>
                <w:szCs w:val="21"/>
                <w:highlight w:val="none"/>
              </w:rPr>
            </w:pPr>
          </w:p>
        </w:tc>
        <w:tc>
          <w:tcPr>
            <w:tcW w:w="1104" w:type="dxa"/>
            <w:noWrap w:val="0"/>
            <w:vAlign w:val="top"/>
          </w:tcPr>
          <w:p w14:paraId="3B26BB7B">
            <w:pPr>
              <w:spacing w:line="440" w:lineRule="exact"/>
              <w:ind w:right="-42" w:rightChars="-20"/>
              <w:jc w:val="center"/>
              <w:rPr>
                <w:rFonts w:hint="eastAsia" w:ascii="仿宋" w:hAnsi="仿宋" w:eastAsia="仿宋" w:cs="仿宋"/>
                <w:color w:val="auto"/>
                <w:szCs w:val="21"/>
                <w:highlight w:val="none"/>
              </w:rPr>
            </w:pPr>
          </w:p>
        </w:tc>
        <w:tc>
          <w:tcPr>
            <w:tcW w:w="993" w:type="dxa"/>
            <w:noWrap w:val="0"/>
            <w:vAlign w:val="top"/>
          </w:tcPr>
          <w:p w14:paraId="135CD408">
            <w:pPr>
              <w:spacing w:line="440" w:lineRule="exact"/>
              <w:ind w:right="-42" w:rightChars="-20"/>
              <w:jc w:val="center"/>
              <w:rPr>
                <w:rFonts w:hint="eastAsia" w:ascii="仿宋" w:hAnsi="仿宋" w:eastAsia="仿宋" w:cs="仿宋"/>
                <w:color w:val="auto"/>
                <w:szCs w:val="21"/>
                <w:highlight w:val="none"/>
              </w:rPr>
            </w:pPr>
          </w:p>
        </w:tc>
        <w:tc>
          <w:tcPr>
            <w:tcW w:w="850" w:type="dxa"/>
            <w:noWrap w:val="0"/>
            <w:vAlign w:val="top"/>
          </w:tcPr>
          <w:p w14:paraId="336F478F">
            <w:pPr>
              <w:spacing w:line="440" w:lineRule="exact"/>
              <w:ind w:right="-42" w:rightChars="-20"/>
              <w:jc w:val="center"/>
              <w:rPr>
                <w:rFonts w:hint="eastAsia" w:ascii="仿宋" w:hAnsi="仿宋" w:eastAsia="仿宋" w:cs="仿宋"/>
                <w:color w:val="auto"/>
                <w:szCs w:val="21"/>
                <w:highlight w:val="none"/>
              </w:rPr>
            </w:pPr>
          </w:p>
        </w:tc>
        <w:tc>
          <w:tcPr>
            <w:tcW w:w="1468" w:type="dxa"/>
            <w:noWrap w:val="0"/>
            <w:vAlign w:val="top"/>
          </w:tcPr>
          <w:p w14:paraId="707BA491">
            <w:pPr>
              <w:spacing w:line="440" w:lineRule="exact"/>
              <w:ind w:right="-42" w:rightChars="-20"/>
              <w:jc w:val="center"/>
              <w:rPr>
                <w:rFonts w:hint="eastAsia" w:ascii="仿宋" w:hAnsi="仿宋" w:eastAsia="仿宋" w:cs="仿宋"/>
                <w:color w:val="auto"/>
                <w:szCs w:val="21"/>
                <w:highlight w:val="none"/>
              </w:rPr>
            </w:pPr>
          </w:p>
        </w:tc>
        <w:tc>
          <w:tcPr>
            <w:tcW w:w="788" w:type="dxa"/>
            <w:noWrap w:val="0"/>
            <w:vAlign w:val="top"/>
          </w:tcPr>
          <w:p w14:paraId="57111687">
            <w:pPr>
              <w:spacing w:line="440" w:lineRule="exact"/>
              <w:ind w:right="-42" w:rightChars="-20"/>
              <w:jc w:val="center"/>
              <w:rPr>
                <w:rFonts w:hint="eastAsia" w:ascii="仿宋" w:hAnsi="仿宋" w:eastAsia="仿宋" w:cs="仿宋"/>
                <w:color w:val="auto"/>
                <w:szCs w:val="21"/>
                <w:highlight w:val="none"/>
              </w:rPr>
            </w:pPr>
          </w:p>
        </w:tc>
        <w:tc>
          <w:tcPr>
            <w:tcW w:w="865" w:type="dxa"/>
            <w:noWrap w:val="0"/>
            <w:vAlign w:val="top"/>
          </w:tcPr>
          <w:p w14:paraId="5708FCC0">
            <w:pPr>
              <w:spacing w:line="440" w:lineRule="exact"/>
              <w:ind w:right="-42" w:rightChars="-20"/>
              <w:jc w:val="center"/>
              <w:rPr>
                <w:rFonts w:hint="eastAsia" w:ascii="仿宋" w:hAnsi="仿宋" w:eastAsia="仿宋" w:cs="仿宋"/>
                <w:color w:val="auto"/>
                <w:szCs w:val="21"/>
                <w:highlight w:val="none"/>
              </w:rPr>
            </w:pPr>
          </w:p>
        </w:tc>
        <w:tc>
          <w:tcPr>
            <w:tcW w:w="1058" w:type="dxa"/>
            <w:gridSpan w:val="2"/>
            <w:noWrap w:val="0"/>
            <w:vAlign w:val="top"/>
          </w:tcPr>
          <w:p w14:paraId="515A1100">
            <w:pPr>
              <w:spacing w:line="440" w:lineRule="exact"/>
              <w:ind w:right="-42" w:rightChars="-20"/>
              <w:jc w:val="center"/>
              <w:rPr>
                <w:rFonts w:hint="eastAsia" w:ascii="仿宋" w:hAnsi="仿宋" w:eastAsia="仿宋" w:cs="仿宋"/>
                <w:color w:val="auto"/>
                <w:szCs w:val="21"/>
                <w:highlight w:val="none"/>
              </w:rPr>
            </w:pPr>
          </w:p>
        </w:tc>
        <w:tc>
          <w:tcPr>
            <w:tcW w:w="1277" w:type="dxa"/>
            <w:noWrap w:val="0"/>
            <w:vAlign w:val="top"/>
          </w:tcPr>
          <w:p w14:paraId="40C8EF8C">
            <w:pPr>
              <w:spacing w:line="440" w:lineRule="exact"/>
              <w:ind w:right="-42" w:rightChars="-20"/>
              <w:jc w:val="center"/>
              <w:rPr>
                <w:rFonts w:hint="eastAsia" w:ascii="仿宋" w:hAnsi="仿宋" w:eastAsia="仿宋" w:cs="仿宋"/>
                <w:color w:val="auto"/>
                <w:szCs w:val="21"/>
                <w:highlight w:val="none"/>
              </w:rPr>
            </w:pPr>
          </w:p>
        </w:tc>
      </w:tr>
      <w:tr w14:paraId="76A1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top"/>
          </w:tcPr>
          <w:p w14:paraId="45E9CE41">
            <w:pPr>
              <w:spacing w:line="440" w:lineRule="exact"/>
              <w:ind w:right="-42" w:rightChars="-20"/>
              <w:jc w:val="center"/>
              <w:rPr>
                <w:rFonts w:hint="eastAsia" w:ascii="仿宋" w:hAnsi="仿宋" w:eastAsia="仿宋" w:cs="仿宋"/>
                <w:color w:val="auto"/>
                <w:szCs w:val="21"/>
                <w:highlight w:val="none"/>
              </w:rPr>
            </w:pPr>
          </w:p>
        </w:tc>
        <w:tc>
          <w:tcPr>
            <w:tcW w:w="1104" w:type="dxa"/>
            <w:noWrap w:val="0"/>
            <w:vAlign w:val="top"/>
          </w:tcPr>
          <w:p w14:paraId="48605506">
            <w:pPr>
              <w:spacing w:line="440" w:lineRule="exact"/>
              <w:ind w:right="-42" w:rightChars="-20"/>
              <w:jc w:val="center"/>
              <w:rPr>
                <w:rFonts w:hint="eastAsia" w:ascii="仿宋" w:hAnsi="仿宋" w:eastAsia="仿宋" w:cs="仿宋"/>
                <w:color w:val="auto"/>
                <w:szCs w:val="21"/>
                <w:highlight w:val="none"/>
              </w:rPr>
            </w:pPr>
          </w:p>
        </w:tc>
        <w:tc>
          <w:tcPr>
            <w:tcW w:w="993" w:type="dxa"/>
            <w:noWrap w:val="0"/>
            <w:vAlign w:val="top"/>
          </w:tcPr>
          <w:p w14:paraId="740F95E9">
            <w:pPr>
              <w:spacing w:line="440" w:lineRule="exact"/>
              <w:ind w:right="-42" w:rightChars="-20"/>
              <w:jc w:val="center"/>
              <w:rPr>
                <w:rFonts w:hint="eastAsia" w:ascii="仿宋" w:hAnsi="仿宋" w:eastAsia="仿宋" w:cs="仿宋"/>
                <w:color w:val="auto"/>
                <w:szCs w:val="21"/>
                <w:highlight w:val="none"/>
              </w:rPr>
            </w:pPr>
          </w:p>
        </w:tc>
        <w:tc>
          <w:tcPr>
            <w:tcW w:w="850" w:type="dxa"/>
            <w:noWrap w:val="0"/>
            <w:vAlign w:val="top"/>
          </w:tcPr>
          <w:p w14:paraId="4795F253">
            <w:pPr>
              <w:spacing w:line="440" w:lineRule="exact"/>
              <w:ind w:right="-42" w:rightChars="-20"/>
              <w:jc w:val="center"/>
              <w:rPr>
                <w:rFonts w:hint="eastAsia" w:ascii="仿宋" w:hAnsi="仿宋" w:eastAsia="仿宋" w:cs="仿宋"/>
                <w:color w:val="auto"/>
                <w:szCs w:val="21"/>
                <w:highlight w:val="none"/>
              </w:rPr>
            </w:pPr>
          </w:p>
        </w:tc>
        <w:tc>
          <w:tcPr>
            <w:tcW w:w="1468" w:type="dxa"/>
            <w:noWrap w:val="0"/>
            <w:vAlign w:val="top"/>
          </w:tcPr>
          <w:p w14:paraId="0F76F815">
            <w:pPr>
              <w:spacing w:line="440" w:lineRule="exact"/>
              <w:ind w:right="-42" w:rightChars="-20"/>
              <w:jc w:val="center"/>
              <w:rPr>
                <w:rFonts w:hint="eastAsia" w:ascii="仿宋" w:hAnsi="仿宋" w:eastAsia="仿宋" w:cs="仿宋"/>
                <w:color w:val="auto"/>
                <w:szCs w:val="21"/>
                <w:highlight w:val="none"/>
              </w:rPr>
            </w:pPr>
          </w:p>
        </w:tc>
        <w:tc>
          <w:tcPr>
            <w:tcW w:w="788" w:type="dxa"/>
            <w:noWrap w:val="0"/>
            <w:vAlign w:val="top"/>
          </w:tcPr>
          <w:p w14:paraId="4D79ED9A">
            <w:pPr>
              <w:spacing w:line="440" w:lineRule="exact"/>
              <w:ind w:right="-42" w:rightChars="-20"/>
              <w:jc w:val="center"/>
              <w:rPr>
                <w:rFonts w:hint="eastAsia" w:ascii="仿宋" w:hAnsi="仿宋" w:eastAsia="仿宋" w:cs="仿宋"/>
                <w:color w:val="auto"/>
                <w:szCs w:val="21"/>
                <w:highlight w:val="none"/>
              </w:rPr>
            </w:pPr>
          </w:p>
        </w:tc>
        <w:tc>
          <w:tcPr>
            <w:tcW w:w="865" w:type="dxa"/>
            <w:noWrap w:val="0"/>
            <w:vAlign w:val="top"/>
          </w:tcPr>
          <w:p w14:paraId="69EAB2E6">
            <w:pPr>
              <w:spacing w:line="440" w:lineRule="exact"/>
              <w:ind w:right="-42" w:rightChars="-20"/>
              <w:jc w:val="center"/>
              <w:rPr>
                <w:rFonts w:hint="eastAsia" w:ascii="仿宋" w:hAnsi="仿宋" w:eastAsia="仿宋" w:cs="仿宋"/>
                <w:color w:val="auto"/>
                <w:szCs w:val="21"/>
                <w:highlight w:val="none"/>
              </w:rPr>
            </w:pPr>
          </w:p>
        </w:tc>
        <w:tc>
          <w:tcPr>
            <w:tcW w:w="1058" w:type="dxa"/>
            <w:gridSpan w:val="2"/>
            <w:noWrap w:val="0"/>
            <w:vAlign w:val="top"/>
          </w:tcPr>
          <w:p w14:paraId="0184BA72">
            <w:pPr>
              <w:spacing w:line="440" w:lineRule="exact"/>
              <w:ind w:right="-42" w:rightChars="-20"/>
              <w:jc w:val="center"/>
              <w:rPr>
                <w:rFonts w:hint="eastAsia" w:ascii="仿宋" w:hAnsi="仿宋" w:eastAsia="仿宋" w:cs="仿宋"/>
                <w:color w:val="auto"/>
                <w:szCs w:val="21"/>
                <w:highlight w:val="none"/>
              </w:rPr>
            </w:pPr>
          </w:p>
        </w:tc>
        <w:tc>
          <w:tcPr>
            <w:tcW w:w="1277" w:type="dxa"/>
            <w:noWrap w:val="0"/>
            <w:vAlign w:val="top"/>
          </w:tcPr>
          <w:p w14:paraId="3FDC6937">
            <w:pPr>
              <w:spacing w:line="440" w:lineRule="exact"/>
              <w:ind w:right="-42" w:rightChars="-20"/>
              <w:jc w:val="center"/>
              <w:rPr>
                <w:rFonts w:hint="eastAsia" w:ascii="仿宋" w:hAnsi="仿宋" w:eastAsia="仿宋" w:cs="仿宋"/>
                <w:color w:val="auto"/>
                <w:szCs w:val="21"/>
                <w:highlight w:val="none"/>
              </w:rPr>
            </w:pPr>
          </w:p>
        </w:tc>
      </w:tr>
      <w:tr w14:paraId="195C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top"/>
          </w:tcPr>
          <w:p w14:paraId="5B631212">
            <w:pPr>
              <w:spacing w:line="440" w:lineRule="exact"/>
              <w:ind w:right="-42" w:rightChars="-20"/>
              <w:jc w:val="center"/>
              <w:rPr>
                <w:rFonts w:hint="eastAsia" w:ascii="仿宋" w:hAnsi="仿宋" w:eastAsia="仿宋" w:cs="仿宋"/>
                <w:color w:val="auto"/>
                <w:szCs w:val="21"/>
                <w:highlight w:val="none"/>
              </w:rPr>
            </w:pPr>
          </w:p>
        </w:tc>
        <w:tc>
          <w:tcPr>
            <w:tcW w:w="1104" w:type="dxa"/>
            <w:noWrap w:val="0"/>
            <w:vAlign w:val="top"/>
          </w:tcPr>
          <w:p w14:paraId="707BE1E0">
            <w:pPr>
              <w:spacing w:line="440" w:lineRule="exact"/>
              <w:ind w:right="-42" w:rightChars="-20"/>
              <w:jc w:val="center"/>
              <w:rPr>
                <w:rFonts w:hint="eastAsia" w:ascii="仿宋" w:hAnsi="仿宋" w:eastAsia="仿宋" w:cs="仿宋"/>
                <w:color w:val="auto"/>
                <w:szCs w:val="21"/>
                <w:highlight w:val="none"/>
              </w:rPr>
            </w:pPr>
          </w:p>
        </w:tc>
        <w:tc>
          <w:tcPr>
            <w:tcW w:w="993" w:type="dxa"/>
            <w:noWrap w:val="0"/>
            <w:vAlign w:val="top"/>
          </w:tcPr>
          <w:p w14:paraId="47D8D1EA">
            <w:pPr>
              <w:spacing w:line="440" w:lineRule="exact"/>
              <w:ind w:right="-42" w:rightChars="-20"/>
              <w:jc w:val="center"/>
              <w:rPr>
                <w:rFonts w:hint="eastAsia" w:ascii="仿宋" w:hAnsi="仿宋" w:eastAsia="仿宋" w:cs="仿宋"/>
                <w:color w:val="auto"/>
                <w:szCs w:val="21"/>
                <w:highlight w:val="none"/>
              </w:rPr>
            </w:pPr>
          </w:p>
        </w:tc>
        <w:tc>
          <w:tcPr>
            <w:tcW w:w="850" w:type="dxa"/>
            <w:noWrap w:val="0"/>
            <w:vAlign w:val="top"/>
          </w:tcPr>
          <w:p w14:paraId="1A016952">
            <w:pPr>
              <w:spacing w:line="440" w:lineRule="exact"/>
              <w:ind w:right="-42" w:rightChars="-20"/>
              <w:jc w:val="center"/>
              <w:rPr>
                <w:rFonts w:hint="eastAsia" w:ascii="仿宋" w:hAnsi="仿宋" w:eastAsia="仿宋" w:cs="仿宋"/>
                <w:color w:val="auto"/>
                <w:szCs w:val="21"/>
                <w:highlight w:val="none"/>
              </w:rPr>
            </w:pPr>
          </w:p>
        </w:tc>
        <w:tc>
          <w:tcPr>
            <w:tcW w:w="1468" w:type="dxa"/>
            <w:noWrap w:val="0"/>
            <w:vAlign w:val="top"/>
          </w:tcPr>
          <w:p w14:paraId="4EE1AA81">
            <w:pPr>
              <w:spacing w:line="440" w:lineRule="exact"/>
              <w:ind w:right="-42" w:rightChars="-20"/>
              <w:jc w:val="center"/>
              <w:rPr>
                <w:rFonts w:hint="eastAsia" w:ascii="仿宋" w:hAnsi="仿宋" w:eastAsia="仿宋" w:cs="仿宋"/>
                <w:color w:val="auto"/>
                <w:szCs w:val="21"/>
                <w:highlight w:val="none"/>
              </w:rPr>
            </w:pPr>
          </w:p>
        </w:tc>
        <w:tc>
          <w:tcPr>
            <w:tcW w:w="788" w:type="dxa"/>
            <w:noWrap w:val="0"/>
            <w:vAlign w:val="top"/>
          </w:tcPr>
          <w:p w14:paraId="0EFF383C">
            <w:pPr>
              <w:spacing w:line="440" w:lineRule="exact"/>
              <w:ind w:right="-42" w:rightChars="-20"/>
              <w:jc w:val="center"/>
              <w:rPr>
                <w:rFonts w:hint="eastAsia" w:ascii="仿宋" w:hAnsi="仿宋" w:eastAsia="仿宋" w:cs="仿宋"/>
                <w:color w:val="auto"/>
                <w:szCs w:val="21"/>
                <w:highlight w:val="none"/>
              </w:rPr>
            </w:pPr>
          </w:p>
        </w:tc>
        <w:tc>
          <w:tcPr>
            <w:tcW w:w="865" w:type="dxa"/>
            <w:noWrap w:val="0"/>
            <w:vAlign w:val="top"/>
          </w:tcPr>
          <w:p w14:paraId="29E6D784">
            <w:pPr>
              <w:spacing w:line="440" w:lineRule="exact"/>
              <w:ind w:right="-42" w:rightChars="-20"/>
              <w:jc w:val="center"/>
              <w:rPr>
                <w:rFonts w:hint="eastAsia" w:ascii="仿宋" w:hAnsi="仿宋" w:eastAsia="仿宋" w:cs="仿宋"/>
                <w:color w:val="auto"/>
                <w:szCs w:val="21"/>
                <w:highlight w:val="none"/>
              </w:rPr>
            </w:pPr>
          </w:p>
        </w:tc>
        <w:tc>
          <w:tcPr>
            <w:tcW w:w="1058" w:type="dxa"/>
            <w:gridSpan w:val="2"/>
            <w:noWrap w:val="0"/>
            <w:vAlign w:val="top"/>
          </w:tcPr>
          <w:p w14:paraId="2FFABBA0">
            <w:pPr>
              <w:spacing w:line="440" w:lineRule="exact"/>
              <w:ind w:right="-42" w:rightChars="-20"/>
              <w:jc w:val="center"/>
              <w:rPr>
                <w:rFonts w:hint="eastAsia" w:ascii="仿宋" w:hAnsi="仿宋" w:eastAsia="仿宋" w:cs="仿宋"/>
                <w:color w:val="auto"/>
                <w:szCs w:val="21"/>
                <w:highlight w:val="none"/>
              </w:rPr>
            </w:pPr>
          </w:p>
        </w:tc>
        <w:tc>
          <w:tcPr>
            <w:tcW w:w="1277" w:type="dxa"/>
            <w:noWrap w:val="0"/>
            <w:vAlign w:val="top"/>
          </w:tcPr>
          <w:p w14:paraId="139CED1E">
            <w:pPr>
              <w:spacing w:line="440" w:lineRule="exact"/>
              <w:ind w:right="-42" w:rightChars="-20"/>
              <w:jc w:val="center"/>
              <w:rPr>
                <w:rFonts w:hint="eastAsia" w:ascii="仿宋" w:hAnsi="仿宋" w:eastAsia="仿宋" w:cs="仿宋"/>
                <w:color w:val="auto"/>
                <w:szCs w:val="21"/>
                <w:highlight w:val="none"/>
              </w:rPr>
            </w:pPr>
          </w:p>
        </w:tc>
      </w:tr>
      <w:tr w14:paraId="5DA4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top"/>
          </w:tcPr>
          <w:p w14:paraId="14261F45">
            <w:pPr>
              <w:spacing w:line="440" w:lineRule="exact"/>
              <w:ind w:right="-42" w:rightChars="-20"/>
              <w:jc w:val="center"/>
              <w:rPr>
                <w:rFonts w:hint="eastAsia" w:ascii="仿宋" w:hAnsi="仿宋" w:eastAsia="仿宋" w:cs="仿宋"/>
                <w:color w:val="auto"/>
                <w:szCs w:val="21"/>
                <w:highlight w:val="none"/>
              </w:rPr>
            </w:pPr>
          </w:p>
        </w:tc>
        <w:tc>
          <w:tcPr>
            <w:tcW w:w="1104" w:type="dxa"/>
            <w:noWrap w:val="0"/>
            <w:vAlign w:val="top"/>
          </w:tcPr>
          <w:p w14:paraId="0E76FBB6">
            <w:pPr>
              <w:spacing w:line="440" w:lineRule="exact"/>
              <w:ind w:right="-42" w:rightChars="-20"/>
              <w:jc w:val="center"/>
              <w:rPr>
                <w:rFonts w:hint="eastAsia" w:ascii="仿宋" w:hAnsi="仿宋" w:eastAsia="仿宋" w:cs="仿宋"/>
                <w:color w:val="auto"/>
                <w:szCs w:val="21"/>
                <w:highlight w:val="none"/>
              </w:rPr>
            </w:pPr>
          </w:p>
        </w:tc>
        <w:tc>
          <w:tcPr>
            <w:tcW w:w="993" w:type="dxa"/>
            <w:noWrap w:val="0"/>
            <w:vAlign w:val="top"/>
          </w:tcPr>
          <w:p w14:paraId="6B8817CC">
            <w:pPr>
              <w:spacing w:line="440" w:lineRule="exact"/>
              <w:ind w:right="-42" w:rightChars="-20"/>
              <w:jc w:val="center"/>
              <w:rPr>
                <w:rFonts w:hint="eastAsia" w:ascii="仿宋" w:hAnsi="仿宋" w:eastAsia="仿宋" w:cs="仿宋"/>
                <w:color w:val="auto"/>
                <w:szCs w:val="21"/>
                <w:highlight w:val="none"/>
              </w:rPr>
            </w:pPr>
          </w:p>
        </w:tc>
        <w:tc>
          <w:tcPr>
            <w:tcW w:w="850" w:type="dxa"/>
            <w:noWrap w:val="0"/>
            <w:vAlign w:val="top"/>
          </w:tcPr>
          <w:p w14:paraId="224DF16B">
            <w:pPr>
              <w:spacing w:line="440" w:lineRule="exact"/>
              <w:ind w:right="-42" w:rightChars="-20"/>
              <w:jc w:val="center"/>
              <w:rPr>
                <w:rFonts w:hint="eastAsia" w:ascii="仿宋" w:hAnsi="仿宋" w:eastAsia="仿宋" w:cs="仿宋"/>
                <w:color w:val="auto"/>
                <w:szCs w:val="21"/>
                <w:highlight w:val="none"/>
              </w:rPr>
            </w:pPr>
          </w:p>
        </w:tc>
        <w:tc>
          <w:tcPr>
            <w:tcW w:w="1468" w:type="dxa"/>
            <w:noWrap w:val="0"/>
            <w:vAlign w:val="top"/>
          </w:tcPr>
          <w:p w14:paraId="261B8DFC">
            <w:pPr>
              <w:spacing w:line="440" w:lineRule="exact"/>
              <w:ind w:right="-42" w:rightChars="-20"/>
              <w:jc w:val="center"/>
              <w:rPr>
                <w:rFonts w:hint="eastAsia" w:ascii="仿宋" w:hAnsi="仿宋" w:eastAsia="仿宋" w:cs="仿宋"/>
                <w:color w:val="auto"/>
                <w:szCs w:val="21"/>
                <w:highlight w:val="none"/>
              </w:rPr>
            </w:pPr>
          </w:p>
        </w:tc>
        <w:tc>
          <w:tcPr>
            <w:tcW w:w="788" w:type="dxa"/>
            <w:noWrap w:val="0"/>
            <w:vAlign w:val="top"/>
          </w:tcPr>
          <w:p w14:paraId="46176783">
            <w:pPr>
              <w:spacing w:line="440" w:lineRule="exact"/>
              <w:ind w:right="-42" w:rightChars="-20"/>
              <w:jc w:val="center"/>
              <w:rPr>
                <w:rFonts w:hint="eastAsia" w:ascii="仿宋" w:hAnsi="仿宋" w:eastAsia="仿宋" w:cs="仿宋"/>
                <w:color w:val="auto"/>
                <w:szCs w:val="21"/>
                <w:highlight w:val="none"/>
              </w:rPr>
            </w:pPr>
          </w:p>
        </w:tc>
        <w:tc>
          <w:tcPr>
            <w:tcW w:w="865" w:type="dxa"/>
            <w:noWrap w:val="0"/>
            <w:vAlign w:val="top"/>
          </w:tcPr>
          <w:p w14:paraId="3B87A223">
            <w:pPr>
              <w:spacing w:line="440" w:lineRule="exact"/>
              <w:ind w:right="-42" w:rightChars="-20"/>
              <w:jc w:val="center"/>
              <w:rPr>
                <w:rFonts w:hint="eastAsia" w:ascii="仿宋" w:hAnsi="仿宋" w:eastAsia="仿宋" w:cs="仿宋"/>
                <w:color w:val="auto"/>
                <w:szCs w:val="21"/>
                <w:highlight w:val="none"/>
              </w:rPr>
            </w:pPr>
          </w:p>
        </w:tc>
        <w:tc>
          <w:tcPr>
            <w:tcW w:w="1058" w:type="dxa"/>
            <w:gridSpan w:val="2"/>
            <w:noWrap w:val="0"/>
            <w:vAlign w:val="top"/>
          </w:tcPr>
          <w:p w14:paraId="6FC75B3F">
            <w:pPr>
              <w:spacing w:line="440" w:lineRule="exact"/>
              <w:ind w:right="-42" w:rightChars="-20"/>
              <w:jc w:val="center"/>
              <w:rPr>
                <w:rFonts w:hint="eastAsia" w:ascii="仿宋" w:hAnsi="仿宋" w:eastAsia="仿宋" w:cs="仿宋"/>
                <w:color w:val="auto"/>
                <w:szCs w:val="21"/>
                <w:highlight w:val="none"/>
              </w:rPr>
            </w:pPr>
          </w:p>
        </w:tc>
        <w:tc>
          <w:tcPr>
            <w:tcW w:w="1277" w:type="dxa"/>
            <w:noWrap w:val="0"/>
            <w:vAlign w:val="top"/>
          </w:tcPr>
          <w:p w14:paraId="33A5C4F2">
            <w:pPr>
              <w:spacing w:line="440" w:lineRule="exact"/>
              <w:ind w:right="-42" w:rightChars="-20"/>
              <w:jc w:val="center"/>
              <w:rPr>
                <w:rFonts w:hint="eastAsia" w:ascii="仿宋" w:hAnsi="仿宋" w:eastAsia="仿宋" w:cs="仿宋"/>
                <w:color w:val="auto"/>
                <w:szCs w:val="21"/>
                <w:highlight w:val="none"/>
              </w:rPr>
            </w:pPr>
          </w:p>
        </w:tc>
      </w:tr>
      <w:tr w14:paraId="1BD6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8" w:type="dxa"/>
            <w:noWrap w:val="0"/>
            <w:vAlign w:val="top"/>
          </w:tcPr>
          <w:p w14:paraId="0AF1A8F7">
            <w:pPr>
              <w:spacing w:line="440" w:lineRule="exact"/>
              <w:ind w:right="-42" w:rightChars="-20"/>
              <w:jc w:val="center"/>
              <w:rPr>
                <w:rFonts w:hint="eastAsia" w:ascii="仿宋" w:hAnsi="仿宋" w:eastAsia="仿宋" w:cs="仿宋"/>
                <w:color w:val="auto"/>
                <w:szCs w:val="21"/>
                <w:highlight w:val="none"/>
              </w:rPr>
            </w:pPr>
          </w:p>
        </w:tc>
        <w:tc>
          <w:tcPr>
            <w:tcW w:w="1104" w:type="dxa"/>
            <w:noWrap w:val="0"/>
            <w:vAlign w:val="top"/>
          </w:tcPr>
          <w:p w14:paraId="79A2B5AB">
            <w:pPr>
              <w:spacing w:line="440" w:lineRule="exact"/>
              <w:ind w:right="-42" w:rightChars="-20"/>
              <w:jc w:val="center"/>
              <w:rPr>
                <w:rFonts w:hint="eastAsia" w:ascii="仿宋" w:hAnsi="仿宋" w:eastAsia="仿宋" w:cs="仿宋"/>
                <w:color w:val="auto"/>
                <w:szCs w:val="21"/>
                <w:highlight w:val="none"/>
              </w:rPr>
            </w:pPr>
          </w:p>
        </w:tc>
        <w:tc>
          <w:tcPr>
            <w:tcW w:w="993" w:type="dxa"/>
            <w:noWrap w:val="0"/>
            <w:vAlign w:val="top"/>
          </w:tcPr>
          <w:p w14:paraId="419092A9">
            <w:pPr>
              <w:spacing w:line="440" w:lineRule="exact"/>
              <w:ind w:right="-42" w:rightChars="-20"/>
              <w:jc w:val="center"/>
              <w:rPr>
                <w:rFonts w:hint="eastAsia" w:ascii="仿宋" w:hAnsi="仿宋" w:eastAsia="仿宋" w:cs="仿宋"/>
                <w:color w:val="auto"/>
                <w:szCs w:val="21"/>
                <w:highlight w:val="none"/>
              </w:rPr>
            </w:pPr>
          </w:p>
        </w:tc>
        <w:tc>
          <w:tcPr>
            <w:tcW w:w="850" w:type="dxa"/>
            <w:noWrap w:val="0"/>
            <w:vAlign w:val="top"/>
          </w:tcPr>
          <w:p w14:paraId="3A807229">
            <w:pPr>
              <w:spacing w:line="440" w:lineRule="exact"/>
              <w:ind w:right="-42" w:rightChars="-20"/>
              <w:jc w:val="center"/>
              <w:rPr>
                <w:rFonts w:hint="eastAsia" w:ascii="仿宋" w:hAnsi="仿宋" w:eastAsia="仿宋" w:cs="仿宋"/>
                <w:color w:val="auto"/>
                <w:szCs w:val="21"/>
                <w:highlight w:val="none"/>
              </w:rPr>
            </w:pPr>
          </w:p>
        </w:tc>
        <w:tc>
          <w:tcPr>
            <w:tcW w:w="1468" w:type="dxa"/>
            <w:noWrap w:val="0"/>
            <w:vAlign w:val="top"/>
          </w:tcPr>
          <w:p w14:paraId="0FEAC0EE">
            <w:pPr>
              <w:spacing w:line="440" w:lineRule="exact"/>
              <w:ind w:right="-42" w:rightChars="-20"/>
              <w:jc w:val="center"/>
              <w:rPr>
                <w:rFonts w:hint="eastAsia" w:ascii="仿宋" w:hAnsi="仿宋" w:eastAsia="仿宋" w:cs="仿宋"/>
                <w:color w:val="auto"/>
                <w:szCs w:val="21"/>
                <w:highlight w:val="none"/>
              </w:rPr>
            </w:pPr>
          </w:p>
        </w:tc>
        <w:tc>
          <w:tcPr>
            <w:tcW w:w="788" w:type="dxa"/>
            <w:noWrap w:val="0"/>
            <w:vAlign w:val="top"/>
          </w:tcPr>
          <w:p w14:paraId="2B2BEC6B">
            <w:pPr>
              <w:spacing w:line="440" w:lineRule="exact"/>
              <w:ind w:right="-42" w:rightChars="-20"/>
              <w:jc w:val="center"/>
              <w:rPr>
                <w:rFonts w:hint="eastAsia" w:ascii="仿宋" w:hAnsi="仿宋" w:eastAsia="仿宋" w:cs="仿宋"/>
                <w:color w:val="auto"/>
                <w:szCs w:val="21"/>
                <w:highlight w:val="none"/>
              </w:rPr>
            </w:pPr>
          </w:p>
        </w:tc>
        <w:tc>
          <w:tcPr>
            <w:tcW w:w="865" w:type="dxa"/>
            <w:noWrap w:val="0"/>
            <w:vAlign w:val="top"/>
          </w:tcPr>
          <w:p w14:paraId="65C0D53A">
            <w:pPr>
              <w:spacing w:line="440" w:lineRule="exact"/>
              <w:ind w:right="-42" w:rightChars="-20"/>
              <w:jc w:val="center"/>
              <w:rPr>
                <w:rFonts w:hint="eastAsia" w:ascii="仿宋" w:hAnsi="仿宋" w:eastAsia="仿宋" w:cs="仿宋"/>
                <w:color w:val="auto"/>
                <w:szCs w:val="21"/>
                <w:highlight w:val="none"/>
              </w:rPr>
            </w:pPr>
          </w:p>
        </w:tc>
        <w:tc>
          <w:tcPr>
            <w:tcW w:w="1058" w:type="dxa"/>
            <w:gridSpan w:val="2"/>
            <w:noWrap w:val="0"/>
            <w:vAlign w:val="top"/>
          </w:tcPr>
          <w:p w14:paraId="5CA013F8">
            <w:pPr>
              <w:spacing w:line="440" w:lineRule="exact"/>
              <w:ind w:right="-42" w:rightChars="-20"/>
              <w:jc w:val="center"/>
              <w:rPr>
                <w:rFonts w:hint="eastAsia" w:ascii="仿宋" w:hAnsi="仿宋" w:eastAsia="仿宋" w:cs="仿宋"/>
                <w:color w:val="auto"/>
                <w:szCs w:val="21"/>
                <w:highlight w:val="none"/>
              </w:rPr>
            </w:pPr>
          </w:p>
        </w:tc>
        <w:tc>
          <w:tcPr>
            <w:tcW w:w="1277" w:type="dxa"/>
            <w:noWrap w:val="0"/>
            <w:vAlign w:val="top"/>
          </w:tcPr>
          <w:p w14:paraId="649649EC">
            <w:pPr>
              <w:spacing w:line="440" w:lineRule="exact"/>
              <w:ind w:right="-42" w:rightChars="-20"/>
              <w:jc w:val="center"/>
              <w:rPr>
                <w:rFonts w:hint="eastAsia" w:ascii="仿宋" w:hAnsi="仿宋" w:eastAsia="仿宋" w:cs="仿宋"/>
                <w:color w:val="auto"/>
                <w:szCs w:val="21"/>
                <w:highlight w:val="none"/>
              </w:rPr>
            </w:pPr>
          </w:p>
        </w:tc>
      </w:tr>
    </w:tbl>
    <w:p w14:paraId="33B0405C">
      <w:pPr>
        <w:spacing w:line="360" w:lineRule="auto"/>
        <w:rPr>
          <w:rFonts w:hAnsi="宋体" w:cs="宋体"/>
          <w:bCs/>
          <w:sz w:val="22"/>
          <w:u w:val="none"/>
        </w:rPr>
      </w:pPr>
    </w:p>
    <w:p w14:paraId="3A94A2EA">
      <w:pPr>
        <w:spacing w:line="360" w:lineRule="auto"/>
        <w:rPr>
          <w:rFonts w:hAnsi="宋体" w:cs="宋体"/>
          <w:bCs/>
          <w:sz w:val="24"/>
          <w:szCs w:val="28"/>
          <w:u w:val="none"/>
        </w:rPr>
      </w:pPr>
      <w:r>
        <w:rPr>
          <w:rFonts w:hint="eastAsia" w:hAnsi="宋体" w:cs="宋体"/>
          <w:bCs/>
          <w:sz w:val="24"/>
          <w:szCs w:val="28"/>
          <w:u w:val="none"/>
        </w:rPr>
        <w:t>注：投标人须随此表附上</w:t>
      </w:r>
      <w:r>
        <w:rPr>
          <w:rFonts w:hint="eastAsia" w:ascii="宋体" w:hAnsi="宋体" w:cs="宋体"/>
          <w:sz w:val="24"/>
          <w:szCs w:val="24"/>
          <w:u w:val="none"/>
        </w:rPr>
        <w:t>项目人员的身份证、</w:t>
      </w:r>
      <w:r>
        <w:rPr>
          <w:rFonts w:hint="eastAsia" w:ascii="宋体" w:hAnsi="宋体" w:cs="宋体"/>
          <w:sz w:val="24"/>
          <w:szCs w:val="24"/>
          <w:u w:val="none"/>
          <w:lang w:val="en-US" w:eastAsia="zh-CN"/>
        </w:rPr>
        <w:t>职称证或注册证</w:t>
      </w:r>
      <w:r>
        <w:rPr>
          <w:rFonts w:hint="eastAsia" w:ascii="宋体" w:hAnsi="宋体" w:cs="宋体"/>
          <w:sz w:val="24"/>
          <w:szCs w:val="24"/>
          <w:u w:val="none"/>
        </w:rPr>
        <w:t>、</w:t>
      </w:r>
      <w:r>
        <w:rPr>
          <w:rFonts w:hint="eastAsia" w:ascii="宋体" w:hAnsi="宋体" w:eastAsia="宋体" w:cs="宋体"/>
          <w:b w:val="0"/>
          <w:bCs w:val="0"/>
          <w:color w:val="auto"/>
          <w:spacing w:val="-3"/>
          <w:sz w:val="24"/>
          <w:szCs w:val="24"/>
          <w:highlight w:val="none"/>
          <w:lang w:val="en-US" w:eastAsia="zh-CN"/>
        </w:rPr>
        <w:t>劳动合同或社保证明</w:t>
      </w:r>
      <w:r>
        <w:rPr>
          <w:rFonts w:hint="eastAsia" w:ascii="宋体" w:hAnsi="宋体" w:cs="宋体"/>
          <w:sz w:val="24"/>
          <w:szCs w:val="24"/>
          <w:u w:val="none"/>
        </w:rPr>
        <w:t>等</w:t>
      </w:r>
      <w:r>
        <w:rPr>
          <w:rFonts w:hint="eastAsia" w:hAnsi="宋体" w:cs="宋体"/>
          <w:bCs/>
          <w:sz w:val="24"/>
          <w:szCs w:val="28"/>
          <w:u w:val="none"/>
        </w:rPr>
        <w:t>。</w:t>
      </w:r>
    </w:p>
    <w:p w14:paraId="3789BD72">
      <w:pPr>
        <w:pStyle w:val="24"/>
        <w:spacing w:before="0" w:beforeAutospacing="0" w:afterLines="50" w:afterAutospacing="0" w:line="360" w:lineRule="auto"/>
        <w:jc w:val="both"/>
        <w:rPr>
          <w:b/>
          <w:u w:val="none"/>
        </w:rPr>
      </w:pPr>
    </w:p>
    <w:p w14:paraId="6AEDECCF">
      <w:pPr>
        <w:adjustRightInd w:val="0"/>
        <w:snapToGrid w:val="0"/>
        <w:spacing w:line="520" w:lineRule="exact"/>
        <w:rPr>
          <w:rFonts w:ascii="宋体" w:hAnsi="宋体" w:cs="宋体"/>
          <w:sz w:val="24"/>
          <w:szCs w:val="24"/>
          <w:u w:val="none"/>
        </w:rPr>
      </w:pPr>
      <w:r>
        <w:rPr>
          <w:rFonts w:hint="eastAsia" w:ascii="宋体" w:hAnsi="宋体" w:cs="宋体"/>
          <w:sz w:val="24"/>
          <w:szCs w:val="24"/>
          <w:u w:val="none"/>
        </w:rPr>
        <w:t>投标人名称（单位章）：</w:t>
      </w:r>
      <w:r>
        <w:rPr>
          <w:rFonts w:hint="eastAsia" w:ascii="宋体" w:hAnsi="宋体" w:cs="宋体"/>
          <w:sz w:val="24"/>
          <w:szCs w:val="24"/>
          <w:u w:val="single"/>
          <w:lang w:val="en-US" w:eastAsia="zh-CN"/>
        </w:rPr>
        <w:t xml:space="preserve">             </w:t>
      </w:r>
      <w:r>
        <w:rPr>
          <w:rFonts w:hint="eastAsia" w:ascii="宋体" w:hAnsi="宋体" w:cs="宋体"/>
          <w:sz w:val="24"/>
          <w:szCs w:val="24"/>
          <w:u w:val="none"/>
        </w:rPr>
        <w:t xml:space="preserve">                      </w:t>
      </w:r>
    </w:p>
    <w:p w14:paraId="35BC88B2">
      <w:pPr>
        <w:adjustRightInd w:val="0"/>
        <w:snapToGrid w:val="0"/>
        <w:spacing w:line="520" w:lineRule="exact"/>
        <w:rPr>
          <w:rFonts w:ascii="宋体" w:hAnsi="宋体" w:cs="宋体"/>
          <w:sz w:val="24"/>
          <w:szCs w:val="24"/>
          <w:u w:val="none"/>
        </w:rPr>
      </w:pPr>
      <w:r>
        <w:rPr>
          <w:rFonts w:hint="eastAsia" w:ascii="宋体" w:hAnsi="宋体" w:cs="宋体"/>
          <w:sz w:val="24"/>
          <w:szCs w:val="24"/>
          <w:u w:val="none"/>
          <w:lang w:eastAsia="zh-CN"/>
        </w:rPr>
        <w:t>法定代表人</w:t>
      </w:r>
      <w:r>
        <w:rPr>
          <w:rFonts w:hint="eastAsia" w:ascii="宋体" w:hAnsi="宋体" w:cs="宋体"/>
          <w:sz w:val="24"/>
          <w:szCs w:val="24"/>
          <w:u w:val="none"/>
        </w:rPr>
        <w:t>或其授权的代理人（签字</w:t>
      </w:r>
      <w:r>
        <w:rPr>
          <w:rFonts w:hint="eastAsia" w:ascii="宋体" w:hAnsi="宋体" w:cs="宋体"/>
          <w:sz w:val="24"/>
          <w:szCs w:val="24"/>
          <w:u w:val="none"/>
          <w:lang w:eastAsia="zh-CN"/>
        </w:rPr>
        <w:t>或盖章</w:t>
      </w:r>
      <w:r>
        <w:rPr>
          <w:rFonts w:hint="eastAsia" w:ascii="宋体" w:hAnsi="宋体" w:cs="宋体"/>
          <w:sz w:val="24"/>
          <w:szCs w:val="24"/>
          <w:u w:val="none"/>
        </w:rPr>
        <w:t>）：</w:t>
      </w:r>
      <w:r>
        <w:rPr>
          <w:rFonts w:hint="eastAsia" w:ascii="宋体" w:hAnsi="宋体" w:cs="宋体"/>
          <w:sz w:val="24"/>
          <w:szCs w:val="24"/>
          <w:u w:val="single"/>
          <w:lang w:val="en-US" w:eastAsia="zh-CN"/>
        </w:rPr>
        <w:t xml:space="preserve">             </w:t>
      </w:r>
      <w:r>
        <w:rPr>
          <w:rFonts w:hint="eastAsia" w:ascii="宋体" w:hAnsi="宋体" w:cs="宋体"/>
          <w:sz w:val="24"/>
          <w:szCs w:val="24"/>
          <w:u w:val="none"/>
        </w:rPr>
        <w:t xml:space="preserve">                 </w:t>
      </w:r>
    </w:p>
    <w:p w14:paraId="787B5A0D">
      <w:pPr>
        <w:adjustRightInd w:val="0"/>
        <w:snapToGrid w:val="0"/>
        <w:spacing w:line="520" w:lineRule="exact"/>
        <w:rPr>
          <w:rFonts w:ascii="宋体" w:hAnsi="宋体" w:cs="宋体"/>
          <w:sz w:val="24"/>
          <w:szCs w:val="24"/>
          <w:u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 w:val="24"/>
          <w:szCs w:val="24"/>
          <w:u w:val="none"/>
        </w:rPr>
        <w:t>日期：</w:t>
      </w:r>
      <w:r>
        <w:rPr>
          <w:color w:val="000000"/>
          <w:sz w:val="24"/>
          <w:u w:val="none"/>
        </w:rPr>
        <w:t>_____年______月______日</w:t>
      </w:r>
    </w:p>
    <w:bookmarkEnd w:id="133"/>
    <w:bookmarkEnd w:id="134"/>
    <w:bookmarkEnd w:id="135"/>
    <w:bookmarkEnd w:id="136"/>
    <w:p w14:paraId="078126C7">
      <w:pPr>
        <w:spacing w:line="360" w:lineRule="auto"/>
        <w:jc w:val="center"/>
        <w:outlineLvl w:val="0"/>
        <w:rPr>
          <w:rFonts w:ascii="仿宋" w:hAnsi="仿宋" w:eastAsia="仿宋" w:cs="仿宋"/>
          <w:b/>
          <w:bCs/>
          <w:sz w:val="28"/>
          <w:szCs w:val="28"/>
          <w:u w:val="none"/>
        </w:rPr>
      </w:pPr>
      <w:bookmarkStart w:id="137" w:name="_Toc8568"/>
      <w:bookmarkStart w:id="138" w:name="_Toc677"/>
      <w:bookmarkStart w:id="139" w:name="_Toc20128"/>
      <w:bookmarkStart w:id="140" w:name="_Toc10512"/>
      <w:bookmarkStart w:id="141" w:name="_Toc3937"/>
      <w:bookmarkStart w:id="142" w:name="_Toc15599"/>
      <w:bookmarkStart w:id="143" w:name="_Toc6286"/>
      <w:bookmarkStart w:id="144" w:name="_Toc29783"/>
      <w:bookmarkStart w:id="145" w:name="_Toc1780"/>
      <w:bookmarkStart w:id="146" w:name="_Toc24800"/>
      <w:bookmarkStart w:id="147" w:name="_Toc29347"/>
      <w:bookmarkStart w:id="148" w:name="_Toc20888"/>
      <w:bookmarkStart w:id="149" w:name="_Toc23906"/>
      <w:r>
        <w:rPr>
          <w:rFonts w:hint="eastAsia" w:ascii="宋体" w:hAnsi="宋体" w:cs="宋体"/>
          <w:b/>
          <w:kern w:val="0"/>
          <w:sz w:val="24"/>
          <w:szCs w:val="24"/>
          <w:u w:val="none"/>
        </w:rPr>
        <w:t>残疾人福利性单位声</w:t>
      </w:r>
      <w:r>
        <w:rPr>
          <w:rFonts w:hint="eastAsia" w:ascii="宋体" w:hAnsi="宋体" w:eastAsia="宋体" w:cs="宋体"/>
          <w:b/>
          <w:kern w:val="0"/>
          <w:sz w:val="24"/>
          <w:szCs w:val="24"/>
          <w:u w:val="none"/>
        </w:rPr>
        <w:t>明函</w:t>
      </w:r>
      <w:bookmarkEnd w:id="137"/>
      <w:bookmarkEnd w:id="138"/>
      <w:bookmarkEnd w:id="139"/>
      <w:bookmarkEnd w:id="140"/>
      <w:bookmarkEnd w:id="141"/>
      <w:bookmarkEnd w:id="142"/>
      <w:bookmarkEnd w:id="143"/>
      <w:r>
        <w:rPr>
          <w:rFonts w:hint="eastAsia" w:ascii="宋体" w:hAnsi="宋体" w:eastAsia="宋体" w:cs="宋体"/>
          <w:b/>
          <w:kern w:val="0"/>
          <w:sz w:val="24"/>
          <w:szCs w:val="24"/>
          <w:u w:val="none"/>
        </w:rPr>
        <w:t>（格式）</w:t>
      </w:r>
      <w:bookmarkEnd w:id="144"/>
      <w:bookmarkEnd w:id="145"/>
      <w:bookmarkEnd w:id="146"/>
      <w:bookmarkEnd w:id="147"/>
      <w:bookmarkEnd w:id="148"/>
      <w:bookmarkEnd w:id="149"/>
      <w:r>
        <w:rPr>
          <w:rFonts w:hint="eastAsia" w:ascii="宋体" w:hAnsi="宋体" w:eastAsia="宋体" w:cs="宋体"/>
          <w:b/>
          <w:kern w:val="0"/>
          <w:sz w:val="24"/>
          <w:szCs w:val="24"/>
          <w:u w:val="none"/>
        </w:rPr>
        <w:t>（如有）</w:t>
      </w:r>
    </w:p>
    <w:p w14:paraId="727962D7">
      <w:pPr>
        <w:jc w:val="center"/>
        <w:rPr>
          <w:spacing w:val="6"/>
          <w:sz w:val="24"/>
          <w:u w:val="none"/>
        </w:rPr>
      </w:pPr>
      <w:r>
        <w:t>（以下格式文件由供应商根据需要选用）</w:t>
      </w:r>
    </w:p>
    <w:p w14:paraId="0686E751">
      <w:pPr>
        <w:spacing w:line="588" w:lineRule="exact"/>
        <w:ind w:firstLine="504"/>
        <w:rPr>
          <w:spacing w:val="6"/>
          <w:sz w:val="24"/>
          <w:u w:val="none"/>
        </w:rPr>
      </w:pPr>
      <w:r>
        <w:rPr>
          <w:spacing w:val="6"/>
          <w:sz w:val="24"/>
          <w:u w:val="none"/>
        </w:rPr>
        <w:t>本单位郑重声明，根据《财政部 民政部 中国残疾人联合会关于促进残疾人就业政府采购政策的通知》（财库</w:t>
      </w:r>
      <w:r>
        <w:rPr>
          <w:sz w:val="24"/>
          <w:u w:val="none"/>
        </w:rPr>
        <w:t>〔2017〕 141</w:t>
      </w:r>
      <w:r>
        <w:rPr>
          <w:spacing w:val="6"/>
          <w:sz w:val="24"/>
          <w:u w:val="none"/>
        </w:rPr>
        <w:t>号）的规定，本单位</w:t>
      </w:r>
      <w:r>
        <w:rPr>
          <w:b/>
          <w:sz w:val="24"/>
          <w:u w:val="none"/>
        </w:rPr>
        <w:t>（请进行勾选）</w:t>
      </w:r>
      <w:r>
        <w:rPr>
          <w:spacing w:val="6"/>
          <w:sz w:val="24"/>
          <w:u w:val="none"/>
        </w:rPr>
        <w:t>：</w:t>
      </w:r>
    </w:p>
    <w:p w14:paraId="49F9FC66">
      <w:pPr>
        <w:spacing w:line="588" w:lineRule="exact"/>
        <w:ind w:firstLine="482"/>
        <w:rPr>
          <w:b/>
          <w:spacing w:val="6"/>
          <w:sz w:val="24"/>
          <w:u w:val="none"/>
        </w:rPr>
      </w:pPr>
      <w:r>
        <w:rPr>
          <w:b/>
          <w:sz w:val="24"/>
          <w:u w:val="none"/>
        </w:rPr>
        <w:t>□</w:t>
      </w:r>
      <w:r>
        <w:rPr>
          <w:b/>
          <w:spacing w:val="6"/>
          <w:sz w:val="24"/>
          <w:u w:val="none"/>
        </w:rPr>
        <w:t>不属于符合条件的残疾人福利性单位。</w:t>
      </w:r>
    </w:p>
    <w:p w14:paraId="07715BF5">
      <w:pPr>
        <w:spacing w:line="588" w:lineRule="exact"/>
        <w:ind w:firstLine="482"/>
        <w:rPr>
          <w:spacing w:val="6"/>
          <w:sz w:val="24"/>
          <w:u w:val="none"/>
        </w:rPr>
      </w:pPr>
      <w:r>
        <w:rPr>
          <w:b/>
          <w:sz w:val="24"/>
          <w:u w:val="none"/>
        </w:rPr>
        <w:t>□</w:t>
      </w:r>
      <w:r>
        <w:rPr>
          <w:b/>
          <w:spacing w:val="6"/>
          <w:sz w:val="24"/>
          <w:u w:val="none"/>
        </w:rPr>
        <w:t>属于符合条件的残疾人福利性单位，</w:t>
      </w:r>
      <w:r>
        <w:rPr>
          <w:spacing w:val="6"/>
          <w:sz w:val="24"/>
          <w:u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8481129">
      <w:pPr>
        <w:spacing w:line="588" w:lineRule="exact"/>
        <w:ind w:firstLine="506" w:firstLineChars="200"/>
        <w:rPr>
          <w:spacing w:val="6"/>
          <w:sz w:val="24"/>
          <w:u w:val="none"/>
        </w:rPr>
      </w:pPr>
      <w:r>
        <w:rPr>
          <w:b/>
          <w:spacing w:val="6"/>
          <w:sz w:val="24"/>
          <w:u w:val="none"/>
        </w:rPr>
        <w:t>本单位对上述声明的真实性负责。如有虚假，将依法承担相应责任。</w:t>
      </w:r>
    </w:p>
    <w:p w14:paraId="417582E5">
      <w:pPr>
        <w:spacing w:line="588" w:lineRule="exact"/>
        <w:ind w:firstLine="504" w:firstLineChars="200"/>
        <w:rPr>
          <w:spacing w:val="6"/>
          <w:sz w:val="24"/>
          <w:u w:val="none"/>
        </w:rPr>
      </w:pPr>
    </w:p>
    <w:p w14:paraId="2CA8EBA2">
      <w:pPr>
        <w:spacing w:line="588" w:lineRule="exact"/>
        <w:ind w:firstLine="504" w:firstLineChars="200"/>
        <w:rPr>
          <w:spacing w:val="6"/>
          <w:sz w:val="24"/>
          <w:u w:val="none"/>
        </w:rPr>
      </w:pPr>
    </w:p>
    <w:p w14:paraId="39F840EB">
      <w:pPr>
        <w:tabs>
          <w:tab w:val="left" w:pos="4860"/>
        </w:tabs>
        <w:spacing w:line="588" w:lineRule="exact"/>
        <w:ind w:right="1560" w:firstLine="504" w:firstLineChars="200"/>
        <w:jc w:val="center"/>
        <w:rPr>
          <w:spacing w:val="6"/>
          <w:sz w:val="24"/>
          <w:u w:val="none"/>
        </w:rPr>
      </w:pPr>
      <w:r>
        <w:rPr>
          <w:spacing w:val="6"/>
          <w:sz w:val="24"/>
          <w:u w:val="none"/>
        </w:rPr>
        <w:t xml:space="preserve">               单位名称（盖章）：</w:t>
      </w:r>
    </w:p>
    <w:p w14:paraId="40F82F46">
      <w:pPr>
        <w:tabs>
          <w:tab w:val="left" w:pos="4860"/>
        </w:tabs>
        <w:spacing w:line="588" w:lineRule="exact"/>
        <w:ind w:right="1560" w:firstLine="504" w:firstLineChars="200"/>
        <w:jc w:val="center"/>
        <w:rPr>
          <w:spacing w:val="6"/>
          <w:sz w:val="24"/>
          <w:u w:val="none"/>
        </w:rPr>
        <w:sectPr>
          <w:pgSz w:w="11906" w:h="16838"/>
          <w:pgMar w:top="1440" w:right="1800" w:bottom="1440" w:left="1800" w:header="851" w:footer="992" w:gutter="0"/>
          <w:pgNumType w:fmt="decimal"/>
          <w:cols w:space="720" w:num="1"/>
          <w:docGrid w:type="lines" w:linePitch="312" w:charSpace="0"/>
        </w:sectPr>
      </w:pPr>
      <w:r>
        <w:rPr>
          <w:spacing w:val="6"/>
          <w:sz w:val="24"/>
          <w:u w:val="none"/>
        </w:rPr>
        <w:t xml:space="preserve">       日  期：</w:t>
      </w:r>
    </w:p>
    <w:p w14:paraId="0F398BCE">
      <w:pPr>
        <w:pStyle w:val="24"/>
        <w:spacing w:before="0" w:beforeAutospacing="0" w:afterLines="50" w:afterAutospacing="0" w:line="360" w:lineRule="auto"/>
        <w:jc w:val="center"/>
        <w:outlineLvl w:val="0"/>
        <w:rPr>
          <w:b/>
          <w:u w:val="none"/>
        </w:rPr>
      </w:pPr>
      <w:bookmarkStart w:id="150" w:name="_Toc31940"/>
      <w:bookmarkStart w:id="151" w:name="_Toc20001"/>
      <w:bookmarkStart w:id="152" w:name="_Toc22646"/>
      <w:bookmarkStart w:id="153" w:name="_Toc4262"/>
      <w:bookmarkStart w:id="154" w:name="_Toc28999"/>
      <w:bookmarkStart w:id="155" w:name="_Toc10141"/>
      <w:bookmarkStart w:id="156" w:name="_Toc30706"/>
      <w:bookmarkStart w:id="157" w:name="_Toc16843"/>
      <w:bookmarkStart w:id="158" w:name="_Toc28797"/>
      <w:bookmarkStart w:id="159" w:name="_Toc5159"/>
      <w:bookmarkStart w:id="160" w:name="_Toc25024"/>
      <w:bookmarkStart w:id="161" w:name="_Toc18471"/>
      <w:r>
        <w:rPr>
          <w:rFonts w:hint="eastAsia"/>
          <w:b/>
          <w:u w:val="none"/>
        </w:rPr>
        <w:t>监狱企业证明资料（如有）</w:t>
      </w:r>
      <w:bookmarkEnd w:id="150"/>
      <w:bookmarkEnd w:id="151"/>
      <w:bookmarkEnd w:id="152"/>
      <w:bookmarkEnd w:id="153"/>
      <w:bookmarkEnd w:id="154"/>
      <w:bookmarkEnd w:id="155"/>
      <w:bookmarkEnd w:id="156"/>
      <w:bookmarkEnd w:id="157"/>
      <w:bookmarkEnd w:id="158"/>
      <w:bookmarkEnd w:id="159"/>
      <w:bookmarkEnd w:id="160"/>
      <w:bookmarkEnd w:id="161"/>
    </w:p>
    <w:p w14:paraId="1D3BB510">
      <w:pPr>
        <w:jc w:val="center"/>
        <w:rPr>
          <w:rFonts w:hint="eastAsia"/>
          <w:sz w:val="24"/>
          <w:u w:val="none"/>
        </w:rPr>
      </w:pPr>
      <w:r>
        <w:t>（以下格式文件由供应商根据需要选用）</w:t>
      </w:r>
    </w:p>
    <w:p w14:paraId="703C1767">
      <w:pPr>
        <w:widowControl/>
        <w:adjustRightInd w:val="0"/>
        <w:snapToGrid w:val="0"/>
        <w:spacing w:line="520" w:lineRule="exact"/>
        <w:ind w:firstLine="480" w:firstLineChars="200"/>
        <w:rPr>
          <w:sz w:val="24"/>
          <w:u w:val="none"/>
        </w:rPr>
      </w:pPr>
      <w:r>
        <w:rPr>
          <w:rFonts w:hint="eastAsia"/>
          <w:sz w:val="24"/>
          <w:u w:val="none"/>
        </w:rPr>
        <w:t>附：监狱管理局、戒毒管理局等主管部门出具的证明文件的复印件，复印件须逐页加盖公章。</w:t>
      </w:r>
    </w:p>
    <w:p w14:paraId="7A1137C5">
      <w:pPr>
        <w:pStyle w:val="18"/>
        <w:rPr>
          <w:u w:val="none"/>
        </w:rPr>
      </w:pPr>
    </w:p>
    <w:p w14:paraId="5AAA37C9">
      <w:pPr>
        <w:pStyle w:val="18"/>
        <w:rPr>
          <w:u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25F0A7E-DB17-48FE-9F56-4D5F540B906E}"/>
  </w:font>
  <w:font w:name="黑体">
    <w:panose1 w:val="02010609060101010101"/>
    <w:charset w:val="86"/>
    <w:family w:val="auto"/>
    <w:pitch w:val="default"/>
    <w:sig w:usb0="800002BF" w:usb1="38CF7CFA" w:usb2="00000016" w:usb3="00000000" w:csb0="00040001" w:csb1="00000000"/>
    <w:embedRegular r:id="rId2" w:fontKey="{31730FB4-61BD-4A37-A78D-19E1ED4E4B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D4FE6D5E-93D2-432B-8AF3-3A1CD2917038}"/>
  </w:font>
  <w:font w:name="Syntax">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A00002BF" w:usb1="78CF7CFB" w:usb2="00000016" w:usb3="00000000" w:csb0="6006009F" w:csb1="DFD70000"/>
    <w:embedRegular r:id="rId4" w:fontKey="{AF21B0AB-814D-44DE-924B-274579EC08A9}"/>
  </w:font>
  <w:font w:name="仿宋">
    <w:panose1 w:val="02010609060101010101"/>
    <w:charset w:val="86"/>
    <w:family w:val="modern"/>
    <w:pitch w:val="default"/>
    <w:sig w:usb0="800002BF" w:usb1="38CF7CFA" w:usb2="00000016" w:usb3="00000000" w:csb0="00040001" w:csb1="00000000"/>
    <w:embedRegular r:id="rId5" w:fontKey="{B42AF979-3DFF-4C2C-8AA1-EDD3A9BD6B3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57F5">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CEE0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ACEE04">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7BA4">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B5F0A">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7B5F0A">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F6B0">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14955">
                          <w:pPr>
                            <w:pStyle w:val="1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314955">
                    <w:pPr>
                      <w:pStyle w:val="1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765B">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B76DF">
                          <w:pPr>
                            <w:pStyle w:val="1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2B76DF">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6270">
    <w:pPr>
      <w:pStyle w:val="9"/>
      <w:tabs>
        <w:tab w:val="left" w:pos="5288"/>
        <w:tab w:val="right" w:pos="8851"/>
      </w:tabs>
    </w:pPr>
    <w:r>
      <w:rPr>
        <w:rFonts w:hint="eastAsia"/>
      </w:rPr>
      <w:t xml:space="preserve">           </w:t>
    </w:r>
  </w:p>
  <w:p w14:paraId="7E80E691">
    <w:pPr>
      <w:pStyle w:val="9"/>
      <w:tabs>
        <w:tab w:val="left" w:pos="5288"/>
        <w:tab w:val="right" w:pos="8851"/>
      </w:tabs>
    </w:pPr>
  </w:p>
  <w:p w14:paraId="60086197">
    <w:pPr>
      <w:pStyle w:val="9"/>
      <w:pBdr>
        <w:bottom w:val="single" w:color="auto" w:sz="4" w:space="1"/>
      </w:pBdr>
      <w:tabs>
        <w:tab w:val="left" w:pos="5288"/>
        <w:tab w:val="right" w:pos="8851"/>
      </w:tabs>
      <w:jc w:val="right"/>
      <w:rPr>
        <w:b/>
        <w:bCs/>
      </w:rPr>
    </w:pPr>
    <w:r>
      <w:rPr>
        <w:rFonts w:hint="eastAsia"/>
        <w:b/>
        <w:bCs/>
        <w:lang w:eastAsia="zh-CN"/>
      </w:rPr>
      <w:t>永济市开张镇全域土地综合整治（2025年）项目全过程工程咨询服务</w:t>
    </w:r>
    <w:r>
      <w:rPr>
        <w:rFonts w:hint="eastAsia"/>
        <w:b/>
        <w:bC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E0150">
    <w:pPr>
      <w:pStyle w:val="9"/>
      <w:tabs>
        <w:tab w:val="left" w:pos="5288"/>
        <w:tab w:val="right" w:pos="8851"/>
      </w:tabs>
    </w:pPr>
  </w:p>
  <w:p w14:paraId="4A201ECB">
    <w:pPr>
      <w:pStyle w:val="9"/>
      <w:tabs>
        <w:tab w:val="left" w:pos="5288"/>
        <w:tab w:val="right" w:pos="8851"/>
      </w:tabs>
    </w:pPr>
  </w:p>
  <w:p w14:paraId="5639C3BF">
    <w:pPr>
      <w:pStyle w:val="9"/>
      <w:pBdr>
        <w:bottom w:val="single" w:color="auto" w:sz="4" w:space="1"/>
      </w:pBdr>
      <w:tabs>
        <w:tab w:val="left" w:pos="5288"/>
        <w:tab w:val="right" w:pos="8851"/>
      </w:tabs>
      <w:jc w:val="right"/>
      <w:rPr>
        <w:b/>
        <w:bCs/>
      </w:rPr>
    </w:pPr>
    <w:r>
      <w:rPr>
        <w:rFonts w:hint="eastAsia"/>
        <w:b/>
        <w:bCs/>
        <w:lang w:eastAsia="zh-CN"/>
      </w:rPr>
      <w:t>永济市开张镇全域土地综合整治（2025年）项目全过程工程咨询服务</w:t>
    </w:r>
    <w:r>
      <w:rPr>
        <w:rFonts w:hint="eastAsia"/>
        <w:b/>
        <w:bCs/>
      </w:rPr>
      <w:t>招标文件</w:t>
    </w:r>
  </w:p>
  <w:p w14:paraId="03FFE600">
    <w:pPr>
      <w:pStyle w:val="9"/>
      <w:tabs>
        <w:tab w:val="left" w:pos="5288"/>
        <w:tab w:val="right" w:pos="8851"/>
      </w:tabs>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61B85">
    <w:pPr>
      <w:pStyle w:val="9"/>
      <w:pBdr>
        <w:bottom w:val="thinThickSmallGap" w:color="auto" w:sz="18" w:space="1"/>
      </w:pBdr>
      <w:tabs>
        <w:tab w:val="left" w:pos="5288"/>
        <w:tab w:val="right" w:pos="8851"/>
      </w:tabs>
    </w:pPr>
  </w:p>
  <w:p w14:paraId="37EB6E21">
    <w:pPr>
      <w:pStyle w:val="9"/>
      <w:pBdr>
        <w:bottom w:val="thinThickSmallGap" w:color="auto" w:sz="18" w:space="1"/>
      </w:pBdr>
      <w:tabs>
        <w:tab w:val="left" w:pos="5288"/>
        <w:tab w:val="right" w:pos="8851"/>
      </w:tabs>
    </w:pPr>
  </w:p>
  <w:p w14:paraId="2887E5B6">
    <w:pPr>
      <w:pStyle w:val="9"/>
      <w:pBdr>
        <w:bottom w:val="thinThickSmallGap" w:color="auto" w:sz="18" w:space="1"/>
      </w:pBdr>
      <w:tabs>
        <w:tab w:val="left" w:pos="5288"/>
        <w:tab w:val="right" w:pos="8851"/>
      </w:tabs>
      <w:jc w:val="right"/>
    </w:pPr>
    <w:r>
      <w:rPr>
        <w:rFonts w:hint="eastAsia"/>
      </w:rPr>
      <w:t xml:space="preserve">      </w:t>
    </w:r>
    <w:r>
      <w:rPr>
        <w:rFonts w:hint="eastAsia"/>
        <w:b/>
        <w:bCs/>
        <w:szCs w:val="22"/>
        <w:lang w:eastAsia="zh-CN"/>
      </w:rPr>
      <w:t>永济市开张镇全域土地综合整治（2025年）项目全过程工程咨询服务</w:t>
    </w:r>
    <w:r>
      <w:rPr>
        <w:rFonts w:hint="eastAsia"/>
        <w:b/>
        <w:bCs/>
        <w:szCs w:val="22"/>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NjE1ZWU1YzM4MGM2ZjIyNzJkMDVlOGE5N2Q0MDYifQ=="/>
  </w:docVars>
  <w:rsids>
    <w:rsidRoot w:val="00172A27"/>
    <w:rsid w:val="00046B4A"/>
    <w:rsid w:val="00072343"/>
    <w:rsid w:val="00085DA6"/>
    <w:rsid w:val="000E026A"/>
    <w:rsid w:val="0012317A"/>
    <w:rsid w:val="00172A27"/>
    <w:rsid w:val="002067B3"/>
    <w:rsid w:val="00237A4A"/>
    <w:rsid w:val="002C3A3E"/>
    <w:rsid w:val="003419EB"/>
    <w:rsid w:val="0035280F"/>
    <w:rsid w:val="00365077"/>
    <w:rsid w:val="00375485"/>
    <w:rsid w:val="0038571E"/>
    <w:rsid w:val="00451783"/>
    <w:rsid w:val="004A6E5F"/>
    <w:rsid w:val="004B7EC8"/>
    <w:rsid w:val="005D08BD"/>
    <w:rsid w:val="00634E46"/>
    <w:rsid w:val="00773916"/>
    <w:rsid w:val="007D7B59"/>
    <w:rsid w:val="008153FB"/>
    <w:rsid w:val="008B5614"/>
    <w:rsid w:val="00A27A28"/>
    <w:rsid w:val="00A81DAF"/>
    <w:rsid w:val="00AA0E71"/>
    <w:rsid w:val="00AC7804"/>
    <w:rsid w:val="00C50775"/>
    <w:rsid w:val="00D10375"/>
    <w:rsid w:val="00D424E5"/>
    <w:rsid w:val="00E86CB0"/>
    <w:rsid w:val="00EA53AB"/>
    <w:rsid w:val="00ED2013"/>
    <w:rsid w:val="00FC09F3"/>
    <w:rsid w:val="00FC11F9"/>
    <w:rsid w:val="00FC5520"/>
    <w:rsid w:val="00FD446E"/>
    <w:rsid w:val="010000F0"/>
    <w:rsid w:val="01041EB3"/>
    <w:rsid w:val="01E365AC"/>
    <w:rsid w:val="02025351"/>
    <w:rsid w:val="02225B04"/>
    <w:rsid w:val="022E1CC2"/>
    <w:rsid w:val="026D14C3"/>
    <w:rsid w:val="028720D8"/>
    <w:rsid w:val="034D2047"/>
    <w:rsid w:val="03AA77EA"/>
    <w:rsid w:val="048E3021"/>
    <w:rsid w:val="04937461"/>
    <w:rsid w:val="0495080F"/>
    <w:rsid w:val="04F425A3"/>
    <w:rsid w:val="052D070E"/>
    <w:rsid w:val="057909ED"/>
    <w:rsid w:val="05A95047"/>
    <w:rsid w:val="05E37A97"/>
    <w:rsid w:val="05F41565"/>
    <w:rsid w:val="063A78C0"/>
    <w:rsid w:val="064B3B99"/>
    <w:rsid w:val="064B720A"/>
    <w:rsid w:val="0662150D"/>
    <w:rsid w:val="06851564"/>
    <w:rsid w:val="068E6044"/>
    <w:rsid w:val="06B17029"/>
    <w:rsid w:val="06C066C4"/>
    <w:rsid w:val="06CF0BC8"/>
    <w:rsid w:val="06CF34F6"/>
    <w:rsid w:val="07091040"/>
    <w:rsid w:val="071C0D73"/>
    <w:rsid w:val="07FF7769"/>
    <w:rsid w:val="080A5AC9"/>
    <w:rsid w:val="082268C9"/>
    <w:rsid w:val="085D674B"/>
    <w:rsid w:val="08AF3D9B"/>
    <w:rsid w:val="08B60D54"/>
    <w:rsid w:val="08BF7D52"/>
    <w:rsid w:val="08C978FA"/>
    <w:rsid w:val="08D039DB"/>
    <w:rsid w:val="09063A89"/>
    <w:rsid w:val="090A102F"/>
    <w:rsid w:val="09415433"/>
    <w:rsid w:val="0A3C47F3"/>
    <w:rsid w:val="0AB166F8"/>
    <w:rsid w:val="0AFD3895"/>
    <w:rsid w:val="0B250744"/>
    <w:rsid w:val="0B303A80"/>
    <w:rsid w:val="0B516F15"/>
    <w:rsid w:val="0B546191"/>
    <w:rsid w:val="0B5D7BAD"/>
    <w:rsid w:val="0B6C4C2C"/>
    <w:rsid w:val="0B974E6D"/>
    <w:rsid w:val="0BA15F4F"/>
    <w:rsid w:val="0BA63302"/>
    <w:rsid w:val="0BDE51E1"/>
    <w:rsid w:val="0BEA6139"/>
    <w:rsid w:val="0BF26547"/>
    <w:rsid w:val="0BF364D4"/>
    <w:rsid w:val="0C0A5975"/>
    <w:rsid w:val="0C873133"/>
    <w:rsid w:val="0CBE616B"/>
    <w:rsid w:val="0CC11989"/>
    <w:rsid w:val="0CF81A51"/>
    <w:rsid w:val="0D136EB8"/>
    <w:rsid w:val="0D765F50"/>
    <w:rsid w:val="0DC94FC9"/>
    <w:rsid w:val="0DCB52A1"/>
    <w:rsid w:val="0E1C2A90"/>
    <w:rsid w:val="0E213AB4"/>
    <w:rsid w:val="0E501413"/>
    <w:rsid w:val="0ED61957"/>
    <w:rsid w:val="0EDE0031"/>
    <w:rsid w:val="0F014612"/>
    <w:rsid w:val="0F65640F"/>
    <w:rsid w:val="0FED3546"/>
    <w:rsid w:val="100D19DD"/>
    <w:rsid w:val="10464231"/>
    <w:rsid w:val="10796C78"/>
    <w:rsid w:val="10F96B48"/>
    <w:rsid w:val="1115710A"/>
    <w:rsid w:val="11261849"/>
    <w:rsid w:val="119C322D"/>
    <w:rsid w:val="11B70D7E"/>
    <w:rsid w:val="11C01F3A"/>
    <w:rsid w:val="11E2654A"/>
    <w:rsid w:val="12170AB5"/>
    <w:rsid w:val="125068A7"/>
    <w:rsid w:val="12600B5F"/>
    <w:rsid w:val="12940EDC"/>
    <w:rsid w:val="13235B92"/>
    <w:rsid w:val="13877EBC"/>
    <w:rsid w:val="138C54D3"/>
    <w:rsid w:val="138D1D96"/>
    <w:rsid w:val="13D53DCE"/>
    <w:rsid w:val="13E840F4"/>
    <w:rsid w:val="142B4CEC"/>
    <w:rsid w:val="144B4530"/>
    <w:rsid w:val="14D01EA0"/>
    <w:rsid w:val="14E93FFC"/>
    <w:rsid w:val="15123734"/>
    <w:rsid w:val="151C3C4C"/>
    <w:rsid w:val="15711B8C"/>
    <w:rsid w:val="1573694A"/>
    <w:rsid w:val="159806CC"/>
    <w:rsid w:val="15D121BE"/>
    <w:rsid w:val="15E86ADB"/>
    <w:rsid w:val="161812A0"/>
    <w:rsid w:val="163277FA"/>
    <w:rsid w:val="16561054"/>
    <w:rsid w:val="168354EA"/>
    <w:rsid w:val="16BF171B"/>
    <w:rsid w:val="1729245F"/>
    <w:rsid w:val="173051DB"/>
    <w:rsid w:val="173F7DC7"/>
    <w:rsid w:val="177D46F5"/>
    <w:rsid w:val="177F7B74"/>
    <w:rsid w:val="1787048B"/>
    <w:rsid w:val="17DC10A8"/>
    <w:rsid w:val="18886C29"/>
    <w:rsid w:val="18897B89"/>
    <w:rsid w:val="18980D0B"/>
    <w:rsid w:val="18BF1D95"/>
    <w:rsid w:val="18C272A1"/>
    <w:rsid w:val="18EA643D"/>
    <w:rsid w:val="196D0AA8"/>
    <w:rsid w:val="198635CB"/>
    <w:rsid w:val="198C69E3"/>
    <w:rsid w:val="19A206A8"/>
    <w:rsid w:val="19F1318C"/>
    <w:rsid w:val="1A091381"/>
    <w:rsid w:val="1A09162B"/>
    <w:rsid w:val="1A117AF4"/>
    <w:rsid w:val="1A226C60"/>
    <w:rsid w:val="1A4D7E37"/>
    <w:rsid w:val="1A6B0FD3"/>
    <w:rsid w:val="1AC217DA"/>
    <w:rsid w:val="1AEE061A"/>
    <w:rsid w:val="1AF16A17"/>
    <w:rsid w:val="1AF8344E"/>
    <w:rsid w:val="1B2B0077"/>
    <w:rsid w:val="1B4F12C0"/>
    <w:rsid w:val="1B6B3044"/>
    <w:rsid w:val="1BEF5905"/>
    <w:rsid w:val="1C065140"/>
    <w:rsid w:val="1C0F12E8"/>
    <w:rsid w:val="1C4F5927"/>
    <w:rsid w:val="1C5F19D6"/>
    <w:rsid w:val="1C821221"/>
    <w:rsid w:val="1CA27B15"/>
    <w:rsid w:val="1CA5580E"/>
    <w:rsid w:val="1CB23ED1"/>
    <w:rsid w:val="1D94745E"/>
    <w:rsid w:val="1E3D5D47"/>
    <w:rsid w:val="1E4F41FF"/>
    <w:rsid w:val="1E880475"/>
    <w:rsid w:val="1ED65854"/>
    <w:rsid w:val="1EDE50F7"/>
    <w:rsid w:val="1F0D5335"/>
    <w:rsid w:val="1F396426"/>
    <w:rsid w:val="1FD42F6D"/>
    <w:rsid w:val="1FDD75A2"/>
    <w:rsid w:val="1FFC12EA"/>
    <w:rsid w:val="200F0BE9"/>
    <w:rsid w:val="208A0608"/>
    <w:rsid w:val="20AE6A88"/>
    <w:rsid w:val="20B425AE"/>
    <w:rsid w:val="20C225AD"/>
    <w:rsid w:val="20C938C2"/>
    <w:rsid w:val="210A7A37"/>
    <w:rsid w:val="214D2251"/>
    <w:rsid w:val="216D6944"/>
    <w:rsid w:val="220A0386"/>
    <w:rsid w:val="220D4330"/>
    <w:rsid w:val="223C1E72"/>
    <w:rsid w:val="22441860"/>
    <w:rsid w:val="227459D6"/>
    <w:rsid w:val="22851510"/>
    <w:rsid w:val="22A85759"/>
    <w:rsid w:val="22AF1F84"/>
    <w:rsid w:val="22C801BE"/>
    <w:rsid w:val="22D05511"/>
    <w:rsid w:val="230F6222"/>
    <w:rsid w:val="231E26CF"/>
    <w:rsid w:val="23653B95"/>
    <w:rsid w:val="237965A9"/>
    <w:rsid w:val="241B6FB0"/>
    <w:rsid w:val="248666E8"/>
    <w:rsid w:val="24C57ABB"/>
    <w:rsid w:val="24DC07AE"/>
    <w:rsid w:val="24F904EE"/>
    <w:rsid w:val="253A4D8F"/>
    <w:rsid w:val="253E2F51"/>
    <w:rsid w:val="254501B0"/>
    <w:rsid w:val="259A0C4E"/>
    <w:rsid w:val="259D6854"/>
    <w:rsid w:val="25AC2170"/>
    <w:rsid w:val="25C26B32"/>
    <w:rsid w:val="260704EC"/>
    <w:rsid w:val="264903EE"/>
    <w:rsid w:val="264F2B47"/>
    <w:rsid w:val="265C0465"/>
    <w:rsid w:val="26661BB8"/>
    <w:rsid w:val="268F6ACE"/>
    <w:rsid w:val="26A92CDA"/>
    <w:rsid w:val="26AA7CF2"/>
    <w:rsid w:val="26E55EAD"/>
    <w:rsid w:val="26F947D6"/>
    <w:rsid w:val="26FB4305"/>
    <w:rsid w:val="27054086"/>
    <w:rsid w:val="27221F7E"/>
    <w:rsid w:val="27900662"/>
    <w:rsid w:val="27BD5AEA"/>
    <w:rsid w:val="27D84FB5"/>
    <w:rsid w:val="281B52C3"/>
    <w:rsid w:val="282D39A1"/>
    <w:rsid w:val="28481571"/>
    <w:rsid w:val="28A62419"/>
    <w:rsid w:val="28C63A06"/>
    <w:rsid w:val="28E22AC9"/>
    <w:rsid w:val="28E93303"/>
    <w:rsid w:val="295C6BE1"/>
    <w:rsid w:val="29A30A29"/>
    <w:rsid w:val="29B913E8"/>
    <w:rsid w:val="29BE5D84"/>
    <w:rsid w:val="29D02137"/>
    <w:rsid w:val="29F91FF5"/>
    <w:rsid w:val="2A302AC8"/>
    <w:rsid w:val="2A89612C"/>
    <w:rsid w:val="2AA80CEA"/>
    <w:rsid w:val="2AB12879"/>
    <w:rsid w:val="2B276605"/>
    <w:rsid w:val="2B4D79C7"/>
    <w:rsid w:val="2B5B780D"/>
    <w:rsid w:val="2B9845BD"/>
    <w:rsid w:val="2BE315B0"/>
    <w:rsid w:val="2C473CE8"/>
    <w:rsid w:val="2C7F0C86"/>
    <w:rsid w:val="2C803855"/>
    <w:rsid w:val="2DB65C00"/>
    <w:rsid w:val="2DDE4E72"/>
    <w:rsid w:val="2DE2063A"/>
    <w:rsid w:val="2E3902F1"/>
    <w:rsid w:val="2E3F5F0B"/>
    <w:rsid w:val="2E474078"/>
    <w:rsid w:val="2EA50099"/>
    <w:rsid w:val="2EC4391B"/>
    <w:rsid w:val="2ED13B4E"/>
    <w:rsid w:val="2F1A5892"/>
    <w:rsid w:val="2F3A3BDD"/>
    <w:rsid w:val="2FFA1854"/>
    <w:rsid w:val="300F0BC6"/>
    <w:rsid w:val="30134B88"/>
    <w:rsid w:val="30EE2BB9"/>
    <w:rsid w:val="31002D1B"/>
    <w:rsid w:val="314D0758"/>
    <w:rsid w:val="31541070"/>
    <w:rsid w:val="31C94210"/>
    <w:rsid w:val="31CF2D03"/>
    <w:rsid w:val="32456B21"/>
    <w:rsid w:val="325D3890"/>
    <w:rsid w:val="32B909AB"/>
    <w:rsid w:val="330662B0"/>
    <w:rsid w:val="332679CD"/>
    <w:rsid w:val="332E4EEB"/>
    <w:rsid w:val="334150B6"/>
    <w:rsid w:val="33CB6BE2"/>
    <w:rsid w:val="33E5680D"/>
    <w:rsid w:val="33ED56C2"/>
    <w:rsid w:val="347C7C24"/>
    <w:rsid w:val="34874955"/>
    <w:rsid w:val="34BC0C1C"/>
    <w:rsid w:val="34D55E2B"/>
    <w:rsid w:val="34DC3FD0"/>
    <w:rsid w:val="35020CF9"/>
    <w:rsid w:val="351C2841"/>
    <w:rsid w:val="357112E3"/>
    <w:rsid w:val="35AD6EB7"/>
    <w:rsid w:val="35CA6727"/>
    <w:rsid w:val="35CC7FA1"/>
    <w:rsid w:val="35CF1523"/>
    <w:rsid w:val="35E740DD"/>
    <w:rsid w:val="35F336C1"/>
    <w:rsid w:val="35F5085E"/>
    <w:rsid w:val="35FB6968"/>
    <w:rsid w:val="361F05F0"/>
    <w:rsid w:val="363E3FB3"/>
    <w:rsid w:val="369A639C"/>
    <w:rsid w:val="36B06AD5"/>
    <w:rsid w:val="36B44275"/>
    <w:rsid w:val="36C26A38"/>
    <w:rsid w:val="36D64BFB"/>
    <w:rsid w:val="372C3815"/>
    <w:rsid w:val="37B24C58"/>
    <w:rsid w:val="37F306BF"/>
    <w:rsid w:val="383E18D9"/>
    <w:rsid w:val="384F4255"/>
    <w:rsid w:val="388476C8"/>
    <w:rsid w:val="38992EA5"/>
    <w:rsid w:val="38A6388C"/>
    <w:rsid w:val="39057063"/>
    <w:rsid w:val="396A2074"/>
    <w:rsid w:val="3A6D130B"/>
    <w:rsid w:val="3A993EAE"/>
    <w:rsid w:val="3A9B5E78"/>
    <w:rsid w:val="3AB4500F"/>
    <w:rsid w:val="3B142424"/>
    <w:rsid w:val="3B19344E"/>
    <w:rsid w:val="3B4F234D"/>
    <w:rsid w:val="3B646A91"/>
    <w:rsid w:val="3BA747B7"/>
    <w:rsid w:val="3BD8099C"/>
    <w:rsid w:val="3C3330A1"/>
    <w:rsid w:val="3C7C038E"/>
    <w:rsid w:val="3CE07B72"/>
    <w:rsid w:val="3D2D2D85"/>
    <w:rsid w:val="3D3A1978"/>
    <w:rsid w:val="3D8120F9"/>
    <w:rsid w:val="3D8D37CB"/>
    <w:rsid w:val="3D8D74B5"/>
    <w:rsid w:val="3D944B92"/>
    <w:rsid w:val="3DD35929"/>
    <w:rsid w:val="3E047890"/>
    <w:rsid w:val="3E94799B"/>
    <w:rsid w:val="3EA13331"/>
    <w:rsid w:val="3F087199"/>
    <w:rsid w:val="3F0C1588"/>
    <w:rsid w:val="3F234050"/>
    <w:rsid w:val="3F2E53FE"/>
    <w:rsid w:val="3F424B14"/>
    <w:rsid w:val="3F4C1F0C"/>
    <w:rsid w:val="3F6F2C5E"/>
    <w:rsid w:val="3F763150"/>
    <w:rsid w:val="3F8968E6"/>
    <w:rsid w:val="3FC1012F"/>
    <w:rsid w:val="3FF24FC8"/>
    <w:rsid w:val="40173786"/>
    <w:rsid w:val="402C5D03"/>
    <w:rsid w:val="40321691"/>
    <w:rsid w:val="40724903"/>
    <w:rsid w:val="408E1D26"/>
    <w:rsid w:val="40970D52"/>
    <w:rsid w:val="409B2FD1"/>
    <w:rsid w:val="40D45C40"/>
    <w:rsid w:val="40ED0AAF"/>
    <w:rsid w:val="40FD3F69"/>
    <w:rsid w:val="41902D31"/>
    <w:rsid w:val="4197238E"/>
    <w:rsid w:val="41B71D31"/>
    <w:rsid w:val="41D14183"/>
    <w:rsid w:val="41E4701E"/>
    <w:rsid w:val="41EC6E66"/>
    <w:rsid w:val="42042555"/>
    <w:rsid w:val="4204358C"/>
    <w:rsid w:val="421735A6"/>
    <w:rsid w:val="42611755"/>
    <w:rsid w:val="427C37E7"/>
    <w:rsid w:val="42802F9E"/>
    <w:rsid w:val="42A1578A"/>
    <w:rsid w:val="42B93433"/>
    <w:rsid w:val="42C341BE"/>
    <w:rsid w:val="42D444E7"/>
    <w:rsid w:val="42DC0DDB"/>
    <w:rsid w:val="42ED0682"/>
    <w:rsid w:val="42FF07F5"/>
    <w:rsid w:val="433429C6"/>
    <w:rsid w:val="435401C6"/>
    <w:rsid w:val="4366122A"/>
    <w:rsid w:val="4377559D"/>
    <w:rsid w:val="439B47F3"/>
    <w:rsid w:val="43A12248"/>
    <w:rsid w:val="43A32DA6"/>
    <w:rsid w:val="44205D69"/>
    <w:rsid w:val="44245DDA"/>
    <w:rsid w:val="442603C5"/>
    <w:rsid w:val="445C1D43"/>
    <w:rsid w:val="44861E89"/>
    <w:rsid w:val="44995DFA"/>
    <w:rsid w:val="44BA3BFD"/>
    <w:rsid w:val="44BD4C3D"/>
    <w:rsid w:val="44E67BAB"/>
    <w:rsid w:val="45007409"/>
    <w:rsid w:val="45BF4E61"/>
    <w:rsid w:val="45C142B9"/>
    <w:rsid w:val="462907DC"/>
    <w:rsid w:val="463754AB"/>
    <w:rsid w:val="46414B1C"/>
    <w:rsid w:val="46556A73"/>
    <w:rsid w:val="466903C2"/>
    <w:rsid w:val="46E14F0B"/>
    <w:rsid w:val="46FA7123"/>
    <w:rsid w:val="4743414F"/>
    <w:rsid w:val="4765788B"/>
    <w:rsid w:val="478B4B7E"/>
    <w:rsid w:val="479C322F"/>
    <w:rsid w:val="48006E60"/>
    <w:rsid w:val="486508D7"/>
    <w:rsid w:val="490966A2"/>
    <w:rsid w:val="492C0B9C"/>
    <w:rsid w:val="494F04B3"/>
    <w:rsid w:val="49663AF5"/>
    <w:rsid w:val="49A0393A"/>
    <w:rsid w:val="49EF65E5"/>
    <w:rsid w:val="49EF7700"/>
    <w:rsid w:val="4A54627C"/>
    <w:rsid w:val="4A637A38"/>
    <w:rsid w:val="4A9400A1"/>
    <w:rsid w:val="4AB34963"/>
    <w:rsid w:val="4ABE5443"/>
    <w:rsid w:val="4ADF4FCC"/>
    <w:rsid w:val="4AEE3DA2"/>
    <w:rsid w:val="4AFD5D93"/>
    <w:rsid w:val="4B08477A"/>
    <w:rsid w:val="4B72008A"/>
    <w:rsid w:val="4BAB7158"/>
    <w:rsid w:val="4BCA43E3"/>
    <w:rsid w:val="4C2537F3"/>
    <w:rsid w:val="4C5916EF"/>
    <w:rsid w:val="4CB00688"/>
    <w:rsid w:val="4CD676AF"/>
    <w:rsid w:val="4D043409"/>
    <w:rsid w:val="4D234DBE"/>
    <w:rsid w:val="4D2407F9"/>
    <w:rsid w:val="4D27725C"/>
    <w:rsid w:val="4D2B4E39"/>
    <w:rsid w:val="4D7A7B6F"/>
    <w:rsid w:val="4DD2072E"/>
    <w:rsid w:val="4DF36795"/>
    <w:rsid w:val="4E3C77CB"/>
    <w:rsid w:val="4E946A0E"/>
    <w:rsid w:val="4EC245E1"/>
    <w:rsid w:val="4ECA2430"/>
    <w:rsid w:val="4F397E33"/>
    <w:rsid w:val="4F4C1097"/>
    <w:rsid w:val="4F7B48BD"/>
    <w:rsid w:val="4F802DF9"/>
    <w:rsid w:val="4FAB4FFA"/>
    <w:rsid w:val="505A4100"/>
    <w:rsid w:val="505B60BD"/>
    <w:rsid w:val="50756481"/>
    <w:rsid w:val="508A631B"/>
    <w:rsid w:val="50F94698"/>
    <w:rsid w:val="513101A2"/>
    <w:rsid w:val="51DD247A"/>
    <w:rsid w:val="528179F3"/>
    <w:rsid w:val="52D27B05"/>
    <w:rsid w:val="53316F22"/>
    <w:rsid w:val="535D3B3B"/>
    <w:rsid w:val="53CF54F2"/>
    <w:rsid w:val="540A3DFD"/>
    <w:rsid w:val="541B1AAA"/>
    <w:rsid w:val="54880DC3"/>
    <w:rsid w:val="548E3B93"/>
    <w:rsid w:val="549C661D"/>
    <w:rsid w:val="54DA0EF3"/>
    <w:rsid w:val="54DF7C8D"/>
    <w:rsid w:val="54FA3343"/>
    <w:rsid w:val="54FA3D06"/>
    <w:rsid w:val="553E15C1"/>
    <w:rsid w:val="5595271F"/>
    <w:rsid w:val="559E63C4"/>
    <w:rsid w:val="55F216B9"/>
    <w:rsid w:val="55F22889"/>
    <w:rsid w:val="561B3D64"/>
    <w:rsid w:val="562632D9"/>
    <w:rsid w:val="562C577E"/>
    <w:rsid w:val="565D34E3"/>
    <w:rsid w:val="567005FD"/>
    <w:rsid w:val="573878F3"/>
    <w:rsid w:val="57F82F61"/>
    <w:rsid w:val="583151B6"/>
    <w:rsid w:val="583514CF"/>
    <w:rsid w:val="591E22E6"/>
    <w:rsid w:val="5923730C"/>
    <w:rsid w:val="59303465"/>
    <w:rsid w:val="594B23BF"/>
    <w:rsid w:val="59675DF5"/>
    <w:rsid w:val="597B2605"/>
    <w:rsid w:val="59C05157"/>
    <w:rsid w:val="59E732CF"/>
    <w:rsid w:val="5A015539"/>
    <w:rsid w:val="5A1C513B"/>
    <w:rsid w:val="5A3D43FE"/>
    <w:rsid w:val="5A472465"/>
    <w:rsid w:val="5A542D72"/>
    <w:rsid w:val="5A5534F6"/>
    <w:rsid w:val="5A592960"/>
    <w:rsid w:val="5A5A3585"/>
    <w:rsid w:val="5A5F25C6"/>
    <w:rsid w:val="5A6D2483"/>
    <w:rsid w:val="5A7B6CD4"/>
    <w:rsid w:val="5B0B44FC"/>
    <w:rsid w:val="5B131F4B"/>
    <w:rsid w:val="5B3A1E4E"/>
    <w:rsid w:val="5B527A35"/>
    <w:rsid w:val="5BCA3AD7"/>
    <w:rsid w:val="5BD0244E"/>
    <w:rsid w:val="5BD0539A"/>
    <w:rsid w:val="5C2A7642"/>
    <w:rsid w:val="5CBC5AAE"/>
    <w:rsid w:val="5CD32DF8"/>
    <w:rsid w:val="5CD66444"/>
    <w:rsid w:val="5CF34CB4"/>
    <w:rsid w:val="5D481D15"/>
    <w:rsid w:val="5E475DF4"/>
    <w:rsid w:val="5ED12526"/>
    <w:rsid w:val="5EF1141E"/>
    <w:rsid w:val="5F196608"/>
    <w:rsid w:val="5F77565A"/>
    <w:rsid w:val="5F9C2135"/>
    <w:rsid w:val="5FB6566C"/>
    <w:rsid w:val="5FE36D97"/>
    <w:rsid w:val="5FF569D3"/>
    <w:rsid w:val="5FF92B75"/>
    <w:rsid w:val="60525E33"/>
    <w:rsid w:val="608E682C"/>
    <w:rsid w:val="60DE7A3C"/>
    <w:rsid w:val="60E465F8"/>
    <w:rsid w:val="60E724C9"/>
    <w:rsid w:val="616A3814"/>
    <w:rsid w:val="61826B9A"/>
    <w:rsid w:val="61833B5F"/>
    <w:rsid w:val="618340BC"/>
    <w:rsid w:val="621C2B4B"/>
    <w:rsid w:val="626058D7"/>
    <w:rsid w:val="62A72D5C"/>
    <w:rsid w:val="62BC5A9D"/>
    <w:rsid w:val="62E01DCA"/>
    <w:rsid w:val="62FC0911"/>
    <w:rsid w:val="631C6E3B"/>
    <w:rsid w:val="6354209C"/>
    <w:rsid w:val="636B16AB"/>
    <w:rsid w:val="63DD191D"/>
    <w:rsid w:val="642F0B29"/>
    <w:rsid w:val="646553DD"/>
    <w:rsid w:val="649D377B"/>
    <w:rsid w:val="64BB4135"/>
    <w:rsid w:val="64EE4C72"/>
    <w:rsid w:val="65332685"/>
    <w:rsid w:val="653A5EDE"/>
    <w:rsid w:val="6541032D"/>
    <w:rsid w:val="65BF660F"/>
    <w:rsid w:val="65FF6D7F"/>
    <w:rsid w:val="66455C0A"/>
    <w:rsid w:val="66807B4C"/>
    <w:rsid w:val="66882EA5"/>
    <w:rsid w:val="66D04698"/>
    <w:rsid w:val="66DE0CC9"/>
    <w:rsid w:val="672955C7"/>
    <w:rsid w:val="67F0485E"/>
    <w:rsid w:val="67F4064E"/>
    <w:rsid w:val="67F748C8"/>
    <w:rsid w:val="680A747A"/>
    <w:rsid w:val="68476448"/>
    <w:rsid w:val="68614A2F"/>
    <w:rsid w:val="68953657"/>
    <w:rsid w:val="68CA77A4"/>
    <w:rsid w:val="69007837"/>
    <w:rsid w:val="690347FE"/>
    <w:rsid w:val="691D7AC3"/>
    <w:rsid w:val="6A174D2B"/>
    <w:rsid w:val="6A356EA0"/>
    <w:rsid w:val="6A6B466F"/>
    <w:rsid w:val="6A755A6A"/>
    <w:rsid w:val="6A854DA3"/>
    <w:rsid w:val="6ABA73A5"/>
    <w:rsid w:val="6ABE6FFA"/>
    <w:rsid w:val="6AC00E5F"/>
    <w:rsid w:val="6AD3138B"/>
    <w:rsid w:val="6ADD1DE6"/>
    <w:rsid w:val="6B4232F1"/>
    <w:rsid w:val="6B704EA3"/>
    <w:rsid w:val="6C223454"/>
    <w:rsid w:val="6C263FA5"/>
    <w:rsid w:val="6C3B14AF"/>
    <w:rsid w:val="6C4369B9"/>
    <w:rsid w:val="6C802402"/>
    <w:rsid w:val="6C8E34E1"/>
    <w:rsid w:val="6CB273B4"/>
    <w:rsid w:val="6CFB03E2"/>
    <w:rsid w:val="6D0025F0"/>
    <w:rsid w:val="6D667370"/>
    <w:rsid w:val="6D7777CF"/>
    <w:rsid w:val="6DB64AD4"/>
    <w:rsid w:val="6DBE53FE"/>
    <w:rsid w:val="6E041A01"/>
    <w:rsid w:val="6E0E3C8F"/>
    <w:rsid w:val="6E1D0376"/>
    <w:rsid w:val="6E215B33"/>
    <w:rsid w:val="6E350267"/>
    <w:rsid w:val="6E382A58"/>
    <w:rsid w:val="6E3D332B"/>
    <w:rsid w:val="6E9F6E1B"/>
    <w:rsid w:val="6EAE0FCF"/>
    <w:rsid w:val="6EEB62D7"/>
    <w:rsid w:val="6F40694F"/>
    <w:rsid w:val="6FEA24DA"/>
    <w:rsid w:val="6FF153BB"/>
    <w:rsid w:val="7054413D"/>
    <w:rsid w:val="709D754D"/>
    <w:rsid w:val="70BF7EE1"/>
    <w:rsid w:val="70E04649"/>
    <w:rsid w:val="70F73101"/>
    <w:rsid w:val="7160564C"/>
    <w:rsid w:val="71B946B6"/>
    <w:rsid w:val="722D66AE"/>
    <w:rsid w:val="72393ABD"/>
    <w:rsid w:val="72646574"/>
    <w:rsid w:val="72B172DF"/>
    <w:rsid w:val="72B4710D"/>
    <w:rsid w:val="72E27499"/>
    <w:rsid w:val="731A30D6"/>
    <w:rsid w:val="732B52E4"/>
    <w:rsid w:val="7372081D"/>
    <w:rsid w:val="73B02EB9"/>
    <w:rsid w:val="743B069C"/>
    <w:rsid w:val="74500194"/>
    <w:rsid w:val="745A3E98"/>
    <w:rsid w:val="74967A55"/>
    <w:rsid w:val="756F6AAC"/>
    <w:rsid w:val="75792148"/>
    <w:rsid w:val="759D25C1"/>
    <w:rsid w:val="75B8219A"/>
    <w:rsid w:val="75E77005"/>
    <w:rsid w:val="75F34C7D"/>
    <w:rsid w:val="76326D26"/>
    <w:rsid w:val="768718FC"/>
    <w:rsid w:val="7691426F"/>
    <w:rsid w:val="76A74C81"/>
    <w:rsid w:val="76B13D52"/>
    <w:rsid w:val="7718792D"/>
    <w:rsid w:val="774B2359"/>
    <w:rsid w:val="775E15B5"/>
    <w:rsid w:val="77A36CBF"/>
    <w:rsid w:val="77D30643"/>
    <w:rsid w:val="78006AFC"/>
    <w:rsid w:val="780F5216"/>
    <w:rsid w:val="783D3237"/>
    <w:rsid w:val="78497340"/>
    <w:rsid w:val="786B4392"/>
    <w:rsid w:val="788F7CA4"/>
    <w:rsid w:val="78922B2F"/>
    <w:rsid w:val="78E1041B"/>
    <w:rsid w:val="7919290A"/>
    <w:rsid w:val="791C734C"/>
    <w:rsid w:val="794B223C"/>
    <w:rsid w:val="797543CE"/>
    <w:rsid w:val="79B129DC"/>
    <w:rsid w:val="79C8177B"/>
    <w:rsid w:val="7A590988"/>
    <w:rsid w:val="7A5A1FE6"/>
    <w:rsid w:val="7AC35E02"/>
    <w:rsid w:val="7ACA412B"/>
    <w:rsid w:val="7AF62E5F"/>
    <w:rsid w:val="7B456914"/>
    <w:rsid w:val="7B5573A2"/>
    <w:rsid w:val="7B836C78"/>
    <w:rsid w:val="7BA95DA2"/>
    <w:rsid w:val="7BD028B3"/>
    <w:rsid w:val="7BEB4F06"/>
    <w:rsid w:val="7C2D2C02"/>
    <w:rsid w:val="7C451230"/>
    <w:rsid w:val="7C581EB1"/>
    <w:rsid w:val="7CB564A2"/>
    <w:rsid w:val="7CBA4E59"/>
    <w:rsid w:val="7CD20FF8"/>
    <w:rsid w:val="7D6943B3"/>
    <w:rsid w:val="7D7C0B0D"/>
    <w:rsid w:val="7D8F5280"/>
    <w:rsid w:val="7DB07DDA"/>
    <w:rsid w:val="7E8E4568"/>
    <w:rsid w:val="7ED96B27"/>
    <w:rsid w:val="7F031047"/>
    <w:rsid w:val="7F1938EE"/>
    <w:rsid w:val="7F411168"/>
    <w:rsid w:val="7F955D94"/>
    <w:rsid w:val="7FF2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8"/>
    <w:qFormat/>
    <w:uiPriority w:val="0"/>
    <w:pPr>
      <w:keepNext/>
      <w:keepLines/>
      <w:spacing w:before="100" w:after="90"/>
      <w:jc w:val="center"/>
      <w:outlineLvl w:val="0"/>
    </w:pPr>
    <w:rPr>
      <w:rFonts w:ascii="Times New Roman" w:hAnsi="Times New Roman"/>
      <w:b/>
      <w:bCs/>
      <w:kern w:val="44"/>
      <w:sz w:val="32"/>
      <w:szCs w:val="44"/>
    </w:rPr>
  </w:style>
  <w:style w:type="paragraph" w:styleId="3">
    <w:name w:val="heading 2"/>
    <w:basedOn w:val="1"/>
    <w:next w:val="1"/>
    <w:qFormat/>
    <w:uiPriority w:val="0"/>
    <w:pPr>
      <w:jc w:val="left"/>
      <w:outlineLvl w:val="1"/>
    </w:pPr>
    <w:rPr>
      <w:rFonts w:hint="eastAsia" w:ascii="宋体" w:hAnsi="宋体"/>
      <w:kern w:val="0"/>
      <w:sz w:val="24"/>
      <w:szCs w:val="24"/>
    </w:rPr>
  </w:style>
  <w:style w:type="paragraph" w:styleId="4">
    <w:name w:val="heading 3"/>
    <w:basedOn w:val="1"/>
    <w:next w:val="1"/>
    <w:unhideWhenUsed/>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tabs>
        <w:tab w:val="left" w:pos="420"/>
      </w:tabs>
      <w:spacing w:before="280" w:after="290" w:line="376" w:lineRule="auto"/>
      <w:ind w:left="420" w:hanging="420"/>
      <w:outlineLvl w:val="3"/>
    </w:pPr>
    <w:rPr>
      <w:rFonts w:ascii="Cambria" w:hAnsi="Cambria"/>
      <w:b/>
      <w:bCs/>
      <w:sz w:val="28"/>
      <w:szCs w:val="28"/>
    </w:rPr>
  </w:style>
  <w:style w:type="paragraph" w:styleId="6">
    <w:name w:val="heading 5"/>
    <w:basedOn w:val="1"/>
    <w:next w:val="1"/>
    <w:unhideWhenUsed/>
    <w:qFormat/>
    <w:uiPriority w:val="0"/>
    <w:pPr>
      <w:keepNext/>
      <w:keepLines/>
      <w:widowControl/>
      <w:spacing w:before="120" w:after="120" w:line="360" w:lineRule="auto"/>
      <w:ind w:firstLine="499"/>
      <w:jc w:val="left"/>
      <w:outlineLvl w:val="4"/>
    </w:pPr>
    <w:rPr>
      <w:rFonts w:ascii="宋体" w:hAnsi="宋体" w:cs="宋体"/>
      <w:b/>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rPr>
      <w:rFonts w:ascii="Times New Roman" w:hAnsi="Times New Roman"/>
    </w:rPr>
  </w:style>
  <w:style w:type="paragraph" w:styleId="8">
    <w:name w:val="Normal Indent"/>
    <w:basedOn w:val="1"/>
    <w:next w:val="9"/>
    <w:qFormat/>
    <w:uiPriority w:val="0"/>
    <w:pPr>
      <w:autoSpaceDE w:val="0"/>
      <w:autoSpaceDN w:val="0"/>
      <w:adjustRightInd w:val="0"/>
      <w:spacing w:line="315" w:lineRule="atLeast"/>
      <w:ind w:firstLine="420"/>
    </w:pPr>
    <w:rPr>
      <w:rFonts w:ascii="楷体_GB2312" w:hAnsi="Tahoma" w:eastAsia="楷体_GB2312"/>
      <w:kern w:val="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qFormat/>
    <w:uiPriority w:val="0"/>
    <w:rPr>
      <w:rFonts w:ascii="Tahoma" w:hAnsi="Tahoma"/>
    </w:rPr>
  </w:style>
  <w:style w:type="paragraph" w:styleId="12">
    <w:name w:val="Body Text"/>
    <w:basedOn w:val="1"/>
    <w:next w:val="1"/>
    <w:qFormat/>
    <w:uiPriority w:val="0"/>
    <w:pPr>
      <w:spacing w:line="360" w:lineRule="auto"/>
    </w:pPr>
    <w:rPr>
      <w:rFonts w:ascii="黑体" w:hAnsi="黑体"/>
      <w:sz w:val="24"/>
    </w:rPr>
  </w:style>
  <w:style w:type="paragraph" w:styleId="13">
    <w:name w:val="Body Text Indent"/>
    <w:basedOn w:val="1"/>
    <w:qFormat/>
    <w:uiPriority w:val="0"/>
    <w:pPr>
      <w:spacing w:after="120"/>
      <w:ind w:left="420" w:leftChars="200"/>
    </w:pPr>
    <w:rPr>
      <w:rFonts w:ascii="Times New Roman" w:hAnsi="Times New Roman"/>
    </w:rPr>
  </w:style>
  <w:style w:type="paragraph" w:styleId="14">
    <w:name w:val="List 2"/>
    <w:basedOn w:val="1"/>
    <w:qFormat/>
    <w:uiPriority w:val="0"/>
    <w:pPr>
      <w:ind w:left="100" w:leftChars="200" w:hanging="200" w:hangingChars="200"/>
    </w:pPr>
  </w:style>
  <w:style w:type="paragraph" w:styleId="15">
    <w:name w:val="Plain Text"/>
    <w:basedOn w:val="1"/>
    <w:qFormat/>
    <w:uiPriority w:val="0"/>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ascii="Times New Roman" w:hAnsi="Times New Roman"/>
      <w:szCs w:val="24"/>
    </w:rPr>
  </w:style>
  <w:style w:type="paragraph" w:styleId="17">
    <w:name w:val="Balloon Text"/>
    <w:basedOn w:val="1"/>
    <w:link w:val="39"/>
    <w:qFormat/>
    <w:uiPriority w:val="0"/>
    <w:rPr>
      <w:sz w:val="18"/>
      <w:szCs w:val="18"/>
    </w:rPr>
  </w:style>
  <w:style w:type="paragraph" w:styleId="18">
    <w:name w:val="footer"/>
    <w:basedOn w:val="1"/>
    <w:qFormat/>
    <w:uiPriority w:val="0"/>
    <w:pPr>
      <w:tabs>
        <w:tab w:val="center" w:pos="4153"/>
        <w:tab w:val="right" w:pos="8306"/>
      </w:tabs>
      <w:snapToGrid w:val="0"/>
      <w:jc w:val="left"/>
    </w:pPr>
    <w:rPr>
      <w:rFonts w:ascii="Times New Roman" w:hAnsi="Times New Roman"/>
      <w:sz w:val="18"/>
    </w:rPr>
  </w:style>
  <w:style w:type="paragraph" w:styleId="19">
    <w:name w:val="toc 1"/>
    <w:basedOn w:val="20"/>
    <w:next w:val="1"/>
    <w:qFormat/>
    <w:uiPriority w:val="0"/>
    <w:pPr>
      <w:widowControl/>
      <w:spacing w:before="120" w:after="120"/>
      <w:jc w:val="left"/>
    </w:pPr>
    <w:rPr>
      <w:b/>
      <w:bCs/>
      <w:caps/>
      <w:kern w:val="0"/>
      <w:sz w:val="20"/>
    </w:rPr>
  </w:style>
  <w:style w:type="paragraph" w:styleId="20">
    <w:name w:val="index 1"/>
    <w:basedOn w:val="1"/>
    <w:next w:val="1"/>
    <w:qFormat/>
    <w:uiPriority w:val="0"/>
    <w:pPr>
      <w:spacing w:line="220" w:lineRule="exact"/>
      <w:jc w:val="center"/>
    </w:pPr>
    <w:rPr>
      <w:rFonts w:ascii="仿宋_GB2312" w:eastAsia="仿宋_GB2312"/>
    </w:rPr>
  </w:style>
  <w:style w:type="paragraph" w:styleId="21">
    <w:name w:val="toc 2"/>
    <w:basedOn w:val="1"/>
    <w:next w:val="1"/>
    <w:qFormat/>
    <w:uiPriority w:val="39"/>
    <w:pPr>
      <w:ind w:left="210"/>
      <w:jc w:val="left"/>
    </w:pPr>
    <w:rPr>
      <w:smallCaps/>
      <w:sz w:val="20"/>
    </w:rPr>
  </w:style>
  <w:style w:type="paragraph" w:styleId="22">
    <w:name w:val="Body Text 2"/>
    <w:basedOn w:val="1"/>
    <w:unhideWhenUsed/>
    <w:qFormat/>
    <w:uiPriority w:val="0"/>
    <w:pPr>
      <w:spacing w:line="360" w:lineRule="auto"/>
    </w:pPr>
    <w:rPr>
      <w:sz w:val="2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paragraph" w:styleId="27">
    <w:name w:val="Body Text First Indent 2"/>
    <w:basedOn w:val="13"/>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rFonts w:ascii="Times New Roman" w:hAnsi="Times New Roman" w:eastAsia="宋体" w:cs="Times New Roman"/>
      <w:b/>
      <w:bCs/>
      <w:lang w:val="en-US" w:eastAsia="zh-CN" w:bidi="ar-SA"/>
    </w:rPr>
  </w:style>
  <w:style w:type="character" w:styleId="32">
    <w:name w:val="page number"/>
    <w:qFormat/>
    <w:uiPriority w:val="0"/>
    <w:rPr>
      <w:rFonts w:ascii="Times New Roman" w:hAnsi="Times New Roman" w:eastAsia="宋体" w:cs="Times New Roman"/>
      <w:lang w:val="en-US" w:eastAsia="zh-CN" w:bidi="ar-SA"/>
    </w:rPr>
  </w:style>
  <w:style w:type="character" w:styleId="33">
    <w:name w:val="FollowedHyperlink"/>
    <w:qFormat/>
    <w:uiPriority w:val="0"/>
    <w:rPr>
      <w:rFonts w:ascii="Times New Roman" w:hAnsi="Times New Roman" w:eastAsia="宋体" w:cs="Times New Roman"/>
      <w:color w:val="800080"/>
      <w:u w:val="none"/>
      <w:lang w:val="en-US" w:eastAsia="zh-CN" w:bidi="ar-SA"/>
    </w:rPr>
  </w:style>
  <w:style w:type="character" w:styleId="34">
    <w:name w:val="Hyperlink"/>
    <w:qFormat/>
    <w:uiPriority w:val="0"/>
    <w:rPr>
      <w:rFonts w:ascii="Times New Roman" w:hAnsi="Times New Roman" w:eastAsia="宋体" w:cs="Times New Roman"/>
      <w:color w:val="0000FF"/>
      <w:u w:val="none"/>
      <w:lang w:val="en-US" w:eastAsia="zh-CN" w:bidi="ar-SA"/>
    </w:rPr>
  </w:style>
  <w:style w:type="character" w:styleId="35">
    <w:name w:val="HTML Sample"/>
    <w:basedOn w:val="30"/>
    <w:qFormat/>
    <w:uiPriority w:val="0"/>
    <w:rPr>
      <w:rFonts w:ascii="Courier New" w:hAnsi="Courier New"/>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段"/>
    <w:next w:val="1"/>
    <w:qFormat/>
    <w:uiPriority w:val="0"/>
    <w:pPr>
      <w:autoSpaceDE w:val="0"/>
      <w:autoSpaceDN w:val="0"/>
      <w:ind w:firstLine="420" w:firstLineChars="200"/>
      <w:jc w:val="both"/>
    </w:pPr>
    <w:rPr>
      <w:rFonts w:ascii="宋体" w:hAnsi="Calibri" w:eastAsia="宋体" w:cs="宋体"/>
      <w:sz w:val="21"/>
      <w:lang w:val="en-US" w:eastAsia="zh-CN" w:bidi="ar-SA"/>
    </w:rPr>
  </w:style>
  <w:style w:type="character" w:customStyle="1" w:styleId="38">
    <w:name w:val="标题 1 Char"/>
    <w:link w:val="2"/>
    <w:qFormat/>
    <w:uiPriority w:val="0"/>
    <w:rPr>
      <w:rFonts w:ascii="Times New Roman" w:hAnsi="Times New Roman" w:eastAsia="宋体" w:cs="Times New Roman"/>
      <w:b/>
      <w:bCs/>
      <w:kern w:val="44"/>
      <w:sz w:val="32"/>
      <w:szCs w:val="44"/>
    </w:rPr>
  </w:style>
  <w:style w:type="character" w:customStyle="1" w:styleId="39">
    <w:name w:val="批注框文本 Char"/>
    <w:link w:val="17"/>
    <w:qFormat/>
    <w:uiPriority w:val="0"/>
    <w:rPr>
      <w:rFonts w:ascii="Calibri" w:hAnsi="Calibri" w:eastAsia="宋体" w:cs="Times New Roman"/>
      <w:kern w:val="2"/>
      <w:sz w:val="18"/>
      <w:szCs w:val="18"/>
      <w:lang w:val="en-US" w:eastAsia="zh-CN" w:bidi="ar-SA"/>
    </w:rPr>
  </w:style>
  <w:style w:type="character" w:customStyle="1" w:styleId="40">
    <w:name w:val="NormalCharacter"/>
    <w:qFormat/>
    <w:uiPriority w:val="0"/>
    <w:rPr>
      <w:rFonts w:ascii="Calibri" w:hAnsi="Calibri"/>
      <w:kern w:val="2"/>
      <w:sz w:val="21"/>
      <w:lang w:val="en-US" w:eastAsia="zh-CN" w:bidi="ar-SA"/>
    </w:rPr>
  </w:style>
  <w:style w:type="paragraph" w:customStyle="1" w:styleId="41">
    <w:name w:val="UserStyle_1"/>
    <w:basedOn w:val="1"/>
    <w:qFormat/>
    <w:uiPriority w:val="0"/>
    <w:pPr>
      <w:widowControl/>
      <w:tabs>
        <w:tab w:val="left" w:pos="2835"/>
        <w:tab w:val="left" w:pos="3119"/>
        <w:tab w:val="left" w:pos="3402"/>
        <w:tab w:val="left" w:pos="3686"/>
        <w:tab w:val="left" w:pos="3969"/>
        <w:tab w:val="left" w:pos="4253"/>
      </w:tabs>
      <w:ind w:left="2552"/>
      <w:textAlignment w:val="baseline"/>
    </w:pPr>
    <w:rPr>
      <w:rFonts w:ascii="Times New Roman" w:hAnsi="Times New Roman"/>
    </w:rPr>
  </w:style>
  <w:style w:type="paragraph" w:customStyle="1" w:styleId="42">
    <w:name w:val="首行缩进"/>
    <w:basedOn w:val="1"/>
    <w:qFormat/>
    <w:uiPriority w:val="0"/>
    <w:pPr>
      <w:spacing w:line="360" w:lineRule="auto"/>
      <w:ind w:firstLine="480" w:firstLineChars="200"/>
    </w:pPr>
    <w:rPr>
      <w:rFonts w:ascii="Times New Roman" w:hAnsi="Times New Roman"/>
      <w:sz w:val="24"/>
      <w:szCs w:val="22"/>
      <w:lang w:val="zh-CN"/>
    </w:rPr>
  </w:style>
  <w:style w:type="paragraph" w:customStyle="1" w:styleId="43">
    <w:name w:val="WPSOffice手动目录 1"/>
    <w:qFormat/>
    <w:uiPriority w:val="0"/>
    <w:rPr>
      <w:rFonts w:ascii="Calibri" w:hAnsi="Calibri" w:eastAsia="宋体" w:cs="Times New Roman"/>
      <w:lang w:val="en-US" w:eastAsia="zh-CN" w:bidi="ar-SA"/>
    </w:rPr>
  </w:style>
  <w:style w:type="paragraph" w:customStyle="1" w:styleId="44">
    <w:name w:val="Body Text 21"/>
    <w:basedOn w:val="1"/>
    <w:qFormat/>
    <w:uiPriority w:val="0"/>
    <w:pPr>
      <w:spacing w:line="480" w:lineRule="auto"/>
    </w:pPr>
    <w:rPr>
      <w:sz w:val="20"/>
    </w:rPr>
  </w:style>
  <w:style w:type="paragraph" w:customStyle="1" w:styleId="45">
    <w:name w:val="列出段落1"/>
    <w:basedOn w:val="1"/>
    <w:qFormat/>
    <w:uiPriority w:val="0"/>
    <w:pPr>
      <w:ind w:firstLine="420" w:firstLineChars="200"/>
    </w:pPr>
    <w:rPr>
      <w:rFonts w:ascii="Times New Roman" w:hAnsi="Times New Roman"/>
      <w:szCs w:val="22"/>
    </w:rPr>
  </w:style>
  <w:style w:type="paragraph" w:customStyle="1" w:styleId="46">
    <w:name w:val="UserStyle_0"/>
    <w:basedOn w:val="1"/>
    <w:qFormat/>
    <w:uiPriority w:val="0"/>
    <w:pPr>
      <w:widowControl/>
      <w:tabs>
        <w:tab w:val="left" w:pos="2835"/>
        <w:tab w:val="left" w:pos="3119"/>
        <w:tab w:val="left" w:pos="3402"/>
        <w:tab w:val="left" w:pos="3686"/>
        <w:tab w:val="left" w:pos="3969"/>
        <w:tab w:val="left" w:pos="4253"/>
      </w:tabs>
      <w:spacing w:after="120"/>
      <w:ind w:left="2552"/>
      <w:textAlignment w:val="baseline"/>
    </w:pPr>
    <w:rPr>
      <w:rFonts w:ascii="Syntax" w:hAnsi="Syntax"/>
      <w:b/>
      <w:lang w:val="de-DE" w:eastAsia="de-DE"/>
    </w:rPr>
  </w:style>
  <w:style w:type="paragraph" w:styleId="47">
    <w:name w:val="List Paragraph"/>
    <w:basedOn w:val="1"/>
    <w:qFormat/>
    <w:uiPriority w:val="0"/>
    <w:pPr>
      <w:ind w:firstLine="420" w:firstLineChars="200"/>
    </w:pPr>
    <w:rPr>
      <w:rFonts w:ascii="Times New Roman" w:hAnsi="Times New Roman"/>
    </w:rPr>
  </w:style>
  <w:style w:type="paragraph" w:customStyle="1" w:styleId="48">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49">
    <w:name w:val="Table Paragraph"/>
    <w:basedOn w:val="1"/>
    <w:qFormat/>
    <w:uiPriority w:val="1"/>
    <w:rPr>
      <w:rFonts w:ascii="宋体" w:hAnsi="宋体" w:cs="宋体"/>
      <w:lang w:val="zh-CN" w:bidi="zh-CN"/>
    </w:rPr>
  </w:style>
  <w:style w:type="character" w:customStyle="1" w:styleId="50">
    <w:name w:val="font11"/>
    <w:basedOn w:val="30"/>
    <w:qFormat/>
    <w:uiPriority w:val="0"/>
    <w:rPr>
      <w:rFonts w:hint="eastAsia" w:ascii="宋体" w:hAnsi="宋体" w:eastAsia="宋体" w:cs="宋体"/>
      <w:color w:val="000000"/>
      <w:sz w:val="20"/>
      <w:szCs w:val="20"/>
      <w:u w:val="none"/>
    </w:rPr>
  </w:style>
  <w:style w:type="character" w:customStyle="1" w:styleId="51">
    <w:name w:val="font01"/>
    <w:basedOn w:val="30"/>
    <w:qFormat/>
    <w:uiPriority w:val="0"/>
    <w:rPr>
      <w:rFonts w:ascii="Calibri" w:hAnsi="Calibri" w:cs="Calibri"/>
      <w:color w:val="000000"/>
      <w:sz w:val="20"/>
      <w:szCs w:val="20"/>
      <w:u w:val="none"/>
    </w:rPr>
  </w:style>
  <w:style w:type="paragraph" w:customStyle="1" w:styleId="52">
    <w:name w:val="偏离"/>
    <w:basedOn w:val="1"/>
    <w:unhideWhenUsed/>
    <w:qFormat/>
    <w:uiPriority w:val="1"/>
    <w:pPr>
      <w:widowControl/>
      <w:spacing w:line="360" w:lineRule="auto"/>
      <w:jc w:val="center"/>
    </w:pPr>
    <w:rPr>
      <w:szCs w:val="22"/>
    </w:rPr>
  </w:style>
  <w:style w:type="paragraph" w:customStyle="1" w:styleId="53">
    <w:name w:val="表格正文"/>
    <w:basedOn w:val="1"/>
    <w:qFormat/>
    <w:uiPriority w:val="0"/>
    <w:pPr>
      <w:spacing w:before="120"/>
    </w:pPr>
    <w:rPr>
      <w:sz w:val="24"/>
    </w:rPr>
  </w:style>
  <w:style w:type="paragraph" w:customStyle="1" w:styleId="54">
    <w:name w:val="表格正文yaw"/>
    <w:basedOn w:val="1"/>
    <w:unhideWhenUsed/>
    <w:qFormat/>
    <w:uiPriority w:val="0"/>
    <w:pPr>
      <w:adjustRightInd w:val="0"/>
      <w:snapToGrid w:val="0"/>
      <w:spacing w:before="120"/>
    </w:pPr>
    <w:rPr>
      <w:sz w:val="24"/>
      <w:szCs w:val="21"/>
    </w:rPr>
  </w:style>
  <w:style w:type="table" w:customStyle="1" w:styleId="55">
    <w:name w:val="Table Normal"/>
    <w:semiHidden/>
    <w:unhideWhenUsed/>
    <w:qFormat/>
    <w:uiPriority w:val="0"/>
    <w:tblPr>
      <w:tblCellMar>
        <w:top w:w="0" w:type="dxa"/>
        <w:left w:w="0" w:type="dxa"/>
        <w:bottom w:w="0" w:type="dxa"/>
        <w:right w:w="0" w:type="dxa"/>
      </w:tblCellMar>
    </w:tblPr>
  </w:style>
  <w:style w:type="paragraph" w:customStyle="1" w:styleId="56">
    <w:name w:val="msolistparagraph"/>
    <w:basedOn w:val="1"/>
    <w:qFormat/>
    <w:uiPriority w:val="0"/>
    <w:pPr>
      <w:widowControl/>
      <w:ind w:firstLine="420"/>
      <w:jc w:val="left"/>
    </w:pPr>
    <w:rPr>
      <w:rFonts w:ascii="等线" w:hAnsi="等线"/>
      <w:kern w:val="0"/>
      <w:szCs w:val="24"/>
    </w:rPr>
  </w:style>
  <w:style w:type="paragraph" w:customStyle="1" w:styleId="57">
    <w:name w:val="_Style 1"/>
    <w:qFormat/>
    <w:uiPriority w:val="1"/>
    <w:pPr>
      <w:adjustRightInd w:val="0"/>
      <w:snapToGrid w:val="0"/>
    </w:pPr>
    <w:rPr>
      <w:rFonts w:ascii="Tahoma" w:hAnsi="Tahoma" w:eastAsia="宋体" w:cs="Times New Roman"/>
      <w:sz w:val="22"/>
      <w:szCs w:val="22"/>
      <w:lang w:val="en-US" w:eastAsia="zh-CN" w:bidi="ar-SA"/>
    </w:rPr>
  </w:style>
  <w:style w:type="paragraph" w:customStyle="1" w:styleId="58">
    <w:name w:val="样式1"/>
    <w:basedOn w:val="1"/>
    <w:qFormat/>
    <w:uiPriority w:val="0"/>
    <w:pPr>
      <w:adjustRightInd w:val="0"/>
    </w:pPr>
    <w:rPr>
      <w:rFonts w:hint="eastAsia" w:ascii="宋体" w:hAnsi="宋体"/>
      <w:kern w:val="0"/>
      <w:szCs w:val="21"/>
    </w:rPr>
  </w:style>
  <w:style w:type="paragraph" w:customStyle="1" w:styleId="5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Char Char Char"/>
    <w:basedOn w:val="1"/>
    <w:qFormat/>
    <w:uiPriority w:val="0"/>
    <w:rPr>
      <w:rFonts w:ascii="Tahoma" w:hAnsi="Tahoma"/>
      <w:sz w:val="24"/>
    </w:rPr>
  </w:style>
  <w:style w:type="paragraph" w:customStyle="1" w:styleId="6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5557</Words>
  <Characters>5994</Characters>
  <Lines>226</Lines>
  <Paragraphs>63</Paragraphs>
  <TotalTime>5</TotalTime>
  <ScaleCrop>false</ScaleCrop>
  <LinksUpToDate>false</LinksUpToDate>
  <CharactersWithSpaces>6145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2023-09-26T11:39:00Z</dcterms:created>
  <dc:creator>时光不老你我不散</dc:creator>
  <cp:lastModifiedBy>Administrator</cp:lastModifiedBy>
  <cp:lastPrinted>2023-11-23T07:57:00Z</cp:lastPrinted>
  <dcterms:modified xsi:type="dcterms:W3CDTF">2025-11-08T03:56:51Z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C47BC55DB4914850A115A5F711198C5C_13</vt:lpwstr>
  </property>
  <property fmtid="{D5CDD505-2E9C-101B-9397-08002B2CF9AE}" pid="4" name="KSOTemplateDocerSaveRecord">
    <vt:lpwstr>eyJoZGlkIjoiYzBmNjE1ZWU1YzM4MGM2ZjIyNzJkMDVlOGE5N2Q0MDYiLCJ1c2VySWQiOiIyNjA0OTk2MjIifQ==</vt:lpwstr>
  </property>
</Properties>
</file>