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7FFB2">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b/>
          <w:sz w:val="48"/>
          <w:szCs w:val="48"/>
        </w:rPr>
      </w:pPr>
    </w:p>
    <w:p w14:paraId="4EF4FCEA">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52"/>
          <w:szCs w:val="48"/>
          <w:lang w:val="en-US" w:eastAsia="zh-CN"/>
        </w:rPr>
      </w:pPr>
    </w:p>
    <w:p w14:paraId="177B605E">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52"/>
          <w:szCs w:val="48"/>
          <w:lang w:val="en-US" w:eastAsia="zh-CN"/>
        </w:rPr>
      </w:pPr>
    </w:p>
    <w:p w14:paraId="6FC395A7">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52"/>
          <w:szCs w:val="48"/>
          <w:lang w:val="en-US" w:eastAsia="zh-CN"/>
        </w:rPr>
      </w:pPr>
    </w:p>
    <w:p w14:paraId="7DD273E3">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52"/>
          <w:szCs w:val="48"/>
          <w:lang w:val="en-US" w:eastAsia="zh-CN"/>
        </w:rPr>
      </w:pPr>
    </w:p>
    <w:p w14:paraId="498049ED">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44"/>
          <w:szCs w:val="44"/>
          <w:lang w:val="en-US" w:eastAsia="zh-CN"/>
        </w:rPr>
      </w:pPr>
      <w:r>
        <w:rPr>
          <w:rFonts w:hint="eastAsia" w:ascii="宋体" w:hAnsi="宋体"/>
          <w:sz w:val="44"/>
          <w:szCs w:val="44"/>
          <w:lang w:val="en-US" w:eastAsia="zh-CN"/>
        </w:rPr>
        <w:t>上饶市云济水务有限公司污泥运输处置项目</w:t>
      </w:r>
    </w:p>
    <w:p w14:paraId="1E4A744F">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44"/>
          <w:szCs w:val="44"/>
          <w:lang w:val="en-US" w:eastAsia="zh-CN"/>
        </w:rPr>
      </w:pPr>
    </w:p>
    <w:p w14:paraId="29910E78">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宋体" w:hAnsi="宋体"/>
          <w:sz w:val="52"/>
          <w:szCs w:val="48"/>
        </w:rPr>
      </w:pPr>
      <w:r>
        <w:rPr>
          <w:rFonts w:hint="eastAsia" w:ascii="宋体" w:hAnsi="宋体"/>
          <w:sz w:val="44"/>
          <w:szCs w:val="44"/>
          <w:lang w:val="en-US" w:eastAsia="zh-CN"/>
        </w:rPr>
        <w:t>询价</w:t>
      </w:r>
      <w:r>
        <w:rPr>
          <w:rFonts w:hint="eastAsia" w:ascii="宋体" w:hAnsi="宋体"/>
          <w:sz w:val="44"/>
          <w:szCs w:val="44"/>
        </w:rPr>
        <w:t>方案</w:t>
      </w:r>
    </w:p>
    <w:p w14:paraId="1095ECAF">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4D1AC6A5">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585E5D1B">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4DE7DA25">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6A26FC4D">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2067DD88">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5AC766E0">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3768B071">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522F0136">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112BD049">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hint="eastAsia" w:ascii="宋体" w:hAnsi="宋体"/>
          <w:sz w:val="36"/>
          <w:szCs w:val="36"/>
          <w:lang w:val="en-US" w:eastAsia="zh-CN"/>
        </w:rPr>
      </w:pPr>
    </w:p>
    <w:p w14:paraId="52E3C03D">
      <w:pPr>
        <w:keepNext w:val="0"/>
        <w:keepLines w:val="0"/>
        <w:pageBreakBefore w:val="0"/>
        <w:widowControl w:val="0"/>
        <w:kinsoku/>
        <w:wordWrap/>
        <w:overflowPunct/>
        <w:topLinePunct w:val="0"/>
        <w:autoSpaceDE/>
        <w:autoSpaceDN/>
        <w:bidi w:val="0"/>
        <w:adjustRightInd/>
        <w:snapToGrid/>
        <w:ind w:firstLine="480"/>
        <w:jc w:val="center"/>
        <w:textAlignment w:val="auto"/>
        <w:outlineLvl w:val="9"/>
        <w:rPr>
          <w:rFonts w:ascii="宋体" w:hAnsi="宋体"/>
          <w:sz w:val="36"/>
          <w:szCs w:val="36"/>
        </w:rPr>
        <w:sectPr>
          <w:footerReference r:id="rId6" w:type="first"/>
          <w:footerReference r:id="rId5" w:type="default"/>
          <w:pgSz w:w="11907" w:h="16840"/>
          <w:pgMar w:top="1134" w:right="1134" w:bottom="1134" w:left="1418" w:header="720" w:footer="720" w:gutter="0"/>
          <w:pgNumType w:start="0"/>
          <w:cols w:space="720" w:num="1"/>
          <w:titlePg/>
          <w:docGrid w:type="lines" w:linePitch="326" w:charSpace="-3660"/>
        </w:sectPr>
      </w:pPr>
      <w:r>
        <w:rPr>
          <w:rFonts w:hint="eastAsia" w:ascii="宋体" w:hAnsi="宋体"/>
          <w:sz w:val="36"/>
          <w:szCs w:val="36"/>
          <w:lang w:val="en-US" w:eastAsia="zh-CN"/>
        </w:rPr>
        <w:t>2025</w:t>
      </w:r>
      <w:r>
        <w:rPr>
          <w:rFonts w:hint="eastAsia" w:ascii="宋体" w:hAnsi="宋体"/>
          <w:sz w:val="36"/>
          <w:szCs w:val="36"/>
        </w:rPr>
        <w:t>年</w:t>
      </w:r>
      <w:r>
        <w:rPr>
          <w:rFonts w:hint="eastAsia" w:ascii="宋体" w:hAnsi="宋体"/>
          <w:sz w:val="36"/>
          <w:szCs w:val="36"/>
          <w:lang w:val="en-US" w:eastAsia="zh-CN"/>
        </w:rPr>
        <w:t>7</w:t>
      </w:r>
      <w:r>
        <w:rPr>
          <w:rFonts w:hint="eastAsia" w:ascii="宋体" w:hAnsi="宋体"/>
          <w:sz w:val="36"/>
          <w:szCs w:val="36"/>
        </w:rPr>
        <w:t>月</w:t>
      </w:r>
    </w:p>
    <w:sdt>
      <w:sdtPr>
        <w:rPr>
          <w:rFonts w:ascii="宋体" w:hAnsi="宋体" w:eastAsia="宋体" w:cs="Times New Roman"/>
          <w:kern w:val="2"/>
          <w:sz w:val="28"/>
          <w:szCs w:val="28"/>
          <w:lang w:val="en-US" w:eastAsia="zh-CN" w:bidi="ar-SA"/>
        </w:rPr>
        <w:id w:val="147468527"/>
        <w15:color w:val="DBDBDB"/>
        <w:docPartObj>
          <w:docPartGallery w:val="Table of Contents"/>
          <w:docPartUnique/>
        </w:docPartObj>
      </w:sdtPr>
      <w:sdtEndPr>
        <w:rPr>
          <w:rFonts w:hint="eastAsia" w:ascii="仿宋" w:hAnsi="仿宋" w:eastAsia="仿宋" w:cs="仿宋"/>
          <w:b/>
          <w:kern w:val="2"/>
          <w:sz w:val="32"/>
          <w:szCs w:val="32"/>
          <w:lang w:val="en-US" w:eastAsia="zh-CN" w:bidi="ar-SA"/>
        </w:rPr>
      </w:sdtEndPr>
      <w:sdtContent>
        <w:p w14:paraId="3C4946AA">
          <w:pPr>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仿宋" w:hAnsi="仿宋" w:eastAsia="仿宋" w:cs="仿宋"/>
              <w:sz w:val="32"/>
              <w:szCs w:val="32"/>
            </w:rPr>
          </w:pPr>
          <w:bookmarkStart w:id="0" w:name="_Toc402123895"/>
          <w:bookmarkStart w:id="1" w:name="_Toc13334"/>
          <w:bookmarkStart w:id="2" w:name="_Toc3478_WPSOffice_Level1"/>
          <w:r>
            <w:rPr>
              <w:rFonts w:hint="eastAsia" w:ascii="仿宋" w:hAnsi="仿宋" w:eastAsia="仿宋" w:cs="仿宋"/>
              <w:sz w:val="32"/>
              <w:szCs w:val="32"/>
            </w:rPr>
            <w:t>目录</w:t>
          </w:r>
        </w:p>
        <w:p w14:paraId="2ACADD4E">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_Toc26793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lang w:val="en-US" w:eastAsia="zh-CN" w:bidi="ar-SA"/>
            </w:rPr>
            <w:t>一.编制依据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_Toc26793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905BF33">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_Toc13816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rPr>
            <w:t>二.概况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_Toc13816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4D2B1C4">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_Toc18569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2.1项目概况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_Toc18569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2566E33">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_Toc7819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2.2询价概况和报价要求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_Toc7819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91B6E24">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_Toc15312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rPr>
            <w:t>三.报价要求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_Toc15312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BCB8F30">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_Toc27859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3.1报价要求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_Toc27859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EAA0534">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_Toc19268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3.2报价单格式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_Toc19268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0A073D1">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_Toc1673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rPr>
            <w:t>四.询价工作准备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_Toc1673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6D09300">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_Toc6990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4.1询价范围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_Toc6990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6813912">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_Toc24607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4.2计划开始和完成时间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_Toc24607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993E8B3">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_Toc29561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4.3询价工作组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_Toc29561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D6F729A">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_Toc4725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4.4询价材料与设备建议价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_Toc4725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9E06369">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_Toc28438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4.5供应商名单及选择理由</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_Toc28438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9B944CB">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_Toc7783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4.6询价方式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_Toc7783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B6497A2">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_Toc11014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4.7询价计划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_Toc11014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5FC43DC">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_Toc14052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rPr>
            <w:t>五.询价确认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_Toc14052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4E3B191">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_Toc14792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5.1报价开封会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_Toc14792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F9E8AE7">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_Toc19089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5.2询价报告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_Toc19089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791F4F6">
          <w:pPr>
            <w:pStyle w:val="9"/>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_Toc25864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5.3询价结果的公示及确认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_Toc25864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B76C66E">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_Toc9115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rPr>
            <w:t>六.询价备案及成果运用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_Toc9115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A8DB991">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_Toc8361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rPr>
            <w:t>七.附件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_Toc8361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DAE3EA5">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_Toc5920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附件一：《材料/设备询价报审表》；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_Toc5920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70DB135">
          <w:pPr>
            <w:pStyle w:val="8"/>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_Toc25352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附件二：询价流程图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_Toc25352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3DD54ED">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end"/>
          </w:r>
        </w:p>
      </w:sdtContent>
    </w:sdt>
    <w:p w14:paraId="53AE797E">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kern w:val="0"/>
          <w:sz w:val="32"/>
          <w:szCs w:val="32"/>
          <w:lang w:val="en-US" w:eastAsia="zh-CN" w:bidi="ar-SA"/>
        </w:rPr>
        <w:sectPr>
          <w:footerReference r:id="rId7" w:type="default"/>
          <w:pgSz w:w="11906" w:h="16838"/>
          <w:pgMar w:top="1440" w:right="1800" w:bottom="1440" w:left="1800" w:header="851" w:footer="992" w:gutter="0"/>
          <w:cols w:space="425" w:num="1"/>
          <w:docGrid w:type="lines" w:linePitch="312" w:charSpace="0"/>
        </w:sectPr>
      </w:pPr>
    </w:p>
    <w:p w14:paraId="0DDD0236">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bookmarkStart w:id="3" w:name="_Toc26793"/>
      <w:r>
        <w:rPr>
          <w:rFonts w:hint="eastAsia" w:ascii="黑体" w:hAnsi="黑体" w:eastAsia="黑体" w:cs="黑体"/>
          <w:b w:val="0"/>
          <w:bCs w:val="0"/>
          <w:kern w:val="0"/>
          <w:sz w:val="32"/>
          <w:szCs w:val="32"/>
          <w:lang w:val="en-US" w:eastAsia="zh-CN" w:bidi="ar-SA"/>
        </w:rPr>
        <w:t>一.编制依据</w:t>
      </w:r>
      <w:bookmarkEnd w:id="0"/>
      <w:bookmarkEnd w:id="1"/>
      <w:bookmarkEnd w:id="2"/>
      <w:bookmarkEnd w:id="3"/>
    </w:p>
    <w:p w14:paraId="737D394E">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sz w:val="32"/>
          <w:szCs w:val="32"/>
          <w:lang w:val="en-US" w:eastAsia="zh-CN"/>
        </w:rPr>
      </w:pPr>
      <w:bookmarkStart w:id="4" w:name="_Toc7803_WPSOffice_Level2"/>
      <w:bookmarkStart w:id="5" w:name="_Toc25781_WPSOffice_Level2"/>
      <w:bookmarkStart w:id="6" w:name="_Toc29117_WPSOffice_Level2"/>
      <w:r>
        <w:rPr>
          <w:rFonts w:hint="eastAsia" w:ascii="仿宋" w:hAnsi="仿宋" w:eastAsia="仿宋" w:cs="仿宋"/>
          <w:sz w:val="32"/>
          <w:szCs w:val="32"/>
        </w:rPr>
        <w:t>1</w:t>
      </w:r>
      <w:r>
        <w:rPr>
          <w:rFonts w:hint="eastAsia" w:ascii="仿宋" w:hAnsi="仿宋" w:eastAsia="仿宋" w:cs="仿宋"/>
          <w:sz w:val="32"/>
          <w:szCs w:val="32"/>
          <w:lang w:val="en-US" w:eastAsia="zh-CN"/>
        </w:rPr>
        <w:t>.</w:t>
      </w:r>
      <w:bookmarkEnd w:id="4"/>
      <w:bookmarkEnd w:id="5"/>
      <w:bookmarkEnd w:id="6"/>
      <w:r>
        <w:rPr>
          <w:rFonts w:hint="eastAsia" w:ascii="仿宋" w:hAnsi="仿宋" w:eastAsia="仿宋" w:cs="仿宋"/>
          <w:sz w:val="32"/>
          <w:szCs w:val="32"/>
          <w:lang w:val="en-US" w:eastAsia="zh-CN"/>
        </w:rPr>
        <w:t>创投集团工程建设领域“一本清”（试行）手册</w:t>
      </w:r>
    </w:p>
    <w:p w14:paraId="30B8FB90">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2.饶创投办字【2024】3号 关于印发《上饶创新发展产业投资集团有限公司材料与设备询价管理办法（试行）》的通知</w:t>
      </w:r>
    </w:p>
    <w:p w14:paraId="6A1AC715">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sz w:val="32"/>
          <w:szCs w:val="32"/>
          <w:lang w:eastAsia="zh-CN"/>
        </w:rPr>
      </w:pPr>
      <w:bookmarkStart w:id="7" w:name="_Toc22164_WPSOffice_Level2"/>
      <w:bookmarkStart w:id="8" w:name="_Toc22243_WPSOffice_Level2"/>
      <w:bookmarkStart w:id="9" w:name="_Toc9919_WPSOffice_Level2"/>
      <w:r>
        <w:rPr>
          <w:rFonts w:hint="eastAsia" w:ascii="仿宋" w:hAnsi="仿宋" w:eastAsia="仿宋" w:cs="仿宋"/>
          <w:sz w:val="32"/>
          <w:szCs w:val="32"/>
          <w:lang w:val="en-US" w:eastAsia="zh-CN"/>
        </w:rPr>
        <w:t>3.</w:t>
      </w:r>
      <w:bookmarkEnd w:id="7"/>
      <w:bookmarkEnd w:id="8"/>
      <w:bookmarkEnd w:id="9"/>
      <w:r>
        <w:rPr>
          <w:rFonts w:hint="eastAsia" w:ascii="仿宋" w:hAnsi="仿宋" w:eastAsia="仿宋" w:cs="仿宋"/>
          <w:sz w:val="32"/>
          <w:szCs w:val="32"/>
          <w:lang w:val="en-US" w:eastAsia="zh-CN"/>
        </w:rPr>
        <w:t>国家发展改革委 住房城乡建设部 生态环境部关于印发《污泥无害化处理和资源化利用实施方案》的通知</w:t>
      </w:r>
    </w:p>
    <w:p w14:paraId="3752C239">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sz w:val="32"/>
          <w:szCs w:val="32"/>
          <w:lang w:eastAsia="zh-CN"/>
        </w:rPr>
      </w:pPr>
    </w:p>
    <w:p w14:paraId="39DD3F18">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bookmarkStart w:id="10" w:name="_Toc13816"/>
      <w:r>
        <w:rPr>
          <w:rFonts w:hint="eastAsia" w:ascii="黑体" w:hAnsi="黑体" w:eastAsia="黑体" w:cs="黑体"/>
          <w:b w:val="0"/>
          <w:bCs w:val="0"/>
          <w:kern w:val="0"/>
          <w:sz w:val="32"/>
          <w:szCs w:val="32"/>
          <w:lang w:val="en-US" w:eastAsia="zh-CN" w:bidi="ar-SA"/>
        </w:rPr>
        <w:t>二.概况</w:t>
      </w:r>
      <w:bookmarkEnd w:id="10"/>
    </w:p>
    <w:p w14:paraId="35B13B35">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color w:val="auto"/>
          <w:sz w:val="32"/>
          <w:szCs w:val="32"/>
          <w:lang w:val="en-US" w:eastAsia="zh-CN"/>
        </w:rPr>
      </w:pPr>
      <w:bookmarkStart w:id="11" w:name="_Toc18569"/>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项目概况</w:t>
      </w:r>
      <w:bookmarkEnd w:id="11"/>
    </w:p>
    <w:p w14:paraId="4772B2E0">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上饶市云济水务有限公司因业务需要，现对该项目进行公开询价，作为编制采购预算的参考依据。</w:t>
      </w:r>
    </w:p>
    <w:p w14:paraId="55D7403C">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color w:val="auto"/>
          <w:sz w:val="32"/>
          <w:szCs w:val="32"/>
          <w:lang w:val="en-US" w:eastAsia="zh-CN"/>
        </w:rPr>
      </w:pPr>
      <w:bookmarkStart w:id="12" w:name="_Toc7819"/>
      <w:r>
        <w:rPr>
          <w:rFonts w:hint="eastAsia" w:ascii="仿宋" w:hAnsi="仿宋" w:eastAsia="仿宋" w:cs="仿宋"/>
          <w:color w:val="auto"/>
          <w:sz w:val="32"/>
          <w:szCs w:val="32"/>
          <w:lang w:val="en-US" w:eastAsia="zh-CN"/>
        </w:rPr>
        <w:t>2.询价概况</w:t>
      </w:r>
      <w:bookmarkEnd w:id="12"/>
    </w:p>
    <w:p w14:paraId="1A67E59C">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2.1 </w:t>
      </w:r>
      <w:r>
        <w:rPr>
          <w:rFonts w:hint="eastAsia" w:ascii="仿宋" w:hAnsi="仿宋" w:eastAsia="仿宋" w:cs="仿宋"/>
          <w:sz w:val="32"/>
          <w:szCs w:val="32"/>
        </w:rPr>
        <w:t>服务内容：污泥运输处置，包含污泥运输、处置和装车卸车、场地清扫等。</w:t>
      </w:r>
    </w:p>
    <w:p w14:paraId="7FBF9221">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服务期限：服务期2年。</w:t>
      </w:r>
    </w:p>
    <w:p w14:paraId="2686689F">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p>
    <w:p w14:paraId="4F830507">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bookmarkStart w:id="13" w:name="_Toc15312"/>
      <w:r>
        <w:rPr>
          <w:rFonts w:hint="eastAsia" w:ascii="黑体" w:hAnsi="黑体" w:eastAsia="黑体" w:cs="黑体"/>
          <w:b w:val="0"/>
          <w:bCs w:val="0"/>
          <w:kern w:val="0"/>
          <w:sz w:val="32"/>
          <w:szCs w:val="32"/>
          <w:lang w:val="en-US" w:eastAsia="zh-CN" w:bidi="ar-SA"/>
        </w:rPr>
        <w:t>三.报价要求</w:t>
      </w:r>
      <w:bookmarkEnd w:id="13"/>
    </w:p>
    <w:p w14:paraId="7FB95FF7">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sz w:val="32"/>
          <w:szCs w:val="32"/>
          <w:lang w:val="en-US" w:eastAsia="zh-CN"/>
        </w:rPr>
      </w:pPr>
      <w:bookmarkStart w:id="14" w:name="_Toc27859"/>
      <w:r>
        <w:rPr>
          <w:rFonts w:hint="eastAsia" w:ascii="仿宋" w:hAnsi="仿宋" w:eastAsia="仿宋" w:cs="仿宋"/>
          <w:sz w:val="32"/>
          <w:szCs w:val="32"/>
          <w:lang w:val="en-US" w:eastAsia="zh-CN"/>
        </w:rPr>
        <w:t>1.报价要求</w:t>
      </w:r>
      <w:bookmarkEnd w:id="14"/>
      <w:r>
        <w:rPr>
          <w:rFonts w:hint="eastAsia" w:ascii="仿宋" w:hAnsi="仿宋" w:eastAsia="仿宋" w:cs="仿宋"/>
          <w:sz w:val="32"/>
          <w:szCs w:val="32"/>
          <w:lang w:val="en-US" w:eastAsia="zh-CN"/>
        </w:rPr>
        <w:t>：污泥处理处置每吨单价报价时包含污泥装卸费、污泥运输费、污泥处置费、各类设备费、管理费、保险费、员工工资、税费等全部费用；结算时，采购人按照中标人的中标单价×处理处置污泥吨数结算合同价款，采购人不再另行支付其他任何费用；</w:t>
      </w:r>
    </w:p>
    <w:p w14:paraId="1A749D7B">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2.能够提供相关服务的供应商并符合《中华人民共和国政府采购法》第二十二条的规定；</w:t>
      </w:r>
    </w:p>
    <w:p w14:paraId="4A3B9B08">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3.供应商须具有行政主管部门污泥处置能力，环评批复中需注明可使用一般工业固体废物作为原料；（提供环评批复文件复印件并加盖供应商公章）</w:t>
      </w:r>
    </w:p>
    <w:p w14:paraId="5F79C4A9">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4.供应商须具有行政主管部门发放的排污许可证；（提供排污许可证扫描件）</w:t>
      </w:r>
    </w:p>
    <w:p w14:paraId="0976754B">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5.联系人如果不是法定代表人，须持有《法定代表人授权委托书》。</w:t>
      </w:r>
    </w:p>
    <w:p w14:paraId="334E72EB">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sz w:val="32"/>
          <w:szCs w:val="32"/>
          <w:lang w:val="en-US" w:eastAsia="zh-CN"/>
        </w:rPr>
      </w:pPr>
      <w:bookmarkStart w:id="15" w:name="_Toc19268"/>
      <w:r>
        <w:rPr>
          <w:rFonts w:hint="eastAsia" w:ascii="仿宋" w:hAnsi="仿宋" w:eastAsia="仿宋" w:cs="仿宋"/>
          <w:sz w:val="32"/>
          <w:szCs w:val="32"/>
          <w:lang w:val="en-US" w:eastAsia="zh-CN"/>
        </w:rPr>
        <w:t>6.报价单格式</w:t>
      </w:r>
      <w:bookmarkEnd w:id="15"/>
    </w:p>
    <w:tbl>
      <w:tblPr>
        <w:tblStyle w:val="12"/>
        <w:tblpPr w:leftFromText="180" w:rightFromText="180" w:vertAnchor="text" w:horzAnchor="page" w:tblpX="985" w:tblpY="605"/>
        <w:tblOverlap w:val="never"/>
        <w:tblW w:w="5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968"/>
        <w:gridCol w:w="2314"/>
        <w:gridCol w:w="1531"/>
        <w:gridCol w:w="1582"/>
        <w:gridCol w:w="2184"/>
      </w:tblGrid>
      <w:tr w14:paraId="082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center"/>
          </w:tcPr>
          <w:p w14:paraId="2065D5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bookmarkStart w:id="16" w:name="_Toc1673"/>
            <w:r>
              <w:rPr>
                <w:rFonts w:hint="eastAsia" w:ascii="仿宋" w:hAnsi="仿宋" w:eastAsia="仿宋" w:cs="仿宋"/>
                <w:sz w:val="28"/>
                <w:szCs w:val="28"/>
              </w:rPr>
              <w:t>序号</w:t>
            </w:r>
          </w:p>
        </w:tc>
        <w:tc>
          <w:tcPr>
            <w:tcW w:w="968" w:type="pct"/>
            <w:noWrap w:val="0"/>
            <w:vAlign w:val="center"/>
          </w:tcPr>
          <w:p w14:paraId="3AE893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项目</w:t>
            </w:r>
            <w:r>
              <w:rPr>
                <w:rFonts w:hint="eastAsia" w:ascii="仿宋" w:hAnsi="仿宋" w:eastAsia="仿宋" w:cs="仿宋"/>
                <w:sz w:val="28"/>
                <w:szCs w:val="28"/>
              </w:rPr>
              <w:t>名称</w:t>
            </w:r>
          </w:p>
        </w:tc>
        <w:tc>
          <w:tcPr>
            <w:tcW w:w="1138" w:type="pct"/>
            <w:noWrap w:val="0"/>
            <w:vAlign w:val="center"/>
          </w:tcPr>
          <w:p w14:paraId="2B8371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技术</w:t>
            </w:r>
            <w:r>
              <w:rPr>
                <w:rFonts w:hint="eastAsia" w:ascii="仿宋" w:hAnsi="仿宋" w:eastAsia="仿宋" w:cs="仿宋"/>
                <w:sz w:val="28"/>
                <w:szCs w:val="28"/>
                <w:lang w:val="en-US" w:eastAsia="zh-CN"/>
              </w:rPr>
              <w:t>要求</w:t>
            </w:r>
          </w:p>
        </w:tc>
        <w:tc>
          <w:tcPr>
            <w:tcW w:w="753" w:type="pct"/>
            <w:noWrap w:val="0"/>
            <w:vAlign w:val="center"/>
          </w:tcPr>
          <w:p w14:paraId="33C544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i w:val="0"/>
                <w:iCs w:val="0"/>
                <w:color w:val="000000"/>
                <w:kern w:val="0"/>
                <w:sz w:val="28"/>
                <w:szCs w:val="28"/>
                <w:u w:val="none"/>
                <w:lang w:val="en-US" w:eastAsia="zh-CN" w:bidi="ar"/>
              </w:rPr>
              <w:t>服务期限</w:t>
            </w:r>
          </w:p>
        </w:tc>
        <w:tc>
          <w:tcPr>
            <w:tcW w:w="778" w:type="pct"/>
            <w:noWrap w:val="0"/>
            <w:vAlign w:val="center"/>
          </w:tcPr>
          <w:p w14:paraId="08C09E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单价</w:t>
            </w:r>
            <w:r>
              <w:rPr>
                <w:rFonts w:hint="eastAsia" w:ascii="仿宋" w:hAnsi="仿宋" w:eastAsia="仿宋" w:cs="仿宋"/>
                <w:sz w:val="28"/>
                <w:szCs w:val="28"/>
                <w:lang w:val="en-US" w:eastAsia="zh-CN"/>
              </w:rPr>
              <w:t>/吨</w:t>
            </w:r>
          </w:p>
        </w:tc>
        <w:tc>
          <w:tcPr>
            <w:tcW w:w="1074" w:type="pct"/>
            <w:noWrap w:val="0"/>
            <w:vAlign w:val="center"/>
          </w:tcPr>
          <w:p w14:paraId="6E7F7F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w:t>
            </w:r>
            <w:r>
              <w:rPr>
                <w:rFonts w:hint="eastAsia" w:ascii="仿宋" w:hAnsi="仿宋" w:eastAsia="仿宋" w:cs="仿宋"/>
                <w:sz w:val="28"/>
                <w:szCs w:val="28"/>
                <w:lang w:val="zh-CN"/>
              </w:rPr>
              <w:t>商</w:t>
            </w:r>
            <w:r>
              <w:rPr>
                <w:rFonts w:hint="eastAsia" w:ascii="仿宋" w:hAnsi="仿宋" w:eastAsia="仿宋" w:cs="仿宋"/>
                <w:sz w:val="28"/>
                <w:szCs w:val="28"/>
                <w:lang w:val="en-US" w:eastAsia="zh-CN"/>
              </w:rPr>
              <w:t>名称/供应</w:t>
            </w:r>
            <w:r>
              <w:rPr>
                <w:rFonts w:hint="eastAsia" w:ascii="仿宋" w:hAnsi="仿宋" w:eastAsia="仿宋" w:cs="仿宋"/>
                <w:sz w:val="28"/>
                <w:szCs w:val="28"/>
                <w:lang w:val="zh-CN"/>
              </w:rPr>
              <w:t>商</w:t>
            </w:r>
            <w:r>
              <w:rPr>
                <w:rFonts w:hint="eastAsia" w:ascii="仿宋" w:hAnsi="仿宋" w:eastAsia="仿宋" w:cs="仿宋"/>
                <w:sz w:val="28"/>
                <w:szCs w:val="28"/>
                <w:lang w:val="en-US" w:eastAsia="zh-CN"/>
              </w:rPr>
              <w:t>地址</w:t>
            </w:r>
          </w:p>
        </w:tc>
      </w:tr>
      <w:tr w14:paraId="7F7C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6" w:type="pct"/>
            <w:noWrap w:val="0"/>
            <w:vAlign w:val="center"/>
          </w:tcPr>
          <w:p w14:paraId="127284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1 </w:t>
            </w:r>
          </w:p>
        </w:tc>
        <w:tc>
          <w:tcPr>
            <w:tcW w:w="968" w:type="pct"/>
            <w:noWrap w:val="0"/>
            <w:vAlign w:val="center"/>
          </w:tcPr>
          <w:p w14:paraId="691E3644">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i w:val="0"/>
                <w:iCs w:val="0"/>
                <w:color w:val="000000"/>
                <w:kern w:val="0"/>
                <w:sz w:val="28"/>
                <w:szCs w:val="28"/>
                <w:u w:val="none"/>
                <w:lang w:val="en-US" w:eastAsia="zh-CN" w:bidi="ar"/>
              </w:rPr>
              <w:t>污泥运输处置</w:t>
            </w:r>
          </w:p>
        </w:tc>
        <w:tc>
          <w:tcPr>
            <w:tcW w:w="1138" w:type="pct"/>
            <w:noWrap w:val="0"/>
            <w:vAlign w:val="center"/>
          </w:tcPr>
          <w:p w14:paraId="72185DBD">
            <w:pPr>
              <w:keepNext w:val="0"/>
              <w:keepLines w:val="0"/>
              <w:widowControl/>
              <w:suppressLineNumbers w:val="0"/>
              <w:jc w:val="both"/>
              <w:textAlignment w:val="center"/>
              <w:rPr>
                <w:rFonts w:hint="eastAsia" w:ascii="仿宋" w:hAnsi="仿宋" w:eastAsia="仿宋" w:cs="仿宋"/>
                <w:sz w:val="28"/>
                <w:szCs w:val="28"/>
                <w:lang w:val="en-US" w:eastAsia="zh-CN"/>
              </w:rPr>
            </w:pPr>
            <w:r>
              <w:rPr>
                <w:rFonts w:hint="eastAsia" w:ascii="仿宋" w:hAnsi="仿宋" w:eastAsia="仿宋" w:cs="仿宋"/>
                <w:i w:val="0"/>
                <w:iCs w:val="0"/>
                <w:color w:val="000000"/>
                <w:kern w:val="0"/>
                <w:sz w:val="28"/>
                <w:szCs w:val="28"/>
                <w:u w:val="none"/>
                <w:lang w:val="en-US" w:eastAsia="zh-CN" w:bidi="ar"/>
              </w:rPr>
              <w:t>污泥外运后合法资源化利用</w:t>
            </w:r>
          </w:p>
        </w:tc>
        <w:tc>
          <w:tcPr>
            <w:tcW w:w="753" w:type="pct"/>
            <w:noWrap w:val="0"/>
            <w:vAlign w:val="center"/>
          </w:tcPr>
          <w:p w14:paraId="1D4DC2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2年</w:t>
            </w:r>
          </w:p>
        </w:tc>
        <w:tc>
          <w:tcPr>
            <w:tcW w:w="778" w:type="pct"/>
            <w:noWrap w:val="0"/>
            <w:vAlign w:val="center"/>
          </w:tcPr>
          <w:p w14:paraId="186118D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1074" w:type="pct"/>
            <w:noWrap w:val="0"/>
            <w:vAlign w:val="center"/>
          </w:tcPr>
          <w:p w14:paraId="40F99A9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r>
    </w:tbl>
    <w:p w14:paraId="3091A398">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p>
    <w:p w14:paraId="49C5A1AB">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四.询价工作准备</w:t>
      </w:r>
      <w:bookmarkEnd w:id="16"/>
    </w:p>
    <w:p w14:paraId="31BD871D">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17" w:name="_Toc6990"/>
      <w:r>
        <w:rPr>
          <w:rFonts w:hint="eastAsia" w:ascii="仿宋" w:hAnsi="仿宋" w:eastAsia="仿宋" w:cs="仿宋"/>
          <w:color w:val="auto"/>
          <w:sz w:val="32"/>
          <w:szCs w:val="32"/>
          <w:lang w:val="en-US" w:eastAsia="zh-CN"/>
        </w:rPr>
        <w:t>4.1询价范围</w:t>
      </w:r>
      <w:bookmarkEnd w:id="17"/>
    </w:p>
    <w:p w14:paraId="3DFA46C3">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☑采购项目和工程项目中无信息价的材料与设备、货物；</w:t>
      </w:r>
    </w:p>
    <w:p w14:paraId="1B81F60F">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□招标清单中暂估价专业工程、材料与设备、货物；</w:t>
      </w:r>
    </w:p>
    <w:p w14:paraId="03EE5DAE">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□已标价的工程量清单、投标清单和信息价中无相同项目的设计变更签证、深化设计、清单和图纸漏项及新增项目等材料与设备、货物。</w:t>
      </w:r>
    </w:p>
    <w:p w14:paraId="4FACB735">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18" w:name="_Toc24607"/>
      <w:r>
        <w:rPr>
          <w:rFonts w:hint="eastAsia" w:ascii="仿宋" w:hAnsi="仿宋" w:eastAsia="仿宋" w:cs="仿宋"/>
          <w:color w:val="auto"/>
          <w:sz w:val="32"/>
          <w:szCs w:val="32"/>
          <w:lang w:val="en-US" w:eastAsia="zh-CN"/>
        </w:rPr>
        <w:t>4.2计划开始和完成时间</w:t>
      </w:r>
      <w:bookmarkEnd w:id="18"/>
    </w:p>
    <w:p w14:paraId="37EF799D">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询价工作计划于</w:t>
      </w:r>
      <w:r>
        <w:rPr>
          <w:rFonts w:hint="eastAsia" w:ascii="仿宋" w:hAnsi="仿宋" w:eastAsia="仿宋" w:cs="仿宋"/>
          <w:b/>
          <w:bCs/>
          <w:color w:val="auto"/>
          <w:sz w:val="32"/>
          <w:szCs w:val="32"/>
          <w:highlight w:val="none"/>
          <w:lang w:val="en-US" w:eastAsia="zh-CN"/>
        </w:rPr>
        <w:t>2025年7月28日</w:t>
      </w:r>
      <w:r>
        <w:rPr>
          <w:rFonts w:hint="eastAsia" w:ascii="仿宋" w:hAnsi="仿宋" w:eastAsia="仿宋" w:cs="仿宋"/>
          <w:color w:val="auto"/>
          <w:sz w:val="32"/>
          <w:szCs w:val="32"/>
          <w:highlight w:val="none"/>
          <w:lang w:val="en-US" w:eastAsia="zh-CN"/>
        </w:rPr>
        <w:t>开始，于</w:t>
      </w:r>
      <w:r>
        <w:rPr>
          <w:rFonts w:hint="eastAsia" w:ascii="仿宋" w:hAnsi="仿宋" w:eastAsia="仿宋" w:cs="仿宋"/>
          <w:b/>
          <w:bCs/>
          <w:color w:val="auto"/>
          <w:sz w:val="32"/>
          <w:szCs w:val="32"/>
          <w:highlight w:val="none"/>
          <w:lang w:val="en-US" w:eastAsia="zh-CN"/>
        </w:rPr>
        <w:t>2025年8月3日</w:t>
      </w:r>
      <w:r>
        <w:rPr>
          <w:rFonts w:hint="eastAsia" w:ascii="仿宋" w:hAnsi="仿宋" w:eastAsia="仿宋" w:cs="仿宋"/>
          <w:color w:val="auto"/>
          <w:sz w:val="32"/>
          <w:szCs w:val="32"/>
          <w:highlight w:val="none"/>
          <w:lang w:val="en-US" w:eastAsia="zh-CN"/>
        </w:rPr>
        <w:t>结束。</w:t>
      </w:r>
    </w:p>
    <w:p w14:paraId="7154BD02">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19" w:name="_Toc29561"/>
      <w:r>
        <w:rPr>
          <w:rFonts w:hint="eastAsia" w:ascii="仿宋" w:hAnsi="仿宋" w:eastAsia="仿宋" w:cs="仿宋"/>
          <w:color w:val="auto"/>
          <w:sz w:val="32"/>
          <w:szCs w:val="32"/>
          <w:lang w:val="en-US" w:eastAsia="zh-CN"/>
        </w:rPr>
        <w:t>4.3询价工作组</w:t>
      </w:r>
      <w:bookmarkEnd w:id="19"/>
    </w:p>
    <w:p w14:paraId="16CCD2FB">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组长：王欣</w:t>
      </w:r>
      <w:r>
        <w:rPr>
          <w:rFonts w:hint="eastAsia" w:ascii="仿宋" w:hAnsi="仿宋" w:eastAsia="仿宋" w:cs="仿宋"/>
          <w:color w:val="FF0000"/>
          <w:sz w:val="32"/>
          <w:szCs w:val="32"/>
          <w:lang w:val="en-US" w:eastAsia="zh-CN"/>
        </w:rPr>
        <w:t xml:space="preserve"> </w:t>
      </w:r>
    </w:p>
    <w:p w14:paraId="370B2BA1">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lang w:val="en-US" w:eastAsia="zh-CN"/>
        </w:rPr>
      </w:pPr>
      <w:bookmarkStart w:id="20" w:name="_Toc4725"/>
      <w:r>
        <w:rPr>
          <w:rFonts w:hint="eastAsia" w:ascii="仿宋" w:hAnsi="仿宋" w:eastAsia="仿宋" w:cs="仿宋"/>
          <w:color w:val="auto"/>
          <w:sz w:val="32"/>
          <w:szCs w:val="32"/>
          <w:lang w:val="en-US" w:eastAsia="zh-CN"/>
        </w:rPr>
        <w:t>成员：项目公司项目负责人：王欣</w:t>
      </w:r>
    </w:p>
    <w:p w14:paraId="36428267">
      <w:pPr>
        <w:pStyle w:val="5"/>
        <w:keepNext w:val="0"/>
        <w:keepLines w:val="0"/>
        <w:pageBreakBefore w:val="0"/>
        <w:widowControl w:val="0"/>
        <w:kinsoku/>
        <w:wordWrap/>
        <w:overflowPunct/>
        <w:topLinePunct w:val="0"/>
        <w:autoSpaceDE/>
        <w:autoSpaceDN/>
        <w:bidi w:val="0"/>
        <w:adjustRightInd/>
        <w:snapToGrid/>
        <w:spacing w:after="0" w:line="52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集团工程管理部相关人员：李佳欢、陈饶</w:t>
      </w:r>
    </w:p>
    <w:p w14:paraId="5D060EF7">
      <w:pPr>
        <w:pStyle w:val="5"/>
        <w:keepNext w:val="0"/>
        <w:keepLines w:val="0"/>
        <w:pageBreakBefore w:val="0"/>
        <w:widowControl w:val="0"/>
        <w:kinsoku/>
        <w:wordWrap/>
        <w:overflowPunct/>
        <w:topLinePunct w:val="0"/>
        <w:autoSpaceDE/>
        <w:autoSpaceDN/>
        <w:bidi w:val="0"/>
        <w:adjustRightInd/>
        <w:snapToGrid/>
        <w:spacing w:after="0" w:line="52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项目公司现场负责人：徐嘉彬、洪剑、郑黎明、</w:t>
      </w:r>
    </w:p>
    <w:p w14:paraId="3DA21B5F">
      <w:pPr>
        <w:pStyle w:val="5"/>
        <w:keepNext w:val="0"/>
        <w:keepLines w:val="0"/>
        <w:pageBreakBefore w:val="0"/>
        <w:widowControl w:val="0"/>
        <w:kinsoku/>
        <w:wordWrap/>
        <w:overflowPunct/>
        <w:topLinePunct w:val="0"/>
        <w:autoSpaceDE/>
        <w:autoSpaceDN/>
        <w:bidi w:val="0"/>
        <w:adjustRightInd/>
        <w:snapToGrid/>
        <w:spacing w:after="0" w:line="52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黄鑫卓</w:t>
      </w:r>
    </w:p>
    <w:p w14:paraId="07174726">
      <w:pPr>
        <w:pStyle w:val="5"/>
        <w:keepNext w:val="0"/>
        <w:keepLines w:val="0"/>
        <w:pageBreakBefore w:val="0"/>
        <w:widowControl w:val="0"/>
        <w:kinsoku/>
        <w:wordWrap/>
        <w:overflowPunct/>
        <w:topLinePunct w:val="0"/>
        <w:autoSpaceDE/>
        <w:autoSpaceDN/>
        <w:bidi w:val="0"/>
        <w:adjustRightInd/>
        <w:snapToGrid/>
        <w:spacing w:after="0" w:line="520" w:lineRule="exact"/>
        <w:ind w:firstLine="1600" w:firstLineChars="5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代理机构：万梨花</w:t>
      </w:r>
    </w:p>
    <w:p w14:paraId="2C3677A2">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4.4询价材料与设备建议价</w:t>
      </w:r>
      <w:bookmarkEnd w:id="20"/>
    </w:p>
    <w:p w14:paraId="386CA785">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1"/>
        <w:rPr>
          <w:rFonts w:hint="eastAsia" w:ascii="仿宋" w:hAnsi="仿宋" w:eastAsia="仿宋" w:cs="仿宋"/>
          <w:color w:val="auto"/>
          <w:sz w:val="32"/>
          <w:szCs w:val="32"/>
          <w:lang w:val="en-US" w:eastAsia="zh-CN"/>
        </w:rPr>
      </w:pPr>
      <w:bookmarkStart w:id="21" w:name="_Toc28438"/>
      <w:r>
        <w:rPr>
          <w:rFonts w:hint="eastAsia" w:ascii="仿宋" w:hAnsi="仿宋" w:eastAsia="仿宋" w:cs="仿宋"/>
          <w:color w:val="auto"/>
          <w:sz w:val="32"/>
          <w:szCs w:val="32"/>
          <w:lang w:val="en-US" w:eastAsia="zh-CN"/>
        </w:rPr>
        <w:t>无</w:t>
      </w:r>
    </w:p>
    <w:p w14:paraId="3DF7E06A">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4.5供应商名单及选择理由</w:t>
      </w:r>
      <w:bookmarkEnd w:id="21"/>
    </w:p>
    <w:p w14:paraId="0BCD8E99">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22" w:name="_Toc7783"/>
      <w:r>
        <w:rPr>
          <w:rFonts w:hint="eastAsia" w:ascii="仿宋" w:hAnsi="仿宋" w:eastAsia="仿宋" w:cs="仿宋"/>
          <w:color w:val="auto"/>
          <w:sz w:val="32"/>
          <w:szCs w:val="32"/>
          <w:lang w:val="en-US" w:eastAsia="zh-CN"/>
        </w:rPr>
        <w:t xml:space="preserve">    无</w:t>
      </w:r>
    </w:p>
    <w:p w14:paraId="4132F0DF">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4.6询价方式</w:t>
      </w:r>
      <w:bookmarkEnd w:id="22"/>
    </w:p>
    <w:p w14:paraId="17F0E4DD">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☑专业询价平台询价</w:t>
      </w:r>
      <w:r>
        <w:rPr>
          <w:rFonts w:hint="eastAsia" w:ascii="仿宋" w:hAnsi="仿宋" w:eastAsia="仿宋" w:cs="仿宋"/>
          <w:color w:val="000000" w:themeColor="text1"/>
          <w:sz w:val="32"/>
          <w:szCs w:val="32"/>
          <w:lang w:val="en-US" w:eastAsia="zh-CN"/>
          <w14:textFill>
            <w14:solidFill>
              <w14:schemeClr w14:val="tx1"/>
            </w14:solidFill>
          </w14:textFill>
        </w:rPr>
        <w:t>（若采用专业询价平台询价，应采取现场递交或邮寄报价单形式，不应采用邮件报价）</w:t>
      </w:r>
    </w:p>
    <w:p w14:paraId="2530F458">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1.由询价工作组委托上饶市阳光采购平台负责询价，询价工作组在平台公开发布材料/设备询价公告，供应商按公告要求一次性报价；</w:t>
      </w:r>
    </w:p>
    <w:p w14:paraId="103FD304">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2.询价工作组根据供应商的报价单，通过查询专业询价网站、电话联系供应商，并结合信息价和项目所在地市场价等，提出定价初步意见；</w:t>
      </w:r>
    </w:p>
    <w:p w14:paraId="579ECE0F">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3.此询价方式适用于一般设备/材料。</w:t>
      </w:r>
    </w:p>
    <w:p w14:paraId="4FD60E15">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□专业咨询公司询价</w:t>
      </w:r>
    </w:p>
    <w:p w14:paraId="4544BF10">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1.询价工作组委托专业咨询公司询价，专业咨询公司出具《询价意见书》；</w:t>
      </w:r>
    </w:p>
    <w:p w14:paraId="153C4C2D">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2.询价工作组根据《询价意见书》，通过查询专业询价网站或实地考察供应商，并结合信息价和项目所在地市场价等，提出定价初步意见；</w:t>
      </w:r>
    </w:p>
    <w:p w14:paraId="3F5E66BD">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3.此询价方式适用于特殊设备/材料、新型材料。</w:t>
      </w:r>
    </w:p>
    <w:p w14:paraId="0ECD60CA">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23" w:name="_Toc11014"/>
      <w:r>
        <w:rPr>
          <w:rFonts w:hint="eastAsia" w:ascii="仿宋" w:hAnsi="仿宋" w:eastAsia="仿宋" w:cs="仿宋"/>
          <w:color w:val="auto"/>
          <w:sz w:val="32"/>
          <w:szCs w:val="32"/>
          <w:lang w:val="en-US" w:eastAsia="zh-CN"/>
        </w:rPr>
        <w:t>4.7询价计划</w:t>
      </w:r>
      <w:bookmarkEnd w:id="23"/>
    </w:p>
    <w:p w14:paraId="0E9992E3">
      <w:pPr>
        <w:pStyle w:val="5"/>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本次询价公告在上饶市阳光采购平台（www.ygcgfwpt.com）上发布。</w:t>
      </w:r>
    </w:p>
    <w:p w14:paraId="362E71A7">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bookmarkStart w:id="24" w:name="_Toc14052"/>
      <w:r>
        <w:rPr>
          <w:rFonts w:hint="eastAsia" w:ascii="黑体" w:hAnsi="黑体" w:eastAsia="黑体" w:cs="黑体"/>
          <w:b w:val="0"/>
          <w:bCs w:val="0"/>
          <w:kern w:val="0"/>
          <w:sz w:val="32"/>
          <w:szCs w:val="32"/>
          <w:lang w:val="en-US" w:eastAsia="zh-CN" w:bidi="ar-SA"/>
        </w:rPr>
        <w:t>五.询价确认</w:t>
      </w:r>
      <w:bookmarkEnd w:id="24"/>
    </w:p>
    <w:p w14:paraId="5279A0A4">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25" w:name="_Toc14792"/>
      <w:r>
        <w:rPr>
          <w:rFonts w:hint="eastAsia" w:ascii="仿宋" w:hAnsi="仿宋" w:eastAsia="仿宋" w:cs="仿宋"/>
          <w:color w:val="auto"/>
          <w:sz w:val="32"/>
          <w:szCs w:val="32"/>
          <w:lang w:val="en-US" w:eastAsia="zh-CN"/>
        </w:rPr>
        <w:t>5.1报价开封会</w:t>
      </w:r>
      <w:bookmarkEnd w:id="25"/>
    </w:p>
    <w:p w14:paraId="09AF171D">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报价开封会计</w:t>
      </w:r>
      <w:r>
        <w:rPr>
          <w:rFonts w:hint="eastAsia" w:ascii="仿宋" w:hAnsi="仿宋" w:eastAsia="仿宋" w:cs="仿宋"/>
          <w:color w:val="000000" w:themeColor="text1"/>
          <w:sz w:val="32"/>
          <w:szCs w:val="32"/>
          <w:highlight w:val="none"/>
          <w:lang w:val="en-US" w:eastAsia="zh-CN"/>
          <w14:textFill>
            <w14:solidFill>
              <w14:schemeClr w14:val="tx1"/>
            </w14:solidFill>
          </w14:textFill>
        </w:rPr>
        <w:t>划于2025年8月4日，</w:t>
      </w:r>
      <w:r>
        <w:rPr>
          <w:rFonts w:hint="eastAsia" w:ascii="仿宋" w:hAnsi="仿宋" w:eastAsia="仿宋" w:cs="仿宋"/>
          <w:color w:val="000000" w:themeColor="text1"/>
          <w:sz w:val="32"/>
          <w:szCs w:val="32"/>
          <w:lang w:val="en-US" w:eastAsia="zh-CN"/>
          <w14:textFill>
            <w14:solidFill>
              <w14:schemeClr w14:val="tx1"/>
            </w14:solidFill>
          </w14:textFill>
        </w:rPr>
        <w:t>组织询价工作组成员在创投集团二号楼三楼会议室共同见证开启并登记报价单。</w:t>
      </w:r>
    </w:p>
    <w:p w14:paraId="07C553C7">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26" w:name="_Toc19089"/>
      <w:r>
        <w:rPr>
          <w:rFonts w:hint="eastAsia" w:ascii="仿宋" w:hAnsi="仿宋" w:eastAsia="仿宋" w:cs="仿宋"/>
          <w:color w:val="auto"/>
          <w:sz w:val="32"/>
          <w:szCs w:val="32"/>
          <w:lang w:val="en-US" w:eastAsia="zh-CN"/>
        </w:rPr>
        <w:t>5.2询价报告</w:t>
      </w:r>
      <w:bookmarkEnd w:id="26"/>
      <w:bookmarkStart w:id="32" w:name="_GoBack"/>
      <w:bookmarkEnd w:id="32"/>
    </w:p>
    <w:p w14:paraId="39CDD618">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询价工作组根据上述询价方式，经询价后出具《询价报告》，询价过程从询价工作组收到《材料/</w:t>
      </w:r>
      <w:r>
        <w:rPr>
          <w:rFonts w:hint="eastAsia" w:ascii="仿宋" w:hAnsi="仿宋" w:eastAsia="仿宋" w:cs="仿宋"/>
          <w:color w:val="auto"/>
          <w:sz w:val="32"/>
          <w:szCs w:val="32"/>
          <w:highlight w:val="none"/>
          <w:lang w:val="en-US" w:eastAsia="zh-CN"/>
        </w:rPr>
        <w:t>设备询价报审表》至提交《询价报告》过程时间不超过1个月。</w:t>
      </w:r>
    </w:p>
    <w:p w14:paraId="7F62B4C0">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《询价报告》主要内容</w:t>
      </w:r>
    </w:p>
    <w:p w14:paraId="78448F27">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(一)项目名称、技术要求、服务期限等；</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ab/>
      </w:r>
    </w:p>
    <w:p w14:paraId="682FE721">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(二)供应商报价及综合单价组成(含包含污泥装卸费、污泥运输费、污泥处置费、各类设备费、管理费、保险费、员工工资、税费等全部费用)；</w:t>
      </w:r>
    </w:p>
    <w:p w14:paraId="4F59CA09">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(三)拟定询价价格或价格范围以及拟推荐供应</w:t>
      </w:r>
      <w:r>
        <w:rPr>
          <w:rFonts w:hint="eastAsia" w:ascii="仿宋" w:hAnsi="仿宋" w:eastAsia="仿宋" w:cs="仿宋"/>
          <w:color w:val="auto"/>
          <w:sz w:val="32"/>
          <w:szCs w:val="32"/>
          <w:lang w:val="en-US" w:eastAsia="zh-CN"/>
        </w:rPr>
        <w:t>商；</w:t>
      </w:r>
    </w:p>
    <w:p w14:paraId="55B817F1">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(四)询价工作情况简要说明(重点说明价格拟定、供应商推荐理由)。</w:t>
      </w:r>
    </w:p>
    <w:p w14:paraId="022DA854">
      <w:pPr>
        <w:pStyle w:val="5"/>
        <w:pageBreakBefore w:val="0"/>
        <w:widowControl w:val="0"/>
        <w:kinsoku/>
        <w:wordWrap/>
        <w:overflowPunct/>
        <w:topLinePunct w:val="0"/>
        <w:autoSpaceDE/>
        <w:autoSpaceDN/>
        <w:bidi w:val="0"/>
        <w:adjustRightInd/>
        <w:snapToGrid/>
        <w:spacing w:after="0" w:line="520" w:lineRule="exact"/>
        <w:textAlignment w:val="auto"/>
        <w:outlineLvl w:val="1"/>
        <w:rPr>
          <w:rFonts w:hint="eastAsia" w:ascii="仿宋" w:hAnsi="仿宋" w:eastAsia="仿宋" w:cs="仿宋"/>
          <w:color w:val="auto"/>
          <w:sz w:val="32"/>
          <w:szCs w:val="32"/>
          <w:lang w:val="en-US" w:eastAsia="zh-CN"/>
        </w:rPr>
      </w:pPr>
      <w:bookmarkStart w:id="27" w:name="_Toc25864"/>
      <w:r>
        <w:rPr>
          <w:rFonts w:hint="eastAsia" w:ascii="仿宋" w:hAnsi="仿宋" w:eastAsia="仿宋" w:cs="仿宋"/>
          <w:color w:val="auto"/>
          <w:sz w:val="32"/>
          <w:szCs w:val="32"/>
          <w:lang w:val="en-US" w:eastAsia="zh-CN"/>
        </w:rPr>
        <w:t>5.3询价结果的公示及确认</w:t>
      </w:r>
      <w:bookmarkEnd w:id="27"/>
    </w:p>
    <w:p w14:paraId="6F935E85">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询价工作组将《询价报告》提交集团公司工程联席会议研究，会议通过后在集团官网和慧讯网公示材料/设备询价定价结果。 公示期结束项目公司组织相关单位签署《材料/设备询价确认单》。</w:t>
      </w:r>
    </w:p>
    <w:p w14:paraId="3AFD09F7">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bookmarkStart w:id="28" w:name="_Toc9115"/>
      <w:r>
        <w:rPr>
          <w:rFonts w:hint="eastAsia" w:ascii="黑体" w:hAnsi="黑体" w:eastAsia="黑体" w:cs="黑体"/>
          <w:b w:val="0"/>
          <w:bCs w:val="0"/>
          <w:kern w:val="0"/>
          <w:sz w:val="32"/>
          <w:szCs w:val="32"/>
          <w:lang w:val="en-US" w:eastAsia="zh-CN" w:bidi="ar-SA"/>
        </w:rPr>
        <w:t>六.询价备案及成果运用</w:t>
      </w:r>
      <w:bookmarkEnd w:id="28"/>
    </w:p>
    <w:p w14:paraId="7F5F6D9B">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1.项目公司在《材料/设备询价确认单》签署后7 天内报送集团公司工程管理部备案。备案材料包括:《材料/设备询价报审表》、《询价方案》、《材料/设备询价报价单》、《询价报告》、《材料/设备询价确认单》、《材料/设备询价备案表》、集团公司工程联席会会议纪要等相关材料。</w:t>
      </w:r>
    </w:p>
    <w:p w14:paraId="31B57588">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2.市场行情波动不大时，已备案的价格可作为同类项目询价参考。</w:t>
      </w:r>
    </w:p>
    <w:p w14:paraId="6AFC439A">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3.一年内若涉及同类项目询价的，对已实地考察过的供应商可电话询价。</w:t>
      </w:r>
    </w:p>
    <w:p w14:paraId="3ABD5EBE">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4.已签署《材料/设备询价确认单》的供应商拒签供货合同的列入黑名单，不得再次选为被询价单位。</w:t>
      </w:r>
    </w:p>
    <w:p w14:paraId="2D2A5CB6">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 w:val="0"/>
          <w:bCs w:val="0"/>
          <w:kern w:val="0"/>
          <w:sz w:val="32"/>
          <w:szCs w:val="32"/>
          <w:lang w:val="en-US" w:eastAsia="zh-CN" w:bidi="ar-SA"/>
        </w:rPr>
      </w:pPr>
      <w:bookmarkStart w:id="29" w:name="_Toc8361"/>
      <w:r>
        <w:rPr>
          <w:rFonts w:hint="eastAsia" w:ascii="黑体" w:hAnsi="黑体" w:eastAsia="黑体" w:cs="黑体"/>
          <w:b w:val="0"/>
          <w:bCs w:val="0"/>
          <w:kern w:val="0"/>
          <w:sz w:val="32"/>
          <w:szCs w:val="32"/>
          <w:lang w:val="en-US" w:eastAsia="zh-CN" w:bidi="ar-SA"/>
        </w:rPr>
        <w:t>七.附件</w:t>
      </w:r>
      <w:bookmarkEnd w:id="29"/>
    </w:p>
    <w:p w14:paraId="188DC434">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0"/>
        <w:rPr>
          <w:rFonts w:hint="eastAsia" w:ascii="仿宋" w:hAnsi="仿宋" w:eastAsia="仿宋" w:cs="仿宋"/>
          <w:color w:val="auto"/>
          <w:sz w:val="32"/>
          <w:szCs w:val="32"/>
          <w:lang w:val="en-US" w:eastAsia="zh-CN"/>
        </w:rPr>
      </w:pPr>
      <w:bookmarkStart w:id="30" w:name="_Toc5920"/>
      <w:r>
        <w:rPr>
          <w:rFonts w:hint="eastAsia" w:ascii="仿宋" w:hAnsi="仿宋" w:eastAsia="仿宋" w:cs="仿宋"/>
          <w:color w:val="auto"/>
          <w:sz w:val="32"/>
          <w:szCs w:val="32"/>
          <w:lang w:val="en-US" w:eastAsia="zh-CN"/>
        </w:rPr>
        <w:t>附件一：《材料/设备询价报审表》；</w:t>
      </w:r>
      <w:bookmarkEnd w:id="30"/>
    </w:p>
    <w:p w14:paraId="56D142E0">
      <w:pPr>
        <w:pStyle w:val="5"/>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0"/>
        <w:rPr>
          <w:rFonts w:hint="eastAsia" w:ascii="仿宋" w:hAnsi="仿宋" w:eastAsia="仿宋" w:cs="仿宋"/>
          <w:color w:val="000000" w:themeColor="text1"/>
          <w:sz w:val="32"/>
          <w:szCs w:val="32"/>
          <w:u w:val="single"/>
          <w:lang w:val="en-US" w:eastAsia="zh-CN"/>
          <w14:textFill>
            <w14:solidFill>
              <w14:schemeClr w14:val="tx1"/>
            </w14:solidFill>
          </w14:textFill>
        </w:rPr>
      </w:pPr>
      <w:bookmarkStart w:id="31" w:name="_Toc25352"/>
      <w:r>
        <w:rPr>
          <w:rFonts w:hint="eastAsia" w:ascii="仿宋" w:hAnsi="仿宋" w:eastAsia="仿宋" w:cs="仿宋"/>
          <w:color w:val="auto"/>
          <w:sz w:val="32"/>
          <w:szCs w:val="32"/>
          <w:lang w:val="en-US" w:eastAsia="zh-CN"/>
        </w:rPr>
        <w:t>附件二：询价流程图</w:t>
      </w:r>
      <w:bookmarkEnd w:id="31"/>
    </w:p>
    <w:p w14:paraId="12F75FA3">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（以</w:t>
      </w:r>
      <w:r>
        <w:rPr>
          <w:rFonts w:hint="eastAsia" w:ascii="仿宋" w:hAnsi="仿宋" w:eastAsia="仿宋" w:cs="仿宋"/>
          <w:color w:val="000000" w:themeColor="text1"/>
          <w:sz w:val="32"/>
          <w:szCs w:val="32"/>
          <w:lang w:val="en-US" w:eastAsia="zh-CN"/>
          <w14:textFill>
            <w14:solidFill>
              <w14:schemeClr w14:val="tx1"/>
            </w14:solidFill>
          </w14:textFill>
        </w:rPr>
        <w:t>《上饶创新发展产业投资集团有限公司材料与设备询价管理办法（试行）》文件为准</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14:paraId="4BFBA00A">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auto"/>
          <w:sz w:val="32"/>
          <w:szCs w:val="32"/>
          <w:lang w:val="en-US" w:eastAsia="zh-CN"/>
        </w:rPr>
        <w:sectPr>
          <w:footerReference r:id="rId8" w:type="default"/>
          <w:pgSz w:w="11906" w:h="16838"/>
          <w:pgMar w:top="1440" w:right="1701" w:bottom="1440" w:left="1701" w:header="851" w:footer="992" w:gutter="0"/>
          <w:pgNumType w:fmt="decimal" w:start="1"/>
          <w:cols w:space="425" w:num="1"/>
          <w:docGrid w:type="lines" w:linePitch="312" w:charSpace="0"/>
        </w:sectPr>
      </w:pPr>
    </w:p>
    <w:p w14:paraId="22210C3B">
      <w:pPr>
        <w:pStyle w:val="5"/>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FF0000"/>
          <w:sz w:val="32"/>
          <w:szCs w:val="32"/>
          <w:u w:val="none"/>
          <w:lang w:val="en-US" w:eastAsia="zh-CN"/>
        </w:rPr>
        <w:drawing>
          <wp:anchor distT="0" distB="0" distL="114300" distR="114300" simplePos="0" relativeHeight="251659264" behindDoc="1" locked="0" layoutInCell="1" allowOverlap="1">
            <wp:simplePos x="0" y="0"/>
            <wp:positionH relativeFrom="column">
              <wp:posOffset>-307340</wp:posOffset>
            </wp:positionH>
            <wp:positionV relativeFrom="paragraph">
              <wp:posOffset>512445</wp:posOffset>
            </wp:positionV>
            <wp:extent cx="6257925" cy="8200390"/>
            <wp:effectExtent l="0" t="0" r="0" b="0"/>
            <wp:wrapTight wrapText="bothSides">
              <wp:wrapPolygon>
                <wp:start x="0" y="0"/>
                <wp:lineTo x="0" y="21557"/>
                <wp:lineTo x="21567" y="21557"/>
                <wp:lineTo x="21567" y="0"/>
                <wp:lineTo x="0" y="0"/>
              </wp:wrapPolygon>
            </wp:wrapTight>
            <wp:docPr id="2" name="图片 2" descr="询价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询价流程图"/>
                    <pic:cNvPicPr>
                      <a:picLocks noChangeAspect="1"/>
                    </pic:cNvPicPr>
                  </pic:nvPicPr>
                  <pic:blipFill>
                    <a:blip r:embed="rId10"/>
                    <a:stretch>
                      <a:fillRect/>
                    </a:stretch>
                  </pic:blipFill>
                  <pic:spPr>
                    <a:xfrm>
                      <a:off x="0" y="0"/>
                      <a:ext cx="6257925" cy="8200390"/>
                    </a:xfrm>
                    <a:prstGeom prst="rect">
                      <a:avLst/>
                    </a:prstGeom>
                  </pic:spPr>
                </pic:pic>
              </a:graphicData>
            </a:graphic>
          </wp:anchor>
        </w:drawing>
      </w:r>
      <w:r>
        <w:rPr>
          <w:rFonts w:hint="eastAsia" w:ascii="仿宋" w:hAnsi="仿宋" w:eastAsia="仿宋" w:cs="仿宋"/>
          <w:color w:val="auto"/>
          <w:sz w:val="32"/>
          <w:szCs w:val="32"/>
          <w:lang w:val="en-US" w:eastAsia="zh-CN"/>
        </w:rPr>
        <w:t>附件二：询价流程图</w:t>
      </w:r>
    </w:p>
    <w:sectPr>
      <w:pgSz w:w="11906" w:h="16838"/>
      <w:pgMar w:top="1440" w:right="1701" w:bottom="1440"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550722"/>
      <w:docPartObj>
        <w:docPartGallery w:val="autotext"/>
      </w:docPartObj>
    </w:sdtPr>
    <w:sdtEndPr>
      <w:rPr>
        <w:rFonts w:asciiTheme="minorEastAsia" w:hAnsiTheme="minorEastAsia" w:eastAsiaTheme="minorEastAsia"/>
        <w:sz w:val="21"/>
        <w:szCs w:val="21"/>
      </w:rPr>
    </w:sdtEndPr>
    <w:sdtContent>
      <w:p w14:paraId="65036E68">
        <w:pPr>
          <w:pStyle w:val="6"/>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21</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98</w:t>
        </w:r>
      </w:p>
    </w:sdtContent>
  </w:sdt>
  <w:p w14:paraId="71643EE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7B20">
    <w:pPr>
      <w:pStyle w:val="6"/>
      <w:jc w:val="center"/>
    </w:pPr>
  </w:p>
  <w:p w14:paraId="5795E67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AA7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F4AC">
    <w:pPr>
      <w:pStyle w:val="6"/>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91AFA">
                          <w:pPr>
                            <w:rPr>
                              <w:rFonts w:asciiTheme="minorEastAsia" w:hAnsiTheme="minorEastAsia" w:eastAsiaTheme="minorEastAsia"/>
                              <w:sz w:val="21"/>
                              <w:szCs w:val="21"/>
                            </w:rPr>
                          </w:pPr>
                          <w:r>
                            <w:rPr>
                              <w:rFonts w:asciiTheme="minorEastAsia" w:hAnsiTheme="minorEastAsia" w:eastAsiaTheme="minorEastAsia"/>
                              <w:sz w:val="21"/>
                              <w:szCs w:val="21"/>
                            </w:rPr>
                            <w:t xml:space="preserve">第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页 共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NUMPAGES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9D91AFA">
                    <w:pPr>
                      <w:rPr>
                        <w:rFonts w:asciiTheme="minorEastAsia" w:hAnsiTheme="minorEastAsia" w:eastAsiaTheme="minorEastAsia"/>
                        <w:sz w:val="21"/>
                        <w:szCs w:val="21"/>
                      </w:rPr>
                    </w:pPr>
                    <w:r>
                      <w:rPr>
                        <w:rFonts w:asciiTheme="minorEastAsia" w:hAnsiTheme="minorEastAsia" w:eastAsiaTheme="minorEastAsia"/>
                        <w:sz w:val="21"/>
                        <w:szCs w:val="21"/>
                      </w:rPr>
                      <w:t xml:space="preserve">第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页 共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NUMPAGES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TMxM2Q5Y2ZmOWI4YjgxOTY3MTczNDJlMjFlYjUifQ=="/>
  </w:docVars>
  <w:rsids>
    <w:rsidRoot w:val="18C74EE7"/>
    <w:rsid w:val="016F283F"/>
    <w:rsid w:val="05265F37"/>
    <w:rsid w:val="068943A3"/>
    <w:rsid w:val="06CE0768"/>
    <w:rsid w:val="07B44D32"/>
    <w:rsid w:val="07FD43F6"/>
    <w:rsid w:val="0A1B5312"/>
    <w:rsid w:val="0A23652E"/>
    <w:rsid w:val="0CBB102F"/>
    <w:rsid w:val="112E0021"/>
    <w:rsid w:val="13286CF2"/>
    <w:rsid w:val="14F86811"/>
    <w:rsid w:val="15B27CCF"/>
    <w:rsid w:val="162E461F"/>
    <w:rsid w:val="16753FFC"/>
    <w:rsid w:val="18133ACD"/>
    <w:rsid w:val="18AA0265"/>
    <w:rsid w:val="18C74EE7"/>
    <w:rsid w:val="19591945"/>
    <w:rsid w:val="1A613215"/>
    <w:rsid w:val="1AC36034"/>
    <w:rsid w:val="1B80591D"/>
    <w:rsid w:val="1BFA576C"/>
    <w:rsid w:val="1C074032"/>
    <w:rsid w:val="1CDD6200"/>
    <w:rsid w:val="1EEE40CF"/>
    <w:rsid w:val="1F551C83"/>
    <w:rsid w:val="200308CB"/>
    <w:rsid w:val="21EE2182"/>
    <w:rsid w:val="2EA9088F"/>
    <w:rsid w:val="30A630F5"/>
    <w:rsid w:val="32075EE8"/>
    <w:rsid w:val="321171AF"/>
    <w:rsid w:val="33BB353F"/>
    <w:rsid w:val="34C226AB"/>
    <w:rsid w:val="352549E8"/>
    <w:rsid w:val="36157648"/>
    <w:rsid w:val="3AF47336"/>
    <w:rsid w:val="3C265C15"/>
    <w:rsid w:val="3D577B08"/>
    <w:rsid w:val="41EA1493"/>
    <w:rsid w:val="420A7D6E"/>
    <w:rsid w:val="43C46055"/>
    <w:rsid w:val="43DD305D"/>
    <w:rsid w:val="4436276D"/>
    <w:rsid w:val="45504AAF"/>
    <w:rsid w:val="45992FB4"/>
    <w:rsid w:val="46376668"/>
    <w:rsid w:val="483E7E42"/>
    <w:rsid w:val="493F5981"/>
    <w:rsid w:val="4ACF1226"/>
    <w:rsid w:val="4BC845F3"/>
    <w:rsid w:val="4BF7160E"/>
    <w:rsid w:val="4E5B3EBB"/>
    <w:rsid w:val="53B4545D"/>
    <w:rsid w:val="55214467"/>
    <w:rsid w:val="562E0AB6"/>
    <w:rsid w:val="579D6934"/>
    <w:rsid w:val="58186D2F"/>
    <w:rsid w:val="5E5053D7"/>
    <w:rsid w:val="5EB9124F"/>
    <w:rsid w:val="5FB011CE"/>
    <w:rsid w:val="60573BE3"/>
    <w:rsid w:val="6089214B"/>
    <w:rsid w:val="60A76A75"/>
    <w:rsid w:val="63853FF9"/>
    <w:rsid w:val="68877A49"/>
    <w:rsid w:val="69054339"/>
    <w:rsid w:val="6B8D5543"/>
    <w:rsid w:val="6CA91A42"/>
    <w:rsid w:val="6D2C52A2"/>
    <w:rsid w:val="6D301BA0"/>
    <w:rsid w:val="6F8A5598"/>
    <w:rsid w:val="72286D2A"/>
    <w:rsid w:val="739E60F6"/>
    <w:rsid w:val="76C42A91"/>
    <w:rsid w:val="783B57D2"/>
    <w:rsid w:val="7AB83901"/>
    <w:rsid w:val="7B530F64"/>
    <w:rsid w:val="7C3475CF"/>
    <w:rsid w:val="7CE2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pPr>
    <w:rPr>
      <w:kern w:val="2"/>
      <w:sz w:val="21"/>
      <w:szCs w:val="24"/>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39"/>
  </w:style>
  <w:style w:type="paragraph" w:styleId="9">
    <w:name w:val="toc 2"/>
    <w:basedOn w:val="1"/>
    <w:next w:val="1"/>
    <w:autoRedefine/>
    <w:qFormat/>
    <w:uiPriority w:val="39"/>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5">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16">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Words>
  <Characters>439</Characters>
  <Lines>0</Lines>
  <Paragraphs>0</Paragraphs>
  <TotalTime>13</TotalTime>
  <ScaleCrop>false</ScaleCrop>
  <LinksUpToDate>false</LinksUpToDate>
  <CharactersWithSpaces>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2024-04-08T03:48:00Z</dcterms:created>
  <dc:creator>WPS_1528016806</dc:creator>
  <cp:lastModifiedBy>万梨花~15770682166</cp:lastModifiedBy>
  <cp:lastPrinted>2025-03-05T07:02:00Z</cp:lastPrinted>
  <dcterms:modified xsi:type="dcterms:W3CDTF">2025-07-27T15:50:14Z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1D367B79379E4F9589F6B8B17FB3678C_13</vt:lpwstr>
  </property>
  <property fmtid="{D5CDD505-2E9C-101B-9397-08002B2CF9AE}" pid="4" name="KSOTemplateDocerSaveRecord">
    <vt:lpwstr>eyJoZGlkIjoiMTA1Mjc1YzEyMTg0YzQwNjBlYmRiM2M3YzM5M2RlMzMiLCJ1c2VySWQiOiI1NTcyODI0ODkifQ==</vt:lpwstr>
  </property>
</Properties>
</file>