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left"/>
        <w:rPr>
          <w:rFonts w:hint="eastAsia"/>
          <w:b/>
          <w:bCs/>
          <w:sz w:val="52"/>
          <w:szCs w:val="52"/>
          <w:lang w:val="en-US" w:eastAsia="zh-CN"/>
        </w:rPr>
      </w:pPr>
    </w:p>
    <w:p>
      <w:pPr>
        <w:pStyle w:val="4"/>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52"/>
          <w:szCs w:val="52"/>
          <w:lang w:val="en-US" w:eastAsia="zh-CN"/>
        </w:rPr>
      </w:pPr>
      <w:r>
        <w:rPr>
          <w:rFonts w:hint="eastAsia"/>
          <w:b/>
          <w:bCs/>
          <w:sz w:val="52"/>
          <w:szCs w:val="52"/>
          <w:lang w:val="en-US" w:eastAsia="zh-CN"/>
        </w:rPr>
        <w:t>肯尼亚拉姆至加里萨道路项目</w:t>
      </w:r>
    </w:p>
    <w:p>
      <w:pPr>
        <w:pStyle w:val="4"/>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52"/>
          <w:szCs w:val="52"/>
          <w:lang w:val="en-US" w:eastAsia="zh-CN"/>
        </w:rPr>
      </w:pPr>
      <w:r>
        <w:rPr>
          <w:rFonts w:hint="eastAsia"/>
          <w:b/>
          <w:bCs/>
          <w:sz w:val="52"/>
          <w:szCs w:val="52"/>
          <w:lang w:val="en-US" w:eastAsia="zh-CN"/>
        </w:rPr>
        <w:t>膨胀土路基填料改良与填筑技术研究服务</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r>
        <w:rPr>
          <w:rFonts w:hint="eastAsia"/>
          <w:b/>
          <w:bCs/>
          <w:sz w:val="52"/>
          <w:szCs w:val="52"/>
          <w:lang w:val="en-US" w:eastAsia="zh-CN"/>
        </w:rPr>
        <w:t>单一来源采购</w:t>
      </w:r>
      <w:r>
        <w:rPr>
          <w:rFonts w:hint="eastAsia"/>
          <w:b/>
          <w:bCs/>
          <w:sz w:val="52"/>
          <w:szCs w:val="52"/>
          <w:lang w:val="en-GB"/>
        </w:rPr>
        <w:t>文件</w:t>
      </w: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textAlignment w:val="auto"/>
        <w:outlineLvl w:val="9"/>
        <w:rPr>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36"/>
          <w:szCs w:val="36"/>
          <w:lang w:val="en-US" w:eastAsia="zh-CN"/>
        </w:rPr>
      </w:pPr>
      <w:r>
        <w:rPr>
          <w:rFonts w:hint="eastAsia" w:ascii="宋体" w:hAnsi="宋体" w:cs="宋体"/>
          <w:sz w:val="36"/>
          <w:szCs w:val="36"/>
          <w:lang w:val="en-US" w:eastAsia="zh-CN"/>
        </w:rPr>
        <w:t>项目</w:t>
      </w:r>
      <w:r>
        <w:rPr>
          <w:rFonts w:hint="eastAsia" w:ascii="宋体" w:hAnsi="宋体" w:cs="宋体"/>
          <w:sz w:val="36"/>
          <w:szCs w:val="36"/>
          <w:lang w:val="en-GB"/>
        </w:rPr>
        <w:t>编号：FWFA00000050756</w:t>
      </w: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bCs/>
          <w:sz w:val="52"/>
          <w:szCs w:val="52"/>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b/>
          <w:color w:val="000000" w:themeColor="text1"/>
          <w:sz w:val="18"/>
          <w:szCs w:val="18"/>
          <w:lang w:val="en-GB"/>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color w:val="000000" w:themeColor="text1"/>
          <w:sz w:val="18"/>
          <w:szCs w:val="18"/>
          <w:lang w:val="en-GB"/>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lang w:val="en-GB"/>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cs="宋体"/>
          <w:sz w:val="24"/>
          <w:lang w:val="en-US"/>
        </w:rPr>
      </w:pPr>
      <w:r>
        <w:rPr>
          <w:rFonts w:hint="eastAsia" w:ascii="宋体" w:hAnsi="宋体" w:cs="宋体"/>
          <w:sz w:val="24"/>
          <w:lang w:val="en-US" w:eastAsia="zh-CN"/>
        </w:rPr>
        <w:t>采购人：肯尼亚拉姆至加里萨道路第一项目经理部</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sz w:val="24"/>
          <w:lang w:val="en-GB"/>
        </w:rPr>
      </w:pPr>
      <w:r>
        <w:rPr>
          <w:rFonts w:hint="eastAsia" w:ascii="宋体" w:hAnsi="宋体" w:cs="宋体"/>
          <w:sz w:val="24"/>
          <w:lang w:val="en-US" w:eastAsia="zh-CN"/>
        </w:rPr>
        <w:t>2025</w:t>
      </w:r>
      <w:r>
        <w:rPr>
          <w:rFonts w:hint="eastAsia" w:ascii="宋体" w:hAnsi="宋体" w:cs="宋体"/>
          <w:sz w:val="24"/>
          <w:lang w:val="en-GB"/>
        </w:rPr>
        <w:t>年</w:t>
      </w:r>
      <w:r>
        <w:rPr>
          <w:rFonts w:hint="eastAsia" w:ascii="宋体" w:hAnsi="宋体" w:cs="宋体"/>
          <w:sz w:val="24"/>
          <w:lang w:val="en-US" w:eastAsia="zh-CN"/>
        </w:rPr>
        <w:t>07月</w:t>
      </w:r>
    </w:p>
    <w:p>
      <w:pPr>
        <w:rPr>
          <w:rFonts w:ascii="宋体" w:hAnsi="宋体" w:cs="宋体"/>
          <w:lang w:val="en-GB"/>
        </w:rPr>
      </w:pPr>
      <w:r>
        <w:rPr>
          <w:rFonts w:hint="eastAsia" w:ascii="宋体" w:hAnsi="宋体" w:cs="宋体"/>
          <w:lang w:val="en-GB"/>
        </w:rPr>
        <w:br w:type="page"/>
      </w:r>
    </w:p>
    <w:p>
      <w:pPr>
        <w:pStyle w:val="4"/>
        <w:sectPr>
          <w:headerReference r:id="rId3" w:type="default"/>
          <w:pgSz w:w="11905" w:h="16838"/>
          <w:pgMar w:top="1417" w:right="1083" w:bottom="1417" w:left="1083" w:header="794" w:footer="567" w:gutter="0"/>
          <w:pgNumType w:fmt="numberInDash" w:start="1"/>
          <w:cols w:space="0" w:num="1"/>
          <w:docGrid w:linePitch="312" w:charSpace="0"/>
        </w:sectPr>
      </w:pPr>
    </w:p>
    <w:sdt>
      <w:sdtPr>
        <w:rPr>
          <w:rFonts w:ascii="宋体" w:hAnsi="宋体" w:eastAsia="宋体" w:cs="Times New Roman"/>
          <w:kern w:val="2"/>
          <w:sz w:val="21"/>
          <w:szCs w:val="24"/>
          <w:lang w:val="en-US" w:eastAsia="zh-CN" w:bidi="ar-SA"/>
        </w:rPr>
        <w:id w:val="147474090"/>
        <w15:color w:val="DBDBDB"/>
        <w:docPartObj>
          <w:docPartGallery w:val="Table of Contents"/>
          <w:docPartUnique/>
        </w:docPartObj>
      </w:sdtPr>
      <w:sdtEndPr>
        <w:rPr>
          <w:rFonts w:ascii="Times New Roman" w:hAnsi="Times New Roman" w:eastAsia="宋体" w:cs="Times New Roman"/>
          <w:bCs/>
          <w:color w:val="000000" w:themeColor="text1"/>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8"/>
            <w:tabs>
              <w:tab w:val="right" w:leader="dot" w:pos="9739"/>
            </w:tabs>
          </w:pPr>
          <w:r>
            <w:rPr>
              <w:b/>
              <w:bCs/>
              <w:color w:val="000000" w:themeColor="text1"/>
              <w:sz w:val="24"/>
            </w:rPr>
            <w:fldChar w:fldCharType="begin"/>
          </w:r>
          <w:r>
            <w:rPr>
              <w:b/>
              <w:bCs/>
              <w:color w:val="000000" w:themeColor="text1"/>
              <w:sz w:val="24"/>
            </w:rPr>
            <w:instrText xml:space="preserve">TOC \o "1-1" \h \u </w:instrText>
          </w:r>
          <w:r>
            <w:rPr>
              <w:b/>
              <w:bCs/>
              <w:color w:val="000000" w:themeColor="text1"/>
              <w:sz w:val="24"/>
            </w:rPr>
            <w:fldChar w:fldCharType="separate"/>
          </w:r>
          <w:r>
            <w:rPr>
              <w:bCs/>
              <w:color w:val="000000" w:themeColor="text1"/>
            </w:rPr>
            <w:fldChar w:fldCharType="begin"/>
          </w:r>
          <w:r>
            <w:rPr>
              <w:bCs/>
            </w:rPr>
            <w:instrText xml:space="preserve"> HYPERLINK \l _Toc7329 </w:instrText>
          </w:r>
          <w:r>
            <w:rPr>
              <w:bCs/>
            </w:rPr>
            <w:fldChar w:fldCharType="separate"/>
          </w:r>
          <w:r>
            <w:rPr>
              <w:rFonts w:hint="eastAsia" w:eastAsia="宋体"/>
              <w:bCs/>
              <w:szCs w:val="24"/>
            </w:rPr>
            <w:t xml:space="preserve">第一部分 </w:t>
          </w:r>
          <w:r>
            <w:rPr>
              <w:rFonts w:hint="eastAsia" w:eastAsia="宋体"/>
              <w:bCs/>
            </w:rPr>
            <w:t>直接采购公示</w:t>
          </w:r>
          <w:r>
            <w:tab/>
          </w:r>
          <w:r>
            <w:fldChar w:fldCharType="begin"/>
          </w:r>
          <w:r>
            <w:instrText xml:space="preserve"> PAGEREF _Toc7329 \h </w:instrText>
          </w:r>
          <w:r>
            <w:fldChar w:fldCharType="separate"/>
          </w:r>
          <w:r>
            <w:t>- 3 -</w:t>
          </w:r>
          <w:r>
            <w:fldChar w:fldCharType="end"/>
          </w:r>
          <w:r>
            <w:rPr>
              <w:bCs/>
              <w:color w:val="000000" w:themeColor="text1"/>
            </w:rPr>
            <w:fldChar w:fldCharType="end"/>
          </w:r>
        </w:p>
        <w:p>
          <w:pPr>
            <w:pStyle w:val="18"/>
            <w:tabs>
              <w:tab w:val="right" w:leader="dot" w:pos="9739"/>
            </w:tabs>
          </w:pPr>
          <w:r>
            <w:rPr>
              <w:bCs/>
              <w:color w:val="000000" w:themeColor="text1"/>
            </w:rPr>
            <w:fldChar w:fldCharType="begin"/>
          </w:r>
          <w:r>
            <w:rPr>
              <w:bCs/>
            </w:rPr>
            <w:instrText xml:space="preserve"> HYPERLINK \l _Toc556 </w:instrText>
          </w:r>
          <w:r>
            <w:rPr>
              <w:bCs/>
            </w:rPr>
            <w:fldChar w:fldCharType="separate"/>
          </w:r>
          <w:r>
            <w:rPr>
              <w:rFonts w:hint="eastAsia" w:ascii="宋体" w:hAnsi="宋体"/>
              <w:bCs/>
              <w:szCs w:val="24"/>
            </w:rPr>
            <w:t xml:space="preserve">第二部分 </w:t>
          </w:r>
          <w:r>
            <w:rPr>
              <w:rFonts w:hint="eastAsia" w:ascii="宋体" w:hAnsi="宋体"/>
              <w:bCs/>
            </w:rPr>
            <w:t>报价</w:t>
          </w:r>
          <w:r>
            <w:rPr>
              <w:rFonts w:hint="eastAsia" w:ascii="宋体" w:hAnsi="宋体"/>
              <w:bCs/>
              <w:lang w:val="en-US" w:eastAsia="zh-CN"/>
            </w:rPr>
            <w:t>要求</w:t>
          </w:r>
          <w:r>
            <w:tab/>
          </w:r>
          <w:r>
            <w:fldChar w:fldCharType="begin"/>
          </w:r>
          <w:r>
            <w:instrText xml:space="preserve"> PAGEREF _Toc556 \h </w:instrText>
          </w:r>
          <w:r>
            <w:fldChar w:fldCharType="separate"/>
          </w:r>
          <w:r>
            <w:t>- 5 -</w:t>
          </w:r>
          <w:r>
            <w:fldChar w:fldCharType="end"/>
          </w:r>
          <w:r>
            <w:rPr>
              <w:bCs/>
              <w:color w:val="000000" w:themeColor="text1"/>
            </w:rPr>
            <w:fldChar w:fldCharType="end"/>
          </w:r>
        </w:p>
        <w:p>
          <w:pPr>
            <w:pStyle w:val="18"/>
            <w:tabs>
              <w:tab w:val="right" w:leader="dot" w:pos="9739"/>
            </w:tabs>
          </w:pPr>
          <w:r>
            <w:rPr>
              <w:bCs/>
              <w:color w:val="000000" w:themeColor="text1"/>
            </w:rPr>
            <w:fldChar w:fldCharType="begin"/>
          </w:r>
          <w:r>
            <w:rPr>
              <w:bCs/>
            </w:rPr>
            <w:instrText xml:space="preserve"> HYPERLINK \l _Toc11092 </w:instrText>
          </w:r>
          <w:r>
            <w:rPr>
              <w:bCs/>
            </w:rPr>
            <w:fldChar w:fldCharType="separate"/>
          </w:r>
          <w:r>
            <w:rPr>
              <w:rFonts w:hint="eastAsia" w:ascii="宋体" w:hAnsi="宋体"/>
              <w:bCs/>
              <w:szCs w:val="24"/>
            </w:rPr>
            <w:t xml:space="preserve">第三部分 </w:t>
          </w:r>
          <w:r>
            <w:rPr>
              <w:rFonts w:hint="eastAsia" w:ascii="宋体" w:hAnsi="宋体"/>
              <w:bCs/>
            </w:rPr>
            <w:t>合同条款与格式</w:t>
          </w:r>
          <w:r>
            <w:tab/>
          </w:r>
          <w:r>
            <w:fldChar w:fldCharType="begin"/>
          </w:r>
          <w:r>
            <w:instrText xml:space="preserve"> PAGEREF _Toc11092 \h </w:instrText>
          </w:r>
          <w:r>
            <w:fldChar w:fldCharType="separate"/>
          </w:r>
          <w:r>
            <w:t>- 6 -</w:t>
          </w:r>
          <w:r>
            <w:fldChar w:fldCharType="end"/>
          </w:r>
          <w:r>
            <w:rPr>
              <w:bCs/>
              <w:color w:val="000000" w:themeColor="text1"/>
            </w:rPr>
            <w:fldChar w:fldCharType="end"/>
          </w:r>
        </w:p>
        <w:p>
          <w:pPr>
            <w:pStyle w:val="18"/>
            <w:tabs>
              <w:tab w:val="right" w:leader="dot" w:pos="9739"/>
            </w:tabs>
            <w:rPr>
              <w:rFonts w:hint="eastAsia" w:eastAsia="宋体"/>
              <w:lang w:val="en-US" w:eastAsia="zh-CN"/>
            </w:rPr>
          </w:pPr>
          <w:r>
            <w:rPr>
              <w:bCs/>
              <w:color w:val="000000" w:themeColor="text1"/>
            </w:rPr>
            <w:fldChar w:fldCharType="begin"/>
          </w:r>
          <w:r>
            <w:rPr>
              <w:bCs/>
            </w:rPr>
            <w:instrText xml:space="preserve"> HYPERLINK \l _Toc8368 </w:instrText>
          </w:r>
          <w:r>
            <w:rPr>
              <w:bCs/>
            </w:rPr>
            <w:fldChar w:fldCharType="separate"/>
          </w:r>
          <w:r>
            <w:rPr>
              <w:rFonts w:hint="eastAsia"/>
              <w:bCs/>
              <w:szCs w:val="24"/>
            </w:rPr>
            <w:t xml:space="preserve">第四部分 </w:t>
          </w:r>
          <w:r>
            <w:rPr>
              <w:rFonts w:hint="eastAsia"/>
              <w:bCs/>
              <w:lang w:val="en-US" w:eastAsia="zh-CN"/>
            </w:rPr>
            <w:t>采购</w:t>
          </w:r>
          <w:r>
            <w:rPr>
              <w:rFonts w:hint="eastAsia"/>
              <w:bCs/>
            </w:rPr>
            <w:t>要求</w:t>
          </w:r>
          <w:r>
            <w:tab/>
          </w:r>
          <w:r>
            <w:fldChar w:fldCharType="begin"/>
          </w:r>
          <w:r>
            <w:instrText xml:space="preserve"> PAGEREF _Toc13204 \h </w:instrText>
          </w:r>
          <w:r>
            <w:fldChar w:fldCharType="separate"/>
          </w:r>
          <w:r>
            <w:t xml:space="preserve">- </w:t>
          </w:r>
          <w:r>
            <w:rPr>
              <w:rFonts w:hint="eastAsia"/>
              <w:lang w:val="en-US" w:eastAsia="zh-CN"/>
            </w:rPr>
            <w:t>19</w:t>
          </w:r>
          <w:r>
            <w:t xml:space="preserve"> -</w:t>
          </w:r>
          <w:r>
            <w:fldChar w:fldCharType="end"/>
          </w:r>
          <w:r>
            <w:rPr>
              <w:bCs/>
              <w:color w:val="000000" w:themeColor="text1"/>
            </w:rPr>
            <w:fldChar w:fldCharType="end"/>
          </w:r>
        </w:p>
        <w:p>
          <w:pPr>
            <w:pStyle w:val="18"/>
            <w:tabs>
              <w:tab w:val="right" w:leader="dot" w:pos="9739"/>
            </w:tabs>
          </w:pPr>
          <w:r>
            <w:rPr>
              <w:bCs/>
              <w:color w:val="000000" w:themeColor="text1"/>
            </w:rPr>
            <w:fldChar w:fldCharType="begin"/>
          </w:r>
          <w:r>
            <w:rPr>
              <w:bCs/>
            </w:rPr>
            <w:instrText xml:space="preserve"> HYPERLINK \l _Toc13204 </w:instrText>
          </w:r>
          <w:r>
            <w:rPr>
              <w:bCs/>
            </w:rPr>
            <w:fldChar w:fldCharType="separate"/>
          </w:r>
          <w:r>
            <w:rPr>
              <w:rFonts w:hint="eastAsia"/>
              <w:bCs/>
              <w:szCs w:val="24"/>
            </w:rPr>
            <w:t xml:space="preserve">第五部分 </w:t>
          </w:r>
          <w:r>
            <w:rPr>
              <w:rFonts w:hint="eastAsia"/>
              <w:bCs/>
            </w:rPr>
            <w:t>报价文件格式</w:t>
          </w:r>
          <w:r>
            <w:tab/>
          </w:r>
          <w:r>
            <w:fldChar w:fldCharType="begin"/>
          </w:r>
          <w:r>
            <w:instrText xml:space="preserve"> PAGEREF _Toc13204 \h </w:instrText>
          </w:r>
          <w:r>
            <w:fldChar w:fldCharType="separate"/>
          </w:r>
          <w:r>
            <w:t>- 20 -</w:t>
          </w:r>
          <w:r>
            <w:fldChar w:fldCharType="end"/>
          </w:r>
          <w:r>
            <w:rPr>
              <w:bCs/>
              <w:color w:val="000000" w:themeColor="text1"/>
            </w:rPr>
            <w:fldChar w:fldCharType="end"/>
          </w:r>
        </w:p>
        <w:p>
          <w:pPr>
            <w:snapToGrid w:val="0"/>
            <w:spacing w:line="460" w:lineRule="exact"/>
            <w:rPr>
              <w:rFonts w:ascii="Times New Roman" w:hAnsi="Times New Roman" w:eastAsia="宋体" w:cs="Times New Roman"/>
              <w:bCs/>
              <w:color w:val="000000" w:themeColor="text1"/>
              <w:kern w:val="2"/>
              <w:sz w:val="21"/>
              <w:szCs w:val="24"/>
              <w:lang w:val="en-US" w:eastAsia="zh-CN" w:bidi="ar-SA"/>
            </w:rPr>
          </w:pPr>
          <w:r>
            <w:rPr>
              <w:bCs/>
              <w:color w:val="000000" w:themeColor="text1"/>
            </w:rPr>
            <w:fldChar w:fldCharType="end"/>
          </w:r>
        </w:p>
      </w:sdtContent>
    </w:sdt>
    <w:p>
      <w:r>
        <w:br w:type="page"/>
      </w:r>
    </w:p>
    <w:p>
      <w:pPr>
        <w:numPr>
          <w:ilvl w:val="0"/>
          <w:numId w:val="3"/>
        </w:numPr>
        <w:snapToGrid w:val="0"/>
        <w:spacing w:line="460" w:lineRule="exact"/>
        <w:jc w:val="center"/>
        <w:outlineLvl w:val="0"/>
        <w:rPr>
          <w:rFonts w:hint="eastAsia" w:eastAsia="宋体"/>
          <w:b/>
          <w:bCs/>
          <w:color w:val="000000" w:themeColor="text1"/>
          <w:sz w:val="24"/>
        </w:rPr>
      </w:pPr>
      <w:bookmarkStart w:id="0" w:name="_Toc7329"/>
      <w:r>
        <w:rPr>
          <w:rFonts w:hint="eastAsia" w:eastAsia="宋体"/>
          <w:b/>
          <w:bCs/>
          <w:color w:val="000000" w:themeColor="text1"/>
          <w:sz w:val="24"/>
        </w:rPr>
        <w:t>直接采购公示</w:t>
      </w:r>
      <w:bookmarkEnd w:id="0"/>
    </w:p>
    <w:p>
      <w:pPr>
        <w:spacing w:line="360" w:lineRule="auto"/>
        <w:jc w:val="center"/>
        <w:rPr>
          <w:rFonts w:ascii="方正小标宋简体" w:hAnsi="方正小标宋简体" w:eastAsia="方正小标宋简体" w:cs="方正小标宋简体"/>
          <w:b/>
          <w:color w:val="000000" w:themeColor="text1"/>
          <w:sz w:val="44"/>
          <w:szCs w:val="44"/>
        </w:rPr>
      </w:pPr>
      <w:bookmarkStart w:id="1" w:name="_Toc5918_WPSOffice_Level2"/>
      <w:bookmarkStart w:id="2" w:name="_Toc9534_WPSOffice_Level2"/>
      <w:r>
        <w:rPr>
          <w:rFonts w:hint="eastAsia" w:ascii="方正小标宋简体" w:hAnsi="方正小标宋简体" w:eastAsia="方正小标宋简体" w:cs="方正小标宋简体"/>
          <w:b/>
          <w:color w:val="000000" w:themeColor="text1"/>
          <w:sz w:val="44"/>
          <w:szCs w:val="44"/>
          <w:lang w:val="en-US" w:eastAsia="zh-CN"/>
        </w:rPr>
        <w:t>四航局一公司</w:t>
      </w:r>
      <w:r>
        <w:rPr>
          <w:rFonts w:hint="eastAsia" w:ascii="方正小标宋简体" w:hAnsi="方正小标宋简体" w:eastAsia="方正小标宋简体" w:cs="方正小标宋简体"/>
          <w:b/>
          <w:color w:val="000000" w:themeColor="text1"/>
          <w:sz w:val="44"/>
          <w:szCs w:val="44"/>
        </w:rPr>
        <w:t>肯尼亚拉姆至加里萨道路第一项目经理部项目</w:t>
      </w:r>
      <w:bookmarkEnd w:id="1"/>
      <w:bookmarkEnd w:id="2"/>
      <w:r>
        <w:rPr>
          <w:rFonts w:hint="eastAsia" w:ascii="方正小标宋简体" w:hAnsi="方正小标宋简体" w:eastAsia="方正小标宋简体" w:cs="方正小标宋简体"/>
          <w:b/>
          <w:color w:val="000000" w:themeColor="text1"/>
          <w:sz w:val="44"/>
          <w:szCs w:val="44"/>
        </w:rPr>
        <w:t>膨胀土路基填料改良与填筑技术研究服务直接采购公示</w:t>
      </w:r>
    </w:p>
    <w:p>
      <w:pPr>
        <w:pStyle w:val="23"/>
        <w:spacing w:line="360" w:lineRule="auto"/>
        <w:ind w:left="0" w:leftChars="0" w:right="0" w:rightChars="0" w:firstLine="0" w:firstLineChars="0"/>
        <w:jc w:val="center"/>
        <w:rPr>
          <w:rFonts w:ascii="方正小标宋简体" w:hAnsi="方正小标宋简体" w:eastAsia="方正小标宋简体" w:cs="方正小标宋简体"/>
          <w:b/>
          <w:color w:val="000000" w:themeColor="text1"/>
          <w:sz w:val="36"/>
          <w:szCs w:val="36"/>
        </w:rPr>
      </w:pPr>
      <w:r>
        <w:rPr>
          <w:rFonts w:hint="eastAsia" w:ascii="方正小标宋简体" w:hAnsi="方正小标宋简体" w:eastAsia="方正小标宋简体" w:cs="方正小标宋简体"/>
          <w:b/>
          <w:color w:val="000000" w:themeColor="text1"/>
          <w:sz w:val="36"/>
          <w:szCs w:val="36"/>
        </w:rPr>
        <w:t>（</w:t>
      </w:r>
      <w:r>
        <w:rPr>
          <w:rFonts w:hint="eastAsia" w:ascii="方正小标宋简体" w:hAnsi="方正小标宋简体" w:eastAsia="方正小标宋简体" w:cs="方正小标宋简体"/>
          <w:b/>
          <w:color w:val="000000" w:themeColor="text1"/>
          <w:kern w:val="2"/>
          <w:sz w:val="32"/>
          <w:szCs w:val="32"/>
          <w:lang w:val="en-US" w:eastAsia="zh-CN" w:bidi="ar-SA"/>
        </w:rPr>
        <w:t>方案编号</w:t>
      </w:r>
      <w:r>
        <w:rPr>
          <w:rFonts w:hint="eastAsia" w:ascii="方正小标宋简体" w:hAnsi="方正小标宋简体" w:eastAsia="方正小标宋简体" w:cs="方正小标宋简体"/>
          <w:b/>
          <w:color w:val="000000" w:themeColor="text1"/>
          <w:sz w:val="36"/>
          <w:szCs w:val="36"/>
        </w:rPr>
        <w:t>：FWFA00000050756）</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ascii="黑体" w:hAnsi="黑体" w:eastAsia="黑体" w:cs="黑体"/>
          <w:bCs/>
          <w:color w:val="000000" w:themeColor="text1"/>
          <w:sz w:val="32"/>
          <w:szCs w:val="32"/>
          <w:highlight w:val="none"/>
        </w:rPr>
      </w:pPr>
      <w:bookmarkStart w:id="3" w:name="_Toc22899"/>
      <w:bookmarkStart w:id="4" w:name="_Toc29975"/>
      <w:r>
        <w:rPr>
          <w:rFonts w:hint="eastAsia" w:ascii="黑体" w:hAnsi="黑体" w:eastAsia="黑体" w:cs="黑体"/>
          <w:bCs/>
          <w:color w:val="000000" w:themeColor="text1"/>
          <w:sz w:val="32"/>
          <w:szCs w:val="32"/>
          <w:highlight w:val="none"/>
        </w:rPr>
        <w:t>采购条件</w:t>
      </w:r>
      <w:bookmarkEnd w:id="3"/>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本次询价采购人为</w:t>
      </w:r>
      <w:r>
        <w:rPr>
          <w:rFonts w:hint="eastAsia" w:ascii="仿宋" w:hAnsi="仿宋" w:eastAsia="仿宋" w:cs="仿宋"/>
          <w:bCs/>
          <w:color w:val="000000" w:themeColor="text1"/>
          <w:sz w:val="32"/>
          <w:szCs w:val="32"/>
          <w:u w:val="single"/>
          <w:lang w:val="en-US" w:eastAsia="zh-CN"/>
        </w:rPr>
        <w:t>肯尼亚拉姆至加里萨道路第一项目经理部</w:t>
      </w:r>
      <w:r>
        <w:rPr>
          <w:rFonts w:hint="eastAsia" w:ascii="仿宋" w:hAnsi="仿宋" w:eastAsia="仿宋" w:cs="仿宋"/>
          <w:bCs/>
          <w:color w:val="000000" w:themeColor="text1"/>
          <w:sz w:val="32"/>
          <w:szCs w:val="32"/>
        </w:rPr>
        <w:t>，招标项目资金来自</w:t>
      </w:r>
      <w:r>
        <w:rPr>
          <w:rFonts w:hint="eastAsia" w:ascii="仿宋" w:hAnsi="仿宋" w:eastAsia="仿宋" w:cs="仿宋"/>
          <w:bCs/>
          <w:color w:val="000000" w:themeColor="text1"/>
          <w:sz w:val="32"/>
          <w:szCs w:val="32"/>
          <w:lang w:val="en-US" w:eastAsia="zh-CN"/>
        </w:rPr>
        <w:t>工程款</w:t>
      </w:r>
      <w:r>
        <w:rPr>
          <w:rFonts w:hint="eastAsia" w:ascii="仿宋" w:hAnsi="仿宋" w:eastAsia="仿宋" w:cs="仿宋"/>
          <w:bCs/>
          <w:color w:val="000000" w:themeColor="text1"/>
          <w:sz w:val="32"/>
          <w:szCs w:val="32"/>
        </w:rPr>
        <w:t>，出资比例为</w:t>
      </w:r>
      <w:r>
        <w:rPr>
          <w:rFonts w:hint="eastAsia" w:ascii="仿宋" w:hAnsi="仿宋" w:eastAsia="仿宋" w:cs="仿宋"/>
          <w:bCs/>
          <w:color w:val="000000" w:themeColor="text1"/>
          <w:sz w:val="32"/>
          <w:szCs w:val="32"/>
          <w:u w:val="single"/>
          <w:lang w:val="en-US" w:eastAsia="zh-CN"/>
        </w:rPr>
        <w:t>100</w:t>
      </w:r>
      <w:r>
        <w:rPr>
          <w:rFonts w:hint="eastAsia" w:ascii="仿宋" w:hAnsi="仿宋" w:eastAsia="仿宋" w:cs="仿宋"/>
          <w:bCs/>
          <w:color w:val="000000" w:themeColor="text1"/>
          <w:sz w:val="32"/>
          <w:szCs w:val="32"/>
          <w:u w:val="single"/>
        </w:rPr>
        <w:t xml:space="preserve">% </w:t>
      </w:r>
      <w:r>
        <w:rPr>
          <w:rFonts w:hint="eastAsia" w:ascii="仿宋" w:hAnsi="仿宋" w:eastAsia="仿宋" w:cs="仿宋"/>
          <w:bCs/>
          <w:color w:val="000000" w:themeColor="text1"/>
          <w:sz w:val="32"/>
          <w:szCs w:val="32"/>
        </w:rPr>
        <w:t>。该项目已具备采购条件，现对</w:t>
      </w:r>
      <w:r>
        <w:rPr>
          <w:rFonts w:hint="eastAsia" w:ascii="仿宋" w:hAnsi="仿宋" w:eastAsia="仿宋" w:cs="仿宋"/>
          <w:bCs/>
          <w:color w:val="000000" w:themeColor="text1"/>
          <w:sz w:val="32"/>
          <w:szCs w:val="32"/>
          <w:u w:val="single"/>
        </w:rPr>
        <w:t xml:space="preserve">    </w:t>
      </w:r>
      <w:r>
        <w:rPr>
          <w:rFonts w:hint="eastAsia" w:ascii="仿宋" w:hAnsi="仿宋" w:eastAsia="仿宋" w:cs="仿宋"/>
          <w:bCs/>
          <w:color w:val="000000" w:themeColor="text1"/>
          <w:sz w:val="32"/>
          <w:szCs w:val="32"/>
          <w:u w:val="single"/>
          <w:lang w:val="en-US" w:eastAsia="zh-CN"/>
        </w:rPr>
        <w:t>膨胀土路基填料改良与填筑技术研究服务</w:t>
      </w:r>
      <w:r>
        <w:rPr>
          <w:rFonts w:hint="eastAsia" w:ascii="仿宋" w:hAnsi="仿宋" w:eastAsia="仿宋" w:cs="仿宋"/>
          <w:bCs/>
          <w:color w:val="000000" w:themeColor="text1"/>
          <w:sz w:val="32"/>
          <w:szCs w:val="32"/>
          <w:u w:val="single"/>
        </w:rPr>
        <w:t xml:space="preserve">  </w:t>
      </w:r>
      <w:r>
        <w:rPr>
          <w:rFonts w:hint="eastAsia" w:ascii="仿宋" w:hAnsi="仿宋" w:eastAsia="仿宋" w:cs="仿宋"/>
          <w:bCs/>
          <w:color w:val="000000" w:themeColor="text1"/>
          <w:sz w:val="32"/>
          <w:szCs w:val="32"/>
        </w:rPr>
        <w:t xml:space="preserve"> 采购进</w:t>
      </w:r>
      <w:r>
        <w:rPr>
          <w:rFonts w:hint="eastAsia" w:ascii="仿宋" w:hAnsi="仿宋" w:eastAsia="仿宋" w:cs="仿宋"/>
          <w:bCs/>
          <w:color w:val="000000" w:themeColor="text1"/>
          <w:sz w:val="32"/>
          <w:szCs w:val="32"/>
          <w:highlight w:val="none"/>
        </w:rPr>
        <w:t>行直接采购公示。</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项目概况与采购内容</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项目概况：肯尼亚拉姆至加里萨道路工程地点位于肯尼亚东南部海岸的拉姆港(Lamu Port)与加里萨市(Garissa)之间，共249km，是拉姆港南苏丹埃塞俄比亚运输（简称LAPSSET）走廊项目的重要组成部分。本标段施工里程为主线KM0+000~KM120+000，共120km，双向两车道A级公路，路面宽度10.5米，横坡3%，路面结构层为水稳土+双表处</w:t>
      </w:r>
      <w:r>
        <w:rPr>
          <w:rFonts w:hint="eastAsia" w:ascii="仿宋" w:hAnsi="仿宋" w:eastAsia="仿宋" w:cs="仿宋"/>
          <w:bCs/>
          <w:color w:val="000000" w:themeColor="text1"/>
          <w:sz w:val="32"/>
          <w:szCs w:val="32"/>
          <w:lang w:eastAsia="zh-CN"/>
        </w:rPr>
        <w:t>。</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项目工期：</w:t>
      </w:r>
      <w:r>
        <w:rPr>
          <w:rFonts w:hint="eastAsia" w:ascii="仿宋" w:hAnsi="仿宋" w:eastAsia="仿宋"/>
          <w:sz w:val="28"/>
          <w:szCs w:val="28"/>
        </w:rPr>
        <w:t>开工日期为2021年5月21日，竣工日期为202</w:t>
      </w:r>
      <w:r>
        <w:rPr>
          <w:rFonts w:hint="eastAsia" w:ascii="仿宋" w:hAnsi="仿宋" w:eastAsia="仿宋"/>
          <w:sz w:val="28"/>
          <w:szCs w:val="28"/>
          <w:lang w:val="en-US" w:eastAsia="zh-CN"/>
        </w:rPr>
        <w:t>6</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hint="eastAsia" w:ascii="仿宋" w:hAnsi="仿宋" w:eastAsia="仿宋"/>
          <w:sz w:val="28"/>
          <w:szCs w:val="28"/>
          <w:lang w:eastAsia="zh-CN"/>
        </w:rPr>
        <w:t>。</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项目地址：</w:t>
      </w:r>
      <w:r>
        <w:rPr>
          <w:rFonts w:hint="default" w:ascii="Times New Roman" w:hAnsi="Times New Roman" w:eastAsia="宋体" w:cs="Times New Roman"/>
          <w:b w:val="0"/>
          <w:bCs/>
          <w:color w:val="auto"/>
          <w:kern w:val="2"/>
          <w:sz w:val="21"/>
          <w:szCs w:val="21"/>
          <w:highlight w:val="none"/>
          <w:shd w:val="clear" w:color="auto" w:fill="auto"/>
          <w:lang w:val="en-US" w:eastAsia="zh-CN" w:bidi="ar-SA"/>
        </w:rPr>
        <w:t>https://maps.app.goo.gl/eAPzsVEnkjygfMyh8</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采购内容</w:t>
      </w:r>
      <w:r>
        <w:rPr>
          <w:rFonts w:hint="eastAsia" w:ascii="仿宋" w:hAnsi="仿宋" w:eastAsia="仿宋" w:cs="仿宋"/>
          <w:b w:val="0"/>
          <w:bCs/>
          <w:color w:val="000000" w:themeColor="text1"/>
          <w:sz w:val="32"/>
          <w:szCs w:val="32"/>
          <w:lang w:eastAsia="zh-CN"/>
        </w:rPr>
        <w:t>：</w:t>
      </w:r>
    </w:p>
    <w:p>
      <w:pPr>
        <w:numPr>
          <w:ilvl w:val="2"/>
          <w:numId w:val="7"/>
        </w:numPr>
        <w:adjustRightInd w:val="0"/>
        <w:snapToGrid w:val="0"/>
        <w:spacing w:line="560" w:lineRule="exact"/>
        <w:ind w:left="0" w:leftChars="0" w:right="0" w:rightChars="0" w:firstLine="402" w:firstLineChars="0"/>
        <w:jc w:val="left"/>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采购内容/服务内容：膨胀土路基填料改良与填筑技术研究服务</w:t>
      </w:r>
    </w:p>
    <w:p>
      <w:pPr>
        <w:numPr>
          <w:ilvl w:val="2"/>
          <w:numId w:val="7"/>
        </w:numPr>
        <w:adjustRightInd w:val="0"/>
        <w:snapToGrid w:val="0"/>
        <w:spacing w:line="560" w:lineRule="exact"/>
        <w:ind w:left="0" w:leftChars="0" w:right="0" w:rightChars="0" w:firstLine="402" w:firstLineChars="0"/>
        <w:jc w:val="left"/>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交货地点/服务地点：肯尼亚</w:t>
      </w:r>
    </w:p>
    <w:p>
      <w:pPr>
        <w:numPr>
          <w:ilvl w:val="2"/>
          <w:numId w:val="7"/>
        </w:numPr>
        <w:adjustRightInd w:val="0"/>
        <w:snapToGrid w:val="0"/>
        <w:spacing w:line="560" w:lineRule="exact"/>
        <w:ind w:left="0" w:leftChars="0" w:right="0" w:rightChars="0" w:firstLine="402" w:firstLineChars="0"/>
        <w:jc w:val="left"/>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供货期限/服务期限：一年</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直接采购适用的情形及说明</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直接采购适用的情形：</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须满足集团、公司内部协同要求。</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采购商务情况</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结算方式：里程碑支付</w:t>
      </w:r>
      <w:r>
        <w:rPr>
          <w:rFonts w:hint="eastAsia" w:ascii="仿宋" w:hAnsi="仿宋" w:eastAsia="仿宋" w:cs="仿宋"/>
          <w:b w:val="0"/>
          <w:bCs/>
          <w:color w:val="000000" w:themeColor="text1"/>
          <w:sz w:val="32"/>
          <w:szCs w:val="32"/>
          <w:lang w:eastAsia="zh-CN"/>
        </w:rPr>
        <w:t>（具体支付节点见合同约定）</w:t>
      </w:r>
    </w:p>
    <w:p>
      <w:pPr>
        <w:keepNext w:val="0"/>
        <w:keepLines w:val="0"/>
        <w:pageBreakBefore w:val="0"/>
        <w:widowControl w:val="0"/>
        <w:numPr>
          <w:ilvl w:val="1"/>
          <w:numId w:val="6"/>
        </w:numPr>
        <w:kinsoku/>
        <w:wordWrap/>
        <w:overflowPunct/>
        <w:topLinePunct w:val="0"/>
        <w:autoSpaceDE/>
        <w:autoSpaceDN/>
        <w:bidi w:val="0"/>
        <w:adjustRightInd w:val="0"/>
        <w:snapToGrid w:val="0"/>
        <w:spacing w:line="560" w:lineRule="exact"/>
        <w:ind w:left="0" w:leftChars="0" w:right="0" w:rightChars="0" w:firstLine="567" w:firstLineChars="0"/>
        <w:jc w:val="left"/>
        <w:textAlignment w:val="auto"/>
        <w:rPr>
          <w:rFonts w:hint="eastAsia" w:ascii="仿宋" w:hAnsi="仿宋" w:eastAsia="仿宋" w:cs="仿宋"/>
          <w:b w:val="0"/>
          <w:bCs/>
          <w:color w:val="000000" w:themeColor="text1"/>
          <w:sz w:val="32"/>
          <w:szCs w:val="32"/>
        </w:rPr>
      </w:pPr>
      <w:r>
        <w:rPr>
          <w:rFonts w:hint="eastAsia" w:ascii="仿宋" w:hAnsi="仿宋" w:eastAsia="仿宋" w:cs="仿宋"/>
          <w:b w:val="0"/>
          <w:bCs/>
          <w:color w:val="000000" w:themeColor="text1"/>
          <w:sz w:val="32"/>
          <w:szCs w:val="32"/>
        </w:rPr>
        <w:t>付款方式：电汇</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highlight w:val="none"/>
          <w:lang w:val="en-US" w:eastAsia="zh-CN"/>
        </w:rPr>
        <w:t>服务商</w:t>
      </w:r>
      <w:r>
        <w:rPr>
          <w:rFonts w:hint="eastAsia" w:ascii="黑体" w:hAnsi="黑体" w:eastAsia="黑体" w:cs="黑体"/>
          <w:b/>
          <w:color w:val="000000" w:themeColor="text1"/>
          <w:sz w:val="32"/>
          <w:szCs w:val="32"/>
        </w:rPr>
        <w:t>情况说明</w:t>
      </w:r>
    </w:p>
    <w:p>
      <w:pPr>
        <w:adjustRightInd w:val="0"/>
        <w:snapToGrid w:val="0"/>
        <w:spacing w:line="560" w:lineRule="exact"/>
        <w:ind w:firstLine="640" w:firstLineChars="200"/>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lang w:val="en-US" w:eastAsia="zh-CN"/>
        </w:rPr>
        <w:t>根据总经理部指示推荐，中南大学是国内领先的工程科研单位，该校的聂志红教授，主要研究方向为岩土材料、岩土工程问题，曾主导过中交蒙内铁路、内马铁路等多个公司重大项目路基技术研究，具备解决肯尼亚设计规范下复杂土质问题的丰富经验。聂教授进场后，能够迅速结合项目实际情况，综合考虑土料特性与成本因素，对研究大纲方向进行精准定位。在本年度内完成路基填料改良与填筑计算研究的实验参数，为项目方案优化及后续成本控制早日提供关键技术支持。</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rPr>
        <w:t>公示期限</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u w:val="single"/>
          <w:lang w:val="en-US" w:eastAsia="zh-CN" w:bidi="ar-SA"/>
        </w:rPr>
        <w:t xml:space="preserve">　2025年07月28日  </w:t>
      </w:r>
      <w:r>
        <w:rPr>
          <w:rFonts w:hint="eastAsia" w:ascii="仿宋" w:hAnsi="仿宋" w:eastAsia="仿宋" w:cs="仿宋"/>
          <w:kern w:val="2"/>
          <w:sz w:val="32"/>
          <w:szCs w:val="32"/>
          <w:lang w:val="en-US" w:eastAsia="zh-CN" w:bidi="ar-SA"/>
        </w:rPr>
        <w:t>至</w:t>
      </w:r>
      <w:r>
        <w:rPr>
          <w:rFonts w:hint="eastAsia" w:ascii="仿宋" w:hAnsi="仿宋" w:eastAsia="仿宋" w:cs="仿宋"/>
          <w:kern w:val="2"/>
          <w:sz w:val="32"/>
          <w:szCs w:val="32"/>
          <w:u w:val="single"/>
          <w:lang w:val="en-US" w:eastAsia="zh-CN" w:bidi="ar-SA"/>
        </w:rPr>
        <w:t>　2025年07月31日</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425" w:leftChars="0" w:hanging="425" w:firstLineChars="0"/>
        <w:jc w:val="left"/>
        <w:textAlignment w:val="auto"/>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联系方式</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杨武帝-中交四航局第一工程有限公司</w:t>
      </w:r>
      <w:r>
        <w:rPr>
          <w:rFonts w:hint="eastAsia" w:ascii="仿宋" w:hAnsi="仿宋" w:eastAsia="仿宋" w:cs="仿宋"/>
          <w:sz w:val="32"/>
          <w:szCs w:val="32"/>
          <w:u w:val="single"/>
        </w:rPr>
        <w:t>　　　　　　　　　　</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联系地址：</w:t>
      </w:r>
      <w:r>
        <w:rPr>
          <w:rFonts w:hint="eastAsia" w:ascii="仿宋" w:hAnsi="仿宋" w:eastAsia="仿宋" w:cs="仿宋"/>
          <w:sz w:val="32"/>
          <w:szCs w:val="32"/>
          <w:u w:val="single"/>
        </w:rPr>
        <w:t>　广州市白云区鹤瑞路83号中交四航白云大厦　　　　　　　　　　</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17725029840</w:t>
      </w:r>
      <w:r>
        <w:rPr>
          <w:rFonts w:hint="eastAsia" w:ascii="仿宋" w:hAnsi="仿宋" w:eastAsia="仿宋" w:cs="仿宋"/>
          <w:sz w:val="32"/>
          <w:szCs w:val="32"/>
          <w:u w:val="single"/>
        </w:rPr>
        <w:t>　　　　　　　　　　</w:t>
      </w:r>
    </w:p>
    <w:p>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jc w:val="center"/>
        <w:textAlignment w:val="auto"/>
        <w:outlineLvl w:val="0"/>
        <w:rPr>
          <w:rFonts w:ascii="宋体" w:hAnsi="宋体"/>
          <w:b/>
          <w:bCs/>
          <w:color w:val="000000" w:themeColor="text1"/>
          <w:sz w:val="24"/>
        </w:rPr>
      </w:pPr>
      <w:bookmarkStart w:id="5" w:name="_Toc556"/>
      <w:bookmarkStart w:id="6" w:name="_Toc18214"/>
      <w:bookmarkStart w:id="7" w:name="_Toc18769"/>
      <w:bookmarkStart w:id="8" w:name="_Toc19338"/>
      <w:bookmarkStart w:id="9" w:name="_Toc27759"/>
      <w:r>
        <w:rPr>
          <w:rFonts w:hint="eastAsia" w:ascii="宋体" w:hAnsi="宋体"/>
          <w:b/>
          <w:bCs/>
          <w:color w:val="000000" w:themeColor="text1"/>
          <w:sz w:val="24"/>
        </w:rPr>
        <w:t>报价</w:t>
      </w:r>
      <w:r>
        <w:rPr>
          <w:rFonts w:hint="eastAsia" w:ascii="宋体" w:hAnsi="宋体"/>
          <w:b/>
          <w:bCs/>
          <w:color w:val="000000" w:themeColor="text1"/>
          <w:sz w:val="24"/>
          <w:lang w:val="en-US" w:eastAsia="zh-CN"/>
        </w:rPr>
        <w:t>要求</w:t>
      </w:r>
      <w:bookmarkEnd w:id="5"/>
    </w:p>
    <w:p>
      <w:pPr>
        <w:pStyle w:val="43"/>
        <w:keepNext w:val="0"/>
        <w:keepLines w:val="0"/>
        <w:pageBreakBefore w:val="0"/>
        <w:widowControl w:val="0"/>
        <w:numPr>
          <w:ilvl w:val="0"/>
          <w:numId w:val="8"/>
        </w:numPr>
        <w:tabs>
          <w:tab w:val="left" w:pos="851"/>
        </w:tabs>
        <w:kinsoku/>
        <w:wordWrap/>
        <w:overflowPunct/>
        <w:topLinePunct w:val="0"/>
        <w:autoSpaceDE/>
        <w:autoSpaceDN/>
        <w:bidi w:val="0"/>
        <w:adjustRightInd w:val="0"/>
        <w:snapToGrid w:val="0"/>
        <w:spacing w:line="480" w:lineRule="exact"/>
        <w:ind w:left="425" w:leftChars="0" w:hanging="425" w:firstLineChars="0"/>
        <w:textAlignment w:val="auto"/>
        <w:outlineLvl w:val="9"/>
        <w:rPr>
          <w:rFonts w:ascii="宋体" w:hAnsi="宋体"/>
          <w:b/>
          <w:bCs/>
          <w:color w:val="000000" w:themeColor="text1"/>
          <w:sz w:val="24"/>
        </w:rPr>
      </w:pPr>
      <w:r>
        <w:rPr>
          <w:rFonts w:hint="eastAsia" w:ascii="宋体" w:hAnsi="宋体"/>
          <w:b/>
          <w:bCs/>
          <w:color w:val="000000" w:themeColor="text1"/>
          <w:sz w:val="24"/>
        </w:rPr>
        <w:t>报价文件的组成</w:t>
      </w:r>
      <w:bookmarkEnd w:id="6"/>
      <w:bookmarkEnd w:id="7"/>
      <w:bookmarkEnd w:id="8"/>
      <w:bookmarkEnd w:id="9"/>
    </w:p>
    <w:p>
      <w:pPr>
        <w:pStyle w:val="43"/>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line="480" w:lineRule="exact"/>
        <w:ind w:leftChars="200" w:firstLine="480" w:firstLineChars="200"/>
        <w:textAlignment w:val="auto"/>
        <w:outlineLvl w:val="9"/>
        <w:rPr>
          <w:sz w:val="24"/>
          <w:highlight w:val="none"/>
        </w:rPr>
      </w:pPr>
      <w:r>
        <w:rPr>
          <w:rFonts w:hint="eastAsia" w:ascii="宋体"/>
          <w:color w:val="000000" w:themeColor="text1"/>
          <w:sz w:val="24"/>
        </w:rPr>
        <w:t>报价文件应</w:t>
      </w:r>
      <w:r>
        <w:rPr>
          <w:rFonts w:hint="eastAsia" w:ascii="宋体"/>
          <w:color w:val="000000" w:themeColor="text1"/>
          <w:sz w:val="24"/>
          <w:highlight w:val="none"/>
        </w:rPr>
        <w:t>当对询价文件有关</w:t>
      </w:r>
      <w:r>
        <w:rPr>
          <w:rFonts w:hint="eastAsia" w:ascii="宋体"/>
          <w:color w:val="000000" w:themeColor="text1"/>
          <w:sz w:val="24"/>
          <w:highlight w:val="none"/>
          <w:lang w:val="en-US" w:eastAsia="zh-CN"/>
        </w:rPr>
        <w:t>服务期</w:t>
      </w:r>
      <w:r>
        <w:rPr>
          <w:rFonts w:hint="eastAsia" w:ascii="宋体"/>
          <w:color w:val="000000" w:themeColor="text1"/>
          <w:sz w:val="24"/>
          <w:highlight w:val="none"/>
        </w:rPr>
        <w:t>、报价有效期、</w:t>
      </w:r>
      <w:r>
        <w:rPr>
          <w:rFonts w:hint="eastAsia" w:ascii="宋体"/>
          <w:color w:val="000000" w:themeColor="text1"/>
          <w:sz w:val="24"/>
          <w:highlight w:val="none"/>
          <w:lang w:val="en-US" w:eastAsia="zh-CN"/>
        </w:rPr>
        <w:t>采购要求</w:t>
      </w:r>
      <w:r>
        <w:rPr>
          <w:rFonts w:hint="eastAsia" w:ascii="宋体"/>
          <w:color w:val="000000" w:themeColor="text1"/>
          <w:sz w:val="24"/>
          <w:highlight w:val="none"/>
        </w:rPr>
        <w:t>、询价价范围等实质性内容作出响应。</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lang w:val="en-US" w:eastAsia="zh-CN"/>
        </w:rPr>
        <w:t>报价</w:t>
      </w:r>
      <w:r>
        <w:rPr>
          <w:rFonts w:hint="eastAsia" w:ascii="宋体" w:hAnsi="宋体" w:eastAsia="宋体"/>
          <w:b w:val="0"/>
          <w:bCs w:val="0"/>
          <w:color w:val="000000" w:themeColor="text1"/>
          <w:sz w:val="24"/>
          <w:highlight w:val="none"/>
        </w:rPr>
        <w:t>函；</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lang w:val="en-US" w:eastAsia="zh-CN"/>
        </w:rPr>
        <w:t>采购</w:t>
      </w:r>
      <w:r>
        <w:rPr>
          <w:rFonts w:hint="eastAsia" w:ascii="宋体" w:hAnsi="宋体" w:eastAsia="宋体"/>
          <w:b w:val="0"/>
          <w:bCs w:val="0"/>
          <w:color w:val="000000" w:themeColor="text1"/>
          <w:sz w:val="24"/>
          <w:highlight w:val="none"/>
        </w:rPr>
        <w:t>报价表</w:t>
      </w:r>
      <w:r>
        <w:rPr>
          <w:rFonts w:hint="eastAsia" w:ascii="宋体" w:hAnsi="宋体" w:eastAsia="宋体"/>
          <w:b w:val="0"/>
          <w:bCs w:val="0"/>
          <w:color w:val="000000" w:themeColor="text1"/>
          <w:sz w:val="24"/>
          <w:highlight w:val="none"/>
          <w:lang w:val="en-US" w:eastAsia="zh-CN"/>
        </w:rPr>
        <w:t>；</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rPr>
        <w:t>法定代表人（单位负责人）身份证明或授权委托书；</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rPr>
        <w:t>信用</w:t>
      </w:r>
      <w:r>
        <w:rPr>
          <w:rFonts w:hint="eastAsia" w:ascii="宋体" w:hAnsi="宋体" w:eastAsia="宋体" w:cs="宋体"/>
          <w:b w:val="0"/>
          <w:bCs w:val="0"/>
          <w:color w:val="000000" w:themeColor="text1"/>
          <w:sz w:val="24"/>
          <w:szCs w:val="24"/>
          <w:highlight w:val="none"/>
          <w:lang w:val="en-US" w:eastAsia="zh-CN"/>
        </w:rPr>
        <w:t>承诺函</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lang w:val="en-US" w:eastAsia="zh-CN"/>
        </w:rPr>
        <w:t xml:space="preserve">资信证明文件； </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highlight w:val="none"/>
        </w:rPr>
      </w:pPr>
      <w:r>
        <w:rPr>
          <w:rFonts w:hint="eastAsia" w:ascii="宋体" w:hAnsi="宋体" w:eastAsia="宋体"/>
          <w:b w:val="0"/>
          <w:bCs w:val="0"/>
          <w:color w:val="000000" w:themeColor="text1"/>
          <w:sz w:val="24"/>
          <w:highlight w:val="none"/>
        </w:rPr>
        <w:t>服务</w:t>
      </w:r>
      <w:r>
        <w:rPr>
          <w:rFonts w:hint="eastAsia" w:ascii="宋体" w:hAnsi="宋体" w:eastAsia="宋体"/>
          <w:b w:val="0"/>
          <w:bCs w:val="0"/>
          <w:color w:val="000000" w:themeColor="text1"/>
          <w:sz w:val="24"/>
          <w:highlight w:val="none"/>
          <w:lang w:val="en-US" w:eastAsia="zh-CN"/>
        </w:rPr>
        <w:t>技术</w:t>
      </w:r>
      <w:r>
        <w:rPr>
          <w:rFonts w:hint="eastAsia" w:ascii="宋体" w:hAnsi="宋体" w:eastAsia="宋体"/>
          <w:b w:val="0"/>
          <w:bCs w:val="0"/>
          <w:color w:val="000000" w:themeColor="text1"/>
          <w:sz w:val="24"/>
          <w:highlight w:val="none"/>
        </w:rPr>
        <w:t>方案</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lang w:val="en-US" w:eastAsia="zh-CN"/>
        </w:rPr>
        <w:t>其他资料</w:t>
      </w:r>
    </w:p>
    <w:p>
      <w:pPr>
        <w:pStyle w:val="43"/>
        <w:keepNext w:val="0"/>
        <w:keepLines w:val="0"/>
        <w:pageBreakBefore w:val="0"/>
        <w:widowControl w:val="0"/>
        <w:numPr>
          <w:ilvl w:val="0"/>
          <w:numId w:val="8"/>
        </w:numPr>
        <w:tabs>
          <w:tab w:val="left" w:pos="851"/>
        </w:tabs>
        <w:kinsoku/>
        <w:wordWrap/>
        <w:overflowPunct/>
        <w:topLinePunct w:val="0"/>
        <w:autoSpaceDE/>
        <w:autoSpaceDN/>
        <w:bidi w:val="0"/>
        <w:adjustRightInd w:val="0"/>
        <w:snapToGrid w:val="0"/>
        <w:spacing w:line="480" w:lineRule="exact"/>
        <w:ind w:left="425" w:leftChars="0" w:hanging="425" w:firstLineChars="0"/>
        <w:textAlignment w:val="auto"/>
        <w:outlineLvl w:val="9"/>
        <w:rPr>
          <w:rFonts w:hint="eastAsia" w:ascii="宋体" w:hAnsi="宋体"/>
          <w:b/>
          <w:bCs/>
          <w:color w:val="000000" w:themeColor="text1"/>
          <w:sz w:val="24"/>
        </w:rPr>
      </w:pPr>
      <w:bookmarkStart w:id="10" w:name="_Toc30201"/>
      <w:bookmarkStart w:id="11" w:name="_Toc6045"/>
      <w:bookmarkStart w:id="12" w:name="_Toc6975"/>
      <w:bookmarkStart w:id="13" w:name="_Toc16749"/>
      <w:r>
        <w:rPr>
          <w:rFonts w:hint="eastAsia" w:ascii="宋体" w:hAnsi="宋体"/>
          <w:b/>
          <w:bCs/>
          <w:color w:val="000000" w:themeColor="text1"/>
          <w:sz w:val="24"/>
        </w:rPr>
        <w:t>报价文件的有效期</w:t>
      </w:r>
      <w:bookmarkEnd w:id="10"/>
      <w:bookmarkEnd w:id="11"/>
      <w:bookmarkEnd w:id="12"/>
      <w:bookmarkEnd w:id="13"/>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rPr>
        <w:t>自报价截止之日起90天内，报价文件应保持有效。</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rPr>
        <w:t>在特殊情况下，询价人可与报价人协商延长报价文件的有效期，这种要求和答复均应以书面形式进行。不同意延长报价有效期的单位可以退出报价，同意延长报价有效期的报价人既不能要求也不允许修改其报价文件。</w:t>
      </w:r>
    </w:p>
    <w:p>
      <w:pPr>
        <w:pStyle w:val="43"/>
        <w:keepNext w:val="0"/>
        <w:keepLines w:val="0"/>
        <w:pageBreakBefore w:val="0"/>
        <w:widowControl w:val="0"/>
        <w:numPr>
          <w:ilvl w:val="0"/>
          <w:numId w:val="8"/>
        </w:numPr>
        <w:tabs>
          <w:tab w:val="left" w:pos="851"/>
        </w:tabs>
        <w:kinsoku/>
        <w:wordWrap/>
        <w:overflowPunct/>
        <w:topLinePunct w:val="0"/>
        <w:autoSpaceDE/>
        <w:autoSpaceDN/>
        <w:bidi w:val="0"/>
        <w:adjustRightInd w:val="0"/>
        <w:snapToGrid w:val="0"/>
        <w:spacing w:line="480" w:lineRule="exact"/>
        <w:ind w:left="425" w:leftChars="0" w:hanging="425" w:firstLineChars="0"/>
        <w:textAlignment w:val="auto"/>
        <w:outlineLvl w:val="9"/>
        <w:rPr>
          <w:rFonts w:ascii="宋体" w:hAnsi="宋体"/>
          <w:b/>
          <w:bCs/>
          <w:color w:val="000000" w:themeColor="text1"/>
          <w:sz w:val="24"/>
        </w:rPr>
      </w:pPr>
      <w:bookmarkStart w:id="14" w:name="_Toc10594"/>
      <w:bookmarkStart w:id="15" w:name="_Toc28430"/>
      <w:bookmarkStart w:id="16" w:name="_Toc22971"/>
      <w:bookmarkStart w:id="17" w:name="_Toc63"/>
      <w:r>
        <w:rPr>
          <w:rFonts w:hint="eastAsia" w:ascii="宋体" w:hAnsi="宋体"/>
          <w:b/>
          <w:bCs/>
          <w:color w:val="000000" w:themeColor="text1"/>
          <w:sz w:val="24"/>
        </w:rPr>
        <w:t>报价文件的签署与递交</w:t>
      </w:r>
      <w:bookmarkEnd w:id="14"/>
      <w:bookmarkEnd w:id="15"/>
      <w:bookmarkEnd w:id="16"/>
      <w:bookmarkEnd w:id="17"/>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文件应按</w:t>
      </w:r>
      <w:r>
        <w:rPr>
          <w:rFonts w:hint="eastAsia" w:ascii="宋体" w:hAnsi="宋体" w:eastAsia="宋体"/>
          <w:b w:val="0"/>
          <w:bCs w:val="0"/>
          <w:color w:val="000000" w:themeColor="text1"/>
          <w:sz w:val="24"/>
          <w:lang w:eastAsia="zh-CN"/>
        </w:rPr>
        <w:t>第</w:t>
      </w:r>
      <w:r>
        <w:rPr>
          <w:rFonts w:hint="eastAsia" w:ascii="宋体" w:hAnsi="宋体" w:eastAsia="宋体"/>
          <w:b w:val="0"/>
          <w:bCs w:val="0"/>
          <w:color w:val="000000" w:themeColor="text1"/>
          <w:sz w:val="24"/>
          <w:lang w:val="en-US" w:eastAsia="zh-CN"/>
        </w:rPr>
        <w:t>五</w:t>
      </w:r>
      <w:r>
        <w:rPr>
          <w:rFonts w:hint="eastAsia" w:ascii="宋体" w:hAnsi="宋体"/>
          <w:b w:val="0"/>
          <w:bCs w:val="0"/>
          <w:color w:val="000000" w:themeColor="text1"/>
          <w:sz w:val="24"/>
          <w:lang w:val="en-US" w:eastAsia="zh-CN"/>
        </w:rPr>
        <w:t>部分</w:t>
      </w:r>
      <w:r>
        <w:rPr>
          <w:rFonts w:hint="eastAsia" w:ascii="宋体" w:hAnsi="宋体" w:eastAsia="宋体"/>
          <w:b w:val="0"/>
          <w:bCs w:val="0"/>
          <w:color w:val="000000" w:themeColor="text1"/>
          <w:sz w:val="24"/>
        </w:rPr>
        <w:t>“</w:t>
      </w:r>
      <w:r>
        <w:rPr>
          <w:rFonts w:hint="eastAsia" w:ascii="宋体" w:hAnsi="宋体" w:eastAsia="宋体"/>
          <w:b w:val="0"/>
          <w:bCs w:val="0"/>
          <w:color w:val="000000" w:themeColor="text1"/>
          <w:sz w:val="24"/>
          <w:lang w:val="en-US" w:eastAsia="zh-CN"/>
        </w:rPr>
        <w:t>报价文件格式</w:t>
      </w:r>
      <w:r>
        <w:rPr>
          <w:rFonts w:hint="eastAsia" w:ascii="宋体" w:hAnsi="宋体" w:eastAsia="宋体"/>
          <w:b w:val="0"/>
          <w:bCs w:val="0"/>
          <w:color w:val="000000" w:themeColor="text1"/>
          <w:sz w:val="24"/>
        </w:rPr>
        <w:t>”进行编写，版式用A4纸（附图、附表除外），文字用中文简体。所有文字、图表必须清晰可辨。如有必要，可以增加附页，作为</w:t>
      </w: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文件的组成部分。</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文件全部采用电子文档，</w:t>
      </w: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文件所附证书证件均为原件扫描件，按</w:t>
      </w:r>
      <w:r>
        <w:rPr>
          <w:rFonts w:hint="eastAsia" w:ascii="宋体" w:hAnsi="宋体" w:eastAsia="宋体"/>
          <w:b w:val="0"/>
          <w:bCs w:val="0"/>
          <w:color w:val="000000" w:themeColor="text1"/>
          <w:sz w:val="24"/>
          <w:lang w:val="en-US" w:eastAsia="zh-CN"/>
        </w:rPr>
        <w:t>采购</w:t>
      </w:r>
      <w:r>
        <w:rPr>
          <w:rFonts w:hint="eastAsia" w:ascii="宋体" w:hAnsi="宋体" w:eastAsia="宋体"/>
          <w:b w:val="0"/>
          <w:bCs w:val="0"/>
          <w:color w:val="000000" w:themeColor="text1"/>
          <w:sz w:val="24"/>
        </w:rPr>
        <w:t>文件要求在相应位置加盖电子印章。由</w:t>
      </w: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人的法定代表人（单位负责人）签字或加盖电子印章的，应附法定代表人（单位负责人）身份证明，由代理人签字或加盖电子印章的，应附由法定代表人（单位负责人）签署的授权委托书。</w:t>
      </w:r>
    </w:p>
    <w:p>
      <w:pPr>
        <w:pStyle w:val="43"/>
        <w:keepNext w:val="0"/>
        <w:keepLines w:val="0"/>
        <w:pageBreakBefore w:val="0"/>
        <w:widowControl w:val="0"/>
        <w:numPr>
          <w:ilvl w:val="1"/>
          <w:numId w:val="8"/>
        </w:numPr>
        <w:tabs>
          <w:tab w:val="left" w:pos="851"/>
        </w:tabs>
        <w:kinsoku/>
        <w:wordWrap/>
        <w:overflowPunct/>
        <w:topLinePunct w:val="0"/>
        <w:autoSpaceDE/>
        <w:autoSpaceDN/>
        <w:bidi w:val="0"/>
        <w:adjustRightInd w:val="0"/>
        <w:snapToGrid w:val="0"/>
        <w:spacing w:line="480" w:lineRule="exact"/>
        <w:ind w:left="0" w:leftChars="0" w:firstLine="480" w:firstLineChars="200"/>
        <w:textAlignment w:val="auto"/>
        <w:outlineLvl w:val="9"/>
        <w:rPr>
          <w:rFonts w:ascii="宋体" w:hAnsi="宋体" w:eastAsia="宋体"/>
          <w:b w:val="0"/>
          <w:bCs w:val="0"/>
          <w:color w:val="000000" w:themeColor="text1"/>
          <w:sz w:val="24"/>
        </w:rPr>
      </w:pP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人应在</w:t>
      </w: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截止时间前</w:t>
      </w:r>
      <w:r>
        <w:rPr>
          <w:rFonts w:hint="eastAsia" w:ascii="宋体" w:hAnsi="宋体" w:eastAsia="宋体"/>
          <w:b w:val="0"/>
          <w:bCs w:val="0"/>
          <w:color w:val="000000" w:themeColor="text1"/>
          <w:sz w:val="24"/>
          <w:lang w:val="en-US" w:eastAsia="zh-CN"/>
        </w:rPr>
        <w:t>递交报价</w:t>
      </w:r>
      <w:r>
        <w:rPr>
          <w:rFonts w:hint="eastAsia" w:ascii="宋体" w:hAnsi="宋体" w:eastAsia="宋体"/>
          <w:b w:val="0"/>
          <w:bCs w:val="0"/>
          <w:color w:val="000000" w:themeColor="text1"/>
          <w:sz w:val="24"/>
        </w:rPr>
        <w:t>文件</w:t>
      </w:r>
      <w:r>
        <w:rPr>
          <w:rFonts w:hint="eastAsia" w:ascii="宋体" w:hAnsi="宋体" w:eastAsia="宋体"/>
          <w:b w:val="0"/>
          <w:bCs w:val="0"/>
          <w:color w:val="000000" w:themeColor="text1"/>
          <w:sz w:val="24"/>
          <w:lang w:eastAsia="zh-CN"/>
        </w:rPr>
        <w:t>，</w:t>
      </w:r>
      <w:r>
        <w:rPr>
          <w:rFonts w:hint="eastAsia" w:ascii="宋体" w:hAnsi="宋体" w:eastAsia="宋体"/>
          <w:b w:val="0"/>
          <w:bCs w:val="0"/>
          <w:color w:val="000000" w:themeColor="text1"/>
          <w:sz w:val="24"/>
        </w:rPr>
        <w:t>逾期送达的</w:t>
      </w:r>
      <w:r>
        <w:rPr>
          <w:rFonts w:hint="eastAsia" w:ascii="宋体" w:hAnsi="宋体" w:eastAsia="宋体"/>
          <w:b w:val="0"/>
          <w:bCs w:val="0"/>
          <w:color w:val="000000" w:themeColor="text1"/>
          <w:sz w:val="24"/>
          <w:lang w:val="en-US" w:eastAsia="zh-CN"/>
        </w:rPr>
        <w:t>报价</w:t>
      </w:r>
      <w:r>
        <w:rPr>
          <w:rFonts w:hint="eastAsia" w:ascii="宋体" w:hAnsi="宋体" w:eastAsia="宋体"/>
          <w:b w:val="0"/>
          <w:bCs w:val="0"/>
          <w:color w:val="000000" w:themeColor="text1"/>
          <w:sz w:val="24"/>
        </w:rPr>
        <w:t>文件，将予以拒收。</w:t>
      </w:r>
    </w:p>
    <w:p>
      <w:pPr>
        <w:pStyle w:val="43"/>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line="480" w:lineRule="exact"/>
        <w:ind w:leftChars="200"/>
        <w:textAlignment w:val="auto"/>
        <w:outlineLvl w:val="9"/>
        <w:rPr>
          <w:rFonts w:hint="eastAsia" w:ascii="宋体" w:hAnsi="宋体" w:eastAsia="宋体"/>
          <w:b w:val="0"/>
          <w:bCs w:val="0"/>
          <w:color w:val="000000" w:themeColor="text1"/>
          <w:sz w:val="24"/>
        </w:rPr>
      </w:pPr>
    </w:p>
    <w:p>
      <w:pPr>
        <w:rPr>
          <w:rFonts w:hint="eastAsia" w:ascii="宋体" w:hAnsi="宋体" w:eastAsia="宋体"/>
          <w:b w:val="0"/>
          <w:bCs w:val="0"/>
          <w:color w:val="000000" w:themeColor="text1"/>
          <w:sz w:val="24"/>
        </w:rPr>
      </w:pPr>
      <w:r>
        <w:rPr>
          <w:rFonts w:hint="eastAsia" w:ascii="宋体" w:hAnsi="宋体" w:eastAsia="宋体"/>
          <w:b w:val="0"/>
          <w:bCs w:val="0"/>
          <w:color w:val="000000" w:themeColor="text1"/>
          <w:sz w:val="24"/>
        </w:rPr>
        <w:br w:type="page"/>
      </w:r>
    </w:p>
    <w:p>
      <w:pPr>
        <w:pStyle w:val="43"/>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line="480" w:lineRule="exact"/>
        <w:ind w:leftChars="200"/>
        <w:textAlignment w:val="auto"/>
        <w:outlineLvl w:val="9"/>
        <w:rPr>
          <w:rFonts w:hint="eastAsia" w:ascii="宋体" w:hAnsi="宋体" w:eastAsia="宋体"/>
          <w:b w:val="0"/>
          <w:bCs w:val="0"/>
          <w:color w:val="000000" w:themeColor="text1"/>
          <w:sz w:val="24"/>
        </w:rPr>
      </w:pPr>
    </w:p>
    <w:p>
      <w:pPr>
        <w:numPr>
          <w:ilvl w:val="0"/>
          <w:numId w:val="3"/>
        </w:numPr>
        <w:snapToGrid w:val="0"/>
        <w:spacing w:line="460" w:lineRule="exact"/>
        <w:jc w:val="center"/>
        <w:outlineLvl w:val="0"/>
        <w:rPr>
          <w:rFonts w:ascii="宋体" w:hAnsi="宋体"/>
          <w:b/>
          <w:bCs/>
          <w:color w:val="000000" w:themeColor="text1"/>
          <w:sz w:val="24"/>
        </w:rPr>
      </w:pPr>
      <w:bookmarkStart w:id="18" w:name="_Toc20438"/>
      <w:bookmarkStart w:id="19" w:name="_Toc24130"/>
      <w:bookmarkStart w:id="20" w:name="_Toc28409"/>
      <w:bookmarkStart w:id="21" w:name="_Toc7618"/>
      <w:bookmarkStart w:id="22" w:name="_Toc11092"/>
      <w:r>
        <w:rPr>
          <w:rFonts w:hint="eastAsia" w:ascii="宋体" w:hAnsi="宋体"/>
          <w:b/>
          <w:bCs/>
          <w:color w:val="000000" w:themeColor="text1"/>
          <w:sz w:val="24"/>
        </w:rPr>
        <w:t>合同条款与格式</w:t>
      </w:r>
      <w:bookmarkEnd w:id="18"/>
      <w:bookmarkEnd w:id="19"/>
      <w:bookmarkEnd w:id="20"/>
      <w:bookmarkEnd w:id="21"/>
      <w:bookmarkEnd w:id="22"/>
    </w:p>
    <w:p>
      <w:pPr>
        <w:pStyle w:val="43"/>
        <w:tabs>
          <w:tab w:val="left" w:pos="851"/>
        </w:tabs>
        <w:adjustRightInd w:val="0"/>
        <w:snapToGrid w:val="0"/>
        <w:spacing w:line="480" w:lineRule="exact"/>
        <w:ind w:firstLine="0" w:firstLineChars="0"/>
        <w:outlineLvl w:val="9"/>
      </w:pPr>
    </w:p>
    <w:p>
      <w:pPr>
        <w:spacing w:line="360" w:lineRule="auto"/>
        <w:jc w:val="center"/>
        <w:rPr>
          <w:rFonts w:hint="eastAsia" w:ascii="宋体" w:hAnsi="宋体" w:eastAsia="宋体" w:cs="宋体"/>
          <w:b/>
          <w:sz w:val="36"/>
          <w:szCs w:val="36"/>
        </w:rPr>
      </w:pPr>
      <w:bookmarkStart w:id="23" w:name="_Toc214335341"/>
      <w:bookmarkEnd w:id="23"/>
      <w:bookmarkStart w:id="24" w:name="OLE_LINK2"/>
      <w:bookmarkEnd w:id="24"/>
      <w:bookmarkStart w:id="25" w:name="_Toc143146386"/>
      <w:bookmarkEnd w:id="25"/>
      <w:bookmarkStart w:id="26" w:name="_Toc214339502"/>
      <w:bookmarkEnd w:id="26"/>
      <w:bookmarkStart w:id="27" w:name="_Toc214336668"/>
      <w:bookmarkEnd w:id="27"/>
      <w:bookmarkStart w:id="28" w:name="_Toc214333213"/>
      <w:bookmarkEnd w:id="28"/>
      <w:bookmarkStart w:id="29" w:name="_Toc214331817"/>
      <w:bookmarkEnd w:id="29"/>
      <w:bookmarkStart w:id="30" w:name="OLE_LINK1"/>
      <w:bookmarkEnd w:id="30"/>
      <w:r>
        <w:rPr>
          <w:rFonts w:hint="eastAsia" w:ascii="宋体" w:hAnsi="宋体" w:eastAsia="宋体" w:cs="宋体"/>
          <w:b/>
          <w:sz w:val="36"/>
          <w:szCs w:val="36"/>
        </w:rPr>
        <w:t>膨胀土路基填料改良与填筑技术</w:t>
      </w:r>
      <w:r>
        <w:rPr>
          <w:rFonts w:hint="eastAsia" w:ascii="宋体" w:hAnsi="宋体" w:cs="宋体"/>
          <w:b/>
          <w:sz w:val="36"/>
          <w:szCs w:val="36"/>
          <w:lang w:val="en-US" w:eastAsia="zh-CN"/>
        </w:rPr>
        <w:t>研究</w:t>
      </w:r>
      <w:r>
        <w:rPr>
          <w:rFonts w:hint="eastAsia" w:ascii="宋体" w:hAnsi="宋体" w:eastAsia="宋体" w:cs="宋体"/>
          <w:b/>
          <w:sz w:val="36"/>
          <w:szCs w:val="36"/>
        </w:rPr>
        <w:t>服务合同</w:t>
      </w:r>
    </w:p>
    <w:p>
      <w:pPr>
        <w:spacing w:line="360" w:lineRule="auto"/>
        <w:ind w:firstLine="480" w:firstLineChars="200"/>
        <w:jc w:val="center"/>
        <w:rPr>
          <w:rFonts w:hint="eastAsia" w:ascii="宋体" w:hAnsi="宋体" w:eastAsia="宋体" w:cs="宋体"/>
          <w:color w:val="FF0000"/>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合同编号：</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本合同在如下当事人之间订立</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委托人：</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（以下简称“甲方”）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受托人：</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rPr>
        <w:tab/>
      </w:r>
      <w:r>
        <w:rPr>
          <w:rFonts w:hint="eastAsia" w:ascii="宋体" w:hAnsi="宋体" w:eastAsia="宋体" w:cs="宋体"/>
          <w:sz w:val="24"/>
          <w:szCs w:val="24"/>
        </w:rPr>
        <w:t>（以下简称“乙方”）</w:t>
      </w:r>
    </w:p>
    <w:p>
      <w:pPr>
        <w:spacing w:line="360" w:lineRule="auto"/>
        <w:rPr>
          <w:rFonts w:hint="eastAsia" w:ascii="宋体" w:hAnsi="宋体" w:eastAsia="宋体" w:cs="宋体"/>
          <w:sz w:val="24"/>
          <w:szCs w:val="24"/>
        </w:rPr>
      </w:pPr>
      <w:r>
        <w:rPr>
          <w:rFonts w:hint="eastAsia" w:ascii="宋体" w:hAnsi="宋体" w:eastAsia="宋体" w:cs="宋体"/>
          <w:sz w:val="24"/>
          <w:szCs w:val="24"/>
        </w:rPr>
        <w:t>鉴于甲方因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肯尼亚拉加公路</w:t>
      </w:r>
      <w:r>
        <w:rPr>
          <w:rFonts w:hint="eastAsia" w:ascii="宋体" w:hAnsi="宋体" w:eastAsia="宋体" w:cs="宋体"/>
          <w:sz w:val="24"/>
          <w:szCs w:val="24"/>
          <w:u w:val="single"/>
        </w:rPr>
        <w:t xml:space="preserve"> </w:t>
      </w:r>
      <w:r>
        <w:rPr>
          <w:rFonts w:hint="eastAsia" w:ascii="宋体" w:hAnsi="宋体" w:eastAsia="宋体" w:cs="宋体"/>
          <w:sz w:val="24"/>
          <w:szCs w:val="24"/>
        </w:rPr>
        <w:t>工程项目的需要，就委托乙方提供</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拉加公路膨胀土路基填料改良与填筑技术研究</w:t>
      </w:r>
      <w:r>
        <w:rPr>
          <w:rFonts w:hint="eastAsia" w:ascii="宋体" w:hAnsi="宋体" w:eastAsia="宋体" w:cs="宋体"/>
          <w:sz w:val="24"/>
          <w:szCs w:val="24"/>
        </w:rPr>
        <w:t>专项技术服务，本着平等、自愿、诚实信用的原则，根据《中华人民共和国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》及有关法律法规的规定，经双方共同协商，达成如下协议，以供双方共同遵照执行。</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第一条  服务项目名称</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肯尼亚拉姆至加里萨道路第一项目经理部项目膨胀土路基填料改良与填筑技术研究服务</w:t>
      </w:r>
      <w:r>
        <w:rPr>
          <w:rFonts w:hint="eastAsia" w:ascii="宋体" w:hAnsi="宋体" w:cs="宋体"/>
          <w:color w:val="auto"/>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第二条  服务内容、方式和要求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1、技术服务的目标：</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满足肯尼亚拉加公路路基验收要求</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2、技术服务的内容：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拉加公路填料的适用性与改良、路基填筑工艺参数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3、技术服务的要求：</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提供合理的改良方案与填筑工艺参数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4、技术服务的方式：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远程支持与现场服务两种方式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乙方应按下列要求完成技术服务工作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1、技术服务的地点：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肯尼亚拉加公路项目</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2、技术服务的期限：</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2025.8-2026.8</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3、技术服务的进度安排：</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满足根据现场试验与施工进度</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4、技术服务的质量要求：</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满足肯尼亚公路验收标准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5、技术服务的质量期限要求：</w:t>
      </w:r>
      <w:r>
        <w:rPr>
          <w:rFonts w:hint="eastAsia" w:ascii="宋体" w:hAnsi="宋体" w:cs="宋体"/>
          <w:sz w:val="24"/>
          <w:szCs w:val="24"/>
          <w:u w:val="single"/>
          <w:lang w:val="en-US" w:eastAsia="zh-CN"/>
        </w:rPr>
        <w:t>拉加公路路基验收完成</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第四条  甲方提供的资料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1、甲方同意：于本合同生效之日起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三十</w:t>
      </w:r>
      <w:r>
        <w:rPr>
          <w:rFonts w:hint="eastAsia" w:ascii="宋体" w:hAnsi="宋体" w:eastAsia="宋体" w:cs="宋体"/>
          <w:sz w:val="24"/>
          <w:szCs w:val="24"/>
          <w:u w:val="single"/>
        </w:rPr>
        <w:t xml:space="preserve"> </w:t>
      </w:r>
      <w:r>
        <w:rPr>
          <w:rFonts w:hint="eastAsia" w:ascii="宋体" w:hAnsi="宋体" w:eastAsia="宋体" w:cs="宋体"/>
          <w:sz w:val="24"/>
          <w:szCs w:val="24"/>
        </w:rPr>
        <w:t>日内依据下列规定向乙方提交有关资料（数据/样品/材料），以供乙方提供技术服务时作为参考。除非本合同另有明示说明，否则，甲方提交的下列资料仅供乙方参考，甲方对其真实性、科学性不承担任何责任。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（1）技术资料名称：</w:t>
      </w:r>
      <w:r>
        <w:rPr>
          <w:rFonts w:hint="eastAsia" w:ascii="宋体" w:hAnsi="宋体" w:cs="宋体"/>
          <w:sz w:val="24"/>
          <w:szCs w:val="24"/>
          <w:u w:val="single"/>
          <w:lang w:val="en-US" w:eastAsia="zh-CN"/>
        </w:rPr>
        <w:t>拉加公路路基设计资料、填料试验检测资料、需要的土样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（2）提供的时间：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2025.8</w:t>
      </w:r>
      <w:bookmarkStart w:id="61" w:name="_GoBack"/>
      <w:bookmarkEnd w:id="61"/>
      <w:r>
        <w:rPr>
          <w:rFonts w:hint="eastAsia" w:ascii="宋体" w:hAnsi="宋体" w:cs="宋体"/>
          <w:sz w:val="24"/>
          <w:szCs w:val="24"/>
          <w:u w:val="single"/>
          <w:lang w:val="en-US" w:eastAsia="zh-CN"/>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（3）提供的方式：</w:t>
      </w:r>
      <w:r>
        <w:rPr>
          <w:rFonts w:hint="eastAsia" w:ascii="宋体" w:hAnsi="宋体" w:cs="宋体"/>
          <w:sz w:val="24"/>
          <w:szCs w:val="24"/>
          <w:u w:val="single"/>
          <w:lang w:val="en-US" w:eastAsia="zh-CN"/>
        </w:rPr>
        <w:t>设计与土工试验资料提供电子版，土样交付</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2、乙方应基于自身的专业判断，若发现甲方提供的技术资料、数据、材料不符合合同约定时，应及时通知甲方改进或者更换</w:t>
      </w:r>
      <w:bookmarkStart w:id="31" w:name="2ea8e633ab104617804edd9c14c4d02f"/>
      <w:bookmarkEnd w:id="31"/>
      <w:r>
        <w:rPr>
          <w:rFonts w:hint="eastAsia" w:ascii="宋体" w:hAnsi="宋体" w:eastAsia="宋体" w:cs="宋体"/>
          <w:color w:val="000000"/>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3、于合同履行过程中，若发现继续工作对材料、样品或设备等有损坏危险时，应中止工作，并及时通知甲方。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sz w:val="24"/>
          <w:szCs w:val="24"/>
        </w:rPr>
        <w:t>乙方向甲方提交技术服务报告时应一并向甲方返还上述资料。除非本合同另有明示说明或获得甲方的书面同意，乙方不得留存。</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第五条  协作事宜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为便于技术服务工作的开展，甲方同意向乙方提供下列协作事宜：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u w:val="single"/>
          <w:lang w:val="en-US" w:eastAsia="zh-CN"/>
        </w:rPr>
        <w:t>为乙方驻现场人员食宿与交通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u w:val="single"/>
          <w:lang w:val="en-US" w:eastAsia="zh-CN"/>
        </w:rPr>
        <w:t>为乙方人员出入境提供必要的帮助</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u w:val="single"/>
          <w:lang w:val="en-US" w:eastAsia="zh-CN"/>
        </w:rPr>
        <w:t>安排专业人员与乙方沟通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4、甲方提供上述协作事项的时间及方式：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合同期间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第六条  联系人员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于本合同有效期内，双方指定本合同的联系人为：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1、甲方指定（姓名）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杨武帝</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商务部副部长</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17725029840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2、乙方指定（姓名）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3、项目联系人承担下列责任：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负责方案的制定与实施</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合同执行过程中的沟通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协调双方的争议</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55"/>
        <w:rPr>
          <w:rFonts w:hint="eastAsia" w:ascii="宋体" w:hAnsi="宋体" w:eastAsia="宋体" w:cs="宋体"/>
          <w:sz w:val="24"/>
          <w:szCs w:val="24"/>
        </w:rPr>
      </w:pPr>
      <w:r>
        <w:rPr>
          <w:rFonts w:hint="eastAsia" w:ascii="宋体" w:hAnsi="宋体" w:eastAsia="宋体" w:cs="宋体"/>
          <w:sz w:val="24"/>
          <w:szCs w:val="24"/>
        </w:rPr>
        <w:t>任何一方变更项目联系人的，应当及时以书面形式通知另一方。否则，影响本合同履行或造成损失的，应承担赔偿责任。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第七条  技术服务费用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本合同规定的技术服务费用含税总额暂计：</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）。其中：不含税总额暂计：</w:t>
      </w:r>
      <w:r>
        <w:rPr>
          <w:rFonts w:hint="eastAsia" w:ascii="宋体" w:hAnsi="宋体" w:eastAsia="宋体" w:cs="宋体"/>
          <w:sz w:val="24"/>
          <w:szCs w:val="24"/>
          <w:u w:val="single"/>
        </w:rPr>
        <w:t xml:space="preserve">¥     </w:t>
      </w:r>
      <w:r>
        <w:rPr>
          <w:rFonts w:hint="eastAsia" w:ascii="宋体" w:hAnsi="宋体" w:eastAsia="宋体" w:cs="宋体"/>
          <w:sz w:val="24"/>
          <w:szCs w:val="24"/>
        </w:rPr>
        <w:t>元，增值税税率</w:t>
      </w:r>
      <w:r>
        <w:rPr>
          <w:rFonts w:hint="eastAsia" w:ascii="宋体" w:hAnsi="宋体" w:eastAsia="宋体" w:cs="宋体"/>
          <w:sz w:val="24"/>
          <w:szCs w:val="24"/>
          <w:u w:val="single"/>
        </w:rPr>
        <w:t xml:space="preserve">     </w:t>
      </w:r>
      <w:r>
        <w:rPr>
          <w:rFonts w:hint="eastAsia" w:ascii="宋体" w:hAnsi="宋体" w:eastAsia="宋体" w:cs="宋体"/>
          <w:sz w:val="24"/>
          <w:szCs w:val="24"/>
        </w:rPr>
        <w:t>%，税额：</w:t>
      </w:r>
      <w:r>
        <w:rPr>
          <w:rFonts w:hint="eastAsia" w:ascii="宋体" w:hAnsi="宋体" w:eastAsia="宋体" w:cs="宋体"/>
          <w:sz w:val="24"/>
          <w:szCs w:val="24"/>
          <w:u w:val="single"/>
        </w:rPr>
        <w:t xml:space="preserve">¥      </w:t>
      </w:r>
      <w:r>
        <w:rPr>
          <w:rFonts w:hint="eastAsia" w:ascii="宋体" w:hAnsi="宋体" w:eastAsia="宋体" w:cs="宋体"/>
          <w:sz w:val="24"/>
          <w:szCs w:val="24"/>
        </w:rPr>
        <w:t>元。该费用已包括但不限于下列费用：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（1）技术服务报酬；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（2）购置相关设备、资料等费用；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（3）调查研究、分析论证、试验测定、提交报告等费用；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（4）其他一切明示或暗示的费用。</w:t>
      </w:r>
    </w:p>
    <w:p>
      <w:pPr>
        <w:pStyle w:val="22"/>
        <w:spacing w:line="360" w:lineRule="auto"/>
        <w:ind w:firstLine="480"/>
        <w:rPr>
          <w:rFonts w:hint="eastAsia" w:ascii="宋体" w:hAnsi="宋体" w:eastAsia="宋体" w:cs="宋体"/>
          <w:sz w:val="24"/>
          <w:szCs w:val="24"/>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sz w:val="24"/>
          <w:szCs w:val="24"/>
        </w:rPr>
        <w:t>于本合同有效期间，任何情况下，乙方均不得再以任何理由或形式要求甲方再行支付其他任何费用。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第八条　技术服务费用的支付时间及方式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支付时间：技术服务费由甲方</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FF0000"/>
          <w:sz w:val="24"/>
          <w:szCs w:val="24"/>
          <w:highlight w:val="none"/>
          <w:u w:val="single"/>
        </w:rPr>
        <w:t>分期</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sz w:val="24"/>
          <w:szCs w:val="24"/>
        </w:rPr>
        <w:t xml:space="preserve">支付乙方。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w:t>
      </w:r>
      <w:r>
        <w:rPr>
          <w:rFonts w:hint="eastAsia" w:ascii="宋体" w:hAnsi="宋体" w:cs="宋体"/>
          <w:sz w:val="24"/>
          <w:szCs w:val="24"/>
          <w:lang w:val="en-US" w:eastAsia="zh-CN"/>
        </w:rPr>
        <w:t>支付</w:t>
      </w:r>
      <w:r>
        <w:rPr>
          <w:rFonts w:hint="eastAsia" w:ascii="宋体" w:hAnsi="宋体" w:eastAsia="宋体" w:cs="宋体"/>
          <w:sz w:val="24"/>
          <w:szCs w:val="24"/>
        </w:rPr>
        <w:t>时间如下：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研究大纲与细则制定完成后一个月内支付服务分总金额的20%</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取得试验段施工参数一个月内支付服务分总金额的60%</w:t>
      </w:r>
      <w:r>
        <w:rPr>
          <w:rFonts w:hint="eastAsia" w:ascii="宋体" w:hAnsi="宋体" w:eastAsia="宋体" w:cs="宋体"/>
          <w:sz w:val="24"/>
          <w:szCs w:val="24"/>
        </w:rPr>
        <w:t>；</w:t>
      </w:r>
    </w:p>
    <w:p>
      <w:pPr>
        <w:spacing w:line="360" w:lineRule="auto"/>
        <w:ind w:firstLine="480" w:firstLineChars="200"/>
        <w:jc w:val="left"/>
        <w:rPr>
          <w:rFonts w:hint="eastAsia"/>
        </w:rPr>
      </w:pPr>
      <w:r>
        <w:rPr>
          <w:rFonts w:hint="eastAsia" w:ascii="宋体" w:hAnsi="宋体" w:eastAsia="宋体" w:cs="宋体"/>
          <w:sz w:val="24"/>
          <w:szCs w:val="24"/>
        </w:rPr>
        <w:t xml:space="preserve">      （3）</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拉加公路路基施工完成一个月内支付服务分总金额的20%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支付方式为：电汇、转账、银行承兑汇票、供应链融资等形式支付</w:t>
      </w:r>
      <w:r>
        <w:rPr>
          <w:rFonts w:hint="eastAsia" w:ascii="宋体" w:hAnsi="宋体" w:cs="宋体"/>
          <w:sz w:val="24"/>
          <w:szCs w:val="24"/>
          <w:u w:val="none"/>
          <w:lang w:eastAsia="zh-CN"/>
        </w:rPr>
        <w:t>。</w:t>
      </w:r>
    </w:p>
    <w:p>
      <w:pPr>
        <w:pStyle w:val="22"/>
        <w:spacing w:before="0" w:beforeAutospacing="0" w:after="0" w:afterAutospacing="0" w:line="360" w:lineRule="auto"/>
        <w:ind w:firstLine="480" w:firstLineChars="200"/>
        <w:jc w:val="both"/>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乙方收款账户信息</w:t>
      </w:r>
      <w:r>
        <w:rPr>
          <w:rFonts w:hint="eastAsia" w:ascii="宋体" w:hAnsi="宋体" w:eastAsia="宋体" w:cs="宋体"/>
          <w:lang w:eastAsia="zh-CN"/>
        </w:rPr>
        <w:t>：</w:t>
      </w:r>
    </w:p>
    <w:p>
      <w:pPr>
        <w:pStyle w:val="22"/>
        <w:spacing w:before="0" w:beforeAutospacing="0" w:after="0" w:afterAutospacing="0" w:line="360" w:lineRule="auto"/>
        <w:ind w:firstLine="480" w:firstLineChars="200"/>
        <w:jc w:val="both"/>
        <w:rPr>
          <w:rFonts w:hint="eastAsia" w:ascii="宋体" w:hAnsi="宋体" w:eastAsia="宋体" w:cs="宋体"/>
          <w:u w:val="single"/>
        </w:rPr>
      </w:pPr>
      <w:r>
        <w:rPr>
          <w:rFonts w:hint="eastAsia" w:ascii="宋体" w:hAnsi="宋体" w:eastAsia="宋体" w:cs="宋体"/>
        </w:rPr>
        <w:t>开户行：</w:t>
      </w:r>
      <w:r>
        <w:rPr>
          <w:rFonts w:hint="eastAsia" w:ascii="宋体" w:hAnsi="宋体" w:eastAsia="宋体" w:cs="宋体"/>
          <w:u w:val="single"/>
        </w:rPr>
        <w:t xml:space="preserve">                          </w:t>
      </w:r>
    </w:p>
    <w:p>
      <w:pPr>
        <w:pStyle w:val="22"/>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账户名：</w:t>
      </w:r>
      <w:r>
        <w:rPr>
          <w:rFonts w:hint="eastAsia" w:ascii="宋体" w:hAnsi="宋体" w:eastAsia="宋体" w:cs="宋体"/>
          <w:u w:val="single"/>
        </w:rPr>
        <w:t xml:space="preserve">                          </w:t>
      </w:r>
    </w:p>
    <w:p>
      <w:pPr>
        <w:pStyle w:val="22"/>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rPr>
        <w:t xml:space="preserve">账  号: </w:t>
      </w:r>
      <w:r>
        <w:rPr>
          <w:rFonts w:hint="eastAsia" w:ascii="宋体" w:hAnsi="宋体" w:eastAsia="宋体" w:cs="宋体"/>
          <w:u w:val="single"/>
        </w:rPr>
        <w:t xml:space="preserve">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须确保上述账户的真实、合法和有效性。上述收款账户发生变动时，需经甲方同意，同时，双方应另行签订补充协议。在未签订补充协议前，甲方仍按照原账户向乙方付款，一旦甲方将技术服务费用支付至原账户，即视为甲方已支付，甲方不承担任何责任。</w:t>
      </w:r>
    </w:p>
    <w:p>
      <w:pPr>
        <w:pStyle w:val="9"/>
        <w:tabs>
          <w:tab w:val="left" w:pos="0"/>
        </w:tabs>
        <w:adjustRightInd w:val="0"/>
        <w:spacing w:before="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w:t>
      </w:r>
      <w:r>
        <w:rPr>
          <w:rFonts w:hint="eastAsia" w:ascii="宋体" w:hAnsi="宋体" w:eastAsia="宋体" w:cs="宋体"/>
          <w:sz w:val="24"/>
          <w:szCs w:val="24"/>
          <w:lang w:val="en-US" w:eastAsia="zh-CN"/>
        </w:rPr>
        <w:t>收取服务费前</w:t>
      </w:r>
      <w:r>
        <w:rPr>
          <w:rFonts w:hint="eastAsia" w:ascii="宋体" w:hAnsi="宋体" w:eastAsia="宋体" w:cs="宋体"/>
          <w:sz w:val="24"/>
          <w:szCs w:val="24"/>
        </w:rPr>
        <w:t>，</w:t>
      </w:r>
      <w:r>
        <w:rPr>
          <w:rFonts w:hint="eastAsia" w:ascii="宋体" w:hAnsi="宋体" w:eastAsia="宋体" w:cs="宋体"/>
          <w:sz w:val="24"/>
          <w:szCs w:val="24"/>
          <w:lang w:val="en-US" w:eastAsia="zh-CN"/>
        </w:rPr>
        <w:t>应</w:t>
      </w:r>
      <w:r>
        <w:rPr>
          <w:rFonts w:hint="eastAsia" w:ascii="宋体" w:hAnsi="宋体" w:eastAsia="宋体" w:cs="宋体"/>
          <w:sz w:val="24"/>
          <w:szCs w:val="24"/>
        </w:rPr>
        <w:t>提供经甲方认可的本合同增值税</w:t>
      </w:r>
      <w:r>
        <w:rPr>
          <w:rFonts w:hint="eastAsia" w:ascii="宋体" w:hAnsi="宋体" w:cs="宋体"/>
          <w:sz w:val="24"/>
          <w:szCs w:val="24"/>
          <w:lang w:val="en-US" w:eastAsia="zh-CN"/>
        </w:rPr>
        <w:t>普通</w:t>
      </w:r>
      <w:r>
        <w:rPr>
          <w:rFonts w:hint="eastAsia" w:ascii="宋体" w:hAnsi="宋体" w:eastAsia="宋体" w:cs="宋体"/>
          <w:sz w:val="24"/>
          <w:szCs w:val="24"/>
        </w:rPr>
        <w:t>发票给甲方。在任何情况下，乙方应无条件开具</w:t>
      </w:r>
      <w:r>
        <w:rPr>
          <w:rFonts w:hint="eastAsia" w:ascii="宋体" w:hAnsi="宋体" w:eastAsia="宋体" w:cs="宋体"/>
          <w:sz w:val="24"/>
          <w:szCs w:val="24"/>
          <w:lang w:val="en-US" w:eastAsia="zh-CN"/>
        </w:rPr>
        <w:t>服务费</w:t>
      </w:r>
      <w:r>
        <w:rPr>
          <w:rFonts w:hint="eastAsia" w:ascii="宋体" w:hAnsi="宋体" w:eastAsia="宋体" w:cs="宋体"/>
          <w:sz w:val="24"/>
          <w:szCs w:val="24"/>
        </w:rPr>
        <w:t>对应的增值税</w:t>
      </w:r>
      <w:r>
        <w:rPr>
          <w:rFonts w:hint="eastAsia" w:ascii="宋体" w:hAnsi="宋体" w:cs="宋体"/>
          <w:sz w:val="24"/>
          <w:szCs w:val="24"/>
          <w:lang w:val="en-US" w:eastAsia="zh-CN"/>
        </w:rPr>
        <w:t>普通</w:t>
      </w:r>
      <w:r>
        <w:rPr>
          <w:rFonts w:hint="eastAsia" w:ascii="宋体" w:hAnsi="宋体" w:eastAsia="宋体" w:cs="宋体"/>
          <w:sz w:val="24"/>
          <w:szCs w:val="24"/>
        </w:rPr>
        <w:t>发票。甲方增值税</w:t>
      </w:r>
      <w:r>
        <w:rPr>
          <w:rFonts w:hint="eastAsia" w:ascii="宋体" w:hAnsi="宋体" w:cs="宋体"/>
          <w:sz w:val="24"/>
          <w:szCs w:val="24"/>
          <w:lang w:val="en-US" w:eastAsia="zh-CN"/>
        </w:rPr>
        <w:t>普通</w:t>
      </w:r>
      <w:r>
        <w:rPr>
          <w:rFonts w:hint="eastAsia" w:ascii="宋体" w:hAnsi="宋体" w:eastAsia="宋体" w:cs="宋体"/>
          <w:sz w:val="24"/>
          <w:szCs w:val="24"/>
        </w:rPr>
        <w:t>发票的开票信息如下：</w:t>
      </w:r>
    </w:p>
    <w:p>
      <w:pPr>
        <w:pStyle w:val="9"/>
        <w:tabs>
          <w:tab w:val="left" w:pos="0"/>
        </w:tabs>
        <w:adjustRightInd w:val="0"/>
        <w:spacing w:before="0" w:line="360" w:lineRule="auto"/>
        <w:ind w:left="0" w:firstLine="360" w:firstLineChars="15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中交第四航务工程局有限公司</w:t>
      </w:r>
      <w:r>
        <w:rPr>
          <w:rFonts w:hint="eastAsia" w:ascii="宋体" w:hAnsi="宋体" w:eastAsia="宋体" w:cs="宋体"/>
          <w:sz w:val="24"/>
          <w:szCs w:val="24"/>
          <w:u w:val="single"/>
        </w:rPr>
        <w:t xml:space="preserve">   </w:t>
      </w:r>
    </w:p>
    <w:p>
      <w:pPr>
        <w:pStyle w:val="9"/>
        <w:tabs>
          <w:tab w:val="left" w:pos="0"/>
        </w:tabs>
        <w:adjustRightInd w:val="0"/>
        <w:spacing w:before="0" w:line="360" w:lineRule="auto"/>
        <w:ind w:left="0" w:firstLine="360" w:firstLineChars="150"/>
        <w:rPr>
          <w:rFonts w:hint="eastAsia" w:ascii="宋体" w:hAnsi="宋体" w:eastAsia="宋体" w:cs="宋体"/>
          <w:sz w:val="24"/>
          <w:szCs w:val="24"/>
        </w:rPr>
      </w:pPr>
      <w:r>
        <w:rPr>
          <w:rFonts w:hint="eastAsia" w:ascii="宋体" w:hAnsi="宋体" w:eastAsia="宋体" w:cs="宋体"/>
          <w:sz w:val="24"/>
          <w:szCs w:val="24"/>
        </w:rPr>
        <w:t>纳税人识别号：</w:t>
      </w:r>
      <w:r>
        <w:rPr>
          <w:rFonts w:hint="eastAsia" w:ascii="宋体" w:hAnsi="宋体" w:eastAsia="宋体" w:cs="宋体"/>
          <w:sz w:val="24"/>
          <w:szCs w:val="24"/>
          <w:u w:val="single"/>
        </w:rPr>
        <w:t xml:space="preserve">  91440 10119 04321 294  </w:t>
      </w:r>
    </w:p>
    <w:p>
      <w:pPr>
        <w:pStyle w:val="9"/>
        <w:tabs>
          <w:tab w:val="left" w:pos="0"/>
        </w:tabs>
        <w:adjustRightInd w:val="0"/>
        <w:spacing w:before="0" w:line="360" w:lineRule="auto"/>
        <w:ind w:left="0" w:firstLine="360" w:firstLineChars="15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建行广州昌岗路支行 </w:t>
      </w:r>
    </w:p>
    <w:p>
      <w:pPr>
        <w:pStyle w:val="9"/>
        <w:tabs>
          <w:tab w:val="left" w:pos="0"/>
        </w:tabs>
        <w:adjustRightInd w:val="0"/>
        <w:spacing w:before="0" w:line="360" w:lineRule="auto"/>
        <w:ind w:left="0" w:firstLine="360" w:firstLineChars="150"/>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44001430402050201440 </w:t>
      </w:r>
    </w:p>
    <w:p>
      <w:pPr>
        <w:pStyle w:val="9"/>
        <w:tabs>
          <w:tab w:val="left" w:pos="0"/>
        </w:tabs>
        <w:adjustRightInd w:val="0"/>
        <w:spacing w:before="0" w:line="360" w:lineRule="auto"/>
        <w:ind w:left="0" w:firstLine="360" w:firstLineChars="150"/>
        <w:rPr>
          <w:rFonts w:hint="eastAsia" w:ascii="宋体" w:hAnsi="宋体" w:eastAsia="宋体" w:cs="宋体"/>
          <w:sz w:val="24"/>
          <w:szCs w:val="24"/>
        </w:rPr>
      </w:pPr>
      <w:r>
        <w:rPr>
          <w:rFonts w:hint="eastAsia" w:ascii="宋体" w:hAnsi="宋体" w:eastAsia="宋体" w:cs="宋体"/>
          <w:sz w:val="24"/>
          <w:szCs w:val="24"/>
        </w:rPr>
        <w:t>地址、电话：</w:t>
      </w:r>
      <w:r>
        <w:rPr>
          <w:rFonts w:hint="eastAsia" w:ascii="宋体" w:hAnsi="宋体" w:eastAsia="宋体" w:cs="宋体"/>
          <w:sz w:val="24"/>
          <w:szCs w:val="24"/>
          <w:u w:val="single"/>
        </w:rPr>
        <w:t xml:space="preserve">  广州市海珠区沥滘路368号   </w:t>
      </w:r>
    </w:p>
    <w:p>
      <w:pPr>
        <w:pStyle w:val="22"/>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乙方必须保证对甲方交易事项诚信报税，乙方向甲方提交与交易事项对应发票（加盖乙方单位发票专用章），并且保证对该发票真实性、合法性、有效性负责，如因乙方提供的发票不符合税务部门的规定而给甲方造成损失，乙方应无限期承担全额赔偿责任，包括但不限于：因乙方发票问题导致甲方补交税款、支付相关滞纳金或税务罚款。</w:t>
      </w:r>
    </w:p>
    <w:p>
      <w:pPr>
        <w:numPr>
          <w:ilvl w:val="0"/>
          <w:numId w:val="0"/>
        </w:numPr>
        <w:spacing w:line="360" w:lineRule="auto"/>
        <w:ind w:firstLine="0" w:firstLineChars="0"/>
        <w:rPr>
          <w:rFonts w:hint="eastAsia" w:ascii="宋体" w:hAnsi="宋体" w:eastAsia="宋体" w:cs="宋体"/>
          <w:sz w:val="24"/>
          <w:szCs w:val="24"/>
        </w:rPr>
      </w:pP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第九条  承诺与保证</w:t>
      </w:r>
      <w:bookmarkStart w:id="32" w:name="be5346f5ca62494c9a428ed9857aaaad"/>
      <w:bookmarkEnd w:id="3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1、乙方承诺：保证其经验和能力能以令人满意的方式富有效率且迅速地开展技术服务，其合同项下的技术服务由胜任的技术人员依据双方接受的标准完成。</w:t>
      </w:r>
      <w:bookmarkStart w:id="33" w:name="990ad17284384066bd2c3a5e76e8f31a"/>
      <w:bookmarkEnd w:id="3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2、若乙方在其控制的范围内在任何时候、以任何原因向甲方提供本合同规定的技术服务不能令人满意，甲方可将不满意之处通知乙方，并给乙方</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三十</w:t>
      </w:r>
      <w:r>
        <w:rPr>
          <w:rFonts w:hint="eastAsia" w:ascii="宋体" w:hAnsi="宋体" w:eastAsia="宋体" w:cs="宋体"/>
          <w:sz w:val="24"/>
          <w:szCs w:val="24"/>
          <w:u w:val="single"/>
        </w:rPr>
        <w:t> </w:t>
      </w:r>
      <w:r>
        <w:rPr>
          <w:rFonts w:hint="eastAsia" w:ascii="宋体" w:hAnsi="宋体" w:eastAsia="宋体" w:cs="宋体"/>
          <w:sz w:val="24"/>
          <w:szCs w:val="24"/>
        </w:rPr>
        <w:t>天的期限改正或弥补。在此期间，甲方立即停止支付所有费用，直到乙方能按照本合同规定提供令甲方满意的技术服务为止。</w:t>
      </w:r>
      <w:bookmarkStart w:id="34" w:name="556bae5f1b3c48598c7518c0262da1dc"/>
      <w:bookmarkEnd w:id="34"/>
    </w:p>
    <w:p>
      <w:pPr>
        <w:spacing w:line="360" w:lineRule="auto"/>
        <w:ind w:firstLine="464" w:firstLineChars="200"/>
        <w:rPr>
          <w:rFonts w:hint="eastAsia" w:ascii="宋体" w:hAnsi="宋体" w:eastAsia="宋体" w:cs="宋体"/>
          <w:sz w:val="24"/>
          <w:szCs w:val="24"/>
        </w:rPr>
      </w:pPr>
      <w:r>
        <w:rPr>
          <w:rFonts w:hint="eastAsia" w:ascii="宋体" w:hAnsi="宋体" w:eastAsia="宋体" w:cs="宋体"/>
          <w:spacing w:val="-4"/>
          <w:sz w:val="24"/>
          <w:szCs w:val="24"/>
        </w:rPr>
        <w:t>3、乙方的保证义务</w:t>
      </w:r>
      <w:r>
        <w:rPr>
          <w:rFonts w:hint="eastAsia" w:ascii="宋体" w:hAnsi="宋体" w:eastAsia="宋体" w:cs="宋体"/>
          <w:spacing w:val="-4"/>
          <w:sz w:val="24"/>
          <w:szCs w:val="24"/>
          <w:lang w:val="en-US" w:eastAsia="zh-CN"/>
        </w:rPr>
        <w:t>持续到</w:t>
      </w:r>
      <w:r>
        <w:rPr>
          <w:rFonts w:hint="eastAsia" w:ascii="宋体" w:hAnsi="宋体" w:eastAsia="宋体" w:cs="宋体"/>
          <w:spacing w:val="-4"/>
          <w:sz w:val="24"/>
          <w:szCs w:val="24"/>
        </w:rPr>
        <w:t>在本技术服务经甲方最后验收后</w:t>
      </w:r>
      <w:r>
        <w:rPr>
          <w:rFonts w:hint="eastAsia" w:ascii="宋体" w:hAnsi="宋体" w:eastAsia="宋体" w:cs="宋体"/>
          <w:spacing w:val="-4"/>
          <w:sz w:val="24"/>
          <w:szCs w:val="24"/>
          <w:lang w:val="en-US" w:eastAsia="zh-CN"/>
        </w:rPr>
        <w:t>合格</w:t>
      </w:r>
      <w:r>
        <w:rPr>
          <w:rFonts w:hint="eastAsia" w:ascii="宋体" w:hAnsi="宋体" w:eastAsia="宋体" w:cs="宋体"/>
          <w:spacing w:val="-4"/>
          <w:sz w:val="24"/>
          <w:szCs w:val="24"/>
        </w:rPr>
        <w:t>或最后一批款项支付</w:t>
      </w:r>
      <w:r>
        <w:rPr>
          <w:rFonts w:hint="eastAsia" w:ascii="宋体" w:hAnsi="宋体" w:eastAsia="宋体" w:cs="宋体"/>
          <w:spacing w:val="-4"/>
          <w:sz w:val="24"/>
          <w:szCs w:val="24"/>
          <w:lang w:val="en-US" w:eastAsia="zh-CN"/>
        </w:rPr>
        <w:t>完成</w:t>
      </w:r>
      <w:r>
        <w:rPr>
          <w:rFonts w:hint="eastAsia" w:ascii="宋体" w:hAnsi="宋体" w:eastAsia="宋体" w:cs="宋体"/>
          <w:spacing w:val="-4"/>
          <w:sz w:val="24"/>
          <w:szCs w:val="24"/>
        </w:rPr>
        <w:t>。</w:t>
      </w:r>
      <w:bookmarkStart w:id="35" w:name="58f75b97b8ac4b819f89fa173e7171a0"/>
      <w:bookmarkEnd w:id="35"/>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  实施风险责任</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基于乙方的丰富的专业经验及本合同第九条的承诺与保证，为此，若甲方遵循乙方符合约定要求的技术服务报告和意见作出决策所造成的损失，则乙方应为此承担责任。</w:t>
      </w:r>
    </w:p>
    <w:p>
      <w:pPr>
        <w:spacing w:line="360" w:lineRule="auto"/>
        <w:ind w:firstLine="525"/>
        <w:outlineLvl w:val="0"/>
        <w:rPr>
          <w:rFonts w:hint="eastAsia" w:ascii="宋体" w:hAnsi="宋体" w:eastAsia="宋体" w:cs="宋体"/>
          <w:b/>
          <w:sz w:val="24"/>
          <w:szCs w:val="24"/>
        </w:rPr>
      </w:pPr>
      <w:r>
        <w:rPr>
          <w:rFonts w:hint="eastAsia" w:ascii="宋体" w:hAnsi="宋体" w:eastAsia="宋体" w:cs="宋体"/>
          <w:b/>
          <w:sz w:val="24"/>
          <w:szCs w:val="24"/>
        </w:rPr>
        <w:t>第十一条  保密义务</w:t>
      </w:r>
    </w:p>
    <w:p>
      <w:pPr>
        <w:widowControl/>
        <w:spacing w:line="360" w:lineRule="auto"/>
        <w:ind w:firstLine="480" w:firstLineChars="200"/>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乙</w:t>
      </w:r>
      <w:r>
        <w:rPr>
          <w:rFonts w:hint="eastAsia" w:ascii="宋体" w:hAnsi="宋体" w:eastAsia="宋体" w:cs="宋体"/>
          <w:color w:val="000000"/>
          <w:kern w:val="0"/>
          <w:sz w:val="24"/>
          <w:szCs w:val="24"/>
        </w:rPr>
        <w:t>方保证对从</w:t>
      </w:r>
      <w:r>
        <w:rPr>
          <w:rFonts w:hint="eastAsia" w:ascii="宋体" w:hAnsi="宋体" w:cs="宋体"/>
          <w:color w:val="000000"/>
          <w:kern w:val="0"/>
          <w:sz w:val="24"/>
          <w:szCs w:val="24"/>
          <w:lang w:val="en-US" w:eastAsia="zh-CN"/>
        </w:rPr>
        <w:t>甲</w:t>
      </w:r>
      <w:r>
        <w:rPr>
          <w:rFonts w:hint="eastAsia" w:ascii="宋体" w:hAnsi="宋体" w:eastAsia="宋体" w:cs="宋体"/>
          <w:color w:val="000000"/>
          <w:kern w:val="0"/>
          <w:sz w:val="24"/>
          <w:szCs w:val="24"/>
        </w:rPr>
        <w:t>方取得且无法自公开渠道获得的商业秘密（技术信息、经营信息及其他商业秘密）予以保密。未经</w:t>
      </w:r>
      <w:r>
        <w:rPr>
          <w:rFonts w:hint="eastAsia" w:ascii="宋体" w:hAnsi="宋体" w:cs="宋体"/>
          <w:color w:val="000000"/>
          <w:kern w:val="0"/>
          <w:sz w:val="24"/>
          <w:szCs w:val="24"/>
          <w:lang w:val="en-US" w:eastAsia="zh-CN"/>
        </w:rPr>
        <w:t>甲</w:t>
      </w:r>
      <w:r>
        <w:rPr>
          <w:rFonts w:hint="eastAsia" w:ascii="宋体" w:hAnsi="宋体" w:eastAsia="宋体" w:cs="宋体"/>
          <w:color w:val="000000"/>
          <w:kern w:val="0"/>
          <w:sz w:val="24"/>
          <w:szCs w:val="24"/>
        </w:rPr>
        <w:t>方书面同意，</w:t>
      </w:r>
      <w:r>
        <w:rPr>
          <w:rFonts w:hint="eastAsia" w:ascii="宋体" w:hAnsi="宋体" w:cs="宋体"/>
          <w:color w:val="000000"/>
          <w:kern w:val="0"/>
          <w:sz w:val="24"/>
          <w:szCs w:val="24"/>
          <w:lang w:val="en-US" w:eastAsia="zh-CN"/>
        </w:rPr>
        <w:t>乙</w:t>
      </w:r>
      <w:r>
        <w:rPr>
          <w:rFonts w:hint="eastAsia" w:ascii="宋体" w:hAnsi="宋体" w:eastAsia="宋体" w:cs="宋体"/>
          <w:color w:val="000000"/>
          <w:kern w:val="0"/>
          <w:sz w:val="24"/>
          <w:szCs w:val="24"/>
        </w:rPr>
        <w:t>方</w:t>
      </w:r>
      <w:r>
        <w:rPr>
          <w:rFonts w:hint="eastAsia" w:ascii="宋体" w:hAnsi="宋体" w:cs="宋体"/>
          <w:color w:val="000000"/>
          <w:kern w:val="0"/>
          <w:sz w:val="24"/>
          <w:szCs w:val="24"/>
          <w:lang w:val="en-US" w:eastAsia="zh-CN"/>
        </w:rPr>
        <w:t>及其工作人员</w:t>
      </w:r>
      <w:r>
        <w:rPr>
          <w:rFonts w:hint="eastAsia" w:ascii="宋体" w:hAnsi="宋体" w:eastAsia="宋体" w:cs="宋体"/>
          <w:color w:val="000000"/>
          <w:kern w:val="0"/>
          <w:sz w:val="24"/>
          <w:szCs w:val="24"/>
        </w:rPr>
        <w:t>不得</w:t>
      </w:r>
      <w:r>
        <w:rPr>
          <w:rFonts w:hint="eastAsia" w:ascii="宋体" w:hAnsi="宋体" w:cs="宋体"/>
          <w:color w:val="000000"/>
          <w:kern w:val="0"/>
          <w:sz w:val="24"/>
          <w:szCs w:val="24"/>
          <w:lang w:val="en-US" w:eastAsia="zh-CN"/>
        </w:rPr>
        <w:t>引用、发表或</w:t>
      </w:r>
      <w:r>
        <w:rPr>
          <w:rFonts w:hint="eastAsia" w:ascii="宋体" w:hAnsi="宋体" w:eastAsia="宋体" w:cs="宋体"/>
          <w:color w:val="000000"/>
          <w:kern w:val="0"/>
          <w:sz w:val="24"/>
          <w:szCs w:val="24"/>
        </w:rPr>
        <w:t>向任何第三方泄露该商业秘密的全部或部分内容。</w:t>
      </w:r>
    </w:p>
    <w:p>
      <w:pPr>
        <w:widowControl/>
        <w:spacing w:line="360" w:lineRule="auto"/>
        <w:ind w:firstLine="480" w:firstLineChars="200"/>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乙方</w:t>
      </w:r>
      <w:r>
        <w:rPr>
          <w:rFonts w:hint="eastAsia" w:ascii="宋体" w:hAnsi="宋体" w:eastAsia="宋体" w:cs="宋体"/>
          <w:color w:val="000000"/>
          <w:kern w:val="0"/>
          <w:sz w:val="24"/>
          <w:szCs w:val="24"/>
        </w:rPr>
        <w:t>涉密人员范围</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u w:val="single"/>
        </w:rPr>
        <w:t>参与本项目的</w:t>
      </w:r>
      <w:r>
        <w:rPr>
          <w:rFonts w:hint="eastAsia" w:ascii="宋体" w:hAnsi="宋体" w:cs="宋体"/>
          <w:color w:val="000000"/>
          <w:kern w:val="0"/>
          <w:sz w:val="24"/>
          <w:szCs w:val="24"/>
          <w:u w:val="single"/>
          <w:lang w:val="en-US" w:eastAsia="zh-CN"/>
        </w:rPr>
        <w:t>技术</w:t>
      </w:r>
      <w:r>
        <w:rPr>
          <w:rFonts w:hint="eastAsia" w:ascii="宋体" w:hAnsi="宋体" w:eastAsia="宋体" w:cs="宋体"/>
          <w:color w:val="000000"/>
          <w:kern w:val="0"/>
          <w:sz w:val="24"/>
          <w:szCs w:val="24"/>
          <w:u w:val="single"/>
        </w:rPr>
        <w:t>人员</w:t>
      </w:r>
      <w:r>
        <w:rPr>
          <w:rFonts w:hint="eastAsia" w:ascii="宋体" w:hAnsi="宋体" w:eastAsia="宋体" w:cs="宋体"/>
          <w:color w:val="000000"/>
          <w:kern w:val="0"/>
          <w:sz w:val="24"/>
          <w:szCs w:val="24"/>
        </w:rPr>
        <w:t xml:space="preserve"> 。</w:t>
      </w:r>
    </w:p>
    <w:p>
      <w:pPr>
        <w:widowControl/>
        <w:spacing w:line="360" w:lineRule="auto"/>
        <w:ind w:firstLine="480" w:firstLineChars="200"/>
        <w:jc w:val="both"/>
        <w:rPr>
          <w:rFonts w:hint="eastAsia" w:ascii="宋体" w:hAnsi="宋体" w:eastAsia="宋体" w:cs="宋体"/>
          <w:b/>
          <w:spacing w:val="-4"/>
          <w:sz w:val="24"/>
          <w:szCs w:val="24"/>
        </w:rPr>
      </w:pPr>
      <w:r>
        <w:rPr>
          <w:rFonts w:hint="eastAsia" w:ascii="宋体" w:hAnsi="宋体" w:cs="宋体"/>
          <w:color w:val="000000"/>
          <w:kern w:val="0"/>
          <w:sz w:val="24"/>
          <w:szCs w:val="24"/>
          <w:lang w:val="en-US" w:eastAsia="zh-CN"/>
        </w:rPr>
        <w:t>若乙方或乙方工作人员</w:t>
      </w:r>
      <w:r>
        <w:rPr>
          <w:rFonts w:hint="eastAsia" w:ascii="宋体" w:hAnsi="宋体" w:eastAsia="宋体" w:cs="宋体"/>
          <w:color w:val="000000"/>
          <w:kern w:val="0"/>
          <w:sz w:val="24"/>
          <w:szCs w:val="24"/>
        </w:rPr>
        <w:t>违反上述保密义务的，</w:t>
      </w:r>
      <w:r>
        <w:rPr>
          <w:rFonts w:hint="eastAsia" w:ascii="宋体" w:hAnsi="宋体" w:cs="宋体"/>
          <w:color w:val="000000"/>
          <w:kern w:val="0"/>
          <w:sz w:val="24"/>
          <w:szCs w:val="24"/>
          <w:lang w:val="en-US" w:eastAsia="zh-CN"/>
        </w:rPr>
        <w:t>乙方</w:t>
      </w:r>
      <w:r>
        <w:rPr>
          <w:rFonts w:hint="eastAsia" w:ascii="宋体" w:hAnsi="宋体" w:eastAsia="宋体" w:cs="宋体"/>
          <w:color w:val="000000"/>
          <w:kern w:val="0"/>
          <w:sz w:val="24"/>
          <w:szCs w:val="24"/>
        </w:rPr>
        <w:t>应承担</w:t>
      </w:r>
      <w:r>
        <w:rPr>
          <w:rFonts w:hint="eastAsia" w:ascii="宋体" w:hAnsi="宋体" w:cs="宋体"/>
          <w:color w:val="000000"/>
          <w:kern w:val="0"/>
          <w:sz w:val="24"/>
          <w:szCs w:val="24"/>
          <w:lang w:val="en-US" w:eastAsia="zh-CN"/>
        </w:rPr>
        <w:t>合同额10%的惩罚性违约金</w:t>
      </w:r>
      <w:r>
        <w:rPr>
          <w:rFonts w:hint="eastAsia" w:ascii="宋体" w:hAnsi="宋体" w:eastAsia="宋体" w:cs="宋体"/>
          <w:color w:val="000000"/>
          <w:kern w:val="0"/>
          <w:sz w:val="24"/>
          <w:szCs w:val="24"/>
        </w:rPr>
        <w:t>并赔偿由此</w:t>
      </w:r>
      <w:r>
        <w:rPr>
          <w:rFonts w:hint="eastAsia" w:ascii="宋体" w:hAnsi="宋体" w:cs="宋体"/>
          <w:color w:val="000000"/>
          <w:kern w:val="0"/>
          <w:sz w:val="24"/>
          <w:szCs w:val="24"/>
          <w:lang w:val="en-US" w:eastAsia="zh-CN"/>
        </w:rPr>
        <w:t>给甲方</w:t>
      </w:r>
      <w:r>
        <w:rPr>
          <w:rFonts w:hint="eastAsia" w:ascii="宋体" w:hAnsi="宋体" w:eastAsia="宋体" w:cs="宋体"/>
          <w:color w:val="000000"/>
          <w:kern w:val="0"/>
          <w:sz w:val="24"/>
          <w:szCs w:val="24"/>
        </w:rPr>
        <w:t>造成的损失。</w:t>
      </w:r>
      <w:bookmarkStart w:id="36" w:name="2e9700b4e762460f98fd7fe333bb013d"/>
      <w:bookmarkEnd w:id="36"/>
      <w:r>
        <w:rPr>
          <w:rFonts w:hint="eastAsia" w:ascii="宋体" w:hAnsi="宋体" w:eastAsia="宋体" w:cs="宋体"/>
          <w:sz w:val="24"/>
          <w:szCs w:val="24"/>
        </w:rPr>
        <w:t>不论本</w:t>
      </w:r>
      <w:r>
        <w:rPr>
          <w:rFonts w:hint="eastAsia" w:ascii="宋体" w:hAnsi="宋体" w:cs="宋体"/>
          <w:sz w:val="24"/>
          <w:szCs w:val="24"/>
          <w:lang w:val="en-US" w:eastAsia="zh-CN"/>
        </w:rPr>
        <w:t>协议</w:t>
      </w:r>
      <w:r>
        <w:rPr>
          <w:rFonts w:hint="eastAsia" w:ascii="宋体" w:hAnsi="宋体" w:eastAsia="宋体" w:cs="宋体"/>
          <w:sz w:val="24"/>
          <w:szCs w:val="24"/>
        </w:rPr>
        <w:t>是否变更、解除或终止，本条款</w:t>
      </w:r>
      <w:r>
        <w:rPr>
          <w:rFonts w:hint="eastAsia" w:ascii="宋体" w:hAnsi="宋体" w:cs="宋体"/>
          <w:sz w:val="24"/>
          <w:szCs w:val="24"/>
          <w:lang w:val="en-US" w:eastAsia="zh-CN"/>
        </w:rPr>
        <w:t>不受限制继续</w:t>
      </w:r>
      <w:r>
        <w:rPr>
          <w:rFonts w:hint="eastAsia" w:ascii="宋体" w:hAnsi="宋体" w:eastAsia="宋体" w:cs="宋体"/>
          <w:sz w:val="24"/>
          <w:szCs w:val="24"/>
        </w:rPr>
        <w:t>有效</w:t>
      </w:r>
      <w:r>
        <w:rPr>
          <w:rFonts w:hint="eastAsia" w:ascii="宋体" w:hAnsi="宋体" w:cs="宋体"/>
          <w:sz w:val="24"/>
          <w:szCs w:val="24"/>
          <w:lang w:eastAsia="zh-CN"/>
        </w:rPr>
        <w:t>。</w:t>
      </w:r>
    </w:p>
    <w:p>
      <w:pPr>
        <w:spacing w:line="360" w:lineRule="auto"/>
        <w:ind w:firstLine="525"/>
        <w:outlineLvl w:val="0"/>
        <w:rPr>
          <w:rFonts w:hint="eastAsia" w:ascii="宋体" w:hAnsi="宋体" w:eastAsia="宋体" w:cs="宋体"/>
          <w:b/>
          <w:spacing w:val="-4"/>
          <w:sz w:val="24"/>
          <w:szCs w:val="24"/>
        </w:rPr>
      </w:pPr>
      <w:r>
        <w:rPr>
          <w:rFonts w:hint="eastAsia" w:ascii="宋体" w:hAnsi="宋体" w:eastAsia="宋体" w:cs="宋体"/>
          <w:b/>
          <w:sz w:val="24"/>
          <w:szCs w:val="24"/>
        </w:rPr>
        <w:t>第十二条  验收标准和方法</w:t>
      </w: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1、乙方完成技术服务工作的方式与载体：</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技术报告与研究方案成果</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25"/>
        <w:outlineLvl w:val="0"/>
        <w:rPr>
          <w:rFonts w:hint="eastAsia" w:ascii="宋体" w:hAnsi="宋体" w:eastAsia="宋体" w:cs="宋体"/>
          <w:sz w:val="24"/>
          <w:szCs w:val="24"/>
        </w:rPr>
      </w:pPr>
      <w:r>
        <w:rPr>
          <w:rFonts w:hint="eastAsia" w:ascii="宋体" w:hAnsi="宋体" w:eastAsia="宋体" w:cs="宋体"/>
          <w:sz w:val="24"/>
          <w:szCs w:val="24"/>
        </w:rPr>
        <w:t>2、技术服务工作成果的验收标准：</w:t>
      </w:r>
      <w:r>
        <w:rPr>
          <w:rFonts w:hint="eastAsia" w:ascii="宋体" w:hAnsi="宋体" w:cs="宋体"/>
          <w:sz w:val="24"/>
          <w:szCs w:val="24"/>
          <w:u w:val="single"/>
          <w:lang w:val="en-US" w:eastAsia="zh-CN"/>
        </w:rPr>
        <w:t>肯尼亚路基验收规范与立项书中要求成果</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25"/>
        <w:jc w:val="left"/>
        <w:outlineLvl w:val="0"/>
        <w:rPr>
          <w:rFonts w:hint="eastAsia" w:ascii="宋体" w:hAnsi="宋体" w:eastAsia="宋体" w:cs="宋体"/>
          <w:sz w:val="24"/>
          <w:szCs w:val="24"/>
        </w:rPr>
      </w:pPr>
      <w:r>
        <w:rPr>
          <w:rFonts w:hint="eastAsia" w:ascii="宋体" w:hAnsi="宋体" w:eastAsia="宋体" w:cs="宋体"/>
          <w:sz w:val="24"/>
          <w:szCs w:val="24"/>
        </w:rPr>
        <w:t>3、验收方法：</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现场检验，成果发表</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25"/>
        <w:jc w:val="left"/>
        <w:outlineLvl w:val="0"/>
        <w:rPr>
          <w:rFonts w:hint="eastAsia" w:ascii="宋体" w:hAnsi="宋体" w:eastAsia="宋体" w:cs="宋体"/>
          <w:b/>
          <w:spacing w:val="-4"/>
          <w:sz w:val="24"/>
          <w:szCs w:val="24"/>
        </w:rPr>
      </w:pPr>
      <w:r>
        <w:rPr>
          <w:rFonts w:hint="eastAsia" w:ascii="宋体" w:hAnsi="宋体" w:eastAsia="宋体" w:cs="宋体"/>
          <w:sz w:val="24"/>
          <w:szCs w:val="24"/>
        </w:rPr>
        <w:t>4、验收时间：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拉加公路路基填筑完成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25"/>
        <w:jc w:val="left"/>
        <w:outlineLvl w:val="0"/>
        <w:rPr>
          <w:rFonts w:hint="eastAsia" w:ascii="宋体" w:hAnsi="宋体" w:eastAsia="宋体" w:cs="宋体"/>
          <w:b/>
          <w:spacing w:val="-4"/>
          <w:sz w:val="24"/>
          <w:szCs w:val="24"/>
        </w:rPr>
      </w:pPr>
      <w:r>
        <w:rPr>
          <w:rFonts w:hint="eastAsia" w:ascii="宋体" w:hAnsi="宋体" w:eastAsia="宋体" w:cs="宋体"/>
          <w:sz w:val="24"/>
          <w:szCs w:val="24"/>
        </w:rPr>
        <w:t>5、验收地点：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肯尼亚拉加公路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540"/>
        <w:outlineLvl w:val="0"/>
        <w:rPr>
          <w:rFonts w:hint="eastAsia" w:ascii="宋体" w:hAnsi="宋体" w:eastAsia="宋体" w:cs="宋体"/>
          <w:b/>
          <w:spacing w:val="-2"/>
          <w:sz w:val="24"/>
          <w:szCs w:val="24"/>
        </w:rPr>
      </w:pPr>
      <w:r>
        <w:rPr>
          <w:rFonts w:hint="eastAsia" w:ascii="宋体" w:hAnsi="宋体" w:eastAsia="宋体" w:cs="宋体"/>
          <w:b/>
          <w:spacing w:val="-2"/>
          <w:sz w:val="24"/>
          <w:szCs w:val="24"/>
        </w:rPr>
        <w:t>第十三条  知识产权保护</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乙方承诺所交付的技术服务成果未侵犯任何国家、企业或个人的知识产权，并保障甲方免予承受因侵犯任何知识产权而遭受的诉讼、仲裁、索赔或其它经济损失。否则，甲方有权追究乙方法律责任。</w:t>
      </w:r>
    </w:p>
    <w:p>
      <w:pPr>
        <w:spacing w:line="360" w:lineRule="auto"/>
        <w:ind w:firstLine="555"/>
        <w:outlineLvl w:val="0"/>
        <w:rPr>
          <w:rFonts w:hint="eastAsia" w:ascii="宋体" w:hAnsi="宋体" w:eastAsia="宋体" w:cs="宋体"/>
          <w:b/>
          <w:sz w:val="24"/>
          <w:szCs w:val="24"/>
        </w:rPr>
      </w:pPr>
      <w:r>
        <w:rPr>
          <w:rFonts w:hint="eastAsia" w:ascii="宋体" w:hAnsi="宋体" w:eastAsia="宋体" w:cs="宋体"/>
          <w:b/>
          <w:sz w:val="24"/>
          <w:szCs w:val="24"/>
        </w:rPr>
        <w:t>第十四条  技术服务成果的归属</w:t>
      </w:r>
    </w:p>
    <w:p>
      <w:pPr>
        <w:spacing w:line="360" w:lineRule="auto"/>
        <w:ind w:firstLine="555"/>
        <w:outlineLvl w:val="0"/>
        <w:rPr>
          <w:rFonts w:hint="eastAsia" w:ascii="宋体" w:hAnsi="宋体" w:eastAsia="宋体" w:cs="宋体"/>
          <w:b/>
          <w:sz w:val="24"/>
          <w:szCs w:val="24"/>
        </w:rPr>
      </w:pPr>
      <w:r>
        <w:rPr>
          <w:rFonts w:hint="eastAsia" w:ascii="宋体" w:hAnsi="宋体" w:eastAsia="宋体" w:cs="宋体"/>
          <w:color w:val="000000"/>
          <w:kern w:val="0"/>
          <w:sz w:val="24"/>
          <w:szCs w:val="24"/>
        </w:rPr>
        <w:t>1、所有提交给甲方的技术服务报告及相关的资料的最后文本，包括为履行技术服务范围所编制的图纸、计划和证明资料等，都属于甲方的财产，乙方在提交给甲方之前应将上述资料进行整理归类和编制索引。</w:t>
      </w:r>
    </w:p>
    <w:p>
      <w:pPr>
        <w:spacing w:line="360" w:lineRule="auto"/>
        <w:ind w:firstLine="555"/>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2、乙方可保存上述资料的复印件（本合同所指甲方提供的资料除外），但未经甲方的书面同意，乙方不得将上述资料用于与本服务项目之外的第三人或其他任何项目。</w:t>
      </w:r>
    </w:p>
    <w:p>
      <w:pPr>
        <w:spacing w:line="360" w:lineRule="auto"/>
        <w:ind w:firstLine="555"/>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3、在本合同有效期内，甲方利用乙方提交的技术服务工作成果所完成的新的技术成果，归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双</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（甲、双）方所有。</w:t>
      </w:r>
    </w:p>
    <w:p>
      <w:pPr>
        <w:spacing w:line="360" w:lineRule="auto"/>
        <w:ind w:firstLine="555"/>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4、在本合同有效期内，乙方利用甲方提供的技术资料和工作条件所完成的新的技术成果，归</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双</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（乙、双）方所有。</w:t>
      </w:r>
    </w:p>
    <w:p>
      <w:pPr>
        <w:spacing w:line="360" w:lineRule="auto"/>
        <w:ind w:firstLine="570"/>
        <w:outlineLvl w:val="0"/>
        <w:rPr>
          <w:rFonts w:hint="eastAsia" w:ascii="宋体" w:hAnsi="宋体" w:eastAsia="宋体" w:cs="宋体"/>
          <w:b/>
          <w:sz w:val="24"/>
          <w:szCs w:val="24"/>
        </w:rPr>
      </w:pPr>
      <w:r>
        <w:rPr>
          <w:rFonts w:hint="eastAsia" w:ascii="宋体" w:hAnsi="宋体" w:eastAsia="宋体" w:cs="宋体"/>
          <w:b/>
          <w:sz w:val="24"/>
          <w:szCs w:val="24"/>
        </w:rPr>
        <w:t>第十五条  指导与培训</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乙方在向甲方交付技术服务成果后，应根据甲方的要求，免费为甲方指定的人员提供有关的技术指导和培训，或提供与使用该技术服务成果相关的技术服务。</w:t>
      </w:r>
    </w:p>
    <w:p>
      <w:pPr>
        <w:widowControl/>
        <w:spacing w:line="360" w:lineRule="auto"/>
        <w:ind w:firstLine="482" w:firstLineChars="200"/>
        <w:jc w:val="left"/>
        <w:outlineLvl w:val="0"/>
        <w:rPr>
          <w:rFonts w:hint="eastAsia" w:ascii="宋体" w:hAnsi="宋体" w:eastAsia="宋体" w:cs="宋体"/>
          <w:b/>
          <w:color w:val="000000"/>
          <w:kern w:val="0"/>
          <w:sz w:val="24"/>
          <w:szCs w:val="24"/>
        </w:rPr>
      </w:pPr>
      <w:r>
        <w:rPr>
          <w:rFonts w:hint="eastAsia" w:ascii="宋体" w:hAnsi="宋体" w:eastAsia="宋体" w:cs="宋体"/>
          <w:b/>
          <w:sz w:val="24"/>
          <w:szCs w:val="24"/>
        </w:rPr>
        <w:t xml:space="preserve">第十六条  </w:t>
      </w:r>
      <w:r>
        <w:rPr>
          <w:rFonts w:hint="eastAsia" w:ascii="宋体" w:hAnsi="宋体" w:eastAsia="宋体" w:cs="宋体"/>
          <w:b/>
          <w:color w:val="000000"/>
          <w:kern w:val="0"/>
          <w:sz w:val="24"/>
          <w:szCs w:val="24"/>
        </w:rPr>
        <w:t>合同的变更</w:t>
      </w:r>
      <w:bookmarkStart w:id="37" w:name="13bf97aad8224c808de462d2c89a3713"/>
      <w:bookmarkEnd w:id="37"/>
      <w:r>
        <w:rPr>
          <w:rFonts w:hint="eastAsia" w:ascii="宋体" w:hAnsi="宋体" w:eastAsia="宋体" w:cs="宋体"/>
          <w:b/>
          <w:color w:val="000000"/>
          <w:kern w:val="0"/>
          <w:sz w:val="24"/>
          <w:szCs w:val="24"/>
        </w:rPr>
        <w:t>、解除</w:t>
      </w:r>
    </w:p>
    <w:p>
      <w:pPr>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kern w:val="0"/>
          <w:sz w:val="24"/>
          <w:szCs w:val="24"/>
        </w:rPr>
        <w:t>1、除本合同另有约定外，经甲方与乙方协商一致，可以对本合同进行变更或解除合同，但任何变更或解除均须以书面协议进行，</w:t>
      </w:r>
      <w:r>
        <w:rPr>
          <w:rFonts w:hint="eastAsia" w:ascii="宋体" w:hAnsi="宋体" w:eastAsia="宋体" w:cs="宋体"/>
          <w:color w:val="000000"/>
          <w:kern w:val="0"/>
          <w:sz w:val="24"/>
          <w:szCs w:val="24"/>
        </w:rPr>
        <w:t>该协议将成为合同不可分割的部分。</w:t>
      </w:r>
      <w:bookmarkStart w:id="38" w:name="a0719a849530444cb2de057b3a23185c"/>
      <w:bookmarkEnd w:id="38"/>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2、任何一方可以随时解除本合同，但应及时书面通知对方，并承担由此给另一方造成的损失。</w:t>
      </w:r>
      <w:bookmarkStart w:id="39" w:name="a5df2fdb2a064e87ae86aed9333cb5c4"/>
      <w:bookmarkEnd w:id="39"/>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3、在本合同履行期届满之前，当事人一方明确表示或以自己的行为表明不履行合同主要义务的</w:t>
      </w:r>
      <w:bookmarkStart w:id="40" w:name="4036593f803347fda2afacb099239d32"/>
      <w:bookmarkEnd w:id="40"/>
      <w:r>
        <w:rPr>
          <w:rFonts w:hint="eastAsia" w:ascii="宋体" w:hAnsi="宋体" w:eastAsia="宋体" w:cs="宋体"/>
          <w:color w:val="000000"/>
          <w:kern w:val="0"/>
          <w:sz w:val="24"/>
          <w:szCs w:val="24"/>
        </w:rPr>
        <w:t>，另一方可以单方解除本合同。</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4、当事人一方迟延履行主要债务，经催告后在合理期限内仍未履行的，另一方可以单方解除本合同。</w:t>
      </w:r>
    </w:p>
    <w:p>
      <w:pPr>
        <w:spacing w:line="360" w:lineRule="auto"/>
        <w:ind w:firstLine="55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5、当事人有其他违约或违法行为致使合同目的不能实现的</w:t>
      </w:r>
      <w:bookmarkStart w:id="41" w:name="cb08b058d39049f69c10f17903be4331"/>
      <w:bookmarkEnd w:id="41"/>
      <w:r>
        <w:rPr>
          <w:rFonts w:hint="eastAsia" w:ascii="宋体" w:hAnsi="宋体" w:eastAsia="宋体" w:cs="宋体"/>
          <w:color w:val="000000"/>
          <w:kern w:val="0"/>
          <w:sz w:val="24"/>
          <w:szCs w:val="24"/>
        </w:rPr>
        <w:t>，另一方可以单方解除本合同。</w:t>
      </w:r>
    </w:p>
    <w:p>
      <w:pPr>
        <w:widowControl/>
        <w:spacing w:line="360" w:lineRule="auto"/>
        <w:ind w:firstLine="482" w:firstLineChars="200"/>
        <w:jc w:val="left"/>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第十</w:t>
      </w:r>
      <w:r>
        <w:rPr>
          <w:rFonts w:hint="eastAsia" w:ascii="宋体" w:hAnsi="宋体" w:eastAsia="宋体" w:cs="宋体"/>
          <w:b/>
          <w:color w:val="000000"/>
          <w:kern w:val="0"/>
          <w:sz w:val="24"/>
          <w:szCs w:val="24"/>
          <w:lang w:val="en-US" w:eastAsia="zh-CN"/>
        </w:rPr>
        <w:t>七</w:t>
      </w:r>
      <w:r>
        <w:rPr>
          <w:rFonts w:hint="eastAsia" w:ascii="宋体" w:hAnsi="宋体" w:eastAsia="宋体" w:cs="宋体"/>
          <w:b/>
          <w:color w:val="000000"/>
          <w:kern w:val="0"/>
          <w:sz w:val="24"/>
          <w:szCs w:val="24"/>
        </w:rPr>
        <w:t>条  不可抗力</w:t>
      </w:r>
      <w:bookmarkStart w:id="42" w:name="4be9e1ac7792496abb6cea3deba24a64"/>
      <w:bookmarkEnd w:id="42"/>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1、如果本合同任何一方因受不可抗力事件影响而未能履行本合同的义务，该义务的履行在不可抗力事件妨碍其履行期间应予中止。</w:t>
      </w:r>
      <w:bookmarkStart w:id="43" w:name="3bba56d8c3ce438ab21c39d153c8c54b"/>
      <w:bookmarkEnd w:id="43"/>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声称受到不可抗力事件影响的一方应尽可能在最短的时间内通知另一方，并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bookmarkStart w:id="44" w:name="da4cb66f578c4a3abca41c90bccc2be0"/>
      <w:bookmarkEnd w:id="44"/>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bookmarkStart w:id="45" w:name="6f62deeb928f4ca48196cd235770ffee"/>
      <w:bookmarkEnd w:id="45"/>
    </w:p>
    <w:p>
      <w:pPr>
        <w:spacing w:line="360" w:lineRule="auto"/>
        <w:ind w:firstLine="55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spacing w:line="360" w:lineRule="auto"/>
        <w:ind w:firstLine="555"/>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第十</w:t>
      </w:r>
      <w:r>
        <w:rPr>
          <w:rFonts w:hint="eastAsia" w:ascii="宋体" w:hAnsi="宋体" w:eastAsia="宋体" w:cs="宋体"/>
          <w:b/>
          <w:color w:val="000000"/>
          <w:kern w:val="0"/>
          <w:sz w:val="24"/>
          <w:szCs w:val="24"/>
          <w:lang w:val="en-US" w:eastAsia="zh-CN"/>
        </w:rPr>
        <w:t>八</w:t>
      </w:r>
      <w:r>
        <w:rPr>
          <w:rFonts w:hint="eastAsia" w:ascii="宋体" w:hAnsi="宋体" w:eastAsia="宋体" w:cs="宋体"/>
          <w:b/>
          <w:color w:val="000000"/>
          <w:kern w:val="0"/>
          <w:sz w:val="24"/>
          <w:szCs w:val="24"/>
        </w:rPr>
        <w:t xml:space="preserve">条  </w:t>
      </w:r>
      <w:r>
        <w:rPr>
          <w:rFonts w:hint="eastAsia" w:ascii="宋体" w:hAnsi="宋体" w:eastAsia="宋体" w:cs="宋体"/>
          <w:b/>
          <w:sz w:val="24"/>
          <w:szCs w:val="24"/>
        </w:rPr>
        <w:t>违约责任</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任何一方违反本合同约定，应遵循下列方式承担违约责任：</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（一）甲方的违约责任：</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1、甲方未按照合同约定提供有关技术资料、数据、样品和工作条件，影响工作质量和进度的，应当如数支付服务费用。</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2、甲方迟延支付服务费用，应当</w:t>
      </w:r>
      <w:r>
        <w:rPr>
          <w:rFonts w:hint="eastAsia" w:ascii="宋体" w:hAnsi="宋体" w:eastAsia="宋体" w:cs="宋体"/>
          <w:color w:val="000000"/>
          <w:kern w:val="0"/>
          <w:sz w:val="24"/>
          <w:szCs w:val="24"/>
          <w:lang w:val="en-US" w:eastAsia="zh-CN"/>
        </w:rPr>
        <w:t>按照</w:t>
      </w:r>
      <w:r>
        <w:rPr>
          <w:rFonts w:hint="eastAsia" w:ascii="宋体" w:hAnsi="宋体" w:eastAsia="宋体" w:cs="宋体"/>
          <w:kern w:val="0"/>
          <w:sz w:val="24"/>
          <w:szCs w:val="24"/>
        </w:rPr>
        <w:t>全国银行间同业拆借中心公布的</w:t>
      </w:r>
      <w:r>
        <w:rPr>
          <w:rFonts w:hint="eastAsia" w:ascii="宋体" w:hAnsi="宋体" w:eastAsia="宋体" w:cs="宋体"/>
          <w:color w:val="auto"/>
          <w:kern w:val="0"/>
          <w:sz w:val="24"/>
          <w:szCs w:val="24"/>
        </w:rPr>
        <w:t>1年期贷款市场报价利率向乙方支付逾期</w:t>
      </w:r>
      <w:r>
        <w:rPr>
          <w:rFonts w:hint="eastAsia" w:ascii="宋体" w:hAnsi="宋体" w:eastAsia="宋体" w:cs="宋体"/>
          <w:color w:val="auto"/>
          <w:kern w:val="0"/>
          <w:sz w:val="24"/>
          <w:szCs w:val="24"/>
          <w:lang w:val="en-US" w:eastAsia="zh-CN"/>
        </w:rPr>
        <w:t>服务费利息</w:t>
      </w:r>
      <w:r>
        <w:rPr>
          <w:rFonts w:hint="eastAsia" w:ascii="宋体" w:hAnsi="宋体" w:eastAsia="宋体" w:cs="宋体"/>
          <w:color w:val="auto"/>
          <w:kern w:val="0"/>
          <w:sz w:val="24"/>
          <w:szCs w:val="24"/>
        </w:rPr>
        <w:t>。</w:t>
      </w:r>
      <w:bookmarkStart w:id="46" w:name="ee94d6b7f4944db08a299db113dc54aa"/>
      <w:bookmarkEnd w:id="46"/>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（二）乙方的违约责任：</w:t>
      </w:r>
    </w:p>
    <w:p>
      <w:pPr>
        <w:spacing w:line="360" w:lineRule="auto"/>
        <w:ind w:firstLine="570"/>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拒</w:t>
      </w:r>
      <w:r>
        <w:rPr>
          <w:rFonts w:hint="eastAsia" w:ascii="宋体" w:hAnsi="宋体" w:eastAsia="宋体" w:cs="宋体"/>
          <w:color w:val="000000"/>
          <w:kern w:val="0"/>
          <w:sz w:val="24"/>
          <w:szCs w:val="24"/>
        </w:rPr>
        <w:t>不履行合同，应免收或退还已收取甲方服务费用并应向甲方支付服务费用总额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20</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的违约金。</w:t>
      </w:r>
      <w:bookmarkStart w:id="47" w:name="eee5778964ad49c7ab622187522de662"/>
      <w:bookmarkEnd w:id="47"/>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2、未按约定的期限完成工作的，</w:t>
      </w:r>
      <w:r>
        <w:rPr>
          <w:rFonts w:hint="eastAsia" w:ascii="宋体" w:hAnsi="宋体" w:eastAsia="宋体" w:cs="宋体"/>
          <w:color w:val="000000"/>
          <w:kern w:val="0"/>
          <w:sz w:val="24"/>
          <w:szCs w:val="24"/>
          <w:lang w:val="en-US" w:eastAsia="zh-CN"/>
        </w:rPr>
        <w:t>每迟延一天，</w:t>
      </w:r>
      <w:r>
        <w:rPr>
          <w:rFonts w:hint="eastAsia" w:ascii="宋体" w:hAnsi="宋体" w:eastAsia="宋体" w:cs="宋体"/>
          <w:color w:val="000000"/>
          <w:kern w:val="0"/>
          <w:sz w:val="24"/>
          <w:szCs w:val="24"/>
        </w:rPr>
        <w:t>应</w:t>
      </w:r>
      <w:r>
        <w:rPr>
          <w:rFonts w:hint="eastAsia" w:ascii="宋体" w:hAnsi="宋体" w:eastAsia="宋体" w:cs="宋体"/>
          <w:color w:val="000000"/>
          <w:kern w:val="0"/>
          <w:sz w:val="24"/>
          <w:szCs w:val="24"/>
          <w:lang w:val="en-US" w:eastAsia="zh-CN"/>
        </w:rPr>
        <w:t>按照</w:t>
      </w:r>
      <w:r>
        <w:rPr>
          <w:rFonts w:hint="eastAsia" w:ascii="宋体" w:hAnsi="宋体" w:eastAsia="宋体" w:cs="宋体"/>
          <w:color w:val="000000"/>
          <w:kern w:val="0"/>
          <w:sz w:val="24"/>
          <w:szCs w:val="24"/>
        </w:rPr>
        <w:t>支付服务费用总额</w:t>
      </w:r>
      <w:r>
        <w:rPr>
          <w:rFonts w:hint="eastAsia" w:ascii="宋体" w:hAnsi="宋体" w:eastAsia="宋体" w:cs="宋体"/>
          <w:color w:val="000000"/>
          <w:kern w:val="0"/>
          <w:sz w:val="24"/>
          <w:szCs w:val="24"/>
          <w:u w:val="single"/>
          <w:lang w:val="en-US" w:eastAsia="zh-CN"/>
        </w:rPr>
        <w:t>万分之五</w:t>
      </w:r>
      <w:r>
        <w:rPr>
          <w:rFonts w:hint="eastAsia" w:ascii="宋体" w:hAnsi="宋体" w:eastAsia="宋体" w:cs="宋体"/>
          <w:color w:val="000000"/>
          <w:kern w:val="0"/>
          <w:sz w:val="24"/>
          <w:szCs w:val="24"/>
          <w:lang w:val="en-US" w:eastAsia="zh-CN"/>
        </w:rPr>
        <w:t>向甲方支付</w:t>
      </w:r>
      <w:r>
        <w:rPr>
          <w:rFonts w:hint="eastAsia" w:ascii="宋体" w:hAnsi="宋体" w:eastAsia="宋体" w:cs="宋体"/>
          <w:color w:val="000000"/>
          <w:kern w:val="0"/>
          <w:sz w:val="24"/>
          <w:szCs w:val="24"/>
        </w:rPr>
        <w:t>违约金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逾期超过15天的，甲方有权解除合同，并要求乙方按照服务费总额的20%支付违约金</w:t>
      </w:r>
      <w:r>
        <w:rPr>
          <w:rFonts w:hint="eastAsia" w:ascii="宋体" w:hAnsi="宋体" w:eastAsia="宋体" w:cs="宋体"/>
          <w:color w:val="000000"/>
          <w:kern w:val="0"/>
          <w:sz w:val="24"/>
          <w:szCs w:val="24"/>
        </w:rPr>
        <w:t>。</w:t>
      </w:r>
      <w:bookmarkStart w:id="48" w:name="8ddfe5b5126e491eade8ef0b63265abb"/>
      <w:bookmarkEnd w:id="48"/>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3、未按质按量完成工作的，应当负责返工改进或如数补。如果给甲方造成损失的，应赔偿损失</w:t>
      </w:r>
      <w:bookmarkStart w:id="49" w:name="e5498fa4e87340b79ce30d793dff8227"/>
      <w:bookmarkEnd w:id="49"/>
      <w:r>
        <w:rPr>
          <w:rFonts w:hint="eastAsia" w:ascii="宋体" w:hAnsi="宋体" w:eastAsia="宋体" w:cs="宋体"/>
          <w:color w:val="000000"/>
          <w:kern w:val="0"/>
          <w:sz w:val="24"/>
          <w:szCs w:val="24"/>
        </w:rPr>
        <w:t>。</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4、在工作时间，发现甲方提供的技术资料、数据、样品、材料或工作条件等不符合合同规定，未按约定期限通知甲方，造成技术服务工作停滞、延误或不能履行的，应酌减或免收服务费用</w:t>
      </w:r>
      <w:bookmarkStart w:id="50" w:name="249272a09a9c41f38e3e5e1b73007761"/>
      <w:bookmarkEnd w:id="50"/>
      <w:r>
        <w:rPr>
          <w:rFonts w:hint="eastAsia" w:ascii="宋体" w:hAnsi="宋体" w:eastAsia="宋体" w:cs="宋体"/>
          <w:color w:val="000000"/>
          <w:kern w:val="0"/>
          <w:sz w:val="24"/>
          <w:szCs w:val="24"/>
        </w:rPr>
        <w:t>。</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5、在工作期间，发现甲方提供的物品有受损的危险，未按约定期限通知甲方，应对由此造成的损失承担责任。</w:t>
      </w:r>
      <w:bookmarkStart w:id="51" w:name="42ef2e8345cf47cea884b0dfb52701ac"/>
      <w:bookmarkEnd w:id="51"/>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6、违反合同约定、擅自将有关技术资料、数据、样品或工作成果引用、发表或提供给第三人，应支付数额为服务费用总额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20</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的违约金。</w:t>
      </w:r>
      <w:bookmarkStart w:id="52" w:name="e852f9cde90748ee9d1432ebbb470c64"/>
      <w:bookmarkEnd w:id="52"/>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7、对甲方交付的样品，材料及技术资料保管不善，造成灭失、短少、变质、污染或者损坏的，应赔偿损失。</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8、未经甲方同意，乙方擅自转让合同权利或义务的，甲方有权按照含税服务费的5%向乙方收取违约金。</w:t>
      </w:r>
      <w:r>
        <w:rPr>
          <w:rFonts w:hint="eastAsia" w:ascii="宋体" w:hAnsi="宋体" w:eastAsia="宋体" w:cs="宋体"/>
          <w:sz w:val="24"/>
          <w:szCs w:val="24"/>
        </w:rPr>
        <w:t xml:space="preserve">                                           </w:t>
      </w:r>
    </w:p>
    <w:p>
      <w:pPr>
        <w:spacing w:line="360" w:lineRule="auto"/>
        <w:ind w:firstLine="555"/>
        <w:outlineLvl w:val="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十九</w:t>
      </w:r>
      <w:r>
        <w:rPr>
          <w:rFonts w:hint="eastAsia" w:ascii="宋体" w:hAnsi="宋体" w:eastAsia="宋体" w:cs="宋体"/>
          <w:b/>
          <w:sz w:val="24"/>
          <w:szCs w:val="24"/>
        </w:rPr>
        <w:t>条  争议解决</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本合同项下发生的争议，由双方当事人协商；协商不成时，双方均有权向广州市</w:t>
      </w:r>
      <w:r>
        <w:rPr>
          <w:rFonts w:hint="eastAsia" w:ascii="宋体" w:hAnsi="宋体" w:eastAsia="宋体" w:cs="宋体"/>
          <w:kern w:val="0"/>
          <w:sz w:val="24"/>
          <w:szCs w:val="24"/>
          <w:lang w:val="en-US" w:eastAsia="zh-CN"/>
        </w:rPr>
        <w:t>白云</w:t>
      </w:r>
      <w:r>
        <w:rPr>
          <w:rFonts w:hint="eastAsia" w:ascii="宋体" w:hAnsi="宋体" w:eastAsia="宋体" w:cs="宋体"/>
          <w:kern w:val="0"/>
          <w:sz w:val="24"/>
          <w:szCs w:val="24"/>
        </w:rPr>
        <w:t>区人民法院提起诉讼。</w:t>
      </w:r>
    </w:p>
    <w:p>
      <w:pPr>
        <w:spacing w:line="360" w:lineRule="auto"/>
        <w:ind w:firstLine="555"/>
        <w:outlineLvl w:val="0"/>
        <w:rPr>
          <w:rFonts w:hint="eastAsia" w:ascii="宋体" w:hAnsi="宋体" w:eastAsia="宋体" w:cs="宋体"/>
          <w:b/>
          <w:sz w:val="24"/>
          <w:szCs w:val="24"/>
        </w:rPr>
      </w:pPr>
      <w:r>
        <w:rPr>
          <w:rFonts w:hint="eastAsia" w:ascii="宋体" w:hAnsi="宋体" w:eastAsia="宋体" w:cs="宋体"/>
          <w:b/>
          <w:sz w:val="24"/>
          <w:szCs w:val="24"/>
        </w:rPr>
        <w:t>第二十条  词语定义及解释</w:t>
      </w:r>
    </w:p>
    <w:p>
      <w:pPr>
        <w:spacing w:line="360" w:lineRule="auto"/>
        <w:ind w:firstLine="555"/>
        <w:outlineLvl w:val="0"/>
        <w:rPr>
          <w:rFonts w:hint="eastAsia" w:ascii="宋体" w:hAnsi="宋体" w:eastAsia="宋体" w:cs="宋体"/>
          <w:b/>
          <w:sz w:val="24"/>
          <w:szCs w:val="24"/>
        </w:rPr>
      </w:pPr>
      <w:r>
        <w:rPr>
          <w:rFonts w:hint="eastAsia" w:ascii="宋体" w:hAnsi="宋体" w:eastAsia="宋体" w:cs="宋体"/>
          <w:sz w:val="24"/>
          <w:szCs w:val="24"/>
        </w:rPr>
        <w:t>为避免各方理解分歧，双方对本合同及相关补充内容中涉及的有关名词及技术术语，特作如下确认：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630"/>
        <w:outlineLvl w:val="0"/>
        <w:rPr>
          <w:rFonts w:hint="eastAsia" w:ascii="宋体" w:hAnsi="宋体" w:eastAsia="宋体" w:cs="宋体"/>
          <w:b/>
          <w:sz w:val="24"/>
          <w:szCs w:val="24"/>
        </w:rPr>
      </w:pPr>
      <w:r>
        <w:rPr>
          <w:rFonts w:hint="eastAsia" w:ascii="宋体" w:hAnsi="宋体" w:eastAsia="宋体" w:cs="宋体"/>
          <w:b/>
          <w:sz w:val="24"/>
          <w:szCs w:val="24"/>
        </w:rPr>
        <w:t>第二十</w:t>
      </w:r>
      <w:r>
        <w:rPr>
          <w:rFonts w:hint="eastAsia" w:ascii="宋体" w:hAnsi="宋体" w:eastAsia="宋体" w:cs="宋体"/>
          <w:b/>
          <w:sz w:val="24"/>
          <w:szCs w:val="24"/>
          <w:lang w:val="en-US" w:eastAsia="zh-CN"/>
        </w:rPr>
        <w:t>一</w:t>
      </w:r>
      <w:r>
        <w:rPr>
          <w:rFonts w:hint="eastAsia" w:ascii="宋体" w:hAnsi="宋体" w:eastAsia="宋体" w:cs="宋体"/>
          <w:b/>
          <w:sz w:val="24"/>
          <w:szCs w:val="24"/>
        </w:rPr>
        <w:t>条  附件</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双方确认，下列文件为本合同的组成部分：</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1、技术背景资料：</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肯尼亚路基验收规范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2、可行性论证报告：</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拉加公路路基填料试验报告</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3、技术评价报告：</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拉加公路路基压实质量检测报告</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4、技术标准和规范：</w:t>
      </w:r>
      <w:r>
        <w:rPr>
          <w:rFonts w:hint="eastAsia" w:ascii="宋体" w:hAnsi="宋体" w:eastAsia="宋体" w:cs="宋体"/>
          <w:sz w:val="24"/>
          <w:szCs w:val="24"/>
          <w:u w:val="single"/>
        </w:rPr>
        <w:t xml:space="preserve">   肯尼亚路基验收规范            </w:t>
      </w:r>
      <w:r>
        <w:rPr>
          <w:rFonts w:hint="eastAsia" w:ascii="宋体" w:hAnsi="宋体" w:eastAsia="宋体" w:cs="宋体"/>
          <w:sz w:val="24"/>
          <w:szCs w:val="24"/>
        </w:rPr>
        <w:t>。</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5、原始设计和工艺文件：</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拉加公路设计文件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630"/>
        <w:rPr>
          <w:rFonts w:hint="eastAsia" w:ascii="宋体" w:hAnsi="宋体" w:eastAsia="宋体" w:cs="宋体"/>
          <w:sz w:val="24"/>
          <w:szCs w:val="24"/>
        </w:rPr>
      </w:pPr>
      <w:r>
        <w:rPr>
          <w:rFonts w:hint="eastAsia" w:ascii="宋体" w:hAnsi="宋体" w:eastAsia="宋体" w:cs="宋体"/>
          <w:sz w:val="24"/>
          <w:szCs w:val="24"/>
        </w:rPr>
        <w:t>6、其他：</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idowControl/>
        <w:spacing w:line="360" w:lineRule="auto"/>
        <w:ind w:left="561" w:leftChars="267" w:firstLine="200"/>
        <w:jc w:val="left"/>
        <w:rPr>
          <w:rFonts w:hint="eastAsia" w:ascii="宋体" w:hAnsi="宋体" w:eastAsia="宋体" w:cs="宋体"/>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val="en-US" w:eastAsia="zh-CN"/>
        </w:rPr>
        <w:t>二十二</w:t>
      </w:r>
      <w:r>
        <w:rPr>
          <w:rFonts w:hint="eastAsia" w:ascii="宋体" w:hAnsi="宋体" w:eastAsia="宋体" w:cs="宋体"/>
          <w:b/>
          <w:bCs/>
          <w:kern w:val="0"/>
          <w:sz w:val="24"/>
          <w:szCs w:val="24"/>
        </w:rPr>
        <w:t>条</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其他事项</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1、本合同对双方当事人的利益，对双方均具有约束力，未经一方预先书面同意，另一方不得擅自全部或部分转让本合同所规定的双方各自的权利或义务。</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2、本合同</w:t>
      </w:r>
      <w:r>
        <w:rPr>
          <w:rFonts w:hint="eastAsia" w:ascii="宋体" w:hAnsi="宋体" w:eastAsia="宋体" w:cs="宋体"/>
          <w:kern w:val="0"/>
          <w:sz w:val="24"/>
          <w:szCs w:val="24"/>
        </w:rPr>
        <w:t>未尽事宜，经双方协商一致，可订立补充协议。补充协议与本合同具有同等的法律效力。</w:t>
      </w:r>
    </w:p>
    <w:p>
      <w:pPr>
        <w:widowControl/>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val="en-US" w:eastAsia="zh-CN"/>
        </w:rPr>
        <w:t>二十三</w:t>
      </w:r>
      <w:r>
        <w:rPr>
          <w:rFonts w:hint="eastAsia" w:ascii="宋体" w:hAnsi="宋体" w:eastAsia="宋体" w:cs="宋体"/>
          <w:b/>
          <w:kern w:val="0"/>
          <w:sz w:val="24"/>
          <w:szCs w:val="24"/>
        </w:rPr>
        <w:t>条  效力与份数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1、本合同自双方法定代表人或委托代理人签字并加盖公章或合同专用章之日起生效，至本合同双方履约完毕、无任何遗留问题后终止。</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bCs/>
          <w:kern w:val="0"/>
          <w:sz w:val="24"/>
          <w:szCs w:val="24"/>
        </w:rPr>
        <w:t>2、</w:t>
      </w:r>
      <w:r>
        <w:rPr>
          <w:rFonts w:hint="eastAsia" w:ascii="宋体" w:hAnsi="宋体" w:eastAsia="宋体" w:cs="宋体"/>
          <w:kern w:val="0"/>
          <w:sz w:val="24"/>
          <w:szCs w:val="24"/>
        </w:rPr>
        <w:t>本合同一式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份，由甲方执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2</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份，乙方执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w:t>
      </w:r>
    </w:p>
    <w:p>
      <w:pPr>
        <w:pStyle w:val="13"/>
        <w:spacing w:line="360" w:lineRule="auto"/>
        <w:ind w:left="4939" w:hanging="4939" w:hangingChars="205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3、本合同“附件”与本合同具有同等法律效力。（如有）</w:t>
      </w:r>
    </w:p>
    <w:p>
      <w:pPr>
        <w:pStyle w:val="13"/>
        <w:spacing w:line="360" w:lineRule="auto"/>
        <w:ind w:left="4939" w:hanging="4920" w:hangingChars="2050"/>
        <w:rPr>
          <w:rFonts w:hint="eastAsia" w:ascii="宋体" w:hAnsi="宋体" w:eastAsia="宋体" w:cs="宋体"/>
          <w:color w:val="auto"/>
          <w:sz w:val="24"/>
          <w:szCs w:val="24"/>
        </w:rPr>
      </w:pPr>
    </w:p>
    <w:p>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附件：合规保护标准条款</w:t>
      </w:r>
    </w:p>
    <w:p>
      <w:pPr>
        <w:pStyle w:val="13"/>
        <w:spacing w:line="360" w:lineRule="auto"/>
        <w:ind w:left="4939" w:hanging="4939" w:hangingChars="2050"/>
        <w:rPr>
          <w:rFonts w:hint="eastAsia" w:ascii="宋体" w:hAnsi="宋体" w:eastAsia="宋体" w:cs="宋体"/>
          <w:b/>
          <w:sz w:val="24"/>
          <w:szCs w:val="24"/>
        </w:rPr>
      </w:pPr>
      <w:r>
        <w:rPr>
          <w:rFonts w:hint="eastAsia" w:ascii="宋体" w:hAnsi="宋体" w:eastAsia="宋体" w:cs="宋体"/>
          <w:b/>
          <w:sz w:val="24"/>
          <w:szCs w:val="24"/>
        </w:rPr>
        <w:t>（以下无正文）</w:t>
      </w:r>
    </w:p>
    <w:p>
      <w:pPr>
        <w:widowControl/>
        <w:spacing w:line="360" w:lineRule="auto"/>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sz w:val="24"/>
          <w:szCs w:val="24"/>
        </w:rPr>
        <w:t xml:space="preserve">      </w:t>
      </w:r>
      <w:bookmarkStart w:id="53" w:name="e90f9d268a12400ba4ecc01893e8cd18"/>
      <w:bookmarkEnd w:id="53"/>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13"/>
        <w:spacing w:line="360" w:lineRule="auto"/>
        <w:ind w:left="4999" w:leftChars="266" w:right="-512" w:rightChars="-244" w:hanging="4440" w:hangingChars="1850"/>
        <w:rPr>
          <w:rFonts w:hint="eastAsia" w:ascii="宋体" w:hAnsi="宋体" w:eastAsia="宋体" w:cs="宋体"/>
          <w:sz w:val="24"/>
          <w:szCs w:val="24"/>
        </w:rPr>
      </w:pPr>
      <w:r>
        <w:rPr>
          <w:rFonts w:hint="eastAsia" w:ascii="宋体" w:hAnsi="宋体" w:eastAsia="宋体" w:cs="宋体"/>
          <w:sz w:val="24"/>
          <w:szCs w:val="24"/>
        </w:rPr>
        <w:t>甲方（盖章）：                     乙方（盖章）：</w:t>
      </w:r>
    </w:p>
    <w:p>
      <w:pPr>
        <w:widowControl/>
        <w:spacing w:line="360" w:lineRule="auto"/>
        <w:ind w:left="56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法定代表人：                      法定代表人：</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pPr>
        <w:widowControl/>
        <w:spacing w:line="360" w:lineRule="auto"/>
        <w:ind w:left="799" w:leftChars="266"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 xml:space="preserve">签约日期：    年   月 日          签约日期：   年  月 日 </w:t>
      </w:r>
    </w:p>
    <w:p>
      <w:pPr>
        <w:widowControl/>
        <w:spacing w:line="360" w:lineRule="auto"/>
        <w:ind w:left="840" w:leftChars="400" w:firstLine="240" w:firstLineChars="1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签约地：</w:t>
      </w:r>
      <w:r>
        <w:rPr>
          <w:rFonts w:hint="eastAsia" w:ascii="宋体" w:hAnsi="宋体" w:eastAsia="宋体" w:cs="宋体"/>
          <w:kern w:val="0"/>
          <w:sz w:val="24"/>
          <w:szCs w:val="24"/>
          <w:lang w:val="en-US" w:eastAsia="zh-CN"/>
        </w:rPr>
        <w:t>广州市白云区鹤瑞路83号</w:t>
      </w:r>
    </w:p>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br w:type="page"/>
      </w:r>
    </w:p>
    <w:p>
      <w:pPr>
        <w:spacing w:line="36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附件</w:t>
      </w:r>
      <w:r>
        <w:rPr>
          <w:rFonts w:hint="eastAsia" w:ascii="宋体" w:hAnsi="宋体" w:eastAsia="宋体" w:cs="宋体"/>
          <w:bCs/>
          <w:kern w:val="0"/>
          <w:sz w:val="24"/>
          <w:szCs w:val="24"/>
          <w:lang w:eastAsia="zh-CN"/>
        </w:rPr>
        <w:t>：</w:t>
      </w: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合规保护标准条款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p>
    <w:p>
      <w:pPr>
        <w:autoSpaceDE w:val="0"/>
        <w:autoSpaceDN w:val="0"/>
        <w:adjustRightIn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双方同意，本合规保护标准条款构成双方之间订立的合同的重要组成部分，双方应共同遵守。</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公务人员的定义</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（一）政府的官员、雇员、代表以及代表政府或者经公共权力授权行使权力的公司、组织或个人；</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（二）国际组织的官员、雇员和代表；</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（三）行使公共权力的政治组织的官员、雇员、代表，或皇室成员；</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（四）公共企业（政府直接或间接控制或施加决定性影响力的企业）的官员及雇员。</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遵守反腐败法律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在此声明、保证及承诺，与本协议项下进行的活动或交易相关的乙方及乙方的关联公司、子公司、董事、高级管理人员、雇员、代理、顾问、承包商、受托人、最终受益人和股东，及所有直接或间接代表乙方行事的个人及相关方，过去未曾、将来亦不会违反，或致使甲方违反《中华人民共和国刑法》、《联合国反腐败公约》、《经济合作与发展组织关于打击国际商业交易中行贿外国公职人员行为的公约》，及业务所在国的反腐败、反欺诈、反串谋及公平竞争法律、法规及规则等（合称“反腐败法律”）。</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特此声明、保证及承诺：乙方及乙方关联公司、董事、高级管理人员、雇员、代理、顾问、承包商、受托人、最终受益人和股东，及所有代表乙方行事的个人及相关方，过去未曾、将来亦不会发生以下行为：</w:t>
      </w:r>
    </w:p>
    <w:p>
      <w:pPr>
        <w:pStyle w:val="48"/>
        <w:adjustRightInd w:val="0"/>
        <w:snapToGrid w:val="0"/>
        <w:spacing w:line="360" w:lineRule="auto"/>
        <w:ind w:left="426" w:firstLine="0" w:firstLineChars="0"/>
        <w:rPr>
          <w:rFonts w:hint="eastAsia" w:ascii="宋体" w:hAnsi="宋体" w:eastAsia="宋体" w:cs="宋体"/>
          <w:sz w:val="24"/>
          <w:szCs w:val="24"/>
        </w:rPr>
      </w:pPr>
      <w:r>
        <w:rPr>
          <w:rFonts w:hint="eastAsia" w:ascii="宋体" w:hAnsi="宋体" w:eastAsia="宋体" w:cs="宋体"/>
          <w:sz w:val="24"/>
          <w:szCs w:val="24"/>
        </w:rPr>
        <w:t>1、为如下目的给予或承诺给予公务人员、个人或实体任何利</w:t>
      </w:r>
    </w:p>
    <w:p>
      <w:pPr>
        <w:pStyle w:val="48"/>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益：</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（1）不当影响公务人员的行为或决定；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（2）诱使公务人员违反其法定职责从而作为或不作为；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（3）诱使公务人员直接通过其个人影响力，或通过其对国内外政府或政府部门的影响力，影响该政府或政府部门的行为或决定；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（4）协助甲方或甲方关联方不当获得或保持商业机会或使其获得不当优势。</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2、为如下目的给予或承诺给予个人任何利益，无论其是否为公务人员：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（1）意图使该个人不当履行其应尽的职责或义务；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（2）知悉或相信该个人接受利益即构成不当履行其应尽的职责或义务。</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持续义务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此声明并保证：乙方和乙方的关联公司、董事、高级管理人员、雇员、代理、顾问、承包商、受托人、最终受益人和股东，及所有代表乙方行事的个人及相关方，在本协议有效期内均会遵守反腐败法律的相关规定。</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公务人员参与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已向甲方披露的情形外，乙方现有的董事、高级管理人员、雇员、最终受益人股东（不包括上市公司的股东）均非公务人员，其直系亲属亦均非公务人员；若发现上述董事、高级管理人员、雇员、最终受益人或股东成为公务人员时，乙方应在合理时间内通知甲方。</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无私设资金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在本协议有效期内，乙方不会因为接受反腐败法律所禁止的支付，或为便利从事反腐败法律所禁止的其他行为，而设立或保有秘密或账外资金、账户或资产，无论其是否与本协议下拟进行的交易相关。</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合规声明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自本协议签署之日起，每满一年之前30天内，乙方应提供其遵守反腐败法律的年度合规证明。</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赔偿</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乙方承诺：甲方及其代表、董事、高级管理人员、雇员及股东不承担由于乙方违反本附件项下反腐败陈述、保证与承诺而造成的损失及后果，包括但不限于罚金、赔偿金或上述个人或相关方的经济损失。</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终止权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可靠消息，包括但不限于乙方陈述或有正当来源的新闻报道，如甲方认为乙方已实质性违反其在本附件中关于遵守反腐败法律的相关陈述、保证与承诺，则视为乙方实质性违反本协议。无论乙方是否因为违反反腐败法律而获罪或受到其他处罚，甲方都有权终止本协议，且无须为此承担违约金或对乙方进行赔偿。</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审核权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留所有必要记录以证明其遵守本合规保护标准条款规定。乙方同意，经甲方事先通知，甲方或甲方指派的审计事务所可查阅或审核乙方与本协议履行相关的会计账簿和记录。甲方及其指派的审计事务所对前述会计账簿和记录的查阅或审核应严格限于本协议所述工作范围，且仅为合规审核目的。本条所列审核费用由甲方承担。</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乙方履行本合规保护标准条款项下义务所产生的成本及费用由乙方承担，甲方事先同意承担的除外。</w:t>
      </w:r>
    </w:p>
    <w:p>
      <w:pPr>
        <w:numPr>
          <w:ilvl w:val="0"/>
          <w:numId w:val="9"/>
        </w:numPr>
        <w:adjustRightInd w:val="0"/>
        <w:snapToGrid w:val="0"/>
        <w:spacing w:line="360" w:lineRule="auto"/>
        <w:ind w:firstLine="207"/>
        <w:rPr>
          <w:rFonts w:hint="eastAsia" w:ascii="宋体" w:hAnsi="宋体" w:eastAsia="宋体" w:cs="宋体"/>
          <w:b/>
          <w:sz w:val="24"/>
          <w:szCs w:val="24"/>
        </w:rPr>
      </w:pPr>
      <w:r>
        <w:rPr>
          <w:rFonts w:hint="eastAsia" w:ascii="宋体" w:hAnsi="宋体" w:eastAsia="宋体" w:cs="宋体"/>
          <w:b/>
          <w:sz w:val="24"/>
          <w:szCs w:val="24"/>
        </w:rPr>
        <w:t>调查通知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同意，如发现其因与本协议相关的行为正被执法或监管机关、政府机构、国际组织、证券交易所或非政府组织调查，应立即通知甲方；此外，如乙方发现其因违反反腐败法律而正被执法或监管机关、政府机构、国际组织、证券交易所或非政府组织调查，无论被调查行为是否与本协议相关，应立即通知甲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咨询举报热线：020-83530312</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咨询举报邮箱：b016@cccc4.com</w:t>
      </w:r>
    </w:p>
    <w:p>
      <w:pPr>
        <w:widowControl/>
        <w:spacing w:line="360" w:lineRule="auto"/>
        <w:ind w:left="0" w:leftChars="0" w:firstLine="0" w:firstLineChars="0"/>
        <w:rPr>
          <w:rFonts w:hint="eastAsia" w:ascii="宋体" w:hAnsi="宋体" w:eastAsia="宋体" w:cs="宋体"/>
          <w:sz w:val="24"/>
          <w:szCs w:val="24"/>
          <w:lang w:val="en-US" w:eastAsia="zh-CN"/>
        </w:rPr>
      </w:pPr>
    </w:p>
    <w:p>
      <w:pPr>
        <w:rPr>
          <w:rFonts w:hint="eastAsia" w:ascii="仿宋_GB2312" w:eastAsia="仿宋_GB2312"/>
          <w:color w:val="000000"/>
          <w:sz w:val="28"/>
          <w:szCs w:val="28"/>
          <w:highlight w:val="yellow"/>
          <w:lang w:val="en-US" w:eastAsia="zh-CN"/>
        </w:rPr>
      </w:pPr>
      <w:r>
        <w:rPr>
          <w:rFonts w:hint="eastAsia" w:ascii="仿宋_GB2312" w:eastAsia="仿宋_GB2312"/>
          <w:color w:val="000000"/>
          <w:sz w:val="28"/>
          <w:szCs w:val="28"/>
          <w:highlight w:val="yellow"/>
          <w:lang w:val="en-US" w:eastAsia="zh-CN"/>
        </w:rPr>
        <w:br w:type="page"/>
      </w:r>
    </w:p>
    <w:p>
      <w:pPr>
        <w:ind w:left="0" w:leftChars="0" w:right="0" w:rightChars="0" w:firstLine="0" w:firstLineChars="0"/>
        <w:jc w:val="center"/>
        <w:rPr>
          <w:rFonts w:hint="eastAsia" w:ascii="仿宋_GB2312" w:eastAsia="仿宋_GB2312"/>
          <w:color w:val="000000"/>
          <w:sz w:val="28"/>
          <w:szCs w:val="28"/>
          <w:highlight w:val="yellow"/>
          <w:lang w:val="en-US" w:eastAsia="zh-CN"/>
        </w:rPr>
      </w:pPr>
    </w:p>
    <w:p>
      <w:pPr>
        <w:numPr>
          <w:ilvl w:val="0"/>
          <w:numId w:val="3"/>
        </w:numPr>
        <w:snapToGrid w:val="0"/>
        <w:spacing w:line="460" w:lineRule="exact"/>
        <w:jc w:val="center"/>
        <w:outlineLvl w:val="0"/>
        <w:rPr>
          <w:b/>
          <w:bCs/>
          <w:color w:val="000000" w:themeColor="text1"/>
          <w:sz w:val="24"/>
        </w:rPr>
      </w:pPr>
      <w:r>
        <w:rPr>
          <w:rFonts w:hint="eastAsia"/>
          <w:b/>
          <w:bCs/>
          <w:color w:val="000000" w:themeColor="text1"/>
          <w:sz w:val="24"/>
          <w:lang w:val="en-US" w:eastAsia="zh-CN"/>
        </w:rPr>
        <w:t>采购要求</w:t>
      </w:r>
    </w:p>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ind w:left="0" w:firstLine="480" w:firstLineChars="200"/>
        <w:textAlignment w:val="auto"/>
        <w:outlineLvl w:val="9"/>
      </w:pPr>
      <w:r>
        <w:rPr>
          <w:rFonts w:hint="eastAsia" w:ascii="宋体" w:hAnsi="宋体" w:cs="宋体"/>
          <w:sz w:val="24"/>
        </w:rPr>
        <w:t>物资</w:t>
      </w:r>
      <w:r>
        <w:rPr>
          <w:rFonts w:hint="eastAsia" w:ascii="宋体" w:hAnsi="宋体" w:cs="宋体"/>
          <w:sz w:val="24"/>
          <w:lang w:val="en-US" w:eastAsia="zh-CN"/>
        </w:rPr>
        <w:t>/服务</w:t>
      </w:r>
      <w:r>
        <w:rPr>
          <w:rFonts w:hint="eastAsia" w:ascii="宋体" w:hAnsi="宋体" w:cs="宋体"/>
          <w:sz w:val="24"/>
        </w:rPr>
        <w:t>需求一览表</w:t>
      </w:r>
    </w:p>
    <w:tbl>
      <w:tblPr>
        <w:tblStyle w:val="24"/>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2957"/>
        <w:gridCol w:w="847"/>
        <w:gridCol w:w="811"/>
        <w:gridCol w:w="1600"/>
        <w:gridCol w:w="14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6"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序号</w:t>
            </w:r>
          </w:p>
        </w:tc>
        <w:tc>
          <w:tcPr>
            <w:tcW w:w="2957"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服务名称</w:t>
            </w:r>
          </w:p>
        </w:tc>
        <w:tc>
          <w:tcPr>
            <w:tcW w:w="847"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计量单位</w:t>
            </w:r>
          </w:p>
        </w:tc>
        <w:tc>
          <w:tcPr>
            <w:tcW w:w="811"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数量</w:t>
            </w:r>
          </w:p>
        </w:tc>
        <w:tc>
          <w:tcPr>
            <w:tcW w:w="16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服务点</w:t>
            </w:r>
          </w:p>
        </w:tc>
        <w:tc>
          <w:tcPr>
            <w:tcW w:w="143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服务时间</w:t>
            </w:r>
          </w:p>
        </w:tc>
        <w:tc>
          <w:tcPr>
            <w:tcW w:w="992"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bidi="ar"/>
              </w:rPr>
              <w:t>1</w:t>
            </w:r>
          </w:p>
        </w:tc>
        <w:tc>
          <w:tcPr>
            <w:tcW w:w="2957" w:type="dxa"/>
            <w:shd w:val="clear" w:color="auto" w:fill="auto"/>
            <w:vAlign w:val="center"/>
          </w:tcPr>
          <w:p>
            <w:pPr>
              <w:keepNext w:val="0"/>
              <w:keepLines w:val="0"/>
              <w:pageBreakBefore w:val="0"/>
              <w:widowControl/>
              <w:kinsoku/>
              <w:wordWrap/>
              <w:overflowPunct/>
              <w:topLinePunct w:val="0"/>
              <w:autoSpaceDE/>
              <w:autoSpaceDN/>
              <w:bidi w:val="0"/>
              <w:jc w:val="center"/>
              <w:textAlignment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肯尼亚拉姆至加里萨道路项目膨胀土路基填料改良与填筑技术研究服务</w:t>
            </w:r>
          </w:p>
        </w:tc>
        <w:tc>
          <w:tcPr>
            <w:tcW w:w="847" w:type="dxa"/>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项</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160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肯尼亚拉加项目</w:t>
            </w:r>
          </w:p>
        </w:tc>
        <w:tc>
          <w:tcPr>
            <w:tcW w:w="143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一年</w:t>
            </w:r>
          </w:p>
        </w:tc>
        <w:tc>
          <w:tcPr>
            <w:tcW w:w="992" w:type="dxa"/>
            <w:shd w:val="clear" w:color="auto" w:fill="auto"/>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Theme="minorEastAsia" w:hAnsiTheme="minorEastAsia" w:eastAsiaTheme="minorEastAsia" w:cstheme="minorEastAsia"/>
                <w:color w:val="auto"/>
                <w:kern w:val="0"/>
                <w:sz w:val="24"/>
                <w:szCs w:val="24"/>
                <w:lang w:bidi="ar"/>
              </w:rPr>
            </w:pPr>
          </w:p>
        </w:tc>
      </w:tr>
    </w:tbl>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ind w:left="0" w:firstLine="420" w:firstLineChars="200"/>
        <w:textAlignment w:val="auto"/>
        <w:outlineLvl w:val="9"/>
        <w:rPr>
          <w:rFonts w:hint="eastAsia"/>
        </w:rPr>
      </w:pPr>
      <w:r>
        <w:rPr>
          <w:rFonts w:hint="eastAsia"/>
          <w:lang w:val="en-US" w:eastAsia="zh-CN"/>
        </w:rPr>
        <w:t>采购具体要求：详见第三章-合同格式及条款</w:t>
      </w:r>
      <w:r>
        <w:rPr>
          <w:rFonts w:hint="eastAsia"/>
        </w:rPr>
        <w:br w:type="page"/>
      </w:r>
    </w:p>
    <w:p/>
    <w:p>
      <w:pPr>
        <w:numPr>
          <w:ilvl w:val="0"/>
          <w:numId w:val="3"/>
        </w:numPr>
        <w:snapToGrid w:val="0"/>
        <w:spacing w:line="460" w:lineRule="exact"/>
        <w:jc w:val="center"/>
        <w:outlineLvl w:val="0"/>
        <w:rPr>
          <w:b/>
          <w:bCs/>
          <w:color w:val="000000" w:themeColor="text1"/>
          <w:sz w:val="24"/>
        </w:rPr>
      </w:pPr>
      <w:bookmarkStart w:id="54" w:name="_Toc13204"/>
      <w:bookmarkStart w:id="55" w:name="_Toc31550"/>
      <w:bookmarkStart w:id="56" w:name="_Toc26437"/>
      <w:bookmarkStart w:id="57" w:name="_Toc31699"/>
      <w:bookmarkStart w:id="58" w:name="_Toc29611"/>
      <w:r>
        <w:rPr>
          <w:rFonts w:hint="eastAsia"/>
          <w:b/>
          <w:bCs/>
          <w:color w:val="000000" w:themeColor="text1"/>
          <w:sz w:val="24"/>
        </w:rPr>
        <w:t>报价文件格式</w:t>
      </w:r>
      <w:bookmarkEnd w:id="54"/>
      <w:bookmarkEnd w:id="55"/>
      <w:bookmarkEnd w:id="56"/>
      <w:bookmarkEnd w:id="57"/>
      <w:bookmarkEnd w:id="58"/>
    </w:p>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rPr>
          <w:sz w:val="28"/>
          <w:szCs w:val="28"/>
        </w:rPr>
      </w:pPr>
      <w:r>
        <w:rPr>
          <w:rFonts w:hint="eastAsia"/>
          <w:sz w:val="28"/>
          <w:szCs w:val="28"/>
          <w:lang w:val="en-US" w:eastAsia="zh-CN"/>
        </w:rPr>
        <w:t>肯尼亚拉姆至加里萨道路项目膨胀土路基填料改良与填筑技术研究服务</w:t>
      </w:r>
      <w:r>
        <w:rPr>
          <w:rFonts w:hint="eastAsia"/>
          <w:sz w:val="28"/>
          <w:szCs w:val="28"/>
        </w:rPr>
        <w:t>采购</w:t>
      </w: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rPr>
          <w:sz w:val="28"/>
          <w:szCs w:val="28"/>
        </w:rPr>
      </w:pPr>
      <w:r>
        <w:rPr>
          <w:rFonts w:hint="eastAsia"/>
          <w:sz w:val="28"/>
          <w:szCs w:val="28"/>
          <w:lang w:val="en-US" w:eastAsia="zh-CN"/>
        </w:rPr>
        <w:t>报价</w:t>
      </w:r>
      <w:r>
        <w:rPr>
          <w:rFonts w:hint="eastAsia"/>
          <w:sz w:val="28"/>
          <w:szCs w:val="28"/>
        </w:rPr>
        <w:t>文件</w:t>
      </w: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pPr>
      <w:r>
        <w:rPr>
          <w:rFonts w:hint="eastAsia"/>
        </w:rPr>
        <w:t xml:space="preserve">报价人： </w:t>
      </w:r>
      <w:r>
        <w:rPr>
          <w:rFonts w:hint="eastAsia"/>
        </w:rPr>
        <w:tab/>
      </w:r>
      <w:r>
        <w:rPr>
          <w:rFonts w:hint="eastAsia"/>
        </w:rPr>
        <w:t>（盖单位章）</w:t>
      </w: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pPr>
      <w:r>
        <w:rPr>
          <w:rFonts w:hint="eastAsia"/>
        </w:rPr>
        <w:t xml:space="preserve">法定代表人（单位负责人）或其委托代理人： </w:t>
      </w:r>
      <w:r>
        <w:rPr>
          <w:rFonts w:hint="eastAsia"/>
        </w:rPr>
        <w:tab/>
      </w:r>
      <w:r>
        <w:rPr>
          <w:rFonts w:hint="eastAsia"/>
        </w:rPr>
        <w:t>（签字）</w:t>
      </w: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pPr>
    </w:p>
    <w:p>
      <w:pPr>
        <w:pageBreakBefore w:val="0"/>
        <w:widowControl w:val="0"/>
        <w:kinsoku/>
        <w:wordWrap/>
        <w:overflowPunct/>
        <w:topLinePunct w:val="0"/>
        <w:autoSpaceDE/>
        <w:autoSpaceDN/>
        <w:bidi w:val="0"/>
        <w:adjustRightInd/>
        <w:snapToGrid/>
        <w:jc w:val="center"/>
        <w:textAlignment w:val="auto"/>
        <w:outlineLvl w:val="9"/>
      </w:pPr>
      <w:r>
        <w:rPr>
          <w:rFonts w:hint="eastAsia"/>
          <w:lang w:val="en-US" w:eastAsia="zh-CN"/>
        </w:rPr>
        <w:t xml:space="preserve"> *****</w:t>
      </w:r>
      <w:r>
        <w:rPr>
          <w:rFonts w:hint="eastAsia"/>
        </w:rPr>
        <w:t>年</w:t>
      </w:r>
      <w:r>
        <w:rPr>
          <w:rFonts w:hint="eastAsia"/>
          <w:lang w:val="en-US" w:eastAsia="zh-CN"/>
        </w:rPr>
        <w:t>*****</w:t>
      </w:r>
      <w:r>
        <w:rPr>
          <w:rFonts w:hint="eastAsia"/>
        </w:rPr>
        <w:t>月</w:t>
      </w:r>
      <w:r>
        <w:rPr>
          <w:rFonts w:hint="eastAsia"/>
          <w:lang w:val="en-US" w:eastAsia="zh-CN"/>
        </w:rPr>
        <w:t>*****</w:t>
      </w:r>
      <w:r>
        <w:rPr>
          <w:rFonts w:hint="eastAsia"/>
        </w:rPr>
        <w:t>日</w:t>
      </w:r>
    </w:p>
    <w:p>
      <w:pPr>
        <w:pageBreakBefore w:val="0"/>
        <w:widowControl w:val="0"/>
        <w:kinsoku/>
        <w:wordWrap/>
        <w:overflowPunct/>
        <w:topLinePunct w:val="0"/>
        <w:autoSpaceDE/>
        <w:autoSpaceDN/>
        <w:bidi w:val="0"/>
        <w:adjustRightInd/>
        <w:snapToGrid/>
        <w:textAlignment w:val="auto"/>
        <w:outlineLvl w:val="9"/>
      </w:pPr>
      <w:r>
        <w:rPr>
          <w:rFonts w:hint="eastAsia"/>
        </w:rPr>
        <w:br w:type="page"/>
      </w:r>
    </w:p>
    <w:p>
      <w:pPr>
        <w:pageBreakBefore w:val="0"/>
        <w:widowControl w:val="0"/>
        <w:kinsoku/>
        <w:wordWrap/>
        <w:overflowPunct/>
        <w:topLinePunct w:val="0"/>
        <w:autoSpaceDE/>
        <w:autoSpaceDN/>
        <w:bidi w:val="0"/>
        <w:adjustRightInd/>
        <w:snapToGrid/>
        <w:jc w:val="center"/>
        <w:textAlignment w:val="auto"/>
        <w:outlineLvl w:val="9"/>
        <w:rPr>
          <w:sz w:val="32"/>
          <w:szCs w:val="32"/>
        </w:rPr>
      </w:pPr>
      <w:r>
        <w:rPr>
          <w:rFonts w:hint="eastAsia"/>
          <w:sz w:val="32"/>
          <w:szCs w:val="32"/>
        </w:rPr>
        <w:t>目录</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lang w:val="en-US" w:eastAsia="zh-CN"/>
        </w:rPr>
        <w:t>报价</w:t>
      </w:r>
      <w:r>
        <w:rPr>
          <w:rFonts w:hint="eastAsia"/>
          <w:sz w:val="24"/>
        </w:rPr>
        <w:t>函；</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lang w:val="en-US" w:eastAsia="zh-CN"/>
        </w:rPr>
        <w:t>采购</w:t>
      </w:r>
      <w:r>
        <w:rPr>
          <w:rFonts w:hint="eastAsia"/>
          <w:sz w:val="24"/>
        </w:rPr>
        <w:t>报价</w:t>
      </w:r>
      <w:r>
        <w:rPr>
          <w:rFonts w:hint="eastAsia"/>
          <w:sz w:val="24"/>
          <w:lang w:val="en-US" w:eastAsia="zh-CN"/>
        </w:rPr>
        <w:t>表</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rPr>
        <w:t>法定代表人（单位负责人）身份证明或授权委托书；</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rPr>
        <w:t>信用</w:t>
      </w:r>
      <w:r>
        <w:rPr>
          <w:rFonts w:hint="eastAsia"/>
          <w:sz w:val="24"/>
          <w:lang w:val="en-US" w:eastAsia="zh-CN"/>
        </w:rPr>
        <w:t>承诺函</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lang w:val="en-US" w:eastAsia="zh-CN"/>
        </w:rPr>
        <w:t xml:space="preserve">资信证明文件； </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highlight w:val="none"/>
        </w:rPr>
        <w:t>服务</w:t>
      </w:r>
      <w:r>
        <w:rPr>
          <w:rFonts w:hint="eastAsia"/>
          <w:sz w:val="24"/>
          <w:highlight w:val="none"/>
          <w:lang w:val="en-US" w:eastAsia="zh-CN"/>
        </w:rPr>
        <w:t>技</w:t>
      </w:r>
      <w:r>
        <w:rPr>
          <w:rFonts w:hint="eastAsia"/>
          <w:sz w:val="24"/>
          <w:lang w:val="en-US" w:eastAsia="zh-CN"/>
        </w:rPr>
        <w:t>术</w:t>
      </w:r>
      <w:r>
        <w:rPr>
          <w:rFonts w:hint="eastAsia"/>
          <w:sz w:val="24"/>
        </w:rPr>
        <w:t>方案</w:t>
      </w:r>
    </w:p>
    <w:p>
      <w:pPr>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outlineLvl w:val="9"/>
        <w:rPr>
          <w:rFonts w:hint="eastAsia"/>
          <w:sz w:val="24"/>
        </w:rPr>
      </w:pPr>
      <w:r>
        <w:rPr>
          <w:rFonts w:hint="eastAsia"/>
          <w:sz w:val="24"/>
          <w:lang w:val="en-US" w:eastAsia="zh-CN"/>
        </w:rPr>
        <w:t>其他资料</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kinsoku/>
        <w:wordWrap/>
        <w:overflowPunct/>
        <w:topLinePunct w:val="0"/>
        <w:autoSpaceDE/>
        <w:autoSpaceDN/>
        <w:bidi w:val="0"/>
        <w:adjustRightInd/>
        <w:snapToGrid/>
        <w:textAlignment w:val="auto"/>
        <w:outlineLvl w:val="9"/>
      </w:pPr>
      <w:r>
        <w:rPr>
          <w:rFonts w:hint="eastAsia"/>
        </w:rPr>
        <w:br w:type="page"/>
      </w:r>
    </w:p>
    <w:p>
      <w:pPr>
        <w:pageBreakBefore w:val="0"/>
        <w:widowControl w:val="0"/>
        <w:numPr>
          <w:ilvl w:val="0"/>
          <w:numId w:val="12"/>
        </w:numPr>
        <w:kinsoku/>
        <w:wordWrap/>
        <w:overflowPunct/>
        <w:topLinePunct w:val="0"/>
        <w:autoSpaceDE/>
        <w:autoSpaceDN/>
        <w:bidi w:val="0"/>
        <w:adjustRightInd/>
        <w:snapToGrid/>
        <w:jc w:val="center"/>
        <w:textAlignment w:val="auto"/>
        <w:outlineLvl w:val="9"/>
        <w:rPr>
          <w:sz w:val="32"/>
          <w:szCs w:val="32"/>
        </w:rPr>
      </w:pPr>
      <w:r>
        <w:rPr>
          <w:rFonts w:hint="eastAsia"/>
          <w:sz w:val="32"/>
          <w:szCs w:val="32"/>
        </w:rPr>
        <w:t>报 价 函</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textAlignment w:val="auto"/>
        <w:outlineLvl w:val="9"/>
        <w:rPr>
          <w:rFonts w:hint="eastAsia"/>
          <w:sz w:val="24"/>
        </w:rPr>
      </w:pPr>
      <w:r>
        <w:rPr>
          <w:rFonts w:hint="eastAsia"/>
          <w:sz w:val="24"/>
        </w:rPr>
        <w:t>致： 肯尼亚拉姆至加里萨道路第一项目经理部</w:t>
      </w:r>
    </w:p>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我方已经仔细阅读</w:t>
      </w:r>
      <w:r>
        <w:rPr>
          <w:rFonts w:hint="eastAsia" w:ascii="仿宋" w:hAnsi="仿宋" w:eastAsia="仿宋" w:cs="F4"/>
          <w:kern w:val="0"/>
          <w:sz w:val="24"/>
          <w:szCs w:val="24"/>
          <w:u w:val="single"/>
          <w:lang w:val="en-US" w:eastAsia="zh-CN"/>
        </w:rPr>
        <w:t xml:space="preserve">  肯尼亚拉姆至加里萨道路项目膨胀土路基填料改良与填筑技术研究服务</w:t>
      </w:r>
      <w:r>
        <w:rPr>
          <w:rFonts w:hint="eastAsia" w:ascii="仿宋" w:hAnsi="仿宋" w:eastAsia="仿宋" w:cs="F4"/>
          <w:kern w:val="0"/>
          <w:sz w:val="24"/>
          <w:szCs w:val="24"/>
          <w:u w:val="none"/>
          <w:lang w:val="en-US" w:eastAsia="zh-CN"/>
        </w:rPr>
        <w:t>项目</w:t>
      </w:r>
      <w:r>
        <w:rPr>
          <w:rFonts w:hint="eastAsia" w:ascii="仿宋" w:hAnsi="仿宋" w:eastAsia="仿宋" w:cs="F4"/>
          <w:kern w:val="0"/>
          <w:sz w:val="24"/>
          <w:szCs w:val="24"/>
        </w:rPr>
        <w:t>（</w:t>
      </w:r>
      <w:r>
        <w:rPr>
          <w:rFonts w:hint="eastAsia" w:ascii="仿宋" w:hAnsi="仿宋" w:eastAsia="仿宋" w:cs="F4"/>
          <w:kern w:val="0"/>
          <w:sz w:val="24"/>
          <w:szCs w:val="24"/>
          <w:lang w:val="en-US" w:eastAsia="zh-CN"/>
        </w:rPr>
        <w:t>项目</w:t>
      </w:r>
      <w:r>
        <w:rPr>
          <w:rFonts w:hint="eastAsia" w:ascii="仿宋" w:hAnsi="仿宋" w:eastAsia="仿宋" w:cs="F4"/>
          <w:kern w:val="0"/>
          <w:sz w:val="24"/>
          <w:szCs w:val="24"/>
        </w:rPr>
        <w:t>编号</w:t>
      </w:r>
      <w:r>
        <w:rPr>
          <w:rFonts w:hint="eastAsia" w:ascii="仿宋" w:hAnsi="仿宋" w:eastAsia="仿宋" w:cs="F4"/>
          <w:kern w:val="0"/>
          <w:sz w:val="24"/>
          <w:szCs w:val="24"/>
          <w:lang w:eastAsia="zh-CN"/>
        </w:rPr>
        <w:t>：</w:t>
      </w:r>
      <w:r>
        <w:rPr>
          <w:rFonts w:hint="eastAsia" w:ascii="仿宋" w:hAnsi="仿宋" w:eastAsia="仿宋" w:cs="F4"/>
          <w:kern w:val="0"/>
          <w:sz w:val="24"/>
          <w:szCs w:val="24"/>
          <w:lang w:val="en-US" w:eastAsia="zh-CN"/>
        </w:rPr>
        <w:t>FWFA00000050756</w:t>
      </w:r>
      <w:r>
        <w:rPr>
          <w:rFonts w:hint="eastAsia" w:ascii="仿宋" w:hAnsi="仿宋" w:eastAsia="仿宋" w:cs="F4"/>
          <w:kern w:val="0"/>
          <w:sz w:val="24"/>
          <w:szCs w:val="24"/>
        </w:rPr>
        <w:t>）</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文件，我方同意</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人在</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文件中对</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方的约束。我方愿意参加</w:t>
      </w:r>
      <w:r>
        <w:rPr>
          <w:rFonts w:hint="eastAsia" w:ascii="仿宋" w:hAnsi="仿宋" w:eastAsia="仿宋" w:cs="F4"/>
          <w:kern w:val="0"/>
          <w:sz w:val="24"/>
          <w:szCs w:val="24"/>
          <w:u w:val="single"/>
          <w:lang w:val="en-US" w:eastAsia="zh-CN"/>
        </w:rPr>
        <w:t xml:space="preserve">  肯尼亚拉姆至加里萨道路项目膨胀土路基填料改良与填筑技术研究服务项目</w:t>
      </w:r>
      <w:r>
        <w:rPr>
          <w:rFonts w:hint="eastAsia" w:ascii="仿宋" w:hAnsi="仿宋" w:eastAsia="仿宋" w:cs="F4"/>
          <w:kern w:val="0"/>
          <w:sz w:val="24"/>
          <w:szCs w:val="24"/>
          <w:u w:val="none"/>
        </w:rPr>
        <w:t>（</w:t>
      </w:r>
      <w:r>
        <w:rPr>
          <w:rFonts w:hint="eastAsia" w:ascii="仿宋" w:hAnsi="仿宋" w:eastAsia="仿宋" w:cs="F4"/>
          <w:kern w:val="0"/>
          <w:sz w:val="24"/>
          <w:szCs w:val="24"/>
          <w:u w:val="none"/>
          <w:lang w:val="en-US" w:eastAsia="zh-CN"/>
        </w:rPr>
        <w:t>项目</w:t>
      </w:r>
      <w:r>
        <w:rPr>
          <w:rFonts w:hint="eastAsia" w:ascii="仿宋" w:hAnsi="仿宋" w:eastAsia="仿宋" w:cs="F4"/>
          <w:kern w:val="0"/>
          <w:sz w:val="24"/>
          <w:szCs w:val="24"/>
          <w:u w:val="none"/>
        </w:rPr>
        <w:t>编号</w:t>
      </w:r>
      <w:r>
        <w:rPr>
          <w:rFonts w:hint="eastAsia" w:ascii="仿宋" w:hAnsi="仿宋" w:eastAsia="仿宋" w:cs="F4"/>
          <w:kern w:val="0"/>
          <w:sz w:val="24"/>
          <w:szCs w:val="24"/>
          <w:u w:val="none"/>
          <w:lang w:eastAsia="zh-CN"/>
        </w:rPr>
        <w:t>：</w:t>
      </w:r>
      <w:r>
        <w:rPr>
          <w:rFonts w:hint="eastAsia" w:ascii="仿宋" w:hAnsi="仿宋" w:eastAsia="仿宋" w:cs="F4"/>
          <w:kern w:val="0"/>
          <w:sz w:val="24"/>
          <w:szCs w:val="24"/>
          <w:lang w:val="en-US" w:eastAsia="zh-CN"/>
        </w:rPr>
        <w:t>FWFA00000050756</w:t>
      </w:r>
      <w:r>
        <w:rPr>
          <w:rFonts w:hint="eastAsia" w:ascii="仿宋" w:hAnsi="仿宋" w:eastAsia="仿宋" w:cs="F4"/>
          <w:kern w:val="0"/>
          <w:sz w:val="24"/>
          <w:szCs w:val="24"/>
          <w:u w:val="none"/>
        </w:rPr>
        <w:t>）</w:t>
      </w:r>
      <w:r>
        <w:rPr>
          <w:rFonts w:hint="eastAsia" w:ascii="仿宋" w:hAnsi="仿宋" w:eastAsia="仿宋" w:cs="F4"/>
          <w:kern w:val="0"/>
          <w:sz w:val="24"/>
          <w:szCs w:val="24"/>
        </w:rPr>
        <w:t>的</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，并已按照</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文件中要求的内容和格式充分、如实、准确地向贵方递交电子版</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文件。若</w:t>
      </w:r>
      <w:r>
        <w:rPr>
          <w:rFonts w:hint="eastAsia" w:ascii="仿宋" w:hAnsi="仿宋" w:eastAsia="仿宋" w:cs="F4"/>
          <w:kern w:val="0"/>
          <w:sz w:val="24"/>
          <w:szCs w:val="24"/>
          <w:lang w:val="en-US" w:eastAsia="zh-CN"/>
        </w:rPr>
        <w:t>中标</w:t>
      </w:r>
      <w:r>
        <w:rPr>
          <w:rFonts w:hint="eastAsia" w:ascii="仿宋" w:hAnsi="仿宋" w:eastAsia="仿宋" w:cs="F4"/>
          <w:kern w:val="0"/>
          <w:sz w:val="24"/>
          <w:szCs w:val="24"/>
        </w:rPr>
        <w:t>，我方接受</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人按</w:t>
      </w:r>
      <w:r>
        <w:rPr>
          <w:rFonts w:hint="eastAsia" w:ascii="仿宋" w:hAnsi="仿宋" w:eastAsia="仿宋" w:cs="F4"/>
          <w:kern w:val="0"/>
          <w:sz w:val="24"/>
          <w:szCs w:val="24"/>
          <w:lang w:val="en-US" w:eastAsia="zh-CN"/>
        </w:rPr>
        <w:t>协商确定</w:t>
      </w:r>
      <w:r>
        <w:rPr>
          <w:rFonts w:hint="eastAsia" w:ascii="仿宋" w:hAnsi="仿宋" w:eastAsia="仿宋" w:cs="F4"/>
          <w:kern w:val="0"/>
          <w:sz w:val="24"/>
          <w:szCs w:val="24"/>
        </w:rPr>
        <w:t>的中标价，我方将以此作为提供服务必须严格遵循的合同条件的组成部分。</w:t>
      </w:r>
    </w:p>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我方按</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人要求报价如下：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703"/>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Merge w:val="restart"/>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项目</w:t>
            </w:r>
            <w:r>
              <w:rPr>
                <w:rFonts w:hint="eastAsia" w:ascii="仿宋" w:hAnsi="仿宋" w:eastAsia="仿宋" w:cs="仿宋"/>
                <w:sz w:val="24"/>
              </w:rPr>
              <w:t>编号</w:t>
            </w:r>
          </w:p>
        </w:tc>
        <w:tc>
          <w:tcPr>
            <w:tcW w:w="5682" w:type="dxa"/>
            <w:gridSpan w:val="2"/>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r>
              <w:rPr>
                <w:rFonts w:hint="eastAsia" w:ascii="仿宋" w:hAnsi="仿宋" w:eastAsia="仿宋" w:cs="仿宋"/>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p>
        </w:tc>
        <w:tc>
          <w:tcPr>
            <w:tcW w:w="2703" w:type="dxa"/>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总价小写</w:t>
            </w:r>
            <w:r>
              <w:rPr>
                <w:rFonts w:hint="eastAsia" w:ascii="仿宋" w:hAnsi="仿宋" w:eastAsia="仿宋" w:cs="仿宋"/>
                <w:sz w:val="24"/>
                <w:lang w:eastAsia="zh-CN"/>
              </w:rPr>
              <w:t>（</w:t>
            </w:r>
            <w:r>
              <w:rPr>
                <w:rFonts w:hint="eastAsia" w:ascii="仿宋" w:hAnsi="仿宋" w:eastAsia="仿宋" w:cs="仿宋"/>
                <w:sz w:val="24"/>
                <w:lang w:val="en-US" w:eastAsia="zh-CN"/>
              </w:rPr>
              <w:t>元）</w:t>
            </w:r>
          </w:p>
        </w:tc>
        <w:tc>
          <w:tcPr>
            <w:tcW w:w="2979" w:type="dxa"/>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总价大写</w:t>
            </w:r>
            <w:r>
              <w:rPr>
                <w:rFonts w:hint="eastAsia" w:ascii="仿宋" w:hAnsi="仿宋" w:eastAsia="仿宋" w:cs="仿宋"/>
                <w:sz w:val="24"/>
                <w:lang w:eastAsia="zh-CN"/>
              </w:rPr>
              <w:t>（</w:t>
            </w:r>
            <w:r>
              <w:rPr>
                <w:rFonts w:hint="eastAsia" w:ascii="仿宋" w:hAnsi="仿宋" w:eastAsia="仿宋" w:cs="仿宋"/>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p>
        </w:tc>
        <w:tc>
          <w:tcPr>
            <w:tcW w:w="2703" w:type="dxa"/>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p>
        </w:tc>
        <w:tc>
          <w:tcPr>
            <w:tcW w:w="2979" w:type="dxa"/>
            <w:noWrap w:val="0"/>
            <w:vAlign w:val="center"/>
          </w:tcPr>
          <w:p>
            <w:pPr>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仿宋" w:hAnsi="仿宋" w:eastAsia="仿宋" w:cs="仿宋"/>
                <w:sz w:val="24"/>
              </w:rPr>
            </w:pPr>
          </w:p>
        </w:tc>
      </w:tr>
    </w:tbl>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我方将按照</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文件的要求，提供与其相一致的服务。</w:t>
      </w:r>
    </w:p>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我方保证，如果我方的</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被接受，将严格执行</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文件中的各项条款，认真履行</w:t>
      </w:r>
      <w:r>
        <w:rPr>
          <w:rFonts w:hint="eastAsia" w:ascii="仿宋" w:hAnsi="仿宋" w:eastAsia="仿宋" w:cs="F4"/>
          <w:kern w:val="0"/>
          <w:sz w:val="24"/>
          <w:szCs w:val="24"/>
          <w:lang w:val="en-US" w:eastAsia="zh-CN"/>
        </w:rPr>
        <w:t>我</w:t>
      </w:r>
      <w:r>
        <w:rPr>
          <w:rFonts w:hint="eastAsia" w:ascii="仿宋" w:hAnsi="仿宋" w:eastAsia="仿宋" w:cs="F4"/>
          <w:kern w:val="0"/>
          <w:sz w:val="24"/>
          <w:szCs w:val="24"/>
        </w:rPr>
        <w:t>方的责任及义务，兑现我方</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文件中提出的各项承诺。</w:t>
      </w:r>
    </w:p>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我方同意</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文件在规定的递</w:t>
      </w:r>
      <w:r>
        <w:rPr>
          <w:rFonts w:hint="eastAsia" w:ascii="仿宋" w:hAnsi="仿宋" w:eastAsia="仿宋" w:cs="F4"/>
          <w:kern w:val="0"/>
          <w:sz w:val="24"/>
          <w:szCs w:val="24"/>
          <w:lang w:val="en-US" w:eastAsia="zh-CN"/>
        </w:rPr>
        <w:t>交</w:t>
      </w:r>
      <w:r>
        <w:rPr>
          <w:rFonts w:hint="eastAsia" w:ascii="仿宋" w:hAnsi="仿宋" w:eastAsia="仿宋" w:cs="F4"/>
          <w:kern w:val="0"/>
          <w:sz w:val="24"/>
          <w:szCs w:val="24"/>
        </w:rPr>
        <w:t>截止日期起</w:t>
      </w:r>
      <w:r>
        <w:rPr>
          <w:rFonts w:hint="eastAsia" w:ascii="仿宋" w:hAnsi="仿宋" w:eastAsia="仿宋" w:cs="F4"/>
          <w:kern w:val="0"/>
          <w:sz w:val="24"/>
          <w:szCs w:val="24"/>
          <w:u w:val="single"/>
          <w:lang w:val="en-US" w:eastAsia="zh-CN"/>
        </w:rPr>
        <w:t xml:space="preserve"> 9</w:t>
      </w:r>
      <w:r>
        <w:rPr>
          <w:rFonts w:hint="eastAsia" w:ascii="仿宋" w:hAnsi="仿宋" w:eastAsia="仿宋" w:cs="F4"/>
          <w:kern w:val="0"/>
          <w:sz w:val="24"/>
          <w:szCs w:val="24"/>
          <w:u w:val="single"/>
        </w:rPr>
        <w:t>0</w:t>
      </w:r>
      <w:r>
        <w:rPr>
          <w:rFonts w:hint="eastAsia" w:ascii="仿宋" w:hAnsi="仿宋" w:eastAsia="仿宋" w:cs="F4"/>
          <w:kern w:val="0"/>
          <w:sz w:val="24"/>
          <w:szCs w:val="24"/>
          <w:u w:val="single"/>
          <w:lang w:val="en-US" w:eastAsia="zh-CN"/>
        </w:rPr>
        <w:t xml:space="preserve"> </w:t>
      </w:r>
      <w:r>
        <w:rPr>
          <w:rFonts w:hint="eastAsia" w:ascii="仿宋" w:hAnsi="仿宋" w:eastAsia="仿宋" w:cs="F4"/>
          <w:kern w:val="0"/>
          <w:sz w:val="24"/>
          <w:szCs w:val="24"/>
        </w:rPr>
        <w:t>天内有效，对我方具有约束力，并可随时接受中标。我方慎重保证，</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文件的所有内容及提供给</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人的所有证明文件和资料是真实的、准确的，一旦发现上述资料和信息的失实和错误，贵方将有权宣布本单位</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作废。</w:t>
      </w:r>
    </w:p>
    <w:p>
      <w:pPr>
        <w:autoSpaceDE w:val="0"/>
        <w:autoSpaceDN w:val="0"/>
        <w:adjustRightInd w:val="0"/>
        <w:spacing w:line="360" w:lineRule="auto"/>
        <w:ind w:firstLine="480" w:firstLineChars="200"/>
        <w:jc w:val="left"/>
        <w:rPr>
          <w:rFonts w:hint="eastAsia" w:ascii="仿宋" w:hAnsi="仿宋" w:eastAsia="仿宋" w:cs="F4"/>
          <w:kern w:val="0"/>
          <w:sz w:val="24"/>
          <w:szCs w:val="24"/>
        </w:rPr>
      </w:pPr>
      <w:r>
        <w:rPr>
          <w:rFonts w:hint="eastAsia" w:ascii="仿宋" w:hAnsi="仿宋" w:eastAsia="仿宋" w:cs="F4"/>
          <w:kern w:val="0"/>
          <w:sz w:val="24"/>
          <w:szCs w:val="24"/>
        </w:rPr>
        <w:t>在正式合同准备签订或执行之前，本</w:t>
      </w:r>
      <w:r>
        <w:rPr>
          <w:rFonts w:hint="eastAsia" w:ascii="仿宋" w:hAnsi="仿宋" w:eastAsia="仿宋" w:cs="F4"/>
          <w:kern w:val="0"/>
          <w:sz w:val="24"/>
          <w:szCs w:val="24"/>
          <w:lang w:val="en-US" w:eastAsia="zh-CN"/>
        </w:rPr>
        <w:t>报价</w:t>
      </w:r>
      <w:r>
        <w:rPr>
          <w:rFonts w:hint="eastAsia" w:ascii="仿宋" w:hAnsi="仿宋" w:eastAsia="仿宋" w:cs="F4"/>
          <w:kern w:val="0"/>
          <w:sz w:val="24"/>
          <w:szCs w:val="24"/>
        </w:rPr>
        <w:t>函、</w:t>
      </w:r>
      <w:r>
        <w:rPr>
          <w:rFonts w:hint="eastAsia" w:ascii="仿宋" w:hAnsi="仿宋" w:eastAsia="仿宋" w:cs="F4"/>
          <w:kern w:val="0"/>
          <w:sz w:val="24"/>
          <w:szCs w:val="24"/>
          <w:lang w:val="en-US" w:eastAsia="zh-CN"/>
        </w:rPr>
        <w:t>采购</w:t>
      </w:r>
      <w:r>
        <w:rPr>
          <w:rFonts w:hint="eastAsia" w:ascii="仿宋" w:hAnsi="仿宋" w:eastAsia="仿宋" w:cs="F4"/>
          <w:kern w:val="0"/>
          <w:sz w:val="24"/>
          <w:szCs w:val="24"/>
        </w:rPr>
        <w:t>人的书面通知及中标通知书将构成约束我们双方的合同。</w:t>
      </w:r>
    </w:p>
    <w:p>
      <w:pPr>
        <w:pageBreakBefore w:val="0"/>
        <w:widowControl w:val="0"/>
        <w:kinsoku/>
        <w:wordWrap/>
        <w:overflowPunct/>
        <w:topLinePunct w:val="0"/>
        <w:autoSpaceDE/>
        <w:autoSpaceDN/>
        <w:bidi w:val="0"/>
        <w:adjustRightInd/>
        <w:snapToGrid/>
        <w:textAlignment w:val="auto"/>
        <w:outlineLvl w:val="9"/>
        <w:rPr>
          <w:rFonts w:hint="eastAsia"/>
          <w:sz w:val="24"/>
        </w:rPr>
      </w:pPr>
    </w:p>
    <w:p>
      <w:pPr>
        <w:autoSpaceDE w:val="0"/>
        <w:autoSpaceDN w:val="0"/>
        <w:adjustRightInd w:val="0"/>
        <w:spacing w:line="360" w:lineRule="auto"/>
        <w:ind w:firstLine="2520" w:firstLineChars="1050"/>
        <w:jc w:val="left"/>
        <w:rPr>
          <w:rFonts w:hint="eastAsia" w:ascii="仿宋" w:hAnsi="仿宋" w:eastAsia="仿宋" w:cs="F4"/>
          <w:kern w:val="0"/>
          <w:sz w:val="24"/>
          <w:szCs w:val="24"/>
          <w:lang w:val="en-US" w:eastAsia="zh-CN"/>
        </w:rPr>
      </w:pPr>
      <w:r>
        <w:rPr>
          <w:rFonts w:hint="eastAsia" w:ascii="仿宋" w:hAnsi="仿宋" w:eastAsia="仿宋" w:cs="F4"/>
          <w:kern w:val="0"/>
          <w:sz w:val="24"/>
          <w:szCs w:val="24"/>
          <w:lang w:val="en-US" w:eastAsia="zh-CN"/>
        </w:rPr>
        <w:t>报价人名称（公章）：</w:t>
      </w:r>
      <w:r>
        <w:rPr>
          <w:rFonts w:hint="eastAsia" w:ascii="仿宋" w:hAnsi="仿宋" w:eastAsia="仿宋" w:cs="F4"/>
          <w:kern w:val="0"/>
          <w:sz w:val="24"/>
          <w:szCs w:val="24"/>
          <w:u w:val="single"/>
          <w:lang w:val="en-US" w:eastAsia="zh-CN"/>
        </w:rPr>
        <w:t xml:space="preserve">                         </w:t>
      </w:r>
    </w:p>
    <w:p>
      <w:pPr>
        <w:autoSpaceDE w:val="0"/>
        <w:autoSpaceDN w:val="0"/>
        <w:adjustRightInd w:val="0"/>
        <w:spacing w:line="360" w:lineRule="auto"/>
        <w:ind w:firstLine="2520" w:firstLineChars="1050"/>
        <w:jc w:val="left"/>
        <w:rPr>
          <w:rFonts w:hint="eastAsia" w:ascii="仿宋" w:hAnsi="仿宋" w:eastAsia="仿宋" w:cs="F4"/>
          <w:kern w:val="0"/>
          <w:sz w:val="24"/>
          <w:szCs w:val="24"/>
          <w:lang w:val="en-US" w:eastAsia="zh-CN"/>
        </w:rPr>
      </w:pPr>
      <w:r>
        <w:rPr>
          <w:rFonts w:hint="eastAsia" w:ascii="仿宋" w:hAnsi="仿宋" w:eastAsia="仿宋" w:cs="F4"/>
          <w:kern w:val="0"/>
          <w:sz w:val="24"/>
          <w:szCs w:val="24"/>
          <w:lang w:val="en-US" w:eastAsia="zh-CN"/>
        </w:rPr>
        <w:t>法定代表人或其授权代理人签字：</w:t>
      </w:r>
      <w:r>
        <w:rPr>
          <w:rFonts w:hint="eastAsia" w:ascii="仿宋" w:hAnsi="仿宋" w:eastAsia="仿宋" w:cs="F4"/>
          <w:kern w:val="0"/>
          <w:sz w:val="24"/>
          <w:szCs w:val="24"/>
          <w:u w:val="single"/>
          <w:lang w:val="en-US" w:eastAsia="zh-CN"/>
        </w:rPr>
        <w:t xml:space="preserve">              </w:t>
      </w:r>
      <w:r>
        <w:rPr>
          <w:rFonts w:hint="eastAsia" w:ascii="仿宋" w:hAnsi="仿宋" w:eastAsia="仿宋" w:cs="F4"/>
          <w:kern w:val="0"/>
          <w:sz w:val="24"/>
          <w:szCs w:val="24"/>
          <w:lang w:val="en-US" w:eastAsia="zh-CN"/>
        </w:rPr>
        <w:t xml:space="preserve"> </w:t>
      </w:r>
    </w:p>
    <w:p>
      <w:pPr>
        <w:autoSpaceDE w:val="0"/>
        <w:autoSpaceDN w:val="0"/>
        <w:adjustRightInd w:val="0"/>
        <w:spacing w:line="360" w:lineRule="auto"/>
        <w:ind w:firstLine="2520" w:firstLineChars="1050"/>
        <w:jc w:val="left"/>
        <w:rPr>
          <w:rFonts w:hint="eastAsia"/>
          <w:sz w:val="24"/>
        </w:rPr>
      </w:pPr>
      <w:r>
        <w:rPr>
          <w:rFonts w:hint="eastAsia" w:ascii="仿宋" w:hAnsi="仿宋" w:eastAsia="仿宋" w:cs="F4"/>
          <w:kern w:val="0"/>
          <w:sz w:val="24"/>
          <w:szCs w:val="24"/>
          <w:u w:val="single"/>
          <w:lang w:val="en-US" w:eastAsia="zh-CN"/>
        </w:rPr>
        <w:t xml:space="preserve">      </w:t>
      </w:r>
      <w:r>
        <w:rPr>
          <w:rFonts w:hint="eastAsia" w:ascii="仿宋" w:hAnsi="仿宋" w:eastAsia="仿宋" w:cs="F4"/>
          <w:kern w:val="0"/>
          <w:sz w:val="24"/>
          <w:szCs w:val="24"/>
          <w:lang w:val="en-US" w:eastAsia="zh-CN"/>
        </w:rPr>
        <w:t>年</w:t>
      </w:r>
      <w:r>
        <w:rPr>
          <w:rFonts w:hint="eastAsia" w:ascii="仿宋" w:hAnsi="仿宋" w:eastAsia="仿宋" w:cs="F4"/>
          <w:kern w:val="0"/>
          <w:sz w:val="24"/>
          <w:szCs w:val="24"/>
          <w:u w:val="single"/>
          <w:lang w:val="en-US" w:eastAsia="zh-CN"/>
        </w:rPr>
        <w:t xml:space="preserve">      </w:t>
      </w:r>
      <w:r>
        <w:rPr>
          <w:rFonts w:hint="eastAsia" w:ascii="仿宋" w:hAnsi="仿宋" w:eastAsia="仿宋" w:cs="F4"/>
          <w:kern w:val="0"/>
          <w:sz w:val="24"/>
          <w:szCs w:val="24"/>
          <w:lang w:val="en-US" w:eastAsia="zh-CN"/>
        </w:rPr>
        <w:t>月</w:t>
      </w:r>
      <w:r>
        <w:rPr>
          <w:rFonts w:hint="eastAsia" w:ascii="仿宋" w:hAnsi="仿宋" w:eastAsia="仿宋" w:cs="F4"/>
          <w:kern w:val="0"/>
          <w:sz w:val="24"/>
          <w:szCs w:val="24"/>
          <w:u w:val="single"/>
          <w:lang w:val="en-US" w:eastAsia="zh-CN"/>
        </w:rPr>
        <w:t xml:space="preserve">      </w:t>
      </w:r>
      <w:r>
        <w:rPr>
          <w:rFonts w:hint="eastAsia" w:ascii="仿宋" w:hAnsi="仿宋" w:eastAsia="仿宋" w:cs="F4"/>
          <w:kern w:val="0"/>
          <w:sz w:val="24"/>
          <w:szCs w:val="24"/>
          <w:lang w:val="en-US" w:eastAsia="zh-CN"/>
        </w:rPr>
        <w:t>日</w:t>
      </w:r>
    </w:p>
    <w:p>
      <w:pPr>
        <w:pageBreakBefore w:val="0"/>
        <w:widowControl w:val="0"/>
        <w:kinsoku/>
        <w:wordWrap/>
        <w:overflowPunct/>
        <w:topLinePunct w:val="0"/>
        <w:autoSpaceDE/>
        <w:autoSpaceDN/>
        <w:bidi w:val="0"/>
        <w:adjustRightInd/>
        <w:snapToGrid/>
        <w:textAlignment w:val="auto"/>
        <w:outlineLvl w:val="9"/>
        <w:rPr>
          <w:sz w:val="24"/>
        </w:rPr>
      </w:pPr>
      <w:r>
        <w:rPr>
          <w:rFonts w:hint="eastAsia"/>
          <w:sz w:val="24"/>
        </w:rPr>
        <w:br w:type="page"/>
      </w:r>
    </w:p>
    <w:p>
      <w:pPr>
        <w:pageBreakBefore w:val="0"/>
        <w:widowControl w:val="0"/>
        <w:numPr>
          <w:ilvl w:val="0"/>
          <w:numId w:val="12"/>
        </w:numPr>
        <w:kinsoku/>
        <w:wordWrap/>
        <w:overflowPunct/>
        <w:topLinePunct w:val="0"/>
        <w:autoSpaceDE/>
        <w:autoSpaceDN/>
        <w:bidi w:val="0"/>
        <w:adjustRightInd/>
        <w:snapToGrid/>
        <w:jc w:val="center"/>
        <w:textAlignment w:val="auto"/>
        <w:outlineLvl w:val="9"/>
        <w:rPr>
          <w:sz w:val="32"/>
          <w:szCs w:val="32"/>
        </w:rPr>
      </w:pPr>
      <w:bookmarkStart w:id="59" w:name="_Toc29395"/>
      <w:r>
        <w:rPr>
          <w:rFonts w:hint="eastAsia"/>
          <w:sz w:val="32"/>
          <w:szCs w:val="32"/>
          <w:lang w:val="en-US" w:eastAsia="zh-CN"/>
        </w:rPr>
        <w:t>采购</w:t>
      </w:r>
      <w:r>
        <w:rPr>
          <w:rFonts w:hint="eastAsia"/>
          <w:sz w:val="32"/>
          <w:szCs w:val="32"/>
        </w:rPr>
        <w:t>报价表</w:t>
      </w:r>
    </w:p>
    <w:p>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包件</w:t>
      </w:r>
      <w:r>
        <w:rPr>
          <w:rFonts w:hint="eastAsia" w:asciiTheme="minorEastAsia" w:hAnsiTheme="minorEastAsia" w:eastAsiaTheme="minorEastAsia" w:cstheme="minorEastAsia"/>
          <w:b/>
          <w:bCs/>
          <w:color w:val="auto"/>
          <w:sz w:val="24"/>
          <w:szCs w:val="24"/>
          <w:highlight w:val="none"/>
          <w:u w:val="single"/>
          <w:lang w:val="en-US" w:eastAsia="zh-CN"/>
        </w:rPr>
        <w:t xml:space="preserve"> 1 </w:t>
      </w:r>
      <w:r>
        <w:rPr>
          <w:rFonts w:hint="eastAsia" w:asciiTheme="minorEastAsia" w:hAnsiTheme="minorEastAsia" w:eastAsiaTheme="minorEastAsia" w:cstheme="minorEastAsia"/>
          <w:b/>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招标编号：</w:t>
      </w:r>
      <w:r>
        <w:rPr>
          <w:rFonts w:hint="eastAsia" w:asciiTheme="minorEastAsia" w:hAnsiTheme="minorEastAsia" w:eastAsiaTheme="minorEastAsia" w:cstheme="minorEastAsia"/>
          <w:bCs/>
          <w:color w:val="auto"/>
          <w:sz w:val="24"/>
          <w:szCs w:val="24"/>
          <w:highlight w:val="none"/>
          <w:lang w:val="en-US" w:eastAsia="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848"/>
        <w:gridCol w:w="800"/>
        <w:gridCol w:w="1330"/>
        <w:gridCol w:w="1330"/>
        <w:gridCol w:w="1330"/>
        <w:gridCol w:w="133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31"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设备名称</w:t>
            </w:r>
          </w:p>
        </w:tc>
        <w:tc>
          <w:tcPr>
            <w:tcW w:w="848"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单位</w:t>
            </w:r>
          </w:p>
        </w:tc>
        <w:tc>
          <w:tcPr>
            <w:tcW w:w="80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数量</w:t>
            </w: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不含税综合单价</w:t>
            </w:r>
          </w:p>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(元)</w:t>
            </w: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税额</w:t>
            </w:r>
          </w:p>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（税率</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p>
          <w:p>
            <w:pPr>
              <w:pStyle w:val="4"/>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lang w:eastAsia="zh-CN"/>
              </w:rPr>
              <w:t>(元)</w:t>
            </w: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含税综合单价</w:t>
            </w:r>
          </w:p>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(元)</w:t>
            </w: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含税总价（元）</w:t>
            </w:r>
          </w:p>
        </w:tc>
        <w:tc>
          <w:tcPr>
            <w:tcW w:w="0" w:type="auto"/>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43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肯尼亚拉姆至加里萨道路项目膨胀土路基填料改良与填筑技术研究服务</w:t>
            </w:r>
          </w:p>
        </w:tc>
        <w:tc>
          <w:tcPr>
            <w:tcW w:w="84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p>
        </w:tc>
        <w:tc>
          <w:tcPr>
            <w:tcW w:w="1330" w:type="dxa"/>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p>
        </w:tc>
        <w:tc>
          <w:tcPr>
            <w:tcW w:w="0" w:type="auto"/>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0" w:type="auto"/>
            <w:gridSpan w:val="8"/>
            <w:vAlign w:val="center"/>
          </w:tcPr>
          <w:p>
            <w:pPr>
              <w:spacing w:line="24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大写人民币金额：</w:t>
            </w:r>
            <w:r>
              <w:rPr>
                <w:rFonts w:hint="eastAsia" w:asciiTheme="minorEastAsia" w:hAnsiTheme="minorEastAsia" w:eastAsiaTheme="minorEastAsia" w:cstheme="minorEastAsia"/>
                <w:color w:val="auto"/>
                <w:sz w:val="24"/>
                <w:szCs w:val="24"/>
                <w:highlight w:val="none"/>
                <w:vertAlign w:val="baseline"/>
                <w:lang w:val="en-US" w:eastAsia="zh-CN" w:bidi="ar"/>
              </w:rPr>
              <w:t xml:space="preserve">                                     </w:t>
            </w:r>
            <w:r>
              <w:rPr>
                <w:rFonts w:hint="eastAsia" w:asciiTheme="minorEastAsia" w:hAnsiTheme="minorEastAsia" w:eastAsiaTheme="minorEastAsia" w:cstheme="minorEastAsia"/>
                <w:color w:val="auto"/>
                <w:sz w:val="24"/>
                <w:szCs w:val="24"/>
                <w:highlight w:val="none"/>
                <w:lang w:val="en-US" w:eastAsia="zh-CN"/>
              </w:rPr>
              <w:t>（增值税税率为3%）</w:t>
            </w:r>
          </w:p>
        </w:tc>
      </w:tr>
    </w:tbl>
    <w:p>
      <w:pPr>
        <w:adjustRightInd w:val="0"/>
        <w:snapToGrid w:val="0"/>
        <w:spacing w:line="360" w:lineRule="exact"/>
        <w:ind w:left="-199" w:leftChars="-95" w:firstLine="199" w:firstLineChars="8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.付款条件：</w:t>
      </w:r>
    </w:p>
    <w:p>
      <w:pPr>
        <w:adjustRightInd w:val="0"/>
        <w:snapToGrid w:val="0"/>
        <w:spacing w:line="360" w:lineRule="exact"/>
        <w:ind w:firstLine="0" w:firstLineChars="0"/>
        <w:rPr>
          <w:rFonts w:hint="eastAsia" w:asciiTheme="minorEastAsia" w:hAnsiTheme="minorEastAsia" w:eastAsiaTheme="minorEastAsia" w:cstheme="minorEastAsia"/>
          <w:color w:val="auto"/>
          <w:sz w:val="24"/>
          <w:szCs w:val="24"/>
          <w:highlight w:val="yellow"/>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其他说明</w:t>
      </w:r>
      <w:r>
        <w:rPr>
          <w:rFonts w:hint="eastAsia" w:asciiTheme="minorEastAsia" w:hAnsiTheme="minorEastAsia" w:eastAsiaTheme="minorEastAsia" w:cstheme="minorEastAsia"/>
          <w:color w:val="auto"/>
          <w:sz w:val="24"/>
          <w:szCs w:val="24"/>
          <w:highlight w:val="none"/>
        </w:rPr>
        <w:t>：</w:t>
      </w:r>
    </w:p>
    <w:p>
      <w:pPr>
        <w:spacing w:line="440" w:lineRule="exact"/>
        <w:rPr>
          <w:rFonts w:hint="eastAsia" w:asciiTheme="minorEastAsia" w:hAnsiTheme="minorEastAsia" w:eastAsiaTheme="minorEastAsia" w:cstheme="minorEastAsia"/>
          <w:color w:val="auto"/>
          <w:sz w:val="24"/>
          <w:szCs w:val="24"/>
          <w:highlight w:val="yellow"/>
        </w:rPr>
      </w:pPr>
    </w:p>
    <w:p>
      <w:pPr>
        <w:pStyle w:val="5"/>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法定代表人或被授权代理人签字：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pStyle w:val="4"/>
        <w:rPr>
          <w:rFonts w:hint="eastAsia"/>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日</w:t>
      </w:r>
    </w:p>
    <w:p>
      <w:pPr>
        <w:pageBreakBefore w:val="0"/>
        <w:widowControl w:val="0"/>
        <w:numPr>
          <w:ilvl w:val="0"/>
          <w:numId w:val="0"/>
        </w:numPr>
        <w:kinsoku/>
        <w:wordWrap/>
        <w:overflowPunct/>
        <w:topLinePunct w:val="0"/>
        <w:autoSpaceDE/>
        <w:autoSpaceDN/>
        <w:bidi w:val="0"/>
        <w:adjustRightInd/>
        <w:snapToGrid/>
        <w:ind w:left="420" w:leftChars="0"/>
        <w:jc w:val="both"/>
        <w:textAlignment w:val="auto"/>
        <w:outlineLvl w:val="9"/>
        <w:rPr>
          <w:rFonts w:hint="eastAsia"/>
          <w:sz w:val="32"/>
          <w:szCs w:val="32"/>
        </w:rPr>
      </w:pPr>
    </w:p>
    <w:p>
      <w:pPr>
        <w:rPr>
          <w:sz w:val="32"/>
          <w:szCs w:val="32"/>
        </w:rPr>
      </w:pPr>
      <w:r>
        <w:rPr>
          <w:sz w:val="32"/>
          <w:szCs w:val="32"/>
        </w:rPr>
        <w:br w:type="page"/>
      </w:r>
    </w:p>
    <w:p>
      <w:pPr>
        <w:pStyle w:val="4"/>
      </w:pPr>
    </w:p>
    <w:p>
      <w:pPr>
        <w:pageBreakBefore w:val="0"/>
        <w:widowControl w:val="0"/>
        <w:numPr>
          <w:ilvl w:val="0"/>
          <w:numId w:val="12"/>
        </w:numPr>
        <w:kinsoku/>
        <w:wordWrap/>
        <w:overflowPunct/>
        <w:topLinePunct w:val="0"/>
        <w:autoSpaceDE/>
        <w:autoSpaceDN/>
        <w:bidi w:val="0"/>
        <w:adjustRightInd/>
        <w:snapToGrid/>
        <w:jc w:val="center"/>
        <w:textAlignment w:val="auto"/>
        <w:outlineLvl w:val="9"/>
        <w:rPr>
          <w:sz w:val="32"/>
          <w:szCs w:val="32"/>
        </w:rPr>
      </w:pPr>
      <w:r>
        <w:rPr>
          <w:rFonts w:hint="eastAsia"/>
          <w:sz w:val="32"/>
          <w:szCs w:val="32"/>
        </w:rPr>
        <w:t>法定代表人（单位负责人身份证明）</w:t>
      </w:r>
      <w:bookmarkEnd w:id="59"/>
    </w:p>
    <w:p>
      <w:pPr>
        <w:pageBreakBefore w:val="0"/>
        <w:widowControl w:val="0"/>
        <w:kinsoku/>
        <w:wordWrap/>
        <w:overflowPunct/>
        <w:topLinePunct w:val="0"/>
        <w:autoSpaceDE/>
        <w:autoSpaceDN/>
        <w:bidi w:val="0"/>
        <w:adjustRightInd/>
        <w:snapToGrid/>
        <w:jc w:val="center"/>
        <w:textAlignment w:val="auto"/>
        <w:outlineLvl w:val="9"/>
        <w:rPr>
          <w:sz w:val="32"/>
          <w:szCs w:val="32"/>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报价人名称：</w:t>
      </w:r>
      <w:r>
        <w:rPr>
          <w:rFonts w:hint="eastAsia"/>
          <w:sz w:val="24"/>
          <w:u w:val="single"/>
        </w:rPr>
        <w:t xml:space="preserve">                     </w:t>
      </w:r>
      <w:r>
        <w:rPr>
          <w:rFonts w:hint="eastAsia"/>
          <w:sz w:val="24"/>
          <w:u w:val="single"/>
        </w:rPr>
        <w:tab/>
      </w:r>
      <w:r>
        <w:rPr>
          <w:rFonts w:hint="eastAsia"/>
          <w:sz w:val="24"/>
          <w:u w:val="single"/>
        </w:rPr>
        <w:t xml:space="preserve"> </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rFonts w:hint="eastAsia"/>
          <w:sz w:val="24"/>
        </w:rPr>
        <w:t>姓名：</w:t>
      </w:r>
      <w:r>
        <w:rPr>
          <w:rFonts w:hint="eastAsia"/>
          <w:sz w:val="24"/>
          <w:u w:val="single"/>
        </w:rPr>
        <w:t xml:space="preserve"> </w:t>
      </w:r>
      <w:r>
        <w:rPr>
          <w:rFonts w:hint="eastAsia"/>
          <w:sz w:val="24"/>
          <w:u w:val="single"/>
        </w:rPr>
        <w:tab/>
      </w:r>
      <w:r>
        <w:rPr>
          <w:rFonts w:hint="eastAsia"/>
          <w:sz w:val="24"/>
        </w:rPr>
        <w:t>性别：</w:t>
      </w:r>
      <w:r>
        <w:rPr>
          <w:rFonts w:hint="eastAsia"/>
          <w:sz w:val="24"/>
          <w:u w:val="single"/>
        </w:rPr>
        <w:t xml:space="preserve"> </w:t>
      </w:r>
      <w:r>
        <w:rPr>
          <w:rFonts w:hint="eastAsia"/>
          <w:sz w:val="24"/>
          <w:u w:val="single"/>
        </w:rPr>
        <w:tab/>
      </w:r>
      <w:r>
        <w:rPr>
          <w:rFonts w:hint="eastAsia"/>
          <w:sz w:val="24"/>
        </w:rPr>
        <w:t>年龄：</w:t>
      </w:r>
      <w:r>
        <w:rPr>
          <w:rFonts w:hint="eastAsia"/>
          <w:sz w:val="24"/>
          <w:u w:val="single"/>
        </w:rPr>
        <w:t xml:space="preserve"> </w:t>
      </w:r>
      <w:r>
        <w:rPr>
          <w:rFonts w:hint="eastAsia"/>
          <w:sz w:val="24"/>
          <w:u w:val="single"/>
        </w:rPr>
        <w:tab/>
      </w:r>
      <w:r>
        <w:rPr>
          <w:rFonts w:hint="eastAsia"/>
          <w:sz w:val="24"/>
        </w:rPr>
        <w:t>职务：</w:t>
      </w:r>
      <w:r>
        <w:rPr>
          <w:rFonts w:hint="eastAsia"/>
          <w:sz w:val="24"/>
          <w:u w:val="single"/>
        </w:rPr>
        <w:t xml:space="preserve"> </w:t>
      </w:r>
      <w:r>
        <w:rPr>
          <w:rFonts w:hint="eastAsia"/>
          <w:sz w:val="24"/>
          <w:u w:val="single"/>
        </w:rPr>
        <w:tab/>
      </w:r>
      <w:r>
        <w:rPr>
          <w:rFonts w:hint="eastAsia"/>
          <w:sz w:val="24"/>
        </w:rPr>
        <w:t>系</w:t>
      </w:r>
      <w:r>
        <w:rPr>
          <w:rFonts w:hint="eastAsia"/>
          <w:sz w:val="24"/>
          <w:u w:val="single"/>
        </w:rPr>
        <w:t xml:space="preserve">       </w:t>
      </w:r>
      <w:r>
        <w:rPr>
          <w:rFonts w:hint="eastAsia"/>
          <w:sz w:val="24"/>
          <w:u w:val="single"/>
        </w:rPr>
        <w:tab/>
      </w:r>
      <w:r>
        <w:rPr>
          <w:rFonts w:hint="eastAsia"/>
          <w:sz w:val="24"/>
        </w:rPr>
        <w:t>（投标人名称）的法定代表人（单位负责人）。</w:t>
      </w: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rFonts w:hint="eastAsia"/>
          <w:sz w:val="24"/>
        </w:rPr>
        <w:t>特此证明。</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 xml:space="preserve">附：法定代表人（单位负责人）身份证复印件。 </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注：本身份证明需由投标人加盖单位公章。</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5460" w:firstLineChars="2275"/>
        <w:textAlignment w:val="auto"/>
        <w:outlineLvl w:val="9"/>
        <w:rPr>
          <w:sz w:val="24"/>
        </w:rPr>
      </w:pPr>
      <w:r>
        <w:rPr>
          <w:rFonts w:hint="eastAsia"/>
          <w:sz w:val="24"/>
        </w:rPr>
        <w:t>投标人：</w:t>
      </w:r>
      <w:r>
        <w:rPr>
          <w:rFonts w:hint="eastAsia"/>
          <w:b/>
          <w:bCs/>
          <w:sz w:val="24"/>
          <w:u w:val="single"/>
        </w:rPr>
        <w:t xml:space="preserve">        </w:t>
      </w:r>
      <w:r>
        <w:rPr>
          <w:rFonts w:hint="eastAsia"/>
          <w:b/>
          <w:bCs/>
          <w:sz w:val="24"/>
          <w:u w:val="single"/>
        </w:rPr>
        <w:tab/>
      </w:r>
      <w:r>
        <w:rPr>
          <w:rFonts w:hint="eastAsia"/>
          <w:sz w:val="24"/>
        </w:rPr>
        <w:t>（盖单位章）</w:t>
      </w:r>
    </w:p>
    <w:p>
      <w:pPr>
        <w:pageBreakBefore w:val="0"/>
        <w:widowControl w:val="0"/>
        <w:kinsoku/>
        <w:wordWrap/>
        <w:overflowPunct/>
        <w:topLinePunct w:val="0"/>
        <w:autoSpaceDE/>
        <w:autoSpaceDN/>
        <w:bidi w:val="0"/>
        <w:adjustRightInd/>
        <w:snapToGrid/>
        <w:spacing w:line="480" w:lineRule="exact"/>
        <w:ind w:firstLine="5460" w:firstLineChars="2275"/>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5460" w:firstLineChars="2275"/>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5460" w:firstLineChars="2275"/>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5460" w:firstLineChars="2275"/>
        <w:textAlignment w:val="auto"/>
        <w:outlineLvl w:val="9"/>
        <w:rPr>
          <w:sz w:val="24"/>
        </w:rPr>
      </w:pPr>
      <w:r>
        <w:rPr>
          <w:rFonts w:hint="eastAsia"/>
          <w:sz w:val="24"/>
          <w:u w:val="single"/>
        </w:rPr>
        <w:t xml:space="preserve"> </w:t>
      </w:r>
      <w:r>
        <w:rPr>
          <w:rFonts w:hint="eastAsia"/>
          <w:sz w:val="24"/>
          <w:u w:val="single"/>
          <w:lang w:val="en-US" w:eastAsia="zh-CN"/>
        </w:rPr>
        <w:t>2025</w:t>
      </w:r>
      <w:r>
        <w:rPr>
          <w:rFonts w:hint="eastAsia"/>
          <w:sz w:val="24"/>
        </w:rPr>
        <w:t>年</w:t>
      </w:r>
      <w:r>
        <w:rPr>
          <w:rFonts w:hint="eastAsia"/>
          <w:sz w:val="24"/>
          <w:u w:val="single"/>
        </w:rPr>
        <w:t xml:space="preserve">   </w:t>
      </w:r>
      <w:r>
        <w:rPr>
          <w:rFonts w:hint="eastAsia"/>
          <w:sz w:val="24"/>
          <w:u w:val="single"/>
        </w:rPr>
        <w:tab/>
      </w:r>
      <w:r>
        <w:rPr>
          <w:rFonts w:hint="eastAsia"/>
          <w:sz w:val="24"/>
        </w:rPr>
        <w:t>月</w:t>
      </w:r>
      <w:r>
        <w:rPr>
          <w:rFonts w:hint="eastAsia"/>
          <w:sz w:val="24"/>
          <w:u w:val="single"/>
        </w:rPr>
        <w:t xml:space="preserve">   </w:t>
      </w:r>
      <w:r>
        <w:rPr>
          <w:rFonts w:hint="eastAsia"/>
          <w:sz w:val="24"/>
          <w:u w:val="single"/>
        </w:rPr>
        <w:tab/>
      </w:r>
      <w:r>
        <w:rPr>
          <w:rFonts w:hint="eastAsia"/>
          <w:sz w:val="24"/>
        </w:rPr>
        <w:t>日</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tabs>
          <w:tab w:val="left" w:pos="0"/>
        </w:tabs>
        <w:kinsoku/>
        <w:wordWrap/>
        <w:overflowPunct/>
        <w:topLinePunct w:val="0"/>
        <w:autoSpaceDE/>
        <w:autoSpaceDN/>
        <w:bidi w:val="0"/>
        <w:adjustRightInd/>
        <w:snapToGrid/>
        <w:textAlignment w:val="auto"/>
        <w:outlineLvl w:val="9"/>
        <w:rPr>
          <w:lang w:val="en-US"/>
        </w:rPr>
        <w:sectPr>
          <w:headerReference r:id="rId4" w:type="default"/>
          <w:footerReference r:id="rId5" w:type="default"/>
          <w:pgSz w:w="11905" w:h="16838"/>
          <w:pgMar w:top="1417" w:right="1083" w:bottom="1440" w:left="1083" w:header="794" w:footer="907" w:gutter="0"/>
          <w:pgNumType w:fmt="numberInDash"/>
          <w:cols w:space="720" w:num="1"/>
          <w:docGrid w:type="lines" w:linePitch="388" w:charSpace="0"/>
        </w:sectPr>
      </w:pPr>
    </w:p>
    <w:p>
      <w:pPr>
        <w:pageBreakBefore w:val="0"/>
        <w:widowControl w:val="0"/>
        <w:kinsoku/>
        <w:wordWrap/>
        <w:overflowPunct/>
        <w:topLinePunct w:val="0"/>
        <w:autoSpaceDE/>
        <w:autoSpaceDN/>
        <w:bidi w:val="0"/>
        <w:adjustRightInd/>
        <w:snapToGrid/>
        <w:spacing w:line="480" w:lineRule="exact"/>
        <w:jc w:val="center"/>
        <w:textAlignment w:val="auto"/>
        <w:outlineLvl w:val="9"/>
        <w:rPr>
          <w:sz w:val="32"/>
          <w:szCs w:val="32"/>
        </w:rPr>
      </w:pPr>
      <w:bookmarkStart w:id="60" w:name="_Toc8157"/>
      <w:r>
        <w:rPr>
          <w:rFonts w:hint="eastAsia"/>
          <w:sz w:val="32"/>
          <w:szCs w:val="32"/>
        </w:rPr>
        <w:t>授权委托书</w:t>
      </w:r>
      <w:bookmarkEnd w:id="60"/>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（投标人名称）的法定代表人（单位负责人），现委托</w:t>
      </w:r>
      <w:r>
        <w:rPr>
          <w:rFonts w:hint="eastAsia"/>
          <w:sz w:val="24"/>
          <w:u w:val="single"/>
        </w:rPr>
        <w:t xml:space="preserve">           </w:t>
      </w:r>
      <w:r>
        <w:rPr>
          <w:rFonts w:hint="eastAsia"/>
          <w:sz w:val="24"/>
        </w:rPr>
        <w:t>（姓名）为我方代理人。代理人根据授权，以我方名义签署、澄清确认、递交、撤回、修改</w:t>
      </w:r>
      <w:r>
        <w:rPr>
          <w:rFonts w:hint="eastAsia" w:asciiTheme="minorEastAsia" w:hAnsiTheme="minorEastAsia" w:eastAsiaTheme="minorEastAsia" w:cstheme="minorEastAsia"/>
          <w:kern w:val="0"/>
          <w:sz w:val="24"/>
          <w:szCs w:val="24"/>
          <w:u w:val="single"/>
          <w:lang w:val="en-US" w:eastAsia="zh-CN"/>
        </w:rPr>
        <w:t xml:space="preserve">  肯尼亚拉姆至加里萨道路项目膨胀土路基填料改良与填筑技术研究服务</w:t>
      </w:r>
      <w:r>
        <w:rPr>
          <w:rFonts w:hint="eastAsia" w:asciiTheme="minorEastAsia" w:hAnsiTheme="minorEastAsia" w:eastAsiaTheme="minorEastAsia" w:cstheme="minorEastAsia"/>
          <w:kern w:val="0"/>
          <w:sz w:val="24"/>
          <w:szCs w:val="24"/>
          <w:u w:val="none"/>
          <w:lang w:val="en-US" w:eastAsia="zh-CN"/>
        </w:rPr>
        <w:t>项目</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项目</w:t>
      </w:r>
      <w:r>
        <w:rPr>
          <w:rFonts w:hint="eastAsia" w:asciiTheme="minorEastAsia" w:hAnsiTheme="minorEastAsia" w:eastAsiaTheme="minorEastAsia" w:cstheme="minorEastAsia"/>
          <w:kern w:val="0"/>
          <w:sz w:val="24"/>
          <w:szCs w:val="24"/>
        </w:rPr>
        <w:t>编号</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FWFA00000050756</w:t>
      </w:r>
      <w:r>
        <w:rPr>
          <w:rFonts w:hint="eastAsia" w:asciiTheme="minorEastAsia" w:hAnsiTheme="minorEastAsia" w:eastAsiaTheme="minorEastAsia" w:cstheme="minorEastAsia"/>
          <w:kern w:val="0"/>
          <w:sz w:val="24"/>
          <w:szCs w:val="24"/>
        </w:rPr>
        <w:t>）</w:t>
      </w:r>
      <w:r>
        <w:rPr>
          <w:rFonts w:hint="eastAsia"/>
          <w:sz w:val="24"/>
        </w:rPr>
        <w:t>采购招标项目投标文件、签订合同和处理有关事宜，其法律后果由我方承担。</w:t>
      </w: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rFonts w:hint="eastAsia"/>
          <w:sz w:val="24"/>
        </w:rPr>
        <w:t>委托期限：</w:t>
      </w:r>
      <w:r>
        <w:rPr>
          <w:rFonts w:hint="eastAsia"/>
          <w:sz w:val="24"/>
          <w:u w:val="single"/>
        </w:rPr>
        <w:t xml:space="preserve">           </w:t>
      </w:r>
      <w:r>
        <w:rPr>
          <w:rFonts w:hint="eastAsia"/>
          <w:sz w:val="24"/>
        </w:rPr>
        <w:t>。</w:t>
      </w:r>
    </w:p>
    <w:p>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sz w:val="24"/>
        </w:rPr>
      </w:pPr>
      <w:r>
        <w:rPr>
          <w:rFonts w:hint="eastAsia"/>
          <w:sz w:val="24"/>
        </w:rPr>
        <w:t>代理人无转委托权。</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 xml:space="preserve">附：法定代表人（单位负责人）身份证复印件。 </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注：本身份证明需由投标人加盖单位公章。</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投 标 人：</w:t>
      </w:r>
      <w:r>
        <w:rPr>
          <w:rFonts w:hint="eastAsia"/>
          <w:sz w:val="24"/>
          <w:u w:val="single"/>
        </w:rPr>
        <w:t xml:space="preserve">                             </w:t>
      </w:r>
      <w:r>
        <w:rPr>
          <w:rFonts w:hint="eastAsia"/>
          <w:sz w:val="24"/>
        </w:rPr>
        <w:t>（盖单位章）</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法定代表人（单位负责人）：</w:t>
      </w:r>
      <w:r>
        <w:rPr>
          <w:rFonts w:hint="eastAsia"/>
          <w:sz w:val="24"/>
          <w:u w:val="single"/>
        </w:rPr>
        <w:t xml:space="preserve">                 </w:t>
      </w:r>
      <w:r>
        <w:rPr>
          <w:rFonts w:hint="eastAsia"/>
          <w:sz w:val="24"/>
        </w:rPr>
        <w:t>（签字）</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身份证号码：</w:t>
      </w:r>
      <w:r>
        <w:rPr>
          <w:rFonts w:hint="eastAsia"/>
          <w:sz w:val="24"/>
          <w:u w:val="single"/>
        </w:rPr>
        <w:t xml:space="preserve">                                       </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委托代理人：</w:t>
      </w:r>
      <w:r>
        <w:rPr>
          <w:rFonts w:hint="eastAsia"/>
          <w:sz w:val="24"/>
          <w:u w:val="single"/>
        </w:rPr>
        <w:t xml:space="preserve">                                </w:t>
      </w:r>
      <w:r>
        <w:rPr>
          <w:rFonts w:hint="eastAsia"/>
          <w:sz w:val="24"/>
        </w:rPr>
        <w:t>（签字）</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r>
        <w:rPr>
          <w:rFonts w:hint="eastAsia"/>
          <w:sz w:val="24"/>
        </w:rPr>
        <w:t>身份证号码：</w:t>
      </w:r>
      <w:r>
        <w:rPr>
          <w:rFonts w:hint="eastAsia"/>
          <w:sz w:val="24"/>
          <w:u w:val="single"/>
        </w:rPr>
        <w:t xml:space="preserve">                                       </w:t>
      </w: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textAlignment w:val="auto"/>
        <w:outlineLvl w:val="9"/>
        <w:rPr>
          <w:sz w:val="24"/>
        </w:rPr>
      </w:pPr>
    </w:p>
    <w:p>
      <w:pPr>
        <w:pageBreakBefore w:val="0"/>
        <w:widowControl w:val="0"/>
        <w:kinsoku/>
        <w:wordWrap/>
        <w:overflowPunct/>
        <w:topLinePunct w:val="0"/>
        <w:autoSpaceDE/>
        <w:autoSpaceDN/>
        <w:bidi w:val="0"/>
        <w:adjustRightInd/>
        <w:snapToGrid/>
        <w:spacing w:line="480" w:lineRule="exact"/>
        <w:ind w:firstLine="5040" w:firstLineChars="2100"/>
        <w:textAlignment w:val="auto"/>
        <w:outlineLvl w:val="9"/>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ageBreakBefore w:val="0"/>
        <w:widowControl w:val="0"/>
        <w:kinsoku/>
        <w:wordWrap/>
        <w:overflowPunct/>
        <w:topLinePunct w:val="0"/>
        <w:autoSpaceDE/>
        <w:autoSpaceDN/>
        <w:bidi w:val="0"/>
        <w:adjustRightInd/>
        <w:snapToGrid/>
        <w:spacing w:line="480" w:lineRule="exact"/>
        <w:textAlignment w:val="auto"/>
        <w:outlineLvl w:val="9"/>
        <w:rPr>
          <w:sz w:val="24"/>
        </w:rPr>
        <w:sectPr>
          <w:pgSz w:w="11905" w:h="16838"/>
          <w:pgMar w:top="1417" w:right="1083" w:bottom="1440" w:left="1083" w:header="794" w:footer="907" w:gutter="0"/>
          <w:pgNumType w:fmt="numberInDash"/>
          <w:cols w:space="720" w:num="1"/>
          <w:docGrid w:type="lines" w:linePitch="388" w:charSpace="0"/>
        </w:sectPr>
      </w:pPr>
    </w:p>
    <w:p>
      <w:pPr>
        <w:pageBreakBefore w:val="0"/>
        <w:widowControl w:val="0"/>
        <w:kinsoku/>
        <w:wordWrap/>
        <w:overflowPunct/>
        <w:topLinePunct w:val="0"/>
        <w:autoSpaceDE/>
        <w:autoSpaceDN/>
        <w:bidi w:val="0"/>
        <w:adjustRightInd/>
        <w:snapToGrid/>
        <w:textAlignment w:val="auto"/>
        <w:outlineLvl w:val="9"/>
      </w:pPr>
    </w:p>
    <w:p>
      <w:pPr>
        <w:pageBreakBefore w:val="0"/>
        <w:widowControl w:val="0"/>
        <w:numPr>
          <w:ilvl w:val="0"/>
          <w:numId w:val="12"/>
        </w:numPr>
        <w:kinsoku/>
        <w:wordWrap/>
        <w:overflowPunct/>
        <w:topLinePunct w:val="0"/>
        <w:autoSpaceDE/>
        <w:autoSpaceDN/>
        <w:bidi w:val="0"/>
        <w:adjustRightInd/>
        <w:snapToGrid/>
        <w:jc w:val="center"/>
        <w:textAlignment w:val="auto"/>
        <w:outlineLvl w:val="9"/>
        <w:rPr>
          <w:rFonts w:ascii="宋体" w:hAnsi="宋体" w:cs="宋体"/>
          <w:sz w:val="32"/>
          <w:szCs w:val="32"/>
        </w:rPr>
      </w:pPr>
      <w:r>
        <w:rPr>
          <w:rFonts w:hint="eastAsia" w:ascii="宋体" w:hAnsi="宋体" w:cs="宋体"/>
          <w:sz w:val="32"/>
          <w:szCs w:val="32"/>
        </w:rPr>
        <w:t>信用承诺书</w:t>
      </w:r>
    </w:p>
    <w:p>
      <w:pPr>
        <w:pageBreakBefore w:val="0"/>
        <w:widowControl w:val="0"/>
        <w:kinsoku/>
        <w:wordWrap/>
        <w:overflowPunct/>
        <w:topLinePunct w:val="0"/>
        <w:autoSpaceDE/>
        <w:autoSpaceDN/>
        <w:bidi w:val="0"/>
        <w:adjustRightInd/>
        <w:snapToGrid/>
        <w:spacing w:line="460" w:lineRule="exact"/>
        <w:jc w:val="center"/>
        <w:textAlignment w:val="auto"/>
        <w:outlineLvl w:val="9"/>
        <w:rPr>
          <w:rFonts w:eastAsia="方正小标宋简体"/>
          <w:sz w:val="36"/>
          <w:szCs w:val="36"/>
        </w:rPr>
      </w:pPr>
    </w:p>
    <w:p>
      <w:pPr>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sz w:val="36"/>
          <w:szCs w:val="36"/>
        </w:rPr>
      </w:pPr>
      <w:r>
        <w:rPr>
          <w:rFonts w:hint="eastAsia" w:ascii="宋体" w:hAnsi="宋体"/>
          <w:sz w:val="36"/>
          <w:szCs w:val="36"/>
        </w:rPr>
        <w:t>信用承诺书</w:t>
      </w:r>
    </w:p>
    <w:p>
      <w:pPr>
        <w:pageBreakBefore w:val="0"/>
        <w:widowControl w:val="0"/>
        <w:kinsoku/>
        <w:wordWrap/>
        <w:overflowPunct/>
        <w:topLinePunct w:val="0"/>
        <w:autoSpaceDE/>
        <w:autoSpaceDN/>
        <w:bidi w:val="0"/>
        <w:adjustRightInd/>
        <w:snapToGrid/>
        <w:spacing w:line="460" w:lineRule="exact"/>
        <w:textAlignment w:val="auto"/>
        <w:outlineLvl w:val="9"/>
        <w:rPr>
          <w:rFonts w:eastAsia="仿宋_GB2312"/>
          <w:sz w:val="28"/>
        </w:rPr>
      </w:pP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为营造公开、公平、公正、诚实守信的交易环境，树立诚信守法的供应商（分包商、服务商等）形象，本人代表本单位作出以下承诺：</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（一）提交的所有信息，均合法、真实、准确、有效，无任何伪造、修改、虚假成分，并对信息的真实性负责。</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（二）及时更新本单位信息，并对所提供信息的有效性负责。</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（三）严格遵守法律、法规、规章以及项目单位提前告知的管理要求，开展交易活动；积极履行社会责任，促进廉政建设。</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（四）自我约束、自我管理，不发生弄虚作假、围标串标、恶意投诉、行贿、干扰交易活动等法律法规禁止的行为，自觉维护项目交易的良好秩序。</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（五）守合同、重信用，诚信履约，自觉接受中交集团及项目单位、社会公众、新闻舆论的监督。</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（六）自愿接受政府部门、中交集团及项目单位依法依规的检查。如发生违法违规或不良行为，自愿接受政府部门、中交集团及项目单位依法依规给予的处罚（处理），并依法承担赔偿责任和刑事责任。</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（七）已认可并遵守中交集团及项目单位关于黑名单和重点关注名单“一处失信、处处受限”联合惩戒以及诚信廉洁共建共享等相关规定。</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（八）本单位法定代表人、控股股东、实际控制人、董事、监事、高级管理人员、项目团队中无中交集团员工及其亲属（投标单位属于中交集团下属企业除外）。</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不得向项目单位员工打听涉及中交集团、项目单位的商业秘密；在中交集团、项目单位进行涉嫌不廉洁的商业行为调查时，有义务配合并提供证据材料。</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（十）本人已认真阅读和认可上述承诺，并向本单位员工作了宣传教育。</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cs="宋体"/>
          <w:sz w:val="24"/>
        </w:rPr>
      </w:pPr>
      <w:r>
        <w:rPr>
          <w:rFonts w:hint="eastAsia" w:ascii="宋体" w:hAnsi="宋体" w:cs="宋体"/>
          <w:sz w:val="24"/>
        </w:rPr>
        <w:t xml:space="preserve">                    </w:t>
      </w:r>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宋体" w:hAnsi="宋体" w:cs="宋体"/>
          <w:sz w:val="28"/>
          <w:szCs w:val="28"/>
        </w:rPr>
        <w:t>法定代表人签名：</w:t>
      </w:r>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宋体" w:hAnsi="宋体" w:cs="宋体"/>
          <w:sz w:val="28"/>
          <w:szCs w:val="28"/>
        </w:rPr>
        <w:t xml:space="preserve">                              单位名单（盖章）</w:t>
      </w:r>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宋体" w:hAnsi="宋体" w:cs="宋体"/>
          <w:sz w:val="28"/>
          <w:szCs w:val="28"/>
        </w:rPr>
        <w:t xml:space="preserve">                                 年  月  日</w:t>
      </w:r>
    </w:p>
    <w:p>
      <w:pPr>
        <w:pageBreakBefore w:val="0"/>
        <w:widowControl w:val="0"/>
        <w:kinsoku/>
        <w:wordWrap/>
        <w:overflowPunct/>
        <w:topLinePunct w:val="0"/>
        <w:autoSpaceDE/>
        <w:autoSpaceDN/>
        <w:bidi w:val="0"/>
        <w:adjustRightInd/>
        <w:snapToGrid/>
        <w:textAlignment w:val="auto"/>
        <w:outlineLvl w:val="9"/>
        <w:rPr>
          <w:rFonts w:ascii="宋体" w:hAnsi="宋体" w:cs="宋体"/>
          <w:sz w:val="32"/>
          <w:szCs w:val="32"/>
        </w:rPr>
      </w:pPr>
      <w:r>
        <w:rPr>
          <w:rFonts w:hint="eastAsia" w:ascii="Cambria" w:hAnsi="Cambria"/>
          <w:b/>
          <w:bCs/>
          <w:kern w:val="28"/>
          <w:sz w:val="32"/>
          <w:szCs w:val="32"/>
        </w:rPr>
        <w:br w:type="page"/>
      </w:r>
    </w:p>
    <w:p>
      <w:pPr>
        <w:pageBreakBefore w:val="0"/>
        <w:widowControl w:val="0"/>
        <w:numPr>
          <w:ilvl w:val="0"/>
          <w:numId w:val="12"/>
        </w:numPr>
        <w:kinsoku/>
        <w:wordWrap/>
        <w:overflowPunct/>
        <w:topLinePunct w:val="0"/>
        <w:autoSpaceDE/>
        <w:autoSpaceDN/>
        <w:bidi w:val="0"/>
        <w:adjustRightInd/>
        <w:snapToGrid/>
        <w:jc w:val="center"/>
        <w:textAlignment w:val="auto"/>
        <w:outlineLvl w:val="9"/>
        <w:rPr>
          <w:rFonts w:ascii="宋体" w:hAnsi="宋体" w:cs="宋体"/>
          <w:sz w:val="32"/>
          <w:szCs w:val="32"/>
        </w:rPr>
      </w:pPr>
      <w:r>
        <w:rPr>
          <w:rFonts w:hint="eastAsia" w:ascii="宋体" w:hAnsi="宋体" w:cs="宋体"/>
          <w:sz w:val="32"/>
          <w:szCs w:val="32"/>
          <w:lang w:val="en-US" w:eastAsia="zh-CN"/>
        </w:rPr>
        <w:t>资信证明文件</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sz w:val="24"/>
        </w:rPr>
      </w:pPr>
      <w:r>
        <w:rPr>
          <w:rFonts w:hint="eastAsia" w:ascii="宋体" w:hAnsi="宋体" w:cs="宋体"/>
          <w:sz w:val="24"/>
        </w:rPr>
        <w:t>（1）、营业执照、资质证书等（复印件加盖公章）</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sz w:val="24"/>
        </w:rPr>
      </w:pPr>
      <w:r>
        <w:rPr>
          <w:rFonts w:hint="eastAsia" w:ascii="宋体" w:hAnsi="宋体" w:cs="宋体"/>
          <w:sz w:val="24"/>
        </w:rPr>
        <w:t>（2）、主要业绩证明文件（合同文本、协议书等）</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sz w:val="24"/>
        </w:rPr>
      </w:pPr>
      <w:r>
        <w:rPr>
          <w:rFonts w:hint="eastAsia" w:ascii="宋体" w:hAnsi="宋体" w:cs="宋体"/>
          <w:sz w:val="24"/>
        </w:rPr>
        <w:t xml:space="preserve">（3）、法定代表人证明书及其身份证复印件（签名并加盖印章） </w:t>
      </w:r>
    </w:p>
    <w:p>
      <w:pPr>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sz w:val="24"/>
        </w:rPr>
      </w:pPr>
      <w:r>
        <w:rPr>
          <w:rFonts w:hint="eastAsia" w:ascii="宋体" w:hAnsi="宋体" w:cs="宋体"/>
          <w:sz w:val="24"/>
        </w:rPr>
        <w:t>（4）、授权委托书及其身份证复印件（签名并加盖印章）</w:t>
      </w:r>
    </w:p>
    <w:p>
      <w:r>
        <w:br w:type="page"/>
      </w:r>
    </w:p>
    <w:p/>
    <w:p>
      <w:pPr>
        <w:pageBreakBefore w:val="0"/>
        <w:widowControl w:val="0"/>
        <w:numPr>
          <w:ilvl w:val="0"/>
          <w:numId w:val="12"/>
        </w:numPr>
        <w:kinsoku/>
        <w:wordWrap/>
        <w:overflowPunct/>
        <w:topLinePunct w:val="0"/>
        <w:autoSpaceDE/>
        <w:autoSpaceDN/>
        <w:bidi w:val="0"/>
        <w:adjustRightInd/>
        <w:snapToGrid/>
        <w:jc w:val="center"/>
        <w:textAlignment w:val="auto"/>
        <w:outlineLvl w:val="9"/>
        <w:rPr>
          <w:rFonts w:ascii="宋体" w:hAnsi="宋体" w:cs="宋体"/>
          <w:sz w:val="32"/>
          <w:szCs w:val="32"/>
        </w:rPr>
      </w:pPr>
      <w:r>
        <w:rPr>
          <w:rFonts w:hint="eastAsia" w:ascii="宋体" w:hAnsi="宋体" w:cs="宋体"/>
          <w:sz w:val="32"/>
          <w:szCs w:val="32"/>
          <w:highlight w:val="none"/>
        </w:rPr>
        <w:t>服务</w:t>
      </w:r>
      <w:r>
        <w:rPr>
          <w:rFonts w:hint="eastAsia" w:ascii="宋体" w:hAnsi="宋体" w:cs="宋体"/>
          <w:sz w:val="32"/>
          <w:szCs w:val="32"/>
          <w:highlight w:val="none"/>
          <w:lang w:val="en-US" w:eastAsia="zh-CN"/>
        </w:rPr>
        <w:t>技</w:t>
      </w:r>
      <w:r>
        <w:rPr>
          <w:rFonts w:hint="eastAsia" w:ascii="宋体" w:hAnsi="宋体" w:cs="宋体"/>
          <w:sz w:val="32"/>
          <w:szCs w:val="32"/>
          <w:lang w:val="en-US" w:eastAsia="zh-CN"/>
        </w:rPr>
        <w:t>术</w:t>
      </w:r>
      <w:r>
        <w:rPr>
          <w:rFonts w:hint="eastAsia" w:ascii="宋体" w:hAnsi="宋体" w:cs="宋体"/>
          <w:sz w:val="32"/>
          <w:szCs w:val="32"/>
        </w:rPr>
        <w:t>方案</w:t>
      </w:r>
    </w:p>
    <w:p>
      <w:r>
        <w:br w:type="page"/>
      </w:r>
    </w:p>
    <w:p/>
    <w:p>
      <w:pPr>
        <w:pageBreakBefore w:val="0"/>
        <w:widowControl w:val="0"/>
        <w:numPr>
          <w:ilvl w:val="0"/>
          <w:numId w:val="12"/>
        </w:numPr>
        <w:kinsoku/>
        <w:wordWrap/>
        <w:overflowPunct/>
        <w:topLinePunct w:val="0"/>
        <w:autoSpaceDE/>
        <w:autoSpaceDN/>
        <w:bidi w:val="0"/>
        <w:adjustRightInd/>
        <w:snapToGrid/>
        <w:jc w:val="center"/>
        <w:textAlignment w:val="auto"/>
        <w:outlineLvl w:val="9"/>
        <w:rPr>
          <w:rFonts w:ascii="宋体" w:hAnsi="宋体" w:cs="宋体"/>
          <w:sz w:val="32"/>
          <w:szCs w:val="32"/>
        </w:rPr>
      </w:pPr>
      <w:r>
        <w:rPr>
          <w:rFonts w:hint="eastAsia" w:ascii="宋体" w:hAnsi="宋体" w:cs="宋体"/>
          <w:sz w:val="32"/>
          <w:szCs w:val="32"/>
        </w:rPr>
        <w:t>其他资料</w:t>
      </w:r>
    </w:p>
    <w:p>
      <w:pPr>
        <w:rPr>
          <w:rFonts w:ascii="宋体" w:hAnsi="宋体" w:cs="宋体"/>
          <w:sz w:val="32"/>
          <w:szCs w:val="32"/>
        </w:rPr>
      </w:pPr>
      <w:r>
        <w:rPr>
          <w:rFonts w:hint="eastAsia" w:ascii="宋体" w:hAnsi="宋体" w:cs="宋体"/>
          <w:sz w:val="32"/>
          <w:szCs w:val="32"/>
          <w:lang w:val="en-US" w:eastAsia="zh-CN"/>
        </w:rPr>
        <w:t>（如：报价物资质量标准的详细描述或报价物资的实物图片或产品介绍说明或省、部级以上检验/检测机构出具的产品质量检验报告）</w:t>
      </w:r>
    </w:p>
    <w:sectPr>
      <w:pgSz w:w="11905" w:h="16838"/>
      <w:pgMar w:top="1417" w:right="1083" w:bottom="1417" w:left="1083" w:header="794" w:footer="90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F4">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78" w:lineRule="auto"/>
      <w:rPr>
        <w:rFonts w:ascii="Calibri" w:hAnsi="Calibri" w:cs="Calibri"/>
        <w:color w:val="000000"/>
        <w:kern w:val="1"/>
      </w:rPr>
    </w:pPr>
    <w:r>
      <w:rPr>
        <w:rFonts w:hint="eastAsia" w:ascii="Calibri" w:hAnsi="Calibri" w:cs="Calibri"/>
        <w:color w:val="000000"/>
        <w:kern w:val="1"/>
      </w:rPr>
      <w:t xml:space="preserve">                 </w:t>
    </w:r>
  </w:p>
  <w:p>
    <w:pPr>
      <w:widowControl w:val="0"/>
      <w:tabs>
        <w:tab w:val="center" w:pos="4153"/>
        <w:tab w:val="right" w:pos="8306"/>
      </w:tabs>
      <w:spacing w:after="160" w:line="278" w:lineRule="auto"/>
      <w:jc w:val="left"/>
      <w:rPr>
        <w:rFonts w:ascii="Calibri" w:hAnsi="Calibri" w:eastAsia="宋体" w:cs="Calibri"/>
        <w:color w:val="000000"/>
        <w:kern w:val="1"/>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35D83"/>
    <w:multiLevelType w:val="multilevel"/>
    <w:tmpl w:val="8C435D8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626972E"/>
    <w:multiLevelType w:val="multilevel"/>
    <w:tmpl w:val="C626972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4941EC0"/>
    <w:multiLevelType w:val="multilevel"/>
    <w:tmpl w:val="D4941EC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default"/>
        <w:b w:val="0"/>
        <w:bCs w:val="0"/>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1B8D2FDF"/>
    <w:multiLevelType w:val="multilevel"/>
    <w:tmpl w:val="1B8D2FDF"/>
    <w:lvl w:ilvl="0" w:tentative="0">
      <w:start w:val="1"/>
      <w:numFmt w:val="japaneseCounting"/>
      <w:pStyle w:val="39"/>
      <w:lvlText w:val="第%1条"/>
      <w:lvlJc w:val="left"/>
      <w:pPr>
        <w:tabs>
          <w:tab w:val="left" w:pos="210"/>
        </w:tabs>
        <w:ind w:left="210" w:firstLine="420"/>
      </w:pPr>
      <w:rPr>
        <w:rFonts w:ascii="Times New Roman" w:hAnsi="Times New Roman" w:eastAsia="Times New Roman" w:cs="Times New Roman"/>
        <w:b/>
        <w:i w:val="0"/>
        <w:sz w:val="28"/>
        <w:szCs w:val="28"/>
      </w:rPr>
    </w:lvl>
    <w:lvl w:ilvl="1" w:tentative="0">
      <w:start w:val="1"/>
      <w:numFmt w:val="chineseCountingThousand"/>
      <w:lvlText w:val="（%2）"/>
      <w:lvlJc w:val="left"/>
      <w:pPr>
        <w:tabs>
          <w:tab w:val="left" w:pos="525"/>
        </w:tabs>
        <w:ind w:left="525" w:firstLine="420"/>
      </w:pPr>
      <w:rPr>
        <w:rFonts w:hint="eastAsia" w:ascii="仿宋_GB2312" w:eastAsia="仿宋_GB2312" w:cs="Times New Roman"/>
        <w:b w:val="0"/>
        <w:i w:val="0"/>
        <w:sz w:val="28"/>
        <w:szCs w:val="28"/>
      </w:rPr>
    </w:lvl>
    <w:lvl w:ilvl="2" w:tentative="0">
      <w:start w:val="1"/>
      <w:numFmt w:val="decimal"/>
      <w:lvlText w:val="%3．"/>
      <w:lvlJc w:val="left"/>
      <w:pPr>
        <w:tabs>
          <w:tab w:val="left" w:pos="-1785"/>
        </w:tabs>
        <w:ind w:left="-1785" w:firstLine="420"/>
      </w:pPr>
      <w:rPr>
        <w:rFonts w:hint="eastAsia" w:ascii="仿宋_GB2312" w:eastAsia="仿宋_GB2312" w:cs="Times New Roman"/>
        <w:b w:val="0"/>
        <w:i w:val="0"/>
        <w:sz w:val="32"/>
        <w:szCs w:val="32"/>
      </w:rPr>
    </w:lvl>
    <w:lvl w:ilvl="3" w:tentative="0">
      <w:start w:val="1"/>
      <w:numFmt w:val="decimal"/>
      <w:lvlText w:val="%1.%2.%3.%4"/>
      <w:lvlJc w:val="left"/>
      <w:pPr>
        <w:tabs>
          <w:tab w:val="left" w:pos="1389"/>
        </w:tabs>
        <w:ind w:left="1017" w:hanging="708"/>
      </w:pPr>
      <w:rPr>
        <w:rFonts w:hint="eastAsia" w:cs="Times New Roman"/>
      </w:rPr>
    </w:lvl>
    <w:lvl w:ilvl="4" w:tentative="0">
      <w:start w:val="1"/>
      <w:numFmt w:val="decimal"/>
      <w:lvlText w:val="%1.%2.%3.%4.%5"/>
      <w:lvlJc w:val="left"/>
      <w:pPr>
        <w:tabs>
          <w:tab w:val="left" w:pos="1814"/>
        </w:tabs>
        <w:ind w:left="1584" w:hanging="850"/>
      </w:pPr>
      <w:rPr>
        <w:rFonts w:hint="eastAsia" w:cs="Times New Roman"/>
      </w:rPr>
    </w:lvl>
    <w:lvl w:ilvl="5" w:tentative="0">
      <w:start w:val="1"/>
      <w:numFmt w:val="decimal"/>
      <w:lvlText w:val="%1.%2.%3.%4.%5.%6"/>
      <w:lvlJc w:val="left"/>
      <w:pPr>
        <w:tabs>
          <w:tab w:val="left" w:pos="2599"/>
        </w:tabs>
        <w:ind w:left="2293" w:hanging="1134"/>
      </w:pPr>
      <w:rPr>
        <w:rFonts w:hint="eastAsia" w:cs="Times New Roman"/>
      </w:rPr>
    </w:lvl>
    <w:lvl w:ilvl="6" w:tentative="0">
      <w:start w:val="1"/>
      <w:numFmt w:val="decimal"/>
      <w:lvlText w:val="%1.%2.%3.%4.%5.%6.%7"/>
      <w:lvlJc w:val="left"/>
      <w:pPr>
        <w:tabs>
          <w:tab w:val="left" w:pos="3384"/>
        </w:tabs>
        <w:ind w:left="2860" w:hanging="1276"/>
      </w:pPr>
      <w:rPr>
        <w:rFonts w:hint="eastAsia" w:cs="Times New Roman"/>
      </w:rPr>
    </w:lvl>
    <w:lvl w:ilvl="7" w:tentative="0">
      <w:start w:val="1"/>
      <w:numFmt w:val="decimal"/>
      <w:lvlText w:val="%1.%2.%3.%4.%5.%6.%7.%8"/>
      <w:lvlJc w:val="left"/>
      <w:pPr>
        <w:tabs>
          <w:tab w:val="left" w:pos="3809"/>
        </w:tabs>
        <w:ind w:left="3427" w:hanging="1418"/>
      </w:pPr>
      <w:rPr>
        <w:rFonts w:hint="eastAsia" w:cs="Times New Roman"/>
      </w:rPr>
    </w:lvl>
    <w:lvl w:ilvl="8" w:tentative="0">
      <w:start w:val="1"/>
      <w:numFmt w:val="decimal"/>
      <w:lvlText w:val="%1.%2.%3.%4.%5.%6.%7.%8.%9"/>
      <w:lvlJc w:val="left"/>
      <w:pPr>
        <w:tabs>
          <w:tab w:val="left" w:pos="4595"/>
        </w:tabs>
        <w:ind w:left="4135" w:hanging="1700"/>
      </w:pPr>
      <w:rPr>
        <w:rFonts w:hint="eastAsia" w:cs="Times New Roman"/>
      </w:rPr>
    </w:lvl>
  </w:abstractNum>
  <w:abstractNum w:abstractNumId="4">
    <w:nsid w:val="1E1D7DCA"/>
    <w:multiLevelType w:val="multilevel"/>
    <w:tmpl w:val="1E1D7DCA"/>
    <w:lvl w:ilvl="0" w:tentative="0">
      <w:start w:val="1"/>
      <w:numFmt w:val="chineseCountingThousand"/>
      <w:lvlText w:val="%1、"/>
      <w:lvlJc w:val="left"/>
      <w:pPr>
        <w:tabs>
          <w:tab w:val="left" w:pos="360"/>
        </w:tabs>
        <w:ind w:left="360" w:hanging="360"/>
      </w:pPr>
      <w:rPr>
        <w:b/>
      </w:rPr>
    </w:lvl>
    <w:lvl w:ilvl="1" w:tentative="0">
      <w:start w:val="1"/>
      <w:numFmt w:val="upperLetter"/>
      <w:lvlText w:val="%2."/>
      <w:lvlJc w:val="left"/>
      <w:pPr>
        <w:tabs>
          <w:tab w:val="left" w:pos="780"/>
        </w:tabs>
        <w:ind w:left="780" w:hanging="360"/>
      </w:pPr>
      <w:rPr>
        <w:rFonts w:cs="Times New Roman"/>
        <w:b/>
      </w:rPr>
    </w:lvl>
    <w:lvl w:ilvl="2" w:tentative="0">
      <w:start w:val="1"/>
      <w:numFmt w:val="decimal"/>
      <w:lvlText w:val="%3."/>
      <w:lvlJc w:val="left"/>
      <w:pPr>
        <w:tabs>
          <w:tab w:val="left" w:pos="1560"/>
        </w:tabs>
        <w:ind w:left="1560" w:hanging="720"/>
      </w:pPr>
      <w:rPr>
        <w:rFonts w:ascii="仿宋" w:hAnsi="仿宋" w:eastAsia="仿宋"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F06363E"/>
    <w:multiLevelType w:val="multilevel"/>
    <w:tmpl w:val="2F06363E"/>
    <w:lvl w:ilvl="0" w:tentative="0">
      <w:start w:val="4"/>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pStyle w:val="42"/>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362C638B"/>
    <w:multiLevelType w:val="multilevel"/>
    <w:tmpl w:val="362C638B"/>
    <w:lvl w:ilvl="0" w:tentative="0">
      <w:start w:val="1"/>
      <w:numFmt w:val="decimal"/>
      <w:pStyle w:val="19"/>
      <w:lvlText w:val="%1."/>
      <w:lvlJc w:val="center"/>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F7CF30"/>
    <w:multiLevelType w:val="multilevel"/>
    <w:tmpl w:val="4CF7CF30"/>
    <w:lvl w:ilvl="0" w:tentative="0">
      <w:start w:val="1"/>
      <w:numFmt w:val="decimal"/>
      <w:suff w:val="space"/>
      <w:lvlText w:val="%1."/>
      <w:lvlJc w:val="left"/>
      <w:pPr>
        <w:ind w:left="425" w:hanging="425"/>
      </w:pPr>
      <w:rPr>
        <w:rFonts w:hint="default" w:ascii="宋体" w:hAnsi="宋体" w:eastAsia="宋体" w:cs="宋体"/>
        <w:sz w:val="24"/>
        <w:szCs w:val="24"/>
      </w:rPr>
    </w:lvl>
    <w:lvl w:ilvl="1" w:tentative="0">
      <w:start w:val="1"/>
      <w:numFmt w:val="decimal"/>
      <w:suff w:val="space"/>
      <w:lvlText w:val="%1.%2."/>
      <w:lvlJc w:val="left"/>
      <w:pPr>
        <w:ind w:left="567" w:hanging="567"/>
      </w:pPr>
      <w:rPr>
        <w:rFonts w:hint="default"/>
        <w:b w:val="0"/>
        <w:bCs w:val="0"/>
      </w:rPr>
    </w:lvl>
    <w:lvl w:ilvl="2" w:tentative="0">
      <w:start w:val="1"/>
      <w:numFmt w:val="decimal"/>
      <w:suff w:val="space"/>
      <w:lvlText w:val="%1.%2.%3."/>
      <w:lvlJc w:val="left"/>
      <w:pPr>
        <w:ind w:left="709" w:hanging="709"/>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ED17283"/>
    <w:multiLevelType w:val="multilevel"/>
    <w:tmpl w:val="4ED17283"/>
    <w:lvl w:ilvl="0" w:tentative="0">
      <w:start w:val="1"/>
      <w:numFmt w:val="decimal"/>
      <w:lvlText w:val="第%1章"/>
      <w:lvlJc w:val="left"/>
      <w:pPr>
        <w:tabs>
          <w:tab w:val="left" w:pos="-426"/>
        </w:tabs>
        <w:ind w:left="-426" w:hanging="425"/>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pPr>
        <w:tabs>
          <w:tab w:val="left" w:pos="567"/>
        </w:tabs>
        <w:ind w:left="567" w:hanging="567"/>
      </w:pPr>
      <w:rPr>
        <w:rFonts w:hint="eastAsia"/>
        <w:lang w:val="zh-CN"/>
      </w:rPr>
    </w:lvl>
    <w:lvl w:ilvl="2" w:tentative="0">
      <w:start w:val="1"/>
      <w:numFmt w:val="decimal"/>
      <w:pStyle w:val="3"/>
      <w:lvlText w:val="%1.%2.%3"/>
      <w:lvlJc w:val="left"/>
      <w:pPr>
        <w:tabs>
          <w:tab w:val="left" w:pos="0"/>
        </w:tabs>
        <w:ind w:left="0" w:firstLine="0"/>
      </w:pPr>
      <w:rPr>
        <w:rFonts w:hint="default" w:ascii="宋体" w:hAnsi="宋体" w:eastAsia="宋体" w:cs="Arial"/>
      </w:rPr>
    </w:lvl>
    <w:lvl w:ilvl="3" w:tentative="0">
      <w:start w:val="1"/>
      <w:numFmt w:val="decimal"/>
      <w:lvlText w:val="%1.%2.%3.%4"/>
      <w:lvlJc w:val="left"/>
      <w:pPr>
        <w:tabs>
          <w:tab w:val="left" w:pos="2835"/>
        </w:tabs>
        <w:ind w:left="2835" w:hanging="708"/>
      </w:pPr>
      <w:rPr>
        <w:rFonts w:hint="eastAsia"/>
        <w:b/>
        <w:sz w:val="21"/>
        <w:szCs w:val="21"/>
      </w:rPr>
    </w:lvl>
    <w:lvl w:ilvl="4" w:tentative="0">
      <w:start w:val="1"/>
      <w:numFmt w:val="decimal"/>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b w:val="0"/>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9">
    <w:nsid w:val="76530A59"/>
    <w:multiLevelType w:val="singleLevel"/>
    <w:tmpl w:val="76530A59"/>
    <w:lvl w:ilvl="0" w:tentative="0">
      <w:start w:val="1"/>
      <w:numFmt w:val="chineseCounting"/>
      <w:pStyle w:val="29"/>
      <w:suff w:val="space"/>
      <w:lvlText w:val="第%1部分"/>
      <w:lvlJc w:val="left"/>
      <w:rPr>
        <w:rFonts w:hint="eastAsia"/>
        <w:b/>
        <w:bCs/>
        <w:sz w:val="24"/>
        <w:szCs w:val="24"/>
      </w:rPr>
    </w:lvl>
  </w:abstractNum>
  <w:abstractNum w:abstractNumId="10">
    <w:nsid w:val="77039258"/>
    <w:multiLevelType w:val="multilevel"/>
    <w:tmpl w:val="77039258"/>
    <w:lvl w:ilvl="0" w:tentative="0">
      <w:start w:val="1"/>
      <w:numFmt w:val="chineseCounting"/>
      <w:suff w:val="nothing"/>
      <w:lvlText w:val="%1、"/>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1">
    <w:nsid w:val="775625B9"/>
    <w:multiLevelType w:val="singleLevel"/>
    <w:tmpl w:val="775625B9"/>
    <w:lvl w:ilvl="0" w:tentative="0">
      <w:start w:val="1"/>
      <w:numFmt w:val="chineseCounting"/>
      <w:suff w:val="nothing"/>
      <w:lvlText w:val="%1、"/>
      <w:lvlJc w:val="left"/>
      <w:pPr>
        <w:ind w:left="0" w:firstLine="420"/>
      </w:pPr>
      <w:rPr>
        <w:rFonts w:hint="eastAsia" w:ascii="宋体" w:hAnsi="宋体" w:eastAsia="宋体" w:cs="宋体"/>
        <w:sz w:val="30"/>
        <w:szCs w:val="30"/>
      </w:rPr>
    </w:lvl>
  </w:abstractNum>
  <w:num w:numId="1">
    <w:abstractNumId w:val="8"/>
  </w:num>
  <w:num w:numId="2">
    <w:abstractNumId w:val="6"/>
  </w:num>
  <w:num w:numId="3">
    <w:abstractNumId w:val="9"/>
  </w:num>
  <w:num w:numId="4">
    <w:abstractNumId w:val="3"/>
  </w:num>
  <w:num w:numId="5">
    <w:abstractNumId w:val="5"/>
  </w:num>
  <w:num w:numId="6">
    <w:abstractNumId w:val="10"/>
  </w:num>
  <w:num w:numId="7">
    <w:abstractNumId w:val="2"/>
  </w:num>
  <w:num w:numId="8">
    <w:abstractNumId w:val="7"/>
  </w:num>
  <w:num w:numId="9">
    <w:abstractNumId w:val="4"/>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18"/>
  <w:drawingGridHorizontalSpacing w:val="105"/>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jZjNkZjc2NWZhYWY3Y2MyMjQxYjU0YWIwZTQ5YTQifQ=="/>
  </w:docVars>
  <w:rsids>
    <w:rsidRoot w:val="00172A27"/>
    <w:rsid w:val="000000F3"/>
    <w:rsid w:val="00001A6E"/>
    <w:rsid w:val="00002294"/>
    <w:rsid w:val="00005166"/>
    <w:rsid w:val="00016F7B"/>
    <w:rsid w:val="0002371F"/>
    <w:rsid w:val="000258A5"/>
    <w:rsid w:val="000275F9"/>
    <w:rsid w:val="00034669"/>
    <w:rsid w:val="0003532C"/>
    <w:rsid w:val="00044B51"/>
    <w:rsid w:val="000459C1"/>
    <w:rsid w:val="00047DFB"/>
    <w:rsid w:val="00051FA3"/>
    <w:rsid w:val="0005390C"/>
    <w:rsid w:val="00064C39"/>
    <w:rsid w:val="00073B38"/>
    <w:rsid w:val="00075855"/>
    <w:rsid w:val="00076299"/>
    <w:rsid w:val="000856A5"/>
    <w:rsid w:val="000856F9"/>
    <w:rsid w:val="000870AC"/>
    <w:rsid w:val="00087434"/>
    <w:rsid w:val="000A0B63"/>
    <w:rsid w:val="000A19F9"/>
    <w:rsid w:val="000A1D70"/>
    <w:rsid w:val="000A388F"/>
    <w:rsid w:val="000A7075"/>
    <w:rsid w:val="000B1F2F"/>
    <w:rsid w:val="000B71AD"/>
    <w:rsid w:val="000B7759"/>
    <w:rsid w:val="000C00D2"/>
    <w:rsid w:val="000C05B7"/>
    <w:rsid w:val="000D0358"/>
    <w:rsid w:val="000D047A"/>
    <w:rsid w:val="000D073F"/>
    <w:rsid w:val="000D782C"/>
    <w:rsid w:val="000E177E"/>
    <w:rsid w:val="000E21AD"/>
    <w:rsid w:val="000E21E3"/>
    <w:rsid w:val="000E4309"/>
    <w:rsid w:val="000E7338"/>
    <w:rsid w:val="000E7B0C"/>
    <w:rsid w:val="000F0111"/>
    <w:rsid w:val="000F0965"/>
    <w:rsid w:val="000F1D26"/>
    <w:rsid w:val="000F656C"/>
    <w:rsid w:val="00102305"/>
    <w:rsid w:val="00102563"/>
    <w:rsid w:val="00102AB4"/>
    <w:rsid w:val="001056EA"/>
    <w:rsid w:val="00110CB6"/>
    <w:rsid w:val="00114227"/>
    <w:rsid w:val="00114EBA"/>
    <w:rsid w:val="00117621"/>
    <w:rsid w:val="00120C2A"/>
    <w:rsid w:val="001225E9"/>
    <w:rsid w:val="0013141B"/>
    <w:rsid w:val="00133BB6"/>
    <w:rsid w:val="00133F75"/>
    <w:rsid w:val="00133FB7"/>
    <w:rsid w:val="0013636E"/>
    <w:rsid w:val="00141009"/>
    <w:rsid w:val="001419AB"/>
    <w:rsid w:val="00141BF1"/>
    <w:rsid w:val="0014639E"/>
    <w:rsid w:val="00150B3E"/>
    <w:rsid w:val="00152A16"/>
    <w:rsid w:val="001541C1"/>
    <w:rsid w:val="0016193B"/>
    <w:rsid w:val="001634F8"/>
    <w:rsid w:val="00176CE8"/>
    <w:rsid w:val="00183701"/>
    <w:rsid w:val="00193FED"/>
    <w:rsid w:val="001A5B42"/>
    <w:rsid w:val="001B1735"/>
    <w:rsid w:val="001B17D2"/>
    <w:rsid w:val="001C04ED"/>
    <w:rsid w:val="001C4984"/>
    <w:rsid w:val="001C4B63"/>
    <w:rsid w:val="001C7F4F"/>
    <w:rsid w:val="001D032F"/>
    <w:rsid w:val="001D0B72"/>
    <w:rsid w:val="001D2964"/>
    <w:rsid w:val="001D6CC1"/>
    <w:rsid w:val="001E22FD"/>
    <w:rsid w:val="001E37BE"/>
    <w:rsid w:val="001E4D53"/>
    <w:rsid w:val="001F20CF"/>
    <w:rsid w:val="001F7521"/>
    <w:rsid w:val="001F75CB"/>
    <w:rsid w:val="00203E23"/>
    <w:rsid w:val="0020578C"/>
    <w:rsid w:val="002101B3"/>
    <w:rsid w:val="0021397E"/>
    <w:rsid w:val="00217A8E"/>
    <w:rsid w:val="00224845"/>
    <w:rsid w:val="0023008E"/>
    <w:rsid w:val="00234313"/>
    <w:rsid w:val="00235DD9"/>
    <w:rsid w:val="00240F75"/>
    <w:rsid w:val="00254A16"/>
    <w:rsid w:val="0025663E"/>
    <w:rsid w:val="00256FC9"/>
    <w:rsid w:val="00263F83"/>
    <w:rsid w:val="00264344"/>
    <w:rsid w:val="00274F70"/>
    <w:rsid w:val="00275E03"/>
    <w:rsid w:val="002805F5"/>
    <w:rsid w:val="002812C9"/>
    <w:rsid w:val="0028207B"/>
    <w:rsid w:val="0028245C"/>
    <w:rsid w:val="00292F6A"/>
    <w:rsid w:val="002952D7"/>
    <w:rsid w:val="00297E3A"/>
    <w:rsid w:val="002A2353"/>
    <w:rsid w:val="002B47CF"/>
    <w:rsid w:val="002B62D0"/>
    <w:rsid w:val="002B7A6B"/>
    <w:rsid w:val="002C190A"/>
    <w:rsid w:val="002C1D38"/>
    <w:rsid w:val="002C31AF"/>
    <w:rsid w:val="002C6DC9"/>
    <w:rsid w:val="002D0BB3"/>
    <w:rsid w:val="002D122B"/>
    <w:rsid w:val="002D1A00"/>
    <w:rsid w:val="002D1E87"/>
    <w:rsid w:val="002D5515"/>
    <w:rsid w:val="002D5921"/>
    <w:rsid w:val="002D5B98"/>
    <w:rsid w:val="002D6AEA"/>
    <w:rsid w:val="002E2237"/>
    <w:rsid w:val="002E2848"/>
    <w:rsid w:val="002E578A"/>
    <w:rsid w:val="002E5FC5"/>
    <w:rsid w:val="002E7753"/>
    <w:rsid w:val="002F4857"/>
    <w:rsid w:val="002F4AC9"/>
    <w:rsid w:val="002F69AA"/>
    <w:rsid w:val="002F71B0"/>
    <w:rsid w:val="00311121"/>
    <w:rsid w:val="00311892"/>
    <w:rsid w:val="00316287"/>
    <w:rsid w:val="0032111A"/>
    <w:rsid w:val="00321F43"/>
    <w:rsid w:val="00322A68"/>
    <w:rsid w:val="00323C6F"/>
    <w:rsid w:val="003269C0"/>
    <w:rsid w:val="00330567"/>
    <w:rsid w:val="00333FAD"/>
    <w:rsid w:val="00334BA6"/>
    <w:rsid w:val="00335CDF"/>
    <w:rsid w:val="00340778"/>
    <w:rsid w:val="00340A35"/>
    <w:rsid w:val="0034314F"/>
    <w:rsid w:val="00344269"/>
    <w:rsid w:val="003466DB"/>
    <w:rsid w:val="003578B6"/>
    <w:rsid w:val="00360D89"/>
    <w:rsid w:val="00365053"/>
    <w:rsid w:val="0038408F"/>
    <w:rsid w:val="00384292"/>
    <w:rsid w:val="00385DC5"/>
    <w:rsid w:val="00390D21"/>
    <w:rsid w:val="0039639E"/>
    <w:rsid w:val="003B686A"/>
    <w:rsid w:val="003C5493"/>
    <w:rsid w:val="003D0306"/>
    <w:rsid w:val="003D2F6E"/>
    <w:rsid w:val="003D6FD1"/>
    <w:rsid w:val="003E5A03"/>
    <w:rsid w:val="003E72BA"/>
    <w:rsid w:val="003E74CE"/>
    <w:rsid w:val="003F1FF1"/>
    <w:rsid w:val="003F360B"/>
    <w:rsid w:val="003F459B"/>
    <w:rsid w:val="003F49CB"/>
    <w:rsid w:val="003F5445"/>
    <w:rsid w:val="003F69B8"/>
    <w:rsid w:val="00400E97"/>
    <w:rsid w:val="00406C69"/>
    <w:rsid w:val="00410F91"/>
    <w:rsid w:val="00412EE6"/>
    <w:rsid w:val="0041608A"/>
    <w:rsid w:val="00417F7F"/>
    <w:rsid w:val="00420EAB"/>
    <w:rsid w:val="00420FFF"/>
    <w:rsid w:val="00421E89"/>
    <w:rsid w:val="00431FD4"/>
    <w:rsid w:val="00433937"/>
    <w:rsid w:val="004351B0"/>
    <w:rsid w:val="00436EA8"/>
    <w:rsid w:val="00437DAF"/>
    <w:rsid w:val="00437F72"/>
    <w:rsid w:val="0044709A"/>
    <w:rsid w:val="004514E9"/>
    <w:rsid w:val="00453AF3"/>
    <w:rsid w:val="00455112"/>
    <w:rsid w:val="00461B7E"/>
    <w:rsid w:val="0046579A"/>
    <w:rsid w:val="00470033"/>
    <w:rsid w:val="0047192F"/>
    <w:rsid w:val="0048075D"/>
    <w:rsid w:val="00483FF2"/>
    <w:rsid w:val="00484E7F"/>
    <w:rsid w:val="0049487C"/>
    <w:rsid w:val="00496E75"/>
    <w:rsid w:val="00497320"/>
    <w:rsid w:val="00497552"/>
    <w:rsid w:val="004A229D"/>
    <w:rsid w:val="004A2332"/>
    <w:rsid w:val="004A63A6"/>
    <w:rsid w:val="004B0EDA"/>
    <w:rsid w:val="004B1AD8"/>
    <w:rsid w:val="004B2288"/>
    <w:rsid w:val="004B2363"/>
    <w:rsid w:val="004B7503"/>
    <w:rsid w:val="004C22D9"/>
    <w:rsid w:val="004C3CE6"/>
    <w:rsid w:val="004C3FD3"/>
    <w:rsid w:val="004C4829"/>
    <w:rsid w:val="004C49D2"/>
    <w:rsid w:val="004D2307"/>
    <w:rsid w:val="004D389D"/>
    <w:rsid w:val="004D445A"/>
    <w:rsid w:val="004D5291"/>
    <w:rsid w:val="004D5378"/>
    <w:rsid w:val="004D7254"/>
    <w:rsid w:val="004E237F"/>
    <w:rsid w:val="004E3BBA"/>
    <w:rsid w:val="004E6443"/>
    <w:rsid w:val="004F2CE1"/>
    <w:rsid w:val="004F3051"/>
    <w:rsid w:val="004F37D3"/>
    <w:rsid w:val="004F5BA3"/>
    <w:rsid w:val="004F5EB9"/>
    <w:rsid w:val="005003AB"/>
    <w:rsid w:val="00501BAE"/>
    <w:rsid w:val="00501FA1"/>
    <w:rsid w:val="00504985"/>
    <w:rsid w:val="0050794F"/>
    <w:rsid w:val="00525A85"/>
    <w:rsid w:val="00525E68"/>
    <w:rsid w:val="00526C4F"/>
    <w:rsid w:val="00526F94"/>
    <w:rsid w:val="005300C2"/>
    <w:rsid w:val="005306D3"/>
    <w:rsid w:val="0053179F"/>
    <w:rsid w:val="005339CF"/>
    <w:rsid w:val="00533BC4"/>
    <w:rsid w:val="0053799B"/>
    <w:rsid w:val="0054002C"/>
    <w:rsid w:val="005404C8"/>
    <w:rsid w:val="00542E6C"/>
    <w:rsid w:val="00555226"/>
    <w:rsid w:val="005568BC"/>
    <w:rsid w:val="00557CB4"/>
    <w:rsid w:val="00561C11"/>
    <w:rsid w:val="0056368D"/>
    <w:rsid w:val="005640DA"/>
    <w:rsid w:val="0057045B"/>
    <w:rsid w:val="005706FC"/>
    <w:rsid w:val="00574363"/>
    <w:rsid w:val="00576C98"/>
    <w:rsid w:val="00576E2C"/>
    <w:rsid w:val="0057787C"/>
    <w:rsid w:val="00581FE5"/>
    <w:rsid w:val="00583F60"/>
    <w:rsid w:val="005845AE"/>
    <w:rsid w:val="005859EA"/>
    <w:rsid w:val="00587275"/>
    <w:rsid w:val="00587651"/>
    <w:rsid w:val="0058788A"/>
    <w:rsid w:val="00590E6F"/>
    <w:rsid w:val="00593FB5"/>
    <w:rsid w:val="0059494D"/>
    <w:rsid w:val="00595C7E"/>
    <w:rsid w:val="005A5697"/>
    <w:rsid w:val="005A7A7B"/>
    <w:rsid w:val="005B1FEC"/>
    <w:rsid w:val="005B7910"/>
    <w:rsid w:val="005C3F6E"/>
    <w:rsid w:val="005C5AEB"/>
    <w:rsid w:val="005C687A"/>
    <w:rsid w:val="005D28E8"/>
    <w:rsid w:val="005D6CD7"/>
    <w:rsid w:val="005E016B"/>
    <w:rsid w:val="005E4D79"/>
    <w:rsid w:val="005E7049"/>
    <w:rsid w:val="005E7A1E"/>
    <w:rsid w:val="00601D23"/>
    <w:rsid w:val="0060566D"/>
    <w:rsid w:val="00606B2E"/>
    <w:rsid w:val="006079E0"/>
    <w:rsid w:val="00613040"/>
    <w:rsid w:val="00616C15"/>
    <w:rsid w:val="0061792B"/>
    <w:rsid w:val="006221DA"/>
    <w:rsid w:val="00623B59"/>
    <w:rsid w:val="00626994"/>
    <w:rsid w:val="006277C0"/>
    <w:rsid w:val="0062782B"/>
    <w:rsid w:val="006304CD"/>
    <w:rsid w:val="00630F51"/>
    <w:rsid w:val="00631BD5"/>
    <w:rsid w:val="0063482E"/>
    <w:rsid w:val="00646499"/>
    <w:rsid w:val="0065139E"/>
    <w:rsid w:val="00654090"/>
    <w:rsid w:val="0066250D"/>
    <w:rsid w:val="00662898"/>
    <w:rsid w:val="00665E5D"/>
    <w:rsid w:val="006679FC"/>
    <w:rsid w:val="00667CF9"/>
    <w:rsid w:val="00670C90"/>
    <w:rsid w:val="00672943"/>
    <w:rsid w:val="00680EE2"/>
    <w:rsid w:val="0068248E"/>
    <w:rsid w:val="006841C0"/>
    <w:rsid w:val="00684939"/>
    <w:rsid w:val="00684ECF"/>
    <w:rsid w:val="006908BE"/>
    <w:rsid w:val="00691B56"/>
    <w:rsid w:val="00696509"/>
    <w:rsid w:val="006971CC"/>
    <w:rsid w:val="006A1D98"/>
    <w:rsid w:val="006A34B1"/>
    <w:rsid w:val="006A63FC"/>
    <w:rsid w:val="006B16E9"/>
    <w:rsid w:val="006B3C35"/>
    <w:rsid w:val="006C250E"/>
    <w:rsid w:val="006C477F"/>
    <w:rsid w:val="006C4D0E"/>
    <w:rsid w:val="006D4E16"/>
    <w:rsid w:val="006D64D6"/>
    <w:rsid w:val="006D6EBC"/>
    <w:rsid w:val="006E373B"/>
    <w:rsid w:val="006E6A08"/>
    <w:rsid w:val="006F3B5F"/>
    <w:rsid w:val="006F3E68"/>
    <w:rsid w:val="006F51AC"/>
    <w:rsid w:val="00700F0C"/>
    <w:rsid w:val="00705C4D"/>
    <w:rsid w:val="00707CE8"/>
    <w:rsid w:val="007104F0"/>
    <w:rsid w:val="00721FC1"/>
    <w:rsid w:val="00725701"/>
    <w:rsid w:val="00730692"/>
    <w:rsid w:val="0073142F"/>
    <w:rsid w:val="00735893"/>
    <w:rsid w:val="0073752F"/>
    <w:rsid w:val="00737D28"/>
    <w:rsid w:val="00740155"/>
    <w:rsid w:val="00742B17"/>
    <w:rsid w:val="007441DE"/>
    <w:rsid w:val="007539E0"/>
    <w:rsid w:val="00761913"/>
    <w:rsid w:val="007635EB"/>
    <w:rsid w:val="007645C9"/>
    <w:rsid w:val="00765392"/>
    <w:rsid w:val="0076687A"/>
    <w:rsid w:val="00771FF6"/>
    <w:rsid w:val="00772741"/>
    <w:rsid w:val="0077492E"/>
    <w:rsid w:val="00776179"/>
    <w:rsid w:val="0077791D"/>
    <w:rsid w:val="00777FCC"/>
    <w:rsid w:val="007806CF"/>
    <w:rsid w:val="00780AA5"/>
    <w:rsid w:val="007824DD"/>
    <w:rsid w:val="00784219"/>
    <w:rsid w:val="00787EE4"/>
    <w:rsid w:val="00793FC4"/>
    <w:rsid w:val="007955CB"/>
    <w:rsid w:val="007964C6"/>
    <w:rsid w:val="00796BBC"/>
    <w:rsid w:val="007A02E0"/>
    <w:rsid w:val="007A437D"/>
    <w:rsid w:val="007A4E27"/>
    <w:rsid w:val="007A5D16"/>
    <w:rsid w:val="007A7BF3"/>
    <w:rsid w:val="007B11F8"/>
    <w:rsid w:val="007B303E"/>
    <w:rsid w:val="007B5454"/>
    <w:rsid w:val="007B577F"/>
    <w:rsid w:val="007B5C6D"/>
    <w:rsid w:val="007C7427"/>
    <w:rsid w:val="007E1319"/>
    <w:rsid w:val="007E60B7"/>
    <w:rsid w:val="007E7A26"/>
    <w:rsid w:val="007F001C"/>
    <w:rsid w:val="007F4CC6"/>
    <w:rsid w:val="007F5F34"/>
    <w:rsid w:val="007F60BD"/>
    <w:rsid w:val="00803FC9"/>
    <w:rsid w:val="00807183"/>
    <w:rsid w:val="0080745A"/>
    <w:rsid w:val="00815A9F"/>
    <w:rsid w:val="008208DD"/>
    <w:rsid w:val="0082191D"/>
    <w:rsid w:val="008229FD"/>
    <w:rsid w:val="00825ADD"/>
    <w:rsid w:val="008311D7"/>
    <w:rsid w:val="00834674"/>
    <w:rsid w:val="00834FA2"/>
    <w:rsid w:val="00834FBA"/>
    <w:rsid w:val="0083507E"/>
    <w:rsid w:val="00835737"/>
    <w:rsid w:val="00835A03"/>
    <w:rsid w:val="00837D06"/>
    <w:rsid w:val="00837D5B"/>
    <w:rsid w:val="0084186F"/>
    <w:rsid w:val="008462E4"/>
    <w:rsid w:val="00854C19"/>
    <w:rsid w:val="008551C1"/>
    <w:rsid w:val="00866ACD"/>
    <w:rsid w:val="00867596"/>
    <w:rsid w:val="00867ADE"/>
    <w:rsid w:val="0087377C"/>
    <w:rsid w:val="00884D65"/>
    <w:rsid w:val="008864E5"/>
    <w:rsid w:val="0088689E"/>
    <w:rsid w:val="0089106C"/>
    <w:rsid w:val="00894B61"/>
    <w:rsid w:val="00895E60"/>
    <w:rsid w:val="00897CEA"/>
    <w:rsid w:val="008A1216"/>
    <w:rsid w:val="008A30D9"/>
    <w:rsid w:val="008A47D8"/>
    <w:rsid w:val="008A7841"/>
    <w:rsid w:val="008B27C1"/>
    <w:rsid w:val="008B6C79"/>
    <w:rsid w:val="008C0256"/>
    <w:rsid w:val="008C0A89"/>
    <w:rsid w:val="008C13A6"/>
    <w:rsid w:val="008C52ED"/>
    <w:rsid w:val="008D4BFA"/>
    <w:rsid w:val="008E31B2"/>
    <w:rsid w:val="008E43E8"/>
    <w:rsid w:val="008E449C"/>
    <w:rsid w:val="008E47D0"/>
    <w:rsid w:val="008F0108"/>
    <w:rsid w:val="008F1943"/>
    <w:rsid w:val="008F4D86"/>
    <w:rsid w:val="00914C3B"/>
    <w:rsid w:val="00920197"/>
    <w:rsid w:val="009203D5"/>
    <w:rsid w:val="00920F9D"/>
    <w:rsid w:val="009211D7"/>
    <w:rsid w:val="00922D15"/>
    <w:rsid w:val="00930511"/>
    <w:rsid w:val="00930C90"/>
    <w:rsid w:val="009327AD"/>
    <w:rsid w:val="00932DFB"/>
    <w:rsid w:val="009352F6"/>
    <w:rsid w:val="009433BA"/>
    <w:rsid w:val="00946087"/>
    <w:rsid w:val="009472E7"/>
    <w:rsid w:val="00953BA4"/>
    <w:rsid w:val="00955223"/>
    <w:rsid w:val="00960EDB"/>
    <w:rsid w:val="00963171"/>
    <w:rsid w:val="00966F42"/>
    <w:rsid w:val="00984630"/>
    <w:rsid w:val="00995A4F"/>
    <w:rsid w:val="00997667"/>
    <w:rsid w:val="009A0A5F"/>
    <w:rsid w:val="009A5099"/>
    <w:rsid w:val="009B0516"/>
    <w:rsid w:val="009B6766"/>
    <w:rsid w:val="009C10FC"/>
    <w:rsid w:val="009C1B53"/>
    <w:rsid w:val="009C4277"/>
    <w:rsid w:val="009C5835"/>
    <w:rsid w:val="009C70A4"/>
    <w:rsid w:val="009D229D"/>
    <w:rsid w:val="009D2890"/>
    <w:rsid w:val="009D765B"/>
    <w:rsid w:val="009E0F93"/>
    <w:rsid w:val="009E6C6E"/>
    <w:rsid w:val="009F2586"/>
    <w:rsid w:val="009F478F"/>
    <w:rsid w:val="00A01D58"/>
    <w:rsid w:val="00A0293C"/>
    <w:rsid w:val="00A030CC"/>
    <w:rsid w:val="00A03F36"/>
    <w:rsid w:val="00A04D9D"/>
    <w:rsid w:val="00A116BF"/>
    <w:rsid w:val="00A253C0"/>
    <w:rsid w:val="00A2547A"/>
    <w:rsid w:val="00A275FA"/>
    <w:rsid w:val="00A35DFB"/>
    <w:rsid w:val="00A4132F"/>
    <w:rsid w:val="00A44EA5"/>
    <w:rsid w:val="00A4623F"/>
    <w:rsid w:val="00A509B9"/>
    <w:rsid w:val="00A5538D"/>
    <w:rsid w:val="00A565F3"/>
    <w:rsid w:val="00A57B0A"/>
    <w:rsid w:val="00A63301"/>
    <w:rsid w:val="00A67394"/>
    <w:rsid w:val="00A70FF9"/>
    <w:rsid w:val="00A75C09"/>
    <w:rsid w:val="00A80855"/>
    <w:rsid w:val="00A87C64"/>
    <w:rsid w:val="00A907B0"/>
    <w:rsid w:val="00A940B5"/>
    <w:rsid w:val="00A95B7B"/>
    <w:rsid w:val="00A967B5"/>
    <w:rsid w:val="00AA152F"/>
    <w:rsid w:val="00AA453F"/>
    <w:rsid w:val="00AA4DC4"/>
    <w:rsid w:val="00AB28BD"/>
    <w:rsid w:val="00AB589B"/>
    <w:rsid w:val="00AB675B"/>
    <w:rsid w:val="00AC2B86"/>
    <w:rsid w:val="00AD6517"/>
    <w:rsid w:val="00AD6F16"/>
    <w:rsid w:val="00AE0F3D"/>
    <w:rsid w:val="00AE7575"/>
    <w:rsid w:val="00AF20A7"/>
    <w:rsid w:val="00AF4F2B"/>
    <w:rsid w:val="00B01504"/>
    <w:rsid w:val="00B07677"/>
    <w:rsid w:val="00B12316"/>
    <w:rsid w:val="00B12580"/>
    <w:rsid w:val="00B22565"/>
    <w:rsid w:val="00B23BA6"/>
    <w:rsid w:val="00B23EBE"/>
    <w:rsid w:val="00B262F3"/>
    <w:rsid w:val="00B26CCA"/>
    <w:rsid w:val="00B2788C"/>
    <w:rsid w:val="00B31203"/>
    <w:rsid w:val="00B32C94"/>
    <w:rsid w:val="00B42D01"/>
    <w:rsid w:val="00B45E10"/>
    <w:rsid w:val="00B478D9"/>
    <w:rsid w:val="00B61EEE"/>
    <w:rsid w:val="00B66289"/>
    <w:rsid w:val="00B7294B"/>
    <w:rsid w:val="00B7460B"/>
    <w:rsid w:val="00B7596A"/>
    <w:rsid w:val="00B81F43"/>
    <w:rsid w:val="00B83A77"/>
    <w:rsid w:val="00B84C36"/>
    <w:rsid w:val="00B86AF8"/>
    <w:rsid w:val="00B909D7"/>
    <w:rsid w:val="00B91685"/>
    <w:rsid w:val="00B951CB"/>
    <w:rsid w:val="00B9587A"/>
    <w:rsid w:val="00BA14F1"/>
    <w:rsid w:val="00BA4219"/>
    <w:rsid w:val="00BA62A2"/>
    <w:rsid w:val="00BA6421"/>
    <w:rsid w:val="00BA70B4"/>
    <w:rsid w:val="00BC245E"/>
    <w:rsid w:val="00BC2D49"/>
    <w:rsid w:val="00BC445A"/>
    <w:rsid w:val="00BD26F6"/>
    <w:rsid w:val="00BD2A59"/>
    <w:rsid w:val="00BE1CB3"/>
    <w:rsid w:val="00BE2438"/>
    <w:rsid w:val="00BE2855"/>
    <w:rsid w:val="00BE5D41"/>
    <w:rsid w:val="00BE5FDE"/>
    <w:rsid w:val="00BE7572"/>
    <w:rsid w:val="00BF6A86"/>
    <w:rsid w:val="00C011CC"/>
    <w:rsid w:val="00C026B3"/>
    <w:rsid w:val="00C05D24"/>
    <w:rsid w:val="00C13BD9"/>
    <w:rsid w:val="00C20BEF"/>
    <w:rsid w:val="00C2317C"/>
    <w:rsid w:val="00C235D5"/>
    <w:rsid w:val="00C31D0B"/>
    <w:rsid w:val="00C3402B"/>
    <w:rsid w:val="00C358F6"/>
    <w:rsid w:val="00C35A81"/>
    <w:rsid w:val="00C3613C"/>
    <w:rsid w:val="00C36186"/>
    <w:rsid w:val="00C36F54"/>
    <w:rsid w:val="00C43F90"/>
    <w:rsid w:val="00C44013"/>
    <w:rsid w:val="00C46EF7"/>
    <w:rsid w:val="00C52190"/>
    <w:rsid w:val="00C600CD"/>
    <w:rsid w:val="00C61A03"/>
    <w:rsid w:val="00C63851"/>
    <w:rsid w:val="00C63FC0"/>
    <w:rsid w:val="00C66CBB"/>
    <w:rsid w:val="00C67331"/>
    <w:rsid w:val="00C75080"/>
    <w:rsid w:val="00C76B5B"/>
    <w:rsid w:val="00C81ED0"/>
    <w:rsid w:val="00C82ECC"/>
    <w:rsid w:val="00C84596"/>
    <w:rsid w:val="00C85B2A"/>
    <w:rsid w:val="00C86E28"/>
    <w:rsid w:val="00C87555"/>
    <w:rsid w:val="00C908C7"/>
    <w:rsid w:val="00C91929"/>
    <w:rsid w:val="00C920D8"/>
    <w:rsid w:val="00CA01F3"/>
    <w:rsid w:val="00CA363E"/>
    <w:rsid w:val="00CA3DA3"/>
    <w:rsid w:val="00CA7933"/>
    <w:rsid w:val="00CA7BFC"/>
    <w:rsid w:val="00CA7E3E"/>
    <w:rsid w:val="00CB012E"/>
    <w:rsid w:val="00CC2951"/>
    <w:rsid w:val="00CC5C35"/>
    <w:rsid w:val="00CC69BE"/>
    <w:rsid w:val="00CD0A34"/>
    <w:rsid w:val="00CD1D59"/>
    <w:rsid w:val="00CD221B"/>
    <w:rsid w:val="00CD4C31"/>
    <w:rsid w:val="00CD5562"/>
    <w:rsid w:val="00CD781C"/>
    <w:rsid w:val="00CD7B02"/>
    <w:rsid w:val="00CE1478"/>
    <w:rsid w:val="00CE187F"/>
    <w:rsid w:val="00CE4212"/>
    <w:rsid w:val="00CF0D14"/>
    <w:rsid w:val="00CF2101"/>
    <w:rsid w:val="00CF2752"/>
    <w:rsid w:val="00CF3684"/>
    <w:rsid w:val="00CF4A5C"/>
    <w:rsid w:val="00D02286"/>
    <w:rsid w:val="00D0394E"/>
    <w:rsid w:val="00D049B7"/>
    <w:rsid w:val="00D06171"/>
    <w:rsid w:val="00D06935"/>
    <w:rsid w:val="00D126C1"/>
    <w:rsid w:val="00D173FA"/>
    <w:rsid w:val="00D1741A"/>
    <w:rsid w:val="00D17F8E"/>
    <w:rsid w:val="00D27E67"/>
    <w:rsid w:val="00D304C6"/>
    <w:rsid w:val="00D328A1"/>
    <w:rsid w:val="00D36B5C"/>
    <w:rsid w:val="00D44248"/>
    <w:rsid w:val="00D4591C"/>
    <w:rsid w:val="00D55210"/>
    <w:rsid w:val="00D62917"/>
    <w:rsid w:val="00D641EA"/>
    <w:rsid w:val="00D64E6E"/>
    <w:rsid w:val="00D6652D"/>
    <w:rsid w:val="00D73EF1"/>
    <w:rsid w:val="00D76E2E"/>
    <w:rsid w:val="00D80490"/>
    <w:rsid w:val="00D81ABD"/>
    <w:rsid w:val="00D82750"/>
    <w:rsid w:val="00D856D8"/>
    <w:rsid w:val="00D8626D"/>
    <w:rsid w:val="00D862AD"/>
    <w:rsid w:val="00D91129"/>
    <w:rsid w:val="00D934FF"/>
    <w:rsid w:val="00D97002"/>
    <w:rsid w:val="00DA2269"/>
    <w:rsid w:val="00DA540F"/>
    <w:rsid w:val="00DA79D8"/>
    <w:rsid w:val="00DB0B26"/>
    <w:rsid w:val="00DB1232"/>
    <w:rsid w:val="00DB2D67"/>
    <w:rsid w:val="00DB5511"/>
    <w:rsid w:val="00DC6AA4"/>
    <w:rsid w:val="00DC7D5A"/>
    <w:rsid w:val="00DD49BE"/>
    <w:rsid w:val="00DE54E0"/>
    <w:rsid w:val="00DE5A30"/>
    <w:rsid w:val="00DE5F7E"/>
    <w:rsid w:val="00DE75D2"/>
    <w:rsid w:val="00DF0790"/>
    <w:rsid w:val="00DF3AFA"/>
    <w:rsid w:val="00DF6394"/>
    <w:rsid w:val="00DF6983"/>
    <w:rsid w:val="00E01E82"/>
    <w:rsid w:val="00E02EBD"/>
    <w:rsid w:val="00E0787E"/>
    <w:rsid w:val="00E14EAF"/>
    <w:rsid w:val="00E26788"/>
    <w:rsid w:val="00E27179"/>
    <w:rsid w:val="00E304EE"/>
    <w:rsid w:val="00E328E0"/>
    <w:rsid w:val="00E33194"/>
    <w:rsid w:val="00E45581"/>
    <w:rsid w:val="00E50C6F"/>
    <w:rsid w:val="00E5615C"/>
    <w:rsid w:val="00E61734"/>
    <w:rsid w:val="00E626BC"/>
    <w:rsid w:val="00E67E48"/>
    <w:rsid w:val="00E73228"/>
    <w:rsid w:val="00E736D0"/>
    <w:rsid w:val="00E814BF"/>
    <w:rsid w:val="00E913FC"/>
    <w:rsid w:val="00E921C2"/>
    <w:rsid w:val="00E9641A"/>
    <w:rsid w:val="00E974A3"/>
    <w:rsid w:val="00EA1F35"/>
    <w:rsid w:val="00EA463A"/>
    <w:rsid w:val="00EA63A4"/>
    <w:rsid w:val="00EB0F1D"/>
    <w:rsid w:val="00EB3E47"/>
    <w:rsid w:val="00EB4A1F"/>
    <w:rsid w:val="00EB5B8C"/>
    <w:rsid w:val="00EB7D6A"/>
    <w:rsid w:val="00EC04A0"/>
    <w:rsid w:val="00EC38F8"/>
    <w:rsid w:val="00EC5C3F"/>
    <w:rsid w:val="00EC639A"/>
    <w:rsid w:val="00EC7FB0"/>
    <w:rsid w:val="00ED682F"/>
    <w:rsid w:val="00ED73D4"/>
    <w:rsid w:val="00EE12C5"/>
    <w:rsid w:val="00EF31C0"/>
    <w:rsid w:val="00EF3F51"/>
    <w:rsid w:val="00F00609"/>
    <w:rsid w:val="00F0411A"/>
    <w:rsid w:val="00F056E7"/>
    <w:rsid w:val="00F1155C"/>
    <w:rsid w:val="00F131D1"/>
    <w:rsid w:val="00F20EB0"/>
    <w:rsid w:val="00F21AE7"/>
    <w:rsid w:val="00F22F85"/>
    <w:rsid w:val="00F25C98"/>
    <w:rsid w:val="00F315BE"/>
    <w:rsid w:val="00F31D32"/>
    <w:rsid w:val="00F3395C"/>
    <w:rsid w:val="00F35D4C"/>
    <w:rsid w:val="00F4255A"/>
    <w:rsid w:val="00F42ECD"/>
    <w:rsid w:val="00F46CFE"/>
    <w:rsid w:val="00F52709"/>
    <w:rsid w:val="00F52D43"/>
    <w:rsid w:val="00F5368A"/>
    <w:rsid w:val="00F54167"/>
    <w:rsid w:val="00F5531E"/>
    <w:rsid w:val="00F6196D"/>
    <w:rsid w:val="00F641B7"/>
    <w:rsid w:val="00F671FB"/>
    <w:rsid w:val="00F70752"/>
    <w:rsid w:val="00F7234E"/>
    <w:rsid w:val="00F72645"/>
    <w:rsid w:val="00F72E61"/>
    <w:rsid w:val="00F76E1D"/>
    <w:rsid w:val="00F775C6"/>
    <w:rsid w:val="00F822A3"/>
    <w:rsid w:val="00F828A4"/>
    <w:rsid w:val="00F839D7"/>
    <w:rsid w:val="00F84E63"/>
    <w:rsid w:val="00F85775"/>
    <w:rsid w:val="00F85E85"/>
    <w:rsid w:val="00F90805"/>
    <w:rsid w:val="00F96DD8"/>
    <w:rsid w:val="00F97E57"/>
    <w:rsid w:val="00FA156D"/>
    <w:rsid w:val="00FA67AB"/>
    <w:rsid w:val="00FA7E3A"/>
    <w:rsid w:val="00FB4F0F"/>
    <w:rsid w:val="00FB6E95"/>
    <w:rsid w:val="00FB7268"/>
    <w:rsid w:val="00FC0D42"/>
    <w:rsid w:val="00FC3D74"/>
    <w:rsid w:val="00FC6CF8"/>
    <w:rsid w:val="00FD0614"/>
    <w:rsid w:val="00FE26FD"/>
    <w:rsid w:val="00FE36C0"/>
    <w:rsid w:val="00FE3871"/>
    <w:rsid w:val="00FE41C1"/>
    <w:rsid w:val="00FE530F"/>
    <w:rsid w:val="00FF5202"/>
    <w:rsid w:val="00FF5A0B"/>
    <w:rsid w:val="00FF5AE0"/>
    <w:rsid w:val="00FF7DB2"/>
    <w:rsid w:val="012D093D"/>
    <w:rsid w:val="01703A16"/>
    <w:rsid w:val="02151639"/>
    <w:rsid w:val="023578AF"/>
    <w:rsid w:val="024F69F3"/>
    <w:rsid w:val="02891F5D"/>
    <w:rsid w:val="032E0BC2"/>
    <w:rsid w:val="037B54CB"/>
    <w:rsid w:val="04454C16"/>
    <w:rsid w:val="05241E63"/>
    <w:rsid w:val="05880374"/>
    <w:rsid w:val="070F480F"/>
    <w:rsid w:val="07474A7A"/>
    <w:rsid w:val="07745F8A"/>
    <w:rsid w:val="07924F32"/>
    <w:rsid w:val="07E55609"/>
    <w:rsid w:val="083F2BD3"/>
    <w:rsid w:val="088E5EF6"/>
    <w:rsid w:val="08931509"/>
    <w:rsid w:val="0901343A"/>
    <w:rsid w:val="09B033C3"/>
    <w:rsid w:val="0A085E1E"/>
    <w:rsid w:val="0A3B0CF9"/>
    <w:rsid w:val="0A7C3F15"/>
    <w:rsid w:val="0AD02C85"/>
    <w:rsid w:val="0B730D27"/>
    <w:rsid w:val="0B9A7389"/>
    <w:rsid w:val="0BD52CE5"/>
    <w:rsid w:val="0CDF7D7A"/>
    <w:rsid w:val="0D183675"/>
    <w:rsid w:val="0E6852BA"/>
    <w:rsid w:val="0E76393A"/>
    <w:rsid w:val="0EC23726"/>
    <w:rsid w:val="0EE31368"/>
    <w:rsid w:val="0FE51D9B"/>
    <w:rsid w:val="114247AE"/>
    <w:rsid w:val="1413209D"/>
    <w:rsid w:val="14265702"/>
    <w:rsid w:val="149208C7"/>
    <w:rsid w:val="157B4421"/>
    <w:rsid w:val="16021A7C"/>
    <w:rsid w:val="162F348A"/>
    <w:rsid w:val="171371B3"/>
    <w:rsid w:val="18067D78"/>
    <w:rsid w:val="18713811"/>
    <w:rsid w:val="187472A8"/>
    <w:rsid w:val="187B5D35"/>
    <w:rsid w:val="18D576F1"/>
    <w:rsid w:val="19BE0514"/>
    <w:rsid w:val="1A7547B3"/>
    <w:rsid w:val="1ACB177A"/>
    <w:rsid w:val="1B275EBB"/>
    <w:rsid w:val="1C2B63C3"/>
    <w:rsid w:val="1C582EB2"/>
    <w:rsid w:val="1D164F9A"/>
    <w:rsid w:val="1E306D50"/>
    <w:rsid w:val="1F146652"/>
    <w:rsid w:val="1FCE3543"/>
    <w:rsid w:val="1FEE0801"/>
    <w:rsid w:val="20AF002A"/>
    <w:rsid w:val="20C739B5"/>
    <w:rsid w:val="20EA4601"/>
    <w:rsid w:val="21285CFE"/>
    <w:rsid w:val="21FF09D8"/>
    <w:rsid w:val="221C6CED"/>
    <w:rsid w:val="22E961A2"/>
    <w:rsid w:val="231A4A0C"/>
    <w:rsid w:val="23256D85"/>
    <w:rsid w:val="2448205F"/>
    <w:rsid w:val="245F61F8"/>
    <w:rsid w:val="25986AD7"/>
    <w:rsid w:val="265F758F"/>
    <w:rsid w:val="26C72EEA"/>
    <w:rsid w:val="273861E8"/>
    <w:rsid w:val="27920FBA"/>
    <w:rsid w:val="28137A2D"/>
    <w:rsid w:val="285A2647"/>
    <w:rsid w:val="288B7D62"/>
    <w:rsid w:val="28CA0BAC"/>
    <w:rsid w:val="2A857986"/>
    <w:rsid w:val="2AFE685E"/>
    <w:rsid w:val="2B162169"/>
    <w:rsid w:val="2B2E1323"/>
    <w:rsid w:val="2BF832AE"/>
    <w:rsid w:val="2C985AD1"/>
    <w:rsid w:val="2CB05936"/>
    <w:rsid w:val="2D27476D"/>
    <w:rsid w:val="2DD63B81"/>
    <w:rsid w:val="2EC53046"/>
    <w:rsid w:val="2EF62F11"/>
    <w:rsid w:val="2F1D2FAB"/>
    <w:rsid w:val="2F953EE6"/>
    <w:rsid w:val="30247B0A"/>
    <w:rsid w:val="310C2BAB"/>
    <w:rsid w:val="32177943"/>
    <w:rsid w:val="32654AFC"/>
    <w:rsid w:val="32905159"/>
    <w:rsid w:val="32BC7907"/>
    <w:rsid w:val="32EB76C8"/>
    <w:rsid w:val="342E0746"/>
    <w:rsid w:val="35364121"/>
    <w:rsid w:val="36756E2D"/>
    <w:rsid w:val="384E085A"/>
    <w:rsid w:val="386677F1"/>
    <w:rsid w:val="387E2A0D"/>
    <w:rsid w:val="39070FD0"/>
    <w:rsid w:val="395C18B5"/>
    <w:rsid w:val="395F6FA2"/>
    <w:rsid w:val="396A5C9B"/>
    <w:rsid w:val="39A71B61"/>
    <w:rsid w:val="3A581AD4"/>
    <w:rsid w:val="3AFB06C4"/>
    <w:rsid w:val="3AFC2B69"/>
    <w:rsid w:val="3B2C2F74"/>
    <w:rsid w:val="3B313763"/>
    <w:rsid w:val="3BCD30C7"/>
    <w:rsid w:val="3BE613C9"/>
    <w:rsid w:val="3C164127"/>
    <w:rsid w:val="3D1F5F34"/>
    <w:rsid w:val="3D5276DB"/>
    <w:rsid w:val="3E393B2C"/>
    <w:rsid w:val="3E3F4F43"/>
    <w:rsid w:val="3E531EA6"/>
    <w:rsid w:val="3E6C4396"/>
    <w:rsid w:val="3F7E152A"/>
    <w:rsid w:val="3FC0033F"/>
    <w:rsid w:val="4060149E"/>
    <w:rsid w:val="40A46AB4"/>
    <w:rsid w:val="414621DD"/>
    <w:rsid w:val="422866CF"/>
    <w:rsid w:val="429D34ED"/>
    <w:rsid w:val="42B53F8E"/>
    <w:rsid w:val="43125E67"/>
    <w:rsid w:val="43131822"/>
    <w:rsid w:val="4313565D"/>
    <w:rsid w:val="43690B3A"/>
    <w:rsid w:val="439650D7"/>
    <w:rsid w:val="443F43F5"/>
    <w:rsid w:val="455056CB"/>
    <w:rsid w:val="461E4A66"/>
    <w:rsid w:val="464652D5"/>
    <w:rsid w:val="466E7179"/>
    <w:rsid w:val="46E35995"/>
    <w:rsid w:val="47507BD9"/>
    <w:rsid w:val="476D66EA"/>
    <w:rsid w:val="47B47DA6"/>
    <w:rsid w:val="483E3F52"/>
    <w:rsid w:val="48DB017B"/>
    <w:rsid w:val="492D3605"/>
    <w:rsid w:val="49EE184C"/>
    <w:rsid w:val="4A301A15"/>
    <w:rsid w:val="4AB501BE"/>
    <w:rsid w:val="4AC3100E"/>
    <w:rsid w:val="4B9709E9"/>
    <w:rsid w:val="4BC2685B"/>
    <w:rsid w:val="4C6971BC"/>
    <w:rsid w:val="4C917486"/>
    <w:rsid w:val="4E010E28"/>
    <w:rsid w:val="4E98355F"/>
    <w:rsid w:val="4EFC665D"/>
    <w:rsid w:val="4F006E1E"/>
    <w:rsid w:val="4FB64D53"/>
    <w:rsid w:val="509605A9"/>
    <w:rsid w:val="518A5EA7"/>
    <w:rsid w:val="51EA0285"/>
    <w:rsid w:val="52F1442F"/>
    <w:rsid w:val="52FC431C"/>
    <w:rsid w:val="534A4441"/>
    <w:rsid w:val="53CA26A9"/>
    <w:rsid w:val="55A45FC1"/>
    <w:rsid w:val="55F304BE"/>
    <w:rsid w:val="565D3B96"/>
    <w:rsid w:val="56A84BFE"/>
    <w:rsid w:val="56BF6DCB"/>
    <w:rsid w:val="56CB13AC"/>
    <w:rsid w:val="57253AF5"/>
    <w:rsid w:val="5728063B"/>
    <w:rsid w:val="57760A01"/>
    <w:rsid w:val="581C2585"/>
    <w:rsid w:val="58476129"/>
    <w:rsid w:val="589A00DE"/>
    <w:rsid w:val="58F92AE6"/>
    <w:rsid w:val="5A255CDA"/>
    <w:rsid w:val="5A372E53"/>
    <w:rsid w:val="5AD40B5C"/>
    <w:rsid w:val="5B595206"/>
    <w:rsid w:val="5C8271B2"/>
    <w:rsid w:val="5CEC53CD"/>
    <w:rsid w:val="5D6C63D2"/>
    <w:rsid w:val="5E1413A8"/>
    <w:rsid w:val="5E605C89"/>
    <w:rsid w:val="5E6463FD"/>
    <w:rsid w:val="5FD45321"/>
    <w:rsid w:val="60004997"/>
    <w:rsid w:val="606B4403"/>
    <w:rsid w:val="60A07D26"/>
    <w:rsid w:val="612D2131"/>
    <w:rsid w:val="61BB76C1"/>
    <w:rsid w:val="62685D90"/>
    <w:rsid w:val="632634FD"/>
    <w:rsid w:val="64F5167E"/>
    <w:rsid w:val="64FD1073"/>
    <w:rsid w:val="667F3C38"/>
    <w:rsid w:val="66EF082E"/>
    <w:rsid w:val="67431752"/>
    <w:rsid w:val="68D527D0"/>
    <w:rsid w:val="69B12712"/>
    <w:rsid w:val="69C97B6B"/>
    <w:rsid w:val="6B5F1643"/>
    <w:rsid w:val="6BB61F9F"/>
    <w:rsid w:val="6C170716"/>
    <w:rsid w:val="6CE536D5"/>
    <w:rsid w:val="6DA308EB"/>
    <w:rsid w:val="6E315BD0"/>
    <w:rsid w:val="6E5D1FA9"/>
    <w:rsid w:val="6EA15FB9"/>
    <w:rsid w:val="6F6462BB"/>
    <w:rsid w:val="700B2678"/>
    <w:rsid w:val="704B47B6"/>
    <w:rsid w:val="70BB7893"/>
    <w:rsid w:val="71595E56"/>
    <w:rsid w:val="727043BC"/>
    <w:rsid w:val="734819F2"/>
    <w:rsid w:val="73D414D7"/>
    <w:rsid w:val="755F5B5E"/>
    <w:rsid w:val="766B3AC3"/>
    <w:rsid w:val="767A18FE"/>
    <w:rsid w:val="76FD06A2"/>
    <w:rsid w:val="777E2C36"/>
    <w:rsid w:val="77890DA3"/>
    <w:rsid w:val="78FC1205"/>
    <w:rsid w:val="792E0435"/>
    <w:rsid w:val="796565C5"/>
    <w:rsid w:val="799C7D19"/>
    <w:rsid w:val="7A7A3F38"/>
    <w:rsid w:val="7AE91823"/>
    <w:rsid w:val="7B6607AE"/>
    <w:rsid w:val="7B854078"/>
    <w:rsid w:val="7C4C351C"/>
    <w:rsid w:val="7C763495"/>
    <w:rsid w:val="7CB27BC9"/>
    <w:rsid w:val="7CBB3723"/>
    <w:rsid w:val="7D455578"/>
    <w:rsid w:val="7E143E2F"/>
    <w:rsid w:val="7EA71A11"/>
    <w:rsid w:val="7FD4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qFormat/>
    <w:locked/>
    <w:uiPriority w:val="0"/>
    <w:pPr>
      <w:keepNext/>
      <w:keepLines/>
      <w:numPr>
        <w:ilvl w:val="2"/>
        <w:numId w:val="1"/>
      </w:numPr>
      <w:spacing w:before="160" w:after="160" w:line="398" w:lineRule="auto"/>
      <w:outlineLvl w:val="2"/>
    </w:pPr>
    <w:rPr>
      <w:rFonts w:ascii="Arial Narrow" w:hAnsi="Arial Narrow" w:eastAsia="楷体_GB2312"/>
      <w:b/>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0"/>
    <w:pPr>
      <w:spacing w:beforeLines="0" w:afterLines="0"/>
      <w:ind w:left="420" w:leftChars="200"/>
    </w:pPr>
    <w:rPr>
      <w:rFonts w:hint="eastAsia"/>
      <w:sz w:val="21"/>
      <w:szCs w:val="24"/>
    </w:rPr>
  </w:style>
  <w:style w:type="paragraph" w:styleId="5">
    <w:name w:val="Normal Indent"/>
    <w:basedOn w:val="1"/>
    <w:qFormat/>
    <w:uiPriority w:val="99"/>
    <w:pPr>
      <w:ind w:firstLine="420" w:firstLineChars="200"/>
    </w:pPr>
  </w:style>
  <w:style w:type="paragraph" w:styleId="6">
    <w:name w:val="Document Map"/>
    <w:basedOn w:val="1"/>
    <w:link w:val="34"/>
    <w:semiHidden/>
    <w:qFormat/>
    <w:uiPriority w:val="99"/>
    <w:pPr>
      <w:shd w:val="clear" w:color="auto" w:fill="000080"/>
    </w:pPr>
  </w:style>
  <w:style w:type="paragraph" w:styleId="7">
    <w:name w:val="toa heading"/>
    <w:basedOn w:val="1"/>
    <w:next w:val="1"/>
    <w:unhideWhenUsed/>
    <w:qFormat/>
    <w:uiPriority w:val="99"/>
    <w:pPr>
      <w:spacing w:before="120"/>
    </w:pPr>
    <w:rPr>
      <w:rFonts w:ascii="Arial" w:hAnsi="Arial"/>
      <w:sz w:val="24"/>
    </w:rPr>
  </w:style>
  <w:style w:type="paragraph" w:styleId="8">
    <w:name w:val="annotation text"/>
    <w:basedOn w:val="1"/>
    <w:link w:val="46"/>
    <w:qFormat/>
    <w:uiPriority w:val="0"/>
    <w:pPr>
      <w:jc w:val="left"/>
    </w:pPr>
    <w:rPr>
      <w:szCs w:val="20"/>
    </w:rPr>
  </w:style>
  <w:style w:type="paragraph" w:styleId="9">
    <w:name w:val="Body Text"/>
    <w:basedOn w:val="1"/>
    <w:link w:val="31"/>
    <w:qFormat/>
    <w:uiPriority w:val="99"/>
    <w:pPr>
      <w:spacing w:after="120"/>
    </w:pPr>
  </w:style>
  <w:style w:type="paragraph" w:styleId="10">
    <w:name w:val="Body Text Indent"/>
    <w:next w:val="11"/>
    <w:semiHidden/>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customStyle="1" w:styleId="11">
    <w:name w:val="正文表格"/>
    <w:qFormat/>
    <w:uiPriority w:val="0"/>
    <w:pPr>
      <w:widowControl w:val="0"/>
      <w:adjustRightInd w:val="0"/>
      <w:snapToGrid w:val="0"/>
      <w:ind w:firstLine="600" w:firstLineChars="200"/>
      <w:jc w:val="both"/>
    </w:pPr>
    <w:rPr>
      <w:rFonts w:ascii="Times New Roman" w:hAnsi="Times New Roman" w:eastAsia="仿宋_GB2312" w:cs="Times New Roman"/>
      <w:kern w:val="24"/>
      <w:sz w:val="21"/>
      <w:szCs w:val="24"/>
      <w:lang w:val="en-US" w:eastAsia="zh-CN" w:bidi="he-IL"/>
    </w:rPr>
  </w:style>
  <w:style w:type="paragraph" w:styleId="12">
    <w:name w:val="toc 3"/>
    <w:basedOn w:val="1"/>
    <w:next w:val="1"/>
    <w:qFormat/>
    <w:locked/>
    <w:uiPriority w:val="0"/>
    <w:pPr>
      <w:ind w:left="840" w:leftChars="400"/>
    </w:pPr>
  </w:style>
  <w:style w:type="paragraph" w:styleId="13">
    <w:name w:val="Plain Text"/>
    <w:basedOn w:val="1"/>
    <w:qFormat/>
    <w:uiPriority w:val="0"/>
    <w:pPr>
      <w:spacing w:line="480" w:lineRule="exact"/>
      <w:ind w:firstLine="570"/>
    </w:pPr>
    <w:rPr>
      <w:rFonts w:ascii="宋体" w:hAnsi="宋体" w:cs="Courier New"/>
      <w:sz w:val="30"/>
      <w:szCs w:val="21"/>
    </w:rPr>
  </w:style>
  <w:style w:type="paragraph" w:styleId="14">
    <w:name w:val="Date"/>
    <w:basedOn w:val="1"/>
    <w:next w:val="1"/>
    <w:link w:val="33"/>
    <w:unhideWhenUsed/>
    <w:qFormat/>
    <w:uiPriority w:val="99"/>
    <w:pPr>
      <w:ind w:left="100" w:leftChars="2500"/>
    </w:pPr>
  </w:style>
  <w:style w:type="paragraph" w:styleId="15">
    <w:name w:val="Balloon Text"/>
    <w:basedOn w:val="1"/>
    <w:link w:val="30"/>
    <w:qFormat/>
    <w:uiPriority w:val="99"/>
    <w:rPr>
      <w:sz w:val="18"/>
      <w:szCs w:val="18"/>
    </w:rPr>
  </w:style>
  <w:style w:type="paragraph" w:styleId="16">
    <w:name w:val="footer"/>
    <w:basedOn w:val="1"/>
    <w:link w:val="32"/>
    <w:qFormat/>
    <w:uiPriority w:val="99"/>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locked/>
    <w:uiPriority w:val="39"/>
  </w:style>
  <w:style w:type="paragraph" w:styleId="19">
    <w:name w:val="Subtitle"/>
    <w:basedOn w:val="1"/>
    <w:next w:val="1"/>
    <w:qFormat/>
    <w:locked/>
    <w:uiPriority w:val="11"/>
    <w:pPr>
      <w:numPr>
        <w:ilvl w:val="0"/>
        <w:numId w:val="2"/>
      </w:numPr>
      <w:spacing w:before="240" w:after="60" w:line="312" w:lineRule="auto"/>
      <w:ind w:firstLine="0"/>
      <w:jc w:val="center"/>
      <w:outlineLvl w:val="1"/>
    </w:pPr>
    <w:rPr>
      <w:rFonts w:ascii="Cambria" w:hAnsi="Cambria"/>
      <w:b/>
      <w:bCs/>
      <w:kern w:val="28"/>
      <w:sz w:val="32"/>
      <w:szCs w:val="32"/>
    </w:rPr>
  </w:style>
  <w:style w:type="paragraph" w:styleId="20">
    <w:name w:val="table of figures"/>
    <w:basedOn w:val="1"/>
    <w:next w:val="1"/>
    <w:semiHidden/>
    <w:unhideWhenUsed/>
    <w:qFormat/>
    <w:uiPriority w:val="99"/>
    <w:pPr>
      <w:ind w:leftChars="200" w:hanging="200" w:hangingChars="200"/>
    </w:pPr>
  </w:style>
  <w:style w:type="paragraph" w:styleId="21">
    <w:name w:val="toc 2"/>
    <w:basedOn w:val="1"/>
    <w:next w:val="1"/>
    <w:qFormat/>
    <w:locked/>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next w:val="1"/>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99"/>
    <w:rPr>
      <w:rFonts w:cs="Times New Roman"/>
    </w:rPr>
  </w:style>
  <w:style w:type="character" w:styleId="28">
    <w:name w:val="Hyperlink"/>
    <w:basedOn w:val="26"/>
    <w:qFormat/>
    <w:uiPriority w:val="99"/>
    <w:rPr>
      <w:rFonts w:cs="Times New Roman"/>
      <w:color w:val="0000FF"/>
      <w:u w:val="single"/>
    </w:rPr>
  </w:style>
  <w:style w:type="paragraph" w:customStyle="1" w:styleId="29">
    <w:name w:val="目录标题"/>
    <w:basedOn w:val="1"/>
    <w:qFormat/>
    <w:uiPriority w:val="0"/>
    <w:pPr>
      <w:numPr>
        <w:ilvl w:val="0"/>
        <w:numId w:val="3"/>
      </w:numPr>
      <w:snapToGrid w:val="0"/>
      <w:spacing w:line="460" w:lineRule="exact"/>
      <w:jc w:val="center"/>
    </w:pPr>
    <w:rPr>
      <w:rFonts w:hint="eastAsia" w:ascii="宋体" w:hAnsi="宋体"/>
      <w:b/>
      <w:color w:val="000000" w:themeColor="text1"/>
      <w:sz w:val="24"/>
    </w:rPr>
  </w:style>
  <w:style w:type="character" w:customStyle="1" w:styleId="30">
    <w:name w:val="批注框文本 字符"/>
    <w:basedOn w:val="26"/>
    <w:link w:val="15"/>
    <w:qFormat/>
    <w:locked/>
    <w:uiPriority w:val="99"/>
    <w:rPr>
      <w:rFonts w:cs="Times New Roman"/>
      <w:kern w:val="2"/>
      <w:sz w:val="18"/>
      <w:szCs w:val="18"/>
    </w:rPr>
  </w:style>
  <w:style w:type="character" w:customStyle="1" w:styleId="31">
    <w:name w:val="正文文本 字符"/>
    <w:basedOn w:val="26"/>
    <w:link w:val="9"/>
    <w:semiHidden/>
    <w:qFormat/>
    <w:locked/>
    <w:uiPriority w:val="99"/>
    <w:rPr>
      <w:rFonts w:cs="Times New Roman"/>
      <w:sz w:val="24"/>
      <w:szCs w:val="24"/>
    </w:rPr>
  </w:style>
  <w:style w:type="character" w:customStyle="1" w:styleId="32">
    <w:name w:val="页脚 字符"/>
    <w:basedOn w:val="26"/>
    <w:link w:val="16"/>
    <w:qFormat/>
    <w:locked/>
    <w:uiPriority w:val="99"/>
    <w:rPr>
      <w:rFonts w:cs="Times New Roman"/>
      <w:sz w:val="18"/>
      <w:szCs w:val="18"/>
    </w:rPr>
  </w:style>
  <w:style w:type="character" w:customStyle="1" w:styleId="33">
    <w:name w:val="日期 字符"/>
    <w:basedOn w:val="26"/>
    <w:link w:val="14"/>
    <w:semiHidden/>
    <w:qFormat/>
    <w:uiPriority w:val="99"/>
    <w:rPr>
      <w:kern w:val="2"/>
      <w:sz w:val="21"/>
      <w:szCs w:val="24"/>
    </w:rPr>
  </w:style>
  <w:style w:type="character" w:customStyle="1" w:styleId="34">
    <w:name w:val="文档结构图 字符"/>
    <w:basedOn w:val="26"/>
    <w:link w:val="6"/>
    <w:semiHidden/>
    <w:qFormat/>
    <w:locked/>
    <w:uiPriority w:val="99"/>
    <w:rPr>
      <w:rFonts w:cs="Times New Roman"/>
      <w:sz w:val="2"/>
    </w:rPr>
  </w:style>
  <w:style w:type="character" w:customStyle="1" w:styleId="35">
    <w:name w:val="页眉 字符"/>
    <w:basedOn w:val="26"/>
    <w:link w:val="17"/>
    <w:qFormat/>
    <w:locked/>
    <w:uiPriority w:val="0"/>
    <w:rPr>
      <w:rFonts w:cs="Times New Roman"/>
      <w:kern w:val="2"/>
      <w:sz w:val="18"/>
      <w:szCs w:val="18"/>
    </w:rPr>
  </w:style>
  <w:style w:type="paragraph" w:customStyle="1" w:styleId="36">
    <w:name w:val="Char"/>
    <w:basedOn w:val="6"/>
    <w:qFormat/>
    <w:uiPriority w:val="99"/>
    <w:pPr>
      <w:adjustRightInd w:val="0"/>
      <w:spacing w:line="436" w:lineRule="exact"/>
      <w:ind w:left="357"/>
      <w:jc w:val="left"/>
      <w:outlineLvl w:val="3"/>
    </w:pPr>
    <w:rPr>
      <w:szCs w:val="20"/>
    </w:rPr>
  </w:style>
  <w:style w:type="paragraph" w:customStyle="1" w:styleId="37">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38">
    <w:name w:val="样式 正文（首行缩进两字） + 段后: 0.5 行"/>
    <w:basedOn w:val="5"/>
    <w:qFormat/>
    <w:uiPriority w:val="99"/>
    <w:pPr>
      <w:tabs>
        <w:tab w:val="left" w:pos="-858"/>
      </w:tabs>
      <w:spacing w:before="120" w:after="120"/>
      <w:ind w:firstLine="5" w:firstLineChars="2"/>
      <w:jc w:val="center"/>
      <w:outlineLvl w:val="0"/>
    </w:pPr>
    <w:rPr>
      <w:rFonts w:ascii="宋体" w:hAnsi="宋体"/>
      <w:color w:val="000000"/>
      <w:spacing w:val="8"/>
      <w:kern w:val="10"/>
      <w:sz w:val="28"/>
      <w:szCs w:val="20"/>
    </w:rPr>
  </w:style>
  <w:style w:type="paragraph" w:customStyle="1" w:styleId="39">
    <w:name w:val="条"/>
    <w:basedOn w:val="9"/>
    <w:qFormat/>
    <w:uiPriority w:val="99"/>
    <w:pPr>
      <w:numPr>
        <w:ilvl w:val="0"/>
        <w:numId w:val="4"/>
      </w:numPr>
      <w:spacing w:after="0" w:line="360" w:lineRule="auto"/>
      <w:jc w:val="left"/>
    </w:pPr>
    <w:rPr>
      <w:rFonts w:eastAsia="仿宋_GB2312"/>
      <w:sz w:val="32"/>
      <w:szCs w:val="32"/>
    </w:rPr>
  </w:style>
  <w:style w:type="paragraph" w:customStyle="1" w:styleId="40">
    <w:name w:val="一二级章节标题"/>
    <w:basedOn w:val="1"/>
    <w:qFormat/>
    <w:uiPriority w:val="0"/>
    <w:pPr>
      <w:adjustRightInd w:val="0"/>
      <w:snapToGrid w:val="0"/>
      <w:jc w:val="left"/>
      <w:textAlignment w:val="baseline"/>
      <w:outlineLvl w:val="1"/>
    </w:pPr>
    <w:rPr>
      <w:rFonts w:ascii="宋体" w:hAnsi="宋体" w:cs="Arial"/>
      <w:b/>
      <w:kern w:val="0"/>
      <w:sz w:val="24"/>
    </w:rPr>
  </w:style>
  <w:style w:type="paragraph" w:customStyle="1" w:styleId="41">
    <w:name w:val="Char1"/>
    <w:basedOn w:val="1"/>
    <w:qFormat/>
    <w:uiPriority w:val="99"/>
    <w:rPr>
      <w:szCs w:val="21"/>
    </w:rPr>
  </w:style>
  <w:style w:type="paragraph" w:customStyle="1" w:styleId="42">
    <w:name w:val="正文文档"/>
    <w:basedOn w:val="1"/>
    <w:qFormat/>
    <w:uiPriority w:val="0"/>
    <w:pPr>
      <w:numPr>
        <w:ilvl w:val="2"/>
        <w:numId w:val="5"/>
      </w:numPr>
      <w:tabs>
        <w:tab w:val="left" w:pos="720"/>
      </w:tabs>
      <w:snapToGrid w:val="0"/>
      <w:spacing w:line="360" w:lineRule="auto"/>
      <w:ind w:firstLine="360"/>
    </w:pPr>
    <w:rPr>
      <w:rFonts w:ascii="宋体" w:hAnsi="宋体"/>
      <w:color w:val="000000"/>
      <w:sz w:val="24"/>
    </w:rPr>
  </w:style>
  <w:style w:type="paragraph" w:styleId="43">
    <w:name w:val="List Paragraph"/>
    <w:basedOn w:val="1"/>
    <w:qFormat/>
    <w:uiPriority w:val="99"/>
    <w:pPr>
      <w:ind w:firstLine="420" w:firstLineChars="200"/>
    </w:pPr>
  </w:style>
  <w:style w:type="paragraph" w:customStyle="1" w:styleId="44">
    <w:name w:val="WPSOffice手动目录 1"/>
    <w:qFormat/>
    <w:uiPriority w:val="0"/>
    <w:rPr>
      <w:rFonts w:ascii="Calibri" w:hAnsi="Calibri" w:eastAsia="宋体" w:cs="Times New Roman"/>
      <w:lang w:val="en-US" w:eastAsia="zh-CN" w:bidi="ar-SA"/>
    </w:rPr>
  </w:style>
  <w:style w:type="paragraph" w:customStyle="1" w:styleId="45">
    <w:name w:val="WPSOffice手动目录 2"/>
    <w:qFormat/>
    <w:uiPriority w:val="0"/>
    <w:pPr>
      <w:ind w:left="200" w:leftChars="200"/>
    </w:pPr>
    <w:rPr>
      <w:rFonts w:ascii="Calibri" w:hAnsi="Calibri" w:eastAsia="宋体" w:cs="Times New Roman"/>
      <w:lang w:val="en-US" w:eastAsia="zh-CN" w:bidi="ar-SA"/>
    </w:rPr>
  </w:style>
  <w:style w:type="character" w:customStyle="1" w:styleId="46">
    <w:name w:val="批注文字 字符"/>
    <w:basedOn w:val="26"/>
    <w:link w:val="8"/>
    <w:qFormat/>
    <w:uiPriority w:val="0"/>
    <w:rPr>
      <w:kern w:val="2"/>
      <w:sz w:val="21"/>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CCCCLTD</Company>
  <Pages>18</Pages>
  <Words>3357</Words>
  <Characters>3420</Characters>
  <Lines>144</Lines>
  <Paragraphs>40</Paragraphs>
  <TotalTime>12</TotalTime>
  <ScaleCrop>false</ScaleCrop>
  <LinksUpToDate>false</LinksUpToDate>
  <CharactersWithSpaces>4285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2019-01-16T08:28:00Z</dcterms:created>
  <dc:creator>chec</dc:creator>
  <cp:lastModifiedBy>YWD</cp:lastModifiedBy>
  <cp:lastPrinted>2018-04-09T06:54:00Z</cp:lastPrinted>
  <dcterms:modified xsi:type="dcterms:W3CDTF">2025-07-28T06:19:11Z</dcterms:modified>
  <dc:title>附件9</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AE80F1C7DAD344C6A11322C8DD6A6D3A_12</vt:lpwstr>
  </property>
  <property fmtid="{D5CDD505-2E9C-101B-9397-08002B2CF9AE}" pid="4" name="KSOTemplateDocerSaveRecord">
    <vt:lpwstr>eyJoZGlkIjoiZTdmMGVhYmQwNjYyYjQ5YzFkM2E4NTU2ZDU1NWQzYjYiLCJ1c2VySWQiOiIxOTA0ODYwODcifQ==</vt:lpwstr>
  </property>
</Properties>
</file>