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360" w:lineRule="auto"/>
        <w:ind w:right="-58"/>
        <w:jc w:val="right"/>
        <w:rPr>
          <w:rFonts w:hint="default" w:ascii="方正小标宋_GBK" w:eastAsia="方正小标宋_GBK"/>
          <w:color w:val="000000"/>
          <w:sz w:val="30"/>
          <w:szCs w:val="30"/>
          <w:highlight w:val="none"/>
        </w:rPr>
      </w:pPr>
      <w:bookmarkStart w:id="220" w:name="_GoBack"/>
      <w:bookmarkEnd w:id="220"/>
      <w:r>
        <w:rPr>
          <w:rFonts w:hint="eastAsia" w:ascii="方正小标宋_GBK" w:eastAsia="方正小标宋_GBK"/>
          <w:color w:val="000000"/>
          <w:sz w:val="30"/>
          <w:szCs w:val="30"/>
          <w:highlight w:val="none"/>
        </w:rPr>
        <w:t>范本编号：SGCC-01-HWGK(202</w:t>
      </w:r>
      <w:r>
        <w:rPr>
          <w:rFonts w:hint="eastAsia" w:ascii="方正小标宋_GBK" w:eastAsia="方正小标宋_GBK"/>
          <w:color w:val="000000"/>
          <w:sz w:val="30"/>
          <w:szCs w:val="30"/>
          <w:highlight w:val="none"/>
          <w:shd w:val="clear"/>
          <w:lang w:val="en-US" w:eastAsia="zh-CN"/>
        </w:rPr>
        <w:t>5</w:t>
      </w:r>
      <w:r>
        <w:rPr>
          <w:rFonts w:hint="eastAsia" w:ascii="方正小标宋_GBK" w:eastAsia="方正小标宋_GBK"/>
          <w:color w:val="000000"/>
          <w:sz w:val="30"/>
          <w:szCs w:val="30"/>
          <w:highlight w:val="none"/>
        </w:rPr>
        <w:t>)</w:t>
      </w:r>
    </w:p>
    <w:p>
      <w:pPr>
        <w:spacing w:beforeLines="0" w:afterLines="0" w:line="360" w:lineRule="auto"/>
        <w:ind w:right="-58"/>
        <w:jc w:val="right"/>
        <w:rPr>
          <w:rFonts w:hint="default" w:ascii="方正小标宋_GBK" w:eastAsia="方正小标宋_GBK"/>
          <w:color w:val="000000"/>
          <w:sz w:val="30"/>
          <w:szCs w:val="30"/>
          <w:highlight w:val="none"/>
        </w:rPr>
      </w:pPr>
    </w:p>
    <w:p>
      <w:pPr>
        <w:spacing w:beforeLines="0" w:afterLines="0" w:line="360" w:lineRule="auto"/>
        <w:ind w:right="-58"/>
        <w:jc w:val="right"/>
        <w:rPr>
          <w:rFonts w:hint="default" w:ascii="方正小标宋_GBK" w:eastAsia="方正小标宋_GBK"/>
          <w:color w:val="000000"/>
          <w:sz w:val="30"/>
          <w:szCs w:val="30"/>
          <w:highlight w:val="none"/>
        </w:rPr>
      </w:pPr>
    </w:p>
    <w:p>
      <w:pPr>
        <w:spacing w:beforeLines="0" w:afterLines="0" w:line="360" w:lineRule="auto"/>
        <w:ind w:right="-58"/>
        <w:jc w:val="right"/>
        <w:rPr>
          <w:rFonts w:hint="default" w:ascii="方正小标宋_GBK" w:eastAsia="方正小标宋_GBK"/>
          <w:color w:val="000000"/>
          <w:sz w:val="30"/>
          <w:szCs w:val="30"/>
          <w:highlight w:val="none"/>
        </w:rPr>
      </w:pPr>
    </w:p>
    <w:p>
      <w:pPr>
        <w:snapToGrid w:val="0"/>
        <w:spacing w:beforeLines="0" w:afterLines="0" w:line="800" w:lineRule="exact"/>
        <w:jc w:val="center"/>
        <w:rPr>
          <w:rFonts w:hint="default" w:ascii="方正小标宋_GBK" w:eastAsia="方正小标宋_GBK"/>
          <w:b/>
          <w:color w:val="000000"/>
          <w:sz w:val="44"/>
          <w:szCs w:val="44"/>
          <w:highlight w:val="none"/>
        </w:rPr>
      </w:pPr>
      <w:r>
        <w:rPr>
          <w:rFonts w:hint="eastAsia" w:ascii="方正小标宋_GBK" w:eastAsia="方正小标宋_GBK"/>
          <w:b/>
          <w:color w:val="000000"/>
          <w:sz w:val="44"/>
          <w:szCs w:val="44"/>
          <w:highlight w:val="none"/>
        </w:rPr>
        <w:t>国家电网有限公司采购文件范本</w:t>
      </w:r>
    </w:p>
    <w:p>
      <w:pPr>
        <w:snapToGrid w:val="0"/>
        <w:spacing w:beforeLines="0" w:afterLines="0" w:line="800" w:lineRule="exact"/>
        <w:jc w:val="center"/>
        <w:rPr>
          <w:rFonts w:hint="default" w:ascii="方正小标宋_GBK" w:eastAsia="方正小标宋_GBK"/>
          <w:b/>
          <w:color w:val="000000"/>
          <w:sz w:val="44"/>
          <w:szCs w:val="44"/>
          <w:highlight w:val="none"/>
        </w:rPr>
      </w:pPr>
      <w:r>
        <w:rPr>
          <w:rFonts w:hint="eastAsia" w:ascii="方正小标宋_GBK" w:eastAsia="方正小标宋_GBK"/>
          <w:b/>
          <w:color w:val="000000"/>
          <w:sz w:val="44"/>
          <w:szCs w:val="44"/>
          <w:highlight w:val="none"/>
        </w:rPr>
        <w:t>货物公开招标分册</w:t>
      </w:r>
    </w:p>
    <w:p>
      <w:pPr>
        <w:snapToGrid w:val="0"/>
        <w:spacing w:beforeLines="0" w:afterLines="0" w:line="800" w:lineRule="exact"/>
        <w:jc w:val="center"/>
        <w:rPr>
          <w:rFonts w:hint="default" w:ascii="方正小标宋_GBK" w:eastAsia="方正小标宋_GBK"/>
          <w:b/>
          <w:color w:val="000000"/>
          <w:sz w:val="44"/>
          <w:szCs w:val="44"/>
          <w:highlight w:val="none"/>
        </w:rPr>
      </w:pPr>
      <w:r>
        <w:rPr>
          <w:rFonts w:hint="eastAsia" w:ascii="方正小标宋_GBK" w:eastAsia="方正小标宋_GBK"/>
          <w:b/>
          <w:color w:val="000000"/>
          <w:sz w:val="44"/>
          <w:szCs w:val="44"/>
          <w:highlight w:val="none"/>
        </w:rPr>
        <w:t>（202</w:t>
      </w:r>
      <w:r>
        <w:rPr>
          <w:rFonts w:hint="eastAsia" w:ascii="方正小标宋_GBK" w:eastAsia="方正小标宋_GBK"/>
          <w:b/>
          <w:color w:val="000000"/>
          <w:sz w:val="44"/>
          <w:szCs w:val="44"/>
          <w:highlight w:val="none"/>
          <w:lang w:val="en-US" w:eastAsia="zh-CN"/>
        </w:rPr>
        <w:t>5</w:t>
      </w:r>
      <w:r>
        <w:rPr>
          <w:rFonts w:hint="eastAsia" w:ascii="方正小标宋_GBK" w:eastAsia="方正小标宋_GBK"/>
          <w:b/>
          <w:color w:val="000000"/>
          <w:sz w:val="44"/>
          <w:szCs w:val="44"/>
          <w:highlight w:val="none"/>
        </w:rPr>
        <w:t>年版）</w:t>
      </w:r>
    </w:p>
    <w:p>
      <w:pPr>
        <w:snapToGrid w:val="0"/>
        <w:spacing w:beforeLines="0" w:afterLines="0" w:line="700" w:lineRule="exact"/>
        <w:jc w:val="center"/>
        <w:rPr>
          <w:rFonts w:hint="default" w:ascii="方正小标宋_GBK" w:eastAsia="方正小标宋_GBK"/>
          <w:b/>
          <w:color w:val="000000"/>
          <w:sz w:val="44"/>
          <w:szCs w:val="44"/>
          <w:highlight w:val="none"/>
        </w:rPr>
      </w:pPr>
    </w:p>
    <w:p>
      <w:pPr>
        <w:snapToGrid w:val="0"/>
        <w:spacing w:beforeLines="0" w:afterLines="0" w:line="700" w:lineRule="exact"/>
        <w:jc w:val="center"/>
        <w:rPr>
          <w:rFonts w:hint="default" w:ascii="方正小标宋_GBK" w:eastAsia="方正小标宋_GBK"/>
          <w:b/>
          <w:color w:val="000000"/>
          <w:sz w:val="44"/>
          <w:szCs w:val="44"/>
          <w:highlight w:val="none"/>
        </w:rPr>
      </w:pPr>
    </w:p>
    <w:p>
      <w:pPr>
        <w:snapToGrid w:val="0"/>
        <w:spacing w:beforeLines="0" w:afterLines="0" w:line="360" w:lineRule="auto"/>
        <w:ind w:left="1642"/>
        <w:rPr>
          <w:rFonts w:hint="default" w:ascii="方正小标宋_GBK" w:eastAsia="方正小标宋_GBK"/>
          <w:b/>
          <w:color w:val="000000"/>
          <w:sz w:val="32"/>
          <w:szCs w:val="32"/>
          <w:highlight w:val="none"/>
        </w:rPr>
      </w:pPr>
    </w:p>
    <w:p>
      <w:pPr>
        <w:snapToGrid w:val="0"/>
        <w:spacing w:beforeLines="0" w:afterLines="0" w:line="360" w:lineRule="auto"/>
        <w:ind w:left="1642"/>
        <w:rPr>
          <w:rFonts w:hint="default" w:ascii="方正小标宋_GBK" w:eastAsia="方正小标宋_GBK"/>
          <w:b/>
          <w:color w:val="000000"/>
          <w:sz w:val="32"/>
          <w:szCs w:val="32"/>
          <w:highlight w:val="none"/>
        </w:rPr>
      </w:pPr>
    </w:p>
    <w:p>
      <w:pPr>
        <w:snapToGrid w:val="0"/>
        <w:spacing w:beforeLines="0" w:afterLines="0" w:line="360" w:lineRule="auto"/>
        <w:ind w:left="924"/>
        <w:rPr>
          <w:rFonts w:hint="default" w:ascii="方正小标宋_GBK" w:eastAsia="方正小标宋_GBK"/>
          <w:b/>
          <w:color w:val="000000"/>
          <w:sz w:val="18"/>
          <w:szCs w:val="32"/>
          <w:highlight w:val="none"/>
        </w:rPr>
      </w:pPr>
    </w:p>
    <w:p>
      <w:pPr>
        <w:adjustRightInd w:val="0"/>
        <w:snapToGrid w:val="0"/>
        <w:spacing w:beforeLines="0" w:afterLines="0" w:line="360" w:lineRule="auto"/>
        <w:jc w:val="center"/>
        <w:rPr>
          <w:rFonts w:hint="default" w:ascii="黑体" w:eastAsia="黑体"/>
          <w:color w:val="000000"/>
          <w:sz w:val="30"/>
          <w:szCs w:val="32"/>
          <w:highlight w:val="none"/>
        </w:rPr>
      </w:pPr>
      <w:r>
        <w:rPr>
          <w:rFonts w:hint="eastAsia" w:ascii="黑体" w:eastAsia="黑体"/>
          <w:color w:val="000000"/>
          <w:sz w:val="30"/>
          <w:szCs w:val="32"/>
          <w:highlight w:val="none"/>
        </w:rPr>
        <w:t>国家电网有限公司</w:t>
      </w:r>
    </w:p>
    <w:p>
      <w:pPr>
        <w:spacing w:beforeLines="0" w:afterLines="0"/>
        <w:jc w:val="center"/>
        <w:rPr>
          <w:rFonts w:hint="eastAsia" w:ascii="黑体" w:eastAsia="黑体"/>
          <w:color w:val="000000"/>
          <w:sz w:val="30"/>
          <w:szCs w:val="32"/>
          <w:highlight w:val="none"/>
        </w:rPr>
      </w:pPr>
      <w:r>
        <w:rPr>
          <w:rFonts w:hint="eastAsia" w:ascii="黑体" w:eastAsia="黑体"/>
          <w:color w:val="000000"/>
          <w:sz w:val="30"/>
          <w:szCs w:val="32"/>
          <w:highlight w:val="none"/>
        </w:rPr>
        <w:t>二〇二</w:t>
      </w:r>
      <w:r>
        <w:rPr>
          <w:rFonts w:hint="eastAsia" w:ascii="黑体" w:eastAsia="黑体"/>
          <w:color w:val="000000"/>
          <w:sz w:val="30"/>
          <w:szCs w:val="32"/>
          <w:highlight w:val="none"/>
          <w:lang w:val="en-US" w:eastAsia="zh-CN"/>
        </w:rPr>
        <w:t>五</w:t>
      </w:r>
      <w:r>
        <w:rPr>
          <w:rFonts w:hint="eastAsia" w:ascii="黑体" w:eastAsia="黑体"/>
          <w:color w:val="000000"/>
          <w:sz w:val="30"/>
          <w:szCs w:val="32"/>
          <w:highlight w:val="none"/>
        </w:rPr>
        <w:t>年</w:t>
      </w:r>
    </w:p>
    <w:p>
      <w:pPr>
        <w:rPr>
          <w:rFonts w:hint="eastAsia" w:ascii="黑体" w:eastAsia="黑体"/>
          <w:color w:val="000000"/>
          <w:sz w:val="30"/>
          <w:szCs w:val="32"/>
          <w:highlight w:val="none"/>
        </w:rPr>
      </w:pPr>
      <w:r>
        <w:rPr>
          <w:rFonts w:hint="eastAsia" w:ascii="黑体" w:eastAsia="黑体"/>
          <w:color w:val="000000"/>
          <w:sz w:val="30"/>
          <w:szCs w:val="32"/>
          <w:highlight w:val="none"/>
        </w:rPr>
        <w:br w:type="page"/>
      </w:r>
    </w:p>
    <w:p>
      <w:pPr>
        <w:jc w:val="center"/>
        <w:rPr>
          <w:rFonts w:hint="default" w:ascii="黑体" w:eastAsia="黑体"/>
          <w:b/>
          <w:color w:val="000000"/>
          <w:sz w:val="44"/>
          <w:szCs w:val="44"/>
          <w:highlight w:val="none"/>
        </w:rPr>
      </w:pPr>
      <w:r>
        <w:rPr>
          <w:rFonts w:hint="eastAsia" w:ascii="黑体" w:eastAsia="黑体"/>
          <w:b/>
          <w:color w:val="000000"/>
          <w:sz w:val="44"/>
          <w:szCs w:val="44"/>
          <w:highlight w:val="none"/>
        </w:rPr>
        <w:t>目  录</w:t>
      </w:r>
    </w:p>
    <w:p>
      <w:pPr>
        <w:adjustRightInd w:val="0"/>
        <w:spacing w:beforeLines="0" w:afterLines="0" w:line="360" w:lineRule="auto"/>
        <w:ind w:firstLine="880"/>
        <w:jc w:val="center"/>
        <w:rPr>
          <w:rFonts w:hint="default" w:ascii="黑体" w:eastAsia="黑体"/>
          <w:color w:val="000000"/>
          <w:sz w:val="44"/>
          <w:szCs w:val="22"/>
          <w:highlight w:val="none"/>
        </w:rPr>
      </w:pPr>
    </w:p>
    <w:p>
      <w:pPr>
        <w:pStyle w:val="19"/>
        <w:adjustRightInd w:val="0"/>
        <w:spacing w:beforeLines="0" w:afterLines="0" w:line="360" w:lineRule="auto"/>
        <w:ind w:left="420" w:leftChars="200" w:firstLine="0"/>
        <w:rPr>
          <w:rFonts w:hint="default" w:ascii="黑体" w:eastAsia="黑体"/>
          <w:color w:val="000000"/>
          <w:sz w:val="36"/>
          <w:szCs w:val="36"/>
          <w:highlight w:val="none"/>
        </w:rPr>
      </w:pPr>
      <w:r>
        <w:rPr>
          <w:rFonts w:hint="eastAsia" w:ascii="黑体" w:eastAsia="黑体"/>
          <w:color w:val="000000"/>
          <w:sz w:val="36"/>
          <w:szCs w:val="36"/>
          <w:highlight w:val="none"/>
        </w:rPr>
        <w:t>第一章  招标公告</w:t>
      </w:r>
    </w:p>
    <w:p>
      <w:pPr>
        <w:pStyle w:val="19"/>
        <w:adjustRightInd w:val="0"/>
        <w:spacing w:beforeLines="0" w:afterLines="0" w:line="360" w:lineRule="auto"/>
        <w:ind w:left="420" w:leftChars="200" w:firstLine="0"/>
        <w:rPr>
          <w:rFonts w:hint="default" w:ascii="黑体" w:eastAsia="黑体"/>
          <w:color w:val="000000"/>
          <w:sz w:val="36"/>
          <w:szCs w:val="36"/>
          <w:highlight w:val="none"/>
        </w:rPr>
      </w:pPr>
      <w:r>
        <w:rPr>
          <w:rFonts w:hint="eastAsia" w:ascii="黑体" w:eastAsia="黑体"/>
          <w:color w:val="000000"/>
          <w:sz w:val="36"/>
          <w:szCs w:val="36"/>
          <w:highlight w:val="none"/>
        </w:rPr>
        <w:t>第二章  投标人须知</w:t>
      </w:r>
    </w:p>
    <w:p>
      <w:pPr>
        <w:pStyle w:val="19"/>
        <w:adjustRightInd w:val="0"/>
        <w:spacing w:beforeLines="0" w:afterLines="0" w:line="360" w:lineRule="auto"/>
        <w:ind w:left="420" w:leftChars="200" w:firstLine="0"/>
        <w:rPr>
          <w:rFonts w:hint="default" w:ascii="黑体" w:eastAsia="黑体"/>
          <w:color w:val="000000"/>
          <w:sz w:val="36"/>
          <w:szCs w:val="36"/>
          <w:highlight w:val="none"/>
        </w:rPr>
      </w:pPr>
      <w:r>
        <w:rPr>
          <w:rFonts w:hint="eastAsia" w:ascii="黑体" w:eastAsia="黑体"/>
          <w:color w:val="000000"/>
          <w:sz w:val="36"/>
          <w:szCs w:val="36"/>
          <w:highlight w:val="none"/>
        </w:rPr>
        <w:t>第三章  评标办法（综合评估法）</w:t>
      </w:r>
    </w:p>
    <w:p>
      <w:pPr>
        <w:pStyle w:val="19"/>
        <w:adjustRightInd w:val="0"/>
        <w:spacing w:beforeLines="0" w:afterLines="0" w:line="360" w:lineRule="auto"/>
        <w:ind w:left="420" w:leftChars="200" w:firstLine="0"/>
        <w:rPr>
          <w:rFonts w:hint="default" w:ascii="黑体" w:eastAsia="黑体"/>
          <w:color w:val="000000"/>
          <w:sz w:val="36"/>
          <w:szCs w:val="36"/>
          <w:highlight w:val="none"/>
        </w:rPr>
      </w:pPr>
      <w:r>
        <w:rPr>
          <w:rFonts w:hint="eastAsia" w:ascii="黑体" w:eastAsia="黑体"/>
          <w:color w:val="000000"/>
          <w:sz w:val="36"/>
          <w:szCs w:val="36"/>
          <w:highlight w:val="none"/>
        </w:rPr>
        <w:t>第四章  合同条款及格式</w:t>
      </w:r>
    </w:p>
    <w:p>
      <w:pPr>
        <w:pStyle w:val="19"/>
        <w:adjustRightInd w:val="0"/>
        <w:spacing w:beforeLines="0" w:afterLines="0" w:line="360" w:lineRule="auto"/>
        <w:ind w:left="420" w:leftChars="200" w:firstLine="0"/>
        <w:rPr>
          <w:rFonts w:hint="default" w:ascii="黑体" w:eastAsia="黑体"/>
          <w:color w:val="000000"/>
          <w:sz w:val="36"/>
          <w:szCs w:val="36"/>
          <w:highlight w:val="none"/>
        </w:rPr>
      </w:pPr>
      <w:r>
        <w:rPr>
          <w:rFonts w:hint="eastAsia" w:ascii="黑体" w:eastAsia="黑体"/>
          <w:color w:val="000000"/>
          <w:sz w:val="36"/>
          <w:szCs w:val="36"/>
          <w:highlight w:val="none"/>
        </w:rPr>
        <w:t>第五章  供货要求</w:t>
      </w:r>
    </w:p>
    <w:p>
      <w:pPr>
        <w:pStyle w:val="19"/>
        <w:adjustRightInd w:val="0"/>
        <w:spacing w:beforeLines="0" w:afterLines="0" w:line="360" w:lineRule="auto"/>
        <w:ind w:left="420" w:leftChars="200" w:firstLine="0"/>
        <w:rPr>
          <w:rFonts w:hint="default" w:ascii="黑体" w:eastAsia="黑体"/>
          <w:color w:val="000000"/>
          <w:sz w:val="36"/>
          <w:szCs w:val="36"/>
          <w:highlight w:val="none"/>
        </w:rPr>
      </w:pPr>
      <w:r>
        <w:rPr>
          <w:rFonts w:hint="eastAsia" w:ascii="黑体" w:eastAsia="黑体"/>
          <w:color w:val="000000"/>
          <w:sz w:val="36"/>
          <w:szCs w:val="36"/>
          <w:highlight w:val="none"/>
        </w:rPr>
        <w:t>第六章  投标文件格式</w:t>
      </w:r>
    </w:p>
    <w:p>
      <w:pPr>
        <w:pStyle w:val="8"/>
        <w:spacing w:beforeLines="0" w:afterLines="0"/>
        <w:rPr>
          <w:rFonts w:hint="default"/>
          <w:sz w:val="18"/>
          <w:szCs w:val="18"/>
          <w:highlight w:val="none"/>
        </w:rPr>
        <w:sectPr>
          <w:pgSz w:w="11850" w:h="16783"/>
          <w:pgMar w:top="1134" w:right="1800" w:bottom="1134" w:left="1800" w:header="0" w:footer="841" w:gutter="0"/>
          <w:pgNumType w:start="0"/>
          <w:cols w:space="720" w:num="1"/>
          <w:titlePg/>
          <w:docGrid w:linePitch="286" w:charSpace="0"/>
        </w:sectPr>
      </w:pPr>
    </w:p>
    <w:p>
      <w:pPr>
        <w:autoSpaceDE w:val="0"/>
        <w:autoSpaceDN w:val="0"/>
        <w:adjustRightInd w:val="0"/>
        <w:snapToGrid w:val="0"/>
        <w:spacing w:before="120" w:beforeLines="50" w:after="120" w:afterLines="50"/>
        <w:jc w:val="center"/>
        <w:outlineLvl w:val="0"/>
        <w:rPr>
          <w:rFonts w:hint="default" w:ascii="黑体" w:eastAsia="黑体"/>
          <w:b/>
          <w:kern w:val="0"/>
          <w:sz w:val="28"/>
          <w:szCs w:val="28"/>
          <w:highlight w:val="none"/>
          <w:lang w:val="zh-CN"/>
        </w:rPr>
      </w:pPr>
      <w:bookmarkStart w:id="0" w:name="_Toc5006"/>
      <w:bookmarkStart w:id="1" w:name="_Toc26598"/>
      <w:bookmarkStart w:id="2" w:name="_Toc32260"/>
      <w:bookmarkStart w:id="3" w:name="_Toc19963"/>
      <w:bookmarkStart w:id="4" w:name="_Toc32701"/>
      <w:bookmarkStart w:id="5" w:name="_Toc15573"/>
      <w:bookmarkStart w:id="6" w:name="_Toc8652"/>
      <w:bookmarkStart w:id="7" w:name="_Toc12620"/>
      <w:bookmarkStart w:id="8" w:name="_Toc62222570"/>
      <w:bookmarkStart w:id="9" w:name="_Toc23777"/>
      <w:bookmarkStart w:id="10" w:name="_Toc28787"/>
      <w:bookmarkStart w:id="11" w:name="_Toc62222022"/>
      <w:bookmarkStart w:id="12" w:name="_Toc20279"/>
      <w:bookmarkStart w:id="13" w:name="_Toc62221754"/>
      <w:bookmarkStart w:id="14" w:name="_Toc17013"/>
      <w:bookmarkStart w:id="15" w:name="_Toc62549185"/>
      <w:bookmarkStart w:id="16" w:name="_Toc22762"/>
      <w:bookmarkStart w:id="17" w:name="_Toc21826"/>
      <w:bookmarkStart w:id="18" w:name="_Toc8055"/>
      <w:bookmarkStart w:id="19" w:name="_Toc15978"/>
      <w:bookmarkStart w:id="20" w:name="_Toc20072"/>
      <w:bookmarkStart w:id="21" w:name="_Toc9154"/>
      <w:bookmarkStart w:id="22" w:name="_Toc62549129"/>
      <w:bookmarkStart w:id="23" w:name="_Toc14356"/>
      <w:bookmarkStart w:id="24" w:name="_Toc21360"/>
      <w:bookmarkStart w:id="25" w:name="_Toc9755"/>
      <w:bookmarkStart w:id="26" w:name="_Toc62221463"/>
      <w:r>
        <w:rPr>
          <w:rFonts w:hint="eastAsia" w:ascii="黑体" w:eastAsia="黑体"/>
          <w:b/>
          <w:kern w:val="0"/>
          <w:sz w:val="28"/>
          <w:szCs w:val="28"/>
          <w:highlight w:val="none"/>
          <w:lang w:val="zh-CN"/>
        </w:rPr>
        <w:t>第一章 招标公告</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adjustRightInd w:val="0"/>
        <w:snapToGrid w:val="0"/>
        <w:spacing w:beforeLines="0" w:afterLines="0"/>
        <w:jc w:val="center"/>
        <w:rPr>
          <w:rFonts w:hint="default" w:ascii="黑体" w:eastAsia="黑体"/>
          <w:b/>
          <w:color w:val="000000"/>
          <w:sz w:val="28"/>
          <w:szCs w:val="28"/>
          <w:highlight w:val="none"/>
        </w:rPr>
      </w:pPr>
    </w:p>
    <w:p>
      <w:pPr>
        <w:spacing w:beforeLines="0" w:afterLines="0"/>
        <w:jc w:val="center"/>
        <w:rPr>
          <w:rFonts w:hint="default" w:ascii="黑体" w:hAnsi="黑体" w:eastAsia="黑体"/>
          <w:color w:val="auto"/>
          <w:sz w:val="28"/>
          <w:szCs w:val="28"/>
          <w:highlight w:val="none"/>
        </w:rPr>
      </w:pPr>
      <w:r>
        <w:rPr>
          <w:rFonts w:hint="eastAsia" w:ascii="黑体" w:eastAsia="黑体"/>
          <w:color w:val="auto"/>
          <w:sz w:val="28"/>
          <w:szCs w:val="28"/>
          <w:highlight w:val="none"/>
          <w:lang w:val="en-US" w:eastAsia="zh-CN"/>
        </w:rPr>
        <w:t>国网安徽电力2025年原集体企业第四次物资公开招标采购（四）</w:t>
      </w:r>
    </w:p>
    <w:p>
      <w:pPr>
        <w:spacing w:beforeLines="0" w:afterLines="0"/>
        <w:jc w:val="center"/>
        <w:rPr>
          <w:rFonts w:hint="default" w:ascii="黑体" w:hAnsi="黑体" w:eastAsia="黑体"/>
          <w:color w:val="000000"/>
          <w:sz w:val="28"/>
          <w:szCs w:val="28"/>
          <w:highlight w:val="none"/>
        </w:rPr>
      </w:pPr>
    </w:p>
    <w:p>
      <w:pPr>
        <w:spacing w:beforeLines="0" w:afterLines="0"/>
        <w:jc w:val="center"/>
        <w:rPr>
          <w:rFonts w:hint="default" w:ascii="黑体" w:hAnsi="黑体" w:eastAsia="黑体"/>
          <w:color w:val="000000"/>
          <w:sz w:val="28"/>
          <w:szCs w:val="28"/>
          <w:highlight w:val="none"/>
        </w:rPr>
      </w:pPr>
      <w:bookmarkStart w:id="27" w:name="_Toc25789"/>
      <w:bookmarkStart w:id="28" w:name="_Toc6743"/>
      <w:bookmarkStart w:id="29" w:name="_Toc12766"/>
      <w:bookmarkStart w:id="30" w:name="_Toc24661"/>
      <w:bookmarkStart w:id="31" w:name="_Toc18789"/>
      <w:bookmarkStart w:id="32" w:name="_Toc3173"/>
      <w:bookmarkStart w:id="33" w:name="_Toc30735"/>
      <w:bookmarkStart w:id="34" w:name="_Toc7560"/>
      <w:bookmarkStart w:id="35" w:name="_Toc21954"/>
      <w:bookmarkStart w:id="36" w:name="_Toc1540"/>
      <w:bookmarkStart w:id="37" w:name="_Toc7053"/>
      <w:bookmarkStart w:id="38" w:name="_Toc8584"/>
      <w:bookmarkStart w:id="39" w:name="_Toc7870"/>
      <w:bookmarkStart w:id="40" w:name="_Toc7563"/>
      <w:bookmarkStart w:id="41" w:name="_Toc24199"/>
      <w:bookmarkStart w:id="42" w:name="_Toc12970"/>
      <w:bookmarkStart w:id="43" w:name="_Toc1901"/>
      <w:bookmarkStart w:id="44" w:name="_Toc6951"/>
      <w:bookmarkStart w:id="45" w:name="_Toc3331"/>
      <w:bookmarkStart w:id="46" w:name="_Toc18179"/>
      <w:r>
        <w:rPr>
          <w:rFonts w:hint="eastAsia" w:ascii="黑体" w:hAnsi="黑体" w:eastAsia="黑体"/>
          <w:color w:val="000000"/>
          <w:sz w:val="28"/>
          <w:szCs w:val="28"/>
          <w:highlight w:val="none"/>
        </w:rPr>
        <w:t>招标公告</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pPr>
        <w:spacing w:beforeLines="0" w:afterLines="0"/>
        <w:jc w:val="center"/>
        <w:rPr>
          <w:rFonts w:hint="default" w:ascii="黑体" w:hAnsi="黑体" w:eastAsia="黑体"/>
          <w:color w:val="000000"/>
          <w:sz w:val="28"/>
          <w:szCs w:val="28"/>
          <w:highlight w:val="none"/>
        </w:rPr>
      </w:pPr>
      <w:bookmarkStart w:id="47" w:name="_Toc18676"/>
      <w:bookmarkStart w:id="48" w:name="_Toc12718"/>
      <w:bookmarkStart w:id="49" w:name="_Toc21572"/>
      <w:bookmarkStart w:id="50" w:name="_Toc1065"/>
      <w:bookmarkStart w:id="51" w:name="_Toc17259"/>
      <w:bookmarkStart w:id="52" w:name="_Toc16837"/>
      <w:bookmarkStart w:id="53" w:name="_Toc3705"/>
      <w:bookmarkStart w:id="54" w:name="_Toc714"/>
      <w:bookmarkStart w:id="55" w:name="_Toc29230"/>
      <w:r>
        <w:rPr>
          <w:rFonts w:hint="eastAsia" w:ascii="黑体" w:hAnsi="黑体" w:eastAsia="黑体"/>
          <w:color w:val="000000"/>
          <w:sz w:val="28"/>
          <w:szCs w:val="28"/>
          <w:highlight w:val="none"/>
        </w:rPr>
        <w:t>招标编号：</w:t>
      </w:r>
      <w:bookmarkEnd w:id="47"/>
      <w:bookmarkEnd w:id="48"/>
      <w:bookmarkEnd w:id="49"/>
      <w:bookmarkEnd w:id="50"/>
      <w:bookmarkEnd w:id="51"/>
      <w:bookmarkEnd w:id="52"/>
      <w:bookmarkEnd w:id="53"/>
      <w:bookmarkEnd w:id="54"/>
      <w:bookmarkEnd w:id="55"/>
      <w:r>
        <w:rPr>
          <w:rFonts w:hint="eastAsia" w:ascii="Arial" w:hAnsi="Arial" w:eastAsia="黑体" w:cs="Arial"/>
          <w:color w:val="auto"/>
          <w:sz w:val="28"/>
          <w:szCs w:val="28"/>
          <w:highlight w:val="none"/>
        </w:rPr>
        <w:t>CY1225J</w:t>
      </w:r>
      <w:r>
        <w:rPr>
          <w:rFonts w:hint="eastAsia" w:ascii="Arial" w:hAnsi="Arial" w:eastAsia="黑体" w:cs="Arial"/>
          <w:color w:val="auto"/>
          <w:sz w:val="28"/>
          <w:szCs w:val="28"/>
          <w:highlight w:val="none"/>
          <w:lang w:val="en-US" w:eastAsia="zh-CN"/>
        </w:rPr>
        <w:t>H</w:t>
      </w:r>
      <w:r>
        <w:rPr>
          <w:rFonts w:hint="eastAsia" w:ascii="Arial" w:hAnsi="Arial" w:eastAsia="黑体" w:cs="Arial"/>
          <w:color w:val="auto"/>
          <w:sz w:val="28"/>
          <w:szCs w:val="28"/>
          <w:highlight w:val="none"/>
        </w:rPr>
        <w:t>00</w:t>
      </w:r>
      <w:r>
        <w:rPr>
          <w:rFonts w:hint="eastAsia" w:ascii="Arial" w:hAnsi="Arial" w:eastAsia="黑体" w:cs="Arial"/>
          <w:color w:val="auto"/>
          <w:sz w:val="28"/>
          <w:szCs w:val="28"/>
          <w:highlight w:val="none"/>
          <w:lang w:val="en-US" w:eastAsia="zh-CN"/>
        </w:rPr>
        <w:t>7</w:t>
      </w:r>
    </w:p>
    <w:p>
      <w:pPr>
        <w:adjustRightInd w:val="0"/>
        <w:snapToGrid w:val="0"/>
        <w:spacing w:before="240" w:beforeLines="100" w:after="120" w:afterLines="50"/>
        <w:outlineLvl w:val="1"/>
        <w:rPr>
          <w:rFonts w:hint="default" w:ascii="黑体" w:hAnsi="Calibri" w:eastAsia="黑体"/>
          <w:b/>
          <w:color w:val="000000"/>
          <w:sz w:val="24"/>
          <w:szCs w:val="22"/>
          <w:highlight w:val="none"/>
        </w:rPr>
      </w:pPr>
      <w:bookmarkStart w:id="56" w:name="_bookmark2"/>
      <w:bookmarkEnd w:id="56"/>
      <w:bookmarkStart w:id="57" w:name="_Toc62221464"/>
      <w:bookmarkStart w:id="58" w:name="_Toc62221755"/>
      <w:bookmarkStart w:id="59" w:name="_Toc12482"/>
      <w:bookmarkStart w:id="60" w:name="_Toc28259"/>
      <w:bookmarkStart w:id="61" w:name="_Toc62222023"/>
      <w:bookmarkStart w:id="62" w:name="_Toc6779"/>
      <w:bookmarkStart w:id="63" w:name="_Toc62549130"/>
      <w:bookmarkStart w:id="64" w:name="_Toc113"/>
      <w:bookmarkStart w:id="65" w:name="_Toc12390"/>
      <w:bookmarkStart w:id="66" w:name="_Toc62222571"/>
      <w:bookmarkStart w:id="67" w:name="_Toc13310"/>
      <w:bookmarkStart w:id="68" w:name="_Toc16718"/>
      <w:bookmarkStart w:id="69" w:name="_Toc23241"/>
      <w:bookmarkStart w:id="70" w:name="_Toc20180"/>
      <w:bookmarkStart w:id="71" w:name="_Toc27832"/>
      <w:bookmarkStart w:id="72" w:name="_Toc62549186"/>
      <w:r>
        <w:rPr>
          <w:rFonts w:hint="eastAsia" w:ascii="黑体" w:hAnsi="Calibri" w:eastAsia="黑体"/>
          <w:b/>
          <w:color w:val="000000"/>
          <w:sz w:val="24"/>
          <w:szCs w:val="22"/>
          <w:highlight w:val="none"/>
        </w:rPr>
        <w:t>1.招标条件</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sz w:val="21"/>
          <w:szCs w:val="22"/>
          <w:highlight w:val="none"/>
        </w:rPr>
        <w:t>项目建设单位为</w:t>
      </w:r>
      <w:r>
        <w:rPr>
          <w:rFonts w:hint="eastAsia" w:asciiTheme="minorEastAsia" w:hAnsiTheme="minorEastAsia" w:eastAsiaTheme="minorEastAsia" w:cstheme="minorEastAsia"/>
          <w:color w:val="auto"/>
          <w:sz w:val="21"/>
          <w:szCs w:val="22"/>
          <w:highlight w:val="none"/>
          <w:lang w:val="en-US" w:eastAsia="zh-CN"/>
        </w:rPr>
        <w:t>合肥电力安装有限公司及所属分子公司、安徽明生电力投资集团有限公司及所属分子公司、安徽送变电工程有限公司、国网安徽省电力有限公司电力科学研究院及所属分子公司</w:t>
      </w:r>
      <w:r>
        <w:rPr>
          <w:rFonts w:hint="eastAsia" w:asciiTheme="minorEastAsia" w:hAnsiTheme="minorEastAsia" w:eastAsiaTheme="minorEastAsia" w:cstheme="minorEastAsia"/>
          <w:sz w:val="21"/>
          <w:szCs w:val="22"/>
          <w:highlight w:val="none"/>
        </w:rPr>
        <w:t>（以下简称“项目单位”），项目资金来自</w:t>
      </w:r>
      <w:r>
        <w:rPr>
          <w:rFonts w:hint="eastAsia" w:asciiTheme="minorEastAsia" w:hAnsiTheme="minorEastAsia" w:eastAsiaTheme="minorEastAsia" w:cstheme="minorEastAsia"/>
          <w:sz w:val="21"/>
          <w:szCs w:val="22"/>
          <w:highlight w:val="none"/>
        </w:rPr>
        <w:t>市场化项目，资金来源已落实，招标人为</w:t>
      </w:r>
      <w:r>
        <w:rPr>
          <w:rFonts w:hint="eastAsia" w:asciiTheme="minorEastAsia" w:hAnsiTheme="minorEastAsia" w:eastAsiaTheme="minorEastAsia" w:cstheme="minorEastAsia"/>
          <w:color w:val="auto"/>
          <w:sz w:val="21"/>
          <w:szCs w:val="22"/>
          <w:highlight w:val="none"/>
          <w:lang w:val="en-US" w:eastAsia="zh-CN"/>
        </w:rPr>
        <w:t>国网安徽省电力有限公司合肥供电公司</w:t>
      </w:r>
      <w:r>
        <w:rPr>
          <w:rFonts w:hint="eastAsia" w:asciiTheme="minorEastAsia" w:hAnsiTheme="minorEastAsia" w:eastAsiaTheme="minorEastAsia" w:cstheme="minorEastAsia"/>
          <w:color w:val="auto"/>
          <w:sz w:val="21"/>
          <w:szCs w:val="22"/>
          <w:highlight w:val="none"/>
        </w:rPr>
        <w:t>，并委托</w:t>
      </w:r>
      <w:r>
        <w:rPr>
          <w:rFonts w:hint="eastAsia" w:asciiTheme="minorEastAsia" w:hAnsiTheme="minorEastAsia" w:eastAsiaTheme="minorEastAsia" w:cstheme="minorEastAsia"/>
          <w:color w:val="auto"/>
          <w:sz w:val="21"/>
          <w:szCs w:val="22"/>
          <w:highlight w:val="none"/>
          <w:lang w:eastAsia="zh-CN"/>
        </w:rPr>
        <w:t>安徽明生电力工程咨询有限公司招标分公司</w:t>
      </w:r>
      <w:r>
        <w:rPr>
          <w:rFonts w:hint="eastAsia" w:asciiTheme="minorEastAsia" w:hAnsiTheme="minorEastAsia" w:eastAsiaTheme="minorEastAsia" w:cstheme="minorEastAsia"/>
          <w:color w:val="auto"/>
          <w:sz w:val="21"/>
          <w:szCs w:val="22"/>
          <w:highlight w:val="none"/>
        </w:rPr>
        <w:t>为招标代理机构</w:t>
      </w:r>
      <w:r>
        <w:rPr>
          <w:rFonts w:hint="eastAsia" w:asciiTheme="minorEastAsia" w:hAnsiTheme="minorEastAsia" w:eastAsiaTheme="minorEastAsia" w:cstheme="minorEastAsia"/>
          <w:sz w:val="21"/>
          <w:szCs w:val="22"/>
          <w:highlight w:val="none"/>
        </w:rPr>
        <w:t>。项目已具备招标条件，现对该项目进行公开招标。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lang w:eastAsia="zh-CN"/>
        </w:rPr>
      </w:pPr>
      <w:r>
        <w:rPr>
          <w:rFonts w:hint="eastAsia" w:asciiTheme="minorEastAsia" w:hAnsiTheme="minorEastAsia" w:eastAsiaTheme="minorEastAsia" w:cstheme="minorEastAsia"/>
          <w:color w:val="000000"/>
          <w:sz w:val="21"/>
          <w:szCs w:val="22"/>
          <w:highlight w:val="none"/>
        </w:rPr>
        <w:t>本项目积极响应《中共中央国务院关于开展质量提升行动的指导意见》，倡导潜在投标人用先进标准引领产品质量提升，有效治理质量突出问题，推动形成优质优价的采购机制。</w:t>
      </w:r>
      <w:r>
        <w:rPr>
          <w:rFonts w:hint="eastAsia" w:asciiTheme="minorEastAsia" w:hAnsiTheme="minorEastAsia" w:eastAsiaTheme="minorEastAsia" w:cstheme="minorEastAsia"/>
          <w:color w:val="000000"/>
          <w:sz w:val="21"/>
          <w:szCs w:val="22"/>
          <w:highlight w:val="none"/>
          <w:lang w:val="en-US" w:eastAsia="zh-CN"/>
        </w:rPr>
        <w:t xml:space="preserve"> </w:t>
      </w:r>
      <w:r>
        <w:rPr>
          <w:rFonts w:hint="eastAsia" w:asciiTheme="minorEastAsia" w:hAnsiTheme="minorEastAsia" w:eastAsiaTheme="minorEastAsia" w:cstheme="minorEastAsia"/>
          <w:color w:val="000000"/>
          <w:sz w:val="21"/>
          <w:szCs w:val="22"/>
          <w:highlight w:val="none"/>
        </w:rPr>
        <w:t>为保障电网和设备本质安全，维护良好电工装备质量生态环境，确保投标人提供优质产品。招标人有权对违反“</w:t>
      </w:r>
      <w:r>
        <w:rPr>
          <w:rFonts w:hint="eastAsia" w:asciiTheme="minorEastAsia" w:hAnsiTheme="minorEastAsia" w:eastAsiaTheme="minorEastAsia" w:cstheme="minorEastAsia"/>
          <w:color w:val="000000"/>
          <w:sz w:val="21"/>
          <w:szCs w:val="22"/>
          <w:highlight w:val="none"/>
          <w:lang w:val="en-US" w:eastAsia="zh-CN"/>
        </w:rPr>
        <w:t>投标函</w:t>
      </w:r>
      <w:r>
        <w:rPr>
          <w:rFonts w:hint="eastAsia" w:asciiTheme="minorEastAsia" w:hAnsiTheme="minorEastAsia" w:eastAsiaTheme="minorEastAsia" w:cstheme="minorEastAsia"/>
          <w:color w:val="000000"/>
          <w:sz w:val="21"/>
          <w:szCs w:val="22"/>
          <w:highlight w:val="none"/>
        </w:rPr>
        <w:t>”承诺的投标人加大不良行为处理力度</w:t>
      </w:r>
      <w:r>
        <w:rPr>
          <w:rFonts w:hint="eastAsia" w:asciiTheme="minorEastAsia" w:hAnsiTheme="minorEastAsia" w:eastAsiaTheme="minorEastAsia" w:cstheme="minorEastAsia"/>
          <w:color w:val="000000"/>
          <w:sz w:val="21"/>
          <w:szCs w:val="22"/>
          <w:highlight w:val="none"/>
          <w:lang w:eastAsia="zh-CN"/>
        </w:rPr>
        <w:t>。</w:t>
      </w:r>
    </w:p>
    <w:p>
      <w:pPr>
        <w:adjustRightInd w:val="0"/>
        <w:snapToGrid w:val="0"/>
        <w:spacing w:before="240" w:beforeLines="100" w:after="120" w:afterLines="50"/>
        <w:outlineLvl w:val="1"/>
        <w:rPr>
          <w:rFonts w:hint="default" w:ascii="黑体" w:hAnsi="Calibri" w:eastAsia="黑体"/>
          <w:b/>
          <w:color w:val="000000"/>
          <w:sz w:val="24"/>
          <w:szCs w:val="22"/>
          <w:highlight w:val="none"/>
        </w:rPr>
      </w:pPr>
      <w:bookmarkStart w:id="73" w:name="_bookmark3"/>
      <w:bookmarkEnd w:id="73"/>
      <w:bookmarkStart w:id="74" w:name="_Toc16297"/>
      <w:bookmarkStart w:id="75" w:name="_Toc62549131"/>
      <w:bookmarkStart w:id="76" w:name="_Toc16612"/>
      <w:bookmarkStart w:id="77" w:name="_Toc9526"/>
      <w:bookmarkStart w:id="78" w:name="_Toc62221756"/>
      <w:bookmarkStart w:id="79" w:name="_Toc62221465"/>
      <w:bookmarkStart w:id="80" w:name="_Toc18094"/>
      <w:bookmarkStart w:id="81" w:name="_Toc62222572"/>
      <w:bookmarkStart w:id="82" w:name="_Toc62549187"/>
      <w:bookmarkStart w:id="83" w:name="_Toc13249"/>
      <w:bookmarkStart w:id="84" w:name="_Toc21846"/>
      <w:bookmarkStart w:id="85" w:name="_Toc10669"/>
      <w:bookmarkStart w:id="86" w:name="_Toc22052"/>
      <w:bookmarkStart w:id="87" w:name="_Toc62222024"/>
      <w:bookmarkStart w:id="88" w:name="_Toc14807"/>
      <w:bookmarkStart w:id="89" w:name="_Toc8851"/>
      <w:r>
        <w:rPr>
          <w:rFonts w:hint="eastAsia" w:ascii="黑体" w:hAnsi="Calibri" w:eastAsia="黑体"/>
          <w:b/>
          <w:color w:val="000000"/>
          <w:sz w:val="24"/>
          <w:szCs w:val="22"/>
          <w:highlight w:val="none"/>
        </w:rPr>
        <w:t>2.项目概况与招标范围</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pPr>
        <w:adjustRightInd w:val="0"/>
        <w:snapToGrid w:val="0"/>
        <w:spacing w:beforeLines="0" w:afterLines="0" w:line="400" w:lineRule="exact"/>
        <w:ind w:firstLine="448" w:firstLineChars="200"/>
        <w:rPr>
          <w:rFonts w:hint="eastAsia" w:asciiTheme="minorEastAsia" w:hAnsiTheme="minorEastAsia" w:eastAsiaTheme="minorEastAsia" w:cstheme="minorEastAsia"/>
          <w:color w:val="000000"/>
          <w:sz w:val="21"/>
          <w:szCs w:val="22"/>
          <w:highlight w:val="none"/>
        </w:rPr>
      </w:pPr>
      <w:bookmarkStart w:id="90" w:name="_bookmark4"/>
      <w:bookmarkEnd w:id="90"/>
      <w:bookmarkStart w:id="91" w:name="_Toc1794"/>
      <w:bookmarkStart w:id="92" w:name="_Toc62221466"/>
      <w:bookmarkStart w:id="93" w:name="_Toc62549132"/>
      <w:bookmarkStart w:id="94" w:name="_Toc19873"/>
      <w:bookmarkStart w:id="95" w:name="_Toc15959"/>
      <w:bookmarkStart w:id="96" w:name="_Toc32699"/>
      <w:bookmarkStart w:id="97" w:name="_Toc62221757"/>
      <w:bookmarkStart w:id="98" w:name="_Toc62222573"/>
      <w:bookmarkStart w:id="99" w:name="_Toc30155"/>
      <w:bookmarkStart w:id="100" w:name="_Toc23581"/>
      <w:bookmarkStart w:id="101" w:name="_Toc62549188"/>
      <w:bookmarkStart w:id="102" w:name="_Toc3443"/>
      <w:bookmarkStart w:id="103" w:name="_Toc16135"/>
      <w:bookmarkStart w:id="104" w:name="_Toc1793"/>
      <w:bookmarkStart w:id="105" w:name="_Toc19813"/>
      <w:bookmarkStart w:id="106" w:name="_Toc62222025"/>
      <w:r>
        <w:rPr>
          <w:rFonts w:hint="eastAsia" w:asciiTheme="minorEastAsia" w:hAnsiTheme="minorEastAsia" w:eastAsiaTheme="minorEastAsia" w:cstheme="minorEastAsia"/>
          <w:color w:val="000000"/>
          <w:spacing w:val="7"/>
          <w:sz w:val="21"/>
          <w:szCs w:val="22"/>
          <w:highlight w:val="none"/>
        </w:rPr>
        <w:t>●</w:t>
      </w:r>
      <w:r>
        <w:rPr>
          <w:rFonts w:hint="eastAsia" w:asciiTheme="minorEastAsia" w:hAnsiTheme="minorEastAsia" w:eastAsiaTheme="minorEastAsia" w:cstheme="minorEastAsia"/>
          <w:color w:val="000000"/>
          <w:sz w:val="21"/>
          <w:szCs w:val="22"/>
          <w:highlight w:val="none"/>
        </w:rPr>
        <w:t>详见招标公告附件。</w:t>
      </w:r>
    </w:p>
    <w:p>
      <w:pPr>
        <w:tabs>
          <w:tab w:val="left" w:pos="2688"/>
        </w:tabs>
        <w:adjustRightInd w:val="0"/>
        <w:snapToGrid w:val="0"/>
        <w:spacing w:beforeLines="0" w:afterLines="0" w:line="400" w:lineRule="exact"/>
        <w:ind w:firstLine="448"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pacing w:val="7"/>
          <w:sz w:val="21"/>
          <w:szCs w:val="22"/>
          <w:highlight w:val="none"/>
        </w:rPr>
        <w:t>●</w:t>
      </w:r>
      <w:r>
        <w:rPr>
          <w:rFonts w:hint="eastAsia" w:asciiTheme="minorEastAsia" w:hAnsiTheme="minorEastAsia" w:eastAsiaTheme="minorEastAsia" w:cstheme="minorEastAsia"/>
          <w:color w:val="000000"/>
          <w:sz w:val="21"/>
          <w:szCs w:val="22"/>
          <w:highlight w:val="none"/>
        </w:rPr>
        <w:t>详见货物清单。</w:t>
      </w:r>
    </w:p>
    <w:p>
      <w:pPr>
        <w:adjustRightInd w:val="0"/>
        <w:snapToGrid w:val="0"/>
        <w:spacing w:before="240" w:beforeLines="100" w:after="120" w:afterLines="50"/>
        <w:outlineLvl w:val="1"/>
        <w:rPr>
          <w:rFonts w:hint="default" w:ascii="黑体" w:hAnsi="Calibri" w:eastAsia="黑体"/>
          <w:b/>
          <w:color w:val="000000"/>
          <w:sz w:val="24"/>
          <w:szCs w:val="22"/>
          <w:highlight w:val="none"/>
        </w:rPr>
      </w:pPr>
      <w:r>
        <w:rPr>
          <w:rFonts w:hint="eastAsia" w:ascii="黑体" w:hAnsi="Calibri" w:eastAsia="黑体"/>
          <w:b/>
          <w:color w:val="000000"/>
          <w:sz w:val="24"/>
          <w:szCs w:val="22"/>
          <w:highlight w:val="none"/>
        </w:rPr>
        <w:t>3.投标人资格要求</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3.1 本次招标要求投标人须为中华人民共和国</w:t>
      </w:r>
      <w:r>
        <w:rPr>
          <w:rFonts w:hint="eastAsia" w:asciiTheme="minorEastAsia" w:hAnsiTheme="minorEastAsia" w:eastAsiaTheme="minorEastAsia" w:cstheme="minorEastAsia"/>
          <w:color w:val="000000"/>
          <w:sz w:val="21"/>
          <w:szCs w:val="22"/>
          <w:highlight w:val="none"/>
        </w:rPr>
        <w:t>境内</w:t>
      </w:r>
      <w:r>
        <w:rPr>
          <w:rFonts w:hint="eastAsia" w:asciiTheme="minorEastAsia" w:hAnsiTheme="minorEastAsia" w:eastAsiaTheme="minorEastAsia" w:cstheme="minorEastAsia"/>
          <w:color w:val="000000"/>
          <w:sz w:val="21"/>
          <w:szCs w:val="22"/>
          <w:highlight w:val="none"/>
        </w:rPr>
        <w:t>依法注册的法人或</w:t>
      </w:r>
      <w:r>
        <w:rPr>
          <w:rFonts w:hint="eastAsia" w:asciiTheme="minorEastAsia" w:hAnsiTheme="minorEastAsia" w:eastAsiaTheme="minorEastAsia" w:cstheme="minorEastAsia"/>
          <w:color w:val="auto"/>
          <w:sz w:val="21"/>
          <w:szCs w:val="22"/>
          <w:highlight w:val="none"/>
          <w:lang w:val="en-US" w:eastAsia="zh-CN"/>
        </w:rPr>
        <w:t>其他</w:t>
      </w:r>
      <w:r>
        <w:rPr>
          <w:rFonts w:hint="eastAsia" w:asciiTheme="minorEastAsia" w:hAnsiTheme="minorEastAsia" w:eastAsiaTheme="minorEastAsia" w:cstheme="minorEastAsia"/>
          <w:color w:val="000000"/>
          <w:sz w:val="21"/>
          <w:szCs w:val="22"/>
          <w:highlight w:val="none"/>
        </w:rPr>
        <w:t>组织，须具有与本招标项目相应的供货能力。</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3.2 本次招标不接受联合体投标。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3.3本次招标是否接受代理商投标见3.6专用资格要求。如接受代理商投标的，代理产品不得属于《机电产品国际招标投标实施办法（试行）》（商务部令2014年第1号）规定必须进行国际招标的产品。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3.4 接受代理商或者外协外购产品投标时，其投标产品制造商须在境内具备相应货物的制造能力，并在人员、设备、资金等方面具有保障相应协作承制货物如期交货的能力。除特别注明外，这些资格、资质、业绩均系投标人本人或者其代理或外协产品制造商本人所拥有的权利权益。</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3.5 投标人及其投标产品须满足如下通用资格要求：</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（1）投标产品制造商必须具有生产投标产品所需的生产场地、生产设备、生产人员、产品及元器件检测能力。本招标活动不接受贴牌代工以及任何分包（招标</w:t>
      </w:r>
      <w:r>
        <w:rPr>
          <w:rFonts w:hint="eastAsia" w:asciiTheme="minorEastAsia" w:hAnsiTheme="minorEastAsia" w:eastAsiaTheme="minorEastAsia" w:cstheme="minorEastAsia"/>
          <w:color w:val="auto"/>
          <w:sz w:val="21"/>
          <w:szCs w:val="22"/>
          <w:highlight w:val="none"/>
          <w:lang w:val="en-US" w:eastAsia="zh-CN"/>
        </w:rPr>
        <w:t>文件</w:t>
      </w:r>
      <w:r>
        <w:rPr>
          <w:rFonts w:hint="eastAsia" w:asciiTheme="minorEastAsia" w:hAnsiTheme="minorEastAsia" w:eastAsiaTheme="minorEastAsia" w:cstheme="minorEastAsia"/>
          <w:color w:val="000000"/>
          <w:sz w:val="21"/>
          <w:szCs w:val="22"/>
          <w:highlight w:val="none"/>
        </w:rPr>
        <w:t>中规定的允许外购外协的除外）、转包行为的投标。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这些制造、检测能力应当分别相当于或者优于招标人招投标交易平台信息系统（https://ecp.sgcc.com.cn）中发布的“供应商资质能力信息核实规范”提出的相应条款要求（查看路径：招投标交易平台信息系统首页→供应商管理→资质能力核实→资质能力核实规范标准）。</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2）在与规范相同或较规范更严格的条件下，投标产品的投运数量或供货数量及其成功运行时间满足招标文件的要求。如同一包内存在不同类别的产品，除外购外协的产品外，则投标人须分别满足包内各类别产品的资格要求；对于外购外协的产品，产品制造商应满足本公告资质相关业绩要求。</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（3）取得国家法律、法规、规章规定的有效许可证。取得招标文件要求的国家强制认证证书。</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（4）</w:t>
      </w:r>
      <w:r>
        <w:rPr>
          <w:rFonts w:hint="eastAsia" w:asciiTheme="minorEastAsia" w:hAnsiTheme="minorEastAsia" w:eastAsiaTheme="minorEastAsia" w:cstheme="minorEastAsia"/>
          <w:color w:val="auto"/>
          <w:sz w:val="21"/>
          <w:szCs w:val="22"/>
          <w:highlight w:val="none"/>
        </w:rPr>
        <w:t>法定代表人（单位负责人）</w:t>
      </w:r>
      <w:r>
        <w:rPr>
          <w:rFonts w:hint="eastAsia" w:asciiTheme="minorEastAsia" w:hAnsiTheme="minorEastAsia" w:eastAsiaTheme="minorEastAsia" w:cstheme="minorEastAsia"/>
          <w:color w:val="000000"/>
          <w:sz w:val="21"/>
          <w:szCs w:val="22"/>
          <w:highlight w:val="none"/>
        </w:rPr>
        <w:t>为同一人或者存在控股、管理关系的不同单位，不得参加同一标包投标或者未划分标包的同一招标项目投标。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lang w:eastAsia="zh-CN"/>
        </w:rPr>
        <w:t>（5）应有良好的财务状况和商业信用。</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6）根据《国家电网有限公司供应商关系管理办法》的规定，若投标人为制造商，存在导致其被暂停中标资格或取消中标资格的不良行为且在处理有效期内的，投标人在投标截止之日至中标通知书到达之日前，任一日在《国家电网有限公司关于供应商不良行为处理情况的通报》处理期内的均适用不良行为处理结果，或投标人存在触发《国家电网有限公司供应商关系管理办法》第六十三条安全及质量重大问题“熔断机制”情形的，其投标将被否决。若投标人为代理商，投标人或其代理产品的制造商存在导致其被暂停中标资格或取消中标资格的不良行为且在处理有效期内的，投标人或其代理产品的制造商在投标截止之日至中标通知书到达之日前，任一日在《国家电网有限公司关于供应商不良行为处理情况的通报》处理期内的均适用不良行为处理结果，或投标人存在触发《国家电网有限公司供应商关系管理办法》第六十三条</w:t>
      </w:r>
      <w:r>
        <w:rPr>
          <w:rFonts w:hint="eastAsia" w:asciiTheme="minorEastAsia" w:hAnsiTheme="minorEastAsia" w:eastAsiaTheme="minorEastAsia" w:cstheme="minorEastAsia"/>
          <w:color w:val="000000"/>
          <w:sz w:val="21"/>
          <w:szCs w:val="22"/>
          <w:highlight w:val="none"/>
          <w:lang w:val="en-US" w:eastAsia="zh-CN"/>
        </w:rPr>
        <w:t>安全及质量</w:t>
      </w:r>
      <w:r>
        <w:rPr>
          <w:rFonts w:hint="eastAsia" w:asciiTheme="minorEastAsia" w:hAnsiTheme="minorEastAsia" w:eastAsiaTheme="minorEastAsia" w:cstheme="minorEastAsia"/>
          <w:color w:val="000000"/>
          <w:sz w:val="21"/>
          <w:szCs w:val="22"/>
          <w:highlight w:val="none"/>
        </w:rPr>
        <w:t>重大问题“熔断机制”情形的，其投标将被否决。即使投标人在投标截止日尚不存在上述情况，但在中标通知书到达之日前，出现上述情况的，招标人亦有权取消其中标资格。</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7）根据最高人民法院、国家发展改革委、国家铁路局等九部门联合印发的《关于在招标投标活动中对失信被执行人实施联合惩戒的通知》（法〔2016〕285号），投标人不得被人民法院列为失信被执行人。投标人不得存在违法失信行为，不得被“信用中国”网站（www.creditchina.gov.cn）列入严重失信主体名单。即使投标人在开标当日未出现被列入失信被执行人或严重失信主体名单的情形，但在中标通知书到达之日前，存在上述情形的，招标人有权取消其中标资格。</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w:t>
      </w:r>
      <w:r>
        <w:rPr>
          <w:rFonts w:hint="eastAsia" w:asciiTheme="minorEastAsia" w:hAnsiTheme="minorEastAsia" w:eastAsiaTheme="minorEastAsia" w:cstheme="minorEastAsia"/>
          <w:color w:val="000000"/>
          <w:sz w:val="21"/>
          <w:szCs w:val="22"/>
          <w:highlight w:val="none"/>
          <w:lang w:val="en-US" w:eastAsia="zh-CN"/>
        </w:rPr>
        <w:t>8</w:t>
      </w:r>
      <w:r>
        <w:rPr>
          <w:rFonts w:hint="eastAsia" w:asciiTheme="minorEastAsia" w:hAnsiTheme="minorEastAsia" w:eastAsiaTheme="minorEastAsia" w:cstheme="minorEastAsia"/>
          <w:color w:val="000000"/>
          <w:sz w:val="21"/>
          <w:szCs w:val="22"/>
          <w:highlight w:val="none"/>
        </w:rPr>
        <w:t>）投标人不得被市场监督管理机关在国家企业信用信息公示系统中列入严重违法失信企业名单或列入经营异常名录信息。投标人需同时在商务文件中提供在国家企业信用信息公示系统（www.gsxt.gov.cn）查询的，包含“营业执照信息”、“列入严重违法失信企业名单（黑名单）”、“列入经营异常名录信息”、“行政处罚信息”、“清算信息”的查询结果（查询日期应在投标截止日前20天内，查询结果应为网站自动生成的PDF文件的电子版）。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即使投标人在开标当日未出现被市场监督管理机关列入经营异常名录或严重违法失信企业名单的情形，但在中标通知书到达之日前，存在上述情形的，招标人有权取消其中标资格。</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w:t>
      </w:r>
      <w:r>
        <w:rPr>
          <w:rFonts w:hint="eastAsia" w:asciiTheme="minorEastAsia" w:hAnsiTheme="minorEastAsia" w:eastAsiaTheme="minorEastAsia" w:cstheme="minorEastAsia"/>
          <w:color w:val="000000"/>
          <w:sz w:val="21"/>
          <w:szCs w:val="22"/>
          <w:highlight w:val="none"/>
          <w:lang w:val="en-US" w:eastAsia="zh-CN"/>
        </w:rPr>
        <w:t>9</w:t>
      </w:r>
      <w:r>
        <w:rPr>
          <w:rFonts w:hint="eastAsia" w:asciiTheme="minorEastAsia" w:hAnsiTheme="minorEastAsia" w:eastAsiaTheme="minorEastAsia" w:cstheme="minorEastAsia"/>
          <w:color w:val="000000"/>
          <w:sz w:val="21"/>
          <w:szCs w:val="22"/>
          <w:highlight w:val="none"/>
        </w:rPr>
        <w:t>）外购外协原材料、配套元件和外部委托加工及进口散装的部件应符合本招标技术规范要求。投标人应具备对外购外协原材料、配套元件和外部委托加工及进口散装的部件进行进厂验收所需的检验制度、检测手段和能力，和由材料、元件和部件供应商提供的检测合格证明。原材料组部件管理应当具有可追溯性。</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10）投标人不得选配国家电网有限公司《关于供应商不良行为处理情况的通报》中正接受暂停中标资格、取消中标资格的外购外协供应商或代理（集成服务）制造商的产品；不得选配涉嫌存在《招标投标法》第53条、《招标投标法实施条例》第51条所列违法行为，已被司法机关立案的外购外协供应商或代理（集成服务）制造商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11）投标产品不得选配缺陷责任期（自设备投运之日起两年内）发生产品质量问题（包括但不限于接续、接触机械电气性能，支撑、封闭绝缘性能，以及电力电子性能下降、老化、毁损、丧失等）导致设备停运检修的组件材料制造商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auto"/>
          <w:sz w:val="21"/>
          <w:szCs w:val="22"/>
          <w:highlight w:val="none"/>
        </w:rPr>
        <w:t>（1</w:t>
      </w:r>
      <w:r>
        <w:rPr>
          <w:rFonts w:hint="eastAsia" w:asciiTheme="minorEastAsia" w:hAnsiTheme="minorEastAsia" w:eastAsiaTheme="minorEastAsia" w:cstheme="minorEastAsia"/>
          <w:color w:val="auto"/>
          <w:sz w:val="21"/>
          <w:szCs w:val="22"/>
          <w:highlight w:val="none"/>
          <w:lang w:val="en-US" w:eastAsia="zh-CN"/>
        </w:rPr>
        <w:t>2</w:t>
      </w:r>
      <w:r>
        <w:rPr>
          <w:rFonts w:hint="eastAsia" w:asciiTheme="minorEastAsia" w:hAnsiTheme="minorEastAsia" w:eastAsiaTheme="minorEastAsia" w:cstheme="minorEastAsia"/>
          <w:color w:val="auto"/>
          <w:sz w:val="21"/>
          <w:szCs w:val="22"/>
          <w:highlight w:val="none"/>
        </w:rPr>
        <w:t>）</w:t>
      </w:r>
      <w:r>
        <w:rPr>
          <w:rFonts w:hint="eastAsia" w:asciiTheme="minorEastAsia" w:hAnsiTheme="minorEastAsia" w:eastAsiaTheme="minorEastAsia" w:cstheme="minorEastAsia"/>
          <w:color w:val="auto"/>
          <w:sz w:val="21"/>
          <w:szCs w:val="22"/>
          <w:highlight w:val="none"/>
          <w:lang w:val="en-US" w:eastAsia="zh-CN"/>
        </w:rPr>
        <w:t>其他</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3.6 投标人及其投标产品须满足相应招标货物的专用资格要求如下：</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详见招标公告附件。</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3.7 本次</w:t>
      </w:r>
      <w:r>
        <w:rPr>
          <w:rFonts w:hint="eastAsia" w:asciiTheme="minorEastAsia" w:hAnsiTheme="minorEastAsia" w:eastAsiaTheme="minorEastAsia" w:cstheme="minorEastAsia"/>
          <w:color w:val="000000"/>
          <w:sz w:val="21"/>
          <w:szCs w:val="22"/>
          <w:highlight w:val="none"/>
          <w:lang w:val="en-US" w:eastAsia="zh-CN"/>
        </w:rPr>
        <w:t>招标</w:t>
      </w:r>
      <w:r>
        <w:rPr>
          <w:rFonts w:hint="eastAsia" w:asciiTheme="minorEastAsia" w:hAnsiTheme="minorEastAsia" w:eastAsiaTheme="minorEastAsia" w:cstheme="minorEastAsia"/>
          <w:color w:val="000000"/>
          <w:sz w:val="21"/>
          <w:szCs w:val="22"/>
          <w:highlight w:val="none"/>
        </w:rPr>
        <w:t>不接受投标人委托中介机构或者中间人编制投标文件或代行办理投标事宜</w:t>
      </w:r>
      <w:r>
        <w:rPr>
          <w:rFonts w:hint="eastAsia" w:asciiTheme="minorEastAsia" w:hAnsiTheme="minorEastAsia" w:eastAsiaTheme="minorEastAsia" w:cstheme="minorEastAsia"/>
          <w:color w:val="auto"/>
          <w:sz w:val="21"/>
          <w:szCs w:val="22"/>
          <w:highlight w:val="none"/>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3.8 各投标人均可就本次招标的部分或全部标包投标。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sz w:val="21"/>
          <w:szCs w:val="22"/>
          <w:highlight w:val="none"/>
        </w:rPr>
      </w:pPr>
      <w:r>
        <w:rPr>
          <w:rFonts w:hint="eastAsia" w:asciiTheme="minorEastAsia" w:hAnsiTheme="minorEastAsia" w:eastAsiaTheme="minorEastAsia" w:cstheme="minorEastAsia"/>
          <w:color w:val="000000"/>
          <w:sz w:val="21"/>
          <w:szCs w:val="22"/>
          <w:highlight w:val="none"/>
        </w:rPr>
        <w:t>3.9 其他</w:t>
      </w:r>
    </w:p>
    <w:p>
      <w:pPr>
        <w:adjustRightInd w:val="0"/>
        <w:snapToGrid w:val="0"/>
        <w:spacing w:before="240" w:beforeLines="100" w:after="120" w:afterLines="50"/>
        <w:outlineLvl w:val="1"/>
        <w:rPr>
          <w:rFonts w:hint="default" w:ascii="黑体" w:hAnsi="Calibri" w:eastAsia="黑体"/>
          <w:b/>
          <w:color w:val="000000"/>
          <w:sz w:val="24"/>
          <w:szCs w:val="22"/>
          <w:highlight w:val="none"/>
        </w:rPr>
      </w:pPr>
      <w:bookmarkStart w:id="107" w:name="_bookmark5"/>
      <w:bookmarkEnd w:id="107"/>
      <w:bookmarkStart w:id="108" w:name="_Toc62221467"/>
      <w:bookmarkStart w:id="109" w:name="_Toc5548"/>
      <w:bookmarkStart w:id="110" w:name="_Toc14214"/>
      <w:bookmarkStart w:id="111" w:name="_Toc62549189"/>
      <w:bookmarkStart w:id="112" w:name="_Toc62221758"/>
      <w:bookmarkStart w:id="113" w:name="_Toc9218"/>
      <w:bookmarkStart w:id="114" w:name="_Toc62222574"/>
      <w:bookmarkStart w:id="115" w:name="_Toc62549133"/>
      <w:bookmarkStart w:id="116" w:name="_Toc12685"/>
      <w:bookmarkStart w:id="117" w:name="_Toc408"/>
      <w:bookmarkStart w:id="118" w:name="_Toc5537"/>
      <w:bookmarkStart w:id="119" w:name="_Toc31472"/>
      <w:bookmarkStart w:id="120" w:name="_Toc23417"/>
      <w:bookmarkStart w:id="121" w:name="_Toc62222026"/>
      <w:bookmarkStart w:id="122" w:name="_Toc32111"/>
      <w:bookmarkStart w:id="123" w:name="_Toc27496"/>
      <w:r>
        <w:rPr>
          <w:rFonts w:hint="eastAsia" w:ascii="黑体" w:hAnsi="Calibri" w:eastAsia="黑体"/>
          <w:b/>
          <w:color w:val="000000"/>
          <w:sz w:val="24"/>
          <w:szCs w:val="22"/>
          <w:highlight w:val="none"/>
        </w:rPr>
        <w:t>4.招标文件的获取</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4.1 招标文件（电子文件）免费获取。</w:t>
      </w:r>
    </w:p>
    <w:p>
      <w:pPr>
        <w:tabs>
          <w:tab w:val="left" w:pos="1134"/>
        </w:tabs>
        <w:wordWrap w:val="0"/>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4.2凡有意参加投标者，请于</w:t>
      </w:r>
      <w:r>
        <w:rPr>
          <w:rFonts w:hint="eastAsia" w:asciiTheme="minorEastAsia" w:hAnsiTheme="minorEastAsia" w:eastAsiaTheme="minorEastAsia" w:cstheme="minorEastAsia"/>
          <w:color w:val="FF0000"/>
          <w:sz w:val="21"/>
          <w:szCs w:val="22"/>
          <w:highlight w:val="none"/>
          <w:lang w:val="en-US" w:eastAsia="zh-CN"/>
        </w:rPr>
        <w:t>2025年6月17日-6月24日17:00</w:t>
      </w:r>
      <w:r>
        <w:rPr>
          <w:rFonts w:hint="eastAsia" w:asciiTheme="minorEastAsia" w:hAnsiTheme="minorEastAsia" w:eastAsiaTheme="minorEastAsia" w:cstheme="minorEastAsia"/>
          <w:color w:val="000000"/>
          <w:sz w:val="21"/>
          <w:szCs w:val="22"/>
          <w:highlight w:val="none"/>
        </w:rPr>
        <w:t>（北京时间，下同），登录招标人招投标交易平台信息系统（</w:t>
      </w:r>
      <w:r>
        <w:rPr>
          <w:rFonts w:hint="eastAsia" w:asciiTheme="minorEastAsia" w:hAnsiTheme="minorEastAsia" w:eastAsiaTheme="minorEastAsia" w:cstheme="minorEastAsia"/>
          <w:b/>
          <w:color w:val="000000"/>
          <w:sz w:val="21"/>
          <w:szCs w:val="22"/>
          <w:highlight w:val="none"/>
          <w:lang w:eastAsia="zh-CN"/>
        </w:rPr>
        <w:t>国家电网有限公司电子商务平台</w:t>
      </w:r>
      <w:r>
        <w:rPr>
          <w:rFonts w:hint="eastAsia" w:asciiTheme="minorEastAsia" w:hAnsiTheme="minorEastAsia" w:eastAsiaTheme="minorEastAsia" w:cstheme="minorEastAsia"/>
          <w:b/>
          <w:color w:val="000000"/>
          <w:sz w:val="21"/>
          <w:szCs w:val="22"/>
          <w:highlight w:val="none"/>
          <w:lang w:val="en-US" w:eastAsia="zh-CN"/>
        </w:rPr>
        <w:sym w:font="Wingdings" w:char="00A8"/>
      </w:r>
      <w:r>
        <w:rPr>
          <w:rFonts w:hint="eastAsia" w:asciiTheme="minorEastAsia" w:hAnsiTheme="minorEastAsia" w:eastAsiaTheme="minorEastAsia" w:cstheme="minorEastAsia"/>
          <w:b/>
          <w:color w:val="000000"/>
          <w:sz w:val="21"/>
          <w:szCs w:val="22"/>
          <w:highlight w:val="none"/>
        </w:rPr>
        <w:t>https://ecp.sgcc.com.cn</w:t>
      </w:r>
      <w:r>
        <w:rPr>
          <w:rFonts w:hint="eastAsia" w:asciiTheme="minorEastAsia" w:hAnsiTheme="minorEastAsia" w:eastAsiaTheme="minorEastAsia" w:cstheme="minorEastAsia"/>
          <w:b/>
          <w:color w:val="000000"/>
          <w:sz w:val="21"/>
          <w:szCs w:val="22"/>
          <w:highlight w:val="none"/>
          <w:lang w:val="en-US" w:eastAsia="zh-CN"/>
        </w:rPr>
        <w:t xml:space="preserve">  </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b/>
          <w:color w:val="000000"/>
          <w:sz w:val="21"/>
          <w:szCs w:val="22"/>
          <w:highlight w:val="none"/>
        </w:rPr>
        <w:t>https://sgccetp.com.cn）</w:t>
      </w:r>
      <w:r>
        <w:rPr>
          <w:rFonts w:hint="eastAsia" w:asciiTheme="minorEastAsia" w:hAnsiTheme="minorEastAsia" w:eastAsiaTheme="minorEastAsia" w:cstheme="minorEastAsia"/>
          <w:color w:val="000000"/>
          <w:sz w:val="21"/>
          <w:szCs w:val="22"/>
          <w:highlight w:val="none"/>
        </w:rPr>
        <w:t>获取招标文件，并按《电子招标投标办法》等国家法律法规要求，到第三方认证机构办理CA证书电子钥匙。投标人应妥善保管招标人招投标交易平台信息系统账号和密码，以及CA数字证书和密码，因上述账号、数字证书或密码保管不当造成的损失，由投标人自行承担。</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投标人应在招标人招投标交易平台信息系统注册并办理CA证书电子钥匙方可获取招标文件，电子钥匙的办理流程请登录招标人招投标交易平台信息系统首页“新手指引”→“电子钥匙办理须知及电子钥匙安装包”下载所有文件仔细阅读。电子钥匙的办理需要一定的时间，请潜在投标人高度重视。由于没有及时办理电子钥匙导致获取招标文件失败，由投标人自行承担相关责任。支持电话为：4009915500。</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4.3投标人需利用投标工具进行电子投标文件编制。投标工具下载方式：请各投标人在招标人招投标交易平台信息系统首页“下载专区→供应商投标工具”下载并安装。操作手册及注意事项见首页</w:t>
      </w:r>
      <w:r>
        <w:rPr>
          <w:rFonts w:hint="eastAsia" w:asciiTheme="minorEastAsia" w:hAnsiTheme="minorEastAsia" w:eastAsiaTheme="minorEastAsia" w:cstheme="minorEastAsia"/>
          <w:color w:val="auto"/>
          <w:sz w:val="21"/>
          <w:szCs w:val="22"/>
          <w:highlight w:val="none"/>
        </w:rPr>
        <w:t>“操作说明→ECP2.0招标采购流程供应商操作手册“或“演示视频→投标工具新U+操作指导视频”</w:t>
      </w:r>
      <w:r>
        <w:rPr>
          <w:rFonts w:hint="eastAsia" w:asciiTheme="minorEastAsia" w:hAnsiTheme="minorEastAsia" w:eastAsiaTheme="minorEastAsia" w:cstheme="minorEastAsia"/>
          <w:color w:val="000000"/>
          <w:sz w:val="21"/>
          <w:szCs w:val="22"/>
          <w:highlight w:val="none"/>
        </w:rPr>
        <w:t>。投标工具操作问题联系招标人招投标交易平台信息系统支持服务电话：010-63411000。使用投标工具电脑配置要求：内存大于8GB，64位操作系统。</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4.4注意事项</w:t>
      </w:r>
    </w:p>
    <w:p>
      <w:pPr>
        <w:adjustRightInd w:val="0"/>
        <w:snapToGrid w:val="0"/>
        <w:spacing w:before="240" w:beforeLines="100" w:after="120" w:afterLines="50"/>
        <w:outlineLvl w:val="1"/>
        <w:rPr>
          <w:rFonts w:hint="default" w:ascii="黑体" w:hAnsi="Calibri" w:eastAsia="黑体"/>
          <w:b/>
          <w:color w:val="000000"/>
          <w:sz w:val="24"/>
          <w:szCs w:val="22"/>
          <w:highlight w:val="none"/>
        </w:rPr>
      </w:pPr>
      <w:bookmarkStart w:id="124" w:name="_bookmark6"/>
      <w:bookmarkEnd w:id="124"/>
      <w:bookmarkStart w:id="125" w:name="_Toc4187"/>
      <w:bookmarkStart w:id="126" w:name="_Toc62221468"/>
      <w:bookmarkStart w:id="127" w:name="_Toc21329"/>
      <w:bookmarkStart w:id="128" w:name="_Toc62222575"/>
      <w:bookmarkStart w:id="129" w:name="_Toc27799"/>
      <w:bookmarkStart w:id="130" w:name="_Toc62221759"/>
      <w:bookmarkStart w:id="131" w:name="_Toc62222027"/>
      <w:bookmarkStart w:id="132" w:name="_Toc9876"/>
      <w:bookmarkStart w:id="133" w:name="_Toc1152"/>
      <w:bookmarkStart w:id="134" w:name="_Toc16643"/>
      <w:bookmarkStart w:id="135" w:name="_Toc62549190"/>
      <w:bookmarkStart w:id="136" w:name="_Toc28817"/>
      <w:bookmarkStart w:id="137" w:name="_Toc3269"/>
      <w:bookmarkStart w:id="138" w:name="_Toc2608"/>
      <w:bookmarkStart w:id="139" w:name="_Toc1043"/>
      <w:bookmarkStart w:id="140" w:name="_Toc62549134"/>
      <w:r>
        <w:rPr>
          <w:rFonts w:hint="eastAsia" w:ascii="黑体" w:hAnsi="Calibri" w:eastAsia="黑体"/>
          <w:b/>
          <w:color w:val="000000"/>
          <w:sz w:val="24"/>
          <w:szCs w:val="22"/>
          <w:highlight w:val="none"/>
        </w:rPr>
        <w:t>5.投标文件的</w:t>
      </w:r>
      <w:bookmarkEnd w:id="125"/>
      <w:bookmarkEnd w:id="126"/>
      <w:bookmarkEnd w:id="127"/>
      <w:bookmarkEnd w:id="128"/>
      <w:bookmarkEnd w:id="129"/>
      <w:bookmarkEnd w:id="130"/>
      <w:bookmarkEnd w:id="131"/>
      <w:bookmarkEnd w:id="132"/>
      <w:r>
        <w:rPr>
          <w:rFonts w:hint="eastAsia" w:ascii="黑体" w:hAnsi="Calibri" w:eastAsia="黑体"/>
          <w:b/>
          <w:color w:val="000000"/>
          <w:sz w:val="24"/>
          <w:szCs w:val="22"/>
          <w:highlight w:val="none"/>
        </w:rPr>
        <w:t>提交</w:t>
      </w:r>
      <w:bookmarkEnd w:id="133"/>
      <w:bookmarkEnd w:id="134"/>
      <w:bookmarkEnd w:id="135"/>
      <w:bookmarkEnd w:id="136"/>
      <w:bookmarkEnd w:id="137"/>
      <w:bookmarkEnd w:id="138"/>
      <w:bookmarkEnd w:id="139"/>
      <w:bookmarkEnd w:id="140"/>
    </w:p>
    <w:p>
      <w:pPr>
        <w:tabs>
          <w:tab w:val="left" w:pos="1200"/>
          <w:tab w:val="left" w:pos="3112"/>
          <w:tab w:val="left" w:pos="4600"/>
        </w:tabs>
        <w:spacing w:beforeLines="0" w:afterLines="0" w:line="400" w:lineRule="exact"/>
        <w:ind w:firstLine="420" w:firstLineChars="200"/>
        <w:rPr>
          <w:rFonts w:hint="eastAsia" w:asciiTheme="minorEastAsia" w:hAnsiTheme="minorEastAsia" w:eastAsiaTheme="minorEastAsia" w:cstheme="minorEastAsia"/>
          <w:color w:val="000000"/>
          <w:spacing w:val="7"/>
          <w:sz w:val="21"/>
          <w:szCs w:val="22"/>
          <w:highlight w:val="none"/>
        </w:rPr>
      </w:pPr>
      <w:bookmarkStart w:id="141" w:name="_bookmark7"/>
      <w:bookmarkEnd w:id="141"/>
      <w:r>
        <w:rPr>
          <w:rFonts w:hint="eastAsia" w:asciiTheme="minorEastAsia" w:hAnsiTheme="minorEastAsia" w:eastAsiaTheme="minorEastAsia" w:cstheme="minorEastAsia"/>
          <w:color w:val="000000"/>
          <w:sz w:val="21"/>
          <w:szCs w:val="22"/>
          <w:highlight w:val="none"/>
        </w:rPr>
        <w:t xml:space="preserve">5.1 </w:t>
      </w:r>
      <w:r>
        <w:rPr>
          <w:rFonts w:hint="eastAsia" w:asciiTheme="minorEastAsia" w:hAnsiTheme="minorEastAsia" w:eastAsiaTheme="minorEastAsia" w:cstheme="minorEastAsia"/>
          <w:b/>
          <w:color w:val="000000"/>
          <w:spacing w:val="7"/>
          <w:sz w:val="21"/>
          <w:szCs w:val="22"/>
          <w:highlight w:val="none"/>
        </w:rPr>
        <w:t>投标文件提交的截止时间（投标截止时间，下同）为</w:t>
      </w:r>
      <w:r>
        <w:rPr>
          <w:rFonts w:hint="eastAsia" w:asciiTheme="minorEastAsia" w:hAnsiTheme="minorEastAsia" w:eastAsiaTheme="minorEastAsia" w:cstheme="minorEastAsia"/>
          <w:b w:val="0"/>
          <w:bCs/>
          <w:color w:val="FF0000"/>
          <w:spacing w:val="7"/>
          <w:sz w:val="21"/>
          <w:szCs w:val="22"/>
          <w:highlight w:val="none"/>
          <w:lang w:val="en-US" w:eastAsia="zh-CN"/>
        </w:rPr>
        <w:t>2025年7月8日9：00</w:t>
      </w:r>
      <w:r>
        <w:rPr>
          <w:rFonts w:hint="eastAsia" w:asciiTheme="minorEastAsia" w:hAnsiTheme="minorEastAsia" w:eastAsiaTheme="minorEastAsia" w:cstheme="minorEastAsia"/>
          <w:b/>
          <w:color w:val="000000"/>
          <w:spacing w:val="7"/>
          <w:sz w:val="21"/>
          <w:szCs w:val="22"/>
          <w:highlight w:val="none"/>
        </w:rPr>
        <w:t>（北京时间）。</w:t>
      </w:r>
    </w:p>
    <w:p>
      <w:pPr>
        <w:adjustRightInd w:val="0"/>
        <w:snapToGrid w:val="0"/>
        <w:spacing w:beforeLines="0" w:afterLines="0" w:line="400" w:lineRule="exact"/>
        <w:ind w:firstLine="422"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b/>
          <w:color w:val="000000"/>
          <w:sz w:val="21"/>
          <w:szCs w:val="22"/>
          <w:highlight w:val="none"/>
        </w:rPr>
        <w:t>投标文件提交时间：</w:t>
      </w:r>
      <w:r>
        <w:rPr>
          <w:rFonts w:hint="eastAsia" w:asciiTheme="minorEastAsia" w:hAnsiTheme="minorEastAsia" w:eastAsiaTheme="minorEastAsia" w:cstheme="minorEastAsia"/>
          <w:color w:val="000000"/>
          <w:sz w:val="21"/>
          <w:szCs w:val="22"/>
          <w:highlight w:val="none"/>
        </w:rPr>
        <w:t>所有投标文件应当在投标截止时间前递交（提交）招标人。</w:t>
      </w:r>
    </w:p>
    <w:p>
      <w:pPr>
        <w:adjustRightInd w:val="0"/>
        <w:snapToGrid w:val="0"/>
        <w:spacing w:beforeLines="0" w:afterLines="0" w:line="400" w:lineRule="exact"/>
        <w:ind w:firstLine="422" w:firstLineChars="200"/>
        <w:rPr>
          <w:rFonts w:hint="eastAsia" w:asciiTheme="minorEastAsia" w:hAnsiTheme="minorEastAsia" w:eastAsiaTheme="minorEastAsia" w:cstheme="minorEastAsia"/>
          <w:b/>
          <w:color w:val="000000"/>
          <w:sz w:val="21"/>
          <w:szCs w:val="22"/>
          <w:highlight w:val="none"/>
        </w:rPr>
      </w:pPr>
      <w:r>
        <w:rPr>
          <w:rFonts w:hint="eastAsia" w:asciiTheme="minorEastAsia" w:hAnsiTheme="minorEastAsia" w:eastAsiaTheme="minorEastAsia" w:cstheme="minorEastAsia"/>
          <w:b/>
          <w:color w:val="000000"/>
          <w:sz w:val="21"/>
          <w:szCs w:val="22"/>
          <w:highlight w:val="none"/>
        </w:rPr>
        <w:t>投标文件提交地点：</w:t>
      </w:r>
      <w:r>
        <w:rPr>
          <w:rFonts w:hint="eastAsia" w:asciiTheme="minorEastAsia" w:hAnsiTheme="minorEastAsia" w:eastAsiaTheme="minorEastAsia" w:cstheme="minorEastAsia"/>
          <w:color w:val="000000"/>
          <w:sz w:val="21"/>
          <w:szCs w:val="22"/>
          <w:highlight w:val="none"/>
        </w:rPr>
        <w:t>电子投标文件提交招标人招投标交易平台信息系统。</w:t>
      </w:r>
    </w:p>
    <w:p>
      <w:pPr>
        <w:adjustRightInd w:val="0"/>
        <w:snapToGrid w:val="0"/>
        <w:spacing w:beforeLines="0" w:afterLines="0" w:line="400" w:lineRule="exact"/>
        <w:ind w:firstLine="422" w:firstLineChars="200"/>
        <w:rPr>
          <w:rFonts w:hint="eastAsia" w:asciiTheme="minorEastAsia" w:hAnsiTheme="minorEastAsia" w:eastAsiaTheme="minorEastAsia" w:cstheme="minorEastAsia"/>
          <w:b/>
          <w:color w:val="000000"/>
          <w:sz w:val="21"/>
          <w:szCs w:val="22"/>
          <w:highlight w:val="none"/>
        </w:rPr>
      </w:pPr>
      <w:r>
        <w:rPr>
          <w:rFonts w:hint="eastAsia" w:asciiTheme="minorEastAsia" w:hAnsiTheme="minorEastAsia" w:eastAsiaTheme="minorEastAsia" w:cstheme="minorEastAsia"/>
          <w:b/>
          <w:sz w:val="21"/>
          <w:szCs w:val="22"/>
          <w:highlight w:val="none"/>
        </w:rPr>
        <w:t>电子投标文件递交方式详见第六章投标文件格式。如要求全部文件上传</w:t>
      </w:r>
      <w:r>
        <w:rPr>
          <w:rFonts w:hint="eastAsia" w:asciiTheme="minorEastAsia" w:hAnsiTheme="minorEastAsia" w:eastAsiaTheme="minorEastAsia" w:cstheme="minorEastAsia"/>
          <w:b/>
          <w:sz w:val="21"/>
          <w:szCs w:val="22"/>
          <w:highlight w:val="none"/>
          <w:lang w:eastAsia="zh-CN"/>
        </w:rPr>
        <w:t>招标人招投标交易平台信息系统</w:t>
      </w:r>
      <w:r>
        <w:rPr>
          <w:rFonts w:hint="eastAsia" w:asciiTheme="minorEastAsia" w:hAnsiTheme="minorEastAsia" w:eastAsiaTheme="minorEastAsia" w:cstheme="minorEastAsia"/>
          <w:b/>
          <w:sz w:val="21"/>
          <w:szCs w:val="22"/>
          <w:highlight w:val="none"/>
        </w:rPr>
        <w:t>，投标人仅可通过</w:t>
      </w:r>
      <w:r>
        <w:rPr>
          <w:rFonts w:hint="eastAsia" w:asciiTheme="minorEastAsia" w:hAnsiTheme="minorEastAsia" w:eastAsiaTheme="minorEastAsia" w:cstheme="minorEastAsia"/>
          <w:b/>
          <w:sz w:val="21"/>
          <w:szCs w:val="22"/>
          <w:highlight w:val="none"/>
          <w:lang w:eastAsia="zh-CN"/>
        </w:rPr>
        <w:t>招标人招投标交易平台信息系统</w:t>
      </w:r>
      <w:r>
        <w:rPr>
          <w:rFonts w:hint="eastAsia" w:asciiTheme="minorEastAsia" w:hAnsiTheme="minorEastAsia" w:eastAsiaTheme="minorEastAsia" w:cstheme="minorEastAsia"/>
          <w:b/>
          <w:sz w:val="21"/>
          <w:szCs w:val="22"/>
          <w:highlight w:val="none"/>
        </w:rPr>
        <w:t>提交全部投标文件；对于受</w:t>
      </w:r>
      <w:r>
        <w:rPr>
          <w:rFonts w:hint="eastAsia" w:asciiTheme="minorEastAsia" w:hAnsiTheme="minorEastAsia" w:eastAsiaTheme="minorEastAsia" w:cstheme="minorEastAsia"/>
          <w:b/>
          <w:sz w:val="21"/>
          <w:szCs w:val="22"/>
          <w:highlight w:val="none"/>
          <w:lang w:eastAsia="zh-CN"/>
        </w:rPr>
        <w:t>招标人招投标交易平台信息系统</w:t>
      </w:r>
      <w:r>
        <w:rPr>
          <w:rFonts w:hint="eastAsia" w:asciiTheme="minorEastAsia" w:hAnsiTheme="minorEastAsia" w:eastAsiaTheme="minorEastAsia" w:cstheme="minorEastAsia"/>
          <w:b/>
          <w:sz w:val="21"/>
          <w:szCs w:val="22"/>
          <w:highlight w:val="none"/>
        </w:rPr>
        <w:t>容量限制，要求通过网盘递交的文件，投标人需</w:t>
      </w:r>
      <w:r>
        <w:rPr>
          <w:rFonts w:hint="eastAsia" w:asciiTheme="minorEastAsia" w:hAnsiTheme="minorEastAsia" w:eastAsiaTheme="minorEastAsia" w:cstheme="minorEastAsia"/>
          <w:b/>
          <w:color w:val="000000"/>
          <w:sz w:val="21"/>
          <w:szCs w:val="22"/>
          <w:highlight w:val="none"/>
        </w:rPr>
        <w:t>应用投标工具U+商务技术大文件功能加密提交网盘文件，</w:t>
      </w:r>
      <w:r>
        <w:rPr>
          <w:rFonts w:hint="eastAsia" w:asciiTheme="minorEastAsia" w:hAnsiTheme="minorEastAsia" w:eastAsiaTheme="minorEastAsia" w:cstheme="minorEastAsia"/>
          <w:b/>
          <w:color w:val="000000"/>
          <w:spacing w:val="7"/>
          <w:sz w:val="21"/>
          <w:szCs w:val="22"/>
          <w:highlight w:val="none"/>
        </w:rPr>
        <w:t>在</w:t>
      </w:r>
      <w:r>
        <w:rPr>
          <w:rFonts w:hint="eastAsia" w:asciiTheme="minorEastAsia" w:hAnsiTheme="minorEastAsia" w:eastAsiaTheme="minorEastAsia" w:cstheme="minorEastAsia"/>
          <w:b/>
          <w:color w:val="000000"/>
          <w:sz w:val="21"/>
          <w:szCs w:val="22"/>
          <w:highlight w:val="none"/>
          <w:lang w:bidi="ar"/>
        </w:rPr>
        <w:t>投标截止时间前完成上传提交。</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5.2 投标截止时间之前未成功提交至招标人招投标交易平台信息系统的电子投标文件，招标人不予受理。不接受未按规定加密的投标文件及投标文件的修改文件。</w:t>
      </w:r>
      <w:r>
        <w:rPr>
          <w:rFonts w:hint="eastAsia" w:asciiTheme="minorEastAsia" w:hAnsiTheme="minorEastAsia" w:eastAsiaTheme="minorEastAsia" w:cstheme="minorEastAsia"/>
          <w:color w:val="000000"/>
          <w:sz w:val="21"/>
          <w:szCs w:val="22"/>
          <w:highlight w:val="none"/>
        </w:rPr>
        <w:t>不接受邮寄、现场提交等电子提交方式以外的其他方式提交投标文件及投标文件的修改文件。</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5.3未按招标公告规定的时间和方式获取并下载招标文件的投标，招标人将不予受理。</w:t>
      </w:r>
      <w:bookmarkStart w:id="142" w:name="_MON_1697628392"/>
      <w:bookmarkEnd w:id="142"/>
    </w:p>
    <w:p>
      <w:pPr>
        <w:spacing w:before="240" w:beforeLines="100" w:after="120" w:afterLines="50"/>
        <w:outlineLvl w:val="1"/>
        <w:rPr>
          <w:rFonts w:hint="default" w:ascii="黑体" w:hAnsi="Calibri" w:eastAsia="黑体"/>
          <w:b/>
          <w:color w:val="000000"/>
          <w:sz w:val="24"/>
          <w:szCs w:val="22"/>
          <w:highlight w:val="none"/>
        </w:rPr>
      </w:pPr>
      <w:bookmarkStart w:id="143" w:name="_Toc62221469"/>
      <w:bookmarkStart w:id="144" w:name="_Toc4653"/>
      <w:bookmarkStart w:id="145" w:name="_Toc62222028"/>
      <w:bookmarkStart w:id="146" w:name="_Toc62549135"/>
      <w:bookmarkStart w:id="147" w:name="_Toc19827"/>
      <w:bookmarkStart w:id="148" w:name="_Toc62549191"/>
      <w:bookmarkStart w:id="149" w:name="_Toc3709"/>
      <w:bookmarkStart w:id="150" w:name="_Toc24960"/>
      <w:bookmarkStart w:id="151" w:name="_Toc673"/>
      <w:bookmarkStart w:id="152" w:name="_Toc62222576"/>
      <w:bookmarkStart w:id="153" w:name="_Toc29315"/>
      <w:bookmarkStart w:id="154" w:name="_Toc13549"/>
      <w:bookmarkStart w:id="155" w:name="_Toc3280"/>
      <w:bookmarkStart w:id="156" w:name="_Toc1708"/>
      <w:bookmarkStart w:id="157" w:name="_Toc19693"/>
      <w:bookmarkStart w:id="158" w:name="_Toc62221760"/>
      <w:r>
        <w:rPr>
          <w:rFonts w:hint="eastAsia" w:ascii="黑体" w:hAnsi="Calibri" w:eastAsia="黑体"/>
          <w:b/>
          <w:color w:val="000000"/>
          <w:sz w:val="24"/>
          <w:szCs w:val="22"/>
          <w:highlight w:val="none"/>
        </w:rPr>
        <w:t>6.发布公告的媒介</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bookmarkStart w:id="159" w:name="_bookmark8"/>
      <w:bookmarkEnd w:id="159"/>
      <w:bookmarkStart w:id="160" w:name="_Toc62549136"/>
      <w:bookmarkStart w:id="161" w:name="_Toc28144"/>
      <w:bookmarkStart w:id="162" w:name="_Toc27595"/>
      <w:bookmarkStart w:id="163" w:name="_Toc62221761"/>
      <w:bookmarkStart w:id="164" w:name="_Toc28489"/>
      <w:bookmarkStart w:id="165" w:name="_Toc2579"/>
      <w:bookmarkStart w:id="166" w:name="_Toc62221470"/>
      <w:bookmarkStart w:id="167" w:name="_Toc17309"/>
      <w:bookmarkStart w:id="168" w:name="_Toc30950"/>
      <w:bookmarkStart w:id="169" w:name="_Toc2902"/>
      <w:bookmarkStart w:id="170" w:name="_Toc62549192"/>
      <w:bookmarkStart w:id="171" w:name="_Toc16274"/>
      <w:bookmarkStart w:id="172" w:name="_Toc62222029"/>
      <w:bookmarkStart w:id="173" w:name="_Toc811"/>
      <w:bookmarkStart w:id="174" w:name="_Toc62222577"/>
      <w:bookmarkStart w:id="175" w:name="_Toc22190"/>
      <w:r>
        <w:rPr>
          <w:rFonts w:hint="eastAsia" w:asciiTheme="minorEastAsia" w:hAnsiTheme="minorEastAsia" w:eastAsiaTheme="minorEastAsia" w:cstheme="minorEastAsia"/>
          <w:color w:val="000000"/>
          <w:sz w:val="21"/>
          <w:szCs w:val="22"/>
          <w:highlight w:val="none"/>
        </w:rPr>
        <w:t>本次招标公告在招标人招投标交易平台信息系统、中国招标投标公共服务平台（</w:t>
      </w:r>
      <w:bookmarkStart w:id="176" w:name="_Hlk511312026"/>
      <w:r>
        <w:rPr>
          <w:rFonts w:hint="eastAsia" w:asciiTheme="minorEastAsia" w:hAnsiTheme="minorEastAsia" w:eastAsiaTheme="minorEastAsia" w:cstheme="minorEastAsia"/>
          <w:color w:val="000000"/>
          <w:sz w:val="21"/>
          <w:szCs w:val="22"/>
          <w:highlight w:val="none"/>
        </w:rPr>
        <w:t>http://www.cebpubservice.com</w:t>
      </w:r>
      <w:bookmarkEnd w:id="176"/>
      <w:r>
        <w:rPr>
          <w:rFonts w:hint="eastAsia" w:asciiTheme="minorEastAsia" w:hAnsiTheme="minorEastAsia" w:eastAsiaTheme="minorEastAsia" w:cstheme="minorEastAsia"/>
          <w:color w:val="000000"/>
          <w:sz w:val="21"/>
          <w:szCs w:val="22"/>
          <w:highlight w:val="none"/>
        </w:rPr>
        <w:t>）上发布。</w:t>
      </w:r>
    </w:p>
    <w:p>
      <w:pPr>
        <w:pStyle w:val="8"/>
        <w:ind w:firstLine="4200" w:firstLineChars="2000"/>
        <w:rPr>
          <w:rFonts w:hint="eastAsia" w:asciiTheme="minorEastAsia" w:hAnsiTheme="minorEastAsia" w:eastAsiaTheme="minorEastAsia" w:cstheme="minorEastAsia"/>
          <w:color w:val="000000"/>
          <w:kern w:val="2"/>
          <w:sz w:val="21"/>
          <w:szCs w:val="22"/>
          <w:highlight w:val="none"/>
          <w:lang w:val="en-US" w:eastAsia="zh-CN" w:bidi="ar-SA"/>
        </w:rPr>
      </w:pPr>
    </w:p>
    <w:p>
      <w:pPr>
        <w:adjustRightInd w:val="0"/>
        <w:snapToGrid w:val="0"/>
        <w:spacing w:before="240" w:beforeLines="100" w:after="120" w:afterLines="50"/>
        <w:outlineLvl w:val="1"/>
        <w:rPr>
          <w:rFonts w:hint="default" w:ascii="黑体" w:hAnsi="Calibri" w:eastAsia="黑体"/>
          <w:b/>
          <w:color w:val="000000"/>
          <w:sz w:val="24"/>
          <w:szCs w:val="22"/>
          <w:highlight w:val="none"/>
        </w:rPr>
      </w:pPr>
      <w:r>
        <w:rPr>
          <w:rFonts w:hint="eastAsia" w:ascii="黑体" w:hAnsi="Calibri" w:eastAsia="黑体"/>
          <w:b/>
          <w:color w:val="000000"/>
          <w:sz w:val="24"/>
          <w:szCs w:val="22"/>
          <w:highlight w:val="none"/>
        </w:rPr>
        <w:t>7.联系方式</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招标人:</w:t>
      </w:r>
      <w:r>
        <w:rPr>
          <w:rFonts w:hint="eastAsia" w:asciiTheme="minorEastAsia" w:hAnsiTheme="minorEastAsia" w:eastAsiaTheme="minorEastAsia" w:cstheme="minorEastAsia"/>
          <w:color w:val="auto"/>
          <w:sz w:val="21"/>
          <w:szCs w:val="22"/>
          <w:highlight w:val="none"/>
          <w:lang w:val="en-US" w:eastAsia="zh-CN"/>
        </w:rPr>
        <w:t>国网安徽省电力有限公司合肥供电公司</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地址:</w:t>
      </w:r>
      <w:r>
        <w:rPr>
          <w:rFonts w:hint="eastAsia" w:asciiTheme="minorEastAsia" w:hAnsiTheme="minorEastAsia" w:eastAsiaTheme="minorEastAsia" w:cstheme="minorEastAsia"/>
          <w:color w:val="auto"/>
          <w:sz w:val="21"/>
          <w:szCs w:val="22"/>
          <w:highlight w:val="none"/>
          <w:lang w:eastAsia="zh-CN"/>
        </w:rPr>
        <w:t>安徽省合肥市宿松路133号</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邮编：</w:t>
      </w:r>
      <w:r>
        <w:rPr>
          <w:rFonts w:hint="eastAsia" w:asciiTheme="minorEastAsia" w:hAnsiTheme="minorEastAsia" w:eastAsiaTheme="minorEastAsia" w:cstheme="minorEastAsia"/>
          <w:color w:val="auto"/>
          <w:sz w:val="21"/>
          <w:szCs w:val="22"/>
          <w:highlight w:val="none"/>
          <w:lang w:val="en-US" w:eastAsia="zh-CN"/>
        </w:rPr>
        <w:t>230022</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招标代理机构：</w:t>
      </w:r>
      <w:r>
        <w:rPr>
          <w:rFonts w:hint="eastAsia" w:asciiTheme="minorEastAsia" w:hAnsiTheme="minorEastAsia" w:eastAsiaTheme="minorEastAsia" w:cstheme="minorEastAsia"/>
          <w:color w:val="auto"/>
          <w:sz w:val="21"/>
          <w:szCs w:val="22"/>
          <w:highlight w:val="none"/>
          <w:lang w:eastAsia="zh-CN"/>
        </w:rPr>
        <w:t>安徽明生电力工程咨询有限公司招标分公司</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地址：</w:t>
      </w:r>
      <w:r>
        <w:rPr>
          <w:rFonts w:hint="eastAsia" w:asciiTheme="minorEastAsia" w:hAnsiTheme="minorEastAsia" w:eastAsiaTheme="minorEastAsia" w:cstheme="minorEastAsia"/>
          <w:color w:val="auto"/>
          <w:sz w:val="21"/>
          <w:szCs w:val="22"/>
          <w:highlight w:val="none"/>
          <w:lang w:eastAsia="zh-CN"/>
        </w:rPr>
        <w:t>安徽省合肥市黄山路270号</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邮编：</w:t>
      </w:r>
      <w:r>
        <w:rPr>
          <w:rFonts w:hint="eastAsia" w:asciiTheme="minorEastAsia" w:hAnsiTheme="minorEastAsia" w:eastAsiaTheme="minorEastAsia" w:cstheme="minorEastAsia"/>
          <w:color w:val="auto"/>
          <w:sz w:val="21"/>
          <w:szCs w:val="22"/>
          <w:highlight w:val="none"/>
          <w:lang w:val="en-US" w:eastAsia="zh-CN"/>
        </w:rPr>
        <w:t>230061</w:t>
      </w:r>
    </w:p>
    <w:p>
      <w:pPr>
        <w:tabs>
          <w:tab w:val="left" w:pos="1134"/>
        </w:tabs>
        <w:adjustRightInd w:val="0"/>
        <w:snapToGrid w:val="0"/>
        <w:spacing w:beforeLines="0" w:afterLines="0" w:line="400" w:lineRule="exact"/>
        <w:rPr>
          <w:rFonts w:hint="eastAsia" w:asciiTheme="minorEastAsia" w:hAnsiTheme="minorEastAsia" w:eastAsiaTheme="minorEastAsia" w:cstheme="minorEastAsia"/>
          <w:color w:val="FF0000"/>
          <w:sz w:val="21"/>
          <w:szCs w:val="22"/>
          <w:highlight w:val="none"/>
        </w:rPr>
      </w:pPr>
      <w:r>
        <w:rPr>
          <w:rFonts w:hint="eastAsia" w:asciiTheme="minorEastAsia" w:hAnsiTheme="minorEastAsia" w:eastAsiaTheme="minorEastAsia" w:cstheme="minorEastAsia"/>
          <w:color w:val="000000"/>
          <w:sz w:val="21"/>
          <w:szCs w:val="22"/>
          <w:highlight w:val="none"/>
        </w:rPr>
        <w:t>联系人电话：</w:t>
      </w:r>
      <w:r>
        <w:rPr>
          <w:rFonts w:hint="eastAsia" w:asciiTheme="minorEastAsia" w:hAnsiTheme="minorEastAsia" w:eastAsiaTheme="minorEastAsia" w:cstheme="minorEastAsia"/>
          <w:color w:val="auto"/>
          <w:sz w:val="21"/>
          <w:szCs w:val="22"/>
          <w:highlight w:val="none"/>
          <w:lang w:val="en-US" w:eastAsia="zh-CN"/>
        </w:rPr>
        <w:t>宣工0551-69128522、王工0551-69128161、喻工0551-69128506</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FF0000"/>
          <w:sz w:val="21"/>
          <w:szCs w:val="22"/>
          <w:highlight w:val="none"/>
        </w:rPr>
      </w:pPr>
      <w:r>
        <w:rPr>
          <w:rFonts w:hint="eastAsia" w:asciiTheme="minorEastAsia" w:hAnsiTheme="minorEastAsia" w:eastAsiaTheme="minorEastAsia" w:cstheme="minorEastAsia"/>
          <w:color w:val="000000"/>
          <w:sz w:val="21"/>
          <w:szCs w:val="22"/>
          <w:highlight w:val="none"/>
        </w:rPr>
        <w:t>电子邮件：</w:t>
      </w:r>
      <w:r>
        <w:rPr>
          <w:rFonts w:hint="eastAsia" w:asciiTheme="minorEastAsia" w:hAnsiTheme="minorEastAsia" w:eastAsiaTheme="minorEastAsia" w:cstheme="minorEastAsia"/>
          <w:color w:val="auto"/>
          <w:sz w:val="21"/>
          <w:szCs w:val="22"/>
          <w:highlight w:val="none"/>
          <w:lang w:val="en-US" w:eastAsia="zh-CN"/>
        </w:rPr>
        <w:t>mszblw@ahdlzb.com</w:t>
      </w:r>
    </w:p>
    <w:p>
      <w:pPr>
        <w:adjustRightInd w:val="0"/>
        <w:snapToGrid w:val="0"/>
        <w:spacing w:before="240" w:beforeLines="100" w:after="120" w:afterLines="50"/>
        <w:outlineLvl w:val="1"/>
        <w:rPr>
          <w:rFonts w:hint="default" w:ascii="黑体" w:hAnsi="Calibri" w:eastAsia="黑体"/>
          <w:b/>
          <w:color w:val="000000"/>
          <w:sz w:val="24"/>
          <w:szCs w:val="22"/>
          <w:highlight w:val="none"/>
        </w:rPr>
      </w:pPr>
      <w:bookmarkStart w:id="177" w:name="_Toc5492"/>
      <w:bookmarkStart w:id="178" w:name="_Toc17389"/>
      <w:bookmarkStart w:id="179" w:name="_Toc5543"/>
      <w:bookmarkStart w:id="180" w:name="_Toc62549137"/>
      <w:bookmarkStart w:id="181" w:name="_Toc5041"/>
      <w:bookmarkStart w:id="182" w:name="_Toc62222578"/>
      <w:bookmarkStart w:id="183" w:name="_Toc5800"/>
      <w:bookmarkStart w:id="184" w:name="_Toc62221471"/>
      <w:bookmarkStart w:id="185" w:name="_Toc647"/>
      <w:bookmarkStart w:id="186" w:name="_Toc62222030"/>
      <w:bookmarkStart w:id="187" w:name="_Toc62549193"/>
      <w:bookmarkStart w:id="188" w:name="_Toc62221762"/>
      <w:bookmarkStart w:id="189" w:name="_Toc12187"/>
      <w:bookmarkStart w:id="190" w:name="_Toc4038"/>
      <w:bookmarkStart w:id="191" w:name="_Toc9769"/>
      <w:bookmarkStart w:id="192" w:name="_Toc20257"/>
      <w:r>
        <w:rPr>
          <w:rFonts w:hint="eastAsia" w:ascii="黑体" w:hAnsi="Calibri" w:eastAsia="黑体"/>
          <w:b/>
          <w:color w:val="000000"/>
          <w:sz w:val="24"/>
          <w:szCs w:val="22"/>
          <w:highlight w:val="none"/>
        </w:rPr>
        <w:t>8.合规声明</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lang w:eastAsia="zh-CN"/>
        </w:rPr>
      </w:pPr>
      <w:r>
        <w:rPr>
          <w:rFonts w:hint="eastAsia" w:asciiTheme="minorEastAsia" w:hAnsiTheme="minorEastAsia" w:eastAsiaTheme="minorEastAsia" w:cstheme="minorEastAsia"/>
          <w:color w:val="000000"/>
          <w:sz w:val="21"/>
          <w:szCs w:val="22"/>
          <w:highlight w:val="none"/>
        </w:rPr>
        <w:t>本招标文件（包括商务部分和技术部分）符合国家现行法律法规规定，若国家颁布新的法律法规或对现有法律法规进行修订，以新施行的法律法规规定为准</w:t>
      </w:r>
      <w:r>
        <w:rPr>
          <w:rFonts w:hint="eastAsia" w:asciiTheme="minorEastAsia" w:hAnsiTheme="minorEastAsia" w:eastAsiaTheme="minorEastAsia" w:cstheme="minorEastAsia"/>
          <w:color w:val="000000"/>
          <w:sz w:val="21"/>
          <w:szCs w:val="22"/>
          <w:highlight w:val="none"/>
          <w:lang w:eastAsia="zh-CN"/>
        </w:rPr>
        <w:t>，。</w:t>
      </w:r>
    </w:p>
    <w:p>
      <w:pPr>
        <w:adjustRightInd w:val="0"/>
        <w:snapToGrid w:val="0"/>
        <w:spacing w:before="240" w:beforeLines="100" w:after="120" w:afterLines="50"/>
        <w:outlineLvl w:val="1"/>
        <w:rPr>
          <w:rFonts w:hint="default" w:ascii="黑体" w:hAnsi="Calibri" w:eastAsia="黑体"/>
          <w:b/>
          <w:color w:val="000000"/>
          <w:sz w:val="24"/>
          <w:szCs w:val="22"/>
          <w:highlight w:val="none"/>
        </w:rPr>
      </w:pPr>
      <w:r>
        <w:rPr>
          <w:rFonts w:hint="eastAsia" w:ascii="黑体" w:hAnsi="Calibri" w:eastAsia="黑体"/>
          <w:b/>
          <w:color w:val="000000"/>
          <w:sz w:val="24"/>
          <w:szCs w:val="22"/>
          <w:highlight w:val="none"/>
        </w:rPr>
        <w:t>9.权利声明</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sz w:val="21"/>
          <w:szCs w:val="22"/>
          <w:highlight w:val="none"/>
        </w:rPr>
      </w:pPr>
      <w:r>
        <w:rPr>
          <w:rFonts w:hint="eastAsia" w:asciiTheme="minorEastAsia" w:hAnsiTheme="minorEastAsia" w:eastAsiaTheme="minorEastAsia" w:cstheme="minorEastAsia"/>
          <w:color w:val="000000"/>
          <w:sz w:val="21"/>
          <w:szCs w:val="22"/>
          <w:highlight w:val="none"/>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pPr>
        <w:wordWrap w:val="0"/>
        <w:spacing w:beforeLines="0" w:afterLines="0"/>
        <w:ind w:firstLine="560" w:firstLineChars="200"/>
        <w:jc w:val="right"/>
        <w:rPr>
          <w:rFonts w:hint="default" w:ascii="黑体" w:eastAsia="黑体"/>
          <w:color w:val="FF0000"/>
          <w:sz w:val="28"/>
          <w:szCs w:val="28"/>
          <w:highlight w:val="none"/>
        </w:rPr>
      </w:pPr>
    </w:p>
    <w:p>
      <w:pPr>
        <w:wordWrap w:val="0"/>
        <w:spacing w:beforeLines="0" w:afterLines="0"/>
        <w:ind w:firstLine="420" w:firstLineChars="200"/>
        <w:jc w:val="right"/>
        <w:rPr>
          <w:rFonts w:hint="default" w:eastAsia="宋体"/>
          <w:color w:val="000000"/>
          <w:sz w:val="21"/>
          <w:szCs w:val="22"/>
          <w:highlight w:val="none"/>
        </w:rPr>
        <w:sectPr>
          <w:headerReference r:id="rId4" w:type="default"/>
          <w:footerReference r:id="rId5" w:type="default"/>
          <w:pgSz w:w="11906" w:h="16838"/>
          <w:pgMar w:top="1134" w:right="1800" w:bottom="1134" w:left="1800" w:header="851" w:footer="992" w:gutter="0"/>
          <w:pgNumType w:start="1"/>
          <w:cols w:space="720" w:num="1"/>
          <w:docGrid w:linePitch="312" w:charSpace="0"/>
        </w:sectPr>
      </w:pPr>
      <w:r>
        <w:rPr>
          <w:rFonts w:hint="eastAsia" w:asciiTheme="minorEastAsia" w:hAnsiTheme="minorEastAsia" w:eastAsiaTheme="minorEastAsia" w:cstheme="minorEastAsia"/>
          <w:color w:val="auto"/>
          <w:sz w:val="21"/>
          <w:szCs w:val="22"/>
          <w:highlight w:val="none"/>
          <w:lang w:val="en-US" w:eastAsia="zh-CN"/>
        </w:rPr>
        <w:t>2025年6月17日</w:t>
      </w:r>
    </w:p>
    <w:p>
      <w:pPr>
        <w:pStyle w:val="18"/>
        <w:spacing w:beforeLines="0" w:afterLines="0"/>
        <w:rPr>
          <w:rFonts w:hint="default" w:ascii="黑体" w:hAnsi="黑体" w:eastAsia="黑体" w:cs="黑体"/>
          <w:b/>
          <w:color w:val="000000"/>
          <w:kern w:val="2"/>
          <w:sz w:val="24"/>
          <w:szCs w:val="24"/>
          <w:highlight w:val="none"/>
          <w:lang w:val="en-US"/>
        </w:rPr>
      </w:pPr>
      <w:r>
        <w:rPr>
          <w:rFonts w:hint="eastAsia" w:ascii="黑体" w:hAnsi="黑体" w:eastAsia="黑体" w:cs="黑体"/>
          <w:b/>
          <w:color w:val="000000"/>
          <w:kern w:val="2"/>
          <w:sz w:val="24"/>
          <w:szCs w:val="24"/>
          <w:highlight w:val="none"/>
          <w:lang w:val="en-US"/>
        </w:rPr>
        <w:t>招标公告附件</w:t>
      </w:r>
    </w:p>
    <w:p>
      <w:pPr>
        <w:pStyle w:val="18"/>
        <w:outlineLvl w:val="0"/>
        <w:rPr>
          <w:rFonts w:hint="default" w:ascii="宋体" w:hAnsi="宋体" w:eastAsia="宋体" w:cs="宋体"/>
          <w:b/>
          <w:color w:val="FF0000"/>
          <w:sz w:val="21"/>
          <w:highlight w:val="none"/>
          <w:lang w:val="en-US" w:eastAsia="zh-CN"/>
        </w:rPr>
      </w:pPr>
      <w:r>
        <w:rPr>
          <w:rFonts w:hint="eastAsia" w:cs="宋体"/>
          <w:b/>
          <w:color w:val="FF0000"/>
          <w:sz w:val="21"/>
          <w:highlight w:val="none"/>
          <w:lang w:val="en-US" w:eastAsia="zh-CN"/>
        </w:rPr>
        <w:t>附件1 招标范围</w:t>
      </w:r>
    </w:p>
    <w:tbl>
      <w:tblPr>
        <w:tblStyle w:val="15"/>
        <w:tblW w:w="1345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1"/>
        <w:gridCol w:w="2942"/>
        <w:gridCol w:w="4030"/>
        <w:gridCol w:w="1742"/>
        <w:gridCol w:w="1688"/>
        <w:gridCol w:w="1128"/>
        <w:gridCol w:w="10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blHeader/>
        </w:trPr>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序号</w:t>
            </w:r>
          </w:p>
        </w:tc>
        <w:tc>
          <w:tcPr>
            <w:tcW w:w="29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分标编号</w:t>
            </w:r>
          </w:p>
        </w:tc>
        <w:tc>
          <w:tcPr>
            <w:tcW w:w="4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分标名称</w:t>
            </w:r>
          </w:p>
        </w:tc>
        <w:tc>
          <w:tcPr>
            <w:tcW w:w="1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单位</w:t>
            </w:r>
          </w:p>
        </w:tc>
        <w:tc>
          <w:tcPr>
            <w:tcW w:w="16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数量</w:t>
            </w:r>
          </w:p>
        </w:tc>
        <w:tc>
          <w:tcPr>
            <w:tcW w:w="21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合同包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blHeader/>
        </w:trPr>
        <w:tc>
          <w:tcPr>
            <w:tcW w:w="8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highlight w:val="none"/>
                <w:u w:val="none"/>
              </w:rPr>
            </w:pPr>
          </w:p>
        </w:tc>
        <w:tc>
          <w:tcPr>
            <w:tcW w:w="29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highlight w:val="none"/>
                <w:u w:val="none"/>
              </w:rPr>
            </w:pPr>
          </w:p>
        </w:tc>
        <w:tc>
          <w:tcPr>
            <w:tcW w:w="4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highlight w:val="none"/>
                <w:u w:val="none"/>
              </w:rPr>
            </w:pPr>
          </w:p>
        </w:tc>
        <w:tc>
          <w:tcPr>
            <w:tcW w:w="1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highlight w:val="none"/>
                <w:u w:val="none"/>
              </w:rPr>
            </w:pPr>
          </w:p>
        </w:tc>
        <w:tc>
          <w:tcPr>
            <w:tcW w:w="1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highlight w:val="none"/>
                <w:u w:val="none"/>
              </w:rPr>
            </w:pP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个数</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包号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CY1225JH007-1001002-9999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10kV变压器-合肥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台</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67</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CY1225JH007-1035001-9999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10kV柱上变压器台成套设备-合肥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套</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8</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CY1225JH007-1001012-9999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箱式变电站-合肥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套</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4</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CY1225JH007-1020001-9999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交流避雷器-合肥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台</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CY1225JH007-1016001-9999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高压开关柜-合肥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台</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886</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4</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包1-包4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CY1225JH007-1016004-9999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低压开关柜-合肥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台</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919</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包1-包3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7</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CY1225JH007-1016012-9999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环网箱-送变电</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台</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8</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CY1225JH007-1408005-9999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电缆接地箱-送变电</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只</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4</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9</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CY1225JH007-1106018-9999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电能计量箱-合肥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只</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631</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10</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CY1225JH007-1408007-9999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电缆分支箱-合肥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只</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811</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11</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CY1225JH007-1404001-9999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10kV电力电缆-合肥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千米</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1147.726</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包1-包3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12</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CY1225JH007-1404001-9999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10kV电力电缆-送变电</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千米</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5.05</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13</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CY1225JH007-1404001-9999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20kV电力电缆-送变电</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千米</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11.027</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14</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CY1225JH007-1404001-9999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35kV电力电缆-送变电</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千米</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0.97</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15</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CY1225JH007-1404001-9999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110kV电力电缆-合肥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千米</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2.658</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16</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CY1225JH007-1404002-9999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低压电力电缆-合肥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千米</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2569.79</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包1-包6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17</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CY1225JH007-1404002-9999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低压电力电缆-送变电</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千米</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18</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CY1225JH007-1404003-9999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控制电缆-合肥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米</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51409</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19</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CY1225JH007-1404006-9999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控制电缆-其他</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米</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698860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20</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CY1225JH007-1404006-9999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控制电缆-送变电</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米</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105000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21</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CY1225JH007-1408006-9999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电缆保护管-合肥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米</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202418</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包1-包2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22</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CY1225JH007-1402004-9999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钢绞线-送变电</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吨</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7</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23</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CY1225JH007-1402001-9999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钢芯铝绞线-合肥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吨</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26</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24</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CY1225JH007-1402011-9999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集束绝缘导线-合肥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千米</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25</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CY1225JH007-1402005-9999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架空绝缘导线-合肥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千米</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3057.7</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26</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CY1225JH007-1506005-9999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井盖-合肥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面</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1000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27</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CY1225JH007-1405025-9999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瓷绝缘子-合肥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片</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2106</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28</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CY1225JH007-1405033-9999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复合绝缘子-合肥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支</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224</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29</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CY1225JH007-1408015-9999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绝缘套管-明生</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米</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1100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30</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CY1225JH007-1406032-9999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铁构件-送变电</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吨</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20.95</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31</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CY1225JH007-8B04001-9999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辅助工器具及结构件-新力</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件</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4200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32</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CY1225JH007-1408009-9999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电缆附件-合肥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千克</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35740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33</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CY1225JH007-1411048-9999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线路金具串-合肥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套</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250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34</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CY1225JH007-1031001-9999</w:t>
            </w:r>
          </w:p>
        </w:tc>
        <w:tc>
          <w:tcPr>
            <w:tcW w:w="4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有源滤波装置-合肥</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台</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包1</w:t>
            </w:r>
          </w:p>
        </w:tc>
      </w:tr>
    </w:tbl>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auto"/>
          <w:sz w:val="21"/>
          <w:highlight w:val="none"/>
        </w:rPr>
      </w:pPr>
    </w:p>
    <w:p>
      <w:pPr>
        <w:pStyle w:val="18"/>
        <w:outlineLvl w:val="0"/>
        <w:rPr>
          <w:rFonts w:hint="eastAsia" w:ascii="宋体" w:hAnsi="宋体" w:eastAsia="宋体" w:cs="宋体"/>
          <w:b/>
          <w:color w:val="FF0000"/>
          <w:sz w:val="21"/>
          <w:highlight w:val="none"/>
        </w:rPr>
      </w:pPr>
      <w:r>
        <w:rPr>
          <w:rFonts w:hint="eastAsia" w:ascii="宋体" w:hAnsi="宋体" w:eastAsia="宋体" w:cs="宋体"/>
          <w:b/>
          <w:color w:val="FF0000"/>
          <w:sz w:val="21"/>
          <w:highlight w:val="none"/>
        </w:rPr>
        <w:t>附件2：专用资质业绩要求</w:t>
      </w:r>
    </w:p>
    <w:tbl>
      <w:tblPr>
        <w:tblStyle w:val="15"/>
        <w:tblW w:w="155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0"/>
        <w:gridCol w:w="760"/>
        <w:gridCol w:w="1520"/>
        <w:gridCol w:w="2480"/>
        <w:gridCol w:w="2640"/>
        <w:gridCol w:w="2088"/>
        <w:gridCol w:w="2262"/>
        <w:gridCol w:w="842"/>
        <w:gridCol w:w="1258"/>
        <w:gridCol w:w="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9" w:hRule="atLeast"/>
          <w:tblHeader/>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Theme="minorEastAsia" w:hAnsiTheme="minorEastAsia" w:eastAsiaTheme="minorEastAsia" w:cstheme="minorEastAsia"/>
                <w:b/>
                <w:bCs/>
                <w:i w:val="0"/>
                <w:iCs w:val="0"/>
                <w:color w:val="000000"/>
                <w:sz w:val="20"/>
                <w:szCs w:val="20"/>
                <w:highlight w:val="none"/>
                <w:u w:val="none"/>
              </w:rPr>
            </w:pPr>
            <w:r>
              <w:rPr>
                <w:rFonts w:hint="eastAsia" w:ascii="宋体" w:hAnsi="宋体" w:eastAsia="宋体" w:cs="宋体"/>
                <w:b/>
                <w:color w:val="auto"/>
                <w:sz w:val="21"/>
                <w:highlight w:val="none"/>
              </w:rPr>
              <w:br w:type="page"/>
            </w:r>
            <w:r>
              <w:rPr>
                <w:rFonts w:hint="eastAsia" w:asciiTheme="minorEastAsia" w:hAnsiTheme="minorEastAsia" w:eastAsiaTheme="minorEastAsia" w:cstheme="minorEastAsia"/>
                <w:b/>
                <w:bCs/>
                <w:i w:val="0"/>
                <w:iCs w:val="0"/>
                <w:color w:val="000000"/>
                <w:kern w:val="0"/>
                <w:sz w:val="20"/>
                <w:szCs w:val="20"/>
                <w:highlight w:val="none"/>
                <w:u w:val="none"/>
                <w:lang w:val="en-US" w:eastAsia="zh-CN" w:bidi="ar"/>
              </w:rPr>
              <w:t>分标编号</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bCs/>
                <w:i w:val="0"/>
                <w:iCs w:val="0"/>
                <w:color w:val="000000"/>
                <w:sz w:val="20"/>
                <w:szCs w:val="20"/>
                <w:highlight w:val="none"/>
                <w:u w:val="none"/>
              </w:rPr>
            </w:pPr>
            <w:r>
              <w:rPr>
                <w:rFonts w:hint="eastAsia" w:asciiTheme="minorEastAsia" w:hAnsiTheme="minorEastAsia" w:eastAsiaTheme="minorEastAsia" w:cstheme="minorEastAsia"/>
                <w:b/>
                <w:bCs/>
                <w:i w:val="0"/>
                <w:iCs w:val="0"/>
                <w:color w:val="000000"/>
                <w:kern w:val="0"/>
                <w:sz w:val="20"/>
                <w:szCs w:val="20"/>
                <w:highlight w:val="none"/>
                <w:u w:val="none"/>
                <w:lang w:val="en-US" w:eastAsia="zh-CN" w:bidi="ar"/>
              </w:rPr>
              <w:t>分标名称</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bCs/>
                <w:i w:val="0"/>
                <w:iCs w:val="0"/>
                <w:color w:val="000000"/>
                <w:sz w:val="20"/>
                <w:szCs w:val="20"/>
                <w:highlight w:val="none"/>
                <w:u w:val="none"/>
              </w:rPr>
            </w:pPr>
            <w:r>
              <w:rPr>
                <w:rFonts w:hint="eastAsia" w:asciiTheme="minorEastAsia" w:hAnsiTheme="minorEastAsia" w:eastAsiaTheme="minorEastAsia" w:cstheme="minorEastAsia"/>
                <w:b/>
                <w:bCs/>
                <w:i w:val="0"/>
                <w:iCs w:val="0"/>
                <w:color w:val="000000"/>
                <w:kern w:val="0"/>
                <w:sz w:val="20"/>
                <w:szCs w:val="20"/>
                <w:highlight w:val="none"/>
                <w:u w:val="none"/>
                <w:lang w:val="en-US" w:eastAsia="zh-CN" w:bidi="ar"/>
              </w:rPr>
              <w:t>销售业绩要求</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bCs/>
                <w:i w:val="0"/>
                <w:iCs w:val="0"/>
                <w:color w:val="000000"/>
                <w:sz w:val="20"/>
                <w:szCs w:val="20"/>
                <w:highlight w:val="none"/>
                <w:u w:val="none"/>
              </w:rPr>
            </w:pPr>
            <w:r>
              <w:rPr>
                <w:rFonts w:hint="eastAsia" w:asciiTheme="minorEastAsia" w:hAnsiTheme="minorEastAsia" w:eastAsiaTheme="minorEastAsia" w:cstheme="minorEastAsia"/>
                <w:b/>
                <w:bCs/>
                <w:i w:val="0"/>
                <w:iCs w:val="0"/>
                <w:color w:val="000000"/>
                <w:kern w:val="0"/>
                <w:sz w:val="20"/>
                <w:szCs w:val="20"/>
                <w:highlight w:val="none"/>
                <w:u w:val="none"/>
                <w:lang w:val="en-US" w:eastAsia="zh-CN" w:bidi="ar"/>
              </w:rPr>
              <w:t>产品型式试验报告或检测报告或鉴定报告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bCs/>
                <w:i w:val="0"/>
                <w:iCs w:val="0"/>
                <w:color w:val="000000"/>
                <w:sz w:val="20"/>
                <w:szCs w:val="20"/>
                <w:highlight w:val="none"/>
                <w:u w:val="none"/>
              </w:rPr>
            </w:pPr>
            <w:r>
              <w:rPr>
                <w:rFonts w:hint="eastAsia" w:asciiTheme="minorEastAsia" w:hAnsiTheme="minorEastAsia" w:eastAsiaTheme="minorEastAsia" w:cstheme="minorEastAsia"/>
                <w:b/>
                <w:bCs/>
                <w:i w:val="0"/>
                <w:iCs w:val="0"/>
                <w:color w:val="000000"/>
                <w:kern w:val="0"/>
                <w:sz w:val="20"/>
                <w:szCs w:val="20"/>
                <w:highlight w:val="none"/>
                <w:u w:val="none"/>
                <w:lang w:val="en-US" w:eastAsia="zh-CN" w:bidi="ar"/>
              </w:rPr>
              <w:t>关键参数</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bCs/>
                <w:i w:val="0"/>
                <w:iCs w:val="0"/>
                <w:color w:val="000000"/>
                <w:sz w:val="20"/>
                <w:szCs w:val="20"/>
                <w:highlight w:val="none"/>
                <w:u w:val="none"/>
              </w:rPr>
            </w:pPr>
            <w:r>
              <w:rPr>
                <w:rFonts w:hint="eastAsia" w:asciiTheme="minorEastAsia" w:hAnsiTheme="minorEastAsia" w:eastAsiaTheme="minorEastAsia" w:cstheme="minorEastAsia"/>
                <w:b/>
                <w:bCs/>
                <w:i w:val="0"/>
                <w:iCs w:val="0"/>
                <w:color w:val="000000"/>
                <w:kern w:val="0"/>
                <w:sz w:val="20"/>
                <w:szCs w:val="20"/>
                <w:highlight w:val="none"/>
                <w:u w:val="none"/>
                <w:lang w:val="en-US" w:eastAsia="zh-CN" w:bidi="ar"/>
              </w:rPr>
              <w:t>生产设备</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bCs/>
                <w:i w:val="0"/>
                <w:iCs w:val="0"/>
                <w:color w:val="000000"/>
                <w:sz w:val="20"/>
                <w:szCs w:val="20"/>
                <w:highlight w:val="none"/>
                <w:u w:val="none"/>
              </w:rPr>
            </w:pPr>
            <w:r>
              <w:rPr>
                <w:rFonts w:hint="eastAsia" w:asciiTheme="minorEastAsia" w:hAnsiTheme="minorEastAsia" w:eastAsiaTheme="minorEastAsia" w:cstheme="minorEastAsia"/>
                <w:b/>
                <w:bCs/>
                <w:i w:val="0"/>
                <w:iCs w:val="0"/>
                <w:color w:val="000000"/>
                <w:kern w:val="0"/>
                <w:sz w:val="20"/>
                <w:szCs w:val="20"/>
                <w:highlight w:val="none"/>
                <w:u w:val="none"/>
                <w:lang w:val="en-US" w:eastAsia="zh-CN" w:bidi="ar"/>
              </w:rPr>
              <w:t>试验设备</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bCs/>
                <w:i w:val="0"/>
                <w:iCs w:val="0"/>
                <w:color w:val="000000"/>
                <w:sz w:val="20"/>
                <w:szCs w:val="20"/>
                <w:highlight w:val="none"/>
                <w:u w:val="none"/>
              </w:rPr>
            </w:pPr>
            <w:r>
              <w:rPr>
                <w:rFonts w:hint="eastAsia" w:asciiTheme="minorEastAsia" w:hAnsiTheme="minorEastAsia" w:eastAsiaTheme="minorEastAsia" w:cstheme="minorEastAsia"/>
                <w:b/>
                <w:bCs/>
                <w:i w:val="0"/>
                <w:iCs w:val="0"/>
                <w:color w:val="000000"/>
                <w:kern w:val="0"/>
                <w:sz w:val="20"/>
                <w:szCs w:val="20"/>
                <w:highlight w:val="none"/>
                <w:u w:val="none"/>
                <w:lang w:val="en-US" w:eastAsia="zh-CN" w:bidi="ar"/>
              </w:rPr>
              <w:t>认证证书</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bCs/>
                <w:i w:val="0"/>
                <w:iCs w:val="0"/>
                <w:color w:val="000000"/>
                <w:sz w:val="20"/>
                <w:szCs w:val="20"/>
                <w:highlight w:val="none"/>
                <w:u w:val="none"/>
              </w:rPr>
            </w:pPr>
            <w:r>
              <w:rPr>
                <w:rFonts w:hint="eastAsia" w:asciiTheme="minorEastAsia" w:hAnsiTheme="minorEastAsia" w:eastAsiaTheme="minorEastAsia" w:cstheme="minorEastAsia"/>
                <w:b/>
                <w:bCs/>
                <w:i w:val="0"/>
                <w:iCs w:val="0"/>
                <w:color w:val="000000"/>
                <w:kern w:val="0"/>
                <w:sz w:val="20"/>
                <w:szCs w:val="20"/>
                <w:highlight w:val="none"/>
                <w:u w:val="none"/>
                <w:lang w:val="en-US" w:eastAsia="zh-CN" w:bidi="ar"/>
              </w:rPr>
              <w:t>生产许可证或检测</w:t>
            </w:r>
            <w:r>
              <w:rPr>
                <w:rFonts w:hint="eastAsia" w:asciiTheme="minorEastAsia" w:hAnsiTheme="minorEastAsia" w:eastAsiaTheme="minorEastAsia" w:cstheme="minorEastAsia"/>
                <w:b/>
                <w:bCs/>
                <w:i w:val="0"/>
                <w:iCs w:val="0"/>
                <w:color w:val="000000"/>
                <w:kern w:val="0"/>
                <w:sz w:val="20"/>
                <w:szCs w:val="20"/>
                <w:highlight w:val="none"/>
                <w:u w:val="none"/>
                <w:lang w:val="en-US" w:eastAsia="zh-CN" w:bidi="ar"/>
              </w:rPr>
              <w:br w:type="textWrapping"/>
            </w:r>
            <w:r>
              <w:rPr>
                <w:rFonts w:hint="eastAsia" w:asciiTheme="minorEastAsia" w:hAnsiTheme="minorEastAsia" w:eastAsiaTheme="minorEastAsia" w:cstheme="minorEastAsia"/>
                <w:b/>
                <w:bCs/>
                <w:i w:val="0"/>
                <w:iCs w:val="0"/>
                <w:color w:val="000000"/>
                <w:kern w:val="0"/>
                <w:sz w:val="20"/>
                <w:szCs w:val="20"/>
                <w:highlight w:val="none"/>
                <w:u w:val="none"/>
                <w:lang w:val="en-US" w:eastAsia="zh-CN" w:bidi="ar"/>
              </w:rPr>
              <w:t>合格证（入网许可证）</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bCs/>
                <w:i w:val="0"/>
                <w:iCs w:val="0"/>
                <w:color w:val="000000"/>
                <w:sz w:val="20"/>
                <w:szCs w:val="20"/>
                <w:highlight w:val="none"/>
                <w:u w:val="none"/>
              </w:rPr>
            </w:pPr>
            <w:r>
              <w:rPr>
                <w:rFonts w:hint="eastAsia" w:asciiTheme="minorEastAsia" w:hAnsiTheme="minorEastAsia" w:eastAsiaTheme="minorEastAsia" w:cstheme="minorEastAsia"/>
                <w:b/>
                <w:bCs/>
                <w:i w:val="0"/>
                <w:iCs w:val="0"/>
                <w:color w:val="000000"/>
                <w:kern w:val="0"/>
                <w:sz w:val="20"/>
                <w:szCs w:val="20"/>
                <w:highlight w:val="none"/>
                <w:u w:val="none"/>
                <w:lang w:val="en-US" w:eastAsia="zh-CN" w:bidi="ar"/>
              </w:rPr>
              <w:t>供应商性质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CY1225JH007-1001002-9999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10kV变压器-合肥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自2020年1月1日至本次投标截止日，10kV干式变压器累计供货业绩累计不少于150台。</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1、本体型式试验报告（报告内含能效等级）；</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2、本体型式试验报告+同型号变压器能效等级报告；</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注：第1项和第2项须满足其中一项。</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能效等级:NX1/NX2；</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负载损耗值不大于标准 GB20052-2024 要求，</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空载损耗值不大于标准 GB20052-2024 要求；</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温升试验（高压绕组）≤100K（F 级），≤125（H 级）；</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温升试验（低压绕组）≤100K（F 级），≤125（H 级）；</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短路承受能力试验结论满足 GB/T1094.5-2008；</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雷电冲击试验结论满足 GB/T1094.3-2017。</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生产设备：1、绕线机2、真空浇注设备3、箔绕机4、干燥炉</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试验装备：1、试验变压器（外施耐压试验）2、局部放电测试仪（局部放电试验）3、功率分析仪（或电压表、电流表及功率表）（空载试验和负载试验）4、中频发电机组或变频电源（感应耐压试验和局部放电试验）5、调压器（空载试验和负载试验电源</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CY1225JH007-1035001-9999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10kV柱上变压器台成套设备-合肥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自2020年1月1日至本次投标截止日，10kV柱上变压器台成套设备累计供货业绩累计不少于100套。</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应提供国家认可第三方权威检测机构出具的有效的10kV柱上变压器台成套设备型式试验报告。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生产设备：1、绕线机2、真空浇注设备等</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试验装备：1、工频耐压试验仪（闪络击穿试验装置）2、温升试验装置3、温升记录仪4、接地电阻测试仪5、绝缘电阻测试仪6、拉力试验机7、高压直流发生器</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CY1225JH007-1001012-9999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箱式变电站-合肥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自2020年1月1日至本次投标截止日，箱式变电站累计供货业绩累计不少于150台。</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1、本体型式试验报告（报告内含变压器能效等级）（型式试验报告内变压器或高压开关柜或环网柜制造方至少有一项为申请人自身）+箱变内部燃弧试验报告；</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2、本体型式试验报告（型式试验报告内变压器或高压开关柜或环网柜制造方至少有一项为申请人自身）+配套变压器能效等级报告+箱变内部燃弧试验报告。</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注：第1项和第2项须满足其中一项。</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温升试验（箱体外壳温升级别）≤10K；声级测量（声压级）≤55dB；</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绝缘水平试验结论满足GB/T17467-2020；</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主回路和接地回路承受额定峰值和额定短时耐受电流能力试验结论满足</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GB/T17467-2020；箱变内部燃弧试验结论满足GB/T17467-2020；</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变压器符合GB20052-2020能效2级/能效1级。变压器符合GB20052-2020能效2级/能效1级。</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生产设备：1、母线加工机、起重设备、剪板机、折弯机、其他主要制造设备（生产高压开关装置适用）</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2、真空滤油机或真空注油设备（油浸式变压器适用）、真空浇注设备（干式变压器适用）、绕线机、干燥设备、其他主要制造设备（生产变压器适用）注：第1项和第2项须满足其中一项。</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试验设备：1、主回路绝缘试验设备2、二次回路工频耐压设备3、接地电阻测试仪4、其他设备</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CY1225JH007-1020001-9999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交流避雷器-合肥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自2020年1月1日至本次投标截止日，10kV交流避雷器累计供货业绩不少于15000台。（相同技术规格产品的供货业绩允许按相邻电压等级序列以1:2比例进行折算，例如，2台220kV避雷器的供货业绩可折算为1台500kV避雷器或</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4台110kV避雷器的供货业绩。允许折算的产品供货业绩电压等级序列依次为：750kV、500(330)kV、220kV、110(66)kV、35(20)kV、10kV。）</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需具有与招标产品相等电压等级的型式试验报告；</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避雷器主要因素和型式试验报告替代关系：</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①系统额定电压：如10kV、20kV，不同电压等级间不可相互替代；</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②用途：如线路、站用，不同用途间不可互相替代；</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③额定电压：如17kV、13kV不同电压等级间不可相互替代；</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④雷电冲击残压：电流冲击残压值小的可以替代大的；</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⑤外套材质：如硅橡胶、瓷，不同材质不可相互替代；</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⑥是否带间隙：带不带间隙不可相互替代。</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生产设备：复合外套成型设备</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试验设备：1、直流高压发生器（直流参考电压试验）</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2、工频试验避雷器（工频耐压试验）</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3、局部放电测试仪（局部放电试验）</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4、水煮试验箱</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CY1225JH007-1016001-9999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高压开关柜-合肥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自2020年1月1日至本次投标截止日，高压开关柜累计供货业绩累计不少于150台。</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1、国家认可的第三方检测机构出具的有效的本体型式试验报告；</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2、配套关键组件断路器须取得国家认可的第三方检测机构出具的有效的型式试验报告。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内部电弧允许持续时间≧0.5s；</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温升试验1.1倍额定电流；</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接地开关额定短路电流关合次数≧2次；</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局放试验≤100pC。</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可移开部件的机械操作试验≧3000次。</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生产设备：1、数控折弯机（或具备折剪冲功能的数控加工中心）2、数控剪板机（或具备折剪冲功能的数控加工中心）3、数控冲床（或具备折剪冲功能的数控加工中心）4、母排加工机</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试验装备：1、工频耐压装置2、二次回路工频耐压装置3、回路电阻测试仪4、机械特性测试仪5、绝缘电阻测试仪</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CY1225JH007-1016004-9999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低压开关柜-合肥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自2020年1月1日至本次投标截止日，投标人具有同类产品销售业绩不少于1份。</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应提供国家认可的第三方检测机构出具的有效的型式试验报告。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强制性认证产品符合性自我声明证书</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CY1225JH007-1016012-9999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环网箱-送变电</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自2020年1月1日至本次投标截止日，环网箱累计供货业绩不少于35台。</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1 、国家认可的第三方检测机  构出具的有效的本体型式试验报告；</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 、配套环网柜须取得国家认  可的第三方检测机构出具的有效的型式试验报告；</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 、配套关键组件开关须取得  国家认可的第三方检测机构出具的有效的型式试验报告。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环网箱本体参数：</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外壳防护等级≧IP43； 具有温升试验；</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电缆室燃弧试验≧20kA/0.5s。 配套环网柜参数：</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局放试验≦20pC；</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接地开关短路关合能力≥2 次； 电缆室燃弧试验≧20kA/0.5s； 开关室燃弧试验≧20kA/0.5s。</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1、数控折弯机（或 具备折剪冲功能的 数控加工中心）</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2、数控剪板机（或 具备折剪冲功能的 数控加工中心）</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3、数控冲床（或具 备折剪冲功能的数 控加工中心）</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 、母排加工机</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1 、工频耐压装置</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 、二次回路工频耐压装置</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 、回路电阻测试仪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 、机械特性测试仪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5 、绝缘电阻测试仪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6 、微水检测仪（SF6 气体绝 缘环网箱、环保气体绝缘环 网箱适用）</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7 、SF6 气体检漏仪（SF6 气 体绝缘环网箱适用）</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8 、局部放电测试仪（SF6 气 体绝缘环网箱、环保气体绝 缘环网箱、固体绝缘环网箱 适用）</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CY1225JH007-1408005-9999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电缆接地箱-送变电</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自2020年1月1日至本次投标截止日，电缆接地箱累计供货业绩累计不少于100台。</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应提供国家认可第三方权威检测机构出具的有效的型式试验报告（或检测报告、或测试报告）。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制造商/代理商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CY1225JH007-1106018-9999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电能计量箱-合肥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自2020年1月1日至本次投标截止日，电能计量箱累计供货业绩累计不少于4000台。</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符合国家电网公司企业标准（Q/GDW11008《低压计量箱技术规范》）的第三方检测机构出具的有效的全性能试验报告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设备：母排加工机、剪板机（或具备折剪冲功能的数控加工中心）、折弯机（或具备折剪冲功能的数控加工中心）、冲床（或具备折剪冲功能的数控加工中心）、二氧化碳气体保护焊机（或直流焊机）、磨光机、剪线机</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试验设备：绝缘电阻测试仪、微电阻测试设备（接地电阻测试仪）、通电试验台、耐压测试仪</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CY1225JH007-1408007-9999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电缆分支箱-合肥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自2020年1月1日至本次投标截止日，高压电缆分支箱累计供货业绩累计不少于80台。</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应提供国家认可的第三方检测机构出具有效的高压电缆分支箱（不带开关）型式试验报告。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额定电流不低于 630A 、额定电 压 10kV 、外壳防护等级不低于 IP43 、主回路额定短时耐受电流 不低于 20kA/2s 、主回路额定峰 值耐受电流不低于 50kA。</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生产装备：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1、母线加工机</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2、折弯机</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3、冲床</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4、剪板机</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5、摇臂钻床等非便携式钻孔设备（或以上具备同样功能的数控设备），运输及起重设备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6、焊机及焊接设备</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试验装备：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1、回路电阻测试仪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2、工频耐压（电压）设备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3、绝缘电阻测试仪</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CY1225JH007-140400101-9999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10kV电力电缆-合肥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自2020年1月1日至本次投标截止日，10kV电力电缆累计供货业绩累计不少于600千米。</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国家认可的第三方检测机构出具的有效型式试验报告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型号/结构:YJV</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芯数：3</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截面（不小于）mm2：</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400</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铠装/屏蔽：铠装</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阻燃等级：ZC</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1、导体绞制设备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2、塑料挤出设备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3、成缆设备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4、交联悬链生产线或立式生产线（硫化管、旋转牵引设备）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5、带材绕包设备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6、成铠设备</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试验装备：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1、局部放电检测设备（适用于6kV及以上电力电缆）2、耐压试验设备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3、直流电阻测试仪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4、绝缘电阻测试仪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5、老化箱（热延伸试验检测设备）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6、电缆截面投影仪</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国家市场监督管理总局认可机构颁发的有效生产许可证</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CY1225JH007-140400102-9999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10kV电力电缆-送变电</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自2020年1月1日至本次投标截止日，10kV电力电缆累计供货业绩累计不少于600千米。</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国家认可的第三方检测机构出具的有效型式试验报告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型号/结构:YJV</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芯数：3</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截面（不小于）mm2：</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400</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铠装/屏蔽：铠装</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阻燃等级：ZC</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1、导体绞制设备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2、塑料挤出设备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3、成缆设备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4、交联悬链生产线或立式生产线（硫化管、旋转牵引设备）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5、带材绕包设备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6、成铠设备</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试验装备：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1、局部放电检测设备（适用于6kV及以上电力电缆）2、耐压试验设备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3、直流电阻测试仪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4、绝缘电阻测试仪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5、老化箱（热延伸试验检测设备）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6、电缆截面投影仪</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国家市场监督管理总局认可机构颁发的有效生产许可证</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CY1225JH007-140400103-9999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20kV电力电缆-送变电</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自2020年1月1日至本次投标截止日，20kV电力电缆累计供货业绩累计不少于100千米。</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国家认可的第三方检测机构出具的有效型式试验报告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型号/结构:YJV</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芯数：3</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截面（不小于）mm2：</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400</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铠装/屏蔽：铠装</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阻燃等级：ZC</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国家市场监督管理总局认可机构颁发的有效生产许可证</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CY1225JH007-140400104-9999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35kV电力电缆-送变电</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自2020年1月1日至本次投标截止日，35kV电力电缆累计供货业绩累计不少于1km。</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国家认可的第三方检测机构出具的有效型式试验报告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型号/结构:YJV</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芯数：3</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截面（不小于）mm2：</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400</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铠装/屏蔽：铠装</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阻燃等级：ZC</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国家市场监督管理总局认可机构颁发的有效生产许可证</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CY1225JH007-140400105-9999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110kV电力电缆-合肥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自2020年1月1日至本次投标截止日，110kV电力电缆累计供货业绩累计不少于1km。</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国家认可的第三方检测机构出具的有效型式试验报告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型号/结构:YJLW</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芯数：3</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截面（不小于）mm2：</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630</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铠装/屏蔽：铠装</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阻燃等级：ZC</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国家市场监督管理总局认可机构颁发的有效生产许可证</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CY1225JH007-140400201-9999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低压电力电缆-合肥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自2020年1月1日至本次投标截止日，低压电力电缆累计供货业绩累计不少于1000千米。</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应提供国家认可的检验检测机构出具的检验检测报告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型号/结构:YJV</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芯数：≧3</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截面（不小于）mm2：</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240</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铠装/屏蔽：铠装</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阻燃等级：ZC</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生产设备：1、导体绞制设备2、塑料挤出设备3、成缆设备4、交联生产线（交联设备交联蒸箱、紫外线交联辐照设备等）5、带材绕包设备6、成铠设备</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试验装备：1、耐压试验设备2、直流电阻测试仪3、绝缘电阻测试仪4、老化箱（热延伸试验检测设备）5、电缆截面投影仪</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国家市场监督管理总局认可机构颁发的有效生产许可证</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CY1225JH007-140400202-9999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低压电力电缆-送变电</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自2020年1月1日至本次投标截止日，低压电力电缆累计供货业绩累计不少于1000千米。</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应提供国家认可的检验检测机构出具的检验检测报告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型号/结构:YJV</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芯数：≧3</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截面（不小于）mm2：</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240</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铠装/屏蔽：铠装</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阻燃等级：ZC</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生产设备：1、导体绞制设备2、塑料挤出设备3、成缆设备4、交联生产线（交联设备交联蒸箱、紫外线交联辐照设备等）5、带材绕包设备6、成铠设备</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试验装备：1、耐压试验设备2、直流电阻测试仪3、绝缘电阻测试仪4、老化箱（热延伸试验检测设备）5、电缆截面投影仪</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国家市场监督管理总局认可机构颁发的有效生产许可证</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CY1225JH007-1404003-9999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控制电缆-合肥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自2020年1月1日至本次投标截止日，控制电缆累计供货业绩累计不少于1000千米。</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应提供国家认可的检验检测机构出具的检验检测报告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国家市场监督管理总局认可机构颁发的有效生产许可证</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CY1225JH007-140400601-9999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控制电缆-其他</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自2020年1月1日至本次投标截止日，控制电缆累计供货业绩累计不少于1000千米。</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应提供国家认可的检验检测机构出具的检验检测报告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国家市场监督管理总局认可机构颁发的有效生产许可证</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CY1225JH007-140400602-9999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控制电缆-送变电</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自2020年1月1日至本次投标截止日，控制电缆累计供货业绩累计不少于1000千米。</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应提供国家认可的检验检测机构出具的检验检测报告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国家市场监督管理总局认可机构颁发的有效生产许可证</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CY1225JH007-1408006-9999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Style w:val="39"/>
                <w:rFonts w:hint="eastAsia" w:ascii="宋体" w:hAnsi="宋体" w:eastAsia="宋体" w:cs="宋体"/>
                <w:sz w:val="20"/>
                <w:szCs w:val="20"/>
                <w:highlight w:val="none"/>
                <w:lang w:val="en-US" w:eastAsia="zh-CN" w:bidi="ar"/>
              </w:rPr>
              <w:t>电缆保护管-</w:t>
            </w:r>
            <w:r>
              <w:rPr>
                <w:rStyle w:val="40"/>
                <w:rFonts w:hint="eastAsia" w:ascii="宋体" w:hAnsi="宋体" w:eastAsia="宋体" w:cs="宋体"/>
                <w:sz w:val="20"/>
                <w:szCs w:val="20"/>
                <w:highlight w:val="none"/>
                <w:lang w:val="en-US" w:eastAsia="zh-CN" w:bidi="ar"/>
              </w:rPr>
              <w:t>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自2020年1月1日至本次投标截止日，电缆保护管-MPP累计供货业绩不少于250000米。</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国家认可的第三方检测机构出具有效的检测报告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内径（不小于）mm：200</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生产设备：MPP/PE生产线（适用于MPP/PE类）</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试验设备：1、微机控制电子万能试验机</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2、维卡软化温度仪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3、电子天平或为密度测量而专门设计的仪器</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CY1225JH007-1402004-9999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钢绞线-送变电</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自2020年1月1日至本次投标截止日，钢绞线累计供货业绩累计不少于100吨。</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应提供国家认可的第三方检测机构出具的有效的B级锌层的镀锌钢绞线型式试验报告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生产设备：1、钢线拉线机2、钢线绞线机镀锌设备（热镀锌工序可外委）</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试验设备：1、拉力试验机（钢线或碳纤维芯棒）2、扭转试验机3、卷绕试验机（不要求计量检定）4、引伸仪</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国家市场监督管理总局认可机构颁发的有效生产许可证</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CY1225JH007-1402001-9999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钢芯铝绞线-合肥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自2020年1月1日至本次投标截止日，钢芯铝绞线累计供货业绩累计不少于200吨。</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应提供国家认可的第三方检测机构出具的截面240/40或以上的有效钢芯铝绞线型式试验报告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生产设备：1、拉丝机2、框绞线机（管绞线机）</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试验设备：1、拉力试验机（铝或铝合金线）2、拉力试验机（钢线或碳纤维芯棒）3、扭转试验机4、卷绕试验机（不要求计量检定）5、直流电阻测试仪6、引伸仪</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国家市场监督管理总局认可机构颁发的有效生产许可证</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CY1225JH007-1402011-9999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集束绝缘导线-合肥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自2020年1月1日至本次投标截止日，集束绝缘导线累计供货业绩不少于500千米。</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国家认可的第三方检测机构出具的有效的型式试验报告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绝缘材料：交联聚乙烯</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导体截面（不小于）mm2：120</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导体材料：铜或铝</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1、绞线机</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2、挤塑机</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3、交联设备</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试验设备: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1、拉力试验机</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2、直流电阻测试仪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3、读数显微镜/投影仪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4、绝缘电阻测试仪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5、测厚仪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6、耐压设备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7、老化箱</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8、热延伸测试仪</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国家市场监督管理总局认可机构颁发的有效生产许可证</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CY1225JH007-1402005-9999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架空绝缘导线-合肥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自2020年1月1日至本次投标截止日，架空绝缘导线累计供货业绩不少于5000千米。</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国家认可的第三方检测机构出具的有效的型式试验报告，同时需提供钢芯产品的型式试验报告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绝缘材料：交联聚乙烯</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导体截面（不小于）mm2：240</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导体材料：铜或铝</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生产装备：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1、绞线机</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2、挤塑机</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3、交联设备</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1、拉力试验机</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2、直流电阻测试仪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3、读数显微镜/投影仪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4、绝缘电阻测试仪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5、测厚仪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6、耐压设备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7、老化箱</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8、热延伸测试</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国家市场监督管理总局认可机构颁发的有效生产许可证</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CY1225JH007-1506005-9999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井盖-合肥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自2020年1月1日至本次投标截止日，累计销售业绩不少于100万元。注：销售业绩必须提供招标文件所需证明材料</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投标人所投产品中属  于最新强制性认证名录中的， 需提供 CCC 中国国家强制性 产品认证证书</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制造商/代理商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CY1225JH007-1405025-9999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瓷绝缘子-合肥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自2020年1月1日至本次投标截止日，瓷绝缘子累计供货业绩不少于300000（片/支）。</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1、U70B/146,255,320；</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2、U70C/146,255,</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 、球磨机</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 、振动筛</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 、除铁器</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 、榨泥机</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5 、真空炼泥机</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6 、成型设备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7 、干燥设备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8 、上釉设备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9 、窑炉</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10 、胶装装置</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11 、养护设备</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试验设备: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1、工频火花试验装置</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2、锁紧销操作试验装置</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3、工频击穿试验装置</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4、孔隙性试验装置</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5、温度循环试验装置</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6、机电破坏负荷试验装置</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7、锌层测厚仪</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CY1225JH007-1405033-9999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复合绝缘子-合肥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自2020年1月1日至本次投标截止日，复合绝缘子累计供货业绩不少于25000（片/支）。</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FXBW-10/70</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公称结构高度，最小爬电距离</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1、成型设备或挤包穿伞设备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2、压接机</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3、芯棒切割机</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试验设备: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1、锁紧销操作试验装置</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2、工频试验成套装置</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3、机械负荷试验装置</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4、锌层测厚仪</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CY1225JH007-1408015-9999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绝缘套管-明生</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自2020年1月1日至本次截止日,具有项目类似业绩。</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型式试验报告，且报告中导体截面大于等于招标产品</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电压等级:AC35kV,截面积mm2:400</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制造商/集货商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CY1225JH007-1406032-9999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铁构件-送变电</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自2020年1月1日至本次投标截止日，铁构件累计供货业绩不少于300万</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国家认可第三方检测机构出具的有效的检测报告（申请人需提供铁附件中的横担、抱箍、接地铁、顶架、拉线棒、支架、拉攀（环）等非定型金具至少任意两种试验报告）。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角钢、型钢及板材加工设备（剪板机、折弯机、切割机、冲床或钻床）；二氧化碳气体保护焊机（或直流焊机）不少于2台；具有热镀锌能力，具有排污许可证（镀锌可外委，镀锌外委时则应有固定合作方，且需提供与镀锌厂签订的镀锌外委合同。镀锌厂的营业执照、排污许可证、组织机构代码证书）。</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锌层厚度检测仪</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CY1225JH007-8B04001-9999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辅助工器具及结构件-新力</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自2020年1月1日至本次截止日,具有项目类似业绩。</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CY1225JH007-1408009-9999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电缆附件-合肥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自2020年1月1日至本次投标截止日，电缆桥架累计供货业绩累计不少于3吨。</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应提供国家认可第三方权威检测机构出具的有效的型式试验报告（或检测报告、或测试报告）。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制造商/代理商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CY1225JH007-1411048-9999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线路金具串-合肥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有效的型式试验报告，包括：①悬垂线夹：应具有</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标称破坏载荷60kN及以上的悬垂线夹的握力、破坏载荷试验报告；②耐张线夹：应具有适配185mm2及以上截面导线的耐张线夹的握力、温升、电阻试验报告；③连接金具：应具有标称破坏载荷70kN及以上球头挂环、碗头挂板、U型挂环、直角挂板的破坏载荷试验报告；④接续金具：应具有适配185mm2及以上截面导线的接续管的握力、温升、电阻试验报告；⑤间隔棒：应具有两分裂及以上阻尼间隔棒的机械强度试验报告；⑥防振锤：应具有导线适配185mm2及以上截面的防振锤的机械强度、功率特性、振动疲劳试验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生产装备要求：</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(1)熔炼及加热设备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(2)铸造设备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(3)锻压设备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(4)切割设备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(5)焊接设备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(6)机加工设备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(7)弯管设备</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试验检测装备要求：</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(1)普通五元素快速分析仪或光</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谱分析仪</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(2)拉力试验设备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(3)锌层厚度测试设备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(4)通止规</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CY1225JH007-1031001-9999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有源滤波装置-合肥</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自2020年1月1日至本次投标截止日，投标人具有同类产品销售业绩不少于1份。</w:t>
            </w:r>
          </w:p>
        </w:tc>
        <w:tc>
          <w:tcPr>
            <w:tcW w:w="2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应提供国家认可第三方权威检测机构出具的有效的型式试验报告（或检测报告、或测试报告）。</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2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制造商/代理商</w:t>
            </w:r>
          </w:p>
        </w:tc>
      </w:tr>
    </w:tbl>
    <w:p>
      <w:pPr>
        <w:pStyle w:val="18"/>
        <w:outlineLvl w:val="0"/>
        <w:rPr>
          <w:rFonts w:hint="eastAsia" w:ascii="宋体" w:hAnsi="宋体" w:eastAsia="宋体" w:cs="宋体"/>
          <w:b/>
          <w:color w:val="auto"/>
          <w:sz w:val="21"/>
          <w:highlight w:val="none"/>
        </w:rPr>
      </w:pPr>
    </w:p>
    <w:p>
      <w:pPr>
        <w:pStyle w:val="18"/>
        <w:adjustRightInd w:val="0"/>
        <w:snapToGrid w:val="0"/>
        <w:ind w:firstLineChars="0"/>
        <w:outlineLvl w:val="1"/>
        <w:rPr>
          <w:rFonts w:hint="eastAsia" w:cs="宋体"/>
          <w:b/>
          <w:color w:val="auto"/>
          <w:kern w:val="2"/>
          <w:sz w:val="21"/>
          <w:szCs w:val="21"/>
          <w:highlight w:val="none"/>
          <w:lang w:val="en-US" w:eastAsia="zh-CN" w:bidi="ar-SA"/>
        </w:rPr>
      </w:pPr>
    </w:p>
    <w:p>
      <w:pPr>
        <w:pStyle w:val="18"/>
        <w:adjustRightInd w:val="0"/>
        <w:snapToGrid w:val="0"/>
        <w:ind w:firstLineChars="0"/>
        <w:outlineLvl w:val="1"/>
        <w:rPr>
          <w:rFonts w:hint="eastAsia" w:cs="宋体"/>
          <w:b/>
          <w:color w:val="auto"/>
          <w:kern w:val="2"/>
          <w:sz w:val="21"/>
          <w:szCs w:val="21"/>
          <w:highlight w:val="none"/>
          <w:lang w:val="en-US" w:eastAsia="zh-CN" w:bidi="ar-SA"/>
        </w:rPr>
      </w:pPr>
      <w:r>
        <w:rPr>
          <w:rFonts w:hint="eastAsia" w:cs="宋体"/>
          <w:b/>
          <w:color w:val="auto"/>
          <w:kern w:val="2"/>
          <w:sz w:val="21"/>
          <w:szCs w:val="21"/>
          <w:highlight w:val="none"/>
          <w:lang w:val="en-US" w:eastAsia="zh-CN" w:bidi="ar-SA"/>
        </w:rPr>
        <w:t>补充：</w:t>
      </w:r>
    </w:p>
    <w:p>
      <w:pPr>
        <w:pStyle w:val="18"/>
        <w:adjustRightInd w:val="0"/>
        <w:snapToGrid w:val="0"/>
        <w:ind w:firstLineChars="0"/>
        <w:outlineLvl w:val="1"/>
        <w:rPr>
          <w:rStyle w:val="38"/>
          <w:b/>
          <w:bCs/>
          <w:color w:val="auto"/>
          <w:sz w:val="21"/>
          <w:szCs w:val="21"/>
          <w:highlight w:val="none"/>
          <w:lang w:val="en-US" w:eastAsia="zh-CN" w:bidi="ar"/>
        </w:rPr>
      </w:pPr>
      <w:r>
        <w:rPr>
          <w:rFonts w:hint="eastAsia" w:cs="宋体"/>
          <w:b/>
          <w:color w:val="auto"/>
          <w:kern w:val="2"/>
          <w:sz w:val="21"/>
          <w:szCs w:val="21"/>
          <w:highlight w:val="none"/>
          <w:lang w:val="en-US" w:eastAsia="zh-CN" w:bidi="ar-SA"/>
        </w:rPr>
        <w:t>1.所有标段</w:t>
      </w:r>
      <w:r>
        <w:rPr>
          <w:rStyle w:val="38"/>
          <w:b/>
          <w:bCs/>
          <w:color w:val="auto"/>
          <w:sz w:val="21"/>
          <w:szCs w:val="21"/>
          <w:highlight w:val="none"/>
          <w:lang w:val="en-US" w:eastAsia="zh-CN" w:bidi="ar"/>
        </w:rPr>
        <w:t>试验报告要求：</w:t>
      </w:r>
    </w:p>
    <w:p>
      <w:pPr>
        <w:pStyle w:val="18"/>
        <w:adjustRightInd w:val="0"/>
        <w:snapToGrid w:val="0"/>
        <w:ind w:firstLineChars="0"/>
        <w:outlineLvl w:val="1"/>
        <w:rPr>
          <w:rStyle w:val="38"/>
          <w:b/>
          <w:bCs/>
          <w:color w:val="auto"/>
          <w:sz w:val="21"/>
          <w:szCs w:val="21"/>
          <w:highlight w:val="none"/>
          <w:lang w:val="en-US" w:eastAsia="zh-CN" w:bidi="ar"/>
        </w:rPr>
      </w:pPr>
      <w:r>
        <w:rPr>
          <w:rStyle w:val="38"/>
          <w:b/>
          <w:bCs/>
          <w:color w:val="auto"/>
          <w:sz w:val="21"/>
          <w:szCs w:val="21"/>
          <w:highlight w:val="none"/>
          <w:lang w:val="en-US" w:eastAsia="zh-CN" w:bidi="ar"/>
        </w:rPr>
        <w:t>（</w:t>
      </w:r>
      <w:r>
        <w:rPr>
          <w:rStyle w:val="38"/>
          <w:rFonts w:hint="eastAsia"/>
          <w:b/>
          <w:bCs/>
          <w:color w:val="auto"/>
          <w:sz w:val="21"/>
          <w:szCs w:val="21"/>
          <w:highlight w:val="none"/>
          <w:lang w:val="en-US" w:eastAsia="zh-CN" w:bidi="ar"/>
        </w:rPr>
        <w:t>1</w:t>
      </w:r>
      <w:r>
        <w:rPr>
          <w:rStyle w:val="38"/>
          <w:b/>
          <w:bCs/>
          <w:color w:val="auto"/>
          <w:sz w:val="21"/>
          <w:szCs w:val="21"/>
          <w:highlight w:val="none"/>
          <w:lang w:val="en-US" w:eastAsia="zh-CN" w:bidi="ar"/>
        </w:rPr>
        <w:t>）上述表格中要求的试验报告须投标时提供；</w:t>
      </w:r>
    </w:p>
    <w:p>
      <w:pPr>
        <w:pStyle w:val="18"/>
        <w:adjustRightInd w:val="0"/>
        <w:snapToGrid w:val="0"/>
        <w:ind w:firstLineChars="0"/>
        <w:outlineLvl w:val="1"/>
        <w:rPr>
          <w:rFonts w:hint="default" w:cs="宋体"/>
          <w:b/>
          <w:color w:val="auto"/>
          <w:kern w:val="2"/>
          <w:sz w:val="21"/>
          <w:szCs w:val="21"/>
          <w:highlight w:val="none"/>
          <w:lang w:val="en-US" w:eastAsia="zh-CN" w:bidi="ar-SA"/>
        </w:rPr>
      </w:pPr>
      <w:r>
        <w:rPr>
          <w:rStyle w:val="38"/>
          <w:b/>
          <w:bCs/>
          <w:color w:val="auto"/>
          <w:sz w:val="21"/>
          <w:szCs w:val="21"/>
          <w:highlight w:val="none"/>
          <w:lang w:val="en-US" w:eastAsia="zh-CN" w:bidi="ar"/>
        </w:rPr>
        <w:t>（</w:t>
      </w:r>
      <w:r>
        <w:rPr>
          <w:rStyle w:val="38"/>
          <w:rFonts w:hint="eastAsia"/>
          <w:b/>
          <w:bCs/>
          <w:color w:val="auto"/>
          <w:sz w:val="21"/>
          <w:szCs w:val="21"/>
          <w:highlight w:val="none"/>
          <w:lang w:val="en-US" w:eastAsia="zh-CN" w:bidi="ar"/>
        </w:rPr>
        <w:t>2</w:t>
      </w:r>
      <w:r>
        <w:rPr>
          <w:rStyle w:val="38"/>
          <w:b/>
          <w:bCs/>
          <w:color w:val="auto"/>
          <w:sz w:val="21"/>
          <w:szCs w:val="21"/>
          <w:highlight w:val="none"/>
          <w:lang w:val="en-US" w:eastAsia="zh-CN" w:bidi="ar"/>
        </w:rPr>
        <w:t>）</w:t>
      </w:r>
      <w:r>
        <w:rPr>
          <w:rStyle w:val="38"/>
          <w:color w:val="auto"/>
          <w:sz w:val="21"/>
          <w:szCs w:val="21"/>
          <w:highlight w:val="none"/>
          <w:lang w:val="en-US" w:eastAsia="zh-CN" w:bidi="ar"/>
        </w:rPr>
        <w:t>供货前根据需要提供</w:t>
      </w:r>
      <w:r>
        <w:rPr>
          <w:rFonts w:hint="eastAsia" w:ascii="宋体" w:hAnsi="宋体" w:eastAsia="宋体" w:cs="宋体"/>
          <w:i w:val="0"/>
          <w:iCs w:val="0"/>
          <w:color w:val="auto"/>
          <w:kern w:val="0"/>
          <w:sz w:val="21"/>
          <w:szCs w:val="21"/>
          <w:highlight w:val="none"/>
          <w:u w:val="none"/>
          <w:lang w:val="en-US" w:eastAsia="zh-CN" w:bidi="ar"/>
        </w:rPr>
        <w:t>国家认可的第三方权威检测机构出具的</w:t>
      </w:r>
      <w:r>
        <w:rPr>
          <w:rStyle w:val="38"/>
          <w:color w:val="auto"/>
          <w:sz w:val="21"/>
          <w:szCs w:val="21"/>
          <w:highlight w:val="none"/>
          <w:lang w:val="en-US" w:eastAsia="zh-CN" w:bidi="ar"/>
        </w:rPr>
        <w:t>对应具体型号（电压等级）的有效型式试验报告</w:t>
      </w:r>
      <w:r>
        <w:rPr>
          <w:rFonts w:hint="eastAsia" w:ascii="宋体" w:hAnsi="宋体" w:eastAsia="宋体" w:cs="宋体"/>
          <w:i w:val="0"/>
          <w:iCs w:val="0"/>
          <w:color w:val="auto"/>
          <w:kern w:val="0"/>
          <w:sz w:val="21"/>
          <w:szCs w:val="21"/>
          <w:highlight w:val="none"/>
          <w:u w:val="none"/>
          <w:lang w:val="en-US" w:eastAsia="zh-CN" w:bidi="ar"/>
        </w:rPr>
        <w:t>（或检测报告、或测试报告）</w:t>
      </w:r>
      <w:r>
        <w:rPr>
          <w:rFonts w:hint="eastAsia" w:cs="宋体"/>
          <w:i w:val="0"/>
          <w:iCs w:val="0"/>
          <w:color w:val="auto"/>
          <w:kern w:val="0"/>
          <w:sz w:val="21"/>
          <w:szCs w:val="21"/>
          <w:highlight w:val="none"/>
          <w:u w:val="none"/>
          <w:lang w:val="en-US" w:eastAsia="zh-CN" w:bidi="ar"/>
        </w:rPr>
        <w:t>。</w:t>
      </w:r>
    </w:p>
    <w:p>
      <w:pPr>
        <w:pStyle w:val="18"/>
        <w:adjustRightInd w:val="0"/>
        <w:snapToGrid w:val="0"/>
        <w:ind w:firstLineChars="0"/>
        <w:outlineLvl w:val="9"/>
        <w:rPr>
          <w:rFonts w:hint="eastAsia" w:cs="宋体"/>
          <w:b/>
          <w:bCs w:val="0"/>
          <w:iCs w:val="0"/>
          <w:color w:val="auto"/>
          <w:sz w:val="21"/>
          <w:szCs w:val="21"/>
          <w:highlight w:val="none"/>
          <w:lang w:val="en-US" w:eastAsia="zh-CN"/>
        </w:rPr>
      </w:pPr>
      <w:r>
        <w:rPr>
          <w:rFonts w:hint="eastAsia" w:cs="宋体"/>
          <w:b/>
          <w:bCs w:val="0"/>
          <w:iCs w:val="0"/>
          <w:color w:val="auto"/>
          <w:sz w:val="21"/>
          <w:szCs w:val="21"/>
          <w:highlight w:val="none"/>
          <w:lang w:val="en-US" w:eastAsia="zh-CN"/>
        </w:rPr>
        <w:t>2.</w:t>
      </w:r>
      <w:r>
        <w:rPr>
          <w:rFonts w:hint="eastAsia" w:cs="宋体"/>
          <w:b/>
          <w:bCs w:val="0"/>
          <w:color w:val="auto"/>
          <w:sz w:val="21"/>
          <w:szCs w:val="21"/>
          <w:highlight w:val="none"/>
          <w:lang w:val="en-US"/>
        </w:rPr>
        <w:t>10kV</w:t>
      </w:r>
      <w:r>
        <w:rPr>
          <w:rFonts w:hint="eastAsia" w:cs="宋体"/>
          <w:b/>
          <w:bCs w:val="0"/>
          <w:iCs w:val="0"/>
          <w:color w:val="auto"/>
          <w:sz w:val="21"/>
          <w:szCs w:val="21"/>
          <w:highlight w:val="none"/>
          <w:lang w:val="en-US" w:eastAsia="zh-CN"/>
        </w:rPr>
        <w:t>变压器试验鉴定报告</w:t>
      </w:r>
      <w:r>
        <w:rPr>
          <w:rFonts w:hint="eastAsia" w:ascii="宋体" w:hAnsi="宋体" w:cs="宋体"/>
          <w:b/>
          <w:iCs w:val="0"/>
          <w:color w:val="auto"/>
          <w:sz w:val="21"/>
          <w:szCs w:val="21"/>
          <w:highlight w:val="none"/>
          <w:lang w:val="en-US"/>
        </w:rPr>
        <w:t>审核标准</w:t>
      </w:r>
      <w:r>
        <w:rPr>
          <w:rFonts w:hint="eastAsia" w:cs="宋体"/>
          <w:b/>
          <w:iCs w:val="0"/>
          <w:color w:val="auto"/>
          <w:sz w:val="21"/>
          <w:szCs w:val="21"/>
          <w:highlight w:val="none"/>
          <w:lang w:val="en-US" w:eastAsia="zh-CN"/>
        </w:rPr>
        <w:t>：</w:t>
      </w:r>
    </w:p>
    <w:p>
      <w:pPr>
        <w:pStyle w:val="18"/>
        <w:outlineLvl w:val="9"/>
        <w:rPr>
          <w:rFonts w:ascii="宋体" w:hAnsi="宋体" w:eastAsia="宋体" w:cs="宋体"/>
          <w:b w:val="0"/>
          <w:bCs/>
          <w:iCs w:val="0"/>
          <w:color w:val="auto"/>
          <w:sz w:val="21"/>
          <w:szCs w:val="21"/>
          <w:highlight w:val="none"/>
          <w:lang w:val="en-US" w:eastAsia="zh-CN"/>
        </w:rPr>
      </w:pPr>
      <w:r>
        <w:rPr>
          <w:rFonts w:hint="eastAsia" w:ascii="Calibri" w:hAnsi="Calibri" w:cs="Calibri"/>
          <w:b w:val="0"/>
          <w:bCs/>
          <w:iCs w:val="0"/>
          <w:color w:val="auto"/>
          <w:sz w:val="21"/>
          <w:szCs w:val="21"/>
          <w:highlight w:val="none"/>
          <w:lang w:val="en-US" w:eastAsia="zh-CN"/>
        </w:rPr>
        <w:t>（1）</w:t>
      </w:r>
      <w:r>
        <w:rPr>
          <w:rFonts w:hint="eastAsia" w:ascii="宋体" w:hAnsi="宋体" w:eastAsia="宋体" w:cs="宋体"/>
          <w:b w:val="0"/>
          <w:bCs/>
          <w:iCs w:val="0"/>
          <w:color w:val="auto"/>
          <w:kern w:val="2"/>
          <w:sz w:val="21"/>
          <w:szCs w:val="21"/>
          <w:highlight w:val="none"/>
          <w:lang w:val="en-US" w:eastAsia="zh-CN" w:bidi="ar-SA"/>
        </w:rPr>
        <w:t>不同结构报告不能相互替</w:t>
      </w:r>
      <w:r>
        <w:rPr>
          <w:rFonts w:hint="eastAsia" w:ascii="宋体" w:hAnsi="宋体" w:eastAsia="宋体" w:cs="宋体"/>
          <w:b w:val="0"/>
          <w:bCs/>
          <w:iCs w:val="0"/>
          <w:color w:val="auto"/>
          <w:sz w:val="21"/>
          <w:szCs w:val="21"/>
          <w:highlight w:val="none"/>
          <w:lang w:val="en-US" w:eastAsia="zh-CN"/>
        </w:rPr>
        <w:t>代：10kV变压器（硅钢片干式）、10kV变压器（硅钢片油浸）之间报告不能相互替代。</w:t>
      </w:r>
    </w:p>
    <w:p>
      <w:pPr>
        <w:pStyle w:val="18"/>
        <w:outlineLvl w:val="9"/>
        <w:rPr>
          <w:rFonts w:cs="宋体"/>
          <w:b w:val="0"/>
          <w:bCs/>
          <w:iCs w:val="0"/>
          <w:color w:val="auto"/>
          <w:sz w:val="21"/>
          <w:szCs w:val="21"/>
          <w:highlight w:val="none"/>
          <w:lang w:val="en-US"/>
        </w:rPr>
      </w:pPr>
      <w:r>
        <w:rPr>
          <w:rFonts w:hint="eastAsia" w:ascii="Calibri" w:hAnsi="Calibri" w:cs="Calibri"/>
          <w:b w:val="0"/>
          <w:bCs/>
          <w:iCs w:val="0"/>
          <w:color w:val="auto"/>
          <w:sz w:val="21"/>
          <w:szCs w:val="21"/>
          <w:highlight w:val="none"/>
          <w:lang w:val="en-US" w:eastAsia="zh-CN"/>
        </w:rPr>
        <w:t>（2）</w:t>
      </w:r>
      <w:r>
        <w:rPr>
          <w:rFonts w:hint="eastAsia" w:cs="宋体"/>
          <w:b w:val="0"/>
          <w:bCs/>
          <w:iCs w:val="0"/>
          <w:color w:val="auto"/>
          <w:sz w:val="21"/>
          <w:szCs w:val="21"/>
          <w:highlight w:val="none"/>
          <w:lang w:val="en-US"/>
        </w:rPr>
        <w:t>容量审核标准：</w:t>
      </w:r>
    </w:p>
    <w:p>
      <w:pPr>
        <w:pStyle w:val="18"/>
        <w:outlineLvl w:val="9"/>
        <w:rPr>
          <w:rFonts w:cs="宋体"/>
          <w:b w:val="0"/>
          <w:bCs/>
          <w:iCs w:val="0"/>
          <w:color w:val="auto"/>
          <w:sz w:val="21"/>
          <w:szCs w:val="21"/>
          <w:highlight w:val="none"/>
          <w:lang w:val="en-US"/>
        </w:rPr>
      </w:pPr>
      <w:r>
        <w:rPr>
          <w:rFonts w:hint="eastAsia" w:cs="宋体"/>
          <w:b w:val="0"/>
          <w:bCs/>
          <w:iCs w:val="0"/>
          <w:color w:val="auto"/>
          <w:sz w:val="21"/>
          <w:szCs w:val="21"/>
          <w:highlight w:val="none"/>
          <w:lang w:val="en-US"/>
        </w:rPr>
        <w:t>变压器型式试验报告和短路承受能力试验报告均为10kV电压等级，容量不低于630kVA。</w:t>
      </w:r>
    </w:p>
    <w:p>
      <w:pPr>
        <w:adjustRightInd w:val="0"/>
        <w:snapToGrid w:val="0"/>
        <w:rPr>
          <w:rFonts w:hint="eastAsia" w:hAnsi="宋体"/>
          <w:color w:val="auto"/>
          <w:szCs w:val="21"/>
          <w:highlight w:val="none"/>
        </w:rPr>
      </w:pPr>
    </w:p>
    <w:p>
      <w:pPr>
        <w:pStyle w:val="18"/>
        <w:spacing w:line="400" w:lineRule="exact"/>
        <w:outlineLvl w:val="9"/>
        <w:rPr>
          <w:rFonts w:hint="eastAsia" w:ascii="宋体" w:hAnsi="宋体" w:eastAsia="宋体" w:cs="宋体"/>
          <w:b/>
          <w:bCs/>
          <w:color w:val="auto"/>
          <w:kern w:val="2"/>
          <w:sz w:val="21"/>
          <w:szCs w:val="21"/>
          <w:highlight w:val="none"/>
          <w:lang w:val="en-US" w:eastAsia="zh-CN" w:bidi="ar-SA"/>
        </w:rPr>
      </w:pPr>
      <w:r>
        <w:rPr>
          <w:rFonts w:hint="eastAsia" w:cs="宋体"/>
          <w:b/>
          <w:bCs/>
          <w:color w:val="auto"/>
          <w:kern w:val="2"/>
          <w:sz w:val="21"/>
          <w:szCs w:val="21"/>
          <w:highlight w:val="none"/>
          <w:lang w:val="en-US" w:eastAsia="zh-CN" w:bidi="ar-SA"/>
        </w:rPr>
        <w:t>3.制造商</w:t>
      </w:r>
      <w:r>
        <w:rPr>
          <w:rFonts w:hint="eastAsia" w:ascii="宋体" w:hAnsi="宋体" w:eastAsia="宋体" w:cs="宋体"/>
          <w:b/>
          <w:bCs/>
          <w:color w:val="auto"/>
          <w:kern w:val="2"/>
          <w:sz w:val="21"/>
          <w:szCs w:val="21"/>
          <w:highlight w:val="none"/>
          <w:lang w:val="en-US" w:eastAsia="zh-CN" w:bidi="ar-SA"/>
        </w:rPr>
        <w:t>：</w:t>
      </w:r>
    </w:p>
    <w:p>
      <w:pPr>
        <w:numPr>
          <w:ilvl w:val="0"/>
          <w:numId w:val="0"/>
        </w:numPr>
        <w:tabs>
          <w:tab w:val="left" w:pos="1134"/>
        </w:tabs>
        <w:adjustRightInd w:val="0"/>
        <w:snapToGrid w:val="0"/>
        <w:spacing w:line="400" w:lineRule="exact"/>
        <w:rPr>
          <w:rFonts w:hint="eastAsia" w:ascii="宋体" w:hAnsi="宋体" w:eastAsia="宋体" w:cs="宋体"/>
          <w:color w:val="auto"/>
          <w:highlight w:val="none"/>
        </w:rPr>
      </w:pPr>
      <w:r>
        <w:rPr>
          <w:rFonts w:hint="eastAsia" w:ascii="宋体" w:hAnsi="宋体" w:eastAsia="宋体" w:cs="宋体"/>
          <w:color w:val="auto"/>
          <w:kern w:val="2"/>
          <w:sz w:val="21"/>
          <w:highlight w:val="none"/>
          <w:lang w:val="en-US" w:eastAsia="zh-CN"/>
        </w:rPr>
        <w:t>（1）</w:t>
      </w:r>
      <w:r>
        <w:rPr>
          <w:rFonts w:hint="eastAsia" w:ascii="宋体" w:hAnsi="宋体" w:eastAsia="宋体" w:cs="宋体"/>
          <w:color w:val="auto"/>
          <w:kern w:val="2"/>
          <w:sz w:val="21"/>
          <w:highlight w:val="none"/>
          <w:lang w:val="en-US"/>
        </w:rPr>
        <w:t>制造商是指以原材料或零组件（自制或外购），经生产、加工、集成、调试等工序，制成一系列产品的生产企业。</w:t>
      </w:r>
    </w:p>
    <w:p>
      <w:pPr>
        <w:numPr>
          <w:ilvl w:val="0"/>
          <w:numId w:val="0"/>
        </w:numPr>
        <w:tabs>
          <w:tab w:val="left" w:pos="1134"/>
        </w:tabs>
        <w:adjustRightInd w:val="0"/>
        <w:snapToGrid w:val="0"/>
        <w:spacing w:line="400" w:lineRule="exact"/>
        <w:rPr>
          <w:rFonts w:hint="eastAsia" w:ascii="宋体" w:hAnsi="宋体" w:eastAsia="宋体" w:cs="宋体"/>
          <w:color w:val="auto"/>
          <w:highlight w:val="none"/>
        </w:rPr>
      </w:pPr>
      <w:r>
        <w:rPr>
          <w:rFonts w:hint="eastAsia" w:ascii="宋体" w:hAnsi="宋体" w:eastAsia="宋体" w:cs="宋体"/>
          <w:color w:val="auto"/>
          <w:kern w:val="2"/>
          <w:sz w:val="21"/>
          <w:highlight w:val="none"/>
          <w:lang w:val="en-US" w:eastAsia="zh-CN"/>
        </w:rPr>
        <w:t>（2）</w:t>
      </w:r>
      <w:r>
        <w:rPr>
          <w:rFonts w:hint="eastAsia" w:ascii="宋体" w:hAnsi="宋体" w:eastAsia="宋体" w:cs="宋体"/>
          <w:color w:val="auto"/>
          <w:kern w:val="2"/>
          <w:sz w:val="21"/>
          <w:highlight w:val="none"/>
          <w:lang w:val="en-US"/>
        </w:rPr>
        <w:t>对于制造商投标，应具有生产投标产品所需的生产场地（生产厂房应为自有或长期租赁。其中生产厂房为自有的提供土地使用权证或房屋产权证；长期租赁的提供租赁合同，并提供厂房所有人的土地使用权或房屋产权证明。对于因各种原因未办理土地所有权证及房屋产权证的，应提供乡镇级及以上政府相关部门出具的有效证明材料。招标人有权对其进行进一步的现场核实）。</w:t>
      </w:r>
    </w:p>
    <w:p>
      <w:pPr>
        <w:tabs>
          <w:tab w:val="left" w:pos="1134"/>
        </w:tabs>
        <w:adjustRightInd w:val="0"/>
        <w:snapToGrid w:val="0"/>
        <w:spacing w:line="400" w:lineRule="exact"/>
        <w:ind w:firstLine="0" w:firstLineChars="0"/>
        <w:rPr>
          <w:rFonts w:hint="eastAsia" w:ascii="宋体" w:hAnsi="宋体" w:eastAsia="宋体" w:cs="宋体"/>
          <w:b/>
          <w:color w:val="auto"/>
          <w:sz w:val="21"/>
          <w:highlight w:val="none"/>
        </w:rPr>
      </w:pPr>
    </w:p>
    <w:p>
      <w:pPr>
        <w:pStyle w:val="18"/>
        <w:shd w:val="clear"/>
        <w:spacing w:beforeLines="0" w:afterLines="0"/>
        <w:rPr>
          <w:rFonts w:hint="default" w:cs="宋体"/>
          <w:color w:val="FF0000"/>
          <w:kern w:val="2"/>
          <w:sz w:val="21"/>
          <w:szCs w:val="21"/>
          <w:highlight w:val="none"/>
          <w:lang w:val="en-US"/>
        </w:rPr>
      </w:pPr>
    </w:p>
    <w:p>
      <w:pPr>
        <w:pStyle w:val="18"/>
        <w:shd w:val="clear"/>
        <w:spacing w:beforeLines="0" w:afterLines="0"/>
        <w:rPr>
          <w:rFonts w:hint="default" w:cs="宋体"/>
          <w:color w:val="FF0000"/>
          <w:kern w:val="2"/>
          <w:sz w:val="21"/>
          <w:szCs w:val="21"/>
          <w:highlight w:val="none"/>
          <w:lang w:val="en-US"/>
        </w:rPr>
        <w:sectPr>
          <w:pgSz w:w="16838" w:h="11906" w:orient="landscape"/>
          <w:pgMar w:top="1440" w:right="1797" w:bottom="1440" w:left="1797" w:header="851" w:footer="992" w:gutter="0"/>
          <w:cols w:space="720" w:num="1"/>
          <w:docGrid w:linePitch="312" w:charSpace="0"/>
        </w:sectPr>
      </w:pPr>
    </w:p>
    <w:p>
      <w:pPr>
        <w:pStyle w:val="18"/>
        <w:shd w:val="clear"/>
        <w:spacing w:beforeLines="0" w:afterLines="0"/>
        <w:rPr>
          <w:rFonts w:hint="default" w:cs="宋体"/>
          <w:color w:val="FF0000"/>
          <w:kern w:val="2"/>
          <w:sz w:val="21"/>
          <w:szCs w:val="21"/>
          <w:highlight w:val="none"/>
          <w:lang w:val="en-US"/>
        </w:rPr>
        <w:sectPr>
          <w:pgSz w:w="16838" w:h="11906" w:orient="landscape"/>
          <w:pgMar w:top="1440" w:right="1797" w:bottom="1440" w:left="1797" w:header="851" w:footer="992" w:gutter="0"/>
          <w:cols w:space="720" w:num="1"/>
          <w:docGrid w:linePitch="312" w:charSpace="0"/>
        </w:sectPr>
      </w:pPr>
      <w:bookmarkStart w:id="193" w:name="_Toc11776"/>
      <w:bookmarkStart w:id="194" w:name="_Toc1501"/>
      <w:bookmarkStart w:id="195" w:name="_Toc62549194"/>
      <w:bookmarkStart w:id="196" w:name="_Toc26150"/>
      <w:bookmarkStart w:id="197" w:name="_Toc2259"/>
      <w:bookmarkStart w:id="198" w:name="_Toc3078"/>
      <w:bookmarkStart w:id="199" w:name="_Toc29981"/>
      <w:bookmarkStart w:id="200" w:name="_Toc11946"/>
      <w:bookmarkStart w:id="201" w:name="_Toc24381"/>
      <w:bookmarkStart w:id="202" w:name="_Toc13670"/>
      <w:bookmarkStart w:id="203" w:name="_Toc22876"/>
      <w:bookmarkStart w:id="204" w:name="_Toc2457"/>
      <w:bookmarkStart w:id="205" w:name="_Toc9224"/>
      <w:bookmarkStart w:id="206" w:name="_Toc1951"/>
      <w:bookmarkStart w:id="207" w:name="_Toc62222031"/>
      <w:bookmarkStart w:id="208" w:name="_Toc21906"/>
      <w:bookmarkStart w:id="209" w:name="_Toc22989"/>
      <w:bookmarkStart w:id="210" w:name="_Toc1424"/>
      <w:bookmarkStart w:id="211" w:name="_Toc23924"/>
      <w:bookmarkStart w:id="212" w:name="_Toc1021"/>
      <w:bookmarkStart w:id="213" w:name="_Toc13168"/>
      <w:bookmarkStart w:id="214" w:name="_Toc18273"/>
      <w:bookmarkStart w:id="215" w:name="_Toc23588"/>
      <w:bookmarkStart w:id="216" w:name="_Toc62222579"/>
      <w:bookmarkStart w:id="217" w:name="_Toc62221472"/>
      <w:bookmarkStart w:id="218" w:name="_Toc62549138"/>
      <w:bookmarkStart w:id="219" w:name="_Toc62221763"/>
      <w:r>
        <w:rPr>
          <w:rFonts w:hint="default" w:cs="宋体"/>
          <w:color w:val="FF0000"/>
          <w:kern w:val="2"/>
          <w:sz w:val="21"/>
          <w:szCs w:val="21"/>
          <w:highlight w:val="none"/>
          <w:lang w:val="en-US"/>
        </w:rPr>
        <w:br w:type="textWrapping"/>
      </w:r>
    </w:p>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Pr>
        <w:spacing w:beforeLines="0" w:afterLines="0"/>
        <w:rPr>
          <w:rStyle w:val="27"/>
          <w:rFonts w:hint="default" w:ascii="黑体" w:hAnsi="黑体" w:cs="Microsoft JhengHei"/>
          <w:kern w:val="0"/>
          <w:sz w:val="24"/>
          <w:szCs w:val="32"/>
          <w:highlight w:val="none"/>
        </w:rPr>
      </w:pPr>
    </w:p>
    <w:p>
      <w:pPr>
        <w:rPr>
          <w:highlight w:val="none"/>
        </w:rPr>
      </w:pPr>
    </w:p>
    <w:sectPr>
      <w:headerReference r:id="rId6" w:type="default"/>
      <w:footerReference r:id="rId7" w:type="default"/>
      <w:footnotePr>
        <w:pos w:val="beneathText"/>
      </w:footnotePr>
      <w:pgSz w:w="11906" w:h="16838"/>
      <w:pgMar w:top="1797" w:right="1440" w:bottom="1797" w:left="1440" w:header="851" w:footer="851"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JhengHei">
    <w:panose1 w:val="020B0604030504040204"/>
    <w:charset w:val="88"/>
    <w:family w:val="swiss"/>
    <w:pitch w:val="default"/>
    <w:sig w:usb0="000002A7" w:usb1="28CF4400" w:usb2="00000016" w:usb3="00000000" w:csb0="00100009"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DengXian Western">
    <w:altName w:val="Segoe Print"/>
    <w:panose1 w:val="00000000000000000000"/>
    <w:charset w:val="00"/>
    <w:family w:val="auto"/>
    <w:pitch w:val="default"/>
    <w:sig w:usb0="00000000" w:usb1="00000000" w:usb2="00000000" w:usb3="00000000" w:csb0="00000001" w:csb1="00000000"/>
  </w:font>
  <w:font w:name="Plotter">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Lines="0" w:afterLines="0"/>
      <w:jc w:val="center"/>
      <w:rPr>
        <w:rFonts w:hint="eastAsia" w:eastAsia="等线"/>
        <w:sz w:val="18"/>
        <w:szCs w:val="18"/>
      </w:rPr>
    </w:pPr>
    <w:r>
      <w:rPr>
        <w:rFonts w:hint="default"/>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pPr>
                            <w:pStyle w:val="2"/>
                            <w:spacing w:beforeLines="0" w:afterLines="0"/>
                            <w:rPr>
                              <w:rFonts w:hint="default" w:eastAsia="宋体"/>
                              <w:sz w:val="18"/>
                              <w:szCs w:val="18"/>
                            </w:rPr>
                          </w:pPr>
                          <w:r>
                            <w:rPr>
                              <w:rFonts w:hint="eastAsia" w:eastAsia="宋体"/>
                              <w:sz w:val="18"/>
                              <w:szCs w:val="18"/>
                            </w:rPr>
                            <w:fldChar w:fldCharType="begin"/>
                          </w:r>
                          <w:r>
                            <w:rPr>
                              <w:rFonts w:hint="eastAsia" w:eastAsia="宋体"/>
                              <w:sz w:val="18"/>
                              <w:szCs w:val="18"/>
                            </w:rPr>
                            <w:instrText xml:space="preserve"> PAGE  \* MERGEFORMAT </w:instrText>
                          </w:r>
                          <w:r>
                            <w:rPr>
                              <w:rFonts w:hint="eastAsia" w:eastAsia="宋体"/>
                              <w:sz w:val="18"/>
                              <w:szCs w:val="18"/>
                            </w:rPr>
                            <w:fldChar w:fldCharType="separate"/>
                          </w:r>
                          <w:r>
                            <w:rPr>
                              <w:rFonts w:hint="eastAsia" w:eastAsia="宋体"/>
                              <w:sz w:val="18"/>
                              <w:szCs w:val="18"/>
                            </w:rPr>
                            <w:t>6</w:t>
                          </w:r>
                          <w:r>
                            <w:rPr>
                              <w:rFonts w:hint="eastAsia" w:eastAsia="宋体"/>
                              <w:sz w:val="18"/>
                              <w:szCs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L3UTQAAAAAgEAAA8AAAAAAAAAAQAgAAAAIgAAAGRycy9kb3du&#10;cmV2LnhtbFBLAQIUABQAAAAIAIdO4kDXOMk/zgEAAJYDAAAOAAAAAAAAAAEAIAAAAB8BAABkcnMv&#10;ZTJvRG9jLnhtbFBLBQYAAAAABgAGAFkBAABfBQAAAAA=&#10;">
              <v:fill on="f" focussize="0,0"/>
              <v:stroke on="f"/>
              <v:imagedata o:title=""/>
              <o:lock v:ext="edit" aspectratio="f"/>
              <v:textbox inset="0mm,0mm,0mm,0mm" style="mso-fit-shape-to-text:t;">
                <w:txbxContent>
                  <w:p>
                    <w:pPr>
                      <w:pStyle w:val="2"/>
                      <w:spacing w:beforeLines="0" w:afterLines="0"/>
                      <w:rPr>
                        <w:rFonts w:hint="default" w:eastAsia="宋体"/>
                        <w:sz w:val="18"/>
                        <w:szCs w:val="18"/>
                      </w:rPr>
                    </w:pPr>
                    <w:r>
                      <w:rPr>
                        <w:rFonts w:hint="eastAsia" w:eastAsia="宋体"/>
                        <w:sz w:val="18"/>
                        <w:szCs w:val="18"/>
                      </w:rPr>
                      <w:fldChar w:fldCharType="begin"/>
                    </w:r>
                    <w:r>
                      <w:rPr>
                        <w:rFonts w:hint="eastAsia" w:eastAsia="宋体"/>
                        <w:sz w:val="18"/>
                        <w:szCs w:val="18"/>
                      </w:rPr>
                      <w:instrText xml:space="preserve"> PAGE  \* MERGEFORMAT </w:instrText>
                    </w:r>
                    <w:r>
                      <w:rPr>
                        <w:rFonts w:hint="eastAsia" w:eastAsia="宋体"/>
                        <w:sz w:val="18"/>
                        <w:szCs w:val="18"/>
                      </w:rPr>
                      <w:fldChar w:fldCharType="separate"/>
                    </w:r>
                    <w:r>
                      <w:rPr>
                        <w:rFonts w:hint="eastAsia" w:eastAsia="宋体"/>
                        <w:sz w:val="18"/>
                        <w:szCs w:val="18"/>
                      </w:rPr>
                      <w:t>6</w:t>
                    </w:r>
                    <w:r>
                      <w:rPr>
                        <w:rFonts w:hint="eastAsia" w:eastAsia="宋体"/>
                        <w:sz w:val="18"/>
                        <w:szCs w:val="18"/>
                      </w:rPr>
                      <w:fldChar w:fldCharType="end"/>
                    </w:r>
                  </w:p>
                </w:txbxContent>
              </v:textbox>
            </v:shape>
          </w:pict>
        </mc:Fallback>
      </mc:AlternateContent>
    </w:r>
    <w:r>
      <w:rPr>
        <w:rFonts w:hint="eastAsia" w:eastAsia="等线"/>
        <w:sz w:val="18"/>
        <w:szCs w:val="18"/>
      </w:rPr>
      <w:t xml:space="preserve">     </w:t>
    </w:r>
  </w:p>
  <w:p>
    <w:pPr>
      <w:pStyle w:val="2"/>
      <w:spacing w:beforeLines="0" w:afterLines="0"/>
      <w:rPr>
        <w:rFonts w:hint="default"/>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Lines="0" w:afterLines="0"/>
      <w:ind w:firstLine="360"/>
      <w:jc w:val="center"/>
      <w:rPr>
        <w:rFonts w:hint="default"/>
        <w:sz w:val="18"/>
        <w:szCs w:val="18"/>
      </w:rPr>
    </w:pPr>
    <w:r>
      <w:rPr>
        <w:rFonts w:hint="eastAsia" w:eastAsia="等线"/>
        <w:sz w:val="18"/>
        <w:szCs w:val="18"/>
      </w:rPr>
      <w:fldChar w:fldCharType="begin"/>
    </w:r>
    <w:r>
      <w:rPr>
        <w:rFonts w:hint="eastAsia" w:eastAsia="等线"/>
        <w:sz w:val="18"/>
        <w:szCs w:val="18"/>
      </w:rPr>
      <w:instrText xml:space="preserve"> PAGE   \* MERGEFORMAT </w:instrText>
    </w:r>
    <w:r>
      <w:rPr>
        <w:rFonts w:hint="eastAsia" w:eastAsia="等线"/>
        <w:sz w:val="18"/>
        <w:szCs w:val="18"/>
      </w:rPr>
      <w:fldChar w:fldCharType="separate"/>
    </w:r>
    <w:r>
      <w:rPr>
        <w:rFonts w:hint="eastAsia" w:eastAsia="等线"/>
        <w:sz w:val="18"/>
        <w:szCs w:val="18"/>
      </w:rPr>
      <w:t>97</w:t>
    </w:r>
    <w:r>
      <w:rPr>
        <w:rFonts w:hint="eastAsia" w:eastAsia="等线"/>
        <w:sz w:val="18"/>
        <w:szCs w:val="18"/>
      </w:rPr>
      <w:fldChar w:fldCharType="end"/>
    </w:r>
  </w:p>
  <w:p>
    <w:pPr>
      <w:pStyle w:val="7"/>
      <w:spacing w:beforeLines="0" w:afterLines="0" w:line="14" w:lineRule="auto"/>
      <w:ind w:firstLine="240"/>
      <w:rPr>
        <w:rFonts w:hint="default"/>
        <w:sz w:val="12"/>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spacing w:beforeLines="0" w:afterLines="0"/>
      <w:ind w:firstLine="360"/>
      <w:rPr>
        <w:rFonts w:hint="default"/>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spacing w:beforeLines="0" w:afterLines="0"/>
      <w:ind w:firstLine="360"/>
      <w:rPr>
        <w:rFonts w:hint="default"/>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108799"/>
    <w:multiLevelType w:val="singleLevel"/>
    <w:tmpl w:val="DC108799"/>
    <w:lvl w:ilvl="0" w:tentative="0">
      <w:start w:val="1"/>
      <w:numFmt w:val="decimal"/>
      <w:pStyle w:val="11"/>
      <w:lvlText w:val="%1."/>
      <w:lvlJc w:val="left"/>
      <w:pPr>
        <w:tabs>
          <w:tab w:val="left" w:pos="2040"/>
        </w:tabs>
        <w:ind w:left="20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comments" w:enforcement="1" w:cryptProviderType="rsaFull" w:cryptAlgorithmClass="hash" w:cryptAlgorithmType="typeAny" w:cryptAlgorithmSid="4" w:cryptSpinCount="0" w:hash="RN7l3S43dLaE1wPJNKqTJD4vsTM=" w:salt="NWAWInHJ256bGvzZalaJ/A=="/>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6785D0C300001E7A" w:val=" "/>
    <w:docVar w:name="6785D15400005485" w:val=" "/>
    <w:docVar w:name="6785D27C0000D867" w:val=" "/>
    <w:docVar w:name="6785D64300009A1D" w:val=" "/>
    <w:docVar w:name="678610A500009EBB" w:val=" "/>
    <w:docVar w:name="67870BCB000017F7" w:val=" "/>
    <w:docVar w:name="67870D99000024F5" w:val=" "/>
    <w:docVar w:name="67870F100000E04E" w:val=" "/>
    <w:docVar w:name="67872FFB00000359" w:val=" "/>
    <w:docVar w:name="678E19E900002B25" w:val=" "/>
    <w:docVar w:name="678E1D0C0000699B" w:val=" "/>
    <w:docVar w:name="678E231C00001A2E" w:val=" "/>
    <w:docVar w:name="67D100FE000090B0" w:val=" "/>
    <w:docVar w:name="67D10C0F0000CD4B" w:val=" "/>
    <w:docVar w:name="67D10E250000F108" w:val=" "/>
    <w:docVar w:name="67D1296200005750" w:val=" "/>
    <w:docVar w:name="67D140C90000C2D1" w:val=" "/>
    <w:docVar w:name="67D141540000E16B" w:val=" "/>
    <w:docVar w:name="67D141DC0000F40F" w:val=" "/>
    <w:docVar w:name="67D16E4100005FA1" w:val=" "/>
    <w:docVar w:name="67D2303A00005328" w:val=" "/>
    <w:docVar w:name="67D235010000FB38" w:val=" "/>
    <w:docVar w:name="67D247D600008DE0" w:val=" "/>
    <w:docVar w:name="67D25A3000003B5D" w:val=" "/>
    <w:docVar w:name="67D25E05000031FE" w:val=" "/>
    <w:docVar w:name="67D26A4C000027A4" w:val=" "/>
    <w:docVar w:name="67D26A5200004185" w:val=" "/>
    <w:docVar w:name="67D27AC50000801D" w:val=" "/>
    <w:docVar w:name="67D27ACC00009C30" w:val=" "/>
    <w:docVar w:name="67D285D80000C504" w:val=" "/>
    <w:docVar w:name="67D286C900006FFB" w:val=" "/>
    <w:docVar w:name="67D2FA290000910F" w:val=" "/>
    <w:docVar w:name="67D39DBF00001927" w:val=" "/>
    <w:docVar w:name="67D39F5000003695" w:val=" "/>
    <w:docVar w:name="67D3B66700006447" w:val=" "/>
    <w:docVar w:name="67D3C59F0000D496" w:val=" "/>
    <w:docVar w:name="67D3E70000003701" w:val=" "/>
    <w:docVar w:name="67D40CCD0000E065" w:val=" "/>
    <w:docVar w:name="67D45C5200007F51" w:val=" "/>
    <w:docVar w:name="67D467630000BC97" w:val=" "/>
    <w:docVar w:name="67D54759000094CB" w:val=" "/>
    <w:docVar w:name="67D548CE000046BE" w:val=" "/>
    <w:docVar w:name="67D552240000BE31" w:val=" "/>
    <w:docVar w:name="67D553FB0000EC53" w:val=" "/>
    <w:docVar w:name="67D55A110000B2FF" w:val=" "/>
    <w:docVar w:name="67D55F1600004D4E" w:val=" "/>
    <w:docVar w:name="682C48850000E682" w:val=" "/>
    <w:docVar w:name="682C4F500000714F" w:val=" "/>
    <w:docVar w:name="682C505F00009137" w:val=" "/>
    <w:docVar w:name="682C510D00003AAC" w:val=" "/>
    <w:docVar w:name="685114AB0000EB9C" w:val=" "/>
    <w:docVar w:name="68511AF500007970" w:val=" "/>
    <w:docVar w:name="68512D0600000E1A" w:val=" "/>
    <w:docVar w:name="6851482A00001366" w:val=" "/>
    <w:docVar w:name="68514FDD0000245C" w:val=" "/>
    <w:docVar w:name="685176DB000041B4" w:val=" "/>
    <w:docVar w:name="68517CF900002780" w:val=" "/>
    <w:docVar w:name="68517E640000B159" w:val=" "/>
    <w:docVar w:name="685184B7000065DF" w:val=" "/>
    <w:docVar w:name="6851868700007A6F" w:val=" "/>
    <w:docVar w:name="commondata" w:val="eyJoZGlkIjoiNWMyNjAxOTI3NGRiYTg2OGUxZWU3ZmNiMzlmOTJmNGIifQ=="/>
  </w:docVars>
  <w:rsids>
    <w:rsidRoot w:val="00000000"/>
    <w:rsid w:val="00FA497E"/>
    <w:rsid w:val="01416DF2"/>
    <w:rsid w:val="01BC794C"/>
    <w:rsid w:val="021E41D8"/>
    <w:rsid w:val="03830BB7"/>
    <w:rsid w:val="0469640C"/>
    <w:rsid w:val="056F1060"/>
    <w:rsid w:val="059269D8"/>
    <w:rsid w:val="05CD2F69"/>
    <w:rsid w:val="060A7E98"/>
    <w:rsid w:val="06B225CD"/>
    <w:rsid w:val="07261BF2"/>
    <w:rsid w:val="07380C63"/>
    <w:rsid w:val="074C3905"/>
    <w:rsid w:val="079C3C62"/>
    <w:rsid w:val="07F563F7"/>
    <w:rsid w:val="07FB49F0"/>
    <w:rsid w:val="080C03D3"/>
    <w:rsid w:val="084D4E16"/>
    <w:rsid w:val="085053EA"/>
    <w:rsid w:val="086B2CD6"/>
    <w:rsid w:val="088323FA"/>
    <w:rsid w:val="089B216C"/>
    <w:rsid w:val="08D423AF"/>
    <w:rsid w:val="09992B4F"/>
    <w:rsid w:val="0AED6133"/>
    <w:rsid w:val="0B092A8A"/>
    <w:rsid w:val="0B9A2BAF"/>
    <w:rsid w:val="0B9B3AD4"/>
    <w:rsid w:val="0BB67FF4"/>
    <w:rsid w:val="0BC70195"/>
    <w:rsid w:val="0C000C64"/>
    <w:rsid w:val="0C046CD0"/>
    <w:rsid w:val="0C3D184D"/>
    <w:rsid w:val="0C865F4C"/>
    <w:rsid w:val="0DEF0975"/>
    <w:rsid w:val="0E370B89"/>
    <w:rsid w:val="0E8174BE"/>
    <w:rsid w:val="0EAF0988"/>
    <w:rsid w:val="0EE31E16"/>
    <w:rsid w:val="0F84395A"/>
    <w:rsid w:val="0FC24482"/>
    <w:rsid w:val="10194B23"/>
    <w:rsid w:val="10F25AC4"/>
    <w:rsid w:val="11252BF2"/>
    <w:rsid w:val="117A71B1"/>
    <w:rsid w:val="117F63A6"/>
    <w:rsid w:val="1192420F"/>
    <w:rsid w:val="11E96BF5"/>
    <w:rsid w:val="12040D82"/>
    <w:rsid w:val="126C30D5"/>
    <w:rsid w:val="12751CDF"/>
    <w:rsid w:val="13327F03"/>
    <w:rsid w:val="13562BE5"/>
    <w:rsid w:val="139A54CB"/>
    <w:rsid w:val="146B50E8"/>
    <w:rsid w:val="153C212C"/>
    <w:rsid w:val="15BE2917"/>
    <w:rsid w:val="165F5BFF"/>
    <w:rsid w:val="170B70BE"/>
    <w:rsid w:val="175A4C8C"/>
    <w:rsid w:val="1852340B"/>
    <w:rsid w:val="188F29F5"/>
    <w:rsid w:val="18DD56C7"/>
    <w:rsid w:val="19A13D7C"/>
    <w:rsid w:val="19D82481"/>
    <w:rsid w:val="1A3047D2"/>
    <w:rsid w:val="1A605EA9"/>
    <w:rsid w:val="1A953478"/>
    <w:rsid w:val="1A9F3EA8"/>
    <w:rsid w:val="1B4F57C2"/>
    <w:rsid w:val="1B9535FC"/>
    <w:rsid w:val="1C7F57DD"/>
    <w:rsid w:val="1CC37F7E"/>
    <w:rsid w:val="1CDA72AF"/>
    <w:rsid w:val="1D01483C"/>
    <w:rsid w:val="1D5D5FE5"/>
    <w:rsid w:val="1E5C34F6"/>
    <w:rsid w:val="1E9A0138"/>
    <w:rsid w:val="1EA277D2"/>
    <w:rsid w:val="1ECB3D67"/>
    <w:rsid w:val="1F151E79"/>
    <w:rsid w:val="1F244F94"/>
    <w:rsid w:val="1F967805"/>
    <w:rsid w:val="1F9D6189"/>
    <w:rsid w:val="1FEB4A23"/>
    <w:rsid w:val="1FF17AD2"/>
    <w:rsid w:val="20692D4A"/>
    <w:rsid w:val="20B35C49"/>
    <w:rsid w:val="21136693"/>
    <w:rsid w:val="211B0713"/>
    <w:rsid w:val="21282C00"/>
    <w:rsid w:val="213E1BF4"/>
    <w:rsid w:val="214262C0"/>
    <w:rsid w:val="21F91F85"/>
    <w:rsid w:val="22922C5A"/>
    <w:rsid w:val="22FE4D4D"/>
    <w:rsid w:val="23B928A0"/>
    <w:rsid w:val="23EA4FAD"/>
    <w:rsid w:val="24322348"/>
    <w:rsid w:val="2475465B"/>
    <w:rsid w:val="24851F46"/>
    <w:rsid w:val="249134C2"/>
    <w:rsid w:val="259A54C2"/>
    <w:rsid w:val="25DC4098"/>
    <w:rsid w:val="272E73C5"/>
    <w:rsid w:val="28165840"/>
    <w:rsid w:val="281B5912"/>
    <w:rsid w:val="281C6F79"/>
    <w:rsid w:val="286F023A"/>
    <w:rsid w:val="299F5C47"/>
    <w:rsid w:val="2A9B5F16"/>
    <w:rsid w:val="2AC80EE5"/>
    <w:rsid w:val="2B4815E8"/>
    <w:rsid w:val="2B6947D3"/>
    <w:rsid w:val="2B89106F"/>
    <w:rsid w:val="2BD45886"/>
    <w:rsid w:val="2BE43E09"/>
    <w:rsid w:val="2C65282D"/>
    <w:rsid w:val="2C671C7B"/>
    <w:rsid w:val="2CB12CDF"/>
    <w:rsid w:val="2CDE0D9A"/>
    <w:rsid w:val="2D2C6F2F"/>
    <w:rsid w:val="2DA7352E"/>
    <w:rsid w:val="2DB142C8"/>
    <w:rsid w:val="2DFC4A79"/>
    <w:rsid w:val="2ED603DC"/>
    <w:rsid w:val="2F2C056C"/>
    <w:rsid w:val="2F9A04D8"/>
    <w:rsid w:val="30973579"/>
    <w:rsid w:val="31E00FE5"/>
    <w:rsid w:val="3221764A"/>
    <w:rsid w:val="339A2172"/>
    <w:rsid w:val="353B648F"/>
    <w:rsid w:val="354C51B9"/>
    <w:rsid w:val="369915DF"/>
    <w:rsid w:val="36F82102"/>
    <w:rsid w:val="36FC58E9"/>
    <w:rsid w:val="371812F8"/>
    <w:rsid w:val="37ED3EE3"/>
    <w:rsid w:val="38612810"/>
    <w:rsid w:val="3871256A"/>
    <w:rsid w:val="38883C0B"/>
    <w:rsid w:val="39333B77"/>
    <w:rsid w:val="397452A4"/>
    <w:rsid w:val="3A1D095F"/>
    <w:rsid w:val="3A356C8F"/>
    <w:rsid w:val="3A766E13"/>
    <w:rsid w:val="3AC5681F"/>
    <w:rsid w:val="3BC31A6A"/>
    <w:rsid w:val="3C9B3F0D"/>
    <w:rsid w:val="3D4B3704"/>
    <w:rsid w:val="3DBF1B66"/>
    <w:rsid w:val="3E0212C4"/>
    <w:rsid w:val="3E754580"/>
    <w:rsid w:val="3ECD21E7"/>
    <w:rsid w:val="3F30121F"/>
    <w:rsid w:val="3FA1655A"/>
    <w:rsid w:val="3FDA67FC"/>
    <w:rsid w:val="3FE1257F"/>
    <w:rsid w:val="3FE95D44"/>
    <w:rsid w:val="401853FC"/>
    <w:rsid w:val="4057639D"/>
    <w:rsid w:val="41180364"/>
    <w:rsid w:val="4118665E"/>
    <w:rsid w:val="415F7A57"/>
    <w:rsid w:val="41F85A2C"/>
    <w:rsid w:val="42061A59"/>
    <w:rsid w:val="4241724A"/>
    <w:rsid w:val="4256139F"/>
    <w:rsid w:val="431762B8"/>
    <w:rsid w:val="43197030"/>
    <w:rsid w:val="43B93142"/>
    <w:rsid w:val="43C20EE5"/>
    <w:rsid w:val="44426022"/>
    <w:rsid w:val="44991594"/>
    <w:rsid w:val="44FE7975"/>
    <w:rsid w:val="457A5A3D"/>
    <w:rsid w:val="46634A7B"/>
    <w:rsid w:val="46712995"/>
    <w:rsid w:val="46832DC8"/>
    <w:rsid w:val="476C67E4"/>
    <w:rsid w:val="48CB3294"/>
    <w:rsid w:val="4968774B"/>
    <w:rsid w:val="4998477E"/>
    <w:rsid w:val="4A310CEA"/>
    <w:rsid w:val="4AB54D91"/>
    <w:rsid w:val="4B0C7BCD"/>
    <w:rsid w:val="4BA41313"/>
    <w:rsid w:val="4C287010"/>
    <w:rsid w:val="4C460902"/>
    <w:rsid w:val="4C63431C"/>
    <w:rsid w:val="4D3F08E5"/>
    <w:rsid w:val="4DDB1BBB"/>
    <w:rsid w:val="4E215CB4"/>
    <w:rsid w:val="4E3D0B9C"/>
    <w:rsid w:val="4E7B594C"/>
    <w:rsid w:val="4E971A20"/>
    <w:rsid w:val="4EF63225"/>
    <w:rsid w:val="4F354AB5"/>
    <w:rsid w:val="4FB03ACF"/>
    <w:rsid w:val="4FD32086"/>
    <w:rsid w:val="4FF413B0"/>
    <w:rsid w:val="50B07329"/>
    <w:rsid w:val="514B5913"/>
    <w:rsid w:val="514F5C17"/>
    <w:rsid w:val="5151508A"/>
    <w:rsid w:val="51AE03CC"/>
    <w:rsid w:val="51ED0539"/>
    <w:rsid w:val="529E7E5B"/>
    <w:rsid w:val="52BE6391"/>
    <w:rsid w:val="53230361"/>
    <w:rsid w:val="53302860"/>
    <w:rsid w:val="53970BDB"/>
    <w:rsid w:val="53B908B8"/>
    <w:rsid w:val="53DE6F02"/>
    <w:rsid w:val="54615293"/>
    <w:rsid w:val="54AF7A88"/>
    <w:rsid w:val="552D2ED8"/>
    <w:rsid w:val="55FF3307"/>
    <w:rsid w:val="5619522D"/>
    <w:rsid w:val="564049AB"/>
    <w:rsid w:val="571805F5"/>
    <w:rsid w:val="57360332"/>
    <w:rsid w:val="57993545"/>
    <w:rsid w:val="57AF4E3A"/>
    <w:rsid w:val="58F07239"/>
    <w:rsid w:val="596C4380"/>
    <w:rsid w:val="5A604FDD"/>
    <w:rsid w:val="5AB653D5"/>
    <w:rsid w:val="5AC7616E"/>
    <w:rsid w:val="5ADB6F7F"/>
    <w:rsid w:val="5B164796"/>
    <w:rsid w:val="5B2947A9"/>
    <w:rsid w:val="5B764E54"/>
    <w:rsid w:val="5B7A727B"/>
    <w:rsid w:val="5BF54B27"/>
    <w:rsid w:val="5C01110C"/>
    <w:rsid w:val="5CC42428"/>
    <w:rsid w:val="5D12377A"/>
    <w:rsid w:val="5DA1398C"/>
    <w:rsid w:val="5DBB7A2D"/>
    <w:rsid w:val="5DD92690"/>
    <w:rsid w:val="5EE560D7"/>
    <w:rsid w:val="5F5654C9"/>
    <w:rsid w:val="5F6A42C5"/>
    <w:rsid w:val="5FEB2206"/>
    <w:rsid w:val="60B90BF4"/>
    <w:rsid w:val="60BA487A"/>
    <w:rsid w:val="617D6C1D"/>
    <w:rsid w:val="62A20BB9"/>
    <w:rsid w:val="631F3D7B"/>
    <w:rsid w:val="63FC765E"/>
    <w:rsid w:val="64485327"/>
    <w:rsid w:val="64D44373"/>
    <w:rsid w:val="65833F03"/>
    <w:rsid w:val="65A12ABE"/>
    <w:rsid w:val="65C940E4"/>
    <w:rsid w:val="65D676FC"/>
    <w:rsid w:val="66754F1F"/>
    <w:rsid w:val="66913C84"/>
    <w:rsid w:val="66E96A70"/>
    <w:rsid w:val="66FC0E4E"/>
    <w:rsid w:val="670A4E53"/>
    <w:rsid w:val="673C017D"/>
    <w:rsid w:val="68C17130"/>
    <w:rsid w:val="68F80968"/>
    <w:rsid w:val="69612116"/>
    <w:rsid w:val="69FF4AFF"/>
    <w:rsid w:val="6AD46458"/>
    <w:rsid w:val="6AE94BB2"/>
    <w:rsid w:val="6C1628B6"/>
    <w:rsid w:val="6C7D59F6"/>
    <w:rsid w:val="6D464D49"/>
    <w:rsid w:val="6D8B083B"/>
    <w:rsid w:val="6DA46816"/>
    <w:rsid w:val="6DAE5E0C"/>
    <w:rsid w:val="6F085F38"/>
    <w:rsid w:val="6F3F60CB"/>
    <w:rsid w:val="6F591A27"/>
    <w:rsid w:val="6F9A165A"/>
    <w:rsid w:val="70480CD2"/>
    <w:rsid w:val="70745238"/>
    <w:rsid w:val="70820133"/>
    <w:rsid w:val="70AF6258"/>
    <w:rsid w:val="70EB02B8"/>
    <w:rsid w:val="70F937C8"/>
    <w:rsid w:val="711850F1"/>
    <w:rsid w:val="71241B8B"/>
    <w:rsid w:val="7183166A"/>
    <w:rsid w:val="7221167A"/>
    <w:rsid w:val="72614949"/>
    <w:rsid w:val="7327134F"/>
    <w:rsid w:val="7369724E"/>
    <w:rsid w:val="73BD1FEF"/>
    <w:rsid w:val="740B21FC"/>
    <w:rsid w:val="75582372"/>
    <w:rsid w:val="76215833"/>
    <w:rsid w:val="76343E6D"/>
    <w:rsid w:val="7693628D"/>
    <w:rsid w:val="769E36F7"/>
    <w:rsid w:val="76F76D18"/>
    <w:rsid w:val="77546B47"/>
    <w:rsid w:val="77794AE4"/>
    <w:rsid w:val="7795185D"/>
    <w:rsid w:val="77A43BE9"/>
    <w:rsid w:val="77CF1D57"/>
    <w:rsid w:val="782C1E70"/>
    <w:rsid w:val="78721CEF"/>
    <w:rsid w:val="78EB703F"/>
    <w:rsid w:val="78FA3091"/>
    <w:rsid w:val="794B5D0D"/>
    <w:rsid w:val="795C5153"/>
    <w:rsid w:val="7A020D06"/>
    <w:rsid w:val="7A0E3419"/>
    <w:rsid w:val="7A154075"/>
    <w:rsid w:val="7A366C5C"/>
    <w:rsid w:val="7A7D0EE6"/>
    <w:rsid w:val="7BBA37C5"/>
    <w:rsid w:val="7BCD518A"/>
    <w:rsid w:val="7BFD41A1"/>
    <w:rsid w:val="7C0E016A"/>
    <w:rsid w:val="7C890F67"/>
    <w:rsid w:val="7C9C4B5C"/>
    <w:rsid w:val="7CE058FD"/>
    <w:rsid w:val="7CEE323F"/>
    <w:rsid w:val="7CEF499A"/>
    <w:rsid w:val="7D5A6014"/>
    <w:rsid w:val="7DCD708E"/>
    <w:rsid w:val="7E3A4BAB"/>
    <w:rsid w:val="7EAE5170"/>
    <w:rsid w:val="7EBA0025"/>
    <w:rsid w:val="7F275628"/>
    <w:rsid w:val="7FF763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spacing w:beforeLines="0" w:afterLines="0"/>
      <w:jc w:val="both"/>
    </w:pPr>
    <w:rPr>
      <w:rFonts w:hint="eastAsia" w:ascii="等线" w:hAnsi="等线" w:eastAsia="等线" w:cs="Times New Roman"/>
      <w:kern w:val="2"/>
      <w:sz w:val="21"/>
      <w:szCs w:val="22"/>
      <w:lang w:val="en-US" w:eastAsia="zh-CN" w:bidi="ar-SA"/>
    </w:rPr>
  </w:style>
  <w:style w:type="paragraph" w:styleId="3">
    <w:name w:val="heading 2"/>
    <w:basedOn w:val="1"/>
    <w:next w:val="1"/>
    <w:unhideWhenUsed/>
    <w:qFormat/>
    <w:uiPriority w:val="0"/>
    <w:pPr>
      <w:autoSpaceDE w:val="0"/>
      <w:autoSpaceDN w:val="0"/>
      <w:spacing w:beforeLines="0" w:afterLines="0"/>
      <w:ind w:left="801" w:hanging="401"/>
      <w:jc w:val="left"/>
      <w:outlineLvl w:val="1"/>
    </w:pPr>
    <w:rPr>
      <w:rFonts w:hint="eastAsia" w:ascii="Microsoft JhengHei" w:hAnsi="Microsoft JhengHei" w:eastAsia="Microsoft JhengHei" w:cs="Microsoft JhengHei"/>
      <w:b/>
      <w:sz w:val="32"/>
      <w:szCs w:val="32"/>
      <w:lang w:val="zh-CN"/>
    </w:rPr>
  </w:style>
  <w:style w:type="paragraph" w:styleId="4">
    <w:name w:val="heading 3"/>
    <w:basedOn w:val="1"/>
    <w:next w:val="1"/>
    <w:qFormat/>
    <w:uiPriority w:val="0"/>
    <w:pPr>
      <w:autoSpaceDE w:val="0"/>
      <w:autoSpaceDN w:val="0"/>
      <w:ind w:left="866" w:hanging="489"/>
      <w:jc w:val="left"/>
      <w:outlineLvl w:val="2"/>
    </w:pPr>
    <w:rPr>
      <w:rFonts w:ascii="宋体" w:hAnsi="宋体"/>
      <w:kern w:val="0"/>
      <w:sz w:val="28"/>
      <w:szCs w:val="28"/>
      <w:lang w:val="zh-CN"/>
    </w:rPr>
  </w:style>
  <w:style w:type="paragraph" w:styleId="5">
    <w:name w:val="heading 4"/>
    <w:basedOn w:val="1"/>
    <w:next w:val="1"/>
    <w:unhideWhenUsed/>
    <w:qFormat/>
    <w:uiPriority w:val="9"/>
    <w:pPr>
      <w:keepNext/>
      <w:keepLines/>
      <w:spacing w:before="280" w:beforeLines="0" w:after="290" w:afterLines="0" w:line="372" w:lineRule="auto"/>
      <w:outlineLvl w:val="3"/>
    </w:pPr>
    <w:rPr>
      <w:rFonts w:hint="eastAsia" w:ascii="Arial" w:hAnsi="Arial" w:eastAsia="黑体" w:cs="宋体"/>
      <w:b/>
      <w:sz w:val="28"/>
      <w:szCs w:val="21"/>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beforeLines="0" w:afterLines="0"/>
      <w:jc w:val="left"/>
    </w:pPr>
    <w:rPr>
      <w:rFonts w:hint="eastAsia"/>
      <w:sz w:val="18"/>
      <w:szCs w:val="18"/>
    </w:rPr>
  </w:style>
  <w:style w:type="paragraph" w:styleId="6">
    <w:name w:val="Normal Indent"/>
    <w:basedOn w:val="1"/>
    <w:next w:val="7"/>
    <w:unhideWhenUsed/>
    <w:qFormat/>
    <w:uiPriority w:val="0"/>
    <w:pPr>
      <w:spacing w:beforeLines="0" w:afterLines="0"/>
      <w:ind w:firstLine="420"/>
    </w:pPr>
    <w:rPr>
      <w:rFonts w:hint="eastAsia" w:ascii="Times New Roman" w:hAnsi="Times New Roman" w:eastAsia="宋体"/>
      <w:sz w:val="21"/>
      <w:szCs w:val="20"/>
    </w:rPr>
  </w:style>
  <w:style w:type="paragraph" w:styleId="7">
    <w:name w:val="Body Text"/>
    <w:basedOn w:val="1"/>
    <w:next w:val="1"/>
    <w:unhideWhenUsed/>
    <w:qFormat/>
    <w:uiPriority w:val="0"/>
    <w:pPr>
      <w:autoSpaceDE w:val="0"/>
      <w:autoSpaceDN w:val="0"/>
      <w:spacing w:beforeLines="0" w:afterLines="0"/>
      <w:jc w:val="left"/>
    </w:pPr>
    <w:rPr>
      <w:rFonts w:hint="eastAsia" w:ascii="宋体" w:hAnsi="宋体" w:eastAsia="宋体" w:cs="宋体"/>
      <w:sz w:val="21"/>
      <w:szCs w:val="21"/>
      <w:lang w:val="zh-CN"/>
    </w:rPr>
  </w:style>
  <w:style w:type="paragraph" w:styleId="8">
    <w:name w:val="Document Map"/>
    <w:basedOn w:val="1"/>
    <w:unhideWhenUsed/>
    <w:qFormat/>
    <w:uiPriority w:val="0"/>
    <w:pPr>
      <w:spacing w:beforeLines="0" w:afterLines="0"/>
    </w:pPr>
    <w:rPr>
      <w:rFonts w:hint="eastAsia" w:ascii="宋体" w:hAnsi="宋体" w:eastAsia="宋体" w:cs="宋体"/>
      <w:sz w:val="18"/>
      <w:szCs w:val="18"/>
    </w:rPr>
  </w:style>
  <w:style w:type="paragraph" w:styleId="9">
    <w:name w:val="Body Text Indent"/>
    <w:basedOn w:val="1"/>
    <w:unhideWhenUsed/>
    <w:qFormat/>
    <w:uiPriority w:val="0"/>
    <w:pPr>
      <w:autoSpaceDE w:val="0"/>
      <w:autoSpaceDN w:val="0"/>
      <w:spacing w:beforeLines="0" w:after="120" w:afterLines="0"/>
      <w:ind w:left="420"/>
    </w:pPr>
    <w:rPr>
      <w:rFonts w:hint="eastAsia" w:ascii="Times New Roman" w:hAnsi="Times New Roman" w:eastAsia="宋体"/>
      <w:sz w:val="21"/>
      <w:szCs w:val="24"/>
      <w:lang w:val="zh-CN"/>
    </w:rPr>
  </w:style>
  <w:style w:type="paragraph" w:styleId="10">
    <w:name w:val="Plain Text"/>
    <w:basedOn w:val="1"/>
    <w:next w:val="11"/>
    <w:unhideWhenUsed/>
    <w:qFormat/>
    <w:uiPriority w:val="0"/>
    <w:pPr>
      <w:autoSpaceDE w:val="0"/>
      <w:autoSpaceDN w:val="0"/>
      <w:spacing w:beforeLines="0" w:afterLines="0"/>
    </w:pPr>
    <w:rPr>
      <w:rFonts w:hint="eastAsia" w:ascii="宋体" w:hAnsi="Courier New" w:eastAsia="宋体"/>
      <w:sz w:val="21"/>
      <w:szCs w:val="21"/>
      <w:lang w:val="zh-CN"/>
    </w:rPr>
  </w:style>
  <w:style w:type="paragraph" w:styleId="11">
    <w:name w:val="List Number 5"/>
    <w:basedOn w:val="1"/>
    <w:qFormat/>
    <w:uiPriority w:val="0"/>
    <w:pPr>
      <w:numPr>
        <w:ilvl w:val="0"/>
        <w:numId w:val="1"/>
      </w:numPr>
    </w:pPr>
  </w:style>
  <w:style w:type="paragraph" w:styleId="12">
    <w:name w:val="header"/>
    <w:basedOn w:val="1"/>
    <w:unhideWhenUsed/>
    <w:qFormat/>
    <w:uiPriority w:val="0"/>
    <w:pPr>
      <w:pBdr>
        <w:bottom w:val="single" w:color="auto" w:sz="6" w:space="1"/>
      </w:pBdr>
      <w:tabs>
        <w:tab w:val="center" w:pos="4153"/>
        <w:tab w:val="right" w:pos="8306"/>
      </w:tabs>
      <w:snapToGrid w:val="0"/>
      <w:spacing w:beforeLines="0" w:afterLines="0"/>
      <w:jc w:val="center"/>
    </w:pPr>
    <w:rPr>
      <w:rFonts w:hint="eastAsia"/>
      <w:sz w:val="18"/>
      <w:szCs w:val="18"/>
    </w:rPr>
  </w:style>
  <w:style w:type="paragraph" w:styleId="13">
    <w:name w:val="List"/>
    <w:basedOn w:val="1"/>
    <w:unhideWhenUsed/>
    <w:qFormat/>
    <w:uiPriority w:val="0"/>
    <w:pPr>
      <w:spacing w:beforeLines="0" w:afterLines="0"/>
      <w:ind w:left="200" w:hanging="200" w:hangingChars="200"/>
    </w:pPr>
    <w:rPr>
      <w:rFonts w:hint="eastAsia" w:ascii="宋体" w:hAnsi="宋体" w:eastAsia="宋体" w:cs="宋体"/>
      <w:sz w:val="21"/>
      <w:szCs w:val="21"/>
    </w:rPr>
  </w:style>
  <w:style w:type="paragraph" w:styleId="14">
    <w:name w:val="Body Text First Indent 2"/>
    <w:basedOn w:val="9"/>
    <w:unhideWhenUsed/>
    <w:qFormat/>
    <w:uiPriority w:val="0"/>
    <w:pPr>
      <w:spacing w:beforeLines="0" w:afterLines="0"/>
      <w:ind w:firstLine="420"/>
    </w:pPr>
    <w:rPr>
      <w:rFonts w:hint="eastAsia"/>
      <w:sz w:val="21"/>
      <w:szCs w:val="24"/>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正文文本2"/>
    <w:basedOn w:val="1"/>
    <w:unhideWhenUsed/>
    <w:qFormat/>
    <w:uiPriority w:val="0"/>
    <w:pPr>
      <w:autoSpaceDE w:val="0"/>
      <w:autoSpaceDN w:val="0"/>
      <w:spacing w:beforeLines="0" w:afterLines="0"/>
      <w:jc w:val="left"/>
    </w:pPr>
    <w:rPr>
      <w:rFonts w:hint="eastAsia" w:ascii="宋体" w:hAnsi="宋体" w:eastAsia="宋体"/>
      <w:sz w:val="20"/>
      <w:szCs w:val="21"/>
      <w:lang w:val="zh-CN"/>
    </w:rPr>
  </w:style>
  <w:style w:type="paragraph" w:customStyle="1" w:styleId="19">
    <w:name w:val="列出段落7"/>
    <w:basedOn w:val="1"/>
    <w:unhideWhenUsed/>
    <w:qFormat/>
    <w:uiPriority w:val="0"/>
    <w:pPr>
      <w:spacing w:beforeLines="0" w:afterLines="0"/>
      <w:ind w:left="400" w:firstLine="420"/>
    </w:pPr>
    <w:rPr>
      <w:rFonts w:hint="eastAsia" w:ascii="宋体" w:hAnsi="宋体" w:eastAsia="宋体" w:cs="宋体"/>
      <w:sz w:val="21"/>
      <w:szCs w:val="21"/>
    </w:rPr>
  </w:style>
  <w:style w:type="paragraph" w:customStyle="1" w:styleId="20">
    <w:name w:val="样式8"/>
    <w:basedOn w:val="21"/>
    <w:unhideWhenUsed/>
    <w:qFormat/>
    <w:uiPriority w:val="1"/>
    <w:pPr>
      <w:spacing w:beforeLines="0" w:afterLines="0"/>
    </w:pPr>
    <w:rPr>
      <w:rFonts w:hint="eastAsia"/>
      <w:sz w:val="28"/>
      <w:szCs w:val="28"/>
    </w:rPr>
  </w:style>
  <w:style w:type="paragraph" w:customStyle="1" w:styleId="21">
    <w:name w:val="一级标题"/>
    <w:basedOn w:val="1"/>
    <w:unhideWhenUsed/>
    <w:qFormat/>
    <w:uiPriority w:val="0"/>
    <w:pPr>
      <w:adjustRightInd w:val="0"/>
      <w:snapToGrid w:val="0"/>
      <w:spacing w:beforeLines="0" w:afterLines="0"/>
      <w:jc w:val="center"/>
      <w:outlineLvl w:val="0"/>
    </w:pPr>
    <w:rPr>
      <w:rFonts w:hint="eastAsia" w:ascii="黑体" w:hAnsi="宋体" w:eastAsia="黑体" w:cs="宋体"/>
      <w:b/>
      <w:sz w:val="28"/>
      <w:szCs w:val="28"/>
    </w:rPr>
  </w:style>
  <w:style w:type="paragraph" w:customStyle="1" w:styleId="22">
    <w:name w:val="Table Paragraph"/>
    <w:basedOn w:val="1"/>
    <w:unhideWhenUsed/>
    <w:qFormat/>
    <w:uiPriority w:val="1"/>
    <w:pPr>
      <w:autoSpaceDE w:val="0"/>
      <w:autoSpaceDN w:val="0"/>
      <w:spacing w:beforeLines="0" w:afterLines="0"/>
      <w:jc w:val="left"/>
    </w:pPr>
    <w:rPr>
      <w:rFonts w:hint="eastAsia" w:ascii="宋体" w:hAnsi="宋体" w:eastAsia="宋体" w:cs="宋体"/>
      <w:sz w:val="22"/>
      <w:szCs w:val="22"/>
      <w:lang w:val="zh-CN"/>
    </w:rPr>
  </w:style>
  <w:style w:type="paragraph" w:customStyle="1" w:styleId="23">
    <w:name w:val="列出段落1"/>
    <w:basedOn w:val="1"/>
    <w:unhideWhenUsed/>
    <w:qFormat/>
    <w:uiPriority w:val="0"/>
    <w:pPr>
      <w:autoSpaceDE w:val="0"/>
      <w:autoSpaceDN w:val="0"/>
      <w:spacing w:beforeLines="0" w:afterLines="0"/>
      <w:ind w:left="240" w:firstLine="420"/>
      <w:jc w:val="left"/>
    </w:pPr>
    <w:rPr>
      <w:rFonts w:hint="eastAsia" w:ascii="宋体" w:hAnsi="宋体" w:eastAsia="宋体" w:cs="宋体"/>
      <w:sz w:val="22"/>
      <w:szCs w:val="22"/>
      <w:lang w:val="zh-CN"/>
    </w:rPr>
  </w:style>
  <w:style w:type="paragraph" w:customStyle="1" w:styleId="24">
    <w:name w:val="列出段落1111"/>
    <w:basedOn w:val="1"/>
    <w:unhideWhenUsed/>
    <w:qFormat/>
    <w:uiPriority w:val="0"/>
    <w:pPr>
      <w:autoSpaceDE w:val="0"/>
      <w:autoSpaceDN w:val="0"/>
      <w:spacing w:beforeLines="0" w:afterLines="0"/>
      <w:ind w:firstLine="420" w:firstLineChars="200"/>
    </w:pPr>
    <w:rPr>
      <w:rFonts w:hint="eastAsia" w:ascii="Calibri" w:hAnsi="Calibri" w:eastAsia="宋体"/>
      <w:sz w:val="22"/>
      <w:szCs w:val="20"/>
    </w:rPr>
  </w:style>
  <w:style w:type="paragraph" w:customStyle="1" w:styleId="25">
    <w:name w:val="表格文字"/>
    <w:basedOn w:val="13"/>
    <w:next w:val="1"/>
    <w:unhideWhenUsed/>
    <w:qFormat/>
    <w:uiPriority w:val="0"/>
    <w:pPr>
      <w:spacing w:beforeLines="0" w:afterLines="0"/>
      <w:ind w:firstLine="0" w:firstLineChars="0"/>
      <w:jc w:val="center"/>
    </w:pPr>
    <w:rPr>
      <w:rFonts w:hint="eastAsia"/>
      <w:sz w:val="21"/>
      <w:szCs w:val="20"/>
    </w:rPr>
  </w:style>
  <w:style w:type="paragraph" w:customStyle="1" w:styleId="26">
    <w:name w:val="正文文本3"/>
    <w:basedOn w:val="1"/>
    <w:unhideWhenUsed/>
    <w:qFormat/>
    <w:uiPriority w:val="0"/>
    <w:pPr>
      <w:autoSpaceDE w:val="0"/>
      <w:autoSpaceDN w:val="0"/>
      <w:spacing w:beforeLines="0" w:afterLines="0"/>
      <w:jc w:val="left"/>
    </w:pPr>
    <w:rPr>
      <w:rFonts w:hint="eastAsia" w:ascii="宋体" w:hAnsi="宋体" w:eastAsia="宋体"/>
      <w:sz w:val="20"/>
      <w:szCs w:val="21"/>
      <w:lang w:val="zh-CN"/>
    </w:rPr>
  </w:style>
  <w:style w:type="character" w:customStyle="1" w:styleId="27">
    <w:name w:val="标题 1.1 Char1"/>
    <w:unhideWhenUsed/>
    <w:qFormat/>
    <w:uiPriority w:val="0"/>
    <w:rPr>
      <w:rFonts w:hint="eastAsia" w:ascii="Arial" w:hAnsi="Arial" w:eastAsia="黑体"/>
      <w:b/>
      <w:kern w:val="2"/>
      <w:sz w:val="32"/>
      <w:szCs w:val="24"/>
    </w:rPr>
  </w:style>
  <w:style w:type="paragraph" w:customStyle="1" w:styleId="28">
    <w:name w:val="bgg"/>
    <w:basedOn w:val="29"/>
    <w:unhideWhenUsed/>
    <w:qFormat/>
    <w:uiPriority w:val="0"/>
    <w:pPr>
      <w:snapToGrid w:val="0"/>
      <w:spacing w:beforeLines="0" w:afterLines="0"/>
      <w:ind w:left="52" w:leftChars="25" w:right="52" w:rightChars="25"/>
      <w:jc w:val="center"/>
    </w:pPr>
    <w:rPr>
      <w:rFonts w:hint="eastAsia" w:ascii="Times New Roman" w:hAnsi="Times New Roman"/>
      <w:sz w:val="18"/>
      <w:szCs w:val="18"/>
    </w:rPr>
  </w:style>
  <w:style w:type="paragraph" w:customStyle="1" w:styleId="29">
    <w:name w:val="默认段落字体 Para Char Char Char Char"/>
    <w:basedOn w:val="1"/>
    <w:unhideWhenUsed/>
    <w:qFormat/>
    <w:uiPriority w:val="0"/>
    <w:pPr>
      <w:autoSpaceDE w:val="0"/>
      <w:autoSpaceDN w:val="0"/>
      <w:spacing w:beforeLines="0" w:afterLines="0"/>
    </w:pPr>
    <w:rPr>
      <w:rFonts w:hint="eastAsia" w:ascii="宋体" w:hAnsi="宋体" w:eastAsia="宋体"/>
      <w:b/>
      <w:color w:val="000000"/>
      <w:sz w:val="24"/>
      <w:szCs w:val="24"/>
      <w:lang w:val="zh-CN"/>
    </w:rPr>
  </w:style>
  <w:style w:type="paragraph" w:customStyle="1" w:styleId="30">
    <w:name w:val="p0"/>
    <w:basedOn w:val="1"/>
    <w:unhideWhenUsed/>
    <w:qFormat/>
    <w:uiPriority w:val="0"/>
    <w:pPr>
      <w:widowControl/>
      <w:autoSpaceDE w:val="0"/>
      <w:autoSpaceDN w:val="0"/>
      <w:spacing w:beforeLines="0" w:afterLines="0"/>
    </w:pPr>
    <w:rPr>
      <w:rFonts w:hint="eastAsia" w:ascii="Times New Roman" w:hAnsi="Times New Roman" w:eastAsia="宋体"/>
      <w:sz w:val="21"/>
      <w:szCs w:val="21"/>
    </w:rPr>
  </w:style>
  <w:style w:type="paragraph" w:customStyle="1" w:styleId="31">
    <w:name w:val="纯文本2"/>
    <w:basedOn w:val="1"/>
    <w:unhideWhenUsed/>
    <w:qFormat/>
    <w:uiPriority w:val="0"/>
    <w:pPr>
      <w:adjustRightInd w:val="0"/>
      <w:spacing w:beforeLines="0" w:afterLines="0"/>
      <w:textAlignment w:val="baseline"/>
    </w:pPr>
    <w:rPr>
      <w:rFonts w:hint="eastAsia" w:ascii="宋体" w:hAnsi="Courier New" w:eastAsia="宋体"/>
      <w:sz w:val="21"/>
      <w:szCs w:val="20"/>
      <w:lang w:val="zh-CN"/>
    </w:rPr>
  </w:style>
  <w:style w:type="paragraph" w:customStyle="1" w:styleId="32">
    <w:name w:val="列出段落111"/>
    <w:basedOn w:val="1"/>
    <w:unhideWhenUsed/>
    <w:qFormat/>
    <w:uiPriority w:val="0"/>
    <w:pPr>
      <w:autoSpaceDE w:val="0"/>
      <w:autoSpaceDN w:val="0"/>
      <w:spacing w:beforeLines="0" w:afterLines="0"/>
      <w:ind w:firstLine="420" w:firstLineChars="200"/>
    </w:pPr>
    <w:rPr>
      <w:rFonts w:hint="eastAsia" w:ascii="Calibri" w:hAnsi="Calibri" w:eastAsia="宋体"/>
      <w:sz w:val="21"/>
      <w:szCs w:val="20"/>
    </w:rPr>
  </w:style>
  <w:style w:type="paragraph" w:customStyle="1" w:styleId="33">
    <w:name w:val="A标题3"/>
    <w:basedOn w:val="4"/>
    <w:next w:val="1"/>
    <w:qFormat/>
    <w:uiPriority w:val="0"/>
    <w:pPr>
      <w:keepNext/>
      <w:keepLines/>
      <w:tabs>
        <w:tab w:val="left" w:pos="720"/>
        <w:tab w:val="left" w:pos="851"/>
      </w:tabs>
      <w:autoSpaceDE/>
      <w:autoSpaceDN/>
      <w:adjustRightInd w:val="0"/>
      <w:spacing w:line="360" w:lineRule="auto"/>
      <w:jc w:val="both"/>
      <w:textAlignment w:val="baseline"/>
    </w:pPr>
    <w:rPr>
      <w:rFonts w:ascii="Calibri" w:hAnsi="Calibri"/>
      <w:b/>
      <w:kern w:val="24"/>
      <w:sz w:val="24"/>
      <w:szCs w:val="20"/>
    </w:rPr>
  </w:style>
  <w:style w:type="paragraph" w:styleId="34">
    <w:name w:val="List Paragraph"/>
    <w:basedOn w:val="1"/>
    <w:qFormat/>
    <w:uiPriority w:val="99"/>
    <w:pPr>
      <w:ind w:firstLine="420" w:firstLineChars="200"/>
    </w:pPr>
  </w:style>
  <w:style w:type="character" w:customStyle="1" w:styleId="35">
    <w:name w:val="font21"/>
    <w:basedOn w:val="17"/>
    <w:qFormat/>
    <w:uiPriority w:val="0"/>
    <w:rPr>
      <w:rFonts w:ascii="等线" w:hAnsi="等线" w:eastAsia="等线" w:cs="等线"/>
      <w:color w:val="000000"/>
      <w:sz w:val="20"/>
      <w:szCs w:val="20"/>
      <w:u w:val="none"/>
    </w:rPr>
  </w:style>
  <w:style w:type="character" w:customStyle="1" w:styleId="36">
    <w:name w:val="font31"/>
    <w:basedOn w:val="17"/>
    <w:qFormat/>
    <w:uiPriority w:val="0"/>
    <w:rPr>
      <w:rFonts w:hint="default" w:ascii="Arial" w:hAnsi="Arial" w:cs="Arial"/>
      <w:color w:val="000000"/>
      <w:sz w:val="20"/>
      <w:szCs w:val="20"/>
      <w:u w:val="none"/>
    </w:rPr>
  </w:style>
  <w:style w:type="character" w:customStyle="1" w:styleId="37">
    <w:name w:val="font11"/>
    <w:basedOn w:val="17"/>
    <w:qFormat/>
    <w:uiPriority w:val="0"/>
    <w:rPr>
      <w:rFonts w:hint="eastAsia" w:ascii="宋体" w:hAnsi="宋体" w:eastAsia="宋体" w:cs="宋体"/>
      <w:color w:val="000000"/>
      <w:sz w:val="18"/>
      <w:szCs w:val="18"/>
      <w:u w:val="none"/>
    </w:rPr>
  </w:style>
  <w:style w:type="character" w:customStyle="1" w:styleId="38">
    <w:name w:val="font41"/>
    <w:basedOn w:val="17"/>
    <w:qFormat/>
    <w:uiPriority w:val="0"/>
    <w:rPr>
      <w:rFonts w:hint="eastAsia" w:ascii="宋体" w:hAnsi="宋体" w:eastAsia="宋体" w:cs="宋体"/>
      <w:color w:val="000000"/>
      <w:sz w:val="18"/>
      <w:szCs w:val="18"/>
      <w:u w:val="none"/>
    </w:rPr>
  </w:style>
  <w:style w:type="character" w:customStyle="1" w:styleId="39">
    <w:name w:val="font61"/>
    <w:basedOn w:val="17"/>
    <w:qFormat/>
    <w:uiPriority w:val="0"/>
    <w:rPr>
      <w:rFonts w:hint="default" w:ascii="Calibri" w:hAnsi="Calibri" w:cs="Calibri"/>
      <w:color w:val="000000"/>
      <w:sz w:val="24"/>
      <w:szCs w:val="24"/>
      <w:u w:val="none"/>
    </w:rPr>
  </w:style>
  <w:style w:type="character" w:customStyle="1" w:styleId="40">
    <w:name w:val="font01"/>
    <w:basedOn w:val="17"/>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12563</Words>
  <Characters>15332</Characters>
  <Lines>0</Lines>
  <Paragraphs>0</Paragraphs>
  <TotalTime>8</TotalTime>
  <ScaleCrop>false</ScaleCrop>
  <LinksUpToDate>false</LinksUpToDate>
  <CharactersWithSpaces>15471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2024-09-04T01:40:00Z</dcterms:created>
  <dc:creator>lg</dc:creator>
  <cp:keywords>BD@@2025@@物资公开公告.docx</cp:keywords>
  <cp:lastModifiedBy>admin</cp:lastModifiedBy>
  <dcterms:modified xsi:type="dcterms:W3CDTF">2025-06-17T15:27:25Z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B35A018415F241B99BF0A6B412C25EBE</vt:lpwstr>
  </property>
  <property fmtid="{D5CDD505-2E9C-101B-9397-08002B2CF9AE}" pid="4" name="KSOTemplateDocerSaveRecord">
    <vt:lpwstr>eyJoZGlkIjoiYzYyYzJmYjQwYjRkNmI4MDYxOTAzMzQ5MWE3YWY1ODciLCJ1c2VySWQiOiIzNTgyNzM0ODQifQ==</vt:lpwstr>
  </property>
  <property fmtid="{D5CDD505-2E9C-101B-9397-08002B2CF9AE}" pid="5" name="GWFBBS_NAME" linkTarget="0">
    <vt:lpwstr>ZBWJFBBS</vt:lpwstr>
  </property>
</Properties>
</file>