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0" w:after="120"/>
        <w:ind w:right="-20"/>
        <w:jc w:val="center"/>
        <w:rPr>
          <w:rFonts w:ascii="Times New Roman" w:hAnsi="Times New Roman" w:eastAsia="Arial Unicode MS" w:cs="Arial Unicode MS"/>
          <w:b/>
          <w:spacing w:val="2"/>
          <w:w w:val="99"/>
          <w:sz w:val="52"/>
          <w:szCs w:val="52"/>
          <w:highlight w:val="none"/>
        </w:rPr>
      </w:pPr>
      <w:bookmarkStart w:id="0" w:name="_Toc13248929"/>
      <w:bookmarkStart w:id="1" w:name="_Toc13249326"/>
      <w:r>
        <w:rPr>
          <w:rFonts w:ascii="Times New Roman" w:hAnsi="Times New Roman" w:eastAsia="Arial Unicode MS" w:cs="Arial Unicode MS"/>
          <w:b/>
          <w:spacing w:val="2"/>
          <w:w w:val="99"/>
          <w:sz w:val="52"/>
          <w:szCs w:val="5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20320</wp:posOffset>
            </wp:positionV>
            <wp:extent cx="1596390" cy="1438275"/>
            <wp:effectExtent l="0" t="0" r="3810" b="9525"/>
            <wp:wrapTight wrapText="bothSides">
              <wp:wrapPolygon>
                <wp:start x="7561" y="0"/>
                <wp:lineTo x="4640" y="3052"/>
                <wp:lineTo x="3780" y="3433"/>
                <wp:lineTo x="1203" y="5913"/>
                <wp:lineTo x="172" y="8392"/>
                <wp:lineTo x="0" y="8964"/>
                <wp:lineTo x="0" y="14114"/>
                <wp:lineTo x="344" y="15640"/>
                <wp:lineTo x="1547" y="18310"/>
                <wp:lineTo x="1718" y="18882"/>
                <wp:lineTo x="5327" y="21362"/>
                <wp:lineTo x="6186" y="21362"/>
                <wp:lineTo x="10826" y="21362"/>
                <wp:lineTo x="11685" y="21362"/>
                <wp:lineTo x="15465" y="18882"/>
                <wp:lineTo x="15465" y="18310"/>
                <wp:lineTo x="17012" y="15830"/>
                <wp:lineTo x="16840" y="15258"/>
                <wp:lineTo x="14778" y="15258"/>
                <wp:lineTo x="17527" y="14495"/>
                <wp:lineTo x="17356" y="12588"/>
                <wp:lineTo x="21480" y="12207"/>
                <wp:lineTo x="21480" y="8774"/>
                <wp:lineTo x="16153" y="5913"/>
                <wp:lineTo x="13747" y="3815"/>
                <wp:lineTo x="12544" y="3052"/>
                <wp:lineTo x="9451" y="0"/>
                <wp:lineTo x="7561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before="120" w:after="120"/>
        <w:ind w:right="-20"/>
        <w:jc w:val="center"/>
        <w:rPr>
          <w:rFonts w:ascii="Times New Roman" w:hAnsi="Times New Roman" w:eastAsia="Arial Unicode MS" w:cs="Arial Unicode MS"/>
          <w:b/>
          <w:spacing w:val="2"/>
          <w:w w:val="99"/>
          <w:sz w:val="52"/>
          <w:szCs w:val="52"/>
          <w:highlight w:val="none"/>
        </w:rPr>
      </w:pPr>
    </w:p>
    <w:p>
      <w:pPr>
        <w:autoSpaceDE w:val="0"/>
        <w:autoSpaceDN w:val="0"/>
        <w:spacing w:before="120" w:after="120"/>
        <w:ind w:right="-20"/>
        <w:jc w:val="center"/>
        <w:rPr>
          <w:rFonts w:ascii="Times New Roman" w:hAnsi="Times New Roman" w:eastAsia="微软雅黑" w:cs="Arial Unicode MS"/>
          <w:b/>
          <w:spacing w:val="2"/>
          <w:w w:val="99"/>
          <w:sz w:val="52"/>
          <w:szCs w:val="52"/>
          <w:highlight w:val="none"/>
        </w:rPr>
      </w:pPr>
    </w:p>
    <w:p>
      <w:pPr>
        <w:jc w:val="center"/>
        <w:outlineLvl w:val="0"/>
        <w:rPr>
          <w:rFonts w:ascii="Times New Roman" w:hAnsi="Times New Roman" w:eastAsia="微软雅黑" w:cs="Arial Unicode MS"/>
          <w:spacing w:val="2"/>
          <w:w w:val="99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微软雅黑" w:cs="Arial Unicode MS"/>
          <w:spacing w:val="2"/>
          <w:w w:val="99"/>
          <w:sz w:val="52"/>
          <w:szCs w:val="52"/>
          <w:highlight w:val="none"/>
          <w:lang w:eastAsia="zh-CN"/>
        </w:rPr>
        <w:t>中海油能源发展股份有限公司</w:t>
      </w:r>
    </w:p>
    <w:p>
      <w:pPr>
        <w:jc w:val="center"/>
        <w:rPr>
          <w:rFonts w:ascii="Times New Roman" w:hAnsi="Times New Roman" w:eastAsia="微软雅黑" w:cs="Arial Unicode MS"/>
          <w:b/>
          <w:spacing w:val="2"/>
          <w:w w:val="99"/>
          <w:sz w:val="52"/>
          <w:szCs w:val="52"/>
          <w:highlight w:val="none"/>
          <w:lang w:eastAsia="zh-CN"/>
        </w:rPr>
      </w:pPr>
    </w:p>
    <w:p>
      <w:pPr>
        <w:jc w:val="center"/>
        <w:outlineLvl w:val="0"/>
        <w:rPr>
          <w:rFonts w:hint="default" w:ascii="Times New Roman" w:hAnsi="Times New Roman"/>
          <w:b/>
          <w:sz w:val="48"/>
          <w:szCs w:val="48"/>
          <w:highlight w:val="none"/>
          <w:u w:val="single"/>
          <w:lang w:val="en-US" w:eastAsia="zh-CN"/>
        </w:rPr>
      </w:pPr>
      <w:r>
        <w:rPr>
          <w:rFonts w:hint="eastAsia" w:ascii="Times New Roman" w:hAnsi="Times New Roman"/>
          <w:b/>
          <w:sz w:val="48"/>
          <w:szCs w:val="48"/>
          <w:highlight w:val="none"/>
          <w:u w:val="single"/>
          <w:lang w:eastAsia="zh-CN"/>
        </w:rPr>
        <w:t>湛江分公司2025-2028年度海上油气田及陆地技术服务</w:t>
      </w:r>
      <w:r>
        <w:rPr>
          <w:rFonts w:hint="eastAsia" w:ascii="Times New Roman" w:hAnsi="Times New Roman"/>
          <w:b/>
          <w:sz w:val="48"/>
          <w:szCs w:val="48"/>
          <w:highlight w:val="none"/>
          <w:u w:val="single"/>
          <w:lang w:val="en-US" w:eastAsia="zh-CN"/>
        </w:rPr>
        <w:t>专有品类协议</w:t>
      </w:r>
    </w:p>
    <w:p>
      <w:pPr>
        <w:jc w:val="center"/>
        <w:outlineLvl w:val="0"/>
        <w:rPr>
          <w:rFonts w:ascii="Times New Roman" w:hAnsi="Times New Roman" w:eastAsia="微软雅黑" w:cs="Arial Unicode MS"/>
          <w:b/>
          <w:spacing w:val="2"/>
          <w:w w:val="99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微软雅黑" w:cs="Arial Unicode MS"/>
          <w:b/>
          <w:spacing w:val="2"/>
          <w:w w:val="99"/>
          <w:sz w:val="52"/>
          <w:szCs w:val="52"/>
          <w:highlight w:val="none"/>
          <w:lang w:eastAsia="zh-CN"/>
        </w:rPr>
        <w:t>采购技术要求书</w:t>
      </w:r>
    </w:p>
    <w:p>
      <w:pPr>
        <w:jc w:val="center"/>
        <w:rPr>
          <w:rFonts w:ascii="Times New Roman" w:hAnsi="Times New Roman" w:eastAsia="Arial Unicode MS" w:cs="Arial Unicode MS"/>
          <w:spacing w:val="2"/>
          <w:w w:val="99"/>
          <w:sz w:val="36"/>
          <w:szCs w:val="36"/>
          <w:highlight w:val="none"/>
          <w:lang w:eastAsia="zh-CN"/>
        </w:rPr>
      </w:pPr>
    </w:p>
    <w:p>
      <w:pPr>
        <w:pStyle w:val="3"/>
        <w:rPr>
          <w:rFonts w:ascii="Times New Roman" w:hAnsi="Times New Roman" w:eastAsia="Arial Unicode MS" w:cs="Arial Unicode MS"/>
          <w:w w:val="99"/>
          <w:sz w:val="36"/>
          <w:szCs w:val="36"/>
          <w:highlight w:val="none"/>
        </w:rPr>
      </w:pPr>
      <w:r>
        <w:rPr>
          <w:rFonts w:hint="eastAsia" w:ascii="Times New Roman" w:hAnsi="Times New Roman" w:eastAsia="Arial Unicode MS" w:cs="Arial Unicode MS"/>
          <w:w w:val="99"/>
          <w:sz w:val="36"/>
          <w:szCs w:val="36"/>
          <w:highlight w:val="none"/>
        </w:rPr>
        <w:t xml:space="preserve">            </w:t>
      </w:r>
    </w:p>
    <w:p>
      <w:pPr>
        <w:pStyle w:val="6"/>
        <w:ind w:firstLine="0" w:firstLineChars="0"/>
        <w:rPr>
          <w:rFonts w:hint="eastAsia"/>
          <w:highlight w:val="none"/>
          <w:lang w:eastAsia="zh-CN"/>
        </w:rPr>
      </w:pPr>
    </w:p>
    <w:p>
      <w:pPr>
        <w:pStyle w:val="6"/>
        <w:ind w:firstLine="420"/>
        <w:rPr>
          <w:rFonts w:hint="eastAsia"/>
          <w:highlight w:val="none"/>
          <w:lang w:eastAsia="zh-CN"/>
        </w:rPr>
      </w:pPr>
    </w:p>
    <w:p>
      <w:pPr>
        <w:autoSpaceDE w:val="0"/>
        <w:autoSpaceDN w:val="0"/>
        <w:spacing w:before="120" w:after="120" w:line="720" w:lineRule="auto"/>
        <w:ind w:right="-20"/>
        <w:outlineLvl w:val="0"/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</w:pP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编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制</w:t>
      </w:r>
      <w:r>
        <w:rPr>
          <w:rFonts w:hint="eastAsia" w:ascii="Malgun Gothic Semilight" w:hAnsi="Malgun Gothic Semilight" w:eastAsia="Malgun Gothic Semilight" w:cs="Malgun Gothic Semilight"/>
          <w:spacing w:val="2"/>
          <w:sz w:val="36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</w:t>
      </w:r>
      <w:r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           </w:t>
      </w:r>
      <w:r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</w:t>
      </w:r>
    </w:p>
    <w:p>
      <w:pPr>
        <w:pStyle w:val="6"/>
        <w:ind w:firstLine="728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技术负责人</w:t>
      </w:r>
      <w:r>
        <w:rPr>
          <w:rFonts w:hint="eastAsia" w:ascii="Malgun Gothic Semilight" w:hAnsi="Malgun Gothic Semilight" w:eastAsia="Malgun Gothic Semilight" w:cs="Malgun Gothic Semilight"/>
          <w:spacing w:val="2"/>
          <w:sz w:val="36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</w:t>
      </w:r>
      <w:r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             </w:t>
      </w:r>
    </w:p>
    <w:p>
      <w:pPr>
        <w:autoSpaceDE w:val="0"/>
        <w:autoSpaceDN w:val="0"/>
        <w:spacing w:before="120" w:after="120" w:line="720" w:lineRule="auto"/>
        <w:ind w:right="-20"/>
        <w:outlineLvl w:val="0"/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</w:pP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基层单位经理</w:t>
      </w:r>
      <w:r>
        <w:rPr>
          <w:rFonts w:hint="eastAsia" w:ascii="Malgun Gothic Semilight" w:hAnsi="Malgun Gothic Semilight" w:eastAsia="Malgun Gothic Semilight" w:cs="Malgun Gothic Semilight"/>
          <w:spacing w:val="2"/>
          <w:sz w:val="36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</w:t>
      </w:r>
      <w:r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             </w:t>
      </w:r>
    </w:p>
    <w:p>
      <w:pPr>
        <w:pStyle w:val="6"/>
        <w:ind w:firstLine="728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主任工程师</w:t>
      </w:r>
      <w:r>
        <w:rPr>
          <w:rFonts w:hint="eastAsia" w:ascii="Malgun Gothic Semilight" w:hAnsi="Malgun Gothic Semilight" w:eastAsia="Malgun Gothic Semilight" w:cs="Malgun Gothic Semilight"/>
          <w:spacing w:val="2"/>
          <w:sz w:val="36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</w:t>
      </w:r>
      <w:r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             </w:t>
      </w:r>
    </w:p>
    <w:p>
      <w:pPr>
        <w:outlineLvl w:val="0"/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批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lang w:eastAsia="zh-CN"/>
        </w:rPr>
        <w:t xml:space="preserve">      </w:t>
      </w:r>
      <w:r>
        <w:rPr>
          <w:rFonts w:hint="eastAsia" w:ascii="微软雅黑" w:hAnsi="微软雅黑" w:eastAsia="微软雅黑"/>
          <w:spacing w:val="2"/>
          <w:sz w:val="36"/>
          <w:szCs w:val="36"/>
          <w:highlight w:val="none"/>
          <w:lang w:eastAsia="zh-CN"/>
        </w:rPr>
        <w:t>准</w:t>
      </w:r>
      <w:r>
        <w:rPr>
          <w:rFonts w:hint="eastAsia" w:ascii="Malgun Gothic Semilight" w:hAnsi="Malgun Gothic Semilight" w:eastAsia="Malgun Gothic Semilight" w:cs="Malgun Gothic Semilight"/>
          <w:spacing w:val="2"/>
          <w:sz w:val="36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</w:t>
      </w:r>
      <w:r>
        <w:rPr>
          <w:rFonts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</w:t>
      </w:r>
      <w:r>
        <w:rPr>
          <w:rFonts w:hint="eastAsia" w:ascii="Times New Roman" w:hAnsi="Times New Roman" w:eastAsia="Arial Unicode MS" w:cs="Arial Unicode MS"/>
          <w:spacing w:val="2"/>
          <w:sz w:val="36"/>
          <w:szCs w:val="36"/>
          <w:highlight w:val="none"/>
          <w:u w:val="single"/>
          <w:lang w:eastAsia="zh-CN"/>
        </w:rPr>
        <w:t xml:space="preserve">               </w:t>
      </w:r>
    </w:p>
    <w:p>
      <w:pPr>
        <w:spacing w:before="4" w:line="120" w:lineRule="exact"/>
        <w:rPr>
          <w:rFonts w:hint="eastAsia" w:ascii="微软雅黑" w:hAnsi="微软雅黑" w:eastAsia="微软雅黑"/>
          <w:sz w:val="12"/>
          <w:szCs w:val="12"/>
          <w:highlight w:val="none"/>
          <w:lang w:eastAsia="zh-CN"/>
        </w:rPr>
      </w:pPr>
    </w:p>
    <w:p>
      <w:pPr>
        <w:spacing w:before="6" w:after="6" w:line="360" w:lineRule="auto"/>
        <w:jc w:val="both"/>
        <w:rPr>
          <w:rFonts w:hint="eastAsia" w:ascii="Microsoft YaHei UI" w:hAnsi="Microsoft YaHei UI" w:eastAsia="Microsoft YaHei UI"/>
          <w:b/>
          <w:spacing w:val="2"/>
          <w:sz w:val="32"/>
          <w:szCs w:val="32"/>
          <w:highlight w:val="none"/>
          <w:lang w:eastAsia="zh-CN"/>
        </w:rPr>
      </w:pPr>
      <w:bookmarkStart w:id="2" w:name="_Toc13248927"/>
      <w:bookmarkStart w:id="3" w:name="_Toc13249324"/>
      <w:r>
        <w:rPr>
          <w:rFonts w:hint="eastAsia" w:ascii="Microsoft YaHei UI" w:hAnsi="Microsoft YaHei UI" w:eastAsia="Microsoft YaHei UI"/>
          <w:b/>
          <w:spacing w:val="2"/>
          <w:sz w:val="32"/>
          <w:szCs w:val="32"/>
          <w:highlight w:val="none"/>
          <w:lang w:eastAsia="zh-CN"/>
        </w:rPr>
        <w:t>一、项目概况及总体要求</w:t>
      </w:r>
      <w:bookmarkEnd w:id="2"/>
      <w:bookmarkEnd w:id="3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1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highlight w:val="none"/>
        </w:rPr>
        <w:t>本技术要求描述了中海石油能源发展有限公司工程技术分公司对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highlight w:val="none"/>
          <w:lang w:val="en-US" w:eastAsia="zh-CN"/>
        </w:rPr>
        <w:t>2025-2028年度海上油气田及陆地技术服务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highlight w:val="none"/>
        </w:rPr>
        <w:t>的最低要求，供应商在工作中应严格遵循。</w:t>
      </w:r>
    </w:p>
    <w:p>
      <w:pPr>
        <w:pStyle w:val="3"/>
        <w:numPr>
          <w:ilvl w:val="0"/>
          <w:numId w:val="1"/>
        </w:numPr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服务</w:t>
      </w:r>
      <w:r>
        <w:rPr>
          <w:b/>
          <w:highlight w:val="none"/>
        </w:rPr>
        <w:t>内容和范围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工作量清单</w:t>
      </w:r>
    </w:p>
    <w:tbl>
      <w:tblPr>
        <w:tblStyle w:val="14"/>
        <w:tblW w:w="51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605"/>
        <w:gridCol w:w="3439"/>
        <w:gridCol w:w="750"/>
        <w:gridCol w:w="971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预估数量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海上油气田设施焊接技术服务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高压管线、压力容器、钢结构等进度焊接、补焊等技术服务，焊缝满足第三方磁粉、超声波检验合格要求,持有特种作业操作证（焊接热切割），其证书可在（http://cx.men.gov.cn/）网站可查，且同时持有中海油认可的船级社之一（CCS/BV/DNV/LR/ABS）认证的6G或6GR资质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海上油气田设施氩弧焊接技术服务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不锈钢结构、高压管线、压力容器等进行焊接、修补等技术服务，焊缝满足第三方磁粉、超声波检验合格要求，持有特种作业操作证（焊接热切割），其证书可在（http://cx.men.gov.cn/）网站可查，且同时持有中海油认可的船级社之一（CCS/BV/DNV/LR/ABS）认证的6G或6GR资质证书，认证范围：GMAW或GTAW+SMAW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海上油气田设施普通焊接技术服务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根据甲方现场领队作业安排，对钢结构、低压管线等进行焊接、修补等技术服务，焊缝满足第三方磁粉检验合格要求,服务人员提供焊工证书；其证书可在（http://cx.men.gov.cn/）网站可查，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海上油气田设施设备安装维修技术服务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根据甲方现场领队作业安排，对机械设备、泥浆泵组、固控设备、顶驱等设备就位、安装等技术服务；持有钳工证书；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海上油气田设施管线组对安装技术服务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根据甲方现场领队作业安排及提供的管线图纸，对管线、管线支架材料进行测绘划线、切割下料预制、组对等技术服务；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海上油气田设施设备改造技术服务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根据甲方现场领队作业安排及提供的结构图纸，对钢结构、支架材料进行测绘划线、切割下料预制、组对；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海上油气田电气设施维护维修电电气监督技术服务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顶驱、变频器、电泵、配电箱、电机起动器、照明灯具等设备进行施工担出维修保养方案、就位安装调试技术指导，服务人员提供电工操作证和技师等级证明；持有特种作业操作证（电工作业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海上油气田电气设施维护维修高级电工技术服务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根据甲方现场领队作业安排，对顶驱、变频器、电泵、配电箱、电机起动器、照明灯具等设备进行维修保养、就位安装调试；持有特种作业操作证（高压电工作业），其证书可在（http://cx.men.gov.cn/）网站可查；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海上油气田电气设施维护维修技术服务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配合对顶驱、变频器、电泵、配电箱、电机起动器、照明灯具等设备进行维修保养、就位安装调试，服务人员提供电工操作证书；持有特种作业操作证（电工作业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海上油气田机械设备维护维修机械监督技术服务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根据甲方现场领队作业安排，对泥浆泵组、转盘、水龙头、液压缸、天车、游车、主绞车、固控设备等机械设备进行就位安装调试、维修保养等技术服务，提供技师证书；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海上油气田机械设备维护维修技术服务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根据甲方现场领队作业安排，对泥浆泵组、转盘、水龙头、液压缸、天车、游车、主绞车、固控设备等机械设备进行就位安装调试、维修保养等技术服务，提供钳工证书；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海上油气田脚手架搭建技术服务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能熟练的搭拆各类脚手架搭，施工人员需有3年海上设施安装脚手架搭拆工作或改造脚手架搭设施工经验，具备有效期内的国家应急管理局或安监局颁发的特种作业操作证（高处作业操作类别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海上油气田保温技术服务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根据甲方现场领队作业安排，对高温管线、高温设备表层包扎保温材料（保温材料不限于：有机保温材料、无机保温材料、金属保温材料），保温材料外层包扎0.5mm厚不锈钢板，捆扎牢固，外观平滑。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海上油气田设施除锈刷漆技术服务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根据甲方现场领队作业安排，对钢结构、金属设备、吊篮、集装箱等设备进行除锈、打磨，直至表层呈现金属色再刷漆，底漆、中漆、面漆各2层；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海上平台作业，按每人每天计算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陆地设施焊接技术服务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高压管线、压力容器、钢结构等进度焊接、补焊等技术服务，焊缝满足第三方磁粉、超声波检验合格要求,持有特种作业操作证（焊接热切割），其证书可在（http://cx.men.gov.cn/）网站可查，且同时持有中海油认可的船级社之一（CCS/BV/DNV/LR/ABS）认证的6G资质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陆地油气田设施氩弧焊接技术服务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不锈钢结构、高压管线、压力容器等进行焊接、修补等技术服务，焊缝满足第三方磁粉、超声波检验合格要求，持有特种作业操作证（焊接热切割），其证书可在（http://cx.men.gov.cn/）网站可查，且同时持有中海油认可的船级社之一（CCS/BV/DNV/LR/ABS）认证的6G或6GR资质证书，认证范围：GMAW或GTAW+SMAW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陆地设施普通焊接技术服务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根据甲方现场领队作业安排，对钢结构、低压管线等进行焊接、修补等技术服务，焊缝满足第三方磁粉检验合格要求,服务人员提供焊工证书；其证书可在（http://cx.men.gov.cn/）网站可查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陆地设施设备安装维修技术服务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根据甲方现场领队作业安排，对机械设备、泥浆泵组、固控设备、顶驱等设备就位、安装等技术服务；持有钳工证书；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陆地设施管线组对安装技术服务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highlight w:val="none"/>
                <w:lang w:eastAsia="zh-CN"/>
              </w:rPr>
              <w:t>根据甲方现场领队作业安排及提供的结构图纸，对管线、管线支架材料进行测绘划线、切割下料预制、组对等技术服务；服务人员提供管工证书；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陆地设施设备改造技术服务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根据甲方现场领队作业安排及提供的结构图纸，对钢结构、支架材料进行测绘划线、切割下料预制、组对；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陆地电气设施维护维修电气监督技术服务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顶驱、变频器、电泵、配电箱、电机起动器、照明灯具等设备进行施工担出维修保养方案、就位安装调试技术指导，服务人员提供电工操作证和技师等级证明；持有特种作业操作证（电工作业），其证书可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陆地电气设施维护维修高级电工技术服务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根据甲方现场领队作业安排，对顶驱、变频器、电泵、配电箱、电机起动器、照明灯具等设备进行维修保养、就位安装调试；持有特种作业操作证（高压电工作业），其证书可在（http://cx.men.gov.cn/）网站可查；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陆地电气设施维护维修技术服务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配合对顶驱、变频器、电泵、配电箱、电机起动器、照明灯具等设备进行维修保养、就位安装调试，服务人员提供电工操作证书；持有特种作业操作证（电工作业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陆地机械设备维护维修机械监督技术服务</w:t>
            </w:r>
          </w:p>
        </w:tc>
        <w:tc>
          <w:tcPr>
            <w:tcW w:w="19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根据甲方现场领队作业安排，对泥浆泵组、转盘、水龙头、液压缸、天车、游车、主绞车、固控设备等机械设备进行就位安装调试、维修保养等技术服务，提供技师证书；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陆地机械设备维护维修技术服务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根据甲方现场领队作业安排，对泥浆泵组、转盘、水龙头、液压缸、天车、游车、主绞车、固控设备等机械设备进行就位安装调试、维修保养等技术服务，提供钳工证书；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陆地脚手架搭建技术服务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能熟练的搭拆各类脚手架搭，施工人员需有3年海上设施安装脚手架搭拆工作或改造脚手架搭设施工经验，具备有效期内的国家应急管理局或安监局颁发的特种作业操作证（高处作业操作类别），其证书可在（http://cx.men.gov.cn/）网站可查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陆地保温技术服务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根据甲方现场领队作业安排，对高温管线、高温设备表层包扎保温材料（保温材料不限于：有机保温材料、无机保温材料、金属保温材料），保温材料外层包扎0.5mm厚不锈钢板，捆扎牢固，外观平滑。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陆地设施除锈刷漆技术服务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根据甲方现场领队作业安排，对钢结构、金属设备、吊篮、集装箱等设备进行除锈、打磨，直至表层呈现金属色再刷漆，底漆、中漆、面漆各2层；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陆地叉车技术服务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甲方现场领队作业安排，在甲方厂区开叉车对设备装卸车、移位、场地整理等技术服务；服务人员具备有效期内的国家市场监督管理局颁发的特种操作证（N1类别），其证书可在(https://cnse.samr.gov.cn/info-pub/pub)网站可查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陆地作业，按每人每天计算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动复员费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湛江基地-吴川机场往返一趟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FF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动复员费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湛江-海南东方往返一趟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FF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动复员费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湛江-海南马村往返一趟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人.趟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FF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pStyle w:val="28"/>
        <w:numPr>
          <w:ilvl w:val="0"/>
          <w:numId w:val="0"/>
        </w:numPr>
        <w:spacing w:line="360" w:lineRule="auto"/>
        <w:ind w:leftChars="0"/>
        <w:rPr>
          <w:highlight w:val="none"/>
        </w:rPr>
      </w:pP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乙方能力要求：</w:t>
      </w:r>
    </w:p>
    <w:p>
      <w:pPr>
        <w:pStyle w:val="23"/>
        <w:numPr>
          <w:ilvl w:val="0"/>
          <w:numId w:val="3"/>
        </w:numPr>
        <w:tabs>
          <w:tab w:val="left" w:pos="4244"/>
        </w:tabs>
        <w:spacing w:before="11" w:line="440" w:lineRule="exact"/>
        <w:ind w:right="-15"/>
        <w:rPr>
          <w:rFonts w:hint="eastAsia" w:ascii="微软雅黑" w:hAnsi="微软雅黑" w:eastAsia="微软雅黑" w:cs="宋体"/>
          <w:spacing w:val="-2"/>
          <w:sz w:val="21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★</w:t>
      </w: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承诺</w:t>
      </w:r>
      <w:r>
        <w:rPr>
          <w:rFonts w:hint="eastAsia" w:ascii="微软雅黑" w:hAnsi="微软雅黑" w:eastAsia="微软雅黑" w:cs="宋体"/>
          <w:sz w:val="21"/>
          <w:szCs w:val="21"/>
          <w:highlight w:val="none"/>
        </w:rPr>
        <w:t>提供人员资质证书，相关要求：</w:t>
      </w:r>
    </w:p>
    <w:p>
      <w:pPr>
        <w:pStyle w:val="23"/>
        <w:numPr>
          <w:ilvl w:val="0"/>
          <w:numId w:val="4"/>
        </w:numPr>
        <w:spacing w:line="440" w:lineRule="exact"/>
        <w:ind w:left="0" w:leftChars="0" w:right="-15" w:firstLine="400" w:firstLineChars="0"/>
        <w:rPr>
          <w:rFonts w:hint="eastAsia" w:ascii="微软雅黑" w:hAnsi="微软雅黑" w:eastAsia="微软雅黑" w:cs="宋体"/>
          <w:spacing w:val="24"/>
          <w:sz w:val="21"/>
          <w:szCs w:val="21"/>
          <w:highlight w:val="none"/>
        </w:rPr>
      </w:pPr>
      <w:r>
        <w:rPr>
          <w:rFonts w:hint="eastAsia" w:ascii="微软雅黑" w:hAnsi="微软雅黑" w:eastAsia="微软雅黑" w:cs="宋体"/>
          <w:spacing w:val="24"/>
          <w:sz w:val="21"/>
          <w:szCs w:val="21"/>
          <w:highlight w:val="none"/>
        </w:rPr>
        <w:t>提供具备应急管理部门颁发的特种作业资质证书的人员：</w:t>
      </w:r>
    </w:p>
    <w:p>
      <w:pPr>
        <w:pStyle w:val="23"/>
        <w:tabs>
          <w:tab w:val="left" w:pos="4244"/>
        </w:tabs>
        <w:spacing w:before="11" w:line="440" w:lineRule="exact"/>
        <w:ind w:left="210" w:right="-15" w:firstLine="420" w:firstLineChars="200"/>
        <w:rPr>
          <w:rFonts w:hint="eastAsia" w:ascii="微软雅黑" w:hAnsi="微软雅黑" w:eastAsia="微软雅黑" w:cs="宋体"/>
          <w:sz w:val="21"/>
          <w:szCs w:val="21"/>
          <w:highlight w:val="none"/>
        </w:rPr>
      </w:pPr>
      <w:r>
        <w:rPr>
          <w:rFonts w:hint="eastAsia" w:ascii="微软雅黑" w:hAnsi="微软雅黑" w:eastAsia="微软雅黑" w:cs="宋体"/>
          <w:sz w:val="21"/>
          <w:szCs w:val="21"/>
          <w:highlight w:val="none"/>
        </w:rPr>
        <w:t>2 名焊接与热切割作业焊工；</w:t>
      </w:r>
    </w:p>
    <w:p>
      <w:pPr>
        <w:pStyle w:val="23"/>
        <w:tabs>
          <w:tab w:val="left" w:pos="4244"/>
        </w:tabs>
        <w:spacing w:before="11" w:line="440" w:lineRule="exact"/>
        <w:ind w:left="210" w:right="-15" w:firstLine="420" w:firstLineChars="200"/>
        <w:rPr>
          <w:rFonts w:hint="eastAsia" w:ascii="微软雅黑" w:hAnsi="微软雅黑" w:eastAsia="微软雅黑" w:cs="宋体"/>
          <w:sz w:val="21"/>
          <w:szCs w:val="21"/>
          <w:highlight w:val="none"/>
        </w:rPr>
      </w:pPr>
      <w:r>
        <w:rPr>
          <w:rFonts w:hint="eastAsia" w:ascii="微软雅黑" w:hAnsi="微软雅黑" w:eastAsia="微软雅黑" w:cs="宋体"/>
          <w:sz w:val="21"/>
          <w:szCs w:val="21"/>
          <w:highlight w:val="none"/>
        </w:rPr>
        <w:t>2 名电工及资质证书（低压电工作业证书）；</w:t>
      </w:r>
    </w:p>
    <w:p>
      <w:pPr>
        <w:pStyle w:val="23"/>
        <w:tabs>
          <w:tab w:val="left" w:pos="4244"/>
        </w:tabs>
        <w:spacing w:before="11" w:line="440" w:lineRule="exact"/>
        <w:ind w:left="210" w:right="-15" w:firstLine="420" w:firstLineChars="200"/>
        <w:rPr>
          <w:rFonts w:hint="eastAsia" w:ascii="微软雅黑" w:hAnsi="微软雅黑" w:eastAsia="微软雅黑" w:cs="宋体"/>
          <w:sz w:val="21"/>
          <w:szCs w:val="21"/>
          <w:highlight w:val="none"/>
        </w:rPr>
      </w:pPr>
      <w:r>
        <w:rPr>
          <w:rFonts w:hint="eastAsia" w:ascii="微软雅黑" w:hAnsi="微软雅黑" w:eastAsia="微软雅黑" w:cs="宋体"/>
          <w:sz w:val="21"/>
          <w:szCs w:val="21"/>
          <w:highlight w:val="none"/>
        </w:rPr>
        <w:t>2 名架子工及资质证书（登高架设作业证书）；</w:t>
      </w:r>
    </w:p>
    <w:p>
      <w:pPr>
        <w:pStyle w:val="23"/>
        <w:numPr>
          <w:ilvl w:val="0"/>
          <w:numId w:val="4"/>
        </w:numPr>
        <w:spacing w:line="440" w:lineRule="exact"/>
        <w:ind w:left="0" w:leftChars="0" w:right="-15" w:firstLine="400" w:firstLineChars="0"/>
        <w:rPr>
          <w:rFonts w:hint="eastAsia" w:ascii="微软雅黑" w:hAnsi="微软雅黑" w:eastAsia="微软雅黑" w:cs="宋体"/>
          <w:spacing w:val="24"/>
          <w:sz w:val="21"/>
          <w:szCs w:val="21"/>
          <w:highlight w:val="none"/>
        </w:rPr>
      </w:pPr>
      <w:r>
        <w:rPr>
          <w:rFonts w:hint="eastAsia" w:ascii="微软雅黑" w:hAnsi="微软雅黑" w:eastAsia="微软雅黑" w:cs="宋体"/>
          <w:spacing w:val="24"/>
          <w:sz w:val="21"/>
          <w:szCs w:val="21"/>
          <w:highlight w:val="none"/>
        </w:rPr>
        <w:t>以上人员还需提供身份证扫描件，各专业人员均不能兼任；上述所有证件（毕业证除外）有效期时间必须合格有效。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服务技术相关要求：</w:t>
      </w:r>
    </w:p>
    <w:p>
      <w:pPr>
        <w:ind w:left="440"/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1）高级焊接技术服务人员：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具有两年以上高压碳钢管线焊接、结构焊接等工作经验；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满足6G或6GR证、五小证、健康证、硫化氢证等中海油出海相关的证书要求，且各证件在有效期内。</w:t>
      </w:r>
    </w:p>
    <w:p>
      <w:pPr>
        <w:ind w:left="440"/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2）氩弧焊接技术服务人员：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具有两年以上氩弧焊接工作经验；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满足氩弧焊焊工证、五小证、健康证、硫化氢证等中海油出海相关的证书的证书要求，且各证件在有效期内。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普通焊接技术服务人员：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具有两年以上低压管线焊接、结构焊接、焊接工作经验；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满足焊工证、五小证、健康证、硫化氢证等中海油出海相关的证书要求，且各证件在有效期内。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高级钳工技术服务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具有两年以上机械设备维修工作经验；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满足钳工证、五小证、健康证、硫化氢证等中海油出海相关的证书要求，且各证件在有效期内。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管工技术服务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具有两年以上管工工作经验，能够进行大、小管线和高低压管线的组对及安装工作经验；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满足热熔与切割作业证书、五小证、健康证、硫化氢证等中海油出海相关的证书要求，且各证件在有效期内。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铆工技术服务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具有两年以上设施设备改建、改造项目铆工工作经验；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满足热熔与切割作业证书、五小证、健康证、硫化氢证等中海油出海相关的证书要求，且各证件在有效期内。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电气监督、高级电工和电工</w:t>
      </w: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技术服务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具有两年以上油气田电气设备维修工作经验，熟悉平台各种电气设备、设施的原理和应用，熟悉常规维护保养程序，基本能够独立排除其在运行中出现的故障；确保电气设备在良好的工况下运行；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满足电工证、五小证、健康证、硫化氢证等中海油出海相关的证书要求，且各证件在有效期内；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机械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监督</w:t>
      </w: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技术服务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Cs w:val="21"/>
          <w:highlight w:val="none"/>
          <w:lang w:eastAsia="zh-CN"/>
        </w:rPr>
        <w:t>有良好的专业技术基础和清晰的工作思路。有能力做出正确的故障诊断，分析设备状态，做好日常的预防性维修、应急性维修、纠正性维修工作。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具有两年以上油气田机械设备维修工作经验；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机修钳工技术服务人员：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有良好的专业技术基础和清晰的工作思路。有能力协助机械监督做出正确的故障诊断，分析设备状态，做好日常的预防性维修、应急性维修、纠正性维修工作。具有两年以上油气田机械设备维修工作经验；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ascii="微软雅黑" w:hAnsi="微软雅黑" w:eastAsia="微软雅黑"/>
          <w:kern w:val="2"/>
          <w:sz w:val="21"/>
          <w:szCs w:val="21"/>
          <w:highlight w:val="none"/>
          <w:lang w:eastAsia="zh-CN"/>
        </w:rPr>
        <w:t>架子工</w:t>
      </w: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具有两年以上脚手架搭建工作经验；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满足架子工证、五小证、健康证、硫化氢证等中海油出海相关的证书要求，且各证件在有效期内。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保温工、油漆工技术服务人员：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具有两年以上油气田设施设备改建、改造项目防腐刷漆工作经验；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满足五小证、健康证、硫化氢证等中海油出海相关的证书要求，且各证件在有效期内。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叉车技术服务人员：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具有两年以上驾驶叉车工作经验；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微软雅黑"/>
          <w:color w:val="auto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/>
          <w:kern w:val="2"/>
          <w:sz w:val="21"/>
          <w:szCs w:val="21"/>
          <w:highlight w:val="none"/>
          <w:lang w:eastAsia="zh-CN"/>
        </w:rPr>
        <w:t>满足叉车驾驶的证书要求，且各证件在</w:t>
      </w:r>
      <w:r>
        <w:rPr>
          <w:rFonts w:hint="eastAsia" w:ascii="微软雅黑" w:hAnsi="微软雅黑" w:eastAsia="微软雅黑"/>
          <w:color w:val="auto"/>
          <w:kern w:val="2"/>
          <w:sz w:val="21"/>
          <w:szCs w:val="21"/>
          <w:highlight w:val="none"/>
          <w:lang w:eastAsia="zh-CN"/>
        </w:rPr>
        <w:t>有效期内。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陆地作业服务要求：</w:t>
      </w:r>
      <w:r>
        <w:rPr>
          <w:rFonts w:ascii="微软雅黑" w:hAnsi="微软雅黑" w:eastAsia="微软雅黑" w:cs="微软雅黑"/>
          <w:color w:val="auto"/>
          <w:szCs w:val="21"/>
          <w:highlight w:val="none"/>
        </w:rPr>
        <w:t>陆地作业期间，人员食宿、交通一律由乙方负责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；陆地工作时间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每天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为8小时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，超出按陆地费率/8*超过小时；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双方工作界面及其他要求：</w:t>
      </w:r>
    </w:p>
    <w:p>
      <w:pPr>
        <w:pStyle w:val="28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甲乙双方工作界面：根据甲方下达的服务委托书提供服务，作业期间工作安排和安全管理由甲方负责；</w:t>
      </w:r>
    </w:p>
    <w:p>
      <w:pPr>
        <w:pStyle w:val="28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i/>
          <w:iCs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服务所需的工具由甲方提供；</w:t>
      </w:r>
      <w:r>
        <w:rPr>
          <w:rFonts w:hint="eastAsia" w:ascii="微软雅黑" w:hAnsi="微软雅黑" w:eastAsia="微软雅黑"/>
          <w:i/>
          <w:iCs/>
          <w:color w:val="auto"/>
          <w:szCs w:val="21"/>
          <w:highlight w:val="none"/>
        </w:rPr>
        <w:t xml:space="preserve"> </w:t>
      </w:r>
    </w:p>
    <w:p>
      <w:pPr>
        <w:pStyle w:val="28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★服务期间乙方服务人员劳保自备，并提供乙方服务人员足额的意外伤害保险（80万额度）及相关证明交予甲方审核存档；</w:t>
      </w:r>
    </w:p>
    <w:p>
      <w:pPr>
        <w:pStyle w:val="28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甲方有权要求更换不合格的服务人员；</w:t>
      </w:r>
    </w:p>
    <w:p>
      <w:pPr>
        <w:pStyle w:val="28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乙方服务人员具有三年以上对应专业的工作经验</w:t>
      </w:r>
    </w:p>
    <w:p>
      <w:pPr>
        <w:pStyle w:val="28"/>
        <w:numPr>
          <w:ilvl w:val="0"/>
          <w:numId w:val="7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乙方海上服务人员提供健康证、硫化氢证、跟踪卡等中海油出海相关的证书，且各证件在有效期内；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海上服务人员加班：</w:t>
      </w:r>
    </w:p>
    <w:p>
      <w:pPr>
        <w:pStyle w:val="28"/>
        <w:spacing w:line="360" w:lineRule="auto"/>
        <w:ind w:firstLine="0" w:firstLineChars="0"/>
        <w:rPr>
          <w:rFonts w:hint="eastAsia" w:ascii="微软雅黑" w:hAnsi="微软雅黑" w:eastAsia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 xml:space="preserve">    海上正常工作时间为12小时，服务人员工作超过12小时后，费用按照日费率/12*超过小时；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color w:val="auto"/>
          <w:highlight w:val="none"/>
        </w:rPr>
      </w:pPr>
      <w:r>
        <w:rPr>
          <w:rFonts w:hint="eastAsia" w:ascii="微软雅黑" w:hAnsi="微软雅黑" w:eastAsia="微软雅黑"/>
          <w:color w:val="auto"/>
          <w:szCs w:val="21"/>
          <w:highlight w:val="none"/>
        </w:rPr>
        <w:t>异地待命费：</w:t>
      </w:r>
    </w:p>
    <w:p>
      <w:pPr>
        <w:pStyle w:val="13"/>
        <w:numPr>
          <w:ilvl w:val="0"/>
          <w:numId w:val="8"/>
        </w:numPr>
        <w:spacing w:before="0" w:beforeAutospacing="0" w:after="0" w:afterAutospacing="0"/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异地待命费为两种情况，1种是为乙方人员在平台服务期间，遇到台风需要到陆地避台后再返平台继续服务，在陆地避台期间费用为异地待命费，第2种为乙方接到甲方通知到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异地施工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，人员到达异地陆地等待上平台期间为异地待命费；</w:t>
      </w:r>
    </w:p>
    <w:p>
      <w:pPr>
        <w:pStyle w:val="13"/>
        <w:numPr>
          <w:ilvl w:val="0"/>
          <w:numId w:val="8"/>
        </w:numPr>
        <w:spacing w:before="0" w:beforeAutospacing="0" w:after="0" w:afterAutospacing="0"/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按甲方要求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异地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待命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时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，甲方按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对应的服务名称的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陆地服务费率进行结算确认，在此期间的其他费用由乙方承担。</w:t>
      </w:r>
    </w:p>
    <w:p>
      <w:pPr>
        <w:pStyle w:val="13"/>
        <w:numPr>
          <w:ilvl w:val="0"/>
          <w:numId w:val="8"/>
        </w:numPr>
        <w:spacing w:before="0" w:beforeAutospacing="0" w:after="0" w:afterAutospacing="0"/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台风或其他原因需要撤离平台到陆地酒店待命，甲方按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对应的服务名称的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陆地服务费率进行结算确认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，在此期间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住宿由甲方负责，其他费用由乙方负责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。</w:t>
      </w:r>
    </w:p>
    <w:p>
      <w:pPr>
        <w:pStyle w:val="13"/>
        <w:numPr>
          <w:ilvl w:val="0"/>
          <w:numId w:val="8"/>
        </w:numPr>
        <w:spacing w:before="0" w:beforeAutospacing="0" w:after="0" w:afterAutospacing="0"/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按甲方要求需到达异地施工，乙方负责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异地（异地包括：海南东方区、海南马村）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施工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期间的交通费、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食宿，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在此期间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甲方按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对应的服务名称的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陆地服务费率进行结算确认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。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服务地点：</w:t>
      </w:r>
    </w:p>
    <w:p>
      <w:pPr>
        <w:pStyle w:val="25"/>
        <w:spacing w:before="120" w:after="120"/>
        <w:outlineLvl w:val="0"/>
        <w:rPr>
          <w:rFonts w:hint="eastAsia" w:ascii="微软雅黑" w:hAnsi="微软雅黑" w:eastAsia="微软雅黑" w:cstheme="minorBidi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theme="minorBidi"/>
          <w:color w:val="auto"/>
          <w:sz w:val="21"/>
          <w:szCs w:val="21"/>
          <w:highlight w:val="none"/>
        </w:rPr>
        <w:t xml:space="preserve">  南海西部油气田、广东省湛江市坡头区南油场地、海南马村海油码头、海南油气田</w:t>
      </w:r>
      <w:r>
        <w:rPr>
          <w:rFonts w:hint="eastAsia" w:ascii="微软雅黑" w:hAnsi="微软雅黑" w:eastAsia="微软雅黑" w:cstheme="minorBidi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  <w:highlight w:val="none"/>
          <w:lang w:val="en-US" w:eastAsia="zh-CN"/>
        </w:rPr>
        <w:t>海南东方区</w:t>
      </w:r>
    </w:p>
    <w:p>
      <w:pPr>
        <w:pStyle w:val="28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服务期限：</w:t>
      </w:r>
    </w:p>
    <w:p>
      <w:pPr>
        <w:pStyle w:val="25"/>
        <w:spacing w:before="120" w:after="120"/>
        <w:ind w:left="142" w:firstLine="420" w:firstLineChars="200"/>
        <w:outlineLvl w:val="0"/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</w:pP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合同有效期自合同签订之日起三年。在合同执行阶段采用“1+1+1”的方式，即合同届满1年，若甲乙双方对合同条款及合同价格均无异议，继续沿用1年；若无法达成一致，则合同自动终止。第3年同第2年的操作方式。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  <w:lang w:val="en-US" w:eastAsia="zh-CN"/>
        </w:rPr>
        <w:t>合同</w:t>
      </w:r>
      <w:r>
        <w:rPr>
          <w:rFonts w:hint="eastAsia" w:ascii="微软雅黑" w:hAnsi="微软雅黑" w:eastAsia="微软雅黑" w:cstheme="minorBidi"/>
          <w:color w:val="auto"/>
          <w:kern w:val="2"/>
          <w:sz w:val="21"/>
          <w:szCs w:val="21"/>
          <w:highlight w:val="none"/>
        </w:rPr>
        <w:t>期满后，如有未执行完毕的订单，该订单应履行完毕。</w:t>
      </w:r>
    </w:p>
    <w:p>
      <w:pPr>
        <w:pStyle w:val="3"/>
        <w:numPr>
          <w:ilvl w:val="0"/>
          <w:numId w:val="9"/>
        </w:numPr>
        <w:rPr>
          <w:rFonts w:hint="eastAsia"/>
          <w:b/>
          <w:highlight w:val="none"/>
        </w:rPr>
      </w:pPr>
      <w:r>
        <w:rPr>
          <w:b/>
          <w:highlight w:val="none"/>
        </w:rPr>
        <w:t>执行标准</w:t>
      </w:r>
      <w:r>
        <w:rPr>
          <w:rFonts w:hint="eastAsia"/>
          <w:b/>
          <w:highlight w:val="none"/>
        </w:rPr>
        <w:t>/规范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ascii="微软雅黑" w:hAnsi="微软雅黑" w:eastAsia="微软雅黑"/>
          <w:szCs w:val="21"/>
          <w:highlight w:val="none"/>
        </w:rPr>
        <w:t>GB50258-2019</w:t>
      </w:r>
      <w:r>
        <w:rPr>
          <w:rFonts w:hint="eastAsia" w:ascii="微软雅黑" w:hAnsi="微软雅黑" w:eastAsia="微软雅黑"/>
          <w:szCs w:val="21"/>
          <w:highlight w:val="none"/>
        </w:rPr>
        <w:t>---</w:t>
      </w:r>
      <w:r>
        <w:rPr>
          <w:rFonts w:ascii="微软雅黑" w:hAnsi="微软雅黑" w:eastAsia="微软雅黑"/>
          <w:szCs w:val="21"/>
          <w:highlight w:val="none"/>
        </w:rPr>
        <w:t>电气安装验收规范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GB50236-98---现场设备、工业管道焊接工程施工及验收规范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SY 6516-2010---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"http://www.standardcn.com/standard_plan/list_standard_content.asp?stand_id=SY@6516-2010" \t "http://www.standardcn.com/standard_plan/_blank" </w:instrText>
      </w:r>
      <w:r>
        <w:rPr>
          <w:highlight w:val="none"/>
        </w:rPr>
        <w:fldChar w:fldCharType="separate"/>
      </w:r>
      <w:r>
        <w:rPr>
          <w:rFonts w:hint="eastAsia" w:ascii="微软雅黑" w:hAnsi="微软雅黑" w:eastAsia="微软雅黑"/>
          <w:szCs w:val="21"/>
          <w:highlight w:val="none"/>
        </w:rPr>
        <w:t>石油工业电焊焊接作业安全规程</w:t>
      </w:r>
      <w:r>
        <w:rPr>
          <w:rFonts w:hint="eastAsia" w:ascii="微软雅黑" w:hAnsi="微软雅黑" w:eastAsia="微软雅黑"/>
          <w:szCs w:val="21"/>
          <w:highlight w:val="none"/>
        </w:rPr>
        <w:fldChar w:fldCharType="end"/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GB 55023-2022---施工脚手架通用规范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SH 3022-2011-T---石油化工设备和管道涂料防腐蚀设计规范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GB/T 16558.4-2009---船舶维修保养体系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GBT 4272-2008---设备及管道保温技术通则</w:t>
      </w:r>
    </w:p>
    <w:p>
      <w:pPr>
        <w:pStyle w:val="3"/>
        <w:numPr>
          <w:ilvl w:val="0"/>
          <w:numId w:val="9"/>
        </w:numPr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服务及验收标准</w:t>
      </w:r>
    </w:p>
    <w:p>
      <w:pPr>
        <w:pStyle w:val="28"/>
        <w:numPr>
          <w:ilvl w:val="0"/>
          <w:numId w:val="11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验收标准：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乙方技术人员现场施工期间应遵守中海油生产安全管理规定，服从甲方领队工作安排。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乙方需提供技术人员资格证书。</w:t>
      </w:r>
    </w:p>
    <w:p>
      <w:pPr>
        <w:pStyle w:val="28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乙方按甲方作业方案要求完成服务。</w:t>
      </w:r>
    </w:p>
    <w:p>
      <w:pPr>
        <w:pStyle w:val="3"/>
        <w:numPr>
          <w:ilvl w:val="0"/>
          <w:numId w:val="9"/>
        </w:numPr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质量保证</w:t>
      </w:r>
    </w:p>
    <w:bookmarkEnd w:id="0"/>
    <w:bookmarkEnd w:id="1"/>
    <w:p>
      <w:pPr>
        <w:pStyle w:val="28"/>
        <w:numPr>
          <w:ilvl w:val="0"/>
          <w:numId w:val="12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遵守甲方关于健康、安全和环保的规定；</w:t>
      </w:r>
    </w:p>
    <w:p>
      <w:pPr>
        <w:pStyle w:val="28"/>
        <w:numPr>
          <w:ilvl w:val="0"/>
          <w:numId w:val="12"/>
        </w:numPr>
        <w:spacing w:line="360" w:lineRule="auto"/>
        <w:ind w:firstLineChars="0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</w:rPr>
        <w:t>乙方接到甲方通知后，在2天内提供服务</w:t>
      </w:r>
      <w:r>
        <w:rPr>
          <w:rFonts w:hint="eastAsia" w:ascii="微软雅黑" w:hAnsi="微软雅黑" w:eastAsia="微软雅黑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/>
          <w:szCs w:val="21"/>
          <w:highlight w:val="none"/>
        </w:rPr>
        <w:t>如有变动按甲方通知为准；</w:t>
      </w:r>
    </w:p>
    <w:p>
      <w:pPr>
        <w:pStyle w:val="3"/>
        <w:numPr>
          <w:ilvl w:val="0"/>
          <w:numId w:val="9"/>
        </w:numPr>
        <w:rPr>
          <w:rFonts w:hint="eastAsia"/>
          <w:b/>
          <w:highlight w:val="none"/>
        </w:rPr>
      </w:pPr>
      <w:r>
        <w:rPr>
          <w:rFonts w:hint="eastAsia"/>
          <w:b/>
          <w:highlight w:val="none"/>
        </w:rPr>
        <w:t>其他要求</w:t>
      </w:r>
    </w:p>
    <w:p>
      <w:pPr>
        <w:pStyle w:val="6"/>
        <w:numPr>
          <w:ilvl w:val="0"/>
          <w:numId w:val="13"/>
        </w:numPr>
        <w:spacing w:line="257" w:lineRule="auto"/>
        <w:ind w:right="121" w:rightChars="55" w:firstLineChars="0"/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ascii="微软雅黑" w:hAnsi="微软雅黑" w:eastAsia="微软雅黑"/>
          <w:highlight w:val="none"/>
          <w:lang w:eastAsia="zh-CN"/>
        </w:rPr>
        <w:t>付款方式</w:t>
      </w:r>
      <w:r>
        <w:rPr>
          <w:rFonts w:hint="eastAsia" w:ascii="微软雅黑" w:hAnsi="微软雅黑" w:eastAsia="微软雅黑"/>
          <w:highlight w:val="none"/>
          <w:lang w:eastAsia="zh-CN"/>
        </w:rPr>
        <w:t>：银行电汇；</w:t>
      </w:r>
    </w:p>
    <w:p>
      <w:pPr>
        <w:pStyle w:val="6"/>
        <w:numPr>
          <w:ilvl w:val="0"/>
          <w:numId w:val="13"/>
        </w:numPr>
        <w:spacing w:line="257" w:lineRule="auto"/>
        <w:ind w:right="121" w:rightChars="55" w:firstLineChars="0"/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hint="eastAsia" w:ascii="微软雅黑" w:hAnsi="微软雅黑" w:eastAsia="微软雅黑"/>
          <w:highlight w:val="none"/>
          <w:lang w:eastAsia="zh-CN"/>
        </w:rPr>
        <w:t>付款周期要求：接到发票45天内付款；</w:t>
      </w:r>
    </w:p>
    <w:p>
      <w:pPr>
        <w:pStyle w:val="6"/>
        <w:numPr>
          <w:ilvl w:val="0"/>
          <w:numId w:val="13"/>
        </w:numPr>
        <w:spacing w:line="257" w:lineRule="auto"/>
        <w:ind w:right="121" w:rightChars="55" w:firstLineChars="0"/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ascii="微软雅黑" w:hAnsi="微软雅黑" w:eastAsia="微软雅黑"/>
          <w:highlight w:val="none"/>
          <w:lang w:eastAsia="zh-CN"/>
        </w:rPr>
        <w:t>结算方式</w:t>
      </w:r>
      <w:r>
        <w:rPr>
          <w:rFonts w:hint="eastAsia" w:ascii="微软雅黑" w:hAnsi="微软雅黑" w:eastAsia="微软雅黑"/>
          <w:highlight w:val="none"/>
          <w:lang w:eastAsia="zh-CN"/>
        </w:rPr>
        <w:t>：按订单单次结算</w:t>
      </w:r>
    </w:p>
    <w:p>
      <w:pPr>
        <w:pStyle w:val="6"/>
        <w:spacing w:line="257" w:lineRule="auto"/>
        <w:ind w:right="121" w:rightChars="55" w:firstLineChars="0"/>
        <w:rPr>
          <w:rFonts w:hint="eastAsia"/>
          <w:highlight w:val="none"/>
          <w:lang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41F4F"/>
    <w:multiLevelType w:val="singleLevel"/>
    <w:tmpl w:val="88641F4F"/>
    <w:lvl w:ilvl="0" w:tentative="0">
      <w:start w:val="3"/>
      <w:numFmt w:val="decimal"/>
      <w:suff w:val="nothing"/>
      <w:lvlText w:val="%1）"/>
      <w:lvlJc w:val="left"/>
      <w:pPr>
        <w:ind w:left="420" w:firstLine="0"/>
      </w:pPr>
    </w:lvl>
  </w:abstractNum>
  <w:abstractNum w:abstractNumId="1">
    <w:nsid w:val="F003AAE1"/>
    <w:multiLevelType w:val="singleLevel"/>
    <w:tmpl w:val="F003AAE1"/>
    <w:lvl w:ilvl="0" w:tentative="0">
      <w:start w:val="1"/>
      <w:numFmt w:val="lowerLetter"/>
      <w:lvlText w:val="%1."/>
      <w:lvlJc w:val="left"/>
      <w:pPr>
        <w:ind w:left="645" w:hanging="425"/>
      </w:pPr>
      <w:rPr>
        <w:rFonts w:hint="default"/>
        <w:b w:val="0"/>
        <w:bCs w:val="0"/>
      </w:rPr>
    </w:lvl>
  </w:abstractNum>
  <w:abstractNum w:abstractNumId="2">
    <w:nsid w:val="F38DC81F"/>
    <w:multiLevelType w:val="singleLevel"/>
    <w:tmpl w:val="F38DC8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ACD7D6E"/>
    <w:multiLevelType w:val="multilevel"/>
    <w:tmpl w:val="0ACD7D6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E57EB36"/>
    <w:multiLevelType w:val="singleLevel"/>
    <w:tmpl w:val="0E57EB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C84539C"/>
    <w:multiLevelType w:val="singleLevel"/>
    <w:tmpl w:val="1C84539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203C542C"/>
    <w:multiLevelType w:val="multilevel"/>
    <w:tmpl w:val="203C542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5D0B0C"/>
    <w:multiLevelType w:val="multilevel"/>
    <w:tmpl w:val="2D5D0B0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9D1405"/>
    <w:multiLevelType w:val="singleLevel"/>
    <w:tmpl w:val="459D140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48691A84"/>
    <w:multiLevelType w:val="multilevel"/>
    <w:tmpl w:val="48691A84"/>
    <w:lvl w:ilvl="0" w:tentative="0">
      <w:start w:val="1"/>
      <w:numFmt w:val="lowerLetter"/>
      <w:lvlText w:val="%1、"/>
      <w:lvlJc w:val="left"/>
      <w:pPr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48A7140"/>
    <w:multiLevelType w:val="multilevel"/>
    <w:tmpl w:val="548A71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B7F633"/>
    <w:multiLevelType w:val="singleLevel"/>
    <w:tmpl w:val="67B7F633"/>
    <w:lvl w:ilvl="0" w:tentative="0">
      <w:start w:val="1"/>
      <w:numFmt w:val="decimal"/>
      <w:suff w:val="nothing"/>
      <w:lvlText w:val="%1）"/>
      <w:lvlJc w:val="left"/>
      <w:pPr>
        <w:ind w:left="210"/>
      </w:pPr>
    </w:lvl>
  </w:abstractNum>
  <w:abstractNum w:abstractNumId="12">
    <w:nsid w:val="7DD2389D"/>
    <w:multiLevelType w:val="multilevel"/>
    <w:tmpl w:val="7DD2389D"/>
    <w:lvl w:ilvl="0" w:tentative="0">
      <w:start w:val="1"/>
      <w:numFmt w:val="decimal"/>
      <w:lvlText w:val="%1）"/>
      <w:lvlJc w:val="left"/>
      <w:pPr>
        <w:ind w:left="744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16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44" w:hanging="420"/>
      </w:pPr>
    </w:lvl>
    <w:lvl w:ilvl="3" w:tentative="0">
      <w:start w:val="1"/>
      <w:numFmt w:val="decimal"/>
      <w:lvlText w:val="%4."/>
      <w:lvlJc w:val="left"/>
      <w:pPr>
        <w:ind w:left="2064" w:hanging="420"/>
      </w:pPr>
    </w:lvl>
    <w:lvl w:ilvl="4" w:tentative="0">
      <w:start w:val="1"/>
      <w:numFmt w:val="lowerLetter"/>
      <w:lvlText w:val="%5)"/>
      <w:lvlJc w:val="left"/>
      <w:pPr>
        <w:ind w:left="2484" w:hanging="420"/>
      </w:pPr>
    </w:lvl>
    <w:lvl w:ilvl="5" w:tentative="0">
      <w:start w:val="1"/>
      <w:numFmt w:val="lowerRoman"/>
      <w:lvlText w:val="%6."/>
      <w:lvlJc w:val="right"/>
      <w:pPr>
        <w:ind w:left="2904" w:hanging="420"/>
      </w:pPr>
    </w:lvl>
    <w:lvl w:ilvl="6" w:tentative="0">
      <w:start w:val="1"/>
      <w:numFmt w:val="decimal"/>
      <w:lvlText w:val="%7."/>
      <w:lvlJc w:val="left"/>
      <w:pPr>
        <w:ind w:left="3324" w:hanging="420"/>
      </w:pPr>
    </w:lvl>
    <w:lvl w:ilvl="7" w:tentative="0">
      <w:start w:val="1"/>
      <w:numFmt w:val="lowerLetter"/>
      <w:lvlText w:val="%8)"/>
      <w:lvlJc w:val="left"/>
      <w:pPr>
        <w:ind w:left="3744" w:hanging="420"/>
      </w:pPr>
    </w:lvl>
    <w:lvl w:ilvl="8" w:tentative="0">
      <w:start w:val="1"/>
      <w:numFmt w:val="lowerRoman"/>
      <w:lvlText w:val="%9."/>
      <w:lvlJc w:val="right"/>
      <w:pPr>
        <w:ind w:left="4164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ZTNmNTg0MDI3ZWE3ZDQ5MzQ1NDQyNmU3NzhmZGQifQ=="/>
    <w:docVar w:name="KSO_WPS_MARK_KEY" w:val="a2bc0afb-0ed3-411c-abdd-a0e90454a762"/>
  </w:docVars>
  <w:rsids>
    <w:rsidRoot w:val="001644CF"/>
    <w:rsid w:val="00001911"/>
    <w:rsid w:val="00003C45"/>
    <w:rsid w:val="0000452A"/>
    <w:rsid w:val="0003094C"/>
    <w:rsid w:val="00033D12"/>
    <w:rsid w:val="0003507C"/>
    <w:rsid w:val="00042E2A"/>
    <w:rsid w:val="00043C80"/>
    <w:rsid w:val="00045459"/>
    <w:rsid w:val="00046EE6"/>
    <w:rsid w:val="00047939"/>
    <w:rsid w:val="000479CB"/>
    <w:rsid w:val="00052353"/>
    <w:rsid w:val="00060077"/>
    <w:rsid w:val="00061201"/>
    <w:rsid w:val="000658C9"/>
    <w:rsid w:val="00070B36"/>
    <w:rsid w:val="00071FA8"/>
    <w:rsid w:val="00073203"/>
    <w:rsid w:val="00081330"/>
    <w:rsid w:val="00081F87"/>
    <w:rsid w:val="00083560"/>
    <w:rsid w:val="000A2AE9"/>
    <w:rsid w:val="000A33DB"/>
    <w:rsid w:val="000B1339"/>
    <w:rsid w:val="000B4DAA"/>
    <w:rsid w:val="000B5D4D"/>
    <w:rsid w:val="000C082D"/>
    <w:rsid w:val="000C344E"/>
    <w:rsid w:val="000C3CDF"/>
    <w:rsid w:val="000D43A5"/>
    <w:rsid w:val="000E00E8"/>
    <w:rsid w:val="000E6ED2"/>
    <w:rsid w:val="000F196B"/>
    <w:rsid w:val="000F4985"/>
    <w:rsid w:val="00102210"/>
    <w:rsid w:val="001067E1"/>
    <w:rsid w:val="00107084"/>
    <w:rsid w:val="00110ABB"/>
    <w:rsid w:val="001154BE"/>
    <w:rsid w:val="00116BA9"/>
    <w:rsid w:val="00120EC7"/>
    <w:rsid w:val="001254F5"/>
    <w:rsid w:val="00140314"/>
    <w:rsid w:val="00142A1E"/>
    <w:rsid w:val="001471E1"/>
    <w:rsid w:val="00153046"/>
    <w:rsid w:val="001644CF"/>
    <w:rsid w:val="0018624A"/>
    <w:rsid w:val="00195A2A"/>
    <w:rsid w:val="001A4A99"/>
    <w:rsid w:val="001A6F7A"/>
    <w:rsid w:val="001B0B9D"/>
    <w:rsid w:val="001B21D2"/>
    <w:rsid w:val="001B3054"/>
    <w:rsid w:val="001B6763"/>
    <w:rsid w:val="001B7DE7"/>
    <w:rsid w:val="001C6314"/>
    <w:rsid w:val="001D114C"/>
    <w:rsid w:val="001D3E6F"/>
    <w:rsid w:val="001D471D"/>
    <w:rsid w:val="001D510A"/>
    <w:rsid w:val="001E0901"/>
    <w:rsid w:val="001E117A"/>
    <w:rsid w:val="001E2ABF"/>
    <w:rsid w:val="001E51ED"/>
    <w:rsid w:val="0021568F"/>
    <w:rsid w:val="002217C9"/>
    <w:rsid w:val="00221F68"/>
    <w:rsid w:val="002309ED"/>
    <w:rsid w:val="00232CD5"/>
    <w:rsid w:val="00233C5A"/>
    <w:rsid w:val="00270668"/>
    <w:rsid w:val="00272FAE"/>
    <w:rsid w:val="00275B63"/>
    <w:rsid w:val="002979DA"/>
    <w:rsid w:val="002A4CEB"/>
    <w:rsid w:val="002A6257"/>
    <w:rsid w:val="002B756F"/>
    <w:rsid w:val="002D1EFE"/>
    <w:rsid w:val="002D431F"/>
    <w:rsid w:val="002D66CB"/>
    <w:rsid w:val="00306821"/>
    <w:rsid w:val="0030715D"/>
    <w:rsid w:val="00307773"/>
    <w:rsid w:val="00310ACA"/>
    <w:rsid w:val="0031156A"/>
    <w:rsid w:val="00324BFF"/>
    <w:rsid w:val="00352934"/>
    <w:rsid w:val="003643DF"/>
    <w:rsid w:val="00381919"/>
    <w:rsid w:val="00386CDB"/>
    <w:rsid w:val="003A28B2"/>
    <w:rsid w:val="003A4E79"/>
    <w:rsid w:val="003B7883"/>
    <w:rsid w:val="003C4372"/>
    <w:rsid w:val="003C71E8"/>
    <w:rsid w:val="003D54F3"/>
    <w:rsid w:val="003D5E17"/>
    <w:rsid w:val="003D7078"/>
    <w:rsid w:val="003F29D1"/>
    <w:rsid w:val="003F3035"/>
    <w:rsid w:val="004128CF"/>
    <w:rsid w:val="00421C56"/>
    <w:rsid w:val="0042223B"/>
    <w:rsid w:val="00427F3F"/>
    <w:rsid w:val="004314E2"/>
    <w:rsid w:val="004316D0"/>
    <w:rsid w:val="00431A27"/>
    <w:rsid w:val="00437630"/>
    <w:rsid w:val="004557F5"/>
    <w:rsid w:val="00455991"/>
    <w:rsid w:val="00462FDD"/>
    <w:rsid w:val="004735C9"/>
    <w:rsid w:val="004870DC"/>
    <w:rsid w:val="004A3192"/>
    <w:rsid w:val="004A6201"/>
    <w:rsid w:val="004B3C3F"/>
    <w:rsid w:val="004B5B0E"/>
    <w:rsid w:val="004C03A6"/>
    <w:rsid w:val="004C2970"/>
    <w:rsid w:val="004C6AD5"/>
    <w:rsid w:val="004C6E2A"/>
    <w:rsid w:val="004D39BF"/>
    <w:rsid w:val="004D5135"/>
    <w:rsid w:val="004D55AF"/>
    <w:rsid w:val="004D7743"/>
    <w:rsid w:val="00500282"/>
    <w:rsid w:val="00504168"/>
    <w:rsid w:val="00513450"/>
    <w:rsid w:val="005149C5"/>
    <w:rsid w:val="00514D47"/>
    <w:rsid w:val="00522A18"/>
    <w:rsid w:val="00532DBD"/>
    <w:rsid w:val="00540C1B"/>
    <w:rsid w:val="00543AE4"/>
    <w:rsid w:val="00545B4D"/>
    <w:rsid w:val="005560B6"/>
    <w:rsid w:val="00556611"/>
    <w:rsid w:val="00560C2D"/>
    <w:rsid w:val="00562904"/>
    <w:rsid w:val="00571B42"/>
    <w:rsid w:val="00576AAB"/>
    <w:rsid w:val="005836B1"/>
    <w:rsid w:val="00584D6D"/>
    <w:rsid w:val="00585844"/>
    <w:rsid w:val="00595430"/>
    <w:rsid w:val="0059771F"/>
    <w:rsid w:val="005A1400"/>
    <w:rsid w:val="005A2DC8"/>
    <w:rsid w:val="005A3712"/>
    <w:rsid w:val="005B2FFC"/>
    <w:rsid w:val="005D0392"/>
    <w:rsid w:val="005D43CF"/>
    <w:rsid w:val="005E0F76"/>
    <w:rsid w:val="005E38B3"/>
    <w:rsid w:val="005F1EFB"/>
    <w:rsid w:val="00600B68"/>
    <w:rsid w:val="006115DB"/>
    <w:rsid w:val="00620FB0"/>
    <w:rsid w:val="00640749"/>
    <w:rsid w:val="0064202F"/>
    <w:rsid w:val="0064326D"/>
    <w:rsid w:val="00665F2C"/>
    <w:rsid w:val="00670C5C"/>
    <w:rsid w:val="00682766"/>
    <w:rsid w:val="00684D37"/>
    <w:rsid w:val="006912E0"/>
    <w:rsid w:val="00696D6E"/>
    <w:rsid w:val="006A0951"/>
    <w:rsid w:val="006A5C58"/>
    <w:rsid w:val="006A5CD7"/>
    <w:rsid w:val="006A60E5"/>
    <w:rsid w:val="006B0A2B"/>
    <w:rsid w:val="006C2FB3"/>
    <w:rsid w:val="006E2DC2"/>
    <w:rsid w:val="006F6C0C"/>
    <w:rsid w:val="00710811"/>
    <w:rsid w:val="007153C7"/>
    <w:rsid w:val="00722293"/>
    <w:rsid w:val="00723A5A"/>
    <w:rsid w:val="007270D4"/>
    <w:rsid w:val="00747312"/>
    <w:rsid w:val="00750CFE"/>
    <w:rsid w:val="00753DF3"/>
    <w:rsid w:val="00770215"/>
    <w:rsid w:val="00772410"/>
    <w:rsid w:val="00783D68"/>
    <w:rsid w:val="007A2D5A"/>
    <w:rsid w:val="007A6A36"/>
    <w:rsid w:val="007A7D0C"/>
    <w:rsid w:val="007D7B1D"/>
    <w:rsid w:val="007E114E"/>
    <w:rsid w:val="007F2DA8"/>
    <w:rsid w:val="007F4350"/>
    <w:rsid w:val="008057DD"/>
    <w:rsid w:val="00806DFF"/>
    <w:rsid w:val="0081241A"/>
    <w:rsid w:val="00815444"/>
    <w:rsid w:val="00825F99"/>
    <w:rsid w:val="00834BD4"/>
    <w:rsid w:val="00840370"/>
    <w:rsid w:val="00840C3B"/>
    <w:rsid w:val="008472F9"/>
    <w:rsid w:val="00851954"/>
    <w:rsid w:val="00851DF8"/>
    <w:rsid w:val="00865E33"/>
    <w:rsid w:val="008678F8"/>
    <w:rsid w:val="00890BCD"/>
    <w:rsid w:val="008948E2"/>
    <w:rsid w:val="008951A5"/>
    <w:rsid w:val="008958C3"/>
    <w:rsid w:val="008A3876"/>
    <w:rsid w:val="008C0115"/>
    <w:rsid w:val="008C1CCD"/>
    <w:rsid w:val="008C3FE6"/>
    <w:rsid w:val="008D1A24"/>
    <w:rsid w:val="008D2562"/>
    <w:rsid w:val="008E0C5F"/>
    <w:rsid w:val="008F174E"/>
    <w:rsid w:val="00900D63"/>
    <w:rsid w:val="00904C68"/>
    <w:rsid w:val="009128CB"/>
    <w:rsid w:val="009128F3"/>
    <w:rsid w:val="00923BFE"/>
    <w:rsid w:val="00934F96"/>
    <w:rsid w:val="00941C1A"/>
    <w:rsid w:val="0094416D"/>
    <w:rsid w:val="00950194"/>
    <w:rsid w:val="009510B1"/>
    <w:rsid w:val="00953D4F"/>
    <w:rsid w:val="00963E83"/>
    <w:rsid w:val="0096761D"/>
    <w:rsid w:val="00994E75"/>
    <w:rsid w:val="009A2D10"/>
    <w:rsid w:val="009A5CD4"/>
    <w:rsid w:val="009B05CA"/>
    <w:rsid w:val="009B442A"/>
    <w:rsid w:val="009B459F"/>
    <w:rsid w:val="009B6AE3"/>
    <w:rsid w:val="009B759A"/>
    <w:rsid w:val="009C1D2A"/>
    <w:rsid w:val="009C2FD5"/>
    <w:rsid w:val="009E3B01"/>
    <w:rsid w:val="009F58BD"/>
    <w:rsid w:val="009F737F"/>
    <w:rsid w:val="00A034F8"/>
    <w:rsid w:val="00A2587C"/>
    <w:rsid w:val="00A25C5A"/>
    <w:rsid w:val="00A415D1"/>
    <w:rsid w:val="00A457B3"/>
    <w:rsid w:val="00A54F51"/>
    <w:rsid w:val="00A75468"/>
    <w:rsid w:val="00AB164F"/>
    <w:rsid w:val="00AB24D6"/>
    <w:rsid w:val="00AB2F0E"/>
    <w:rsid w:val="00AB4BF2"/>
    <w:rsid w:val="00AB5566"/>
    <w:rsid w:val="00AC0150"/>
    <w:rsid w:val="00AE63E8"/>
    <w:rsid w:val="00AE7825"/>
    <w:rsid w:val="00AF02F5"/>
    <w:rsid w:val="00AF6A07"/>
    <w:rsid w:val="00AF7529"/>
    <w:rsid w:val="00B02F29"/>
    <w:rsid w:val="00B036E7"/>
    <w:rsid w:val="00B0739C"/>
    <w:rsid w:val="00B1536A"/>
    <w:rsid w:val="00B15418"/>
    <w:rsid w:val="00B171BE"/>
    <w:rsid w:val="00B21280"/>
    <w:rsid w:val="00B258E1"/>
    <w:rsid w:val="00B34365"/>
    <w:rsid w:val="00B347DC"/>
    <w:rsid w:val="00B34B78"/>
    <w:rsid w:val="00B4044F"/>
    <w:rsid w:val="00B42E50"/>
    <w:rsid w:val="00B45502"/>
    <w:rsid w:val="00B46A5C"/>
    <w:rsid w:val="00B479D3"/>
    <w:rsid w:val="00B54E83"/>
    <w:rsid w:val="00B702B7"/>
    <w:rsid w:val="00B7133F"/>
    <w:rsid w:val="00B71963"/>
    <w:rsid w:val="00B751E6"/>
    <w:rsid w:val="00B80C59"/>
    <w:rsid w:val="00B82355"/>
    <w:rsid w:val="00B86EB1"/>
    <w:rsid w:val="00B93371"/>
    <w:rsid w:val="00BA3652"/>
    <w:rsid w:val="00BA4BAB"/>
    <w:rsid w:val="00BA50AE"/>
    <w:rsid w:val="00BB0B1E"/>
    <w:rsid w:val="00BC1F06"/>
    <w:rsid w:val="00BC2863"/>
    <w:rsid w:val="00BC642E"/>
    <w:rsid w:val="00BD184C"/>
    <w:rsid w:val="00BD416A"/>
    <w:rsid w:val="00BE2E25"/>
    <w:rsid w:val="00BE4441"/>
    <w:rsid w:val="00BE5437"/>
    <w:rsid w:val="00BF1251"/>
    <w:rsid w:val="00BF1CA8"/>
    <w:rsid w:val="00BF30CB"/>
    <w:rsid w:val="00BF3183"/>
    <w:rsid w:val="00C03584"/>
    <w:rsid w:val="00C13698"/>
    <w:rsid w:val="00C14A70"/>
    <w:rsid w:val="00C20793"/>
    <w:rsid w:val="00C221C7"/>
    <w:rsid w:val="00C22CB1"/>
    <w:rsid w:val="00C257DB"/>
    <w:rsid w:val="00C35E6C"/>
    <w:rsid w:val="00C360D4"/>
    <w:rsid w:val="00C40463"/>
    <w:rsid w:val="00C43FE4"/>
    <w:rsid w:val="00C4489C"/>
    <w:rsid w:val="00C565B8"/>
    <w:rsid w:val="00C56FBA"/>
    <w:rsid w:val="00C57F6E"/>
    <w:rsid w:val="00C60DC8"/>
    <w:rsid w:val="00C7364F"/>
    <w:rsid w:val="00C766AD"/>
    <w:rsid w:val="00C8296D"/>
    <w:rsid w:val="00C855ED"/>
    <w:rsid w:val="00C9087C"/>
    <w:rsid w:val="00CA5C4B"/>
    <w:rsid w:val="00CA5E07"/>
    <w:rsid w:val="00CA6125"/>
    <w:rsid w:val="00CA6BC1"/>
    <w:rsid w:val="00CB4728"/>
    <w:rsid w:val="00CD2A18"/>
    <w:rsid w:val="00CF3F8F"/>
    <w:rsid w:val="00CF7FFB"/>
    <w:rsid w:val="00D02E56"/>
    <w:rsid w:val="00D0491B"/>
    <w:rsid w:val="00D10A57"/>
    <w:rsid w:val="00D26489"/>
    <w:rsid w:val="00D32F61"/>
    <w:rsid w:val="00D427A7"/>
    <w:rsid w:val="00D42B37"/>
    <w:rsid w:val="00D44F8B"/>
    <w:rsid w:val="00D45BA8"/>
    <w:rsid w:val="00D464C3"/>
    <w:rsid w:val="00D5260B"/>
    <w:rsid w:val="00D55CF9"/>
    <w:rsid w:val="00D56DC5"/>
    <w:rsid w:val="00D624EA"/>
    <w:rsid w:val="00D71211"/>
    <w:rsid w:val="00D71FFE"/>
    <w:rsid w:val="00D722C3"/>
    <w:rsid w:val="00D75A8D"/>
    <w:rsid w:val="00D75ECA"/>
    <w:rsid w:val="00D76D8E"/>
    <w:rsid w:val="00D77F9D"/>
    <w:rsid w:val="00D91109"/>
    <w:rsid w:val="00D91436"/>
    <w:rsid w:val="00D94A11"/>
    <w:rsid w:val="00DA4B6A"/>
    <w:rsid w:val="00DA530D"/>
    <w:rsid w:val="00DA592E"/>
    <w:rsid w:val="00DB1209"/>
    <w:rsid w:val="00DB6E36"/>
    <w:rsid w:val="00DC0058"/>
    <w:rsid w:val="00DD112D"/>
    <w:rsid w:val="00DD495F"/>
    <w:rsid w:val="00DD4DD7"/>
    <w:rsid w:val="00DD75E0"/>
    <w:rsid w:val="00DF249A"/>
    <w:rsid w:val="00DF6D20"/>
    <w:rsid w:val="00DF7816"/>
    <w:rsid w:val="00E040C0"/>
    <w:rsid w:val="00E1740C"/>
    <w:rsid w:val="00E21E36"/>
    <w:rsid w:val="00E33DEE"/>
    <w:rsid w:val="00E37214"/>
    <w:rsid w:val="00E45C13"/>
    <w:rsid w:val="00E47634"/>
    <w:rsid w:val="00E53CCA"/>
    <w:rsid w:val="00E60C5C"/>
    <w:rsid w:val="00E7234E"/>
    <w:rsid w:val="00E72E3C"/>
    <w:rsid w:val="00E74595"/>
    <w:rsid w:val="00E81351"/>
    <w:rsid w:val="00E93769"/>
    <w:rsid w:val="00E94823"/>
    <w:rsid w:val="00EC6C2A"/>
    <w:rsid w:val="00ED5823"/>
    <w:rsid w:val="00EE1EFA"/>
    <w:rsid w:val="00EE6793"/>
    <w:rsid w:val="00EF5BCD"/>
    <w:rsid w:val="00F22C9E"/>
    <w:rsid w:val="00F36097"/>
    <w:rsid w:val="00F46D0F"/>
    <w:rsid w:val="00F479D0"/>
    <w:rsid w:val="00F50DFB"/>
    <w:rsid w:val="00F53D74"/>
    <w:rsid w:val="00F601F7"/>
    <w:rsid w:val="00F60B5C"/>
    <w:rsid w:val="00F646A6"/>
    <w:rsid w:val="00F66CFC"/>
    <w:rsid w:val="00F77434"/>
    <w:rsid w:val="00F77DA7"/>
    <w:rsid w:val="00F80FF7"/>
    <w:rsid w:val="00F81D91"/>
    <w:rsid w:val="00F82668"/>
    <w:rsid w:val="00F83407"/>
    <w:rsid w:val="00F84DC2"/>
    <w:rsid w:val="00F903FE"/>
    <w:rsid w:val="00F91E02"/>
    <w:rsid w:val="00F9453E"/>
    <w:rsid w:val="00FA230C"/>
    <w:rsid w:val="00FB0562"/>
    <w:rsid w:val="00FB0770"/>
    <w:rsid w:val="00FB72A9"/>
    <w:rsid w:val="00FC32DF"/>
    <w:rsid w:val="00FC3361"/>
    <w:rsid w:val="00FD3AFF"/>
    <w:rsid w:val="00FD624E"/>
    <w:rsid w:val="00FE34AF"/>
    <w:rsid w:val="00FE3C6D"/>
    <w:rsid w:val="00FE5A7B"/>
    <w:rsid w:val="00FF1477"/>
    <w:rsid w:val="00FF18AB"/>
    <w:rsid w:val="00FF6C3C"/>
    <w:rsid w:val="011A28BB"/>
    <w:rsid w:val="014A675C"/>
    <w:rsid w:val="02380FE3"/>
    <w:rsid w:val="027B0580"/>
    <w:rsid w:val="02C623A5"/>
    <w:rsid w:val="03A01736"/>
    <w:rsid w:val="03ED0575"/>
    <w:rsid w:val="040473B3"/>
    <w:rsid w:val="041078B8"/>
    <w:rsid w:val="042679BD"/>
    <w:rsid w:val="06D2497E"/>
    <w:rsid w:val="07951905"/>
    <w:rsid w:val="089F5B73"/>
    <w:rsid w:val="0997314E"/>
    <w:rsid w:val="09B83E9C"/>
    <w:rsid w:val="0A5D5A74"/>
    <w:rsid w:val="0A7E2390"/>
    <w:rsid w:val="0ABB220B"/>
    <w:rsid w:val="0AED196C"/>
    <w:rsid w:val="0B684647"/>
    <w:rsid w:val="0E9C0690"/>
    <w:rsid w:val="0EA324D5"/>
    <w:rsid w:val="0FEB5567"/>
    <w:rsid w:val="108661AF"/>
    <w:rsid w:val="10995523"/>
    <w:rsid w:val="131B2FA1"/>
    <w:rsid w:val="132E0F55"/>
    <w:rsid w:val="1362186C"/>
    <w:rsid w:val="14614379"/>
    <w:rsid w:val="149545CC"/>
    <w:rsid w:val="150501A4"/>
    <w:rsid w:val="15284D87"/>
    <w:rsid w:val="154E7587"/>
    <w:rsid w:val="15CF71AB"/>
    <w:rsid w:val="161D318E"/>
    <w:rsid w:val="162706C8"/>
    <w:rsid w:val="16574E64"/>
    <w:rsid w:val="16C24C53"/>
    <w:rsid w:val="18991FCC"/>
    <w:rsid w:val="189B07AF"/>
    <w:rsid w:val="18EA36B4"/>
    <w:rsid w:val="1C59555F"/>
    <w:rsid w:val="1D12338A"/>
    <w:rsid w:val="1E3A4C6B"/>
    <w:rsid w:val="1EAB13DC"/>
    <w:rsid w:val="1ECC5A96"/>
    <w:rsid w:val="1EF20700"/>
    <w:rsid w:val="1F727133"/>
    <w:rsid w:val="1FF454B5"/>
    <w:rsid w:val="200E3124"/>
    <w:rsid w:val="20143758"/>
    <w:rsid w:val="213A1C34"/>
    <w:rsid w:val="2175031C"/>
    <w:rsid w:val="21795D8C"/>
    <w:rsid w:val="22244AC8"/>
    <w:rsid w:val="22AA5BCA"/>
    <w:rsid w:val="22F411E0"/>
    <w:rsid w:val="23235A34"/>
    <w:rsid w:val="237C5A42"/>
    <w:rsid w:val="24CA0E46"/>
    <w:rsid w:val="24EB528E"/>
    <w:rsid w:val="251F3EA7"/>
    <w:rsid w:val="25B41D94"/>
    <w:rsid w:val="25CF6F04"/>
    <w:rsid w:val="25D31A84"/>
    <w:rsid w:val="26462E73"/>
    <w:rsid w:val="265A70AE"/>
    <w:rsid w:val="27936390"/>
    <w:rsid w:val="27AA1BD9"/>
    <w:rsid w:val="286B4770"/>
    <w:rsid w:val="28DD7980"/>
    <w:rsid w:val="28F53BBF"/>
    <w:rsid w:val="29125C0C"/>
    <w:rsid w:val="2A3A0C63"/>
    <w:rsid w:val="2A834BED"/>
    <w:rsid w:val="2B6E6BD7"/>
    <w:rsid w:val="2B827BA2"/>
    <w:rsid w:val="2BE61BE5"/>
    <w:rsid w:val="2C0C0C24"/>
    <w:rsid w:val="2C397321"/>
    <w:rsid w:val="2C3E49C2"/>
    <w:rsid w:val="2D3E35CA"/>
    <w:rsid w:val="2D534468"/>
    <w:rsid w:val="2E527EEE"/>
    <w:rsid w:val="2F860DE9"/>
    <w:rsid w:val="30C870CA"/>
    <w:rsid w:val="313A4A1C"/>
    <w:rsid w:val="321102AD"/>
    <w:rsid w:val="33111A5B"/>
    <w:rsid w:val="33614DB6"/>
    <w:rsid w:val="340D15BA"/>
    <w:rsid w:val="34CC2AFB"/>
    <w:rsid w:val="34EC236D"/>
    <w:rsid w:val="34EF51EB"/>
    <w:rsid w:val="36EA4B97"/>
    <w:rsid w:val="372A5C19"/>
    <w:rsid w:val="3AF86B8F"/>
    <w:rsid w:val="3B86066E"/>
    <w:rsid w:val="3C6277D1"/>
    <w:rsid w:val="3C7D0143"/>
    <w:rsid w:val="3D365E4D"/>
    <w:rsid w:val="3D4D0E8C"/>
    <w:rsid w:val="3DC56C4C"/>
    <w:rsid w:val="3DC7486B"/>
    <w:rsid w:val="3E1D2FB2"/>
    <w:rsid w:val="3E324F16"/>
    <w:rsid w:val="3F796334"/>
    <w:rsid w:val="401451F5"/>
    <w:rsid w:val="415E0AE4"/>
    <w:rsid w:val="41614F8A"/>
    <w:rsid w:val="41925E7F"/>
    <w:rsid w:val="41C7538C"/>
    <w:rsid w:val="42051A04"/>
    <w:rsid w:val="426A2EB8"/>
    <w:rsid w:val="428A79F1"/>
    <w:rsid w:val="430E3517"/>
    <w:rsid w:val="433D3274"/>
    <w:rsid w:val="43C804ED"/>
    <w:rsid w:val="444B4AC1"/>
    <w:rsid w:val="448F4C39"/>
    <w:rsid w:val="45206132"/>
    <w:rsid w:val="45BE2201"/>
    <w:rsid w:val="465F0283"/>
    <w:rsid w:val="470E1575"/>
    <w:rsid w:val="480659BD"/>
    <w:rsid w:val="48424377"/>
    <w:rsid w:val="4A6E0B49"/>
    <w:rsid w:val="4AE859A8"/>
    <w:rsid w:val="4B405F20"/>
    <w:rsid w:val="4D3B42C2"/>
    <w:rsid w:val="4D7F5F5E"/>
    <w:rsid w:val="4DC61792"/>
    <w:rsid w:val="4E4E479A"/>
    <w:rsid w:val="4EC50F91"/>
    <w:rsid w:val="4ECB0E30"/>
    <w:rsid w:val="4F1269BB"/>
    <w:rsid w:val="4F1337E6"/>
    <w:rsid w:val="4F160F5F"/>
    <w:rsid w:val="4F3D2648"/>
    <w:rsid w:val="4F4D7FDF"/>
    <w:rsid w:val="4F87676A"/>
    <w:rsid w:val="4F953E90"/>
    <w:rsid w:val="4F9A0BED"/>
    <w:rsid w:val="4FC23C78"/>
    <w:rsid w:val="506E3D21"/>
    <w:rsid w:val="50D535F8"/>
    <w:rsid w:val="52C5252D"/>
    <w:rsid w:val="52F1253C"/>
    <w:rsid w:val="53554FB1"/>
    <w:rsid w:val="536227DB"/>
    <w:rsid w:val="53A61DED"/>
    <w:rsid w:val="53C737A7"/>
    <w:rsid w:val="54627D70"/>
    <w:rsid w:val="548150E3"/>
    <w:rsid w:val="556B36B8"/>
    <w:rsid w:val="557B264A"/>
    <w:rsid w:val="558859E4"/>
    <w:rsid w:val="55AB162A"/>
    <w:rsid w:val="55BC6232"/>
    <w:rsid w:val="56322945"/>
    <w:rsid w:val="579D626C"/>
    <w:rsid w:val="57BB1E2D"/>
    <w:rsid w:val="58913AFD"/>
    <w:rsid w:val="590B15D2"/>
    <w:rsid w:val="598E35E4"/>
    <w:rsid w:val="599D4F17"/>
    <w:rsid w:val="5A90529A"/>
    <w:rsid w:val="5B0B2386"/>
    <w:rsid w:val="5C156DDF"/>
    <w:rsid w:val="5C1D605D"/>
    <w:rsid w:val="5DB60C79"/>
    <w:rsid w:val="5EF06DFE"/>
    <w:rsid w:val="5F630F97"/>
    <w:rsid w:val="5FD30774"/>
    <w:rsid w:val="60A3474E"/>
    <w:rsid w:val="61557AB0"/>
    <w:rsid w:val="616338CF"/>
    <w:rsid w:val="624E692A"/>
    <w:rsid w:val="62B22753"/>
    <w:rsid w:val="62B6232B"/>
    <w:rsid w:val="633571DC"/>
    <w:rsid w:val="634F5423"/>
    <w:rsid w:val="63CF6363"/>
    <w:rsid w:val="63F92CCE"/>
    <w:rsid w:val="64285AF2"/>
    <w:rsid w:val="656B3684"/>
    <w:rsid w:val="65B91821"/>
    <w:rsid w:val="664C6386"/>
    <w:rsid w:val="679A19E2"/>
    <w:rsid w:val="67D47AB3"/>
    <w:rsid w:val="684842E5"/>
    <w:rsid w:val="68AF5AA2"/>
    <w:rsid w:val="68D7631B"/>
    <w:rsid w:val="68DC6EDF"/>
    <w:rsid w:val="68DE40B9"/>
    <w:rsid w:val="69EE37A0"/>
    <w:rsid w:val="6A2211AA"/>
    <w:rsid w:val="6AED05D1"/>
    <w:rsid w:val="6BAA663B"/>
    <w:rsid w:val="6BBF0820"/>
    <w:rsid w:val="6BDB3000"/>
    <w:rsid w:val="6BE71074"/>
    <w:rsid w:val="6C3F5082"/>
    <w:rsid w:val="6C965D75"/>
    <w:rsid w:val="6E235D12"/>
    <w:rsid w:val="6E78656C"/>
    <w:rsid w:val="6F534537"/>
    <w:rsid w:val="6F6400BF"/>
    <w:rsid w:val="6FDB6DA6"/>
    <w:rsid w:val="6FEE056C"/>
    <w:rsid w:val="70207C51"/>
    <w:rsid w:val="7036435D"/>
    <w:rsid w:val="70966342"/>
    <w:rsid w:val="70D84F96"/>
    <w:rsid w:val="70E678F9"/>
    <w:rsid w:val="717141FC"/>
    <w:rsid w:val="71855351"/>
    <w:rsid w:val="71F3116D"/>
    <w:rsid w:val="720410A9"/>
    <w:rsid w:val="72742EE4"/>
    <w:rsid w:val="728F751F"/>
    <w:rsid w:val="72FF7440"/>
    <w:rsid w:val="73A81213"/>
    <w:rsid w:val="747A00A6"/>
    <w:rsid w:val="750C3BA8"/>
    <w:rsid w:val="754720B5"/>
    <w:rsid w:val="765F43A5"/>
    <w:rsid w:val="767C79F3"/>
    <w:rsid w:val="76934B56"/>
    <w:rsid w:val="76B504B4"/>
    <w:rsid w:val="76C97D44"/>
    <w:rsid w:val="76FD3782"/>
    <w:rsid w:val="78513DEA"/>
    <w:rsid w:val="78BC2B0D"/>
    <w:rsid w:val="78F150A0"/>
    <w:rsid w:val="79B0339B"/>
    <w:rsid w:val="79E97190"/>
    <w:rsid w:val="7A155499"/>
    <w:rsid w:val="7A7864EF"/>
    <w:rsid w:val="7AA938AA"/>
    <w:rsid w:val="7B7A19A4"/>
    <w:rsid w:val="7B89385E"/>
    <w:rsid w:val="7C4B7201"/>
    <w:rsid w:val="7C7E2E27"/>
    <w:rsid w:val="7D092D03"/>
    <w:rsid w:val="7D781D3C"/>
    <w:rsid w:val="7DFB4180"/>
    <w:rsid w:val="7EC9380E"/>
    <w:rsid w:val="7ECB22AC"/>
    <w:rsid w:val="7F79090F"/>
    <w:rsid w:val="7F8C20BF"/>
    <w:rsid w:val="7FCF7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link w:val="19"/>
    <w:qFormat/>
    <w:uiPriority w:val="1"/>
    <w:pPr>
      <w:spacing w:line="479" w:lineRule="exact"/>
      <w:outlineLvl w:val="1"/>
    </w:pPr>
    <w:rPr>
      <w:rFonts w:ascii="Microsoft YaHei UI" w:hAnsi="Microsoft YaHei UI" w:eastAsia="Microsoft YaHei UI"/>
      <w:spacing w:val="2"/>
      <w:sz w:val="32"/>
      <w:szCs w:val="32"/>
      <w:lang w:eastAsia="zh-CN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eastAsia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link w:val="21"/>
    <w:qFormat/>
    <w:uiPriority w:val="1"/>
    <w:pPr>
      <w:ind w:firstLine="200" w:firstLineChars="200"/>
      <w:jc w:val="both"/>
    </w:pPr>
    <w:rPr>
      <w:rFonts w:ascii="Microsoft YaHei UI" w:hAnsi="Microsoft YaHei UI" w:eastAsia="Microsoft YaHei UI"/>
      <w:sz w:val="21"/>
      <w:szCs w:val="21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</w:pPr>
    <w:rPr>
      <w:rFonts w:cs="Times New Roman"/>
      <w:lang w:eastAsia="zh-CN"/>
    </w:rPr>
  </w:style>
  <w:style w:type="paragraph" w:styleId="8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cs="Times New Roman"/>
      <w:lang w:eastAsia="zh-CN"/>
    </w:rPr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标题 2 字符"/>
    <w:basedOn w:val="16"/>
    <w:link w:val="3"/>
    <w:qFormat/>
    <w:uiPriority w:val="1"/>
    <w:rPr>
      <w:rFonts w:ascii="Microsoft YaHei UI" w:hAnsi="Microsoft YaHei UI" w:eastAsia="Microsoft YaHei UI"/>
      <w:spacing w:val="2"/>
      <w:kern w:val="0"/>
      <w:sz w:val="32"/>
      <w:szCs w:val="32"/>
    </w:rPr>
  </w:style>
  <w:style w:type="table" w:customStyle="1" w:styleId="20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正文文本 字符"/>
    <w:basedOn w:val="16"/>
    <w:link w:val="6"/>
    <w:qFormat/>
    <w:uiPriority w:val="1"/>
    <w:rPr>
      <w:rFonts w:ascii="Microsoft YaHei UI" w:hAnsi="Microsoft YaHei UI" w:eastAsia="Microsoft YaHei UI"/>
      <w:kern w:val="0"/>
      <w:szCs w:val="21"/>
      <w:lang w:eastAsia="en-US"/>
    </w:rPr>
  </w:style>
  <w:style w:type="paragraph" w:customStyle="1" w:styleId="22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Table Paragraph"/>
    <w:basedOn w:val="24"/>
    <w:qFormat/>
    <w:uiPriority w:val="1"/>
  </w:style>
  <w:style w:type="paragraph" w:customStyle="1" w:styleId="24">
    <w:name w:val="Normal_0"/>
    <w:basedOn w:val="1"/>
    <w:qFormat/>
    <w:uiPriority w:val="1"/>
    <w:pPr>
      <w:widowControl/>
    </w:pPr>
    <w:rPr>
      <w:rFonts w:ascii="Times New Roman" w:hAnsi="Times New Roman" w:eastAsia="宋体" w:cs="Times New Roman"/>
      <w:sz w:val="24"/>
      <w:szCs w:val="24"/>
      <w:lang w:eastAsia="zh-CN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页眉 字符"/>
    <w:basedOn w:val="16"/>
    <w:link w:val="10"/>
    <w:qFormat/>
    <w:uiPriority w:val="99"/>
    <w:rPr>
      <w:kern w:val="0"/>
      <w:sz w:val="18"/>
      <w:szCs w:val="18"/>
      <w:lang w:eastAsia="en-US"/>
    </w:rPr>
  </w:style>
  <w:style w:type="character" w:customStyle="1" w:styleId="27">
    <w:name w:val="页脚 字符"/>
    <w:basedOn w:val="16"/>
    <w:link w:val="9"/>
    <w:qFormat/>
    <w:uiPriority w:val="99"/>
    <w:rPr>
      <w:kern w:val="0"/>
      <w:sz w:val="18"/>
      <w:szCs w:val="18"/>
      <w:lang w:eastAsia="en-US"/>
    </w:rPr>
  </w:style>
  <w:style w:type="paragraph" w:styleId="28">
    <w:name w:val="List Paragraph"/>
    <w:basedOn w:val="1"/>
    <w:qFormat/>
    <w:uiPriority w:val="34"/>
    <w:pPr>
      <w:ind w:firstLine="420" w:firstLineChars="200"/>
      <w:jc w:val="both"/>
    </w:pPr>
    <w:rPr>
      <w:kern w:val="2"/>
      <w:sz w:val="21"/>
      <w:lang w:eastAsia="zh-CN"/>
    </w:rPr>
  </w:style>
  <w:style w:type="paragraph" w:customStyle="1" w:styleId="29">
    <w:name w:val="Char Char Char Char"/>
    <w:basedOn w:val="1"/>
    <w:qFormat/>
    <w:uiPriority w:val="0"/>
    <w:pPr>
      <w:widowControl/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30">
    <w:name w:val="批注框文本 字符"/>
    <w:basedOn w:val="16"/>
    <w:link w:val="8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31">
    <w:name w:val="font31"/>
    <w:basedOn w:val="1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32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font41"/>
    <w:basedOn w:val="1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34">
    <w:name w:val="font51"/>
    <w:basedOn w:val="16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35">
    <w:name w:val="font21"/>
    <w:basedOn w:val="1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7832-9697-4DB4-AFE9-BFAEE4539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1314</Words>
  <Characters>7490</Characters>
  <Lines>62</Lines>
  <Paragraphs>17</Paragraphs>
  <TotalTime>2</TotalTime>
  <ScaleCrop>false</ScaleCrop>
  <LinksUpToDate>false</LinksUpToDate>
  <CharactersWithSpaces>8787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2024-11-08T07:45:00Z</dcterms:created>
  <dc:creator>王琴</dc:creator>
  <cp:lastModifiedBy>苏群策</cp:lastModifiedBy>
  <cp:lastPrinted>2022-03-10T01:10:00Z</cp:lastPrinted>
  <dcterms:modified xsi:type="dcterms:W3CDTF">2025-07-30T07:41:31Z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F87D50AC46A4466C8E888EB0CD7ED706</vt:lpwstr>
  </property>
</Properties>
</file>