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8BE20">
      <w:pPr>
        <w:keepNext w:val="0"/>
        <w:keepLines w:val="0"/>
        <w:pageBreakBefore w:val="0"/>
        <w:widowControl w:val="0"/>
        <w:kinsoku/>
        <w:wordWrap/>
        <w:overflowPunct/>
        <w:topLinePunct w:val="0"/>
        <w:autoSpaceDE/>
        <w:autoSpaceDN/>
        <w:bidi w:val="0"/>
        <w:adjustRightInd/>
        <w:snapToGrid/>
        <w:spacing w:line="578" w:lineRule="exact"/>
        <w:jc w:val="center"/>
        <w:rPr>
          <w:rFonts w:hint="eastAsia" w:ascii="方正小标宋简体" w:hAnsi="方正小标宋简体" w:eastAsia="方正小标宋简体" w:cs="方正小标宋简体"/>
          <w:b w:val="0"/>
          <w:bCs w:val="0"/>
          <w:sz w:val="44"/>
          <w:szCs w:val="44"/>
          <w:lang w:eastAsia="zh-CN"/>
        </w:rPr>
      </w:pPr>
    </w:p>
    <w:p w14:paraId="4B3F9CC4">
      <w:pPr>
        <w:keepNext w:val="0"/>
        <w:keepLines w:val="0"/>
        <w:pageBreakBefore w:val="0"/>
        <w:widowControl w:val="0"/>
        <w:kinsoku/>
        <w:wordWrap/>
        <w:overflowPunct/>
        <w:topLinePunct w:val="0"/>
        <w:autoSpaceDE/>
        <w:autoSpaceDN/>
        <w:bidi w:val="0"/>
        <w:adjustRightInd/>
        <w:snapToGrid/>
        <w:spacing w:line="578" w:lineRule="exact"/>
        <w:jc w:val="center"/>
        <w:rPr>
          <w:rFonts w:hint="eastAsia" w:ascii="方正小标宋简体" w:hAnsi="方正小标宋简体" w:eastAsia="方正小标宋简体" w:cs="方正小标宋简体"/>
          <w:b w:val="0"/>
          <w:bCs w:val="0"/>
          <w:sz w:val="44"/>
          <w:szCs w:val="44"/>
          <w:lang w:eastAsia="zh-CN"/>
        </w:rPr>
      </w:pPr>
    </w:p>
    <w:p w14:paraId="25931AAB">
      <w:pPr>
        <w:keepNext w:val="0"/>
        <w:keepLines w:val="0"/>
        <w:pageBreakBefore w:val="0"/>
        <w:widowControl w:val="0"/>
        <w:kinsoku/>
        <w:wordWrap/>
        <w:overflowPunct/>
        <w:topLinePunct w:val="0"/>
        <w:autoSpaceDE/>
        <w:autoSpaceDN/>
        <w:bidi w:val="0"/>
        <w:adjustRightInd/>
        <w:snapToGrid/>
        <w:spacing w:line="578" w:lineRule="exact"/>
        <w:jc w:val="center"/>
        <w:rPr>
          <w:rFonts w:hint="eastAsia" w:ascii="方正小标宋简体" w:hAnsi="方正小标宋简体" w:eastAsia="方正小标宋简体" w:cs="方正小标宋简体"/>
          <w:b w:val="0"/>
          <w:bCs w:val="0"/>
          <w:sz w:val="44"/>
          <w:szCs w:val="44"/>
          <w:lang w:eastAsia="zh-CN"/>
        </w:rPr>
      </w:pPr>
    </w:p>
    <w:p w14:paraId="06755384">
      <w:pPr>
        <w:keepNext w:val="0"/>
        <w:keepLines w:val="0"/>
        <w:pageBreakBefore w:val="0"/>
        <w:widowControl w:val="0"/>
        <w:kinsoku/>
        <w:wordWrap/>
        <w:overflowPunct/>
        <w:topLinePunct w:val="0"/>
        <w:autoSpaceDE/>
        <w:autoSpaceDN/>
        <w:bidi w:val="0"/>
        <w:adjustRightInd/>
        <w:snapToGrid/>
        <w:spacing w:line="578" w:lineRule="exact"/>
        <w:jc w:val="center"/>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锡林浩特市自然资源局</w:t>
      </w:r>
    </w:p>
    <w:p w14:paraId="0CEB655E">
      <w:pPr>
        <w:keepNext w:val="0"/>
        <w:keepLines w:val="0"/>
        <w:pageBreakBefore w:val="0"/>
        <w:widowControl w:val="0"/>
        <w:kinsoku/>
        <w:wordWrap/>
        <w:overflowPunct/>
        <w:topLinePunct w:val="0"/>
        <w:autoSpaceDE/>
        <w:autoSpaceDN/>
        <w:bidi w:val="0"/>
        <w:adjustRightInd/>
        <w:snapToGrid/>
        <w:spacing w:line="578" w:lineRule="exact"/>
        <w:jc w:val="center"/>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关于《</w:t>
      </w:r>
      <w:r>
        <w:rPr>
          <w:rFonts w:hint="eastAsia" w:ascii="方正小标宋简体" w:hAnsi="方正小标宋简体" w:eastAsia="方正小标宋简体" w:cs="方正小标宋简体"/>
          <w:b w:val="0"/>
          <w:bCs w:val="0"/>
          <w:sz w:val="44"/>
          <w:szCs w:val="44"/>
          <w:lang w:val="en-US" w:eastAsia="zh-CN"/>
        </w:rPr>
        <w:t>锡林浩特市人民政府</w:t>
      </w:r>
      <w:r>
        <w:rPr>
          <w:rFonts w:hint="eastAsia" w:ascii="方正小标宋简体" w:hAnsi="方正小标宋简体" w:eastAsia="方正小标宋简体" w:cs="方正小标宋简体"/>
          <w:b w:val="0"/>
          <w:bCs w:val="0"/>
          <w:sz w:val="44"/>
          <w:szCs w:val="44"/>
          <w:lang w:eastAsia="zh-CN"/>
        </w:rPr>
        <w:t>关于以联营（</w:t>
      </w:r>
      <w:r>
        <w:rPr>
          <w:rFonts w:hint="eastAsia" w:ascii="方正小标宋简体" w:hAnsi="方正小标宋简体" w:eastAsia="方正小标宋简体" w:cs="方正小标宋简体"/>
          <w:b w:val="0"/>
          <w:bCs w:val="0"/>
          <w:sz w:val="44"/>
          <w:szCs w:val="44"/>
          <w:lang w:val="en-US" w:eastAsia="zh-CN"/>
        </w:rPr>
        <w:t>入股）</w:t>
      </w:r>
      <w:r>
        <w:rPr>
          <w:rFonts w:hint="eastAsia" w:ascii="方正小标宋简体" w:hAnsi="方正小标宋简体" w:eastAsia="方正小标宋简体" w:cs="方正小标宋简体"/>
          <w:b w:val="0"/>
          <w:bCs w:val="0"/>
          <w:sz w:val="44"/>
          <w:szCs w:val="44"/>
          <w:lang w:eastAsia="zh-CN"/>
        </w:rPr>
        <w:t>方式办理集体用地审批暂行规定》的起草说明</w:t>
      </w:r>
    </w:p>
    <w:p w14:paraId="2A3E5794">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default" w:ascii="Times New Roman" w:hAnsi="Times New Roman" w:eastAsia="仿宋_GB2312" w:cs="Times New Roman"/>
          <w:sz w:val="30"/>
          <w:szCs w:val="30"/>
        </w:rPr>
      </w:pPr>
    </w:p>
    <w:p w14:paraId="5738844B">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一、制定背景和必要性</w:t>
      </w:r>
    </w:p>
    <w:p w14:paraId="7C88865C">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2020年1月1日起施行的新《土地管理法》，在第四十五条明确限定了征收范围的同时，在第六十条、第六十一条规定了农村集体经济组织可以以联营（入股）方式使用集体建设用地兴办企业或者与其他单位、个人共同兴办企业。这为集体经营性建设用地入市提供了法律通道。</w:t>
      </w:r>
    </w:p>
    <w:p w14:paraId="05AB3E72">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2023年，内蒙古自治区自然资源厅印发《关于规范以联营（入股）方式办理集体用地审批程序的函》（内自然资函〔2023〕1027号），要求各地结合实际制定具体实施细则。目前，锡林浩特市尚未出台相关规范性文件，实践中存在审批标准不统一、收益分配机制不完善、程序不规范等问题。为保障牧区集体建设用地所有者和使用者的合法权益，规范审批行为，营造良好营商环境，制定本暂行规定十分必要和紧迫。</w:t>
      </w:r>
    </w:p>
    <w:p w14:paraId="3FACF117">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二、制定依据</w:t>
      </w:r>
    </w:p>
    <w:p w14:paraId="33716B54">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（一）《中华人民共和国土地管理法》（2019年修正）；</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（二）《中华人民共和国土地管理法实施条例》（国务院令第743号）；</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（三）《内蒙古自治区实施〈中华人民共和国土地管理法〉办法》（2022年修正）；</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（四）《内蒙古自治区行政规范性文件管理办法》（自治区人民政府令第262号）；</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（五）《内蒙古自治区自然资源厅关于规范以联营（入股）方式办理集体用地审批程序的函》（内自然资函〔2023〕1027号）；</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（六）《财政部 自然资源部关于延续实施农村集体经营性建设用地土地增值收益调节金政策的通知》（财税〔2023〕52号）。</w:t>
      </w:r>
    </w:p>
    <w:p w14:paraId="0F94AB38">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三、起草过程</w:t>
      </w:r>
    </w:p>
    <w:p w14:paraId="17B48ED9">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2026年</w:t>
      </w:r>
      <w:r>
        <w:rPr>
          <w:rFonts w:hint="eastAsia" w:ascii="仿宋_GB2312" w:hAnsi="仿宋_GB2312" w:eastAsia="仿宋_GB2312" w:cs="仿宋_GB2312"/>
          <w:sz w:val="30"/>
          <w:szCs w:val="30"/>
          <w:lang w:val="en-US" w:eastAsia="zh-CN"/>
        </w:rPr>
        <w:t>3月</w:t>
      </w:r>
      <w:r>
        <w:rPr>
          <w:rFonts w:hint="eastAsia" w:ascii="仿宋_GB2312" w:hAnsi="仿宋_GB2312" w:eastAsia="仿宋_GB2312" w:cs="仿宋_GB2312"/>
          <w:sz w:val="30"/>
          <w:szCs w:val="30"/>
        </w:rPr>
        <w:t>，锡林浩特市自然资源局成立工作专班启动《暂行规定》起草工作。起草过程中，先后学习了自治区自然资源厅</w:t>
      </w:r>
      <w:r>
        <w:rPr>
          <w:rFonts w:hint="eastAsia" w:ascii="仿宋_GB2312" w:hAnsi="仿宋_GB2312" w:eastAsia="仿宋_GB2312" w:cs="仿宋_GB2312"/>
          <w:sz w:val="30"/>
          <w:szCs w:val="30"/>
          <w:lang w:val="en-US" w:eastAsia="zh-CN"/>
        </w:rPr>
        <w:t>文件</w:t>
      </w:r>
      <w:r>
        <w:rPr>
          <w:rFonts w:hint="eastAsia" w:ascii="仿宋_GB2312" w:hAnsi="仿宋_GB2312" w:eastAsia="仿宋_GB2312" w:cs="仿宋_GB2312"/>
          <w:sz w:val="30"/>
          <w:szCs w:val="30"/>
        </w:rPr>
        <w:t>精神，参照了先进地区的经验做法，结合锡林浩特市实际，形成了征求意见稿</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期间</w:t>
      </w:r>
      <w:r>
        <w:rPr>
          <w:rFonts w:hint="eastAsia" w:ascii="仿宋_GB2312" w:hAnsi="仿宋_GB2312" w:eastAsia="仿宋_GB2312" w:cs="仿宋_GB2312"/>
          <w:sz w:val="30"/>
          <w:szCs w:val="30"/>
        </w:rPr>
        <w:t>向市发改委、林草局、财政局、税务局、生态环境</w:t>
      </w:r>
      <w:r>
        <w:rPr>
          <w:rFonts w:hint="eastAsia" w:ascii="仿宋_GB2312" w:hAnsi="仿宋_GB2312" w:eastAsia="仿宋_GB2312" w:cs="仿宋_GB2312"/>
          <w:sz w:val="30"/>
          <w:szCs w:val="30"/>
          <w:lang w:val="en-US" w:eastAsia="zh-CN"/>
        </w:rPr>
        <w:t>分</w:t>
      </w:r>
      <w:r>
        <w:rPr>
          <w:rFonts w:hint="eastAsia" w:ascii="仿宋_GB2312" w:hAnsi="仿宋_GB2312" w:eastAsia="仿宋_GB2312" w:cs="仿宋_GB2312"/>
          <w:sz w:val="30"/>
          <w:szCs w:val="30"/>
        </w:rPr>
        <w:t>局、司法局、农</w:t>
      </w:r>
      <w:r>
        <w:rPr>
          <w:rFonts w:hint="eastAsia" w:ascii="仿宋_GB2312" w:hAnsi="仿宋_GB2312" w:eastAsia="仿宋_GB2312" w:cs="仿宋_GB2312"/>
          <w:sz w:val="30"/>
          <w:szCs w:val="30"/>
          <w:lang w:val="en-US" w:eastAsia="zh-CN"/>
        </w:rPr>
        <w:t>科</w:t>
      </w:r>
      <w:r>
        <w:rPr>
          <w:rFonts w:hint="eastAsia" w:ascii="仿宋_GB2312" w:hAnsi="仿宋_GB2312" w:eastAsia="仿宋_GB2312" w:cs="仿宋_GB2312"/>
          <w:sz w:val="30"/>
          <w:szCs w:val="30"/>
        </w:rPr>
        <w:t>局等部门书面征求意见，共收到修改意见</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条，采纳</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条</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同时，于2026年5月9日至6月8日期间，通过锡林浩特市人民政府网站向社会公开征求意见。</w:t>
      </w:r>
    </w:p>
    <w:p w14:paraId="27E78FC7">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四、主要内容</w:t>
      </w:r>
    </w:p>
    <w:p w14:paraId="17D078D2">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本暂行规定共五章二十五条，主要明确以下事项：</w:t>
      </w:r>
    </w:p>
    <w:p w14:paraId="2C369886">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（一）界定了适用条件（第二章）。 明确拟以联营方式使用集体土地的建设项目，须符合国土空间规划、产业准入和生态环境保护要求；拟用于联营的土地须产权明晰；办理审批前，须依法解除土地承包经营合同并对承包户进行补偿，补偿标准不低于区片综合地价。</w:t>
      </w:r>
    </w:p>
    <w:p w14:paraId="03EB5370">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（二）规范了审批程序（第三章）。 依次规定了申请、编制方案、收益分配、方案批复、公示公告、签订合同、费用缴纳、前期手续办理、农转用审批、土地供应、备案</w:t>
      </w:r>
      <w:r>
        <w:rPr>
          <w:rFonts w:hint="eastAsia" w:ascii="仿宋_GB2312" w:hAnsi="仿宋_GB2312" w:eastAsia="仿宋_GB2312" w:cs="仿宋_GB2312"/>
          <w:sz w:val="30"/>
          <w:szCs w:val="30"/>
          <w:lang w:val="en-US" w:eastAsia="zh-CN"/>
        </w:rPr>
        <w:t>及</w:t>
      </w:r>
      <w:r>
        <w:rPr>
          <w:rFonts w:hint="eastAsia" w:ascii="仿宋_GB2312" w:hAnsi="仿宋_GB2312" w:eastAsia="仿宋_GB2312" w:cs="仿宋_GB2312"/>
          <w:sz w:val="30"/>
          <w:szCs w:val="30"/>
        </w:rPr>
        <w:t>登记、土地收回等十二个环节，形成了完整的审批闭环。</w:t>
      </w:r>
    </w:p>
    <w:p w14:paraId="2EC59BA2">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（三）明确了收益分配机制（第十条）。 按照建立兼顾国家、集体和个人的土地增值收益分配机制的要求，由市财政部门按土地总价值的20%-50%收取土地增值收益调节金，采矿用地和商服用地为50%，工业用地为35%，其他用地为20%。调节金纳入地方一般公共预算管理。集体经济组织取得的收益纳入集体资产统一管理，由集体经济组织召开村民代表大会确定内部分配方案并公示。</w:t>
      </w:r>
    </w:p>
    <w:p w14:paraId="2473404E">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（四）健全了监督管理机制（第四章）。 明确了对规划条件执行情况、合同执行情况的监管责任，规定了改变土地用途和变更容积率等规划条件的变更程序。</w:t>
      </w:r>
    </w:p>
    <w:p w14:paraId="7616669D">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五、需要说明的事项</w:t>
      </w:r>
    </w:p>
    <w:p w14:paraId="0D777140">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根据市司法局指导意见，本暂行规定属于重大行政规范性文件，应当严格按照</w:t>
      </w:r>
      <w:bookmarkStart w:id="0" w:name="OLE_LINK1"/>
      <w:r>
        <w:rPr>
          <w:rFonts w:hint="eastAsia" w:ascii="仿宋_GB2312" w:hAnsi="仿宋_GB2312" w:eastAsia="仿宋_GB2312" w:cs="仿宋_GB2312"/>
          <w:sz w:val="30"/>
          <w:szCs w:val="30"/>
        </w:rPr>
        <w:t>《内蒙古自治区行政规范性文件管理办法》（自治区人民政府令第262号）</w:t>
      </w:r>
      <w:bookmarkEnd w:id="0"/>
      <w:r>
        <w:rPr>
          <w:rFonts w:hint="eastAsia" w:ascii="仿宋_GB2312" w:hAnsi="仿宋_GB2312" w:eastAsia="仿宋_GB2312" w:cs="仿宋_GB2312"/>
          <w:sz w:val="30"/>
          <w:szCs w:val="30"/>
        </w:rPr>
        <w:t>和</w:t>
      </w:r>
      <w:bookmarkStart w:id="1" w:name="OLE_LINK2"/>
      <w:r>
        <w:rPr>
          <w:rFonts w:hint="eastAsia" w:ascii="仿宋_GB2312" w:hAnsi="仿宋_GB2312" w:eastAsia="仿宋_GB2312" w:cs="仿宋_GB2312"/>
          <w:sz w:val="30"/>
          <w:szCs w:val="30"/>
        </w:rPr>
        <w:t>《内蒙古自治区重大行政决策程序规定》（自治区人民政府令第248号）</w:t>
      </w:r>
      <w:bookmarkEnd w:id="1"/>
      <w:r>
        <w:rPr>
          <w:rFonts w:hint="eastAsia" w:ascii="仿宋_GB2312" w:hAnsi="仿宋_GB2312" w:eastAsia="仿宋_GB2312" w:cs="仿宋_GB2312"/>
          <w:sz w:val="30"/>
          <w:szCs w:val="30"/>
        </w:rPr>
        <w:t>的规定，履行公开征求意见、社会稳定风险评估、公平竞争审查、合法性审核等法定程序。目前，上述程序正在按计划推进中，将在提交市政府常务会议审议前全部完成，有关情况将在后续报送合法性审核时一并说明。</w:t>
      </w:r>
    </w:p>
    <w:p w14:paraId="07BFB91D">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本暂行规定涉及集体土地收益分配，属于《内蒙古自治区重大行政决策程序规定》明确的重大行政决策事项</w:t>
      </w:r>
      <w:r>
        <w:rPr>
          <w:rFonts w:hint="eastAsia" w:ascii="仿宋_GB2312" w:hAnsi="仿宋_GB2312" w:eastAsia="仿宋_GB2312" w:cs="仿宋_GB2312"/>
          <w:sz w:val="30"/>
          <w:szCs w:val="30"/>
          <w:lang w:val="en-US" w:eastAsia="zh-CN"/>
        </w:rPr>
        <w:t>范围</w:t>
      </w:r>
      <w:r>
        <w:rPr>
          <w:rFonts w:hint="eastAsia" w:ascii="仿宋_GB2312" w:hAnsi="仿宋_GB2312" w:eastAsia="仿宋_GB2312" w:cs="仿宋_GB2312"/>
          <w:sz w:val="30"/>
          <w:szCs w:val="30"/>
        </w:rPr>
        <w:t>。起草过程中，我局已向市发改委、林草局、财政局、税务局、生态环境局、司法局、农牧局等相关部门进行了前期沟通和意见征询，并根据反馈意见对草案进行了修改完善。下一步，将按照法定程序组织开展专家论证和社会稳定风险评估工作，论证和评估结果将在提请审议时一并报送。</w:t>
      </w:r>
    </w:p>
    <w:p w14:paraId="1497F467">
      <w:pPr>
        <w:keepNext w:val="0"/>
        <w:keepLines w:val="0"/>
        <w:pageBreakBefore w:val="0"/>
        <w:widowControl w:val="0"/>
        <w:kinsoku/>
        <w:wordWrap/>
        <w:overflowPunct/>
        <w:topLinePunct w:val="0"/>
        <w:autoSpaceDE/>
        <w:autoSpaceDN/>
        <w:bidi w:val="0"/>
        <w:adjustRightInd/>
        <w:snapToGrid/>
        <w:spacing w:line="578" w:lineRule="exact"/>
        <w:ind w:firstLine="600" w:firstLineChars="200"/>
        <w:rPr>
          <w:rFonts w:hint="default" w:ascii="仿宋_GB2312" w:hAnsi="仿宋_GB2312" w:eastAsia="仿宋_GB2312" w:cs="仿宋_GB2312"/>
          <w:sz w:val="30"/>
          <w:szCs w:val="30"/>
        </w:rPr>
      </w:pPr>
    </w:p>
    <w:p w14:paraId="40663395">
      <w:pPr>
        <w:keepNext w:val="0"/>
        <w:keepLines w:val="0"/>
        <w:pageBreakBefore w:val="0"/>
        <w:widowControl w:val="0"/>
        <w:kinsoku/>
        <w:wordWrap/>
        <w:overflowPunct/>
        <w:topLinePunct w:val="0"/>
        <w:autoSpaceDE/>
        <w:autoSpaceDN/>
        <w:bidi w:val="0"/>
        <w:adjustRightInd/>
        <w:snapToGrid/>
        <w:spacing w:line="578" w:lineRule="exact"/>
        <w:ind w:firstLine="5388" w:firstLineChars="1684"/>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2026年5月11</w:t>
      </w:r>
      <w:bookmarkStart w:id="2" w:name="_GoBack"/>
      <w:bookmarkEnd w:id="2"/>
      <w:r>
        <w:rPr>
          <w:rFonts w:hint="eastAsia" w:ascii="仿宋_GB2312" w:hAnsi="仿宋_GB2312" w:eastAsia="仿宋_GB2312" w:cs="仿宋_GB2312"/>
          <w:sz w:val="32"/>
          <w:szCs w:val="32"/>
          <w:highlight w:val="none"/>
          <w:lang w:val="en-US" w:eastAsia="zh-CN"/>
        </w:rPr>
        <w:t>日</w:t>
      </w:r>
    </w:p>
    <w:sectPr>
      <w:footerReference r:id="rId3" w:type="default"/>
      <w:pgSz w:w="11906" w:h="16838"/>
      <w:pgMar w:top="2154" w:right="1531" w:bottom="1871" w:left="1531" w:header="851" w:footer="992"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DF26C">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16215">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C616215">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BF9F8"/>
    <w:multiLevelType w:val="multilevel"/>
    <w:tmpl w:val="137BF9F8"/>
    <w:lvl w:ilvl="0" w:tentative="0">
      <w:start w:val="1"/>
      <w:numFmt w:val="chineseCounting"/>
      <w:pStyle w:val="2"/>
      <w:suff w:val="nothing"/>
      <w:lvlText w:val="%1、"/>
      <w:lvlJc w:val="left"/>
      <w:pPr>
        <w:tabs>
          <w:tab w:val="left" w:pos="0"/>
        </w:tabs>
        <w:ind w:left="0" w:firstLine="0"/>
      </w:pPr>
      <w:rPr>
        <w:rFonts w:hint="eastAsia" w:eastAsia="黑体"/>
        <w:b/>
        <w:sz w:val="32"/>
      </w:rPr>
    </w:lvl>
    <w:lvl w:ilvl="1" w:tentative="0">
      <w:start w:val="1"/>
      <w:numFmt w:val="chineseCounting"/>
      <w:pStyle w:val="3"/>
      <w:suff w:val="nothing"/>
      <w:lvlText w:val="（%2）"/>
      <w:lvlJc w:val="left"/>
      <w:pPr>
        <w:ind w:left="0" w:firstLine="0"/>
      </w:pPr>
      <w:rPr>
        <w:rFonts w:hint="eastAsia" w:eastAsia="仿宋"/>
        <w:b/>
        <w:sz w:val="30"/>
      </w:rPr>
    </w:lvl>
    <w:lvl w:ilvl="2" w:tentative="0">
      <w:start w:val="1"/>
      <w:numFmt w:val="decimal"/>
      <w:pStyle w:val="4"/>
      <w:suff w:val="nothing"/>
      <w:lvlText w:val="%3．"/>
      <w:lvlJc w:val="left"/>
      <w:pPr>
        <w:ind w:left="0" w:firstLine="400"/>
      </w:pPr>
      <w:rPr>
        <w:rFonts w:hint="eastAsia" w:eastAsia="仿宋"/>
        <w:b/>
        <w:sz w:val="28"/>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kMmQ3OTE0Mjc0MmIyOGJhODlhNDMzNTExMjM4YWYifQ=="/>
  </w:docVars>
  <w:rsids>
    <w:rsidRoot w:val="340E4799"/>
    <w:rsid w:val="008422D2"/>
    <w:rsid w:val="00D172E7"/>
    <w:rsid w:val="01152E1D"/>
    <w:rsid w:val="01806305"/>
    <w:rsid w:val="028A5091"/>
    <w:rsid w:val="02AE676A"/>
    <w:rsid w:val="055A39C2"/>
    <w:rsid w:val="05CA273A"/>
    <w:rsid w:val="06EC213A"/>
    <w:rsid w:val="077154B9"/>
    <w:rsid w:val="0A0A0148"/>
    <w:rsid w:val="0A60402E"/>
    <w:rsid w:val="0B163699"/>
    <w:rsid w:val="0B1E3E2C"/>
    <w:rsid w:val="0B4B7BE5"/>
    <w:rsid w:val="0BF826AB"/>
    <w:rsid w:val="0C164F1F"/>
    <w:rsid w:val="0C806990"/>
    <w:rsid w:val="0D3C7F4A"/>
    <w:rsid w:val="0D8A62C4"/>
    <w:rsid w:val="0E0B5706"/>
    <w:rsid w:val="11FF770D"/>
    <w:rsid w:val="123E142E"/>
    <w:rsid w:val="128D60C7"/>
    <w:rsid w:val="13496693"/>
    <w:rsid w:val="13733702"/>
    <w:rsid w:val="13B37BA0"/>
    <w:rsid w:val="14205926"/>
    <w:rsid w:val="14CA0ED3"/>
    <w:rsid w:val="14D372D0"/>
    <w:rsid w:val="163103E3"/>
    <w:rsid w:val="16437556"/>
    <w:rsid w:val="177C0547"/>
    <w:rsid w:val="18730776"/>
    <w:rsid w:val="1AC376BC"/>
    <w:rsid w:val="1C6A367E"/>
    <w:rsid w:val="1F642B70"/>
    <w:rsid w:val="20064EA7"/>
    <w:rsid w:val="20C02AD4"/>
    <w:rsid w:val="21410D84"/>
    <w:rsid w:val="21862A23"/>
    <w:rsid w:val="22451450"/>
    <w:rsid w:val="225348A7"/>
    <w:rsid w:val="241E671A"/>
    <w:rsid w:val="261837B3"/>
    <w:rsid w:val="26300F83"/>
    <w:rsid w:val="266D2765"/>
    <w:rsid w:val="28C948A6"/>
    <w:rsid w:val="2A3A7FB9"/>
    <w:rsid w:val="2ADD6A85"/>
    <w:rsid w:val="2DE7207C"/>
    <w:rsid w:val="2E585A06"/>
    <w:rsid w:val="2E6C5484"/>
    <w:rsid w:val="2EFF35E6"/>
    <w:rsid w:val="2F1D6F37"/>
    <w:rsid w:val="33EE29DE"/>
    <w:rsid w:val="340E4799"/>
    <w:rsid w:val="34426FA3"/>
    <w:rsid w:val="34BE2568"/>
    <w:rsid w:val="35931184"/>
    <w:rsid w:val="379E7A21"/>
    <w:rsid w:val="38A3516F"/>
    <w:rsid w:val="3A521B2D"/>
    <w:rsid w:val="3AFE4E9F"/>
    <w:rsid w:val="3B8A747D"/>
    <w:rsid w:val="3CD71D20"/>
    <w:rsid w:val="3FCE6DEE"/>
    <w:rsid w:val="41A17B16"/>
    <w:rsid w:val="43D13529"/>
    <w:rsid w:val="45FA7E03"/>
    <w:rsid w:val="464037EC"/>
    <w:rsid w:val="46916FD5"/>
    <w:rsid w:val="47952AA8"/>
    <w:rsid w:val="48421553"/>
    <w:rsid w:val="48726B74"/>
    <w:rsid w:val="4A7B24D6"/>
    <w:rsid w:val="4AD9786A"/>
    <w:rsid w:val="4B194F4C"/>
    <w:rsid w:val="4C3036A3"/>
    <w:rsid w:val="4CA95D86"/>
    <w:rsid w:val="4CC64337"/>
    <w:rsid w:val="4CF9420A"/>
    <w:rsid w:val="4D735B15"/>
    <w:rsid w:val="4E0C3C51"/>
    <w:rsid w:val="4F3532C7"/>
    <w:rsid w:val="4F91575E"/>
    <w:rsid w:val="504913B5"/>
    <w:rsid w:val="51254573"/>
    <w:rsid w:val="530322F7"/>
    <w:rsid w:val="536F2F60"/>
    <w:rsid w:val="53C062CF"/>
    <w:rsid w:val="55684887"/>
    <w:rsid w:val="55AB0FCE"/>
    <w:rsid w:val="55F82A6B"/>
    <w:rsid w:val="56861444"/>
    <w:rsid w:val="571F54F3"/>
    <w:rsid w:val="57904E7E"/>
    <w:rsid w:val="579161E1"/>
    <w:rsid w:val="57D276CD"/>
    <w:rsid w:val="58082DE8"/>
    <w:rsid w:val="58C44EB1"/>
    <w:rsid w:val="599A3111"/>
    <w:rsid w:val="5A031976"/>
    <w:rsid w:val="5B7C1192"/>
    <w:rsid w:val="5C2569D8"/>
    <w:rsid w:val="5DE50C97"/>
    <w:rsid w:val="5E981211"/>
    <w:rsid w:val="5FBE7640"/>
    <w:rsid w:val="5FF45D06"/>
    <w:rsid w:val="612E13DB"/>
    <w:rsid w:val="61D23A8A"/>
    <w:rsid w:val="64AB4DD4"/>
    <w:rsid w:val="64C7091F"/>
    <w:rsid w:val="65837F89"/>
    <w:rsid w:val="67335294"/>
    <w:rsid w:val="67BA52E0"/>
    <w:rsid w:val="67FC5C0B"/>
    <w:rsid w:val="69E2250D"/>
    <w:rsid w:val="6A565418"/>
    <w:rsid w:val="6ABE2D5A"/>
    <w:rsid w:val="6AF2693D"/>
    <w:rsid w:val="6B506B2B"/>
    <w:rsid w:val="6CE63BAD"/>
    <w:rsid w:val="6CED0382"/>
    <w:rsid w:val="6DB25D78"/>
    <w:rsid w:val="6F9750ED"/>
    <w:rsid w:val="70642214"/>
    <w:rsid w:val="718F5D9E"/>
    <w:rsid w:val="720E7580"/>
    <w:rsid w:val="73595F10"/>
    <w:rsid w:val="74023B5B"/>
    <w:rsid w:val="741A2F17"/>
    <w:rsid w:val="74281F0C"/>
    <w:rsid w:val="757761E2"/>
    <w:rsid w:val="75CD558D"/>
    <w:rsid w:val="79B43BCE"/>
    <w:rsid w:val="7B591648"/>
    <w:rsid w:val="7B8220B7"/>
    <w:rsid w:val="7B963413"/>
    <w:rsid w:val="7CCF2FBE"/>
    <w:rsid w:val="7D7532B1"/>
    <w:rsid w:val="7D87207D"/>
    <w:rsid w:val="7E383087"/>
    <w:rsid w:val="7FFB3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numPr>
        <w:ilvl w:val="0"/>
        <w:numId w:val="1"/>
      </w:numPr>
      <w:spacing w:line="360" w:lineRule="auto"/>
      <w:ind w:firstLine="0" w:firstLineChars="0"/>
      <w:outlineLvl w:val="0"/>
    </w:pPr>
    <w:rPr>
      <w:rFonts w:eastAsia="黑体"/>
      <w:b/>
      <w:bCs/>
      <w:kern w:val="44"/>
      <w:sz w:val="32"/>
      <w:szCs w:val="44"/>
    </w:rPr>
  </w:style>
  <w:style w:type="paragraph" w:styleId="3">
    <w:name w:val="heading 2"/>
    <w:basedOn w:val="1"/>
    <w:next w:val="1"/>
    <w:link w:val="22"/>
    <w:semiHidden/>
    <w:unhideWhenUsed/>
    <w:qFormat/>
    <w:uiPriority w:val="0"/>
    <w:pPr>
      <w:keepNext/>
      <w:keepLines/>
      <w:numPr>
        <w:ilvl w:val="1"/>
        <w:numId w:val="1"/>
      </w:numPr>
      <w:spacing w:line="360" w:lineRule="auto"/>
      <w:ind w:firstLine="0" w:firstLineChars="0"/>
      <w:outlineLvl w:val="1"/>
    </w:pPr>
    <w:rPr>
      <w:rFonts w:ascii="Times New Roman" w:hAnsi="Times New Roman"/>
      <w:b/>
      <w:bCs/>
      <w:sz w:val="30"/>
      <w:szCs w:val="32"/>
    </w:rPr>
  </w:style>
  <w:style w:type="paragraph" w:styleId="4">
    <w:name w:val="heading 3"/>
    <w:basedOn w:val="1"/>
    <w:next w:val="1"/>
    <w:link w:val="23"/>
    <w:semiHidden/>
    <w:unhideWhenUsed/>
    <w:qFormat/>
    <w:uiPriority w:val="0"/>
    <w:pPr>
      <w:keepNext/>
      <w:keepLines/>
      <w:numPr>
        <w:ilvl w:val="2"/>
        <w:numId w:val="1"/>
      </w:numPr>
      <w:spacing w:line="360" w:lineRule="auto"/>
      <w:ind w:firstLine="883" w:firstLineChars="200"/>
      <w:outlineLvl w:val="2"/>
    </w:pPr>
    <w:rPr>
      <w:rFonts w:ascii="Times New Roman" w:hAnsi="Times New Roman"/>
      <w:b/>
      <w:bCs/>
      <w:szCs w:val="32"/>
    </w:rPr>
  </w:style>
  <w:style w:type="paragraph" w:styleId="5">
    <w:name w:val="heading 4"/>
    <w:basedOn w:val="1"/>
    <w:next w:val="1"/>
    <w:link w:val="24"/>
    <w:semiHidden/>
    <w:unhideWhenUsed/>
    <w:qFormat/>
    <w:uiPriority w:val="0"/>
    <w:pPr>
      <w:keepNext/>
      <w:keepLines/>
      <w:numPr>
        <w:ilvl w:val="3"/>
        <w:numId w:val="1"/>
      </w:numPr>
      <w:tabs>
        <w:tab w:val="left" w:pos="0"/>
      </w:tabs>
      <w:spacing w:beforeLines="0" w:beforeAutospacing="0" w:afterLines="0" w:afterAutospacing="0" w:line="360" w:lineRule="auto"/>
      <w:ind w:firstLine="402" w:firstLineChars="0"/>
      <w:outlineLvl w:val="3"/>
    </w:pPr>
    <w:rPr>
      <w:rFonts w:ascii="Times New Roman" w:hAnsi="Times New Roman" w:cs="Times New Roman"/>
      <w:szCs w:val="28"/>
    </w:rPr>
  </w:style>
  <w:style w:type="paragraph" w:styleId="6">
    <w:name w:val="heading 5"/>
    <w:basedOn w:val="1"/>
    <w:next w:val="1"/>
    <w:semiHidden/>
    <w:unhideWhenUsed/>
    <w:qFormat/>
    <w:uiPriority w:val="0"/>
    <w:pPr>
      <w:keepNext/>
      <w:keepLines/>
      <w:numPr>
        <w:ilvl w:val="4"/>
        <w:numId w:val="1"/>
      </w:numPr>
      <w:spacing w:line="360" w:lineRule="auto"/>
      <w:ind w:firstLine="402" w:firstLineChars="0"/>
      <w:outlineLvl w:val="4"/>
    </w:pPr>
    <w:rPr>
      <w:rFonts w:ascii="Times New Roman" w:hAnsi="Times New Roman" w:cs="Times New Roman"/>
      <w:kern w:val="0"/>
      <w:szCs w:val="24"/>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18">
    <w:name w:val="Default Paragraph Font"/>
    <w:semiHidden/>
    <w:unhideWhenUsed/>
    <w:qFormat/>
    <w:uiPriority w:val="1"/>
  </w:style>
  <w:style w:type="table" w:default="1" w:styleId="17">
    <w:name w:val="Normal Table"/>
    <w:semiHidden/>
    <w:qFormat/>
    <w:uiPriority w:val="0"/>
    <w:tblPr>
      <w:tblCellMar>
        <w:top w:w="0" w:type="dxa"/>
        <w:left w:w="108" w:type="dxa"/>
        <w:bottom w:w="0" w:type="dxa"/>
        <w:right w:w="108" w:type="dxa"/>
      </w:tblCellMar>
    </w:tblPr>
  </w:style>
  <w:style w:type="paragraph" w:styleId="11">
    <w:name w:val="caption"/>
    <w:basedOn w:val="1"/>
    <w:next w:val="1"/>
    <w:semiHidden/>
    <w:unhideWhenUsed/>
    <w:qFormat/>
    <w:uiPriority w:val="0"/>
    <w:pPr>
      <w:jc w:val="center"/>
    </w:pPr>
    <w:rPr>
      <w:rFonts w:ascii="Times New Roman" w:hAnsi="Times New Roman" w:cs="Times New Roman"/>
      <w:b/>
      <w:sz w:val="24"/>
    </w:rPr>
  </w:style>
  <w:style w:type="paragraph" w:styleId="12">
    <w:name w:val="Body Text"/>
    <w:basedOn w:val="1"/>
    <w:qFormat/>
    <w:uiPriority w:val="0"/>
    <w:pPr>
      <w:spacing w:after="120" w:afterLines="0" w:afterAutospacing="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pPr>
      <w:tabs>
        <w:tab w:val="right" w:leader="dot" w:pos="8778"/>
      </w:tabs>
      <w:spacing w:before="120" w:after="120"/>
      <w:ind w:firstLine="0" w:firstLineChars="0"/>
      <w:jc w:val="left"/>
    </w:pPr>
    <w:rPr>
      <w:rFonts w:ascii="Times New Roman" w:hAnsi="Times New Roman" w:eastAsia="楷体_GB2312" w:cs="Times New Roman"/>
      <w:bCs/>
      <w:caps/>
      <w:spacing w:val="6"/>
      <w:kern w:val="144"/>
      <w:sz w:val="28"/>
      <w:szCs w:val="28"/>
    </w:r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0"/>
    <w:rPr>
      <w:b/>
    </w:rPr>
  </w:style>
  <w:style w:type="paragraph" w:customStyle="1" w:styleId="20">
    <w:name w:val="正文（缩进）1"/>
    <w:basedOn w:val="1"/>
    <w:qFormat/>
    <w:uiPriority w:val="0"/>
    <w:pPr>
      <w:spacing w:beforeLines="50" w:after="156"/>
      <w:ind w:firstLine="480"/>
    </w:pPr>
    <w:rPr>
      <w:rFonts w:ascii="Times New Roman" w:hAnsi="Times New Roman" w:eastAsia="宋体" w:cs="Times New Roman"/>
      <w:sz w:val="24"/>
      <w:szCs w:val="24"/>
    </w:rPr>
  </w:style>
  <w:style w:type="character" w:customStyle="1" w:styleId="21">
    <w:name w:val="标题 1 Char"/>
    <w:basedOn w:val="18"/>
    <w:link w:val="2"/>
    <w:qFormat/>
    <w:uiPriority w:val="9"/>
    <w:rPr>
      <w:rFonts w:ascii="Times New Roman" w:hAnsi="Times New Roman" w:eastAsia="黑体" w:cs="Times New Roman"/>
      <w:b/>
      <w:bCs/>
      <w:kern w:val="44"/>
      <w:sz w:val="32"/>
      <w:szCs w:val="44"/>
    </w:rPr>
  </w:style>
  <w:style w:type="character" w:customStyle="1" w:styleId="22">
    <w:name w:val="标题 2 Char"/>
    <w:basedOn w:val="18"/>
    <w:link w:val="3"/>
    <w:qFormat/>
    <w:uiPriority w:val="9"/>
    <w:rPr>
      <w:rFonts w:ascii="Times New Roman" w:hAnsi="Times New Roman" w:eastAsia="楷体_GB2312" w:cs="Times New Roman"/>
      <w:b/>
      <w:bCs/>
      <w:sz w:val="30"/>
      <w:szCs w:val="32"/>
    </w:rPr>
  </w:style>
  <w:style w:type="character" w:customStyle="1" w:styleId="23">
    <w:name w:val="标题 3 Char"/>
    <w:basedOn w:val="18"/>
    <w:link w:val="4"/>
    <w:qFormat/>
    <w:uiPriority w:val="0"/>
    <w:rPr>
      <w:rFonts w:ascii="Times New Roman" w:hAnsi="Times New Roman" w:eastAsia="仿宋_GB2312" w:cs="Times New Roman"/>
      <w:bCs/>
      <w:sz w:val="28"/>
      <w:szCs w:val="28"/>
    </w:rPr>
  </w:style>
  <w:style w:type="character" w:customStyle="1" w:styleId="24">
    <w:name w:val="标题 4 Char"/>
    <w:link w:val="5"/>
    <w:qFormat/>
    <w:uiPriority w:val="0"/>
    <w:rPr>
      <w:rFonts w:ascii="Times New Roman" w:hAnsi="Times New Roman" w:eastAsia="仿宋" w:cs="Times New Roman"/>
      <w:szCs w:val="28"/>
    </w:rPr>
  </w:style>
  <w:style w:type="paragraph" w:customStyle="1" w:styleId="25">
    <w:name w:val="表格"/>
    <w:basedOn w:val="1"/>
    <w:qFormat/>
    <w:uiPriority w:val="0"/>
    <w:pPr>
      <w:widowControl/>
      <w:spacing w:line="360" w:lineRule="auto"/>
      <w:ind w:firstLine="0" w:firstLineChars="0"/>
      <w:jc w:val="center"/>
    </w:pPr>
    <w:rPr>
      <w:rFonts w:ascii="Times New Roman" w:hAnsi="Times New Roman" w:cs="Times New Roman"/>
      <w:b/>
      <w:color w:val="000000"/>
      <w:kern w:val="28"/>
      <w:sz w:val="24"/>
      <w:szCs w:val="20"/>
    </w:rPr>
  </w:style>
  <w:style w:type="paragraph" w:customStyle="1" w:styleId="26">
    <w:name w:val="表格内容"/>
    <w:basedOn w:val="1"/>
    <w:qFormat/>
    <w:uiPriority w:val="0"/>
    <w:pPr>
      <w:spacing w:line="240" w:lineRule="auto"/>
      <w:ind w:firstLine="0" w:firstLineChars="0"/>
      <w:jc w:val="center"/>
    </w:pPr>
    <w:rPr>
      <w:rFonts w:ascii="Times New Roman" w:hAnsi="Times New Roman" w:cs="Times New Roman"/>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787</Words>
  <Characters>814</Characters>
  <Lines>0</Lines>
  <Paragraphs>0</Paragraphs>
  <TotalTime>1</TotalTime>
  <ScaleCrop>false</ScaleCrop>
  <LinksUpToDate>false</LinksUpToDate>
  <CharactersWithSpaces>814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2026-03-25T00:39:00Z</dcterms:created>
  <dc:creator>Administrator</dc:creator>
  <cp:lastModifiedBy>Administrator</cp:lastModifiedBy>
  <cp:lastPrinted>2026-05-08T07:51:00Z</cp:lastPrinted>
  <dcterms:modified xsi:type="dcterms:W3CDTF">2026-05-11T01:07:53Z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1BC14A2476704A7FB00CC973758AB72D_13</vt:lpwstr>
  </property>
  <property fmtid="{D5CDD505-2E9C-101B-9397-08002B2CF9AE}" pid="4" name="KSOTemplateDocerSaveRecord">
    <vt:lpwstr>eyJoZGlkIjoiNDRlMmFjMDgwM2Q5ODRkNTI4N2E4YTg0ZDk5ZWUwNGMiLCJ1c2VySWQiOiI0MDc0MzU0MzAifQ==</vt:lpwstr>
  </property>
</Properties>
</file>