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8"/>
        <w:gridCol w:w="536"/>
        <w:gridCol w:w="926"/>
        <w:gridCol w:w="658"/>
        <w:gridCol w:w="5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5"/>
            <w:shd w:val="clear" w:color="auto" w:fill="E6EFFA"/>
            <w:vAlign w:val="center"/>
          </w:tcPr>
          <w:p>
            <w:pPr>
              <w:adjustRightInd w:val="0"/>
              <w:snapToGrid w:val="0"/>
              <w:rPr>
                <w:rFonts w:hint="eastAsia" w:ascii="仿宋_GB2312" w:hAnsi="仿宋_GB2312" w:eastAsia="仿宋_GB2312" w:cs="仿宋_GB2312"/>
                <w:b/>
                <w:bCs/>
                <w:i w:val="0"/>
                <w:iCs w:val="0"/>
                <w:color w:val="000000"/>
                <w:kern w:val="0"/>
                <w:sz w:val="32"/>
                <w:szCs w:val="32"/>
                <w:highlight w:val="none"/>
                <w:u w:val="none"/>
                <w:lang w:val="en-US" w:eastAsia="zh-CN" w:bidi="ar"/>
              </w:rPr>
            </w:pPr>
            <w:r>
              <w:rPr>
                <w:rFonts w:hint="eastAsia" w:ascii="仿宋_GB2312" w:hAnsi="仿宋_GB2312" w:eastAsia="仿宋_GB2312" w:cs="仿宋_GB2312"/>
                <w:b/>
                <w:bCs/>
                <w:sz w:val="32"/>
                <w:szCs w:val="32"/>
                <w:highlight w:val="none"/>
              </w:rPr>
              <w:t>评标方法：综合评分法（新价格分算法）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trPr>
        <w:tc>
          <w:tcPr>
            <w:tcW w:w="5000" w:type="pct"/>
            <w:gridSpan w:val="5"/>
            <w:shd w:val="clear" w:color="auto" w:fill="E6EFFA"/>
            <w:vAlign w:val="center"/>
          </w:tcPr>
          <w:p>
            <w:pPr>
              <w:adjustRightInd w:val="0"/>
              <w:snapToGrid w:val="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综合评分法是指投标文件满足招标文件全部实质性要求，且按照评审因素的量化指标评审得分最高的投标人为中标候选人的评标方法。</w:t>
            </w:r>
          </w:p>
          <w:p>
            <w:pPr>
              <w:adjustRightInd w:val="0"/>
              <w:snapToGrid w:val="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价格分计算方法：</w:t>
            </w:r>
          </w:p>
          <w:p>
            <w:pPr>
              <w:pStyle w:val="15"/>
              <w:adjustRightInd w:val="0"/>
              <w:snapToGrid w:val="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采用低价优先法计算，即满足招标文件要求且投标价格最低的投标报价为评标基准价，其价格分为满分。其他投标人的价格分统一按照下列公式计算：</w:t>
            </w:r>
            <w:r>
              <w:rPr>
                <w:rFonts w:hint="eastAsia" w:ascii="仿宋_GB2312" w:hAnsi="仿宋_GB2312" w:eastAsia="仿宋_GB2312" w:cs="仿宋_GB2312"/>
                <w:sz w:val="32"/>
                <w:szCs w:val="32"/>
                <w:highlight w:val="none"/>
              </w:rPr>
              <w:br w:type="textWrapping"/>
            </w:r>
            <w:r>
              <w:rPr>
                <w:rFonts w:hint="eastAsia" w:ascii="仿宋_GB2312" w:hAnsi="仿宋_GB2312" w:eastAsia="仿宋_GB2312" w:cs="仿宋_GB2312"/>
                <w:sz w:val="32"/>
                <w:szCs w:val="32"/>
                <w:highlight w:val="none"/>
              </w:rPr>
              <w:t>投标报价得分=(评标基准价／投标报价)×100</w:t>
            </w:r>
            <w:r>
              <w:rPr>
                <w:rFonts w:hint="eastAsia" w:ascii="仿宋_GB2312" w:hAnsi="仿宋_GB2312" w:eastAsia="仿宋_GB2312" w:cs="仿宋_GB2312"/>
                <w:sz w:val="32"/>
                <w:szCs w:val="32"/>
                <w:highlight w:val="none"/>
              </w:rPr>
              <w:br w:type="textWrapping"/>
            </w:r>
            <w:r>
              <w:rPr>
                <w:rFonts w:hint="eastAsia" w:ascii="仿宋_GB2312" w:hAnsi="仿宋_GB2312" w:eastAsia="仿宋_GB2312" w:cs="仿宋_GB2312"/>
                <w:sz w:val="32"/>
                <w:szCs w:val="32"/>
                <w:highlight w:val="none"/>
              </w:rPr>
              <w:t>评标总得分＝F1×A1＋F2×A2＋……＋Fn×An</w:t>
            </w:r>
            <w:r>
              <w:rPr>
                <w:rFonts w:hint="eastAsia" w:ascii="仿宋_GB2312" w:hAnsi="仿宋_GB2312" w:eastAsia="仿宋_GB2312" w:cs="仿宋_GB2312"/>
                <w:sz w:val="32"/>
                <w:szCs w:val="32"/>
                <w:highlight w:val="none"/>
              </w:rPr>
              <w:br w:type="textWrapping"/>
            </w:r>
            <w:r>
              <w:rPr>
                <w:rFonts w:hint="eastAsia" w:ascii="仿宋_GB2312" w:hAnsi="仿宋_GB2312" w:eastAsia="仿宋_GB2312" w:cs="仿宋_GB2312"/>
                <w:sz w:val="32"/>
                <w:szCs w:val="32"/>
                <w:highlight w:val="none"/>
              </w:rPr>
              <w:t>F1、F2……Fn分别为各项评审因素的得分；</w:t>
            </w:r>
            <w:r>
              <w:rPr>
                <w:rFonts w:hint="eastAsia" w:ascii="仿宋_GB2312" w:hAnsi="仿宋_GB2312" w:eastAsia="仿宋_GB2312" w:cs="仿宋_GB2312"/>
                <w:sz w:val="32"/>
                <w:szCs w:val="32"/>
                <w:highlight w:val="none"/>
              </w:rPr>
              <w:br w:type="textWrapping"/>
            </w:r>
            <w:r>
              <w:rPr>
                <w:rFonts w:hint="eastAsia" w:ascii="仿宋_GB2312" w:hAnsi="仿宋_GB2312" w:eastAsia="仿宋_GB2312" w:cs="仿宋_GB2312"/>
                <w:sz w:val="32"/>
                <w:szCs w:val="32"/>
                <w:highlight w:val="none"/>
              </w:rPr>
              <w:t>A1、A2、……An分别为各项评审因素所占的权重(A1＋A2＋……＋An＝1)。</w:t>
            </w:r>
            <w:r>
              <w:rPr>
                <w:rFonts w:hint="eastAsia" w:ascii="仿宋_GB2312" w:hAnsi="仿宋_GB2312" w:eastAsia="仿宋_GB2312" w:cs="仿宋_GB2312"/>
                <w:sz w:val="32"/>
                <w:szCs w:val="32"/>
                <w:highlight w:val="none"/>
              </w:rPr>
              <w:br w:type="textWrapping"/>
            </w:r>
            <w:r>
              <w:rPr>
                <w:rFonts w:hint="eastAsia" w:ascii="仿宋_GB2312" w:hAnsi="仿宋_GB2312" w:eastAsia="仿宋_GB2312" w:cs="仿宋_GB2312"/>
                <w:sz w:val="32"/>
                <w:szCs w:val="32"/>
                <w:highlight w:val="none"/>
              </w:rPr>
              <w:t>评标过程中，不得去掉报价中的最高报价和最低报价。</w:t>
            </w:r>
            <w:r>
              <w:rPr>
                <w:rFonts w:hint="eastAsia" w:ascii="仿宋_GB2312" w:hAnsi="仿宋_GB2312" w:eastAsia="仿宋_GB2312" w:cs="仿宋_GB2312"/>
                <w:sz w:val="32"/>
                <w:szCs w:val="32"/>
                <w:highlight w:val="none"/>
              </w:rPr>
              <w:br w:type="textWrapping"/>
            </w:r>
            <w:r>
              <w:rPr>
                <w:rFonts w:hint="eastAsia" w:ascii="仿宋_GB2312" w:hAnsi="仿宋_GB2312" w:eastAsia="仿宋_GB2312" w:cs="仿宋_GB2312"/>
                <w:sz w:val="32"/>
                <w:szCs w:val="32"/>
                <w:highlight w:val="none"/>
              </w:rPr>
              <w:t>此方法适用于货物类、服务类、工程类项目。</w:t>
            </w:r>
          </w:p>
          <w:p>
            <w:pPr>
              <w:pStyle w:val="15"/>
              <w:adjustRightInd w:val="0"/>
              <w:snapToGrid w:val="0"/>
              <w:rPr>
                <w:rFonts w:hint="eastAsia" w:ascii="仿宋_GB2312" w:hAnsi="仿宋_GB2312" w:eastAsia="仿宋_GB2312" w:cs="仿宋_GB2312"/>
                <w:b/>
                <w:bCs/>
                <w:i w:val="0"/>
                <w:iCs w:val="0"/>
                <w:color w:val="000000"/>
                <w:kern w:val="0"/>
                <w:sz w:val="32"/>
                <w:szCs w:val="3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8"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序号</w:t>
            </w:r>
          </w:p>
        </w:tc>
        <w:tc>
          <w:tcPr>
            <w:tcW w:w="1260" w:type="pct"/>
            <w:gridSpan w:val="3"/>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评分项</w:t>
            </w:r>
          </w:p>
        </w:tc>
        <w:tc>
          <w:tcPr>
            <w:tcW w:w="3471"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权重</w:t>
            </w:r>
            <w:r>
              <w:rPr>
                <w:rFonts w:hint="eastAsia" w:ascii="仿宋_GB2312" w:hAnsi="仿宋_GB2312" w:eastAsia="仿宋_GB2312" w:cs="仿宋_GB2312"/>
                <w:b/>
                <w:bCs/>
                <w:i w:val="0"/>
                <w:iCs w:val="0"/>
                <w:color w:val="auto"/>
                <w:kern w:val="0"/>
                <w:sz w:val="32"/>
                <w:szCs w:val="3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8"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1</w:t>
            </w:r>
          </w:p>
        </w:tc>
        <w:tc>
          <w:tcPr>
            <w:tcW w:w="126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价格</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8"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kern w:val="0"/>
                <w:sz w:val="32"/>
                <w:szCs w:val="32"/>
                <w:highlight w:val="none"/>
                <w:u w:val="none"/>
                <w:lang w:val="en-US" w:eastAsia="zh-CN" w:bidi="ar"/>
              </w:rPr>
            </w:pPr>
          </w:p>
        </w:tc>
        <w:tc>
          <w:tcPr>
            <w:tcW w:w="126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价格分评分标准</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top"/>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采用低价优先法计算，即满足招标文件要求且投标价格最低的投标报价为评标基准价，其价格分为满分。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2</w:t>
            </w:r>
          </w:p>
        </w:tc>
        <w:tc>
          <w:tcPr>
            <w:tcW w:w="126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技术部分</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b/>
                <w:bCs/>
                <w:i w:val="0"/>
                <w:iCs w:val="0"/>
                <w:color w:val="auto"/>
                <w:sz w:val="32"/>
                <w:szCs w:val="32"/>
                <w:highlight w:val="none"/>
                <w:u w:val="none"/>
                <w:lang w:val="en-US"/>
              </w:rPr>
            </w:pPr>
            <w:r>
              <w:rPr>
                <w:rFonts w:hint="eastAsia" w:ascii="仿宋_GB2312" w:hAnsi="仿宋_GB2312" w:eastAsia="仿宋_GB2312" w:cs="仿宋_GB2312"/>
                <w:b/>
                <w:bCs/>
                <w:i w:val="0"/>
                <w:iCs w:val="0"/>
                <w:color w:val="auto"/>
                <w:kern w:val="0"/>
                <w:sz w:val="32"/>
                <w:szCs w:val="32"/>
                <w:highlight w:val="none"/>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iCs w:val="0"/>
                <w:color w:val="auto"/>
                <w:sz w:val="32"/>
                <w:szCs w:val="32"/>
                <w:highlight w:val="none"/>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序号</w:t>
            </w:r>
          </w:p>
        </w:tc>
        <w:tc>
          <w:tcPr>
            <w:tcW w:w="575"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评分因素</w:t>
            </w:r>
          </w:p>
        </w:tc>
        <w:tc>
          <w:tcPr>
            <w:tcW w:w="417"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权重</w:t>
            </w:r>
            <w:r>
              <w:rPr>
                <w:rFonts w:hint="eastAsia" w:ascii="仿宋_GB2312" w:hAnsi="仿宋_GB2312" w:eastAsia="仿宋_GB2312" w:cs="仿宋_GB2312"/>
                <w:i w:val="0"/>
                <w:iCs w:val="0"/>
                <w:color w:val="auto"/>
                <w:kern w:val="0"/>
                <w:sz w:val="32"/>
                <w:szCs w:val="32"/>
                <w:highlight w:val="none"/>
                <w:u w:val="none"/>
                <w:lang w:val="en-US" w:eastAsia="zh-CN" w:bidi="ar"/>
              </w:rPr>
              <w:t>(%)</w:t>
            </w:r>
          </w:p>
        </w:tc>
        <w:tc>
          <w:tcPr>
            <w:tcW w:w="3471"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评分准则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iCs w:val="0"/>
                <w:color w:val="auto"/>
                <w:sz w:val="32"/>
                <w:szCs w:val="32"/>
                <w:highlight w:val="none"/>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1</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对项目勘察需求的理解及分析</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5</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b/>
                <w:bCs/>
                <w:i w:val="0"/>
                <w:iCs w:val="0"/>
                <w:color w:val="auto"/>
                <w:kern w:val="0"/>
                <w:sz w:val="32"/>
                <w:szCs w:val="32"/>
                <w:highlight w:val="none"/>
                <w:u w:val="none"/>
                <w:lang w:val="en-US" w:eastAsia="zh-CN" w:bidi="ar"/>
              </w:rPr>
              <w:t>（一）评分内容</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根据投标人对项目的勘察需求，结合其现场实地勘察情况，对其在勘察重点、难点、危险源识别及控制措施等方面的理解与分析，进行综合评价。</w:t>
            </w:r>
          </w:p>
          <w:p>
            <w:pPr>
              <w:keepNext w:val="0"/>
              <w:keepLines w:val="0"/>
              <w:widowControl/>
              <w:suppressLineNumbers w:val="0"/>
              <w:jc w:val="left"/>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（二）评分依据</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1.评审为优：投标人对本项目勘察需求、重点、难点、危险源及控制措施等方面分析，全部满足考察要求，得5分；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2.评审为良：投标人对本项目勘察需求、重点、难点、危险源及控制措施等方面分析，了解一般，部分满足要求，得3分；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3.评审为差：投标人对本项目勘察需求、重点、难点、危险源及控制措施等方面分析，了解不足，不能满足要求投标人对本项目的要求，得0分。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iCs w:val="0"/>
                <w:color w:val="auto"/>
                <w:sz w:val="32"/>
                <w:szCs w:val="32"/>
                <w:highlight w:val="none"/>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2</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项目技术方案</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5</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（一）评分内容</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b w:val="0"/>
                <w:bCs w:val="0"/>
                <w:i w:val="0"/>
                <w:iCs w:val="0"/>
                <w:color w:val="auto"/>
                <w:kern w:val="0"/>
                <w:sz w:val="32"/>
                <w:szCs w:val="32"/>
                <w:highlight w:val="none"/>
                <w:u w:val="none"/>
                <w:lang w:val="en-US" w:eastAsia="zh-CN" w:bidi="ar"/>
              </w:rPr>
              <w:t>根据</w:t>
            </w:r>
            <w:r>
              <w:rPr>
                <w:rFonts w:hint="eastAsia" w:ascii="仿宋_GB2312" w:hAnsi="仿宋_GB2312" w:eastAsia="仿宋_GB2312" w:cs="仿宋_GB2312"/>
                <w:i w:val="0"/>
                <w:iCs w:val="0"/>
                <w:color w:val="auto"/>
                <w:kern w:val="0"/>
                <w:sz w:val="32"/>
                <w:szCs w:val="32"/>
                <w:highlight w:val="none"/>
                <w:u w:val="none"/>
                <w:lang w:val="en-US" w:eastAsia="zh-CN" w:bidi="ar"/>
              </w:rPr>
              <w:t>投标人勘察的项目工作大纲，安全、质量控制措施，后期服务承诺及合理化建议等情况打分。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b/>
                <w:bCs/>
                <w:i w:val="0"/>
                <w:iCs w:val="0"/>
                <w:color w:val="auto"/>
                <w:kern w:val="0"/>
                <w:sz w:val="32"/>
                <w:szCs w:val="32"/>
                <w:highlight w:val="none"/>
                <w:u w:val="none"/>
                <w:lang w:val="en-US" w:eastAsia="zh-CN" w:bidi="ar"/>
              </w:rPr>
              <w:t>（二）评分依据</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b/>
                <w:bCs/>
                <w:i w:val="0"/>
                <w:iCs w:val="0"/>
                <w:color w:val="auto"/>
                <w:kern w:val="0"/>
                <w:sz w:val="32"/>
                <w:szCs w:val="32"/>
                <w:highlight w:val="none"/>
                <w:u w:val="none"/>
                <w:lang w:val="en-US" w:eastAsia="zh-CN" w:bidi="ar"/>
              </w:rPr>
              <w:t>1.</w:t>
            </w:r>
            <w:r>
              <w:rPr>
                <w:rFonts w:hint="eastAsia" w:ascii="仿宋_GB2312" w:hAnsi="仿宋_GB2312" w:eastAsia="仿宋_GB2312" w:cs="仿宋_GB2312"/>
                <w:i w:val="0"/>
                <w:iCs w:val="0"/>
                <w:color w:val="auto"/>
                <w:kern w:val="0"/>
                <w:sz w:val="32"/>
                <w:szCs w:val="32"/>
                <w:highlight w:val="none"/>
                <w:u w:val="none"/>
                <w:lang w:val="en-US" w:eastAsia="zh-CN" w:bidi="ar"/>
              </w:rPr>
              <w:t>评审为优：投标人方案内容详实合理，安全、质量控制措施得当，后期服务承诺及合理化建议完全满足项目需求，得5分；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2.评审为良：投标人方案内容详实</w:t>
            </w:r>
            <w:r>
              <w:rPr>
                <w:rFonts w:hint="eastAsia" w:ascii="仿宋_GB2312" w:hAnsi="仿宋_GB2312" w:eastAsia="仿宋_GB2312" w:cs="仿宋_GB2312"/>
                <w:i w:val="0"/>
                <w:iCs w:val="0"/>
                <w:color w:val="auto"/>
                <w:kern w:val="0"/>
                <w:sz w:val="32"/>
                <w:szCs w:val="32"/>
                <w:highlight w:val="none"/>
                <w:u w:val="none"/>
                <w:lang w:val="en-US" w:eastAsia="zh-CN" w:bidi="ar"/>
              </w:rPr>
              <w:t>性</w:t>
            </w:r>
            <w:r>
              <w:rPr>
                <w:rFonts w:hint="eastAsia" w:ascii="仿宋_GB2312" w:hAnsi="仿宋_GB2312" w:eastAsia="仿宋_GB2312" w:cs="仿宋_GB2312"/>
                <w:i w:val="0"/>
                <w:iCs w:val="0"/>
                <w:color w:val="auto"/>
                <w:kern w:val="0"/>
                <w:sz w:val="32"/>
                <w:szCs w:val="32"/>
                <w:highlight w:val="none"/>
                <w:u w:val="none"/>
                <w:lang w:val="en-US" w:eastAsia="zh-CN" w:bidi="ar"/>
              </w:rPr>
              <w:t>一般，安全、质量控制措施一般，后期服务承诺及合理化建议部分满足项目需求，得3分；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3.评审为差：投标人方案内容详实性较差，安全、质量控制措施较差，后期服务承诺及合理化建议不能满足项目需求，得0分。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iCs w:val="0"/>
                <w:color w:val="auto"/>
                <w:sz w:val="32"/>
                <w:szCs w:val="32"/>
                <w:highlight w:val="none"/>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3</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项目组织机构、实施计划及工期保证措施</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5</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default" w:ascii="仿宋_GB2312" w:hAnsi="仿宋_GB2312" w:eastAsia="仿宋_GB2312" w:cs="仿宋_GB2312"/>
                <w:b/>
                <w:bCs/>
                <w:i w:val="0"/>
                <w:iCs w:val="0"/>
                <w:color w:val="auto"/>
                <w:sz w:val="32"/>
                <w:szCs w:val="32"/>
                <w:highlight w:val="none"/>
                <w:u w:val="none"/>
                <w:lang w:val="en-US"/>
              </w:rPr>
            </w:pPr>
            <w:r>
              <w:rPr>
                <w:rFonts w:hint="eastAsia" w:ascii="仿宋_GB2312" w:hAnsi="仿宋_GB2312" w:eastAsia="仿宋_GB2312" w:cs="仿宋_GB2312"/>
                <w:b/>
                <w:bCs/>
                <w:i w:val="0"/>
                <w:iCs w:val="0"/>
                <w:color w:val="auto"/>
                <w:kern w:val="0"/>
                <w:sz w:val="32"/>
                <w:szCs w:val="32"/>
                <w:highlight w:val="none"/>
                <w:u w:val="none"/>
                <w:lang w:val="en-US" w:eastAsia="zh-CN" w:bidi="ar"/>
              </w:rPr>
              <w:t>（一）评分内容</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对投标人的项目组织机构健全性、职责明确性，以及进度安排、关键节点控制措施和工期保障方案的合理性、可行性进行综合评审。</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b/>
                <w:bCs/>
                <w:i w:val="0"/>
                <w:iCs w:val="0"/>
                <w:color w:val="auto"/>
                <w:kern w:val="0"/>
                <w:sz w:val="32"/>
                <w:szCs w:val="32"/>
                <w:highlight w:val="none"/>
                <w:u w:val="none"/>
                <w:lang w:val="en-US" w:eastAsia="zh-CN" w:bidi="ar"/>
              </w:rPr>
              <w:t>（二）评分依据</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评审为优：投标人有详细管理组织图机构，工作人员安排，实施组织办法及保障体系，工期实施方案表述清晰、完整、严谨、合理。得5分；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评审为良：投标人有项目管理组织机构图，有工作人员安排及进度安排，项目管理方案满足采购文件需要。得3分；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评审为差：投标人有简单项目管理方案，措施和人员安排不具体，得1分；没有相关内容得0分。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iCs w:val="0"/>
                <w:color w:val="auto"/>
                <w:sz w:val="32"/>
                <w:szCs w:val="32"/>
                <w:highlight w:val="none"/>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4</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项目质量、安全保密措施</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5</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（一）评分内容</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根据投标人提供的项目质量保证措施的可行性、项目安全保密措施的可行性、合理性等进行综合评议。</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b/>
                <w:bCs/>
                <w:i w:val="0"/>
                <w:iCs w:val="0"/>
                <w:color w:val="auto"/>
                <w:kern w:val="0"/>
                <w:sz w:val="32"/>
                <w:szCs w:val="32"/>
                <w:highlight w:val="none"/>
                <w:u w:val="none"/>
                <w:lang w:val="en-US" w:eastAsia="zh-CN" w:bidi="ar"/>
              </w:rPr>
              <w:t>（二）评分依据</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评审为优：投标人设置了专业质量管理部门，有详细完善的管理制度和质量控制措施，提供的保密管理制度和措施严谨、合理、完善，得 5分；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评审为良：投标人设置了基本满足项目需求质量检查小组，有质量管理制度和质量控制措施的描述及解释说明，有保密管理制度描述，得3分；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评审为差：投标人设置了简单质量检查小组，有简单的质量控制措施和保密管理制度措施，得 1 分；</w:t>
            </w:r>
            <w:r>
              <w:rPr>
                <w:rFonts w:hint="eastAsia" w:ascii="仿宋_GB2312" w:hAnsi="仿宋_GB2312" w:eastAsia="仿宋_GB2312" w:cs="仿宋_GB2312"/>
                <w:i w:val="0"/>
                <w:iCs w:val="0"/>
                <w:color w:val="auto"/>
                <w:kern w:val="0"/>
                <w:sz w:val="32"/>
                <w:szCs w:val="32"/>
                <w:highlight w:val="none"/>
                <w:u w:val="none"/>
                <w:lang w:val="en-US" w:eastAsia="zh-CN" w:bidi="ar"/>
              </w:rPr>
              <w:t>没有相关内容得0分。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0" w:hRule="atLeast"/>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iCs w:val="0"/>
                <w:color w:val="auto"/>
                <w:sz w:val="32"/>
                <w:szCs w:val="32"/>
                <w:highlight w:val="none"/>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6</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项目团队的资质和实力</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15</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（一）评分内容</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投标人拟投入本项目的技术团队资质和实力。</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b/>
                <w:bCs/>
                <w:i w:val="0"/>
                <w:iCs w:val="0"/>
                <w:color w:val="auto"/>
                <w:kern w:val="0"/>
                <w:sz w:val="32"/>
                <w:szCs w:val="32"/>
                <w:highlight w:val="none"/>
                <w:u w:val="none"/>
                <w:lang w:val="en-US" w:eastAsia="zh-CN" w:bidi="ar"/>
              </w:rPr>
              <w:t>（二）评分依据</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1.拟派项目负责人具备测绘类高级专业职称，且取得注册测绘师资格的得5分，只满足一项得2分，不满足不得分；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2.拟派技术负责人具备测绘类副高级专业职称，且取得注册测绘师资格，同时具有软件设计师职称资格的得3分，每满足一项得1分，如果都不满足不得分；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3.拟派质量检查负责人具备测绘类副高级职称，同时取得注册测绘师资格的得2分，只满足一项得1分，不满足不得分；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4.拟派作业团队人员中，取得如下证书：测绘工程师、地理信息工程师、注册测绘师、PMP项目管理师证书、BIM技术人员证书等。全部满足条件得3分，只满足部分得1分，不满足不得分；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（上述项目负责人、技术负责人、质量检查负责人和本团队工程师不可兼任）</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5.拟派的作业人员中具有涉密成果管理培训合格证或地理信息安全保密培训合格证人员不少于4人的得2分，少于上述人数或不提供证书的不得分。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注：提供①相关证书复印件②开标前3个月上述人员在投标人单位购买社保证明材料复印件③注册测绘师必须是注册在本公司的人员并提供“注册测绘师注册管理系统”网页查询结果截图（rsurveyor.ch.mnr.gov.cn/XZSP/），原件现场核查，否则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3</w:t>
            </w:r>
          </w:p>
        </w:tc>
        <w:tc>
          <w:tcPr>
            <w:tcW w:w="126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综合实力</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b/>
                <w:bCs/>
                <w:i w:val="0"/>
                <w:iCs w:val="0"/>
                <w:color w:val="auto"/>
                <w:sz w:val="32"/>
                <w:szCs w:val="32"/>
                <w:highlight w:val="none"/>
                <w:u w:val="none"/>
                <w:lang w:val="en-US"/>
              </w:rPr>
            </w:pPr>
            <w:r>
              <w:rPr>
                <w:rFonts w:hint="eastAsia" w:ascii="仿宋_GB2312" w:hAnsi="仿宋_GB2312" w:eastAsia="仿宋_GB2312" w:cs="仿宋_GB2312"/>
                <w:b/>
                <w:bCs/>
                <w:i w:val="0"/>
                <w:iCs w:val="0"/>
                <w:color w:val="auto"/>
                <w:kern w:val="0"/>
                <w:sz w:val="32"/>
                <w:szCs w:val="32"/>
                <w:highlight w:val="none"/>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iCs w:val="0"/>
                <w:color w:val="auto"/>
                <w:sz w:val="32"/>
                <w:szCs w:val="32"/>
                <w:highlight w:val="none"/>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序号</w:t>
            </w:r>
          </w:p>
        </w:tc>
        <w:tc>
          <w:tcPr>
            <w:tcW w:w="575"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评分因素</w:t>
            </w:r>
          </w:p>
        </w:tc>
        <w:tc>
          <w:tcPr>
            <w:tcW w:w="417"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权重</w:t>
            </w:r>
            <w:r>
              <w:rPr>
                <w:rFonts w:hint="eastAsia" w:ascii="仿宋_GB2312" w:hAnsi="仿宋_GB2312" w:eastAsia="仿宋_GB2312" w:cs="仿宋_GB2312"/>
                <w:i w:val="0"/>
                <w:iCs w:val="0"/>
                <w:color w:val="auto"/>
                <w:kern w:val="0"/>
                <w:sz w:val="32"/>
                <w:szCs w:val="32"/>
                <w:highlight w:val="none"/>
                <w:u w:val="none"/>
                <w:lang w:val="en-US" w:eastAsia="zh-CN" w:bidi="ar"/>
              </w:rPr>
              <w:t>(%)</w:t>
            </w:r>
          </w:p>
        </w:tc>
        <w:tc>
          <w:tcPr>
            <w:tcW w:w="3471"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评分准则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0" w:hRule="atLeast"/>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iCs w:val="0"/>
                <w:color w:val="auto"/>
                <w:sz w:val="32"/>
                <w:szCs w:val="32"/>
                <w:highlight w:val="none"/>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1</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综合实力</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10</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（一）评分内容</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企业取得的相关许可、认证及相应的设备等。</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b/>
                <w:bCs/>
                <w:i w:val="0"/>
                <w:iCs w:val="0"/>
                <w:color w:val="auto"/>
                <w:kern w:val="0"/>
                <w:sz w:val="32"/>
                <w:szCs w:val="32"/>
                <w:highlight w:val="none"/>
                <w:u w:val="none"/>
                <w:lang w:val="en-US" w:eastAsia="zh-CN" w:bidi="ar"/>
              </w:rPr>
              <w:t>（二）评分依据</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1.投标人具有有效期内的省级及以上行政主管部门颁发的安全生产许可证的得2分，没有不得分；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2.投标人具有有效期内的国家高新企业证书的得1分，具有有效期内的软件企业证书的得1分，具有有效期内的信息系统建设和服务能力（CS）证书的得1分。不提供有效合格证书的不得分，满分3分；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3.投标人拟投入本项目仪器设备基本数量：GPS（RTK）测量仪器不少于8台，全站仪不少于8台、管线探测仪至少2台。满足或超过的得5分，如果其中一项不满足的得2分；任何两项或以上不满足的得0分。此项最高得5分。</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备注：须提供相关证书复印件加盖公章，其中设备仪器应提供购买发票和检定证书、校准证书复印件，原件备查，未提供不得分。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0" w:hRule="atLeast"/>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iCs w:val="0"/>
                <w:color w:val="auto"/>
                <w:sz w:val="32"/>
                <w:szCs w:val="32"/>
                <w:highlight w:val="none"/>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2</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业绩</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10</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11"/>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（一）评分内容</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投标人2022年5月1日以来</w:t>
            </w:r>
            <w:r>
              <w:rPr>
                <w:rFonts w:hint="eastAsia" w:ascii="仿宋_GB2312" w:hAnsi="仿宋_GB2312" w:eastAsia="仿宋_GB2312" w:cs="仿宋_GB2312"/>
                <w:sz w:val="32"/>
                <w:szCs w:val="32"/>
                <w:highlight w:val="none"/>
                <w:lang w:val="en-US" w:eastAsia="zh-CN"/>
              </w:rPr>
              <w:t>（以合同签订日期为准）</w:t>
            </w:r>
            <w:r>
              <w:rPr>
                <w:rFonts w:hint="eastAsia" w:ascii="仿宋_GB2312" w:hAnsi="仿宋_GB2312" w:eastAsia="仿宋_GB2312" w:cs="仿宋_GB2312"/>
                <w:i w:val="0"/>
                <w:iCs w:val="0"/>
                <w:color w:val="auto"/>
                <w:kern w:val="0"/>
                <w:sz w:val="32"/>
                <w:szCs w:val="32"/>
                <w:highlight w:val="none"/>
                <w:u w:val="none"/>
                <w:lang w:val="en-US" w:eastAsia="zh-CN" w:bidi="ar"/>
              </w:rPr>
              <w:t>具有同类项目（地下管线探测、普查、测绘及管网摸查类项目）的业绩情况。</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b/>
                <w:bCs/>
                <w:i w:val="0"/>
                <w:iCs w:val="0"/>
                <w:color w:val="auto"/>
                <w:kern w:val="0"/>
                <w:sz w:val="32"/>
                <w:szCs w:val="32"/>
                <w:highlight w:val="none"/>
                <w:u w:val="none"/>
                <w:lang w:val="en-US" w:eastAsia="zh-CN" w:bidi="ar"/>
              </w:rPr>
              <w:t>（二）评分依据</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1.每提供一项业绩得1分，此项满分2分；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2.单项目合同额200万元（含）-300万元（不含），每提供一个业绩得1.5分，此项满分3分；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3.单项目合同额300万元（含）-500万元（不含），每提供一个业绩得2分，此项满分2分；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4.单项目合同额500万元及以上，每提供一个业绩得3分，此项满分3分。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说明：投标人须同时提供项目合同书、中标(成交)通知书原件复印件加盖投标人公章，未提供不得分。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iCs w:val="0"/>
                <w:color w:val="auto"/>
                <w:sz w:val="32"/>
                <w:szCs w:val="32"/>
                <w:highlight w:val="none"/>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3</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奖项</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lang w:val="en-US"/>
              </w:rPr>
            </w:pPr>
            <w:r>
              <w:rPr>
                <w:rFonts w:hint="eastAsia" w:ascii="仿宋_GB2312" w:hAnsi="仿宋_GB2312" w:eastAsia="仿宋_GB2312" w:cs="仿宋_GB2312"/>
                <w:i w:val="0"/>
                <w:iCs w:val="0"/>
                <w:color w:val="auto"/>
                <w:kern w:val="0"/>
                <w:sz w:val="32"/>
                <w:szCs w:val="32"/>
                <w:highlight w:val="none"/>
                <w:u w:val="none"/>
                <w:lang w:val="en-US" w:eastAsia="zh-CN" w:bidi="ar"/>
              </w:rPr>
              <w:t>10</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（一）评分内容</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投标人项目获奖情况。</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b/>
                <w:bCs/>
                <w:i w:val="0"/>
                <w:iCs w:val="0"/>
                <w:color w:val="auto"/>
                <w:kern w:val="0"/>
                <w:sz w:val="32"/>
                <w:szCs w:val="32"/>
                <w:highlight w:val="none"/>
                <w:u w:val="none"/>
                <w:lang w:val="en-US" w:eastAsia="zh-CN" w:bidi="ar"/>
              </w:rPr>
              <w:t>（二）评分依据</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1.投标人2022年5 月1 日以来，测绘或地理信息类项目获得“中国测绘学会”或“中国地理信息产业协会”科技进步奖或科学技术奖的，每获得一项得3分，此项满分6分；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2.投标人2022年5 月1 日以来，具有测绘或地理信息类项目获得“中国测绘学会”或“中国地理信息产业协会”优秀工程奖铜奖或以上的，每项奖得1分，此项满分4分。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说明：投标人提供获奖证书复印件加盖单位公章，未提供不得分。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iCs w:val="0"/>
                <w:color w:val="auto"/>
                <w:sz w:val="32"/>
                <w:szCs w:val="32"/>
                <w:highlight w:val="none"/>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4</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投标人软件著作权和专利</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lang w:val="en-US"/>
              </w:rPr>
            </w:pPr>
            <w:r>
              <w:rPr>
                <w:rFonts w:hint="eastAsia" w:ascii="仿宋_GB2312" w:hAnsi="仿宋_GB2312" w:eastAsia="仿宋_GB2312" w:cs="仿宋_GB2312"/>
                <w:i w:val="0"/>
                <w:iCs w:val="0"/>
                <w:color w:val="auto"/>
                <w:kern w:val="0"/>
                <w:sz w:val="32"/>
                <w:szCs w:val="32"/>
                <w:highlight w:val="none"/>
                <w:u w:val="none"/>
                <w:lang w:val="en-US" w:eastAsia="zh-CN" w:bidi="ar"/>
              </w:rPr>
              <w:t>10</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（一）评分内容</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取得的软件著作权和专利情况。</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b/>
                <w:bCs/>
                <w:i w:val="0"/>
                <w:iCs w:val="0"/>
                <w:color w:val="auto"/>
                <w:kern w:val="0"/>
                <w:sz w:val="32"/>
                <w:szCs w:val="32"/>
                <w:highlight w:val="none"/>
                <w:u w:val="none"/>
                <w:lang w:val="en-US" w:eastAsia="zh-CN" w:bidi="ar"/>
              </w:rPr>
              <w:t>（二）评分依据</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1.对投标人自2022年5月1日起取得的软件著作权进行评分。管线测量项目自动化质量检查软件、地下管网三维立体建模管理软件、城市地下管线在线监测及智能预警信息平台、城市地下管线数据共享服务平台计算机软件著作权登记证书，每提供一项证书得2分，此项满分4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2.</w:t>
            </w:r>
            <w:r>
              <w:rPr>
                <w:rFonts w:hint="eastAsia" w:ascii="仿宋_GB2312" w:hAnsi="仿宋_GB2312" w:eastAsia="仿宋_GB2312" w:cs="仿宋_GB2312"/>
                <w:i w:val="0"/>
                <w:iCs w:val="0"/>
                <w:color w:val="auto"/>
                <w:kern w:val="0"/>
                <w:sz w:val="32"/>
                <w:szCs w:val="32"/>
                <w:highlight w:val="none"/>
                <w:u w:val="none"/>
                <w:lang w:val="en-US" w:eastAsia="zh-CN" w:bidi="ar"/>
              </w:rPr>
              <w:t>对投标人自2022年5月1日起取得的专利证书进行评分。</w:t>
            </w:r>
            <w:r>
              <w:rPr>
                <w:rFonts w:hint="eastAsia" w:ascii="仿宋_GB2312" w:hAnsi="仿宋_GB2312" w:eastAsia="仿宋_GB2312" w:cs="仿宋_GB2312"/>
                <w:i w:val="0"/>
                <w:iCs w:val="0"/>
                <w:color w:val="auto"/>
                <w:kern w:val="0"/>
                <w:sz w:val="32"/>
                <w:szCs w:val="32"/>
                <w:highlight w:val="none"/>
                <w:u w:val="none"/>
                <w:lang w:val="en-US" w:eastAsia="zh-CN" w:bidi="ar"/>
              </w:rPr>
              <w:t>取得与探地雷达等有关的实用新型专利或发明专利证书的，每项得2分，此项满分6分；</w:t>
            </w:r>
            <w:r>
              <w:rPr>
                <w:rFonts w:hint="eastAsia" w:ascii="仿宋_GB2312" w:hAnsi="仿宋_GB2312" w:eastAsia="仿宋_GB2312" w:cs="仿宋_GB2312"/>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说明：投标人须提供证书复印件，原件现场核查，不提供不得分。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4</w:t>
            </w:r>
          </w:p>
        </w:tc>
        <w:tc>
          <w:tcPr>
            <w:tcW w:w="126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诚信情况</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iCs w:val="0"/>
                <w:color w:val="auto"/>
                <w:sz w:val="32"/>
                <w:szCs w:val="32"/>
                <w:highlight w:val="none"/>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序号</w:t>
            </w:r>
          </w:p>
        </w:tc>
        <w:tc>
          <w:tcPr>
            <w:tcW w:w="575"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评分因素</w:t>
            </w:r>
          </w:p>
        </w:tc>
        <w:tc>
          <w:tcPr>
            <w:tcW w:w="417"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权重</w:t>
            </w:r>
            <w:r>
              <w:rPr>
                <w:rFonts w:hint="eastAsia" w:ascii="仿宋_GB2312" w:hAnsi="仿宋_GB2312" w:eastAsia="仿宋_GB2312" w:cs="仿宋_GB2312"/>
                <w:i w:val="0"/>
                <w:iCs w:val="0"/>
                <w:color w:val="auto"/>
                <w:kern w:val="0"/>
                <w:sz w:val="32"/>
                <w:szCs w:val="32"/>
                <w:highlight w:val="none"/>
                <w:u w:val="none"/>
                <w:lang w:val="en-US" w:eastAsia="zh-CN" w:bidi="ar"/>
              </w:rPr>
              <w:t>(%)</w:t>
            </w:r>
          </w:p>
        </w:tc>
        <w:tc>
          <w:tcPr>
            <w:tcW w:w="3471" w:type="pct"/>
            <w:tcBorders>
              <w:top w:val="single" w:color="000000" w:sz="4" w:space="0"/>
              <w:left w:val="single" w:color="000000" w:sz="4" w:space="0"/>
              <w:bottom w:val="single" w:color="000000" w:sz="4" w:space="0"/>
              <w:right w:val="single" w:color="000000" w:sz="4" w:space="0"/>
            </w:tcBorders>
            <w:shd w:val="clear" w:color="auto" w:fill="E6EFF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评分准则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iCs w:val="0"/>
                <w:color w:val="auto"/>
                <w:sz w:val="32"/>
                <w:szCs w:val="32"/>
                <w:highlight w:val="none"/>
                <w:u w:val="none"/>
              </w:rPr>
            </w:pPr>
          </w:p>
        </w:tc>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1</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诚信情况</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5</w:t>
            </w:r>
          </w:p>
        </w:tc>
        <w:tc>
          <w:tcPr>
            <w:tcW w:w="3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（一）评分内容</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投标人在参与政府采购活动中存在诚信相关问题且在主管部门相关处理措施实施期限内的，本项不得分，否则得满分。</w:t>
            </w:r>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b/>
                <w:bCs/>
                <w:i w:val="0"/>
                <w:iCs w:val="0"/>
                <w:color w:val="auto"/>
                <w:kern w:val="0"/>
                <w:sz w:val="32"/>
                <w:szCs w:val="32"/>
                <w:highlight w:val="none"/>
                <w:u w:val="none"/>
                <w:lang w:val="en-US" w:eastAsia="zh-CN" w:bidi="ar"/>
              </w:rPr>
              <w:t>（二）评分依据</w:t>
            </w:r>
            <w:bookmarkStart w:id="0" w:name="_GoBack"/>
            <w:bookmarkEnd w:id="0"/>
            <w:r>
              <w:rPr>
                <w:rFonts w:hint="eastAsia" w:ascii="仿宋_GB2312" w:hAnsi="仿宋_GB2312" w:eastAsia="仿宋_GB2312" w:cs="仿宋_GB2312"/>
                <w:b/>
                <w:bCs/>
                <w:i w:val="0"/>
                <w:iCs w:val="0"/>
                <w:color w:val="auto"/>
                <w:kern w:val="0"/>
                <w:sz w:val="32"/>
                <w:szCs w:val="32"/>
                <w:highlight w:val="none"/>
                <w:u w:val="none"/>
                <w:lang w:val="en-US" w:eastAsia="zh-CN" w:bidi="ar"/>
              </w:rPr>
              <w:br w:type="textWrapping"/>
            </w:r>
            <w:r>
              <w:rPr>
                <w:rFonts w:hint="eastAsia" w:ascii="仿宋_GB2312" w:hAnsi="仿宋_GB2312" w:eastAsia="仿宋_GB2312" w:cs="仿宋_GB2312"/>
                <w:i w:val="0"/>
                <w:iCs w:val="0"/>
                <w:color w:val="auto"/>
                <w:kern w:val="0"/>
                <w:sz w:val="32"/>
                <w:szCs w:val="32"/>
                <w:highlight w:val="none"/>
                <w:u w:val="none"/>
                <w:lang w:val="en-US" w:eastAsia="zh-CN" w:bidi="ar"/>
              </w:rPr>
              <w:t>投标人需提供查询证明材料，</w:t>
            </w:r>
            <w:r>
              <w:rPr>
                <w:rFonts w:hint="eastAsia" w:ascii="仿宋_GB2312" w:hAnsi="仿宋_GB2312" w:eastAsia="仿宋_GB2312" w:cs="仿宋_GB2312"/>
                <w:i w:val="0"/>
                <w:iCs w:val="0"/>
                <w:color w:val="auto"/>
                <w:kern w:val="0"/>
                <w:sz w:val="32"/>
                <w:szCs w:val="32"/>
                <w:highlight w:val="none"/>
                <w:u w:val="none"/>
                <w:lang w:val="en-US" w:eastAsia="zh-CN" w:bidi="ar"/>
              </w:rPr>
              <w:t>不提供不得分</w:t>
            </w:r>
            <w:r>
              <w:rPr>
                <w:rFonts w:hint="eastAsia" w:ascii="仿宋_GB2312" w:hAnsi="仿宋_GB2312" w:eastAsia="仿宋_GB2312" w:cs="仿宋_GB2312"/>
                <w:i w:val="0"/>
                <w:iCs w:val="0"/>
                <w:color w:val="auto"/>
                <w:kern w:val="0"/>
                <w:sz w:val="32"/>
                <w:szCs w:val="32"/>
                <w:highlight w:val="none"/>
                <w:u w:val="none"/>
                <w:lang w:val="en-US" w:eastAsia="zh-CN" w:bidi="ar"/>
              </w:rPr>
              <w:t>。</w:t>
            </w:r>
          </w:p>
        </w:tc>
      </w:tr>
    </w:tbl>
    <w:p>
      <w:pPr>
        <w:rPr>
          <w:highlight w:val="none"/>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Light">
    <w:altName w:val="华文中宋"/>
    <w:panose1 w:val="02010600030101010101"/>
    <w:charset w:val="86"/>
    <w:family w:val="auto"/>
    <w:pitch w:val="default"/>
    <w:sig w:usb0="00000000" w:usb1="00000000" w:usb2="00000016" w:usb3="00000000" w:csb0="0004000F" w:csb1="00000000"/>
  </w:font>
  <w:font w:name="Cambria">
    <w:altName w:val="FreeSerif"/>
    <w:panose1 w:val="02040503050406030204"/>
    <w:charset w:val="00"/>
    <w:family w:val="auto"/>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 w:name="等线 Light">
    <w:altName w:val="C059"/>
    <w:panose1 w:val="00000000000000000000"/>
    <w:charset w:val="00"/>
    <w:family w:val="auto"/>
    <w:pitch w:val="default"/>
    <w:sig w:usb0="00000000" w:usb1="00000000" w:usb2="00000000" w:usb3="00000000" w:csb0="00000000" w:csb1="00000000"/>
  </w:font>
  <w:font w:name="仿宋_GB2312">
    <w:altName w:val="方正仿宋_GBK"/>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D8F"/>
    <w:rsid w:val="00010D7E"/>
    <w:rsid w:val="000637E1"/>
    <w:rsid w:val="000C319D"/>
    <w:rsid w:val="001744A5"/>
    <w:rsid w:val="00175DAF"/>
    <w:rsid w:val="00177FBA"/>
    <w:rsid w:val="00346498"/>
    <w:rsid w:val="004B551D"/>
    <w:rsid w:val="004F1D8F"/>
    <w:rsid w:val="005A5B8C"/>
    <w:rsid w:val="006269A2"/>
    <w:rsid w:val="00651AA8"/>
    <w:rsid w:val="00683D39"/>
    <w:rsid w:val="00893649"/>
    <w:rsid w:val="008C666E"/>
    <w:rsid w:val="009274AB"/>
    <w:rsid w:val="009B0BFA"/>
    <w:rsid w:val="00A26FCE"/>
    <w:rsid w:val="00AA2E76"/>
    <w:rsid w:val="00AF378B"/>
    <w:rsid w:val="00C347DB"/>
    <w:rsid w:val="00C75F50"/>
    <w:rsid w:val="00C76F27"/>
    <w:rsid w:val="00CD0C17"/>
    <w:rsid w:val="00D056FD"/>
    <w:rsid w:val="00D826FD"/>
    <w:rsid w:val="00E759A1"/>
    <w:rsid w:val="00F315E8"/>
    <w:rsid w:val="00FC36D1"/>
    <w:rsid w:val="036068E4"/>
    <w:rsid w:val="03C84489"/>
    <w:rsid w:val="055C132D"/>
    <w:rsid w:val="0580326D"/>
    <w:rsid w:val="0618436B"/>
    <w:rsid w:val="080737D2"/>
    <w:rsid w:val="09265ED9"/>
    <w:rsid w:val="09DE67B4"/>
    <w:rsid w:val="09EA5159"/>
    <w:rsid w:val="09FE0C04"/>
    <w:rsid w:val="0B5036E2"/>
    <w:rsid w:val="11867E5D"/>
    <w:rsid w:val="13873A19"/>
    <w:rsid w:val="13FA243C"/>
    <w:rsid w:val="15DB004C"/>
    <w:rsid w:val="176D73C9"/>
    <w:rsid w:val="179D1A5D"/>
    <w:rsid w:val="17A032FB"/>
    <w:rsid w:val="18A230A3"/>
    <w:rsid w:val="1A141D7E"/>
    <w:rsid w:val="1BAE4271"/>
    <w:rsid w:val="1C202C5C"/>
    <w:rsid w:val="1FC7A175"/>
    <w:rsid w:val="1FFE3971"/>
    <w:rsid w:val="213D7E0C"/>
    <w:rsid w:val="2192256B"/>
    <w:rsid w:val="21D12923"/>
    <w:rsid w:val="221943D6"/>
    <w:rsid w:val="2274785E"/>
    <w:rsid w:val="23B76149"/>
    <w:rsid w:val="255A0F8D"/>
    <w:rsid w:val="257C53A7"/>
    <w:rsid w:val="285E6FE6"/>
    <w:rsid w:val="288307FB"/>
    <w:rsid w:val="2B26C7C7"/>
    <w:rsid w:val="2B7B1C5D"/>
    <w:rsid w:val="2BEF9BDA"/>
    <w:rsid w:val="2C2B5431"/>
    <w:rsid w:val="2D0A7DCC"/>
    <w:rsid w:val="2DFF6D44"/>
    <w:rsid w:val="2E6E76B6"/>
    <w:rsid w:val="30C10112"/>
    <w:rsid w:val="317B15F6"/>
    <w:rsid w:val="31FB7654"/>
    <w:rsid w:val="32D16607"/>
    <w:rsid w:val="32EC3440"/>
    <w:rsid w:val="33F52FA5"/>
    <w:rsid w:val="34622411"/>
    <w:rsid w:val="368D6CE8"/>
    <w:rsid w:val="38C20ECB"/>
    <w:rsid w:val="38CE5AC2"/>
    <w:rsid w:val="39E3734B"/>
    <w:rsid w:val="3BEF9151"/>
    <w:rsid w:val="3BF67D67"/>
    <w:rsid w:val="3F5EA23D"/>
    <w:rsid w:val="3F9FFD9E"/>
    <w:rsid w:val="3FB5146E"/>
    <w:rsid w:val="3FF6607E"/>
    <w:rsid w:val="42DF08CC"/>
    <w:rsid w:val="44C935E1"/>
    <w:rsid w:val="45796DB6"/>
    <w:rsid w:val="46F1B29E"/>
    <w:rsid w:val="48BA5DDF"/>
    <w:rsid w:val="48C447EC"/>
    <w:rsid w:val="4E1213C3"/>
    <w:rsid w:val="4E13398B"/>
    <w:rsid w:val="4EAE8705"/>
    <w:rsid w:val="524E3378"/>
    <w:rsid w:val="52F0204D"/>
    <w:rsid w:val="53FC6361"/>
    <w:rsid w:val="561F6AA9"/>
    <w:rsid w:val="568455BA"/>
    <w:rsid w:val="56D71062"/>
    <w:rsid w:val="57A92835"/>
    <w:rsid w:val="57BF57B2"/>
    <w:rsid w:val="57BF5C23"/>
    <w:rsid w:val="591C1D19"/>
    <w:rsid w:val="5A753B98"/>
    <w:rsid w:val="5CF84F77"/>
    <w:rsid w:val="5D4D6706"/>
    <w:rsid w:val="5EB8202D"/>
    <w:rsid w:val="5EC51EED"/>
    <w:rsid w:val="5F9745B0"/>
    <w:rsid w:val="600C4DCA"/>
    <w:rsid w:val="615564D1"/>
    <w:rsid w:val="62870A35"/>
    <w:rsid w:val="65006754"/>
    <w:rsid w:val="66214436"/>
    <w:rsid w:val="66FB5232"/>
    <w:rsid w:val="6836767F"/>
    <w:rsid w:val="68D4417F"/>
    <w:rsid w:val="6A4D7533"/>
    <w:rsid w:val="6C7B9C6A"/>
    <w:rsid w:val="6D4573FA"/>
    <w:rsid w:val="6DB85E1E"/>
    <w:rsid w:val="6DBE53FE"/>
    <w:rsid w:val="6F3F3A91"/>
    <w:rsid w:val="6F9F387E"/>
    <w:rsid w:val="6FFD1C27"/>
    <w:rsid w:val="70793610"/>
    <w:rsid w:val="70B623BC"/>
    <w:rsid w:val="73ABA8ED"/>
    <w:rsid w:val="768A0573"/>
    <w:rsid w:val="775F555C"/>
    <w:rsid w:val="777D1559"/>
    <w:rsid w:val="77EA2501"/>
    <w:rsid w:val="77EB44F5"/>
    <w:rsid w:val="77FEBFED"/>
    <w:rsid w:val="79F20909"/>
    <w:rsid w:val="7A6F3D08"/>
    <w:rsid w:val="7A770E0E"/>
    <w:rsid w:val="7B1DD7E2"/>
    <w:rsid w:val="7BE129E3"/>
    <w:rsid w:val="7BF6E22F"/>
    <w:rsid w:val="7BF7036B"/>
    <w:rsid w:val="7C3EE53C"/>
    <w:rsid w:val="7DB25D96"/>
    <w:rsid w:val="7DFA7D8C"/>
    <w:rsid w:val="7E7F1665"/>
    <w:rsid w:val="7EAEB0EE"/>
    <w:rsid w:val="7EF743F7"/>
    <w:rsid w:val="7EFD0C7F"/>
    <w:rsid w:val="7EFEC25A"/>
    <w:rsid w:val="7EFFDAA2"/>
    <w:rsid w:val="7F1D01D6"/>
    <w:rsid w:val="7F4FE0E5"/>
    <w:rsid w:val="7FA2248A"/>
    <w:rsid w:val="7FBE8DBC"/>
    <w:rsid w:val="7FBFD9D1"/>
    <w:rsid w:val="7FD36AE7"/>
    <w:rsid w:val="7FE75890"/>
    <w:rsid w:val="7FF7DBF5"/>
    <w:rsid w:val="7FFD27BB"/>
    <w:rsid w:val="7FFF2B31"/>
    <w:rsid w:val="8BAC392D"/>
    <w:rsid w:val="99FFD084"/>
    <w:rsid w:val="9BCF1F00"/>
    <w:rsid w:val="ABEF22CA"/>
    <w:rsid w:val="AC54772B"/>
    <w:rsid w:val="AF3DEA68"/>
    <w:rsid w:val="AF9CF855"/>
    <w:rsid w:val="BD26FA4A"/>
    <w:rsid w:val="BEFCDF32"/>
    <w:rsid w:val="BFDFA89A"/>
    <w:rsid w:val="BFFE7151"/>
    <w:rsid w:val="C17E442E"/>
    <w:rsid w:val="DCF15967"/>
    <w:rsid w:val="DE2F57A9"/>
    <w:rsid w:val="DEFF90A9"/>
    <w:rsid w:val="E2FB9121"/>
    <w:rsid w:val="E6FF834C"/>
    <w:rsid w:val="EE7C186F"/>
    <w:rsid w:val="EFB58ACF"/>
    <w:rsid w:val="EFBE28B8"/>
    <w:rsid w:val="EFF799B4"/>
    <w:rsid w:val="F7BF5D75"/>
    <w:rsid w:val="FA39C2CB"/>
    <w:rsid w:val="FAF72D7B"/>
    <w:rsid w:val="FB474DD0"/>
    <w:rsid w:val="FBCF6AEA"/>
    <w:rsid w:val="FCFB02FA"/>
    <w:rsid w:val="FDE709CF"/>
    <w:rsid w:val="FEA525EB"/>
    <w:rsid w:val="FED9A55C"/>
    <w:rsid w:val="FEFB9F13"/>
    <w:rsid w:val="FEFF68F7"/>
    <w:rsid w:val="FF0E4A3B"/>
    <w:rsid w:val="FFD7B283"/>
    <w:rsid w:val="FFFE8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rPr>
  </w:style>
  <w:style w:type="paragraph" w:styleId="7">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38"/>
    <w:unhideWhenUsed/>
    <w:qFormat/>
    <w:uiPriority w:val="99"/>
    <w:pPr>
      <w:tabs>
        <w:tab w:val="center" w:pos="4153"/>
        <w:tab w:val="right" w:pos="8306"/>
      </w:tabs>
      <w:snapToGrid w:val="0"/>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link w:val="39"/>
    <w:qFormat/>
    <w:uiPriority w:val="99"/>
  </w:style>
  <w:style w:type="paragraph" w:styleId="16">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9">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5"/>
    <w:semiHidden/>
    <w:qFormat/>
    <w:uiPriority w:val="9"/>
    <w:rPr>
      <w:rFonts w:cstheme="majorBidi"/>
      <w:color w:val="2F5597" w:themeColor="accent1" w:themeShade="BF"/>
      <w:sz w:val="28"/>
      <w:szCs w:val="28"/>
    </w:rPr>
  </w:style>
  <w:style w:type="character" w:customStyle="1" w:styleId="23">
    <w:name w:val="标题 5 字符"/>
    <w:basedOn w:val="18"/>
    <w:link w:val="6"/>
    <w:semiHidden/>
    <w:qFormat/>
    <w:uiPriority w:val="9"/>
    <w:rPr>
      <w:rFonts w:cstheme="majorBidi"/>
      <w:color w:val="2F5597" w:themeColor="accent1" w:themeShade="BF"/>
      <w:sz w:val="24"/>
    </w:rPr>
  </w:style>
  <w:style w:type="character" w:customStyle="1" w:styleId="24">
    <w:name w:val="标题 6 字符"/>
    <w:basedOn w:val="18"/>
    <w:link w:val="7"/>
    <w:semiHidden/>
    <w:qFormat/>
    <w:uiPriority w:val="9"/>
    <w:rPr>
      <w:rFonts w:cstheme="majorBidi"/>
      <w:b/>
      <w:bCs/>
      <w:color w:val="2F5597"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99"/>
    <w:pPr>
      <w:ind w:left="720"/>
      <w:contextualSpacing/>
    </w:pPr>
  </w:style>
  <w:style w:type="character" w:customStyle="1" w:styleId="33">
    <w:name w:val="明显强调1"/>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明显参考1"/>
    <w:basedOn w:val="18"/>
    <w:qFormat/>
    <w:uiPriority w:val="32"/>
    <w:rPr>
      <w:b/>
      <w:bCs/>
      <w:smallCaps/>
      <w:color w:val="2F5597" w:themeColor="accent1" w:themeShade="BF"/>
      <w:spacing w:val="5"/>
    </w:rPr>
  </w:style>
  <w:style w:type="character" w:customStyle="1" w:styleId="37">
    <w:name w:val="页眉 字符"/>
    <w:basedOn w:val="18"/>
    <w:link w:val="13"/>
    <w:qFormat/>
    <w:uiPriority w:val="99"/>
    <w:rPr>
      <w:sz w:val="18"/>
      <w:szCs w:val="18"/>
    </w:rPr>
  </w:style>
  <w:style w:type="character" w:customStyle="1" w:styleId="38">
    <w:name w:val="页脚 字符"/>
    <w:basedOn w:val="18"/>
    <w:link w:val="12"/>
    <w:qFormat/>
    <w:uiPriority w:val="99"/>
    <w:rPr>
      <w:sz w:val="18"/>
      <w:szCs w:val="18"/>
    </w:rPr>
  </w:style>
  <w:style w:type="character" w:customStyle="1" w:styleId="39">
    <w:name w:val="普通(网站) 字符"/>
    <w:link w:val="15"/>
    <w:qFormat/>
    <w:uiPriority w:val="99"/>
    <w:rPr>
      <w:rFonts w:ascii="Times New Roman" w:hAnsi="Times New Roman" w:cs="Times New Roman"/>
      <w:kern w:val="0"/>
      <w:sz w:val="24"/>
      <w14:ligatures w14:val="none"/>
    </w:rPr>
  </w:style>
  <w:style w:type="paragraph" w:customStyle="1" w:styleId="40">
    <w:name w:val="Revision"/>
    <w:hidden/>
    <w:unhideWhenUsed/>
    <w:qFormat/>
    <w:uiPriority w:val="99"/>
    <w:rPr>
      <w:rFonts w:ascii="Times New Roman" w:hAnsi="Times New Roman" w:cs="Times New Roman" w:eastAsiaTheme="minorEastAsia"/>
      <w:sz w:val="24"/>
      <w:szCs w:val="24"/>
      <w:lang w:val="en-US" w:eastAsia="zh-CN" w:bidi="ar-SA"/>
    </w:rPr>
  </w:style>
  <w:style w:type="character" w:customStyle="1" w:styleId="41">
    <w:name w:val="font21"/>
    <w:basedOn w:val="18"/>
    <w:qFormat/>
    <w:uiPriority w:val="0"/>
    <w:rPr>
      <w:rFonts w:hint="eastAsia" w:ascii="宋体" w:hAnsi="宋体" w:eastAsia="宋体" w:cs="宋体"/>
      <w:b/>
      <w:bCs/>
      <w:color w:val="000000"/>
      <w:sz w:val="24"/>
      <w:szCs w:val="24"/>
      <w:u w:val="none"/>
    </w:rPr>
  </w:style>
  <w:style w:type="character" w:customStyle="1" w:styleId="42">
    <w:name w:val="font11"/>
    <w:basedOn w:val="18"/>
    <w:qFormat/>
    <w:uiPriority w:val="0"/>
    <w:rPr>
      <w:rFonts w:hint="eastAsia" w:ascii="等线" w:hAnsi="等线" w:eastAsia="等线" w:cs="等线"/>
      <w:b/>
      <w:bCs/>
      <w:color w:val="000000"/>
      <w:sz w:val="24"/>
      <w:szCs w:val="24"/>
      <w:u w:val="none"/>
    </w:rPr>
  </w:style>
  <w:style w:type="character" w:customStyle="1" w:styleId="43">
    <w:name w:val="font41"/>
    <w:basedOn w:val="18"/>
    <w:qFormat/>
    <w:uiPriority w:val="0"/>
    <w:rPr>
      <w:rFonts w:hint="eastAsia" w:ascii="宋体" w:hAnsi="宋体" w:eastAsia="宋体" w:cs="宋体"/>
      <w:color w:val="000000"/>
      <w:sz w:val="24"/>
      <w:szCs w:val="24"/>
      <w:u w:val="none"/>
    </w:rPr>
  </w:style>
  <w:style w:type="character" w:customStyle="1" w:styleId="44">
    <w:name w:val="font31"/>
    <w:basedOn w:val="18"/>
    <w:qFormat/>
    <w:uiPriority w:val="0"/>
    <w:rPr>
      <w:rFonts w:hint="eastAsia" w:ascii="等线" w:hAnsi="等线" w:eastAsia="等线" w:cs="等线"/>
      <w:color w:val="000000"/>
      <w:sz w:val="24"/>
      <w:szCs w:val="24"/>
      <w:u w:val="none"/>
    </w:rPr>
  </w:style>
  <w:style w:type="character" w:customStyle="1" w:styleId="45">
    <w:name w:val="font81"/>
    <w:basedOn w:val="18"/>
    <w:qFormat/>
    <w:uiPriority w:val="0"/>
    <w:rPr>
      <w:rFonts w:hint="default" w:ascii="Cambria" w:hAnsi="Cambria" w:eastAsia="Cambria" w:cs="Cambria"/>
      <w:strike/>
      <w:color w:val="000000"/>
      <w:sz w:val="21"/>
      <w:szCs w:val="21"/>
    </w:rPr>
  </w:style>
  <w:style w:type="character" w:customStyle="1" w:styleId="46">
    <w:name w:val="font91"/>
    <w:basedOn w:val="18"/>
    <w:qFormat/>
    <w:uiPriority w:val="0"/>
    <w:rPr>
      <w:rFonts w:hint="eastAsia" w:ascii="宋体" w:hAnsi="宋体" w:eastAsia="宋体" w:cs="宋体"/>
      <w:strike/>
      <w:color w:val="000000"/>
      <w:sz w:val="21"/>
      <w:szCs w:val="21"/>
    </w:rPr>
  </w:style>
  <w:style w:type="character" w:customStyle="1" w:styleId="47">
    <w:name w:val="font61"/>
    <w:basedOn w:val="18"/>
    <w:qFormat/>
    <w:uiPriority w:val="0"/>
    <w:rPr>
      <w:rFonts w:hint="default" w:ascii="Cambria" w:hAnsi="Cambria" w:eastAsia="Cambria" w:cs="Cambria"/>
      <w:color w:val="000000"/>
      <w:sz w:val="21"/>
      <w:szCs w:val="21"/>
      <w:u w:val="none"/>
    </w:rPr>
  </w:style>
  <w:style w:type="character" w:customStyle="1" w:styleId="48">
    <w:name w:val="font51"/>
    <w:basedOn w:val="1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2995</Words>
  <Characters>3112</Characters>
  <Lines>191</Lines>
  <Paragraphs>180</Paragraphs>
  <TotalTime>0</TotalTime>
  <ScaleCrop>false</ScaleCrop>
  <LinksUpToDate>false</LinksUpToDate>
  <CharactersWithSpaces>3124</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2025-04-29T10:44:00Z</dcterms:created>
  <dc:creator>sj liu</dc:creator>
  <cp:lastModifiedBy>i am</cp:lastModifiedBy>
  <cp:lastPrinted>2025-05-13T09:22:06Z</cp:lastPrinted>
  <dcterms:modified xsi:type="dcterms:W3CDTF">2025-05-13T14:29:07Z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ED2372F1D0294A3297BDA39E52B006A9_13</vt:lpwstr>
  </property>
  <property fmtid="{D5CDD505-2E9C-101B-9397-08002B2CF9AE}" pid="4" name="KSOTemplateDocerSaveRecord">
    <vt:lpwstr>eyJoZGlkIjoiYWEzNjczNmM2MjFmNjE2MDA3NGE3ZWM4Yzc5MjNlZjMiLCJ1c2VySWQiOiIxMTk3MjI1OTc5In0=</vt:lpwstr>
  </property>
</Properties>
</file>