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2DED">
      <w:pPr>
        <w:jc w:val="center"/>
        <w:rPr>
          <w:rStyle w:val="23"/>
          <w:rFonts w:hint="eastAsia"/>
          <w:color w:val="C00000"/>
          <w:sz w:val="36"/>
          <w:szCs w:val="36"/>
        </w:rPr>
      </w:pPr>
      <w:r>
        <w:rPr>
          <w:rStyle w:val="23"/>
          <w:rFonts w:hint="eastAsia"/>
          <w:color w:val="C00000"/>
          <w:sz w:val="36"/>
          <w:szCs w:val="36"/>
          <w:lang w:val="en-US" w:eastAsia="zh-CN"/>
        </w:rPr>
        <w:t>8.8</w:t>
      </w:r>
      <w:r>
        <w:rPr>
          <w:rStyle w:val="23"/>
          <w:rFonts w:hint="eastAsia"/>
          <w:color w:val="C00000"/>
          <w:sz w:val="36"/>
          <w:szCs w:val="36"/>
          <w:lang w:eastAsia="zh-CN"/>
        </w:rPr>
        <w:t>打印机及</w:t>
      </w:r>
      <w:r>
        <w:rPr>
          <w:rStyle w:val="23"/>
          <w:rFonts w:hint="eastAsia"/>
          <w:color w:val="C00000"/>
          <w:sz w:val="36"/>
          <w:szCs w:val="36"/>
          <w:lang w:val="en-US" w:eastAsia="zh-CN"/>
        </w:rPr>
        <w:t>UPS</w:t>
      </w:r>
      <w:r>
        <w:rPr>
          <w:rStyle w:val="23"/>
          <w:rFonts w:hint="eastAsia"/>
          <w:color w:val="C00000"/>
          <w:sz w:val="36"/>
          <w:szCs w:val="36"/>
        </w:rPr>
        <w:t>等一批</w:t>
      </w:r>
    </w:p>
    <w:p w14:paraId="2106EEDA">
      <w:pPr>
        <w:jc w:val="center"/>
        <w:rPr>
          <w:rStyle w:val="23"/>
          <w:color w:val="C00000"/>
          <w:sz w:val="36"/>
          <w:szCs w:val="36"/>
        </w:rPr>
      </w:pPr>
      <w:r>
        <w:rPr>
          <w:rStyle w:val="23"/>
          <w:rFonts w:hint="eastAsia"/>
          <w:color w:val="C00000"/>
          <w:sz w:val="36"/>
          <w:szCs w:val="36"/>
        </w:rPr>
        <w:t>竞价须知</w:t>
      </w:r>
    </w:p>
    <w:p w14:paraId="0B814245">
      <w:pPr>
        <w:spacing w:line="360" w:lineRule="auto"/>
        <w:rPr>
          <w:rFonts w:ascii="宋体" w:hAnsi="宋体" w:eastAsia="宋体" w:cs="宋体"/>
          <w:sz w:val="28"/>
          <w:szCs w:val="36"/>
        </w:rPr>
      </w:pPr>
      <w:r>
        <w:rPr>
          <w:rFonts w:hint="eastAsia" w:ascii="宋体" w:hAnsi="宋体" w:eastAsia="宋体" w:cs="宋体"/>
          <w:sz w:val="28"/>
          <w:szCs w:val="36"/>
        </w:rPr>
        <w:t>1.报价前务必看清各项技术指标，供应商需提供设备与采购单位现有系统软件无缝对接，投标产品必须为节能环保产品，如出现盲目报价影响项目进度将追究相关责任。</w:t>
      </w:r>
    </w:p>
    <w:p w14:paraId="4F99F6DA">
      <w:pPr>
        <w:spacing w:line="360" w:lineRule="auto"/>
        <w:rPr>
          <w:rFonts w:ascii="宋体" w:hAnsi="宋体" w:eastAsia="宋体" w:cs="宋体"/>
          <w:sz w:val="28"/>
          <w:szCs w:val="28"/>
        </w:rPr>
      </w:pPr>
      <w:r>
        <w:rPr>
          <w:rFonts w:hint="eastAsia" w:ascii="宋体" w:hAnsi="宋体" w:eastAsia="宋体" w:cs="宋体"/>
          <w:sz w:val="28"/>
          <w:szCs w:val="36"/>
        </w:rPr>
        <w:t>2.合同</w:t>
      </w:r>
      <w:r>
        <w:rPr>
          <w:rFonts w:ascii="宋体" w:hAnsi="宋体" w:eastAsia="宋体" w:cs="宋体"/>
          <w:sz w:val="28"/>
          <w:szCs w:val="36"/>
        </w:rPr>
        <w:t>签订</w:t>
      </w:r>
      <w:r>
        <w:rPr>
          <w:rFonts w:hint="eastAsia" w:ascii="宋体" w:hAnsi="宋体" w:eastAsia="宋体" w:cs="宋体"/>
          <w:sz w:val="28"/>
          <w:szCs w:val="36"/>
        </w:rPr>
        <w:t>后2个工作日内交付，</w:t>
      </w:r>
      <w:r>
        <w:rPr>
          <w:rFonts w:hint="eastAsia" w:ascii="宋体" w:hAnsi="宋体" w:eastAsia="宋体" w:cs="宋体"/>
          <w:color w:val="404040"/>
          <w:sz w:val="28"/>
          <w:szCs w:val="28"/>
          <w:shd w:val="clear" w:color="auto" w:fill="FFFFFF"/>
        </w:rPr>
        <w:t>本项目全部产品必须为原厂配置，</w:t>
      </w:r>
      <w:r>
        <w:rPr>
          <w:rFonts w:hint="eastAsia" w:ascii="宋体" w:hAnsi="宋体" w:eastAsia="宋体" w:cs="宋体"/>
          <w:color w:val="FF0000"/>
          <w:sz w:val="28"/>
          <w:szCs w:val="28"/>
          <w:shd w:val="clear" w:color="auto" w:fill="FFFFFF"/>
        </w:rPr>
        <w:t>不接受</w:t>
      </w:r>
      <w:r>
        <w:rPr>
          <w:rFonts w:hint="eastAsia" w:ascii="宋体" w:hAnsi="宋体" w:eastAsia="宋体" w:cs="宋体"/>
          <w:color w:val="404040"/>
          <w:sz w:val="28"/>
          <w:szCs w:val="28"/>
          <w:shd w:val="clear" w:color="auto" w:fill="FFFFFF"/>
        </w:rPr>
        <w:t>拆改配置产品，</w:t>
      </w:r>
      <w:r>
        <w:rPr>
          <w:rFonts w:hint="eastAsia" w:ascii="宋体" w:hAnsi="宋体" w:eastAsia="宋体" w:cs="宋体"/>
          <w:color w:val="FF0000"/>
          <w:sz w:val="28"/>
          <w:szCs w:val="28"/>
          <w:shd w:val="clear" w:color="auto" w:fill="FFFFFF"/>
        </w:rPr>
        <w:t>不接受</w:t>
      </w:r>
      <w:r>
        <w:rPr>
          <w:rFonts w:hint="eastAsia" w:ascii="宋体" w:hAnsi="宋体" w:eastAsia="宋体" w:cs="宋体"/>
          <w:color w:val="404040"/>
          <w:sz w:val="28"/>
          <w:szCs w:val="28"/>
          <w:shd w:val="clear" w:color="auto" w:fill="FFFFFF"/>
        </w:rPr>
        <w:t>快递物流，货到后按客户需求分批安装到位 ，该项目为交钥匙项目，所有安装调试全部由供应商负责。</w:t>
      </w:r>
    </w:p>
    <w:p w14:paraId="46A3DF91">
      <w:pPr>
        <w:spacing w:line="360" w:lineRule="auto"/>
        <w:rPr>
          <w:rFonts w:ascii="宋体" w:hAnsi="宋体" w:eastAsia="宋体" w:cs="宋体"/>
          <w:sz w:val="28"/>
          <w:szCs w:val="36"/>
        </w:rPr>
      </w:pPr>
      <w:r>
        <w:rPr>
          <w:rFonts w:hint="eastAsia" w:ascii="宋体" w:hAnsi="宋体" w:eastAsia="宋体" w:cs="宋体"/>
          <w:sz w:val="28"/>
          <w:szCs w:val="36"/>
        </w:rPr>
        <w:t>3.产品验收时由用户在场拆包装箱查验货物合格性，现场拨打品牌官方服务电话，核对机器序列号，查询验证保修及配置信息，所有配置必须为品牌原包装未拆封，中途不得作任何形式的拆封、更改配置(后期升级无效)，不接受拆机、拼单、大单的机器。供应商无法提供产品与服务或更改要求的，我方有权终止合同执行。</w:t>
      </w:r>
    </w:p>
    <w:p w14:paraId="73165D7C">
      <w:pPr>
        <w:spacing w:line="360" w:lineRule="auto"/>
        <w:rPr>
          <w:rFonts w:ascii="宋体" w:hAnsi="宋体" w:eastAsia="宋体" w:cs="宋体"/>
          <w:sz w:val="28"/>
          <w:szCs w:val="36"/>
        </w:rPr>
      </w:pPr>
      <w:r>
        <w:rPr>
          <w:rFonts w:hint="eastAsia" w:ascii="宋体" w:hAnsi="宋体" w:eastAsia="宋体" w:cs="宋体"/>
          <w:sz w:val="28"/>
          <w:szCs w:val="36"/>
        </w:rPr>
        <w:t>4.交货时限、品质、售后等如未按《江西省政府采购电子卖场管理暂行办法》执行，则向平台和上级监管部门投诉。</w:t>
      </w:r>
    </w:p>
    <w:p w14:paraId="67FD68F1">
      <w:pPr>
        <w:rPr>
          <w:rFonts w:hint="eastAsia" w:ascii="宋体" w:hAnsi="宋体" w:eastAsia="宋体" w:cs="宋体"/>
          <w:sz w:val="28"/>
          <w:szCs w:val="36"/>
        </w:rPr>
      </w:pPr>
      <w:r>
        <w:rPr>
          <w:rFonts w:hint="eastAsia" w:ascii="宋体" w:hAnsi="宋体" w:eastAsia="宋体" w:cs="宋体"/>
          <w:sz w:val="28"/>
          <w:szCs w:val="36"/>
        </w:rPr>
        <w:t>5.</w:t>
      </w:r>
      <w:r>
        <w:rPr>
          <w:rFonts w:ascii="宋体" w:hAnsi="宋体" w:eastAsia="宋体" w:cs="宋体"/>
          <w:sz w:val="28"/>
          <w:szCs w:val="36"/>
        </w:rPr>
        <w:t xml:space="preserve"> 为保证产品的可靠性</w:t>
      </w:r>
      <w:r>
        <w:rPr>
          <w:rFonts w:hint="eastAsia" w:ascii="宋体" w:hAnsi="宋体" w:eastAsia="宋体" w:cs="宋体"/>
          <w:sz w:val="28"/>
          <w:szCs w:val="36"/>
        </w:rPr>
        <w:t>、报价</w:t>
      </w:r>
      <w:r>
        <w:rPr>
          <w:rFonts w:ascii="宋体" w:hAnsi="宋体" w:eastAsia="宋体" w:cs="宋体"/>
          <w:sz w:val="28"/>
          <w:szCs w:val="36"/>
        </w:rPr>
        <w:t>的可比性，</w:t>
      </w:r>
      <w:r>
        <w:rPr>
          <w:rFonts w:hint="eastAsia" w:ascii="宋体" w:hAnsi="宋体" w:eastAsia="宋体" w:cs="宋体"/>
          <w:sz w:val="28"/>
          <w:szCs w:val="36"/>
        </w:rPr>
        <w:t>务必严格按照竞价需求参数报</w:t>
      </w:r>
      <w:r>
        <w:rPr>
          <w:rFonts w:ascii="宋体" w:hAnsi="宋体" w:eastAsia="宋体" w:cs="宋体"/>
          <w:sz w:val="28"/>
          <w:szCs w:val="36"/>
        </w:rPr>
        <w:t>价和</w:t>
      </w:r>
      <w:r>
        <w:rPr>
          <w:rFonts w:hint="eastAsia" w:ascii="宋体" w:hAnsi="宋体" w:eastAsia="宋体" w:cs="宋体"/>
          <w:sz w:val="28"/>
          <w:szCs w:val="36"/>
        </w:rPr>
        <w:t>供货，并提供针对本次竞价项目的生产厂商参数确认函，技术参数详见附表。</w:t>
      </w:r>
    </w:p>
    <w:p w14:paraId="33550EA5">
      <w:pPr>
        <w:rPr>
          <w:rFonts w:hint="eastAsia" w:ascii="宋体" w:hAnsi="宋体" w:eastAsia="宋体" w:cs="宋体"/>
          <w:sz w:val="28"/>
          <w:szCs w:val="36"/>
        </w:rPr>
      </w:pPr>
      <w:r>
        <w:rPr>
          <w:rFonts w:hint="eastAsia" w:ascii="宋体" w:hAnsi="宋体" w:eastAsia="宋体" w:cs="宋体"/>
          <w:sz w:val="28"/>
          <w:szCs w:val="36"/>
        </w:rPr>
        <w:t>6、</w:t>
      </w:r>
      <w:r>
        <w:rPr>
          <w:rFonts w:ascii="宋体" w:hAnsi="宋体" w:eastAsia="宋体" w:cs="宋体"/>
          <w:sz w:val="28"/>
          <w:szCs w:val="36"/>
        </w:rPr>
        <w:t>供应商非生产厂家或制造商的</w:t>
      </w:r>
      <w:r>
        <w:rPr>
          <w:rFonts w:hint="eastAsia" w:ascii="宋体" w:hAnsi="宋体" w:eastAsia="宋体" w:cs="宋体"/>
          <w:sz w:val="28"/>
          <w:szCs w:val="36"/>
        </w:rPr>
        <w:t>，</w:t>
      </w:r>
      <w:r>
        <w:rPr>
          <w:rFonts w:ascii="宋体" w:hAnsi="宋体" w:eastAsia="宋体" w:cs="宋体"/>
          <w:sz w:val="28"/>
          <w:szCs w:val="36"/>
        </w:rPr>
        <w:t>提供响应产品来源渠道合法的证明文件</w:t>
      </w:r>
      <w:r>
        <w:rPr>
          <w:rFonts w:hint="eastAsia" w:ascii="宋体" w:hAnsi="宋体" w:eastAsia="宋体" w:cs="宋体"/>
          <w:sz w:val="28"/>
          <w:szCs w:val="36"/>
        </w:rPr>
        <w:t>（包括但不限于原厂授权销售协议、代理协议、授权书等）签订合同时提交原件审核，未上传作无效投标处理</w:t>
      </w:r>
    </w:p>
    <w:p w14:paraId="5DE35DCE">
      <w:pPr>
        <w:rPr>
          <w:rFonts w:hint="eastAsia" w:ascii="宋体" w:hAnsi="宋体" w:eastAsia="宋体" w:cs="宋体"/>
          <w:sz w:val="28"/>
          <w:szCs w:val="36"/>
        </w:rPr>
      </w:pPr>
      <w:r>
        <w:rPr>
          <w:rFonts w:hint="eastAsia" w:ascii="宋体" w:hAnsi="宋体" w:eastAsia="宋体" w:cs="宋体"/>
          <w:sz w:val="28"/>
          <w:szCs w:val="36"/>
        </w:rPr>
        <w:t>7、售后服务：工作时间安排至少一名驻场工程师保障售后服务，提供7*24小时响应，10分钟到达现场技术支持服务，如遇特殊情况，需外修，需提供备用设备。提供针对此项目加盖鲜章的售后服务承诺函原件。</w:t>
      </w:r>
    </w:p>
    <w:p w14:paraId="58FBD28E">
      <w:pPr>
        <w:rPr>
          <w:rFonts w:hint="eastAsia" w:ascii="宋体" w:hAnsi="宋体" w:eastAsia="宋体" w:cs="宋体"/>
          <w:sz w:val="28"/>
          <w:szCs w:val="36"/>
        </w:rPr>
      </w:pPr>
      <w:r>
        <w:rPr>
          <w:rFonts w:hint="eastAsia" w:ascii="宋体" w:hAnsi="宋体" w:eastAsia="宋体" w:cs="宋体"/>
          <w:sz w:val="28"/>
          <w:szCs w:val="36"/>
        </w:rPr>
        <w:t>8、不符合要求报价，视为无效报价。</w:t>
      </w:r>
    </w:p>
    <w:p w14:paraId="2859AE2F">
      <w:pPr>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9.为保证产品质量，所投电脑产品需提供（3C、节能、环境标志）认证证书.</w:t>
      </w:r>
    </w:p>
    <w:p w14:paraId="5856B3CB">
      <w:pPr>
        <w:ind w:firstLine="6160" w:firstLineChars="2200"/>
        <w:jc w:val="both"/>
        <w:rPr>
          <w:rFonts w:hint="default"/>
          <w:lang w:val="en-US" w:eastAsia="zh-CN"/>
        </w:rPr>
        <w:sectPr>
          <w:pgSz w:w="11906" w:h="16838"/>
          <w:pgMar w:top="720" w:right="720" w:bottom="720" w:left="720" w:header="851" w:footer="992" w:gutter="0"/>
          <w:cols w:space="425" w:num="1"/>
          <w:docGrid w:type="lines" w:linePitch="312" w:charSpace="0"/>
        </w:sectPr>
      </w:pPr>
      <w:r>
        <w:rPr>
          <w:rFonts w:hint="eastAsia" w:ascii="宋体" w:hAnsi="宋体" w:eastAsia="宋体" w:cs="宋体"/>
          <w:sz w:val="28"/>
          <w:szCs w:val="28"/>
          <w:lang w:val="en-US" w:eastAsia="zh-CN"/>
        </w:rPr>
        <w:t>详见附件《竞价须知》</w:t>
      </w:r>
    </w:p>
    <w:p w14:paraId="707DB0C0">
      <w:pPr>
        <w:rPr>
          <w:rStyle w:val="23"/>
          <w:color w:val="C00000"/>
          <w:sz w:val="30"/>
          <w:szCs w:val="30"/>
        </w:rPr>
      </w:pPr>
    </w:p>
    <w:tbl>
      <w:tblPr>
        <w:tblStyle w:val="8"/>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673"/>
        <w:gridCol w:w="1110"/>
        <w:gridCol w:w="1845"/>
        <w:gridCol w:w="1706"/>
      </w:tblGrid>
      <w:tr w14:paraId="3CB4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54" w:type="dxa"/>
            <w:vAlign w:val="center"/>
          </w:tcPr>
          <w:p w14:paraId="52A92CDE">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673" w:type="dxa"/>
            <w:vAlign w:val="center"/>
          </w:tcPr>
          <w:p w14:paraId="7CA89F77">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产品名称</w:t>
            </w:r>
          </w:p>
        </w:tc>
        <w:tc>
          <w:tcPr>
            <w:tcW w:w="1110" w:type="dxa"/>
            <w:vAlign w:val="center"/>
          </w:tcPr>
          <w:p w14:paraId="4C4F0DE0">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数量</w:t>
            </w:r>
          </w:p>
        </w:tc>
        <w:tc>
          <w:tcPr>
            <w:tcW w:w="1845" w:type="dxa"/>
            <w:vAlign w:val="center"/>
          </w:tcPr>
          <w:p w14:paraId="0B72BD84">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单项期望</w:t>
            </w:r>
            <w:r>
              <w:rPr>
                <w:rFonts w:hint="eastAsia" w:ascii="宋体" w:hAnsi="宋体"/>
                <w:b/>
                <w:color w:val="000000" w:themeColor="text1"/>
                <w:lang w:eastAsia="zh-CN"/>
                <w14:textFill>
                  <w14:solidFill>
                    <w14:schemeClr w14:val="tx1"/>
                  </w14:solidFill>
                </w14:textFill>
              </w:rPr>
              <w:t>单价</w:t>
            </w:r>
            <w:r>
              <w:rPr>
                <w:rFonts w:hint="eastAsia" w:ascii="宋体" w:hAnsi="宋体"/>
                <w:b/>
                <w:color w:val="000000" w:themeColor="text1"/>
                <w:lang w:val="en-US" w:eastAsia="zh-CN"/>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(元)</w:t>
            </w:r>
          </w:p>
        </w:tc>
        <w:tc>
          <w:tcPr>
            <w:tcW w:w="1706" w:type="dxa"/>
            <w:vAlign w:val="center"/>
          </w:tcPr>
          <w:p w14:paraId="6AE84CB6">
            <w:pPr>
              <w:spacing w:line="360" w:lineRule="auto"/>
              <w:jc w:val="center"/>
              <w:rPr>
                <w:rFonts w:hint="eastAsia" w:ascii="宋体" w:hAnsi="宋体" w:eastAsiaTheme="minorEastAsia"/>
                <w:b/>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需求科室</w:t>
            </w:r>
          </w:p>
        </w:tc>
      </w:tr>
      <w:tr w14:paraId="31D6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4" w:type="dxa"/>
            <w:vAlign w:val="center"/>
          </w:tcPr>
          <w:p w14:paraId="62A0729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673" w:type="dxa"/>
            <w:vAlign w:val="center"/>
          </w:tcPr>
          <w:p w14:paraId="3FD99AC6">
            <w:pPr>
              <w:keepNext w:val="0"/>
              <w:keepLines w:val="0"/>
              <w:widowControl/>
              <w:suppressLineNumbers w:val="0"/>
              <w:jc w:val="left"/>
              <w:textAlignment w:val="center"/>
              <w:rPr>
                <w:rFonts w:hint="default"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外网电脑</w:t>
            </w:r>
          </w:p>
        </w:tc>
        <w:tc>
          <w:tcPr>
            <w:tcW w:w="1110" w:type="dxa"/>
            <w:vAlign w:val="center"/>
          </w:tcPr>
          <w:p w14:paraId="509982D3">
            <w:pPr>
              <w:keepNext w:val="0"/>
              <w:keepLines w:val="0"/>
              <w:widowControl/>
              <w:suppressLineNumbers w:val="0"/>
              <w:jc w:val="left"/>
              <w:textAlignment w:val="center"/>
              <w:rPr>
                <w:rFonts w:hint="default"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p>
        </w:tc>
        <w:tc>
          <w:tcPr>
            <w:tcW w:w="1845" w:type="dxa"/>
            <w:vAlign w:val="center"/>
          </w:tcPr>
          <w:p w14:paraId="4C868D7D">
            <w:pPr>
              <w:keepNext w:val="0"/>
              <w:keepLines w:val="0"/>
              <w:widowControl/>
              <w:suppressLineNumbers w:val="0"/>
              <w:jc w:val="right"/>
              <w:textAlignment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5000</w:t>
            </w:r>
          </w:p>
        </w:tc>
        <w:tc>
          <w:tcPr>
            <w:tcW w:w="1706" w:type="dxa"/>
            <w:vAlign w:val="center"/>
          </w:tcPr>
          <w:p w14:paraId="21159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设备科</w:t>
            </w:r>
          </w:p>
        </w:tc>
      </w:tr>
      <w:tr w14:paraId="5A5A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54" w:type="dxa"/>
            <w:vAlign w:val="center"/>
          </w:tcPr>
          <w:p w14:paraId="42FB59F0">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2673" w:type="dxa"/>
            <w:vAlign w:val="center"/>
          </w:tcPr>
          <w:p w14:paraId="46E12611">
            <w:pPr>
              <w:keepNext w:val="0"/>
              <w:keepLines w:val="0"/>
              <w:widowControl/>
              <w:suppressLineNumbers w:val="0"/>
              <w:jc w:val="left"/>
              <w:textAlignment w:val="center"/>
              <w:rPr>
                <w:rFonts w:hint="default"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激光打印机</w:t>
            </w:r>
          </w:p>
        </w:tc>
        <w:tc>
          <w:tcPr>
            <w:tcW w:w="1110" w:type="dxa"/>
            <w:vAlign w:val="center"/>
          </w:tcPr>
          <w:p w14:paraId="69D46B44">
            <w:pPr>
              <w:keepNext w:val="0"/>
              <w:keepLines w:val="0"/>
              <w:widowControl/>
              <w:suppressLineNumbers w:val="0"/>
              <w:jc w:val="left"/>
              <w:textAlignment w:val="center"/>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1</w:t>
            </w:r>
          </w:p>
        </w:tc>
        <w:tc>
          <w:tcPr>
            <w:tcW w:w="1845" w:type="dxa"/>
            <w:vAlign w:val="center"/>
          </w:tcPr>
          <w:p w14:paraId="7525CC03">
            <w:pPr>
              <w:keepNext w:val="0"/>
              <w:keepLines w:val="0"/>
              <w:widowControl/>
              <w:suppressLineNumbers w:val="0"/>
              <w:jc w:val="right"/>
              <w:textAlignment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1150</w:t>
            </w:r>
          </w:p>
        </w:tc>
        <w:tc>
          <w:tcPr>
            <w:tcW w:w="1706" w:type="dxa"/>
            <w:vAlign w:val="center"/>
          </w:tcPr>
          <w:p w14:paraId="10333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审计科</w:t>
            </w:r>
          </w:p>
        </w:tc>
      </w:tr>
      <w:tr w14:paraId="1485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54" w:type="dxa"/>
            <w:vAlign w:val="center"/>
          </w:tcPr>
          <w:p w14:paraId="1302FC23">
            <w:pPr>
              <w:jc w:val="center"/>
              <w:rPr>
                <w:rFonts w:hint="default" w:ascii="宋体" w:hAnsi="宋体" w:eastAsia="宋体" w:cs="宋体"/>
                <w:color w:val="000000" w:themeColor="text1"/>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w:t>
            </w:r>
          </w:p>
        </w:tc>
        <w:tc>
          <w:tcPr>
            <w:tcW w:w="2673" w:type="dxa"/>
            <w:vAlign w:val="center"/>
          </w:tcPr>
          <w:p w14:paraId="13EB963F">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UPS</w:t>
            </w:r>
          </w:p>
        </w:tc>
        <w:tc>
          <w:tcPr>
            <w:tcW w:w="1110" w:type="dxa"/>
            <w:vAlign w:val="center"/>
          </w:tcPr>
          <w:p w14:paraId="3A14D3A9">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845" w:type="dxa"/>
            <w:vAlign w:val="center"/>
          </w:tcPr>
          <w:p w14:paraId="7B4ECFF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13200</w:t>
            </w:r>
          </w:p>
        </w:tc>
        <w:tc>
          <w:tcPr>
            <w:tcW w:w="1706" w:type="dxa"/>
            <w:vAlign w:val="center"/>
          </w:tcPr>
          <w:p w14:paraId="0C9C3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信息科（向塘）</w:t>
            </w:r>
          </w:p>
        </w:tc>
      </w:tr>
      <w:tr w14:paraId="033D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54" w:type="dxa"/>
            <w:vAlign w:val="center"/>
          </w:tcPr>
          <w:p w14:paraId="671C5A67">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p>
        </w:tc>
        <w:tc>
          <w:tcPr>
            <w:tcW w:w="2673" w:type="dxa"/>
            <w:vAlign w:val="center"/>
          </w:tcPr>
          <w:p w14:paraId="45ACA1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笔记本电脑</w:t>
            </w:r>
          </w:p>
        </w:tc>
        <w:tc>
          <w:tcPr>
            <w:tcW w:w="1110" w:type="dxa"/>
            <w:vAlign w:val="center"/>
          </w:tcPr>
          <w:p w14:paraId="43CEE41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45" w:type="dxa"/>
            <w:vAlign w:val="center"/>
          </w:tcPr>
          <w:p w14:paraId="25C0907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706" w:type="dxa"/>
            <w:vAlign w:val="center"/>
          </w:tcPr>
          <w:p w14:paraId="7109D9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审计科</w:t>
            </w:r>
          </w:p>
        </w:tc>
      </w:tr>
    </w:tbl>
    <w:p w14:paraId="465C6ED7">
      <w:pPr>
        <w:bidi w:val="0"/>
        <w:rPr>
          <w:rStyle w:val="23"/>
          <w:color w:val="C00000"/>
          <w:sz w:val="30"/>
          <w:szCs w:val="30"/>
        </w:rPr>
      </w:pPr>
    </w:p>
    <w:p w14:paraId="040949AC">
      <w:pPr>
        <w:pStyle w:val="3"/>
        <w:jc w:val="left"/>
        <w:rPr>
          <w:rFonts w:hint="default" w:eastAsiaTheme="minorEastAsia"/>
          <w:lang w:val="en-US" w:eastAsia="zh-CN"/>
        </w:rPr>
        <w:sectPr>
          <w:pgSz w:w="11906" w:h="16838"/>
          <w:pgMar w:top="720" w:right="720" w:bottom="720" w:left="720" w:header="851" w:footer="992" w:gutter="0"/>
          <w:cols w:space="425" w:num="1"/>
          <w:docGrid w:type="lines" w:linePitch="312" w:charSpace="0"/>
        </w:sectPr>
      </w:pPr>
      <w:r>
        <w:rPr>
          <w:rStyle w:val="23"/>
          <w:rFonts w:hint="eastAsia"/>
          <w:color w:val="C00000"/>
          <w:sz w:val="30"/>
          <w:szCs w:val="30"/>
          <w:lang w:val="en-US" w:eastAsia="zh-CN"/>
        </w:rPr>
        <w:t>详见附件《竞价须知》</w:t>
      </w:r>
    </w:p>
    <w:tbl>
      <w:tblPr>
        <w:tblStyle w:val="9"/>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59"/>
        <w:gridCol w:w="7273"/>
        <w:gridCol w:w="1607"/>
      </w:tblGrid>
      <w:tr w14:paraId="0822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Align w:val="center"/>
          </w:tcPr>
          <w:p w14:paraId="4BC365B0">
            <w:pPr>
              <w:widowControl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序号</w:t>
            </w:r>
          </w:p>
        </w:tc>
        <w:tc>
          <w:tcPr>
            <w:tcW w:w="709" w:type="pct"/>
            <w:vAlign w:val="center"/>
          </w:tcPr>
          <w:p w14:paraId="216BD244">
            <w:pPr>
              <w:widowControl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产品名称</w:t>
            </w:r>
          </w:p>
        </w:tc>
        <w:tc>
          <w:tcPr>
            <w:tcW w:w="3312" w:type="pct"/>
            <w:vAlign w:val="center"/>
          </w:tcPr>
          <w:p w14:paraId="2EE941DA">
            <w:pPr>
              <w:widowControl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技术参数（以下参数均需满足或优于）</w:t>
            </w:r>
          </w:p>
        </w:tc>
        <w:tc>
          <w:tcPr>
            <w:tcW w:w="731" w:type="pct"/>
            <w:vAlign w:val="center"/>
          </w:tcPr>
          <w:p w14:paraId="7327F9CF">
            <w:pPr>
              <w:widowControl w:val="0"/>
              <w:jc w:val="both"/>
              <w:rPr>
                <w:rFonts w:hint="eastAsia" w:ascii="宋体" w:hAnsi="宋体" w:eastAsia="宋体" w:cs="宋体"/>
                <w:color w:val="auto"/>
                <w:sz w:val="18"/>
                <w:szCs w:val="18"/>
              </w:rPr>
            </w:pPr>
          </w:p>
        </w:tc>
      </w:tr>
      <w:tr w14:paraId="5AA2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Align w:val="center"/>
          </w:tcPr>
          <w:p w14:paraId="2F700E0A">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709" w:type="pct"/>
            <w:vAlign w:val="center"/>
          </w:tcPr>
          <w:p w14:paraId="41720C47">
            <w:pPr>
              <w:keepNext w:val="0"/>
              <w:keepLines w:val="0"/>
              <w:widowControl/>
              <w:suppressLineNumbers w:val="0"/>
              <w:jc w:val="left"/>
              <w:textAlignment w:val="center"/>
              <w:rPr>
                <w:rFonts w:hint="default"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外网电脑</w:t>
            </w:r>
          </w:p>
        </w:tc>
        <w:tc>
          <w:tcPr>
            <w:tcW w:w="3312" w:type="pct"/>
            <w:vAlign w:val="center"/>
          </w:tcPr>
          <w:p w14:paraId="7DD06673">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外网电脑（含21.5英寸显示器）：cpu：10代inteli5-7500或以上；内存：ddr4 16G或以上；硬盘：固态硬盘1TB或以上；系统：必须windows 7（64位）以上；电源：310W标准电源；显卡：集成；网卡：1000M网卡；主板插槽：1个PCI-E16x、2个PCI-E1x、1个com口</w:t>
            </w:r>
          </w:p>
        </w:tc>
        <w:tc>
          <w:tcPr>
            <w:tcW w:w="731" w:type="pct"/>
            <w:vAlign w:val="top"/>
          </w:tcPr>
          <w:p w14:paraId="05151487">
            <w:pPr>
              <w:widowControl w:val="0"/>
              <w:bidi w:val="0"/>
              <w:jc w:val="left"/>
              <w:rPr>
                <w:rFonts w:hint="eastAsia" w:ascii="宋体" w:hAnsi="宋体" w:eastAsia="宋体" w:cs="宋体"/>
                <w:color w:val="auto"/>
                <w:sz w:val="18"/>
                <w:szCs w:val="18"/>
                <w:lang w:val="en-US" w:eastAsia="zh-CN" w:bidi="ar-SA"/>
              </w:rPr>
            </w:pPr>
          </w:p>
        </w:tc>
      </w:tr>
      <w:tr w14:paraId="7DE7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Align w:val="center"/>
          </w:tcPr>
          <w:p w14:paraId="5ED433AD">
            <w:pPr>
              <w:widowControl w:val="0"/>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w:t>
            </w:r>
          </w:p>
        </w:tc>
        <w:tc>
          <w:tcPr>
            <w:tcW w:w="709" w:type="pct"/>
            <w:vAlign w:val="center"/>
          </w:tcPr>
          <w:p w14:paraId="1286922E">
            <w:pPr>
              <w:keepNext w:val="0"/>
              <w:keepLines w:val="0"/>
              <w:widowControl/>
              <w:suppressLineNumbers w:val="0"/>
              <w:jc w:val="left"/>
              <w:textAlignment w:val="center"/>
              <w:rPr>
                <w:rFonts w:hint="default"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激光打印机</w:t>
            </w:r>
          </w:p>
        </w:tc>
        <w:tc>
          <w:tcPr>
            <w:tcW w:w="3312" w:type="pct"/>
            <w:vAlign w:val="center"/>
          </w:tcPr>
          <w:p w14:paraId="3A5400AF">
            <w:pPr>
              <w:widowControl/>
              <w:spacing w:line="440" w:lineRule="exact"/>
              <w:rPr>
                <w:rFonts w:ascii="微软雅黑" w:hAnsi="微软雅黑" w:eastAsia="微软雅黑" w:cs="Arial"/>
                <w:color w:val="000000" w:themeColor="text1"/>
                <w:kern w:val="0"/>
                <w:sz w:val="24"/>
                <w14:textFill>
                  <w14:solidFill>
                    <w14:schemeClr w14:val="tx1"/>
                  </w14:solidFill>
                </w14:textFill>
              </w:rPr>
            </w:pPr>
            <w:bookmarkStart w:id="0" w:name="_Toc426974964"/>
            <w:r>
              <w:rPr>
                <w:rFonts w:hint="eastAsia" w:ascii="微软雅黑" w:hAnsi="微软雅黑" w:eastAsia="微软雅黑" w:cs="Arial"/>
                <w:color w:val="000000" w:themeColor="text1"/>
                <w:kern w:val="0"/>
                <w:sz w:val="24"/>
                <w14:textFill>
                  <w14:solidFill>
                    <w14:schemeClr w14:val="tx1"/>
                  </w14:solidFill>
                </w14:textFill>
              </w:rPr>
              <w:t>产品类型：</w:t>
            </w:r>
            <w:r>
              <w:rPr>
                <w:rFonts w:ascii="Arial" w:hAnsi="Arial" w:cs="Arial"/>
                <w:color w:val="5A5A5A"/>
                <w:kern w:val="0"/>
                <w:sz w:val="24"/>
              </w:rPr>
              <w:t>黑白激光打印机</w:t>
            </w:r>
          </w:p>
          <w:p w14:paraId="5893DB94">
            <w:pPr>
              <w:widowControl/>
              <w:spacing w:line="440" w:lineRule="exact"/>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b/>
                <w:bCs/>
                <w:color w:val="000000" w:themeColor="text1"/>
                <w:kern w:val="0"/>
                <w:sz w:val="24"/>
                <w14:textFill>
                  <w14:solidFill>
                    <w14:schemeClr w14:val="tx1"/>
                  </w14:solidFill>
                </w14:textFill>
              </w:rPr>
              <w:t>原稿最大尺寸</w:t>
            </w:r>
            <w:r>
              <w:rPr>
                <w:rFonts w:hint="eastAsia" w:ascii="微软雅黑" w:hAnsi="微软雅黑" w:eastAsia="微软雅黑" w:cs="Arial"/>
                <w:color w:val="000000" w:themeColor="text1"/>
                <w:kern w:val="0"/>
                <w:sz w:val="24"/>
                <w14:textFill>
                  <w14:solidFill>
                    <w14:schemeClr w14:val="tx1"/>
                  </w14:solidFill>
                </w14:textFill>
              </w:rPr>
              <w:t>：A4</w:t>
            </w:r>
          </w:p>
          <w:p w14:paraId="5E6C5C6A">
            <w:pPr>
              <w:widowControl/>
              <w:spacing w:line="440" w:lineRule="exact"/>
              <w:rPr>
                <w:rFonts w:ascii="微软雅黑" w:hAnsi="微软雅黑" w:eastAsia="微软雅黑" w:cs="Arial"/>
                <w:kern w:val="0"/>
                <w:sz w:val="24"/>
              </w:rPr>
            </w:pPr>
            <w:r>
              <w:rPr>
                <w:rFonts w:hint="eastAsia" w:ascii="微软雅黑" w:hAnsi="微软雅黑" w:eastAsia="微软雅黑" w:cs="Arial"/>
                <w:kern w:val="0"/>
                <w:sz w:val="24"/>
              </w:rPr>
              <w:t>打印速度：</w:t>
            </w:r>
            <w:r>
              <w:rPr>
                <w:rFonts w:hint="eastAsia"/>
              </w:rPr>
              <w:t>31页/分钟</w:t>
            </w:r>
            <w:r>
              <w:rPr>
                <w:rFonts w:hint="eastAsia" w:ascii="微软雅黑" w:hAnsi="微软雅黑" w:eastAsia="微软雅黑" w:cs="Arial"/>
                <w:kern w:val="0"/>
                <w:sz w:val="24"/>
              </w:rPr>
              <w:t>；</w:t>
            </w:r>
          </w:p>
          <w:p w14:paraId="15C95842">
            <w:pPr>
              <w:widowControl/>
              <w:spacing w:line="440" w:lineRule="exact"/>
              <w:rPr>
                <w:rFonts w:ascii="微软雅黑" w:hAnsi="微软雅黑" w:eastAsia="微软雅黑" w:cs="Arial"/>
                <w:kern w:val="0"/>
                <w:sz w:val="24"/>
              </w:rPr>
            </w:pPr>
            <w:r>
              <w:rPr>
                <w:rFonts w:hint="eastAsia" w:ascii="微软雅黑" w:hAnsi="微软雅黑" w:eastAsia="微软雅黑" w:cs="Arial"/>
                <w:kern w:val="0"/>
                <w:sz w:val="24"/>
              </w:rPr>
              <w:t>标配供纸：250页；</w:t>
            </w:r>
            <w:r>
              <w:rPr>
                <w:rFonts w:ascii="微软雅黑" w:hAnsi="微软雅黑" w:eastAsia="微软雅黑" w:cs="Arial"/>
                <w:kern w:val="0"/>
                <w:sz w:val="24"/>
              </w:rPr>
              <w:t xml:space="preserve"> </w:t>
            </w:r>
          </w:p>
          <w:p w14:paraId="25997313">
            <w:pPr>
              <w:widowControl/>
              <w:spacing w:line="440" w:lineRule="exact"/>
              <w:rPr>
                <w:rFonts w:ascii="微软雅黑" w:hAnsi="微软雅黑" w:eastAsia="微软雅黑" w:cs="Arial"/>
                <w:kern w:val="0"/>
                <w:sz w:val="24"/>
              </w:rPr>
            </w:pPr>
            <w:r>
              <w:rPr>
                <w:rFonts w:hint="eastAsia" w:ascii="微软雅黑" w:hAnsi="微软雅黑" w:eastAsia="微软雅黑" w:cs="Arial"/>
                <w:bCs/>
                <w:kern w:val="0"/>
                <w:sz w:val="24"/>
              </w:rPr>
              <w:t>标配内存：128mb</w:t>
            </w:r>
            <w:r>
              <w:rPr>
                <w:rFonts w:hint="eastAsia" w:ascii="微软雅黑" w:hAnsi="微软雅黑" w:eastAsia="微软雅黑" w:cs="Arial"/>
                <w:kern w:val="0"/>
                <w:sz w:val="24"/>
              </w:rPr>
              <w:t>；</w:t>
            </w:r>
            <w:r>
              <w:rPr>
                <w:rFonts w:hint="eastAsia"/>
                <w:sz w:val="24"/>
              </w:rPr>
              <w:t>处理器：350MHz</w:t>
            </w:r>
            <w:r>
              <w:rPr>
                <w:rFonts w:hint="eastAsia"/>
              </w:rPr>
              <w:t>；</w:t>
            </w:r>
            <w:r>
              <w:rPr>
                <w:rFonts w:hint="eastAsia" w:ascii="微软雅黑" w:hAnsi="微软雅黑" w:eastAsia="微软雅黑" w:cs="Arial"/>
                <w:bCs/>
                <w:kern w:val="0"/>
                <w:sz w:val="24"/>
              </w:rPr>
              <w:t>首印时间≤8.5秒</w:t>
            </w:r>
            <w:r>
              <w:rPr>
                <w:rFonts w:hint="eastAsia" w:ascii="微软雅黑" w:hAnsi="微软雅黑" w:eastAsia="微软雅黑" w:cs="Arial"/>
                <w:kern w:val="0"/>
                <w:sz w:val="24"/>
              </w:rPr>
              <w:t>；</w:t>
            </w:r>
          </w:p>
          <w:p w14:paraId="0D22E807">
            <w:pPr>
              <w:widowControl/>
              <w:spacing w:line="440" w:lineRule="exact"/>
              <w:rPr>
                <w:rFonts w:ascii="微软雅黑" w:hAnsi="微软雅黑" w:eastAsia="微软雅黑" w:cs="Arial"/>
                <w:kern w:val="0"/>
                <w:sz w:val="24"/>
              </w:rPr>
            </w:pPr>
            <w:r>
              <w:rPr>
                <w:rFonts w:hint="eastAsia" w:ascii="微软雅黑" w:hAnsi="微软雅黑" w:eastAsia="微软雅黑" w:cs="Arial"/>
                <w:kern w:val="0"/>
                <w:sz w:val="24"/>
              </w:rPr>
              <w:t>打印分辨率：1200dpi*600dpi；</w:t>
            </w:r>
          </w:p>
          <w:p w14:paraId="08DA2783">
            <w:pPr>
              <w:widowControl/>
              <w:spacing w:line="440" w:lineRule="exact"/>
              <w:rPr>
                <w:rFonts w:ascii="微软雅黑" w:hAnsi="微软雅黑" w:eastAsia="微软雅黑" w:cs="Arial"/>
                <w:kern w:val="0"/>
                <w:sz w:val="24"/>
              </w:rPr>
            </w:pPr>
            <w:r>
              <w:rPr>
                <w:rFonts w:hint="eastAsia" w:ascii="微软雅黑" w:hAnsi="微软雅黑" w:eastAsia="微软雅黑" w:cs="Arial"/>
                <w:kern w:val="0"/>
                <w:sz w:val="24"/>
              </w:rPr>
              <w:t>纸张兼容性：</w:t>
            </w:r>
            <w:r>
              <w:rPr>
                <w:rFonts w:ascii="Arial" w:hAnsi="Arial" w:cs="Arial"/>
                <w:color w:val="5A5A5A"/>
                <w:kern w:val="0"/>
                <w:sz w:val="24"/>
              </w:rPr>
              <w:t>60~</w:t>
            </w:r>
            <w:r>
              <w:rPr>
                <w:rFonts w:hint="eastAsia" w:ascii="Arial" w:hAnsi="Arial" w:cs="Arial"/>
                <w:color w:val="5A5A5A"/>
                <w:kern w:val="0"/>
                <w:sz w:val="24"/>
              </w:rPr>
              <w:t>200</w:t>
            </w:r>
            <w:r>
              <w:rPr>
                <w:rFonts w:ascii="Arial" w:hAnsi="Arial" w:cs="Arial"/>
                <w:color w:val="5A5A5A"/>
                <w:kern w:val="0"/>
                <w:sz w:val="24"/>
              </w:rPr>
              <w:t>g/m²</w:t>
            </w:r>
            <w:r>
              <w:rPr>
                <w:rFonts w:hint="eastAsia" w:ascii="微软雅黑" w:hAnsi="微软雅黑" w:eastAsia="微软雅黑" w:cs="Arial"/>
                <w:kern w:val="0"/>
                <w:sz w:val="24"/>
              </w:rPr>
              <w:t>；</w:t>
            </w:r>
          </w:p>
          <w:p w14:paraId="31C98EFF">
            <w:pPr>
              <w:widowControl/>
              <w:spacing w:line="440" w:lineRule="exact"/>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color w:val="000000" w:themeColor="text1"/>
                <w:kern w:val="0"/>
                <w:sz w:val="24"/>
                <w14:textFill>
                  <w14:solidFill>
                    <w14:schemeClr w14:val="tx1"/>
                  </w14:solidFill>
                </w14:textFill>
              </w:rPr>
              <w:t>接口类型：</w:t>
            </w:r>
            <w:r>
              <w:rPr>
                <w:rFonts w:ascii="Arial" w:hAnsi="Arial" w:cs="Arial"/>
                <w:color w:val="5A5A5A"/>
                <w:kern w:val="0"/>
                <w:sz w:val="24"/>
              </w:rPr>
              <w:t>高速USB2.0接口</w:t>
            </w:r>
            <w:r>
              <w:rPr>
                <w:rFonts w:hint="eastAsia" w:ascii="微软雅黑" w:hAnsi="微软雅黑" w:eastAsia="微软雅黑" w:cs="Arial"/>
                <w:color w:val="000000" w:themeColor="text1"/>
                <w:kern w:val="0"/>
                <w:sz w:val="24"/>
                <w14:textFill>
                  <w14:solidFill>
                    <w14:schemeClr w14:val="tx1"/>
                  </w14:solidFill>
                </w14:textFill>
              </w:rPr>
              <w:t>；</w:t>
            </w:r>
          </w:p>
          <w:p w14:paraId="520FAD25">
            <w:pPr>
              <w:widowControl/>
              <w:spacing w:line="440" w:lineRule="exact"/>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color w:val="000000" w:themeColor="text1"/>
                <w:kern w:val="0"/>
                <w:sz w:val="24"/>
                <w14:textFill>
                  <w14:solidFill>
                    <w14:schemeClr w14:val="tx1"/>
                  </w14:solidFill>
                </w14:textFill>
              </w:rPr>
              <w:t>网络打印：支持</w:t>
            </w:r>
            <w:r>
              <w:rPr>
                <w:rFonts w:ascii="Arial" w:hAnsi="Arial" w:cs="Arial"/>
                <w:color w:val="5A5A5A"/>
                <w:kern w:val="0"/>
                <w:sz w:val="24"/>
              </w:rPr>
              <w:t>100Base-Tx Ethernet</w:t>
            </w:r>
          </w:p>
          <w:p w14:paraId="069802FF">
            <w:pPr>
              <w:widowControl/>
              <w:spacing w:line="440" w:lineRule="exact"/>
              <w:rPr>
                <w:rFonts w:ascii="微软雅黑" w:hAnsi="微软雅黑" w:eastAsia="微软雅黑" w:cs="Arial"/>
                <w:bCs/>
                <w:color w:val="000000" w:themeColor="text1"/>
                <w:kern w:val="0"/>
                <w:sz w:val="24"/>
                <w14:textFill>
                  <w14:solidFill>
                    <w14:schemeClr w14:val="tx1"/>
                  </w14:solidFill>
                </w14:textFill>
              </w:rPr>
            </w:pPr>
            <w:r>
              <w:rPr>
                <w:rFonts w:hint="eastAsia" w:ascii="微软雅黑" w:hAnsi="微软雅黑" w:eastAsia="微软雅黑" w:cs="Arial"/>
                <w:bCs/>
                <w:color w:val="000000" w:themeColor="text1"/>
                <w:kern w:val="0"/>
                <w:sz w:val="24"/>
                <w14:textFill>
                  <w14:solidFill>
                    <w14:schemeClr w14:val="tx1"/>
                  </w14:solidFill>
                </w14:textFill>
              </w:rPr>
              <w:t>打印语言：GDI；</w:t>
            </w:r>
          </w:p>
          <w:p w14:paraId="07C181B3">
            <w:pPr>
              <w:widowControl/>
              <w:spacing w:line="440" w:lineRule="exact"/>
              <w:rPr>
                <w:rFonts w:ascii="微软雅黑" w:hAnsi="微软雅黑" w:eastAsia="微软雅黑" w:cs="Arial"/>
                <w:bCs/>
                <w:color w:val="000000" w:themeColor="text1"/>
                <w:kern w:val="0"/>
                <w:sz w:val="24"/>
                <w14:textFill>
                  <w14:solidFill>
                    <w14:schemeClr w14:val="tx1"/>
                  </w14:solidFill>
                </w14:textFill>
              </w:rPr>
            </w:pPr>
            <w:r>
              <w:rPr>
                <w:rFonts w:ascii="微软雅黑" w:hAnsi="微软雅黑" w:eastAsia="微软雅黑" w:cs="Arial"/>
                <w:bCs/>
                <w:color w:val="000000" w:themeColor="text1"/>
                <w:kern w:val="0"/>
                <w:sz w:val="24"/>
                <w14:textFill>
                  <w14:solidFill>
                    <w14:schemeClr w14:val="tx1"/>
                  </w14:solidFill>
                </w14:textFill>
              </w:rPr>
              <w:t>双面打印：自动双面</w:t>
            </w:r>
          </w:p>
          <w:p w14:paraId="2E7726CC">
            <w:pPr>
              <w:widowControl/>
              <w:spacing w:line="440" w:lineRule="exact"/>
              <w:rPr>
                <w:rFonts w:ascii="Arial" w:hAnsi="Arial" w:cs="Arial"/>
                <w:color w:val="5A5A5A"/>
                <w:kern w:val="0"/>
                <w:sz w:val="24"/>
              </w:rPr>
            </w:pPr>
            <w:r>
              <w:rPr>
                <w:rFonts w:ascii="Arial" w:hAnsi="Arial" w:cs="Arial"/>
                <w:color w:val="5A5A5A"/>
                <w:kern w:val="0"/>
                <w:sz w:val="24"/>
              </w:rPr>
              <w:t>耗材类型：鼓粉分离</w:t>
            </w:r>
            <w:r>
              <w:rPr>
                <w:rFonts w:hint="eastAsia"/>
                <w:sz w:val="24"/>
              </w:rPr>
              <w:t>随机粉盒标配容量1500页，硒鼓寿命12000页</w:t>
            </w:r>
          </w:p>
          <w:p w14:paraId="41A6BC3C">
            <w:pPr>
              <w:widowControl/>
              <w:spacing w:line="440" w:lineRule="exact"/>
              <w:rPr>
                <w:rFonts w:ascii="Arial" w:hAnsi="Arial" w:cs="Arial"/>
                <w:color w:val="5A5A5A"/>
                <w:kern w:val="0"/>
                <w:sz w:val="24"/>
              </w:rPr>
            </w:pPr>
            <w:r>
              <w:rPr>
                <w:rFonts w:ascii="Arial" w:hAnsi="Arial" w:cs="Arial"/>
                <w:color w:val="5A5A5A"/>
                <w:kern w:val="0"/>
                <w:sz w:val="24"/>
              </w:rPr>
              <w:t>月负荷量：≤</w:t>
            </w:r>
            <w:r>
              <w:rPr>
                <w:rFonts w:hint="eastAsia" w:ascii="Arial" w:hAnsi="Arial" w:cs="Arial"/>
                <w:color w:val="5A5A5A"/>
                <w:kern w:val="0"/>
                <w:sz w:val="24"/>
              </w:rPr>
              <w:t>25</w:t>
            </w:r>
            <w:r>
              <w:rPr>
                <w:rFonts w:ascii="Arial" w:hAnsi="Arial" w:cs="Arial"/>
                <w:color w:val="5A5A5A"/>
                <w:kern w:val="0"/>
                <w:sz w:val="24"/>
              </w:rPr>
              <w:t>,000页</w:t>
            </w:r>
          </w:p>
          <w:p w14:paraId="744C1F78">
            <w:pPr>
              <w:widowControl/>
              <w:spacing w:line="440" w:lineRule="exact"/>
              <w:rPr>
                <w:rFonts w:ascii="Arial" w:hAnsi="Arial" w:cs="Arial"/>
                <w:color w:val="5A5A5A"/>
                <w:kern w:val="0"/>
                <w:sz w:val="24"/>
              </w:rPr>
            </w:pPr>
            <w:r>
              <w:rPr>
                <w:rFonts w:ascii="微软雅黑" w:hAnsi="微软雅黑" w:eastAsia="微软雅黑" w:cs="Arial"/>
                <w:bCs/>
                <w:color w:val="000000" w:themeColor="text1"/>
                <w:kern w:val="0"/>
                <w:sz w:val="24"/>
                <w14:textFill>
                  <w14:solidFill>
                    <w14:schemeClr w14:val="tx1"/>
                  </w14:solidFill>
                </w14:textFill>
              </w:rPr>
              <w:t>操作系统</w:t>
            </w:r>
            <w:r>
              <w:rPr>
                <w:rFonts w:hint="eastAsia" w:ascii="微软雅黑" w:hAnsi="微软雅黑" w:eastAsia="微软雅黑" w:cs="Arial"/>
                <w:bCs/>
                <w:color w:val="000000" w:themeColor="text1"/>
                <w:kern w:val="0"/>
                <w:sz w:val="24"/>
                <w14:textFill>
                  <w14:solidFill>
                    <w14:schemeClr w14:val="tx1"/>
                  </w14:solidFill>
                </w14:textFill>
              </w:rPr>
              <w:t>-共有</w:t>
            </w:r>
            <w:r>
              <w:rPr>
                <w:rFonts w:ascii="微软雅黑" w:hAnsi="微软雅黑" w:eastAsia="微软雅黑" w:cs="Arial"/>
                <w:bCs/>
                <w:color w:val="000000" w:themeColor="text1"/>
                <w:kern w:val="0"/>
                <w:sz w:val="24"/>
                <w14:textFill>
                  <w14:solidFill>
                    <w14:schemeClr w14:val="tx1"/>
                  </w14:solidFill>
                </w14:textFill>
              </w:rPr>
              <w:t>：</w:t>
            </w:r>
            <w:r>
              <w:rPr>
                <w:rFonts w:ascii="Arial" w:hAnsi="Arial" w:cs="Arial"/>
                <w:color w:val="5A5A5A"/>
                <w:kern w:val="0"/>
                <w:sz w:val="24"/>
              </w:rPr>
              <w:t>Microsoft Windows Server2003/Server2008/Server2012/XP/ Vista/Win7/Win8 Mac OS 10.6/10.7/10.8</w:t>
            </w:r>
          </w:p>
          <w:p w14:paraId="4E555C71">
            <w:pPr>
              <w:widowControl/>
              <w:spacing w:line="440" w:lineRule="exact"/>
              <w:rPr>
                <w:rFonts w:ascii="微软雅黑" w:hAnsi="微软雅黑" w:eastAsia="微软雅黑" w:cs="Arial"/>
                <w:bCs/>
                <w:color w:val="000000" w:themeColor="text1"/>
                <w:kern w:val="0"/>
                <w:sz w:val="24"/>
                <w14:textFill>
                  <w14:solidFill>
                    <w14:schemeClr w14:val="tx1"/>
                  </w14:solidFill>
                </w14:textFill>
              </w:rPr>
            </w:pPr>
            <w:r>
              <w:rPr>
                <w:rFonts w:ascii="微软雅黑" w:hAnsi="微软雅黑" w:eastAsia="微软雅黑" w:cs="Arial"/>
                <w:bCs/>
                <w:color w:val="000000" w:themeColor="text1"/>
                <w:kern w:val="0"/>
                <w:sz w:val="24"/>
                <w14:textFill>
                  <w14:solidFill>
                    <w14:schemeClr w14:val="tx1"/>
                  </w14:solidFill>
                </w14:textFill>
              </w:rPr>
              <w:t>操作系统</w:t>
            </w:r>
            <w:r>
              <w:rPr>
                <w:rFonts w:hint="eastAsia" w:ascii="微软雅黑" w:hAnsi="微软雅黑" w:eastAsia="微软雅黑" w:cs="Arial"/>
                <w:bCs/>
                <w:color w:val="000000" w:themeColor="text1"/>
                <w:kern w:val="0"/>
                <w:sz w:val="24"/>
                <w14:textFill>
                  <w14:solidFill>
                    <w14:schemeClr w14:val="tx1"/>
                  </w14:solidFill>
                </w14:textFill>
              </w:rPr>
              <w:t>-其他：</w:t>
            </w:r>
            <w:r>
              <w:rPr>
                <w:rFonts w:ascii="Arial" w:hAnsi="Arial" w:cs="Arial"/>
                <w:color w:val="5A5A5A"/>
                <w:kern w:val="0"/>
                <w:sz w:val="24"/>
              </w:rPr>
              <w:t>Win8.1(32/64位</w:t>
            </w:r>
            <w:r>
              <w:rPr>
                <w:rFonts w:hint="eastAsia" w:ascii="Arial" w:hAnsi="Arial" w:cs="Arial"/>
                <w:color w:val="5A5A5A"/>
                <w:kern w:val="0"/>
                <w:sz w:val="24"/>
              </w:rPr>
              <w:t>)</w:t>
            </w:r>
            <w:r>
              <w:rPr>
                <w:rFonts w:ascii="Arial" w:hAnsi="Arial" w:cs="Arial"/>
                <w:color w:val="5A5A5A"/>
                <w:kern w:val="0"/>
                <w:sz w:val="24"/>
              </w:rPr>
              <w:t xml:space="preserve"> Mac OS 10.9,Linux、中标麒麟（龙芯、申威）</w:t>
            </w:r>
          </w:p>
          <w:p w14:paraId="0E6BDEC2">
            <w:pPr>
              <w:widowControl/>
              <w:spacing w:line="440" w:lineRule="exact"/>
              <w:rPr>
                <w:rFonts w:ascii="Arial" w:hAnsi="Arial" w:cs="Arial"/>
                <w:color w:val="333333"/>
                <w:kern w:val="0"/>
                <w:sz w:val="24"/>
              </w:rPr>
            </w:pPr>
            <w:r>
              <w:rPr>
                <w:rFonts w:hint="eastAsia" w:ascii="微软雅黑" w:hAnsi="微软雅黑" w:eastAsia="微软雅黑" w:cs="Arial"/>
                <w:bCs/>
                <w:color w:val="000000" w:themeColor="text1"/>
                <w:kern w:val="0"/>
                <w:sz w:val="24"/>
                <w14:textFill>
                  <w14:solidFill>
                    <w14:schemeClr w14:val="tx1"/>
                  </w14:solidFill>
                </w14:textFill>
              </w:rPr>
              <w:t>尺寸：</w:t>
            </w:r>
            <w:r>
              <w:rPr>
                <w:rFonts w:ascii="Arial" w:hAnsi="Arial" w:cs="Arial"/>
                <w:color w:val="5A5A5A"/>
                <w:kern w:val="0"/>
                <w:sz w:val="24"/>
              </w:rPr>
              <w:t>3</w:t>
            </w:r>
            <w:r>
              <w:rPr>
                <w:rFonts w:hint="eastAsia" w:ascii="Arial" w:hAnsi="Arial" w:cs="Arial"/>
                <w:color w:val="5A5A5A"/>
                <w:kern w:val="0"/>
                <w:sz w:val="24"/>
              </w:rPr>
              <w:t>54</w:t>
            </w:r>
            <w:r>
              <w:rPr>
                <w:rFonts w:ascii="Arial" w:hAnsi="Arial" w:cs="Arial"/>
                <w:color w:val="5A5A5A"/>
                <w:kern w:val="0"/>
                <w:sz w:val="24"/>
              </w:rPr>
              <w:t>*3</w:t>
            </w:r>
            <w:r>
              <w:rPr>
                <w:rFonts w:hint="eastAsia" w:ascii="Arial" w:hAnsi="Arial" w:cs="Arial"/>
                <w:color w:val="5A5A5A"/>
                <w:kern w:val="0"/>
                <w:sz w:val="24"/>
              </w:rPr>
              <w:t>34</w:t>
            </w:r>
            <w:r>
              <w:rPr>
                <w:rFonts w:ascii="Arial" w:hAnsi="Arial" w:cs="Arial"/>
                <w:color w:val="5A5A5A"/>
                <w:kern w:val="0"/>
                <w:sz w:val="24"/>
              </w:rPr>
              <w:t>*</w:t>
            </w:r>
            <w:r>
              <w:rPr>
                <w:rFonts w:hint="eastAsia" w:ascii="Arial" w:hAnsi="Arial" w:cs="Arial"/>
                <w:color w:val="5A5A5A"/>
                <w:kern w:val="0"/>
                <w:sz w:val="24"/>
              </w:rPr>
              <w:t>218</w:t>
            </w:r>
            <w:r>
              <w:rPr>
                <w:rFonts w:ascii="Arial" w:hAnsi="Arial" w:cs="Arial"/>
                <w:color w:val="5A5A5A"/>
                <w:kern w:val="0"/>
                <w:sz w:val="24"/>
              </w:rPr>
              <w:t>mm</w:t>
            </w:r>
            <w:r>
              <w:rPr>
                <w:rFonts w:ascii="Arial" w:hAnsi="Arial" w:cs="Arial"/>
                <w:color w:val="333333"/>
                <w:kern w:val="0"/>
                <w:sz w:val="24"/>
              </w:rPr>
              <w:t>；重量：</w:t>
            </w:r>
            <w:r>
              <w:rPr>
                <w:rFonts w:hint="eastAsia" w:ascii="Arial" w:hAnsi="Arial" w:cs="Arial"/>
                <w:color w:val="5A5A5A"/>
                <w:kern w:val="0"/>
                <w:sz w:val="24"/>
              </w:rPr>
              <w:t>6.8</w:t>
            </w:r>
            <w:r>
              <w:rPr>
                <w:rFonts w:ascii="Arial" w:hAnsi="Arial" w:cs="Arial"/>
                <w:color w:val="333333"/>
                <w:kern w:val="0"/>
                <w:sz w:val="24"/>
              </w:rPr>
              <w:t>kg</w:t>
            </w:r>
          </w:p>
          <w:p w14:paraId="775E6F26">
            <w:pPr>
              <w:widowControl/>
              <w:spacing w:line="440" w:lineRule="exact"/>
              <w:rPr>
                <w:rFonts w:ascii="Arial" w:hAnsi="Arial" w:cs="Arial"/>
                <w:color w:val="333333"/>
                <w:kern w:val="0"/>
                <w:sz w:val="24"/>
                <w:u w:val="wave"/>
              </w:rPr>
            </w:pPr>
            <w:r>
              <w:rPr>
                <w:rFonts w:hint="eastAsia" w:ascii="Arial" w:hAnsi="Arial" w:cs="Arial"/>
                <w:color w:val="333333"/>
                <w:kern w:val="0"/>
                <w:sz w:val="24"/>
                <w:u w:val="wave"/>
              </w:rPr>
              <w:t>金属结构小巧机身，使用绿色环保材料 ；95%的转印率，降低11%的碳粉浪费 ；兼容国产操作系统，打印安全保密，支持多种纸张类型打印，信封和胶片，支持多种特殊打印，海报打印、N-up打印；</w:t>
            </w:r>
            <w:r>
              <w:rPr>
                <w:rFonts w:ascii="Arial" w:hAnsi="Arial" w:cs="Arial"/>
                <w:color w:val="333333"/>
                <w:kern w:val="0"/>
                <w:sz w:val="24"/>
                <w:u w:val="wave"/>
              </w:rPr>
              <w:t xml:space="preserve"> </w:t>
            </w:r>
            <w:bookmarkEnd w:id="0"/>
          </w:p>
          <w:p w14:paraId="1C8CF435">
            <w:pPr>
              <w:keepNext w:val="0"/>
              <w:keepLines w:val="0"/>
              <w:widowControl/>
              <w:suppressLineNumbers w:val="0"/>
              <w:jc w:val="left"/>
              <w:textAlignment w:val="center"/>
              <w:rPr>
                <w:rFonts w:hint="default" w:ascii="宋体" w:hAnsi="宋体" w:eastAsia="宋体" w:cs="宋体"/>
                <w:color w:val="000000"/>
                <w:sz w:val="18"/>
                <w:szCs w:val="18"/>
                <w:lang w:val="en-US" w:eastAsia="zh-CN" w:bidi="ar-SA"/>
              </w:rPr>
            </w:pPr>
          </w:p>
        </w:tc>
        <w:tc>
          <w:tcPr>
            <w:tcW w:w="731" w:type="pct"/>
            <w:vAlign w:val="top"/>
          </w:tcPr>
          <w:p w14:paraId="18F286B5">
            <w:pPr>
              <w:widowControl w:val="0"/>
              <w:bidi w:val="0"/>
              <w:jc w:val="left"/>
              <w:rPr>
                <w:rFonts w:hint="eastAsia" w:ascii="宋体" w:hAnsi="宋体" w:eastAsia="宋体" w:cs="宋体"/>
                <w:color w:val="auto"/>
                <w:sz w:val="18"/>
                <w:szCs w:val="18"/>
                <w:lang w:val="en-US" w:eastAsia="zh-CN" w:bidi="ar-SA"/>
              </w:rPr>
            </w:pPr>
          </w:p>
        </w:tc>
      </w:tr>
      <w:tr w14:paraId="449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Align w:val="center"/>
          </w:tcPr>
          <w:p w14:paraId="3AF4EB04">
            <w:pPr>
              <w:widowControl w:val="0"/>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3</w:t>
            </w:r>
          </w:p>
        </w:tc>
        <w:tc>
          <w:tcPr>
            <w:tcW w:w="709" w:type="pct"/>
            <w:vAlign w:val="center"/>
          </w:tcPr>
          <w:p w14:paraId="06C29FAF">
            <w:pPr>
              <w:keepNext w:val="0"/>
              <w:keepLines w:val="0"/>
              <w:widowControl/>
              <w:suppressLineNumbers w:val="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rPr>
              <w:t>UPS</w:t>
            </w:r>
          </w:p>
        </w:tc>
        <w:tc>
          <w:tcPr>
            <w:tcW w:w="3312" w:type="pct"/>
            <w:vAlign w:val="center"/>
          </w:tcPr>
          <w:p w14:paraId="602F7700">
            <w:pPr>
              <w:rPr>
                <w:rFonts w:hint="eastAsia"/>
              </w:rPr>
            </w:pPr>
            <w:r>
              <w:rPr>
                <w:rFonts w:hint="eastAsia"/>
              </w:rPr>
              <w:t>1.UPS设备须为高频塔式设计，采用DSP全数字化的控制技术，双转换在线式，容量≥3KVA。</w:t>
            </w:r>
          </w:p>
          <w:p w14:paraId="420DC70E">
            <w:pPr>
              <w:rPr>
                <w:rFonts w:hint="eastAsia"/>
              </w:rPr>
            </w:pPr>
            <w:r>
              <w:rPr>
                <w:rFonts w:hint="eastAsia"/>
              </w:rPr>
              <w:t>2.★UPS电源要求采用LCD大屏液晶显示操作面板，能够同时提供图形显示和数字显示，适合使用者查看状态、数据和进行操作控制。提供原厂说明文件。</w:t>
            </w:r>
          </w:p>
          <w:p w14:paraId="176AE928">
            <w:pPr>
              <w:rPr>
                <w:rFonts w:hint="eastAsia"/>
              </w:rPr>
            </w:pPr>
            <w:r>
              <w:rPr>
                <w:rFonts w:hint="eastAsia"/>
              </w:rPr>
              <w:t>3. ▲机箱中应用的非金属材料需满足UL94标准V0阻燃防火等级要求，提供第三方机构阻燃材料报告证明文件。</w:t>
            </w:r>
          </w:p>
          <w:p w14:paraId="76BA953F">
            <w:pPr>
              <w:rPr>
                <w:rFonts w:hint="eastAsia"/>
              </w:rPr>
            </w:pPr>
            <w:r>
              <w:rPr>
                <w:rFonts w:hint="eastAsia"/>
              </w:rPr>
              <w:t>4. UPS应具备自动旁路功能：即当UPS设备本身发生故障或异常时，能够自动切换至旁路电源输出，以确保在有市电的情况下，可以通过旁路输出继续给负载设备供电。</w:t>
            </w:r>
          </w:p>
          <w:p w14:paraId="7B9E3EF7">
            <w:pPr>
              <w:rPr>
                <w:rFonts w:hint="eastAsia"/>
              </w:rPr>
            </w:pPr>
            <w:r>
              <w:rPr>
                <w:rFonts w:hint="eastAsia"/>
              </w:rPr>
              <w:t>5.▲UPS旁路输入需具备断路器保护功能，提供原厂说明文件。</w:t>
            </w:r>
          </w:p>
          <w:p w14:paraId="45A3292C">
            <w:pPr>
              <w:rPr>
                <w:rFonts w:hint="eastAsia"/>
              </w:rPr>
            </w:pPr>
            <w:r>
              <w:rPr>
                <w:rFonts w:hint="eastAsia"/>
              </w:rPr>
              <w:t>6. ★UPS的运行模式具备待机模式、市电模式、电池模式、旁路模式、ECO节能模式和恒压恒频（CVCF）模式，灵活适应各种应用场景，并可通过软件设置ECO节能模式和恒压恒频模式，提供功能界面截图或产品截图。</w:t>
            </w:r>
          </w:p>
          <w:p w14:paraId="1D92A6E4">
            <w:pPr>
              <w:rPr>
                <w:rFonts w:hint="eastAsia"/>
              </w:rPr>
            </w:pPr>
            <w:r>
              <w:rPr>
                <w:rFonts w:hint="eastAsia"/>
              </w:rPr>
              <w:t>7.★UPS具有电池自动检测功能，可通过LCD操作面板或者监控平台设置放电自检时长，检测电池健康状态，供功能界面截图或产品截图。</w:t>
            </w:r>
          </w:p>
          <w:p w14:paraId="316F074C">
            <w:pPr>
              <w:rPr>
                <w:rFonts w:hint="eastAsia"/>
              </w:rPr>
            </w:pPr>
            <w:r>
              <w:rPr>
                <w:rFonts w:hint="eastAsia"/>
              </w:rPr>
              <w:t>8.★UPS输入电源线标配：16A国标插头。输出接口：3个10国标口+接线端子排。提供原厂说明文件。</w:t>
            </w:r>
          </w:p>
          <w:p w14:paraId="5E70D55E">
            <w:pPr>
              <w:rPr>
                <w:rFonts w:hint="eastAsia"/>
              </w:rPr>
            </w:pPr>
            <w:r>
              <w:rPr>
                <w:rFonts w:hint="eastAsia"/>
              </w:rPr>
              <w:t>9.UPS具备相序反接报警功能。</w:t>
            </w:r>
          </w:p>
          <w:p w14:paraId="64D9813D">
            <w:pPr>
              <w:rPr>
                <w:rFonts w:hint="eastAsia"/>
              </w:rPr>
            </w:pPr>
            <w:r>
              <w:rPr>
                <w:rFonts w:hint="eastAsia"/>
              </w:rPr>
              <w:t>10.UPS具备直流开机功能（冷启动）：UPS在没有市电时，可通过所连接的蓄电池组实现直流开机启动。（安装验收时将测试此项功能）。</w:t>
            </w:r>
          </w:p>
          <w:p w14:paraId="6DBA8964">
            <w:pPr>
              <w:rPr>
                <w:rFonts w:hint="eastAsia"/>
              </w:rPr>
            </w:pPr>
            <w:r>
              <w:rPr>
                <w:rFonts w:hint="eastAsia"/>
              </w:rPr>
              <w:t>11.★UPS具备超强的过载能力：105%&lt;负载≤130%, 1分钟转旁路并报警；130%&lt;负载≤150%, 10s转旁路并报警；负载&gt;150% , 200ms 转旁路并报警。提供原厂说明文件。</w:t>
            </w:r>
          </w:p>
          <w:p w14:paraId="425D8E89">
            <w:pPr>
              <w:rPr>
                <w:rFonts w:hint="eastAsia"/>
              </w:rPr>
            </w:pPr>
            <w:r>
              <w:rPr>
                <w:rFonts w:hint="eastAsia"/>
              </w:rPr>
              <w:t>12.UPS输入电气参数（提供原厂说明文件）：</w:t>
            </w:r>
          </w:p>
          <w:p w14:paraId="71FF0DEC">
            <w:pPr>
              <w:rPr>
                <w:rFonts w:hint="eastAsia"/>
              </w:rPr>
            </w:pPr>
            <w:r>
              <w:rPr>
                <w:rFonts w:hint="eastAsia"/>
              </w:rPr>
              <w:t>1）输入电压范围：110VAC-300VAC</w:t>
            </w:r>
          </w:p>
          <w:p w14:paraId="4D05EBA7">
            <w:pPr>
              <w:rPr>
                <w:rFonts w:hint="eastAsia"/>
              </w:rPr>
            </w:pPr>
            <w:r>
              <w:rPr>
                <w:rFonts w:hint="eastAsia"/>
              </w:rPr>
              <w:t>2）输入频率范围：40-70Hz</w:t>
            </w:r>
          </w:p>
          <w:p w14:paraId="59F07732">
            <w:pPr>
              <w:rPr>
                <w:rFonts w:hint="eastAsia"/>
              </w:rPr>
            </w:pPr>
            <w:r>
              <w:rPr>
                <w:rFonts w:hint="eastAsia"/>
              </w:rPr>
              <w:t>3）输入功率因数≥0.98</w:t>
            </w:r>
          </w:p>
          <w:p w14:paraId="413EDD92">
            <w:pPr>
              <w:rPr>
                <w:rFonts w:hint="eastAsia"/>
              </w:rPr>
            </w:pPr>
            <w:r>
              <w:rPr>
                <w:rFonts w:hint="eastAsia"/>
              </w:rPr>
              <w:t>4）输入谐波失真≤6%</w:t>
            </w:r>
          </w:p>
          <w:p w14:paraId="0C617409">
            <w:pPr>
              <w:rPr>
                <w:rFonts w:hint="eastAsia"/>
              </w:rPr>
            </w:pPr>
            <w:r>
              <w:rPr>
                <w:rFonts w:hint="eastAsia"/>
              </w:rPr>
              <w:t>13.UPS输出电气参数：</w:t>
            </w:r>
          </w:p>
          <w:p w14:paraId="5281DAE5">
            <w:pPr>
              <w:rPr>
                <w:rFonts w:hint="eastAsia"/>
              </w:rPr>
            </w:pPr>
            <w:r>
              <w:rPr>
                <w:rFonts w:hint="eastAsia"/>
              </w:rPr>
              <w:t>1)★UPS的输出功率因数:0~40℃环境温度下，输出功因为0.9，提供原厂说明文件。</w:t>
            </w:r>
          </w:p>
          <w:p w14:paraId="6429F94B">
            <w:pPr>
              <w:rPr>
                <w:rFonts w:hint="eastAsia"/>
              </w:rPr>
            </w:pPr>
            <w:r>
              <w:rPr>
                <w:rFonts w:hint="eastAsia"/>
              </w:rPr>
              <w:t>2)输出电压稳定精度≤±1%</w:t>
            </w:r>
          </w:p>
          <w:p w14:paraId="6188256B">
            <w:pPr>
              <w:rPr>
                <w:rFonts w:hint="eastAsia"/>
              </w:rPr>
            </w:pPr>
            <w:r>
              <w:rPr>
                <w:rFonts w:hint="eastAsia"/>
              </w:rPr>
              <w:t>3)输出频率：50±0.1Hz(电池模式)</w:t>
            </w:r>
          </w:p>
          <w:p w14:paraId="43D04BB1">
            <w:pPr>
              <w:rPr>
                <w:rFonts w:hint="eastAsia"/>
              </w:rPr>
            </w:pPr>
            <w:r>
              <w:rPr>
                <w:rFonts w:hint="eastAsia"/>
              </w:rPr>
              <w:t>4)UPS输出电压谐波分量：线性负载&lt;2%。</w:t>
            </w:r>
          </w:p>
          <w:p w14:paraId="255AFBB0">
            <w:pPr>
              <w:rPr>
                <w:rFonts w:hint="eastAsia"/>
              </w:rPr>
            </w:pPr>
            <w:r>
              <w:rPr>
                <w:rFonts w:hint="eastAsia"/>
              </w:rPr>
              <w:t>14.★UPS直流电气参数：电池内置机型7 小时内回冲至90%电池电量，配置不小于4A 充电器，电池电压不高于96Vdc，提供原厂说明文件。</w:t>
            </w:r>
          </w:p>
          <w:p w14:paraId="6B2C0306">
            <w:pPr>
              <w:rPr>
                <w:rFonts w:hint="eastAsia"/>
              </w:rPr>
            </w:pPr>
            <w:r>
              <w:rPr>
                <w:rFonts w:hint="eastAsia"/>
              </w:rPr>
              <w:t>15. ★UPS应标配USB HID接口，无须安装监控软件即可实现UPS监控。具备优异的智能扩展功能，通过选配监控卡：NMC网卡（远程监控及管理）、485接口卡、232接口卡、干结点卡，搭配智能卡槽，实现本地或网络监控管理，也可以兼容并接入第三方环控系统。</w:t>
            </w:r>
          </w:p>
          <w:p w14:paraId="02D6D5BC">
            <w:pPr>
              <w:rPr>
                <w:rFonts w:hint="eastAsia"/>
              </w:rPr>
            </w:pPr>
            <w:r>
              <w:rPr>
                <w:rFonts w:hint="eastAsia"/>
              </w:rPr>
              <w:t>16. ▲UPS风扇具备智能调速控制，可以根据带载量的高低、UPS机内温度的高低，自动调节风扇的转速。降低噪声及内部功耗，智能调速控制不低于四级，提供原厂说明文件。</w:t>
            </w:r>
          </w:p>
          <w:p w14:paraId="6FFE4515">
            <w:pPr>
              <w:rPr>
                <w:rFonts w:hint="eastAsia"/>
              </w:rPr>
            </w:pPr>
            <w:r>
              <w:rPr>
                <w:rFonts w:hint="eastAsia"/>
              </w:rPr>
              <w:t>17.▲UPS随机附带的监控软件需支持主流虚拟化平台，包括VMware、redhat等主流虚拟化平台。可以响应虚拟化迁移，进行安全关机保护，提供原厂说明文件。</w:t>
            </w:r>
          </w:p>
          <w:p w14:paraId="1288F167">
            <w:pPr>
              <w:rPr>
                <w:rFonts w:hint="eastAsia"/>
              </w:rPr>
            </w:pPr>
            <w:r>
              <w:rPr>
                <w:rFonts w:hint="eastAsia"/>
              </w:rPr>
              <w:t>18.环境参数要求：</w:t>
            </w:r>
          </w:p>
          <w:p w14:paraId="48521366">
            <w:pPr>
              <w:rPr>
                <w:rFonts w:hint="eastAsia"/>
              </w:rPr>
            </w:pPr>
            <w:r>
              <w:rPr>
                <w:rFonts w:hint="eastAsia"/>
              </w:rPr>
              <w:t>1)工作温度：0~40℃</w:t>
            </w:r>
          </w:p>
          <w:p w14:paraId="66D1134A">
            <w:pPr>
              <w:rPr>
                <w:rFonts w:hint="eastAsia"/>
              </w:rPr>
            </w:pPr>
            <w:r>
              <w:rPr>
                <w:rFonts w:hint="eastAsia"/>
              </w:rPr>
              <w:t>2)存储温度：-15~60℃（不含电池）</w:t>
            </w:r>
          </w:p>
          <w:p w14:paraId="7F036346">
            <w:pPr>
              <w:rPr>
                <w:rFonts w:hint="eastAsia"/>
              </w:rPr>
            </w:pPr>
            <w:r>
              <w:rPr>
                <w:rFonts w:hint="eastAsia"/>
              </w:rPr>
              <w:t>3)工作湿度：0%~95%（无凝露）</w:t>
            </w:r>
          </w:p>
          <w:p w14:paraId="63FF8C8F">
            <w:pPr>
              <w:rPr>
                <w:rFonts w:hint="eastAsia"/>
              </w:rPr>
            </w:pPr>
            <w:r>
              <w:rPr>
                <w:rFonts w:hint="eastAsia"/>
              </w:rPr>
              <w:t>4)海拔高度：0~3000米,1000米以下无降额</w:t>
            </w:r>
          </w:p>
          <w:p w14:paraId="7B5A75E8">
            <w:pPr>
              <w:rPr>
                <w:rFonts w:hint="eastAsia"/>
              </w:rPr>
            </w:pPr>
            <w:r>
              <w:rPr>
                <w:rFonts w:hint="eastAsia"/>
              </w:rPr>
              <w:t>5)噪音：1-3K＜50dB@1米距离，100%负载</w:t>
            </w:r>
          </w:p>
          <w:p w14:paraId="29158803">
            <w:pPr>
              <w:rPr>
                <w:rFonts w:hint="eastAsia"/>
              </w:rPr>
            </w:pPr>
            <w:r>
              <w:rPr>
                <w:rFonts w:hint="eastAsia"/>
              </w:rPr>
              <w:t>6)防护等级：IP20</w:t>
            </w:r>
          </w:p>
          <w:p w14:paraId="0FC44A37">
            <w:pPr>
              <w:rPr>
                <w:rFonts w:hint="eastAsia"/>
              </w:rPr>
            </w:pPr>
            <w:r>
              <w:rPr>
                <w:rFonts w:hint="eastAsia"/>
              </w:rPr>
              <w:t>19.支持无蓄电池开机，快速验证UPS状态（提供原厂说明文件）</w:t>
            </w:r>
          </w:p>
          <w:p w14:paraId="20958A44">
            <w:pPr>
              <w:rPr>
                <w:rFonts w:hint="eastAsia"/>
              </w:rPr>
            </w:pPr>
            <w:r>
              <w:rPr>
                <w:rFonts w:hint="eastAsia"/>
              </w:rPr>
              <w:t>20.▲投标UPS整机MTBF不低于500,000 小时，并提供MTBF计算书。</w:t>
            </w:r>
          </w:p>
          <w:p w14:paraId="4DD50589">
            <w:pPr>
              <w:rPr>
                <w:rFonts w:hint="eastAsia"/>
              </w:rPr>
            </w:pPr>
            <w:r>
              <w:rPr>
                <w:rFonts w:hint="eastAsia"/>
              </w:rPr>
              <w:t>21.★为确保整体UPS系统的安全性，UPS整流器件的保险丝配置UPS原厂保险丝，并且保险丝品牌需要与UPS集团同一品牌（以投标人提供功能界面或者产品截图为准）；</w:t>
            </w:r>
          </w:p>
          <w:p w14:paraId="05C5D4B9">
            <w:pPr>
              <w:rPr>
                <w:rFonts w:hint="eastAsia"/>
              </w:rPr>
            </w:pPr>
            <w:r>
              <w:rPr>
                <w:rFonts w:hint="eastAsia"/>
              </w:rPr>
              <w:t>22.★UPS主机的晶闸管配置短路故障在线检测装置；（须提供国家认可的第三方权威机构出具的检验检测报告或证书复印件证明）。</w:t>
            </w:r>
          </w:p>
          <w:p w14:paraId="5BB40777">
            <w:pPr>
              <w:rPr>
                <w:rFonts w:hint="eastAsia"/>
              </w:rPr>
            </w:pPr>
            <w:r>
              <w:rPr>
                <w:rFonts w:hint="eastAsia"/>
              </w:rPr>
              <w:t>23.投标UPS产品应具备泰尔认证，须提供有效期内的泰尔认证证书。</w:t>
            </w:r>
          </w:p>
          <w:p w14:paraId="6A384432">
            <w:pPr>
              <w:rPr>
                <w:rFonts w:hint="eastAsia"/>
              </w:rPr>
            </w:pPr>
            <w:r>
              <w:rPr>
                <w:rFonts w:hint="eastAsia"/>
              </w:rPr>
              <w:t>24.投标UPS产品应具备CQC节能认证，须提供有效期内的节能认证证书。</w:t>
            </w:r>
          </w:p>
          <w:p w14:paraId="3A87E8A7">
            <w:pPr>
              <w:rPr>
                <w:rFonts w:hint="eastAsia"/>
              </w:rPr>
            </w:pPr>
            <w:r>
              <w:rPr>
                <w:rFonts w:hint="eastAsia"/>
              </w:rPr>
              <w:t>25. ▲投标UPS产品应满足相关国际国标标准，须提供符合IEC62040-2或GB7260.2相关EMC检测报告.</w:t>
            </w:r>
          </w:p>
          <w:p w14:paraId="581E4005"/>
          <w:p w14:paraId="46D758FE">
            <w:pPr>
              <w:rPr>
                <w:rFonts w:hint="eastAsia"/>
              </w:rPr>
            </w:pPr>
            <w:r>
              <w:rPr>
                <w:rFonts w:hint="eastAsia"/>
              </w:rPr>
              <w:t>26.★投标产品生产制造商应通过ISO9001质量管理体系认证、ISO14001环境管理体系认证、ISO45001职业健康安全管理体系认证，ISO50001能源管理体系认证，并提供有效期内的认证证书。</w:t>
            </w:r>
          </w:p>
          <w:p w14:paraId="30FF1E0D">
            <w:pPr>
              <w:rPr>
                <w:rFonts w:hint="eastAsia"/>
              </w:rPr>
            </w:pPr>
            <w:r>
              <w:rPr>
                <w:rFonts w:hint="eastAsia"/>
              </w:rPr>
              <w:t>27.★投标产品生产制造商须具有5星级售后服务认证证书，提供证明文件。</w:t>
            </w:r>
          </w:p>
          <w:p w14:paraId="472774B7">
            <w:pPr>
              <w:rPr>
                <w:rFonts w:hint="eastAsia"/>
              </w:rPr>
            </w:pPr>
            <w:r>
              <w:rPr>
                <w:rFonts w:hint="eastAsia"/>
              </w:rPr>
              <w:t>28.▲投标产品生产制造商应具备较强的研发能力，制造商所属研发部门/中心应具备由中国质量认证监督管理中心出具的鉴定认证资质证书，并提供相关证明文件。</w:t>
            </w:r>
          </w:p>
          <w:p w14:paraId="1B4312F0">
            <w:pPr>
              <w:rPr>
                <w:rFonts w:hint="eastAsia"/>
              </w:rPr>
            </w:pPr>
            <w:r>
              <w:rPr>
                <w:rFonts w:hint="eastAsia"/>
              </w:rPr>
              <w:t>29.▲投标产品生产制造商应具备较强的研发能</w:t>
            </w:r>
          </w:p>
          <w:p w14:paraId="7F8761D5">
            <w:pPr>
              <w:rPr>
                <w:rFonts w:hint="eastAsia"/>
              </w:rPr>
            </w:pPr>
            <w:r>
              <w:rPr>
                <w:rFonts w:hint="eastAsia"/>
              </w:rPr>
              <w:t>12V-100AH蓄电池；ISO9001质量管理体系运行10年以上  ；拥有国家级实验室（通过CNAS认证，）；工作温度0℃～+40℃；储运温度-25℃～+55℃；</w:t>
            </w:r>
          </w:p>
          <w:p w14:paraId="0A9A4B92">
            <w:r>
              <w:rPr>
                <w:rFonts w:hint="eastAsia"/>
              </w:rPr>
              <w:t>环境温度20℃～25℃,浮充运行寿命不低于12年；自放电率每月不大于3%；完全充电的蓄电池，在25±5℃环境下静置28天后，容量保持率≥97%；80%放电深度时≥600次；30%放电深度时≥1100次；15min恒功率循环，前20次不低于15min，循环寿命大于60次；电池壳体能承受≥50kPa的正压或负压；压力释放后壳体无变形；蓄电池组单体间的开路电压最高与最低差值不大于20mV；进入浮充状态24h后，各蓄电池间的浮充电压最高值与最低值之差不大于50mV；</w:t>
            </w:r>
          </w:p>
          <w:p w14:paraId="628E6064">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p>
        </w:tc>
        <w:tc>
          <w:tcPr>
            <w:tcW w:w="731" w:type="pct"/>
            <w:vAlign w:val="top"/>
          </w:tcPr>
          <w:p w14:paraId="646808A2">
            <w:pPr>
              <w:widowControl w:val="0"/>
              <w:bidi w:val="0"/>
              <w:jc w:val="left"/>
              <w:rPr>
                <w:rFonts w:hint="eastAsia" w:ascii="宋体" w:hAnsi="宋体" w:eastAsia="宋体" w:cs="宋体"/>
                <w:color w:val="auto"/>
                <w:sz w:val="18"/>
                <w:szCs w:val="18"/>
                <w:lang w:val="en-US" w:eastAsia="zh-CN" w:bidi="ar-SA"/>
              </w:rPr>
            </w:pPr>
          </w:p>
        </w:tc>
      </w:tr>
      <w:tr w14:paraId="1272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Align w:val="center"/>
          </w:tcPr>
          <w:p w14:paraId="38C07EBD">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709" w:type="pct"/>
            <w:vAlign w:val="center"/>
          </w:tcPr>
          <w:p w14:paraId="020E84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笔记本电脑</w:t>
            </w:r>
          </w:p>
        </w:tc>
        <w:tc>
          <w:tcPr>
            <w:tcW w:w="3312" w:type="pct"/>
            <w:vAlign w:val="center"/>
          </w:tcPr>
          <w:p w14:paraId="6E2DB605">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14寸显示器</w:t>
            </w:r>
          </w:p>
          <w:p w14:paraId="66B5D462">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Cpu：Intel 10代或以上 </w:t>
            </w:r>
          </w:p>
          <w:p w14:paraId="10101ECC">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内存：16G</w:t>
            </w:r>
          </w:p>
          <w:p w14:paraId="070C08D9">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硬盘：固态512MB或以上</w:t>
            </w:r>
          </w:p>
          <w:p w14:paraId="20B16F73">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系统：windows64位系统 </w:t>
            </w:r>
          </w:p>
          <w:p w14:paraId="02EFCD15">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显卡：集成</w:t>
            </w:r>
          </w:p>
          <w:p w14:paraId="242725A1">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接口：HDMI</w:t>
            </w:r>
          </w:p>
          <w:p w14:paraId="40CB009A">
            <w:pPr>
              <w:keepNext w:val="0"/>
              <w:keepLines w:val="0"/>
              <w:widowControl/>
              <w:suppressLineNumbers w:val="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网卡：自适应+无线</w:t>
            </w:r>
          </w:p>
        </w:tc>
        <w:tc>
          <w:tcPr>
            <w:tcW w:w="731" w:type="pct"/>
            <w:vAlign w:val="top"/>
          </w:tcPr>
          <w:p w14:paraId="63ECE4FC">
            <w:pPr>
              <w:widowControl w:val="0"/>
              <w:bidi w:val="0"/>
              <w:jc w:val="left"/>
              <w:rPr>
                <w:rFonts w:hint="eastAsia" w:ascii="宋体" w:hAnsi="宋体" w:eastAsia="宋体" w:cs="宋体"/>
                <w:color w:val="auto"/>
                <w:sz w:val="18"/>
                <w:szCs w:val="18"/>
                <w:lang w:val="en-US" w:eastAsia="zh-CN" w:bidi="ar-SA"/>
              </w:rPr>
            </w:pPr>
          </w:p>
        </w:tc>
      </w:tr>
    </w:tbl>
    <w:p w14:paraId="422C5D09">
      <w:pPr>
        <w:widowControl w:val="0"/>
        <w:spacing w:line="360" w:lineRule="auto"/>
        <w:jc w:val="both"/>
        <w:rPr>
          <w:rFonts w:hint="eastAsia" w:eastAsiaTheme="minorEastAsia"/>
          <w:sz w:val="21"/>
          <w:szCs w:val="21"/>
          <w:lang w:val="en-US" w:eastAsia="zh-CN"/>
        </w:rPr>
      </w:pPr>
      <w:bookmarkStart w:id="1" w:name="_GoBack"/>
      <w:bookmarkEnd w:id="1"/>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MzhkMzAzMTg4ZDI3OWYwYTJmYjBhNzk1NzBhODQifQ=="/>
    <w:docVar w:name="KSO_WPS_MARK_KEY" w:val="3ff4ea80-f726-4669-a6f2-f5e467e24b0c"/>
  </w:docVars>
  <w:rsids>
    <w:rsidRoot w:val="004D0215"/>
    <w:rsid w:val="00067C09"/>
    <w:rsid w:val="00161381"/>
    <w:rsid w:val="00214EFA"/>
    <w:rsid w:val="0025621D"/>
    <w:rsid w:val="0027207A"/>
    <w:rsid w:val="002903FE"/>
    <w:rsid w:val="00327A00"/>
    <w:rsid w:val="003A428E"/>
    <w:rsid w:val="004D0215"/>
    <w:rsid w:val="005A1435"/>
    <w:rsid w:val="00680DC1"/>
    <w:rsid w:val="00695E32"/>
    <w:rsid w:val="007104D9"/>
    <w:rsid w:val="008716D9"/>
    <w:rsid w:val="00A23183"/>
    <w:rsid w:val="00B87344"/>
    <w:rsid w:val="00B93286"/>
    <w:rsid w:val="00BA4CB5"/>
    <w:rsid w:val="00C02692"/>
    <w:rsid w:val="00CA7B30"/>
    <w:rsid w:val="00D066FB"/>
    <w:rsid w:val="00D729B3"/>
    <w:rsid w:val="00DA2FCB"/>
    <w:rsid w:val="00DA4CB6"/>
    <w:rsid w:val="00E458AC"/>
    <w:rsid w:val="00EE20CE"/>
    <w:rsid w:val="00F6645B"/>
    <w:rsid w:val="00FC4281"/>
    <w:rsid w:val="01651666"/>
    <w:rsid w:val="02290C40"/>
    <w:rsid w:val="024F5702"/>
    <w:rsid w:val="0262772D"/>
    <w:rsid w:val="027F4D7E"/>
    <w:rsid w:val="03323AF6"/>
    <w:rsid w:val="038F0F77"/>
    <w:rsid w:val="03D977F6"/>
    <w:rsid w:val="03E5386A"/>
    <w:rsid w:val="0421051D"/>
    <w:rsid w:val="043E5E17"/>
    <w:rsid w:val="04E30D12"/>
    <w:rsid w:val="05817099"/>
    <w:rsid w:val="05824B15"/>
    <w:rsid w:val="05D62E8D"/>
    <w:rsid w:val="066E7569"/>
    <w:rsid w:val="076946A1"/>
    <w:rsid w:val="0774295E"/>
    <w:rsid w:val="08597912"/>
    <w:rsid w:val="0A3E02B7"/>
    <w:rsid w:val="0AEC6971"/>
    <w:rsid w:val="0B8870FA"/>
    <w:rsid w:val="0BD31127"/>
    <w:rsid w:val="0BE454AF"/>
    <w:rsid w:val="0C33200E"/>
    <w:rsid w:val="0D366907"/>
    <w:rsid w:val="0DBB2D20"/>
    <w:rsid w:val="0DC817A9"/>
    <w:rsid w:val="0DD17E19"/>
    <w:rsid w:val="0EF3685E"/>
    <w:rsid w:val="0F056591"/>
    <w:rsid w:val="0F342A18"/>
    <w:rsid w:val="0F603429"/>
    <w:rsid w:val="0F74546D"/>
    <w:rsid w:val="0F824086"/>
    <w:rsid w:val="0FA63D75"/>
    <w:rsid w:val="10A71BFE"/>
    <w:rsid w:val="10B3263D"/>
    <w:rsid w:val="10E502D8"/>
    <w:rsid w:val="114C7C70"/>
    <w:rsid w:val="11635C16"/>
    <w:rsid w:val="12154CE2"/>
    <w:rsid w:val="139F65F4"/>
    <w:rsid w:val="159737BF"/>
    <w:rsid w:val="15E855F4"/>
    <w:rsid w:val="165F2A2B"/>
    <w:rsid w:val="176D73C9"/>
    <w:rsid w:val="17E72CD8"/>
    <w:rsid w:val="190901A7"/>
    <w:rsid w:val="1951526D"/>
    <w:rsid w:val="199B7472"/>
    <w:rsid w:val="1A70247C"/>
    <w:rsid w:val="1AE302E2"/>
    <w:rsid w:val="1BD142FF"/>
    <w:rsid w:val="1C18481C"/>
    <w:rsid w:val="1CE27F12"/>
    <w:rsid w:val="1D0D3A6E"/>
    <w:rsid w:val="1D17333F"/>
    <w:rsid w:val="1D3B58A6"/>
    <w:rsid w:val="1D5B0093"/>
    <w:rsid w:val="1EBC16FA"/>
    <w:rsid w:val="1EDB6B26"/>
    <w:rsid w:val="1FEA1406"/>
    <w:rsid w:val="21831B09"/>
    <w:rsid w:val="22786DE0"/>
    <w:rsid w:val="24F858DF"/>
    <w:rsid w:val="252A6F30"/>
    <w:rsid w:val="26842CBE"/>
    <w:rsid w:val="269F2A78"/>
    <w:rsid w:val="273B3040"/>
    <w:rsid w:val="284506C1"/>
    <w:rsid w:val="289D4022"/>
    <w:rsid w:val="28C8445F"/>
    <w:rsid w:val="28E35699"/>
    <w:rsid w:val="29387837"/>
    <w:rsid w:val="296436C3"/>
    <w:rsid w:val="29CB4EF9"/>
    <w:rsid w:val="29D92739"/>
    <w:rsid w:val="2A3A0096"/>
    <w:rsid w:val="2AE70623"/>
    <w:rsid w:val="2AE9690F"/>
    <w:rsid w:val="2AF24DB9"/>
    <w:rsid w:val="2B294DC0"/>
    <w:rsid w:val="2B334B00"/>
    <w:rsid w:val="2C48446F"/>
    <w:rsid w:val="2C78166B"/>
    <w:rsid w:val="2EF34DEA"/>
    <w:rsid w:val="31066D5F"/>
    <w:rsid w:val="316C58F0"/>
    <w:rsid w:val="318E2E43"/>
    <w:rsid w:val="31CD3D10"/>
    <w:rsid w:val="31EF6F01"/>
    <w:rsid w:val="33423940"/>
    <w:rsid w:val="3381627F"/>
    <w:rsid w:val="33892C66"/>
    <w:rsid w:val="33975A89"/>
    <w:rsid w:val="33CC27E0"/>
    <w:rsid w:val="34FF2D6C"/>
    <w:rsid w:val="35F8283A"/>
    <w:rsid w:val="36323860"/>
    <w:rsid w:val="36392E40"/>
    <w:rsid w:val="372E4027"/>
    <w:rsid w:val="389A1203"/>
    <w:rsid w:val="38FA165F"/>
    <w:rsid w:val="3A9477F2"/>
    <w:rsid w:val="3B53056E"/>
    <w:rsid w:val="3CBB635D"/>
    <w:rsid w:val="3D2E1FAC"/>
    <w:rsid w:val="3D4D6F89"/>
    <w:rsid w:val="3D536596"/>
    <w:rsid w:val="3D6D59E5"/>
    <w:rsid w:val="3D785FFC"/>
    <w:rsid w:val="3D830BF4"/>
    <w:rsid w:val="3DCC7CAD"/>
    <w:rsid w:val="3DD702D9"/>
    <w:rsid w:val="3E1C2E2C"/>
    <w:rsid w:val="3EEA735C"/>
    <w:rsid w:val="3F0673E4"/>
    <w:rsid w:val="3F5C0140"/>
    <w:rsid w:val="3FE95E27"/>
    <w:rsid w:val="41C95079"/>
    <w:rsid w:val="441445A5"/>
    <w:rsid w:val="45E84BFA"/>
    <w:rsid w:val="46F56910"/>
    <w:rsid w:val="48631817"/>
    <w:rsid w:val="487E2758"/>
    <w:rsid w:val="49656D46"/>
    <w:rsid w:val="4A3C755B"/>
    <w:rsid w:val="4A753298"/>
    <w:rsid w:val="4B0E1D4E"/>
    <w:rsid w:val="4B985B5F"/>
    <w:rsid w:val="4C404189"/>
    <w:rsid w:val="4D506210"/>
    <w:rsid w:val="4F48042D"/>
    <w:rsid w:val="512247A5"/>
    <w:rsid w:val="513308E8"/>
    <w:rsid w:val="521D4F6D"/>
    <w:rsid w:val="52ED4FED"/>
    <w:rsid w:val="53026436"/>
    <w:rsid w:val="53640895"/>
    <w:rsid w:val="53937294"/>
    <w:rsid w:val="539F11FE"/>
    <w:rsid w:val="53A23DE9"/>
    <w:rsid w:val="53D61877"/>
    <w:rsid w:val="53DB60C1"/>
    <w:rsid w:val="54E04FCC"/>
    <w:rsid w:val="55AD6ECD"/>
    <w:rsid w:val="55C83AD8"/>
    <w:rsid w:val="56116B96"/>
    <w:rsid w:val="5662529D"/>
    <w:rsid w:val="56C105BC"/>
    <w:rsid w:val="56CD0D0F"/>
    <w:rsid w:val="57603BA9"/>
    <w:rsid w:val="57C50090"/>
    <w:rsid w:val="57CD4D3F"/>
    <w:rsid w:val="57D1106F"/>
    <w:rsid w:val="57F83587"/>
    <w:rsid w:val="59F277F7"/>
    <w:rsid w:val="5A30157F"/>
    <w:rsid w:val="5AA612DB"/>
    <w:rsid w:val="5B4377F2"/>
    <w:rsid w:val="5B742255"/>
    <w:rsid w:val="5B9D34BA"/>
    <w:rsid w:val="5C394F39"/>
    <w:rsid w:val="5E0F1B9E"/>
    <w:rsid w:val="5E5317F3"/>
    <w:rsid w:val="5EAA7B88"/>
    <w:rsid w:val="5EB56C59"/>
    <w:rsid w:val="5F1D6067"/>
    <w:rsid w:val="5F856848"/>
    <w:rsid w:val="5FB92779"/>
    <w:rsid w:val="5FD749AD"/>
    <w:rsid w:val="60E21835"/>
    <w:rsid w:val="61103AFC"/>
    <w:rsid w:val="621256DB"/>
    <w:rsid w:val="62DE6D75"/>
    <w:rsid w:val="646F04DF"/>
    <w:rsid w:val="661D66D9"/>
    <w:rsid w:val="6764190B"/>
    <w:rsid w:val="67A719EF"/>
    <w:rsid w:val="686F7E78"/>
    <w:rsid w:val="69391E5C"/>
    <w:rsid w:val="697E5192"/>
    <w:rsid w:val="6A8B6054"/>
    <w:rsid w:val="6ACF2E50"/>
    <w:rsid w:val="6B3B475E"/>
    <w:rsid w:val="6C2C1F69"/>
    <w:rsid w:val="6C55723D"/>
    <w:rsid w:val="6C557385"/>
    <w:rsid w:val="6CE64481"/>
    <w:rsid w:val="6DF845D9"/>
    <w:rsid w:val="6ED96E3C"/>
    <w:rsid w:val="6EE77230"/>
    <w:rsid w:val="6F1A6664"/>
    <w:rsid w:val="6FE80E50"/>
    <w:rsid w:val="6FED52BA"/>
    <w:rsid w:val="712E7AA4"/>
    <w:rsid w:val="71B07BA6"/>
    <w:rsid w:val="73331927"/>
    <w:rsid w:val="744503A4"/>
    <w:rsid w:val="74E06B17"/>
    <w:rsid w:val="75461F61"/>
    <w:rsid w:val="75CC221A"/>
    <w:rsid w:val="76373F9F"/>
    <w:rsid w:val="773B0DAF"/>
    <w:rsid w:val="78931D48"/>
    <w:rsid w:val="79004B1D"/>
    <w:rsid w:val="7BD269CF"/>
    <w:rsid w:val="7C770DB1"/>
    <w:rsid w:val="7CCC3693"/>
    <w:rsid w:val="7D3134F6"/>
    <w:rsid w:val="7EAA7A04"/>
    <w:rsid w:val="7F26122E"/>
    <w:rsid w:val="7FC1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3"/>
    <w:autoRedefine/>
    <w:qFormat/>
    <w:uiPriority w:val="0"/>
    <w:pPr>
      <w:keepNext/>
      <w:keepLines/>
      <w:spacing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99"/>
    <w:pPr>
      <w:autoSpaceDE w:val="0"/>
      <w:autoSpaceDN w:val="0"/>
      <w:adjustRightInd w:val="0"/>
      <w:jc w:val="center"/>
      <w:textAlignment w:val="baseline"/>
    </w:pPr>
  </w:style>
  <w:style w:type="paragraph" w:styleId="4">
    <w:name w:val="footer"/>
    <w:basedOn w:val="1"/>
    <w:link w:val="30"/>
    <w:autoRedefine/>
    <w:qFormat/>
    <w:uiPriority w:val="0"/>
    <w:pPr>
      <w:tabs>
        <w:tab w:val="center" w:pos="4153"/>
        <w:tab w:val="right" w:pos="8306"/>
      </w:tabs>
      <w:snapToGrid w:val="0"/>
    </w:pPr>
    <w:rPr>
      <w:sz w:val="18"/>
      <w:szCs w:val="18"/>
    </w:rPr>
  </w:style>
  <w:style w:type="paragraph" w:styleId="5">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7">
    <w:name w:val="Normal (Web)"/>
    <w:basedOn w:val="1"/>
    <w:autoRedefine/>
    <w:qFormat/>
    <w:uiPriority w:val="0"/>
    <w:pPr>
      <w:spacing w:beforeAutospacing="1"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bCs/>
    </w:rPr>
  </w:style>
  <w:style w:type="character" w:styleId="12">
    <w:name w:val="FollowedHyperlink"/>
    <w:basedOn w:val="10"/>
    <w:autoRedefine/>
    <w:qFormat/>
    <w:uiPriority w:val="0"/>
    <w:rPr>
      <w:color w:val="800080"/>
      <w:u w:val="none"/>
    </w:rPr>
  </w:style>
  <w:style w:type="character" w:styleId="13">
    <w:name w:val="Emphasis"/>
    <w:basedOn w:val="10"/>
    <w:autoRedefine/>
    <w:qFormat/>
    <w:uiPriority w:val="0"/>
    <w:rPr>
      <w:b/>
      <w:bCs/>
    </w:rPr>
  </w:style>
  <w:style w:type="character" w:styleId="14">
    <w:name w:val="HTML Definition"/>
    <w:basedOn w:val="10"/>
    <w:autoRedefine/>
    <w:qFormat/>
    <w:uiPriority w:val="0"/>
  </w:style>
  <w:style w:type="character" w:styleId="15">
    <w:name w:val="HTML Typewriter"/>
    <w:basedOn w:val="10"/>
    <w:autoRedefine/>
    <w:qFormat/>
    <w:uiPriority w:val="0"/>
    <w:rPr>
      <w:rFonts w:ascii="monospace" w:hAnsi="monospace" w:eastAsia="monospace" w:cs="monospace"/>
      <w:sz w:val="20"/>
    </w:rPr>
  </w:style>
  <w:style w:type="character" w:styleId="16">
    <w:name w:val="HTML Acronym"/>
    <w:basedOn w:val="10"/>
    <w:autoRedefine/>
    <w:qFormat/>
    <w:uiPriority w:val="0"/>
    <w:rPr>
      <w:bdr w:val="single" w:color="9A9A9A" w:sz="2" w:space="0"/>
      <w:shd w:val="clear" w:color="auto" w:fill="DBDDE2"/>
    </w:rPr>
  </w:style>
  <w:style w:type="character" w:styleId="17">
    <w:name w:val="HTML Variable"/>
    <w:basedOn w:val="10"/>
    <w:autoRedefine/>
    <w:qFormat/>
    <w:uiPriority w:val="0"/>
  </w:style>
  <w:style w:type="character" w:styleId="18">
    <w:name w:val="Hyperlink"/>
    <w:basedOn w:val="10"/>
    <w:autoRedefine/>
    <w:qFormat/>
    <w:uiPriority w:val="99"/>
    <w:rPr>
      <w:color w:val="0000FF"/>
      <w:u w:val="single"/>
    </w:rPr>
  </w:style>
  <w:style w:type="character" w:styleId="19">
    <w:name w:val="HTML Code"/>
    <w:basedOn w:val="10"/>
    <w:autoRedefine/>
    <w:qFormat/>
    <w:uiPriority w:val="0"/>
    <w:rPr>
      <w:rFonts w:hint="default" w:ascii="monospace" w:hAnsi="monospace" w:eastAsia="monospace" w:cs="monospace"/>
      <w:sz w:val="20"/>
    </w:rPr>
  </w:style>
  <w:style w:type="character" w:styleId="20">
    <w:name w:val="HTML Cite"/>
    <w:basedOn w:val="10"/>
    <w:autoRedefine/>
    <w:qFormat/>
    <w:uiPriority w:val="0"/>
  </w:style>
  <w:style w:type="character" w:styleId="21">
    <w:name w:val="HTML Keyboard"/>
    <w:basedOn w:val="10"/>
    <w:autoRedefine/>
    <w:qFormat/>
    <w:uiPriority w:val="0"/>
    <w:rPr>
      <w:rFonts w:hint="default" w:ascii="monospace" w:hAnsi="monospace" w:eastAsia="monospace" w:cs="monospace"/>
      <w:sz w:val="20"/>
    </w:rPr>
  </w:style>
  <w:style w:type="character" w:styleId="22">
    <w:name w:val="HTML Sample"/>
    <w:basedOn w:val="10"/>
    <w:autoRedefine/>
    <w:qFormat/>
    <w:uiPriority w:val="0"/>
    <w:rPr>
      <w:rFonts w:hint="default" w:ascii="monospace" w:hAnsi="monospace" w:eastAsia="monospace" w:cs="monospace"/>
    </w:rPr>
  </w:style>
  <w:style w:type="character" w:customStyle="1" w:styleId="23">
    <w:name w:val="标题 1 Char"/>
    <w:link w:val="2"/>
    <w:autoRedefine/>
    <w:qFormat/>
    <w:uiPriority w:val="0"/>
    <w:rPr>
      <w:b/>
      <w:kern w:val="44"/>
      <w:sz w:val="44"/>
    </w:rPr>
  </w:style>
  <w:style w:type="character" w:customStyle="1" w:styleId="24">
    <w:name w:val="font11"/>
    <w:basedOn w:val="10"/>
    <w:autoRedefine/>
    <w:qFormat/>
    <w:uiPriority w:val="0"/>
    <w:rPr>
      <w:rFonts w:hint="eastAsia" w:ascii="宋体" w:hAnsi="宋体" w:eastAsia="宋体" w:cs="宋体"/>
      <w:color w:val="0070C0"/>
      <w:sz w:val="22"/>
      <w:szCs w:val="22"/>
      <w:u w:val="none"/>
    </w:rPr>
  </w:style>
  <w:style w:type="character" w:customStyle="1" w:styleId="25">
    <w:name w:val="font21"/>
    <w:basedOn w:val="10"/>
    <w:autoRedefine/>
    <w:qFormat/>
    <w:uiPriority w:val="0"/>
    <w:rPr>
      <w:rFonts w:hint="eastAsia" w:ascii="宋体" w:hAnsi="宋体" w:eastAsia="宋体" w:cs="宋体"/>
      <w:color w:val="0070C0"/>
      <w:sz w:val="22"/>
      <w:szCs w:val="22"/>
      <w:u w:val="none"/>
    </w:rPr>
  </w:style>
  <w:style w:type="paragraph" w:customStyle="1" w:styleId="26">
    <w:name w:val="正文1"/>
    <w:next w:val="2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7">
    <w:name w:val="正文文本1"/>
    <w:basedOn w:val="26"/>
    <w:next w:val="26"/>
    <w:autoRedefine/>
    <w:qFormat/>
    <w:uiPriority w:val="99"/>
    <w:pPr>
      <w:jc w:val="center"/>
      <w:textAlignment w:val="baseline"/>
    </w:pPr>
    <w:rPr>
      <w:kern w:val="0"/>
      <w:sz w:val="24"/>
    </w:rPr>
  </w:style>
  <w:style w:type="paragraph" w:customStyle="1" w:styleId="28">
    <w:name w:val="列表段落"/>
    <w:basedOn w:val="26"/>
    <w:autoRedefine/>
    <w:qFormat/>
    <w:uiPriority w:val="0"/>
    <w:rPr>
      <w:rFonts w:ascii="Arial" w:hAnsi="Arial" w:eastAsia="新宋体" w:cs="Times New Roman"/>
    </w:rPr>
  </w:style>
  <w:style w:type="character" w:customStyle="1" w:styleId="29">
    <w:name w:val="页眉 Char"/>
    <w:basedOn w:val="10"/>
    <w:link w:val="5"/>
    <w:autoRedefine/>
    <w:qFormat/>
    <w:uiPriority w:val="0"/>
    <w:rPr>
      <w:rFonts w:asciiTheme="minorHAnsi" w:hAnsiTheme="minorHAnsi" w:eastAsiaTheme="minorEastAsia"/>
      <w:sz w:val="18"/>
      <w:szCs w:val="18"/>
    </w:rPr>
  </w:style>
  <w:style w:type="character" w:customStyle="1" w:styleId="30">
    <w:name w:val="页脚 Char"/>
    <w:basedOn w:val="10"/>
    <w:link w:val="4"/>
    <w:autoRedefine/>
    <w:qFormat/>
    <w:uiPriority w:val="0"/>
    <w:rPr>
      <w:rFonts w:asciiTheme="minorHAnsi" w:hAnsiTheme="minorHAnsi" w:eastAsiaTheme="minorEastAsia"/>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text-hei"/>
    <w:basedOn w:val="10"/>
    <w:autoRedefine/>
    <w:qFormat/>
    <w:uiPriority w:val="0"/>
  </w:style>
  <w:style w:type="character" w:customStyle="1" w:styleId="33">
    <w:name w:val="font41"/>
    <w:basedOn w:val="10"/>
    <w:autoRedefine/>
    <w:qFormat/>
    <w:uiPriority w:val="0"/>
    <w:rPr>
      <w:rFonts w:hint="eastAsia" w:ascii="宋体" w:hAnsi="宋体" w:eastAsia="宋体" w:cs="宋体"/>
      <w:color w:val="333333"/>
      <w:sz w:val="16"/>
      <w:szCs w:val="16"/>
      <w:u w:val="none"/>
    </w:rPr>
  </w:style>
  <w:style w:type="character" w:customStyle="1" w:styleId="34">
    <w:name w:val="font51"/>
    <w:basedOn w:val="10"/>
    <w:autoRedefine/>
    <w:qFormat/>
    <w:uiPriority w:val="0"/>
    <w:rPr>
      <w:rFonts w:hint="default" w:ascii="Arial" w:hAnsi="Arial" w:cs="Arial"/>
      <w:color w:val="333333"/>
      <w:sz w:val="14"/>
      <w:szCs w:val="1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1431</Words>
  <Characters>1705</Characters>
  <Lines>101</Lines>
  <Paragraphs>28</Paragraphs>
  <TotalTime>1</TotalTime>
  <ScaleCrop>false</ScaleCrop>
  <LinksUpToDate>false</LinksUpToDate>
  <CharactersWithSpaces>1727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2022-05-05T09:07:00Z</dcterms:created>
  <dc:creator>Administrator</dc:creator>
  <cp:lastModifiedBy>阿白</cp:lastModifiedBy>
  <dcterms:modified xsi:type="dcterms:W3CDTF">2024-08-08T11:46:22Z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19F255FFAF7A4715BB6B89FB6B315CE7_13</vt:lpwstr>
  </property>
</Properties>
</file>