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highlight w:val="none"/>
        </w:rPr>
      </w:pPr>
      <w:bookmarkStart w:id="0" w:name="OLE_LINK1"/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highlight w:val="none"/>
        </w:rPr>
        <w:t>国网陕西电力2025年第三次子公司市场化项目授权服务联合公开招标采购项目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outlineLvl w:val="9"/>
        <w:rPr>
          <w:rFonts w:hint="default" w:ascii="方正小标宋_GBK" w:hAnsi="方正小标宋_GBK" w:eastAsia="方正小标宋_GBK" w:cs="方正小标宋_GBK"/>
          <w:b/>
          <w:bCs/>
          <w:color w:val="auto"/>
          <w:kern w:val="0"/>
          <w:sz w:val="44"/>
          <w:szCs w:val="44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highlight w:val="none"/>
        </w:rPr>
        <w:t>采购推荐的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highlight w:val="none"/>
          <w:lang w:val="en-US" w:eastAsia="zh-CN"/>
        </w:rPr>
        <w:t>中标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highlight w:val="none"/>
        </w:rPr>
        <w:t>候选人公示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highlight w:val="none"/>
          <w:lang w:val="en-US" w:eastAsia="zh-CN"/>
        </w:rPr>
        <w:t>(三）</w:t>
      </w:r>
    </w:p>
    <w:bookmarkEnd w:id="0"/>
    <w:p>
      <w:pPr>
        <w:keepNext w:val="0"/>
        <w:keepLines w:val="0"/>
        <w:pageBreakBefore w:val="0"/>
        <w:widowControl/>
        <w:shd w:val="clear" w:color="auto" w:fill="auto"/>
        <w:kinsoku/>
        <w:overflowPunct/>
        <w:topLinePunct w:val="0"/>
        <w:autoSpaceDE/>
        <w:autoSpaceDN/>
        <w:bidi w:val="0"/>
        <w:spacing w:line="580" w:lineRule="exact"/>
        <w:ind w:firstLine="643" w:firstLineChars="200"/>
        <w:jc w:val="center"/>
        <w:outlineLvl w:val="9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b/>
          <w:bCs/>
          <w:color w:val="auto"/>
          <w:kern w:val="0"/>
          <w:sz w:val="32"/>
          <w:szCs w:val="32"/>
          <w:highlight w:val="none"/>
        </w:rPr>
        <w:t>（</w:t>
      </w:r>
      <w:r>
        <w:rPr>
          <w:rFonts w:hint="eastAsia" w:ascii="方正仿宋_GBK" w:hAnsi="方正仿宋_GBK" w:eastAsia="方正仿宋_GBK" w:cs="方正仿宋_GBK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招标</w:t>
      </w:r>
      <w:r>
        <w:rPr>
          <w:rFonts w:hint="eastAsia" w:ascii="方正仿宋_GBK" w:hAnsi="方正仿宋_GBK" w:eastAsia="方正仿宋_GBK" w:cs="方正仿宋_GBK"/>
          <w:b/>
          <w:bCs/>
          <w:color w:val="auto"/>
          <w:kern w:val="0"/>
          <w:sz w:val="32"/>
          <w:szCs w:val="32"/>
          <w:highlight w:val="none"/>
        </w:rPr>
        <w:t xml:space="preserve">项目编号: </w:t>
      </w:r>
      <w:r>
        <w:rPr>
          <w:rFonts w:hint="eastAsia" w:ascii="方正仿宋_GBK" w:hAnsi="方正仿宋_GBK" w:eastAsia="方正仿宋_GBK" w:cs="方正仿宋_GBK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CY2625SZFZ03</w:t>
      </w:r>
      <w:r>
        <w:rPr>
          <w:rFonts w:hint="eastAsia" w:ascii="方正仿宋_GBK" w:hAnsi="方正仿宋_GBK" w:eastAsia="方正仿宋_GBK" w:cs="方正仿宋_GBK"/>
          <w:b/>
          <w:bCs/>
          <w:color w:val="auto"/>
          <w:kern w:val="0"/>
          <w:sz w:val="32"/>
          <w:szCs w:val="32"/>
          <w:highlight w:val="none"/>
        </w:rPr>
        <w:t>）   </w:t>
      </w:r>
      <w:bookmarkStart w:id="1" w:name="_GoBack"/>
      <w:bookmarkEnd w:id="1"/>
    </w:p>
    <w:p>
      <w:pPr>
        <w:keepNext w:val="0"/>
        <w:keepLines w:val="0"/>
        <w:pageBreakBefore w:val="0"/>
        <w:widowControl/>
        <w:shd w:val="clear" w:color="auto" w:fill="auto"/>
        <w:kinsoku/>
        <w:overflowPunct/>
        <w:topLinePunct w:val="0"/>
        <w:autoSpaceDE/>
        <w:autoSpaceDN/>
        <w:bidi w:val="0"/>
        <w:spacing w:line="580" w:lineRule="exact"/>
        <w:jc w:val="both"/>
        <w:outlineLvl w:val="9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  <w:lang w:val="en-US" w:eastAsia="zh-CN"/>
        </w:rPr>
        <w:t>各相关投标人：</w:t>
      </w:r>
    </w:p>
    <w:p>
      <w:pPr>
        <w:keepNext w:val="0"/>
        <w:keepLines w:val="0"/>
        <w:pageBreakBefore w:val="0"/>
        <w:widowControl/>
        <w:shd w:val="clear" w:color="auto" w:fill="auto"/>
        <w:kinsoku/>
        <w:overflowPunct/>
        <w:topLinePunct w:val="0"/>
        <w:autoSpaceDE/>
        <w:autoSpaceDN/>
        <w:bidi w:val="0"/>
        <w:spacing w:line="580" w:lineRule="exact"/>
        <w:ind w:firstLine="640" w:firstLineChars="200"/>
        <w:jc w:val="left"/>
        <w:outlineLvl w:val="9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  <w:lang w:eastAsia="zh-CN"/>
        </w:rPr>
        <w:t>国网陕西电力2025年第三次子公司市场化项目授权服务联合公开招标采购项目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  <w:lang w:val="en-US" w:eastAsia="zh-CN"/>
        </w:rPr>
        <w:t>评标工作已经结束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  <w:lang w:val="en-US" w:eastAsia="zh-CN"/>
        </w:rPr>
        <w:t>现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</w:rPr>
        <w:t>将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  <w:lang w:val="en-US" w:eastAsia="zh-CN"/>
        </w:rPr>
        <w:t>评标委员会推荐的中标候选人予以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  <w:lang w:eastAsia="zh-CN"/>
        </w:rPr>
        <w:t>公示，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  <w:lang w:val="en-US" w:eastAsia="zh-CN"/>
        </w:rPr>
        <w:t>公示期3日。投标人或者其他利害关系人若对评标结果有异议的，请在中标候选人公示期间以书面形式提出。</w:t>
      </w:r>
    </w:p>
    <w:tbl>
      <w:tblPr>
        <w:tblStyle w:val="8"/>
        <w:tblW w:w="871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2940"/>
        <w:gridCol w:w="1122"/>
        <w:gridCol w:w="36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分标编号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包号</w:t>
            </w:r>
          </w:p>
        </w:tc>
        <w:tc>
          <w:tcPr>
            <w:tcW w:w="3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推荐的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中标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候选人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标08供应链服务限授（比例）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包001</w:t>
            </w:r>
          </w:p>
        </w:tc>
        <w:tc>
          <w:tcPr>
            <w:tcW w:w="3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西安诚达捷顺物流有限公司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default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标08供应链服务限授（比例）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包002</w:t>
            </w:r>
          </w:p>
        </w:tc>
        <w:tc>
          <w:tcPr>
            <w:tcW w:w="3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西安乐杰斯物流有限公司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80" w:lineRule="exact"/>
        <w:ind w:firstLine="640" w:firstLineChars="200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中标人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对以上结果如有异议，可以自公示之日起3日内，向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招标人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提出。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80" w:lineRule="exact"/>
        <w:ind w:firstLine="640" w:firstLineChars="200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根据招标投标法及相关法规规定，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中标人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和直接参与并且与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招标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活动有着直接利害关系的当事人有异议的，有权依法进行异议，提出异议时应注意以下事项：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80" w:lineRule="exact"/>
        <w:ind w:firstLine="640" w:firstLineChars="200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异议必须在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中标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候选人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 xml:space="preserve">公示结束前以书面形式提出。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80" w:lineRule="exact"/>
        <w:ind w:firstLine="640" w:firstLineChars="200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 xml:space="preserve">应当提交异议书，并包括下列内容：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80" w:lineRule="exact"/>
        <w:ind w:firstLine="640" w:firstLineChars="200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（1）异议人的名称、地址、联系人及有效联系方式；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80" w:lineRule="exact"/>
        <w:ind w:firstLine="640" w:firstLineChars="200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 xml:space="preserve">（2）被异议人的名称；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80" w:lineRule="exact"/>
        <w:ind w:firstLine="640" w:firstLineChars="200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 xml:space="preserve">（3）异议事项的基本事实；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80" w:lineRule="exact"/>
        <w:ind w:firstLine="640" w:firstLineChars="200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 xml:space="preserve">（4）有效线索和相关证明材料。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80" w:lineRule="exact"/>
        <w:ind w:firstLine="640" w:firstLineChars="200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 xml:space="preserve">异议人为法人的，异议书必须由其法定代表人或者授权代表签字并加盖公章，同时还需提交授权委托书；异议人为个人的，异议书必须由异议人本人签字，并附有效身份证明，由本人提交。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80" w:lineRule="exact"/>
        <w:ind w:firstLine="640" w:firstLineChars="200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 xml:space="preserve">下列异议将不予接收：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80" w:lineRule="exact"/>
        <w:ind w:firstLine="640" w:firstLineChars="200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（1）在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中标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候选人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公示结束后提出的；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80" w:lineRule="exact"/>
        <w:ind w:firstLine="640" w:firstLineChars="200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（2）异议人不能证明是所异议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采购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活动的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中标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和直接参与并且与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招标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活动有着直接利害关系的当事人；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80" w:lineRule="exact"/>
        <w:ind w:firstLine="640" w:firstLineChars="200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（3）异议事项不具体，且未提供有效线索，难以查证的；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80" w:lineRule="exact"/>
        <w:ind w:firstLine="640" w:firstLineChars="200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（4）对异议事项已经答复，且异议人没有提出新的证据的。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80" w:lineRule="exact"/>
        <w:ind w:firstLine="640" w:firstLineChars="200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异议人不得以异议为名排挤竞争对手，进行虚假、恶意异议，阻碍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2"/>
          <w:szCs w:val="32"/>
          <w:highlight w:val="none"/>
          <w:u w:val="none"/>
          <w:lang w:val="en-US" w:eastAsia="zh-CN"/>
        </w:rPr>
        <w:t>采购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活动的正常进行。</w:t>
      </w:r>
    </w:p>
    <w:p>
      <w:pPr>
        <w:keepNext w:val="0"/>
        <w:keepLines w:val="0"/>
        <w:pageBreakBefore w:val="0"/>
        <w:widowControl/>
        <w:shd w:val="clear" w:color="auto" w:fill="auto"/>
        <w:kinsoku/>
        <w:overflowPunct/>
        <w:topLinePunct w:val="0"/>
        <w:autoSpaceDE/>
        <w:autoSpaceDN/>
        <w:bidi w:val="0"/>
        <w:spacing w:line="580" w:lineRule="exact"/>
        <w:ind w:firstLine="640" w:firstLineChars="200"/>
        <w:jc w:val="left"/>
        <w:outlineLvl w:val="9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auto"/>
        <w:kinsoku/>
        <w:overflowPunct/>
        <w:topLinePunct w:val="0"/>
        <w:autoSpaceDE/>
        <w:autoSpaceDN/>
        <w:bidi w:val="0"/>
        <w:spacing w:line="580" w:lineRule="exact"/>
        <w:ind w:firstLine="640" w:firstLineChars="200"/>
        <w:jc w:val="left"/>
        <w:outlineLvl w:val="9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  <w:lang w:val="en-US" w:eastAsia="zh-CN"/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80" w:lineRule="exact"/>
        <w:ind w:firstLine="640" w:firstLineChars="200"/>
        <w:jc w:val="right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  <w:lang w:eastAsia="zh-CN"/>
        </w:rPr>
      </w:pPr>
    </w:p>
    <w:p>
      <w:pPr>
        <w:spacing w:line="580" w:lineRule="exact"/>
        <w:ind w:firstLine="600"/>
        <w:jc w:val="right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  <w:lang w:val="en-US" w:eastAsia="zh-CN"/>
        </w:rPr>
        <w:t xml:space="preserve">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 xml:space="preserve">联系电话：029-86162789  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jc w:val="right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2025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日</w:t>
      </w:r>
    </w:p>
    <w:p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74F43"/>
    <w:rsid w:val="04B55B2D"/>
    <w:rsid w:val="083010D1"/>
    <w:rsid w:val="0A774D4F"/>
    <w:rsid w:val="0B8E46CE"/>
    <w:rsid w:val="0E9D1BA8"/>
    <w:rsid w:val="102E7010"/>
    <w:rsid w:val="139C49F3"/>
    <w:rsid w:val="17391D69"/>
    <w:rsid w:val="1CA66C65"/>
    <w:rsid w:val="249541D7"/>
    <w:rsid w:val="27A06938"/>
    <w:rsid w:val="340F01FE"/>
    <w:rsid w:val="35085EFC"/>
    <w:rsid w:val="44402C6C"/>
    <w:rsid w:val="46901553"/>
    <w:rsid w:val="48B05464"/>
    <w:rsid w:val="4D9F44B1"/>
    <w:rsid w:val="5D8F79EE"/>
    <w:rsid w:val="5E7E3DEB"/>
    <w:rsid w:val="631C5247"/>
    <w:rsid w:val="66894448"/>
    <w:rsid w:val="6A8C44C2"/>
    <w:rsid w:val="70DB2C57"/>
    <w:rsid w:val="7A017138"/>
    <w:rsid w:val="7A052C96"/>
    <w:rsid w:val="7BA54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qFormat/>
    <w:uiPriority w:val="0"/>
    <w:pPr>
      <w:spacing w:after="120" w:afterLines="0"/>
      <w:ind w:left="420" w:leftChars="200"/>
    </w:p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 w:cs="Arial"/>
    </w:rPr>
  </w:style>
  <w:style w:type="paragraph" w:styleId="5">
    <w:name w:val="List"/>
    <w:basedOn w:val="1"/>
    <w:qFormat/>
    <w:uiPriority w:val="0"/>
    <w:pPr>
      <w:ind w:left="200" w:hanging="200" w:hangingChars="200"/>
      <w:contextualSpacing/>
    </w:pPr>
  </w:style>
  <w:style w:type="paragraph" w:styleId="6">
    <w:name w:val="Body Text First Indent 2"/>
    <w:basedOn w:val="3"/>
    <w:next w:val="7"/>
    <w:qFormat/>
    <w:uiPriority w:val="0"/>
    <w:pPr>
      <w:tabs>
        <w:tab w:val="left" w:pos="1176"/>
      </w:tabs>
      <w:ind w:firstLine="420" w:firstLineChars="200"/>
    </w:pPr>
  </w:style>
  <w:style w:type="paragraph" w:customStyle="1" w:styleId="7">
    <w:name w:val="表格文字"/>
    <w:basedOn w:val="5"/>
    <w:next w:val="1"/>
    <w:qFormat/>
    <w:uiPriority w:val="0"/>
    <w:pPr>
      <w:ind w:firstLine="0" w:firstLineChars="0"/>
      <w:jc w:val="center"/>
    </w:pPr>
    <w:rPr>
      <w:szCs w:val="20"/>
    </w:rPr>
  </w:style>
  <w:style w:type="paragraph" w:customStyle="1" w:styleId="10">
    <w:name w:val="自编标题2"/>
    <w:basedOn w:val="2"/>
    <w:next w:val="11"/>
    <w:qFormat/>
    <w:uiPriority w:val="0"/>
    <w:pPr>
      <w:spacing w:beforeLines="50" w:afterLines="50" w:line="240" w:lineRule="auto"/>
    </w:pPr>
    <w:rPr>
      <w:rFonts w:eastAsia="方正仿宋_GBK"/>
    </w:rPr>
  </w:style>
  <w:style w:type="paragraph" w:customStyle="1" w:styleId="11">
    <w:name w:val="自编正文"/>
    <w:basedOn w:val="1"/>
    <w:qFormat/>
    <w:uiPriority w:val="0"/>
    <w:pPr>
      <w:spacing w:line="560" w:lineRule="exact"/>
      <w:ind w:firstLine="200" w:firstLineChars="200"/>
    </w:pPr>
    <w:rPr>
      <w:rFonts w:eastAsia="方正仿宋_GBK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2023-07-26T08:50:00Z</dcterms:created>
  <dc:creator>123</dc:creator>
  <cp:lastModifiedBy>WZGS_SN</cp:lastModifiedBy>
  <dcterms:modified xsi:type="dcterms:W3CDTF">2025-07-04T07:52:41Z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E548084A7C434618AD6063098AFBA7E7</vt:lpwstr>
  </property>
</Properties>
</file>