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hd w:val="clear"/>
        <w:jc w:val="center"/>
        <w:outlineLvl w:val="1"/>
        <w:rPr>
          <w:color w:val="000000" w:themeColor="text1"/>
          <w:highlight w:val="none"/>
          <w14:textFill>
            <w14:solidFill>
              <w14:schemeClr w14:val="tx1"/>
            </w14:solidFill>
          </w14:textFill>
        </w:rPr>
      </w:pPr>
      <w:r>
        <w:rPr>
          <w:b/>
          <w:color w:val="000000" w:themeColor="text1"/>
          <w:sz w:val="36"/>
          <w:highlight w:val="none"/>
          <w14:textFill>
            <w14:solidFill>
              <w14:schemeClr w14:val="tx1"/>
            </w14:solidFill>
          </w14:textFill>
        </w:rPr>
        <w:t>第二章 采购需求</w:t>
      </w:r>
    </w:p>
    <w:p>
      <w:pPr>
        <w:pStyle w:val="9"/>
        <w:shd w:val="clear"/>
        <w:outlineLvl w:val="2"/>
        <w:rPr>
          <w:color w:val="000000" w:themeColor="text1"/>
          <w:highlight w:val="none"/>
          <w14:textFill>
            <w14:solidFill>
              <w14:schemeClr w14:val="tx1"/>
            </w14:solidFill>
          </w14:textFill>
        </w:rPr>
      </w:pPr>
      <w:r>
        <w:rPr>
          <w:b/>
          <w:color w:val="000000" w:themeColor="text1"/>
          <w:sz w:val="28"/>
          <w:highlight w:val="none"/>
          <w14:textFill>
            <w14:solidFill>
              <w14:schemeClr w14:val="tx1"/>
            </w14:solidFill>
          </w14:textFill>
        </w:rPr>
        <w:t>一、项目概况：</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项目属性：服务类</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属于不专门面向中小微企业预留采购份额的项目，原因和情形为：按照《政府采购促进中小企业发展管理办法》规定预留采购份额无法确保充分供应、充分竞争，或者存在可能影响政府采购目标实现的情形。</w:t>
      </w:r>
    </w:p>
    <w:p>
      <w:pPr>
        <w:pStyle w:val="3"/>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基本信息</w:t>
      </w:r>
    </w:p>
    <w:p>
      <w:pPr>
        <w:pStyle w:val="10"/>
        <w:shd w:val="clear"/>
        <w:ind w:firstLine="48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项目名称：</w:t>
      </w:r>
      <w:bookmarkStart w:id="0" w:name="OLE_LINK1"/>
      <w:r>
        <w:rPr>
          <w:rFonts w:hint="eastAsia"/>
          <w:color w:val="000000" w:themeColor="text1"/>
          <w:highlight w:val="none"/>
          <w14:textFill>
            <w14:solidFill>
              <w14:schemeClr w14:val="tx1"/>
            </w14:solidFill>
          </w14:textFill>
        </w:rPr>
        <w:t>广州市水务局智慧水务数据运营服务项目</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2026年</w:t>
      </w:r>
      <w:r>
        <w:rPr>
          <w:rFonts w:hint="eastAsia"/>
          <w:color w:val="000000" w:themeColor="text1"/>
          <w:highlight w:val="none"/>
          <w:lang w:eastAsia="zh-CN"/>
          <w14:textFill>
            <w14:solidFill>
              <w14:schemeClr w14:val="tx1"/>
            </w14:solidFill>
          </w14:textFill>
        </w:rPr>
        <w:t>）</w:t>
      </w:r>
      <w:bookmarkEnd w:id="0"/>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采购项目预算金额：人民币</w:t>
      </w:r>
      <w:r>
        <w:rPr>
          <w:rFonts w:hint="eastAsia"/>
          <w:color w:val="000000" w:themeColor="text1"/>
          <w:highlight w:val="none"/>
          <w:lang w:val="en-US" w:eastAsia="zh-CN"/>
          <w14:textFill>
            <w14:solidFill>
              <w14:schemeClr w14:val="tx1"/>
            </w14:solidFill>
          </w14:textFill>
        </w:rPr>
        <w:t>268</w:t>
      </w: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51</w:t>
      </w:r>
      <w:r>
        <w:rPr>
          <w:rFonts w:hint="eastAsia"/>
          <w:color w:val="000000" w:themeColor="text1"/>
          <w:highlight w:val="none"/>
          <w14:textFill>
            <w14:solidFill>
              <w14:schemeClr w14:val="tx1"/>
            </w14:solidFill>
          </w14:textFill>
        </w:rPr>
        <w:t>万元，预计2026年度使用</w:t>
      </w:r>
      <w:r>
        <w:rPr>
          <w:rFonts w:hint="eastAsia"/>
          <w:color w:val="000000" w:themeColor="text1"/>
          <w:highlight w:val="none"/>
          <w:lang w:val="en-US" w:eastAsia="zh-CN"/>
          <w14:textFill>
            <w14:solidFill>
              <w14:schemeClr w14:val="tx1"/>
            </w14:solidFill>
          </w14:textFill>
        </w:rPr>
        <w:t>109.48</w:t>
      </w:r>
      <w:r>
        <w:rPr>
          <w:rFonts w:hint="eastAsia"/>
          <w:color w:val="000000" w:themeColor="text1"/>
          <w:highlight w:val="none"/>
          <w14:textFill>
            <w14:solidFill>
              <w14:schemeClr w14:val="tx1"/>
            </w14:solidFill>
          </w14:textFill>
        </w:rPr>
        <w:t>万元，2027年度使用</w:t>
      </w:r>
      <w:r>
        <w:rPr>
          <w:rFonts w:hint="eastAsia"/>
          <w:color w:val="000000" w:themeColor="text1"/>
          <w:highlight w:val="none"/>
          <w:lang w:val="en-US" w:eastAsia="zh-CN"/>
          <w14:textFill>
            <w14:solidFill>
              <w14:schemeClr w14:val="tx1"/>
            </w14:solidFill>
          </w14:textFill>
        </w:rPr>
        <w:t>159</w:t>
      </w: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03</w:t>
      </w:r>
      <w:r>
        <w:rPr>
          <w:rFonts w:hint="eastAsia"/>
          <w:color w:val="000000" w:themeColor="text1"/>
          <w:highlight w:val="none"/>
          <w14:textFill>
            <w14:solidFill>
              <w14:schemeClr w14:val="tx1"/>
            </w14:solidFill>
          </w14:textFill>
        </w:rPr>
        <w:t>万元</w:t>
      </w:r>
      <w:r>
        <w:rPr>
          <w:rFonts w:hint="eastAsia" w:ascii="宋体" w:hAnsi="宋体" w:cs="宋体"/>
          <w:color w:val="000000" w:themeColor="text1"/>
          <w:szCs w:val="24"/>
          <w:highlight w:val="none"/>
          <w14:textFill>
            <w14:solidFill>
              <w14:schemeClr w14:val="tx1"/>
            </w14:solidFill>
          </w14:textFill>
        </w:rPr>
        <w:t>（具体以实际下达的财政资金为准）</w:t>
      </w:r>
      <w:r>
        <w:rPr>
          <w:rFonts w:hint="eastAsia"/>
          <w:color w:val="000000" w:themeColor="text1"/>
          <w:highlight w:val="none"/>
          <w14:textFill>
            <w14:solidFill>
              <w14:schemeClr w14:val="tx1"/>
            </w14:solidFill>
          </w14:textFill>
        </w:rPr>
        <w:t>。</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服务期限：本项目服务期为2026年5月-2027年</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月，服务期为12个月</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具体以合同签订时间为准</w:t>
      </w:r>
      <w:r>
        <w:rPr>
          <w:rFonts w:hint="eastAsia"/>
          <w:color w:val="000000" w:themeColor="text1"/>
          <w:highlight w:val="none"/>
          <w14:textFill>
            <w14:solidFill>
              <w14:schemeClr w14:val="tx1"/>
            </w14:solidFill>
          </w14:textFill>
        </w:rPr>
        <w:t>。</w:t>
      </w:r>
    </w:p>
    <w:p>
      <w:pPr>
        <w:pStyle w:val="3"/>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项目总体目标</w:t>
      </w:r>
    </w:p>
    <w:p>
      <w:pPr>
        <w:pStyle w:val="10"/>
        <w:shd w:val="clear"/>
        <w:ind w:firstLine="48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为广州市水务局信息化系统提供全面的运营服务，保障日常数据服务的稳定性、可靠性、安全性，确保应用系统的可用性、业务连续性，为广州市水务局营造一个健康、有序的监测与决策分析环境，充分发挥信息化技术对广州市水务工作开展的服务作用、支持作用、规范作用和促进作用。</w:t>
      </w:r>
    </w:p>
    <w:p>
      <w:pPr>
        <w:pStyle w:val="10"/>
        <w:shd w:val="clear"/>
        <w:ind w:firstLine="48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在“数字政府”的统一规划下，进一步完善和提升市水务局系统业务、数据治理的服务质量，保障广州市水务局业务系统的正常运行，确保在有效工作时间内提交高效数据支撑水务业务正常运行。加强系统运营能力，提高用户的数据使用和业务体验与支持力度，提高用户日常工作的效率。</w:t>
      </w:r>
    </w:p>
    <w:p>
      <w:pPr>
        <w:pStyle w:val="3"/>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相关平台概况</w:t>
      </w:r>
    </w:p>
    <w:p>
      <w:pPr>
        <w:pStyle w:val="4"/>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广州市智慧水务一体化平台</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广州市智慧水务一体化平台于2020年10月开始建设，2023年开始上线运行，是广州市水务信息化基础平台，支撑全市水务行业信息化应用建设，提供统一身份认证、系统整合、大屏专题整合、数据共享、信息化日常工作管理、物联和视频数据资源汇聚管理、模型计算分析、空间数据汇聚和水务一张图综合展示等支撑业务。</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【业务应用中心】为内部控制管理系统、水务科技管理系统、供水项目进度管理系统和节约用水管理系统等新建系统提供单点登录集成服务。</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【大屏展示中心】主要展示“水务概览”“排水专题”“河长专题”和“水旱灾害综合防御”等大屏专题，“水旱灾害综合防御”推广到各区水务局和市应急管理局使用。</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【数据资源中心】统一水务数据资源分类，整合各类数据并形成统一的数据资源目录，为全市水务数据资源的统一管理、更新、发布、查询和统计服务提供支持。</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【运维中心】支撑开展水务信息化项目、系统、云资源和网络安全等管理。</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【水务一张图】汇聚整合、统一展示水务各项基础数据资源。已集成包含工程设施、监测监控、水务业务专题和外务接入在内的4个专题24大类17.5亿条数据，支持各类水务数据可视化管理。</w:t>
      </w:r>
    </w:p>
    <w:p>
      <w:pPr>
        <w:pStyle w:val="4"/>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广州市智慧排水信息系统</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广州市智慧排水信息系统于2020年10月开始建设，2023年开始上线运行，涵盖设施全覆盖管理、内涝全周期管理、排水物联监控、规建管全周期管理、行政审批辅助、业务考核六大业务子系统，支撑排水业务形成“规建管全周期管理、排水设施全覆盖管理、城市内涝全周期管控、设施运行全时效监控、排水业务高协同联动、预测预报有模型支撑”的智慧管控体系，实现全方位管理、精细化治水。</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广州市智慧排水信息系统包括排水设施摸查上报、巡查、养护、监督、考核、档案管理、审批辅助分析等信息化功能，辅助各级管理人员实现对户、管、井、泵、闸、厂、口等排水设施的精细化管理；其次接入排水物联感知数据，并提供了可视化的对比、分析、预警、预报等功能，让各级管理人员直观的了解排水系统的运行态势；第三提供汛前、汛中、汛后的内涝管理功能，辅助各级管理人员实现防内涝“事前预警预报、事中应急指挥、事后分析总结”的全过程管理；最后构建模型应用的业务界面，方便各级管理人员了解和应用模型分析的结果，为排水业务决策提供辅助决策支撑。</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通过广州市智慧排水信息系统建设及应用，实现精细化水务治理模式，有效支撑污水设施管理和提质增效、雨水排水能力提升。</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设施全覆盖管理版块覆盖对全市11个行政区62个污水厂、1239座闸泵站、13317个排水口、3269个农污设施点，36989.8公里市政管渠、4361.2公里农污排水管网、39734个排水单元、70605户典型排水户等排水设施管理的智能化全覆盖管理。内涝全周期管理版块形成“雨前-雨中-雨后”全周期管理，辅助与模型预报等功能，实现内涝管控全市一盘棋，做到更提前预防、更及时发现，更快速处置。排水物联监控除接入市局自建物联监测设备外，持续接入非水务局系统自建物联监测设备。规建管全周期管理支撑排水规划、排水设施工程建设管理、排水设施运维管理，实现排水规划、建设、管理不同阶段成效对比分析，提升规建管全周期管理能力。行政审批辅助支撑排水行政审批及公共服务资料备案，支撑市、区、排水公司对资料的系统化管理。业务考核评价建成排水业务考核评价系统，支撑排水业务考核评价的信息化管理。</w:t>
      </w:r>
    </w:p>
    <w:p>
      <w:pPr>
        <w:pStyle w:val="4"/>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广州市水旱灾害防御信息系统</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广州市水旱灾害防御信息系统于2020年10月开始建设，2023年开始上线运行；系统功能包括：水利数据资源服务、数据资源管控系统、“一张图”服务、预案引擎系统、水利工程设施巡检管理系统、监测预警系统、预判推演系统、灾情管理系统、指挥调度系统、日常管理系统、大屏展示分系统。构建覆盖“预警预防、应急响应、善后处置、保障措施”四个方面的水利防灾减灾业务应用，主要应用于协助市水务部门汛前全面掌握全市水雨情信息、水文气象信息、工程设施信息、预报分析结果，汛中掌握监测预警信息、执行指挥调度，汛后实现灾害上报统计，同时能够对水利防灾减灾日常业务进行管理，并基于综合数字大屏总览各应用场景下的全市水利防灾减灾情况。</w:t>
      </w:r>
    </w:p>
    <w:p>
      <w:pPr>
        <w:pStyle w:val="4"/>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广州市智慧水务物联网（含视频）平台</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物联网平台支持基于GIS地图实现在线监测设备及数据的定位、显示与查看，实现各监测设备的安装点位、运行状态、运维状态、监测数据在地图上的实时显示，便于用户直观、全面的了解各监测站点的数据监测与设备运行情况，满足对排水和三防动态信息的管理。物联感知监测设备和物联网平台需要共同遵循广州市防洪、排水的物联数据标准及接入技术规范要求，实现设备的即插即用和物联网平台的开放接入，同时结合物联网和大数据等技术，实现对终端设备、承载网络接入、监测数据进行统一管理。</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广州市智慧水务视频整合平台主要实现整合广州市城管云平台、水利工程视频平台、农村污水视频平台、三防新建视频、排水新建视频以及仓库新建视频等10多万路视频资源，将其统一纳入水利防灾减灾监控视频整合平台管理，解决视频资源碎片化、孤岛化问题，构建起网络架构合理、基础数据共享、行业管理独立、公共平台统一、信息应用安全可信可控的视频资源管理系统，为水利防灾减灾综合应用平台提供可视化信息支撑，充分发挥社会视频资源的重要作用，实现信息资源共享和应用效益最大化。主要功能包含：</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实时监控：能对下级平台摄像头的实时视频进行访问。</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云台控制：在权限设置允许的条件下，能够控制下级平台的摄像机云台或快球。</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录像查询、回看与下载：能对下级平台录像资料进行查询、回看与下载。</w:t>
      </w:r>
    </w:p>
    <w:p>
      <w:pPr>
        <w:pStyle w:val="4"/>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广州市智慧水务模型平台</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模型管理为用户提供模型库平台，主要包括模型验证、模型适用性分析、模型评价、反馈评价、模型注册、模型更新和模型使用概况等，对模型准确性、适用性等方面做出合理评价和管理。集成预警预报模型、防洪调度模型、洪水风险模型、内涝预警模型、管网健康度评价模型、“厂网河一体化调度模型”，将模型计算成果及平台功能以服务方式对外提供，供水旱灾害防御、智慧排水系统使用，为排水、三防业务提供实时预警信息，为业务部门的业务决策提供有力支撑。</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模型管理平台的建设内容包括排水业务分析算法与模型库管理应用、决策辅助支撑系统及提供辅助决策支撑服务接口。</w:t>
      </w:r>
    </w:p>
    <w:p>
      <w:pPr>
        <w:pStyle w:val="2"/>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服务内容</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本次项目采购为广州市水务局智慧水务数据运营服务，包括以下内容。</w:t>
      </w:r>
    </w:p>
    <w:tbl>
      <w:tblPr>
        <w:tblStyle w:val="7"/>
        <w:tblW w:w="5006" w:type="pct"/>
        <w:tblInd w:w="-5" w:type="dxa"/>
        <w:tblLayout w:type="autofit"/>
        <w:tblCellMar>
          <w:top w:w="0" w:type="dxa"/>
          <w:left w:w="0" w:type="dxa"/>
          <w:bottom w:w="0" w:type="dxa"/>
          <w:right w:w="0" w:type="dxa"/>
        </w:tblCellMar>
      </w:tblPr>
      <w:tblGrid>
        <w:gridCol w:w="292"/>
        <w:gridCol w:w="666"/>
        <w:gridCol w:w="1749"/>
        <w:gridCol w:w="4699"/>
        <w:gridCol w:w="940"/>
      </w:tblGrid>
      <w:tr>
        <w:tblPrEx>
          <w:tblCellMar>
            <w:top w:w="0" w:type="dxa"/>
            <w:left w:w="0" w:type="dxa"/>
            <w:bottom w:w="0" w:type="dxa"/>
            <w:right w:w="0" w:type="dxa"/>
          </w:tblCellMar>
        </w:tblPrEx>
        <w:trPr>
          <w:trHeight w:val="57" w:hRule="atLeast"/>
          <w:tblHeader/>
        </w:trPr>
        <w:tc>
          <w:tcPr>
            <w:tcW w:w="17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jc w:val="center"/>
              <w:rPr>
                <w:rFonts w:hint="eastAsia" w:ascii="宋体" w:hAnsi="宋体" w:eastAsia="宋体" w:cs="Times New Roman"/>
                <w:b/>
                <w:bCs/>
                <w:color w:val="000000" w:themeColor="text1"/>
                <w:kern w:val="0"/>
                <w:sz w:val="20"/>
                <w:szCs w:val="20"/>
                <w:highlight w:val="none"/>
                <w14:textFill>
                  <w14:solidFill>
                    <w14:schemeClr w14:val="tx1"/>
                  </w14:solidFill>
                </w14:textFill>
              </w:rPr>
            </w:pPr>
            <w:r>
              <w:rPr>
                <w:rFonts w:ascii="宋体" w:hAnsi="宋体" w:eastAsia="宋体" w:cs="Times New Roman"/>
                <w:b/>
                <w:bCs/>
                <w:color w:val="000000" w:themeColor="text1"/>
                <w:kern w:val="0"/>
                <w:sz w:val="20"/>
                <w:szCs w:val="20"/>
                <w:highlight w:val="none"/>
                <w14:textFill>
                  <w14:solidFill>
                    <w14:schemeClr w14:val="tx1"/>
                  </w14:solidFill>
                </w14:textFill>
              </w:rPr>
              <w:t>序号</w:t>
            </w:r>
          </w:p>
        </w:tc>
        <w:tc>
          <w:tcPr>
            <w:tcW w:w="1447" w:type="pct"/>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jc w:val="center"/>
              <w:rPr>
                <w:rFonts w:hint="eastAsia" w:ascii="宋体" w:hAnsi="宋体" w:eastAsia="宋体" w:cs="Times New Roman"/>
                <w:b/>
                <w:bCs/>
                <w:color w:val="000000" w:themeColor="text1"/>
                <w:kern w:val="0"/>
                <w:sz w:val="20"/>
                <w:szCs w:val="20"/>
                <w:highlight w:val="none"/>
                <w14:textFill>
                  <w14:solidFill>
                    <w14:schemeClr w14:val="tx1"/>
                  </w14:solidFill>
                </w14:textFill>
              </w:rPr>
            </w:pPr>
            <w:r>
              <w:rPr>
                <w:rFonts w:ascii="宋体" w:hAnsi="宋体" w:eastAsia="宋体" w:cs="Times New Roman"/>
                <w:b/>
                <w:bCs/>
                <w:color w:val="000000" w:themeColor="text1"/>
                <w:kern w:val="0"/>
                <w:sz w:val="20"/>
                <w:szCs w:val="20"/>
                <w:highlight w:val="none"/>
                <w14:textFill>
                  <w14:solidFill>
                    <w14:schemeClr w14:val="tx1"/>
                  </w14:solidFill>
                </w14:textFill>
              </w:rPr>
              <w:t>服务类型</w:t>
            </w:r>
          </w:p>
        </w:tc>
        <w:tc>
          <w:tcPr>
            <w:tcW w:w="281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jc w:val="center"/>
              <w:rPr>
                <w:rFonts w:hint="eastAsia" w:ascii="宋体" w:hAnsi="宋体" w:eastAsia="宋体" w:cs="Times New Roman"/>
                <w:b/>
                <w:bCs/>
                <w:color w:val="000000" w:themeColor="text1"/>
                <w:kern w:val="0"/>
                <w:sz w:val="20"/>
                <w:szCs w:val="20"/>
                <w:highlight w:val="none"/>
                <w14:textFill>
                  <w14:solidFill>
                    <w14:schemeClr w14:val="tx1"/>
                  </w14:solidFill>
                </w14:textFill>
              </w:rPr>
            </w:pPr>
            <w:r>
              <w:rPr>
                <w:rFonts w:ascii="宋体" w:hAnsi="宋体" w:eastAsia="宋体" w:cs="Times New Roman"/>
                <w:b/>
                <w:bCs/>
                <w:color w:val="000000" w:themeColor="text1"/>
                <w:kern w:val="0"/>
                <w:sz w:val="20"/>
                <w:szCs w:val="20"/>
                <w:highlight w:val="none"/>
                <w14:textFill>
                  <w14:solidFill>
                    <w14:schemeClr w14:val="tx1"/>
                  </w14:solidFill>
                </w14:textFill>
              </w:rPr>
              <w:t>服务内容</w:t>
            </w:r>
          </w:p>
        </w:tc>
        <w:tc>
          <w:tcPr>
            <w:tcW w:w="563"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jc w:val="center"/>
              <w:rPr>
                <w:rFonts w:hint="eastAsia" w:ascii="宋体" w:hAnsi="宋体" w:eastAsia="宋体" w:cs="Times New Roman"/>
                <w:b/>
                <w:bCs/>
                <w:color w:val="000000" w:themeColor="text1"/>
                <w:kern w:val="0"/>
                <w:sz w:val="20"/>
                <w:szCs w:val="20"/>
                <w:highlight w:val="none"/>
                <w14:textFill>
                  <w14:solidFill>
                    <w14:schemeClr w14:val="tx1"/>
                  </w14:solidFill>
                </w14:textFill>
              </w:rPr>
            </w:pPr>
            <w:r>
              <w:rPr>
                <w:rFonts w:ascii="宋体" w:hAnsi="宋体" w:eastAsia="宋体" w:cs="Times New Roman"/>
                <w:b/>
                <w:bCs/>
                <w:color w:val="000000" w:themeColor="text1"/>
                <w:kern w:val="0"/>
                <w:sz w:val="20"/>
                <w:szCs w:val="20"/>
                <w:highlight w:val="none"/>
                <w14:textFill>
                  <w14:solidFill>
                    <w14:schemeClr w14:val="tx1"/>
                  </w14:solidFill>
                </w14:textFill>
              </w:rPr>
              <w:t>服务周期</w:t>
            </w:r>
          </w:p>
        </w:tc>
      </w:tr>
      <w:tr>
        <w:tblPrEx>
          <w:tblCellMar>
            <w:top w:w="0" w:type="dxa"/>
            <w:left w:w="0" w:type="dxa"/>
            <w:bottom w:w="0" w:type="dxa"/>
            <w:right w:w="0" w:type="dxa"/>
          </w:tblCellMar>
        </w:tblPrEx>
        <w:trPr>
          <w:trHeight w:val="57" w:hRule="atLeast"/>
        </w:trPr>
        <w:tc>
          <w:tcPr>
            <w:tcW w:w="17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w:t>
            </w:r>
          </w:p>
        </w:tc>
        <w:tc>
          <w:tcPr>
            <w:tcW w:w="399"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业务运营服务</w:t>
            </w:r>
          </w:p>
        </w:tc>
        <w:tc>
          <w:tcPr>
            <w:tcW w:w="1047"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信息系统管理运营服务</w:t>
            </w:r>
          </w:p>
        </w:tc>
        <w:tc>
          <w:tcPr>
            <w:tcW w:w="281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jc w:val="left"/>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系统误操作数据处理</w:t>
            </w:r>
          </w:p>
        </w:tc>
        <w:tc>
          <w:tcPr>
            <w:tcW w:w="563"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12个月</w:t>
            </w:r>
          </w:p>
        </w:tc>
      </w:tr>
      <w:tr>
        <w:tblPrEx>
          <w:tblCellMar>
            <w:top w:w="0" w:type="dxa"/>
            <w:left w:w="0" w:type="dxa"/>
            <w:bottom w:w="0" w:type="dxa"/>
            <w:right w:w="0" w:type="dxa"/>
          </w:tblCellMar>
        </w:tblPrEx>
        <w:trPr>
          <w:trHeight w:val="57" w:hRule="atLeast"/>
        </w:trPr>
        <w:tc>
          <w:tcPr>
            <w:tcW w:w="17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2</w:t>
            </w:r>
          </w:p>
        </w:tc>
        <w:tc>
          <w:tcPr>
            <w:tcW w:w="399"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Times New Roman"/>
                <w:color w:val="000000" w:themeColor="text1"/>
                <w:kern w:val="0"/>
                <w:sz w:val="20"/>
                <w:szCs w:val="20"/>
                <w:highlight w:val="none"/>
                <w14:textFill>
                  <w14:solidFill>
                    <w14:schemeClr w14:val="tx1"/>
                  </w14:solidFill>
                </w14:textFill>
              </w:rPr>
            </w:pPr>
          </w:p>
        </w:tc>
        <w:tc>
          <w:tcPr>
            <w:tcW w:w="1047"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281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jc w:val="left"/>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系统参数配置调整</w:t>
            </w:r>
          </w:p>
        </w:tc>
        <w:tc>
          <w:tcPr>
            <w:tcW w:w="563"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12个月</w:t>
            </w:r>
          </w:p>
        </w:tc>
      </w:tr>
      <w:tr>
        <w:tblPrEx>
          <w:tblCellMar>
            <w:top w:w="0" w:type="dxa"/>
            <w:left w:w="0" w:type="dxa"/>
            <w:bottom w:w="0" w:type="dxa"/>
            <w:right w:w="0" w:type="dxa"/>
          </w:tblCellMar>
        </w:tblPrEx>
        <w:trPr>
          <w:trHeight w:val="57" w:hRule="atLeast"/>
        </w:trPr>
        <w:tc>
          <w:tcPr>
            <w:tcW w:w="17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3</w:t>
            </w:r>
          </w:p>
        </w:tc>
        <w:tc>
          <w:tcPr>
            <w:tcW w:w="399"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Times New Roman"/>
                <w:color w:val="000000" w:themeColor="text1"/>
                <w:kern w:val="0"/>
                <w:sz w:val="20"/>
                <w:szCs w:val="20"/>
                <w:highlight w:val="none"/>
                <w14:textFill>
                  <w14:solidFill>
                    <w14:schemeClr w14:val="tx1"/>
                  </w14:solidFill>
                </w14:textFill>
              </w:rPr>
            </w:pPr>
          </w:p>
        </w:tc>
        <w:tc>
          <w:tcPr>
            <w:tcW w:w="1047"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281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jc w:val="left"/>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系统使用培训及推广</w:t>
            </w:r>
          </w:p>
        </w:tc>
        <w:tc>
          <w:tcPr>
            <w:tcW w:w="563"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12个月</w:t>
            </w:r>
          </w:p>
        </w:tc>
      </w:tr>
      <w:tr>
        <w:tblPrEx>
          <w:tblCellMar>
            <w:top w:w="0" w:type="dxa"/>
            <w:left w:w="0" w:type="dxa"/>
            <w:bottom w:w="0" w:type="dxa"/>
            <w:right w:w="0" w:type="dxa"/>
          </w:tblCellMar>
        </w:tblPrEx>
        <w:trPr>
          <w:trHeight w:val="57" w:hRule="atLeast"/>
        </w:trPr>
        <w:tc>
          <w:tcPr>
            <w:tcW w:w="17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4</w:t>
            </w:r>
          </w:p>
        </w:tc>
        <w:tc>
          <w:tcPr>
            <w:tcW w:w="399"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Times New Roman"/>
                <w:color w:val="000000" w:themeColor="text1"/>
                <w:kern w:val="0"/>
                <w:sz w:val="20"/>
                <w:szCs w:val="20"/>
                <w:highlight w:val="none"/>
                <w14:textFill>
                  <w14:solidFill>
                    <w14:schemeClr w14:val="tx1"/>
                  </w14:solidFill>
                </w14:textFill>
              </w:rPr>
            </w:pPr>
          </w:p>
        </w:tc>
        <w:tc>
          <w:tcPr>
            <w:tcW w:w="1047"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广州市智慧水务一体化平台业务运营服务</w:t>
            </w:r>
          </w:p>
        </w:tc>
        <w:tc>
          <w:tcPr>
            <w:tcW w:w="281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局机关一楼大屏、穗智管大屏指标数据核对和更新服务</w:t>
            </w:r>
          </w:p>
        </w:tc>
        <w:tc>
          <w:tcPr>
            <w:tcW w:w="563"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12个月</w:t>
            </w:r>
          </w:p>
        </w:tc>
      </w:tr>
      <w:tr>
        <w:tblPrEx>
          <w:tblCellMar>
            <w:top w:w="0" w:type="dxa"/>
            <w:left w:w="0" w:type="dxa"/>
            <w:bottom w:w="0" w:type="dxa"/>
            <w:right w:w="0" w:type="dxa"/>
          </w:tblCellMar>
        </w:tblPrEx>
        <w:trPr>
          <w:trHeight w:val="57" w:hRule="atLeast"/>
        </w:trPr>
        <w:tc>
          <w:tcPr>
            <w:tcW w:w="17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5</w:t>
            </w:r>
          </w:p>
        </w:tc>
        <w:tc>
          <w:tcPr>
            <w:tcW w:w="399"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Times New Roman"/>
                <w:color w:val="000000" w:themeColor="text1"/>
                <w:kern w:val="0"/>
                <w:sz w:val="20"/>
                <w:szCs w:val="20"/>
                <w:highlight w:val="none"/>
                <w14:textFill>
                  <w14:solidFill>
                    <w14:schemeClr w14:val="tx1"/>
                  </w14:solidFill>
                </w14:textFill>
              </w:rPr>
            </w:pPr>
          </w:p>
        </w:tc>
        <w:tc>
          <w:tcPr>
            <w:tcW w:w="1047"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281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水务监测站分析服务</w:t>
            </w:r>
          </w:p>
        </w:tc>
        <w:tc>
          <w:tcPr>
            <w:tcW w:w="563"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12个月</w:t>
            </w:r>
          </w:p>
        </w:tc>
      </w:tr>
      <w:tr>
        <w:tblPrEx>
          <w:tblCellMar>
            <w:top w:w="0" w:type="dxa"/>
            <w:left w:w="0" w:type="dxa"/>
            <w:bottom w:w="0" w:type="dxa"/>
            <w:right w:w="0" w:type="dxa"/>
          </w:tblCellMar>
        </w:tblPrEx>
        <w:trPr>
          <w:trHeight w:val="57" w:hRule="atLeast"/>
        </w:trPr>
        <w:tc>
          <w:tcPr>
            <w:tcW w:w="17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6</w:t>
            </w:r>
          </w:p>
        </w:tc>
        <w:tc>
          <w:tcPr>
            <w:tcW w:w="399"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Times New Roman"/>
                <w:color w:val="000000" w:themeColor="text1"/>
                <w:kern w:val="0"/>
                <w:sz w:val="20"/>
                <w:szCs w:val="20"/>
                <w:highlight w:val="none"/>
                <w14:textFill>
                  <w14:solidFill>
                    <w14:schemeClr w14:val="tx1"/>
                  </w14:solidFill>
                </w14:textFill>
              </w:rPr>
            </w:pPr>
          </w:p>
        </w:tc>
        <w:tc>
          <w:tcPr>
            <w:tcW w:w="1047"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281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测站基础数据更新服务</w:t>
            </w:r>
          </w:p>
        </w:tc>
        <w:tc>
          <w:tcPr>
            <w:tcW w:w="563"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2个月</w:t>
            </w:r>
          </w:p>
        </w:tc>
      </w:tr>
      <w:tr>
        <w:tblPrEx>
          <w:tblCellMar>
            <w:top w:w="0" w:type="dxa"/>
            <w:left w:w="0" w:type="dxa"/>
            <w:bottom w:w="0" w:type="dxa"/>
            <w:right w:w="0" w:type="dxa"/>
          </w:tblCellMar>
        </w:tblPrEx>
        <w:trPr>
          <w:trHeight w:val="57" w:hRule="atLeast"/>
        </w:trPr>
        <w:tc>
          <w:tcPr>
            <w:tcW w:w="17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7</w:t>
            </w:r>
          </w:p>
        </w:tc>
        <w:tc>
          <w:tcPr>
            <w:tcW w:w="399"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Times New Roman"/>
                <w:color w:val="000000" w:themeColor="text1"/>
                <w:kern w:val="0"/>
                <w:sz w:val="20"/>
                <w:szCs w:val="20"/>
                <w:highlight w:val="none"/>
                <w14:textFill>
                  <w14:solidFill>
                    <w14:schemeClr w14:val="tx1"/>
                  </w14:solidFill>
                </w14:textFill>
              </w:rPr>
            </w:pPr>
          </w:p>
        </w:tc>
        <w:tc>
          <w:tcPr>
            <w:tcW w:w="1047"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广州市智慧排水业务运营服务</w:t>
            </w:r>
          </w:p>
        </w:tc>
        <w:tc>
          <w:tcPr>
            <w:tcW w:w="281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排水设施运行态势分析</w:t>
            </w:r>
          </w:p>
        </w:tc>
        <w:tc>
          <w:tcPr>
            <w:tcW w:w="563"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12个月</w:t>
            </w:r>
          </w:p>
        </w:tc>
      </w:tr>
      <w:tr>
        <w:tblPrEx>
          <w:tblCellMar>
            <w:top w:w="0" w:type="dxa"/>
            <w:left w:w="0" w:type="dxa"/>
            <w:bottom w:w="0" w:type="dxa"/>
            <w:right w:w="0" w:type="dxa"/>
          </w:tblCellMar>
        </w:tblPrEx>
        <w:trPr>
          <w:trHeight w:val="57" w:hRule="atLeast"/>
        </w:trPr>
        <w:tc>
          <w:tcPr>
            <w:tcW w:w="17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8</w:t>
            </w:r>
          </w:p>
        </w:tc>
        <w:tc>
          <w:tcPr>
            <w:tcW w:w="399"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Times New Roman"/>
                <w:color w:val="000000" w:themeColor="text1"/>
                <w:kern w:val="0"/>
                <w:sz w:val="20"/>
                <w:szCs w:val="20"/>
                <w:highlight w:val="none"/>
                <w14:textFill>
                  <w14:solidFill>
                    <w14:schemeClr w14:val="tx1"/>
                  </w14:solidFill>
                </w14:textFill>
              </w:rPr>
            </w:pPr>
          </w:p>
        </w:tc>
        <w:tc>
          <w:tcPr>
            <w:tcW w:w="1047"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281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排水设施数据整合入库</w:t>
            </w:r>
          </w:p>
        </w:tc>
        <w:tc>
          <w:tcPr>
            <w:tcW w:w="563"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12个月</w:t>
            </w:r>
          </w:p>
        </w:tc>
      </w:tr>
      <w:tr>
        <w:tblPrEx>
          <w:tblCellMar>
            <w:top w:w="0" w:type="dxa"/>
            <w:left w:w="0" w:type="dxa"/>
            <w:bottom w:w="0" w:type="dxa"/>
            <w:right w:w="0" w:type="dxa"/>
          </w:tblCellMar>
        </w:tblPrEx>
        <w:trPr>
          <w:trHeight w:val="57" w:hRule="atLeast"/>
        </w:trPr>
        <w:tc>
          <w:tcPr>
            <w:tcW w:w="17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9</w:t>
            </w:r>
          </w:p>
        </w:tc>
        <w:tc>
          <w:tcPr>
            <w:tcW w:w="399"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Times New Roman"/>
                <w:color w:val="000000" w:themeColor="text1"/>
                <w:kern w:val="0"/>
                <w:sz w:val="20"/>
                <w:szCs w:val="20"/>
                <w:highlight w:val="none"/>
                <w14:textFill>
                  <w14:solidFill>
                    <w14:schemeClr w14:val="tx1"/>
                  </w14:solidFill>
                </w14:textFill>
              </w:rPr>
            </w:pPr>
          </w:p>
        </w:tc>
        <w:tc>
          <w:tcPr>
            <w:tcW w:w="1047"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广州市水旱灾害防御系统业务运营服务</w:t>
            </w:r>
          </w:p>
        </w:tc>
        <w:tc>
          <w:tcPr>
            <w:tcW w:w="281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汛前人工填报数据整理与分析服务</w:t>
            </w:r>
          </w:p>
        </w:tc>
        <w:tc>
          <w:tcPr>
            <w:tcW w:w="563"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12个月</w:t>
            </w:r>
          </w:p>
        </w:tc>
      </w:tr>
      <w:tr>
        <w:tblPrEx>
          <w:tblCellMar>
            <w:top w:w="0" w:type="dxa"/>
            <w:left w:w="0" w:type="dxa"/>
            <w:bottom w:w="0" w:type="dxa"/>
            <w:right w:w="0" w:type="dxa"/>
          </w:tblCellMar>
        </w:tblPrEx>
        <w:trPr>
          <w:trHeight w:val="57" w:hRule="atLeast"/>
        </w:trPr>
        <w:tc>
          <w:tcPr>
            <w:tcW w:w="17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10</w:t>
            </w:r>
          </w:p>
        </w:tc>
        <w:tc>
          <w:tcPr>
            <w:tcW w:w="399"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Times New Roman"/>
                <w:color w:val="000000" w:themeColor="text1"/>
                <w:kern w:val="0"/>
                <w:sz w:val="20"/>
                <w:szCs w:val="20"/>
                <w:highlight w:val="none"/>
                <w14:textFill>
                  <w14:solidFill>
                    <w14:schemeClr w14:val="tx1"/>
                  </w14:solidFill>
                </w14:textFill>
              </w:rPr>
            </w:pPr>
          </w:p>
        </w:tc>
        <w:tc>
          <w:tcPr>
            <w:tcW w:w="1047"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281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汛中保障服务</w:t>
            </w:r>
          </w:p>
        </w:tc>
        <w:tc>
          <w:tcPr>
            <w:tcW w:w="563"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hint="eastAsia" w:ascii="宋体" w:hAnsi="宋体" w:eastAsia="宋体" w:cs="Times New Roman"/>
                <w:color w:val="000000" w:themeColor="text1"/>
                <w:kern w:val="0"/>
                <w:sz w:val="20"/>
                <w:szCs w:val="20"/>
                <w:highlight w:val="none"/>
                <w14:textFill>
                  <w14:solidFill>
                    <w14:schemeClr w14:val="tx1"/>
                  </w14:solidFill>
                </w14:textFill>
              </w:rPr>
              <w:t>7</w:t>
            </w:r>
            <w:r>
              <w:rPr>
                <w:rFonts w:ascii="宋体" w:hAnsi="宋体" w:eastAsia="宋体" w:cs="Times New Roman"/>
                <w:color w:val="000000" w:themeColor="text1"/>
                <w:kern w:val="0"/>
                <w:sz w:val="20"/>
                <w:szCs w:val="20"/>
                <w:highlight w:val="none"/>
                <w14:textFill>
                  <w14:solidFill>
                    <w14:schemeClr w14:val="tx1"/>
                  </w14:solidFill>
                </w14:textFill>
              </w:rPr>
              <w:t>个月</w:t>
            </w:r>
          </w:p>
        </w:tc>
      </w:tr>
      <w:tr>
        <w:tblPrEx>
          <w:tblCellMar>
            <w:top w:w="0" w:type="dxa"/>
            <w:left w:w="0" w:type="dxa"/>
            <w:bottom w:w="0" w:type="dxa"/>
            <w:right w:w="0" w:type="dxa"/>
          </w:tblCellMar>
        </w:tblPrEx>
        <w:trPr>
          <w:trHeight w:val="57" w:hRule="atLeast"/>
        </w:trPr>
        <w:tc>
          <w:tcPr>
            <w:tcW w:w="17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11</w:t>
            </w:r>
          </w:p>
        </w:tc>
        <w:tc>
          <w:tcPr>
            <w:tcW w:w="399"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Times New Roman"/>
                <w:color w:val="000000" w:themeColor="text1"/>
                <w:kern w:val="0"/>
                <w:sz w:val="20"/>
                <w:szCs w:val="20"/>
                <w:highlight w:val="none"/>
                <w14:textFill>
                  <w14:solidFill>
                    <w14:schemeClr w14:val="tx1"/>
                  </w14:solidFill>
                </w14:textFill>
              </w:rPr>
            </w:pPr>
          </w:p>
        </w:tc>
        <w:tc>
          <w:tcPr>
            <w:tcW w:w="1047"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281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汛后非汛期值守工作</w:t>
            </w:r>
          </w:p>
        </w:tc>
        <w:tc>
          <w:tcPr>
            <w:tcW w:w="563"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5个月</w:t>
            </w:r>
          </w:p>
        </w:tc>
      </w:tr>
      <w:tr>
        <w:tblPrEx>
          <w:tblCellMar>
            <w:top w:w="0" w:type="dxa"/>
            <w:left w:w="0" w:type="dxa"/>
            <w:bottom w:w="0" w:type="dxa"/>
            <w:right w:w="0" w:type="dxa"/>
          </w:tblCellMar>
        </w:tblPrEx>
        <w:trPr>
          <w:trHeight w:val="57" w:hRule="atLeast"/>
        </w:trPr>
        <w:tc>
          <w:tcPr>
            <w:tcW w:w="17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12</w:t>
            </w:r>
          </w:p>
        </w:tc>
        <w:tc>
          <w:tcPr>
            <w:tcW w:w="399"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Times New Roman"/>
                <w:color w:val="000000" w:themeColor="text1"/>
                <w:kern w:val="0"/>
                <w:sz w:val="20"/>
                <w:szCs w:val="20"/>
                <w:highlight w:val="none"/>
                <w14:textFill>
                  <w14:solidFill>
                    <w14:schemeClr w14:val="tx1"/>
                  </w14:solidFill>
                </w14:textFill>
              </w:rPr>
            </w:pPr>
          </w:p>
        </w:tc>
        <w:tc>
          <w:tcPr>
            <w:tcW w:w="1047"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281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水利工程</w:t>
            </w:r>
          </w:p>
        </w:tc>
        <w:tc>
          <w:tcPr>
            <w:tcW w:w="563"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12个月</w:t>
            </w:r>
          </w:p>
        </w:tc>
      </w:tr>
      <w:tr>
        <w:tblPrEx>
          <w:tblCellMar>
            <w:top w:w="0" w:type="dxa"/>
            <w:left w:w="0" w:type="dxa"/>
            <w:bottom w:w="0" w:type="dxa"/>
            <w:right w:w="0" w:type="dxa"/>
          </w:tblCellMar>
        </w:tblPrEx>
        <w:trPr>
          <w:trHeight w:val="57" w:hRule="atLeast"/>
        </w:trPr>
        <w:tc>
          <w:tcPr>
            <w:tcW w:w="17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13</w:t>
            </w:r>
          </w:p>
        </w:tc>
        <w:tc>
          <w:tcPr>
            <w:tcW w:w="399"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Times New Roman"/>
                <w:color w:val="000000" w:themeColor="text1"/>
                <w:kern w:val="0"/>
                <w:sz w:val="20"/>
                <w:szCs w:val="20"/>
                <w:highlight w:val="none"/>
                <w14:textFill>
                  <w14:solidFill>
                    <w14:schemeClr w14:val="tx1"/>
                  </w14:solidFill>
                </w14:textFill>
              </w:rPr>
            </w:pPr>
          </w:p>
        </w:tc>
        <w:tc>
          <w:tcPr>
            <w:tcW w:w="1047"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广州市智慧水务模型平台预报预警运营服务</w:t>
            </w:r>
          </w:p>
        </w:tc>
        <w:tc>
          <w:tcPr>
            <w:tcW w:w="281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预报预警模型应用与分析服务</w:t>
            </w:r>
          </w:p>
        </w:tc>
        <w:tc>
          <w:tcPr>
            <w:tcW w:w="563"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7个月</w:t>
            </w:r>
          </w:p>
        </w:tc>
      </w:tr>
      <w:tr>
        <w:tblPrEx>
          <w:tblCellMar>
            <w:top w:w="0" w:type="dxa"/>
            <w:left w:w="0" w:type="dxa"/>
            <w:bottom w:w="0" w:type="dxa"/>
            <w:right w:w="0" w:type="dxa"/>
          </w:tblCellMar>
        </w:tblPrEx>
        <w:trPr>
          <w:trHeight w:val="57" w:hRule="atLeast"/>
        </w:trPr>
        <w:tc>
          <w:tcPr>
            <w:tcW w:w="17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14</w:t>
            </w:r>
          </w:p>
        </w:tc>
        <w:tc>
          <w:tcPr>
            <w:tcW w:w="399"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Times New Roman"/>
                <w:color w:val="000000" w:themeColor="text1"/>
                <w:kern w:val="0"/>
                <w:sz w:val="20"/>
                <w:szCs w:val="20"/>
                <w:highlight w:val="none"/>
                <w14:textFill>
                  <w14:solidFill>
                    <w14:schemeClr w14:val="tx1"/>
                  </w14:solidFill>
                </w14:textFill>
              </w:rPr>
            </w:pPr>
          </w:p>
        </w:tc>
        <w:tc>
          <w:tcPr>
            <w:tcW w:w="1047"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281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广州市“两涌一河”流域防洪调度支撑服务</w:t>
            </w:r>
          </w:p>
        </w:tc>
        <w:tc>
          <w:tcPr>
            <w:tcW w:w="563"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7个月</w:t>
            </w:r>
          </w:p>
        </w:tc>
      </w:tr>
      <w:tr>
        <w:tblPrEx>
          <w:tblCellMar>
            <w:top w:w="0" w:type="dxa"/>
            <w:left w:w="0" w:type="dxa"/>
            <w:bottom w:w="0" w:type="dxa"/>
            <w:right w:w="0" w:type="dxa"/>
          </w:tblCellMar>
        </w:tblPrEx>
        <w:trPr>
          <w:trHeight w:val="57" w:hRule="atLeast"/>
        </w:trPr>
        <w:tc>
          <w:tcPr>
            <w:tcW w:w="17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15</w:t>
            </w:r>
          </w:p>
        </w:tc>
        <w:tc>
          <w:tcPr>
            <w:tcW w:w="399"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Times New Roman"/>
                <w:color w:val="000000" w:themeColor="text1"/>
                <w:kern w:val="0"/>
                <w:sz w:val="20"/>
                <w:szCs w:val="20"/>
                <w:highlight w:val="none"/>
                <w14:textFill>
                  <w14:solidFill>
                    <w14:schemeClr w14:val="tx1"/>
                  </w14:solidFill>
                </w14:textFill>
              </w:rPr>
            </w:pPr>
          </w:p>
        </w:tc>
        <w:tc>
          <w:tcPr>
            <w:tcW w:w="104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广州市智慧水务物联网平台业务运营服务</w:t>
            </w:r>
          </w:p>
        </w:tc>
        <w:tc>
          <w:tcPr>
            <w:tcW w:w="2815"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物联数据采集及系统对接服务</w:t>
            </w:r>
          </w:p>
        </w:tc>
        <w:tc>
          <w:tcPr>
            <w:tcW w:w="563"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12个月</w:t>
            </w:r>
          </w:p>
        </w:tc>
      </w:tr>
      <w:tr>
        <w:tblPrEx>
          <w:tblCellMar>
            <w:top w:w="0" w:type="dxa"/>
            <w:left w:w="0" w:type="dxa"/>
            <w:bottom w:w="0" w:type="dxa"/>
            <w:right w:w="0" w:type="dxa"/>
          </w:tblCellMar>
        </w:tblPrEx>
        <w:trPr>
          <w:trHeight w:val="57" w:hRule="atLeast"/>
        </w:trPr>
        <w:tc>
          <w:tcPr>
            <w:tcW w:w="17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16</w:t>
            </w:r>
          </w:p>
        </w:tc>
        <w:tc>
          <w:tcPr>
            <w:tcW w:w="399"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数据处理运营服务</w:t>
            </w:r>
          </w:p>
        </w:tc>
        <w:tc>
          <w:tcPr>
            <w:tcW w:w="1047"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智慧水务数据共享与交换服务</w:t>
            </w:r>
          </w:p>
        </w:tc>
        <w:tc>
          <w:tcPr>
            <w:tcW w:w="281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广州市智慧水务一体化平台数据资源中心共享服务</w:t>
            </w:r>
          </w:p>
        </w:tc>
        <w:tc>
          <w:tcPr>
            <w:tcW w:w="563"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12个月</w:t>
            </w:r>
          </w:p>
        </w:tc>
      </w:tr>
      <w:tr>
        <w:tblPrEx>
          <w:tblCellMar>
            <w:top w:w="0" w:type="dxa"/>
            <w:left w:w="0" w:type="dxa"/>
            <w:bottom w:w="0" w:type="dxa"/>
            <w:right w:w="0" w:type="dxa"/>
          </w:tblCellMar>
        </w:tblPrEx>
        <w:trPr>
          <w:trHeight w:val="57" w:hRule="atLeast"/>
        </w:trPr>
        <w:tc>
          <w:tcPr>
            <w:tcW w:w="17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17</w:t>
            </w:r>
          </w:p>
        </w:tc>
        <w:tc>
          <w:tcPr>
            <w:tcW w:w="399"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Times New Roman"/>
                <w:color w:val="000000" w:themeColor="text1"/>
                <w:kern w:val="0"/>
                <w:sz w:val="20"/>
                <w:szCs w:val="20"/>
                <w:highlight w:val="none"/>
                <w14:textFill>
                  <w14:solidFill>
                    <w14:schemeClr w14:val="tx1"/>
                  </w14:solidFill>
                </w14:textFill>
              </w:rPr>
            </w:pPr>
          </w:p>
        </w:tc>
        <w:tc>
          <w:tcPr>
            <w:tcW w:w="1047"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Times New Roman"/>
                <w:color w:val="000000" w:themeColor="text1"/>
                <w:kern w:val="0"/>
                <w:sz w:val="20"/>
                <w:szCs w:val="20"/>
                <w:highlight w:val="none"/>
                <w14:textFill>
                  <w14:solidFill>
                    <w14:schemeClr w14:val="tx1"/>
                  </w14:solidFill>
                </w14:textFill>
              </w:rPr>
            </w:pPr>
          </w:p>
        </w:tc>
        <w:tc>
          <w:tcPr>
            <w:tcW w:w="281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市政数局数据门户资源目录更新服务</w:t>
            </w:r>
          </w:p>
        </w:tc>
        <w:tc>
          <w:tcPr>
            <w:tcW w:w="563"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12个月</w:t>
            </w:r>
          </w:p>
        </w:tc>
      </w:tr>
      <w:tr>
        <w:tblPrEx>
          <w:tblCellMar>
            <w:top w:w="0" w:type="dxa"/>
            <w:left w:w="0" w:type="dxa"/>
            <w:bottom w:w="0" w:type="dxa"/>
            <w:right w:w="0" w:type="dxa"/>
          </w:tblCellMar>
        </w:tblPrEx>
        <w:trPr>
          <w:trHeight w:val="57" w:hRule="atLeast"/>
        </w:trPr>
        <w:tc>
          <w:tcPr>
            <w:tcW w:w="17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18</w:t>
            </w:r>
          </w:p>
        </w:tc>
        <w:tc>
          <w:tcPr>
            <w:tcW w:w="399"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Times New Roman"/>
                <w:color w:val="000000" w:themeColor="text1"/>
                <w:kern w:val="0"/>
                <w:sz w:val="20"/>
                <w:szCs w:val="20"/>
                <w:highlight w:val="none"/>
                <w14:textFill>
                  <w14:solidFill>
                    <w14:schemeClr w14:val="tx1"/>
                  </w14:solidFill>
                </w14:textFill>
              </w:rPr>
            </w:pPr>
          </w:p>
        </w:tc>
        <w:tc>
          <w:tcPr>
            <w:tcW w:w="1047" w:type="pct"/>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智慧水务可视化服务</w:t>
            </w:r>
          </w:p>
        </w:tc>
        <w:tc>
          <w:tcPr>
            <w:tcW w:w="281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left"/>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水务一张图运营服务</w:t>
            </w:r>
          </w:p>
        </w:tc>
        <w:tc>
          <w:tcPr>
            <w:tcW w:w="563"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12个月</w:t>
            </w:r>
          </w:p>
        </w:tc>
      </w:tr>
      <w:tr>
        <w:tblPrEx>
          <w:tblCellMar>
            <w:top w:w="0" w:type="dxa"/>
            <w:left w:w="0" w:type="dxa"/>
            <w:bottom w:w="0" w:type="dxa"/>
            <w:right w:w="0" w:type="dxa"/>
          </w:tblCellMar>
        </w:tblPrEx>
        <w:trPr>
          <w:trHeight w:val="57" w:hRule="atLeast"/>
        </w:trPr>
        <w:tc>
          <w:tcPr>
            <w:tcW w:w="17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19</w:t>
            </w:r>
          </w:p>
        </w:tc>
        <w:tc>
          <w:tcPr>
            <w:tcW w:w="399"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Times New Roman"/>
                <w:color w:val="000000" w:themeColor="text1"/>
                <w:kern w:val="0"/>
                <w:sz w:val="20"/>
                <w:szCs w:val="20"/>
                <w:highlight w:val="none"/>
                <w14:textFill>
                  <w14:solidFill>
                    <w14:schemeClr w14:val="tx1"/>
                  </w14:solidFill>
                </w14:textFill>
              </w:rPr>
            </w:pPr>
          </w:p>
        </w:tc>
        <w:tc>
          <w:tcPr>
            <w:tcW w:w="1047" w:type="pct"/>
            <w:vMerge w:val="continue"/>
            <w:tcBorders>
              <w:top w:val="single" w:color="000000" w:sz="4" w:space="0"/>
              <w:left w:val="single" w:color="000000" w:sz="4" w:space="0"/>
              <w:bottom w:val="single" w:color="000000" w:sz="4" w:space="0"/>
              <w:right w:val="single" w:color="000000" w:sz="4" w:space="0"/>
            </w:tcBorders>
            <w:vAlign w:val="center"/>
          </w:tcPr>
          <w:p>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281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left"/>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水务业务专题图制作服务</w:t>
            </w:r>
          </w:p>
        </w:tc>
        <w:tc>
          <w:tcPr>
            <w:tcW w:w="563"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12个月</w:t>
            </w:r>
          </w:p>
        </w:tc>
      </w:tr>
      <w:tr>
        <w:tblPrEx>
          <w:tblCellMar>
            <w:top w:w="0" w:type="dxa"/>
            <w:left w:w="0" w:type="dxa"/>
            <w:bottom w:w="0" w:type="dxa"/>
            <w:right w:w="0" w:type="dxa"/>
          </w:tblCellMar>
        </w:tblPrEx>
        <w:trPr>
          <w:trHeight w:val="57" w:hRule="atLeast"/>
        </w:trPr>
        <w:tc>
          <w:tcPr>
            <w:tcW w:w="17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20</w:t>
            </w:r>
          </w:p>
        </w:tc>
        <w:tc>
          <w:tcPr>
            <w:tcW w:w="399"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其他业务运营服务</w:t>
            </w:r>
          </w:p>
        </w:tc>
        <w:tc>
          <w:tcPr>
            <w:tcW w:w="104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通信租赁服务</w:t>
            </w:r>
          </w:p>
        </w:tc>
        <w:tc>
          <w:tcPr>
            <w:tcW w:w="2815"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通信租赁服务</w:t>
            </w:r>
          </w:p>
        </w:tc>
        <w:tc>
          <w:tcPr>
            <w:tcW w:w="563" w:type="pc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shd w:val="clear"/>
              <w:jc w:val="center"/>
              <w:rPr>
                <w:rFonts w:hint="eastAsia" w:ascii="宋体" w:hAnsi="宋体" w:eastAsia="宋体" w:cs="Times New Roman"/>
                <w:color w:val="000000" w:themeColor="text1"/>
                <w:kern w:val="0"/>
                <w:sz w:val="20"/>
                <w:szCs w:val="20"/>
                <w:highlight w:val="none"/>
                <w14:textFill>
                  <w14:solidFill>
                    <w14:schemeClr w14:val="tx1"/>
                  </w14:solidFill>
                </w14:textFill>
              </w:rPr>
            </w:pPr>
            <w:r>
              <w:rPr>
                <w:rFonts w:ascii="宋体" w:hAnsi="宋体" w:eastAsia="宋体" w:cs="Times New Roman"/>
                <w:color w:val="000000" w:themeColor="text1"/>
                <w:kern w:val="0"/>
                <w:sz w:val="20"/>
                <w:szCs w:val="20"/>
                <w:highlight w:val="none"/>
                <w14:textFill>
                  <w14:solidFill>
                    <w14:schemeClr w14:val="tx1"/>
                  </w14:solidFill>
                </w14:textFill>
              </w:rPr>
              <w:t>12个月</w:t>
            </w:r>
          </w:p>
        </w:tc>
      </w:tr>
    </w:tbl>
    <w:p>
      <w:pPr>
        <w:pStyle w:val="3"/>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业务运营服务</w:t>
      </w:r>
    </w:p>
    <w:p>
      <w:pPr>
        <w:pStyle w:val="4"/>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信息系统管理运营服务</w:t>
      </w:r>
    </w:p>
    <w:p>
      <w:pPr>
        <w:shd w:val="clear"/>
        <w:spacing w:line="360" w:lineRule="auto"/>
        <w:ind w:firstLine="480" w:firstLineChars="200"/>
        <w:rPr>
          <w:rFonts w:ascii="Times New Roman" w:hAnsi="Times New Roman" w:eastAsia="宋体" w:cs="Times New Roman"/>
          <w:color w:val="000000" w:themeColor="text1"/>
          <w:sz w:val="24"/>
          <w:szCs w:val="22"/>
          <w:highlight w:val="none"/>
          <w14:textFill>
            <w14:solidFill>
              <w14:schemeClr w14:val="tx1"/>
            </w14:solidFill>
          </w14:textFill>
        </w:rPr>
      </w:pPr>
      <w:r>
        <w:rPr>
          <w:rFonts w:hint="eastAsia" w:ascii="Times New Roman" w:hAnsi="Times New Roman" w:eastAsia="宋体" w:cs="Times New Roman"/>
          <w:color w:val="000000" w:themeColor="text1"/>
          <w:sz w:val="24"/>
          <w:szCs w:val="22"/>
          <w:highlight w:val="none"/>
          <w14:textFill>
            <w14:solidFill>
              <w14:schemeClr w14:val="tx1"/>
            </w14:solidFill>
          </w14:textFill>
        </w:rPr>
        <w:t>为确保广州市水务局各系统能够可靠、安全、高效地运行，需要通过定期系统运营工作对各系统提供用户日常支持、培训等工作。</w:t>
      </w:r>
      <w:bookmarkStart w:id="1" w:name="OLE_LINK23"/>
      <w:r>
        <w:rPr>
          <w:rFonts w:hint="eastAsia" w:ascii="Times New Roman" w:hAnsi="Times New Roman" w:eastAsia="宋体" w:cs="Times New Roman"/>
          <w:color w:val="000000" w:themeColor="text1"/>
          <w:sz w:val="24"/>
          <w:szCs w:val="22"/>
          <w:highlight w:val="none"/>
          <w14:textFill>
            <w14:solidFill>
              <w14:schemeClr w14:val="tx1"/>
            </w14:solidFill>
          </w14:textFill>
        </w:rPr>
        <w:t>具体服务包括：</w:t>
      </w:r>
    </w:p>
    <w:bookmarkEnd w:id="1"/>
    <w:p>
      <w:pPr>
        <w:numPr>
          <w:ilvl w:val="0"/>
          <w:numId w:val="2"/>
        </w:numPr>
        <w:shd w:val="clear"/>
        <w:spacing w:line="360" w:lineRule="auto"/>
        <w:rPr>
          <w:rFonts w:ascii="Times New Roman" w:hAnsi="Times New Roman" w:eastAsia="宋体" w:cs="Times New Roman"/>
          <w:color w:val="000000" w:themeColor="text1"/>
          <w:sz w:val="24"/>
          <w:szCs w:val="22"/>
          <w:highlight w:val="none"/>
          <w14:textFill>
            <w14:solidFill>
              <w14:schemeClr w14:val="tx1"/>
            </w14:solidFill>
          </w14:textFill>
        </w:rPr>
      </w:pPr>
      <w:r>
        <w:rPr>
          <w:rFonts w:hint="eastAsia" w:ascii="Times New Roman" w:hAnsi="Times New Roman" w:eastAsia="宋体" w:cs="Times New Roman"/>
          <w:color w:val="000000" w:themeColor="text1"/>
          <w:sz w:val="24"/>
          <w:szCs w:val="22"/>
          <w:highlight w:val="none"/>
          <w14:textFill>
            <w14:solidFill>
              <w14:schemeClr w14:val="tx1"/>
            </w14:solidFill>
          </w14:textFill>
        </w:rPr>
        <w:t>系统误操作数据处理</w:t>
      </w:r>
    </w:p>
    <w:p>
      <w:pPr>
        <w:shd w:val="clear"/>
        <w:spacing w:line="360" w:lineRule="auto"/>
        <w:ind w:firstLine="480" w:firstLineChars="200"/>
        <w:rPr>
          <w:rFonts w:ascii="Times New Roman" w:hAnsi="Times New Roman" w:eastAsia="宋体" w:cs="Times New Roman"/>
          <w:color w:val="000000" w:themeColor="text1"/>
          <w:sz w:val="24"/>
          <w:szCs w:val="22"/>
          <w:highlight w:val="none"/>
          <w14:textFill>
            <w14:solidFill>
              <w14:schemeClr w14:val="tx1"/>
            </w14:solidFill>
          </w14:textFill>
        </w:rPr>
      </w:pP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按需</w:t>
      </w:r>
      <w:r>
        <w:rPr>
          <w:rFonts w:hint="eastAsia" w:ascii="Times New Roman" w:hAnsi="Times New Roman" w:eastAsia="宋体" w:cs="Times New Roman"/>
          <w:color w:val="000000" w:themeColor="text1"/>
          <w:sz w:val="24"/>
          <w:szCs w:val="22"/>
          <w:highlight w:val="none"/>
          <w14:textFill>
            <w14:solidFill>
              <w14:schemeClr w14:val="tx1"/>
            </w14:solidFill>
          </w14:textFill>
        </w:rPr>
        <w:t>对系统用户因操作失误而导致的数据问题，在经业务处室同意的情况下，提供技术支持，进行误操作数据的处理时首先需对误操作数据进行分析给出解决方案，最终经各方确认后进行误操作数据的处理。</w:t>
      </w:r>
    </w:p>
    <w:p>
      <w:pPr>
        <w:shd w:val="clear"/>
        <w:spacing w:line="360" w:lineRule="auto"/>
        <w:ind w:firstLine="480" w:firstLineChars="200"/>
        <w:rPr>
          <w:rFonts w:ascii="Times New Roman" w:hAnsi="Times New Roman" w:eastAsia="宋体" w:cs="Times New Roman"/>
          <w:color w:val="000000" w:themeColor="text1"/>
          <w:sz w:val="24"/>
          <w:szCs w:val="22"/>
          <w:highlight w:val="none"/>
          <w14:textFill>
            <w14:solidFill>
              <w14:schemeClr w14:val="tx1"/>
            </w14:solidFill>
          </w14:textFill>
        </w:rPr>
      </w:pPr>
      <w:r>
        <w:rPr>
          <w:rFonts w:hint="eastAsia" w:ascii="Times New Roman" w:hAnsi="Times New Roman" w:eastAsia="宋体" w:cs="Times New Roman"/>
          <w:color w:val="000000" w:themeColor="text1"/>
          <w:sz w:val="24"/>
          <w:szCs w:val="22"/>
          <w:highlight w:val="none"/>
          <w14:textFill>
            <w14:solidFill>
              <w14:schemeClr w14:val="tx1"/>
            </w14:solidFill>
          </w14:textFill>
        </w:rPr>
        <w:t>包括因误操作产生较严重影响的问题给出事件流程如下：技术分析、内部研判、及时汇报、及时响应处理，事后总结说明，提供说明及处理报告、登记记录事件；因误操作产生较小影响的事件流程如下：技术分析、内部研判、响应处理、登记记录事件。</w:t>
      </w:r>
    </w:p>
    <w:p>
      <w:pPr>
        <w:shd w:val="clear"/>
        <w:spacing w:line="360" w:lineRule="auto"/>
        <w:ind w:firstLine="480" w:firstLineChars="200"/>
        <w:rPr>
          <w:rFonts w:ascii="Times New Roman" w:hAnsi="Times New Roman" w:eastAsia="宋体" w:cs="Times New Roman"/>
          <w:color w:val="000000" w:themeColor="text1"/>
          <w:sz w:val="24"/>
          <w:szCs w:val="22"/>
          <w:highlight w:val="none"/>
          <w14:textFill>
            <w14:solidFill>
              <w14:schemeClr w14:val="tx1"/>
            </w14:solidFill>
          </w14:textFill>
        </w:rPr>
      </w:pPr>
      <w:r>
        <w:rPr>
          <w:rFonts w:hint="eastAsia" w:ascii="Times New Roman" w:hAnsi="Times New Roman" w:eastAsia="宋体" w:cs="Times New Roman"/>
          <w:color w:val="000000" w:themeColor="text1"/>
          <w:sz w:val="24"/>
          <w:szCs w:val="22"/>
          <w:highlight w:val="none"/>
          <w14:textFill>
            <w14:solidFill>
              <w14:schemeClr w14:val="tx1"/>
            </w14:solidFill>
          </w14:textFill>
        </w:rPr>
        <w:t>定期</w:t>
      </w:r>
      <w:r>
        <w:rPr>
          <w:rFonts w:hint="eastAsia" w:ascii="Times New Roman" w:hAnsi="Times New Roman" w:eastAsia="宋体" w:cs="Times New Roman"/>
          <w:color w:val="000000" w:themeColor="text1"/>
          <w:sz w:val="24"/>
          <w:szCs w:val="22"/>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每月</w:t>
      </w:r>
      <w:r>
        <w:rPr>
          <w:rFonts w:hint="eastAsia" w:ascii="Times New Roman" w:hAnsi="Times New Roman" w:eastAsia="宋体" w:cs="Times New Roman"/>
          <w:color w:val="000000" w:themeColor="text1"/>
          <w:sz w:val="24"/>
          <w:szCs w:val="22"/>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4"/>
          <w:szCs w:val="22"/>
          <w:highlight w:val="none"/>
          <w14:textFill>
            <w14:solidFill>
              <w14:schemeClr w14:val="tx1"/>
            </w14:solidFill>
          </w14:textFill>
        </w:rPr>
        <w:t>产出处理记录。</w:t>
      </w:r>
    </w:p>
    <w:p>
      <w:pPr>
        <w:numPr>
          <w:ilvl w:val="0"/>
          <w:numId w:val="2"/>
        </w:numPr>
        <w:shd w:val="clear"/>
        <w:spacing w:line="360" w:lineRule="auto"/>
        <w:rPr>
          <w:rFonts w:ascii="Times New Roman" w:hAnsi="Times New Roman" w:eastAsia="宋体" w:cs="Times New Roman"/>
          <w:color w:val="000000" w:themeColor="text1"/>
          <w:sz w:val="24"/>
          <w:szCs w:val="22"/>
          <w:highlight w:val="none"/>
          <w14:textFill>
            <w14:solidFill>
              <w14:schemeClr w14:val="tx1"/>
            </w14:solidFill>
          </w14:textFill>
        </w:rPr>
      </w:pPr>
      <w:r>
        <w:rPr>
          <w:rFonts w:hint="eastAsia" w:ascii="Times New Roman" w:hAnsi="Times New Roman" w:eastAsia="宋体" w:cs="Times New Roman"/>
          <w:color w:val="000000" w:themeColor="text1"/>
          <w:sz w:val="24"/>
          <w:szCs w:val="22"/>
          <w:highlight w:val="none"/>
          <w14:textFill>
            <w14:solidFill>
              <w14:schemeClr w14:val="tx1"/>
            </w14:solidFill>
          </w14:textFill>
        </w:rPr>
        <w:t>系统参数配置调整</w:t>
      </w:r>
    </w:p>
    <w:p>
      <w:pPr>
        <w:shd w:val="clear"/>
        <w:spacing w:line="360" w:lineRule="auto"/>
        <w:ind w:firstLine="480" w:firstLineChars="200"/>
        <w:rPr>
          <w:rFonts w:ascii="Times New Roman" w:hAnsi="Times New Roman" w:eastAsia="宋体" w:cs="Times New Roman"/>
          <w:color w:val="000000" w:themeColor="text1"/>
          <w:sz w:val="24"/>
          <w:szCs w:val="22"/>
          <w:highlight w:val="none"/>
          <w14:textFill>
            <w14:solidFill>
              <w14:schemeClr w14:val="tx1"/>
            </w14:solidFill>
          </w14:textFill>
        </w:rPr>
      </w:pPr>
      <w:r>
        <w:rPr>
          <w:rFonts w:hint="eastAsia" w:ascii="Times New Roman" w:hAnsi="Times New Roman" w:eastAsia="宋体" w:cs="Times New Roman"/>
          <w:color w:val="000000" w:themeColor="text1"/>
          <w:sz w:val="24"/>
          <w:szCs w:val="22"/>
          <w:highlight w:val="none"/>
          <w14:textFill>
            <w14:solidFill>
              <w14:schemeClr w14:val="tx1"/>
            </w14:solidFill>
          </w14:textFill>
        </w:rPr>
        <w:t>系统参数配置调整包括：系统功能菜单配置、系统角色配置、数据字典配置、地图服务参数配置、数据库参数配置等等，运营工程师接收问题后做以下工作：</w:t>
      </w:r>
    </w:p>
    <w:p>
      <w:pPr>
        <w:shd w:val="clear"/>
        <w:spacing w:line="360" w:lineRule="auto"/>
        <w:ind w:firstLine="480" w:firstLineChars="200"/>
        <w:rPr>
          <w:rFonts w:ascii="Times New Roman" w:hAnsi="Times New Roman" w:eastAsia="宋体" w:cs="Times New Roman"/>
          <w:color w:val="000000" w:themeColor="text1"/>
          <w:sz w:val="24"/>
          <w:szCs w:val="22"/>
          <w:highlight w:val="none"/>
          <w14:textFill>
            <w14:solidFill>
              <w14:schemeClr w14:val="tx1"/>
            </w14:solidFill>
          </w14:textFill>
        </w:rPr>
      </w:pPr>
      <w:r>
        <w:rPr>
          <w:rFonts w:hint="eastAsia" w:ascii="Times New Roman" w:hAnsi="Times New Roman" w:eastAsia="宋体" w:cs="Times New Roman"/>
          <w:color w:val="000000" w:themeColor="text1"/>
          <w:sz w:val="24"/>
          <w:szCs w:val="22"/>
          <w:highlight w:val="none"/>
          <w14:textFill>
            <w14:solidFill>
              <w14:schemeClr w14:val="tx1"/>
            </w14:solidFill>
          </w14:textFill>
        </w:rPr>
        <w:t>运营工程师通过电话、</w:t>
      </w:r>
      <w:r>
        <w:rPr>
          <w:rFonts w:ascii="Times New Roman" w:hAnsi="Times New Roman" w:eastAsia="宋体" w:cs="Times New Roman"/>
          <w:color w:val="000000" w:themeColor="text1"/>
          <w:sz w:val="24"/>
          <w:szCs w:val="22"/>
          <w:highlight w:val="none"/>
          <w14:textFill>
            <w14:solidFill>
              <w14:schemeClr w14:val="tx1"/>
            </w14:solidFill>
          </w14:textFill>
        </w:rPr>
        <w:t>QQ</w:t>
      </w:r>
      <w:r>
        <w:rPr>
          <w:rFonts w:hint="eastAsia" w:ascii="Times New Roman" w:hAnsi="Times New Roman" w:eastAsia="宋体" w:cs="Times New Roman"/>
          <w:color w:val="000000" w:themeColor="text1"/>
          <w:sz w:val="24"/>
          <w:szCs w:val="22"/>
          <w:highlight w:val="none"/>
          <w14:textFill>
            <w14:solidFill>
              <w14:schemeClr w14:val="tx1"/>
            </w14:solidFill>
          </w14:textFill>
        </w:rPr>
        <w:t>、微信等方式接收业务部门反馈的调整需求；</w:t>
      </w:r>
    </w:p>
    <w:p>
      <w:pPr>
        <w:shd w:val="clear"/>
        <w:spacing w:line="360" w:lineRule="auto"/>
        <w:ind w:firstLine="480" w:firstLineChars="200"/>
        <w:rPr>
          <w:rFonts w:ascii="Times New Roman" w:hAnsi="Times New Roman" w:eastAsia="宋体" w:cs="Times New Roman"/>
          <w:color w:val="000000" w:themeColor="text1"/>
          <w:sz w:val="24"/>
          <w:szCs w:val="22"/>
          <w:highlight w:val="none"/>
          <w14:textFill>
            <w14:solidFill>
              <w14:schemeClr w14:val="tx1"/>
            </w14:solidFill>
          </w14:textFill>
        </w:rPr>
      </w:pPr>
      <w:r>
        <w:rPr>
          <w:rFonts w:hint="eastAsia" w:ascii="Times New Roman" w:hAnsi="Times New Roman" w:eastAsia="宋体" w:cs="Times New Roman"/>
          <w:color w:val="000000" w:themeColor="text1"/>
          <w:sz w:val="24"/>
          <w:szCs w:val="22"/>
          <w:highlight w:val="none"/>
          <w14:textFill>
            <w14:solidFill>
              <w14:schemeClr w14:val="tx1"/>
            </w14:solidFill>
          </w14:textFill>
        </w:rPr>
        <w:t>运营工程师按照登记处要求进行调整，并将结果反馈。</w:t>
      </w:r>
    </w:p>
    <w:p>
      <w:pPr>
        <w:numPr>
          <w:ilvl w:val="0"/>
          <w:numId w:val="2"/>
        </w:numPr>
        <w:shd w:val="clear"/>
        <w:spacing w:line="360" w:lineRule="auto"/>
        <w:rPr>
          <w:rFonts w:ascii="Times New Roman" w:hAnsi="Times New Roman" w:eastAsia="宋体" w:cs="Times New Roman"/>
          <w:color w:val="000000" w:themeColor="text1"/>
          <w:sz w:val="24"/>
          <w:szCs w:val="22"/>
          <w:highlight w:val="none"/>
          <w14:textFill>
            <w14:solidFill>
              <w14:schemeClr w14:val="tx1"/>
            </w14:solidFill>
          </w14:textFill>
        </w:rPr>
      </w:pPr>
      <w:r>
        <w:rPr>
          <w:rFonts w:hint="eastAsia" w:ascii="Times New Roman" w:hAnsi="Times New Roman" w:eastAsia="宋体" w:cs="Times New Roman"/>
          <w:color w:val="000000" w:themeColor="text1"/>
          <w:sz w:val="24"/>
          <w:szCs w:val="22"/>
          <w:highlight w:val="none"/>
          <w14:textFill>
            <w14:solidFill>
              <w14:schemeClr w14:val="tx1"/>
            </w14:solidFill>
          </w14:textFill>
        </w:rPr>
        <w:t>系统使用培训及推广</w:t>
      </w:r>
    </w:p>
    <w:p>
      <w:pPr>
        <w:shd w:val="clear"/>
        <w:spacing w:line="360" w:lineRule="auto"/>
        <w:ind w:firstLine="480" w:firstLineChars="200"/>
        <w:rPr>
          <w:rFonts w:ascii="Times New Roman" w:hAnsi="Times New Roman" w:eastAsia="宋体" w:cs="Times New Roman"/>
          <w:color w:val="000000" w:themeColor="text1"/>
          <w:sz w:val="24"/>
          <w:szCs w:val="22"/>
          <w:highlight w:val="none"/>
          <w14:textFill>
            <w14:solidFill>
              <w14:schemeClr w14:val="tx1"/>
            </w14:solidFill>
          </w14:textFill>
        </w:rPr>
      </w:pPr>
      <w:r>
        <w:rPr>
          <w:rFonts w:hint="eastAsia" w:ascii="Times New Roman" w:hAnsi="Times New Roman" w:eastAsia="宋体" w:cs="Times New Roman"/>
          <w:color w:val="000000" w:themeColor="text1"/>
          <w:sz w:val="24"/>
          <w:szCs w:val="22"/>
          <w:highlight w:val="none"/>
          <w14:textFill>
            <w14:solidFill>
              <w14:schemeClr w14:val="tx1"/>
            </w14:solidFill>
          </w14:textFill>
        </w:rPr>
        <w:t>根据用户要求，服务期内提供不少于两次的集中性培训，培训方式优先通过线上网络方式（如视频会议、语音会议、在线指导等）进行。</w:t>
      </w:r>
    </w:p>
    <w:p>
      <w:pPr>
        <w:pStyle w:val="5"/>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成果要求</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定期（按月）系统误操作处理记录、系统参数配置调整记录。提交系统培训计划、培训材料等内容。</w:t>
      </w:r>
    </w:p>
    <w:p>
      <w:pPr>
        <w:pStyle w:val="5"/>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验收要求</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相关记录文档材料详实并由监理单位完成确认，服务响应时间在1小时内，客户问题解决100%。</w:t>
      </w:r>
    </w:p>
    <w:p>
      <w:pPr>
        <w:pStyle w:val="4"/>
        <w:shd w:val="clear"/>
        <w:rPr>
          <w:color w:val="000000" w:themeColor="text1"/>
          <w:highlight w:val="none"/>
          <w14:textFill>
            <w14:solidFill>
              <w14:schemeClr w14:val="tx1"/>
            </w14:solidFill>
          </w14:textFill>
        </w:rPr>
      </w:pPr>
      <w:bookmarkStart w:id="2" w:name="OLE_LINK30"/>
      <w:bookmarkStart w:id="3" w:name="OLE_LINK31"/>
      <w:r>
        <w:rPr>
          <w:rFonts w:hint="eastAsia"/>
          <w:color w:val="000000" w:themeColor="text1"/>
          <w:highlight w:val="none"/>
          <w14:textFill>
            <w14:solidFill>
              <w14:schemeClr w14:val="tx1"/>
            </w14:solidFill>
          </w14:textFill>
        </w:rPr>
        <w:t>广州市智慧水务一体化平台业务运营服务</w:t>
      </w:r>
      <w:bookmarkEnd w:id="2"/>
    </w:p>
    <w:bookmarkEnd w:id="3"/>
    <w:p>
      <w:pPr>
        <w:pStyle w:val="5"/>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局机关一楼大屏、穗智管大屏指标数据核对和更新服务</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定期（季度）检查局机关一楼大屏、穗智管大屏各展示专题指标数据更新情况，确保大屏各项指标数据展示正常。</w:t>
      </w:r>
    </w:p>
    <w:p>
      <w:pPr>
        <w:pStyle w:val="11"/>
        <w:shd w:val="clear"/>
        <w:rPr>
          <w:b/>
          <w:bCs/>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定期（每周）从广州市水务局微信公众号复制动态信息，对一楼大屏工作动态信息进行更新。</w:t>
      </w:r>
      <w:bookmarkStart w:id="4" w:name="OLE_LINK24"/>
      <w:r>
        <w:rPr>
          <w:rFonts w:hint="eastAsia"/>
          <w:color w:val="000000" w:themeColor="text1"/>
          <w:highlight w:val="none"/>
          <w14:textFill>
            <w14:solidFill>
              <w14:schemeClr w14:val="tx1"/>
            </w14:solidFill>
          </w14:textFill>
        </w:rPr>
        <w:t>具体服务包括：</w:t>
      </w:r>
    </w:p>
    <w:bookmarkEnd w:id="4"/>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（1）大屏专题指标数据核对</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局机关一楼大屏、穗智管大屏各专题指标数据核对。其中局机关一楼大屏包括水务概览专题、水旱灾害防御专题、排水管理专题和河长制专题的指标数值；穗智管大屏包括水务总览、河湖长制、排水管理、水环境治理和水旱灾害防御的指标数值，每季度对局机关一楼大屏、穗智管大屏各专题指标数值进行核对更新情况，若是填报的数据更新异常，组织人员进行处理；若是系统接口更新的接口异常，安排技术人员尽快处理。确保大屏展示数据准确。</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（2）一楼大屏工作动态信息更新</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每周从广州市水务局微信公众号发布的动态信息中，筛选本周发布的重要动态信息，把公众发布的动态信息处理，对应主题的图片下载整理关联对应主题标题，处理后导入更新到一楼大屏工作动态栏目。</w:t>
      </w:r>
    </w:p>
    <w:p>
      <w:pPr>
        <w:pStyle w:val="6"/>
        <w:shd w:val="clear"/>
        <w:rPr>
          <w:color w:val="000000" w:themeColor="text1"/>
          <w:highlight w:val="none"/>
          <w14:textFill>
            <w14:solidFill>
              <w14:schemeClr w14:val="tx1"/>
            </w14:solidFill>
          </w14:textFill>
        </w:rPr>
      </w:pPr>
      <w:bookmarkStart w:id="5" w:name="OLE_LINK4"/>
      <w:r>
        <w:rPr>
          <w:rFonts w:hint="eastAsia"/>
          <w:color w:val="000000" w:themeColor="text1"/>
          <w:highlight w:val="none"/>
          <w14:textFill>
            <w14:solidFill>
              <w14:schemeClr w14:val="tx1"/>
            </w14:solidFill>
          </w14:textFill>
        </w:rPr>
        <w:t>成果要求</w:t>
      </w:r>
    </w:p>
    <w:bookmarkEnd w:id="5"/>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定期（按季度）产出一楼大屏、穗智管大屏指标核对报告，每周及时更新一楼大屏工作动态信息。</w:t>
      </w:r>
    </w:p>
    <w:p>
      <w:pPr>
        <w:pStyle w:val="6"/>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验收要求</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按时产出大屏指标核对报告，确保大屏工作动态信息每周更新。</w:t>
      </w:r>
    </w:p>
    <w:p>
      <w:pPr>
        <w:pStyle w:val="5"/>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水务监测站分析服务</w:t>
      </w:r>
    </w:p>
    <w:p>
      <w:pPr>
        <w:pStyle w:val="11"/>
        <w:shd w:val="clear"/>
        <w:rPr>
          <w:b/>
          <w:bCs/>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定期（每季度）对一体化平台汇聚接入的各类水务监测站进行测站与水务设施、测站与测站之间空间关系分析，满足业务场景的使用。具体服务包括：</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（1）空间关系分析</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每季度对测站与水务设施、测站与测站之间进行空间关系分析，形成不同测站关联表，供业务应用在不同业务场景使用。主要服务包括①梳理水库设施与气象局实时降雨站点、预报降雨站点的空间分析，按照72小时、3小时降雨预报网格要求关联最新的雨量站点，调整相关关联关系，作为计算对应的预报网格依据。②内涝积水点测站按照空间关联关系搜索附件的雨量站、视频站点、排涝站、河道视频、管网监测点、闸门空间分析，形成相关排水通道的排水设施关联到对应的内涝点，提供防内涝全周期管理业务场景使用。③梳理道路关联视频，河道关联视频、泵站关联视频、水库关联视频空间分析搜索更新关联的视频站点，提供防汛应急调度管理业务场景使用。</w:t>
      </w:r>
    </w:p>
    <w:p>
      <w:pPr>
        <w:pStyle w:val="6"/>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成果要求</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定期（每季度）更新各类测站空间分析关联表，或根据业务部门要求新建测站管理分析关系。</w:t>
      </w:r>
    </w:p>
    <w:p>
      <w:pPr>
        <w:pStyle w:val="6"/>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验收要求</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按时开展测站空间分析工作，由科信处、河涌中心、水利处、排水处、安监处、水旱灾害防御中心对成果物进行验收查看。。</w:t>
      </w:r>
    </w:p>
    <w:p>
      <w:pPr>
        <w:pStyle w:val="5"/>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测站基础数据更新服务</w:t>
      </w:r>
    </w:p>
    <w:p>
      <w:pPr>
        <w:pStyle w:val="11"/>
        <w:shd w:val="clear"/>
        <w:rPr>
          <w:b/>
          <w:bCs/>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每年汛期前后一个月，根据水利处、安监处和市水旱灾害防御中心每年对水库、河道、拦河坝、堰闸、潮位、山塘的基础数据的校核结果，更新以上类型水利设施的监测站点基础数据。具体服务包括：</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收集水利处、安监处和市水旱灾害防御中心每年对水库、河道、拦河坝、堰闸、潮位、山塘基础数据的校核结果，人工梳理以上水利设施对应测站的特征值数据，包括水库汛限水位、水库正常蓄水位、河道警戒水位、河道左右岸高程等数据，按数据库存储格式换行后更新系统测站基础数据。</w:t>
      </w:r>
    </w:p>
    <w:p>
      <w:pPr>
        <w:pStyle w:val="6"/>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成果要求</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完成水利设施类测站基础数据更新，形成数据梳理记录、数据更新记录。</w:t>
      </w:r>
    </w:p>
    <w:p>
      <w:pPr>
        <w:pStyle w:val="6"/>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验收要求</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及时按业务部门要求更新数据，提交成果材料记录详实，由水利处、供水处、安监处、水旱灾害防御中心对成果物进行验收查看。</w:t>
      </w:r>
    </w:p>
    <w:p>
      <w:pPr>
        <w:pStyle w:val="4"/>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广州市智慧排水信息系统业务运营服务</w:t>
      </w:r>
    </w:p>
    <w:p>
      <w:pPr>
        <w:keepNext/>
        <w:keepLines/>
        <w:numPr>
          <w:ilvl w:val="3"/>
          <w:numId w:val="1"/>
        </w:numPr>
        <w:shd w:val="clear"/>
        <w:outlineLvl w:val="3"/>
        <w:rPr>
          <w:rFonts w:ascii="Times New Roman" w:hAnsi="Times New Roman" w:eastAsia="宋体" w:cs="仿宋_GB2312"/>
          <w:b/>
          <w:bCs/>
          <w:color w:val="000000" w:themeColor="text1"/>
          <w:sz w:val="24"/>
          <w:highlight w:val="none"/>
          <w14:textFill>
            <w14:solidFill>
              <w14:schemeClr w14:val="tx1"/>
            </w14:solidFill>
          </w14:textFill>
        </w:rPr>
      </w:pPr>
      <w:r>
        <w:rPr>
          <w:rFonts w:hint="eastAsia" w:ascii="Times New Roman" w:hAnsi="Times New Roman" w:eastAsia="宋体" w:cs="仿宋_GB2312"/>
          <w:b/>
          <w:bCs/>
          <w:color w:val="000000" w:themeColor="text1"/>
          <w:sz w:val="24"/>
          <w:highlight w:val="none"/>
          <w14:textFill>
            <w14:solidFill>
              <w14:schemeClr w14:val="tx1"/>
            </w14:solidFill>
          </w14:textFill>
        </w:rPr>
        <w:t>排水设施运行态势分析</w:t>
      </w:r>
    </w:p>
    <w:p>
      <w:pPr>
        <w:shd w:val="clear"/>
        <w:spacing w:line="360" w:lineRule="auto"/>
        <w:ind w:firstLine="480" w:firstLineChars="200"/>
        <w:rPr>
          <w:rFonts w:ascii="Times New Roman" w:hAnsi="Times New Roman" w:eastAsia="宋体" w:cs="Times New Roman"/>
          <w:b/>
          <w:bCs/>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服务周期内</w:t>
      </w:r>
      <w:r>
        <w:rPr>
          <w:rFonts w:hint="eastAsia" w:ascii="Times New Roman" w:hAnsi="Times New Roman" w:eastAsia="宋体" w:cs="Times New Roman"/>
          <w:color w:val="000000" w:themeColor="text1"/>
          <w:sz w:val="24"/>
          <w:highlight w:val="none"/>
          <w14:textFill>
            <w14:solidFill>
              <w14:schemeClr w14:val="tx1"/>
            </w14:solidFill>
          </w14:textFill>
        </w:rPr>
        <w:t>对排水设施物联监测数据进行整理和分析，掌握各排水设施运行状态，获取重点管理设施点或重点管理区域，为排水设施差异化管理提供支撑。具体服务包括：</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对排水管网数据进行整理与分析，每季度诊断分析排水管网异常数据，包含设施点高程异常、管线逆坡、雨污混接、大管接小管、超长管线、管径空值、管道埋深异常、高程逻辑错误、管线错接、节点位置偏移、管线反向、环状网或断头管、管点孤立、管点重复等异常情况。给出管网运行状态报告，为市排水处、市排水中心、市排监站等水务主管对排水管井、排水管线、排水沟渠的管理提供支撑。</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涉及全市及11个行政区排水管网数据分析研究，数量超3000个，以实际数量为准。</w:t>
      </w:r>
    </w:p>
    <w:p>
      <w:pPr>
        <w:pStyle w:val="6"/>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成果要求</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排水管网数据整理与分析：1份《研究报告》（电子版）</w:t>
      </w:r>
    </w:p>
    <w:p>
      <w:pPr>
        <w:pStyle w:val="6"/>
        <w:shd w:val="clear"/>
        <w:rPr>
          <w:color w:val="000000" w:themeColor="text1"/>
          <w:highlight w:val="none"/>
          <w14:textFill>
            <w14:solidFill>
              <w14:schemeClr w14:val="tx1"/>
            </w14:solidFill>
          </w14:textFill>
        </w:rPr>
      </w:pPr>
      <w:bookmarkStart w:id="6" w:name="OLE_LINK7"/>
      <w:r>
        <w:rPr>
          <w:rFonts w:hint="eastAsia"/>
          <w:color w:val="000000" w:themeColor="text1"/>
          <w:highlight w:val="none"/>
          <w14:textFill>
            <w14:solidFill>
              <w14:schemeClr w14:val="tx1"/>
            </w14:solidFill>
          </w14:textFill>
        </w:rPr>
        <w:t>验收要求</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由科信处、河涌中心牵头，水务局排水处、市排水中心、排水监测站对成果交付物报告进行验收查看，满足处室要求。</w:t>
      </w:r>
    </w:p>
    <w:bookmarkEnd w:id="6"/>
    <w:p>
      <w:pPr>
        <w:keepNext/>
        <w:keepLines/>
        <w:numPr>
          <w:ilvl w:val="3"/>
          <w:numId w:val="1"/>
        </w:numPr>
        <w:shd w:val="clear"/>
        <w:outlineLvl w:val="3"/>
        <w:rPr>
          <w:rFonts w:ascii="Times New Roman" w:hAnsi="Times New Roman" w:eastAsia="宋体" w:cs="仿宋_GB2312"/>
          <w:b/>
          <w:bCs/>
          <w:color w:val="000000" w:themeColor="text1"/>
          <w:sz w:val="24"/>
          <w:highlight w:val="none"/>
          <w14:textFill>
            <w14:solidFill>
              <w14:schemeClr w14:val="tx1"/>
            </w14:solidFill>
          </w14:textFill>
        </w:rPr>
      </w:pPr>
      <w:r>
        <w:rPr>
          <w:rFonts w:hint="eastAsia" w:ascii="Times New Roman" w:hAnsi="Times New Roman" w:eastAsia="宋体" w:cs="仿宋_GB2312"/>
          <w:b/>
          <w:bCs/>
          <w:color w:val="000000" w:themeColor="text1"/>
          <w:sz w:val="24"/>
          <w:highlight w:val="none"/>
          <w14:textFill>
            <w14:solidFill>
              <w14:schemeClr w14:val="tx1"/>
            </w14:solidFill>
          </w14:textFill>
        </w:rPr>
        <w:t>排水设施数据整合入库</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服务周期内</w:t>
      </w:r>
      <w:r>
        <w:rPr>
          <w:rFonts w:hint="eastAsia" w:ascii="Times New Roman" w:hAnsi="Times New Roman" w:eastAsia="宋体" w:cs="Times New Roman"/>
          <w:color w:val="000000" w:themeColor="text1"/>
          <w:sz w:val="24"/>
          <w:highlight w:val="none"/>
          <w14:textFill>
            <w14:solidFill>
              <w14:schemeClr w14:val="tx1"/>
            </w14:solidFill>
          </w14:textFill>
        </w:rPr>
        <w:t>提供排水设施数据整合入库服务，每月整合广州市7个排水公司的全量排水管网GIS数据，并完成数据入库，同步转换为属性表。具体服务包括：</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1）排水管网GIS数据整合，每个月整合广州市7个排水公司的全量排水管网GIS数据，涉及排水管井、雨水口、排水管道、排水沟渠、排水闸门、排水泵站、排水口、农污设施点、农污井、农污管线等10个GIS图层的数据整合为一个广州市排水管网数据。</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（2）排水管网GIS空间数据入库，每个月将整合好的广州市排水管网GIS数据入库，涉及排水管井、雨水口、排水管道、排水沟渠、排水闸门、排水泵站、排水口、农污设施点、农污井、农污管线10个图层。</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3）排水管网GIS数据转换为属性表并入库，每个月将整合好的广州市排水管网GIS数据同步转换为属性表，涉及排水管井、雨水口、排水管道、排水沟渠、排水闸门、排水泵站、排水口、农污设施点、农污井、农污管线10个属性表，并导入达梦数据库。</w:t>
      </w:r>
    </w:p>
    <w:p>
      <w:pPr>
        <w:pStyle w:val="6"/>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成果要求</w:t>
      </w:r>
    </w:p>
    <w:p>
      <w:pPr>
        <w:pStyle w:val="10"/>
        <w:shd w:val="clear"/>
        <w:ind w:firstLine="480"/>
        <w:rPr>
          <w:color w:val="000000" w:themeColor="text1"/>
          <w:highlight w:val="none"/>
          <w:lang w:bidi="en-US"/>
          <w14:textFill>
            <w14:solidFill>
              <w14:schemeClr w14:val="tx1"/>
            </w14:solidFill>
          </w14:textFill>
        </w:rPr>
      </w:pPr>
      <w:r>
        <w:rPr>
          <w:rFonts w:hint="eastAsia"/>
          <w:color w:val="000000" w:themeColor="text1"/>
          <w:highlight w:val="none"/>
          <w:lang w:bidi="en-US"/>
          <w14:textFill>
            <w14:solidFill>
              <w14:schemeClr w14:val="tx1"/>
            </w14:solidFill>
          </w14:textFill>
        </w:rPr>
        <w:t>排水管网GIS数据整合：1份《数据台账》（电子版）</w:t>
      </w:r>
    </w:p>
    <w:p>
      <w:pPr>
        <w:pStyle w:val="6"/>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验收要求</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由科信处、河涌中心牵头，局排水处、市排水中心、排水监测站对成果交付物报告进行验收查看，满足业务要求。</w:t>
      </w:r>
    </w:p>
    <w:p>
      <w:pPr>
        <w:pStyle w:val="4"/>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广州市水旱灾害防御系统业务运营服务</w:t>
      </w:r>
    </w:p>
    <w:p>
      <w:pPr>
        <w:keepNext/>
        <w:keepLines/>
        <w:numPr>
          <w:ilvl w:val="3"/>
          <w:numId w:val="1"/>
        </w:numPr>
        <w:shd w:val="clear"/>
        <w:outlineLvl w:val="3"/>
        <w:rPr>
          <w:rFonts w:ascii="Times New Roman" w:hAnsi="Times New Roman" w:eastAsia="宋体" w:cs="仿宋_GB2312"/>
          <w:b/>
          <w:bCs/>
          <w:color w:val="000000" w:themeColor="text1"/>
          <w:sz w:val="24"/>
          <w:highlight w:val="none"/>
          <w14:textFill>
            <w14:solidFill>
              <w14:schemeClr w14:val="tx1"/>
            </w14:solidFill>
          </w14:textFill>
        </w:rPr>
      </w:pPr>
      <w:r>
        <w:rPr>
          <w:rFonts w:hint="eastAsia" w:ascii="Times New Roman" w:hAnsi="Times New Roman" w:eastAsia="宋体" w:cs="仿宋_GB2312"/>
          <w:b/>
          <w:bCs/>
          <w:color w:val="000000" w:themeColor="text1"/>
          <w:sz w:val="24"/>
          <w:highlight w:val="none"/>
          <w14:textFill>
            <w14:solidFill>
              <w14:schemeClr w14:val="tx1"/>
            </w14:solidFill>
          </w14:textFill>
        </w:rPr>
        <w:t>汛前人工填报数据整理与分析服务</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服务周期内</w:t>
      </w:r>
      <w:r>
        <w:rPr>
          <w:rFonts w:hint="eastAsia" w:ascii="Times New Roman" w:hAnsi="Times New Roman" w:eastAsia="宋体" w:cs="Times New Roman"/>
          <w:color w:val="000000" w:themeColor="text1"/>
          <w:sz w:val="24"/>
          <w:highlight w:val="none"/>
          <w14:textFill>
            <w14:solidFill>
              <w14:schemeClr w14:val="tx1"/>
            </w14:solidFill>
          </w14:textFill>
        </w:rPr>
        <w:t>掌握各区及相关单位汛前检查工作、汛期全过程管理涉及的各类防御基础信息的情况，并对人工填报数据进行研究分析，针对人工填报存在的共性问题进行总结并提出相应的策略或者填报指引、要求，用于指导和优化业务数据的填报，优化填报流程，提高人工填报数据质量。具体服务包括：</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开汛前对防汛责任人台账、防汛隐患台账、预案方案库、抢险队伍、物资仓库、防汛专家库、防汛资料库等6类防御基础信息需要人工填报。对下列信息进行全面梳理，并深度挖掘分析，为水旱灾害防御保障工作提供业务支撑，以数据支撑提高工作效能。</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1.</w:t>
      </w:r>
      <w:r>
        <w:rPr>
          <w:rFonts w:hint="eastAsia" w:ascii="Times New Roman" w:hAnsi="Times New Roman" w:eastAsia="宋体" w:cs="Times New Roman"/>
          <w:color w:val="000000" w:themeColor="text1"/>
          <w:sz w:val="24"/>
          <w:highlight w:val="none"/>
          <w14:textFill>
            <w14:solidFill>
              <w14:schemeClr w14:val="tx1"/>
            </w14:solidFill>
          </w14:textFill>
        </w:rPr>
        <w:tab/>
      </w:r>
      <w:r>
        <w:rPr>
          <w:rFonts w:hint="eastAsia" w:ascii="Times New Roman" w:hAnsi="Times New Roman" w:eastAsia="宋体" w:cs="Times New Roman"/>
          <w:color w:val="000000" w:themeColor="text1"/>
          <w:sz w:val="24"/>
          <w:highlight w:val="none"/>
          <w14:textFill>
            <w14:solidFill>
              <w14:schemeClr w14:val="tx1"/>
            </w14:solidFill>
          </w14:textFill>
        </w:rPr>
        <w:t>防汛责任人台账</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（1）</w:t>
      </w:r>
      <w:r>
        <w:rPr>
          <w:rFonts w:hint="eastAsia" w:ascii="Times New Roman" w:hAnsi="Times New Roman" w:eastAsia="宋体" w:cs="Times New Roman"/>
          <w:color w:val="000000" w:themeColor="text1"/>
          <w:sz w:val="24"/>
          <w:highlight w:val="none"/>
          <w14:textFill>
            <w14:solidFill>
              <w14:schemeClr w14:val="tx1"/>
            </w14:solidFill>
          </w14:textFill>
        </w:rPr>
        <w:tab/>
      </w:r>
      <w:r>
        <w:rPr>
          <w:rFonts w:hint="eastAsia" w:ascii="Times New Roman" w:hAnsi="Times New Roman" w:eastAsia="宋体" w:cs="Times New Roman"/>
          <w:color w:val="000000" w:themeColor="text1"/>
          <w:sz w:val="24"/>
          <w:highlight w:val="none"/>
          <w14:textFill>
            <w14:solidFill>
              <w14:schemeClr w14:val="tx1"/>
            </w14:solidFill>
          </w14:textFill>
        </w:rPr>
        <w:t>水利设施责任人包括水库责任人、堤防责任人、水闸责任人、泵站责任人、山塘责任人、水电站责任人、湖泊责任人、灌区责任人8个大表。</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（2）</w:t>
      </w:r>
      <w:r>
        <w:rPr>
          <w:rFonts w:hint="eastAsia" w:ascii="Times New Roman" w:hAnsi="Times New Roman" w:eastAsia="宋体" w:cs="Times New Roman"/>
          <w:color w:val="000000" w:themeColor="text1"/>
          <w:sz w:val="24"/>
          <w:highlight w:val="none"/>
          <w14:textFill>
            <w14:solidFill>
              <w14:schemeClr w14:val="tx1"/>
            </w14:solidFill>
          </w14:textFill>
        </w:rPr>
        <w:tab/>
      </w:r>
      <w:r>
        <w:rPr>
          <w:rFonts w:hint="eastAsia" w:ascii="Times New Roman" w:hAnsi="Times New Roman" w:eastAsia="宋体" w:cs="Times New Roman"/>
          <w:color w:val="000000" w:themeColor="text1"/>
          <w:sz w:val="24"/>
          <w:highlight w:val="none"/>
          <w14:textFill>
            <w14:solidFill>
              <w14:schemeClr w14:val="tx1"/>
            </w14:solidFill>
          </w14:textFill>
        </w:rPr>
        <w:t>排水设施责任人包括排水泵站责任人、排水水闸责任人2个大表。</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（3）</w:t>
      </w:r>
      <w:r>
        <w:rPr>
          <w:rFonts w:hint="eastAsia" w:ascii="Times New Roman" w:hAnsi="Times New Roman" w:eastAsia="宋体" w:cs="Times New Roman"/>
          <w:color w:val="000000" w:themeColor="text1"/>
          <w:sz w:val="24"/>
          <w:highlight w:val="none"/>
          <w14:textFill>
            <w14:solidFill>
              <w14:schemeClr w14:val="tx1"/>
            </w14:solidFill>
          </w14:textFill>
        </w:rPr>
        <w:tab/>
      </w:r>
      <w:r>
        <w:rPr>
          <w:rFonts w:hint="eastAsia" w:ascii="Times New Roman" w:hAnsi="Times New Roman" w:eastAsia="宋体" w:cs="Times New Roman"/>
          <w:color w:val="000000" w:themeColor="text1"/>
          <w:sz w:val="24"/>
          <w:highlight w:val="none"/>
          <w14:textFill>
            <w14:solidFill>
              <w14:schemeClr w14:val="tx1"/>
            </w14:solidFill>
          </w14:textFill>
        </w:rPr>
        <w:t>易涝点责任人。</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（4）</w:t>
      </w:r>
      <w:r>
        <w:rPr>
          <w:rFonts w:hint="eastAsia" w:ascii="Times New Roman" w:hAnsi="Times New Roman" w:eastAsia="宋体" w:cs="Times New Roman"/>
          <w:color w:val="000000" w:themeColor="text1"/>
          <w:sz w:val="24"/>
          <w:highlight w:val="none"/>
          <w14:textFill>
            <w14:solidFill>
              <w14:schemeClr w14:val="tx1"/>
            </w14:solidFill>
          </w14:textFill>
        </w:rPr>
        <w:tab/>
      </w:r>
      <w:r>
        <w:rPr>
          <w:rFonts w:hint="eastAsia" w:ascii="Times New Roman" w:hAnsi="Times New Roman" w:eastAsia="宋体" w:cs="Times New Roman"/>
          <w:color w:val="000000" w:themeColor="text1"/>
          <w:sz w:val="24"/>
          <w:highlight w:val="none"/>
          <w14:textFill>
            <w14:solidFill>
              <w14:schemeClr w14:val="tx1"/>
            </w14:solidFill>
          </w14:textFill>
        </w:rPr>
        <w:t>山洪危险区责任人。</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2.</w:t>
      </w:r>
      <w:r>
        <w:rPr>
          <w:rFonts w:hint="eastAsia" w:ascii="Times New Roman" w:hAnsi="Times New Roman" w:eastAsia="宋体" w:cs="Times New Roman"/>
          <w:color w:val="000000" w:themeColor="text1"/>
          <w:sz w:val="24"/>
          <w:highlight w:val="none"/>
          <w14:textFill>
            <w14:solidFill>
              <w14:schemeClr w14:val="tx1"/>
            </w14:solidFill>
          </w14:textFill>
        </w:rPr>
        <w:tab/>
      </w:r>
      <w:r>
        <w:rPr>
          <w:rFonts w:hint="eastAsia" w:ascii="Times New Roman" w:hAnsi="Times New Roman" w:eastAsia="宋体" w:cs="Times New Roman"/>
          <w:color w:val="000000" w:themeColor="text1"/>
          <w:sz w:val="24"/>
          <w:highlight w:val="none"/>
          <w14:textFill>
            <w14:solidFill>
              <w14:schemeClr w14:val="tx1"/>
            </w14:solidFill>
          </w14:textFill>
        </w:rPr>
        <w:t>防汛隐患台账</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防汛隐患台账包括水利工程风险隐患、积水内涝风险隐患3个大表。</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3.</w:t>
      </w:r>
      <w:r>
        <w:rPr>
          <w:rFonts w:hint="eastAsia" w:ascii="Times New Roman" w:hAnsi="Times New Roman" w:eastAsia="宋体" w:cs="Times New Roman"/>
          <w:color w:val="000000" w:themeColor="text1"/>
          <w:sz w:val="24"/>
          <w:highlight w:val="none"/>
          <w14:textFill>
            <w14:solidFill>
              <w14:schemeClr w14:val="tx1"/>
            </w14:solidFill>
          </w14:textFill>
        </w:rPr>
        <w:tab/>
      </w:r>
      <w:r>
        <w:rPr>
          <w:rFonts w:hint="eastAsia" w:ascii="Times New Roman" w:hAnsi="Times New Roman" w:eastAsia="宋体" w:cs="Times New Roman"/>
          <w:color w:val="000000" w:themeColor="text1"/>
          <w:sz w:val="24"/>
          <w:highlight w:val="none"/>
          <w14:textFill>
            <w14:solidFill>
              <w14:schemeClr w14:val="tx1"/>
            </w14:solidFill>
          </w14:textFill>
        </w:rPr>
        <w:t>预案方案库</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（1）</w:t>
      </w:r>
      <w:r>
        <w:rPr>
          <w:rFonts w:hint="eastAsia" w:ascii="Times New Roman" w:hAnsi="Times New Roman" w:eastAsia="宋体" w:cs="Times New Roman"/>
          <w:color w:val="000000" w:themeColor="text1"/>
          <w:sz w:val="24"/>
          <w:highlight w:val="none"/>
          <w14:textFill>
            <w14:solidFill>
              <w14:schemeClr w14:val="tx1"/>
            </w14:solidFill>
          </w14:textFill>
        </w:rPr>
        <w:tab/>
      </w:r>
      <w:r>
        <w:rPr>
          <w:rFonts w:hint="eastAsia" w:ascii="Times New Roman" w:hAnsi="Times New Roman" w:eastAsia="宋体" w:cs="Times New Roman"/>
          <w:color w:val="000000" w:themeColor="text1"/>
          <w:sz w:val="24"/>
          <w:highlight w:val="none"/>
          <w14:textFill>
            <w14:solidFill>
              <w14:schemeClr w14:val="tx1"/>
            </w14:solidFill>
          </w14:textFill>
        </w:rPr>
        <w:t>应急预案表包括市水务局应急预案信息采集表、市级水利工程管理单位应急预案信息采集表、水投集团应急预案信息采集表、区级水务系统应急预案信息采集表等。</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（2）</w:t>
      </w:r>
      <w:r>
        <w:rPr>
          <w:rFonts w:hint="eastAsia" w:ascii="Times New Roman" w:hAnsi="Times New Roman" w:eastAsia="宋体" w:cs="Times New Roman"/>
          <w:color w:val="000000" w:themeColor="text1"/>
          <w:sz w:val="24"/>
          <w:highlight w:val="none"/>
          <w14:textFill>
            <w14:solidFill>
              <w14:schemeClr w14:val="tx1"/>
            </w14:solidFill>
          </w14:textFill>
        </w:rPr>
        <w:tab/>
      </w:r>
      <w:r>
        <w:rPr>
          <w:rFonts w:hint="eastAsia" w:ascii="Times New Roman" w:hAnsi="Times New Roman" w:eastAsia="宋体" w:cs="Times New Roman"/>
          <w:color w:val="000000" w:themeColor="text1"/>
          <w:sz w:val="24"/>
          <w:highlight w:val="none"/>
          <w14:textFill>
            <w14:solidFill>
              <w14:schemeClr w14:val="tx1"/>
            </w14:solidFill>
          </w14:textFill>
        </w:rPr>
        <w:t>预案库。</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4.</w:t>
      </w:r>
      <w:r>
        <w:rPr>
          <w:rFonts w:hint="eastAsia" w:ascii="Times New Roman" w:hAnsi="Times New Roman" w:eastAsia="宋体" w:cs="Times New Roman"/>
          <w:color w:val="000000" w:themeColor="text1"/>
          <w:sz w:val="24"/>
          <w:highlight w:val="none"/>
          <w14:textFill>
            <w14:solidFill>
              <w14:schemeClr w14:val="tx1"/>
            </w14:solidFill>
          </w14:textFill>
        </w:rPr>
        <w:tab/>
      </w:r>
      <w:r>
        <w:rPr>
          <w:rFonts w:hint="eastAsia" w:ascii="Times New Roman" w:hAnsi="Times New Roman" w:eastAsia="宋体" w:cs="Times New Roman"/>
          <w:color w:val="000000" w:themeColor="text1"/>
          <w:sz w:val="24"/>
          <w:highlight w:val="none"/>
          <w14:textFill>
            <w14:solidFill>
              <w14:schemeClr w14:val="tx1"/>
            </w14:solidFill>
          </w14:textFill>
        </w:rPr>
        <w:t>抢险队伍</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5.</w:t>
      </w:r>
      <w:r>
        <w:rPr>
          <w:rFonts w:hint="eastAsia" w:ascii="Times New Roman" w:hAnsi="Times New Roman" w:eastAsia="宋体" w:cs="Times New Roman"/>
          <w:color w:val="000000" w:themeColor="text1"/>
          <w:sz w:val="24"/>
          <w:highlight w:val="none"/>
          <w14:textFill>
            <w14:solidFill>
              <w14:schemeClr w14:val="tx1"/>
            </w14:solidFill>
          </w14:textFill>
        </w:rPr>
        <w:tab/>
      </w:r>
      <w:r>
        <w:rPr>
          <w:rFonts w:hint="eastAsia" w:ascii="Times New Roman" w:hAnsi="Times New Roman" w:eastAsia="宋体" w:cs="Times New Roman"/>
          <w:color w:val="000000" w:themeColor="text1"/>
          <w:sz w:val="24"/>
          <w:highlight w:val="none"/>
          <w14:textFill>
            <w14:solidFill>
              <w14:schemeClr w14:val="tx1"/>
            </w14:solidFill>
          </w14:textFill>
        </w:rPr>
        <w:t>物资仓库</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（1）</w:t>
      </w:r>
      <w:r>
        <w:rPr>
          <w:rFonts w:hint="eastAsia" w:ascii="Times New Roman" w:hAnsi="Times New Roman" w:eastAsia="宋体" w:cs="Times New Roman"/>
          <w:color w:val="000000" w:themeColor="text1"/>
          <w:sz w:val="24"/>
          <w:highlight w:val="none"/>
          <w14:textFill>
            <w14:solidFill>
              <w14:schemeClr w14:val="tx1"/>
            </w14:solidFill>
          </w14:textFill>
        </w:rPr>
        <w:tab/>
      </w:r>
      <w:r>
        <w:rPr>
          <w:rFonts w:hint="eastAsia" w:ascii="Times New Roman" w:hAnsi="Times New Roman" w:eastAsia="宋体" w:cs="Times New Roman"/>
          <w:color w:val="000000" w:themeColor="text1"/>
          <w:sz w:val="24"/>
          <w:highlight w:val="none"/>
          <w14:textFill>
            <w14:solidFill>
              <w14:schemeClr w14:val="tx1"/>
            </w14:solidFill>
          </w14:textFill>
        </w:rPr>
        <w:t>仓库管理</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（2）</w:t>
      </w:r>
      <w:r>
        <w:rPr>
          <w:rFonts w:hint="eastAsia" w:ascii="Times New Roman" w:hAnsi="Times New Roman" w:eastAsia="宋体" w:cs="Times New Roman"/>
          <w:color w:val="000000" w:themeColor="text1"/>
          <w:sz w:val="24"/>
          <w:highlight w:val="none"/>
          <w14:textFill>
            <w14:solidFill>
              <w14:schemeClr w14:val="tx1"/>
            </w14:solidFill>
          </w14:textFill>
        </w:rPr>
        <w:tab/>
      </w:r>
      <w:r>
        <w:rPr>
          <w:rFonts w:hint="eastAsia" w:ascii="Times New Roman" w:hAnsi="Times New Roman" w:eastAsia="宋体" w:cs="Times New Roman"/>
          <w:color w:val="000000" w:themeColor="text1"/>
          <w:sz w:val="24"/>
          <w:highlight w:val="none"/>
          <w14:textFill>
            <w14:solidFill>
              <w14:schemeClr w14:val="tx1"/>
            </w14:solidFill>
          </w14:textFill>
        </w:rPr>
        <w:t>库存查询</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6.</w:t>
      </w:r>
      <w:r>
        <w:rPr>
          <w:rFonts w:hint="eastAsia" w:ascii="Times New Roman" w:hAnsi="Times New Roman" w:eastAsia="宋体" w:cs="Times New Roman"/>
          <w:color w:val="000000" w:themeColor="text1"/>
          <w:sz w:val="24"/>
          <w:highlight w:val="none"/>
          <w14:textFill>
            <w14:solidFill>
              <w14:schemeClr w14:val="tx1"/>
            </w14:solidFill>
          </w14:textFill>
        </w:rPr>
        <w:tab/>
      </w:r>
      <w:r>
        <w:rPr>
          <w:rFonts w:hint="eastAsia" w:ascii="Times New Roman" w:hAnsi="Times New Roman" w:eastAsia="宋体" w:cs="Times New Roman"/>
          <w:color w:val="000000" w:themeColor="text1"/>
          <w:sz w:val="24"/>
          <w:highlight w:val="none"/>
          <w14:textFill>
            <w14:solidFill>
              <w14:schemeClr w14:val="tx1"/>
            </w14:solidFill>
          </w14:textFill>
        </w:rPr>
        <w:t>防汛专家库</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7.</w:t>
      </w:r>
      <w:r>
        <w:rPr>
          <w:rFonts w:hint="eastAsia" w:ascii="Times New Roman" w:hAnsi="Times New Roman" w:eastAsia="宋体" w:cs="Times New Roman"/>
          <w:color w:val="000000" w:themeColor="text1"/>
          <w:sz w:val="24"/>
          <w:highlight w:val="none"/>
          <w14:textFill>
            <w14:solidFill>
              <w14:schemeClr w14:val="tx1"/>
            </w14:solidFill>
          </w14:textFill>
        </w:rPr>
        <w:tab/>
      </w:r>
      <w:r>
        <w:rPr>
          <w:rFonts w:hint="eastAsia" w:ascii="Times New Roman" w:hAnsi="Times New Roman" w:eastAsia="宋体" w:cs="Times New Roman"/>
          <w:color w:val="000000" w:themeColor="text1"/>
          <w:sz w:val="24"/>
          <w:highlight w:val="none"/>
          <w14:textFill>
            <w14:solidFill>
              <w14:schemeClr w14:val="tx1"/>
            </w14:solidFill>
          </w14:textFill>
        </w:rPr>
        <w:t>防汛资料库</w:t>
      </w:r>
    </w:p>
    <w:p>
      <w:pPr>
        <w:pStyle w:val="6"/>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成果要求</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针对需要人工填报的数据进行分析研究，从填报的资料全面性、资料完整性、频率周期性、更新及时性等角度进行分析人工填报的效率和有效性，并形成人工填报指引、优化填报流程。</w:t>
      </w:r>
    </w:p>
    <w:p>
      <w:pPr>
        <w:pStyle w:val="6"/>
        <w:shd w:val="clear"/>
        <w:rPr>
          <w:color w:val="000000" w:themeColor="text1"/>
          <w:highlight w:val="none"/>
          <w14:textFill>
            <w14:solidFill>
              <w14:schemeClr w14:val="tx1"/>
            </w14:solidFill>
          </w14:textFill>
        </w:rPr>
      </w:pPr>
      <w:bookmarkStart w:id="7" w:name="OLE_LINK10"/>
      <w:r>
        <w:rPr>
          <w:rFonts w:hint="eastAsia"/>
          <w:color w:val="000000" w:themeColor="text1"/>
          <w:highlight w:val="none"/>
          <w14:textFill>
            <w14:solidFill>
              <w14:schemeClr w14:val="tx1"/>
            </w14:solidFill>
          </w14:textFill>
        </w:rPr>
        <w:t>验收要求</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确保所有相关的报表已提交，能够及时响应并解决用户的问题，由科信处、河涌中心牵头，局安监处、市防御中心认可。</w:t>
      </w:r>
    </w:p>
    <w:bookmarkEnd w:id="7"/>
    <w:p>
      <w:pPr>
        <w:keepNext/>
        <w:keepLines/>
        <w:numPr>
          <w:ilvl w:val="3"/>
          <w:numId w:val="1"/>
        </w:numPr>
        <w:shd w:val="clear"/>
        <w:outlineLvl w:val="3"/>
        <w:rPr>
          <w:rFonts w:ascii="Times New Roman" w:hAnsi="Times New Roman" w:eastAsia="宋体" w:cs="仿宋_GB2312"/>
          <w:b/>
          <w:bCs/>
          <w:color w:val="000000" w:themeColor="text1"/>
          <w:sz w:val="24"/>
          <w:highlight w:val="none"/>
          <w14:textFill>
            <w14:solidFill>
              <w14:schemeClr w14:val="tx1"/>
            </w14:solidFill>
          </w14:textFill>
        </w:rPr>
      </w:pPr>
      <w:r>
        <w:rPr>
          <w:rFonts w:hint="eastAsia" w:ascii="Times New Roman" w:hAnsi="Times New Roman" w:eastAsia="宋体" w:cs="仿宋_GB2312"/>
          <w:b/>
          <w:bCs/>
          <w:color w:val="000000" w:themeColor="text1"/>
          <w:sz w:val="24"/>
          <w:highlight w:val="none"/>
          <w14:textFill>
            <w14:solidFill>
              <w14:schemeClr w14:val="tx1"/>
            </w14:solidFill>
          </w14:textFill>
        </w:rPr>
        <w:t>汛中保障服务</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根据《广州市水务局水旱灾害防御应急预案》及局安监处、市防御中心、水利处、排水处、市排水中心的具体业务需求，提供应急统计上报数据整理与分析、汛期保障服务、汛中防御任务清单数据整理入库。具体服务包括：</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（一） 应急统计上报数据整理与分析</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1.对应急统计进行定时上报。对水情监测数据、易涝点定时统计表、水库超汛限定期统计表（每天10点进行统计上报）制作专题报表，展示重点水库、易涝点、河道的实时水位。</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2.对应急统计不定时按需上报。按照要求，每月统计应急响应产生的业务数据等进行整理上报。针对监测数据和业务数据，根据不同的业务场景提取相关的数据进行汇总展示。</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3.根据防御中心要求，定时报送水库超汛限表数据、河道超警戒数据服务以及统计历史站点监测数据。</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（二） 汛期保障服务</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1.汛期值守工作。</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（1）每天对涉及汛期保障系统（水旱灾害、APP、排水系统、模型、物联、视频等）等模块进行检查，确保数据能够呈现，并对数据准确性进行检查；</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（2）每天对一楼、三楼大屏进行检查，确保数据能够呈现，并对数据准确性进行检查；</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（3）实时关注监测气象暴雨预警信息，当出现预警时或某一个区已下雨，需要关注汛期保障系统的数据，确保系统数据准确性，为汛期做支撑；</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（4）值班期间保障多个用户技术支持群的咨询服务及问题处理；</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（5）当启动应急响应时，第一时间到达应急值守现场。</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2.一雨一查工作</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根据科信处、河涌中心要求，雨前开展“一雨一查”工作，对水旱灾害防御汛期全过程（包括广州水旱灾害系统、广州智慧排水系统、智慧水务APP、防御中心三楼大屏）功能及物联平台相关数据进行检查，确保检查全面覆盖，完成《防汛信息化支撑--“一雨一查”情况表》。</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3.信息报送</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雨中信息报送工作。应急过程中，需要雨中信息报送工作。</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（1）雨前报送，当气象预警提示未来降有暴雨风险，提供智慧水务各类风险预报数据、智慧物联检测设备巡查数据，为布防准备提供依据，形成《雨前报告》；</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（2）当应急启动响应后，需要一小时报送一次数据，内容包括提供每小时智慧水务各类风险预报数据、提供每小时智慧水务监测情况等内容，预判风险，为抢险工作提供依据，形成《雨中报告》（按时段）；</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（3）应急启动响应结束内的半小时内，提供防御过程中的智慧水务监测情况，形成《雨后报告》。</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以上数据报送工作涉及到物联数据、预报数据、监测数据等的分析工作，应急响应过程中的数据报送要求时效性高，需要专业的二线人员处理，处理流程为对数据库相关数据进行查询，并对数据进行统计分析，数据核实后按时报送。报送雨前雨中雨后报告，其中雨中报告需要一小时一报，内容包括提供智慧水务各类风险预报数据、提供智慧物联检测设备巡查数据、 提供智慧水务监测情况等内容，形成《雨前报告》《雨中报告》《雨后报告》。</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4.雨后复盘工作</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每场雨结束后，对应急过程进行复盘，复盘内容为模型预报与实测情况对比分析、物联监测情况与业务反馈情况对比、业务系统问题统计等内容，形成《应急响应结束任务完成情况分析报告》。</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（三） 汛中防御任务清单数据整理入库</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汛期3-10月，每月用户提供月度防御任务清单（含动态任务清单、静态任务清单），静态任务清单包含广州市河道清单、水库清单、水闸清单、泵站清单、水电站清单、堤防清单等17类清单，动态任务清单包含广州市水利工程风险隐患统计表、各区易涝风险点整治清单（277清单）、广州市16个涉及洪涝治理片区情况统计表、广州市在建水务工程清单、广州市涉汛工程台账表、广州市水务工程安全生产隐患台账表等7类清单，需配合将这些数据按照对应word文档目录结构入库到系统，使系统可直观查看防御任务清单内容。</w:t>
      </w:r>
    </w:p>
    <w:p>
      <w:pPr>
        <w:pStyle w:val="6"/>
        <w:shd w:val="clear"/>
        <w:rPr>
          <w:color w:val="000000" w:themeColor="text1"/>
          <w:highlight w:val="none"/>
          <w14:textFill>
            <w14:solidFill>
              <w14:schemeClr w14:val="tx1"/>
            </w14:solidFill>
          </w14:textFill>
        </w:rPr>
      </w:pPr>
      <w:bookmarkStart w:id="8" w:name="OLE_LINK9"/>
      <w:r>
        <w:rPr>
          <w:rFonts w:hint="eastAsia"/>
          <w:color w:val="000000" w:themeColor="text1"/>
          <w:highlight w:val="none"/>
          <w14:textFill>
            <w14:solidFill>
              <w14:schemeClr w14:val="tx1"/>
            </w14:solidFill>
          </w14:textFill>
        </w:rPr>
        <w:t>成果要求</w:t>
      </w:r>
    </w:p>
    <w:bookmarkEnd w:id="8"/>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提供应急统计定时和不定时进行上报，根据防御中心要求，定时报送水库超汛限表数据、河道超警戒数据服务以及统计历史站点监测数据。市级响应启动时在现场值班，响应过程中按指挥组要求进行相关操作，响应结束后进行信息统计、报送等。</w:t>
      </w:r>
    </w:p>
    <w:p>
      <w:pPr>
        <w:pStyle w:val="6"/>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验收要求</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确保所有相关的报表已提交，能够及时响应并解决用户的问题，由科信处、河涌中心牵头，局安监处、市防御中心、水利处、排水处、市排水中心认可。</w:t>
      </w:r>
    </w:p>
    <w:p>
      <w:pPr>
        <w:keepNext/>
        <w:keepLines/>
        <w:numPr>
          <w:ilvl w:val="3"/>
          <w:numId w:val="1"/>
        </w:numPr>
        <w:shd w:val="clear"/>
        <w:outlineLvl w:val="3"/>
        <w:rPr>
          <w:rFonts w:ascii="Times New Roman" w:hAnsi="Times New Roman" w:eastAsia="宋体" w:cs="仿宋_GB2312"/>
          <w:b/>
          <w:bCs/>
          <w:color w:val="000000" w:themeColor="text1"/>
          <w:sz w:val="24"/>
          <w:highlight w:val="none"/>
          <w14:textFill>
            <w14:solidFill>
              <w14:schemeClr w14:val="tx1"/>
            </w14:solidFill>
          </w14:textFill>
        </w:rPr>
      </w:pPr>
      <w:r>
        <w:rPr>
          <w:rFonts w:hint="eastAsia" w:ascii="Times New Roman" w:hAnsi="Times New Roman" w:eastAsia="宋体" w:cs="仿宋_GB2312"/>
          <w:b/>
          <w:bCs/>
          <w:color w:val="000000" w:themeColor="text1"/>
          <w:sz w:val="24"/>
          <w:highlight w:val="none"/>
          <w14:textFill>
            <w14:solidFill>
              <w14:schemeClr w14:val="tx1"/>
            </w14:solidFill>
          </w14:textFill>
        </w:rPr>
        <w:t>汛后非汛期值守工作</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根据局安监处、市防御中心、排水处、市排水中心具体业务要求，提供非汛期值守工作。具体服务包括：</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（1）每天对涉及汛期保障系统（水旱灾害、APP、排水系统、模型、物联、视频等）等模块进行检查，确保数据能够呈现，并对数据准确性进行检查；</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（2）工作日白天对一楼、三楼大屏进行检查，确保数据能够呈现，并对数据准确性进行检查；</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（3）实时关注监测气象暴雨预警信息，当出现预警时或某一个区已下雨，需要关注系统的数据，确保系统数据准确性；</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（4）值班期间保障多个用户技术支持群的咨询服务及问题处理。</w:t>
      </w:r>
    </w:p>
    <w:p>
      <w:pPr>
        <w:pStyle w:val="6"/>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成果要求</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定期（按月）产出非汛期检查报表、问题处理台账。非汛期在现场值班，响应过程中按要求进行相关操作。由科信处、河涌中心牵头，相关行业处室及单位对成果交付物进行验收查看。</w:t>
      </w:r>
    </w:p>
    <w:p>
      <w:pPr>
        <w:pStyle w:val="6"/>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验收要求</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由科信处、河涌中心牵头，局安监处、市防御中心、排水处、市排水中心对成果交付物进行验收查看，满足处室要求</w:t>
      </w:r>
      <w:r>
        <w:rPr>
          <w:rFonts w:hint="eastAsia" w:ascii="宋体" w:hAnsi="宋体"/>
          <w:color w:val="000000" w:themeColor="text1"/>
          <w:highlight w:val="none"/>
          <w14:textFill>
            <w14:solidFill>
              <w14:schemeClr w14:val="tx1"/>
            </w14:solidFill>
          </w14:textFill>
        </w:rPr>
        <w:t>。</w:t>
      </w:r>
    </w:p>
    <w:p>
      <w:pPr>
        <w:keepNext/>
        <w:keepLines/>
        <w:numPr>
          <w:ilvl w:val="3"/>
          <w:numId w:val="1"/>
        </w:numPr>
        <w:shd w:val="clear"/>
        <w:outlineLvl w:val="3"/>
        <w:rPr>
          <w:rFonts w:ascii="Times New Roman" w:hAnsi="Times New Roman" w:eastAsia="宋体" w:cs="仿宋_GB2312"/>
          <w:b/>
          <w:bCs/>
          <w:color w:val="000000" w:themeColor="text1"/>
          <w:sz w:val="24"/>
          <w:highlight w:val="none"/>
          <w14:textFill>
            <w14:solidFill>
              <w14:schemeClr w14:val="tx1"/>
            </w14:solidFill>
          </w14:textFill>
        </w:rPr>
      </w:pPr>
      <w:r>
        <w:rPr>
          <w:rFonts w:hint="eastAsia" w:ascii="Times New Roman" w:hAnsi="Times New Roman" w:eastAsia="宋体" w:cs="仿宋_GB2312"/>
          <w:b/>
          <w:bCs/>
          <w:color w:val="000000" w:themeColor="text1"/>
          <w:sz w:val="24"/>
          <w:highlight w:val="none"/>
          <w14:textFill>
            <w14:solidFill>
              <w14:schemeClr w14:val="tx1"/>
            </w14:solidFill>
          </w14:textFill>
        </w:rPr>
        <w:t>水利工程</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服务周期内</w:t>
      </w:r>
      <w:r>
        <w:rPr>
          <w:rFonts w:hint="eastAsia" w:ascii="Times New Roman" w:hAnsi="Times New Roman" w:eastAsia="宋体" w:cs="Times New Roman"/>
          <w:color w:val="000000" w:themeColor="text1"/>
          <w:sz w:val="24"/>
          <w:highlight w:val="none"/>
          <w14:textFill>
            <w14:solidFill>
              <w14:schemeClr w14:val="tx1"/>
            </w14:solidFill>
          </w14:textFill>
        </w:rPr>
        <w:t>对水利工程物联监测数据进行整理和分析，掌握各水利工程设施运行状态，为水利工程设施差异化管理提供支撑。具体服务包括：</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对水利工程监测数据进行整理与分析，获取水利工程监测数据，对水利工程数据进行处理，剔除异常数据，获取水利工程有效数据。获取水利工程日常巡查督查信息，分析全市及各区水利工程运行状态，给出水利工程运行状态报告，为市水利处的管理提供支撑。分析对象包括全市9490.98公里堤防、298座水库、1177座水闸、868座水利泵站、108个山塘。运行态势分析包括综合管理、运行管理与调度、应急管理、防汛度汛（含凌汛）、设备设施、软硬件系统、供电系统、维修养护与功能完善（含实体工程、设备设施等）、安全管理、工程监测（含安全监测、水文监测等）、水质监测与保护、穿（跨）越工程、外部环境与协调、水库工程、堤防工程、输水工程、水闸工程、交通设施、管理设施、砌体结构、设备设施、泵站机组、水电站机组、其他设备、工程运行管理与调度等。</w:t>
      </w:r>
    </w:p>
    <w:p>
      <w:pPr>
        <w:pStyle w:val="6"/>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成果要求</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堤防、水库、水闸、水利泵站、山塘监测数据、巡查督查数据整理与分析的研究报告。</w:t>
      </w:r>
    </w:p>
    <w:p>
      <w:pPr>
        <w:pStyle w:val="6"/>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验收要求</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确保所有相关的报告已提交，能够及时响应并解决用户的问题，由科信处、河涌中心牵头，水利处确认。</w:t>
      </w:r>
    </w:p>
    <w:p>
      <w:pPr>
        <w:pStyle w:val="4"/>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广州市智慧水务模型平台预报预警运营服务</w:t>
      </w:r>
    </w:p>
    <w:p>
      <w:pPr>
        <w:keepNext/>
        <w:keepLines/>
        <w:numPr>
          <w:ilvl w:val="3"/>
          <w:numId w:val="1"/>
        </w:numPr>
        <w:shd w:val="clear"/>
        <w:outlineLvl w:val="3"/>
        <w:rPr>
          <w:rFonts w:ascii="Times New Roman" w:hAnsi="Times New Roman" w:eastAsia="宋体" w:cs="仿宋_GB2312"/>
          <w:b/>
          <w:bCs/>
          <w:color w:val="000000" w:themeColor="text1"/>
          <w:sz w:val="24"/>
          <w:highlight w:val="none"/>
          <w14:textFill>
            <w14:solidFill>
              <w14:schemeClr w14:val="tx1"/>
            </w14:solidFill>
          </w14:textFill>
        </w:rPr>
      </w:pPr>
      <w:r>
        <w:rPr>
          <w:rFonts w:hint="eastAsia" w:ascii="Times New Roman" w:hAnsi="Times New Roman" w:eastAsia="宋体" w:cs="仿宋_GB2312"/>
          <w:b/>
          <w:bCs/>
          <w:color w:val="000000" w:themeColor="text1"/>
          <w:sz w:val="24"/>
          <w:highlight w:val="none"/>
          <w14:textFill>
            <w14:solidFill>
              <w14:schemeClr w14:val="tx1"/>
            </w14:solidFill>
          </w14:textFill>
        </w:rPr>
        <w:t>预报预警模型应用与分析服务</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服务周期内</w:t>
      </w:r>
      <w:r>
        <w:rPr>
          <w:rFonts w:hint="eastAsia" w:ascii="Times New Roman" w:hAnsi="Times New Roman" w:eastAsia="宋体" w:cs="Times New Roman"/>
          <w:color w:val="000000" w:themeColor="text1"/>
          <w:sz w:val="24"/>
          <w:highlight w:val="none"/>
          <w14:textFill>
            <w14:solidFill>
              <w14:schemeClr w14:val="tx1"/>
            </w14:solidFill>
          </w14:textFill>
        </w:rPr>
        <w:t>模型预报预警服务，通过接入气象、路面积水监测、管网液位、河道水位等数据，结合已构建的水力模型、经验模型、神经网络模型等，对广州市中心城区内涝积水情况进行模拟预报，对广州市白坭河流域、流溪河流域和增江流域以及广州中心城区广州市中心城区内河涌236个断面开展洪水预报。结合智慧排水信息系统及水旱灾害防御系统的其他功能模块，实现提前预报预警灾情信息，为水务防洪防涝的指挥调度提供有力支撑。具体服务包括：</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1.参数率定</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采用历史数据（降雨、水位、流量、地面积水等）进行模型参数率定和验证。项目合同期内，每年依据实测降雨数据进行不少于一次模型参数率定。</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对已构建的预警预报模型、内涝预警预报模型进行参数率定。</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2.预报服务</w:t>
      </w:r>
    </w:p>
    <w:p>
      <w:pPr>
        <w:widowControl/>
        <w:shd w:val="clear"/>
        <w:spacing w:line="360" w:lineRule="auto"/>
        <w:ind w:firstLine="480" w:firstLineChars="200"/>
        <w:rPr>
          <w:rFonts w:ascii="Times New Roman" w:hAnsi="Times New Roman" w:eastAsia="宋体" w:cs="Times New Roman"/>
          <w:color w:val="000000" w:themeColor="text1"/>
          <w:kern w:val="0"/>
          <w:sz w:val="24"/>
          <w:highlight w:val="none"/>
          <w14:textFill>
            <w14:solidFill>
              <w14:schemeClr w14:val="tx1"/>
            </w14:solidFill>
          </w14:textFill>
        </w:rPr>
      </w:pPr>
      <w:r>
        <w:rPr>
          <w:rFonts w:hint="eastAsia" w:ascii="Times New Roman" w:hAnsi="Times New Roman" w:eastAsia="宋体" w:cs="Times New Roman"/>
          <w:color w:val="000000" w:themeColor="text1"/>
          <w:kern w:val="0"/>
          <w:sz w:val="24"/>
          <w:highlight w:val="none"/>
          <w14:textFill>
            <w14:solidFill>
              <w14:schemeClr w14:val="tx1"/>
            </w14:solidFill>
          </w14:textFill>
        </w:rPr>
        <w:t>（1）洪水预报服务</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基于模型平台构建的洪水预报模型和开发的洪水预报业务软件，进行开展作业洪水预报服务工作。在汛期形成每日早上8时和晚8时进行未来24h作业洪水预报，产生作业预报方案，提供未来24h每个预报断面的预报成果简报；同时对过去24h产生的作业洪水预报方案进行精度评定，人工分析预报成果和实际监测之间的精度误差，提出合理化精度提升建议；在启动应急响应场景下，进行逐小时滚动预报未来24h洪水，生成逐小时洪水预报简报。汛期月末、每年汛末进行预报工作总结，对预报工作开展情况、预报精度情况、影响预报精度的影响情况、提升预报精度方面进行总结。</w:t>
      </w:r>
    </w:p>
    <w:p>
      <w:pPr>
        <w:widowControl/>
        <w:shd w:val="clear"/>
        <w:spacing w:line="360" w:lineRule="auto"/>
        <w:ind w:firstLine="480" w:firstLineChars="200"/>
        <w:rPr>
          <w:rFonts w:ascii="Times New Roman" w:hAnsi="Times New Roman" w:eastAsia="宋体" w:cs="Times New Roman"/>
          <w:color w:val="000000" w:themeColor="text1"/>
          <w:kern w:val="0"/>
          <w:sz w:val="24"/>
          <w:highlight w:val="none"/>
          <w14:textFill>
            <w14:solidFill>
              <w14:schemeClr w14:val="tx1"/>
            </w14:solidFill>
          </w14:textFill>
        </w:rPr>
      </w:pPr>
      <w:r>
        <w:rPr>
          <w:rFonts w:hint="eastAsia" w:ascii="Times New Roman" w:hAnsi="Times New Roman" w:eastAsia="宋体" w:cs="Times New Roman"/>
          <w:color w:val="000000" w:themeColor="text1"/>
          <w:kern w:val="0"/>
          <w:sz w:val="24"/>
          <w:highlight w:val="none"/>
          <w14:textFill>
            <w14:solidFill>
              <w14:schemeClr w14:val="tx1"/>
            </w14:solidFill>
          </w14:textFill>
        </w:rPr>
        <w:t>（2）城市内涝预报预警服务</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针对已经建立的城市内涝模型，开展实施滚动预报，在汛期形成启动四级预案后逐小时滚动预报未来2h内涝情况，提供未来2h中心城区的内涝预报成果；同时对过去2h产生的内涝预报方案进行精度评定，人工分析预报成果和实际监测之间的精度误差，提出合理化精度提升建议；在启动应急响应场景下，进行逐小时滚动预报未来2h内涝，生成逐小时内涝预报简报。汛期月末、每年汛末进行预报工作总结，对预报工作开展情况、预报精度情况、影响预报精度的影响情况、提升预报精度方面进行总结。</w:t>
      </w:r>
    </w:p>
    <w:p>
      <w:pPr>
        <w:pStyle w:val="6"/>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成果要求</w:t>
      </w:r>
    </w:p>
    <w:p>
      <w:pPr>
        <w:pStyle w:val="10"/>
        <w:shd w:val="clear"/>
        <w:ind w:firstLine="48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1.模型预报成果简报：每场降雨1份《分析报告》</w:t>
      </w:r>
    </w:p>
    <w:p>
      <w:pPr>
        <w:pStyle w:val="10"/>
        <w:shd w:val="clear"/>
        <w:ind w:firstLine="48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2.模型运行总结分析报告：2份《分析报告》</w:t>
      </w:r>
    </w:p>
    <w:p>
      <w:pPr>
        <w:pStyle w:val="6"/>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验收要求</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shd w:val="clear" w:color="auto" w:fill="FDFDFE"/>
          <w14:textFill>
            <w14:solidFill>
              <w14:schemeClr w14:val="tx1"/>
            </w14:solidFill>
          </w14:textFill>
        </w:rPr>
        <w:t>模型效果获得局科信处等使用部门认可，其中内涝预报模型年预报平均精度不低于78％，洪水预警预报模型年预报平均精度不低于70％</w:t>
      </w:r>
      <w:r>
        <w:rPr>
          <w:rFonts w:hint="eastAsia"/>
          <w:color w:val="000000" w:themeColor="text1"/>
          <w:highlight w:val="none"/>
          <w14:textFill>
            <w14:solidFill>
              <w14:schemeClr w14:val="tx1"/>
            </w14:solidFill>
          </w14:textFill>
        </w:rPr>
        <w:t>。</w:t>
      </w:r>
    </w:p>
    <w:p>
      <w:pPr>
        <w:pStyle w:val="5"/>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广州市“两涌一河”流域防洪调度支撑服务</w:t>
      </w:r>
    </w:p>
    <w:p>
      <w:pPr>
        <w:pStyle w:val="11"/>
        <w:shd w:val="clear"/>
        <w:rPr>
          <w:color w:val="000000" w:themeColor="text1"/>
          <w:highlight w:val="none"/>
          <w:shd w:val="clear" w:color="auto" w:fill="FDFDFE"/>
          <w14:textFill>
            <w14:solidFill>
              <w14:schemeClr w14:val="tx1"/>
            </w14:solidFill>
          </w14:textFill>
        </w:rPr>
      </w:pPr>
      <w:r>
        <w:rPr>
          <w:rFonts w:hint="eastAsia"/>
          <w:color w:val="000000" w:themeColor="text1"/>
          <w:highlight w:val="none"/>
          <w:shd w:val="clear" w:color="auto" w:fill="FDFDFE"/>
          <w:lang w:val="en-US" w:eastAsia="zh-CN"/>
          <w14:textFill>
            <w14:solidFill>
              <w14:schemeClr w14:val="tx1"/>
            </w14:solidFill>
          </w14:textFill>
        </w:rPr>
        <w:t>服务周期内</w:t>
      </w:r>
      <w:r>
        <w:rPr>
          <w:rFonts w:hint="eastAsia"/>
          <w:color w:val="000000" w:themeColor="text1"/>
          <w:highlight w:val="none"/>
          <w:shd w:val="clear" w:color="auto" w:fill="FDFDFE"/>
          <w14:textFill>
            <w14:solidFill>
              <w14:schemeClr w14:val="tx1"/>
            </w14:solidFill>
          </w14:textFill>
        </w:rPr>
        <w:t>针对《数字孪生广东水网建设先行先试（粤港澳大湾区试点区）实施方案》对北江洪水防御中省市两级水网联排联调的迫切需求，基于“两涌一河”洪水预报、模拟及调度模型，以省级水网平台推送的北江水位及分洪流量为边界，为西南涌、芦苞涌各级分洪流量对“两涌一河”流域及下游广州河网的洪水风险情况提供实时分析服务，实现省市两级水网联合调度，助力科学合理分洪。具体服务包括：</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1.“两涌一河”洪水预报服务</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基于“两涌一河”洪水预报模型进行开展作业洪水预报服务工作，实现“两涌一河”干流重点断面洪水过程、洪水到达时间、沿岸洪水淹没的预报预警，预见期包括2小时预报、6小时预报、24小时。</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2.“两涌一河”流域防洪调度服务</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基于芦苞水闸、西南水闸以及三坑水库、福源水库、芙蓉嶂水库3宗小（1）型及以上水库的水网工程体系精细化洪水预报调度一体化模型，为“两涌一河”流域提供水工程联合调度下的流域洪水预报调度一体化服务。</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（1）开展两涌一河流域水库纳雨能力分析服务：根据水库当前水位、调度规则，分析水库当前水位与汛限水位等目标水位之间的库容，考虑合适的径流系数，可容纳多少降雨量。</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（2）开展流域主要水库入库流量预报服务：根据气象降雨预报成果，采用适宜的产汇流方法，预报水库入库流量过程。</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（3）开展流域主要水库规则/溢流调度服务：根据水库入库流量预报成果，按照水库调度规则，采用水量平衡调洪演算方法，分析计算水库水位、出库流量过程。</w:t>
      </w:r>
    </w:p>
    <w:p>
      <w:pPr>
        <w:pStyle w:val="6"/>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成果要求</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“两涌一河”洪水预报调度成果简报：</w:t>
      </w:r>
      <w:r>
        <w:rPr>
          <w:color w:val="000000" w:themeColor="text1"/>
          <w:highlight w:val="none"/>
          <w14:textFill>
            <w14:solidFill>
              <w14:schemeClr w14:val="tx1"/>
            </w14:solidFill>
          </w14:textFill>
        </w:rPr>
        <w:t>每场降雨</w:t>
      </w: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份</w:t>
      </w:r>
      <w:r>
        <w:rPr>
          <w:rFonts w:hint="eastAsia"/>
          <w:color w:val="000000" w:themeColor="text1"/>
          <w:highlight w:val="none"/>
          <w14:textFill>
            <w14:solidFill>
              <w14:schemeClr w14:val="tx1"/>
            </w14:solidFill>
          </w14:textFill>
        </w:rPr>
        <w:t>《分析报告》</w:t>
      </w:r>
    </w:p>
    <w:p>
      <w:pPr>
        <w:pStyle w:val="6"/>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验收要求</w:t>
      </w:r>
    </w:p>
    <w:p>
      <w:pPr>
        <w:pStyle w:val="10"/>
        <w:shd w:val="clear"/>
        <w:ind w:firstLine="480"/>
        <w:rPr>
          <w:rFonts w:hint="eastAsia"/>
          <w:color w:val="000000" w:themeColor="text1"/>
          <w:highlight w:val="none"/>
          <w14:textFill>
            <w14:solidFill>
              <w14:schemeClr w14:val="tx1"/>
            </w14:solidFill>
          </w14:textFill>
        </w:rPr>
      </w:pPr>
      <w:r>
        <w:rPr>
          <w:rFonts w:hint="eastAsia"/>
          <w:color w:val="000000" w:themeColor="text1"/>
          <w:highlight w:val="none"/>
          <w:shd w:val="clear" w:color="auto" w:fill="FDFDFE"/>
          <w14:textFill>
            <w14:solidFill>
              <w14:schemeClr w14:val="tx1"/>
            </w14:solidFill>
          </w14:textFill>
        </w:rPr>
        <w:t>模型效果获得局科信处的认可，其中模型性能指标方面，按2小时预报、6小时预报、24小时预报方式，模型精度与计算速度预期指标为</w:t>
      </w:r>
      <w:r>
        <w:rPr>
          <w:rFonts w:hint="eastAsia"/>
          <w:color w:val="000000" w:themeColor="text1"/>
          <w:highlight w:val="none"/>
          <w14:textFill>
            <w14:solidFill>
              <w14:schemeClr w14:val="tx1"/>
            </w14:solidFill>
          </w14:textFill>
        </w:rPr>
        <w:t>：</w:t>
      </w:r>
    </w:p>
    <w:p>
      <w:pPr>
        <w:pStyle w:val="10"/>
        <w:shd w:val="clear"/>
        <w:ind w:firstLine="48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（1）2小时预报：</w:t>
      </w:r>
    </w:p>
    <w:p>
      <w:pPr>
        <w:pStyle w:val="10"/>
        <w:shd w:val="clear"/>
        <w:ind w:firstLine="48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山区洪水预报：洪水预报方案应满足《水文情报预报规范》（GB/T22482－2008）的乙级精度要求。</w:t>
      </w:r>
    </w:p>
    <w:p>
      <w:pPr>
        <w:pStyle w:val="10"/>
        <w:shd w:val="clear"/>
        <w:ind w:firstLine="48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城区河网洪水预报：断面流量误差&lt;20%；水位误差&lt;0.3m。</w:t>
      </w:r>
    </w:p>
    <w:p>
      <w:pPr>
        <w:pStyle w:val="10"/>
        <w:shd w:val="clear"/>
        <w:ind w:firstLine="48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（2）6小时预报：</w:t>
      </w:r>
    </w:p>
    <w:p>
      <w:pPr>
        <w:pStyle w:val="10"/>
        <w:shd w:val="clear"/>
        <w:ind w:firstLine="48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山区洪水预报：洪水预报方案应满足《水文情报预报规范》（GB/T22482－2008）的乙级精度要求。</w:t>
      </w:r>
    </w:p>
    <w:p>
      <w:pPr>
        <w:pStyle w:val="10"/>
        <w:shd w:val="clear"/>
        <w:ind w:firstLine="48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城区河网洪水预报：断面流量误差&lt;25%；水位误差&lt;0.4m。</w:t>
      </w:r>
    </w:p>
    <w:p>
      <w:pPr>
        <w:pStyle w:val="10"/>
        <w:shd w:val="clear"/>
        <w:ind w:firstLine="48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（3）24小时预报：</w:t>
      </w:r>
    </w:p>
    <w:p>
      <w:pPr>
        <w:pStyle w:val="10"/>
        <w:shd w:val="clear"/>
        <w:ind w:firstLine="48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山区洪水预报：洪水预报方案应满足《水文情报预报规范》（GB/T22482－2008）的乙级精度要求。</w:t>
      </w:r>
    </w:p>
    <w:p>
      <w:pPr>
        <w:pStyle w:val="10"/>
        <w:shd w:val="clear"/>
        <w:ind w:firstLine="48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城区河网洪水预报：断面流量误差&lt;30%；水位误差&lt;0.5m。</w:t>
      </w:r>
    </w:p>
    <w:p>
      <w:pPr>
        <w:pStyle w:val="4"/>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广州市智慧水务物联网平台业务运营服务</w:t>
      </w:r>
    </w:p>
    <w:p>
      <w:pPr>
        <w:keepNext/>
        <w:keepLines/>
        <w:numPr>
          <w:ilvl w:val="3"/>
          <w:numId w:val="1"/>
        </w:numPr>
        <w:shd w:val="clear"/>
        <w:outlineLvl w:val="3"/>
        <w:rPr>
          <w:rFonts w:ascii="Times New Roman" w:hAnsi="Times New Roman" w:eastAsia="宋体" w:cs="仿宋_GB2312"/>
          <w:b/>
          <w:bCs/>
          <w:color w:val="000000" w:themeColor="text1"/>
          <w:sz w:val="24"/>
          <w:highlight w:val="none"/>
          <w14:textFill>
            <w14:solidFill>
              <w14:schemeClr w14:val="tx1"/>
            </w14:solidFill>
          </w14:textFill>
        </w:rPr>
      </w:pPr>
      <w:r>
        <w:rPr>
          <w:rFonts w:hint="eastAsia" w:ascii="Times New Roman" w:hAnsi="Times New Roman" w:eastAsia="宋体" w:cs="仿宋_GB2312"/>
          <w:b/>
          <w:bCs/>
          <w:color w:val="000000" w:themeColor="text1"/>
          <w:sz w:val="24"/>
          <w:highlight w:val="none"/>
          <w14:textFill>
            <w14:solidFill>
              <w14:schemeClr w14:val="tx1"/>
            </w14:solidFill>
          </w14:textFill>
        </w:rPr>
        <w:t>物联数据采集及系统对接服务</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定期（按月）</w:t>
      </w:r>
      <w:r>
        <w:rPr>
          <w:rFonts w:hint="eastAsia" w:ascii="Times New Roman" w:hAnsi="Times New Roman" w:eastAsia="宋体" w:cs="Times New Roman"/>
          <w:color w:val="000000" w:themeColor="text1"/>
          <w:sz w:val="24"/>
          <w:highlight w:val="none"/>
          <w14:textFill>
            <w14:solidFill>
              <w14:schemeClr w14:val="tx1"/>
            </w14:solidFill>
          </w14:textFill>
        </w:rPr>
        <w:t>负责水务设备（含视频）数据的实时采集，确保数据的准确性和完整性。同时对不同来源和格式的数据进行标准化处理，实现数据的集成和融合，并对数据进行集中管理。同时，物联平台将与各水管理单位进行系统对接，实现数据共享。</w:t>
      </w:r>
      <w:bookmarkStart w:id="9" w:name="OLE_LINK22"/>
      <w:r>
        <w:rPr>
          <w:rFonts w:hint="eastAsia" w:ascii="Times New Roman" w:hAnsi="Times New Roman" w:eastAsia="宋体" w:cs="Times New Roman"/>
          <w:color w:val="000000" w:themeColor="text1"/>
          <w:sz w:val="24"/>
          <w:highlight w:val="none"/>
          <w14:textFill>
            <w14:solidFill>
              <w14:schemeClr w14:val="tx1"/>
            </w14:solidFill>
          </w14:textFill>
        </w:rPr>
        <w:t>具体服务包括：</w:t>
      </w:r>
      <w:bookmarkEnd w:id="9"/>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（1）</w:t>
      </w:r>
      <w:r>
        <w:rPr>
          <w:rFonts w:hint="eastAsia" w:ascii="Times New Roman" w:hAnsi="Times New Roman" w:eastAsia="宋体" w:cs="Times New Roman"/>
          <w:color w:val="000000" w:themeColor="text1"/>
          <w:sz w:val="24"/>
          <w:highlight w:val="none"/>
          <w14:textFill>
            <w14:solidFill>
              <w14:schemeClr w14:val="tx1"/>
            </w14:solidFill>
          </w14:textFill>
        </w:rPr>
        <w:tab/>
      </w:r>
      <w:r>
        <w:rPr>
          <w:rFonts w:hint="eastAsia" w:ascii="Times New Roman" w:hAnsi="Times New Roman" w:eastAsia="宋体" w:cs="Times New Roman"/>
          <w:color w:val="000000" w:themeColor="text1"/>
          <w:sz w:val="24"/>
          <w:highlight w:val="none"/>
          <w14:textFill>
            <w14:solidFill>
              <w14:schemeClr w14:val="tx1"/>
            </w14:solidFill>
          </w14:textFill>
        </w:rPr>
        <w:t>数据接入</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物联平台预计将接入全市28家单位合计19类物联监测站点，年度新接入站点数量约为387个左右。接入测站类型包括污水处理厂进水口水质与出水口水质，农污设施出水口水质，排水泵站水位，排水闸门水位与开关状态，三防山塘三要素，水文站三要素，易涝点水尺水位等7类测站。</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其中污水处理厂进水口水质与出水口这2类包含接入水流量、COD、氨氮、pH、总磷、总氮、悬浮物14种参数；农污设施包括进口流量和出口流量2种参数；排水泵站包括水位1种参数；排水闸门包括水位与开关状态2种参数；三防山塘三要素包括水位、雨量、图片3种参数；水文站三要素包括水位、雨量、图片3种参数；易涝点水尺包括水位1种参数。每月开展接入工作，合计7类测站26种参数。</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（2）视频信号接入</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视频平台预计年度新增接入站点数量约为285个左右。视频平台将按季度接入水务在建工地视频、城管云、珠办等其他渠道增量更新的多类视频，并需完成与海康威视、大华股份、宇视科技三大主流品牌摄像头的技术对接。由于两类视频来源与三类摄像头品牌存在不同的协议与接口标准，预计将形成6条独立的技术对接链路，工作内容涵盖前期的专项技术调研、私有协议标准适配，到中期的与对接平台进行视频接入联调、视频流统一转码与接入，以及后期的全链路功能、性能与稳定性测试。</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物联平台将对接入的物联设备及新接入设备进行统一运营管理，按照物联规约、RTU细则、测站编码等进行物联设备接入。视频平台系统将对接入的物联设备及新接入设备进行统一运营管理，按照视频国标进行视频站点接入。接入数据需根据相关单位要求进行定制化对接开发（开发内容包含数据库对接及接口转发进行数据接入与共享），数据资源接入物联（含视频）平台进行分类统计，按照相关角色权限进行数据可视化展示及物联设备数据正常服务进行运营管理。</w:t>
      </w:r>
    </w:p>
    <w:p>
      <w:pPr>
        <w:pStyle w:val="6"/>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成果要求</w:t>
      </w:r>
    </w:p>
    <w:p>
      <w:pPr>
        <w:shd w:val="clear"/>
        <w:spacing w:line="360" w:lineRule="auto"/>
        <w:ind w:firstLine="480" w:firstLineChars="200"/>
        <w:rPr>
          <w:rFonts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新接入站点及共享站点月报。</w:t>
      </w:r>
    </w:p>
    <w:p>
      <w:pPr>
        <w:pStyle w:val="6"/>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验收要求</w:t>
      </w:r>
    </w:p>
    <w:p>
      <w:pPr>
        <w:pStyle w:val="10"/>
        <w:shd w:val="clear"/>
        <w:ind w:firstLine="480"/>
        <w:rPr>
          <w:color w:val="000000" w:themeColor="text1"/>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每月以月报的形式总结新接入站点及共享站点的情况，提交月报，由局科信处、市防御中心确认。接入数据推送至项目建设的一体化平台中，并保障数据正常显示。</w:t>
      </w:r>
    </w:p>
    <w:p>
      <w:pPr>
        <w:pStyle w:val="3"/>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数据处理运营服务</w:t>
      </w:r>
    </w:p>
    <w:p>
      <w:pPr>
        <w:pStyle w:val="4"/>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智慧水务数据共享与交换服务</w:t>
      </w:r>
    </w:p>
    <w:p>
      <w:pPr>
        <w:pStyle w:val="11"/>
        <w:shd w:val="clea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服务周期内</w:t>
      </w:r>
      <w:r>
        <w:rPr>
          <w:rFonts w:hint="eastAsia"/>
          <w:color w:val="000000" w:themeColor="text1"/>
          <w:highlight w:val="none"/>
          <w14:textFill>
            <w14:solidFill>
              <w14:schemeClr w14:val="tx1"/>
            </w14:solidFill>
          </w14:textFill>
        </w:rPr>
        <w:t>面向省水利厅、市水务局、广州市政务大数据中心、市内各单位部门和区水务部门等提供智慧水务数据共享与交换服务，实现更大力度更大范围的水务数据开放与共享。市政数局要求，定期收集各业务处室/单位共享数据资源目录，更新到市政数局数据资源门户。具体服务内容：</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（一）广州市智慧水务一体化平台数据资源中心共享服务</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广州市智慧水务一体化平台数据资源中心是全市水务行业数据汇聚的中心，目前已汇聚了包括基础设施类、监测监控类、监督考核类、检测上报类、考核评价类、问题流程类、物资仓库类、巡查养护类、应急预案类、值班考勤类等部门的数据（见表3-6），主要来源于各区水务局、各污水厂/市净水公司/市排水公司、广东省水利厅、广州市公安局、排水公司、水旱灾害防御中心、水务局、自来水厂等部门。本服务主要对一体化平台数据资源中心的行业数据资源进行运营管理。</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（1）协助数据共享需求审核</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为数据共享需求提供数据分析支撑服务，包括①分析申请的数据服务是否已发布②分析现有的数据服务是否包含数据申请范围（空间范围、时间范围），并指导申请单位完成线上流程申请全部流程环节。③分析需求信息类是否编目、是否挂接、是否需要签署共享协议、数据是否更新，数据来源分析等。④根据不同的数据共享需求进行不同流程的支撑，制定需求实施计划。</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（2）数据共享实施</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用前置机、接口等多种方式实现提供交换节点之间的交接抽取、转换、传输和管理等数据交换服务，确保数据交换过程中的安全，并提供交换审计的管理，对交换流程、交换节点、交换量等进行统一配置和监控。</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数据交换ETL。进行清洗、转换、集成和加载配置，并进行内部测试。</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联调测试。数据联调，联调测试文档编写、与数据使用部门进行库表交换联调测试。</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出口审计。提交数据使用授权材料，配合数据管理方完成数据授权及数据出口审计。</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（二）市政数局数据门户资源目录更新服务</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主要针对市水务局发布到市政数局数据门户的数据资源目录进行更新维护。目前已挂接到数据资源门户的数据目录56个，数据来源11个业务部门。</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共享资源目录挂接维护：根据业务需要，定期在市政数局数据资源门户系统更新水务局及局属单位共享数据资源目录，如新业务系统上线资源目录挂接、下线系统数据资源目录注销、数据资源目录更新调整等。</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共享资源目录数据收集和梳理：按业务处室/单位共享数据资源更新频率，定期收集共享数据资源信息或到水务局门户网站复制数据统计报告信息，涉及56个数据资源目录线下收集，梳理每月待更新数据资源。</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（3）共享资源目录数据推送：收集梳理后的共享数据资源，按市政数局共享数据资源的数据项格式进行处理，并导入本地中转数据库，由一体化平台运维中心统一推送到市政数局数据资源共享前置机。</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共享数据资源更新通报：按市政数局数据门户共享数据更新的考核要求，每月定期通报各业务处室/单位数据更新数据情况，督促相关处室/单位及时收集和提交共享数据资源目录的数据信息，直到所有处室/单位均按时按质完成数据更新工作。</w:t>
      </w:r>
    </w:p>
    <w:p>
      <w:pPr>
        <w:pStyle w:val="5"/>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成果要求</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《广州市智慧水务一体化平台数据资源目录》《广州市水务局在市政数局数据门户发布资源目录清单》《智慧水务数据共享交换服务记录》。</w:t>
      </w:r>
    </w:p>
    <w:p>
      <w:pPr>
        <w:pStyle w:val="5"/>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验收要求</w:t>
      </w:r>
    </w:p>
    <w:p>
      <w:pPr>
        <w:pStyle w:val="11"/>
        <w:shd w:val="clea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实现向数据需求单位、市政数局提供智慧水务数据共享与交换服务，数据共享内容、频率满足数据需求单位、市政数局要求。</w:t>
      </w:r>
    </w:p>
    <w:p>
      <w:pPr>
        <w:pStyle w:val="4"/>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智慧水务可视化服务</w:t>
      </w:r>
    </w:p>
    <w:p>
      <w:pPr>
        <w:pStyle w:val="5"/>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水务一张图运营服务</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体化平台水务一张图统一展示水务各项空间数据资源。目前已集成和发布了包含工程设施、监测监控、水务业务专题和外务接入在内的4个专题24大类17.5亿条数据。水务一张图运营服务支持各类水务数据可视化管理，包括地图服务发布、更新、统计分析、优化等。具体服务包括：</w:t>
      </w:r>
    </w:p>
    <w:p>
      <w:pPr>
        <w:pStyle w:val="10"/>
        <w:shd w:val="clear"/>
        <w:ind w:firstLine="480"/>
        <w:rPr>
          <w:b/>
          <w:bCs/>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1）新增地图服务发布，根据业务需求，将汇聚不同来源、不同格式的空间数据，按照标准坐标体系（广州2000）进行处理，通过GIS工具发布成地图服务，形成一个统一的空间数据视图，便于用户查询、分析和应用。</w:t>
      </w:r>
    </w:p>
    <w:p>
      <w:pPr>
        <w:pStyle w:val="10"/>
        <w:shd w:val="clear"/>
        <w:ind w:firstLine="480"/>
        <w:rPr>
          <w:b/>
          <w:bCs/>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2）存量地图服务更新，每类空间数据有不同更新标准，有业务系统对接的空间数据由业务系统进行更新。无业务系统对接的空间数据，由人工定期进行数据收集、汇聚、更新和维护，根据数据管理规范，通过数据校验、数据清洗等手段，提高数据质量和可靠性，确保数据的完整性、安全性、准确性和时效性。</w:t>
      </w:r>
    </w:p>
    <w:p>
      <w:pPr>
        <w:pStyle w:val="10"/>
        <w:shd w:val="clear"/>
        <w:ind w:firstLine="480"/>
        <w:rPr>
          <w:b/>
          <w:bCs/>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（3）地图服务优化，地图服务优化，统计地图服务的使用率，每月统计各地图服务的使用情况，根据地图每月使用情况统计，更新优先级别高的地图服务，确保地图服务访问效率。</w:t>
      </w:r>
    </w:p>
    <w:p>
      <w:pPr>
        <w:pStyle w:val="6"/>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成果要求</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定期（按季度）产出空间数据发布记录、更新记录、统计分析关联表、空间数据检查记录等材料。</w:t>
      </w:r>
    </w:p>
    <w:p>
      <w:pPr>
        <w:pStyle w:val="6"/>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验收要求</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完成系统相关专题图更新工作，可在系统上查看最新地图数据。</w:t>
      </w:r>
    </w:p>
    <w:p>
      <w:pPr>
        <w:pStyle w:val="5"/>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排水业务专题图制作服务</w:t>
      </w:r>
    </w:p>
    <w:p>
      <w:pPr>
        <w:pStyle w:val="11"/>
        <w:shd w:val="clea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服务周期内</w:t>
      </w:r>
      <w:r>
        <w:rPr>
          <w:rFonts w:hint="eastAsia"/>
          <w:color w:val="000000" w:themeColor="text1"/>
          <w:highlight w:val="none"/>
          <w14:textFill>
            <w14:solidFill>
              <w14:schemeClr w14:val="tx1"/>
            </w14:solidFill>
          </w14:textFill>
        </w:rPr>
        <w:t>根据市水务局排水处、河涌监测中心、排水中心、排水监测站、市水生态中心具体业务要求，提供水务业务专题图制作，以支撑各类挂图作战使用。具体服务包括：</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对水务设施基础属性数据进行分析，利用arcgis软件制作水务设施专题图，展示水务设施在基础地图上分布情况。具体包括排水行业专题图与河长制管理、海绵城市管理专题3大类。</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排水行业专题图涵盖电子地图、影像图2类图层，还包括排水设施图层含排水管线、沟渠、雨水口、窨井、污水处理厂、闸门、泵站、排水口等8类图层，还可能包括叠加监测点数据如管网液位监测点、易涝点监测点、水闸监测点、泵站监测点等监测站点，还可能包括叠加业务数据如有地陷风险的路段管网、正在改造修复的管网等。</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海绵城市管理专题图涵盖电子地图、影像图2类图层，还包括规划管控图层含九大流域、流域边界、105排涝片区、3003管控单元、2575三级排水分区、广州市2019城市建成区全、地块导则、水系控制线等8类图层。</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河长制管理专题图涵盖电子地图、影像图2类图层，还包括水系、河湖名录、河湖管理范围线、岸线功能区，水质水文监测点、问题点等6类图层，还可能包括其他业务图层。</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每次出图需结合不同出图区域（市、一个区以及多个区），并叠加多种出图要素，针对每类要素，筛选确定上图数据范围，对一些分类不明确的数据还需和出图业务部门进行确认。</w:t>
      </w:r>
    </w:p>
    <w:p>
      <w:pPr>
        <w:pStyle w:val="6"/>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成果要求</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专题图制作：排水行业、河长制管理、海绵城市管理3大类专题图（电子版）</w:t>
      </w:r>
    </w:p>
    <w:p>
      <w:pPr>
        <w:pStyle w:val="6"/>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验收要求</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完成系统相关专题图更新工作，可在系统上查看最新专题图数据。</w:t>
      </w:r>
    </w:p>
    <w:p>
      <w:pPr>
        <w:pStyle w:val="3"/>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其他业务运营服务</w:t>
      </w:r>
    </w:p>
    <w:p>
      <w:pPr>
        <w:pStyle w:val="4"/>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通信租赁服务</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通信租赁服务主要包括短信服务、4G流量卡、卫星通讯费（北斗）、卫星电话卡，用于支撑广州市智慧水务一体化平台、广州市智慧排水信息系统、广州市水旱灾害防御系统、广州市智慧水务物联网（含视频）平台等系统通信需求。具体服务包括：</w:t>
      </w:r>
    </w:p>
    <w:tbl>
      <w:tblPr>
        <w:tblStyle w:val="7"/>
        <w:tblW w:w="5000" w:type="pct"/>
        <w:tblInd w:w="0" w:type="dxa"/>
        <w:tblLayout w:type="autofit"/>
        <w:tblCellMar>
          <w:top w:w="0" w:type="dxa"/>
          <w:left w:w="0" w:type="dxa"/>
          <w:bottom w:w="0" w:type="dxa"/>
          <w:right w:w="0" w:type="dxa"/>
        </w:tblCellMar>
      </w:tblPr>
      <w:tblGrid>
        <w:gridCol w:w="605"/>
        <w:gridCol w:w="1110"/>
        <w:gridCol w:w="5653"/>
        <w:gridCol w:w="968"/>
      </w:tblGrid>
      <w:tr>
        <w:tblPrEx>
          <w:tblCellMar>
            <w:top w:w="0" w:type="dxa"/>
            <w:left w:w="0" w:type="dxa"/>
            <w:bottom w:w="0" w:type="dxa"/>
            <w:right w:w="0" w:type="dxa"/>
          </w:tblCellMar>
        </w:tblPrEx>
        <w:trPr>
          <w:trHeight w:val="57" w:hRule="atLeast"/>
          <w:tblHeader/>
        </w:trPr>
        <w:tc>
          <w:tcPr>
            <w:tcW w:w="363"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0"/>
              <w:shd w:val="clear"/>
              <w:spacing w:line="240" w:lineRule="auto"/>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序号</w:t>
            </w:r>
          </w:p>
        </w:tc>
        <w:tc>
          <w:tcPr>
            <w:tcW w:w="666" w:type="pct"/>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pStyle w:val="10"/>
              <w:shd w:val="clear"/>
              <w:spacing w:line="240" w:lineRule="auto"/>
              <w:ind w:firstLine="0" w:firstLineChars="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服务名称</w:t>
            </w:r>
          </w:p>
        </w:tc>
        <w:tc>
          <w:tcPr>
            <w:tcW w:w="3391" w:type="pct"/>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pStyle w:val="10"/>
              <w:shd w:val="clear"/>
              <w:spacing w:line="240" w:lineRule="auto"/>
              <w:ind w:firstLine="0" w:firstLineChars="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服务内容</w:t>
            </w:r>
          </w:p>
        </w:tc>
        <w:tc>
          <w:tcPr>
            <w:tcW w:w="580" w:type="pct"/>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pStyle w:val="10"/>
              <w:shd w:val="clear"/>
              <w:spacing w:line="240" w:lineRule="auto"/>
              <w:ind w:firstLine="0" w:firstLineChars="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数量</w:t>
            </w:r>
          </w:p>
        </w:tc>
      </w:tr>
      <w:tr>
        <w:tblPrEx>
          <w:tblCellMar>
            <w:top w:w="0" w:type="dxa"/>
            <w:left w:w="0" w:type="dxa"/>
            <w:bottom w:w="0" w:type="dxa"/>
            <w:right w:w="0" w:type="dxa"/>
          </w:tblCellMar>
        </w:tblPrEx>
        <w:trPr>
          <w:trHeight w:val="57" w:hRule="atLeast"/>
        </w:trPr>
        <w:tc>
          <w:tcPr>
            <w:tcW w:w="363"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0"/>
              <w:shd w:val="clear"/>
              <w:spacing w:line="240" w:lineRule="auto"/>
              <w:ind w:firstLine="0" w:firstLineChars="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p>
        </w:tc>
        <w:tc>
          <w:tcPr>
            <w:tcW w:w="666" w:type="pct"/>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pStyle w:val="10"/>
              <w:shd w:val="clear"/>
              <w:spacing w:line="240" w:lineRule="auto"/>
              <w:ind w:firstLine="0" w:firstLineChars="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短信服务</w:t>
            </w:r>
          </w:p>
        </w:tc>
        <w:tc>
          <w:tcPr>
            <w:tcW w:w="3391" w:type="pct"/>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pStyle w:val="10"/>
              <w:shd w:val="clear"/>
              <w:spacing w:line="240" w:lineRule="auto"/>
              <w:ind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是用于广州市智慧水务一体化平台、广州市智慧排水信息系统、广州市水旱灾害防御系统、广州市智慧水务物联网（含视频）平台等系统的短信验证码功能，提供发送短信的API接口、通道以及通道的运营支撑等服务。预计数量230万条/年；二是用于防汛预警通知短信，预计数量90万条/年，合计320万条/年。</w:t>
            </w:r>
          </w:p>
        </w:tc>
        <w:tc>
          <w:tcPr>
            <w:tcW w:w="580" w:type="pct"/>
            <w:tcBorders>
              <w:top w:val="single" w:color="000000" w:sz="4" w:space="0"/>
              <w:left w:val="nil"/>
              <w:bottom w:val="single" w:color="000000" w:sz="4" w:space="0"/>
              <w:right w:val="single" w:color="000000" w:sz="4" w:space="0"/>
            </w:tcBorders>
            <w:noWrap/>
            <w:tcMar>
              <w:top w:w="15" w:type="dxa"/>
              <w:left w:w="15" w:type="dxa"/>
              <w:bottom w:w="0" w:type="dxa"/>
              <w:right w:w="15" w:type="dxa"/>
            </w:tcMar>
            <w:vAlign w:val="center"/>
          </w:tcPr>
          <w:p>
            <w:pPr>
              <w:pStyle w:val="10"/>
              <w:shd w:val="clear"/>
              <w:spacing w:line="240" w:lineRule="auto"/>
              <w:ind w:firstLine="0" w:firstLineChars="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3200000</w:t>
            </w:r>
          </w:p>
        </w:tc>
      </w:tr>
      <w:tr>
        <w:tblPrEx>
          <w:tblCellMar>
            <w:top w:w="0" w:type="dxa"/>
            <w:left w:w="0" w:type="dxa"/>
            <w:bottom w:w="0" w:type="dxa"/>
            <w:right w:w="0" w:type="dxa"/>
          </w:tblCellMar>
        </w:tblPrEx>
        <w:trPr>
          <w:trHeight w:val="57" w:hRule="atLeast"/>
        </w:trPr>
        <w:tc>
          <w:tcPr>
            <w:tcW w:w="363"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0"/>
              <w:shd w:val="clear"/>
              <w:spacing w:line="240" w:lineRule="auto"/>
              <w:ind w:firstLine="0" w:firstLineChars="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p>
        </w:tc>
        <w:tc>
          <w:tcPr>
            <w:tcW w:w="666" w:type="pct"/>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pStyle w:val="10"/>
              <w:shd w:val="clear"/>
              <w:spacing w:line="240" w:lineRule="auto"/>
              <w:ind w:firstLine="0" w:firstLineChars="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4G流量卡</w:t>
            </w:r>
          </w:p>
        </w:tc>
        <w:tc>
          <w:tcPr>
            <w:tcW w:w="3391" w:type="pct"/>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pStyle w:val="10"/>
              <w:shd w:val="clear"/>
              <w:spacing w:line="240" w:lineRule="auto"/>
              <w:ind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G流量卡应用于广州市三防指挥信息化建设工程中水文遥测系统升级改造（242个站点，414张卡）智能水网系统升级改造（120个站点、240张卡）墒情系统升级改造（3个站点，3张卡），站点主要分布于广州市各重点水库，湖泊，河道，拦河坝，闸站，潮位点等重要水利设施中，监测要素分别是水位，雨量及图形的三要素。合计657张。</w:t>
            </w:r>
          </w:p>
        </w:tc>
        <w:tc>
          <w:tcPr>
            <w:tcW w:w="580" w:type="pct"/>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pStyle w:val="10"/>
              <w:shd w:val="clear"/>
              <w:spacing w:line="240" w:lineRule="auto"/>
              <w:ind w:firstLine="0" w:firstLineChars="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657</w:t>
            </w:r>
          </w:p>
        </w:tc>
      </w:tr>
      <w:tr>
        <w:tblPrEx>
          <w:tblCellMar>
            <w:top w:w="0" w:type="dxa"/>
            <w:left w:w="0" w:type="dxa"/>
            <w:bottom w:w="0" w:type="dxa"/>
            <w:right w:w="0" w:type="dxa"/>
          </w:tblCellMar>
        </w:tblPrEx>
        <w:trPr>
          <w:trHeight w:val="57" w:hRule="atLeast"/>
        </w:trPr>
        <w:tc>
          <w:tcPr>
            <w:tcW w:w="363"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0"/>
              <w:shd w:val="clear"/>
              <w:spacing w:line="240" w:lineRule="auto"/>
              <w:ind w:firstLine="0" w:firstLineChars="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w:t>
            </w:r>
          </w:p>
        </w:tc>
        <w:tc>
          <w:tcPr>
            <w:tcW w:w="666" w:type="pct"/>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pStyle w:val="10"/>
              <w:shd w:val="clear"/>
              <w:spacing w:line="240" w:lineRule="auto"/>
              <w:ind w:firstLine="0" w:firstLineChars="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卫星通讯费（北斗）</w:t>
            </w:r>
          </w:p>
        </w:tc>
        <w:tc>
          <w:tcPr>
            <w:tcW w:w="3391" w:type="pct"/>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pStyle w:val="10"/>
              <w:shd w:val="clear"/>
              <w:spacing w:line="240" w:lineRule="auto"/>
              <w:ind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广州市三防指挥信息化建设工程卫星通讯费（三防物联）鱼洞水库、牛牯嶂水库、白水带水库、从化铜锣湾、南大二级、鸦岗、黄埔、中大、南沙共9个点位。</w:t>
            </w:r>
          </w:p>
        </w:tc>
        <w:tc>
          <w:tcPr>
            <w:tcW w:w="580" w:type="pct"/>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pStyle w:val="10"/>
              <w:shd w:val="clear"/>
              <w:spacing w:line="240" w:lineRule="auto"/>
              <w:ind w:firstLine="0" w:firstLineChars="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w:t>
            </w:r>
          </w:p>
        </w:tc>
      </w:tr>
      <w:tr>
        <w:tblPrEx>
          <w:tblCellMar>
            <w:top w:w="0" w:type="dxa"/>
            <w:left w:w="0" w:type="dxa"/>
            <w:bottom w:w="0" w:type="dxa"/>
            <w:right w:w="0" w:type="dxa"/>
          </w:tblCellMar>
        </w:tblPrEx>
        <w:trPr>
          <w:trHeight w:val="57" w:hRule="atLeast"/>
        </w:trPr>
        <w:tc>
          <w:tcPr>
            <w:tcW w:w="363"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10"/>
              <w:shd w:val="clear"/>
              <w:spacing w:line="240" w:lineRule="auto"/>
              <w:ind w:firstLine="0" w:firstLineChars="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p>
        </w:tc>
        <w:tc>
          <w:tcPr>
            <w:tcW w:w="666" w:type="pct"/>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pStyle w:val="10"/>
              <w:shd w:val="clear"/>
              <w:spacing w:line="240" w:lineRule="auto"/>
              <w:ind w:firstLine="0" w:firstLineChars="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卫星电话卡</w:t>
            </w:r>
          </w:p>
        </w:tc>
        <w:tc>
          <w:tcPr>
            <w:tcW w:w="3391" w:type="pct"/>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pStyle w:val="10"/>
              <w:shd w:val="clear"/>
              <w:spacing w:line="240" w:lineRule="auto"/>
              <w:ind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广州市三防指挥信息化建设工程卫星电话卡24张。</w:t>
            </w:r>
          </w:p>
        </w:tc>
        <w:tc>
          <w:tcPr>
            <w:tcW w:w="580" w:type="pct"/>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pStyle w:val="10"/>
              <w:shd w:val="clear"/>
              <w:spacing w:line="240" w:lineRule="auto"/>
              <w:ind w:firstLine="0" w:firstLineChars="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24</w:t>
            </w:r>
          </w:p>
        </w:tc>
      </w:tr>
    </w:tbl>
    <w:p>
      <w:pPr>
        <w:pStyle w:val="2"/>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项目管理要求</w:t>
      </w:r>
    </w:p>
    <w:p>
      <w:pPr>
        <w:pStyle w:val="3"/>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人员配置及技能要求</w:t>
      </w:r>
    </w:p>
    <w:p>
      <w:pPr>
        <w:pStyle w:val="10"/>
        <w:shd w:val="clear"/>
        <w:ind w:firstLine="480"/>
        <w:rPr>
          <w:color w:val="000000" w:themeColor="text1"/>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★在系统运营周期开始时</w:t>
      </w:r>
      <w:r>
        <w:rPr>
          <w:rFonts w:hint="eastAsia"/>
          <w:color w:val="000000" w:themeColor="text1"/>
          <w:highlight w:val="none"/>
          <w14:textFill>
            <w14:solidFill>
              <w14:schemeClr w14:val="tx1"/>
            </w14:solidFill>
          </w14:textFill>
        </w:rPr>
        <w:t>提供项目团队服务人员，其中包括项目经理1名，技术负责人1名，非汛期日常驻场工程师1名，在汛期开始时根据水务局汛期值班安排（一般从3月至10月，具体以水务局通知为准）必须保证</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人24小时（早、中、晚三班）</w:t>
      </w:r>
      <w:r>
        <w:rPr>
          <w:rFonts w:hint="eastAsia"/>
          <w:color w:val="000000" w:themeColor="text1"/>
          <w:highlight w:val="none"/>
          <w:lang w:val="en-US" w:eastAsia="zh-CN"/>
          <w14:textFill>
            <w14:solidFill>
              <w14:schemeClr w14:val="tx1"/>
            </w14:solidFill>
          </w14:textFill>
        </w:rPr>
        <w:t>现场</w:t>
      </w:r>
      <w:r>
        <w:rPr>
          <w:rFonts w:hint="eastAsia"/>
          <w:color w:val="000000" w:themeColor="text1"/>
          <w:highlight w:val="none"/>
          <w14:textFill>
            <w14:solidFill>
              <w14:schemeClr w14:val="tx1"/>
            </w14:solidFill>
          </w14:textFill>
        </w:rPr>
        <w:t>驻场值班</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至少需提供不少于6人的轮流值班团队</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（投标</w:t>
      </w:r>
      <w:r>
        <w:rPr>
          <w:rFonts w:hint="eastAsia"/>
          <w:color w:val="000000" w:themeColor="text1"/>
          <w:highlight w:val="none"/>
          <w:lang w:val="en-US" w:eastAsia="zh-CN"/>
          <w14:textFill>
            <w14:solidFill>
              <w14:schemeClr w14:val="tx1"/>
            </w14:solidFill>
          </w14:textFill>
        </w:rPr>
        <w:t>文件内</w:t>
      </w:r>
      <w:r>
        <w:rPr>
          <w:rFonts w:hint="eastAsia"/>
          <w:color w:val="000000" w:themeColor="text1"/>
          <w:highlight w:val="none"/>
          <w14:textFill>
            <w14:solidFill>
              <w14:schemeClr w14:val="tx1"/>
            </w14:solidFill>
          </w14:textFill>
        </w:rPr>
        <w:t>需提供承诺函，格式自拟）。</w:t>
      </w:r>
    </w:p>
    <w:p>
      <w:pPr>
        <w:shd w:val="clear"/>
        <w:spacing w:line="360" w:lineRule="auto"/>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本服务小组具体要求如表所示：</w:t>
      </w:r>
    </w:p>
    <w:tbl>
      <w:tblPr>
        <w:tblStyle w:val="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2384"/>
        <w:gridCol w:w="4112"/>
        <w:gridCol w:w="1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blHeader/>
          <w:jc w:val="center"/>
        </w:trPr>
        <w:tc>
          <w:tcPr>
            <w:tcW w:w="410" w:type="pct"/>
            <w:shd w:val="clear" w:color="auto" w:fill="C7DAF1"/>
            <w:vAlign w:val="center"/>
          </w:tcPr>
          <w:p>
            <w:pPr>
              <w:widowControl/>
              <w:shd w:val="clear"/>
              <w:jc w:val="center"/>
              <w:textAlignment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lang w:bidi="ar"/>
                <w14:textFill>
                  <w14:solidFill>
                    <w14:schemeClr w14:val="tx1"/>
                  </w14:solidFill>
                </w14:textFill>
              </w:rPr>
              <w:t>序号</w:t>
            </w:r>
          </w:p>
        </w:tc>
        <w:tc>
          <w:tcPr>
            <w:tcW w:w="1399" w:type="pct"/>
            <w:shd w:val="clear" w:color="auto" w:fill="C7DAF1"/>
            <w:vAlign w:val="center"/>
          </w:tcPr>
          <w:p>
            <w:pPr>
              <w:widowControl/>
              <w:shd w:val="clear"/>
              <w:jc w:val="center"/>
              <w:textAlignment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lang w:bidi="ar"/>
                <w14:textFill>
                  <w14:solidFill>
                    <w14:schemeClr w14:val="tx1"/>
                  </w14:solidFill>
                </w14:textFill>
              </w:rPr>
              <w:t>工作内容</w:t>
            </w:r>
          </w:p>
        </w:tc>
        <w:tc>
          <w:tcPr>
            <w:tcW w:w="2413" w:type="pct"/>
            <w:shd w:val="clear" w:color="auto" w:fill="C7DAF1"/>
            <w:vAlign w:val="center"/>
          </w:tcPr>
          <w:p>
            <w:pPr>
              <w:widowControl/>
              <w:shd w:val="clear"/>
              <w:jc w:val="center"/>
              <w:textAlignment w:val="center"/>
              <w:rPr>
                <w:rFonts w:hint="eastAsia" w:ascii="宋体" w:hAnsi="宋体" w:eastAsia="宋体" w:cs="宋体"/>
                <w:b/>
                <w:bCs/>
                <w:color w:val="000000" w:themeColor="text1"/>
                <w:kern w:val="0"/>
                <w:szCs w:val="21"/>
                <w:highlight w:val="none"/>
                <w:lang w:bidi="ar"/>
                <w14:textFill>
                  <w14:solidFill>
                    <w14:schemeClr w14:val="tx1"/>
                  </w14:solidFill>
                </w14:textFill>
              </w:rPr>
            </w:pPr>
            <w:r>
              <w:rPr>
                <w:rFonts w:hint="eastAsia" w:ascii="宋体" w:hAnsi="宋体" w:eastAsia="宋体" w:cs="宋体"/>
                <w:b/>
                <w:bCs/>
                <w:color w:val="000000" w:themeColor="text1"/>
                <w:kern w:val="0"/>
                <w:szCs w:val="21"/>
                <w:highlight w:val="none"/>
                <w:lang w:bidi="ar"/>
                <w14:textFill>
                  <w14:solidFill>
                    <w14:schemeClr w14:val="tx1"/>
                  </w14:solidFill>
                </w14:textFill>
              </w:rPr>
              <w:t>人员资质要求</w:t>
            </w:r>
          </w:p>
        </w:tc>
        <w:tc>
          <w:tcPr>
            <w:tcW w:w="777" w:type="pct"/>
            <w:shd w:val="clear" w:color="auto" w:fill="C7DAF1"/>
            <w:vAlign w:val="center"/>
          </w:tcPr>
          <w:p>
            <w:pPr>
              <w:widowControl/>
              <w:shd w:val="clear"/>
              <w:jc w:val="center"/>
              <w:textAlignment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lang w:bidi="ar"/>
                <w14:textFill>
                  <w14:solidFill>
                    <w14:schemeClr w14:val="tx1"/>
                  </w14:solidFill>
                </w14:textFill>
              </w:rPr>
              <w:t>工作时间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410" w:type="pct"/>
            <w:vAlign w:val="center"/>
          </w:tcPr>
          <w:p>
            <w:pPr>
              <w:widowControl/>
              <w:shd w:val="clear"/>
              <w:jc w:val="center"/>
              <w:textAlignment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1</w:t>
            </w:r>
          </w:p>
        </w:tc>
        <w:tc>
          <w:tcPr>
            <w:tcW w:w="1399" w:type="pct"/>
            <w:vAlign w:val="center"/>
          </w:tcPr>
          <w:p>
            <w:pPr>
              <w:widowControl/>
              <w:shd w:val="clear"/>
              <w:jc w:val="left"/>
              <w:textAlignment w:val="center"/>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项目经理：项目</w:t>
            </w:r>
            <w:r>
              <w:rPr>
                <w:rFonts w:hint="eastAsia" w:ascii="宋体" w:hAnsi="宋体" w:eastAsia="宋体" w:cs="宋体"/>
                <w:color w:val="000000" w:themeColor="text1"/>
                <w:kern w:val="0"/>
                <w:szCs w:val="21"/>
                <w:highlight w:val="none"/>
                <w:lang w:val="en-US" w:eastAsia="zh-CN" w:bidi="ar"/>
                <w14:textFill>
                  <w14:solidFill>
                    <w14:schemeClr w14:val="tx1"/>
                  </w14:solidFill>
                </w14:textFill>
              </w:rPr>
              <w:t>数据</w:t>
            </w:r>
            <w:r>
              <w:rPr>
                <w:rFonts w:hint="default" w:ascii="宋体" w:hAnsi="宋体" w:eastAsia="宋体" w:cs="宋体"/>
                <w:color w:val="000000" w:themeColor="text1"/>
                <w:kern w:val="0"/>
                <w:szCs w:val="21"/>
                <w:highlight w:val="none"/>
                <w:lang w:val="en-US" w:bidi="ar"/>
                <w14:textFill>
                  <w14:solidFill>
                    <w14:schemeClr w14:val="tx1"/>
                  </w14:solidFill>
                </w14:textFill>
              </w:rPr>
              <w:t>日常</w:t>
            </w:r>
            <w:r>
              <w:rPr>
                <w:rFonts w:hint="eastAsia" w:ascii="宋体" w:hAnsi="宋体" w:eastAsia="宋体" w:cs="宋体"/>
                <w:color w:val="000000" w:themeColor="text1"/>
                <w:kern w:val="0"/>
                <w:szCs w:val="21"/>
                <w:highlight w:val="none"/>
                <w:lang w:val="en-US" w:eastAsia="zh-CN" w:bidi="ar"/>
                <w14:textFill>
                  <w14:solidFill>
                    <w14:schemeClr w14:val="tx1"/>
                  </w14:solidFill>
                </w14:textFill>
              </w:rPr>
              <w:t>运营的</w:t>
            </w:r>
            <w:r>
              <w:rPr>
                <w:rFonts w:hint="eastAsia" w:ascii="宋体" w:hAnsi="宋体" w:eastAsia="宋体" w:cs="宋体"/>
                <w:color w:val="000000" w:themeColor="text1"/>
                <w:kern w:val="0"/>
                <w:szCs w:val="21"/>
                <w:highlight w:val="none"/>
                <w:lang w:bidi="ar"/>
                <w14:textFill>
                  <w14:solidFill>
                    <w14:schemeClr w14:val="tx1"/>
                  </w14:solidFill>
                </w14:textFill>
              </w:rPr>
              <w:t>管理、</w:t>
            </w:r>
            <w:r>
              <w:rPr>
                <w:rFonts w:hint="eastAsia" w:ascii="宋体" w:hAnsi="宋体" w:eastAsia="宋体" w:cs="宋体"/>
                <w:color w:val="000000" w:themeColor="text1"/>
                <w:kern w:val="0"/>
                <w:szCs w:val="21"/>
                <w:highlight w:val="none"/>
                <w:lang w:val="en-US" w:eastAsia="zh-CN" w:bidi="ar"/>
                <w14:textFill>
                  <w14:solidFill>
                    <w14:schemeClr w14:val="tx1"/>
                  </w14:solidFill>
                </w14:textFill>
              </w:rPr>
              <w:t>数据治理处理指导、</w:t>
            </w:r>
            <w:r>
              <w:rPr>
                <w:rFonts w:hint="eastAsia"/>
                <w:color w:val="000000" w:themeColor="text1"/>
                <w:highlight w:val="none"/>
                <w14:textFill>
                  <w14:solidFill>
                    <w14:schemeClr w14:val="tx1"/>
                  </w14:solidFill>
                </w14:textFill>
              </w:rPr>
              <w:t>模型算法</w:t>
            </w:r>
            <w:r>
              <w:rPr>
                <w:rFonts w:hint="eastAsia"/>
                <w:color w:val="000000" w:themeColor="text1"/>
                <w:highlight w:val="none"/>
                <w:lang w:val="en-US" w:eastAsia="zh-CN"/>
                <w14:textFill>
                  <w14:solidFill>
                    <w14:schemeClr w14:val="tx1"/>
                  </w14:solidFill>
                </w14:textFill>
              </w:rPr>
              <w:t>等</w:t>
            </w:r>
            <w:r>
              <w:rPr>
                <w:rFonts w:hint="eastAsia" w:ascii="宋体" w:hAnsi="宋体" w:eastAsia="宋体" w:cs="宋体"/>
                <w:color w:val="000000" w:themeColor="text1"/>
                <w:kern w:val="0"/>
                <w:szCs w:val="21"/>
                <w:highlight w:val="none"/>
                <w:lang w:bidi="ar"/>
                <w14:textFill>
                  <w14:solidFill>
                    <w14:schemeClr w14:val="tx1"/>
                  </w14:solidFill>
                </w14:textFill>
              </w:rPr>
              <w:t>重要事项的管控、二线人员协调调配、专项工作跟进（可由驻场工程师担任）。</w:t>
            </w:r>
          </w:p>
        </w:tc>
        <w:tc>
          <w:tcPr>
            <w:tcW w:w="2413" w:type="pct"/>
            <w:vAlign w:val="center"/>
          </w:tcPr>
          <w:p>
            <w:pPr>
              <w:widowControl/>
              <w:shd w:val="clear"/>
              <w:jc w:val="left"/>
              <w:textAlignment w:val="center"/>
              <w:rPr>
                <w:rFonts w:hint="eastAsia" w:ascii="宋体" w:hAnsi="宋体" w:eastAsia="宋体" w:cs="宋体"/>
                <w:color w:val="000000" w:themeColor="text1"/>
                <w:kern w:val="0"/>
                <w:szCs w:val="21"/>
                <w:highlight w:val="none"/>
                <w:lang w:eastAsia="zh-CN" w:bidi="ar"/>
                <w14:textFill>
                  <w14:solidFill>
                    <w14:schemeClr w14:val="tx1"/>
                  </w14:solidFill>
                </w14:textFill>
              </w:rPr>
            </w:pPr>
            <w:r>
              <w:rPr>
                <w:rFonts w:hint="eastAsia" w:ascii="宋体" w:hAnsi="宋体" w:eastAsia="宋体" w:cs="宋体"/>
                <w:color w:val="000000" w:themeColor="text1"/>
                <w:kern w:val="0"/>
                <w:szCs w:val="21"/>
                <w:highlight w:val="none"/>
                <w:lang w:val="en-US" w:eastAsia="zh-CN" w:bidi="ar"/>
                <w14:textFill>
                  <w14:solidFill>
                    <w14:schemeClr w14:val="tx1"/>
                  </w14:solidFill>
                </w14:textFill>
              </w:rPr>
              <w:t>1.</w:t>
            </w:r>
            <w:bookmarkStart w:id="10" w:name="OLE_LINK33"/>
            <w:r>
              <w:rPr>
                <w:rFonts w:hint="eastAsia" w:ascii="宋体" w:hAnsi="宋体" w:eastAsia="宋体" w:cs="宋体"/>
                <w:color w:val="000000" w:themeColor="text1"/>
                <w:kern w:val="0"/>
                <w:szCs w:val="21"/>
                <w:highlight w:val="none"/>
                <w:lang w:bidi="ar"/>
                <w14:textFill>
                  <w14:solidFill>
                    <w14:schemeClr w14:val="tx1"/>
                  </w14:solidFill>
                </w14:textFill>
              </w:rPr>
              <w:t>持有人社部门（或其他具备职称评定资格的单位或机构）颁发</w:t>
            </w:r>
            <w:bookmarkEnd w:id="10"/>
            <w:r>
              <w:rPr>
                <w:color w:val="000000" w:themeColor="text1"/>
                <w:highlight w:val="none"/>
                <w14:textFill>
                  <w14:solidFill>
                    <w14:schemeClr w14:val="tx1"/>
                  </w14:solidFill>
                </w14:textFill>
              </w:rPr>
              <w:t>的计算机类</w:t>
            </w:r>
            <w:r>
              <w:rPr>
                <w:rFonts w:hint="default"/>
                <w:color w:val="000000" w:themeColor="text1"/>
                <w:highlight w:val="none"/>
                <w:lang w:val="en-US"/>
                <w14:textFill>
                  <w14:solidFill>
                    <w14:schemeClr w14:val="tx1"/>
                  </w14:solidFill>
                </w14:textFill>
              </w:rPr>
              <w:t>正高级</w:t>
            </w:r>
            <w:r>
              <w:rPr>
                <w:color w:val="000000" w:themeColor="text1"/>
                <w:highlight w:val="none"/>
                <w14:textFill>
                  <w14:solidFill>
                    <w14:schemeClr w14:val="tx1"/>
                  </w14:solidFill>
                </w14:textFill>
              </w:rPr>
              <w:t>工程师职称证书</w:t>
            </w:r>
            <w:r>
              <w:rPr>
                <w:rFonts w:hint="eastAsia" w:ascii="宋体" w:hAnsi="宋体" w:eastAsia="宋体" w:cs="宋体"/>
                <w:color w:val="000000" w:themeColor="text1"/>
                <w:kern w:val="0"/>
                <w:szCs w:val="21"/>
                <w:highlight w:val="none"/>
                <w:lang w:val="en-US" w:eastAsia="zh-CN" w:bidi="ar"/>
                <w14:textFill>
                  <w14:solidFill>
                    <w14:schemeClr w14:val="tx1"/>
                  </w14:solidFill>
                </w14:textFill>
              </w:rPr>
              <w:t>2.</w:t>
            </w:r>
            <w:r>
              <w:rPr>
                <w:rFonts w:hint="eastAsia" w:ascii="宋体" w:hAnsi="宋体" w:eastAsia="宋体" w:cs="宋体"/>
                <w:color w:val="000000" w:themeColor="text1"/>
                <w:kern w:val="0"/>
                <w:szCs w:val="21"/>
                <w:highlight w:val="none"/>
                <w:lang w:bidi="ar"/>
                <w14:textFill>
                  <w14:solidFill>
                    <w14:schemeClr w14:val="tx1"/>
                  </w14:solidFill>
                </w14:textFill>
              </w:rPr>
              <w:t>具有计算机相关专业本科或以上学</w:t>
            </w:r>
            <w:r>
              <w:rPr>
                <w:rFonts w:hint="eastAsia" w:ascii="宋体" w:hAnsi="宋体" w:eastAsia="宋体" w:cs="宋体"/>
                <w:color w:val="000000" w:themeColor="text1"/>
                <w:kern w:val="0"/>
                <w:szCs w:val="21"/>
                <w:highlight w:val="none"/>
                <w:lang w:val="en-US" w:eastAsia="zh-CN" w:bidi="ar"/>
                <w14:textFill>
                  <w14:solidFill>
                    <w14:schemeClr w14:val="tx1"/>
                  </w14:solidFill>
                </w14:textFill>
              </w:rPr>
              <w:t>历且具有学士或以上学位</w:t>
            </w:r>
            <w:r>
              <w:rPr>
                <w:rFonts w:hint="eastAsia" w:ascii="宋体" w:hAnsi="宋体" w:eastAsia="宋体" w:cs="宋体"/>
                <w:color w:val="000000" w:themeColor="text1"/>
                <w:kern w:val="0"/>
                <w:szCs w:val="21"/>
                <w:highlight w:val="none"/>
                <w:lang w:bidi="ar"/>
                <w14:textFill>
                  <w14:solidFill>
                    <w14:schemeClr w14:val="tx1"/>
                  </w14:solidFill>
                </w14:textFill>
              </w:rPr>
              <w:t>证书、</w:t>
            </w:r>
            <w:r>
              <w:rPr>
                <w:rFonts w:hint="eastAsia" w:ascii="宋体" w:hAnsi="宋体" w:eastAsia="宋体" w:cs="宋体"/>
                <w:color w:val="000000" w:themeColor="text1"/>
                <w:kern w:val="0"/>
                <w:szCs w:val="21"/>
                <w:highlight w:val="none"/>
                <w:lang w:val="en-US" w:eastAsia="zh-CN" w:bidi="ar"/>
                <w14:textFill>
                  <w14:solidFill>
                    <w14:schemeClr w14:val="tx1"/>
                  </w14:solidFill>
                </w14:textFill>
              </w:rPr>
              <w:t>3.</w:t>
            </w:r>
            <w:r>
              <w:rPr>
                <w:color w:val="000000" w:themeColor="text1"/>
                <w:highlight w:val="none"/>
                <w14:textFill>
                  <w14:solidFill>
                    <w14:schemeClr w14:val="tx1"/>
                  </w14:solidFill>
                </w14:textFill>
              </w:rPr>
              <w:t>具有计算机技术与软件专业技术资格（水平）的</w:t>
            </w:r>
            <w:r>
              <w:rPr>
                <w:rFonts w:hint="eastAsia" w:ascii="宋体" w:hAnsi="宋体" w:eastAsia="宋体" w:cs="宋体"/>
                <w:color w:val="000000" w:themeColor="text1"/>
                <w:kern w:val="0"/>
                <w:szCs w:val="21"/>
                <w:highlight w:val="none"/>
                <w:lang w:bidi="ar"/>
                <w14:textFill>
                  <w14:solidFill>
                    <w14:schemeClr w14:val="tx1"/>
                  </w14:solidFill>
                </w14:textFill>
              </w:rPr>
              <w:t>信息系统项目管理师证书</w:t>
            </w:r>
            <w:r>
              <w:rPr>
                <w:rFonts w:hint="eastAsia" w:ascii="宋体" w:hAnsi="宋体" w:eastAsia="宋体" w:cs="宋体"/>
                <w:color w:val="000000" w:themeColor="text1"/>
                <w:kern w:val="0"/>
                <w:szCs w:val="21"/>
                <w:highlight w:val="none"/>
                <w:lang w:eastAsia="zh-CN" w:bidi="ar"/>
                <w14:textFill>
                  <w14:solidFill>
                    <w14:schemeClr w14:val="tx1"/>
                  </w14:solidFill>
                </w14:textFill>
              </w:rPr>
              <w:t>。</w:t>
            </w:r>
          </w:p>
        </w:tc>
        <w:tc>
          <w:tcPr>
            <w:tcW w:w="777" w:type="pct"/>
            <w:vAlign w:val="center"/>
          </w:tcPr>
          <w:p>
            <w:pPr>
              <w:widowControl/>
              <w:shd w:val="clear"/>
              <w:jc w:val="center"/>
              <w:textAlignment w:val="center"/>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7×24响应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7" w:hRule="atLeast"/>
          <w:jc w:val="center"/>
        </w:trPr>
        <w:tc>
          <w:tcPr>
            <w:tcW w:w="410" w:type="pct"/>
            <w:vAlign w:val="center"/>
          </w:tcPr>
          <w:p>
            <w:pPr>
              <w:widowControl/>
              <w:shd w:val="clear"/>
              <w:jc w:val="center"/>
              <w:textAlignment w:val="center"/>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2</w:t>
            </w:r>
          </w:p>
        </w:tc>
        <w:tc>
          <w:tcPr>
            <w:tcW w:w="1399" w:type="pct"/>
            <w:vAlign w:val="center"/>
          </w:tcPr>
          <w:p>
            <w:pPr>
              <w:widowControl/>
              <w:shd w:val="clear"/>
              <w:jc w:val="left"/>
              <w:textAlignment w:val="center"/>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技术负责人：项目</w:t>
            </w:r>
            <w:r>
              <w:rPr>
                <w:rFonts w:hint="eastAsia" w:ascii="宋体" w:hAnsi="宋体" w:eastAsia="宋体" w:cs="宋体"/>
                <w:color w:val="000000" w:themeColor="text1"/>
                <w:kern w:val="0"/>
                <w:szCs w:val="21"/>
                <w:highlight w:val="none"/>
                <w:lang w:val="en-US" w:eastAsia="zh-CN" w:bidi="ar"/>
                <w14:textFill>
                  <w14:solidFill>
                    <w14:schemeClr w14:val="tx1"/>
                  </w14:solidFill>
                </w14:textFill>
              </w:rPr>
              <w:t>数据处理</w:t>
            </w:r>
            <w:r>
              <w:rPr>
                <w:rFonts w:hint="eastAsia" w:ascii="宋体" w:hAnsi="宋体" w:eastAsia="宋体" w:cs="宋体"/>
                <w:color w:val="000000" w:themeColor="text1"/>
                <w:kern w:val="0"/>
                <w:szCs w:val="21"/>
                <w:highlight w:val="none"/>
                <w:lang w:bidi="ar"/>
                <w14:textFill>
                  <w14:solidFill>
                    <w14:schemeClr w14:val="tx1"/>
                  </w14:solidFill>
                </w14:textFill>
              </w:rPr>
              <w:t>、</w:t>
            </w:r>
            <w:r>
              <w:rPr>
                <w:rFonts w:hint="eastAsia"/>
                <w:color w:val="000000" w:themeColor="text1"/>
                <w:highlight w:val="none"/>
                <w14:textFill>
                  <w14:solidFill>
                    <w14:schemeClr w14:val="tx1"/>
                  </w14:solidFill>
                </w14:textFill>
              </w:rPr>
              <w:t>模型算法</w:t>
            </w:r>
            <w:r>
              <w:rPr>
                <w:rFonts w:hint="eastAsia"/>
                <w:color w:val="000000" w:themeColor="text1"/>
                <w:highlight w:val="none"/>
                <w:lang w:val="en-US" w:eastAsia="zh-CN"/>
                <w14:textFill>
                  <w14:solidFill>
                    <w14:schemeClr w14:val="tx1"/>
                  </w14:solidFill>
                </w14:textFill>
              </w:rPr>
              <w:t>等</w:t>
            </w:r>
            <w:r>
              <w:rPr>
                <w:rFonts w:hint="eastAsia" w:ascii="宋体" w:hAnsi="宋体" w:eastAsia="宋体" w:cs="宋体"/>
                <w:color w:val="000000" w:themeColor="text1"/>
                <w:kern w:val="0"/>
                <w:szCs w:val="21"/>
                <w:highlight w:val="none"/>
                <w:lang w:bidi="ar"/>
                <w14:textFill>
                  <w14:solidFill>
                    <w14:schemeClr w14:val="tx1"/>
                  </w14:solidFill>
                </w14:textFill>
              </w:rPr>
              <w:t>重要技术</w:t>
            </w:r>
            <w:r>
              <w:rPr>
                <w:rFonts w:hint="eastAsia" w:ascii="宋体" w:hAnsi="宋体" w:eastAsia="宋体" w:cs="宋体"/>
                <w:color w:val="000000" w:themeColor="text1"/>
                <w:kern w:val="0"/>
                <w:szCs w:val="21"/>
                <w:highlight w:val="none"/>
                <w:lang w:val="en-US" w:eastAsia="zh-CN" w:bidi="ar"/>
                <w14:textFill>
                  <w14:solidFill>
                    <w14:schemeClr w14:val="tx1"/>
                  </w14:solidFill>
                </w14:textFill>
              </w:rPr>
              <w:t>指导</w:t>
            </w:r>
            <w:r>
              <w:rPr>
                <w:rFonts w:hint="eastAsia" w:ascii="宋体" w:hAnsi="宋体" w:eastAsia="宋体" w:cs="宋体"/>
                <w:color w:val="000000" w:themeColor="text1"/>
                <w:kern w:val="0"/>
                <w:szCs w:val="21"/>
                <w:highlight w:val="none"/>
                <w:lang w:eastAsia="zh-CN" w:bidi="ar"/>
                <w14:textFill>
                  <w14:solidFill>
                    <w14:schemeClr w14:val="tx1"/>
                  </w14:solidFill>
                </w14:textFill>
              </w:rPr>
              <w:t>，</w:t>
            </w:r>
            <w:r>
              <w:rPr>
                <w:rFonts w:hint="eastAsia" w:ascii="宋体" w:hAnsi="宋体" w:eastAsia="宋体" w:cs="宋体"/>
                <w:color w:val="000000" w:themeColor="text1"/>
                <w:kern w:val="0"/>
                <w:szCs w:val="21"/>
                <w:highlight w:val="none"/>
                <w:lang w:val="en-US" w:eastAsia="zh-CN" w:bidi="ar"/>
                <w14:textFill>
                  <w14:solidFill>
                    <w14:schemeClr w14:val="tx1"/>
                  </w14:solidFill>
                </w14:textFill>
              </w:rPr>
              <w:t>并对</w:t>
            </w:r>
            <w:r>
              <w:rPr>
                <w:rFonts w:hint="eastAsia" w:ascii="宋体" w:hAnsi="宋体" w:eastAsia="宋体" w:cs="宋体"/>
                <w:color w:val="000000" w:themeColor="text1"/>
                <w:kern w:val="0"/>
                <w:szCs w:val="21"/>
                <w:highlight w:val="none"/>
                <w:lang w:bidi="ar"/>
                <w14:textFill>
                  <w14:solidFill>
                    <w14:schemeClr w14:val="tx1"/>
                  </w14:solidFill>
                </w14:textFill>
              </w:rPr>
              <w:t>数据运营的</w:t>
            </w:r>
            <w:r>
              <w:rPr>
                <w:rFonts w:hint="eastAsia" w:ascii="宋体" w:hAnsi="宋体" w:eastAsia="宋体" w:cs="宋体"/>
                <w:color w:val="000000" w:themeColor="text1"/>
                <w:kern w:val="0"/>
                <w:szCs w:val="21"/>
                <w:highlight w:val="none"/>
                <w:lang w:val="en-US" w:eastAsia="zh-CN" w:bidi="ar"/>
                <w14:textFill>
                  <w14:solidFill>
                    <w14:schemeClr w14:val="tx1"/>
                  </w14:solidFill>
                </w14:textFill>
              </w:rPr>
              <w:t>技术做</w:t>
            </w:r>
            <w:r>
              <w:rPr>
                <w:rFonts w:hint="eastAsia" w:ascii="宋体" w:hAnsi="宋体" w:eastAsia="宋体" w:cs="宋体"/>
                <w:color w:val="000000" w:themeColor="text1"/>
                <w:kern w:val="0"/>
                <w:szCs w:val="21"/>
                <w:highlight w:val="none"/>
                <w:lang w:bidi="ar"/>
                <w14:textFill>
                  <w14:solidFill>
                    <w14:schemeClr w14:val="tx1"/>
                  </w14:solidFill>
                </w14:textFill>
              </w:rPr>
              <w:t>统筹管控。</w:t>
            </w:r>
          </w:p>
        </w:tc>
        <w:tc>
          <w:tcPr>
            <w:tcW w:w="2413" w:type="pct"/>
            <w:vAlign w:val="center"/>
          </w:tcPr>
          <w:p>
            <w:pPr>
              <w:pStyle w:val="9"/>
              <w:shd w:val="clear"/>
              <w:rPr>
                <w:rFonts w:hint="eastAsia" w:ascii="宋体" w:hAnsi="宋体" w:eastAsia="宋体" w:cs="宋体"/>
                <w:color w:val="000000" w:themeColor="text1"/>
                <w:sz w:val="21"/>
                <w:szCs w:val="21"/>
                <w:highlight w:val="none"/>
                <w:lang w:eastAsia="zh-CN" w:bidi="ar"/>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color w:val="000000" w:themeColor="text1"/>
                <w:highlight w:val="none"/>
                <w14:textFill>
                  <w14:solidFill>
                    <w14:schemeClr w14:val="tx1"/>
                  </w14:solidFill>
                </w14:textFill>
              </w:rPr>
              <w:t>具备</w:t>
            </w:r>
            <w:r>
              <w:rPr>
                <w:color w:val="000000" w:themeColor="text1"/>
                <w:highlight w:val="none"/>
                <w:lang w:eastAsia="zh-CN"/>
                <w14:textFill>
                  <w14:solidFill>
                    <w14:schemeClr w14:val="tx1"/>
                  </w14:solidFill>
                </w14:textFill>
              </w:rPr>
              <w:t>10</w:t>
            </w:r>
            <w:r>
              <w:rPr>
                <w:color w:val="000000" w:themeColor="text1"/>
                <w:highlight w:val="none"/>
                <w14:textFill>
                  <w14:solidFill>
                    <w14:schemeClr w14:val="tx1"/>
                  </w14:solidFill>
                </w14:textFill>
              </w:rPr>
              <w:t>年或以上</w:t>
            </w:r>
            <w:r>
              <w:rPr>
                <w:color w:val="000000" w:themeColor="text1"/>
                <w:highlight w:val="none"/>
                <w:lang w:eastAsia="zh-CN"/>
                <w14:textFill>
                  <w14:solidFill>
                    <w14:schemeClr w14:val="tx1"/>
                  </w14:solidFill>
                </w14:textFill>
              </w:rPr>
              <w:t>工作</w:t>
            </w:r>
            <w:r>
              <w:rPr>
                <w:color w:val="000000" w:themeColor="text1"/>
                <w:highlight w:val="none"/>
                <w14:textFill>
                  <w14:solidFill>
                    <w14:schemeClr w14:val="tx1"/>
                  </w14:solidFill>
                </w14:textFill>
              </w:rPr>
              <w:t>经验</w:t>
            </w:r>
            <w:r>
              <w:rPr>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kern w:val="0"/>
                <w:szCs w:val="21"/>
                <w:highlight w:val="none"/>
                <w:lang w:bidi="ar"/>
                <w14:textFill>
                  <w14:solidFill>
                    <w14:schemeClr w14:val="tx1"/>
                  </w14:solidFill>
                </w14:textFill>
              </w:rPr>
              <w:t>持有人社部门（或其他具备职称评定资格的单位或机构）颁发</w:t>
            </w:r>
            <w:r>
              <w:rPr>
                <w:color w:val="000000" w:themeColor="text1"/>
                <w:highlight w:val="none"/>
                <w:lang w:eastAsia="zh-CN"/>
                <w14:textFill>
                  <w14:solidFill>
                    <w14:schemeClr w14:val="tx1"/>
                  </w14:solidFill>
                </w14:textFill>
              </w:rPr>
              <w:t>的大数据类</w:t>
            </w:r>
            <w:r>
              <w:rPr>
                <w:rFonts w:hint="eastAsia"/>
                <w:color w:val="000000" w:themeColor="text1"/>
                <w:highlight w:val="none"/>
                <w:lang w:val="en-US" w:eastAsia="zh-CN"/>
                <w14:textFill>
                  <w14:solidFill>
                    <w14:schemeClr w14:val="tx1"/>
                  </w14:solidFill>
                </w14:textFill>
              </w:rPr>
              <w:t>中</w:t>
            </w:r>
            <w:r>
              <w:rPr>
                <w:color w:val="000000" w:themeColor="text1"/>
                <w:highlight w:val="none"/>
                <w:lang w:eastAsia="zh-CN"/>
                <w14:textFill>
                  <w14:solidFill>
                    <w14:schemeClr w14:val="tx1"/>
                  </w14:solidFill>
                </w14:textFill>
              </w:rPr>
              <w:t>级工程师职称证书</w:t>
            </w:r>
            <w:r>
              <w:rPr>
                <w:rFonts w:hint="eastAsia"/>
                <w:color w:val="000000" w:themeColor="text1"/>
                <w:highlight w:val="none"/>
                <w:lang w:val="en-US" w:eastAsia="zh-CN"/>
                <w14:textFill>
                  <w14:solidFill>
                    <w14:schemeClr w14:val="tx1"/>
                  </w14:solidFill>
                </w14:textFill>
              </w:rPr>
              <w:t>以上职称证书</w:t>
            </w:r>
            <w:r>
              <w:rPr>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3.</w:t>
            </w:r>
            <w:r>
              <w:rPr>
                <w:color w:val="000000" w:themeColor="text1"/>
                <w:highlight w:val="none"/>
                <w14:textFill>
                  <w14:solidFill>
                    <w14:schemeClr w14:val="tx1"/>
                  </w14:solidFill>
                </w14:textFill>
              </w:rPr>
              <w:t>具有计算机技术与软件专业技术资格（水平）的</w:t>
            </w:r>
            <w:r>
              <w:rPr>
                <w:rFonts w:ascii="宋体" w:hAnsi="宋体" w:eastAsia="宋体" w:cs="宋体"/>
                <w:color w:val="000000" w:themeColor="text1"/>
                <w:sz w:val="21"/>
                <w:szCs w:val="21"/>
                <w:highlight w:val="none"/>
                <w:lang w:bidi="ar"/>
                <w14:textFill>
                  <w14:solidFill>
                    <w14:schemeClr w14:val="tx1"/>
                  </w14:solidFill>
                </w14:textFill>
              </w:rPr>
              <w:t>信息系统项目管理师证书</w:t>
            </w:r>
            <w:r>
              <w:rPr>
                <w:rFonts w:hint="eastAsia" w:ascii="宋体" w:hAnsi="宋体" w:eastAsia="宋体" w:cs="宋体"/>
                <w:color w:val="000000" w:themeColor="text1"/>
                <w:sz w:val="21"/>
                <w:szCs w:val="21"/>
                <w:highlight w:val="none"/>
                <w:lang w:val="en-US" w:eastAsia="zh-CN" w:bidi="ar"/>
                <w14:textFill>
                  <w14:solidFill>
                    <w14:schemeClr w14:val="tx1"/>
                  </w14:solidFill>
                </w14:textFill>
              </w:rPr>
              <w:t>或</w:t>
            </w:r>
            <w:r>
              <w:rPr>
                <w:color w:val="000000" w:themeColor="text1"/>
                <w:highlight w:val="none"/>
                <w14:textFill>
                  <w14:solidFill>
                    <w14:schemeClr w14:val="tx1"/>
                  </w14:solidFill>
                </w14:textFill>
              </w:rPr>
              <w:t>系统分析师证书</w:t>
            </w:r>
            <w:r>
              <w:rPr>
                <w:rFonts w:hint="eastAsia" w:ascii="宋体" w:hAnsi="宋体" w:eastAsia="宋体" w:cs="宋体"/>
                <w:color w:val="000000" w:themeColor="text1"/>
                <w:sz w:val="21"/>
                <w:szCs w:val="21"/>
                <w:highlight w:val="none"/>
                <w:lang w:eastAsia="zh-CN" w:bidi="ar"/>
                <w14:textFill>
                  <w14:solidFill>
                    <w14:schemeClr w14:val="tx1"/>
                  </w14:solidFill>
                </w14:textFill>
              </w:rPr>
              <w:t>。</w:t>
            </w:r>
          </w:p>
        </w:tc>
        <w:tc>
          <w:tcPr>
            <w:tcW w:w="777" w:type="pct"/>
            <w:vAlign w:val="center"/>
          </w:tcPr>
          <w:p>
            <w:pPr>
              <w:widowControl/>
              <w:shd w:val="clear"/>
              <w:jc w:val="center"/>
              <w:textAlignment w:val="center"/>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7×24响应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jc w:val="center"/>
        </w:trPr>
        <w:tc>
          <w:tcPr>
            <w:tcW w:w="410" w:type="pct"/>
            <w:vAlign w:val="center"/>
          </w:tcPr>
          <w:p>
            <w:pPr>
              <w:widowControl/>
              <w:shd w:val="clear"/>
              <w:jc w:val="center"/>
              <w:textAlignment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2</w:t>
            </w:r>
          </w:p>
        </w:tc>
        <w:tc>
          <w:tcPr>
            <w:tcW w:w="1399" w:type="pct"/>
            <w:vAlign w:val="center"/>
          </w:tcPr>
          <w:p>
            <w:pPr>
              <w:widowControl/>
              <w:shd w:val="clear"/>
              <w:jc w:val="left"/>
              <w:textAlignment w:val="center"/>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非汛期日常驻场工程师1名：在服务期开始后开展系统的日常运营和专项工作，汛期期间也可担任汛期值守工程师。</w:t>
            </w:r>
          </w:p>
        </w:tc>
        <w:tc>
          <w:tcPr>
            <w:tcW w:w="2413" w:type="pct"/>
            <w:vAlign w:val="center"/>
          </w:tcPr>
          <w:p>
            <w:pPr>
              <w:widowControl/>
              <w:shd w:val="clear"/>
              <w:jc w:val="left"/>
              <w:textAlignment w:val="center"/>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具有</w:t>
            </w:r>
            <w:r>
              <w:rPr>
                <w:color w:val="000000" w:themeColor="text1"/>
                <w:highlight w:val="none"/>
                <w14:textFill>
                  <w14:solidFill>
                    <w14:schemeClr w14:val="tx1"/>
                  </w14:solidFill>
                </w14:textFill>
              </w:rPr>
              <w:t>计算机技术与软件专业技术资格（水平）的信息系统项目管理师证书</w:t>
            </w:r>
            <w:r>
              <w:rPr>
                <w:rFonts w:hint="eastAsia"/>
                <w:color w:val="000000" w:themeColor="text1"/>
                <w:highlight w:val="none"/>
                <w:lang w:val="en-US" w:eastAsia="zh-CN"/>
                <w14:textFill>
                  <w14:solidFill>
                    <w14:schemeClr w14:val="tx1"/>
                  </w14:solidFill>
                </w14:textFill>
              </w:rPr>
              <w:t>或</w:t>
            </w:r>
            <w:r>
              <w:rPr>
                <w:rFonts w:hint="eastAsia"/>
                <w:color w:val="000000" w:themeColor="text1"/>
                <w:highlight w:val="none"/>
                <w14:textFill>
                  <w14:solidFill>
                    <w14:schemeClr w14:val="tx1"/>
                  </w14:solidFill>
                </w14:textFill>
              </w:rPr>
              <w:t>系统架构设计师证书或数据库系统工程师证书或</w:t>
            </w:r>
            <w:r>
              <w:rPr>
                <w:color w:val="000000" w:themeColor="text1"/>
                <w:highlight w:val="none"/>
                <w14:textFill>
                  <w14:solidFill>
                    <w14:schemeClr w14:val="tx1"/>
                  </w14:solidFill>
                </w14:textFill>
              </w:rPr>
              <w:t>系统集成项目管理工程师证书</w:t>
            </w:r>
            <w:r>
              <w:rPr>
                <w:rFonts w:hint="eastAsia"/>
                <w:color w:val="000000" w:themeColor="text1"/>
                <w:highlight w:val="none"/>
                <w:lang w:val="en-US" w:eastAsia="zh-CN"/>
                <w14:textFill>
                  <w14:solidFill>
                    <w14:schemeClr w14:val="tx1"/>
                  </w14:solidFill>
                </w14:textFill>
              </w:rPr>
              <w:t>或系统规划与管理师证书</w:t>
            </w:r>
            <w:r>
              <w:rPr>
                <w:rFonts w:hint="eastAsia"/>
                <w:color w:val="000000" w:themeColor="text1"/>
                <w:highlight w:val="none"/>
                <w14:textFill>
                  <w14:solidFill>
                    <w14:schemeClr w14:val="tx1"/>
                  </w14:solidFill>
                </w14:textFill>
              </w:rPr>
              <w:t>。</w:t>
            </w:r>
          </w:p>
        </w:tc>
        <w:tc>
          <w:tcPr>
            <w:tcW w:w="777" w:type="pct"/>
            <w:vAlign w:val="center"/>
          </w:tcPr>
          <w:p>
            <w:pPr>
              <w:widowControl/>
              <w:shd w:val="clear"/>
              <w:jc w:val="center"/>
              <w:textAlignment w:val="center"/>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5×8工作日驻场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0" w:type="pct"/>
            <w:vAlign w:val="center"/>
          </w:tcPr>
          <w:p>
            <w:pPr>
              <w:widowControl/>
              <w:shd w:val="clear"/>
              <w:jc w:val="center"/>
              <w:textAlignment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3</w:t>
            </w:r>
          </w:p>
        </w:tc>
        <w:tc>
          <w:tcPr>
            <w:tcW w:w="1399" w:type="pct"/>
            <w:vAlign w:val="center"/>
          </w:tcPr>
          <w:p>
            <w:pPr>
              <w:widowControl/>
              <w:shd w:val="clear"/>
              <w:jc w:val="left"/>
              <w:textAlignment w:val="center"/>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汛期值守工程师团队人员不少于</w:t>
            </w:r>
            <w:r>
              <w:rPr>
                <w:rFonts w:hint="eastAsia" w:ascii="宋体" w:hAnsi="宋体" w:eastAsia="宋体" w:cs="宋体"/>
                <w:color w:val="000000" w:themeColor="text1"/>
                <w:kern w:val="0"/>
                <w:szCs w:val="21"/>
                <w:highlight w:val="none"/>
                <w:lang w:val="en-US" w:eastAsia="zh-CN" w:bidi="ar"/>
                <w14:textFill>
                  <w14:solidFill>
                    <w14:schemeClr w14:val="tx1"/>
                  </w14:solidFill>
                </w14:textFill>
              </w:rPr>
              <w:t>6</w:t>
            </w:r>
            <w:r>
              <w:rPr>
                <w:rFonts w:hint="eastAsia" w:ascii="宋体" w:hAnsi="宋体" w:eastAsia="宋体" w:cs="宋体"/>
                <w:color w:val="000000" w:themeColor="text1"/>
                <w:kern w:val="0"/>
                <w:szCs w:val="21"/>
                <w:highlight w:val="none"/>
                <w:lang w:bidi="ar"/>
                <w14:textFill>
                  <w14:solidFill>
                    <w14:schemeClr w14:val="tx1"/>
                  </w14:solidFill>
                </w14:textFill>
              </w:rPr>
              <w:t>名:在汛期开始时根据水务局汛期值班安排（一般从3月至10月，具体以水务局通知为准）必须保证</w:t>
            </w:r>
            <w:r>
              <w:rPr>
                <w:rFonts w:hint="eastAsia" w:ascii="宋体" w:hAnsi="宋体" w:eastAsia="宋体" w:cs="宋体"/>
                <w:color w:val="000000" w:themeColor="text1"/>
                <w:kern w:val="0"/>
                <w:szCs w:val="21"/>
                <w:highlight w:val="none"/>
                <w:lang w:val="en-US" w:eastAsia="zh-CN" w:bidi="ar"/>
                <w14:textFill>
                  <w14:solidFill>
                    <w14:schemeClr w14:val="tx1"/>
                  </w14:solidFill>
                </w14:textFill>
              </w:rPr>
              <w:t>1</w:t>
            </w:r>
            <w:r>
              <w:rPr>
                <w:rFonts w:hint="eastAsia" w:ascii="宋体" w:hAnsi="宋体" w:eastAsia="宋体" w:cs="宋体"/>
                <w:color w:val="000000" w:themeColor="text1"/>
                <w:kern w:val="0"/>
                <w:szCs w:val="21"/>
                <w:highlight w:val="none"/>
                <w:lang w:bidi="ar"/>
                <w14:textFill>
                  <w14:solidFill>
                    <w14:schemeClr w14:val="tx1"/>
                  </w14:solidFill>
                </w14:textFill>
              </w:rPr>
              <w:t>人24小时（早、中、晚三班）</w:t>
            </w:r>
            <w:r>
              <w:rPr>
                <w:rFonts w:hint="eastAsia" w:ascii="宋体" w:hAnsi="宋体" w:eastAsia="宋体" w:cs="宋体"/>
                <w:color w:val="000000" w:themeColor="text1"/>
                <w:kern w:val="0"/>
                <w:szCs w:val="21"/>
                <w:highlight w:val="none"/>
                <w:lang w:val="en-US" w:eastAsia="zh-CN" w:bidi="ar"/>
                <w14:textFill>
                  <w14:solidFill>
                    <w14:schemeClr w14:val="tx1"/>
                  </w14:solidFill>
                </w14:textFill>
              </w:rPr>
              <w:t>现场</w:t>
            </w:r>
            <w:r>
              <w:rPr>
                <w:rFonts w:hint="eastAsia" w:ascii="宋体" w:hAnsi="宋体" w:eastAsia="宋体" w:cs="宋体"/>
                <w:color w:val="000000" w:themeColor="text1"/>
                <w:kern w:val="0"/>
                <w:szCs w:val="21"/>
                <w:highlight w:val="none"/>
                <w:lang w:bidi="ar"/>
                <w14:textFill>
                  <w14:solidFill>
                    <w14:schemeClr w14:val="tx1"/>
                  </w14:solidFill>
                </w14:textFill>
              </w:rPr>
              <w:t>驻场值班。</w:t>
            </w:r>
          </w:p>
        </w:tc>
        <w:tc>
          <w:tcPr>
            <w:tcW w:w="2413" w:type="pct"/>
            <w:vAlign w:val="center"/>
          </w:tcPr>
          <w:p>
            <w:pPr>
              <w:widowControl/>
              <w:shd w:val="clear"/>
              <w:jc w:val="left"/>
              <w:textAlignment w:val="center"/>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具有</w:t>
            </w:r>
            <w:r>
              <w:rPr>
                <w:color w:val="000000" w:themeColor="text1"/>
                <w:highlight w:val="none"/>
                <w14:textFill>
                  <w14:solidFill>
                    <w14:schemeClr w14:val="tx1"/>
                  </w14:solidFill>
                </w14:textFill>
              </w:rPr>
              <w:t>计算机技术与软件专业技术资格（水平）的信息系统项目管理师证书</w:t>
            </w:r>
            <w:r>
              <w:rPr>
                <w:rFonts w:hint="eastAsia"/>
                <w:color w:val="000000" w:themeColor="text1"/>
                <w:highlight w:val="none"/>
                <w:lang w:val="en-US" w:eastAsia="zh-CN"/>
                <w14:textFill>
                  <w14:solidFill>
                    <w14:schemeClr w14:val="tx1"/>
                  </w14:solidFill>
                </w14:textFill>
              </w:rPr>
              <w:t>或</w:t>
            </w:r>
            <w:r>
              <w:rPr>
                <w:rFonts w:hint="eastAsia"/>
                <w:color w:val="000000" w:themeColor="text1"/>
                <w:highlight w:val="none"/>
                <w14:textFill>
                  <w14:solidFill>
                    <w14:schemeClr w14:val="tx1"/>
                  </w14:solidFill>
                </w14:textFill>
              </w:rPr>
              <w:t>系统架构设计师证书或数据库系统工程师证书或</w:t>
            </w:r>
            <w:r>
              <w:rPr>
                <w:color w:val="000000" w:themeColor="text1"/>
                <w:highlight w:val="none"/>
                <w14:textFill>
                  <w14:solidFill>
                    <w14:schemeClr w14:val="tx1"/>
                  </w14:solidFill>
                </w14:textFill>
              </w:rPr>
              <w:t>系统集成项目管理工程师证书</w:t>
            </w:r>
            <w:r>
              <w:rPr>
                <w:rFonts w:hint="eastAsia"/>
                <w:color w:val="000000" w:themeColor="text1"/>
                <w:highlight w:val="none"/>
                <w:lang w:val="en-US" w:eastAsia="zh-CN"/>
                <w14:textFill>
                  <w14:solidFill>
                    <w14:schemeClr w14:val="tx1"/>
                  </w14:solidFill>
                </w14:textFill>
              </w:rPr>
              <w:t>或系统规划与管理师证书</w:t>
            </w:r>
            <w:r>
              <w:rPr>
                <w:rFonts w:hint="eastAsia"/>
                <w:color w:val="000000" w:themeColor="text1"/>
                <w:highlight w:val="none"/>
                <w14:textFill>
                  <w14:solidFill>
                    <w14:schemeClr w14:val="tx1"/>
                  </w14:solidFill>
                </w14:textFill>
              </w:rPr>
              <w:t>。</w:t>
            </w:r>
          </w:p>
        </w:tc>
        <w:tc>
          <w:tcPr>
            <w:tcW w:w="777" w:type="pct"/>
            <w:vAlign w:val="center"/>
          </w:tcPr>
          <w:p>
            <w:pPr>
              <w:widowControl/>
              <w:shd w:val="clear"/>
              <w:jc w:val="center"/>
              <w:textAlignment w:val="center"/>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汛期7*24小时</w:t>
            </w:r>
            <w:r>
              <w:rPr>
                <w:rFonts w:hint="eastAsia" w:ascii="宋体" w:hAnsi="宋体" w:eastAsia="宋体" w:cs="宋体"/>
                <w:color w:val="000000" w:themeColor="text1"/>
                <w:kern w:val="0"/>
                <w:szCs w:val="21"/>
                <w:highlight w:val="none"/>
                <w:lang w:val="en-US" w:eastAsia="zh-CN" w:bidi="ar"/>
                <w14:textFill>
                  <w14:solidFill>
                    <w14:schemeClr w14:val="tx1"/>
                  </w14:solidFill>
                </w14:textFill>
              </w:rPr>
              <w:t>现场</w:t>
            </w:r>
            <w:r>
              <w:rPr>
                <w:rFonts w:hint="eastAsia" w:ascii="宋体" w:hAnsi="宋体" w:eastAsia="宋体" w:cs="宋体"/>
                <w:color w:val="000000" w:themeColor="text1"/>
                <w:kern w:val="0"/>
                <w:szCs w:val="21"/>
                <w:highlight w:val="none"/>
                <w:lang w:bidi="ar"/>
                <w14:textFill>
                  <w14:solidFill>
                    <w14:schemeClr w14:val="tx1"/>
                  </w14:solidFill>
                </w14:textFill>
              </w:rPr>
              <w:t>驻场轮流值班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410" w:type="pct"/>
            <w:vAlign w:val="center"/>
          </w:tcPr>
          <w:p>
            <w:pPr>
              <w:widowControl/>
              <w:shd w:val="clear"/>
              <w:jc w:val="center"/>
              <w:textAlignment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4</w:t>
            </w:r>
          </w:p>
        </w:tc>
        <w:tc>
          <w:tcPr>
            <w:tcW w:w="1399" w:type="pct"/>
            <w:vAlign w:val="center"/>
          </w:tcPr>
          <w:p>
            <w:pPr>
              <w:widowControl/>
              <w:shd w:val="clear"/>
              <w:jc w:val="left"/>
              <w:textAlignment w:val="center"/>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二线工程师：开展运营培训、系统推广</w:t>
            </w:r>
            <w:r>
              <w:rPr>
                <w:rFonts w:hint="eastAsia" w:ascii="宋体" w:hAnsi="宋体" w:eastAsia="宋体" w:cs="宋体"/>
                <w:color w:val="000000" w:themeColor="text1"/>
                <w:kern w:val="0"/>
                <w:szCs w:val="21"/>
                <w:highlight w:val="none"/>
                <w:lang w:eastAsia="zh-CN" w:bidi="ar"/>
                <w14:textFill>
                  <w14:solidFill>
                    <w14:schemeClr w14:val="tx1"/>
                  </w14:solidFill>
                </w14:textFill>
              </w:rPr>
              <w:t>、</w:t>
            </w:r>
            <w:r>
              <w:rPr>
                <w:rFonts w:hint="eastAsia" w:ascii="宋体" w:hAnsi="宋体" w:eastAsia="宋体" w:cs="宋体"/>
                <w:color w:val="000000" w:themeColor="text1"/>
                <w:kern w:val="0"/>
                <w:szCs w:val="21"/>
                <w:highlight w:val="none"/>
                <w:lang w:val="en-US" w:eastAsia="zh-CN" w:bidi="ar"/>
                <w14:textFill>
                  <w14:solidFill>
                    <w14:schemeClr w14:val="tx1"/>
                  </w14:solidFill>
                </w14:textFill>
              </w:rPr>
              <w:t>专题图制作、空间等GIS数据处理</w:t>
            </w:r>
            <w:r>
              <w:rPr>
                <w:rFonts w:hint="eastAsia" w:ascii="宋体" w:hAnsi="宋体" w:eastAsia="宋体" w:cs="宋体"/>
                <w:color w:val="000000" w:themeColor="text1"/>
                <w:kern w:val="0"/>
                <w:szCs w:val="21"/>
                <w:highlight w:val="none"/>
                <w:lang w:bidi="ar"/>
                <w14:textFill>
                  <w14:solidFill>
                    <w14:schemeClr w14:val="tx1"/>
                  </w14:solidFill>
                </w14:textFill>
              </w:rPr>
              <w:t>等专项工作。</w:t>
            </w:r>
          </w:p>
        </w:tc>
        <w:tc>
          <w:tcPr>
            <w:tcW w:w="2413" w:type="pct"/>
            <w:vAlign w:val="center"/>
          </w:tcPr>
          <w:p>
            <w:pPr>
              <w:widowControl/>
              <w:numPr>
                <w:ilvl w:val="0"/>
                <w:numId w:val="0"/>
              </w:numPr>
              <w:shd w:val="clear"/>
              <w:jc w:val="left"/>
              <w:textAlignment w:val="center"/>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具有</w:t>
            </w:r>
            <w:r>
              <w:rPr>
                <w:color w:val="000000" w:themeColor="text1"/>
                <w:highlight w:val="none"/>
                <w14:textFill>
                  <w14:solidFill>
                    <w14:schemeClr w14:val="tx1"/>
                  </w14:solidFill>
                </w14:textFill>
              </w:rPr>
              <w:t>计算机技术与软件专业技术资格（水平）的信息系统项目管理师证书</w:t>
            </w:r>
            <w:r>
              <w:rPr>
                <w:rFonts w:hint="eastAsia"/>
                <w:color w:val="000000" w:themeColor="text1"/>
                <w:highlight w:val="none"/>
                <w:lang w:val="en-US" w:eastAsia="zh-CN"/>
                <w14:textFill>
                  <w14:solidFill>
                    <w14:schemeClr w14:val="tx1"/>
                  </w14:solidFill>
                </w14:textFill>
              </w:rPr>
              <w:t>或</w:t>
            </w:r>
            <w:r>
              <w:rPr>
                <w:rFonts w:hint="eastAsia"/>
                <w:color w:val="000000" w:themeColor="text1"/>
                <w:highlight w:val="none"/>
                <w14:textFill>
                  <w14:solidFill>
                    <w14:schemeClr w14:val="tx1"/>
                  </w14:solidFill>
                </w14:textFill>
              </w:rPr>
              <w:t>系统架构设计师证书或数据库系统工程师证书或</w:t>
            </w:r>
            <w:r>
              <w:rPr>
                <w:color w:val="000000" w:themeColor="text1"/>
                <w:highlight w:val="none"/>
                <w14:textFill>
                  <w14:solidFill>
                    <w14:schemeClr w14:val="tx1"/>
                  </w14:solidFill>
                </w14:textFill>
              </w:rPr>
              <w:t>系统集成项目管理工程师证书</w:t>
            </w:r>
            <w:r>
              <w:rPr>
                <w:rFonts w:hint="eastAsia"/>
                <w:color w:val="000000" w:themeColor="text1"/>
                <w:highlight w:val="none"/>
                <w:lang w:val="en-US" w:eastAsia="zh-CN"/>
                <w14:textFill>
                  <w14:solidFill>
                    <w14:schemeClr w14:val="tx1"/>
                  </w14:solidFill>
                </w14:textFill>
              </w:rPr>
              <w:t>或系统规划与管理师证书</w:t>
            </w:r>
            <w:r>
              <w:rPr>
                <w:rFonts w:hint="eastAsia"/>
                <w:color w:val="000000" w:themeColor="text1"/>
                <w:highlight w:val="none"/>
                <w:lang w:eastAsia="zh-CN"/>
                <w14:textFill>
                  <w14:solidFill>
                    <w14:schemeClr w14:val="tx1"/>
                  </w14:solidFill>
                </w14:textFill>
              </w:rPr>
              <w:t>。</w:t>
            </w:r>
          </w:p>
          <w:p>
            <w:pPr>
              <w:widowControl/>
              <w:numPr>
                <w:ilvl w:val="0"/>
                <w:numId w:val="0"/>
              </w:numPr>
              <w:shd w:val="clear"/>
              <w:jc w:val="left"/>
              <w:textAlignment w:val="center"/>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kern w:val="0"/>
                <w:szCs w:val="21"/>
                <w:highlight w:val="none"/>
                <w:lang w:bidi="ar"/>
                <w14:textFill>
                  <w14:solidFill>
                    <w14:schemeClr w14:val="tx1"/>
                  </w14:solidFill>
                </w14:textFill>
              </w:rPr>
              <w:t>持有人社部门（或其他具备职称评定资格的单位或机构）颁发</w:t>
            </w:r>
            <w:r>
              <w:rPr>
                <w:color w:val="000000" w:themeColor="text1"/>
                <w:highlight w:val="none"/>
                <w14:textFill>
                  <w14:solidFill>
                    <w14:schemeClr w14:val="tx1"/>
                  </w14:solidFill>
                </w14:textFill>
              </w:rPr>
              <w:t>的测绘高级工程师证书</w:t>
            </w:r>
            <w:r>
              <w:rPr>
                <w:rFonts w:hint="eastAsia"/>
                <w:color w:val="000000" w:themeColor="text1"/>
                <w:highlight w:val="none"/>
                <w14:textFill>
                  <w14:solidFill>
                    <w14:schemeClr w14:val="tx1"/>
                  </w14:solidFill>
                </w14:textFill>
              </w:rPr>
              <w:t>。</w:t>
            </w:r>
          </w:p>
        </w:tc>
        <w:tc>
          <w:tcPr>
            <w:tcW w:w="777" w:type="pct"/>
            <w:vAlign w:val="center"/>
          </w:tcPr>
          <w:p>
            <w:pPr>
              <w:widowControl/>
              <w:shd w:val="clear"/>
              <w:jc w:val="center"/>
              <w:textAlignment w:val="center"/>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二线</w:t>
            </w:r>
          </w:p>
        </w:tc>
      </w:tr>
    </w:tbl>
    <w:p>
      <w:pPr>
        <w:shd w:val="clear"/>
        <w:spacing w:line="360" w:lineRule="auto"/>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驻场人员必须经过采购人考核认可，采购人可要求中标服务商更换无法胜任工作的驻场人员，中标服务商必须无条件更换。中标服务商需更换派驻人员的，必须经过采购人允许方可更换。</w:t>
      </w:r>
    </w:p>
    <w:p>
      <w:pPr>
        <w:shd w:val="clear"/>
        <w:spacing w:line="360" w:lineRule="auto"/>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运营期启动后，非汛期必须安排1人5*8小时驻场，汛期必须安排</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人7*24小时现场驻场值班（至少需提供不少于</w:t>
      </w:r>
      <w:r>
        <w:rPr>
          <w:rFonts w:hint="eastAsia" w:ascii="宋体" w:hAnsi="宋体" w:eastAsia="宋体" w:cs="宋体"/>
          <w:color w:val="000000" w:themeColor="text1"/>
          <w:sz w:val="24"/>
          <w:highlight w:val="none"/>
          <w:lang w:val="en-US" w:eastAsia="zh-CN"/>
          <w14:textFill>
            <w14:solidFill>
              <w14:schemeClr w14:val="tx1"/>
            </w14:solidFill>
          </w14:textFill>
        </w:rPr>
        <w:t>6</w:t>
      </w:r>
      <w:r>
        <w:rPr>
          <w:rFonts w:hint="eastAsia" w:ascii="宋体" w:hAnsi="宋体" w:eastAsia="宋体" w:cs="宋体"/>
          <w:color w:val="000000" w:themeColor="text1"/>
          <w:sz w:val="24"/>
          <w:highlight w:val="none"/>
          <w14:textFill>
            <w14:solidFill>
              <w14:schemeClr w14:val="tx1"/>
            </w14:solidFill>
          </w14:textFill>
        </w:rPr>
        <w:t>人的轮流值班团队）。为了保证在出现问题时一线人员能够快速响应，驻场人员必须服从采购人的调遣和安排。有特大暴雨、台风、干旱或冰冻灾害时，驻场人员需按要求随时提供技术支持工作。驻场人员需轮休或请假时，中标服务商必须临时补充经充分培训的驻场人员，以保障服务质量不受影响。</w:t>
      </w:r>
    </w:p>
    <w:p>
      <w:pPr>
        <w:pStyle w:val="3"/>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人员管理</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驻场人员工作时间必须穿着印有中标人标记工作服（工作服由中标人配备），工作服必须整洁干净；上下班不得迟到早退；必须严格遵守采购人制订的机房管理办法和工作日程安排。如采购人要求中标人更换不遵守以上规定的服务人员，中标人必须无条件更换。</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中标人必须对所有服务人员进行业务系统、规章制度、操作规范、技能等培训，加强团队之间的交流和业务了解，团队相互协作、快速准确判断故障并及时处理。培训活动经费由中标人承担。每个服务岗位必须至少有2人接受培训，以保证人员轮休或请假时服务质量不受影响。国家或地方规定需要持证上岗的岗位，服务人员必须持有相应的证书。</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3、各专业运营服务项目应保证文档完整，人员交接顺利。各专业运维服务项目维护人员应熟悉业务系统和其他专业运维服务的关联关系。</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4、中标人应该明确承诺派驻常驻人员的数量、常驻人员职务。如果在项目执行期内，常驻人员安排未达到投标时承诺的常驻人员数量、常驻人员迟到和早退每月累计3次以上，中标人须支付违约金。</w:t>
      </w:r>
    </w:p>
    <w:p>
      <w:pPr>
        <w:pStyle w:val="3"/>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组织实施要求</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为使项目按质、按量、按时及有序实施，投标人应建立完善、稳定的项目团队、内部组织管理方式及管理机构、协调机制、技术基础，支撑保障要求及其他相关要求。在机制保障方面，成立组织实施小组和项目专家组的双轨制的组织模式。在项目日常管理和条件保障方面，从行政组织、后勤保障和支撑条件各方面创造良好的服务环境，确保项目的顺利实施。</w:t>
      </w:r>
    </w:p>
    <w:p>
      <w:pPr>
        <w:pStyle w:val="3"/>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安全管理要求</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中标人必须服从服务采购人对安全各项管理规定和要求并签署责任书，对因工作疏失出现的机房消防安全、网络与信息安全、安全保密责任事故，必须承担相应责任，接受惩处。</w:t>
      </w:r>
    </w:p>
    <w:p>
      <w:pPr>
        <w:pStyle w:val="3"/>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文档管理要求</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标人应在项目完成时，将本项目所有文档、资料汇集成册交付给采购人，所有文件要求用中文书写或有完整的中文注释。验收后，投标人按国家、省以及采购人档案管理要求，向采购人提供装订成册的纸质文档至少1套，电子文档1套。</w:t>
      </w:r>
    </w:p>
    <w:p>
      <w:pPr>
        <w:pStyle w:val="3"/>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质量保证要求</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为保证本项目能按时高质量的顺利完成，规避项目风险或将风险降至最低程度，投标人应建立项目质量管理体系，包括但不限于</w:t>
      </w:r>
      <w:bookmarkStart w:id="11" w:name="OLE_LINK2"/>
      <w:bookmarkStart w:id="12" w:name="OLE_LINK3"/>
      <w:r>
        <w:rPr>
          <w:rFonts w:hint="eastAsia"/>
          <w:color w:val="000000" w:themeColor="text1"/>
          <w:highlight w:val="none"/>
          <w14:textFill>
            <w14:solidFill>
              <w14:schemeClr w14:val="tx1"/>
            </w14:solidFill>
          </w14:textFill>
        </w:rPr>
        <w:t>质量目标、质量指标、岗位责任、问题处理计划、质量评价、整改完善等内容，并建立奖惩制度</w:t>
      </w:r>
      <w:bookmarkEnd w:id="11"/>
      <w:r>
        <w:rPr>
          <w:rFonts w:hint="eastAsia"/>
          <w:color w:val="000000" w:themeColor="text1"/>
          <w:highlight w:val="none"/>
          <w14:textFill>
            <w14:solidFill>
              <w14:schemeClr w14:val="tx1"/>
            </w14:solidFill>
          </w14:textFill>
        </w:rPr>
        <w:t>。</w:t>
      </w:r>
    </w:p>
    <w:bookmarkEnd w:id="12"/>
    <w:p>
      <w:pPr>
        <w:pStyle w:val="3"/>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绩效考核要求</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为确保系统正常运行，将对运营团队对运营服务过程及成果等内容进行考核，分为年中考核和年度考核，分别在服务期满6个月及满12个月时对服务情况进行考核评分，得出“年中考核总分”和“年度考核总分”，根据“年中考核总分”和“年度考核总分”平均分支付项目服务款。</w:t>
      </w:r>
    </w:p>
    <w:p>
      <w:pPr>
        <w:pStyle w:val="4"/>
        <w:shd w:val="clear"/>
        <w:rPr>
          <w:color w:val="000000" w:themeColor="text1"/>
          <w:highlight w:val="none"/>
          <w14:textFill>
            <w14:solidFill>
              <w14:schemeClr w14:val="tx1"/>
            </w14:solidFill>
          </w14:textFill>
        </w:rPr>
      </w:pPr>
      <w:bookmarkStart w:id="13" w:name="_Toc183558635"/>
      <w:r>
        <w:rPr>
          <w:rFonts w:hint="eastAsia"/>
          <w:color w:val="000000" w:themeColor="text1"/>
          <w:highlight w:val="none"/>
          <w14:textFill>
            <w14:solidFill>
              <w14:schemeClr w14:val="tx1"/>
            </w14:solidFill>
          </w14:textFill>
        </w:rPr>
        <w:t>年中考核指标</w:t>
      </w:r>
      <w:bookmarkEnd w:id="13"/>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2458"/>
        <w:gridCol w:w="754"/>
        <w:gridCol w:w="4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09" w:type="dxa"/>
            <w:tcBorders>
              <w:top w:val="single" w:color="auto" w:sz="4" w:space="0"/>
              <w:left w:val="single" w:color="auto" w:sz="4" w:space="0"/>
              <w:bottom w:val="single" w:color="auto" w:sz="4" w:space="0"/>
              <w:right w:val="single" w:color="auto" w:sz="4" w:space="0"/>
            </w:tcBorders>
            <w:vAlign w:val="center"/>
          </w:tcPr>
          <w:p>
            <w:pPr>
              <w:shd w:val="clea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序号</w:t>
            </w:r>
          </w:p>
        </w:tc>
        <w:tc>
          <w:tcPr>
            <w:tcW w:w="2458" w:type="dxa"/>
            <w:tcBorders>
              <w:top w:val="single" w:color="auto" w:sz="4" w:space="0"/>
              <w:left w:val="single" w:color="auto" w:sz="4" w:space="0"/>
              <w:bottom w:val="single" w:color="auto" w:sz="4" w:space="0"/>
              <w:right w:val="single" w:color="auto" w:sz="4" w:space="0"/>
            </w:tcBorders>
            <w:vAlign w:val="center"/>
          </w:tcPr>
          <w:p>
            <w:pPr>
              <w:shd w:val="clea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考核内容</w:t>
            </w:r>
          </w:p>
        </w:tc>
        <w:tc>
          <w:tcPr>
            <w:tcW w:w="754" w:type="dxa"/>
            <w:tcBorders>
              <w:top w:val="single" w:color="auto" w:sz="4" w:space="0"/>
              <w:left w:val="nil"/>
              <w:bottom w:val="single" w:color="auto" w:sz="4" w:space="0"/>
              <w:right w:val="single" w:color="auto" w:sz="4" w:space="0"/>
            </w:tcBorders>
            <w:vAlign w:val="center"/>
          </w:tcPr>
          <w:p>
            <w:pPr>
              <w:shd w:val="clea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分值</w:t>
            </w:r>
          </w:p>
        </w:tc>
        <w:tc>
          <w:tcPr>
            <w:tcW w:w="0" w:type="auto"/>
            <w:tcBorders>
              <w:top w:val="single" w:color="auto" w:sz="4" w:space="0"/>
              <w:left w:val="nil"/>
              <w:bottom w:val="single" w:color="auto" w:sz="4" w:space="0"/>
              <w:right w:val="single" w:color="auto" w:sz="4" w:space="0"/>
            </w:tcBorders>
            <w:vAlign w:val="center"/>
          </w:tcPr>
          <w:p>
            <w:pPr>
              <w:shd w:val="clea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评分规则（按月记录扣分项）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609" w:type="dxa"/>
            <w:tcBorders>
              <w:top w:val="single" w:color="auto" w:sz="4" w:space="0"/>
              <w:left w:val="single" w:color="auto" w:sz="4" w:space="0"/>
              <w:bottom w:val="single" w:color="auto" w:sz="4" w:space="0"/>
              <w:right w:val="single" w:color="auto" w:sz="4" w:space="0"/>
            </w:tcBorders>
            <w:vAlign w:val="center"/>
          </w:tcPr>
          <w:p>
            <w:pPr>
              <w:shd w:val="clea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p>
        </w:tc>
        <w:tc>
          <w:tcPr>
            <w:tcW w:w="2458" w:type="dxa"/>
            <w:tcBorders>
              <w:top w:val="single" w:color="auto" w:sz="4" w:space="0"/>
              <w:left w:val="single" w:color="auto" w:sz="4" w:space="0"/>
              <w:bottom w:val="single" w:color="auto" w:sz="4" w:space="0"/>
              <w:right w:val="single" w:color="auto" w:sz="4" w:space="0"/>
            </w:tcBorders>
            <w:vAlign w:val="center"/>
          </w:tcPr>
          <w:p>
            <w:pPr>
              <w:shd w:val="clea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合同签订的10个工作日内提交运营服务方案</w:t>
            </w:r>
          </w:p>
        </w:tc>
        <w:tc>
          <w:tcPr>
            <w:tcW w:w="754" w:type="dxa"/>
            <w:tcBorders>
              <w:top w:val="single" w:color="auto" w:sz="4" w:space="0"/>
              <w:left w:val="nil"/>
              <w:bottom w:val="single" w:color="auto" w:sz="4" w:space="0"/>
              <w:right w:val="single" w:color="auto" w:sz="4" w:space="0"/>
            </w:tcBorders>
            <w:vAlign w:val="center"/>
          </w:tcPr>
          <w:p>
            <w:pPr>
              <w:shd w:val="clea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10</w:t>
            </w:r>
          </w:p>
        </w:tc>
        <w:tc>
          <w:tcPr>
            <w:tcW w:w="0" w:type="auto"/>
            <w:tcBorders>
              <w:top w:val="single" w:color="auto" w:sz="4" w:space="0"/>
              <w:left w:val="nil"/>
              <w:bottom w:val="single" w:color="auto" w:sz="4" w:space="0"/>
              <w:right w:val="single" w:color="auto" w:sz="4" w:space="0"/>
            </w:tcBorders>
            <w:vAlign w:val="center"/>
          </w:tcPr>
          <w:p>
            <w:pPr>
              <w:shd w:val="clear"/>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未及时按规定提交</w:t>
            </w:r>
            <w:r>
              <w:rPr>
                <w:rFonts w:hint="eastAsia"/>
                <w:color w:val="000000" w:themeColor="text1"/>
                <w:szCs w:val="21"/>
                <w:highlight w:val="none"/>
                <w14:textFill>
                  <w14:solidFill>
                    <w14:schemeClr w14:val="tx1"/>
                  </w14:solidFill>
                </w14:textFill>
              </w:rPr>
              <w:t>运营服务方案</w:t>
            </w:r>
            <w:r>
              <w:rPr>
                <w:color w:val="000000" w:themeColor="text1"/>
                <w:szCs w:val="21"/>
                <w:highlight w:val="none"/>
                <w14:textFill>
                  <w14:solidFill>
                    <w14:schemeClr w14:val="tx1"/>
                  </w14:solidFill>
                </w14:textFill>
              </w:rPr>
              <w:t>，迟1天扣1分。本项最低得0分。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609" w:type="dxa"/>
            <w:tcBorders>
              <w:top w:val="single" w:color="auto" w:sz="4" w:space="0"/>
              <w:left w:val="single" w:color="auto" w:sz="4" w:space="0"/>
              <w:bottom w:val="single" w:color="auto" w:sz="4" w:space="0"/>
              <w:right w:val="single" w:color="auto" w:sz="4" w:space="0"/>
            </w:tcBorders>
            <w:vAlign w:val="center"/>
          </w:tcPr>
          <w:p>
            <w:pPr>
              <w:shd w:val="clea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p>
        </w:tc>
        <w:tc>
          <w:tcPr>
            <w:tcW w:w="2458" w:type="dxa"/>
            <w:tcBorders>
              <w:top w:val="single" w:color="auto" w:sz="4" w:space="0"/>
              <w:left w:val="single" w:color="auto" w:sz="4" w:space="0"/>
              <w:bottom w:val="single" w:color="auto" w:sz="4" w:space="0"/>
              <w:right w:val="single" w:color="auto" w:sz="4" w:space="0"/>
            </w:tcBorders>
            <w:vAlign w:val="center"/>
          </w:tcPr>
          <w:p>
            <w:pPr>
              <w:shd w:val="clear"/>
              <w:jc w:val="center"/>
              <w:rPr>
                <w:rFonts w:hint="eastAsia" w:eastAsiaTheme="minorEastAsia"/>
                <w:color w:val="000000" w:themeColor="text1"/>
                <w:szCs w:val="21"/>
                <w:highlight w:val="none"/>
                <w:lang w:eastAsia="zh-CN"/>
                <w14:textFill>
                  <w14:solidFill>
                    <w14:schemeClr w14:val="tx1"/>
                  </w14:solidFill>
                </w14:textFill>
              </w:rPr>
            </w:pPr>
            <w:r>
              <w:rPr>
                <w:color w:val="000000" w:themeColor="text1"/>
                <w:szCs w:val="21"/>
                <w:highlight w:val="none"/>
                <w14:textFill>
                  <w14:solidFill>
                    <w14:schemeClr w14:val="tx1"/>
                  </w14:solidFill>
                </w14:textFill>
              </w:rPr>
              <w:t>服务期开始后，于每月5日前提交上月的</w:t>
            </w:r>
            <w:r>
              <w:rPr>
                <w:rFonts w:hint="eastAsia"/>
                <w:color w:val="000000" w:themeColor="text1"/>
                <w:szCs w:val="21"/>
                <w:highlight w:val="none"/>
                <w14:textFill>
                  <w14:solidFill>
                    <w14:schemeClr w14:val="tx1"/>
                  </w14:solidFill>
                </w14:textFill>
              </w:rPr>
              <w:t>运营</w:t>
            </w:r>
            <w:r>
              <w:rPr>
                <w:color w:val="000000" w:themeColor="text1"/>
                <w:szCs w:val="21"/>
                <w:highlight w:val="none"/>
                <w14:textFill>
                  <w14:solidFill>
                    <w14:schemeClr w14:val="tx1"/>
                  </w14:solidFill>
                </w14:textFill>
              </w:rPr>
              <w:t>服务月报</w:t>
            </w:r>
            <w:r>
              <w:rPr>
                <w:rFonts w:hint="eastAsia"/>
                <w:color w:val="000000" w:themeColor="text1"/>
                <w:szCs w:val="21"/>
                <w:highlight w:val="none"/>
                <w:lang w:eastAsia="zh-CN"/>
                <w14:textFill>
                  <w14:solidFill>
                    <w14:schemeClr w14:val="tx1"/>
                  </w14:solidFill>
                </w14:textFill>
              </w:rPr>
              <w:t>，</w:t>
            </w:r>
            <w:r>
              <w:rPr>
                <w:rFonts w:hint="eastAsia"/>
                <w:color w:val="000000" w:themeColor="text1"/>
                <w:szCs w:val="21"/>
                <w:highlight w:val="none"/>
                <w14:textFill>
                  <w14:solidFill>
                    <w14:schemeClr w14:val="tx1"/>
                  </w14:solidFill>
                </w14:textFill>
              </w:rPr>
              <w:t>服务期</w:t>
            </w:r>
            <w:r>
              <w:rPr>
                <w:color w:val="000000" w:themeColor="text1"/>
                <w:szCs w:val="21"/>
                <w:highlight w:val="none"/>
                <w14:textFill>
                  <w14:solidFill>
                    <w14:schemeClr w14:val="tx1"/>
                  </w14:solidFill>
                </w14:textFill>
              </w:rPr>
              <w:t>满</w:t>
            </w:r>
            <w:r>
              <w:rPr>
                <w:rFonts w:hint="eastAsia"/>
                <w:color w:val="000000" w:themeColor="text1"/>
                <w:szCs w:val="21"/>
                <w:highlight w:val="none"/>
                <w14:textFill>
                  <w14:solidFill>
                    <w14:schemeClr w14:val="tx1"/>
                  </w14:solidFill>
                </w14:textFill>
              </w:rPr>
              <w:t>6个月后的10</w:t>
            </w:r>
            <w:r>
              <w:rPr>
                <w:color w:val="000000" w:themeColor="text1"/>
                <w:szCs w:val="21"/>
                <w:highlight w:val="none"/>
                <w14:textFill>
                  <w14:solidFill>
                    <w14:schemeClr w14:val="tx1"/>
                  </w14:solidFill>
                </w14:textFill>
              </w:rPr>
              <w:t>个</w:t>
            </w:r>
            <w:r>
              <w:rPr>
                <w:rFonts w:hint="eastAsia"/>
                <w:color w:val="000000" w:themeColor="text1"/>
                <w:szCs w:val="21"/>
                <w:highlight w:val="none"/>
                <w:lang w:val="en-US" w:eastAsia="zh-CN"/>
                <w14:textFill>
                  <w14:solidFill>
                    <w14:schemeClr w14:val="tx1"/>
                  </w14:solidFill>
                </w14:textFill>
              </w:rPr>
              <w:t>工作日</w:t>
            </w:r>
            <w:r>
              <w:rPr>
                <w:color w:val="000000" w:themeColor="text1"/>
                <w:szCs w:val="21"/>
                <w:highlight w:val="none"/>
                <w14:textFill>
                  <w14:solidFill>
                    <w14:schemeClr w14:val="tx1"/>
                  </w14:solidFill>
                </w14:textFill>
              </w:rPr>
              <w:t>内提交书面</w:t>
            </w:r>
            <w:r>
              <w:rPr>
                <w:rFonts w:hint="eastAsia"/>
                <w:color w:val="000000" w:themeColor="text1"/>
                <w:szCs w:val="21"/>
                <w:highlight w:val="none"/>
                <w14:textFill>
                  <w14:solidFill>
                    <w14:schemeClr w14:val="tx1"/>
                  </w14:solidFill>
                </w14:textFill>
              </w:rPr>
              <w:t>年中总结</w:t>
            </w:r>
            <w:r>
              <w:rPr>
                <w:color w:val="000000" w:themeColor="text1"/>
                <w:szCs w:val="21"/>
                <w:highlight w:val="none"/>
                <w14:textFill>
                  <w14:solidFill>
                    <w14:schemeClr w14:val="tx1"/>
                  </w14:solidFill>
                </w14:textFill>
              </w:rPr>
              <w:t>报告。</w:t>
            </w:r>
          </w:p>
        </w:tc>
        <w:tc>
          <w:tcPr>
            <w:tcW w:w="754" w:type="dxa"/>
            <w:tcBorders>
              <w:top w:val="single" w:color="auto" w:sz="4" w:space="0"/>
              <w:left w:val="nil"/>
              <w:bottom w:val="single" w:color="auto" w:sz="4" w:space="0"/>
              <w:right w:val="single" w:color="auto" w:sz="4" w:space="0"/>
            </w:tcBorders>
            <w:vAlign w:val="center"/>
          </w:tcPr>
          <w:p>
            <w:pPr>
              <w:shd w:val="clear"/>
              <w:jc w:val="center"/>
              <w:rPr>
                <w:rFonts w:hint="default" w:eastAsiaTheme="minor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10</w:t>
            </w:r>
          </w:p>
        </w:tc>
        <w:tc>
          <w:tcPr>
            <w:tcW w:w="0" w:type="auto"/>
            <w:tcBorders>
              <w:top w:val="single" w:color="auto" w:sz="4" w:space="0"/>
              <w:left w:val="nil"/>
              <w:bottom w:val="single" w:color="auto" w:sz="4" w:space="0"/>
              <w:right w:val="single" w:color="auto" w:sz="4" w:space="0"/>
            </w:tcBorders>
            <w:vAlign w:val="center"/>
          </w:tcPr>
          <w:p>
            <w:pPr>
              <w:shd w:val="clear"/>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每月一个报告。每缺一个月报告扣1分；报告每缺一项必报内容扣1分；月报每推迟1天扣1分。未及时按规定提交</w:t>
            </w:r>
            <w:r>
              <w:rPr>
                <w:rFonts w:hint="eastAsia"/>
                <w:color w:val="000000" w:themeColor="text1"/>
                <w:szCs w:val="21"/>
                <w:highlight w:val="none"/>
                <w14:textFill>
                  <w14:solidFill>
                    <w14:schemeClr w14:val="tx1"/>
                  </w14:solidFill>
                </w14:textFill>
              </w:rPr>
              <w:t>年中</w:t>
            </w:r>
            <w:r>
              <w:rPr>
                <w:color w:val="000000" w:themeColor="text1"/>
                <w:szCs w:val="21"/>
                <w:highlight w:val="none"/>
                <w14:textFill>
                  <w14:solidFill>
                    <w14:schemeClr w14:val="tx1"/>
                  </w14:solidFill>
                </w14:textFill>
              </w:rPr>
              <w:t>总结报告，迟1天扣1分</w:t>
            </w:r>
            <w:r>
              <w:rPr>
                <w:rFonts w:hint="eastAsia"/>
                <w:color w:val="000000" w:themeColor="text1"/>
                <w:szCs w:val="21"/>
                <w:highlight w:val="none"/>
                <w:lang w:eastAsia="zh-CN"/>
                <w14:textFill>
                  <w14:solidFill>
                    <w14:schemeClr w14:val="tx1"/>
                  </w14:solidFill>
                </w14:textFill>
              </w:rPr>
              <w:t>。</w:t>
            </w:r>
            <w:r>
              <w:rPr>
                <w:color w:val="000000" w:themeColor="text1"/>
                <w:szCs w:val="21"/>
                <w:highlight w:val="none"/>
                <w14:textFill>
                  <w14:solidFill>
                    <w14:schemeClr w14:val="tx1"/>
                  </w14:solidFill>
                </w14:textFill>
              </w:rPr>
              <w:t>本项目最低得0分。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tcBorders>
              <w:top w:val="single" w:color="auto" w:sz="4" w:space="0"/>
              <w:left w:val="single" w:color="auto" w:sz="4" w:space="0"/>
              <w:bottom w:val="single" w:color="auto" w:sz="4" w:space="0"/>
              <w:right w:val="single" w:color="auto" w:sz="4" w:space="0"/>
            </w:tcBorders>
            <w:vAlign w:val="center"/>
          </w:tcPr>
          <w:p>
            <w:pPr>
              <w:shd w:val="clea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w:t>
            </w:r>
          </w:p>
        </w:tc>
        <w:tc>
          <w:tcPr>
            <w:tcW w:w="2458"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color w:val="000000" w:themeColor="text1"/>
                <w:szCs w:val="21"/>
                <w:highlight w:val="none"/>
                <w14:textFill>
                  <w14:solidFill>
                    <w14:schemeClr w14:val="tx1"/>
                  </w14:solidFill>
                </w14:textFill>
              </w:rPr>
              <w:t>汛期保障情况</w:t>
            </w:r>
          </w:p>
        </w:tc>
        <w:tc>
          <w:tcPr>
            <w:tcW w:w="754" w:type="dxa"/>
            <w:tcBorders>
              <w:top w:val="single" w:color="auto" w:sz="4" w:space="0"/>
              <w:left w:val="nil"/>
              <w:bottom w:val="single" w:color="auto" w:sz="4" w:space="0"/>
              <w:right w:val="single" w:color="auto" w:sz="4" w:space="0"/>
            </w:tcBorders>
            <w:shd w:val="clear" w:color="auto" w:fill="auto"/>
            <w:vAlign w:val="center"/>
          </w:tcPr>
          <w:p>
            <w:pPr>
              <w:shd w:val="clear"/>
              <w:jc w:val="center"/>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0</w:t>
            </w:r>
          </w:p>
        </w:tc>
        <w:tc>
          <w:tcPr>
            <w:tcW w:w="0" w:type="auto"/>
            <w:tcBorders>
              <w:top w:val="single" w:color="auto" w:sz="4" w:space="0"/>
              <w:left w:val="nil"/>
              <w:bottom w:val="single" w:color="auto" w:sz="4" w:space="0"/>
              <w:right w:val="single" w:color="auto" w:sz="4" w:space="0"/>
            </w:tcBorders>
            <w:shd w:val="clear" w:color="auto" w:fill="auto"/>
            <w:vAlign w:val="center"/>
          </w:tcPr>
          <w:p>
            <w:pPr>
              <w:shd w:val="clear"/>
              <w:jc w:val="left"/>
              <w:rPr>
                <w:rFonts w:hint="eastAsia"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color w:val="000000" w:themeColor="text1"/>
                <w:szCs w:val="21"/>
                <w:highlight w:val="none"/>
                <w14:textFill>
                  <w14:solidFill>
                    <w14:schemeClr w14:val="tx1"/>
                  </w14:solidFill>
                </w14:textFill>
              </w:rPr>
              <w:t>未按时到场保障，每人次扣</w:t>
            </w:r>
            <w:r>
              <w:rPr>
                <w:rFonts w:hint="eastAsia"/>
                <w:color w:val="000000" w:themeColor="text1"/>
                <w:szCs w:val="21"/>
                <w:highlight w:val="none"/>
                <w14:textFill>
                  <w14:solidFill>
                    <w14:schemeClr w14:val="tx1"/>
                  </w14:solidFill>
                </w14:textFill>
              </w:rPr>
              <w:t>10</w:t>
            </w:r>
            <w:r>
              <w:rPr>
                <w:color w:val="000000" w:themeColor="text1"/>
                <w:szCs w:val="21"/>
                <w:highlight w:val="none"/>
                <w14:textFill>
                  <w14:solidFill>
                    <w14:schemeClr w14:val="tx1"/>
                  </w14:solidFill>
                </w14:textFill>
              </w:rPr>
              <w:t>分，事件未按要求响应每次扣</w:t>
            </w:r>
            <w:r>
              <w:rPr>
                <w:rFonts w:hint="eastAsia"/>
                <w:color w:val="000000" w:themeColor="text1"/>
                <w:szCs w:val="21"/>
                <w:highlight w:val="none"/>
                <w14:textFill>
                  <w14:solidFill>
                    <w14:schemeClr w14:val="tx1"/>
                  </w14:solidFill>
                </w14:textFill>
              </w:rPr>
              <w:t>10</w:t>
            </w:r>
            <w:r>
              <w:rPr>
                <w:color w:val="000000" w:themeColor="text1"/>
                <w:szCs w:val="21"/>
                <w:highlight w:val="none"/>
                <w14:textFill>
                  <w14:solidFill>
                    <w14:schemeClr w14:val="tx1"/>
                  </w14:solidFill>
                </w14:textFill>
              </w:rPr>
              <w:t>分，未能及时发现异常情况和未及时上报的，则扣</w:t>
            </w:r>
            <w:r>
              <w:rPr>
                <w:rFonts w:hint="eastAsia"/>
                <w:color w:val="000000" w:themeColor="text1"/>
                <w:szCs w:val="21"/>
                <w:highlight w:val="none"/>
                <w14:textFill>
                  <w14:solidFill>
                    <w14:schemeClr w14:val="tx1"/>
                  </w14:solidFill>
                </w14:textFill>
              </w:rPr>
              <w:t>10</w:t>
            </w:r>
            <w:r>
              <w:rPr>
                <w:color w:val="000000" w:themeColor="text1"/>
                <w:szCs w:val="21"/>
                <w:highlight w:val="none"/>
                <w14:textFill>
                  <w14:solidFill>
                    <w14:schemeClr w14:val="tx1"/>
                  </w14:solidFill>
                </w14:textFill>
              </w:rPr>
              <w:t>分，本项目最低得0分。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tcBorders>
              <w:top w:val="single" w:color="auto" w:sz="4" w:space="0"/>
              <w:left w:val="single" w:color="auto" w:sz="4" w:space="0"/>
              <w:bottom w:val="single" w:color="auto" w:sz="4" w:space="0"/>
              <w:right w:val="single" w:color="auto" w:sz="4" w:space="0"/>
            </w:tcBorders>
            <w:vAlign w:val="center"/>
          </w:tcPr>
          <w:p>
            <w:pPr>
              <w:shd w:val="clea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4</w:t>
            </w:r>
          </w:p>
        </w:tc>
        <w:tc>
          <w:tcPr>
            <w:tcW w:w="2458"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服务响应时间</w:t>
            </w:r>
          </w:p>
        </w:tc>
        <w:tc>
          <w:tcPr>
            <w:tcW w:w="754" w:type="dxa"/>
            <w:tcBorders>
              <w:top w:val="single" w:color="auto" w:sz="4" w:space="0"/>
              <w:left w:val="nil"/>
              <w:bottom w:val="single" w:color="auto" w:sz="4" w:space="0"/>
              <w:right w:val="single" w:color="auto" w:sz="4" w:space="0"/>
            </w:tcBorders>
            <w:shd w:val="clear" w:color="auto" w:fill="auto"/>
            <w:vAlign w:val="center"/>
          </w:tcPr>
          <w:p>
            <w:pPr>
              <w:shd w:val="clear"/>
              <w:jc w:val="center"/>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10</w:t>
            </w:r>
          </w:p>
        </w:tc>
        <w:tc>
          <w:tcPr>
            <w:tcW w:w="0" w:type="auto"/>
            <w:tcBorders>
              <w:top w:val="single" w:color="auto" w:sz="4" w:space="0"/>
              <w:left w:val="nil"/>
              <w:bottom w:val="single" w:color="auto" w:sz="4" w:space="0"/>
              <w:right w:val="single" w:color="auto" w:sz="4" w:space="0"/>
            </w:tcBorders>
            <w:shd w:val="clear" w:color="auto" w:fill="auto"/>
            <w:vAlign w:val="center"/>
          </w:tcPr>
          <w:p>
            <w:pPr>
              <w:shd w:val="clear"/>
              <w:jc w:val="left"/>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超出1小时未响应甲方提出的服务需求，每超过1小时扣1分。</w:t>
            </w:r>
            <w:r>
              <w:rPr>
                <w:color w:val="000000" w:themeColor="text1"/>
                <w:szCs w:val="21"/>
                <w:highlight w:val="none"/>
                <w14:textFill>
                  <w14:solidFill>
                    <w14:schemeClr w14:val="tx1"/>
                  </w14:solidFill>
                </w14:textFill>
              </w:rPr>
              <w:t>本项最低得0分。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tcBorders>
              <w:top w:val="single" w:color="auto" w:sz="4" w:space="0"/>
              <w:left w:val="single" w:color="auto" w:sz="4" w:space="0"/>
              <w:bottom w:val="single" w:color="auto" w:sz="4" w:space="0"/>
              <w:right w:val="single" w:color="auto" w:sz="4" w:space="0"/>
            </w:tcBorders>
            <w:vAlign w:val="center"/>
          </w:tcPr>
          <w:p>
            <w:pPr>
              <w:shd w:val="clea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w:t>
            </w:r>
          </w:p>
        </w:tc>
        <w:tc>
          <w:tcPr>
            <w:tcW w:w="2458"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项目成果提交</w:t>
            </w:r>
          </w:p>
        </w:tc>
        <w:tc>
          <w:tcPr>
            <w:tcW w:w="754" w:type="dxa"/>
            <w:tcBorders>
              <w:top w:val="single" w:color="auto" w:sz="4" w:space="0"/>
              <w:left w:val="nil"/>
              <w:bottom w:val="single" w:color="auto" w:sz="4" w:space="0"/>
              <w:right w:val="single" w:color="auto" w:sz="4" w:space="0"/>
            </w:tcBorders>
            <w:shd w:val="clear" w:color="auto" w:fill="auto"/>
            <w:vAlign w:val="center"/>
          </w:tcPr>
          <w:p>
            <w:pPr>
              <w:shd w:val="clear"/>
              <w:jc w:val="center"/>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5</w:t>
            </w:r>
          </w:p>
        </w:tc>
        <w:tc>
          <w:tcPr>
            <w:tcW w:w="0" w:type="auto"/>
            <w:tcBorders>
              <w:top w:val="single" w:color="auto" w:sz="4" w:space="0"/>
              <w:left w:val="nil"/>
              <w:bottom w:val="single" w:color="auto" w:sz="4" w:space="0"/>
              <w:right w:val="single" w:color="auto" w:sz="4" w:space="0"/>
            </w:tcBorders>
            <w:shd w:val="clear" w:color="auto" w:fill="auto"/>
            <w:vAlign w:val="center"/>
          </w:tcPr>
          <w:p>
            <w:pPr>
              <w:shd w:val="clear"/>
              <w:jc w:val="left"/>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未按照时间节点要求提交项目阶段成果，每缺1项扣1分，</w:t>
            </w:r>
            <w:r>
              <w:rPr>
                <w:color w:val="000000" w:themeColor="text1"/>
                <w:szCs w:val="21"/>
                <w:highlight w:val="none"/>
                <w14:textFill>
                  <w14:solidFill>
                    <w14:schemeClr w14:val="tx1"/>
                  </w14:solidFill>
                </w14:textFill>
              </w:rPr>
              <w:t>本项最低得0分。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tcBorders>
              <w:top w:val="single" w:color="auto" w:sz="4" w:space="0"/>
              <w:left w:val="single" w:color="auto" w:sz="4" w:space="0"/>
              <w:bottom w:val="single" w:color="auto" w:sz="4" w:space="0"/>
              <w:right w:val="single" w:color="auto" w:sz="4" w:space="0"/>
            </w:tcBorders>
            <w:vAlign w:val="center"/>
          </w:tcPr>
          <w:p>
            <w:pPr>
              <w:shd w:val="clea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6</w:t>
            </w:r>
          </w:p>
        </w:tc>
        <w:tc>
          <w:tcPr>
            <w:tcW w:w="2458"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color w:val="000000" w:themeColor="text1"/>
                <w:szCs w:val="21"/>
                <w:highlight w:val="none"/>
                <w14:textFill>
                  <w14:solidFill>
                    <w14:schemeClr w14:val="tx1"/>
                  </w14:solidFill>
                </w14:textFill>
              </w:rPr>
              <w:t>工作态度、服务质量和进度等情况</w:t>
            </w:r>
          </w:p>
        </w:tc>
        <w:tc>
          <w:tcPr>
            <w:tcW w:w="754" w:type="dxa"/>
            <w:tcBorders>
              <w:top w:val="single" w:color="auto" w:sz="4" w:space="0"/>
              <w:left w:val="nil"/>
              <w:bottom w:val="single" w:color="auto" w:sz="4" w:space="0"/>
              <w:right w:val="single" w:color="auto" w:sz="4" w:space="0"/>
            </w:tcBorders>
            <w:shd w:val="clear" w:color="auto" w:fill="auto"/>
            <w:vAlign w:val="center"/>
          </w:tcPr>
          <w:p>
            <w:pPr>
              <w:shd w:val="clear"/>
              <w:jc w:val="center"/>
              <w:rPr>
                <w:rFonts w:hint="eastAsia"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1</w:t>
            </w:r>
            <w:r>
              <w:rPr>
                <w:rFonts w:hint="eastAsia"/>
                <w:color w:val="000000" w:themeColor="text1"/>
                <w:szCs w:val="21"/>
                <w:highlight w:val="none"/>
                <w:lang w:val="en-US" w:eastAsia="zh-CN"/>
                <w14:textFill>
                  <w14:solidFill>
                    <w14:schemeClr w14:val="tx1"/>
                  </w14:solidFill>
                </w14:textFill>
              </w:rPr>
              <w:t>5</w:t>
            </w:r>
          </w:p>
        </w:tc>
        <w:tc>
          <w:tcPr>
            <w:tcW w:w="0" w:type="auto"/>
            <w:tcBorders>
              <w:top w:val="single" w:color="auto" w:sz="4" w:space="0"/>
              <w:left w:val="nil"/>
              <w:bottom w:val="single" w:color="auto" w:sz="4" w:space="0"/>
              <w:right w:val="single" w:color="auto" w:sz="4" w:space="0"/>
            </w:tcBorders>
            <w:shd w:val="clear" w:color="auto" w:fill="auto"/>
            <w:vAlign w:val="center"/>
          </w:tcPr>
          <w:p>
            <w:pPr>
              <w:shd w:val="clear"/>
              <w:jc w:val="left"/>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服务提供方</w:t>
            </w:r>
            <w:r>
              <w:rPr>
                <w:color w:val="000000" w:themeColor="text1"/>
                <w:szCs w:val="21"/>
                <w:highlight w:val="none"/>
                <w14:textFill>
                  <w14:solidFill>
                    <w14:schemeClr w14:val="tx1"/>
                  </w14:solidFill>
                </w14:textFill>
              </w:rPr>
              <w:t>项目经理或</w:t>
            </w:r>
            <w:r>
              <w:rPr>
                <w:rFonts w:hint="eastAsia"/>
                <w:color w:val="000000" w:themeColor="text1"/>
                <w:szCs w:val="21"/>
                <w:highlight w:val="none"/>
                <w14:textFill>
                  <w14:solidFill>
                    <w14:schemeClr w14:val="tx1"/>
                  </w14:solidFill>
                </w14:textFill>
              </w:rPr>
              <w:t>运营</w:t>
            </w:r>
            <w:r>
              <w:rPr>
                <w:color w:val="000000" w:themeColor="text1"/>
                <w:szCs w:val="21"/>
                <w:highlight w:val="none"/>
                <w14:textFill>
                  <w14:solidFill>
                    <w14:schemeClr w14:val="tx1"/>
                  </w14:solidFill>
                </w14:textFill>
              </w:rPr>
              <w:t>人员出现以消极、推诿等态度对待采购方的合理工作安排等情形，单次扣</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分。</w:t>
            </w:r>
            <w:r>
              <w:rPr>
                <w:rFonts w:hint="eastAsia"/>
                <w:color w:val="000000" w:themeColor="text1"/>
                <w:szCs w:val="21"/>
                <w:highlight w:val="none"/>
                <w:lang w:val="en-US" w:eastAsia="zh-CN"/>
                <w14:textFill>
                  <w14:solidFill>
                    <w14:schemeClr w14:val="tx1"/>
                  </w14:solidFill>
                </w14:textFill>
              </w:rPr>
              <w:t>因公司内部人员管理等原因造成项目服务进度滞后或未按采购方的工作进度要求执行的，单次扣3分。</w:t>
            </w:r>
            <w:r>
              <w:rPr>
                <w:color w:val="000000" w:themeColor="text1"/>
                <w:szCs w:val="21"/>
                <w:highlight w:val="none"/>
                <w14:textFill>
                  <w14:solidFill>
                    <w14:schemeClr w14:val="tx1"/>
                  </w14:solidFill>
                </w14:textFill>
              </w:rPr>
              <w:t>本项最低得0分。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tcBorders>
              <w:top w:val="single" w:color="auto" w:sz="4" w:space="0"/>
              <w:left w:val="single" w:color="auto" w:sz="4" w:space="0"/>
              <w:bottom w:val="single" w:color="auto" w:sz="4" w:space="0"/>
              <w:right w:val="single" w:color="auto" w:sz="4" w:space="0"/>
            </w:tcBorders>
            <w:vAlign w:val="center"/>
          </w:tcPr>
          <w:p>
            <w:pPr>
              <w:shd w:val="clea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w:t>
            </w:r>
          </w:p>
        </w:tc>
        <w:tc>
          <w:tcPr>
            <w:tcW w:w="2458"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color w:val="000000" w:themeColor="text1"/>
                <w:szCs w:val="21"/>
                <w:highlight w:val="none"/>
                <w14:textFill>
                  <w14:solidFill>
                    <w14:schemeClr w14:val="tx1"/>
                  </w14:solidFill>
                </w14:textFill>
              </w:rPr>
              <w:t>人员在岗情况</w:t>
            </w:r>
          </w:p>
        </w:tc>
        <w:tc>
          <w:tcPr>
            <w:tcW w:w="754" w:type="dxa"/>
            <w:tcBorders>
              <w:top w:val="single" w:color="auto" w:sz="4" w:space="0"/>
              <w:left w:val="nil"/>
              <w:bottom w:val="single" w:color="auto" w:sz="4" w:space="0"/>
              <w:right w:val="single" w:color="auto" w:sz="4" w:space="0"/>
            </w:tcBorders>
            <w:shd w:val="clear" w:color="auto" w:fill="auto"/>
            <w:vAlign w:val="center"/>
          </w:tcPr>
          <w:p>
            <w:pPr>
              <w:shd w:val="clear"/>
              <w:jc w:val="center"/>
              <w:rPr>
                <w:rFonts w:hint="eastAsia"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10</w:t>
            </w:r>
          </w:p>
        </w:tc>
        <w:tc>
          <w:tcPr>
            <w:tcW w:w="0" w:type="auto"/>
            <w:tcBorders>
              <w:top w:val="single" w:color="auto" w:sz="4" w:space="0"/>
              <w:left w:val="nil"/>
              <w:bottom w:val="single" w:color="auto" w:sz="4" w:space="0"/>
              <w:right w:val="single" w:color="auto" w:sz="4" w:space="0"/>
            </w:tcBorders>
            <w:shd w:val="clear" w:color="auto" w:fill="auto"/>
            <w:vAlign w:val="center"/>
          </w:tcPr>
          <w:p>
            <w:pPr>
              <w:shd w:val="clear"/>
              <w:jc w:val="left"/>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运营</w:t>
            </w:r>
            <w:r>
              <w:rPr>
                <w:color w:val="000000" w:themeColor="text1"/>
                <w:szCs w:val="21"/>
                <w:highlight w:val="none"/>
                <w14:textFill>
                  <w14:solidFill>
                    <w14:schemeClr w14:val="tx1"/>
                  </w14:solidFill>
                </w14:textFill>
              </w:rPr>
              <w:t>人员按照合同要求人员进行驻场，如请假、补休需要提前通知甲方，存在违反，单次扣2分。本项最低得0分。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tcBorders>
              <w:top w:val="single" w:color="auto" w:sz="4" w:space="0"/>
              <w:left w:val="single" w:color="auto" w:sz="4" w:space="0"/>
              <w:bottom w:val="single" w:color="auto" w:sz="4" w:space="0"/>
              <w:right w:val="single" w:color="auto" w:sz="4" w:space="0"/>
            </w:tcBorders>
            <w:vAlign w:val="center"/>
          </w:tcPr>
          <w:p>
            <w:pPr>
              <w:shd w:val="clea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8</w:t>
            </w:r>
          </w:p>
        </w:tc>
        <w:tc>
          <w:tcPr>
            <w:tcW w:w="2458"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用户投诉情况</w:t>
            </w:r>
          </w:p>
        </w:tc>
        <w:tc>
          <w:tcPr>
            <w:tcW w:w="754" w:type="dxa"/>
            <w:tcBorders>
              <w:top w:val="single" w:color="auto" w:sz="4" w:space="0"/>
              <w:left w:val="nil"/>
              <w:bottom w:val="single" w:color="auto" w:sz="4" w:space="0"/>
              <w:right w:val="single" w:color="auto" w:sz="4" w:space="0"/>
            </w:tcBorders>
            <w:shd w:val="clear" w:color="auto" w:fill="auto"/>
            <w:vAlign w:val="center"/>
          </w:tcPr>
          <w:p>
            <w:pPr>
              <w:shd w:val="clear"/>
              <w:jc w:val="center"/>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10</w:t>
            </w:r>
          </w:p>
        </w:tc>
        <w:tc>
          <w:tcPr>
            <w:tcW w:w="0" w:type="auto"/>
            <w:tcBorders>
              <w:top w:val="single" w:color="auto" w:sz="4" w:space="0"/>
              <w:left w:val="nil"/>
              <w:bottom w:val="single" w:color="auto" w:sz="4" w:space="0"/>
              <w:right w:val="single" w:color="auto" w:sz="4" w:space="0"/>
            </w:tcBorders>
            <w:shd w:val="clear" w:color="auto" w:fill="auto"/>
            <w:vAlign w:val="center"/>
          </w:tcPr>
          <w:p>
            <w:pPr>
              <w:shd w:val="clear"/>
              <w:jc w:val="left"/>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在运营服务过程中，因服务质量差、响应不及时等问题引起用户投诉，单次扣5分，</w:t>
            </w:r>
            <w:r>
              <w:rPr>
                <w:color w:val="000000" w:themeColor="text1"/>
                <w:szCs w:val="21"/>
                <w:highlight w:val="none"/>
                <w14:textFill>
                  <w14:solidFill>
                    <w14:schemeClr w14:val="tx1"/>
                  </w14:solidFill>
                </w14:textFill>
              </w:rPr>
              <w:t>本项最低得0分。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9" w:type="dxa"/>
            <w:tcBorders>
              <w:top w:val="single" w:color="auto" w:sz="4" w:space="0"/>
              <w:left w:val="single" w:color="auto" w:sz="4" w:space="0"/>
              <w:bottom w:val="single" w:color="auto" w:sz="4" w:space="0"/>
              <w:right w:val="single" w:color="auto" w:sz="4" w:space="0"/>
            </w:tcBorders>
            <w:vAlign w:val="center"/>
          </w:tcPr>
          <w:p>
            <w:pPr>
              <w:shd w:val="clea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9</w:t>
            </w:r>
          </w:p>
        </w:tc>
        <w:tc>
          <w:tcPr>
            <w:tcW w:w="2458"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服务提供方</w:t>
            </w:r>
            <w:r>
              <w:rPr>
                <w:color w:val="000000" w:themeColor="text1"/>
                <w:szCs w:val="21"/>
                <w:highlight w:val="none"/>
                <w14:textFill>
                  <w14:solidFill>
                    <w14:schemeClr w14:val="tx1"/>
                  </w14:solidFill>
                </w14:textFill>
              </w:rPr>
              <w:t>提出能提升</w:t>
            </w:r>
            <w:r>
              <w:rPr>
                <w:rFonts w:hint="eastAsia"/>
                <w:color w:val="000000" w:themeColor="text1"/>
                <w:szCs w:val="21"/>
                <w:highlight w:val="none"/>
                <w14:textFill>
                  <w14:solidFill>
                    <w14:schemeClr w14:val="tx1"/>
                  </w14:solidFill>
                </w14:textFill>
              </w:rPr>
              <w:t>业务运营</w:t>
            </w:r>
            <w:r>
              <w:rPr>
                <w:color w:val="000000" w:themeColor="text1"/>
                <w:szCs w:val="21"/>
                <w:highlight w:val="none"/>
                <w14:textFill>
                  <w14:solidFill>
                    <w14:schemeClr w14:val="tx1"/>
                  </w14:solidFill>
                </w14:textFill>
              </w:rPr>
              <w:t>工作效率的有效建议，被采购人采纳</w:t>
            </w:r>
          </w:p>
        </w:tc>
        <w:tc>
          <w:tcPr>
            <w:tcW w:w="754" w:type="dxa"/>
            <w:tcBorders>
              <w:top w:val="single" w:color="auto" w:sz="4" w:space="0"/>
              <w:left w:val="nil"/>
              <w:bottom w:val="single" w:color="auto" w:sz="4" w:space="0"/>
              <w:right w:val="single" w:color="auto" w:sz="4" w:space="0"/>
            </w:tcBorders>
            <w:shd w:val="clear" w:color="auto" w:fill="auto"/>
            <w:vAlign w:val="center"/>
          </w:tcPr>
          <w:p>
            <w:pPr>
              <w:shd w:val="clear"/>
              <w:jc w:val="center"/>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0</w:t>
            </w:r>
          </w:p>
        </w:tc>
        <w:tc>
          <w:tcPr>
            <w:tcW w:w="0" w:type="auto"/>
            <w:tcBorders>
              <w:top w:val="single" w:color="auto" w:sz="4" w:space="0"/>
              <w:left w:val="nil"/>
              <w:bottom w:val="single" w:color="auto" w:sz="4" w:space="0"/>
              <w:right w:val="single" w:color="auto" w:sz="4" w:space="0"/>
            </w:tcBorders>
            <w:shd w:val="clear" w:color="auto" w:fill="auto"/>
            <w:vAlign w:val="center"/>
          </w:tcPr>
          <w:p>
            <w:pPr>
              <w:shd w:val="clear"/>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每提出一个有效建议增加2分。</w:t>
            </w:r>
          </w:p>
          <w:p>
            <w:pPr>
              <w:shd w:val="clear"/>
              <w:jc w:val="left"/>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color w:val="000000" w:themeColor="text1"/>
                <w:szCs w:val="21"/>
                <w:highlight w:val="none"/>
                <w14:textFill>
                  <w14:solidFill>
                    <w14:schemeClr w14:val="tx1"/>
                  </w14:solidFill>
                </w14:textFill>
              </w:rPr>
              <w:t>本项为加分项，最高得10分。</w:t>
            </w:r>
          </w:p>
        </w:tc>
      </w:tr>
    </w:tbl>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本考核表适用年中考核，序号1-9总分为100分，序号10为加分项，按月记录扣分项。</w:t>
      </w:r>
    </w:p>
    <w:p>
      <w:pPr>
        <w:pStyle w:val="4"/>
        <w:shd w:val="clear"/>
        <w:rPr>
          <w:color w:val="000000" w:themeColor="text1"/>
          <w:highlight w:val="none"/>
          <w14:textFill>
            <w14:solidFill>
              <w14:schemeClr w14:val="tx1"/>
            </w14:solidFill>
          </w14:textFill>
        </w:rPr>
      </w:pPr>
      <w:bookmarkStart w:id="14" w:name="_Toc183558636"/>
      <w:r>
        <w:rPr>
          <w:rFonts w:hint="eastAsia"/>
          <w:color w:val="000000" w:themeColor="text1"/>
          <w:highlight w:val="none"/>
          <w14:textFill>
            <w14:solidFill>
              <w14:schemeClr w14:val="tx1"/>
            </w14:solidFill>
          </w14:textFill>
        </w:rPr>
        <w:t>年度考核指标</w:t>
      </w:r>
      <w:bookmarkEnd w:id="14"/>
    </w:p>
    <w:tbl>
      <w:tblPr>
        <w:tblStyle w:val="7"/>
        <w:tblW w:w="86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2465"/>
        <w:gridCol w:w="754"/>
        <w:gridCol w:w="4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92" w:type="dxa"/>
            <w:tcBorders>
              <w:top w:val="single" w:color="auto" w:sz="4" w:space="0"/>
              <w:left w:val="single" w:color="auto" w:sz="4" w:space="0"/>
              <w:bottom w:val="single" w:color="auto" w:sz="4" w:space="0"/>
              <w:right w:val="single" w:color="auto" w:sz="4" w:space="0"/>
            </w:tcBorders>
            <w:vAlign w:val="center"/>
          </w:tcPr>
          <w:p>
            <w:pPr>
              <w:shd w:val="clea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序号</w:t>
            </w:r>
          </w:p>
        </w:tc>
        <w:tc>
          <w:tcPr>
            <w:tcW w:w="2465" w:type="dxa"/>
            <w:tcBorders>
              <w:top w:val="single" w:color="auto" w:sz="4" w:space="0"/>
              <w:left w:val="single" w:color="auto" w:sz="4" w:space="0"/>
              <w:bottom w:val="single" w:color="auto" w:sz="4" w:space="0"/>
              <w:right w:val="single" w:color="auto" w:sz="4" w:space="0"/>
            </w:tcBorders>
            <w:vAlign w:val="center"/>
          </w:tcPr>
          <w:p>
            <w:pPr>
              <w:shd w:val="clea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考核内容</w:t>
            </w:r>
          </w:p>
        </w:tc>
        <w:tc>
          <w:tcPr>
            <w:tcW w:w="754" w:type="dxa"/>
            <w:tcBorders>
              <w:top w:val="single" w:color="auto" w:sz="4" w:space="0"/>
              <w:left w:val="nil"/>
              <w:bottom w:val="single" w:color="auto" w:sz="4" w:space="0"/>
              <w:right w:val="single" w:color="auto" w:sz="4" w:space="0"/>
            </w:tcBorders>
            <w:vAlign w:val="center"/>
          </w:tcPr>
          <w:p>
            <w:pPr>
              <w:shd w:val="clea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分值</w:t>
            </w:r>
          </w:p>
        </w:tc>
        <w:tc>
          <w:tcPr>
            <w:tcW w:w="4785" w:type="dxa"/>
            <w:tcBorders>
              <w:top w:val="single" w:color="auto" w:sz="4" w:space="0"/>
              <w:left w:val="nil"/>
              <w:bottom w:val="single" w:color="auto" w:sz="4" w:space="0"/>
              <w:right w:val="single" w:color="auto" w:sz="4" w:space="0"/>
            </w:tcBorders>
            <w:vAlign w:val="center"/>
          </w:tcPr>
          <w:p>
            <w:pPr>
              <w:shd w:val="clea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评分规则（按月记录扣分项）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pPr>
              <w:shd w:val="clea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p>
        </w:tc>
        <w:tc>
          <w:tcPr>
            <w:tcW w:w="2465" w:type="dxa"/>
            <w:tcBorders>
              <w:top w:val="single" w:color="auto" w:sz="4" w:space="0"/>
              <w:left w:val="single" w:color="auto" w:sz="4" w:space="0"/>
              <w:bottom w:val="single" w:color="auto" w:sz="4" w:space="0"/>
              <w:right w:val="single" w:color="auto" w:sz="4" w:space="0"/>
            </w:tcBorders>
            <w:vAlign w:val="center"/>
          </w:tcPr>
          <w:p>
            <w:pPr>
              <w:shd w:val="clea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成果归档</w:t>
            </w:r>
          </w:p>
        </w:tc>
        <w:tc>
          <w:tcPr>
            <w:tcW w:w="754" w:type="dxa"/>
            <w:tcBorders>
              <w:top w:val="single" w:color="auto" w:sz="4" w:space="0"/>
              <w:left w:val="nil"/>
              <w:bottom w:val="single" w:color="auto" w:sz="4" w:space="0"/>
              <w:right w:val="single" w:color="auto" w:sz="4" w:space="0"/>
            </w:tcBorders>
            <w:vAlign w:val="center"/>
          </w:tcPr>
          <w:p>
            <w:pPr>
              <w:shd w:val="clea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w:t>
            </w:r>
          </w:p>
        </w:tc>
        <w:tc>
          <w:tcPr>
            <w:tcW w:w="4785" w:type="dxa"/>
            <w:tcBorders>
              <w:top w:val="single" w:color="auto" w:sz="4" w:space="0"/>
              <w:left w:val="nil"/>
              <w:bottom w:val="single" w:color="auto" w:sz="4" w:space="0"/>
              <w:right w:val="single" w:color="auto" w:sz="4" w:space="0"/>
            </w:tcBorders>
            <w:vAlign w:val="center"/>
          </w:tcPr>
          <w:p>
            <w:pPr>
              <w:shd w:val="clear"/>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按照甲方文档归档管理要求完成全部文档（成果文档、服务过程文档、管理文档等）汇编及归档工作，每缺1项扣0.1分。</w:t>
            </w:r>
            <w:r>
              <w:rPr>
                <w:color w:val="000000" w:themeColor="text1"/>
                <w:szCs w:val="21"/>
                <w:highlight w:val="none"/>
                <w14:textFill>
                  <w14:solidFill>
                    <w14:schemeClr w14:val="tx1"/>
                  </w14:solidFill>
                </w14:textFill>
              </w:rPr>
              <w:t>本项目最低得0分。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pPr>
              <w:shd w:val="clea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p>
        </w:tc>
        <w:tc>
          <w:tcPr>
            <w:tcW w:w="2465" w:type="dxa"/>
            <w:tcBorders>
              <w:top w:val="single" w:color="auto" w:sz="4" w:space="0"/>
              <w:left w:val="single" w:color="auto" w:sz="4" w:space="0"/>
              <w:bottom w:val="single" w:color="auto" w:sz="4" w:space="0"/>
              <w:right w:val="single" w:color="auto" w:sz="4" w:space="0"/>
            </w:tcBorders>
            <w:vAlign w:val="center"/>
          </w:tcPr>
          <w:p>
            <w:pPr>
              <w:shd w:val="clear"/>
              <w:jc w:val="center"/>
              <w:rPr>
                <w:rFonts w:hint="eastAsia" w:eastAsiaTheme="minorEastAsia"/>
                <w:color w:val="000000" w:themeColor="text1"/>
                <w:szCs w:val="21"/>
                <w:highlight w:val="none"/>
                <w:lang w:eastAsia="zh-CN"/>
                <w14:textFill>
                  <w14:solidFill>
                    <w14:schemeClr w14:val="tx1"/>
                  </w14:solidFill>
                </w14:textFill>
              </w:rPr>
            </w:pPr>
            <w:r>
              <w:rPr>
                <w:color w:val="000000" w:themeColor="text1"/>
                <w:szCs w:val="21"/>
                <w:highlight w:val="none"/>
                <w14:textFill>
                  <w14:solidFill>
                    <w14:schemeClr w14:val="tx1"/>
                  </w14:solidFill>
                </w14:textFill>
              </w:rPr>
              <w:t>服务期开始后，于每月5日前提交上月的</w:t>
            </w:r>
            <w:r>
              <w:rPr>
                <w:rFonts w:hint="eastAsia"/>
                <w:color w:val="000000" w:themeColor="text1"/>
                <w:szCs w:val="21"/>
                <w:highlight w:val="none"/>
                <w14:textFill>
                  <w14:solidFill>
                    <w14:schemeClr w14:val="tx1"/>
                  </w14:solidFill>
                </w14:textFill>
              </w:rPr>
              <w:t>运营</w:t>
            </w:r>
            <w:r>
              <w:rPr>
                <w:color w:val="000000" w:themeColor="text1"/>
                <w:szCs w:val="21"/>
                <w:highlight w:val="none"/>
                <w14:textFill>
                  <w14:solidFill>
                    <w14:schemeClr w14:val="tx1"/>
                  </w14:solidFill>
                </w14:textFill>
              </w:rPr>
              <w:t>服务月报</w:t>
            </w:r>
            <w:r>
              <w:rPr>
                <w:rFonts w:hint="eastAsia"/>
                <w:color w:val="000000" w:themeColor="text1"/>
                <w:szCs w:val="21"/>
                <w:highlight w:val="none"/>
                <w:lang w:eastAsia="zh-CN"/>
                <w14:textFill>
                  <w14:solidFill>
                    <w14:schemeClr w14:val="tx1"/>
                  </w14:solidFill>
                </w14:textFill>
              </w:rPr>
              <w:t>，</w:t>
            </w:r>
            <w:r>
              <w:rPr>
                <w:rFonts w:hint="eastAsia"/>
                <w:color w:val="000000" w:themeColor="text1"/>
                <w:szCs w:val="21"/>
                <w:highlight w:val="none"/>
                <w14:textFill>
                  <w14:solidFill>
                    <w14:schemeClr w14:val="tx1"/>
                  </w14:solidFill>
                </w14:textFill>
              </w:rPr>
              <w:t>服务期</w:t>
            </w:r>
            <w:r>
              <w:rPr>
                <w:color w:val="000000" w:themeColor="text1"/>
                <w:szCs w:val="21"/>
                <w:highlight w:val="none"/>
                <w14:textFill>
                  <w14:solidFill>
                    <w14:schemeClr w14:val="tx1"/>
                  </w14:solidFill>
                </w14:textFill>
              </w:rPr>
              <w:t>满</w:t>
            </w:r>
            <w:r>
              <w:rPr>
                <w:rFonts w:hint="eastAsia"/>
                <w:color w:val="000000" w:themeColor="text1"/>
                <w:szCs w:val="21"/>
                <w:highlight w:val="none"/>
                <w14:textFill>
                  <w14:solidFill>
                    <w14:schemeClr w14:val="tx1"/>
                  </w14:solidFill>
                </w14:textFill>
              </w:rPr>
              <w:t>6个月后的10</w:t>
            </w:r>
            <w:r>
              <w:rPr>
                <w:color w:val="000000" w:themeColor="text1"/>
                <w:szCs w:val="21"/>
                <w:highlight w:val="none"/>
                <w14:textFill>
                  <w14:solidFill>
                    <w14:schemeClr w14:val="tx1"/>
                  </w14:solidFill>
                </w14:textFill>
              </w:rPr>
              <w:t>个</w:t>
            </w:r>
            <w:r>
              <w:rPr>
                <w:rFonts w:hint="eastAsia"/>
                <w:color w:val="000000" w:themeColor="text1"/>
                <w:szCs w:val="21"/>
                <w:highlight w:val="none"/>
                <w:lang w:val="en-US" w:eastAsia="zh-CN"/>
                <w14:textFill>
                  <w14:solidFill>
                    <w14:schemeClr w14:val="tx1"/>
                  </w14:solidFill>
                </w14:textFill>
              </w:rPr>
              <w:t>工作日</w:t>
            </w:r>
            <w:r>
              <w:rPr>
                <w:color w:val="000000" w:themeColor="text1"/>
                <w:szCs w:val="21"/>
                <w:highlight w:val="none"/>
                <w14:textFill>
                  <w14:solidFill>
                    <w14:schemeClr w14:val="tx1"/>
                  </w14:solidFill>
                </w14:textFill>
              </w:rPr>
              <w:t>内，提交书面</w:t>
            </w:r>
            <w:r>
              <w:rPr>
                <w:rFonts w:hint="eastAsia"/>
                <w:color w:val="000000" w:themeColor="text1"/>
                <w:szCs w:val="21"/>
                <w:highlight w:val="none"/>
                <w14:textFill>
                  <w14:solidFill>
                    <w14:schemeClr w14:val="tx1"/>
                  </w14:solidFill>
                </w14:textFill>
              </w:rPr>
              <w:t>年度总结</w:t>
            </w:r>
            <w:r>
              <w:rPr>
                <w:color w:val="000000" w:themeColor="text1"/>
                <w:szCs w:val="21"/>
                <w:highlight w:val="none"/>
                <w14:textFill>
                  <w14:solidFill>
                    <w14:schemeClr w14:val="tx1"/>
                  </w14:solidFill>
                </w14:textFill>
              </w:rPr>
              <w:t>报告。</w:t>
            </w:r>
          </w:p>
        </w:tc>
        <w:tc>
          <w:tcPr>
            <w:tcW w:w="754" w:type="dxa"/>
            <w:tcBorders>
              <w:top w:val="single" w:color="auto" w:sz="4" w:space="0"/>
              <w:left w:val="nil"/>
              <w:bottom w:val="single" w:color="auto" w:sz="4" w:space="0"/>
              <w:right w:val="single" w:color="auto" w:sz="4" w:space="0"/>
            </w:tcBorders>
            <w:vAlign w:val="center"/>
          </w:tcPr>
          <w:p>
            <w:pPr>
              <w:shd w:val="clear"/>
              <w:jc w:val="center"/>
              <w:rPr>
                <w:rFonts w:hint="default" w:eastAsiaTheme="minor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10</w:t>
            </w:r>
          </w:p>
        </w:tc>
        <w:tc>
          <w:tcPr>
            <w:tcW w:w="4785" w:type="dxa"/>
            <w:tcBorders>
              <w:top w:val="single" w:color="auto" w:sz="4" w:space="0"/>
              <w:left w:val="nil"/>
              <w:bottom w:val="single" w:color="auto" w:sz="4" w:space="0"/>
              <w:right w:val="single" w:color="auto" w:sz="4" w:space="0"/>
            </w:tcBorders>
            <w:vAlign w:val="center"/>
          </w:tcPr>
          <w:p>
            <w:pPr>
              <w:shd w:val="clear"/>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每月一个报告。每缺一个月报告扣1分；报告每缺一项必报内容扣1分；月报每推迟1天扣1分。未及时按规定提交</w:t>
            </w:r>
            <w:r>
              <w:rPr>
                <w:rFonts w:hint="eastAsia"/>
                <w:color w:val="000000" w:themeColor="text1"/>
                <w:szCs w:val="21"/>
                <w:highlight w:val="none"/>
                <w14:textFill>
                  <w14:solidFill>
                    <w14:schemeClr w14:val="tx1"/>
                  </w14:solidFill>
                </w14:textFill>
              </w:rPr>
              <w:t>年度</w:t>
            </w:r>
            <w:r>
              <w:rPr>
                <w:color w:val="000000" w:themeColor="text1"/>
                <w:szCs w:val="21"/>
                <w:highlight w:val="none"/>
                <w14:textFill>
                  <w14:solidFill>
                    <w14:schemeClr w14:val="tx1"/>
                  </w14:solidFill>
                </w14:textFill>
              </w:rPr>
              <w:t>总结报告，迟1天扣1分。本项目最低得0分。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tcBorders>
              <w:top w:val="single" w:color="auto" w:sz="4" w:space="0"/>
              <w:left w:val="single" w:color="auto" w:sz="4" w:space="0"/>
              <w:bottom w:val="single" w:color="auto" w:sz="4" w:space="0"/>
              <w:right w:val="single" w:color="auto" w:sz="4" w:space="0"/>
            </w:tcBorders>
            <w:vAlign w:val="center"/>
          </w:tcPr>
          <w:p>
            <w:pPr>
              <w:shd w:val="clea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w:t>
            </w:r>
          </w:p>
        </w:tc>
        <w:tc>
          <w:tcPr>
            <w:tcW w:w="2465"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color w:val="000000" w:themeColor="text1"/>
                <w:szCs w:val="21"/>
                <w:highlight w:val="none"/>
                <w14:textFill>
                  <w14:solidFill>
                    <w14:schemeClr w14:val="tx1"/>
                  </w14:solidFill>
                </w14:textFill>
              </w:rPr>
              <w:t>汛期保障情况</w:t>
            </w:r>
          </w:p>
        </w:tc>
        <w:tc>
          <w:tcPr>
            <w:tcW w:w="754" w:type="dxa"/>
            <w:tcBorders>
              <w:top w:val="single" w:color="auto" w:sz="4" w:space="0"/>
              <w:left w:val="nil"/>
              <w:bottom w:val="single" w:color="auto" w:sz="4" w:space="0"/>
              <w:right w:val="single" w:color="auto" w:sz="4" w:space="0"/>
            </w:tcBorders>
            <w:shd w:val="clear" w:color="auto" w:fill="auto"/>
            <w:vAlign w:val="center"/>
          </w:tcPr>
          <w:p>
            <w:pPr>
              <w:shd w:val="clear"/>
              <w:jc w:val="center"/>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0</w:t>
            </w:r>
          </w:p>
        </w:tc>
        <w:tc>
          <w:tcPr>
            <w:tcW w:w="4785" w:type="dxa"/>
            <w:tcBorders>
              <w:top w:val="single" w:color="auto" w:sz="4" w:space="0"/>
              <w:left w:val="nil"/>
              <w:bottom w:val="single" w:color="auto" w:sz="4" w:space="0"/>
              <w:right w:val="single" w:color="auto" w:sz="4" w:space="0"/>
            </w:tcBorders>
            <w:shd w:val="clear" w:color="auto" w:fill="auto"/>
            <w:vAlign w:val="center"/>
          </w:tcPr>
          <w:p>
            <w:pPr>
              <w:shd w:val="clear"/>
              <w:jc w:val="left"/>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color w:val="000000" w:themeColor="text1"/>
                <w:szCs w:val="21"/>
                <w:highlight w:val="none"/>
                <w14:textFill>
                  <w14:solidFill>
                    <w14:schemeClr w14:val="tx1"/>
                  </w14:solidFill>
                </w14:textFill>
              </w:rPr>
              <w:t>未按时到场保障，每人次扣</w:t>
            </w:r>
            <w:r>
              <w:rPr>
                <w:rFonts w:hint="eastAsia"/>
                <w:color w:val="000000" w:themeColor="text1"/>
                <w:szCs w:val="21"/>
                <w:highlight w:val="none"/>
                <w14:textFill>
                  <w14:solidFill>
                    <w14:schemeClr w14:val="tx1"/>
                  </w14:solidFill>
                </w14:textFill>
              </w:rPr>
              <w:t>10</w:t>
            </w:r>
            <w:r>
              <w:rPr>
                <w:color w:val="000000" w:themeColor="text1"/>
                <w:szCs w:val="21"/>
                <w:highlight w:val="none"/>
                <w14:textFill>
                  <w14:solidFill>
                    <w14:schemeClr w14:val="tx1"/>
                  </w14:solidFill>
                </w14:textFill>
              </w:rPr>
              <w:t>分，事件未按要求响应每次扣</w:t>
            </w:r>
            <w:r>
              <w:rPr>
                <w:rFonts w:hint="eastAsia"/>
                <w:color w:val="000000" w:themeColor="text1"/>
                <w:szCs w:val="21"/>
                <w:highlight w:val="none"/>
                <w14:textFill>
                  <w14:solidFill>
                    <w14:schemeClr w14:val="tx1"/>
                  </w14:solidFill>
                </w14:textFill>
              </w:rPr>
              <w:t>10</w:t>
            </w:r>
            <w:r>
              <w:rPr>
                <w:color w:val="000000" w:themeColor="text1"/>
                <w:szCs w:val="21"/>
                <w:highlight w:val="none"/>
                <w14:textFill>
                  <w14:solidFill>
                    <w14:schemeClr w14:val="tx1"/>
                  </w14:solidFill>
                </w14:textFill>
              </w:rPr>
              <w:t>分，未能及时发现异常情况和未及时上报的，则扣</w:t>
            </w:r>
            <w:r>
              <w:rPr>
                <w:rFonts w:hint="eastAsia"/>
                <w:color w:val="000000" w:themeColor="text1"/>
                <w:szCs w:val="21"/>
                <w:highlight w:val="none"/>
                <w14:textFill>
                  <w14:solidFill>
                    <w14:schemeClr w14:val="tx1"/>
                  </w14:solidFill>
                </w14:textFill>
              </w:rPr>
              <w:t>10</w:t>
            </w:r>
            <w:r>
              <w:rPr>
                <w:color w:val="000000" w:themeColor="text1"/>
                <w:szCs w:val="21"/>
                <w:highlight w:val="none"/>
                <w14:textFill>
                  <w14:solidFill>
                    <w14:schemeClr w14:val="tx1"/>
                  </w14:solidFill>
                </w14:textFill>
              </w:rPr>
              <w:t>分，本项目最低得0分。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tcBorders>
              <w:top w:val="single" w:color="auto" w:sz="4" w:space="0"/>
              <w:left w:val="single" w:color="auto" w:sz="4" w:space="0"/>
              <w:bottom w:val="single" w:color="auto" w:sz="4" w:space="0"/>
              <w:right w:val="single" w:color="auto" w:sz="4" w:space="0"/>
            </w:tcBorders>
            <w:vAlign w:val="center"/>
          </w:tcPr>
          <w:p>
            <w:pPr>
              <w:shd w:val="clea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4</w:t>
            </w:r>
          </w:p>
        </w:tc>
        <w:tc>
          <w:tcPr>
            <w:tcW w:w="2465"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服务响应时间</w:t>
            </w:r>
          </w:p>
        </w:tc>
        <w:tc>
          <w:tcPr>
            <w:tcW w:w="754" w:type="dxa"/>
            <w:tcBorders>
              <w:top w:val="single" w:color="auto" w:sz="4" w:space="0"/>
              <w:left w:val="nil"/>
              <w:bottom w:val="single" w:color="auto" w:sz="4" w:space="0"/>
              <w:right w:val="single" w:color="auto" w:sz="4" w:space="0"/>
            </w:tcBorders>
            <w:shd w:val="clear" w:color="auto" w:fill="auto"/>
            <w:vAlign w:val="center"/>
          </w:tcPr>
          <w:p>
            <w:pPr>
              <w:shd w:val="clear"/>
              <w:jc w:val="center"/>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10</w:t>
            </w:r>
          </w:p>
        </w:tc>
        <w:tc>
          <w:tcPr>
            <w:tcW w:w="4785" w:type="dxa"/>
            <w:tcBorders>
              <w:top w:val="single" w:color="auto" w:sz="4" w:space="0"/>
              <w:left w:val="nil"/>
              <w:bottom w:val="single" w:color="auto" w:sz="4" w:space="0"/>
              <w:right w:val="single" w:color="auto" w:sz="4" w:space="0"/>
            </w:tcBorders>
            <w:shd w:val="clear" w:color="auto" w:fill="auto"/>
            <w:vAlign w:val="center"/>
          </w:tcPr>
          <w:p>
            <w:pPr>
              <w:shd w:val="clear"/>
              <w:jc w:val="left"/>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超出1小时未响应甲方提出的服务需求，每超过1小时扣1分。</w:t>
            </w:r>
            <w:r>
              <w:rPr>
                <w:color w:val="000000" w:themeColor="text1"/>
                <w:szCs w:val="21"/>
                <w:highlight w:val="none"/>
                <w14:textFill>
                  <w14:solidFill>
                    <w14:schemeClr w14:val="tx1"/>
                  </w14:solidFill>
                </w14:textFill>
              </w:rPr>
              <w:t>本项最低得0分。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tcBorders>
              <w:top w:val="single" w:color="auto" w:sz="4" w:space="0"/>
              <w:left w:val="single" w:color="auto" w:sz="4" w:space="0"/>
              <w:bottom w:val="single" w:color="auto" w:sz="4" w:space="0"/>
              <w:right w:val="single" w:color="auto" w:sz="4" w:space="0"/>
            </w:tcBorders>
            <w:vAlign w:val="center"/>
          </w:tcPr>
          <w:p>
            <w:pPr>
              <w:shd w:val="clea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w:t>
            </w:r>
          </w:p>
        </w:tc>
        <w:tc>
          <w:tcPr>
            <w:tcW w:w="2465"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项目成果提交</w:t>
            </w:r>
          </w:p>
        </w:tc>
        <w:tc>
          <w:tcPr>
            <w:tcW w:w="754" w:type="dxa"/>
            <w:tcBorders>
              <w:top w:val="single" w:color="auto" w:sz="4" w:space="0"/>
              <w:left w:val="nil"/>
              <w:bottom w:val="single" w:color="auto" w:sz="4" w:space="0"/>
              <w:right w:val="single" w:color="auto" w:sz="4" w:space="0"/>
            </w:tcBorders>
            <w:shd w:val="clear" w:color="auto" w:fill="auto"/>
            <w:vAlign w:val="center"/>
          </w:tcPr>
          <w:p>
            <w:pPr>
              <w:shd w:val="clear"/>
              <w:jc w:val="center"/>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5</w:t>
            </w:r>
          </w:p>
        </w:tc>
        <w:tc>
          <w:tcPr>
            <w:tcW w:w="4785" w:type="dxa"/>
            <w:tcBorders>
              <w:top w:val="single" w:color="auto" w:sz="4" w:space="0"/>
              <w:left w:val="nil"/>
              <w:bottom w:val="single" w:color="auto" w:sz="4" w:space="0"/>
              <w:right w:val="single" w:color="auto" w:sz="4" w:space="0"/>
            </w:tcBorders>
            <w:shd w:val="clear" w:color="auto" w:fill="auto"/>
            <w:vAlign w:val="center"/>
          </w:tcPr>
          <w:p>
            <w:pPr>
              <w:shd w:val="clear"/>
              <w:jc w:val="left"/>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未按照时间节点要求提交项目阶段成果，每缺1项扣1分，</w:t>
            </w:r>
            <w:r>
              <w:rPr>
                <w:color w:val="000000" w:themeColor="text1"/>
                <w:szCs w:val="21"/>
                <w:highlight w:val="none"/>
                <w14:textFill>
                  <w14:solidFill>
                    <w14:schemeClr w14:val="tx1"/>
                  </w14:solidFill>
                </w14:textFill>
              </w:rPr>
              <w:t>本项最低得0分。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tcBorders>
              <w:top w:val="single" w:color="auto" w:sz="4" w:space="0"/>
              <w:left w:val="single" w:color="auto" w:sz="4" w:space="0"/>
              <w:bottom w:val="single" w:color="auto" w:sz="4" w:space="0"/>
              <w:right w:val="single" w:color="auto" w:sz="4" w:space="0"/>
            </w:tcBorders>
            <w:vAlign w:val="center"/>
          </w:tcPr>
          <w:p>
            <w:pPr>
              <w:shd w:val="clea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6</w:t>
            </w:r>
          </w:p>
        </w:tc>
        <w:tc>
          <w:tcPr>
            <w:tcW w:w="2465"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color w:val="000000" w:themeColor="text1"/>
                <w:szCs w:val="21"/>
                <w:highlight w:val="none"/>
                <w14:textFill>
                  <w14:solidFill>
                    <w14:schemeClr w14:val="tx1"/>
                  </w14:solidFill>
                </w14:textFill>
              </w:rPr>
              <w:t>工作态度、服务质量和进度等情况</w:t>
            </w:r>
          </w:p>
        </w:tc>
        <w:tc>
          <w:tcPr>
            <w:tcW w:w="754" w:type="dxa"/>
            <w:tcBorders>
              <w:top w:val="single" w:color="auto" w:sz="4" w:space="0"/>
              <w:left w:val="nil"/>
              <w:bottom w:val="single" w:color="auto" w:sz="4" w:space="0"/>
              <w:right w:val="single" w:color="auto" w:sz="4" w:space="0"/>
            </w:tcBorders>
            <w:shd w:val="clear" w:color="auto" w:fill="auto"/>
            <w:vAlign w:val="center"/>
          </w:tcPr>
          <w:p>
            <w:pPr>
              <w:shd w:val="clear"/>
              <w:jc w:val="center"/>
              <w:rPr>
                <w:rFonts w:hint="eastAsia"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1</w:t>
            </w:r>
            <w:r>
              <w:rPr>
                <w:rFonts w:hint="eastAsia"/>
                <w:color w:val="000000" w:themeColor="text1"/>
                <w:szCs w:val="21"/>
                <w:highlight w:val="none"/>
                <w:lang w:val="en-US" w:eastAsia="zh-CN"/>
                <w14:textFill>
                  <w14:solidFill>
                    <w14:schemeClr w14:val="tx1"/>
                  </w14:solidFill>
                </w14:textFill>
              </w:rPr>
              <w:t>5</w:t>
            </w:r>
          </w:p>
        </w:tc>
        <w:tc>
          <w:tcPr>
            <w:tcW w:w="4785" w:type="dxa"/>
            <w:tcBorders>
              <w:top w:val="single" w:color="auto" w:sz="4" w:space="0"/>
              <w:left w:val="nil"/>
              <w:bottom w:val="single" w:color="auto" w:sz="4" w:space="0"/>
              <w:right w:val="single" w:color="auto" w:sz="4" w:space="0"/>
            </w:tcBorders>
            <w:shd w:val="clear" w:color="auto" w:fill="auto"/>
            <w:vAlign w:val="center"/>
          </w:tcPr>
          <w:p>
            <w:pPr>
              <w:shd w:val="clear"/>
              <w:jc w:val="left"/>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服务提供方</w:t>
            </w:r>
            <w:r>
              <w:rPr>
                <w:color w:val="000000" w:themeColor="text1"/>
                <w:szCs w:val="21"/>
                <w:highlight w:val="none"/>
                <w14:textFill>
                  <w14:solidFill>
                    <w14:schemeClr w14:val="tx1"/>
                  </w14:solidFill>
                </w14:textFill>
              </w:rPr>
              <w:t>项目经理或</w:t>
            </w:r>
            <w:r>
              <w:rPr>
                <w:rFonts w:hint="eastAsia"/>
                <w:color w:val="000000" w:themeColor="text1"/>
                <w:szCs w:val="21"/>
                <w:highlight w:val="none"/>
                <w14:textFill>
                  <w14:solidFill>
                    <w14:schemeClr w14:val="tx1"/>
                  </w14:solidFill>
                </w14:textFill>
              </w:rPr>
              <w:t>运营</w:t>
            </w:r>
            <w:r>
              <w:rPr>
                <w:color w:val="000000" w:themeColor="text1"/>
                <w:szCs w:val="21"/>
                <w:highlight w:val="none"/>
                <w14:textFill>
                  <w14:solidFill>
                    <w14:schemeClr w14:val="tx1"/>
                  </w14:solidFill>
                </w14:textFill>
              </w:rPr>
              <w:t>人员出现以消极、推诿等态度对待采购方的合理工作安排等情形，单次扣</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分。</w:t>
            </w:r>
            <w:r>
              <w:rPr>
                <w:rFonts w:hint="eastAsia"/>
                <w:color w:val="000000" w:themeColor="text1"/>
                <w:szCs w:val="21"/>
                <w:highlight w:val="none"/>
                <w:lang w:val="en-US" w:eastAsia="zh-CN"/>
                <w14:textFill>
                  <w14:solidFill>
                    <w14:schemeClr w14:val="tx1"/>
                  </w14:solidFill>
                </w14:textFill>
              </w:rPr>
              <w:t>因公司内部人员管理等原因造成项目服务进度滞后或未按采购方的工作进度要求执行的，单次扣3分。</w:t>
            </w:r>
            <w:r>
              <w:rPr>
                <w:color w:val="000000" w:themeColor="text1"/>
                <w:szCs w:val="21"/>
                <w:highlight w:val="none"/>
                <w14:textFill>
                  <w14:solidFill>
                    <w14:schemeClr w14:val="tx1"/>
                  </w14:solidFill>
                </w14:textFill>
              </w:rPr>
              <w:t>本项最低得0分。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tcBorders>
              <w:top w:val="single" w:color="auto" w:sz="4" w:space="0"/>
              <w:left w:val="single" w:color="auto" w:sz="4" w:space="0"/>
              <w:bottom w:val="single" w:color="auto" w:sz="4" w:space="0"/>
              <w:right w:val="single" w:color="auto" w:sz="4" w:space="0"/>
            </w:tcBorders>
            <w:vAlign w:val="center"/>
          </w:tcPr>
          <w:p>
            <w:pPr>
              <w:shd w:val="clea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w:t>
            </w:r>
          </w:p>
        </w:tc>
        <w:tc>
          <w:tcPr>
            <w:tcW w:w="2465"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color w:val="000000" w:themeColor="text1"/>
                <w:szCs w:val="21"/>
                <w:highlight w:val="none"/>
                <w14:textFill>
                  <w14:solidFill>
                    <w14:schemeClr w14:val="tx1"/>
                  </w14:solidFill>
                </w14:textFill>
              </w:rPr>
              <w:t>人员在岗情况</w:t>
            </w:r>
          </w:p>
        </w:tc>
        <w:tc>
          <w:tcPr>
            <w:tcW w:w="754" w:type="dxa"/>
            <w:tcBorders>
              <w:top w:val="single" w:color="auto" w:sz="4" w:space="0"/>
              <w:left w:val="nil"/>
              <w:bottom w:val="single" w:color="auto" w:sz="4" w:space="0"/>
              <w:right w:val="single" w:color="auto" w:sz="4" w:space="0"/>
            </w:tcBorders>
            <w:shd w:val="clear" w:color="auto" w:fill="auto"/>
            <w:vAlign w:val="center"/>
          </w:tcPr>
          <w:p>
            <w:pPr>
              <w:shd w:val="clear"/>
              <w:jc w:val="center"/>
              <w:rPr>
                <w:rFonts w:hint="eastAsia"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10</w:t>
            </w:r>
          </w:p>
        </w:tc>
        <w:tc>
          <w:tcPr>
            <w:tcW w:w="4785" w:type="dxa"/>
            <w:tcBorders>
              <w:top w:val="single" w:color="auto" w:sz="4" w:space="0"/>
              <w:left w:val="nil"/>
              <w:bottom w:val="single" w:color="auto" w:sz="4" w:space="0"/>
              <w:right w:val="single" w:color="auto" w:sz="4" w:space="0"/>
            </w:tcBorders>
            <w:shd w:val="clear" w:color="auto" w:fill="auto"/>
            <w:vAlign w:val="center"/>
          </w:tcPr>
          <w:p>
            <w:pPr>
              <w:shd w:val="clear"/>
              <w:jc w:val="left"/>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运营</w:t>
            </w:r>
            <w:r>
              <w:rPr>
                <w:color w:val="000000" w:themeColor="text1"/>
                <w:szCs w:val="21"/>
                <w:highlight w:val="none"/>
                <w14:textFill>
                  <w14:solidFill>
                    <w14:schemeClr w14:val="tx1"/>
                  </w14:solidFill>
                </w14:textFill>
              </w:rPr>
              <w:t>人员按照合同要求人员进行驻场，如请假、补休需要提前通知甲方，存在违反，单次扣2分。本项最低得0分。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tcBorders>
              <w:top w:val="single" w:color="auto" w:sz="4" w:space="0"/>
              <w:left w:val="single" w:color="auto" w:sz="4" w:space="0"/>
              <w:bottom w:val="single" w:color="auto" w:sz="4" w:space="0"/>
              <w:right w:val="single" w:color="auto" w:sz="4" w:space="0"/>
            </w:tcBorders>
            <w:vAlign w:val="center"/>
          </w:tcPr>
          <w:p>
            <w:pPr>
              <w:shd w:val="clea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8</w:t>
            </w:r>
          </w:p>
        </w:tc>
        <w:tc>
          <w:tcPr>
            <w:tcW w:w="2465"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用户投诉情况</w:t>
            </w:r>
          </w:p>
        </w:tc>
        <w:tc>
          <w:tcPr>
            <w:tcW w:w="754" w:type="dxa"/>
            <w:tcBorders>
              <w:top w:val="single" w:color="auto" w:sz="4" w:space="0"/>
              <w:left w:val="nil"/>
              <w:bottom w:val="single" w:color="auto" w:sz="4" w:space="0"/>
              <w:right w:val="single" w:color="auto" w:sz="4" w:space="0"/>
            </w:tcBorders>
            <w:shd w:val="clear" w:color="auto" w:fill="auto"/>
            <w:vAlign w:val="center"/>
          </w:tcPr>
          <w:p>
            <w:pPr>
              <w:shd w:val="clear"/>
              <w:jc w:val="center"/>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10</w:t>
            </w:r>
          </w:p>
        </w:tc>
        <w:tc>
          <w:tcPr>
            <w:tcW w:w="4785" w:type="dxa"/>
            <w:tcBorders>
              <w:top w:val="single" w:color="auto" w:sz="4" w:space="0"/>
              <w:left w:val="nil"/>
              <w:bottom w:val="single" w:color="auto" w:sz="4" w:space="0"/>
              <w:right w:val="single" w:color="auto" w:sz="4" w:space="0"/>
            </w:tcBorders>
            <w:shd w:val="clear" w:color="auto" w:fill="auto"/>
            <w:vAlign w:val="center"/>
          </w:tcPr>
          <w:p>
            <w:pPr>
              <w:shd w:val="clear"/>
              <w:jc w:val="left"/>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在运营服务过程中，因服务质量差、响应不及时等问题引起用户投诉，单次扣5分，</w:t>
            </w:r>
            <w:r>
              <w:rPr>
                <w:color w:val="000000" w:themeColor="text1"/>
                <w:szCs w:val="21"/>
                <w:highlight w:val="none"/>
                <w14:textFill>
                  <w14:solidFill>
                    <w14:schemeClr w14:val="tx1"/>
                  </w14:solidFill>
                </w14:textFill>
              </w:rPr>
              <w:t>本项最低得0分。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pPr>
              <w:shd w:val="clea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9</w:t>
            </w:r>
          </w:p>
        </w:tc>
        <w:tc>
          <w:tcPr>
            <w:tcW w:w="2465"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服务提供方</w:t>
            </w:r>
            <w:r>
              <w:rPr>
                <w:color w:val="000000" w:themeColor="text1"/>
                <w:szCs w:val="21"/>
                <w:highlight w:val="none"/>
                <w14:textFill>
                  <w14:solidFill>
                    <w14:schemeClr w14:val="tx1"/>
                  </w14:solidFill>
                </w14:textFill>
              </w:rPr>
              <w:t>提出能提升</w:t>
            </w:r>
            <w:r>
              <w:rPr>
                <w:rFonts w:hint="eastAsia"/>
                <w:color w:val="000000" w:themeColor="text1"/>
                <w:szCs w:val="21"/>
                <w:highlight w:val="none"/>
                <w14:textFill>
                  <w14:solidFill>
                    <w14:schemeClr w14:val="tx1"/>
                  </w14:solidFill>
                </w14:textFill>
              </w:rPr>
              <w:t>业务运营</w:t>
            </w:r>
            <w:r>
              <w:rPr>
                <w:color w:val="000000" w:themeColor="text1"/>
                <w:szCs w:val="21"/>
                <w:highlight w:val="none"/>
                <w14:textFill>
                  <w14:solidFill>
                    <w14:schemeClr w14:val="tx1"/>
                  </w14:solidFill>
                </w14:textFill>
              </w:rPr>
              <w:t>工作效率的有效建议，被采购人采纳</w:t>
            </w:r>
          </w:p>
        </w:tc>
        <w:tc>
          <w:tcPr>
            <w:tcW w:w="754" w:type="dxa"/>
            <w:tcBorders>
              <w:top w:val="single" w:color="auto" w:sz="4" w:space="0"/>
              <w:left w:val="nil"/>
              <w:bottom w:val="single" w:color="auto" w:sz="4" w:space="0"/>
              <w:right w:val="single" w:color="auto" w:sz="4" w:space="0"/>
            </w:tcBorders>
            <w:shd w:val="clear" w:color="auto" w:fill="auto"/>
            <w:vAlign w:val="center"/>
          </w:tcPr>
          <w:p>
            <w:pPr>
              <w:shd w:val="clear"/>
              <w:jc w:val="center"/>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color w:val="000000" w:themeColor="text1"/>
                <w:szCs w:val="21"/>
                <w:highlight w:val="none"/>
                <w14:textFill>
                  <w14:solidFill>
                    <w14:schemeClr w14:val="tx1"/>
                  </w14:solidFill>
                </w14:textFill>
              </w:rPr>
              <w:t>0</w:t>
            </w:r>
          </w:p>
        </w:tc>
        <w:tc>
          <w:tcPr>
            <w:tcW w:w="4785" w:type="dxa"/>
            <w:tcBorders>
              <w:top w:val="single" w:color="auto" w:sz="4" w:space="0"/>
              <w:left w:val="nil"/>
              <w:bottom w:val="single" w:color="auto" w:sz="4" w:space="0"/>
              <w:right w:val="single" w:color="auto" w:sz="4" w:space="0"/>
            </w:tcBorders>
            <w:shd w:val="clear" w:color="auto" w:fill="auto"/>
            <w:vAlign w:val="center"/>
          </w:tcPr>
          <w:p>
            <w:pPr>
              <w:shd w:val="clear"/>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每提出一个有效建议增加2分。</w:t>
            </w:r>
          </w:p>
          <w:p>
            <w:pPr>
              <w:shd w:val="clear"/>
              <w:jc w:val="left"/>
              <w:rPr>
                <w:rFonts w:asciiTheme="minorHAnsi" w:hAnsiTheme="minorHAnsi" w:eastAsiaTheme="minorEastAsia" w:cstheme="minorBidi"/>
                <w:color w:val="000000" w:themeColor="text1"/>
                <w:kern w:val="2"/>
                <w:sz w:val="21"/>
                <w:szCs w:val="21"/>
                <w:highlight w:val="none"/>
                <w:lang w:val="en-US" w:eastAsia="zh-CN" w:bidi="ar-SA"/>
                <w14:textFill>
                  <w14:solidFill>
                    <w14:schemeClr w14:val="tx1"/>
                  </w14:solidFill>
                </w14:textFill>
              </w:rPr>
            </w:pPr>
            <w:r>
              <w:rPr>
                <w:color w:val="000000" w:themeColor="text1"/>
                <w:szCs w:val="21"/>
                <w:highlight w:val="none"/>
                <w14:textFill>
                  <w14:solidFill>
                    <w14:schemeClr w14:val="tx1"/>
                  </w14:solidFill>
                </w14:textFill>
              </w:rPr>
              <w:t>本项为加分项，最高得10分。</w:t>
            </w:r>
          </w:p>
        </w:tc>
      </w:tr>
    </w:tbl>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本考核表适用年度考核，序号1-9总分为100分，序号10为加分项，按月记录扣分项。</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考核支付条款要求：</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（1）服务期内，年中考核和年度考核平均分在85分（含85分）以上时，视为考核合格，全额支付服务款。</w:t>
      </w:r>
    </w:p>
    <w:p>
      <w:pPr>
        <w:pStyle w:val="11"/>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（2）服务期内，年中考核和年度考核平均分低于85分时，视为考核不合格。如年度考核不合格者，扣除尾款的30%。</w:t>
      </w:r>
    </w:p>
    <w:p>
      <w:pPr>
        <w:pStyle w:val="11"/>
        <w:shd w:val="clear"/>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（3）服务期内，中标人未严格按照招标文件和合同约定的汛期值守要求提供驻场服务</w:t>
      </w:r>
      <w:r>
        <w:rPr>
          <w:rFonts w:hint="eastAsia"/>
          <w:color w:val="000000" w:themeColor="text1"/>
          <w:highlight w:val="none"/>
          <w:lang w:val="en-US" w:eastAsia="zh-CN"/>
          <w14:textFill>
            <w14:solidFill>
              <w14:schemeClr w14:val="tx1"/>
            </w14:solidFill>
          </w14:textFill>
        </w:rPr>
        <w:t>且</w:t>
      </w:r>
      <w:r>
        <w:rPr>
          <w:rFonts w:hint="eastAsia"/>
          <w:color w:val="000000" w:themeColor="text1"/>
          <w:highlight w:val="none"/>
          <w14:textFill>
            <w14:solidFill>
              <w14:schemeClr w14:val="tx1"/>
            </w14:solidFill>
          </w14:textFill>
        </w:rPr>
        <w:t>影响汛期保障工作的，汛期期间每出现1次迟到或早退值守的，需向采购人赔偿5,000元作为违约金，累计超过3次（不包含3次）后，每次需向采购人赔偿合同总价的1%作为违约金。因此造成采购人损失的，采购人有权进一步向乙方索赔。累计超过5次（不包含5次）的，</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有权解除合同。</w:t>
      </w:r>
    </w:p>
    <w:p>
      <w:pPr>
        <w:pStyle w:val="11"/>
        <w:shd w:val="clea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（4）服务期内，中标人未严格按照</w:t>
      </w:r>
      <w:r>
        <w:rPr>
          <w:rFonts w:hint="eastAsia"/>
          <w:color w:val="000000" w:themeColor="text1"/>
          <w:highlight w:val="none"/>
          <w:lang w:val="en-US" w:eastAsia="zh-CN"/>
          <w14:textFill>
            <w14:solidFill>
              <w14:schemeClr w14:val="tx1"/>
            </w14:solidFill>
          </w14:textFill>
        </w:rPr>
        <w:t>招标文件</w:t>
      </w:r>
      <w:r>
        <w:rPr>
          <w:rFonts w:hint="eastAsia"/>
          <w:color w:val="000000" w:themeColor="text1"/>
          <w:highlight w:val="none"/>
          <w14:textFill>
            <w14:solidFill>
              <w14:schemeClr w14:val="tx1"/>
            </w14:solidFill>
          </w14:textFill>
        </w:rPr>
        <w:t>和合同约定的服务标准要求提交服务成果的，采购人有权发出《整改通知单》，累计超过3次（不包含3次），中标人需向采购人赔偿合同总价的1%作为违约金。累计超过5次（不包含5次）的，</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有权解除合同。</w:t>
      </w:r>
    </w:p>
    <w:p>
      <w:pPr>
        <w:pStyle w:val="3"/>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验收流程</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一、中标人自查</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中标人严格按照合同或双方的约定进行自查，确认所有服务成果已达到约定的验收要求，确保验收文档齐全；</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二、中标人提出验收申请</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中标人向采购人提交验收申请、服务成果及验收文档，原则上中标人应在完成合同或双方的约定的服务后1个月内提出验收申请。</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三、监理单位审核确认</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监理单位审核中标人提交的验收申请和验收文档，形成监理意见后提交至采购人。</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四、组织验收评审</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采购人在批复同意中标人提出的验收申请后，组织成立验收小组进行验收评审。验收评审采取会议评审形式。</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评审通过准则如下：</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a）服务提供方已按合同或双方的约定完成服务内容；</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b）服务成果满足项目预期目标及验收要求；</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c）验收文档通过验收审查；</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d）服务成果、验收文档不存在其他风险点问题。</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评审的具体程序如下：</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a）验收组织审查服务成果、验收文档；</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b）根据评审通过准则，验收组织就被验收项目是否通过验收评审进行表决；</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c）根据表决情况，作出评审结论。评审结论分为【评审通过】：验收组织成员一半以上同意通过验收评审；【评审不通过】：验收组织成员未能一半以上同意通过验收评审。</w:t>
      </w:r>
    </w:p>
    <w:p>
      <w:pPr>
        <w:pStyle w:val="3"/>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其他要求</w:t>
      </w:r>
    </w:p>
    <w:p>
      <w:pPr>
        <w:pStyle w:val="4"/>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保密要求</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（1）中标人应签订保密协议，对其因身份、职务、职业或技术关系而知悉的采购人商业秘密和党政机关保密信息应严格保守，保证不被披露或使用，包括意外或过失。</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中标人不得以竞争为目的、或出于私利、或为第三人谋利而擅自保存、披露、使用采购人商业秘密和党政机关保密信息；不得直接或间接地向无关人员泄露采购人的商业秘密和党政机关保密信息；不得向不承担保密义务的任何第三人披露采购人的商业秘密和党政机关保密信息。供应商在从事政府项目时，不得擅自记录、复制、拍摄、摘抄、收藏在工作中涉及的保密信息，严禁将涉及政府项目的任何资料、数据透露或以其他方式提供给项目以外的其他方或供应商内部与该项目无关的任何人员。</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中标人对于工作期间知悉采购人的商业秘密和党政机关保密信息（包括业务信息在内）或工作过程中接触到的政府机关文件（包括内部发文、各类通知及会议记录等）的内容，同样承担保密责任，严禁将政府机关内部会议、谈话内容泄露给无关人员；不得翻阅与工作无关的文件和资料。</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（4）严禁泄露在工作中接触到的政府机关科技研究、发明、装备器材及其技术资料和政府工作信息。</w:t>
      </w:r>
    </w:p>
    <w:p>
      <w:pPr>
        <w:pStyle w:val="4"/>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监理要求</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供应商须承诺，在项目开展过程中接受采购人指定的监理机构的监理。</w:t>
      </w:r>
    </w:p>
    <w:p>
      <w:pPr>
        <w:pStyle w:val="4"/>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后勤保障</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中标人必须提供服务人员在市水务局饭堂办公时间用餐（包括早餐及午餐）的管理费用。</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中标人需提供服务人员服务所需的办公用品，办公用品包括但不限于：提供服务台服务所使用的电脑，桌面设备数据临时备份的移动硬盘、打印设备及其耗材、值班用品、维护工具、饮水机、桶装水等。</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中标人应妥善解决服务人员上下班交通问题。中标人按需提供人员人身安全保险。</w:t>
      </w:r>
    </w:p>
    <w:p>
      <w:pPr>
        <w:pStyle w:val="2"/>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付款方式</w:t>
      </w:r>
    </w:p>
    <w:p>
      <w:pPr>
        <w:pStyle w:val="10"/>
        <w:shd w:val="clea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合同价款按以下方式支付：</w:t>
      </w:r>
    </w:p>
    <w:p>
      <w:pPr>
        <w:pStyle w:val="12"/>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（一）</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lang w:val="en-US" w:eastAsia="zh-CN"/>
          <w14:textFill>
            <w14:solidFill>
              <w14:schemeClr w14:val="tx1"/>
            </w14:solidFill>
          </w14:textFill>
        </w:rPr>
        <w:t>首笔款</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14:textFill>
            <w14:solidFill>
              <w14:schemeClr w14:val="tx1"/>
            </w14:solidFill>
          </w14:textFill>
        </w:rPr>
        <w:t>合同签订后，</w:t>
      </w:r>
      <w:r>
        <w:rPr>
          <w:rFonts w:hint="eastAsia" w:ascii="宋体" w:hAnsi="宋体" w:cs="宋体"/>
          <w:color w:val="000000" w:themeColor="text1"/>
          <w:sz w:val="24"/>
          <w:szCs w:val="24"/>
          <w:highlight w:val="none"/>
          <w:lang w:val="en-US" w:eastAsia="zh-CN"/>
          <w14:textFill>
            <w14:solidFill>
              <w14:schemeClr w14:val="tx1"/>
            </w14:solidFill>
          </w14:textFill>
        </w:rPr>
        <w:t>采购人</w:t>
      </w:r>
      <w:r>
        <w:rPr>
          <w:rFonts w:hint="eastAsia" w:ascii="宋体" w:hAnsi="宋体" w:eastAsia="宋体" w:cs="宋体"/>
          <w:color w:val="000000" w:themeColor="text1"/>
          <w:sz w:val="24"/>
          <w:szCs w:val="24"/>
          <w:highlight w:val="none"/>
          <w14:textFill>
            <w14:solidFill>
              <w14:schemeClr w14:val="tx1"/>
            </w14:solidFill>
          </w14:textFill>
        </w:rPr>
        <w:t>在5个工作日内支付合同金额</w:t>
      </w:r>
      <w:r>
        <w:rPr>
          <w:rFonts w:hint="eastAsia" w:ascii="宋体" w:hAnsi="宋体" w:eastAsia="宋体" w:cs="宋体"/>
          <w:color w:val="000000" w:themeColor="text1"/>
          <w:sz w:val="24"/>
          <w:szCs w:val="24"/>
          <w:highlight w:val="none"/>
          <w:lang w:val="en-US" w:eastAsia="zh-CN"/>
          <w14:textFill>
            <w14:solidFill>
              <w14:schemeClr w14:val="tx1"/>
            </w14:solidFill>
          </w14:textFill>
        </w:rPr>
        <w:t>的</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0%作为</w:t>
      </w:r>
      <w:r>
        <w:rPr>
          <w:rFonts w:hint="eastAsia" w:ascii="宋体" w:hAnsi="宋体" w:cs="宋体"/>
          <w:color w:val="000000" w:themeColor="text1"/>
          <w:sz w:val="24"/>
          <w:szCs w:val="24"/>
          <w:highlight w:val="none"/>
          <w:lang w:val="en-US" w:eastAsia="zh-CN"/>
          <w14:textFill>
            <w14:solidFill>
              <w14:schemeClr w14:val="tx1"/>
            </w14:solidFill>
          </w14:textFill>
        </w:rPr>
        <w:t>首笔</w:t>
      </w:r>
      <w:r>
        <w:rPr>
          <w:rFonts w:hint="eastAsia" w:ascii="宋体" w:hAnsi="宋体" w:eastAsia="宋体" w:cs="宋体"/>
          <w:color w:val="000000" w:themeColor="text1"/>
          <w:sz w:val="24"/>
          <w:szCs w:val="24"/>
          <w:highlight w:val="none"/>
          <w14:textFill>
            <w14:solidFill>
              <w14:schemeClr w14:val="tx1"/>
            </w14:solidFill>
          </w14:textFill>
        </w:rPr>
        <w:t>款</w:t>
      </w:r>
      <w:r>
        <w:rPr>
          <w:rFonts w:hint="eastAsia" w:ascii="宋体" w:hAnsi="宋体" w:cs="Arial"/>
          <w:color w:val="000000" w:themeColor="text1"/>
          <w:sz w:val="24"/>
          <w:szCs w:val="24"/>
          <w:highlight w:val="none"/>
          <w14:textFill>
            <w14:solidFill>
              <w14:schemeClr w14:val="tx1"/>
            </w14:solidFill>
          </w14:textFill>
        </w:rPr>
        <w:t>；</w:t>
      </w:r>
    </w:p>
    <w:p>
      <w:pPr>
        <w:pStyle w:val="12"/>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（二）</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lang w:val="en-US" w:eastAsia="zh-CN"/>
          <w14:textFill>
            <w14:solidFill>
              <w14:schemeClr w14:val="tx1"/>
            </w14:solidFill>
          </w14:textFill>
        </w:rPr>
        <w:t>进度款</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14:textFill>
            <w14:solidFill>
              <w14:schemeClr w14:val="tx1"/>
            </w14:solidFill>
          </w14:textFill>
        </w:rPr>
        <w:t>服务期满9个月且完成相应服务工作（以服务期启动后每月提供的经甲方及监理方确认的运</w:t>
      </w:r>
      <w:r>
        <w:rPr>
          <w:rFonts w:hint="eastAsia" w:ascii="宋体" w:hAnsi="宋体" w:cs="Arial"/>
          <w:color w:val="000000" w:themeColor="text1"/>
          <w:sz w:val="24"/>
          <w:szCs w:val="24"/>
          <w:highlight w:val="none"/>
          <w:lang w:val="en-US" w:eastAsia="zh-CN"/>
          <w14:textFill>
            <w14:solidFill>
              <w14:schemeClr w14:val="tx1"/>
            </w14:solidFill>
          </w14:textFill>
        </w:rPr>
        <w:t>营</w:t>
      </w:r>
      <w:r>
        <w:rPr>
          <w:rFonts w:hint="eastAsia" w:ascii="宋体" w:hAnsi="宋体" w:cs="Arial"/>
          <w:color w:val="000000" w:themeColor="text1"/>
          <w:sz w:val="24"/>
          <w:szCs w:val="24"/>
          <w:highlight w:val="none"/>
          <w14:textFill>
            <w14:solidFill>
              <w14:schemeClr w14:val="tx1"/>
            </w14:solidFill>
          </w14:textFill>
        </w:rPr>
        <w:t>工作月报为准），并在</w:t>
      </w:r>
      <w:r>
        <w:rPr>
          <w:rFonts w:hint="eastAsia" w:ascii="宋体" w:hAnsi="宋体" w:cs="Arial"/>
          <w:color w:val="000000" w:themeColor="text1"/>
          <w:sz w:val="24"/>
          <w:szCs w:val="24"/>
          <w:highlight w:val="none"/>
          <w:lang w:val="en-US" w:eastAsia="zh-CN"/>
          <w14:textFill>
            <w14:solidFill>
              <w14:schemeClr w14:val="tx1"/>
            </w14:solidFill>
          </w14:textFill>
        </w:rPr>
        <w:t>采购人</w:t>
      </w:r>
      <w:r>
        <w:rPr>
          <w:rFonts w:hint="eastAsia" w:ascii="宋体" w:hAnsi="宋体" w:cs="Arial"/>
          <w:color w:val="000000" w:themeColor="text1"/>
          <w:sz w:val="24"/>
          <w:szCs w:val="24"/>
          <w:highlight w:val="none"/>
          <w14:textFill>
            <w14:solidFill>
              <w14:schemeClr w14:val="tx1"/>
            </w14:solidFill>
          </w14:textFill>
        </w:rPr>
        <w:t>相关财政预算下达后，在5个工作日内支付合同</w:t>
      </w:r>
      <w:r>
        <w:rPr>
          <w:rFonts w:hint="eastAsia" w:ascii="宋体" w:hAnsi="宋体" w:cs="Arial"/>
          <w:color w:val="000000" w:themeColor="text1"/>
          <w:sz w:val="24"/>
          <w:szCs w:val="24"/>
          <w:highlight w:val="none"/>
          <w:lang w:val="en-US" w:eastAsia="zh-CN"/>
          <w14:textFill>
            <w14:solidFill>
              <w14:schemeClr w14:val="tx1"/>
            </w14:solidFill>
          </w14:textFill>
        </w:rPr>
        <w:t>金额的60%作为进度款</w:t>
      </w:r>
      <w:r>
        <w:rPr>
          <w:rFonts w:hint="eastAsia" w:ascii="宋体" w:hAnsi="宋体" w:cs="Arial"/>
          <w:color w:val="000000" w:themeColor="text1"/>
          <w:sz w:val="24"/>
          <w:szCs w:val="24"/>
          <w:highlight w:val="none"/>
          <w14:textFill>
            <w14:solidFill>
              <w14:schemeClr w14:val="tx1"/>
            </w14:solidFill>
          </w14:textFill>
        </w:rPr>
        <w:t>；</w:t>
      </w:r>
    </w:p>
    <w:p>
      <w:pPr>
        <w:pStyle w:val="10"/>
        <w:shd w:val="clear"/>
        <w:ind w:firstLine="480"/>
        <w:rPr>
          <w:color w:val="000000" w:themeColor="text1"/>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（三）</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lang w:val="en-US" w:eastAsia="zh-CN"/>
          <w14:textFill>
            <w14:solidFill>
              <w14:schemeClr w14:val="tx1"/>
            </w14:solidFill>
          </w14:textFill>
        </w:rPr>
        <w:t>验收款</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14:textFill>
            <w14:solidFill>
              <w14:schemeClr w14:val="tx1"/>
            </w14:solidFill>
          </w14:textFill>
        </w:rPr>
        <w:t>服务期结束并通过合同验收后，且根据年中考核和年度考核平均分结果，年中考核和年度考核</w:t>
      </w:r>
      <w:r>
        <w:rPr>
          <w:rFonts w:hint="eastAsia" w:ascii="宋体" w:hAnsi="宋体"/>
          <w:color w:val="000000" w:themeColor="text1"/>
          <w:sz w:val="24"/>
          <w:szCs w:val="24"/>
          <w:highlight w:val="none"/>
          <w14:textFill>
            <w14:solidFill>
              <w14:schemeClr w14:val="tx1"/>
            </w14:solidFill>
          </w14:textFill>
        </w:rPr>
        <w:t>平均分大于85分时，在</w:t>
      </w:r>
      <w:r>
        <w:rPr>
          <w:rFonts w:hint="eastAsia" w:ascii="宋体" w:hAnsi="宋体"/>
          <w:color w:val="000000" w:themeColor="text1"/>
          <w:sz w:val="24"/>
          <w:szCs w:val="24"/>
          <w:highlight w:val="none"/>
          <w:lang w:val="en-US" w:eastAsia="zh-CN"/>
          <w14:textFill>
            <w14:solidFill>
              <w14:schemeClr w14:val="tx1"/>
            </w14:solidFill>
          </w14:textFill>
        </w:rPr>
        <w:t>采购人</w:t>
      </w:r>
      <w:r>
        <w:rPr>
          <w:rFonts w:hint="eastAsia" w:ascii="宋体" w:hAnsi="宋体"/>
          <w:color w:val="000000" w:themeColor="text1"/>
          <w:sz w:val="24"/>
          <w:szCs w:val="24"/>
          <w:highlight w:val="none"/>
          <w14:textFill>
            <w14:solidFill>
              <w14:schemeClr w14:val="tx1"/>
            </w14:solidFill>
          </w14:textFill>
        </w:rPr>
        <w:t>相关财政预算下达后，在5个工作日内</w:t>
      </w:r>
      <w:r>
        <w:rPr>
          <w:rFonts w:hint="eastAsia" w:ascii="宋体" w:hAnsi="宋体"/>
          <w:color w:val="000000" w:themeColor="text1"/>
          <w:sz w:val="24"/>
          <w:szCs w:val="24"/>
          <w:highlight w:val="none"/>
          <w:lang w:val="en-US" w:eastAsia="zh-CN"/>
          <w14:textFill>
            <w14:solidFill>
              <w14:schemeClr w14:val="tx1"/>
            </w14:solidFill>
          </w14:textFill>
        </w:rPr>
        <w:t>支付</w:t>
      </w:r>
      <w:r>
        <w:rPr>
          <w:rFonts w:hint="eastAsia" w:ascii="宋体" w:hAnsi="宋体"/>
          <w:color w:val="000000" w:themeColor="text1"/>
          <w:sz w:val="24"/>
          <w:szCs w:val="24"/>
          <w:highlight w:val="none"/>
          <w14:textFill>
            <w14:solidFill>
              <w14:schemeClr w14:val="tx1"/>
            </w14:solidFill>
          </w14:textFill>
        </w:rPr>
        <w:t>合同</w:t>
      </w:r>
      <w:r>
        <w:rPr>
          <w:rFonts w:hint="eastAsia" w:ascii="宋体" w:hAnsi="宋体" w:cs="Arial"/>
          <w:color w:val="000000" w:themeColor="text1"/>
          <w:sz w:val="24"/>
          <w:szCs w:val="24"/>
          <w:highlight w:val="none"/>
          <w:lang w:val="en-US" w:eastAsia="zh-CN"/>
          <w14:textFill>
            <w14:solidFill>
              <w14:schemeClr w14:val="tx1"/>
            </w14:solidFill>
          </w14:textFill>
        </w:rPr>
        <w:t>金额的10%作为</w:t>
      </w:r>
      <w:r>
        <w:rPr>
          <w:rFonts w:hint="eastAsia" w:ascii="宋体" w:hAnsi="宋体"/>
          <w:color w:val="000000" w:themeColor="text1"/>
          <w:sz w:val="24"/>
          <w:szCs w:val="24"/>
          <w:highlight w:val="none"/>
          <w:lang w:val="en-US" w:eastAsia="zh-CN"/>
          <w14:textFill>
            <w14:solidFill>
              <w14:schemeClr w14:val="tx1"/>
            </w14:solidFill>
          </w14:textFill>
        </w:rPr>
        <w:t>验收款</w:t>
      </w:r>
      <w:r>
        <w:rPr>
          <w:rFonts w:hint="eastAsia"/>
          <w:color w:val="000000" w:themeColor="text1"/>
          <w:highlight w:val="none"/>
          <w14:textFill>
            <w14:solidFill>
              <w14:schemeClr w14:val="tx1"/>
            </w14:solidFill>
          </w14:textFill>
        </w:rPr>
        <w:t>。</w:t>
      </w:r>
    </w:p>
    <w:p>
      <w:bookmarkStart w:id="15" w:name="_GoBack"/>
      <w:bookmarkEnd w:id="1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126237"/>
    <w:multiLevelType w:val="multilevel"/>
    <w:tmpl w:val="1E126237"/>
    <w:lvl w:ilvl="0" w:tentative="0">
      <w:start w:val="1"/>
      <w:numFmt w:val="chineseCountingThousand"/>
      <w:lvlText w:val="(%1)"/>
      <w:lvlJc w:val="left"/>
      <w:pPr>
        <w:ind w:left="922" w:hanging="440"/>
      </w:p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1">
    <w:nsid w:val="695536C7"/>
    <w:multiLevelType w:val="multilevel"/>
    <w:tmpl w:val="695536C7"/>
    <w:lvl w:ilvl="0" w:tentative="0">
      <w:start w:val="1"/>
      <w:numFmt w:val="chineseCountingThousand"/>
      <w:pStyle w:val="2"/>
      <w:suff w:val="nothing"/>
      <w:lvlText w:val="%1、"/>
      <w:lvlJc w:val="left"/>
      <w:pPr>
        <w:ind w:left="0" w:firstLine="0"/>
      </w:pPr>
      <w:rPr>
        <w:rFonts w:hint="eastAsia" w:ascii="黑体" w:eastAsia="黑体"/>
        <w:sz w:val="24"/>
        <w:szCs w:val="32"/>
      </w:rPr>
    </w:lvl>
    <w:lvl w:ilvl="1" w:tentative="0">
      <w:start w:val="1"/>
      <w:numFmt w:val="decimal"/>
      <w:pStyle w:val="3"/>
      <w:isLgl/>
      <w:lvlText w:val="%1.%2"/>
      <w:lvlJc w:val="left"/>
      <w:pPr>
        <w:tabs>
          <w:tab w:val="left" w:pos="0"/>
        </w:tabs>
        <w:ind w:left="0" w:firstLine="0"/>
      </w:pPr>
      <w:rPr>
        <w:rFonts w:hint="default" w:ascii="Times New Roman" w:hAnsi="Times New Roman" w:eastAsia="黑体"/>
        <w:b/>
        <w:i w:val="0"/>
        <w:sz w:val="24"/>
        <w:szCs w:val="24"/>
      </w:rPr>
    </w:lvl>
    <w:lvl w:ilvl="2" w:tentative="0">
      <w:start w:val="1"/>
      <w:numFmt w:val="decimal"/>
      <w:pStyle w:val="4"/>
      <w:isLgl/>
      <w:lvlText w:val="%1.%2.%3"/>
      <w:lvlJc w:val="left"/>
      <w:pPr>
        <w:tabs>
          <w:tab w:val="left" w:pos="432"/>
        </w:tabs>
        <w:ind w:left="0" w:firstLine="0"/>
      </w:pPr>
      <w:rPr>
        <w:rFonts w:hint="default" w:ascii="Times New Roman" w:hAnsi="Times New Roman" w:eastAsia="黑体" w:cs="Times New Roman"/>
        <w:b/>
        <w:bCs w:val="0"/>
      </w:rPr>
    </w:lvl>
    <w:lvl w:ilvl="3" w:tentative="0">
      <w:start w:val="1"/>
      <w:numFmt w:val="decimal"/>
      <w:pStyle w:val="5"/>
      <w:isLgl/>
      <w:lvlText w:val="%1.%2.%3.%4"/>
      <w:lvlJc w:val="left"/>
      <w:pPr>
        <w:tabs>
          <w:tab w:val="left" w:pos="432"/>
        </w:tabs>
        <w:ind w:left="0" w:firstLine="0"/>
      </w:pPr>
      <w:rPr>
        <w:rFonts w:hint="default" w:ascii="Times New Roman" w:hAnsi="Times New Roman" w:eastAsia="黑体" w:cs="Times New Roman"/>
      </w:rPr>
    </w:lvl>
    <w:lvl w:ilvl="4" w:tentative="0">
      <w:start w:val="1"/>
      <w:numFmt w:val="decimal"/>
      <w:pStyle w:val="6"/>
      <w:isLgl/>
      <w:lvlText w:val="%1.%2.%3.%4.%5"/>
      <w:lvlJc w:val="left"/>
      <w:pPr>
        <w:tabs>
          <w:tab w:val="left" w:pos="0"/>
        </w:tabs>
        <w:ind w:left="0" w:firstLine="0"/>
      </w:pPr>
      <w:rPr>
        <w:rFonts w:hint="default" w:ascii="Times New Roman" w:hAnsi="Times New Roman" w:eastAsia="黑体" w:cs="Times New Roman"/>
        <w:sz w:val="24"/>
        <w:szCs w:val="24"/>
      </w:rPr>
    </w:lvl>
    <w:lvl w:ilvl="5" w:tentative="0">
      <w:start w:val="1"/>
      <w:numFmt w:val="decimal"/>
      <w:isLgl/>
      <w:lvlText w:val="%1.%2.%3.%4.%5.%6"/>
      <w:lvlJc w:val="left"/>
      <w:pPr>
        <w:tabs>
          <w:tab w:val="left" w:pos="432"/>
        </w:tabs>
        <w:ind w:left="0" w:firstLine="0"/>
      </w:pPr>
      <w:rPr>
        <w:rFonts w:hint="default" w:ascii="Times New Roman" w:hAnsi="Times New Roman" w:eastAsia="黑体" w:cs="Times New Roman"/>
        <w:b/>
        <w:bCs/>
        <w:i w:val="0"/>
        <w:iCs w:val="0"/>
        <w:caps w:val="0"/>
        <w:smallCaps w:val="0"/>
        <w:strike w:val="0"/>
        <w:dstrike w:val="0"/>
        <w:vanish w:val="0"/>
        <w:color w:val="000000"/>
        <w:spacing w:val="0"/>
        <w:position w:val="0"/>
        <w:u w:val="none"/>
        <w:vertAlign w:val="baseline"/>
      </w:rPr>
    </w:lvl>
    <w:lvl w:ilvl="6" w:tentative="0">
      <w:start w:val="1"/>
      <w:numFmt w:val="decimal"/>
      <w:isLgl/>
      <w:lvlText w:val="%1.%2.%3.%4.%5.%6.%7"/>
      <w:lvlJc w:val="left"/>
      <w:pPr>
        <w:tabs>
          <w:tab w:val="left" w:pos="432"/>
        </w:tabs>
        <w:ind w:left="0" w:firstLine="0"/>
      </w:pPr>
      <w:rPr>
        <w:rFonts w:hint="eastAsia" w:ascii="黑体" w:eastAsia="黑体"/>
      </w:rPr>
    </w:lvl>
    <w:lvl w:ilvl="7" w:tentative="0">
      <w:start w:val="1"/>
      <w:numFmt w:val="decimal"/>
      <w:isLgl/>
      <w:lvlText w:val="%1.%2.%3.%4.%5.%6.%7.%8"/>
      <w:lvlJc w:val="left"/>
      <w:pPr>
        <w:tabs>
          <w:tab w:val="left" w:pos="432"/>
        </w:tabs>
        <w:ind w:left="0" w:firstLine="0"/>
      </w:pPr>
      <w:rPr>
        <w:rFonts w:hint="eastAsia"/>
      </w:rPr>
    </w:lvl>
    <w:lvl w:ilvl="8" w:tentative="0">
      <w:start w:val="1"/>
      <w:numFmt w:val="decimal"/>
      <w:lvlText w:val="1.%2.%3.%4.%5.%6.%7.%8.%9"/>
      <w:lvlJc w:val="left"/>
      <w:pPr>
        <w:tabs>
          <w:tab w:val="left" w:pos="432"/>
        </w:tabs>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NDdmY2I0MDllODZmZjA2YmQ3OGRiMTNlNmUwY2YifQ=="/>
  </w:docVars>
  <w:rsids>
    <w:rsidRoot w:val="7CA52327"/>
    <w:rsid w:val="7CA523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outlineLvl w:val="0"/>
    </w:pPr>
    <w:rPr>
      <w:rFonts w:ascii="Times New Roman" w:hAnsi="Times New Roman" w:eastAsia="宋体"/>
      <w:b/>
      <w:bCs/>
      <w:kern w:val="44"/>
      <w:sz w:val="24"/>
      <w:szCs w:val="44"/>
    </w:rPr>
  </w:style>
  <w:style w:type="paragraph" w:styleId="3">
    <w:name w:val="heading 2"/>
    <w:basedOn w:val="1"/>
    <w:next w:val="1"/>
    <w:unhideWhenUsed/>
    <w:qFormat/>
    <w:uiPriority w:val="0"/>
    <w:pPr>
      <w:keepNext/>
      <w:keepLines/>
      <w:numPr>
        <w:ilvl w:val="1"/>
        <w:numId w:val="1"/>
      </w:numPr>
      <w:outlineLvl w:val="1"/>
    </w:pPr>
    <w:rPr>
      <w:rFonts w:ascii="Times New Roman" w:hAnsi="Times New Roman" w:eastAsia="宋体" w:cstheme="majorBidi"/>
      <w:b/>
      <w:bCs/>
      <w:sz w:val="24"/>
      <w:szCs w:val="32"/>
    </w:rPr>
  </w:style>
  <w:style w:type="paragraph" w:styleId="4">
    <w:name w:val="heading 3"/>
    <w:basedOn w:val="1"/>
    <w:next w:val="1"/>
    <w:qFormat/>
    <w:uiPriority w:val="0"/>
    <w:pPr>
      <w:keepNext/>
      <w:keepLines/>
      <w:numPr>
        <w:ilvl w:val="2"/>
        <w:numId w:val="1"/>
      </w:numPr>
      <w:outlineLvl w:val="2"/>
    </w:pPr>
    <w:rPr>
      <w:rFonts w:ascii="Times New Roman" w:hAnsi="Times New Roman" w:eastAsia="宋体"/>
      <w:b/>
      <w:bCs/>
      <w:sz w:val="24"/>
      <w:szCs w:val="32"/>
    </w:rPr>
  </w:style>
  <w:style w:type="paragraph" w:styleId="5">
    <w:name w:val="heading 4"/>
    <w:basedOn w:val="1"/>
    <w:next w:val="1"/>
    <w:qFormat/>
    <w:uiPriority w:val="0"/>
    <w:pPr>
      <w:keepNext/>
      <w:keepLines/>
      <w:numPr>
        <w:ilvl w:val="3"/>
        <w:numId w:val="1"/>
      </w:numPr>
      <w:outlineLvl w:val="3"/>
    </w:pPr>
    <w:rPr>
      <w:rFonts w:ascii="Times New Roman" w:hAnsi="Times New Roman" w:eastAsia="宋体" w:cs="仿宋_GB2312"/>
      <w:b/>
      <w:bCs/>
      <w:sz w:val="24"/>
    </w:rPr>
  </w:style>
  <w:style w:type="paragraph" w:styleId="6">
    <w:name w:val="heading 5"/>
    <w:basedOn w:val="1"/>
    <w:next w:val="1"/>
    <w:unhideWhenUsed/>
    <w:qFormat/>
    <w:uiPriority w:val="0"/>
    <w:pPr>
      <w:keepNext/>
      <w:keepLines/>
      <w:numPr>
        <w:ilvl w:val="4"/>
        <w:numId w:val="1"/>
      </w:numPr>
      <w:outlineLvl w:val="4"/>
    </w:pPr>
    <w:rPr>
      <w:rFonts w:ascii="Times New Roman" w:hAnsi="Times New Roman" w:eastAsia="宋体"/>
      <w:b/>
      <w:bCs/>
      <w:sz w:val="24"/>
      <w:szCs w:val="28"/>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customStyle="1" w:styleId="9">
    <w:name w:val="null3"/>
    <w:hidden/>
    <w:qFormat/>
    <w:uiPriority w:val="0"/>
    <w:rPr>
      <w:rFonts w:hint="eastAsia" w:asciiTheme="minorHAnsi" w:hAnsiTheme="minorHAnsi" w:eastAsiaTheme="minorEastAsia" w:cstheme="minorBidi"/>
      <w:lang w:val="en-US" w:eastAsia="zh-Hans"/>
    </w:rPr>
  </w:style>
  <w:style w:type="paragraph" w:customStyle="1" w:styleId="10">
    <w:name w:val="正文_1"/>
    <w:qFormat/>
    <w:uiPriority w:val="0"/>
    <w:pPr>
      <w:widowControl w:val="0"/>
      <w:spacing w:line="360" w:lineRule="auto"/>
      <w:ind w:firstLine="482" w:firstLineChars="200"/>
      <w:jc w:val="both"/>
    </w:pPr>
    <w:rPr>
      <w:rFonts w:ascii="Times New Roman" w:hAnsi="Times New Roman" w:eastAsia="宋体" w:cs="Times New Roman"/>
      <w:kern w:val="2"/>
      <w:sz w:val="24"/>
      <w:szCs w:val="22"/>
      <w:lang w:val="en-US" w:eastAsia="zh-CN" w:bidi="ar-SA"/>
    </w:rPr>
  </w:style>
  <w:style w:type="paragraph" w:customStyle="1" w:styleId="11">
    <w:name w:val="正文首行2字符"/>
    <w:basedOn w:val="1"/>
    <w:qFormat/>
    <w:uiPriority w:val="0"/>
    <w:pPr>
      <w:spacing w:line="360" w:lineRule="auto"/>
      <w:ind w:firstLine="480" w:firstLineChars="200"/>
    </w:pPr>
    <w:rPr>
      <w:rFonts w:ascii="Times New Roman" w:hAnsi="Times New Roman" w:eastAsia="宋体" w:cs="Times New Roman"/>
      <w:sz w:val="24"/>
    </w:rPr>
  </w:style>
  <w:style w:type="paragraph" w:customStyle="1" w:styleId="12">
    <w:name w:val="正文_2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2026-04-20T03:50:00Z</dcterms:created>
  <dc:creator>梁浩华</dc:creator>
  <cp:lastModifiedBy>梁浩华</cp:lastModifiedBy>
  <dcterms:modified xsi:type="dcterms:W3CDTF">2026-04-20T03:51:06Z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657E82CA62B54D339E1ACDAB4D205849_11</vt:lpwstr>
  </property>
</Properties>
</file>