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采购项目预（概）算</w:t>
      </w:r>
    </w:p>
    <w:p>
      <w:r>
        <w:rPr>
          <w:rFonts w:hint="eastAsia"/>
        </w:rPr>
        <w:t>预算：</w:t>
      </w:r>
      <w:r>
        <w:rPr>
          <w:rFonts w:hint="eastAsia"/>
          <w:lang w:val="en-US" w:eastAsia="zh-CN"/>
        </w:rPr>
        <w:t>32</w:t>
      </w:r>
      <w:r>
        <w:rPr>
          <w:rFonts w:hint="eastAsia"/>
        </w:rPr>
        <w:t>万元</w:t>
      </w:r>
    </w:p>
    <w:p>
      <w:r>
        <w:rPr>
          <w:rFonts w:hint="eastAsia"/>
        </w:rPr>
        <w:t>（1）技术要求</w:t>
      </w:r>
    </w:p>
    <w:tbl>
      <w:tblPr>
        <w:tblStyle w:val="7"/>
        <w:tblpPr w:leftFromText="180" w:rightFromText="180" w:vertAnchor="text" w:horzAnchor="page" w:tblpX="1245" w:tblpY="372"/>
        <w:tblOverlap w:val="never"/>
        <w:tblW w:w="5569" w:type="pct"/>
        <w:tblInd w:w="0" w:type="dxa"/>
        <w:tblLayout w:type="fixed"/>
        <w:tblCellMar>
          <w:top w:w="0" w:type="dxa"/>
          <w:left w:w="108" w:type="dxa"/>
          <w:bottom w:w="0" w:type="dxa"/>
          <w:right w:w="108" w:type="dxa"/>
        </w:tblCellMar>
      </w:tblPr>
      <w:tblGrid>
        <w:gridCol w:w="567"/>
        <w:gridCol w:w="1430"/>
        <w:gridCol w:w="6654"/>
        <w:gridCol w:w="425"/>
        <w:gridCol w:w="416"/>
      </w:tblGrid>
      <w:tr>
        <w:tblPrEx>
          <w:tblCellMar>
            <w:top w:w="0" w:type="dxa"/>
            <w:left w:w="108" w:type="dxa"/>
            <w:bottom w:w="0" w:type="dxa"/>
            <w:right w:w="108" w:type="dxa"/>
          </w:tblCellMar>
        </w:tblPrEx>
        <w:trPr>
          <w:trHeight w:val="1266" w:hRule="atLeast"/>
        </w:trPr>
        <w:tc>
          <w:tcPr>
            <w:tcW w:w="298" w:type="pct"/>
            <w:tcBorders>
              <w:top w:val="single" w:color="auto" w:sz="4" w:space="0"/>
              <w:left w:val="single" w:color="auto" w:sz="4" w:space="0"/>
              <w:bottom w:val="single" w:color="auto" w:sz="4" w:space="0"/>
              <w:right w:val="single" w:color="000000" w:sz="4" w:space="0"/>
            </w:tcBorders>
            <w:shd w:val="clear" w:color="auto" w:fill="D9D9D9"/>
            <w:noWrap/>
            <w:vAlign w:val="center"/>
          </w:tcPr>
          <w:p>
            <w:pPr>
              <w:rPr>
                <w:szCs w:val="21"/>
              </w:rPr>
            </w:pPr>
            <w:r>
              <w:rPr>
                <w:rFonts w:hint="eastAsia"/>
              </w:rPr>
              <w:t>序号</w:t>
            </w:r>
          </w:p>
        </w:tc>
        <w:tc>
          <w:tcPr>
            <w:tcW w:w="753" w:type="pct"/>
            <w:tcBorders>
              <w:top w:val="single" w:color="auto" w:sz="4" w:space="0"/>
              <w:left w:val="nil"/>
              <w:bottom w:val="single" w:color="auto" w:sz="4" w:space="0"/>
              <w:right w:val="single" w:color="000000" w:sz="4" w:space="0"/>
            </w:tcBorders>
            <w:shd w:val="clear" w:color="auto" w:fill="D9D9D9"/>
            <w:noWrap/>
            <w:vAlign w:val="center"/>
          </w:tcPr>
          <w:p>
            <w:r>
              <w:rPr>
                <w:rFonts w:hint="eastAsia"/>
              </w:rPr>
              <w:t xml:space="preserve">货物名称 </w:t>
            </w:r>
          </w:p>
        </w:tc>
        <w:tc>
          <w:tcPr>
            <w:tcW w:w="3505" w:type="pct"/>
            <w:tcBorders>
              <w:top w:val="single" w:color="auto" w:sz="4" w:space="0"/>
              <w:left w:val="nil"/>
              <w:bottom w:val="single" w:color="auto" w:sz="4" w:space="0"/>
              <w:right w:val="single" w:color="000000" w:sz="4" w:space="0"/>
            </w:tcBorders>
            <w:shd w:val="clear" w:color="auto" w:fill="D9D9D9"/>
            <w:noWrap/>
            <w:vAlign w:val="center"/>
          </w:tcPr>
          <w:p>
            <w:r>
              <w:rPr>
                <w:rFonts w:hint="eastAsia"/>
              </w:rPr>
              <w:t>技术参数及性能配置</w:t>
            </w:r>
          </w:p>
        </w:tc>
        <w:tc>
          <w:tcPr>
            <w:tcW w:w="223" w:type="pct"/>
            <w:tcBorders>
              <w:top w:val="single" w:color="auto" w:sz="4" w:space="0"/>
              <w:left w:val="nil"/>
              <w:bottom w:val="single" w:color="auto" w:sz="4" w:space="0"/>
              <w:right w:val="single" w:color="000000" w:sz="4" w:space="0"/>
            </w:tcBorders>
            <w:shd w:val="clear" w:color="auto" w:fill="D9D9D9"/>
            <w:noWrap/>
            <w:vAlign w:val="center"/>
          </w:tcPr>
          <w:p>
            <w:r>
              <w:rPr>
                <w:rFonts w:hint="eastAsia"/>
              </w:rPr>
              <w:t>单位</w:t>
            </w:r>
          </w:p>
        </w:tc>
        <w:tc>
          <w:tcPr>
            <w:tcW w:w="219" w:type="pct"/>
            <w:tcBorders>
              <w:top w:val="single" w:color="auto" w:sz="4" w:space="0"/>
              <w:left w:val="nil"/>
              <w:bottom w:val="single" w:color="auto" w:sz="4" w:space="0"/>
              <w:right w:val="single" w:color="auto" w:sz="4" w:space="0"/>
            </w:tcBorders>
            <w:shd w:val="clear" w:color="auto" w:fill="D9D9D9"/>
            <w:noWrap/>
            <w:vAlign w:val="center"/>
          </w:tcPr>
          <w:p>
            <w:r>
              <w:rPr>
                <w:rFonts w:hint="eastAsia"/>
              </w:rPr>
              <w:t>数量</w:t>
            </w:r>
          </w:p>
        </w:tc>
      </w:tr>
      <w:tr>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pPr>
              <w:rPr>
                <w:rFonts w:hint="eastAsia"/>
                <w:lang w:eastAsia="zh-CN"/>
              </w:rPr>
            </w:pPr>
            <w:r>
              <w:rPr>
                <w:rFonts w:hint="eastAsia"/>
                <w:lang w:eastAsia="zh-CN"/>
              </w:rPr>
              <w:t>１</w:t>
            </w:r>
          </w:p>
        </w:tc>
        <w:tc>
          <w:tcPr>
            <w:tcW w:w="753" w:type="pct"/>
            <w:tcBorders>
              <w:top w:val="single" w:color="auto" w:sz="4" w:space="0"/>
              <w:left w:val="nil"/>
              <w:bottom w:val="single" w:color="auto" w:sz="4" w:space="0"/>
              <w:right w:val="single" w:color="000000" w:sz="4" w:space="0"/>
            </w:tcBorders>
            <w:noWrap/>
            <w:vAlign w:val="center"/>
          </w:tcPr>
          <w:p>
            <w:pPr>
              <w:rPr>
                <w:rFonts w:hint="eastAsia"/>
                <w:lang w:eastAsia="zh-CN"/>
              </w:rPr>
            </w:pPr>
            <w:r>
              <w:rPr>
                <w:rFonts w:hint="eastAsia"/>
                <w:lang w:eastAsia="zh-CN"/>
              </w:rPr>
              <w:t>操作系统(桌面系统) 软件许可授权服务</w:t>
            </w:r>
          </w:p>
        </w:tc>
        <w:tc>
          <w:tcPr>
            <w:tcW w:w="3505" w:type="pct"/>
            <w:tcBorders>
              <w:top w:val="single" w:color="auto" w:sz="4" w:space="0"/>
              <w:left w:val="nil"/>
              <w:bottom w:val="single" w:color="auto" w:sz="4" w:space="0"/>
              <w:right w:val="single" w:color="000000" w:sz="4" w:space="0"/>
            </w:tcBorders>
            <w:vAlign w:val="center"/>
          </w:tcPr>
          <w:p>
            <w:pPr>
              <w:rPr>
                <w:rFonts w:hint="eastAsia"/>
                <w:lang w:eastAsia="zh-CN"/>
              </w:rPr>
            </w:pPr>
            <w:r>
              <w:rPr>
                <w:rFonts w:hint="eastAsia"/>
                <w:lang w:eastAsia="zh-CN"/>
              </w:rPr>
              <w:t>（一）基本要求</w:t>
            </w:r>
          </w:p>
          <w:p>
            <w:pPr>
              <w:rPr>
                <w:rFonts w:hint="eastAsia"/>
                <w:lang w:eastAsia="zh-CN"/>
              </w:rPr>
            </w:pPr>
            <w:r>
              <w:rPr>
                <w:rFonts w:hint="eastAsia"/>
                <w:lang w:eastAsia="zh-CN"/>
              </w:rPr>
              <w:t>▲1.授权方式：校园正版协议（Campus Agreement）（非OEM版）。</w:t>
            </w:r>
          </w:p>
          <w:p>
            <w:pPr>
              <w:rPr>
                <w:rFonts w:hint="eastAsia"/>
                <w:lang w:eastAsia="zh-CN"/>
              </w:rPr>
            </w:pPr>
            <w:r>
              <w:rPr>
                <w:rFonts w:hint="eastAsia"/>
                <w:lang w:eastAsia="zh-CN"/>
              </w:rPr>
              <w:t>▲2.涵盖范围：学校办公室、教室、实验室和图书馆等场所的计算机包括教职工电脑和笔记本。</w:t>
            </w:r>
          </w:p>
          <w:p>
            <w:pPr>
              <w:rPr>
                <w:rFonts w:hint="eastAsia"/>
                <w:lang w:eastAsia="zh-CN"/>
              </w:rPr>
            </w:pPr>
            <w:r>
              <w:rPr>
                <w:rFonts w:hint="eastAsia"/>
                <w:lang w:eastAsia="zh-CN"/>
              </w:rPr>
              <w:t>▲3.授权版本：Windows 11/10/8.1/8专业版。</w:t>
            </w:r>
          </w:p>
        </w:tc>
        <w:tc>
          <w:tcPr>
            <w:tcW w:w="223" w:type="pct"/>
            <w:tcBorders>
              <w:top w:val="single" w:color="auto" w:sz="4" w:space="0"/>
              <w:left w:val="nil"/>
              <w:bottom w:val="single" w:color="auto" w:sz="4" w:space="0"/>
              <w:right w:val="single" w:color="000000" w:sz="4" w:space="0"/>
            </w:tcBorders>
            <w:noWrap/>
            <w:vAlign w:val="center"/>
          </w:tcPr>
          <w:p>
            <w:pPr>
              <w:rPr>
                <w:rFonts w:hint="eastAsia" w:eastAsia="宋体"/>
                <w:lang w:val="en-US" w:eastAsia="zh-CN"/>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r>
              <w:rPr>
                <w:rFonts w:hint="eastAsia"/>
              </w:rPr>
              <w:t>1</w:t>
            </w:r>
          </w:p>
        </w:tc>
      </w:tr>
      <w:tr>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pPr>
              <w:rPr>
                <w:rFonts w:hint="eastAsia"/>
                <w:lang w:eastAsia="zh-CN"/>
              </w:rPr>
            </w:pPr>
            <w:r>
              <w:rPr>
                <w:rFonts w:hint="eastAsia"/>
                <w:lang w:val="en-US" w:eastAsia="zh-CN"/>
              </w:rPr>
              <w:t>2</w:t>
            </w:r>
          </w:p>
        </w:tc>
        <w:tc>
          <w:tcPr>
            <w:tcW w:w="753" w:type="pct"/>
            <w:tcBorders>
              <w:top w:val="single" w:color="auto" w:sz="4" w:space="0"/>
              <w:left w:val="nil"/>
              <w:bottom w:val="single" w:color="auto" w:sz="4" w:space="0"/>
              <w:right w:val="single" w:color="000000" w:sz="4" w:space="0"/>
            </w:tcBorders>
            <w:noWrap/>
            <w:vAlign w:val="center"/>
          </w:tcPr>
          <w:p>
            <w:pPr>
              <w:rPr>
                <w:rFonts w:hint="eastAsia"/>
                <w:lang w:val="en-US" w:eastAsia="zh-CN"/>
              </w:rPr>
            </w:pPr>
            <w:r>
              <w:rPr>
                <w:rFonts w:hint="eastAsia"/>
                <w:lang w:eastAsia="zh-CN"/>
              </w:rPr>
              <w:t>办公软件(Office)套件软件许可授权</w:t>
            </w:r>
          </w:p>
        </w:tc>
        <w:tc>
          <w:tcPr>
            <w:tcW w:w="3505" w:type="pct"/>
            <w:tcBorders>
              <w:top w:val="single" w:color="auto" w:sz="4" w:space="0"/>
              <w:left w:val="nil"/>
              <w:bottom w:val="single" w:color="auto" w:sz="4" w:space="0"/>
              <w:right w:val="single" w:color="000000" w:sz="4" w:space="0"/>
            </w:tcBorders>
            <w:vAlign w:val="center"/>
          </w:tcPr>
          <w:p>
            <w:pPr>
              <w:rPr>
                <w:rFonts w:hint="eastAsia"/>
                <w:lang w:eastAsia="zh-CN"/>
              </w:rPr>
            </w:pPr>
            <w:r>
              <w:rPr>
                <w:rFonts w:hint="eastAsia"/>
                <w:lang w:eastAsia="zh-CN"/>
              </w:rPr>
              <w:t>（一）基本要求</w:t>
            </w:r>
          </w:p>
          <w:p>
            <w:pPr>
              <w:rPr>
                <w:rFonts w:hint="eastAsia"/>
                <w:lang w:eastAsia="zh-CN"/>
              </w:rPr>
            </w:pPr>
            <w:r>
              <w:rPr>
                <w:rFonts w:hint="eastAsia"/>
                <w:lang w:eastAsia="zh-CN"/>
              </w:rPr>
              <w:t>▲1.授权方式：校园正版协议（Campus Agreement）（非OEM版）。</w:t>
            </w:r>
          </w:p>
          <w:p>
            <w:pPr>
              <w:rPr>
                <w:rFonts w:hint="eastAsia"/>
                <w:lang w:eastAsia="zh-CN"/>
              </w:rPr>
            </w:pPr>
            <w:r>
              <w:rPr>
                <w:rFonts w:hint="eastAsia"/>
                <w:lang w:eastAsia="zh-CN"/>
              </w:rPr>
              <w:t>▲2.涵盖范围：学校办公室、教室、实验室和图书馆等场所的计算机包括教职工电脑和笔记本。</w:t>
            </w:r>
          </w:p>
          <w:p>
            <w:pPr>
              <w:rPr>
                <w:rFonts w:hint="eastAsia"/>
                <w:lang w:eastAsia="zh-CN"/>
              </w:rPr>
            </w:pPr>
            <w:r>
              <w:rPr>
                <w:rFonts w:hint="eastAsia"/>
                <w:lang w:eastAsia="zh-CN"/>
              </w:rPr>
              <w:t>▲3.Office 2024/2021/2019/2016 专业增强版（Windows）、Office 2024/2021/2019/2016标准版（Mac）。</w:t>
            </w:r>
          </w:p>
          <w:p>
            <w:pPr>
              <w:rPr>
                <w:rFonts w:hint="eastAsia"/>
                <w:lang w:eastAsia="zh-CN"/>
              </w:rPr>
            </w:pPr>
            <w:r>
              <w:rPr>
                <w:rFonts w:hint="eastAsia"/>
                <w:lang w:eastAsia="zh-CN"/>
              </w:rPr>
              <w:t>（二）功能要求</w:t>
            </w:r>
          </w:p>
          <w:p>
            <w:pPr>
              <w:rPr>
                <w:rFonts w:hint="eastAsia"/>
                <w:lang w:eastAsia="zh-CN"/>
              </w:rPr>
            </w:pPr>
            <w:r>
              <w:rPr>
                <w:rFonts w:hint="eastAsia"/>
                <w:lang w:eastAsia="zh-CN"/>
              </w:rPr>
              <w:t>▲1.产品分别能支持Windows平台和mac平台。</w:t>
            </w:r>
          </w:p>
          <w:p>
            <w:pPr>
              <w:rPr>
                <w:rFonts w:hint="eastAsia"/>
                <w:lang w:eastAsia="zh-CN"/>
              </w:rPr>
            </w:pPr>
            <w:r>
              <w:rPr>
                <w:rFonts w:hint="eastAsia"/>
                <w:lang w:eastAsia="zh-CN"/>
              </w:rPr>
              <w:t>▲2.必须包含以下组件：</w:t>
            </w:r>
          </w:p>
          <w:p>
            <w:pPr>
              <w:rPr>
                <w:rFonts w:hint="eastAsia"/>
                <w:lang w:eastAsia="zh-CN"/>
              </w:rPr>
            </w:pPr>
            <w:r>
              <w:rPr>
                <w:rFonts w:hint="eastAsia"/>
                <w:lang w:eastAsia="zh-CN"/>
              </w:rPr>
              <w:t>（1）文字处理软件；</w:t>
            </w:r>
          </w:p>
          <w:p>
            <w:pPr>
              <w:rPr>
                <w:rFonts w:hint="eastAsia"/>
                <w:lang w:eastAsia="zh-CN"/>
              </w:rPr>
            </w:pPr>
            <w:r>
              <w:rPr>
                <w:rFonts w:hint="eastAsia"/>
                <w:lang w:eastAsia="zh-CN"/>
              </w:rPr>
              <w:t>（2）电子表格软件；</w:t>
            </w:r>
          </w:p>
          <w:p>
            <w:pPr>
              <w:rPr>
                <w:rFonts w:hint="eastAsia"/>
                <w:lang w:eastAsia="zh-CN"/>
              </w:rPr>
            </w:pPr>
            <w:r>
              <w:rPr>
                <w:rFonts w:hint="eastAsia"/>
                <w:lang w:eastAsia="zh-CN"/>
              </w:rPr>
              <w:t>（3）PPT演示软件；</w:t>
            </w:r>
          </w:p>
          <w:p>
            <w:pPr>
              <w:rPr>
                <w:rFonts w:hint="eastAsia"/>
                <w:lang w:eastAsia="zh-CN"/>
              </w:rPr>
            </w:pPr>
            <w:r>
              <w:rPr>
                <w:rFonts w:hint="eastAsia"/>
                <w:lang w:eastAsia="zh-CN"/>
              </w:rPr>
              <w:t>（4）电子邮件访问软件；</w:t>
            </w:r>
          </w:p>
          <w:p>
            <w:pPr>
              <w:rPr>
                <w:rFonts w:hint="eastAsia"/>
                <w:lang w:eastAsia="zh-CN"/>
              </w:rPr>
            </w:pPr>
            <w:r>
              <w:rPr>
                <w:rFonts w:hint="eastAsia"/>
                <w:lang w:eastAsia="zh-CN"/>
              </w:rPr>
              <w:t>（5）电子笔记本软件。</w:t>
            </w:r>
          </w:p>
        </w:tc>
        <w:tc>
          <w:tcPr>
            <w:tcW w:w="223"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rPr>
              <w:t>1</w:t>
            </w:r>
          </w:p>
        </w:tc>
      </w:tr>
      <w:tr>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pPr>
              <w:rPr>
                <w:rFonts w:hint="eastAsia"/>
                <w:lang w:eastAsia="zh-CN"/>
              </w:rPr>
            </w:pPr>
            <w:r>
              <w:rPr>
                <w:rFonts w:hint="eastAsia"/>
                <w:lang w:val="en-US" w:eastAsia="zh-CN"/>
              </w:rPr>
              <w:t>3</w:t>
            </w:r>
          </w:p>
        </w:tc>
        <w:tc>
          <w:tcPr>
            <w:tcW w:w="753" w:type="pct"/>
            <w:tcBorders>
              <w:top w:val="single" w:color="auto" w:sz="4" w:space="0"/>
              <w:left w:val="nil"/>
              <w:bottom w:val="single" w:color="auto" w:sz="4" w:space="0"/>
              <w:right w:val="single" w:color="000000" w:sz="4" w:space="0"/>
            </w:tcBorders>
            <w:noWrap/>
            <w:vAlign w:val="center"/>
          </w:tcPr>
          <w:p>
            <w:pPr>
              <w:rPr>
                <w:rFonts w:hint="eastAsia"/>
                <w:lang w:val="en-US" w:eastAsia="zh-CN"/>
              </w:rPr>
            </w:pPr>
            <w:r>
              <w:rPr>
                <w:rFonts w:hint="eastAsia"/>
                <w:lang w:eastAsia="zh-CN"/>
              </w:rPr>
              <w:t>服务器操作系统软件许可授权服务</w:t>
            </w:r>
          </w:p>
        </w:tc>
        <w:tc>
          <w:tcPr>
            <w:tcW w:w="3505" w:type="pct"/>
            <w:tcBorders>
              <w:top w:val="single" w:color="auto" w:sz="4" w:space="0"/>
              <w:left w:val="nil"/>
              <w:bottom w:val="single" w:color="auto" w:sz="4" w:space="0"/>
              <w:right w:val="single" w:color="000000" w:sz="4" w:space="0"/>
            </w:tcBorders>
            <w:vAlign w:val="center"/>
          </w:tcPr>
          <w:p>
            <w:pPr>
              <w:rPr>
                <w:rFonts w:hint="eastAsia"/>
                <w:lang w:eastAsia="zh-CN"/>
              </w:rPr>
            </w:pPr>
            <w:r>
              <w:rPr>
                <w:rFonts w:hint="eastAsia"/>
                <w:lang w:eastAsia="zh-CN"/>
              </w:rPr>
              <w:t>（一）基本要求</w:t>
            </w:r>
          </w:p>
          <w:p>
            <w:pPr>
              <w:rPr>
                <w:rFonts w:hint="eastAsia"/>
                <w:lang w:eastAsia="zh-CN"/>
              </w:rPr>
            </w:pPr>
            <w:r>
              <w:rPr>
                <w:rFonts w:hint="eastAsia"/>
                <w:lang w:eastAsia="zh-CN"/>
              </w:rPr>
              <w:t>▲1.授权方式：校园正版协议（Campus Agreement）（非OEM版）。</w:t>
            </w:r>
          </w:p>
          <w:p>
            <w:pPr>
              <w:rPr>
                <w:rFonts w:hint="eastAsia"/>
                <w:lang w:eastAsia="zh-CN"/>
              </w:rPr>
            </w:pPr>
            <w:r>
              <w:rPr>
                <w:rFonts w:hint="eastAsia"/>
                <w:lang w:eastAsia="zh-CN"/>
              </w:rPr>
              <w:t>▲2.涵盖范围：覆盖学校数据中心机房。</w:t>
            </w:r>
          </w:p>
          <w:p>
            <w:pPr>
              <w:rPr>
                <w:rFonts w:hint="eastAsia"/>
                <w:lang w:eastAsia="zh-CN"/>
              </w:rPr>
            </w:pPr>
            <w:r>
              <w:rPr>
                <w:rFonts w:hint="eastAsia"/>
                <w:lang w:eastAsia="zh-CN"/>
              </w:rPr>
              <w:t>▲3.授权版本：Windows Server 2025/2022/</w:t>
            </w:r>
          </w:p>
          <w:p>
            <w:pPr>
              <w:rPr>
                <w:rFonts w:hint="eastAsia"/>
                <w:lang w:eastAsia="zh-CN"/>
              </w:rPr>
            </w:pPr>
            <w:r>
              <w:rPr>
                <w:rFonts w:hint="eastAsia"/>
                <w:lang w:eastAsia="zh-CN"/>
              </w:rPr>
              <w:t>2019/2016/2012标准版。</w:t>
            </w:r>
          </w:p>
        </w:tc>
        <w:tc>
          <w:tcPr>
            <w:tcW w:w="223"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rPr>
              <w:t>1</w:t>
            </w:r>
          </w:p>
        </w:tc>
      </w:tr>
      <w:tr>
        <w:tblPrEx>
          <w:tblCellMar>
            <w:top w:w="0" w:type="dxa"/>
            <w:left w:w="108" w:type="dxa"/>
            <w:bottom w:w="0" w:type="dxa"/>
            <w:right w:w="108" w:type="dxa"/>
          </w:tblCellMar>
        </w:tblPrEx>
        <w:tc>
          <w:tcPr>
            <w:tcW w:w="298" w:type="pct"/>
            <w:tcBorders>
              <w:top w:val="single" w:color="auto" w:sz="4" w:space="0"/>
              <w:left w:val="single" w:color="000000" w:sz="4" w:space="0"/>
              <w:bottom w:val="single" w:color="auto" w:sz="4" w:space="0"/>
              <w:right w:val="single" w:color="000000" w:sz="4" w:space="0"/>
            </w:tcBorders>
            <w:noWrap/>
            <w:vAlign w:val="center"/>
          </w:tcPr>
          <w:p>
            <w:pPr>
              <w:rPr>
                <w:rFonts w:hint="eastAsia"/>
                <w:lang w:eastAsia="zh-CN"/>
              </w:rPr>
            </w:pPr>
            <w:r>
              <w:rPr>
                <w:rFonts w:hint="eastAsia"/>
                <w:lang w:val="en-US" w:eastAsia="zh-CN"/>
              </w:rPr>
              <w:t>4</w:t>
            </w:r>
          </w:p>
        </w:tc>
        <w:tc>
          <w:tcPr>
            <w:tcW w:w="753" w:type="pct"/>
            <w:tcBorders>
              <w:top w:val="single" w:color="auto" w:sz="4" w:space="0"/>
              <w:left w:val="nil"/>
              <w:bottom w:val="single" w:color="auto" w:sz="4" w:space="0"/>
              <w:right w:val="single" w:color="000000" w:sz="4" w:space="0"/>
            </w:tcBorders>
            <w:noWrap/>
            <w:vAlign w:val="center"/>
          </w:tcPr>
          <w:p>
            <w:pPr>
              <w:rPr>
                <w:rFonts w:hint="eastAsia"/>
                <w:lang w:val="en-US" w:eastAsia="zh-CN"/>
              </w:rPr>
            </w:pPr>
            <w:r>
              <w:rPr>
                <w:rFonts w:hint="eastAsia"/>
                <w:lang w:eastAsia="zh-CN"/>
              </w:rPr>
              <w:t>数据库软件许可授权服务</w:t>
            </w:r>
          </w:p>
        </w:tc>
        <w:tc>
          <w:tcPr>
            <w:tcW w:w="3505" w:type="pct"/>
            <w:tcBorders>
              <w:top w:val="single" w:color="auto" w:sz="4" w:space="0"/>
              <w:left w:val="nil"/>
              <w:bottom w:val="single" w:color="auto" w:sz="4" w:space="0"/>
              <w:right w:val="single" w:color="000000" w:sz="4" w:space="0"/>
            </w:tcBorders>
            <w:vAlign w:val="center"/>
          </w:tcPr>
          <w:p>
            <w:pPr>
              <w:rPr>
                <w:rFonts w:hint="eastAsia"/>
                <w:lang w:eastAsia="zh-CN"/>
              </w:rPr>
            </w:pPr>
            <w:r>
              <w:rPr>
                <w:rFonts w:hint="eastAsia"/>
                <w:lang w:eastAsia="zh-CN"/>
              </w:rPr>
              <w:t>（一）基本要求</w:t>
            </w:r>
          </w:p>
          <w:p>
            <w:pPr>
              <w:rPr>
                <w:rFonts w:hint="eastAsia"/>
                <w:lang w:eastAsia="zh-CN"/>
              </w:rPr>
            </w:pPr>
            <w:r>
              <w:rPr>
                <w:rFonts w:hint="eastAsia"/>
                <w:lang w:eastAsia="zh-CN"/>
              </w:rPr>
              <w:t>▲1.授权方式：校园正版协议（Campus Agreement）（非OEM版）。</w:t>
            </w:r>
          </w:p>
          <w:p>
            <w:pPr>
              <w:rPr>
                <w:rFonts w:hint="eastAsia"/>
                <w:lang w:eastAsia="zh-CN"/>
              </w:rPr>
            </w:pPr>
            <w:r>
              <w:rPr>
                <w:rFonts w:hint="eastAsia"/>
                <w:lang w:eastAsia="zh-CN"/>
              </w:rPr>
              <w:t>▲2.涵盖范围：覆盖学校数据中心机房。</w:t>
            </w:r>
          </w:p>
          <w:p>
            <w:pPr>
              <w:rPr>
                <w:rFonts w:hint="eastAsia"/>
                <w:lang w:eastAsia="zh-CN"/>
              </w:rPr>
            </w:pPr>
            <w:r>
              <w:rPr>
                <w:rFonts w:hint="eastAsia"/>
                <w:lang w:eastAsia="zh-CN"/>
              </w:rPr>
              <w:t>▲3.授权版本：SQL Server 2022/2019/2017/</w:t>
            </w:r>
          </w:p>
          <w:p>
            <w:pPr>
              <w:rPr>
                <w:rFonts w:hint="eastAsia"/>
                <w:lang w:eastAsia="zh-CN"/>
              </w:rPr>
            </w:pPr>
            <w:r>
              <w:rPr>
                <w:rFonts w:hint="eastAsia"/>
                <w:lang w:eastAsia="zh-CN"/>
              </w:rPr>
              <w:t>2014/2012标准版。</w:t>
            </w:r>
          </w:p>
        </w:tc>
        <w:tc>
          <w:tcPr>
            <w:tcW w:w="223"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rPr>
              <w:t>1</w:t>
            </w:r>
          </w:p>
        </w:tc>
      </w:tr>
      <w:tr>
        <w:tblPrEx>
          <w:tblCellMar>
            <w:top w:w="0" w:type="dxa"/>
            <w:left w:w="108" w:type="dxa"/>
            <w:bottom w:w="0" w:type="dxa"/>
            <w:right w:w="108" w:type="dxa"/>
          </w:tblCellMar>
        </w:tblPrEx>
        <w:trPr>
          <w:trHeight w:val="12180" w:hRule="atLeast"/>
        </w:trPr>
        <w:tc>
          <w:tcPr>
            <w:tcW w:w="298" w:type="pct"/>
            <w:tcBorders>
              <w:top w:val="single" w:color="auto" w:sz="4" w:space="0"/>
              <w:left w:val="single" w:color="000000" w:sz="4" w:space="0"/>
              <w:bottom w:val="single" w:color="auto" w:sz="4" w:space="0"/>
              <w:right w:val="single" w:color="000000" w:sz="4" w:space="0"/>
            </w:tcBorders>
            <w:noWrap/>
            <w:vAlign w:val="center"/>
          </w:tcPr>
          <w:p>
            <w:pPr>
              <w:rPr>
                <w:rFonts w:hint="eastAsia"/>
                <w:lang w:eastAsia="zh-CN"/>
              </w:rPr>
            </w:pPr>
            <w:r>
              <w:rPr>
                <w:rFonts w:hint="eastAsia"/>
                <w:lang w:val="en-US" w:eastAsia="zh-CN"/>
              </w:rPr>
              <w:t>5</w:t>
            </w:r>
          </w:p>
        </w:tc>
        <w:tc>
          <w:tcPr>
            <w:tcW w:w="753" w:type="pct"/>
            <w:tcBorders>
              <w:top w:val="single" w:color="auto" w:sz="4" w:space="0"/>
              <w:left w:val="nil"/>
              <w:bottom w:val="single" w:color="auto" w:sz="4" w:space="0"/>
              <w:right w:val="single" w:color="000000" w:sz="4" w:space="0"/>
            </w:tcBorders>
            <w:noWrap/>
            <w:vAlign w:val="center"/>
          </w:tcPr>
          <w:p>
            <w:pPr>
              <w:rPr>
                <w:rFonts w:hint="eastAsia"/>
                <w:lang w:val="en-US" w:eastAsia="zh-CN"/>
              </w:rPr>
            </w:pPr>
            <w:r>
              <w:rPr>
                <w:rFonts w:hint="eastAsia"/>
                <w:lang w:eastAsia="zh-CN"/>
              </w:rPr>
              <w:t>正版软件管理与服务平台服务</w:t>
            </w:r>
          </w:p>
        </w:tc>
        <w:tc>
          <w:tcPr>
            <w:tcW w:w="3505" w:type="pct"/>
            <w:tcBorders>
              <w:top w:val="single" w:color="auto" w:sz="4" w:space="0"/>
              <w:left w:val="nil"/>
              <w:bottom w:val="single" w:color="auto" w:sz="4" w:space="0"/>
              <w:right w:val="single" w:color="000000" w:sz="4" w:space="0"/>
            </w:tcBorders>
            <w:vAlign w:val="top"/>
          </w:tcPr>
          <w:p>
            <w:pPr>
              <w:rPr>
                <w:rFonts w:hint="eastAsia"/>
                <w:lang w:eastAsia="zh-CN"/>
              </w:rPr>
            </w:pPr>
            <w:r>
              <w:rPr>
                <w:rFonts w:hint="eastAsia"/>
                <w:lang w:eastAsia="zh-CN"/>
              </w:rPr>
              <w:t>（一）（一）基本要求</w:t>
            </w:r>
          </w:p>
          <w:p>
            <w:pPr>
              <w:rPr>
                <w:rFonts w:hint="eastAsia"/>
                <w:lang w:eastAsia="zh-CN"/>
              </w:rPr>
            </w:pPr>
            <w:r>
              <w:rPr>
                <w:rFonts w:hint="eastAsia"/>
                <w:lang w:eastAsia="zh-CN"/>
              </w:rPr>
              <w:t>▲1.提供正版软件管理与服务平台并完成本地部署及交付工作。</w:t>
            </w:r>
          </w:p>
          <w:p>
            <w:pPr>
              <w:rPr>
                <w:rFonts w:hint="eastAsia"/>
                <w:lang w:eastAsia="zh-CN"/>
              </w:rPr>
            </w:pPr>
            <w:r>
              <w:rPr>
                <w:rFonts w:hint="eastAsia"/>
                <w:lang w:eastAsia="zh-CN"/>
              </w:rPr>
              <w:t>▲2.供货时须提供平台服务提供商针对本项目的授权书。</w:t>
            </w:r>
          </w:p>
          <w:p>
            <w:pPr>
              <w:rPr>
                <w:rFonts w:hint="eastAsia"/>
                <w:lang w:eastAsia="zh-CN"/>
              </w:rPr>
            </w:pPr>
            <w:r>
              <w:rPr>
                <w:rFonts w:hint="eastAsia"/>
                <w:lang w:eastAsia="zh-CN"/>
              </w:rPr>
              <w:t>▲3.软件平台服务提供商须提供专业软件评测机构出具的软件产品登记测试报告，供货时须提供并加盖平台服务提供商公章。</w:t>
            </w:r>
          </w:p>
          <w:p>
            <w:pPr>
              <w:rPr>
                <w:rFonts w:hint="eastAsia"/>
                <w:lang w:eastAsia="zh-CN"/>
              </w:rPr>
            </w:pPr>
            <w:bookmarkStart w:id="0" w:name="_GoBack"/>
            <w:bookmarkEnd w:id="0"/>
            <w:r>
              <w:rPr>
                <w:rFonts w:hint="eastAsia"/>
                <w:lang w:eastAsia="zh-CN"/>
              </w:rPr>
              <w:t>（二）功能要求</w:t>
            </w:r>
          </w:p>
          <w:p>
            <w:pPr>
              <w:rPr>
                <w:rFonts w:hint="eastAsia"/>
                <w:lang w:eastAsia="zh-CN"/>
              </w:rPr>
            </w:pPr>
            <w:r>
              <w:rPr>
                <w:rFonts w:hint="eastAsia"/>
                <w:lang w:eastAsia="zh-CN"/>
              </w:rPr>
              <w:t>▲1.平台管理后台提供数据可视化中台显示功能，能快速显示用户情况、软件下载、激活分配、软件激活、部门激活等相关数据。（提供平台功能截图证明材料附在响应文件中）</w:t>
            </w:r>
          </w:p>
          <w:p>
            <w:pPr>
              <w:rPr>
                <w:rFonts w:hint="eastAsia"/>
                <w:lang w:eastAsia="zh-CN"/>
              </w:rPr>
            </w:pPr>
            <w:r>
              <w:rPr>
                <w:rFonts w:hint="eastAsia"/>
                <w:lang w:eastAsia="zh-CN"/>
              </w:rPr>
              <w:t>▲2.激活客户端须提供正版软件检查功能，自行采集操作系统、办公软件等软件是否安装正版软件等相关信息。（提供平台功能截图证明材料附在响应文件中）</w:t>
            </w:r>
          </w:p>
          <w:p>
            <w:pPr>
              <w:rPr>
                <w:rFonts w:hint="eastAsia"/>
                <w:lang w:eastAsia="zh-CN"/>
              </w:rPr>
            </w:pPr>
            <w:r>
              <w:rPr>
                <w:rFonts w:hint="eastAsia"/>
                <w:lang w:eastAsia="zh-CN"/>
              </w:rPr>
              <w:t>▲3.满足简单易用需求，平台无需登录，可以通过学校的统一门户直接一键启动激活客户端。（提供平台功能截图证明材料附在响应文件中）</w:t>
            </w:r>
          </w:p>
          <w:p>
            <w:pPr>
              <w:rPr>
                <w:rFonts w:hint="eastAsia"/>
                <w:lang w:eastAsia="zh-CN"/>
              </w:rPr>
            </w:pPr>
            <w:r>
              <w:rPr>
                <w:rFonts w:hint="eastAsia"/>
                <w:lang w:eastAsia="zh-CN"/>
              </w:rPr>
              <w:t>▲4.平台可以对包括Microsoft Windows等软件激活进行控制管理。（提供平台功能截图证明材料附在响应文件中）</w:t>
            </w:r>
          </w:p>
          <w:p>
            <w:pPr>
              <w:rPr>
                <w:rFonts w:hint="eastAsia"/>
                <w:lang w:eastAsia="zh-CN"/>
              </w:rPr>
            </w:pPr>
            <w:r>
              <w:rPr>
                <w:rFonts w:hint="eastAsia"/>
                <w:lang w:eastAsia="zh-CN"/>
              </w:rPr>
              <w:t>5.平台能对软件进行多版本控制管理，管理员可以在后台自由对软件版本进行管理控制。</w:t>
            </w:r>
          </w:p>
          <w:p>
            <w:pPr>
              <w:rPr>
                <w:rFonts w:hint="eastAsia"/>
                <w:lang w:eastAsia="zh-CN"/>
              </w:rPr>
            </w:pPr>
            <w:r>
              <w:rPr>
                <w:rFonts w:hint="eastAsia"/>
                <w:lang w:eastAsia="zh-CN"/>
              </w:rPr>
              <w:t>6.正版软件管理与服务平台应当支持部署在学校，且支持私有云平台部署。</w:t>
            </w:r>
          </w:p>
          <w:p>
            <w:pPr>
              <w:rPr>
                <w:rFonts w:hint="eastAsia"/>
                <w:lang w:eastAsia="zh-CN"/>
              </w:rPr>
            </w:pPr>
            <w:r>
              <w:rPr>
                <w:rFonts w:hint="eastAsia"/>
                <w:lang w:eastAsia="zh-CN"/>
              </w:rPr>
              <w:t>▲7.兼容性：实现与现有平台（正版软件管理与服务平台）对接，以便进行数据迁移，保留原平台中的历史数据；保留原平台中激活工具使用方式，满足用户使用习惯，保证已激活的用户设备无需重新激活。</w:t>
            </w:r>
          </w:p>
          <w:p>
            <w:pPr>
              <w:rPr>
                <w:rFonts w:hint="eastAsia"/>
                <w:lang w:eastAsia="zh-CN"/>
              </w:rPr>
            </w:pPr>
            <w:r>
              <w:rPr>
                <w:rFonts w:hint="eastAsia"/>
                <w:lang w:eastAsia="zh-CN"/>
              </w:rPr>
              <w:t>▲8.授权模式，用户的激活次数授权模式也应当符合多级部门管理的模式，即，本级部门的激活数量上限，是分配给下级部门及用户的激活次数的上限。（提供平台功能截图证明材料附在响应文件中）</w:t>
            </w:r>
          </w:p>
          <w:p>
            <w:pPr>
              <w:rPr>
                <w:rFonts w:hint="eastAsia"/>
                <w:lang w:eastAsia="zh-CN"/>
              </w:rPr>
            </w:pPr>
            <w:r>
              <w:rPr>
                <w:rFonts w:hint="eastAsia"/>
                <w:lang w:eastAsia="zh-CN"/>
              </w:rPr>
              <w:t>▲9.激活方式，在用户使用统一身份认证系统账号密码登录以后，直接通过点击即可完成整个激活操作，无需用户记忆任何其他激活码和代码。且一旦发生激活问题，激活客户端应当给出简单快捷的解决方案。（提供平台功能截图证明材料附在响应文件中）</w:t>
            </w:r>
          </w:p>
          <w:p>
            <w:pPr>
              <w:rPr>
                <w:rFonts w:hint="eastAsia"/>
                <w:lang w:eastAsia="zh-CN"/>
              </w:rPr>
            </w:pPr>
            <w:r>
              <w:rPr>
                <w:rFonts w:hint="eastAsia"/>
                <w:lang w:eastAsia="zh-CN"/>
              </w:rPr>
              <w:t>10.系统巡检，正版软件管理与服务平台服务提供商应当提供对系统的定期巡检，巡检内容包括（但不限于）正版软件管理与服务平台服务器运行情况监测、KMS服务器检查、激活测试、下载测试、系统及应用服务系统的补丁更新、数据备份检查。巡检频率每季度不少于1次。巡检发现问题应当在24小时内完成处理。</w:t>
            </w:r>
          </w:p>
          <w:p>
            <w:pPr>
              <w:rPr>
                <w:rFonts w:hint="eastAsia"/>
                <w:lang w:eastAsia="zh-CN"/>
              </w:rPr>
            </w:pPr>
            <w:r>
              <w:rPr>
                <w:rFonts w:hint="eastAsia"/>
                <w:lang w:eastAsia="zh-CN"/>
              </w:rPr>
              <w:t>▲11.只能通过学校多因子认证作为唯一入口且能单点登录，根据学校发展和建设要求，若需要对接正版化及相关数据，须提供相应数据的接口或数据库视图。</w:t>
            </w:r>
          </w:p>
        </w:tc>
        <w:tc>
          <w:tcPr>
            <w:tcW w:w="223"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lang w:val="en-US" w:eastAsia="zh-CN"/>
              </w:rPr>
              <w:t>年</w:t>
            </w:r>
          </w:p>
        </w:tc>
        <w:tc>
          <w:tcPr>
            <w:tcW w:w="219" w:type="pct"/>
            <w:tcBorders>
              <w:top w:val="single" w:color="auto" w:sz="4" w:space="0"/>
              <w:left w:val="nil"/>
              <w:bottom w:val="single" w:color="auto" w:sz="4" w:space="0"/>
              <w:right w:val="single" w:color="000000" w:sz="4" w:space="0"/>
            </w:tcBorders>
            <w:noWrap/>
            <w:vAlign w:val="center"/>
          </w:tcPr>
          <w:p>
            <w:pPr>
              <w:rPr>
                <w:rFonts w:hint="eastAsia"/>
              </w:rPr>
            </w:pPr>
            <w:r>
              <w:rPr>
                <w:rFonts w:hint="eastAsia"/>
              </w:rPr>
              <w:t>1</w:t>
            </w:r>
          </w:p>
        </w:tc>
      </w:tr>
    </w:tbl>
    <w:p/>
    <w:p>
      <w:r>
        <w:rPr>
          <w:rFonts w:hint="eastAsia"/>
        </w:rPr>
        <w:t>（2）商务要求</w:t>
      </w:r>
    </w:p>
    <w:tbl>
      <w:tblPr>
        <w:tblStyle w:val="7"/>
        <w:tblW w:w="9732" w:type="dxa"/>
        <w:jc w:val="center"/>
        <w:tblLayout w:type="fixed"/>
        <w:tblCellMar>
          <w:top w:w="0" w:type="dxa"/>
          <w:left w:w="0" w:type="dxa"/>
          <w:bottom w:w="0" w:type="dxa"/>
          <w:right w:w="0" w:type="dxa"/>
        </w:tblCellMar>
      </w:tblPr>
      <w:tblGrid>
        <w:gridCol w:w="665"/>
        <w:gridCol w:w="1139"/>
        <w:gridCol w:w="7928"/>
      </w:tblGrid>
      <w:tr>
        <w:tblPrEx>
          <w:tblCellMar>
            <w:top w:w="0" w:type="dxa"/>
            <w:left w:w="0" w:type="dxa"/>
            <w:bottom w:w="0" w:type="dxa"/>
            <w:right w:w="0" w:type="dxa"/>
          </w:tblCellMar>
        </w:tblPrEx>
        <w:trPr>
          <w:trHeight w:val="509" w:hRule="atLeast"/>
          <w:jc w:val="center"/>
        </w:trPr>
        <w:tc>
          <w:tcPr>
            <w:tcW w:w="9732"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r>
              <w:rPr>
                <w:rFonts w:hint="eastAsia"/>
                <w:sz w:val="24"/>
              </w:rPr>
              <w:t>▲</w:t>
            </w:r>
            <w:r>
              <w:rPr>
                <w:rFonts w:hint="eastAsia"/>
              </w:rPr>
              <w:t>二、商务要求</w:t>
            </w:r>
          </w:p>
        </w:tc>
      </w:tr>
      <w:tr>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rPr>
            </w:pPr>
            <w:r>
              <w:rPr>
                <w:rFonts w:hint="eastAsia"/>
              </w:rPr>
              <w:t>1</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60" w:lineRule="auto"/>
              <w:jc w:val="center"/>
              <w:rPr>
                <w:rFonts w:hint="eastAsia"/>
              </w:rPr>
            </w:pPr>
            <w:r>
              <w:rPr>
                <w:rFonts w:hint="eastAsia" w:ascii="宋体" w:hAnsi="宋体"/>
                <w:szCs w:val="21"/>
              </w:rPr>
              <w:t>交货时间及地点</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spacing w:line="360" w:lineRule="auto"/>
              <w:jc w:val="left"/>
              <w:rPr>
                <w:rFonts w:ascii="宋体" w:hAnsi="宋体"/>
                <w:kern w:val="0"/>
                <w:szCs w:val="21"/>
              </w:rPr>
            </w:pPr>
            <w:r>
              <w:rPr>
                <w:rFonts w:ascii="宋体" w:hAnsi="宋体"/>
                <w:kern w:val="0"/>
                <w:szCs w:val="21"/>
              </w:rPr>
              <w:t>1.</w:t>
            </w:r>
            <w:r>
              <w:rPr>
                <w:rFonts w:hint="eastAsia" w:ascii="宋体" w:hAnsi="宋体"/>
                <w:kern w:val="0"/>
                <w:szCs w:val="21"/>
              </w:rPr>
              <w:t xml:space="preserve">交付使用时间：自合同签订之日起 </w:t>
            </w:r>
            <w:r>
              <w:rPr>
                <w:rFonts w:hint="eastAsia" w:ascii="宋体" w:hAnsi="宋体"/>
                <w:kern w:val="0"/>
                <w:szCs w:val="21"/>
                <w:u w:val="single"/>
                <w:lang w:val="en-US" w:eastAsia="zh-CN"/>
              </w:rPr>
              <w:t>1</w:t>
            </w:r>
            <w:r>
              <w:rPr>
                <w:rFonts w:hint="eastAsia" w:ascii="宋体" w:hAnsi="宋体"/>
                <w:kern w:val="0"/>
                <w:szCs w:val="21"/>
                <w:u w:val="single"/>
              </w:rPr>
              <w:t>0</w:t>
            </w:r>
            <w:r>
              <w:rPr>
                <w:rFonts w:hint="eastAsia" w:ascii="宋体" w:hAnsi="宋体"/>
                <w:kern w:val="0"/>
                <w:szCs w:val="21"/>
              </w:rPr>
              <w:t>日内</w:t>
            </w:r>
            <w:r>
              <w:rPr>
                <w:rFonts w:hint="eastAsia" w:ascii="宋体" w:hAnsi="宋体"/>
                <w:kern w:val="0"/>
                <w:szCs w:val="21"/>
                <w:lang w:val="en-US" w:eastAsia="zh-CN"/>
              </w:rPr>
              <w:t>完成设备到货安装，</w:t>
            </w:r>
            <w:r>
              <w:rPr>
                <w:rFonts w:hint="eastAsia" w:ascii="宋体" w:hAnsi="宋体"/>
                <w:kern w:val="0"/>
                <w:szCs w:val="21"/>
              </w:rPr>
              <w:t xml:space="preserve">自合同签订之日起 </w:t>
            </w:r>
            <w:r>
              <w:rPr>
                <w:rFonts w:hint="eastAsia" w:ascii="宋体" w:hAnsi="宋体"/>
                <w:kern w:val="0"/>
                <w:szCs w:val="21"/>
                <w:u w:val="single"/>
                <w:lang w:val="en-US" w:eastAsia="zh-CN"/>
              </w:rPr>
              <w:t>30</w:t>
            </w:r>
            <w:r>
              <w:rPr>
                <w:rFonts w:hint="eastAsia" w:ascii="宋体" w:hAnsi="宋体"/>
                <w:kern w:val="0"/>
                <w:szCs w:val="21"/>
              </w:rPr>
              <w:t>日内</w:t>
            </w:r>
            <w:r>
              <w:rPr>
                <w:rFonts w:hint="eastAsia" w:ascii="宋体" w:hAnsi="宋体"/>
                <w:kern w:val="0"/>
                <w:szCs w:val="21"/>
                <w:lang w:val="en-US" w:eastAsia="zh-CN"/>
              </w:rPr>
              <w:t>完成软件安装部署实施后交付验收</w:t>
            </w:r>
            <w:r>
              <w:rPr>
                <w:rFonts w:hint="eastAsia" w:ascii="宋体" w:hAnsi="宋体"/>
                <w:kern w:val="0"/>
                <w:szCs w:val="21"/>
              </w:rPr>
              <w:t>。</w:t>
            </w:r>
          </w:p>
          <w:p>
            <w:pPr>
              <w:widowControl/>
              <w:spacing w:line="360" w:lineRule="auto"/>
              <w:jc w:val="left"/>
              <w:rPr>
                <w:rFonts w:ascii="宋体" w:hAnsi="宋体"/>
                <w:kern w:val="0"/>
                <w:szCs w:val="21"/>
              </w:rPr>
            </w:pPr>
            <w:r>
              <w:rPr>
                <w:rFonts w:ascii="宋体" w:hAnsi="宋体"/>
                <w:kern w:val="0"/>
                <w:szCs w:val="21"/>
              </w:rPr>
              <w:t>2.</w:t>
            </w:r>
            <w:r>
              <w:rPr>
                <w:rFonts w:hint="eastAsia" w:ascii="宋体" w:hAnsi="宋体"/>
                <w:kern w:val="0"/>
                <w:szCs w:val="21"/>
              </w:rPr>
              <w:t>交货地点：</w:t>
            </w:r>
            <w:r>
              <w:rPr>
                <w:rFonts w:hint="eastAsia" w:ascii="宋体" w:hAnsi="宋体"/>
                <w:kern w:val="0"/>
                <w:szCs w:val="21"/>
                <w:u w:val="single"/>
              </w:rPr>
              <w:t>广西机电职业技术学院 指定地点，</w:t>
            </w:r>
            <w:r>
              <w:rPr>
                <w:rFonts w:hint="eastAsia" w:ascii="宋体" w:hAnsi="宋体"/>
                <w:kern w:val="0"/>
                <w:szCs w:val="21"/>
              </w:rPr>
              <w:t>保管工作由中标人自行负责。</w:t>
            </w:r>
          </w:p>
          <w:p>
            <w:pPr>
              <w:widowControl/>
              <w:spacing w:line="360" w:lineRule="auto"/>
              <w:jc w:val="left"/>
              <w:rPr>
                <w:rFonts w:hint="eastAsia"/>
                <w:lang w:eastAsia="zh-CN"/>
              </w:rPr>
            </w:pPr>
            <w:r>
              <w:rPr>
                <w:rFonts w:ascii="宋体" w:hAnsi="宋体"/>
                <w:kern w:val="0"/>
                <w:szCs w:val="21"/>
              </w:rPr>
              <w:t>3.</w:t>
            </w:r>
            <w:r>
              <w:rPr>
                <w:rFonts w:hint="eastAsia" w:ascii="宋体" w:hAnsi="宋体"/>
                <w:kern w:val="0"/>
                <w:szCs w:val="21"/>
              </w:rPr>
              <w:t>交货方式：现场交货。</w:t>
            </w:r>
          </w:p>
        </w:tc>
      </w:tr>
      <w:tr>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eastAsia="宋体"/>
                <w:lang w:val="en-US" w:eastAsia="zh-CN"/>
              </w:rPr>
            </w:pPr>
            <w:r>
              <w:rPr>
                <w:rFonts w:hint="eastAsia"/>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default" w:eastAsia="宋体"/>
                <w:lang w:val="en-US" w:eastAsia="zh-CN"/>
              </w:rPr>
            </w:pPr>
            <w:r>
              <w:rPr>
                <w:rFonts w:hint="eastAsia"/>
                <w:lang w:val="en-US" w:eastAsia="zh-CN"/>
              </w:rPr>
              <w:t>质保期内服务</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lang w:val="en-US" w:eastAsia="zh-CN"/>
              </w:rPr>
            </w:pPr>
            <w:r>
              <w:rPr>
                <w:rFonts w:hint="eastAsia"/>
                <w:lang w:val="en-US" w:eastAsia="zh-CN"/>
              </w:rPr>
              <w:t>1.质量保证期 1年（自交货并验收合格之日起计；分项有特别要求的按照分项的要求）；自交货安装调试并验收合格交付使用之日起计；包括定期巡检、平台升级、数据导入、更新服务、技术支持，培训技术管理人员正确使用管理平台。</w:t>
            </w:r>
          </w:p>
          <w:p>
            <w:pPr>
              <w:rPr>
                <w:rFonts w:hint="eastAsia"/>
                <w:lang w:val="en-US" w:eastAsia="zh-CN"/>
              </w:rPr>
            </w:pPr>
            <w:r>
              <w:rPr>
                <w:rFonts w:hint="eastAsia"/>
                <w:lang w:val="en-US" w:eastAsia="zh-CN"/>
              </w:rPr>
              <w:t>2.验收条件及标准：</w:t>
            </w:r>
          </w:p>
          <w:p>
            <w:pPr>
              <w:rPr>
                <w:rFonts w:hint="eastAsia"/>
                <w:lang w:val="en-US" w:eastAsia="zh-CN"/>
              </w:rPr>
            </w:pPr>
            <w:r>
              <w:rPr>
                <w:rFonts w:hint="eastAsia"/>
                <w:lang w:val="en-US" w:eastAsia="zh-CN"/>
              </w:rPr>
              <w:t>（1）所有货物按时全部交送到采购人指定地点后，由采购人组织相关人力、成交竞标人配合，按照采购文件、竞标文件、合同等文件资料对项目进行验收。（2）成交竞标人按要求提供完整合格产品，并完成设备的安装、调试和系统集成工作。</w:t>
            </w:r>
          </w:p>
          <w:p>
            <w:pPr>
              <w:rPr>
                <w:rFonts w:hint="eastAsia"/>
                <w:lang w:val="en-US" w:eastAsia="zh-CN"/>
              </w:rPr>
            </w:pPr>
            <w:r>
              <w:rPr>
                <w:rFonts w:hint="eastAsia"/>
                <w:lang w:val="en-US" w:eastAsia="zh-CN"/>
              </w:rPr>
              <w:t>（3）所有货物必须是具备厂家合法渠道的全新正品，交货时所有产品均严格按采购文件上的技术参数实质的要求、竞标人竞标和承诺的技术参数及性能和国家（设备制造国）等有关标准进行验收。参数不符合要求有权不予验收。</w:t>
            </w:r>
          </w:p>
          <w:p>
            <w:pPr>
              <w:rPr>
                <w:rFonts w:hint="eastAsia"/>
                <w:lang w:eastAsia="zh-CN"/>
              </w:rPr>
            </w:pPr>
            <w:r>
              <w:rPr>
                <w:rFonts w:hint="eastAsia"/>
                <w:lang w:val="en-US" w:eastAsia="zh-CN"/>
              </w:rPr>
              <w:t>（4）要求中标方在中标后7个工作日内，按照采购需求中的所有平台功能进行逐项功能演示，所有技术性能参数须满足要求。</w:t>
            </w:r>
          </w:p>
        </w:tc>
      </w:tr>
      <w:tr>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eastAsia="宋体"/>
                <w:lang w:val="en-US" w:eastAsia="zh-CN"/>
              </w:rPr>
            </w:pPr>
            <w:r>
              <w:rPr>
                <w:rFonts w:hint="eastAsia"/>
                <w:lang w:val="en-US" w:eastAsia="zh-CN"/>
              </w:rPr>
              <w:t>3</w:t>
            </w:r>
          </w:p>
        </w:tc>
        <w:tc>
          <w:tcPr>
            <w:tcW w:w="113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rPr>
            </w:pPr>
            <w:r>
              <w:rPr>
                <w:rFonts w:hint="eastAsia"/>
              </w:rPr>
              <w:t>售后服务</w:t>
            </w:r>
          </w:p>
        </w:tc>
        <w:tc>
          <w:tcPr>
            <w:tcW w:w="792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lang w:val="en-US" w:eastAsia="zh-CN"/>
              </w:rPr>
            </w:pPr>
            <w:r>
              <w:rPr>
                <w:rFonts w:hint="eastAsia"/>
                <w:lang w:val="en-US" w:eastAsia="zh-CN"/>
              </w:rPr>
              <w:t>1.售后服务</w:t>
            </w:r>
          </w:p>
          <w:p>
            <w:pPr>
              <w:rPr>
                <w:rFonts w:hint="eastAsia"/>
                <w:lang w:val="en-US" w:eastAsia="zh-CN"/>
              </w:rPr>
            </w:pPr>
            <w:r>
              <w:rPr>
                <w:rFonts w:hint="eastAsia"/>
                <w:lang w:val="en-US" w:eastAsia="zh-CN"/>
              </w:rPr>
              <w:t>（1）能在省内为客户提供服务支持。</w:t>
            </w:r>
          </w:p>
          <w:p>
            <w:pPr>
              <w:rPr>
                <w:rFonts w:hint="eastAsia"/>
                <w:lang w:val="en-US" w:eastAsia="zh-CN"/>
              </w:rPr>
            </w:pPr>
            <w:r>
              <w:rPr>
                <w:rFonts w:hint="eastAsia"/>
                <w:lang w:val="en-US" w:eastAsia="zh-CN"/>
              </w:rPr>
              <w:t>（1）使用培训：使用技巧培训，管理平台使用培训；培训3名以上网络管理人员，对系统进行操作培训。</w:t>
            </w:r>
          </w:p>
          <w:p>
            <w:pPr>
              <w:rPr>
                <w:rFonts w:hint="eastAsia"/>
                <w:lang w:val="en-US" w:eastAsia="zh-CN"/>
              </w:rPr>
            </w:pPr>
            <w:r>
              <w:rPr>
                <w:rFonts w:hint="eastAsia"/>
                <w:lang w:val="en-US" w:eastAsia="zh-CN"/>
              </w:rPr>
              <w:t>（2）技术支持：竞标人能提供本地化服务，7×24小时在线支持，7×8小时内接电话后30分钟内技术人员做出回应，并电话指导，2小时内到现场响应，4小时内维护完成。（合同签订前，须提供技术支持团队人员名单及响应截止之日前半年内连续三个月依法为技术人员缴纳社会保险参保缴费有效证明；提供实施经验证明材料，形式不限）</w:t>
            </w:r>
          </w:p>
          <w:p>
            <w:pPr>
              <w:rPr>
                <w:rFonts w:hint="eastAsia"/>
                <w:lang w:val="en-US" w:eastAsia="zh-CN"/>
              </w:rPr>
            </w:pPr>
            <w:r>
              <w:rPr>
                <w:rFonts w:hint="eastAsia"/>
                <w:lang w:val="en-US" w:eastAsia="zh-CN"/>
              </w:rPr>
              <w:t>2. 质保期后，成交竞标人应明确承诺继续优惠提供维护服务：</w:t>
            </w:r>
          </w:p>
          <w:p>
            <w:pPr>
              <w:rPr>
                <w:rFonts w:hint="eastAsia"/>
                <w:lang w:val="en-US" w:eastAsia="zh-CN"/>
              </w:rPr>
            </w:pPr>
            <w:r>
              <w:rPr>
                <w:rFonts w:hint="eastAsia"/>
                <w:lang w:val="en-US" w:eastAsia="zh-CN"/>
              </w:rPr>
              <w:t>（1）承诺提供系统升级、故障排除、性能调优、技术咨询等售后技术支持服务；</w:t>
            </w:r>
          </w:p>
          <w:p>
            <w:pPr>
              <w:rPr>
                <w:rFonts w:hint="eastAsia"/>
                <w:lang w:val="en-US" w:eastAsia="zh-CN"/>
              </w:rPr>
            </w:pPr>
            <w:r>
              <w:rPr>
                <w:rFonts w:hint="eastAsia"/>
                <w:lang w:val="en-US" w:eastAsia="zh-CN"/>
              </w:rPr>
              <w:t>（2）质保期内，软件必须提供免费提供软件补丁更新和技术支持（包括电话支持和在线支持），软件如有升级版本，授权对升级版本同样有效，软件在质保时间内出现新版本应免费升级。价格不得变动，新增计算机不再加收任何费用。</w:t>
            </w:r>
          </w:p>
          <w:p>
            <w:pPr>
              <w:rPr>
                <w:rFonts w:hint="eastAsia"/>
                <w:lang w:val="en-US" w:eastAsia="zh-CN"/>
              </w:rPr>
            </w:pPr>
            <w:r>
              <w:rPr>
                <w:rFonts w:hint="eastAsia"/>
                <w:lang w:val="en-US" w:eastAsia="zh-CN"/>
              </w:rPr>
              <w:t>（3）质保期后，应提交厂家售后服务电话，厂家技术人员联系手机，以便质保期后，采购方自行联系咨询技术人员；</w:t>
            </w:r>
          </w:p>
          <w:p>
            <w:pPr>
              <w:rPr>
                <w:rFonts w:hint="eastAsia"/>
                <w:lang w:val="en-US" w:eastAsia="zh-CN"/>
              </w:rPr>
            </w:pPr>
            <w:r>
              <w:rPr>
                <w:rFonts w:hint="eastAsia"/>
                <w:lang w:val="en-US" w:eastAsia="zh-CN"/>
              </w:rPr>
              <w:t>（4）免费质保期满前1个月内成交竞标人应负责对设备进行一次免费全面检查、维护，如发现潜在问题，应出具正式报告，并负责排除，保证设备正常运行；</w:t>
            </w:r>
          </w:p>
          <w:p>
            <w:pPr>
              <w:rPr>
                <w:rFonts w:hint="eastAsia"/>
                <w:lang w:val="en-US" w:eastAsia="zh-CN"/>
              </w:rPr>
            </w:pPr>
            <w:r>
              <w:rPr>
                <w:rFonts w:hint="eastAsia"/>
                <w:lang w:val="en-US" w:eastAsia="zh-CN"/>
              </w:rPr>
              <w:t>3. 竞标报价为采购方指定地点的现场交货价，包括：</w:t>
            </w:r>
          </w:p>
          <w:p>
            <w:pPr>
              <w:rPr>
                <w:rFonts w:hint="eastAsia"/>
                <w:lang w:val="en-US" w:eastAsia="zh-CN"/>
              </w:rPr>
            </w:pPr>
            <w:r>
              <w:rPr>
                <w:rFonts w:hint="eastAsia"/>
                <w:lang w:val="en-US" w:eastAsia="zh-CN"/>
              </w:rPr>
              <w:t>（1）货物及标准附件的价格；</w:t>
            </w:r>
          </w:p>
          <w:p>
            <w:pPr>
              <w:rPr>
                <w:rFonts w:hint="eastAsia"/>
                <w:lang w:val="en-US" w:eastAsia="zh-CN"/>
              </w:rPr>
            </w:pPr>
            <w:r>
              <w:rPr>
                <w:rFonts w:hint="eastAsia"/>
                <w:lang w:val="en-US" w:eastAsia="zh-CN"/>
              </w:rPr>
              <w:t>（2）其他费用（包括运输、装卸、软件部署、调试、培训、技术支持、售后服务、检测、更新升级等费用）；</w:t>
            </w:r>
          </w:p>
          <w:p>
            <w:pPr>
              <w:rPr>
                <w:rFonts w:hint="eastAsia"/>
                <w:lang w:val="en-US" w:eastAsia="zh-CN"/>
              </w:rPr>
            </w:pPr>
            <w:r>
              <w:rPr>
                <w:rFonts w:hint="eastAsia"/>
                <w:lang w:val="en-US" w:eastAsia="zh-CN"/>
              </w:rPr>
              <w:t>（3）必要的保险费用和各项税费；</w:t>
            </w:r>
          </w:p>
          <w:p>
            <w:pPr>
              <w:rPr>
                <w:rFonts w:hint="eastAsia"/>
                <w:lang w:val="en-US" w:eastAsia="zh-CN"/>
              </w:rPr>
            </w:pPr>
            <w:r>
              <w:rPr>
                <w:rFonts w:hint="eastAsia"/>
                <w:lang w:val="en-US" w:eastAsia="zh-CN"/>
              </w:rPr>
              <w:t>（4）安装费用（包括各类软件等的安装、集成、试运行等费用）；</w:t>
            </w:r>
          </w:p>
          <w:p>
            <w:pPr>
              <w:rPr>
                <w:rFonts w:hint="eastAsia"/>
                <w:lang w:val="en-US" w:eastAsia="zh-CN"/>
              </w:rPr>
            </w:pPr>
            <w:r>
              <w:rPr>
                <w:rFonts w:hint="eastAsia"/>
                <w:lang w:val="en-US" w:eastAsia="zh-CN"/>
              </w:rPr>
              <w:t>（5）培训费用（包括场地费、教材、考试费用等）；</w:t>
            </w:r>
          </w:p>
          <w:p>
            <w:pPr>
              <w:rPr>
                <w:rFonts w:hint="eastAsia"/>
                <w:lang w:val="en-US" w:eastAsia="zh-CN"/>
              </w:rPr>
            </w:pPr>
            <w:r>
              <w:rPr>
                <w:rFonts w:hint="eastAsia"/>
                <w:lang w:val="en-US" w:eastAsia="zh-CN"/>
              </w:rPr>
              <w:t>（6）与各类相关系统对接的费用；</w:t>
            </w:r>
          </w:p>
          <w:p>
            <w:pPr>
              <w:rPr>
                <w:rFonts w:hint="eastAsia"/>
                <w:lang w:val="en-US" w:eastAsia="zh-CN"/>
              </w:rPr>
            </w:pPr>
            <w:r>
              <w:rPr>
                <w:rFonts w:hint="eastAsia"/>
                <w:lang w:val="en-US" w:eastAsia="zh-CN"/>
              </w:rPr>
              <w:t>（7）包括项目整体验收各项费用；包含项目通过最终验收产生的费用，以及项目质保期的维保费用、服务期的技术服务费用；</w:t>
            </w:r>
          </w:p>
          <w:p>
            <w:pPr>
              <w:rPr>
                <w:rFonts w:hint="eastAsia"/>
                <w:lang w:val="en-US" w:eastAsia="zh-CN"/>
              </w:rPr>
            </w:pPr>
            <w:r>
              <w:rPr>
                <w:rFonts w:hint="eastAsia"/>
                <w:lang w:val="en-US" w:eastAsia="zh-CN"/>
              </w:rPr>
              <w:t>（8）包含整个项目所有需要的设备的采购、运输、安装、调试，运行环境布置；</w:t>
            </w:r>
          </w:p>
          <w:p>
            <w:pPr>
              <w:rPr>
                <w:rFonts w:hint="eastAsia"/>
              </w:rPr>
            </w:pPr>
            <w:r>
              <w:rPr>
                <w:rFonts w:hint="eastAsia"/>
                <w:lang w:val="en-US" w:eastAsia="zh-CN"/>
              </w:rPr>
              <w:t>（9）必要的设备安全设施（包含辅助设施）及措施费。</w:t>
            </w:r>
          </w:p>
        </w:tc>
      </w:tr>
      <w:tr>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eastAsia="宋体"/>
                <w:lang w:val="en-US" w:eastAsia="zh-CN"/>
              </w:rPr>
            </w:pPr>
            <w:r>
              <w:rPr>
                <w:rFonts w:hint="eastAsia"/>
                <w:lang w:val="en-US" w:eastAsia="zh-CN"/>
              </w:rPr>
              <w:t>4</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付款方式</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rPr>
                <w:rFonts w:hint="eastAsia"/>
                <w:lang w:val="en-US" w:eastAsia="zh-CN"/>
              </w:rPr>
            </w:pPr>
            <w:r>
              <w:rPr>
                <w:rFonts w:hint="eastAsia"/>
              </w:rPr>
              <w:t>合同签订后，供货达到100%，验收合格后10个工作日采购人向中标供应商支付合同全款。中标供应商须在采购人付款前，按付款金额提供</w:t>
            </w:r>
            <w:r>
              <w:rPr>
                <w:rFonts w:hint="eastAsia"/>
                <w:lang w:eastAsia="zh-CN"/>
              </w:rPr>
              <w:t>增值税专用</w:t>
            </w:r>
            <w:r>
              <w:rPr>
                <w:rFonts w:hint="eastAsia"/>
              </w:rPr>
              <w:t>发票给采购人。</w:t>
            </w:r>
          </w:p>
        </w:tc>
      </w:tr>
      <w:tr>
        <w:tblPrEx>
          <w:tblCellMar>
            <w:top w:w="0" w:type="dxa"/>
            <w:left w:w="0" w:type="dxa"/>
            <w:bottom w:w="0" w:type="dxa"/>
            <w:right w:w="0" w:type="dxa"/>
          </w:tblCellMar>
        </w:tblPrEx>
        <w:trPr>
          <w:trHeight w:val="918" w:hRule="atLeast"/>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eastAsia="宋体"/>
                <w:lang w:val="en-US" w:eastAsia="zh-CN"/>
              </w:rPr>
            </w:pPr>
            <w:r>
              <w:rPr>
                <w:rFonts w:hint="eastAsia"/>
                <w:lang w:val="en-US" w:eastAsia="zh-CN"/>
              </w:rPr>
              <w:t>5</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履约保证金</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rPr>
                <w:rFonts w:hint="eastAsia"/>
              </w:rPr>
            </w:pPr>
            <w:r>
              <w:rPr>
                <w:rFonts w:hint="eastAsia"/>
              </w:rPr>
              <w:t>1.履约保证金金额：按中标金额的5%交纳（符合政府采购支持中小企业发展政策的按2%）。</w:t>
            </w:r>
          </w:p>
          <w:p>
            <w:pPr>
              <w:rPr>
                <w:rFonts w:hint="eastAsia"/>
              </w:rPr>
            </w:pPr>
            <w:r>
              <w:rPr>
                <w:rFonts w:hint="eastAsia"/>
              </w:rPr>
              <w:t>2.履约保证金递交方式：以电汇、转账、汇票、</w:t>
            </w:r>
            <w:r>
              <w:rPr>
                <w:rFonts w:hint="eastAsia"/>
                <w:lang w:val="en-US" w:eastAsia="zh-CN"/>
              </w:rPr>
              <w:t>金融机构或担保机构出具的</w:t>
            </w:r>
            <w:r>
              <w:rPr>
                <w:rFonts w:hint="eastAsia"/>
              </w:rPr>
              <w:t>保函等非现金形式提交。非保函形式由中标人在签订合同前按规定的金额直接缴入广西机电职业技术学院账户，账户名称: 广西机电职业技术学院；开户行：建设银行南宁</w:t>
            </w:r>
            <w:r>
              <w:rPr>
                <w:rFonts w:hint="eastAsia"/>
                <w:lang w:val="en-US" w:eastAsia="zh-CN"/>
              </w:rPr>
              <w:t>市</w:t>
            </w:r>
            <w:r>
              <w:rPr>
                <w:rFonts w:hint="eastAsia"/>
              </w:rPr>
              <w:t>大学路支行；银行账号：4500 1604 8510 5050 3961。</w:t>
            </w:r>
          </w:p>
          <w:p>
            <w:pPr>
              <w:rPr>
                <w:rFonts w:hint="eastAsia"/>
              </w:rPr>
            </w:pPr>
            <w:r>
              <w:rPr>
                <w:rFonts w:hint="eastAsia"/>
              </w:rPr>
              <w:t>如乙方采用保函形式缴纳履约保证金的，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rPr>
                <w:rFonts w:hint="eastAsia"/>
              </w:rPr>
            </w:pPr>
            <w:r>
              <w:rPr>
                <w:rFonts w:hint="eastAsia"/>
              </w:rPr>
              <w:t>中标人须在</w:t>
            </w:r>
            <w:r>
              <w:rPr>
                <w:rFonts w:hint="eastAsia"/>
                <w:lang w:val="en-US" w:eastAsia="zh-CN"/>
              </w:rPr>
              <w:t>成交通知书之日起5个工作日内</w:t>
            </w:r>
            <w:r>
              <w:rPr>
                <w:rFonts w:hint="eastAsia"/>
              </w:rPr>
              <w:t>按照本条规定的履约保证金金额、递交方式直接转入采购人账户，否则不予签订合同。质保期满一年后提交相关申请材料进行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pPr>
              <w:rPr>
                <w:rFonts w:hint="eastAsia"/>
                <w:lang w:val="en-US" w:eastAsia="zh-CN"/>
              </w:rPr>
            </w:pPr>
            <w:r>
              <w:rPr>
                <w:rFonts w:hint="eastAsia"/>
              </w:rPr>
              <w:t>4.在履约保证金退还日期前，若中标人的开户名称、开户银行、账号有变动的，请以书面形式通知广西机电职业技术学院，否则由此产生的后果由中标人自负。</w:t>
            </w:r>
          </w:p>
        </w:tc>
      </w:tr>
      <w:tr>
        <w:tblPrEx>
          <w:tblCellMar>
            <w:top w:w="0" w:type="dxa"/>
            <w:left w:w="0" w:type="dxa"/>
            <w:bottom w:w="0" w:type="dxa"/>
            <w:right w:w="0" w:type="dxa"/>
          </w:tblCellMar>
        </w:tblPrEx>
        <w:trPr>
          <w:jc w:val="center"/>
        </w:trPr>
        <w:tc>
          <w:tcPr>
            <w:tcW w:w="66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eastAsia="宋体"/>
                <w:lang w:val="en-US" w:eastAsia="zh-CN"/>
              </w:rPr>
            </w:pPr>
            <w:r>
              <w:rPr>
                <w:rFonts w:hint="eastAsia"/>
                <w:lang w:val="en-US" w:eastAsia="zh-CN"/>
              </w:rPr>
              <w:t>6</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其他要求</w:t>
            </w:r>
          </w:p>
        </w:tc>
        <w:tc>
          <w:tcPr>
            <w:tcW w:w="792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rPr>
                <w:rFonts w:hint="eastAsia"/>
              </w:rPr>
            </w:pPr>
            <w:r>
              <w:rPr>
                <w:rFonts w:hint="eastAsia"/>
              </w:rPr>
              <w:t>1.报价必须包含安装、调试、各种附材、附加培训、售后服务、税金及其他所有可能发生的一切费用。采购人不再支付任何费用；</w:t>
            </w:r>
          </w:p>
          <w:p>
            <w:pPr>
              <w:rPr>
                <w:rFonts w:hint="eastAsia"/>
              </w:rPr>
            </w:pPr>
            <w:r>
              <w:rPr>
                <w:rFonts w:hint="eastAsia"/>
                <w:lang w:eastAsia="zh-CN"/>
              </w:rPr>
              <w:t>▲</w:t>
            </w:r>
            <w:r>
              <w:rPr>
                <w:rFonts w:hint="eastAsia"/>
                <w:lang w:val="en-US" w:eastAsia="zh-CN"/>
              </w:rPr>
              <w:t>2</w:t>
            </w:r>
            <w:r>
              <w:rPr>
                <w:rFonts w:hint="eastAsia"/>
              </w:rPr>
              <w:t>.投标供应商必须实质性能够满足产品带</w:t>
            </w:r>
            <w:r>
              <w:rPr>
                <w:rFonts w:hint="eastAsia"/>
                <w:lang w:eastAsia="zh-CN"/>
              </w:rPr>
              <w:t>▲</w:t>
            </w:r>
            <w:r>
              <w:rPr>
                <w:rFonts w:hint="eastAsia"/>
              </w:rPr>
              <w:t>参数要求，为避免假冒伪劣产品；为避免收到过期货、次货等拆改配产品，交付的产品必须是全新产品。对不能满足参数要求，或者无法正常交货，或者提供非原厂产品影响业主使用的，采购人有权取消合同，并保留对成交人追究相关责任的权利。</w:t>
            </w:r>
          </w:p>
          <w:p>
            <w:pPr>
              <w:rPr>
                <w:rFonts w:hint="eastAsia"/>
                <w:lang w:val="en-US" w:eastAsia="zh-CN"/>
              </w:rPr>
            </w:pPr>
            <w:r>
              <w:rPr>
                <w:rFonts w:hint="eastAsia"/>
                <w:lang w:val="en-US" w:eastAsia="zh-CN"/>
              </w:rPr>
              <w:t>3</w:t>
            </w:r>
            <w:r>
              <w:rPr>
                <w:rFonts w:hint="eastAsia"/>
              </w:rPr>
              <w:t xml:space="preserve">.验收时，采购方将严格按照采购文件要求进行验收。验收不合格的，采购人有权取消合同，成交供应商需承担被采购人终止合同的一切风险和费用。                                                                                                                                                 </w:t>
            </w:r>
          </w:p>
        </w:tc>
      </w:tr>
    </w:tbl>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w:t>
    </w:r>
    <w:r>
      <w:fldChar w:fldCharType="begin"/>
    </w:r>
    <w:r>
      <w:instrText xml:space="preserve"> PAGE   \* MERGEFORMAT </w:instrText>
    </w:r>
    <w:r>
      <w:fldChar w:fldCharType="separate"/>
    </w:r>
    <w:r>
      <w:rPr>
        <w:lang w:val="zh-CN"/>
      </w:rPr>
      <w:t>11</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w:t>
    </w:r>
    <w:r>
      <w:fldChar w:fldCharType="begin"/>
    </w:r>
    <w:r>
      <w:instrText xml:space="preserve"> PAGE   \* MERGEFORMAT </w:instrText>
    </w:r>
    <w:r>
      <w:fldChar w:fldCharType="separate"/>
    </w:r>
    <w:r>
      <w:rPr>
        <w:lang w:val="zh-CN"/>
      </w:rPr>
      <w:t>28</w:t>
    </w:r>
    <w:r>
      <w:fldChar w:fldCharType="end"/>
    </w:r>
    <w:r>
      <w:rPr>
        <w:rFonts w:hint="eastAsia"/>
      </w:rPr>
      <w:t>—</w:t>
    </w: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jcyZGY3Njg1NWFmZDBjYTkyYjkyNDQyMzQwNzYifQ=="/>
  </w:docVars>
  <w:rsids>
    <w:rsidRoot w:val="46CC4EEC"/>
    <w:rsid w:val="00010260"/>
    <w:rsid w:val="00016B1E"/>
    <w:rsid w:val="00082BDB"/>
    <w:rsid w:val="00093070"/>
    <w:rsid w:val="00094ACE"/>
    <w:rsid w:val="00097532"/>
    <w:rsid w:val="000B45CE"/>
    <w:rsid w:val="000D6293"/>
    <w:rsid w:val="000E31A6"/>
    <w:rsid w:val="00111FAE"/>
    <w:rsid w:val="001443A8"/>
    <w:rsid w:val="00170020"/>
    <w:rsid w:val="00170C67"/>
    <w:rsid w:val="001A6FBE"/>
    <w:rsid w:val="001B0815"/>
    <w:rsid w:val="001D6A0F"/>
    <w:rsid w:val="002039E5"/>
    <w:rsid w:val="00205784"/>
    <w:rsid w:val="00263F81"/>
    <w:rsid w:val="002641B6"/>
    <w:rsid w:val="00274899"/>
    <w:rsid w:val="002C6CAD"/>
    <w:rsid w:val="002D2001"/>
    <w:rsid w:val="00312312"/>
    <w:rsid w:val="0039323D"/>
    <w:rsid w:val="0039745A"/>
    <w:rsid w:val="003A6861"/>
    <w:rsid w:val="00433905"/>
    <w:rsid w:val="0043550C"/>
    <w:rsid w:val="00484503"/>
    <w:rsid w:val="004D6FF4"/>
    <w:rsid w:val="00612CC8"/>
    <w:rsid w:val="0065125B"/>
    <w:rsid w:val="00675B28"/>
    <w:rsid w:val="0069316F"/>
    <w:rsid w:val="006A6340"/>
    <w:rsid w:val="006B1558"/>
    <w:rsid w:val="006B1C5F"/>
    <w:rsid w:val="006C4ED6"/>
    <w:rsid w:val="006E5EE3"/>
    <w:rsid w:val="007230FC"/>
    <w:rsid w:val="00746196"/>
    <w:rsid w:val="007A0551"/>
    <w:rsid w:val="007A5CD1"/>
    <w:rsid w:val="007A65EF"/>
    <w:rsid w:val="007B42F4"/>
    <w:rsid w:val="007F21C3"/>
    <w:rsid w:val="007F3C29"/>
    <w:rsid w:val="0081120C"/>
    <w:rsid w:val="00841CEE"/>
    <w:rsid w:val="00876242"/>
    <w:rsid w:val="009049EE"/>
    <w:rsid w:val="009274C3"/>
    <w:rsid w:val="00961F2B"/>
    <w:rsid w:val="009B226C"/>
    <w:rsid w:val="009E10B5"/>
    <w:rsid w:val="00A2283B"/>
    <w:rsid w:val="00A279AD"/>
    <w:rsid w:val="00A34D9E"/>
    <w:rsid w:val="00A75E0C"/>
    <w:rsid w:val="00A83F5E"/>
    <w:rsid w:val="00AD771E"/>
    <w:rsid w:val="00B03F9C"/>
    <w:rsid w:val="00B444F4"/>
    <w:rsid w:val="00B5770F"/>
    <w:rsid w:val="00B93779"/>
    <w:rsid w:val="00BB15A3"/>
    <w:rsid w:val="00BC6334"/>
    <w:rsid w:val="00C1044B"/>
    <w:rsid w:val="00C20A7C"/>
    <w:rsid w:val="00C35C93"/>
    <w:rsid w:val="00C517C5"/>
    <w:rsid w:val="00C75E2A"/>
    <w:rsid w:val="00D13C7D"/>
    <w:rsid w:val="00D61589"/>
    <w:rsid w:val="00D85CC8"/>
    <w:rsid w:val="00DB0298"/>
    <w:rsid w:val="00DD1081"/>
    <w:rsid w:val="00E03282"/>
    <w:rsid w:val="00E44CE7"/>
    <w:rsid w:val="00EA3303"/>
    <w:rsid w:val="00EB24C4"/>
    <w:rsid w:val="00EC0525"/>
    <w:rsid w:val="00EC6AF7"/>
    <w:rsid w:val="00EE58E2"/>
    <w:rsid w:val="00F22C7B"/>
    <w:rsid w:val="00F329BA"/>
    <w:rsid w:val="00FB7BFA"/>
    <w:rsid w:val="00FE4800"/>
    <w:rsid w:val="00FF6C6E"/>
    <w:rsid w:val="022A49B8"/>
    <w:rsid w:val="032913BD"/>
    <w:rsid w:val="03C73B41"/>
    <w:rsid w:val="03F577A0"/>
    <w:rsid w:val="05614B95"/>
    <w:rsid w:val="05767C4E"/>
    <w:rsid w:val="05CD6CDE"/>
    <w:rsid w:val="076A5F83"/>
    <w:rsid w:val="07E605AE"/>
    <w:rsid w:val="07F113FB"/>
    <w:rsid w:val="09B27948"/>
    <w:rsid w:val="0A166499"/>
    <w:rsid w:val="0C0C1BFC"/>
    <w:rsid w:val="0C436648"/>
    <w:rsid w:val="0C4710EE"/>
    <w:rsid w:val="0C632FA1"/>
    <w:rsid w:val="0CCA1272"/>
    <w:rsid w:val="0E4F0DBA"/>
    <w:rsid w:val="0EB65C01"/>
    <w:rsid w:val="10646263"/>
    <w:rsid w:val="106B528C"/>
    <w:rsid w:val="10DD3E69"/>
    <w:rsid w:val="10ED552F"/>
    <w:rsid w:val="126267CB"/>
    <w:rsid w:val="128F15C7"/>
    <w:rsid w:val="13520775"/>
    <w:rsid w:val="14941ADD"/>
    <w:rsid w:val="14C81165"/>
    <w:rsid w:val="154D4080"/>
    <w:rsid w:val="15C43DF8"/>
    <w:rsid w:val="18AB28DA"/>
    <w:rsid w:val="18BA6844"/>
    <w:rsid w:val="18CF0C41"/>
    <w:rsid w:val="194B652E"/>
    <w:rsid w:val="199571A7"/>
    <w:rsid w:val="199E0BE4"/>
    <w:rsid w:val="1AC635A4"/>
    <w:rsid w:val="1AFB5E6F"/>
    <w:rsid w:val="1B383425"/>
    <w:rsid w:val="1C1543A1"/>
    <w:rsid w:val="1C6074FD"/>
    <w:rsid w:val="1D98335A"/>
    <w:rsid w:val="1E292C50"/>
    <w:rsid w:val="1E4D4170"/>
    <w:rsid w:val="1E8B3912"/>
    <w:rsid w:val="1EA73389"/>
    <w:rsid w:val="1EEE58C1"/>
    <w:rsid w:val="1F900D22"/>
    <w:rsid w:val="1FBC5564"/>
    <w:rsid w:val="20CB42AA"/>
    <w:rsid w:val="21030184"/>
    <w:rsid w:val="2194307F"/>
    <w:rsid w:val="21E629EF"/>
    <w:rsid w:val="221E6CE3"/>
    <w:rsid w:val="22287559"/>
    <w:rsid w:val="23C53E01"/>
    <w:rsid w:val="24F534F5"/>
    <w:rsid w:val="24F829C8"/>
    <w:rsid w:val="254A32CA"/>
    <w:rsid w:val="25662520"/>
    <w:rsid w:val="258E4981"/>
    <w:rsid w:val="28E61DBE"/>
    <w:rsid w:val="296254CD"/>
    <w:rsid w:val="29C44A84"/>
    <w:rsid w:val="2B822CF9"/>
    <w:rsid w:val="2BB7058F"/>
    <w:rsid w:val="2C0C6D59"/>
    <w:rsid w:val="2C9D304A"/>
    <w:rsid w:val="2CC41DF2"/>
    <w:rsid w:val="2D912B4E"/>
    <w:rsid w:val="2E460850"/>
    <w:rsid w:val="2E56171D"/>
    <w:rsid w:val="2EA267D3"/>
    <w:rsid w:val="2EB84B56"/>
    <w:rsid w:val="2F3604EF"/>
    <w:rsid w:val="327E4372"/>
    <w:rsid w:val="331E6DD1"/>
    <w:rsid w:val="354A3A6D"/>
    <w:rsid w:val="35527ED3"/>
    <w:rsid w:val="366E72C2"/>
    <w:rsid w:val="36713175"/>
    <w:rsid w:val="370C4F08"/>
    <w:rsid w:val="37E666B0"/>
    <w:rsid w:val="38720847"/>
    <w:rsid w:val="38AA6F64"/>
    <w:rsid w:val="38D4168D"/>
    <w:rsid w:val="38F75552"/>
    <w:rsid w:val="39BF40BB"/>
    <w:rsid w:val="39E05E9F"/>
    <w:rsid w:val="39E85417"/>
    <w:rsid w:val="3AC20FB6"/>
    <w:rsid w:val="3AF147F4"/>
    <w:rsid w:val="3BB0256F"/>
    <w:rsid w:val="3F0264C5"/>
    <w:rsid w:val="40477349"/>
    <w:rsid w:val="42E3216A"/>
    <w:rsid w:val="44EB6654"/>
    <w:rsid w:val="452A555F"/>
    <w:rsid w:val="46CC4EEC"/>
    <w:rsid w:val="47885A8B"/>
    <w:rsid w:val="48C20A74"/>
    <w:rsid w:val="491C14A9"/>
    <w:rsid w:val="4A0250DD"/>
    <w:rsid w:val="4A07434C"/>
    <w:rsid w:val="4A26320D"/>
    <w:rsid w:val="4A4B6D70"/>
    <w:rsid w:val="4AAC2115"/>
    <w:rsid w:val="4AAE4F98"/>
    <w:rsid w:val="4B9A1D12"/>
    <w:rsid w:val="4BCC4650"/>
    <w:rsid w:val="4C8604CC"/>
    <w:rsid w:val="4CF80452"/>
    <w:rsid w:val="4D1B3682"/>
    <w:rsid w:val="4E6D535B"/>
    <w:rsid w:val="4ED1099E"/>
    <w:rsid w:val="514F39DB"/>
    <w:rsid w:val="522A5235"/>
    <w:rsid w:val="52657C81"/>
    <w:rsid w:val="526966F2"/>
    <w:rsid w:val="549B7C38"/>
    <w:rsid w:val="551B35F6"/>
    <w:rsid w:val="55284354"/>
    <w:rsid w:val="55705593"/>
    <w:rsid w:val="55AE5EB3"/>
    <w:rsid w:val="55BB4AE3"/>
    <w:rsid w:val="564230D0"/>
    <w:rsid w:val="576E0BE1"/>
    <w:rsid w:val="589F3298"/>
    <w:rsid w:val="58EC1F26"/>
    <w:rsid w:val="58FE2C0B"/>
    <w:rsid w:val="59D867DD"/>
    <w:rsid w:val="5A3F4CC4"/>
    <w:rsid w:val="5DFC697C"/>
    <w:rsid w:val="5F7C27FE"/>
    <w:rsid w:val="60345B9C"/>
    <w:rsid w:val="61131A15"/>
    <w:rsid w:val="612601D5"/>
    <w:rsid w:val="624D5B98"/>
    <w:rsid w:val="63716EC6"/>
    <w:rsid w:val="63B06228"/>
    <w:rsid w:val="644F6BA0"/>
    <w:rsid w:val="64C43C1E"/>
    <w:rsid w:val="65FD286B"/>
    <w:rsid w:val="673F75CD"/>
    <w:rsid w:val="67D219AD"/>
    <w:rsid w:val="68B006AB"/>
    <w:rsid w:val="69940E39"/>
    <w:rsid w:val="6A413C9F"/>
    <w:rsid w:val="6ABB174A"/>
    <w:rsid w:val="6AFC53DE"/>
    <w:rsid w:val="6B1F3E2C"/>
    <w:rsid w:val="6B481837"/>
    <w:rsid w:val="6BD67D00"/>
    <w:rsid w:val="6BD95A83"/>
    <w:rsid w:val="6DCC59F9"/>
    <w:rsid w:val="6F0C71EC"/>
    <w:rsid w:val="6F401F5A"/>
    <w:rsid w:val="6F8A1A3C"/>
    <w:rsid w:val="6FCA277F"/>
    <w:rsid w:val="70D0347E"/>
    <w:rsid w:val="70D87E5D"/>
    <w:rsid w:val="72DA014C"/>
    <w:rsid w:val="73A3071D"/>
    <w:rsid w:val="74D96E26"/>
    <w:rsid w:val="750D6524"/>
    <w:rsid w:val="75E67B69"/>
    <w:rsid w:val="76AB142F"/>
    <w:rsid w:val="772174D7"/>
    <w:rsid w:val="78106D28"/>
    <w:rsid w:val="78C72841"/>
    <w:rsid w:val="79002EFD"/>
    <w:rsid w:val="796C2286"/>
    <w:rsid w:val="7A4F21E6"/>
    <w:rsid w:val="7B1B70C3"/>
    <w:rsid w:val="7B2C7E4B"/>
    <w:rsid w:val="7D6A71D8"/>
    <w:rsid w:val="7DCF14A8"/>
    <w:rsid w:val="7EB6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rFonts w:ascii="Calibri" w:hAnsi="Calibri"/>
      <w:sz w:val="24"/>
    </w:rPr>
  </w:style>
  <w:style w:type="character" w:styleId="9">
    <w:name w:val="FollowedHyperlink"/>
    <w:basedOn w:val="8"/>
    <w:autoRedefine/>
    <w:qFormat/>
    <w:uiPriority w:val="0"/>
    <w:rPr>
      <w:color w:val="7E1FAD" w:themeColor="followedHyperlink"/>
      <w:u w:val="single"/>
      <w14:textFill>
        <w14:solidFill>
          <w14:schemeClr w14:val="folHlink"/>
        </w14:solidFill>
      </w14:textFill>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 w:type="character" w:styleId="12">
    <w:name w:val="annotation reference"/>
    <w:basedOn w:val="8"/>
    <w:autoRedefine/>
    <w:qFormat/>
    <w:uiPriority w:val="0"/>
    <w:rPr>
      <w:sz w:val="21"/>
      <w:szCs w:val="21"/>
    </w:rPr>
  </w:style>
  <w:style w:type="character" w:customStyle="1" w:styleId="13">
    <w:name w:val="页眉 字符"/>
    <w:basedOn w:val="8"/>
    <w:link w:val="5"/>
    <w:autoRedefine/>
    <w:qFormat/>
    <w:uiPriority w:val="0"/>
    <w:rPr>
      <w:rFonts w:ascii="Times New Roman" w:hAnsi="Times New Roman" w:eastAsia="宋体" w:cs="Times New Roman"/>
      <w:kern w:val="2"/>
      <w:sz w:val="18"/>
      <w:szCs w:val="18"/>
    </w:rPr>
  </w:style>
  <w:style w:type="paragraph" w:customStyle="1" w:styleId="14">
    <w:name w:val="Char Char Char3"/>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15">
    <w:name w:val="标题 1 字符"/>
    <w:basedOn w:val="8"/>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3738</Words>
  <Characters>4036</Characters>
  <Lines>103</Lines>
  <Paragraphs>29</Paragraphs>
  <TotalTime>1</TotalTime>
  <ScaleCrop>false</ScaleCrop>
  <LinksUpToDate>false</LinksUpToDate>
  <CharactersWithSpaces>4207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2024-11-25T07:27:00Z</dcterms:created>
  <dc:creator>GXCG</dc:creator>
  <cp:lastModifiedBy>洪哥</cp:lastModifiedBy>
  <dcterms:modified xsi:type="dcterms:W3CDTF">2025-11-08T05:54:00Z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18907B125D184904B7B348B8CBE542AA_13</vt:lpwstr>
  </property>
  <property fmtid="{D5CDD505-2E9C-101B-9397-08002B2CF9AE}" pid="4" name="KSOTemplateDocerSaveRecord">
    <vt:lpwstr>eyJoZGlkIjoiNzU2OGQwOWI4YzdiZjlmODAzYjViYTY2OWY5YjNiYjQiLCJ1c2VySWQiOiIxMDYyMTk3MTQ0In0=</vt:lpwstr>
  </property>
</Properties>
</file>