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bookmarkStart w:id="29" w:name="_GoBack"/>
      <w:r>
        <w:rPr>
          <w:rFonts w:hint="eastAsia" w:ascii="方正小标宋_GBK" w:eastAsia="方正小标宋_GBK"/>
          <w:color w:val="000000" w:themeColor="text1"/>
          <w:sz w:val="30"/>
          <w:szCs w:val="30"/>
          <w:highlight w:val="none"/>
          <w14:textFill>
            <w14:solidFill>
              <w14:schemeClr w14:val="tx1"/>
            </w14:solidFill>
          </w14:textFill>
        </w:rPr>
        <w:t>范本编号：SGCC-02-FWGK(202</w:t>
      </w:r>
      <w:r>
        <w:rPr>
          <w:rFonts w:hint="eastAsia" w:ascii="方正小标宋_GBK" w:eastAsia="方正小标宋_GBK"/>
          <w:color w:val="000000" w:themeColor="text1"/>
          <w:sz w:val="30"/>
          <w:szCs w:val="30"/>
          <w:highlight w:val="none"/>
          <w:lang w:val="en-US" w:eastAsia="zh-CN"/>
          <w14:textFill>
            <w14:solidFill>
              <w14:schemeClr w14:val="tx1"/>
            </w14:solidFill>
          </w14:textFill>
        </w:rPr>
        <w:t>5</w:t>
      </w:r>
      <w:r>
        <w:rPr>
          <w:rFonts w:hint="eastAsia" w:ascii="方正小标宋_GBK" w:eastAsia="方正小标宋_GBK"/>
          <w:color w:val="000000" w:themeColor="text1"/>
          <w:sz w:val="30"/>
          <w:szCs w:val="30"/>
          <w:highlight w:val="none"/>
          <w14:textFill>
            <w14:solidFill>
              <w14:schemeClr w14:val="tx1"/>
            </w14:solidFill>
          </w14:textFill>
        </w:rPr>
        <w:t>)</w:t>
      </w: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pStyle w:val="12"/>
        <w:ind w:firstLine="0"/>
        <w:rPr>
          <w:highlight w:val="none"/>
        </w:rPr>
      </w:pPr>
    </w:p>
    <w:p>
      <w:pPr>
        <w:snapToGrid w:val="0"/>
        <w:spacing w:line="800" w:lineRule="exact"/>
        <w:jc w:val="center"/>
        <w:rPr>
          <w:rFonts w:hint="eastAsia" w:ascii="方正小标宋_GBK" w:eastAsia="方正小标宋_GBK"/>
          <w:b/>
          <w:color w:val="000000" w:themeColor="text1"/>
          <w:sz w:val="36"/>
          <w:szCs w:val="36"/>
          <w:highlight w:val="none"/>
          <w14:textFill>
            <w14:solidFill>
              <w14:schemeClr w14:val="tx1"/>
            </w14:solidFill>
          </w14:textFill>
        </w:rPr>
      </w:pPr>
      <w:r>
        <w:rPr>
          <w:rFonts w:hint="eastAsia" w:ascii="方正小标宋_GBK" w:eastAsia="方正小标宋_GBK"/>
          <w:b/>
          <w:color w:val="000000" w:themeColor="text1"/>
          <w:sz w:val="36"/>
          <w:szCs w:val="36"/>
          <w:highlight w:val="none"/>
          <w14:textFill>
            <w14:solidFill>
              <w14:schemeClr w14:val="tx1"/>
            </w14:solidFill>
          </w14:textFill>
        </w:rPr>
        <w:t>国网福建电力2025年原集体企业第五次服务类区域联合授权框架协议公开竞争性谈判采购</w:t>
      </w:r>
    </w:p>
    <w:p>
      <w:pPr>
        <w:snapToGrid w:val="0"/>
        <w:spacing w:line="800" w:lineRule="exact"/>
        <w:jc w:val="center"/>
        <w:rPr>
          <w:rFonts w:hint="eastAsia" w:ascii="方正小标宋_GBK" w:eastAsia="方正小标宋_GBK"/>
          <w:b/>
          <w:color w:val="000000" w:themeColor="text1"/>
          <w:sz w:val="36"/>
          <w:szCs w:val="36"/>
          <w:highlight w:val="none"/>
          <w:lang w:eastAsia="zh-CN"/>
          <w14:textFill>
            <w14:solidFill>
              <w14:schemeClr w14:val="tx1"/>
            </w14:solidFill>
          </w14:textFill>
        </w:rPr>
      </w:pPr>
      <w:r>
        <w:rPr>
          <w:rFonts w:hint="eastAsia" w:ascii="方正小标宋_GBK" w:eastAsia="方正小标宋_GBK"/>
          <w:b/>
          <w:color w:val="000000" w:themeColor="text1"/>
          <w:sz w:val="36"/>
          <w:szCs w:val="36"/>
          <w:highlight w:val="none"/>
          <w14:textFill>
            <w14:solidFill>
              <w14:schemeClr w14:val="tx1"/>
            </w14:solidFill>
          </w14:textFill>
        </w:rPr>
        <w:t>采购</w:t>
      </w:r>
      <w:r>
        <w:rPr>
          <w:rFonts w:hint="eastAsia" w:ascii="方正小标宋_GBK" w:eastAsia="方正小标宋_GBK"/>
          <w:b/>
          <w:color w:val="000000" w:themeColor="text1"/>
          <w:sz w:val="36"/>
          <w:szCs w:val="36"/>
          <w:highlight w:val="none"/>
          <w:lang w:eastAsia="zh-CN"/>
          <w14:textFill>
            <w14:solidFill>
              <w14:schemeClr w14:val="tx1"/>
            </w14:solidFill>
          </w14:textFill>
        </w:rPr>
        <w:t>公告</w:t>
      </w: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p>
      <w:pPr>
        <w:adjustRightInd w:val="0"/>
        <w:snapToGrid w:val="0"/>
        <w:spacing w:line="360" w:lineRule="auto"/>
        <w:jc w:val="center"/>
        <w:rPr>
          <w:rFonts w:hint="eastAsia" w:ascii="黑体" w:eastAsia="黑体"/>
          <w:color w:val="000000" w:themeColor="text1"/>
          <w:sz w:val="30"/>
          <w:szCs w:val="32"/>
          <w:highlight w:val="none"/>
          <w:lang w:eastAsia="zh-CN"/>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采购人：</w:t>
      </w:r>
      <w:r>
        <w:rPr>
          <w:rFonts w:hint="eastAsia" w:ascii="黑体" w:eastAsia="黑体"/>
          <w:color w:val="000000" w:themeColor="text1"/>
          <w:sz w:val="30"/>
          <w:szCs w:val="32"/>
          <w:highlight w:val="none"/>
          <w:lang w:eastAsia="zh-CN"/>
          <w14:textFill>
            <w14:solidFill>
              <w14:schemeClr w14:val="tx1"/>
            </w14:solidFill>
          </w14:textFill>
        </w:rPr>
        <w:t>国网福建省电力有限公司漳州供电公司</w:t>
      </w:r>
    </w:p>
    <w:p>
      <w:pPr>
        <w:adjustRightInd w:val="0"/>
        <w:snapToGrid w:val="0"/>
        <w:spacing w:line="360" w:lineRule="auto"/>
        <w:jc w:val="center"/>
        <w:rPr>
          <w:rFonts w:ascii="黑体" w:eastAsia="黑体"/>
          <w:color w:val="000000" w:themeColor="text1"/>
          <w:sz w:val="30"/>
          <w:szCs w:val="32"/>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采购代理机构：福建省电力建设工程咨询有限公司</w:t>
      </w:r>
    </w:p>
    <w:p>
      <w:pPr>
        <w:jc w:val="center"/>
        <w:rPr>
          <w:color w:val="000000" w:themeColor="text1"/>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二〇二</w:t>
      </w:r>
      <w:r>
        <w:rPr>
          <w:rFonts w:hint="eastAsia" w:ascii="黑体" w:eastAsia="黑体"/>
          <w:color w:val="000000" w:themeColor="text1"/>
          <w:sz w:val="30"/>
          <w:szCs w:val="32"/>
          <w:highlight w:val="none"/>
          <w:lang w:val="en-US" w:eastAsia="zh-CN"/>
          <w14:textFill>
            <w14:solidFill>
              <w14:schemeClr w14:val="tx1"/>
            </w14:solidFill>
          </w14:textFill>
        </w:rPr>
        <w:t>五</w:t>
      </w:r>
      <w:r>
        <w:rPr>
          <w:rFonts w:hint="eastAsia" w:ascii="黑体" w:eastAsia="黑体"/>
          <w:color w:val="000000" w:themeColor="text1"/>
          <w:sz w:val="30"/>
          <w:szCs w:val="32"/>
          <w:highlight w:val="none"/>
          <w14:textFill>
            <w14:solidFill>
              <w14:schemeClr w14:val="tx1"/>
            </w14:solidFill>
          </w14:textFill>
        </w:rPr>
        <w:t>年</w:t>
      </w:r>
    </w:p>
    <w:p>
      <w:pPr>
        <w:widowControl/>
        <w:ind w:firstLine="640"/>
        <w:rPr>
          <w:rFonts w:eastAsia="黑体"/>
          <w:color w:val="000000" w:themeColor="text1"/>
          <w:sz w:val="32"/>
          <w:highlight w:val="none"/>
          <w14:textFill>
            <w14:solidFill>
              <w14:schemeClr w14:val="tx1"/>
            </w14:solidFill>
          </w14:textFill>
        </w:rPr>
      </w:pPr>
    </w:p>
    <w:p>
      <w:pPr>
        <w:adjustRightInd w:val="0"/>
        <w:snapToGrid w:val="0"/>
        <w:ind w:firstLine="562"/>
        <w:jc w:val="center"/>
        <w:outlineLvl w:val="0"/>
        <w:rPr>
          <w:rFonts w:ascii="黑体" w:eastAsia="黑体"/>
          <w:b/>
          <w:color w:val="000000" w:themeColor="text1"/>
          <w:sz w:val="28"/>
          <w:szCs w:val="28"/>
          <w:highlight w:val="none"/>
          <w14:textFill>
            <w14:solidFill>
              <w14:schemeClr w14:val="tx1"/>
            </w14:solidFill>
          </w14:textFill>
        </w:rPr>
        <w:sectPr>
          <w:headerReference r:id="rId4" w:type="first"/>
          <w:footerReference r:id="rId6" w:type="first"/>
          <w:headerReference r:id="rId3" w:type="default"/>
          <w:footerReference r:id="rId5" w:type="default"/>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p>
    <w:p>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0"/>
        <w:rPr>
          <w:rFonts w:ascii="黑体" w:eastAsia="黑体"/>
          <w:b/>
          <w:color w:val="000000" w:themeColor="text1"/>
          <w:sz w:val="44"/>
          <w:szCs w:val="44"/>
          <w:highlight w:val="none"/>
          <w14:textFill>
            <w14:solidFill>
              <w14:schemeClr w14:val="tx1"/>
            </w14:solidFill>
          </w14:textFill>
        </w:rPr>
      </w:pPr>
      <w:r>
        <w:rPr>
          <w:rFonts w:hint="eastAsia" w:ascii="黑体" w:eastAsia="黑体"/>
          <w:b/>
          <w:color w:val="000000" w:themeColor="text1"/>
          <w:sz w:val="44"/>
          <w:szCs w:val="44"/>
          <w:highlight w:val="none"/>
          <w14:textFill>
            <w14:solidFill>
              <w14:schemeClr w14:val="tx1"/>
            </w14:solidFill>
          </w14:textFill>
        </w:rPr>
        <w:t>目  录</w:t>
      </w:r>
    </w:p>
    <w:p>
      <w:pPr>
        <w:adjustRightInd w:val="0"/>
        <w:spacing w:line="360" w:lineRule="auto"/>
        <w:ind w:firstLine="880"/>
        <w:jc w:val="center"/>
        <w:rPr>
          <w:rFonts w:ascii="黑体" w:eastAsia="黑体"/>
          <w:color w:val="000000" w:themeColor="text1"/>
          <w:sz w:val="44"/>
          <w:highlight w:val="none"/>
          <w14:textFill>
            <w14:solidFill>
              <w14:schemeClr w14:val="tx1"/>
            </w14:solidFill>
          </w14:textFill>
        </w:rPr>
      </w:pPr>
    </w:p>
    <w:p>
      <w:pPr>
        <w:pStyle w:val="18"/>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第一章  采购公告</w:t>
      </w:r>
    </w:p>
    <w:p>
      <w:pPr>
        <w:pStyle w:val="18"/>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第二章  应答人须知</w:t>
      </w:r>
    </w:p>
    <w:p>
      <w:pPr>
        <w:pStyle w:val="18"/>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第三章  合同条款</w:t>
      </w:r>
    </w:p>
    <w:p>
      <w:pPr>
        <w:pStyle w:val="18"/>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第四章  技术规范书</w:t>
      </w:r>
    </w:p>
    <w:p>
      <w:pPr>
        <w:pStyle w:val="18"/>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第五章  应答文件格式</w:t>
      </w:r>
    </w:p>
    <w:p>
      <w:pPr>
        <w:rPr>
          <w:rFonts w:hint="eastAsia" w:ascii="黑体" w:hAnsi="黑体" w:eastAsia="黑体" w:cstheme="minorEastAsia"/>
          <w:b/>
          <w:color w:val="000000" w:themeColor="text1"/>
          <w:sz w:val="28"/>
          <w:szCs w:val="21"/>
          <w:highlight w:val="none"/>
          <w14:textFill>
            <w14:solidFill>
              <w14:schemeClr w14:val="tx1"/>
            </w14:solidFill>
          </w14:textFill>
        </w:rPr>
      </w:pPr>
    </w:p>
    <w:p>
      <w:pPr>
        <w:rPr>
          <w:rFonts w:hint="eastAsia"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br w:type="page"/>
      </w:r>
    </w:p>
    <w:p>
      <w:pPr>
        <w:adjustRightInd w:val="0"/>
        <w:snapToGrid w:val="0"/>
        <w:jc w:val="center"/>
        <w:outlineLvl w:val="0"/>
        <w:rPr>
          <w:rFonts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t>第一章  采购公告</w:t>
      </w:r>
    </w:p>
    <w:p>
      <w:pPr>
        <w:adjustRightInd w:val="0"/>
        <w:snapToGrid w:val="0"/>
        <w:rPr>
          <w:rFonts w:asciiTheme="minorEastAsia" w:hAnsiTheme="minorEastAsia" w:eastAsiaTheme="minorEastAsia" w:cstheme="minorEastAsia"/>
          <w:color w:val="000000" w:themeColor="text1"/>
          <w:szCs w:val="21"/>
          <w:highlight w:val="none"/>
          <w14:textFill>
            <w14:solidFill>
              <w14:schemeClr w14:val="tx1"/>
            </w14:solidFill>
          </w14:textFill>
        </w:rPr>
      </w:pPr>
    </w:p>
    <w:p>
      <w:pPr>
        <w:adjustRightInd w:val="0"/>
        <w:snapToGrid w:val="0"/>
        <w:jc w:val="center"/>
        <w:rPr>
          <w:rFonts w:hint="eastAsia" w:ascii="黑体" w:eastAsia="黑体"/>
          <w:color w:val="FF0000"/>
          <w:sz w:val="28"/>
          <w:szCs w:val="28"/>
          <w:highlight w:val="none"/>
          <w:lang w:eastAsia="zh-CN"/>
        </w:rPr>
      </w:pPr>
      <w:bookmarkStart w:id="0" w:name="_Toc11594"/>
      <w:r>
        <w:rPr>
          <w:rFonts w:hint="eastAsia" w:ascii="黑体" w:eastAsia="黑体"/>
          <w:color w:val="000000"/>
          <w:sz w:val="28"/>
          <w:szCs w:val="28"/>
          <w:highlight w:val="none"/>
          <w:lang w:eastAsia="zh-CN"/>
        </w:rPr>
        <w:t>国网福建电力2025年原集体企业第五次服务类区域联合授权框架协议公开竞争性谈判采购</w:t>
      </w:r>
    </w:p>
    <w:bookmarkEnd w:id="0"/>
    <w:p>
      <w:pPr>
        <w:adjustRightInd w:val="0"/>
        <w:snapToGrid w:val="0"/>
        <w:jc w:val="center"/>
        <w:rPr>
          <w:rFonts w:ascii="黑体" w:hAnsi="黑体" w:eastAsia="黑体" w:cstheme="minorEastAsia"/>
          <w:color w:val="000000" w:themeColor="text1"/>
          <w:sz w:val="28"/>
          <w:szCs w:val="21"/>
          <w:highlight w:val="none"/>
          <w14:textFill>
            <w14:solidFill>
              <w14:schemeClr w14:val="tx1"/>
            </w14:solidFill>
          </w14:textFill>
        </w:rPr>
      </w:pPr>
      <w:bookmarkStart w:id="1" w:name="_Toc160"/>
      <w:r>
        <w:rPr>
          <w:rFonts w:hint="eastAsia" w:ascii="黑体" w:hAnsi="黑体" w:eastAsia="黑体" w:cstheme="minorEastAsia"/>
          <w:color w:val="000000" w:themeColor="text1"/>
          <w:sz w:val="28"/>
          <w:szCs w:val="21"/>
          <w:highlight w:val="none"/>
          <w14:textFill>
            <w14:solidFill>
              <w14:schemeClr w14:val="tx1"/>
            </w14:solidFill>
          </w14:textFill>
        </w:rPr>
        <w:t>采购公告</w:t>
      </w:r>
      <w:bookmarkEnd w:id="1"/>
    </w:p>
    <w:p>
      <w:pPr>
        <w:adjustRightInd w:val="0"/>
        <w:snapToGrid w:val="0"/>
        <w:jc w:val="center"/>
        <w:rPr>
          <w:rFonts w:hint="eastAsia" w:ascii="黑体" w:hAnsi="黑体" w:eastAsia="黑体" w:cstheme="minorEastAsia"/>
          <w:b/>
          <w:color w:val="000000" w:themeColor="text1"/>
          <w:szCs w:val="21"/>
          <w:highlight w:val="none"/>
          <w:lang w:eastAsia="zh-CN"/>
          <w14:textFill>
            <w14:solidFill>
              <w14:schemeClr w14:val="tx1"/>
            </w14:solidFill>
          </w14:textFill>
        </w:rPr>
      </w:pPr>
      <w:r>
        <w:rPr>
          <w:rFonts w:hint="eastAsia" w:ascii="黑体" w:hAnsi="黑体" w:eastAsia="黑体" w:cstheme="minorEastAsia"/>
          <w:color w:val="000000" w:themeColor="text1"/>
          <w:sz w:val="24"/>
          <w:szCs w:val="21"/>
          <w:highlight w:val="none"/>
          <w14:textFill>
            <w14:solidFill>
              <w14:schemeClr w14:val="tx1"/>
            </w14:solidFill>
          </w14:textFill>
        </w:rPr>
        <w:t>采购编号：</w:t>
      </w:r>
      <w:r>
        <w:rPr>
          <w:rFonts w:hint="eastAsia" w:ascii="Arial" w:hAnsi="Arial" w:eastAsia="黑体" w:cs="Arial"/>
          <w:color w:val="000000"/>
          <w:sz w:val="28"/>
          <w:szCs w:val="28"/>
          <w:highlight w:val="none"/>
          <w:lang w:eastAsia="zh-CN"/>
        </w:rPr>
        <w:t>CY1325SG05</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 w:name="_Toc11488"/>
      <w:bookmarkStart w:id="3" w:name="_Toc7788"/>
      <w:bookmarkStart w:id="4" w:name="_Toc62566117"/>
      <w:r>
        <w:rPr>
          <w:rFonts w:hint="eastAsia" w:ascii="黑体" w:eastAsia="黑体" w:hAnsiTheme="majorHAnsi" w:cstheme="majorBidi"/>
          <w:b/>
          <w:color w:val="000000" w:themeColor="text1"/>
          <w:kern w:val="0"/>
          <w:sz w:val="24"/>
          <w:highlight w:val="none"/>
          <w:lang w:bidi="en-US"/>
          <w14:textFill>
            <w14:solidFill>
              <w14:schemeClr w14:val="tx1"/>
            </w14:solidFill>
          </w14:textFill>
        </w:rPr>
        <w:t>1.采购条件</w:t>
      </w:r>
      <w:bookmarkEnd w:id="2"/>
      <w:bookmarkEnd w:id="3"/>
      <w:bookmarkEnd w:id="4"/>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项目建设单位为</w:t>
      </w:r>
      <w:r>
        <w:rPr>
          <w:rFonts w:hint="eastAsia" w:ascii="宋体" w:hAnsi="宋体"/>
          <w:color w:val="000000" w:themeColor="text1"/>
          <w:highlight w:val="none"/>
          <w14:textFill>
            <w14:solidFill>
              <w14:schemeClr w14:val="tx1"/>
            </w14:solidFill>
          </w14:textFill>
        </w:rPr>
        <w:t>参与本批次采购的各</w:t>
      </w:r>
      <w:r>
        <w:rPr>
          <w:rFonts w:hint="eastAsia" w:ascii="宋体" w:hAnsi="宋体"/>
          <w:color w:val="000000" w:themeColor="text1"/>
          <w:highlight w:val="none"/>
          <w:lang w:eastAsia="zh-CN"/>
          <w14:textFill>
            <w14:solidFill>
              <w14:schemeClr w14:val="tx1"/>
            </w14:solidFill>
          </w14:textFill>
        </w:rPr>
        <w:t>项目</w:t>
      </w:r>
      <w:r>
        <w:rPr>
          <w:rFonts w:hint="eastAsia" w:ascii="宋体" w:hAnsi="宋体"/>
          <w:color w:val="000000" w:themeColor="text1"/>
          <w:highlight w:val="none"/>
          <w14:textFill>
            <w14:solidFill>
              <w14:schemeClr w14:val="tx1"/>
            </w14:solidFill>
          </w14:textFill>
        </w:rPr>
        <w:t>单位</w:t>
      </w:r>
      <w:r>
        <w:rPr>
          <w:rFonts w:hint="eastAsia" w:ascii="宋体" w:hAnsi="宋体"/>
          <w:color w:val="000000" w:themeColor="text1"/>
          <w:highlight w:val="none"/>
          <w14:textFill>
            <w14:solidFill>
              <w14:schemeClr w14:val="tx1"/>
            </w14:solidFill>
          </w14:textFill>
        </w:rPr>
        <w:t>（以下简称“项目单位”），项目资金来自</w:t>
      </w:r>
      <w:r>
        <w:rPr>
          <w:rFonts w:hint="eastAsia" w:ascii="宋体" w:hAnsi="宋体"/>
          <w:highlight w:val="none"/>
        </w:rPr>
        <w:t>企业自有资金，出资比例为100%</w:t>
      </w:r>
      <w:r>
        <w:rPr>
          <w:rFonts w:hint="eastAsia" w:ascii="宋体" w:hAnsi="宋体"/>
          <w:color w:val="000000" w:themeColor="text1"/>
          <w:highlight w:val="none"/>
          <w14:textFill>
            <w14:solidFill>
              <w14:schemeClr w14:val="tx1"/>
            </w14:solidFill>
          </w14:textFill>
        </w:rPr>
        <w:t>，资金来源已落实，采购人为</w:t>
      </w:r>
      <w:r>
        <w:rPr>
          <w:rFonts w:hint="eastAsia" w:ascii="宋体" w:hAnsi="宋体"/>
          <w:color w:val="000000" w:themeColor="text1"/>
          <w:highlight w:val="none"/>
          <w:lang w:eastAsia="zh-CN"/>
          <w14:textFill>
            <w14:solidFill>
              <w14:schemeClr w14:val="tx1"/>
            </w14:solidFill>
          </w14:textFill>
        </w:rPr>
        <w:t>国网福建省电力有限公司漳州供电公司</w:t>
      </w:r>
      <w:r>
        <w:rPr>
          <w:rFonts w:hint="eastAsia" w:ascii="宋体" w:hAnsi="宋体"/>
          <w:color w:val="000000" w:themeColor="text1"/>
          <w:highlight w:val="none"/>
          <w14:textFill>
            <w14:solidFill>
              <w14:schemeClr w14:val="tx1"/>
            </w14:solidFill>
          </w14:textFill>
        </w:rPr>
        <w:t>，并委托</w:t>
      </w:r>
      <w:r>
        <w:rPr>
          <w:rFonts w:hint="eastAsia" w:ascii="宋体" w:hAnsi="宋体"/>
          <w:color w:val="000000" w:themeColor="text1"/>
          <w:highlight w:val="none"/>
          <w14:textFill>
            <w14:solidFill>
              <w14:schemeClr w14:val="tx1"/>
            </w14:solidFill>
          </w14:textFill>
        </w:rPr>
        <w:t>福建省电力建设工程咨询有限公司</w:t>
      </w:r>
      <w:r>
        <w:rPr>
          <w:rFonts w:hint="eastAsia" w:ascii="宋体" w:hAnsi="宋体"/>
          <w:color w:val="000000" w:themeColor="text1"/>
          <w:highlight w:val="none"/>
          <w14:textFill>
            <w14:solidFill>
              <w14:schemeClr w14:val="tx1"/>
            </w14:solidFill>
          </w14:textFill>
        </w:rPr>
        <w:t>为采购代理机构</w:t>
      </w: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项目已具备采购条件，现对该项目进行公开竞争性谈判采购。</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5" w:name="_Toc15047"/>
      <w:bookmarkStart w:id="6" w:name="_Toc62566118"/>
      <w:bookmarkStart w:id="7" w:name="_Toc31701"/>
      <w:r>
        <w:rPr>
          <w:rFonts w:hint="eastAsia" w:ascii="黑体" w:eastAsia="黑体" w:hAnsiTheme="majorHAnsi" w:cstheme="majorBidi"/>
          <w:b/>
          <w:color w:val="000000" w:themeColor="text1"/>
          <w:kern w:val="0"/>
          <w:sz w:val="24"/>
          <w:highlight w:val="none"/>
          <w:lang w:bidi="en-US"/>
          <w14:textFill>
            <w14:solidFill>
              <w14:schemeClr w14:val="tx1"/>
            </w14:solidFill>
          </w14:textFill>
        </w:rPr>
        <w:t>2.</w:t>
      </w:r>
      <w:bookmarkEnd w:id="5"/>
      <w:bookmarkEnd w:id="6"/>
      <w:bookmarkEnd w:id="7"/>
      <w:r>
        <w:rPr>
          <w:rFonts w:hint="eastAsia" w:ascii="黑体" w:eastAsia="黑体"/>
          <w:b/>
          <w:color w:val="000000" w:themeColor="text1"/>
          <w:sz w:val="24"/>
          <w:highlight w:val="none"/>
          <w14:textFill>
            <w14:solidFill>
              <w14:schemeClr w14:val="tx1"/>
            </w14:solidFill>
          </w14:textFill>
        </w:rPr>
        <w:t>项目概况与采购范围</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bookmarkStart w:id="8" w:name="_Toc24269"/>
      <w:bookmarkStart w:id="9" w:name="_Toc2249"/>
      <w:bookmarkStart w:id="10" w:name="_Toc62566119"/>
      <w:r>
        <w:rPr>
          <w:rFonts w:hint="eastAsia" w:ascii="宋体" w:hAnsi="宋体" w:cs="宋体"/>
          <w:color w:val="000000" w:themeColor="text1"/>
          <w:szCs w:val="21"/>
          <w:highlight w:val="none"/>
          <w14:textFill>
            <w14:solidFill>
              <w14:schemeClr w14:val="tx1"/>
            </w14:solidFill>
          </w14:textFill>
        </w:rPr>
        <w:t>详见采购公告附件</w:t>
      </w:r>
      <w:r>
        <w:rPr>
          <w:rFonts w:hint="eastAsia" w:ascii="宋体" w:hAnsi="宋体"/>
          <w:color w:val="000000" w:themeColor="text1"/>
          <w:highlight w:val="none"/>
          <w14:textFill>
            <w14:solidFill>
              <w14:schemeClr w14:val="tx1"/>
            </w14:solidFill>
          </w14:textFill>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3.应答人资格要求</w:t>
      </w:r>
      <w:bookmarkEnd w:id="8"/>
      <w:bookmarkEnd w:id="9"/>
      <w:bookmarkEnd w:id="10"/>
    </w:p>
    <w:p>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3.1</w:t>
      </w:r>
      <w:r>
        <w:rPr>
          <w:rFonts w:hint="eastAsia" w:ascii="宋体" w:hAnsi="宋体"/>
          <w:b/>
          <w:color w:val="000000" w:themeColor="text1"/>
          <w:highlight w:val="none"/>
          <w14:textFill>
            <w14:solidFill>
              <w14:schemeClr w14:val="tx1"/>
            </w14:solidFill>
          </w14:textFill>
        </w:rPr>
        <w:t xml:space="preserve"> 应答人须满足如下通用资格要求：</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（1）本次采购要求应答人须为中华人民共和国</w:t>
      </w:r>
      <w:r>
        <w:rPr>
          <w:rFonts w:hint="eastAsia" w:ascii="宋体" w:hAnsi="宋体"/>
          <w:color w:val="000000" w:themeColor="text1"/>
          <w:highlight w:val="none"/>
          <w14:textFill>
            <w14:solidFill>
              <w14:schemeClr w14:val="tx1"/>
            </w14:solidFill>
          </w14:textFill>
        </w:rPr>
        <w:t>境内</w:t>
      </w:r>
      <w:r>
        <w:rPr>
          <w:rFonts w:hint="eastAsia" w:ascii="宋体" w:hAnsi="宋体"/>
          <w:color w:val="000000" w:themeColor="text1"/>
          <w:highlight w:val="none"/>
          <w14:textFill>
            <w14:solidFill>
              <w14:schemeClr w14:val="tx1"/>
            </w14:solidFill>
          </w14:textFill>
        </w:rPr>
        <w:t>依法注册的法人或</w:t>
      </w:r>
      <w:r>
        <w:rPr>
          <w:rFonts w:hint="eastAsia" w:ascii="宋体" w:hAnsi="宋体"/>
          <w:color w:val="000000" w:themeColor="text1"/>
          <w:highlight w:val="none"/>
          <w:lang w:eastAsia="zh-CN"/>
          <w14:textFill>
            <w14:solidFill>
              <w14:schemeClr w14:val="tx1"/>
            </w14:solidFill>
          </w14:textFill>
        </w:rPr>
        <w:t>其他</w:t>
      </w:r>
      <w:r>
        <w:rPr>
          <w:rFonts w:hint="eastAsia" w:ascii="宋体" w:hAnsi="宋体"/>
          <w:color w:val="000000" w:themeColor="text1"/>
          <w:highlight w:val="none"/>
          <w14:textFill>
            <w14:solidFill>
              <w14:schemeClr w14:val="tx1"/>
            </w14:solidFill>
          </w14:textFill>
        </w:rPr>
        <w:t>组织，须具备承担所应答项目的资格条件；并在人员、设备、资金等方面具有保障如期完成采购项目的能力。</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（2）法定代表人或单位负责人为同一人或者存在控股、管理关系的不同单位，不得参加同一标包应答或者未划分标包的同一采购项目应答</w:t>
      </w:r>
      <w:r>
        <w:rPr>
          <w:rFonts w:hint="eastAsia" w:ascii="宋体" w:hAnsi="宋体"/>
          <w:color w:val="000000" w:themeColor="text1"/>
          <w:highlight w:val="none"/>
          <w:lang w:eastAsia="zh-CN"/>
          <w14:textFill>
            <w14:solidFill>
              <w14:schemeClr w14:val="tx1"/>
            </w14:solidFill>
          </w14:textFill>
        </w:rPr>
        <w:t>。</w:t>
      </w:r>
    </w:p>
    <w:p>
      <w:pPr>
        <w:adjustRightInd w:val="0"/>
        <w:snapToGrid w:val="0"/>
        <w:spacing w:line="400" w:lineRule="exact"/>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取得国家法律、法规、规章规定的有效许可证。取得采购文件要求的国家强制认证证书</w:t>
      </w:r>
      <w:r>
        <w:rPr>
          <w:rFonts w:hint="eastAsia" w:ascii="宋体" w:hAnsi="宋体"/>
          <w:color w:val="000000" w:themeColor="text1"/>
          <w:highlight w:val="none"/>
          <w14:textFill>
            <w14:solidFill>
              <w14:schemeClr w14:val="tx1"/>
            </w14:solidFill>
          </w14:textFill>
        </w:rPr>
        <w:t>。</w:t>
      </w:r>
    </w:p>
    <w:p>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pPr>
        <w:adjustRightInd w:val="0"/>
        <w:snapToGrid w:val="0"/>
        <w:spacing w:line="400" w:lineRule="exact"/>
        <w:ind w:firstLine="420" w:firstLineChars="200"/>
        <w:rPr>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14:textFill>
            <w14:solidFill>
              <w14:schemeClr w14:val="tx1"/>
            </w14:solidFill>
          </w14:textFill>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000000"/>
          <w:sz w:val="21"/>
          <w:szCs w:val="22"/>
          <w:highlight w:val="none"/>
        </w:rPr>
        <w:t>《国家电网有限公司关于供应商不良行为处理情况的通报》</w:t>
      </w:r>
      <w:r>
        <w:rPr>
          <w:rFonts w:hint="eastAsia" w:ascii="宋体" w:hAnsi="宋体"/>
          <w:color w:val="000000" w:themeColor="text1"/>
          <w:highlight w:val="none"/>
          <w14:textFill>
            <w14:solidFill>
              <w14:schemeClr w14:val="tx1"/>
            </w14:solidFill>
          </w14:textFill>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highlight w:val="none"/>
        </w:rPr>
        <w:t>。</w:t>
      </w:r>
    </w:p>
    <w:p>
      <w:pPr>
        <w:adjustRightInd w:val="0"/>
        <w:snapToGrid w:val="0"/>
        <w:spacing w:line="400" w:lineRule="exact"/>
        <w:ind w:firstLine="420" w:firstLineChars="20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6</w:t>
      </w:r>
      <w:r>
        <w:rPr>
          <w:rFonts w:hint="eastAsia" w:ascii="宋体" w:hAnsi="宋体"/>
          <w:color w:val="000000" w:themeColor="text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w:t>
      </w:r>
      <w:r>
        <w:rPr>
          <w:rFonts w:hint="eastAsia" w:ascii="宋体" w:hAnsi="宋体" w:eastAsia="宋体" w:cs="宋体"/>
          <w:color w:val="000000" w:themeColor="text1"/>
          <w:sz w:val="21"/>
          <w:szCs w:val="21"/>
          <w:highlight w:val="none"/>
          <w:lang w:eastAsia="zh-CN"/>
          <w14:textFill>
            <w14:solidFill>
              <w14:schemeClr w14:val="tx1"/>
            </w14:solidFill>
          </w14:textFill>
        </w:rPr>
        <w:t>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7</w:t>
      </w:r>
      <w:r>
        <w:rPr>
          <w:rFonts w:hint="eastAsia" w:ascii="宋体" w:hAnsi="宋体"/>
          <w:color w:val="000000" w:themeColor="text1"/>
          <w:highlight w:val="none"/>
          <w14:textFill>
            <w14:solidFill>
              <w14:schemeClr w14:val="tx1"/>
            </w14:solidFill>
          </w14:textFill>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line="400" w:lineRule="exact"/>
        <w:ind w:firstLine="422" w:firstLineChars="200"/>
        <w:rPr>
          <w:rFonts w:hint="eastAsia" w:ascii="宋体" w:hAnsi="宋体" w:eastAsia="宋体"/>
          <w:b/>
          <w:color w:val="000000" w:themeColor="text1"/>
          <w:highlight w:val="none"/>
          <w:lang w:eastAsia="zh-CN"/>
          <w14:textFill>
            <w14:solidFill>
              <w14:schemeClr w14:val="tx1"/>
            </w14:solidFill>
          </w14:textFill>
        </w:rPr>
      </w:pPr>
    </w:p>
    <w:p>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 xml:space="preserve">3.2 </w:t>
      </w:r>
      <w:r>
        <w:rPr>
          <w:rFonts w:hint="eastAsia" w:ascii="宋体" w:hAnsi="宋体"/>
          <w:b/>
          <w:color w:val="000000" w:themeColor="text1"/>
          <w:highlight w:val="none"/>
          <w14:textFill>
            <w14:solidFill>
              <w14:schemeClr w14:val="tx1"/>
            </w14:solidFill>
          </w14:textFill>
        </w:rPr>
        <w:t>应答人须满足如下专用资格要求：</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详见采购公告附件。</w:t>
      </w:r>
    </w:p>
    <w:p>
      <w:pPr>
        <w:widowControl/>
        <w:adjustRightInd w:val="0"/>
        <w:snapToGrid w:val="0"/>
        <w:spacing w:line="400" w:lineRule="exact"/>
        <w:ind w:firstLine="422" w:firstLineChars="200"/>
        <w:outlineLvl w:val="2"/>
        <w:rPr>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 xml:space="preserve">3 </w:t>
      </w:r>
      <w:r>
        <w:rPr>
          <w:rFonts w:hint="eastAsia"/>
          <w:b/>
          <w:color w:val="000000" w:themeColor="text1"/>
          <w:highlight w:val="none"/>
          <w14:textFill>
            <w14:solidFill>
              <w14:schemeClr w14:val="tx1"/>
            </w14:solidFill>
          </w14:textFill>
        </w:rPr>
        <w:t>除专用资格要求中明确接受联合体应答的项目外，不接受联合体应答。</w:t>
      </w:r>
    </w:p>
    <w:p>
      <w:pPr>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4 如接受联合体应答的，应答人还应遵守以下规定：</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（1）联合体各方均应满足3.1款和3.2款的规定。</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highlight w:val="none"/>
          <w:lang w:eastAsia="zh-CN"/>
          <w14:textFill>
            <w14:solidFill>
              <w14:schemeClr w14:val="tx1"/>
            </w14:solidFill>
          </w14:textFill>
        </w:rPr>
        <w:t>。</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（3）联合体牵头人代表联合体各方负责获取本项目的采购文件及应答工作</w:t>
      </w:r>
      <w:r>
        <w:rPr>
          <w:rFonts w:hint="eastAsia" w:ascii="宋体" w:hAnsi="宋体"/>
          <w:color w:val="000000" w:themeColor="text1"/>
          <w:highlight w:val="none"/>
          <w:lang w:eastAsia="zh-CN"/>
          <w14:textFill>
            <w14:solidFill>
              <w14:schemeClr w14:val="tx1"/>
            </w14:solidFill>
          </w14:textFill>
        </w:rPr>
        <w:t>。</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（5）联合体各方不得再以自己名义单独或参加其他联合体在同一标包中应答。</w:t>
      </w:r>
    </w:p>
    <w:p>
      <w:pPr>
        <w:adjustRightInd w:val="0"/>
        <w:snapToGrid w:val="0"/>
        <w:spacing w:line="400" w:lineRule="exact"/>
        <w:ind w:firstLine="422" w:firstLineChars="200"/>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3.5</w:t>
      </w:r>
      <w:r>
        <w:rPr>
          <w:rFonts w:hint="eastAsia"/>
          <w:color w:val="000000" w:themeColor="text1"/>
          <w:highlight w:val="none"/>
          <w14:textFill>
            <w14:solidFill>
              <w14:schemeClr w14:val="tx1"/>
            </w14:solidFill>
          </w14:textFill>
        </w:rPr>
        <w:t>除专用资格要求中明确接受代理商应答的项目外，</w:t>
      </w:r>
      <w:r>
        <w:rPr>
          <w:rFonts w:hint="eastAsia"/>
          <w:highlight w:val="none"/>
        </w:rPr>
        <w:t>不接受代理</w:t>
      </w:r>
      <w:r>
        <w:rPr>
          <w:rFonts w:hint="eastAsia"/>
          <w:color w:val="000000" w:themeColor="text1"/>
          <w:highlight w:val="none"/>
          <w14:textFill>
            <w14:solidFill>
              <w14:schemeClr w14:val="tx1"/>
            </w14:solidFill>
          </w14:textFill>
        </w:rPr>
        <w:t>商应答。</w:t>
      </w:r>
    </w:p>
    <w:p>
      <w:pPr>
        <w:adjustRightInd w:val="0"/>
        <w:snapToGrid w:val="0"/>
        <w:spacing w:line="400" w:lineRule="exact"/>
        <w:ind w:firstLine="422" w:firstLineChars="200"/>
        <w:rPr>
          <w:color w:val="auto"/>
          <w:highlight w:val="none"/>
        </w:rPr>
      </w:pPr>
      <w:r>
        <w:rPr>
          <w:rFonts w:ascii="宋体" w:hAnsi="宋体"/>
          <w:b/>
          <w:color w:val="000000" w:themeColor="text1"/>
          <w:highlight w:val="none"/>
          <w14:textFill>
            <w14:solidFill>
              <w14:schemeClr w14:val="tx1"/>
            </w14:solidFill>
          </w14:textFill>
        </w:rPr>
        <w:t>3.6</w:t>
      </w:r>
      <w:r>
        <w:rPr>
          <w:rFonts w:hint="eastAsia"/>
          <w:color w:val="000000" w:themeColor="text1"/>
          <w:highlight w:val="none"/>
          <w14:textFill>
            <w14:solidFill>
              <w14:schemeClr w14:val="tx1"/>
            </w14:solidFill>
          </w14:textFill>
        </w:rPr>
        <w:t>本次</w:t>
      </w:r>
      <w:r>
        <w:rPr>
          <w:rFonts w:hint="eastAsia"/>
          <w:color w:val="000000" w:themeColor="text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pPr>
        <w:adjustRightInd w:val="0"/>
        <w:snapToGrid w:val="0"/>
        <w:spacing w:line="400" w:lineRule="exact"/>
        <w:ind w:firstLine="420" w:firstLineChars="199"/>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3.7</w:t>
      </w:r>
      <w:r>
        <w:rPr>
          <w:rFonts w:hint="eastAsia"/>
          <w:color w:val="000000" w:themeColor="text1"/>
          <w:highlight w:val="none"/>
          <w14:textFill>
            <w14:solidFill>
              <w14:schemeClr w14:val="tx1"/>
            </w14:solidFill>
          </w14:textFill>
        </w:rPr>
        <w:t>各应答人均可就本次采购的部分或全部标包应答。</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1" w:name="_Toc3136"/>
      <w:bookmarkStart w:id="12" w:name="_Toc26765"/>
      <w:bookmarkStart w:id="13" w:name="_Toc62566120"/>
      <w:r>
        <w:rPr>
          <w:rFonts w:hint="eastAsia" w:ascii="黑体" w:eastAsia="黑体" w:hAnsiTheme="majorHAnsi" w:cstheme="majorBidi"/>
          <w:b/>
          <w:color w:val="000000" w:themeColor="text1"/>
          <w:kern w:val="0"/>
          <w:sz w:val="24"/>
          <w:highlight w:val="none"/>
          <w:lang w:bidi="en-US"/>
          <w14:textFill>
            <w14:solidFill>
              <w14:schemeClr w14:val="tx1"/>
            </w14:solidFill>
          </w14:textFill>
        </w:rPr>
        <w:t>4.采购文件的获取</w:t>
      </w:r>
      <w:bookmarkEnd w:id="11"/>
      <w:bookmarkEnd w:id="12"/>
      <w:bookmarkEnd w:id="13"/>
    </w:p>
    <w:p>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4.1 采购文件（电子文件）免费获取。</w:t>
      </w:r>
    </w:p>
    <w:p>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4.2</w:t>
      </w:r>
      <w:r>
        <w:rPr>
          <w:rFonts w:hint="eastAsia" w:ascii="宋体" w:hAnsi="宋体" w:cs="宋体"/>
          <w:color w:val="000000" w:themeColor="text1"/>
          <w:szCs w:val="21"/>
          <w:highlight w:val="none"/>
          <w14:textFill>
            <w14:solidFill>
              <w14:schemeClr w14:val="tx1"/>
            </w14:solidFill>
          </w14:textFill>
        </w:rPr>
        <w:t>凡有意参加应答者，请于</w:t>
      </w:r>
      <w:r>
        <w:rPr>
          <w:rFonts w:hint="eastAsia" w:ascii="宋体" w:hAnsi="宋体"/>
          <w:color w:val="000000"/>
          <w:szCs w:val="21"/>
          <w:highlight w:val="none"/>
          <w:lang w:eastAsia="zh-CN"/>
        </w:rPr>
        <w:t>2025年6月27日起至2025年7月7日12:00时</w:t>
      </w:r>
      <w:r>
        <w:rPr>
          <w:rFonts w:ascii="宋体" w:hAnsi="宋体"/>
          <w:color w:val="000000" w:themeColor="text1"/>
          <w:highlight w:val="none"/>
          <w14:textFill>
            <w14:solidFill>
              <w14:schemeClr w14:val="tx1"/>
            </w14:solidFill>
          </w14:textFill>
        </w:rPr>
        <w:t>（北京时间，下同），</w:t>
      </w:r>
      <w:r>
        <w:rPr>
          <w:rFonts w:hint="eastAsia" w:ascii="宋体" w:hAnsi="宋体"/>
          <w:color w:val="000000" w:themeColor="text1"/>
          <w:highlight w:val="none"/>
          <w14:textFill>
            <w14:solidFill>
              <w14:schemeClr w14:val="tx1"/>
            </w14:solidFill>
          </w14:textFill>
        </w:rPr>
        <w:t>登录</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lang w:eastAsia="zh-CN"/>
          <w14:textFill>
            <w14:solidFill>
              <w14:schemeClr w14:val="tx1"/>
            </w14:solidFill>
          </w14:textFill>
        </w:rPr>
        <w:t>人招投标交易平台信息系统</w:t>
      </w:r>
      <w:r>
        <w:rPr>
          <w:rFonts w:hint="eastAsia" w:ascii="宋体" w:hAnsi="宋体"/>
          <w:color w:val="000000" w:themeColor="text1"/>
          <w:highlight w:val="none"/>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国家电网有限公司电子商务平台</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https://ecp.sgcc.com.cn</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https://sgccetp.com.cn</w:t>
      </w:r>
      <w:r>
        <w:rPr>
          <w:rFonts w:hint="eastAsia" w:ascii="宋体" w:hAnsi="宋体"/>
          <w:color w:val="000000" w:themeColor="text1"/>
          <w:highlight w:val="none"/>
          <w14:textFill>
            <w14:solidFill>
              <w14:schemeClr w14:val="tx1"/>
            </w14:solidFill>
          </w14:textFill>
        </w:rPr>
        <w:t>）获取采购文件，并按《电子招标投标办法》等国家法律法规要求，到第三方认证机构办理CA证书电子钥匙。应答人应妥善保管</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账号和密码，以及CA数字证书和密码，因上述账号、数字证书或密码保管不当造成的损失，由应答人自行承担。</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应答人应在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注册并办理</w:t>
      </w:r>
      <w:r>
        <w:rPr>
          <w:rFonts w:ascii="宋体" w:hAnsi="宋体"/>
          <w:color w:val="000000" w:themeColor="text1"/>
          <w:highlight w:val="none"/>
          <w14:textFill>
            <w14:solidFill>
              <w14:schemeClr w14:val="tx1"/>
            </w14:solidFill>
          </w14:textFill>
        </w:rPr>
        <w:t>CA</w:t>
      </w:r>
      <w:r>
        <w:rPr>
          <w:rFonts w:hint="eastAsia" w:ascii="宋体" w:hAnsi="宋体"/>
          <w:color w:val="000000" w:themeColor="text1"/>
          <w:highlight w:val="none"/>
          <w14:textFill>
            <w14:solidFill>
              <w14:schemeClr w14:val="tx1"/>
            </w14:solidFill>
          </w14:textFill>
        </w:rPr>
        <w:t>证书电子钥匙方可获取采购文件，电子钥匙的办理流程请登录</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outlineLvl w:val="2"/>
        <w:rPr>
          <w:rFonts w:hint="default" w:ascii="宋体" w:hAnsi="宋体" w:eastAsia="宋体"/>
          <w:b/>
          <w:bCs/>
          <w:color w:val="000000" w:themeColor="text1"/>
          <w:highlight w:val="none"/>
          <w:lang w:val="en-US" w:eastAsia="zh-CN"/>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14:textFill>
            <w14:solidFill>
              <w14:schemeClr w14:val="tx1"/>
            </w14:solidFill>
          </w14:textFill>
        </w:rPr>
        <w:t>3</w:t>
      </w:r>
      <w:r>
        <w:rPr>
          <w:rFonts w:hint="eastAsia" w:ascii="宋体" w:hAnsi="宋体"/>
          <w:b/>
          <w:bCs/>
          <w:color w:val="000000" w:themeColor="text1"/>
          <w:highlight w:val="none"/>
          <w:lang w:val="en-US" w:eastAsia="zh-CN"/>
          <w14:textFill>
            <w14:solidFill>
              <w14:schemeClr w14:val="tx1"/>
            </w14:solidFill>
          </w14:textFill>
        </w:rPr>
        <w:t>未按上述时间和方式获取采购文件的，将无法进行后续的应答及报价。</w:t>
      </w:r>
    </w:p>
    <w:p>
      <w:pPr>
        <w:adjustRightInd w:val="0"/>
        <w:snapToGrid w:val="0"/>
        <w:spacing w:line="400" w:lineRule="exact"/>
        <w:ind w:firstLine="422" w:firstLineChars="200"/>
        <w:outlineLvl w:val="2"/>
        <w:rPr>
          <w:rFonts w:hint="eastAsia" w:ascii="宋体" w:hAnsi="宋体"/>
          <w:color w:val="000000" w:themeColor="text1"/>
          <w:highlight w:val="none"/>
          <w:lang w:val="en-US" w:eastAsia="zh-CN"/>
          <w14:textFill>
            <w14:solidFill>
              <w14:schemeClr w14:val="tx1"/>
            </w14:solidFill>
          </w14:textFill>
        </w:rPr>
      </w:pPr>
      <w:r>
        <w:rPr>
          <w:rFonts w:hint="eastAsia" w:ascii="宋体" w:hAnsi="宋体"/>
          <w:b/>
          <w:bCs/>
          <w:color w:val="000000" w:themeColor="text1"/>
          <w:highlight w:val="none"/>
          <w:lang w:val="en-US" w:eastAsia="zh-CN"/>
          <w14:textFill>
            <w14:solidFill>
              <w14:schemeClr w14:val="tx1"/>
            </w14:solidFill>
          </w14:textFill>
        </w:rPr>
        <w:t>4.4应答人需利用投标工具进行电子应答文件编制。投标工具下载方式：</w:t>
      </w:r>
      <w:r>
        <w:rPr>
          <w:rFonts w:hint="eastAsia" w:ascii="宋体" w:hAnsi="宋体"/>
          <w:color w:val="000000" w:themeColor="text1"/>
          <w:highlight w:val="none"/>
          <w:lang w:val="en-US" w:eastAsia="zh-CN"/>
          <w14:textFill>
            <w14:solidFill>
              <w14:schemeClr w14:val="tx1"/>
            </w14:solidFill>
          </w14:textFill>
        </w:rPr>
        <w:t>请各应答人在采购人招投标交易平台信息系统首页“下载专区→供应商投标工具”下载并安装。操作手册及注意事项见首页</w:t>
      </w:r>
      <w:r>
        <w:rPr>
          <w:rFonts w:hint="eastAsia" w:ascii="宋体" w:hAnsi="宋体"/>
          <w:color w:val="auto"/>
          <w:highlight w:val="none"/>
          <w:lang w:val="en-US" w:eastAsia="zh-CN"/>
        </w:rPr>
        <w:t>“操作说明→ECP2.0招标采购流程供应商操作手册“或“演示视频→投标工具新U+操作指导视频”。</w:t>
      </w:r>
      <w:r>
        <w:rPr>
          <w:rFonts w:hint="eastAsia" w:ascii="宋体" w:hAnsi="宋体"/>
          <w:color w:val="000000" w:themeColor="text1"/>
          <w:highlight w:val="none"/>
          <w:lang w:val="en-US" w:eastAsia="zh-CN"/>
          <w14:textFill>
            <w14:solidFill>
              <w14:schemeClr w14:val="tx1"/>
            </w14:solidFill>
          </w14:textFill>
        </w:rPr>
        <w:t>投标工具操作问题联系采购人招投标交易平台信息系统支持服务电话：010-63411000。使用投标工具电脑配置要求：内存大于8GB，64位操作系统。</w:t>
      </w:r>
    </w:p>
    <w:p>
      <w:pPr>
        <w:adjustRightInd w:val="0"/>
        <w:snapToGrid w:val="0"/>
        <w:spacing w:line="400" w:lineRule="exact"/>
        <w:ind w:firstLine="422" w:firstLineChars="200"/>
        <w:outlineLvl w:val="2"/>
        <w:rPr>
          <w:rFonts w:hint="eastAsia"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lang w:val="en-US" w:eastAsia="zh-CN"/>
          <w14:textFill>
            <w14:solidFill>
              <w14:schemeClr w14:val="tx1"/>
            </w14:solidFill>
          </w14:textFill>
        </w:rPr>
        <w:t>5</w:t>
      </w:r>
      <w:r>
        <w:rPr>
          <w:rFonts w:ascii="宋体" w:hAnsi="宋体"/>
          <w:b/>
          <w:bCs/>
          <w:color w:val="000000" w:themeColor="text1"/>
          <w:highlight w:val="none"/>
          <w14:textFill>
            <w14:solidFill>
              <w14:schemeClr w14:val="tx1"/>
            </w14:solidFill>
          </w14:textFill>
        </w:rPr>
        <w:t xml:space="preserve"> </w:t>
      </w:r>
      <w:r>
        <w:rPr>
          <w:rFonts w:hint="eastAsia" w:ascii="宋体" w:hAnsi="宋体"/>
          <w:b/>
          <w:bCs/>
          <w:color w:val="000000" w:themeColor="text1"/>
          <w:highlight w:val="none"/>
          <w14:textFill>
            <w14:solidFill>
              <w14:schemeClr w14:val="tx1"/>
            </w14:solidFill>
          </w14:textFill>
        </w:rPr>
        <w:t>注意事项</w:t>
      </w:r>
    </w:p>
    <w:p>
      <w:pPr>
        <w:adjustRightInd w:val="0"/>
        <w:snapToGrid w:val="0"/>
        <w:spacing w:line="400" w:lineRule="exact"/>
        <w:ind w:firstLine="420" w:firstLineChars="200"/>
        <w:rPr>
          <w:highlight w:val="none"/>
        </w:rPr>
      </w:pPr>
      <w:bookmarkStart w:id="14" w:name="_Toc26882"/>
      <w:bookmarkStart w:id="15" w:name="_Toc6421"/>
      <w:bookmarkStart w:id="16" w:name="_Toc62566121"/>
      <w:r>
        <w:rPr>
          <w:rFonts w:hint="eastAsia" w:ascii="宋体" w:hAnsi="宋体" w:eastAsia="宋体" w:cs="Times New Roman"/>
          <w:color w:val="000000" w:themeColor="text1"/>
          <w:kern w:val="2"/>
          <w:sz w:val="21"/>
          <w:szCs w:val="22"/>
          <w:highlight w:val="none"/>
          <w:lang w:val="en-US" w:eastAsia="zh-CN" w:bidi="ar-SA"/>
          <w14:textFill>
            <w14:solidFill>
              <w14:schemeClr w14:val="tx1"/>
            </w14:solidFill>
          </w14:textFill>
        </w:rPr>
        <w:t>（1）本批次</w:t>
      </w:r>
      <w:r>
        <w:rPr>
          <w:rFonts w:hint="eastAsia"/>
          <w:b/>
          <w:color w:val="000000"/>
          <w:highlight w:val="none"/>
        </w:rPr>
        <w:t>应答文件</w:t>
      </w:r>
      <w:r>
        <w:rPr>
          <w:rFonts w:hint="eastAsia"/>
          <w:b/>
          <w:color w:val="000000"/>
          <w:highlight w:val="none"/>
          <w:lang w:eastAsia="zh-CN"/>
        </w:rPr>
        <w:t>应同时提交至</w:t>
      </w:r>
      <w:r>
        <w:rPr>
          <w:rFonts w:hint="eastAsia" w:ascii="宋体" w:hAnsi="宋体" w:eastAsia="宋体" w:cs="Times New Roman"/>
          <w:b/>
          <w:bCs/>
          <w:color w:val="FF0000"/>
          <w:kern w:val="2"/>
          <w:sz w:val="21"/>
          <w:szCs w:val="21"/>
          <w:highlight w:val="none"/>
          <w:lang w:val="en-US" w:eastAsia="zh-CN" w:bidi="ar-SA"/>
        </w:rPr>
        <w:t>电子商务平台(ECP)-电工交易专区（以下简称“ETP”）</w:t>
      </w:r>
      <w:r>
        <w:rPr>
          <w:rFonts w:hint="eastAsia"/>
          <w:b/>
          <w:bCs w:val="0"/>
          <w:color w:val="auto"/>
          <w:highlight w:val="none"/>
          <w:lang w:eastAsia="zh-CN"/>
        </w:rPr>
        <w:t>和</w:t>
      </w:r>
      <w:r>
        <w:rPr>
          <w:rFonts w:hint="eastAsia" w:eastAsia="宋体" w:cs="Times New Roman"/>
          <w:b/>
          <w:bCs w:val="0"/>
          <w:color w:val="FF0000"/>
          <w:highlight w:val="none"/>
          <w:lang w:eastAsia="zh-CN"/>
        </w:rPr>
        <w:t>福建省建设咨询云存储平台（以下简称“云平台”）</w:t>
      </w:r>
      <w:r>
        <w:rPr>
          <w:rFonts w:hint="eastAsia"/>
          <w:bCs/>
          <w:color w:val="000000"/>
          <w:highlight w:val="none"/>
        </w:rPr>
        <w:t>。</w:t>
      </w:r>
      <w:r>
        <w:rPr>
          <w:rFonts w:hint="eastAsia"/>
          <w:b/>
          <w:bCs w:val="0"/>
          <w:color w:val="000000"/>
          <w:highlight w:val="none"/>
          <w:lang w:eastAsia="zh-CN"/>
        </w:rPr>
        <w:t>具体</w:t>
      </w:r>
      <w:r>
        <w:rPr>
          <w:rFonts w:hint="eastAsia" w:ascii="宋体" w:hAnsi="宋体" w:cs="宋体"/>
          <w:b/>
          <w:highlight w:val="none"/>
        </w:rPr>
        <w:t>递交方式</w:t>
      </w:r>
      <w:r>
        <w:rPr>
          <w:rFonts w:hint="eastAsia" w:ascii="宋体" w:hAnsi="宋体" w:cs="宋体"/>
          <w:b/>
          <w:highlight w:val="none"/>
          <w:lang w:eastAsia="zh-CN"/>
        </w:rPr>
        <w:t>及要求</w:t>
      </w:r>
      <w:r>
        <w:rPr>
          <w:rFonts w:hint="eastAsia" w:ascii="宋体" w:hAnsi="宋体" w:cs="宋体"/>
          <w:b/>
          <w:highlight w:val="none"/>
        </w:rPr>
        <w:t>详见</w:t>
      </w:r>
      <w:r>
        <w:rPr>
          <w:rFonts w:hint="eastAsia" w:ascii="宋体" w:hAnsi="宋体" w:cs="宋体"/>
          <w:b/>
          <w:highlight w:val="none"/>
          <w:lang w:eastAsia="zh-CN"/>
        </w:rPr>
        <w:t>第二章</w:t>
      </w:r>
      <w:r>
        <w:rPr>
          <w:rFonts w:hint="eastAsia" w:ascii="宋体" w:hAnsi="宋体" w:cs="宋体"/>
          <w:b/>
          <w:highlight w:val="none"/>
        </w:rPr>
        <w:t>应答人须知前附表</w:t>
      </w:r>
      <w:r>
        <w:rPr>
          <w:rFonts w:hint="eastAsia" w:ascii="宋体" w:hAnsi="宋体" w:cs="宋体"/>
          <w:b/>
          <w:highlight w:val="none"/>
          <w:lang w:eastAsia="zh-CN"/>
        </w:rPr>
        <w:t>及</w:t>
      </w:r>
      <w:r>
        <w:rPr>
          <w:rFonts w:hint="eastAsia" w:ascii="宋体" w:hAnsi="宋体" w:cs="宋体"/>
          <w:b/>
          <w:highlight w:val="none"/>
        </w:rPr>
        <w:t>第五章应答文件格式。</w:t>
      </w:r>
    </w:p>
    <w:p>
      <w:pPr>
        <w:adjustRightInd w:val="0"/>
        <w:snapToGrid w:val="0"/>
        <w:spacing w:line="400" w:lineRule="exact"/>
        <w:ind w:firstLine="420" w:firstLineChars="200"/>
        <w:outlineLvl w:val="2"/>
        <w:rPr>
          <w:rFonts w:hint="eastAsia" w:ascii="宋体" w:hAnsi="宋体" w:eastAsia="宋体" w:cs="Times New Roman"/>
          <w:b/>
          <w:bCs/>
          <w:color w:val="000000" w:themeColor="text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2"/>
          <w:highlight w:val="none"/>
          <w:lang w:val="en-US" w:eastAsia="zh-CN" w:bidi="ar-SA"/>
          <w14:textFill>
            <w14:solidFill>
              <w14:schemeClr w14:val="tx1"/>
            </w14:solidFill>
          </w14:textFill>
        </w:rPr>
        <w:t>（2）本批次谈判及再报价阶段，采购人将在ETP</w:t>
      </w:r>
      <w:r>
        <w:rPr>
          <w:rFonts w:hint="eastAsia" w:ascii="宋体" w:hAnsi="宋体"/>
          <w:bCs/>
          <w:color w:val="000000" w:themeColor="text1"/>
          <w:szCs w:val="21"/>
          <w:highlight w:val="none"/>
          <w14:textFill>
            <w14:solidFill>
              <w14:schemeClr w14:val="tx1"/>
            </w14:solidFill>
          </w14:textFill>
        </w:rPr>
        <w:t>向应答人发出谈判通知</w:t>
      </w:r>
      <w:r>
        <w:rPr>
          <w:rFonts w:hint="eastAsia" w:ascii="宋体" w:hAnsi="宋体"/>
          <w:bCs/>
          <w:color w:val="000000" w:themeColor="text1"/>
          <w:szCs w:val="21"/>
          <w:highlight w:val="none"/>
          <w:lang w:eastAsia="zh-CN"/>
          <w14:textFill>
            <w14:solidFill>
              <w14:schemeClr w14:val="tx1"/>
            </w14:solidFill>
          </w14:textFill>
        </w:rPr>
        <w:t>或</w:t>
      </w:r>
      <w:r>
        <w:rPr>
          <w:rFonts w:hint="eastAsia" w:ascii="宋体" w:hAnsi="宋体"/>
          <w:bCs/>
          <w:color w:val="000000" w:themeColor="text1"/>
          <w:szCs w:val="21"/>
          <w:highlight w:val="none"/>
          <w14:textFill>
            <w14:solidFill>
              <w14:schemeClr w14:val="tx1"/>
            </w14:solidFill>
          </w14:textFill>
        </w:rPr>
        <w:t>报价邀请</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应答人在</w:t>
      </w:r>
      <w:r>
        <w:rPr>
          <w:rFonts w:hint="eastAsia" w:ascii="宋体" w:hAnsi="宋体"/>
          <w:bCs/>
          <w:color w:val="000000" w:themeColor="text1"/>
          <w:szCs w:val="21"/>
          <w:highlight w:val="none"/>
          <w:lang w:val="en-US" w:eastAsia="zh-CN"/>
          <w14:textFill>
            <w14:solidFill>
              <w14:schemeClr w14:val="tx1"/>
            </w14:solidFill>
          </w14:textFill>
        </w:rPr>
        <w:t>ETP</w:t>
      </w:r>
      <w:r>
        <w:rPr>
          <w:rFonts w:hint="eastAsia" w:ascii="宋体" w:hAnsi="宋体"/>
          <w:bCs/>
          <w:color w:val="000000" w:themeColor="text1"/>
          <w:szCs w:val="21"/>
          <w:highlight w:val="none"/>
          <w14:textFill>
            <w14:solidFill>
              <w14:schemeClr w14:val="tx1"/>
            </w14:solidFill>
          </w14:textFill>
        </w:rPr>
        <w:t>注册所留的手机号会收到短信通知。请各应答人</w:t>
      </w:r>
      <w:r>
        <w:rPr>
          <w:rFonts w:hint="eastAsia" w:ascii="宋体" w:hAnsi="宋体"/>
          <w:bCs/>
          <w:color w:val="000000" w:themeColor="text1"/>
          <w:szCs w:val="21"/>
          <w:highlight w:val="none"/>
          <w:lang w:eastAsia="zh-CN"/>
          <w14:textFill>
            <w14:solidFill>
              <w14:schemeClr w14:val="tx1"/>
            </w14:solidFill>
          </w14:textFill>
        </w:rPr>
        <w:t>注册</w:t>
      </w:r>
      <w:r>
        <w:rPr>
          <w:rFonts w:hint="eastAsia" w:ascii="宋体" w:hAnsi="宋体"/>
          <w:bCs/>
          <w:color w:val="000000" w:themeColor="text1"/>
          <w:szCs w:val="21"/>
          <w:highlight w:val="none"/>
          <w14:textFill>
            <w14:solidFill>
              <w14:schemeClr w14:val="tx1"/>
            </w14:solidFill>
          </w14:textFill>
        </w:rPr>
        <w:t>联系人在谈判和再报价期间随时保持手机联系畅通</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
          <w:bCs w:val="0"/>
          <w:color w:val="000000" w:themeColor="text1"/>
          <w:szCs w:val="21"/>
          <w:highlight w:val="none"/>
          <w:lang w:eastAsia="zh-CN"/>
          <w14:textFill>
            <w14:solidFill>
              <w14:schemeClr w14:val="tx1"/>
            </w14:solidFill>
          </w14:textFill>
        </w:rPr>
        <w:t>应答人注册联系人及其手机联系方式发生变动的，应及时登陆ETP更新注册联系人相关信息。</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5.首次应答文件的提交</w:t>
      </w:r>
      <w:bookmarkEnd w:id="14"/>
      <w:bookmarkEnd w:id="15"/>
      <w:bookmarkEnd w:id="16"/>
    </w:p>
    <w:p>
      <w:pPr>
        <w:adjustRightInd w:val="0"/>
        <w:snapToGrid w:val="0"/>
        <w:spacing w:line="400" w:lineRule="exact"/>
        <w:ind w:firstLine="420" w:firstLineChars="200"/>
        <w:outlineLvl w:val="2"/>
        <w:rPr>
          <w:rFonts w:ascii="宋体" w:hAnsi="宋体"/>
          <w:color w:val="FF0000"/>
          <w:highlight w:val="none"/>
        </w:rPr>
      </w:pPr>
      <w:r>
        <w:rPr>
          <w:rFonts w:hint="eastAsia" w:ascii="宋体" w:hAnsi="宋体"/>
          <w:highlight w:val="none"/>
        </w:rPr>
        <w:t>5.1首次应答文件提交的截止时间（首次应答截止时间，下同）：</w:t>
      </w:r>
      <w:r>
        <w:rPr>
          <w:rFonts w:hint="eastAsia" w:ascii="宋体" w:hAnsi="宋体"/>
          <w:color w:val="000000"/>
          <w:highlight w:val="none"/>
          <w:lang w:eastAsia="zh-CN"/>
        </w:rPr>
        <w:t>2025年7月7日下午14:00时（北京时间）</w:t>
      </w:r>
      <w:r>
        <w:rPr>
          <w:rFonts w:hint="eastAsia" w:ascii="宋体" w:hAnsi="宋体"/>
          <w:color w:val="auto"/>
          <w:highlight w:val="none"/>
        </w:rPr>
        <w:t>。</w:t>
      </w:r>
    </w:p>
    <w:p>
      <w:pPr>
        <w:pStyle w:val="3"/>
        <w:spacing w:line="400" w:lineRule="exact"/>
        <w:rPr>
          <w:rFonts w:ascii="Calibri" w:hAnsi="Calibri"/>
          <w:bCs/>
          <w:color w:val="000000"/>
          <w:szCs w:val="22"/>
          <w:highlight w:val="none"/>
        </w:rPr>
      </w:pPr>
      <w:r>
        <w:rPr>
          <w:rFonts w:hint="eastAsia" w:ascii="Calibri" w:hAnsi="Calibri"/>
          <w:b/>
          <w:color w:val="000000"/>
          <w:szCs w:val="22"/>
          <w:highlight w:val="none"/>
        </w:rPr>
        <w:t>应答文件提交时间：</w:t>
      </w:r>
      <w:r>
        <w:rPr>
          <w:rFonts w:hint="eastAsia" w:ascii="Calibri" w:hAnsi="Calibri"/>
          <w:bCs/>
          <w:color w:val="000000"/>
          <w:szCs w:val="22"/>
          <w:highlight w:val="none"/>
        </w:rPr>
        <w:t>所有应答文件应当在首次应答截止时间递交（提交）采购人。</w:t>
      </w:r>
    </w:p>
    <w:p>
      <w:pPr>
        <w:adjustRightInd w:val="0"/>
        <w:snapToGrid w:val="0"/>
        <w:spacing w:line="400" w:lineRule="exact"/>
        <w:ind w:firstLine="422" w:firstLineChars="200"/>
        <w:rPr>
          <w:highlight w:val="none"/>
        </w:rPr>
      </w:pPr>
      <w:r>
        <w:rPr>
          <w:rFonts w:hint="eastAsia"/>
          <w:b/>
          <w:color w:val="000000"/>
          <w:highlight w:val="none"/>
        </w:rPr>
        <w:t>应答文件提交地点：</w:t>
      </w:r>
      <w:r>
        <w:rPr>
          <w:rFonts w:hint="eastAsia"/>
          <w:bCs/>
          <w:color w:val="000000"/>
          <w:highlight w:val="none"/>
        </w:rPr>
        <w:t>电子应答文件提交</w:t>
      </w:r>
      <w:r>
        <w:rPr>
          <w:rFonts w:hint="eastAsia"/>
          <w:bCs/>
          <w:color w:val="000000"/>
          <w:highlight w:val="none"/>
          <w:lang w:eastAsia="zh-CN"/>
        </w:rPr>
        <w:t>采购人招投标交易平台信息系统</w:t>
      </w:r>
      <w:r>
        <w:rPr>
          <w:rFonts w:hint="eastAsia"/>
          <w:bCs/>
          <w:color w:val="000000"/>
          <w:highlight w:val="none"/>
        </w:rPr>
        <w:t>。</w:t>
      </w:r>
    </w:p>
    <w:p>
      <w:pPr>
        <w:adjustRightInd w:val="0"/>
        <w:snapToGrid w:val="0"/>
        <w:spacing w:line="400" w:lineRule="exact"/>
        <w:ind w:firstLine="422" w:firstLineChars="200"/>
        <w:rPr>
          <w:rFonts w:ascii="宋体" w:hAnsi="宋体" w:cs="宋体"/>
          <w:highlight w:val="none"/>
        </w:rPr>
      </w:pPr>
      <w:r>
        <w:rPr>
          <w:rFonts w:hint="eastAsia" w:ascii="宋体" w:hAnsi="宋体" w:cs="宋体"/>
          <w:b/>
          <w:highlight w:val="none"/>
        </w:rPr>
        <w:t>电子应答文件递交方式详见第五章应答文件格式。如要求全部文件上传</w:t>
      </w:r>
      <w:r>
        <w:rPr>
          <w:rFonts w:hint="eastAsia" w:ascii="宋体" w:hAnsi="宋体" w:cs="宋体"/>
          <w:b/>
          <w:highlight w:val="none"/>
          <w:lang w:eastAsia="zh-CN"/>
        </w:rPr>
        <w:t>采购人招投标交易平台信息系统</w:t>
      </w:r>
      <w:r>
        <w:rPr>
          <w:rFonts w:hint="eastAsia" w:ascii="宋体" w:hAnsi="宋体" w:cs="宋体"/>
          <w:b/>
          <w:highlight w:val="none"/>
        </w:rPr>
        <w:t>，应答人仅可通过</w:t>
      </w:r>
      <w:r>
        <w:rPr>
          <w:rFonts w:hint="eastAsia" w:ascii="宋体" w:hAnsi="宋体" w:cs="宋体"/>
          <w:b/>
          <w:highlight w:val="none"/>
          <w:lang w:eastAsia="zh-CN"/>
        </w:rPr>
        <w:t>采购人招投标交易平台信息系统</w:t>
      </w:r>
      <w:r>
        <w:rPr>
          <w:rFonts w:hint="eastAsia" w:ascii="宋体" w:hAnsi="宋体" w:cs="宋体"/>
          <w:b/>
          <w:highlight w:val="none"/>
        </w:rPr>
        <w:t>提交全部应答文件；对于受</w:t>
      </w:r>
      <w:r>
        <w:rPr>
          <w:rFonts w:hint="eastAsia" w:ascii="宋体" w:hAnsi="宋体" w:cs="宋体"/>
          <w:b/>
          <w:highlight w:val="none"/>
          <w:lang w:eastAsia="zh-CN"/>
        </w:rPr>
        <w:t>采购人招投标交易平台信息系统</w:t>
      </w:r>
      <w:r>
        <w:rPr>
          <w:rFonts w:hint="eastAsia" w:ascii="宋体" w:hAnsi="宋体" w:cs="宋体"/>
          <w:b/>
          <w:highlight w:val="none"/>
        </w:rPr>
        <w:t>容量限制，要求通过网盘递交的文件，应答人需应用投标工具U+商务技术大文件功能加密提交网盘文件，在应答截止时间前完成上传提交。</w:t>
      </w:r>
    </w:p>
    <w:p>
      <w:pPr>
        <w:adjustRightInd w:val="0"/>
        <w:snapToGrid w:val="0"/>
        <w:spacing w:line="400" w:lineRule="exact"/>
        <w:ind w:firstLine="420" w:firstLineChars="200"/>
        <w:outlineLvl w:val="2"/>
        <w:rPr>
          <w:rFonts w:ascii="宋体" w:hAnsi="宋体"/>
          <w:highlight w:val="none"/>
        </w:rPr>
      </w:pPr>
      <w:r>
        <w:rPr>
          <w:rFonts w:hint="eastAsia" w:ascii="宋体" w:hAnsi="宋体" w:cs="宋体"/>
          <w:highlight w:val="none"/>
        </w:rPr>
        <w:t>5.2首次应答截止时间之前未成功提交至</w:t>
      </w:r>
      <w:r>
        <w:rPr>
          <w:rFonts w:hint="eastAsia" w:ascii="宋体" w:hAnsi="宋体" w:cs="宋体"/>
          <w:highlight w:val="none"/>
          <w:lang w:eastAsia="zh-CN"/>
        </w:rPr>
        <w:t>采购人招投标交易平台信息系统</w:t>
      </w:r>
      <w:r>
        <w:rPr>
          <w:rFonts w:hint="eastAsia" w:ascii="宋体" w:hAnsi="宋体"/>
          <w:highlight w:val="none"/>
        </w:rPr>
        <w:t>的电子应答文件，采购人不予受理。不接受未按规定加密的应答文件及应答文件的修改文件。</w:t>
      </w:r>
      <w:r>
        <w:rPr>
          <w:rFonts w:hint="eastAsia" w:ascii="宋体" w:hAnsi="宋体"/>
          <w:highlight w:val="none"/>
        </w:rPr>
        <w:t>不接受邮寄、现场提交等电子提交方式以外的其他方式提交应答文件及应答文件的修改文件。</w:t>
      </w:r>
    </w:p>
    <w:p>
      <w:pPr>
        <w:adjustRightInd w:val="0"/>
        <w:snapToGrid w:val="0"/>
        <w:spacing w:line="400" w:lineRule="exact"/>
        <w:ind w:firstLine="420" w:firstLineChars="200"/>
        <w:outlineLvl w:val="2"/>
        <w:rPr>
          <w:rFonts w:ascii="宋体" w:hAnsi="宋体" w:cs="宋体"/>
          <w:highlight w:val="none"/>
        </w:rPr>
      </w:pPr>
      <w:r>
        <w:rPr>
          <w:rFonts w:ascii="宋体" w:hAnsi="宋体" w:cs="宋体"/>
          <w:highlight w:val="none"/>
        </w:rPr>
        <w:t>5.3 未按采购公告规定的时间和方式获取并下载采购文件的应答，采购人将不予受理。</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7" w:name="_Toc20595"/>
      <w:bookmarkStart w:id="18" w:name="_Toc10970"/>
      <w:bookmarkStart w:id="19" w:name="_Toc62566122"/>
      <w:r>
        <w:rPr>
          <w:rFonts w:hint="eastAsia" w:ascii="黑体" w:eastAsia="黑体" w:hAnsiTheme="majorHAnsi" w:cstheme="majorBidi"/>
          <w:b/>
          <w:color w:val="000000" w:themeColor="text1"/>
          <w:kern w:val="0"/>
          <w:sz w:val="24"/>
          <w:highlight w:val="none"/>
          <w:lang w:bidi="en-US"/>
          <w14:textFill>
            <w14:solidFill>
              <w14:schemeClr w14:val="tx1"/>
            </w14:solidFill>
          </w14:textFill>
        </w:rPr>
        <w:t>6.发布公告的媒介</w:t>
      </w:r>
      <w:bookmarkEnd w:id="17"/>
      <w:bookmarkEnd w:id="18"/>
      <w:bookmarkEnd w:id="19"/>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本次采购公告在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上发布。</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0" w:name="_Toc1702"/>
      <w:bookmarkStart w:id="21" w:name="_Toc62566123"/>
      <w:bookmarkStart w:id="22" w:name="_Toc26152"/>
      <w:r>
        <w:rPr>
          <w:rFonts w:hint="eastAsia" w:ascii="黑体" w:eastAsia="黑体" w:hAnsiTheme="majorHAnsi" w:cstheme="majorBidi"/>
          <w:b/>
          <w:color w:val="000000" w:themeColor="text1"/>
          <w:kern w:val="0"/>
          <w:sz w:val="24"/>
          <w:highlight w:val="none"/>
          <w:lang w:bidi="en-US"/>
          <w14:textFill>
            <w14:solidFill>
              <w14:schemeClr w14:val="tx1"/>
            </w14:solidFill>
          </w14:textFill>
        </w:rPr>
        <w:t>7.采购文件获取联系方式</w:t>
      </w:r>
      <w:bookmarkEnd w:id="20"/>
      <w:bookmarkEnd w:id="21"/>
      <w:bookmarkEnd w:id="22"/>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采购人：</w:t>
      </w:r>
      <w:r>
        <w:rPr>
          <w:rFonts w:hint="eastAsia" w:ascii="宋体" w:hAnsi="宋体"/>
          <w:color w:val="000000" w:themeColor="text1"/>
          <w:highlight w:val="none"/>
          <w:lang w:eastAsia="zh-CN"/>
          <w14:textFill>
            <w14:solidFill>
              <w14:schemeClr w14:val="tx1"/>
            </w14:solidFill>
          </w14:textFill>
        </w:rPr>
        <w:t>国网福建省电力有限公司漳州供电公司</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地址：</w:t>
      </w:r>
      <w:r>
        <w:rPr>
          <w:rFonts w:hint="eastAsia" w:ascii="宋体" w:hAnsi="宋体"/>
          <w:color w:val="000000" w:themeColor="text1"/>
          <w:highlight w:val="none"/>
          <w:lang w:val="zh-CN"/>
          <w14:textFill>
            <w14:solidFill>
              <w14:schemeClr w14:val="tx1"/>
            </w14:solidFill>
          </w14:textFill>
        </w:rPr>
        <w:t>福建漳州芗城区胜利东路</w:t>
      </w:r>
      <w:r>
        <w:rPr>
          <w:rFonts w:hint="eastAsia" w:ascii="宋体" w:hAnsi="宋体"/>
          <w:color w:val="000000" w:themeColor="text1"/>
          <w:highlight w:val="none"/>
          <w:lang w:val="en-US" w:eastAsia="zh-CN"/>
          <w14:textFill>
            <w14:solidFill>
              <w14:schemeClr w14:val="tx1"/>
            </w14:solidFill>
          </w14:textFill>
        </w:rPr>
        <w:t>13号</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邮编：</w:t>
      </w:r>
      <w:r>
        <w:rPr>
          <w:rFonts w:hint="eastAsia" w:ascii="宋体" w:hAnsi="宋体"/>
          <w:color w:val="000000" w:themeColor="text1"/>
          <w:highlight w:val="none"/>
          <w:lang w:val="en-US" w:eastAsia="zh-CN"/>
          <w14:textFill>
            <w14:solidFill>
              <w14:schemeClr w14:val="tx1"/>
            </w14:solidFill>
          </w14:textFill>
        </w:rPr>
        <w:t>363000</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采购代理机构：</w:t>
      </w:r>
      <w:r>
        <w:rPr>
          <w:rFonts w:hint="eastAsia" w:ascii="宋体" w:hAnsi="宋体"/>
          <w:highlight w:val="none"/>
        </w:rPr>
        <w:t>福建省电力建设工程咨询有限公司</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地址：</w:t>
      </w:r>
      <w:r>
        <w:rPr>
          <w:rFonts w:hint="eastAsia" w:ascii="宋体" w:hAnsi="宋体"/>
          <w:highlight w:val="none"/>
        </w:rPr>
        <w:t>福州市晋安区</w:t>
      </w:r>
      <w:r>
        <w:rPr>
          <w:rFonts w:hint="eastAsia" w:ascii="宋体" w:hAnsi="宋体"/>
          <w:highlight w:val="none"/>
          <w:lang w:eastAsia="zh-CN"/>
        </w:rPr>
        <w:t>茶园街道茶园路</w:t>
      </w:r>
      <w:r>
        <w:rPr>
          <w:rFonts w:hint="eastAsia" w:ascii="宋体" w:hAnsi="宋体"/>
          <w:highlight w:val="none"/>
          <w:lang w:val="en-US" w:eastAsia="zh-CN"/>
        </w:rPr>
        <w:t>68号</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邮编：</w:t>
      </w:r>
      <w:r>
        <w:rPr>
          <w:rFonts w:hint="eastAsia" w:ascii="宋体" w:hAnsi="宋体"/>
          <w:highlight w:val="none"/>
        </w:rPr>
        <w:t>350012</w:t>
      </w:r>
    </w:p>
    <w:p>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ascii="宋体"/>
          <w:szCs w:val="21"/>
          <w:highlight w:val="none"/>
        </w:rPr>
        <w:t>联系人</w:t>
      </w:r>
      <w:r>
        <w:rPr>
          <w:rFonts w:hint="eastAsia"/>
          <w:highlight w:val="none"/>
        </w:rPr>
        <w:t>电话：</w:t>
      </w:r>
      <w:r>
        <w:rPr>
          <w:rFonts w:hint="eastAsia" w:ascii="黑体" w:hAnsi="宋体" w:eastAsia="黑体"/>
          <w:color w:val="000000"/>
          <w:sz w:val="28"/>
          <w:szCs w:val="28"/>
          <w:highlight w:val="none"/>
          <w:lang w:eastAsia="zh-CN"/>
        </w:rPr>
        <w:t>0591-86125125、0591-86125120</w:t>
      </w:r>
    </w:p>
    <w:p>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highlight w:val="none"/>
        </w:rPr>
        <w:t>电子邮件：</w:t>
      </w:r>
      <w:r>
        <w:rPr>
          <w:rFonts w:hint="eastAsia" w:ascii="黑体" w:hAnsi="宋体" w:eastAsia="黑体"/>
          <w:color w:val="000000"/>
          <w:sz w:val="28"/>
          <w:szCs w:val="28"/>
          <w:highlight w:val="none"/>
          <w:lang w:eastAsia="zh-CN"/>
        </w:rPr>
        <w:t>jszx@fjdljszx.com</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3" w:name="_Toc62566124"/>
      <w:bookmarkStart w:id="24" w:name="_Toc21046"/>
      <w:bookmarkStart w:id="25" w:name="_Toc28046"/>
      <w:r>
        <w:rPr>
          <w:rFonts w:hint="eastAsia" w:ascii="黑体" w:eastAsia="黑体" w:hAnsiTheme="majorHAnsi" w:cstheme="majorBidi"/>
          <w:b/>
          <w:color w:val="000000" w:themeColor="text1"/>
          <w:kern w:val="0"/>
          <w:sz w:val="24"/>
          <w:highlight w:val="none"/>
          <w:lang w:bidi="en-US"/>
          <w14:textFill>
            <w14:solidFill>
              <w14:schemeClr w14:val="tx1"/>
            </w14:solidFill>
          </w14:textFill>
        </w:rPr>
        <w:t>8.合规声明</w:t>
      </w:r>
      <w:bookmarkEnd w:id="23"/>
      <w:bookmarkEnd w:id="24"/>
      <w:bookmarkEnd w:id="25"/>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color w:val="000000" w:themeColor="text1"/>
          <w:highlight w:val="none"/>
          <w:lang w:eastAsia="zh-CN"/>
          <w14:textFill>
            <w14:solidFill>
              <w14:schemeClr w14:val="tx1"/>
            </w14:solidFill>
          </w14:textFill>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9.权利声明</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widowControl/>
        <w:jc w:val="right"/>
        <w:rPr>
          <w:rFonts w:ascii="宋体" w:hAnsi="宋体"/>
          <w:b/>
          <w:color w:val="FF0000"/>
          <w:highlight w:val="none"/>
        </w:rPr>
        <w:sectPr>
          <w:headerReference r:id="rId9" w:type="first"/>
          <w:footerReference r:id="rId12" w:type="first"/>
          <w:headerReference r:id="rId7" w:type="default"/>
          <w:footerReference r:id="rId10" w:type="default"/>
          <w:headerReference r:id="rId8" w:type="even"/>
          <w:footerReference r:id="rId11"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r>
        <w:rPr>
          <w:rFonts w:hint="eastAsia" w:ascii="黑体" w:hAnsi="宋体" w:eastAsia="黑体"/>
          <w:color w:val="000000"/>
          <w:sz w:val="28"/>
          <w:szCs w:val="28"/>
          <w:highlight w:val="none"/>
          <w:lang w:eastAsia="zh-CN"/>
        </w:rPr>
        <w:t>2025年6月27日</w:t>
      </w:r>
      <w:r>
        <w:rPr>
          <w:color w:val="000000" w:themeColor="text1"/>
          <w:highlight w:val="none"/>
          <w14:textFill>
            <w14:solidFill>
              <w14:schemeClr w14:val="tx1"/>
            </w14:solidFill>
          </w14:textFill>
        </w:rPr>
        <w:br w:type="page"/>
      </w:r>
    </w:p>
    <w:p>
      <w:pPr>
        <w:pStyle w:val="5"/>
        <w:spacing w:after="0"/>
        <w:jc w:val="left"/>
        <w:outlineLvl w:val="9"/>
        <w:rPr>
          <w:rFonts w:ascii="黑体" w:hAnsi="黑体" w:eastAsia="黑体" w:cs="黑体"/>
          <w:b/>
          <w:bCs/>
          <w:color w:val="000000" w:themeColor="text1"/>
          <w:sz w:val="24"/>
          <w:highlight w:val="none"/>
          <w14:textFill>
            <w14:solidFill>
              <w14:schemeClr w14:val="tx1"/>
            </w14:solidFill>
          </w14:textFill>
        </w:rPr>
      </w:pPr>
      <w:r>
        <w:rPr>
          <w:rFonts w:hint="eastAsia" w:ascii="黑体" w:hAnsi="黑体" w:eastAsia="黑体" w:cs="黑体"/>
          <w:b/>
          <w:bCs/>
          <w:sz w:val="24"/>
          <w:highlight w:val="none"/>
        </w:rPr>
        <w:t>采购公告附件</w:t>
      </w:r>
    </w:p>
    <w:p>
      <w:bookmarkStart w:id="26" w:name="_Toc10106"/>
      <w:bookmarkStart w:id="27" w:name="_Toc62566134"/>
      <w:bookmarkStart w:id="28" w:name="_Toc25204"/>
      <w:r>
        <w:rPr>
          <w:rFonts w:hint="eastAsia"/>
          <w:color w:val="auto"/>
          <w:highlight w:val="none"/>
        </w:rPr>
        <w:t>附件：《</w:t>
      </w:r>
      <w:r>
        <w:rPr>
          <w:rFonts w:hint="eastAsia"/>
          <w:color w:val="auto"/>
          <w:highlight w:val="none"/>
          <w:lang w:val="en-US" w:eastAsia="zh-CN"/>
        </w:rPr>
        <w:t>采购</w:t>
      </w:r>
      <w:r>
        <w:rPr>
          <w:rFonts w:hint="eastAsia"/>
          <w:color w:val="auto"/>
          <w:highlight w:val="none"/>
        </w:rPr>
        <w:t>需求一览表》另附</w:t>
      </w:r>
    </w:p>
    <w:p/>
    <w:p/>
    <w:p/>
    <w:p/>
    <w:p/>
    <w:p/>
    <w:p/>
    <w:p/>
    <w:p/>
    <w:p/>
    <w:p/>
    <w:p/>
    <w:p/>
    <w:p/>
    <w:p/>
    <w:p/>
    <w:p/>
    <w:p/>
    <w:p/>
    <w:p/>
    <w:p/>
    <w:p/>
    <w:p/>
    <w:p/>
    <w:p>
      <w:pPr>
        <w:jc w:val="left"/>
        <w:rPr>
          <w:rFonts w:hint="eastAsia" w:ascii="宋体" w:hAnsi="宋体" w:cs="宋体"/>
          <w:color w:val="FF0000"/>
          <w:szCs w:val="21"/>
          <w:highlight w:val="none"/>
          <w:lang w:eastAsia="zh-CN"/>
        </w:rPr>
      </w:pPr>
      <w:r>
        <w:rPr>
          <w:rFonts w:hint="eastAsia" w:ascii="宋体" w:hAnsi="宋体" w:cs="宋体"/>
          <w:color w:val="000000"/>
          <w:szCs w:val="21"/>
          <w:highlight w:val="none"/>
          <w:lang w:eastAsia="zh-CN"/>
        </w:rPr>
        <w:t xml:space="preserve"> </w:t>
      </w:r>
    </w:p>
    <w:p>
      <w:pPr>
        <w:jc w:val="left"/>
        <w:rPr>
          <w:rFonts w:hint="eastAsia" w:ascii="宋体" w:hAnsi="宋体" w:cs="宋体"/>
          <w:color w:val="FF0000"/>
          <w:szCs w:val="21"/>
          <w:highlight w:val="none"/>
          <w:lang w:eastAsia="zh-CN"/>
        </w:rPr>
      </w:pPr>
    </w:p>
    <w:p>
      <w:pPr>
        <w:rPr>
          <w:rFonts w:hint="eastAsia" w:ascii="宋体" w:hAnsi="宋体" w:cs="宋体"/>
          <w:color w:val="FF0000"/>
          <w:szCs w:val="21"/>
          <w:highlight w:val="none"/>
        </w:rPr>
      </w:pPr>
      <w:r>
        <w:rPr>
          <w:rFonts w:hint="eastAsia" w:ascii="宋体" w:hAnsi="宋体" w:cs="宋体"/>
          <w:color w:val="FF0000"/>
          <w:szCs w:val="21"/>
          <w:highlight w:val="none"/>
        </w:rPr>
        <w:br w:type="page"/>
      </w:r>
    </w:p>
    <w:p>
      <w:pPr>
        <w:pStyle w:val="4"/>
        <w:rPr>
          <w:rFonts w:hint="eastAsia"/>
          <w:highlight w:val="none"/>
        </w:rPr>
        <w:sectPr>
          <w:pgSz w:w="11905" w:h="16838"/>
          <w:pgMar w:top="1800" w:right="1440" w:bottom="1800" w:left="1440" w:header="850" w:footer="992" w:gutter="0"/>
          <w:pgBorders>
            <w:top w:val="none" w:sz="0" w:space="0"/>
            <w:left w:val="none" w:sz="0" w:space="0"/>
            <w:bottom w:val="none" w:sz="0" w:space="0"/>
            <w:right w:val="none" w:sz="0" w:space="0"/>
          </w:pgBorders>
          <w:pgNumType w:start="0"/>
          <w:cols w:space="0" w:num="1"/>
          <w:docGrid w:type="lines" w:linePitch="317" w:charSpace="0"/>
        </w:sectPr>
      </w:pPr>
    </w:p>
    <w:p>
      <w:pPr>
        <w:pStyle w:val="4"/>
        <w:rPr>
          <w:rFonts w:hint="eastAsia"/>
          <w:highlight w:val="none"/>
        </w:rPr>
      </w:pPr>
    </w:p>
    <w:p>
      <w:pPr>
        <w:pStyle w:val="12"/>
        <w:rPr>
          <w:rFonts w:hint="eastAsia"/>
          <w:highlight w:val="none"/>
        </w:rPr>
      </w:pPr>
    </w:p>
    <w:p>
      <w:pPr>
        <w:rPr>
          <w:rFonts w:hint="eastAsia" w:ascii="宋体" w:hAnsi="宋体" w:cs="宋体"/>
          <w:color w:val="FF0000"/>
          <w:szCs w:val="21"/>
          <w:highlight w:val="none"/>
        </w:rPr>
      </w:pPr>
      <w:r>
        <w:rPr>
          <w:rFonts w:hint="eastAsia" w:ascii="宋体" w:hAnsi="宋体" w:cs="宋体"/>
          <w:color w:val="FF0000"/>
          <w:szCs w:val="21"/>
          <w:highlight w:val="none"/>
        </w:rPr>
        <w:br w:type="page"/>
      </w:r>
    </w:p>
    <w:p>
      <w:pPr>
        <w:pStyle w:val="4"/>
        <w:rPr>
          <w:rFonts w:hint="eastAsia"/>
          <w:highlight w:val="none"/>
        </w:rPr>
        <w:sectPr>
          <w:pgSz w:w="16838" w:h="11905" w:orient="landscape"/>
          <w:pgMar w:top="1803" w:right="1134" w:bottom="1803" w:left="1134" w:header="850" w:footer="992" w:gutter="0"/>
          <w:pgBorders>
            <w:top w:val="none" w:sz="0" w:space="0"/>
            <w:left w:val="none" w:sz="0" w:space="0"/>
            <w:bottom w:val="none" w:sz="0" w:space="0"/>
            <w:right w:val="none" w:sz="0" w:space="0"/>
          </w:pgBorders>
          <w:pgNumType w:start="0"/>
          <w:cols w:space="0" w:num="1"/>
          <w:docGrid w:type="lines" w:linePitch="317" w:charSpace="0"/>
        </w:sectPr>
      </w:pPr>
    </w:p>
    <w:bookmarkEnd w:id="26"/>
    <w:bookmarkEnd w:id="27"/>
    <w:bookmarkEnd w:id="28"/>
    <w:p>
      <w:pPr>
        <w:pStyle w:val="12"/>
        <w:rPr>
          <w:highlight w:val="none"/>
        </w:rPr>
      </w:pPr>
    </w:p>
    <w:bookmarkEnd w:id="29"/>
    <w:sectPr>
      <w:headerReference r:id="rId13" w:type="default"/>
      <w:footerReference r:id="rId14" w:type="default"/>
      <w:pgSz w:w="11905" w:h="16838"/>
      <w:pgMar w:top="1134" w:right="1803" w:bottom="1134" w:left="1803" w:header="850" w:footer="992" w:gutter="0"/>
      <w:pgBorders>
        <w:top w:val="none" w:sz="0" w:space="0"/>
        <w:left w:val="none" w:sz="0" w:space="0"/>
        <w:bottom w:val="none" w:sz="0" w:space="0"/>
        <w:right w:val="none" w:sz="0" w:space="0"/>
      </w:pgBorders>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firstLine="240"/>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34</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comments" w:enforcement="1" w:cryptProviderType="rsaFull" w:cryptAlgorithmClass="hash" w:cryptAlgorithmType="typeAny" w:cryptAlgorithmSid="4" w:cryptSpinCount="0" w:hash="8emtLf4eLEHIRQVsyeQ88JbDm9I=" w:salt="CLlu9CE6BquCRXybPkAWn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785FDEB00008376" w:val=" "/>
    <w:docVar w:name="678710A400000A9C" w:val=" "/>
    <w:docVar w:name="67873291000016D1" w:val=" "/>
    <w:docVar w:name="67875F300000633D" w:val=" "/>
    <w:docVar w:name="67876AED00003C1E" w:val=" "/>
    <w:docVar w:name="67876B9C0000E7C6" w:val=" "/>
    <w:docVar w:name="678E204E00002474" w:val=" "/>
    <w:docVar w:name="67AF1EA000007A6C" w:val=" "/>
    <w:docVar w:name="67AF1EDA00005F5D" w:val=" "/>
    <w:docVar w:name="67AF1EF40000C52C" w:val=" "/>
    <w:docVar w:name="67B58A750000962D" w:val=" "/>
    <w:docVar w:name="68511C0900007C96" w:val=" "/>
    <w:docVar w:name="685383BE000022A0" w:val=" "/>
    <w:docVar w:name="6853BF060000B3DC" w:val=" "/>
    <w:docVar w:name="6853C70900003BF6" w:val=" "/>
    <w:docVar w:name="6853CA790000EF1E" w:val=" "/>
    <w:docVar w:name="6854DB8A00006A3A" w:val=" "/>
    <w:docVar w:name="6858AA880000AE39" w:val=" "/>
    <w:docVar w:name="6858B2DA00002A6B" w:val=" "/>
    <w:docVar w:name="6859067D000002E7" w:val=" "/>
    <w:docVar w:name="6859068900002F95" w:val=" "/>
    <w:docVar w:name="685921E10000DD7D" w:val=" "/>
    <w:docVar w:name="685A01EA00001305" w:val=" "/>
    <w:docVar w:name="685A099E0000886C" w:val=" "/>
    <w:docVar w:name="685A61820000DDEA" w:val=" "/>
    <w:docVar w:name="685D014D0000CCDA" w:val=" "/>
    <w:docVar w:name="685D035A0000CFE0" w:val=" "/>
    <w:docVar w:name="commondata" w:val="eyJoZGlkIjoiNWMyNjAxOTI3NGRiYTg2OGUxZWU3ZmNiMzlmOTJmNGIifQ=="/>
  </w:docVars>
  <w:rsids>
    <w:rsidRoot w:val="00172A27"/>
    <w:rsid w:val="008F0A5F"/>
    <w:rsid w:val="00926D19"/>
    <w:rsid w:val="00E00CC3"/>
    <w:rsid w:val="00FC0F47"/>
    <w:rsid w:val="01446D26"/>
    <w:rsid w:val="01E925C5"/>
    <w:rsid w:val="02631E0A"/>
    <w:rsid w:val="02700D9E"/>
    <w:rsid w:val="02822BDF"/>
    <w:rsid w:val="02AA4E09"/>
    <w:rsid w:val="036461C9"/>
    <w:rsid w:val="037D1269"/>
    <w:rsid w:val="038C6F20"/>
    <w:rsid w:val="03B92D3C"/>
    <w:rsid w:val="0459750A"/>
    <w:rsid w:val="047816A5"/>
    <w:rsid w:val="04A91C5E"/>
    <w:rsid w:val="04B80256"/>
    <w:rsid w:val="054C7D24"/>
    <w:rsid w:val="05500771"/>
    <w:rsid w:val="05713C67"/>
    <w:rsid w:val="057A5FA5"/>
    <w:rsid w:val="05953107"/>
    <w:rsid w:val="05B35D8B"/>
    <w:rsid w:val="05C362DD"/>
    <w:rsid w:val="05F16117"/>
    <w:rsid w:val="06441C11"/>
    <w:rsid w:val="06661507"/>
    <w:rsid w:val="068E46B0"/>
    <w:rsid w:val="071809E3"/>
    <w:rsid w:val="078818A8"/>
    <w:rsid w:val="07912D2E"/>
    <w:rsid w:val="08407AC7"/>
    <w:rsid w:val="08605442"/>
    <w:rsid w:val="08CA336E"/>
    <w:rsid w:val="08CD11E2"/>
    <w:rsid w:val="090302EE"/>
    <w:rsid w:val="091C5147"/>
    <w:rsid w:val="096B6190"/>
    <w:rsid w:val="0997011D"/>
    <w:rsid w:val="0A5462DE"/>
    <w:rsid w:val="0A5A192C"/>
    <w:rsid w:val="0B1862EC"/>
    <w:rsid w:val="0B7F5853"/>
    <w:rsid w:val="0BAC7874"/>
    <w:rsid w:val="0BBB120D"/>
    <w:rsid w:val="0C2B6C29"/>
    <w:rsid w:val="0CA539D4"/>
    <w:rsid w:val="0CC03167"/>
    <w:rsid w:val="0DE57C58"/>
    <w:rsid w:val="0DED5442"/>
    <w:rsid w:val="0E1B4C00"/>
    <w:rsid w:val="0E6569F8"/>
    <w:rsid w:val="0E967928"/>
    <w:rsid w:val="0F542EE7"/>
    <w:rsid w:val="0F7B25F2"/>
    <w:rsid w:val="0F8C0D4A"/>
    <w:rsid w:val="0F90510B"/>
    <w:rsid w:val="0F912CF6"/>
    <w:rsid w:val="0F9B1817"/>
    <w:rsid w:val="0FB474A3"/>
    <w:rsid w:val="10053BCD"/>
    <w:rsid w:val="105153E5"/>
    <w:rsid w:val="105949A9"/>
    <w:rsid w:val="105A4F5A"/>
    <w:rsid w:val="106F0F02"/>
    <w:rsid w:val="10A30E7E"/>
    <w:rsid w:val="10B45BED"/>
    <w:rsid w:val="10FC397A"/>
    <w:rsid w:val="117A0FD6"/>
    <w:rsid w:val="119A6652"/>
    <w:rsid w:val="11A57C36"/>
    <w:rsid w:val="11A75202"/>
    <w:rsid w:val="11C56208"/>
    <w:rsid w:val="11C67C71"/>
    <w:rsid w:val="11FF1B80"/>
    <w:rsid w:val="1207319C"/>
    <w:rsid w:val="1219345F"/>
    <w:rsid w:val="122A05BC"/>
    <w:rsid w:val="125B181A"/>
    <w:rsid w:val="125C4548"/>
    <w:rsid w:val="1281714B"/>
    <w:rsid w:val="12A840AE"/>
    <w:rsid w:val="137E1092"/>
    <w:rsid w:val="139470D9"/>
    <w:rsid w:val="13FA6E12"/>
    <w:rsid w:val="1468590F"/>
    <w:rsid w:val="16A11465"/>
    <w:rsid w:val="16F00EFB"/>
    <w:rsid w:val="173D4735"/>
    <w:rsid w:val="179C44FF"/>
    <w:rsid w:val="17A9718B"/>
    <w:rsid w:val="17D7235F"/>
    <w:rsid w:val="17DB2818"/>
    <w:rsid w:val="18D47845"/>
    <w:rsid w:val="19717B4A"/>
    <w:rsid w:val="19A302F9"/>
    <w:rsid w:val="19AC6CCF"/>
    <w:rsid w:val="19B268E4"/>
    <w:rsid w:val="1A0B1579"/>
    <w:rsid w:val="1A461E0D"/>
    <w:rsid w:val="1A9A1D96"/>
    <w:rsid w:val="1B2551D9"/>
    <w:rsid w:val="1B4F1C3E"/>
    <w:rsid w:val="1C1668B6"/>
    <w:rsid w:val="1C2D44C9"/>
    <w:rsid w:val="1C541496"/>
    <w:rsid w:val="1C9F0DE4"/>
    <w:rsid w:val="1CBF5B28"/>
    <w:rsid w:val="1CEE6B2B"/>
    <w:rsid w:val="1DA83332"/>
    <w:rsid w:val="1DAC1801"/>
    <w:rsid w:val="1E6D33BD"/>
    <w:rsid w:val="1EBA11E4"/>
    <w:rsid w:val="1ECE601F"/>
    <w:rsid w:val="1F224FBB"/>
    <w:rsid w:val="1F431D5C"/>
    <w:rsid w:val="1F4B435F"/>
    <w:rsid w:val="1F64277A"/>
    <w:rsid w:val="1F9E3B0D"/>
    <w:rsid w:val="1FBE531E"/>
    <w:rsid w:val="1FCC49DD"/>
    <w:rsid w:val="1FD133C6"/>
    <w:rsid w:val="1FD16996"/>
    <w:rsid w:val="1FD769BE"/>
    <w:rsid w:val="1FFD64A3"/>
    <w:rsid w:val="200B4ACE"/>
    <w:rsid w:val="20FA51B0"/>
    <w:rsid w:val="21525EFB"/>
    <w:rsid w:val="215469E3"/>
    <w:rsid w:val="21BB6E78"/>
    <w:rsid w:val="224427EA"/>
    <w:rsid w:val="22570832"/>
    <w:rsid w:val="22623C51"/>
    <w:rsid w:val="226F3110"/>
    <w:rsid w:val="23124C69"/>
    <w:rsid w:val="23182F24"/>
    <w:rsid w:val="231E0229"/>
    <w:rsid w:val="23523C9F"/>
    <w:rsid w:val="23807B20"/>
    <w:rsid w:val="23831D3F"/>
    <w:rsid w:val="238B6C74"/>
    <w:rsid w:val="23DC3466"/>
    <w:rsid w:val="23DD2DA2"/>
    <w:rsid w:val="240E4AA1"/>
    <w:rsid w:val="241C41C8"/>
    <w:rsid w:val="247C69D7"/>
    <w:rsid w:val="2492432F"/>
    <w:rsid w:val="24CD4503"/>
    <w:rsid w:val="25B74D8A"/>
    <w:rsid w:val="25C86FFF"/>
    <w:rsid w:val="260C3831"/>
    <w:rsid w:val="261115D1"/>
    <w:rsid w:val="26242A63"/>
    <w:rsid w:val="266975B4"/>
    <w:rsid w:val="26BB3B44"/>
    <w:rsid w:val="26D0535B"/>
    <w:rsid w:val="278D13F3"/>
    <w:rsid w:val="2796161C"/>
    <w:rsid w:val="27973C84"/>
    <w:rsid w:val="28215E89"/>
    <w:rsid w:val="286409E6"/>
    <w:rsid w:val="29AB13B2"/>
    <w:rsid w:val="29DD442E"/>
    <w:rsid w:val="29FC07CC"/>
    <w:rsid w:val="2A1101BA"/>
    <w:rsid w:val="2A7E069D"/>
    <w:rsid w:val="2AB63E07"/>
    <w:rsid w:val="2B0A7C2C"/>
    <w:rsid w:val="2B2C482E"/>
    <w:rsid w:val="2B9E0DDF"/>
    <w:rsid w:val="2BBA70BF"/>
    <w:rsid w:val="2BDC7F34"/>
    <w:rsid w:val="2C3B59B0"/>
    <w:rsid w:val="2C846FB7"/>
    <w:rsid w:val="2CE8432B"/>
    <w:rsid w:val="2D3F6DA2"/>
    <w:rsid w:val="2D733C1F"/>
    <w:rsid w:val="2DBC4F13"/>
    <w:rsid w:val="2E265F9E"/>
    <w:rsid w:val="2E3528CD"/>
    <w:rsid w:val="2E427A17"/>
    <w:rsid w:val="2E5326BA"/>
    <w:rsid w:val="2E6A3C11"/>
    <w:rsid w:val="2E9375F4"/>
    <w:rsid w:val="2EAD2F0C"/>
    <w:rsid w:val="2ECD75AB"/>
    <w:rsid w:val="2ED77509"/>
    <w:rsid w:val="2EFB2689"/>
    <w:rsid w:val="2F020228"/>
    <w:rsid w:val="2F210C86"/>
    <w:rsid w:val="2F31473A"/>
    <w:rsid w:val="2FE35DCC"/>
    <w:rsid w:val="30006A6B"/>
    <w:rsid w:val="30172743"/>
    <w:rsid w:val="305F54C9"/>
    <w:rsid w:val="307315BC"/>
    <w:rsid w:val="30735833"/>
    <w:rsid w:val="30DF76E8"/>
    <w:rsid w:val="3103494F"/>
    <w:rsid w:val="31157626"/>
    <w:rsid w:val="3160555B"/>
    <w:rsid w:val="319914CB"/>
    <w:rsid w:val="31A602A1"/>
    <w:rsid w:val="32CE0D5E"/>
    <w:rsid w:val="32CE1F1B"/>
    <w:rsid w:val="330B7252"/>
    <w:rsid w:val="333A74B6"/>
    <w:rsid w:val="337D1011"/>
    <w:rsid w:val="338A7A37"/>
    <w:rsid w:val="33C47EAA"/>
    <w:rsid w:val="347F294E"/>
    <w:rsid w:val="348F4CDA"/>
    <w:rsid w:val="34A66AD4"/>
    <w:rsid w:val="34CF4C4A"/>
    <w:rsid w:val="34E805C0"/>
    <w:rsid w:val="34FC67A0"/>
    <w:rsid w:val="359F6402"/>
    <w:rsid w:val="35BB51D9"/>
    <w:rsid w:val="36862FBF"/>
    <w:rsid w:val="36B2100D"/>
    <w:rsid w:val="36C828BD"/>
    <w:rsid w:val="36DA007E"/>
    <w:rsid w:val="36E73254"/>
    <w:rsid w:val="370E535C"/>
    <w:rsid w:val="372A22EA"/>
    <w:rsid w:val="37557561"/>
    <w:rsid w:val="37652F69"/>
    <w:rsid w:val="37691D7D"/>
    <w:rsid w:val="376C22E4"/>
    <w:rsid w:val="37965814"/>
    <w:rsid w:val="37A35912"/>
    <w:rsid w:val="37DF2B33"/>
    <w:rsid w:val="3849739D"/>
    <w:rsid w:val="3854476C"/>
    <w:rsid w:val="386B6325"/>
    <w:rsid w:val="387A0405"/>
    <w:rsid w:val="387C2088"/>
    <w:rsid w:val="388549AF"/>
    <w:rsid w:val="389E31F8"/>
    <w:rsid w:val="38CE7700"/>
    <w:rsid w:val="39077B00"/>
    <w:rsid w:val="392C01FB"/>
    <w:rsid w:val="3984569A"/>
    <w:rsid w:val="398724F6"/>
    <w:rsid w:val="39AF7601"/>
    <w:rsid w:val="39D62607"/>
    <w:rsid w:val="3A116CA8"/>
    <w:rsid w:val="3A34632E"/>
    <w:rsid w:val="3A80778B"/>
    <w:rsid w:val="3A9F0EDA"/>
    <w:rsid w:val="3B504B02"/>
    <w:rsid w:val="3BAE4CC5"/>
    <w:rsid w:val="3C481AB6"/>
    <w:rsid w:val="3C872764"/>
    <w:rsid w:val="3D862881"/>
    <w:rsid w:val="3D871171"/>
    <w:rsid w:val="3D8C2393"/>
    <w:rsid w:val="3DC34C2E"/>
    <w:rsid w:val="3E4F106C"/>
    <w:rsid w:val="3E933EA6"/>
    <w:rsid w:val="3EC54BFC"/>
    <w:rsid w:val="3F597846"/>
    <w:rsid w:val="4011506D"/>
    <w:rsid w:val="402A360C"/>
    <w:rsid w:val="404A4CA9"/>
    <w:rsid w:val="40AC52E7"/>
    <w:rsid w:val="40C87CF3"/>
    <w:rsid w:val="40F7545E"/>
    <w:rsid w:val="413B3E29"/>
    <w:rsid w:val="415125C8"/>
    <w:rsid w:val="41715496"/>
    <w:rsid w:val="41B50521"/>
    <w:rsid w:val="42382210"/>
    <w:rsid w:val="426E2653"/>
    <w:rsid w:val="433B38E6"/>
    <w:rsid w:val="43A91093"/>
    <w:rsid w:val="43E011A7"/>
    <w:rsid w:val="44173B4C"/>
    <w:rsid w:val="44271A0B"/>
    <w:rsid w:val="44563B0A"/>
    <w:rsid w:val="44696A43"/>
    <w:rsid w:val="44D3011D"/>
    <w:rsid w:val="44E5148E"/>
    <w:rsid w:val="44F3065E"/>
    <w:rsid w:val="44FF613E"/>
    <w:rsid w:val="451A2001"/>
    <w:rsid w:val="457F6F58"/>
    <w:rsid w:val="45BC784F"/>
    <w:rsid w:val="45E50F6C"/>
    <w:rsid w:val="46001422"/>
    <w:rsid w:val="46622A14"/>
    <w:rsid w:val="46B82D79"/>
    <w:rsid w:val="472A7CE7"/>
    <w:rsid w:val="475877BD"/>
    <w:rsid w:val="484374C7"/>
    <w:rsid w:val="484C229A"/>
    <w:rsid w:val="48B6533F"/>
    <w:rsid w:val="48E47C8A"/>
    <w:rsid w:val="49923A0A"/>
    <w:rsid w:val="49C63288"/>
    <w:rsid w:val="4A294F13"/>
    <w:rsid w:val="4A512E3B"/>
    <w:rsid w:val="4A992F1E"/>
    <w:rsid w:val="4B3125E6"/>
    <w:rsid w:val="4B611FF5"/>
    <w:rsid w:val="4B7658CD"/>
    <w:rsid w:val="4B8959D8"/>
    <w:rsid w:val="4BAB6A51"/>
    <w:rsid w:val="4BD867C9"/>
    <w:rsid w:val="4C3D00D5"/>
    <w:rsid w:val="4C4F06FE"/>
    <w:rsid w:val="4D2A27D6"/>
    <w:rsid w:val="4D346BC8"/>
    <w:rsid w:val="4D404EDD"/>
    <w:rsid w:val="4D4B4F6E"/>
    <w:rsid w:val="4D833C8E"/>
    <w:rsid w:val="4D920D20"/>
    <w:rsid w:val="4DD95989"/>
    <w:rsid w:val="4E012A9B"/>
    <w:rsid w:val="4F780B36"/>
    <w:rsid w:val="4FB02114"/>
    <w:rsid w:val="500F36B8"/>
    <w:rsid w:val="501D3747"/>
    <w:rsid w:val="503F6DE3"/>
    <w:rsid w:val="5040035A"/>
    <w:rsid w:val="50490D2C"/>
    <w:rsid w:val="50517135"/>
    <w:rsid w:val="50525098"/>
    <w:rsid w:val="507472D6"/>
    <w:rsid w:val="50C241B2"/>
    <w:rsid w:val="50D17AA5"/>
    <w:rsid w:val="50D40063"/>
    <w:rsid w:val="50DE02DB"/>
    <w:rsid w:val="511A49BD"/>
    <w:rsid w:val="51285572"/>
    <w:rsid w:val="51371D51"/>
    <w:rsid w:val="527B38A1"/>
    <w:rsid w:val="52BA7BFF"/>
    <w:rsid w:val="52D92652"/>
    <w:rsid w:val="52F30EA2"/>
    <w:rsid w:val="53026461"/>
    <w:rsid w:val="531215C0"/>
    <w:rsid w:val="53596F34"/>
    <w:rsid w:val="53797863"/>
    <w:rsid w:val="53892A7F"/>
    <w:rsid w:val="53D96968"/>
    <w:rsid w:val="54133FC5"/>
    <w:rsid w:val="55A65BBA"/>
    <w:rsid w:val="55B8225A"/>
    <w:rsid w:val="55EF4482"/>
    <w:rsid w:val="56167167"/>
    <w:rsid w:val="566526AC"/>
    <w:rsid w:val="56CD74AE"/>
    <w:rsid w:val="57342B3C"/>
    <w:rsid w:val="57862AE9"/>
    <w:rsid w:val="57AF3FD7"/>
    <w:rsid w:val="57EC7315"/>
    <w:rsid w:val="584274DB"/>
    <w:rsid w:val="587222D3"/>
    <w:rsid w:val="58833313"/>
    <w:rsid w:val="58F25677"/>
    <w:rsid w:val="590D36FC"/>
    <w:rsid w:val="590E1E01"/>
    <w:rsid w:val="597436C4"/>
    <w:rsid w:val="59A851B0"/>
    <w:rsid w:val="59B7137F"/>
    <w:rsid w:val="59C61E0A"/>
    <w:rsid w:val="59D21FAA"/>
    <w:rsid w:val="59E64895"/>
    <w:rsid w:val="59F76A9C"/>
    <w:rsid w:val="59FD6CB9"/>
    <w:rsid w:val="5A694410"/>
    <w:rsid w:val="5A9C5967"/>
    <w:rsid w:val="5ADF17BD"/>
    <w:rsid w:val="5B2F4BD8"/>
    <w:rsid w:val="5B451FC1"/>
    <w:rsid w:val="5B4A5537"/>
    <w:rsid w:val="5C021D0B"/>
    <w:rsid w:val="5C2D5385"/>
    <w:rsid w:val="5C430D18"/>
    <w:rsid w:val="5D8C15A4"/>
    <w:rsid w:val="5DD96AE8"/>
    <w:rsid w:val="5DF820D9"/>
    <w:rsid w:val="5E395C50"/>
    <w:rsid w:val="5E52672F"/>
    <w:rsid w:val="5EEC05C4"/>
    <w:rsid w:val="5F243F8E"/>
    <w:rsid w:val="5F7A0FC1"/>
    <w:rsid w:val="60302269"/>
    <w:rsid w:val="605709F3"/>
    <w:rsid w:val="608E325A"/>
    <w:rsid w:val="60947B4A"/>
    <w:rsid w:val="609F5CCC"/>
    <w:rsid w:val="60C06297"/>
    <w:rsid w:val="622B655E"/>
    <w:rsid w:val="6234287E"/>
    <w:rsid w:val="625C1C6B"/>
    <w:rsid w:val="62603A88"/>
    <w:rsid w:val="628024B0"/>
    <w:rsid w:val="62820D84"/>
    <w:rsid w:val="62CB6323"/>
    <w:rsid w:val="6303201C"/>
    <w:rsid w:val="63306A11"/>
    <w:rsid w:val="63614877"/>
    <w:rsid w:val="63A819E4"/>
    <w:rsid w:val="63EF2659"/>
    <w:rsid w:val="647A7AEC"/>
    <w:rsid w:val="65B84001"/>
    <w:rsid w:val="65C553F9"/>
    <w:rsid w:val="65CF40BF"/>
    <w:rsid w:val="669B0CFA"/>
    <w:rsid w:val="66CF743C"/>
    <w:rsid w:val="66D36967"/>
    <w:rsid w:val="66E753EE"/>
    <w:rsid w:val="670263D7"/>
    <w:rsid w:val="671F10E2"/>
    <w:rsid w:val="67FA02EC"/>
    <w:rsid w:val="685F1DCB"/>
    <w:rsid w:val="68A624C6"/>
    <w:rsid w:val="68BD1EBB"/>
    <w:rsid w:val="68E34E3B"/>
    <w:rsid w:val="692A29EE"/>
    <w:rsid w:val="69985B9C"/>
    <w:rsid w:val="69D06CE6"/>
    <w:rsid w:val="69F944BC"/>
    <w:rsid w:val="6B0A7642"/>
    <w:rsid w:val="6B307BAA"/>
    <w:rsid w:val="6B88094C"/>
    <w:rsid w:val="6BFB2954"/>
    <w:rsid w:val="6C1913CF"/>
    <w:rsid w:val="6C267961"/>
    <w:rsid w:val="6C715BFE"/>
    <w:rsid w:val="6CAF1008"/>
    <w:rsid w:val="6CD354B5"/>
    <w:rsid w:val="6D785255"/>
    <w:rsid w:val="6DAD1397"/>
    <w:rsid w:val="6DDC2B79"/>
    <w:rsid w:val="6E1F32F4"/>
    <w:rsid w:val="6E2D2206"/>
    <w:rsid w:val="6E36339B"/>
    <w:rsid w:val="6E6A572B"/>
    <w:rsid w:val="6E882768"/>
    <w:rsid w:val="6EB34837"/>
    <w:rsid w:val="6F69469C"/>
    <w:rsid w:val="6F7F2386"/>
    <w:rsid w:val="6FAE4083"/>
    <w:rsid w:val="6FC34071"/>
    <w:rsid w:val="6FFA4C95"/>
    <w:rsid w:val="705F3B81"/>
    <w:rsid w:val="712C41AB"/>
    <w:rsid w:val="718F5D20"/>
    <w:rsid w:val="71B92BBF"/>
    <w:rsid w:val="71D80807"/>
    <w:rsid w:val="722D2D0E"/>
    <w:rsid w:val="730A1BDD"/>
    <w:rsid w:val="731B0B94"/>
    <w:rsid w:val="732346BE"/>
    <w:rsid w:val="73D90A00"/>
    <w:rsid w:val="74077D47"/>
    <w:rsid w:val="74244840"/>
    <w:rsid w:val="74327AD7"/>
    <w:rsid w:val="74727416"/>
    <w:rsid w:val="7479194E"/>
    <w:rsid w:val="748117D5"/>
    <w:rsid w:val="75A6178F"/>
    <w:rsid w:val="76076333"/>
    <w:rsid w:val="764368FA"/>
    <w:rsid w:val="766F54E7"/>
    <w:rsid w:val="7690789F"/>
    <w:rsid w:val="76BD6253"/>
    <w:rsid w:val="77CB4B87"/>
    <w:rsid w:val="77DF079C"/>
    <w:rsid w:val="782C29B7"/>
    <w:rsid w:val="785E12BE"/>
    <w:rsid w:val="791E7017"/>
    <w:rsid w:val="79405D86"/>
    <w:rsid w:val="79872622"/>
    <w:rsid w:val="79AC547C"/>
    <w:rsid w:val="79AF760A"/>
    <w:rsid w:val="79BC7ACC"/>
    <w:rsid w:val="79ED2F30"/>
    <w:rsid w:val="7A145218"/>
    <w:rsid w:val="7A2A7492"/>
    <w:rsid w:val="7A5F2543"/>
    <w:rsid w:val="7AC15354"/>
    <w:rsid w:val="7B656EA7"/>
    <w:rsid w:val="7B7B7151"/>
    <w:rsid w:val="7BBA2C2F"/>
    <w:rsid w:val="7BD1469C"/>
    <w:rsid w:val="7BEA2B9C"/>
    <w:rsid w:val="7C187A46"/>
    <w:rsid w:val="7C1C07F4"/>
    <w:rsid w:val="7C262652"/>
    <w:rsid w:val="7C8643EF"/>
    <w:rsid w:val="7CC333C1"/>
    <w:rsid w:val="7D163CCB"/>
    <w:rsid w:val="7D6C60B5"/>
    <w:rsid w:val="7D844CF3"/>
    <w:rsid w:val="7DA63944"/>
    <w:rsid w:val="7DA758BA"/>
    <w:rsid w:val="7DE865DA"/>
    <w:rsid w:val="7E1B5536"/>
    <w:rsid w:val="7E637675"/>
    <w:rsid w:val="7E9779B9"/>
    <w:rsid w:val="7ED564ED"/>
    <w:rsid w:val="7F2D2841"/>
    <w:rsid w:val="7F373A49"/>
    <w:rsid w:val="7F4F029E"/>
    <w:rsid w:val="7F6276E2"/>
    <w:rsid w:val="7FBD6AB1"/>
    <w:rsid w:val="7FC73A8C"/>
    <w:rsid w:val="7FE764F5"/>
    <w:rsid w:val="7FF92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b/>
      <w:bCs/>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rFonts w:ascii="Times New Roman" w:hAnsi="Times New Roman"/>
      <w:szCs w:val="24"/>
    </w:rPr>
  </w:style>
  <w:style w:type="paragraph" w:styleId="4">
    <w:name w:val="Document Map"/>
    <w:basedOn w:val="1"/>
    <w:qFormat/>
    <w:uiPriority w:val="0"/>
    <w:rPr>
      <w:rFonts w:ascii="Tahoma" w:hAnsi="Tahoma"/>
      <w:sz w:val="16"/>
      <w:szCs w:val="16"/>
    </w:rPr>
  </w:style>
  <w:style w:type="paragraph" w:styleId="5">
    <w:name w:val="Body Text"/>
    <w:basedOn w:val="1"/>
    <w:next w:val="1"/>
    <w:qFormat/>
    <w:uiPriority w:val="0"/>
    <w:pPr>
      <w:spacing w:after="120"/>
    </w:pPr>
    <w:rPr>
      <w:rFonts w:ascii="Times New Roman" w:hAnsi="Times New Roman"/>
      <w:szCs w:val="24"/>
    </w:rPr>
  </w:style>
  <w:style w:type="paragraph" w:styleId="6">
    <w:name w:val="Body Text Indent"/>
    <w:basedOn w:val="1"/>
    <w:unhideWhenUsed/>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qFormat/>
    <w:uiPriority w:val="0"/>
    <w:pPr>
      <w:ind w:left="200" w:hanging="200" w:hangingChars="200"/>
      <w:contextualSpacing/>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2"/>
    <w:basedOn w:val="6"/>
    <w:next w:val="13"/>
    <w:qFormat/>
    <w:uiPriority w:val="0"/>
    <w:pPr>
      <w:ind w:left="0" w:leftChars="0" w:firstLine="420"/>
    </w:pPr>
    <w:rPr>
      <w:rFonts w:ascii="Times New Roman" w:hAnsi="Times New Roman"/>
      <w:szCs w:val="24"/>
    </w:rPr>
  </w:style>
  <w:style w:type="paragraph" w:customStyle="1" w:styleId="13">
    <w:name w:val="表格文字"/>
    <w:basedOn w:val="10"/>
    <w:next w:val="1"/>
    <w:qFormat/>
    <w:uiPriority w:val="0"/>
    <w:pPr>
      <w:ind w:firstLine="0" w:firstLineChars="0"/>
      <w:jc w:val="center"/>
    </w:pPr>
    <w:rPr>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Fließtext"/>
    <w:basedOn w:val="1"/>
    <w:qFormat/>
    <w:uiPriority w:val="0"/>
    <w:pPr>
      <w:overflowPunct w:val="0"/>
      <w:autoSpaceDE w:val="0"/>
      <w:autoSpaceDN w:val="0"/>
      <w:textAlignment w:val="baseline"/>
    </w:pPr>
    <w:rPr>
      <w:kern w:val="28"/>
    </w:rPr>
  </w:style>
  <w:style w:type="paragraph" w:customStyle="1" w:styleId="18">
    <w:name w:val="列出段落7"/>
    <w:basedOn w:val="1"/>
    <w:qFormat/>
    <w:uiPriority w:val="0"/>
    <w:pPr>
      <w:ind w:left="400" w:firstLine="420"/>
    </w:pPr>
  </w:style>
  <w:style w:type="paragraph" w:customStyle="1" w:styleId="19">
    <w:name w:val="Table Paragraph"/>
    <w:basedOn w:val="1"/>
    <w:qFormat/>
    <w:uiPriority w:val="1"/>
    <w:pPr>
      <w:autoSpaceDE w:val="0"/>
      <w:autoSpaceDN w:val="0"/>
      <w:jc w:val="left"/>
    </w:pPr>
    <w:rPr>
      <w:rFonts w:ascii="宋体" w:hAnsi="宋体" w:cs="宋体"/>
      <w:kern w:val="0"/>
      <w:sz w:val="22"/>
      <w:lang w:val="zh-CN" w:bidi="zh-CN"/>
    </w:rPr>
  </w:style>
  <w:style w:type="paragraph" w:customStyle="1" w:styleId="20">
    <w:name w:val="正文3"/>
    <w:qFormat/>
    <w:uiPriority w:val="0"/>
    <w:pPr>
      <w:jc w:val="both"/>
    </w:pPr>
    <w:rPr>
      <w:rFonts w:ascii="Times New Roman" w:hAnsi="Times New Roman" w:eastAsia="宋体" w:cs="Times New Roman"/>
      <w:kern w:val="2"/>
      <w:sz w:val="21"/>
      <w:szCs w:val="21"/>
      <w:lang w:val="en-US" w:eastAsia="zh-CN" w:bidi="ar-SA"/>
    </w:rPr>
  </w:style>
  <w:style w:type="paragraph" w:customStyle="1" w:styleId="21">
    <w:name w:val="列出段落1"/>
    <w:basedOn w:val="1"/>
    <w:qFormat/>
    <w:uiPriority w:val="0"/>
    <w:pPr>
      <w:ind w:firstLine="420" w:firstLineChars="200"/>
    </w:pPr>
    <w:rPr>
      <w:szCs w:val="20"/>
    </w:rPr>
  </w:style>
  <w:style w:type="paragraph" w:customStyle="1" w:styleId="22">
    <w:name w:val="列表段落1"/>
    <w:basedOn w:val="1"/>
    <w:qFormat/>
    <w:uiPriority w:val="99"/>
    <w:pPr>
      <w:ind w:firstLine="420" w:firstLineChars="200"/>
    </w:pPr>
  </w:style>
  <w:style w:type="paragraph" w:customStyle="1" w:styleId="23">
    <w:name w:val="样式1"/>
    <w:basedOn w:val="1"/>
    <w:qFormat/>
    <w:uiPriority w:val="0"/>
    <w:rPr>
      <w:rFonts w:ascii="Times New Roman" w:hAnsi="Times New Roman"/>
      <w:sz w:val="28"/>
      <w:szCs w:val="24"/>
    </w:rPr>
  </w:style>
  <w:style w:type="paragraph" w:customStyle="1" w:styleId="24">
    <w:name w:val="p0"/>
    <w:basedOn w:val="1"/>
    <w:qFormat/>
    <w:uiPriority w:val="0"/>
    <w:pPr>
      <w:widowControl/>
    </w:pPr>
    <w:rPr>
      <w:rFonts w:ascii="Times New Roman" w:hAnsi="Times New Roman"/>
      <w:kern w:val="0"/>
      <w:szCs w:val="21"/>
    </w:rPr>
  </w:style>
  <w:style w:type="paragraph" w:styleId="25">
    <w:name w:val="List Paragraph"/>
    <w:basedOn w:val="1"/>
    <w:unhideWhenUsed/>
    <w:qFormat/>
    <w:uiPriority w:val="99"/>
    <w:pPr>
      <w:ind w:firstLine="420" w:firstLineChars="200"/>
    </w:pPr>
  </w:style>
  <w:style w:type="paragraph" w:customStyle="1" w:styleId="26">
    <w:name w:val="纯文本2"/>
    <w:basedOn w:val="1"/>
    <w:qFormat/>
    <w:uiPriority w:val="0"/>
    <w:pPr>
      <w:adjustRightInd w:val="0"/>
      <w:textAlignment w:val="baseline"/>
    </w:pPr>
    <w:rPr>
      <w:rFonts w:ascii="宋体" w:hAnsi="Courier New"/>
      <w:kern w:val="0"/>
      <w:sz w:val="20"/>
      <w:szCs w:val="20"/>
    </w:rPr>
  </w:style>
  <w:style w:type="paragraph" w:customStyle="1" w:styleId="27">
    <w:name w:val="bgg"/>
    <w:basedOn w:val="28"/>
    <w:qFormat/>
    <w:uiPriority w:val="0"/>
    <w:pPr>
      <w:snapToGrid w:val="0"/>
      <w:ind w:left="52" w:leftChars="25" w:right="52" w:rightChars="25"/>
      <w:jc w:val="center"/>
    </w:pPr>
    <w:rPr>
      <w:rFonts w:ascii="Times New Roman" w:hAnsi="Times New Roman"/>
      <w:b w:val="0"/>
      <w:color w:val="auto"/>
      <w:sz w:val="18"/>
      <w:szCs w:val="18"/>
    </w:rPr>
  </w:style>
  <w:style w:type="paragraph" w:customStyle="1" w:styleId="28">
    <w:name w:val="默认段落字体 Para Char Char Char Char"/>
    <w:basedOn w:val="1"/>
    <w:qFormat/>
    <w:uiPriority w:val="0"/>
    <w:rPr>
      <w:rFonts w:ascii="宋体" w:hAnsi="宋体"/>
      <w:b/>
      <w:color w:val="000000"/>
      <w:sz w:val="24"/>
      <w:szCs w:val="24"/>
    </w:rPr>
  </w:style>
  <w:style w:type="character" w:customStyle="1" w:styleId="29">
    <w:name w:val="标题 1.1 Char1"/>
    <w:qFormat/>
    <w:uiPriority w:val="0"/>
    <w:rPr>
      <w:rFonts w:ascii="Arial" w:hAnsi="Arial" w:eastAsia="黑体"/>
      <w:b/>
      <w:bCs/>
      <w:kern w:val="2"/>
      <w:sz w:val="32"/>
      <w:szCs w:val="32"/>
    </w:rPr>
  </w:style>
  <w:style w:type="paragraph" w:customStyle="1" w:styleId="30">
    <w:name w:val="表格题头"/>
    <w:basedOn w:val="1"/>
    <w:qFormat/>
    <w:uiPriority w:val="0"/>
    <w:pPr>
      <w:topLinePunct/>
      <w:spacing w:before="60" w:after="60" w:line="360" w:lineRule="auto"/>
    </w:pPr>
    <w:rPr>
      <w:rFonts w:eastAsia="仿宋"/>
      <w:b/>
      <w:sz w:val="28"/>
      <w:szCs w:val="20"/>
    </w:rPr>
  </w:style>
  <w:style w:type="paragraph" w:customStyle="1" w:styleId="31">
    <w:name w:val="表格正文"/>
    <w:basedOn w:val="1"/>
    <w:qFormat/>
    <w:uiPriority w:val="0"/>
    <w:pPr>
      <w:topLinePunct/>
      <w:adjustRightInd w:val="0"/>
      <w:snapToGrid w:val="0"/>
      <w:jc w:val="center"/>
    </w:pPr>
    <w:rPr>
      <w:rFonts w:ascii="黑体" w:hAnsi="Times New Roman" w:eastAsia="黑体"/>
      <w:color w:val="00000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3608</Words>
  <Characters>3903</Characters>
  <Lines>0</Lines>
  <Paragraphs>0</Paragraphs>
  <TotalTime>0</TotalTime>
  <ScaleCrop>false</ScaleCrop>
  <LinksUpToDate>false</LinksUpToDate>
  <CharactersWithSpaces>3974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2024-09-04T01:44:00Z</dcterms:created>
  <dc:creator>lg</dc:creator>
  <cp:keywords>BD@@2025@@产业服务框架6.25.docx</cp:keywords>
  <cp:lastModifiedBy>林泰男</cp:lastModifiedBy>
  <dcterms:modified xsi:type="dcterms:W3CDTF">2025-06-26T08:25:34Z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CB066B4596CF42E4BBF9A1BA8CE51388</vt:lpwstr>
  </property>
  <property fmtid="{D5CDD505-2E9C-101B-9397-08002B2CF9AE}" pid="4" name="KSOSaveFontToCloudKey">
    <vt:lpwstr>321445358_btnclosed</vt:lpwstr>
  </property>
  <property fmtid="{D5CDD505-2E9C-101B-9397-08002B2CF9AE}" pid="5" name="KSOTemplateDocerSaveRecord">
    <vt:lpwstr>eyJoZGlkIjoiZDhmNjZlZDg5MDczYzk1ZWFmMmY3YWE5OWNhNzY2MzgiLCJ1c2VySWQiOiI1MjE2OTQ1NjYifQ==</vt:lpwstr>
  </property>
  <property fmtid="{D5CDD505-2E9C-101B-9397-08002B2CF9AE}" pid="6" name="GWFBBS_NAME" linkTarget="0">
    <vt:lpwstr>ZBWJFBBS</vt:lpwstr>
  </property>
</Properties>
</file>