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1A029">
      <w:pPr>
        <w:pStyle w:val="3"/>
        <w:widowControl/>
        <w:snapToGrid w:val="0"/>
        <w:spacing w:before="0" w:after="0" w:line="360" w:lineRule="auto"/>
        <w:jc w:val="center"/>
        <w:rPr>
          <w:rFonts w:hint="eastAsia" w:ascii="Times New Roman" w:hAnsi="Times New Roman" w:eastAsia="黑体"/>
          <w:b w:val="0"/>
        </w:rPr>
      </w:pPr>
      <w:bookmarkStart w:id="0" w:name="_Toc18550"/>
      <w:bookmarkStart w:id="1" w:name="_Toc445554746"/>
      <w:bookmarkStart w:id="2" w:name="_Toc24488"/>
      <w:bookmarkStart w:id="3" w:name="_Toc23727"/>
      <w:bookmarkStart w:id="4" w:name="_Toc528829640"/>
      <w:bookmarkStart w:id="5" w:name="_Toc28788"/>
      <w:bookmarkStart w:id="6" w:name="_Toc466024555"/>
      <w:r>
        <w:rPr>
          <w:rFonts w:hint="eastAsia" w:ascii="Times New Roman" w:hAnsi="Times New Roman"/>
        </w:rPr>
        <w:t>第三章  采购需求及技术规格要求</w:t>
      </w:r>
      <w:bookmarkEnd w:id="0"/>
      <w:bookmarkEnd w:id="1"/>
      <w:bookmarkEnd w:id="2"/>
      <w:bookmarkEnd w:id="3"/>
      <w:bookmarkEnd w:id="4"/>
      <w:bookmarkEnd w:id="5"/>
      <w:bookmarkEnd w:id="6"/>
    </w:p>
    <w:p w14:paraId="6C272476">
      <w:pPr>
        <w:widowControl/>
        <w:rPr>
          <w:rFonts w:hint="eastAsia" w:ascii="Times New Roman" w:hAnsi="Times New Roman"/>
        </w:rPr>
      </w:pPr>
    </w:p>
    <w:p w14:paraId="6729F97C">
      <w:pPr>
        <w:spacing w:line="360" w:lineRule="auto"/>
        <w:rPr>
          <w:rFonts w:ascii="Times New Roman" w:hAnsi="Times New Roman" w:eastAsia="宋体"/>
          <w:b/>
          <w:color w:val="auto"/>
          <w:sz w:val="21"/>
          <w:szCs w:val="21"/>
          <w:highlight w:val="none"/>
        </w:rPr>
      </w:pPr>
      <w:r>
        <w:rPr>
          <w:rFonts w:hint="eastAsia" w:ascii="Times New Roman" w:hAnsi="Times New Roman" w:eastAsia="宋体"/>
          <w:b/>
          <w:color w:val="auto"/>
          <w:sz w:val="21"/>
          <w:szCs w:val="21"/>
          <w:highlight w:val="none"/>
        </w:rPr>
        <w:t>前注：</w:t>
      </w:r>
    </w:p>
    <w:p w14:paraId="21AAB549">
      <w:pPr>
        <w:adjustRightInd w:val="0"/>
        <w:snapToGrid w:val="0"/>
        <w:spacing w:before="96" w:beforeLines="40" w:after="96" w:afterLines="40" w:line="400" w:lineRule="exact"/>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本采购需求中提出的服务方案仅为参考，如无明确限制，投标人可以进行优化，提供满足采购人实际需要的更优（或者性能实质上不低于的）服务方案，且此方案须经评标委员会评审认可。</w:t>
      </w:r>
    </w:p>
    <w:p w14:paraId="776CC7D2">
      <w:pPr>
        <w:adjustRightInd w:val="0"/>
        <w:snapToGrid w:val="0"/>
        <w:spacing w:before="96" w:beforeLines="40" w:after="96" w:afterLines="40" w:line="400" w:lineRule="exact"/>
        <w:ind w:firstLine="420" w:firstLineChars="200"/>
        <w:jc w:val="left"/>
        <w:rPr>
          <w:rFonts w:hint="eastAsia" w:ascii="Times New Roman" w:hAnsi="Times New Roman"/>
          <w:szCs w:val="21"/>
        </w:rPr>
      </w:pPr>
      <w:r>
        <w:rPr>
          <w:rFonts w:hint="eastAsia" w:ascii="Times New Roman" w:hAnsi="Times New Roman" w:eastAsia="宋体" w:cs="Times New Roman"/>
          <w:szCs w:val="21"/>
        </w:rPr>
        <w:t>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Times New Roman" w:hAnsi="Times New Roman" w:eastAsia="宋体" w:cs="Times New Roman"/>
          <w:szCs w:val="21"/>
          <w:lang w:eastAsia="zh-CN"/>
        </w:rPr>
        <w:t>或</w:t>
      </w:r>
      <w:r>
        <w:rPr>
          <w:rFonts w:hint="eastAsia" w:ascii="Times New Roman" w:hAnsi="Times New Roman" w:eastAsia="宋体" w:cs="Times New Roman"/>
          <w:szCs w:val="21"/>
        </w:rPr>
        <w:t>中标后无法完工，投标供应商自行承担一切后果；</w:t>
      </w:r>
    </w:p>
    <w:p w14:paraId="7C461B26">
      <w:pPr>
        <w:adjustRightInd w:val="0"/>
        <w:snapToGrid w:val="0"/>
        <w:spacing w:before="96" w:beforeLines="40" w:after="96" w:afterLines="40" w:line="400" w:lineRule="exact"/>
        <w:ind w:firstLine="420" w:firstLineChars="200"/>
        <w:jc w:val="left"/>
        <w:rPr>
          <w:rFonts w:hint="eastAsia" w:ascii="Times New Roman" w:hAnsi="Times New Roman" w:eastAsia="宋体" w:cs="Times New Roman"/>
          <w:szCs w:val="21"/>
        </w:rPr>
      </w:pPr>
      <w:r>
        <w:rPr>
          <w:rFonts w:hint="eastAsia" w:ascii="Times New Roman" w:hAnsi="Times New Roman"/>
          <w:szCs w:val="21"/>
          <w:lang w:val="en-US" w:eastAsia="zh-CN"/>
        </w:rPr>
        <w:t>3</w:t>
      </w:r>
      <w:r>
        <w:rPr>
          <w:rFonts w:hint="eastAsia" w:ascii="Times New Roman" w:hAnsi="Times New Roman"/>
          <w:szCs w:val="21"/>
        </w:rPr>
        <w:t>、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w:t>
      </w:r>
      <w:r>
        <w:rPr>
          <w:rFonts w:hint="eastAsia" w:ascii="Times New Roman" w:hAnsi="Times New Roman" w:eastAsia="宋体" w:cs="Times New Roman"/>
          <w:szCs w:val="21"/>
        </w:rPr>
        <w:t>求标准的绿色包</w:t>
      </w:r>
    </w:p>
    <w:p w14:paraId="0DA46FA5">
      <w:pPr>
        <w:adjustRightInd w:val="0"/>
        <w:snapToGrid w:val="0"/>
        <w:spacing w:before="96" w:beforeLines="40" w:after="96" w:afterLines="40" w:line="400" w:lineRule="exact"/>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如采购人允许采用分包方式履行合同的，应当明确可以分包履行的相关内容。</w:t>
      </w:r>
    </w:p>
    <w:p w14:paraId="0DA694D8">
      <w:pPr>
        <w:spacing w:line="360" w:lineRule="auto"/>
        <w:ind w:firstLine="437"/>
        <w:outlineLvl w:val="9"/>
        <w:rPr>
          <w:rFonts w:hint="eastAsia" w:ascii="Times New Roman" w:hAnsi="Times New Roman" w:eastAsia="宋体"/>
          <w:b/>
          <w:color w:val="auto"/>
          <w:sz w:val="21"/>
          <w:szCs w:val="21"/>
          <w:highlight w:val="none"/>
        </w:rPr>
      </w:pPr>
      <w:bookmarkStart w:id="7" w:name="_Toc4148"/>
      <w:bookmarkStart w:id="8" w:name="_Toc21798"/>
      <w:bookmarkStart w:id="9" w:name="_Hlk23621890"/>
    </w:p>
    <w:p w14:paraId="7F3B1E82">
      <w:pPr>
        <w:spacing w:line="360" w:lineRule="auto"/>
        <w:ind w:firstLine="437"/>
        <w:outlineLvl w:val="1"/>
        <w:rPr>
          <w:rFonts w:ascii="Times New Roman" w:hAnsi="Times New Roman" w:eastAsia="宋体"/>
          <w:b/>
          <w:color w:val="auto"/>
          <w:sz w:val="21"/>
          <w:szCs w:val="21"/>
          <w:highlight w:val="none"/>
        </w:rPr>
      </w:pPr>
      <w:r>
        <w:rPr>
          <w:rFonts w:hint="eastAsia" w:ascii="Times New Roman" w:hAnsi="Times New Roman" w:eastAsia="宋体"/>
          <w:b/>
          <w:color w:val="auto"/>
          <w:sz w:val="21"/>
          <w:szCs w:val="21"/>
          <w:highlight w:val="none"/>
        </w:rPr>
        <w:t>一、采购需求前附表</w:t>
      </w:r>
      <w:bookmarkEnd w:id="7"/>
      <w:bookmarkEnd w:id="8"/>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B6B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18D7CB01">
            <w:pPr>
              <w:pStyle w:val="10"/>
              <w:pBdr>
                <w:bottom w:val="none" w:color="auto" w:sz="0" w:space="0"/>
              </w:pBdr>
              <w:tabs>
                <w:tab w:val="clear" w:pos="4153"/>
                <w:tab w:val="clear" w:pos="8306"/>
              </w:tabs>
              <w:adjustRightInd/>
              <w:spacing w:line="240" w:lineRule="auto"/>
              <w:textAlignment w:val="auto"/>
              <w:rPr>
                <w:rFonts w:ascii="Times New Roman" w:hAnsi="Times New Roman" w:eastAsia="宋体"/>
                <w:b/>
                <w:color w:val="auto"/>
                <w:kern w:val="2"/>
                <w:sz w:val="21"/>
                <w:szCs w:val="21"/>
                <w:highlight w:val="none"/>
              </w:rPr>
            </w:pPr>
            <w:r>
              <w:rPr>
                <w:rFonts w:hint="eastAsia" w:ascii="Times New Roman" w:hAnsi="Times New Roman" w:eastAsia="宋体"/>
                <w:b/>
                <w:color w:val="auto"/>
                <w:kern w:val="2"/>
                <w:sz w:val="21"/>
                <w:szCs w:val="21"/>
                <w:highlight w:val="none"/>
              </w:rPr>
              <w:t>序号</w:t>
            </w:r>
          </w:p>
        </w:tc>
        <w:tc>
          <w:tcPr>
            <w:tcW w:w="1192" w:type="pct"/>
            <w:noWrap w:val="0"/>
            <w:vAlign w:val="center"/>
          </w:tcPr>
          <w:p w14:paraId="71937E1E">
            <w:pPr>
              <w:pStyle w:val="11"/>
              <w:widowControl w:val="0"/>
              <w:spacing w:before="0" w:beforeAutospacing="0" w:after="0" w:afterAutospacing="0" w:line="360" w:lineRule="auto"/>
              <w:rPr>
                <w:rFonts w:ascii="Times New Roman" w:hAnsi="Times New Roman" w:eastAsia="宋体"/>
                <w:bCs w:val="0"/>
                <w:color w:val="auto"/>
                <w:sz w:val="21"/>
                <w:szCs w:val="21"/>
                <w:highlight w:val="none"/>
              </w:rPr>
            </w:pPr>
            <w:r>
              <w:rPr>
                <w:rFonts w:hint="eastAsia" w:ascii="Times New Roman" w:hAnsi="Times New Roman" w:eastAsia="宋体"/>
                <w:bCs w:val="0"/>
                <w:color w:val="auto"/>
                <w:sz w:val="21"/>
                <w:szCs w:val="21"/>
                <w:highlight w:val="none"/>
              </w:rPr>
              <w:t>条款名称</w:t>
            </w:r>
          </w:p>
        </w:tc>
        <w:tc>
          <w:tcPr>
            <w:tcW w:w="3217" w:type="pct"/>
            <w:noWrap w:val="0"/>
            <w:vAlign w:val="center"/>
          </w:tcPr>
          <w:p w14:paraId="6C7C4A7D">
            <w:pPr>
              <w:pStyle w:val="11"/>
              <w:widowControl w:val="0"/>
              <w:spacing w:before="0" w:beforeAutospacing="0" w:after="0" w:afterAutospacing="0" w:line="360" w:lineRule="auto"/>
              <w:rPr>
                <w:rFonts w:ascii="Times New Roman" w:hAnsi="Times New Roman" w:eastAsia="宋体"/>
                <w:bCs w:val="0"/>
                <w:color w:val="auto"/>
                <w:sz w:val="21"/>
                <w:szCs w:val="21"/>
                <w:highlight w:val="none"/>
              </w:rPr>
            </w:pPr>
            <w:r>
              <w:rPr>
                <w:rFonts w:hint="eastAsia" w:ascii="Times New Roman" w:hAnsi="Times New Roman" w:eastAsia="宋体"/>
                <w:bCs w:val="0"/>
                <w:color w:val="auto"/>
                <w:sz w:val="21"/>
                <w:szCs w:val="21"/>
                <w:highlight w:val="none"/>
              </w:rPr>
              <w:t>内容、说明与要求</w:t>
            </w:r>
          </w:p>
        </w:tc>
      </w:tr>
      <w:tr w14:paraId="5B8F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7067A191">
            <w:pPr>
              <w:pStyle w:val="10"/>
              <w:pBdr>
                <w:bottom w:val="none" w:color="auto" w:sz="0" w:space="0"/>
              </w:pBdr>
              <w:tabs>
                <w:tab w:val="clear" w:pos="4153"/>
                <w:tab w:val="clear" w:pos="8306"/>
              </w:tabs>
              <w:adjustRightInd/>
              <w:spacing w:line="240" w:lineRule="auto"/>
              <w:textAlignment w:val="auto"/>
              <w:rPr>
                <w:rFonts w:ascii="Times New Roman" w:hAnsi="Times New Roman" w:eastAsia="宋体"/>
                <w:bCs/>
                <w:color w:val="auto"/>
                <w:kern w:val="2"/>
                <w:sz w:val="21"/>
                <w:szCs w:val="21"/>
                <w:highlight w:val="none"/>
              </w:rPr>
            </w:pPr>
            <w:r>
              <w:rPr>
                <w:rFonts w:hint="eastAsia" w:ascii="Times New Roman" w:hAnsi="Times New Roman" w:eastAsia="宋体" w:cs="宋体"/>
                <w:bCs/>
                <w:color w:val="auto"/>
                <w:kern w:val="2"/>
                <w:sz w:val="21"/>
                <w:szCs w:val="21"/>
                <w:highlight w:val="none"/>
              </w:rPr>
              <w:t>1</w:t>
            </w:r>
          </w:p>
        </w:tc>
        <w:tc>
          <w:tcPr>
            <w:tcW w:w="1192" w:type="pct"/>
            <w:noWrap w:val="0"/>
            <w:vAlign w:val="center"/>
          </w:tcPr>
          <w:p w14:paraId="697466C3">
            <w:pPr>
              <w:pStyle w:val="11"/>
              <w:widowControl w:val="0"/>
              <w:spacing w:before="0" w:beforeAutospacing="0" w:after="0" w:afterAutospacing="0" w:line="360" w:lineRule="auto"/>
              <w:rPr>
                <w:rFonts w:ascii="Times New Roman" w:hAnsi="Times New Roman" w:eastAsia="宋体"/>
                <w:b w:val="0"/>
                <w:bCs/>
                <w:color w:val="auto"/>
                <w:kern w:val="0"/>
                <w:sz w:val="21"/>
                <w:szCs w:val="21"/>
                <w:highlight w:val="none"/>
                <w:lang w:val="en-US" w:eastAsia="zh-CN" w:bidi="ar-SA"/>
              </w:rPr>
            </w:pPr>
            <w:r>
              <w:rPr>
                <w:rFonts w:hint="eastAsia" w:ascii="Times New Roman" w:hAnsi="Times New Roman" w:eastAsia="宋体" w:cs="宋体"/>
                <w:b w:val="0"/>
                <w:color w:val="auto"/>
                <w:sz w:val="21"/>
                <w:szCs w:val="21"/>
                <w:highlight w:val="none"/>
              </w:rPr>
              <w:t>服务地点</w:t>
            </w:r>
          </w:p>
        </w:tc>
        <w:tc>
          <w:tcPr>
            <w:tcW w:w="3217" w:type="pct"/>
            <w:noWrap w:val="0"/>
            <w:vAlign w:val="center"/>
          </w:tcPr>
          <w:p w14:paraId="640D5EE9">
            <w:pPr>
              <w:pStyle w:val="11"/>
              <w:widowControl w:val="0"/>
              <w:spacing w:before="0" w:beforeAutospacing="0" w:after="0" w:afterAutospacing="0" w:line="360" w:lineRule="auto"/>
              <w:jc w:val="both"/>
              <w:rPr>
                <w:rFonts w:ascii="Times New Roman" w:hAnsi="Times New Roman" w:eastAsia="宋体"/>
                <w:b w:val="0"/>
                <w:bCs/>
                <w:color w:val="auto"/>
                <w:kern w:val="0"/>
                <w:sz w:val="21"/>
                <w:szCs w:val="21"/>
                <w:highlight w:val="none"/>
                <w:lang w:val="en-US" w:eastAsia="zh-CN" w:bidi="ar-SA"/>
              </w:rPr>
            </w:pPr>
            <w:r>
              <w:rPr>
                <w:rFonts w:hint="eastAsia" w:ascii="Times New Roman" w:hAnsi="Times New Roman" w:eastAsia="宋体" w:cs="宋体"/>
                <w:b w:val="0"/>
                <w:color w:val="auto"/>
                <w:sz w:val="21"/>
                <w:szCs w:val="21"/>
                <w:highlight w:val="none"/>
                <w:u w:val="single"/>
                <w:lang w:val="en-US" w:eastAsia="zh-CN"/>
              </w:rPr>
              <w:t>合肥市包河区中山路1号省行政中心1号楼</w:t>
            </w:r>
            <w:r>
              <w:rPr>
                <w:rFonts w:hint="eastAsia" w:ascii="Times New Roman" w:hAnsi="Times New Roman" w:cs="宋体"/>
                <w:b w:val="0"/>
                <w:color w:val="auto"/>
                <w:sz w:val="21"/>
                <w:szCs w:val="21"/>
                <w:highlight w:val="none"/>
                <w:u w:val="single"/>
                <w:lang w:val="en-US" w:eastAsia="zh-CN"/>
              </w:rPr>
              <w:t>、</w:t>
            </w:r>
            <w:r>
              <w:rPr>
                <w:rFonts w:hint="eastAsia" w:ascii="Times New Roman" w:hAnsi="Times New Roman" w:eastAsia="宋体" w:cs="宋体"/>
                <w:b w:val="0"/>
                <w:color w:val="auto"/>
                <w:sz w:val="21"/>
                <w:szCs w:val="21"/>
                <w:highlight w:val="none"/>
                <w:u w:val="single"/>
                <w:lang w:val="en-US" w:eastAsia="zh-CN"/>
              </w:rPr>
              <w:t>合肥市红星路老政府办公片区</w:t>
            </w:r>
          </w:p>
        </w:tc>
      </w:tr>
      <w:tr w14:paraId="38D4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16D00213">
            <w:pPr>
              <w:pStyle w:val="10"/>
              <w:pBdr>
                <w:bottom w:val="none" w:color="auto" w:sz="0" w:space="0"/>
              </w:pBdr>
              <w:tabs>
                <w:tab w:val="clear" w:pos="4153"/>
                <w:tab w:val="clear" w:pos="8306"/>
              </w:tabs>
              <w:adjustRightInd/>
              <w:spacing w:line="240" w:lineRule="auto"/>
              <w:textAlignment w:val="auto"/>
              <w:rPr>
                <w:rFonts w:ascii="Times New Roman" w:hAnsi="Times New Roman" w:eastAsia="宋体"/>
                <w:bCs/>
                <w:color w:val="auto"/>
                <w:kern w:val="2"/>
                <w:sz w:val="21"/>
                <w:szCs w:val="21"/>
                <w:highlight w:val="none"/>
              </w:rPr>
            </w:pPr>
            <w:r>
              <w:rPr>
                <w:rFonts w:hint="eastAsia" w:ascii="Times New Roman" w:hAnsi="Times New Roman" w:eastAsia="宋体" w:cs="宋体"/>
                <w:bCs/>
                <w:color w:val="auto"/>
                <w:kern w:val="2"/>
                <w:sz w:val="21"/>
                <w:szCs w:val="21"/>
                <w:highlight w:val="none"/>
              </w:rPr>
              <w:t>2</w:t>
            </w:r>
          </w:p>
        </w:tc>
        <w:tc>
          <w:tcPr>
            <w:tcW w:w="1192" w:type="pct"/>
            <w:noWrap w:val="0"/>
            <w:vAlign w:val="center"/>
          </w:tcPr>
          <w:p w14:paraId="2339E7E4">
            <w:pPr>
              <w:pStyle w:val="11"/>
              <w:widowControl w:val="0"/>
              <w:spacing w:before="0" w:beforeAutospacing="0" w:after="0" w:afterAutospacing="0" w:line="360" w:lineRule="auto"/>
              <w:rPr>
                <w:rFonts w:ascii="Times New Roman" w:hAnsi="Times New Roman" w:eastAsia="宋体"/>
                <w:b w:val="0"/>
                <w:bCs/>
                <w:color w:val="auto"/>
                <w:kern w:val="0"/>
                <w:sz w:val="21"/>
                <w:szCs w:val="21"/>
                <w:highlight w:val="none"/>
                <w:lang w:val="en-US" w:eastAsia="zh-CN" w:bidi="ar-SA"/>
              </w:rPr>
            </w:pPr>
            <w:r>
              <w:rPr>
                <w:rFonts w:hint="eastAsia" w:ascii="Times New Roman" w:hAnsi="Times New Roman" w:eastAsia="宋体" w:cs="宋体"/>
                <w:b w:val="0"/>
                <w:color w:val="auto"/>
                <w:sz w:val="21"/>
                <w:szCs w:val="21"/>
                <w:highlight w:val="none"/>
              </w:rPr>
              <w:t>服务期限</w:t>
            </w:r>
          </w:p>
        </w:tc>
        <w:tc>
          <w:tcPr>
            <w:tcW w:w="3217" w:type="pct"/>
            <w:noWrap w:val="0"/>
            <w:vAlign w:val="center"/>
          </w:tcPr>
          <w:p w14:paraId="645A0809">
            <w:pPr>
              <w:pStyle w:val="11"/>
              <w:widowControl w:val="0"/>
              <w:spacing w:before="0" w:beforeAutospacing="0" w:after="0" w:afterAutospacing="0" w:line="360" w:lineRule="auto"/>
              <w:jc w:val="both"/>
              <w:rPr>
                <w:rFonts w:ascii="Times New Roman" w:hAnsi="Times New Roman" w:eastAsia="宋体"/>
                <w:b w:val="0"/>
                <w:bCs/>
                <w:color w:val="auto"/>
                <w:kern w:val="0"/>
                <w:sz w:val="21"/>
                <w:szCs w:val="21"/>
                <w:highlight w:val="none"/>
                <w:lang w:val="en-US" w:eastAsia="zh-CN" w:bidi="ar-SA"/>
              </w:rPr>
            </w:pPr>
            <w:r>
              <w:rPr>
                <w:rFonts w:hint="eastAsia" w:ascii="Times New Roman" w:hAnsi="Times New Roman" w:eastAsia="宋体" w:cs="宋体"/>
                <w:b w:val="0"/>
                <w:color w:val="auto"/>
                <w:sz w:val="21"/>
                <w:szCs w:val="21"/>
                <w:highlight w:val="none"/>
                <w:u w:val="single"/>
              </w:rPr>
              <w:t xml:space="preserve">合同签订后 </w:t>
            </w:r>
            <w:r>
              <w:rPr>
                <w:rFonts w:hint="eastAsia" w:ascii="Times New Roman" w:hAnsi="Times New Roman" w:eastAsia="宋体" w:cs="宋体"/>
                <w:b w:val="0"/>
                <w:color w:val="auto"/>
                <w:sz w:val="21"/>
                <w:szCs w:val="21"/>
                <w:highlight w:val="none"/>
                <w:u w:val="single"/>
                <w:lang w:val="en-US" w:eastAsia="zh-CN"/>
              </w:rPr>
              <w:t>1</w:t>
            </w:r>
            <w:r>
              <w:rPr>
                <w:rFonts w:hint="eastAsia" w:ascii="Times New Roman" w:hAnsi="Times New Roman" w:eastAsia="宋体" w:cs="宋体"/>
                <w:b w:val="0"/>
                <w:color w:val="auto"/>
                <w:sz w:val="21"/>
                <w:szCs w:val="21"/>
                <w:highlight w:val="none"/>
                <w:u w:val="single"/>
              </w:rPr>
              <w:t xml:space="preserve"> 年。本服务期内履约良好，合同到期后，经合同双方同意，且预算资金到位</w:t>
            </w:r>
            <w:r>
              <w:rPr>
                <w:rFonts w:hint="eastAsia" w:ascii="Times New Roman" w:hAnsi="Times New Roman" w:eastAsia="宋体" w:cs="宋体"/>
                <w:b w:val="0"/>
                <w:color w:val="auto"/>
                <w:sz w:val="21"/>
                <w:szCs w:val="21"/>
                <w:highlight w:val="none"/>
                <w:u w:val="single"/>
                <w:lang w:eastAsia="zh-CN"/>
              </w:rPr>
              <w:t>的</w:t>
            </w:r>
            <w:r>
              <w:rPr>
                <w:rFonts w:hint="eastAsia" w:ascii="Times New Roman" w:hAnsi="Times New Roman" w:eastAsia="宋体" w:cs="宋体"/>
                <w:b w:val="0"/>
                <w:color w:val="auto"/>
                <w:sz w:val="21"/>
                <w:szCs w:val="21"/>
                <w:highlight w:val="none"/>
                <w:u w:val="single"/>
              </w:rPr>
              <w:t>前提下，可续签下一年合同，按年度执行，合同金额不变</w:t>
            </w:r>
            <w:r>
              <w:rPr>
                <w:rFonts w:hint="eastAsia" w:ascii="Times New Roman" w:hAnsi="Times New Roman" w:eastAsia="宋体" w:cs="宋体"/>
                <w:b w:val="0"/>
                <w:color w:val="auto"/>
                <w:sz w:val="21"/>
                <w:szCs w:val="21"/>
                <w:highlight w:val="none"/>
                <w:u w:val="single"/>
                <w:lang w:eastAsia="zh-CN"/>
              </w:rPr>
              <w:t>，</w:t>
            </w:r>
            <w:r>
              <w:rPr>
                <w:rFonts w:hint="eastAsia" w:ascii="Times New Roman" w:hAnsi="Times New Roman" w:eastAsia="宋体" w:cs="宋体"/>
                <w:b w:val="0"/>
                <w:color w:val="auto"/>
                <w:sz w:val="21"/>
                <w:szCs w:val="21"/>
                <w:highlight w:val="none"/>
                <w:u w:val="single"/>
                <w:lang w:val="en-US" w:eastAsia="zh-CN"/>
              </w:rPr>
              <w:t>最多续签两次</w:t>
            </w:r>
            <w:r>
              <w:rPr>
                <w:rFonts w:hint="eastAsia" w:ascii="Times New Roman" w:hAnsi="Times New Roman" w:eastAsia="宋体" w:cs="宋体"/>
                <w:b w:val="0"/>
                <w:color w:val="auto"/>
                <w:sz w:val="21"/>
                <w:szCs w:val="21"/>
                <w:highlight w:val="none"/>
                <w:u w:val="single"/>
              </w:rPr>
              <w:t>。</w:t>
            </w:r>
          </w:p>
        </w:tc>
      </w:tr>
      <w:tr w14:paraId="2C37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644594D4">
            <w:pPr>
              <w:pStyle w:val="10"/>
              <w:pBdr>
                <w:bottom w:val="none" w:color="auto" w:sz="0" w:space="0"/>
              </w:pBdr>
              <w:tabs>
                <w:tab w:val="clear" w:pos="4153"/>
                <w:tab w:val="clear" w:pos="8306"/>
              </w:tabs>
              <w:adjustRightInd/>
              <w:spacing w:line="240" w:lineRule="auto"/>
              <w:textAlignment w:val="auto"/>
              <w:rPr>
                <w:rFonts w:ascii="Times New Roman" w:hAnsi="Times New Roman" w:eastAsia="宋体"/>
                <w:bCs/>
                <w:color w:val="auto"/>
                <w:kern w:val="2"/>
                <w:sz w:val="21"/>
                <w:szCs w:val="21"/>
                <w:highlight w:val="none"/>
              </w:rPr>
            </w:pPr>
            <w:r>
              <w:rPr>
                <w:rFonts w:hint="eastAsia" w:ascii="Times New Roman" w:hAnsi="Times New Roman" w:eastAsia="宋体" w:cs="宋体"/>
                <w:bCs/>
                <w:color w:val="auto"/>
                <w:kern w:val="2"/>
                <w:sz w:val="21"/>
                <w:szCs w:val="21"/>
                <w:highlight w:val="none"/>
              </w:rPr>
              <w:t>3</w:t>
            </w:r>
          </w:p>
        </w:tc>
        <w:tc>
          <w:tcPr>
            <w:tcW w:w="1192" w:type="pct"/>
            <w:noWrap w:val="0"/>
            <w:vAlign w:val="center"/>
          </w:tcPr>
          <w:p w14:paraId="76C94A9B">
            <w:pPr>
              <w:pStyle w:val="11"/>
              <w:widowControl w:val="0"/>
              <w:spacing w:before="0" w:beforeAutospacing="0" w:after="0" w:afterAutospacing="0" w:line="360" w:lineRule="auto"/>
              <w:rPr>
                <w:rFonts w:ascii="Times New Roman" w:hAnsi="Times New Roman" w:eastAsia="宋体"/>
                <w:b w:val="0"/>
                <w:bCs/>
                <w:color w:val="auto"/>
                <w:kern w:val="0"/>
                <w:sz w:val="21"/>
                <w:szCs w:val="21"/>
                <w:highlight w:val="none"/>
                <w:lang w:val="en-US" w:eastAsia="zh-CN" w:bidi="ar-SA"/>
              </w:rPr>
            </w:pPr>
            <w:r>
              <w:rPr>
                <w:rFonts w:hint="eastAsia" w:ascii="Times New Roman" w:hAnsi="Times New Roman" w:eastAsia="宋体" w:cs="宋体"/>
                <w:b w:val="0"/>
                <w:color w:val="auto"/>
                <w:sz w:val="21"/>
                <w:szCs w:val="21"/>
                <w:highlight w:val="none"/>
              </w:rPr>
              <w:t>本项目采购标的名称及所属行业</w:t>
            </w:r>
          </w:p>
        </w:tc>
        <w:tc>
          <w:tcPr>
            <w:tcW w:w="3217" w:type="pct"/>
            <w:noWrap w:val="0"/>
            <w:vAlign w:val="center"/>
          </w:tcPr>
          <w:p w14:paraId="7EC9E8AA">
            <w:pPr>
              <w:spacing w:line="360" w:lineRule="auto"/>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标的名称：</w:t>
            </w:r>
            <w:r>
              <w:rPr>
                <w:rFonts w:hint="eastAsia" w:cs="宋体"/>
                <w:color w:val="auto"/>
                <w:sz w:val="21"/>
                <w:szCs w:val="21"/>
                <w:highlight w:val="none"/>
                <w:lang w:val="en-US" w:eastAsia="zh-CN"/>
              </w:rPr>
              <w:t>数字安徽--省政府办公厅电子政务内网管理服务</w:t>
            </w:r>
          </w:p>
          <w:p w14:paraId="38CA4678">
            <w:pPr>
              <w:rPr>
                <w:rFonts w:ascii="Times New Roman" w:hAnsi="Times New Roman" w:eastAsia="宋体"/>
                <w:color w:val="auto"/>
                <w:kern w:val="2"/>
                <w:sz w:val="21"/>
                <w:szCs w:val="21"/>
                <w:highlight w:val="none"/>
                <w:lang w:val="en-US" w:eastAsia="zh-CN" w:bidi="ar-SA"/>
              </w:rPr>
            </w:pPr>
            <w:r>
              <w:rPr>
                <w:rFonts w:hint="eastAsia" w:ascii="Times New Roman" w:hAnsi="Times New Roman" w:eastAsia="宋体" w:cs="宋体"/>
                <w:color w:val="auto"/>
                <w:sz w:val="21"/>
                <w:szCs w:val="21"/>
                <w:highlight w:val="none"/>
              </w:rPr>
              <w:t>所属行业：软件和信息技术服务业</w:t>
            </w:r>
          </w:p>
        </w:tc>
      </w:tr>
    </w:tbl>
    <w:p w14:paraId="37C94C05">
      <w:pPr>
        <w:numPr>
          <w:ilvl w:val="0"/>
          <w:numId w:val="0"/>
        </w:numPr>
        <w:spacing w:line="360" w:lineRule="auto"/>
        <w:outlineLvl w:val="9"/>
        <w:rPr>
          <w:rFonts w:hint="eastAsia" w:ascii="Times New Roman" w:hAnsi="Times New Roman" w:eastAsia="宋体"/>
          <w:b/>
          <w:color w:val="auto"/>
          <w:sz w:val="21"/>
          <w:szCs w:val="21"/>
          <w:highlight w:val="none"/>
          <w:lang w:val="en-US" w:eastAsia="zh-CN"/>
        </w:rPr>
      </w:pPr>
      <w:bookmarkStart w:id="10" w:name="_Hlk16461016"/>
      <w:bookmarkStart w:id="11" w:name="_Toc16543"/>
    </w:p>
    <w:bookmarkEnd w:id="9"/>
    <w:bookmarkEnd w:id="10"/>
    <w:bookmarkEnd w:id="11"/>
    <w:p w14:paraId="6235557C">
      <w:pPr>
        <w:spacing w:line="360" w:lineRule="auto"/>
        <w:ind w:firstLine="437"/>
        <w:outlineLvl w:val="1"/>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二、项目概况</w:t>
      </w:r>
    </w:p>
    <w:p w14:paraId="102856E2">
      <w:pPr>
        <w:keepNext w:val="0"/>
        <w:keepLines w:val="0"/>
        <w:widowControl/>
        <w:suppressLineNumbers w:val="0"/>
        <w:spacing w:line="360" w:lineRule="auto"/>
        <w:ind w:firstLine="420" w:firstLineChars="200"/>
        <w:jc w:val="left"/>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安徽省人民政府办公厅位于合肥市包河区中山路1号省行政中心1号楼，</w:t>
      </w:r>
      <w:r>
        <w:rPr>
          <w:rFonts w:hint="eastAsia" w:cs="宋体"/>
          <w:color w:val="000000"/>
          <w:kern w:val="0"/>
          <w:sz w:val="21"/>
          <w:szCs w:val="21"/>
          <w:highlight w:val="none"/>
          <w:lang w:val="en-US" w:eastAsia="zh-CN" w:bidi="ar"/>
        </w:rPr>
        <w:t>电子政务内网管理服务（电子政务服务外包）</w:t>
      </w:r>
      <w:r>
        <w:rPr>
          <w:rFonts w:hint="eastAsia" w:ascii="Times New Roman" w:hAnsi="Times New Roman" w:eastAsia="宋体" w:cs="宋体"/>
          <w:color w:val="000000"/>
          <w:kern w:val="0"/>
          <w:sz w:val="21"/>
          <w:szCs w:val="21"/>
          <w:highlight w:val="none"/>
          <w:lang w:val="en-US" w:eastAsia="zh-CN" w:bidi="ar"/>
        </w:rPr>
        <w:t>内容如下</w:t>
      </w:r>
      <w:r>
        <w:rPr>
          <w:rFonts w:hint="eastAsia" w:ascii="Times New Roman" w:hAnsi="Times New Roman" w:cs="宋体"/>
          <w:color w:val="000000"/>
          <w:kern w:val="0"/>
          <w:sz w:val="21"/>
          <w:szCs w:val="21"/>
          <w:highlight w:val="none"/>
          <w:lang w:val="en-US" w:eastAsia="zh-CN" w:bidi="ar"/>
        </w:rPr>
        <w:t>（含</w:t>
      </w:r>
      <w:r>
        <w:rPr>
          <w:rFonts w:hint="eastAsia" w:ascii="Times New Roman" w:hAnsi="Times New Roman" w:eastAsia="宋体" w:cs="宋体"/>
          <w:color w:val="000000"/>
          <w:kern w:val="0"/>
          <w:sz w:val="21"/>
          <w:szCs w:val="21"/>
          <w:highlight w:val="none"/>
          <w:lang w:val="en-US" w:eastAsia="zh-CN" w:bidi="ar"/>
        </w:rPr>
        <w:t>合肥市包河区中山路1号省行政中心1号楼、合肥市红星路老政府办公片区）：</w:t>
      </w:r>
    </w:p>
    <w:p w14:paraId="67F285D7">
      <w:pPr>
        <w:keepNext w:val="0"/>
        <w:keepLines w:val="0"/>
        <w:widowControl/>
        <w:suppressLineNumbers w:val="0"/>
        <w:spacing w:line="360" w:lineRule="auto"/>
        <w:ind w:firstLine="420" w:firstLineChars="200"/>
        <w:jc w:val="left"/>
        <w:rPr>
          <w:rFonts w:hint="eastAsia" w:ascii="Times New Roman" w:hAnsi="Times New Roman" w:eastAsia="宋体" w:cs="宋体"/>
          <w:sz w:val="21"/>
          <w:szCs w:val="21"/>
          <w:highlight w:val="none"/>
        </w:rPr>
      </w:pPr>
      <w:r>
        <w:rPr>
          <w:rFonts w:hint="eastAsia" w:ascii="Times New Roman" w:hAnsi="Times New Roman" w:eastAsia="宋体" w:cs="宋体"/>
          <w:color w:val="000000"/>
          <w:kern w:val="0"/>
          <w:sz w:val="21"/>
          <w:szCs w:val="21"/>
          <w:highlight w:val="none"/>
          <w:lang w:val="en-US" w:eastAsia="zh-CN" w:bidi="ar"/>
        </w:rPr>
        <w:t>（一）会议室。会议室共有12个，主要是会议室内部智能会议系统、LCD/LED 大屏、投影、电视 机等显示系统，音频扩声系统、信号切换系统、中央控制系统、录播系统、多媒体公告显示系统、无纸化会议系统、视频会议</w:t>
      </w:r>
      <w:bookmarkStart w:id="19" w:name="_GoBack"/>
      <w:bookmarkEnd w:id="19"/>
      <w:r>
        <w:rPr>
          <w:rFonts w:hint="eastAsia" w:ascii="Times New Roman" w:hAnsi="Times New Roman" w:eastAsia="宋体" w:cs="宋体"/>
          <w:color w:val="000000"/>
          <w:kern w:val="0"/>
          <w:sz w:val="21"/>
          <w:szCs w:val="21"/>
          <w:highlight w:val="none"/>
          <w:lang w:val="en-US" w:eastAsia="zh-CN" w:bidi="ar"/>
        </w:rPr>
        <w:t xml:space="preserve">系统、会议操作终端、配套综合布线系统等的日常维护、保障、巡检及故障处理等。 </w:t>
      </w:r>
    </w:p>
    <w:p w14:paraId="7DB7160A">
      <w:pPr>
        <w:keepNext w:val="0"/>
        <w:keepLines w:val="0"/>
        <w:widowControl/>
        <w:suppressLineNumbers w:val="0"/>
        <w:spacing w:line="360" w:lineRule="auto"/>
        <w:ind w:firstLine="420" w:firstLineChars="200"/>
        <w:jc w:val="left"/>
        <w:rPr>
          <w:rFonts w:hint="eastAsia" w:ascii="Times New Roman" w:hAnsi="Times New Roman" w:eastAsia="宋体" w:cs="宋体"/>
          <w:sz w:val="21"/>
          <w:szCs w:val="21"/>
          <w:highlight w:val="none"/>
        </w:rPr>
      </w:pPr>
      <w:r>
        <w:rPr>
          <w:rFonts w:hint="eastAsia" w:ascii="Times New Roman" w:hAnsi="Times New Roman" w:eastAsia="宋体" w:cs="宋体"/>
          <w:color w:val="000000"/>
          <w:kern w:val="0"/>
          <w:sz w:val="21"/>
          <w:szCs w:val="21"/>
          <w:highlight w:val="none"/>
          <w:lang w:val="en-US" w:eastAsia="zh-CN" w:bidi="ar"/>
        </w:rPr>
        <w:t>（二）机房。机房共</w:t>
      </w:r>
      <w:r>
        <w:rPr>
          <w:rFonts w:hint="eastAsia" w:ascii="Times New Roman" w:hAnsi="Times New Roman" w:cs="宋体"/>
          <w:color w:val="000000"/>
          <w:kern w:val="0"/>
          <w:sz w:val="21"/>
          <w:szCs w:val="21"/>
          <w:highlight w:val="none"/>
          <w:lang w:val="en-US" w:eastAsia="zh-CN" w:bidi="ar"/>
        </w:rPr>
        <w:t>3</w:t>
      </w:r>
      <w:r>
        <w:rPr>
          <w:rFonts w:hint="eastAsia" w:ascii="Times New Roman" w:hAnsi="Times New Roman" w:eastAsia="宋体" w:cs="宋体"/>
          <w:color w:val="000000"/>
          <w:kern w:val="0"/>
          <w:sz w:val="21"/>
          <w:szCs w:val="21"/>
          <w:highlight w:val="none"/>
          <w:lang w:val="en-US" w:eastAsia="zh-CN" w:bidi="ar"/>
        </w:rPr>
        <w:t>个，约300平方米，分别是合肥市包河区中山路1号省行政中心1号楼非屏蔽机房、UPS机房及红星路安徽省直属机关老干部第二活动室机房。主要是机房内部供</w:t>
      </w:r>
      <w:r>
        <w:rPr>
          <w:rFonts w:hint="eastAsia" w:ascii="Times New Roman" w:hAnsi="Times New Roman" w:cs="宋体"/>
          <w:color w:val="000000"/>
          <w:kern w:val="0"/>
          <w:sz w:val="21"/>
          <w:szCs w:val="21"/>
          <w:highlight w:val="none"/>
          <w:lang w:val="en-US" w:eastAsia="zh-CN" w:bidi="ar"/>
        </w:rPr>
        <w:t>强电系统、</w:t>
      </w:r>
      <w:r>
        <w:rPr>
          <w:rFonts w:hint="eastAsia" w:ascii="Times New Roman" w:hAnsi="Times New Roman" w:eastAsia="宋体" w:cs="宋体"/>
          <w:color w:val="000000"/>
          <w:kern w:val="0"/>
          <w:sz w:val="21"/>
          <w:szCs w:val="21"/>
          <w:highlight w:val="none"/>
          <w:lang w:val="en-US" w:eastAsia="zh-CN" w:bidi="ar"/>
        </w:rPr>
        <w:t>配电系统、综合布线系统、新风系统、消防系统等10余个标准子系统日常运维保障，10余个应用系统的监测服务，服务器和存储、网络及安全等150余台(</w:t>
      </w:r>
      <w:r>
        <w:rPr>
          <w:rFonts w:hint="eastAsia" w:ascii="Times New Roman" w:hAnsi="Times New Roman"/>
          <w:iCs/>
          <w:color w:val="0D0D0D"/>
          <w:sz w:val="21"/>
          <w:szCs w:val="21"/>
          <w:highlight w:val="none"/>
        </w:rPr>
        <w:t>网络</w:t>
      </w:r>
      <w:r>
        <w:rPr>
          <w:rFonts w:hint="eastAsia" w:ascii="Times New Roman" w:hAnsi="Times New Roman"/>
          <w:iCs/>
          <w:color w:val="0D0D0D"/>
          <w:sz w:val="21"/>
          <w:szCs w:val="21"/>
          <w:highlight w:val="none"/>
          <w:lang w:val="en-US" w:eastAsia="zh-CN"/>
        </w:rPr>
        <w:t>与</w:t>
      </w:r>
      <w:r>
        <w:rPr>
          <w:rFonts w:hint="eastAsia" w:ascii="Times New Roman" w:hAnsi="Times New Roman"/>
          <w:iCs/>
          <w:color w:val="0D0D0D"/>
          <w:sz w:val="21"/>
          <w:szCs w:val="21"/>
          <w:highlight w:val="none"/>
        </w:rPr>
        <w:t>安全设</w:t>
      </w:r>
      <w:r>
        <w:rPr>
          <w:rFonts w:hint="eastAsia" w:ascii="Times New Roman" w:hAnsi="Times New Roman" w:eastAsia="宋体" w:cs="宋体"/>
          <w:color w:val="000000"/>
          <w:kern w:val="0"/>
          <w:sz w:val="21"/>
          <w:szCs w:val="21"/>
          <w:highlight w:val="none"/>
          <w:lang w:val="en-US" w:eastAsia="zh-CN" w:bidi="ar"/>
        </w:rPr>
        <w:t xml:space="preserve">备33台、服务器存储共124台)专用设备运维保障。 </w:t>
      </w:r>
    </w:p>
    <w:p w14:paraId="59F2A893">
      <w:pPr>
        <w:keepNext w:val="0"/>
        <w:keepLines w:val="0"/>
        <w:widowControl/>
        <w:suppressLineNumbers w:val="0"/>
        <w:spacing w:line="360" w:lineRule="auto"/>
        <w:ind w:firstLine="420" w:firstLineChars="200"/>
        <w:jc w:val="left"/>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（三）办公设备。</w:t>
      </w:r>
      <w:r>
        <w:rPr>
          <w:rFonts w:hint="eastAsia" w:ascii="Times New Roman" w:hAnsi="Times New Roman" w:eastAsia="宋体" w:cs="宋体"/>
          <w:color w:val="000000"/>
          <w:kern w:val="0"/>
          <w:sz w:val="21"/>
          <w:szCs w:val="21"/>
          <w:lang w:val="en-US" w:eastAsia="zh-CN" w:bidi="ar"/>
        </w:rPr>
        <w:t>主要提供位于中山路1号安徽省人民政府办公厅，红星路安徽省人民政府办公厅离退休处、服务中心、机关幼儿园、安徽省直属机关老干部第二活动室等老区多处办公区办公设备维护。</w:t>
      </w:r>
      <w:r>
        <w:rPr>
          <w:rFonts w:hint="eastAsia" w:ascii="Times New Roman" w:hAnsi="Times New Roman" w:eastAsia="宋体" w:cs="宋体"/>
          <w:color w:val="000000"/>
          <w:kern w:val="0"/>
          <w:sz w:val="21"/>
          <w:szCs w:val="21"/>
          <w:highlight w:val="none"/>
          <w:lang w:val="en-US" w:eastAsia="zh-CN" w:bidi="ar"/>
        </w:rPr>
        <w:t xml:space="preserve">办公设备共约1100余台，主要是600余台计算机、200余台笔记本电脑、300余台打印机及传真机、一体机、扫描仪、复印机等的日常运维保障。 </w:t>
      </w:r>
    </w:p>
    <w:p w14:paraId="065BE6F9">
      <w:pPr>
        <w:keepNext w:val="0"/>
        <w:keepLines w:val="0"/>
        <w:widowControl/>
        <w:suppressLineNumbers w:val="0"/>
        <w:spacing w:line="360" w:lineRule="auto"/>
        <w:ind w:firstLine="420" w:firstLineChars="200"/>
        <w:jc w:val="left"/>
        <w:rPr>
          <w:rFonts w:hint="default"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highlight w:val="none"/>
          <w:lang w:val="en-US" w:eastAsia="zh-CN" w:bidi="ar"/>
        </w:rPr>
        <w:t>（四）办公网络。负责</w:t>
      </w:r>
      <w:r>
        <w:rPr>
          <w:rFonts w:hint="eastAsia" w:ascii="Times New Roman" w:hAnsi="Times New Roman" w:cs="宋体"/>
          <w:color w:val="000000"/>
          <w:kern w:val="0"/>
          <w:sz w:val="21"/>
          <w:szCs w:val="21"/>
          <w:highlight w:val="none"/>
          <w:lang w:val="en-US" w:eastAsia="zh-CN" w:bidi="ar"/>
        </w:rPr>
        <w:t>中山路1号省行政中心、</w:t>
      </w:r>
      <w:r>
        <w:rPr>
          <w:rFonts w:hint="eastAsia" w:ascii="Times New Roman" w:hAnsi="Times New Roman" w:eastAsia="宋体" w:cs="宋体"/>
          <w:color w:val="000000"/>
          <w:kern w:val="0"/>
          <w:sz w:val="21"/>
          <w:szCs w:val="21"/>
          <w:lang w:val="en-US" w:eastAsia="zh-CN" w:bidi="ar"/>
        </w:rPr>
        <w:t>红星路安徽省人民政府办公区</w:t>
      </w:r>
      <w:r>
        <w:rPr>
          <w:rFonts w:hint="eastAsia" w:ascii="Times New Roman" w:hAnsi="Times New Roman" w:eastAsia="宋体" w:cs="宋体"/>
          <w:color w:val="000000"/>
          <w:kern w:val="0"/>
          <w:sz w:val="21"/>
          <w:szCs w:val="21"/>
          <w:highlight w:val="none"/>
          <w:lang w:val="en-US" w:eastAsia="zh-CN" w:bidi="ar"/>
        </w:rPr>
        <w:t>办公区域内</w:t>
      </w:r>
      <w:r>
        <w:rPr>
          <w:rFonts w:hint="eastAsia" w:ascii="Times New Roman" w:hAnsi="Times New Roman" w:cs="宋体"/>
          <w:color w:val="000000"/>
          <w:kern w:val="0"/>
          <w:sz w:val="21"/>
          <w:szCs w:val="21"/>
          <w:highlight w:val="none"/>
          <w:lang w:val="en-US" w:eastAsia="zh-CN" w:bidi="ar"/>
        </w:rPr>
        <w:t>，共5</w:t>
      </w:r>
      <w:r>
        <w:rPr>
          <w:rFonts w:hint="eastAsia" w:ascii="Times New Roman" w:hAnsi="Times New Roman" w:eastAsia="宋体" w:cs="宋体"/>
          <w:color w:val="000000"/>
          <w:kern w:val="0"/>
          <w:sz w:val="21"/>
          <w:szCs w:val="21"/>
          <w:highlight w:val="none"/>
          <w:lang w:val="en-US" w:eastAsia="zh-CN" w:bidi="ar"/>
        </w:rPr>
        <w:t>栋办公楼宇间及楼宇内</w:t>
      </w:r>
      <w:r>
        <w:rPr>
          <w:rFonts w:hint="eastAsia" w:ascii="Times New Roman" w:hAnsi="Times New Roman" w:eastAsia="宋体" w:cs="宋体"/>
          <w:color w:val="000000"/>
          <w:kern w:val="0"/>
          <w:sz w:val="21"/>
          <w:szCs w:val="21"/>
          <w:lang w:val="en-US" w:eastAsia="zh-CN" w:bidi="ar"/>
        </w:rPr>
        <w:t>17个楼层接入网络、汇聚网络、核心网络设备的日常巡检及维护，保障网络通信稳定运行。</w:t>
      </w:r>
    </w:p>
    <w:p w14:paraId="017493F8">
      <w:pPr>
        <w:spacing w:line="360" w:lineRule="auto"/>
        <w:ind w:firstLine="437"/>
        <w:rPr>
          <w:rFonts w:hint="eastAsia" w:ascii="Times New Roman" w:hAnsi="Times New Roman" w:eastAsia="宋体" w:cs="宋体"/>
          <w:b/>
          <w:color w:val="auto"/>
          <w:sz w:val="21"/>
          <w:szCs w:val="21"/>
          <w:highlight w:val="none"/>
        </w:rPr>
      </w:pPr>
    </w:p>
    <w:p w14:paraId="0B708121">
      <w:pPr>
        <w:spacing w:line="360" w:lineRule="auto"/>
        <w:ind w:firstLine="437"/>
        <w:outlineLvl w:val="1"/>
        <w:rPr>
          <w:rFonts w:hint="eastAsia" w:ascii="Times New Roman" w:hAnsi="Times New Roman" w:eastAsia="宋体" w:cs="宋体"/>
          <w:b/>
          <w:color w:val="auto"/>
          <w:sz w:val="21"/>
          <w:szCs w:val="21"/>
          <w:highlight w:val="none"/>
        </w:rPr>
      </w:pPr>
      <w:bookmarkStart w:id="12" w:name="_Toc8586"/>
      <w:bookmarkStart w:id="13" w:name="_Toc21757"/>
      <w:r>
        <w:rPr>
          <w:rFonts w:hint="eastAsia" w:ascii="Times New Roman" w:hAnsi="Times New Roman" w:eastAsia="宋体" w:cs="宋体"/>
          <w:b/>
          <w:color w:val="auto"/>
          <w:sz w:val="21"/>
          <w:szCs w:val="21"/>
          <w:highlight w:val="none"/>
        </w:rPr>
        <w:t>三、服务需求</w:t>
      </w:r>
      <w:bookmarkEnd w:id="12"/>
      <w:bookmarkEnd w:id="13"/>
    </w:p>
    <w:p w14:paraId="2EB338BB">
      <w:pPr>
        <w:keepNext w:val="0"/>
        <w:keepLines w:val="0"/>
        <w:widowControl/>
        <w:suppressLineNumbers w:val="0"/>
        <w:spacing w:line="360" w:lineRule="auto"/>
        <w:ind w:firstLine="420" w:firstLineChars="200"/>
        <w:jc w:val="left"/>
        <w:outlineLvl w:val="2"/>
        <w:rPr>
          <w:rFonts w:hint="default"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（一） 服务要求</w:t>
      </w:r>
    </w:p>
    <w:p w14:paraId="29271447">
      <w:pPr>
        <w:spacing w:line="360" w:lineRule="auto"/>
        <w:ind w:firstLine="482"/>
        <w:outlineLvl w:val="3"/>
        <w:rPr>
          <w:rFonts w:hint="eastAsia" w:ascii="Times New Roman" w:hAnsi="Times New Roman" w:eastAsia="宋体" w:cs="宋体"/>
          <w:b w:val="0"/>
          <w:bCs w:val="0"/>
          <w:iCs/>
          <w:color w:val="0D0D0D"/>
          <w:sz w:val="21"/>
          <w:szCs w:val="21"/>
          <w:highlight w:val="none"/>
        </w:rPr>
      </w:pPr>
      <w:r>
        <w:rPr>
          <w:rFonts w:hint="eastAsia" w:ascii="Times New Roman" w:hAnsi="Times New Roman" w:eastAsia="宋体" w:cs="宋体"/>
          <w:b w:val="0"/>
          <w:bCs w:val="0"/>
          <w:iCs/>
          <w:color w:val="0D0D0D"/>
          <w:sz w:val="21"/>
          <w:szCs w:val="21"/>
          <w:highlight w:val="none"/>
        </w:rPr>
        <w:t>1.构建统一的运维管理制度</w:t>
      </w:r>
    </w:p>
    <w:p w14:paraId="19230124">
      <w:pPr>
        <w:spacing w:line="360" w:lineRule="auto"/>
        <w:ind w:firstLine="480"/>
        <w:rPr>
          <w:rFonts w:hint="eastAsia" w:ascii="Times New Roman" w:hAnsi="Times New Roman" w:eastAsia="宋体" w:cs="宋体"/>
          <w:b w:val="0"/>
          <w:bCs w:val="0"/>
          <w:iCs/>
          <w:color w:val="0D0D0D"/>
          <w:sz w:val="21"/>
          <w:szCs w:val="21"/>
          <w:highlight w:val="none"/>
        </w:rPr>
      </w:pPr>
      <w:r>
        <w:rPr>
          <w:rFonts w:hint="eastAsia" w:ascii="Times New Roman" w:hAnsi="Times New Roman" w:eastAsia="宋体" w:cs="宋体"/>
          <w:b w:val="0"/>
          <w:bCs w:val="0"/>
          <w:iCs/>
          <w:color w:val="0D0D0D"/>
          <w:sz w:val="21"/>
          <w:szCs w:val="21"/>
          <w:highlight w:val="none"/>
        </w:rPr>
        <w:t>本次运维服务需要为安徽省省政府构建统一的运维管理制度。通过专业化的手段接收客户方运维服务事件，并由值班服务经理安排派单，处理日常故障的受理处置，日常工作的分派与监控，协调相关技术人员，与用户方进行沟通，服务的流程管理及输出服务总结报告等工作。</w:t>
      </w:r>
    </w:p>
    <w:p w14:paraId="0965F37B">
      <w:pPr>
        <w:spacing w:line="360" w:lineRule="auto"/>
        <w:ind w:firstLine="482"/>
        <w:outlineLvl w:val="3"/>
        <w:rPr>
          <w:rFonts w:hint="eastAsia" w:ascii="Times New Roman" w:hAnsi="Times New Roman" w:eastAsia="宋体" w:cs="宋体"/>
          <w:b w:val="0"/>
          <w:bCs w:val="0"/>
          <w:iCs/>
          <w:color w:val="0D0D0D"/>
          <w:sz w:val="21"/>
          <w:szCs w:val="21"/>
          <w:highlight w:val="none"/>
        </w:rPr>
      </w:pPr>
      <w:r>
        <w:rPr>
          <w:rFonts w:hint="eastAsia" w:ascii="Times New Roman" w:hAnsi="Times New Roman" w:eastAsia="宋体" w:cs="宋体"/>
          <w:b w:val="0"/>
          <w:bCs w:val="0"/>
          <w:iCs/>
          <w:color w:val="0D0D0D"/>
          <w:sz w:val="21"/>
          <w:szCs w:val="21"/>
          <w:highlight w:val="none"/>
        </w:rPr>
        <w:t>2.驻点服务要求</w:t>
      </w:r>
    </w:p>
    <w:p w14:paraId="0BF93970">
      <w:pPr>
        <w:spacing w:line="360" w:lineRule="auto"/>
        <w:ind w:firstLine="480"/>
        <w:rPr>
          <w:rFonts w:hint="eastAsia" w:ascii="Times New Roman" w:hAnsi="Times New Roman" w:eastAsia="宋体" w:cs="宋体"/>
          <w:b w:val="0"/>
          <w:bCs w:val="0"/>
          <w:iCs/>
          <w:color w:val="0D0D0D"/>
          <w:sz w:val="21"/>
          <w:szCs w:val="21"/>
          <w:highlight w:val="none"/>
        </w:rPr>
      </w:pPr>
      <w:r>
        <w:rPr>
          <w:rFonts w:hint="eastAsia" w:ascii="Times New Roman" w:hAnsi="Times New Roman" w:eastAsia="宋体" w:cs="宋体"/>
          <w:b w:val="0"/>
          <w:bCs w:val="0"/>
          <w:iCs/>
          <w:color w:val="0D0D0D"/>
          <w:sz w:val="21"/>
          <w:szCs w:val="21"/>
          <w:highlight w:val="none"/>
        </w:rPr>
        <w:t>针对办公设备和会议室日常维护及保障工作，需要驻点服务团队进行统一运维，成立服务团队</w:t>
      </w:r>
      <w:r>
        <w:rPr>
          <w:rFonts w:hint="eastAsia" w:ascii="Times New Roman" w:hAnsi="Times New Roman" w:eastAsia="宋体" w:cs="宋体"/>
          <w:b w:val="0"/>
          <w:bCs w:val="0"/>
          <w:iCs/>
          <w:color w:val="0D0D0D"/>
          <w:sz w:val="21"/>
          <w:szCs w:val="21"/>
          <w:highlight w:val="none"/>
          <w:lang w:eastAsia="zh-CN"/>
        </w:rPr>
        <w:t>。</w:t>
      </w:r>
      <w:r>
        <w:rPr>
          <w:rFonts w:hint="eastAsia" w:ascii="Times New Roman" w:hAnsi="Times New Roman" w:eastAsia="宋体" w:cs="宋体"/>
          <w:b w:val="0"/>
          <w:bCs w:val="0"/>
          <w:iCs/>
          <w:color w:val="0D0D0D"/>
          <w:sz w:val="21"/>
          <w:szCs w:val="21"/>
          <w:highlight w:val="none"/>
          <w:lang w:val="en-US" w:eastAsia="zh-CN"/>
        </w:rPr>
        <w:t>安排项目经理1名，负责统筹协调一线驻点人员及后端资源支持团队，保障整体服务按质量按要求完成，保证项目交付过程中的安全和保密要求，以及整体服务项目交付和验收工作；</w:t>
      </w:r>
      <w:r>
        <w:rPr>
          <w:rFonts w:hint="eastAsia" w:ascii="Times New Roman" w:hAnsi="Times New Roman" w:eastAsia="宋体" w:cs="宋体"/>
          <w:b w:val="0"/>
          <w:bCs w:val="0"/>
          <w:iCs/>
          <w:color w:val="0D0D0D"/>
          <w:sz w:val="21"/>
          <w:szCs w:val="21"/>
          <w:highlight w:val="none"/>
        </w:rPr>
        <w:t>安排驻点运维管理服务经理1名，负责整体运维工作和客户需求响应对接；安排驻点工程师6名，负责机房日常巡检、会议室、终端维护工作。安排场外技术支持工程师2名，保障重要时期活动及会议。安排驻点人员做好值班备勤工作，保障服务需求及时响应。</w:t>
      </w:r>
    </w:p>
    <w:p w14:paraId="3748701B">
      <w:pPr>
        <w:spacing w:line="360" w:lineRule="auto"/>
        <w:ind w:firstLine="482"/>
        <w:outlineLvl w:val="3"/>
        <w:rPr>
          <w:rFonts w:hint="eastAsia" w:ascii="Times New Roman" w:hAnsi="Times New Roman" w:eastAsia="宋体" w:cs="宋体"/>
          <w:b w:val="0"/>
          <w:bCs w:val="0"/>
          <w:iCs/>
          <w:color w:val="0D0D0D"/>
          <w:sz w:val="21"/>
          <w:szCs w:val="21"/>
          <w:highlight w:val="none"/>
        </w:rPr>
      </w:pPr>
      <w:r>
        <w:rPr>
          <w:rFonts w:hint="eastAsia" w:ascii="Times New Roman" w:hAnsi="Times New Roman" w:eastAsia="宋体" w:cs="宋体"/>
          <w:b w:val="0"/>
          <w:bCs w:val="0"/>
          <w:iCs/>
          <w:color w:val="0D0D0D"/>
          <w:sz w:val="21"/>
          <w:szCs w:val="21"/>
          <w:highlight w:val="none"/>
        </w:rPr>
        <w:t>3.健康巡检服务要求</w:t>
      </w:r>
    </w:p>
    <w:p w14:paraId="7D1D802C">
      <w:pPr>
        <w:spacing w:line="360" w:lineRule="auto"/>
        <w:ind w:firstLine="480"/>
        <w:rPr>
          <w:rFonts w:hint="eastAsia" w:ascii="Times New Roman" w:hAnsi="Times New Roman" w:eastAsia="宋体" w:cs="宋体"/>
          <w:b w:val="0"/>
          <w:bCs w:val="0"/>
          <w:iCs/>
          <w:color w:val="0D0D0D"/>
          <w:sz w:val="21"/>
          <w:szCs w:val="21"/>
          <w:highlight w:val="none"/>
        </w:rPr>
      </w:pPr>
      <w:r>
        <w:rPr>
          <w:rFonts w:hint="eastAsia" w:ascii="Times New Roman" w:hAnsi="Times New Roman" w:eastAsia="宋体" w:cs="宋体"/>
          <w:b w:val="0"/>
          <w:bCs w:val="0"/>
          <w:iCs/>
          <w:color w:val="0D0D0D"/>
          <w:sz w:val="21"/>
          <w:szCs w:val="21"/>
          <w:highlight w:val="none"/>
        </w:rPr>
        <w:t>制定定期巡检计划，按照安徽省人民政府办公厅要求，定期对现场设备进行检查，每日组织机房动环系统、消防系统、配电系统、空调系统、新风系统、大屏显示及网络设备、支撑业务系统的软硬件、安全设备等所有设备及环境运行状态巡检，每周组织会议室网络、设备及功能等巡检，每月组织计算机终端、打印机、复印机等办公设备和办公网络巡检，及时发现设备运行中出现的隐患，通过系统调整等手段，减少设备发生故障的概率，确保设备稳定、高效运行。</w:t>
      </w:r>
    </w:p>
    <w:p w14:paraId="0E37E951">
      <w:pPr>
        <w:spacing w:line="360" w:lineRule="auto"/>
        <w:ind w:firstLine="482"/>
        <w:outlineLvl w:val="3"/>
        <w:rPr>
          <w:rFonts w:hint="eastAsia" w:ascii="Times New Roman" w:hAnsi="Times New Roman" w:eastAsia="宋体" w:cs="宋体"/>
          <w:b w:val="0"/>
          <w:bCs w:val="0"/>
          <w:iCs/>
          <w:color w:val="0D0D0D"/>
          <w:sz w:val="21"/>
          <w:szCs w:val="21"/>
          <w:highlight w:val="none"/>
        </w:rPr>
      </w:pPr>
      <w:r>
        <w:rPr>
          <w:rFonts w:hint="eastAsia" w:ascii="Times New Roman" w:hAnsi="Times New Roman" w:eastAsia="宋体" w:cs="宋体"/>
          <w:b w:val="0"/>
          <w:bCs w:val="0"/>
          <w:iCs/>
          <w:color w:val="0D0D0D"/>
          <w:sz w:val="21"/>
          <w:szCs w:val="21"/>
          <w:highlight w:val="none"/>
        </w:rPr>
        <w:t>4.远程支持服务要求</w:t>
      </w:r>
    </w:p>
    <w:p w14:paraId="3AE16324">
      <w:pPr>
        <w:spacing w:line="360" w:lineRule="auto"/>
        <w:ind w:firstLine="480"/>
        <w:rPr>
          <w:rFonts w:hint="eastAsia" w:ascii="Times New Roman" w:hAnsi="Times New Roman" w:eastAsia="宋体" w:cs="宋体"/>
          <w:b w:val="0"/>
          <w:bCs w:val="0"/>
          <w:iCs/>
          <w:color w:val="0D0D0D"/>
          <w:sz w:val="21"/>
          <w:szCs w:val="21"/>
          <w:highlight w:val="none"/>
        </w:rPr>
      </w:pPr>
      <w:r>
        <w:rPr>
          <w:rFonts w:hint="eastAsia" w:ascii="Times New Roman" w:hAnsi="Times New Roman" w:eastAsia="宋体" w:cs="宋体"/>
          <w:b w:val="0"/>
          <w:bCs w:val="0"/>
          <w:iCs/>
          <w:color w:val="0D0D0D"/>
          <w:sz w:val="21"/>
          <w:szCs w:val="21"/>
          <w:highlight w:val="none"/>
        </w:rPr>
        <w:t>需针对本项目提供远程支持服务，通过远程、电话咨询的方式，远程查看设备的故障及配置信息，解决安徽省人民政府办公厅的设备问题及设备故障。</w:t>
      </w:r>
    </w:p>
    <w:p w14:paraId="1009DE91">
      <w:pPr>
        <w:spacing w:line="360" w:lineRule="auto"/>
        <w:ind w:firstLine="482"/>
        <w:outlineLvl w:val="3"/>
        <w:rPr>
          <w:rFonts w:hint="eastAsia" w:ascii="Times New Roman" w:hAnsi="Times New Roman" w:eastAsia="宋体" w:cs="宋体"/>
          <w:b w:val="0"/>
          <w:bCs w:val="0"/>
          <w:iCs/>
          <w:color w:val="0D0D0D"/>
          <w:sz w:val="21"/>
          <w:szCs w:val="21"/>
          <w:highlight w:val="none"/>
        </w:rPr>
      </w:pPr>
      <w:r>
        <w:rPr>
          <w:rFonts w:hint="eastAsia" w:ascii="Times New Roman" w:hAnsi="Times New Roman" w:eastAsia="宋体" w:cs="宋体"/>
          <w:b w:val="0"/>
          <w:bCs w:val="0"/>
          <w:iCs/>
          <w:color w:val="0D0D0D"/>
          <w:sz w:val="21"/>
          <w:szCs w:val="21"/>
          <w:highlight w:val="none"/>
        </w:rPr>
        <w:t>5.现场技术专家保障服务要求</w:t>
      </w:r>
    </w:p>
    <w:p w14:paraId="48A1324A">
      <w:pPr>
        <w:spacing w:line="360" w:lineRule="auto"/>
        <w:ind w:firstLine="480"/>
        <w:rPr>
          <w:rFonts w:hint="eastAsia" w:ascii="Times New Roman" w:hAnsi="Times New Roman" w:eastAsia="宋体" w:cs="宋体"/>
          <w:b w:val="0"/>
          <w:bCs w:val="0"/>
          <w:iCs/>
          <w:color w:val="0D0D0D"/>
          <w:sz w:val="21"/>
          <w:szCs w:val="21"/>
          <w:highlight w:val="none"/>
        </w:rPr>
      </w:pPr>
      <w:r>
        <w:rPr>
          <w:rFonts w:hint="eastAsia" w:ascii="Times New Roman" w:hAnsi="Times New Roman" w:eastAsia="宋体" w:cs="宋体"/>
          <w:b w:val="0"/>
          <w:bCs w:val="0"/>
          <w:iCs/>
          <w:color w:val="0D0D0D"/>
          <w:sz w:val="21"/>
          <w:szCs w:val="21"/>
          <w:highlight w:val="none"/>
        </w:rPr>
        <w:t>当遇到特殊故障而无法解决时，服务团队须安排经验丰富具备相应厂商认证的技术支持工程师在服务协议规定时间内赴采购人方设备现场，协助采购人进行现场故障诊断、制定故障恢复方案并现场排除故障。</w:t>
      </w:r>
    </w:p>
    <w:p w14:paraId="1FA05C34">
      <w:pPr>
        <w:spacing w:line="360" w:lineRule="auto"/>
        <w:ind w:firstLine="482"/>
        <w:outlineLvl w:val="3"/>
        <w:rPr>
          <w:rFonts w:hint="eastAsia" w:ascii="Times New Roman" w:hAnsi="Times New Roman" w:eastAsia="宋体" w:cs="宋体"/>
          <w:b w:val="0"/>
          <w:bCs w:val="0"/>
          <w:iCs/>
          <w:color w:val="0D0D0D"/>
          <w:sz w:val="21"/>
          <w:szCs w:val="21"/>
          <w:highlight w:val="none"/>
        </w:rPr>
      </w:pPr>
      <w:r>
        <w:rPr>
          <w:rFonts w:hint="eastAsia" w:ascii="Times New Roman" w:hAnsi="Times New Roman" w:eastAsia="宋体" w:cs="宋体"/>
          <w:b w:val="0"/>
          <w:bCs w:val="0"/>
          <w:iCs/>
          <w:color w:val="0D0D0D"/>
          <w:sz w:val="21"/>
          <w:szCs w:val="21"/>
          <w:highlight w:val="none"/>
        </w:rPr>
        <w:t>6.特殊时段支持服务要求</w:t>
      </w:r>
    </w:p>
    <w:p w14:paraId="63C9490F">
      <w:pPr>
        <w:spacing w:line="360" w:lineRule="auto"/>
        <w:ind w:firstLine="480"/>
        <w:rPr>
          <w:rFonts w:hint="eastAsia" w:ascii="Times New Roman" w:hAnsi="Times New Roman" w:eastAsia="宋体" w:cs="宋体"/>
          <w:b w:val="0"/>
          <w:bCs w:val="0"/>
          <w:iCs/>
          <w:color w:val="0D0D0D"/>
          <w:sz w:val="21"/>
          <w:szCs w:val="21"/>
          <w:highlight w:val="none"/>
        </w:rPr>
      </w:pPr>
      <w:r>
        <w:rPr>
          <w:rFonts w:hint="eastAsia" w:ascii="Times New Roman" w:hAnsi="Times New Roman" w:eastAsia="宋体" w:cs="宋体"/>
          <w:b w:val="0"/>
          <w:bCs w:val="0"/>
          <w:iCs/>
          <w:color w:val="0D0D0D"/>
          <w:sz w:val="21"/>
          <w:szCs w:val="21"/>
          <w:highlight w:val="none"/>
        </w:rPr>
        <w:t>针对本项目在每年运维的特殊时段（如：两会期间、</w:t>
      </w:r>
      <w:r>
        <w:rPr>
          <w:rFonts w:hint="eastAsia" w:ascii="Times New Roman" w:hAnsi="Times New Roman" w:eastAsia="宋体" w:cs="宋体"/>
          <w:b w:val="0"/>
          <w:bCs w:val="0"/>
          <w:iCs/>
          <w:color w:val="0D0D0D"/>
          <w:sz w:val="21"/>
          <w:szCs w:val="21"/>
          <w:highlight w:val="none"/>
          <w:lang w:eastAsia="zh-CN"/>
        </w:rPr>
        <w:t>休息</w:t>
      </w:r>
      <w:r>
        <w:rPr>
          <w:rFonts w:hint="eastAsia" w:ascii="Times New Roman" w:hAnsi="Times New Roman" w:eastAsia="宋体" w:cs="宋体"/>
          <w:b w:val="0"/>
          <w:bCs w:val="0"/>
          <w:iCs/>
          <w:color w:val="0D0D0D"/>
          <w:sz w:val="21"/>
          <w:szCs w:val="21"/>
          <w:highlight w:val="none"/>
        </w:rPr>
        <w:t>日、春节、劳动节、国庆节、年终、系统停机维护、数据集中及用户认为必须的重要时段），以及产品安装和客户化、系统变更和迁移、系统升级等的现场提供支持服务。</w:t>
      </w:r>
    </w:p>
    <w:p w14:paraId="04AACD61">
      <w:pPr>
        <w:spacing w:line="360" w:lineRule="auto"/>
        <w:ind w:firstLine="482"/>
        <w:outlineLvl w:val="3"/>
        <w:rPr>
          <w:rFonts w:hint="eastAsia" w:ascii="Times New Roman" w:hAnsi="Times New Roman" w:eastAsia="宋体" w:cs="宋体"/>
          <w:b w:val="0"/>
          <w:bCs w:val="0"/>
          <w:iCs/>
          <w:color w:val="0D0D0D"/>
          <w:sz w:val="21"/>
          <w:szCs w:val="21"/>
          <w:highlight w:val="none"/>
        </w:rPr>
      </w:pPr>
      <w:r>
        <w:rPr>
          <w:rFonts w:hint="eastAsia" w:ascii="Times New Roman" w:hAnsi="Times New Roman" w:eastAsia="宋体" w:cs="宋体"/>
          <w:b w:val="0"/>
          <w:bCs w:val="0"/>
          <w:iCs/>
          <w:color w:val="0D0D0D"/>
          <w:sz w:val="21"/>
          <w:szCs w:val="21"/>
          <w:highlight w:val="none"/>
        </w:rPr>
        <w:t>7.考核要求</w:t>
      </w:r>
    </w:p>
    <w:p w14:paraId="330AD454">
      <w:pPr>
        <w:keepNext w:val="0"/>
        <w:keepLines w:val="0"/>
        <w:widowControl/>
        <w:suppressLineNumbers w:val="0"/>
        <w:spacing w:line="360" w:lineRule="auto"/>
        <w:ind w:firstLine="420" w:firstLineChars="200"/>
        <w:jc w:val="left"/>
        <w:rPr>
          <w:rFonts w:hint="eastAsia" w:ascii="Times New Roman" w:hAnsi="Times New Roman" w:eastAsia="宋体" w:cs="宋体"/>
          <w:b w:val="0"/>
          <w:bCs w:val="0"/>
          <w:sz w:val="21"/>
          <w:szCs w:val="21"/>
          <w:highlight w:val="none"/>
        </w:rPr>
      </w:pPr>
      <w:r>
        <w:rPr>
          <w:rFonts w:hint="eastAsia" w:ascii="Times New Roman" w:hAnsi="Times New Roman" w:eastAsia="宋体" w:cs="宋体"/>
          <w:b w:val="0"/>
          <w:bCs w:val="0"/>
          <w:iCs/>
          <w:color w:val="0D0D0D"/>
          <w:sz w:val="21"/>
          <w:szCs w:val="21"/>
          <w:highlight w:val="none"/>
        </w:rPr>
        <w:t>采购人将对服务团队每季度进行一次服务考核，服务期间技术保障组人员原则上不予变动，确需变动，由供应商提供相同资质人员并报采购人技术人员审核且变动次数不得超过 2 次，造成的一切损失由中标人承担，采购人视情有权扣除5%</w:t>
      </w:r>
      <w:r>
        <w:rPr>
          <w:rFonts w:hint="eastAsia" w:ascii="Times New Roman" w:hAnsi="Times New Roman" w:cs="宋体"/>
          <w:b w:val="0"/>
          <w:bCs w:val="0"/>
          <w:iCs/>
          <w:color w:val="0D0D0D"/>
          <w:sz w:val="21"/>
          <w:szCs w:val="21"/>
          <w:highlight w:val="none"/>
          <w:lang w:eastAsia="zh-CN"/>
        </w:rPr>
        <w:t>履约保证金</w:t>
      </w:r>
      <w:r>
        <w:rPr>
          <w:rFonts w:hint="eastAsia" w:ascii="Times New Roman" w:hAnsi="Times New Roman" w:eastAsia="宋体" w:cs="宋体"/>
          <w:b w:val="0"/>
          <w:bCs w:val="0"/>
          <w:iCs/>
          <w:color w:val="0D0D0D"/>
          <w:sz w:val="21"/>
          <w:szCs w:val="21"/>
          <w:highlight w:val="none"/>
        </w:rPr>
        <w:t>。</w:t>
      </w:r>
      <w:r>
        <w:rPr>
          <w:rFonts w:hint="eastAsia" w:ascii="Times New Roman" w:hAnsi="Times New Roman" w:eastAsia="宋体" w:cs="宋体"/>
          <w:b w:val="0"/>
          <w:bCs w:val="0"/>
          <w:color w:val="000000"/>
          <w:kern w:val="0"/>
          <w:sz w:val="21"/>
          <w:szCs w:val="21"/>
          <w:highlight w:val="none"/>
          <w:lang w:val="en-US" w:eastAsia="zh-CN" w:bidi="ar"/>
        </w:rPr>
        <w:t xml:space="preserve"> </w:t>
      </w:r>
    </w:p>
    <w:p w14:paraId="52455608">
      <w:pPr>
        <w:keepNext w:val="0"/>
        <w:keepLines w:val="0"/>
        <w:widowControl/>
        <w:suppressLineNumbers w:val="0"/>
        <w:spacing w:line="360" w:lineRule="auto"/>
        <w:ind w:firstLine="420" w:firstLineChars="200"/>
        <w:jc w:val="left"/>
        <w:outlineLvl w:val="2"/>
        <w:rPr>
          <w:rFonts w:hint="eastAsia" w:ascii="Times New Roman" w:hAnsi="Times New Roman" w:eastAsia="宋体" w:cs="宋体"/>
          <w:sz w:val="21"/>
          <w:szCs w:val="21"/>
          <w:highlight w:val="none"/>
        </w:rPr>
      </w:pPr>
      <w:r>
        <w:rPr>
          <w:rFonts w:hint="eastAsia" w:ascii="Times New Roman" w:hAnsi="Times New Roman" w:eastAsia="宋体" w:cs="宋体"/>
          <w:color w:val="000000"/>
          <w:kern w:val="0"/>
          <w:sz w:val="21"/>
          <w:szCs w:val="21"/>
          <w:highlight w:val="none"/>
          <w:lang w:val="en-US" w:eastAsia="zh-CN" w:bidi="ar"/>
        </w:rPr>
        <w:t xml:space="preserve">（二）服务方式 </w:t>
      </w:r>
    </w:p>
    <w:p w14:paraId="7C9E16E5">
      <w:pPr>
        <w:keepNext w:val="0"/>
        <w:keepLines w:val="0"/>
        <w:widowControl/>
        <w:suppressLineNumbers w:val="0"/>
        <w:spacing w:line="360" w:lineRule="auto"/>
        <w:ind w:firstLine="420" w:firstLineChars="200"/>
        <w:jc w:val="left"/>
        <w:rPr>
          <w:rFonts w:hint="eastAsia" w:ascii="Times New Roman" w:hAnsi="Times New Roman" w:eastAsia="宋体" w:cs="宋体"/>
          <w:sz w:val="21"/>
          <w:szCs w:val="21"/>
          <w:highlight w:val="none"/>
        </w:rPr>
      </w:pPr>
      <w:r>
        <w:rPr>
          <w:rFonts w:hint="eastAsia" w:cs="宋体"/>
          <w:color w:val="000000"/>
          <w:kern w:val="0"/>
          <w:sz w:val="21"/>
          <w:szCs w:val="21"/>
          <w:highlight w:val="none"/>
          <w:lang w:val="en-US" w:eastAsia="zh-CN" w:bidi="ar"/>
        </w:rPr>
        <w:t>中标供应商</w:t>
      </w:r>
      <w:r>
        <w:rPr>
          <w:rFonts w:hint="eastAsia" w:ascii="Times New Roman" w:hAnsi="Times New Roman" w:eastAsia="宋体" w:cs="宋体"/>
          <w:color w:val="000000"/>
          <w:kern w:val="0"/>
          <w:sz w:val="21"/>
          <w:szCs w:val="21"/>
          <w:highlight w:val="none"/>
          <w:lang w:val="en-US" w:eastAsia="zh-CN" w:bidi="ar"/>
        </w:rPr>
        <w:t xml:space="preserve">须提供多种服务方式： </w:t>
      </w:r>
    </w:p>
    <w:p w14:paraId="2945A7A5">
      <w:pPr>
        <w:keepNext w:val="0"/>
        <w:keepLines w:val="0"/>
        <w:widowControl/>
        <w:suppressLineNumbers w:val="0"/>
        <w:spacing w:line="360" w:lineRule="auto"/>
        <w:ind w:firstLine="420" w:firstLineChars="200"/>
        <w:jc w:val="left"/>
        <w:rPr>
          <w:rFonts w:hint="eastAsia" w:ascii="Times New Roman" w:hAnsi="Times New Roman" w:eastAsia="宋体" w:cs="宋体"/>
          <w:sz w:val="21"/>
          <w:szCs w:val="21"/>
          <w:highlight w:val="none"/>
        </w:rPr>
      </w:pPr>
      <w:r>
        <w:rPr>
          <w:rFonts w:hint="eastAsia" w:ascii="Times New Roman" w:hAnsi="Times New Roman" w:eastAsia="宋体" w:cs="宋体"/>
          <w:color w:val="000000"/>
          <w:kern w:val="0"/>
          <w:sz w:val="21"/>
          <w:szCs w:val="21"/>
          <w:highlight w:val="none"/>
          <w:lang w:val="en-US" w:eastAsia="zh-CN" w:bidi="ar"/>
        </w:rPr>
        <w:t xml:space="preserve">1．现场服务。现场驻场运维团队实时保障，第一时间到现场解决问题，每天至少安排1人24小时服务保障。 </w:t>
      </w:r>
    </w:p>
    <w:p w14:paraId="3EA0C75F">
      <w:pPr>
        <w:keepNext w:val="0"/>
        <w:keepLines w:val="0"/>
        <w:widowControl/>
        <w:suppressLineNumbers w:val="0"/>
        <w:spacing w:line="360" w:lineRule="auto"/>
        <w:ind w:firstLine="420" w:firstLineChars="200"/>
        <w:jc w:val="left"/>
        <w:rPr>
          <w:rFonts w:hint="eastAsia" w:ascii="Times New Roman" w:hAnsi="Times New Roman" w:eastAsia="宋体" w:cs="宋体"/>
          <w:sz w:val="21"/>
          <w:szCs w:val="21"/>
          <w:highlight w:val="none"/>
        </w:rPr>
      </w:pPr>
      <w:r>
        <w:rPr>
          <w:rFonts w:hint="eastAsia" w:ascii="Times New Roman" w:hAnsi="Times New Roman" w:eastAsia="宋体" w:cs="宋体"/>
          <w:color w:val="000000"/>
          <w:kern w:val="0"/>
          <w:sz w:val="21"/>
          <w:szCs w:val="21"/>
          <w:highlight w:val="none"/>
          <w:lang w:val="en-US" w:eastAsia="zh-CN" w:bidi="ar"/>
        </w:rPr>
        <w:t xml:space="preserve">2．巡检服务。为了排除系统运行隐患，保障系统长期稳定运行，运维团队需对系统运行环境、系统自身情况及运维的规范性进行定期检查。 </w:t>
      </w:r>
    </w:p>
    <w:p w14:paraId="25389DDF">
      <w:pPr>
        <w:keepNext w:val="0"/>
        <w:keepLines w:val="0"/>
        <w:widowControl/>
        <w:suppressLineNumbers w:val="0"/>
        <w:spacing w:line="360" w:lineRule="auto"/>
        <w:ind w:firstLine="420" w:firstLineChars="200"/>
        <w:jc w:val="left"/>
        <w:rPr>
          <w:rFonts w:hint="eastAsia" w:ascii="Times New Roman" w:hAnsi="Times New Roman" w:eastAsia="宋体" w:cs="宋体"/>
          <w:sz w:val="21"/>
          <w:szCs w:val="21"/>
          <w:highlight w:val="none"/>
        </w:rPr>
      </w:pPr>
      <w:r>
        <w:rPr>
          <w:rFonts w:hint="eastAsia" w:ascii="Times New Roman" w:hAnsi="Times New Roman" w:eastAsia="宋体" w:cs="宋体"/>
          <w:color w:val="000000"/>
          <w:kern w:val="0"/>
          <w:sz w:val="21"/>
          <w:szCs w:val="21"/>
          <w:highlight w:val="none"/>
          <w:lang w:val="en-US" w:eastAsia="zh-CN" w:bidi="ar"/>
        </w:rPr>
        <w:t>3．应急服务。</w:t>
      </w:r>
      <w:r>
        <w:rPr>
          <w:rFonts w:hint="eastAsia" w:cs="宋体"/>
          <w:color w:val="000000"/>
          <w:kern w:val="0"/>
          <w:sz w:val="21"/>
          <w:szCs w:val="21"/>
          <w:highlight w:val="none"/>
          <w:lang w:val="en-US" w:eastAsia="zh-CN" w:bidi="ar"/>
        </w:rPr>
        <w:t>中标供应商</w:t>
      </w:r>
      <w:r>
        <w:rPr>
          <w:rFonts w:hint="eastAsia" w:ascii="Times New Roman" w:hAnsi="Times New Roman" w:eastAsia="宋体" w:cs="宋体"/>
          <w:color w:val="000000"/>
          <w:kern w:val="0"/>
          <w:sz w:val="21"/>
          <w:szCs w:val="21"/>
          <w:highlight w:val="none"/>
          <w:lang w:val="en-US" w:eastAsia="zh-CN" w:bidi="ar"/>
        </w:rPr>
        <w:t xml:space="preserve">须提供包括但不限于机房停电、网络中断、存储设备出现故障、数据库损坏、视频会议中断等完整的应急预案，在出现各种突发情况时，能够快速响应并协助客户降低损失。 </w:t>
      </w:r>
    </w:p>
    <w:p w14:paraId="65BFEF0A">
      <w:pPr>
        <w:keepNext w:val="0"/>
        <w:keepLines w:val="0"/>
        <w:widowControl/>
        <w:suppressLineNumbers w:val="0"/>
        <w:spacing w:line="360" w:lineRule="auto"/>
        <w:ind w:firstLine="420" w:firstLineChars="200"/>
        <w:jc w:val="left"/>
        <w:outlineLvl w:val="2"/>
        <w:rPr>
          <w:rFonts w:hint="eastAsia" w:ascii="Times New Roman" w:hAnsi="Times New Roman" w:eastAsia="宋体" w:cs="宋体"/>
          <w:sz w:val="21"/>
          <w:szCs w:val="21"/>
          <w:highlight w:val="none"/>
        </w:rPr>
      </w:pPr>
      <w:r>
        <w:rPr>
          <w:rFonts w:hint="eastAsia" w:ascii="Times New Roman" w:hAnsi="Times New Roman" w:eastAsia="宋体" w:cs="宋体"/>
          <w:color w:val="000000"/>
          <w:kern w:val="0"/>
          <w:sz w:val="21"/>
          <w:szCs w:val="21"/>
          <w:highlight w:val="none"/>
          <w:lang w:val="en-US" w:eastAsia="zh-CN" w:bidi="ar"/>
        </w:rPr>
        <w:t xml:space="preserve">（三）运维质量管理 </w:t>
      </w:r>
    </w:p>
    <w:p w14:paraId="3FF867EB">
      <w:pPr>
        <w:keepNext w:val="0"/>
        <w:keepLines w:val="0"/>
        <w:widowControl/>
        <w:suppressLineNumbers w:val="0"/>
        <w:spacing w:line="360" w:lineRule="auto"/>
        <w:ind w:firstLine="420" w:firstLineChars="200"/>
        <w:jc w:val="left"/>
        <w:rPr>
          <w:rFonts w:hint="eastAsia" w:ascii="Times New Roman" w:hAnsi="Times New Roman" w:eastAsia="宋体" w:cs="宋体"/>
          <w:sz w:val="21"/>
          <w:szCs w:val="21"/>
          <w:highlight w:val="none"/>
        </w:rPr>
      </w:pPr>
      <w:r>
        <w:rPr>
          <w:rFonts w:hint="eastAsia" w:cs="宋体"/>
          <w:color w:val="000000"/>
          <w:kern w:val="0"/>
          <w:sz w:val="21"/>
          <w:szCs w:val="21"/>
          <w:highlight w:val="none"/>
          <w:lang w:val="en-US" w:eastAsia="zh-CN" w:bidi="ar"/>
        </w:rPr>
        <w:t>中标供应商</w:t>
      </w:r>
      <w:r>
        <w:rPr>
          <w:rFonts w:hint="eastAsia" w:ascii="Times New Roman" w:hAnsi="Times New Roman" w:eastAsia="宋体" w:cs="宋体"/>
          <w:color w:val="000000"/>
          <w:kern w:val="0"/>
          <w:sz w:val="21"/>
          <w:szCs w:val="21"/>
          <w:highlight w:val="none"/>
          <w:lang w:val="en-US" w:eastAsia="zh-CN" w:bidi="ar"/>
        </w:rPr>
        <w:t>须提供现场驻场运维团队人员名单，并提供所有人员的社会保险证明；驻场运维人员须具备计算机、网络、音视频等相关专业知识，并有1年以上运维经验；</w:t>
      </w:r>
      <w:r>
        <w:rPr>
          <w:rFonts w:hint="eastAsia" w:cs="宋体"/>
          <w:color w:val="000000"/>
          <w:kern w:val="0"/>
          <w:sz w:val="21"/>
          <w:szCs w:val="21"/>
          <w:highlight w:val="none"/>
          <w:lang w:val="en-US" w:eastAsia="zh-CN" w:bidi="ar"/>
        </w:rPr>
        <w:t>中标供应商</w:t>
      </w:r>
      <w:r>
        <w:rPr>
          <w:rFonts w:hint="eastAsia" w:ascii="Times New Roman" w:hAnsi="Times New Roman" w:eastAsia="宋体" w:cs="宋体"/>
          <w:color w:val="000000"/>
          <w:kern w:val="0"/>
          <w:sz w:val="21"/>
          <w:szCs w:val="21"/>
          <w:highlight w:val="none"/>
          <w:lang w:val="en-US" w:eastAsia="zh-CN" w:bidi="ar"/>
        </w:rPr>
        <w:t>须在驻场运维人员中明确1名负责人，统筹做好运维保障和安全管理等工作；</w:t>
      </w:r>
      <w:r>
        <w:rPr>
          <w:rFonts w:hint="eastAsia" w:cs="宋体"/>
          <w:color w:val="000000"/>
          <w:kern w:val="0"/>
          <w:sz w:val="21"/>
          <w:szCs w:val="21"/>
          <w:highlight w:val="none"/>
          <w:lang w:val="en-US" w:eastAsia="zh-CN" w:bidi="ar"/>
        </w:rPr>
        <w:t>中标供应商</w:t>
      </w:r>
      <w:r>
        <w:rPr>
          <w:rFonts w:hint="eastAsia" w:ascii="Times New Roman" w:hAnsi="Times New Roman" w:eastAsia="宋体" w:cs="宋体"/>
          <w:color w:val="000000"/>
          <w:kern w:val="0"/>
          <w:sz w:val="21"/>
          <w:szCs w:val="21"/>
          <w:highlight w:val="none"/>
          <w:lang w:val="en-US" w:eastAsia="zh-CN" w:bidi="ar"/>
        </w:rPr>
        <w:t xml:space="preserve">须保证运维团队稳定性，年度驻场运维人员更换不超过1人，确需调整的须至少提前30天与采购人沟通并征得同意后方可更换。 </w:t>
      </w:r>
    </w:p>
    <w:p w14:paraId="41D9135D">
      <w:pPr>
        <w:keepNext w:val="0"/>
        <w:keepLines w:val="0"/>
        <w:widowControl/>
        <w:suppressLineNumbers w:val="0"/>
        <w:spacing w:line="360" w:lineRule="auto"/>
        <w:ind w:firstLine="420" w:firstLineChars="200"/>
        <w:jc w:val="left"/>
        <w:outlineLvl w:val="2"/>
        <w:rPr>
          <w:rFonts w:hint="eastAsia" w:ascii="Times New Roman" w:hAnsi="Times New Roman" w:eastAsia="宋体" w:cs="宋体"/>
          <w:sz w:val="21"/>
          <w:szCs w:val="21"/>
          <w:highlight w:val="none"/>
        </w:rPr>
      </w:pPr>
      <w:r>
        <w:rPr>
          <w:rFonts w:hint="eastAsia" w:ascii="Times New Roman" w:hAnsi="Times New Roman" w:eastAsia="宋体" w:cs="宋体"/>
          <w:color w:val="000000"/>
          <w:kern w:val="0"/>
          <w:sz w:val="21"/>
          <w:szCs w:val="21"/>
          <w:highlight w:val="none"/>
          <w:lang w:val="en-US" w:eastAsia="zh-CN" w:bidi="ar"/>
        </w:rPr>
        <w:t xml:space="preserve">（四）服务响应要求 </w:t>
      </w:r>
    </w:p>
    <w:p w14:paraId="32886F79">
      <w:pPr>
        <w:keepNext w:val="0"/>
        <w:keepLines w:val="0"/>
        <w:widowControl/>
        <w:suppressLineNumbers w:val="0"/>
        <w:spacing w:line="360" w:lineRule="auto"/>
        <w:ind w:firstLine="420" w:firstLineChars="200"/>
        <w:jc w:val="left"/>
        <w:rPr>
          <w:rFonts w:hint="eastAsia" w:ascii="Times New Roman" w:hAnsi="Times New Roman" w:eastAsia="宋体" w:cs="宋体"/>
          <w:sz w:val="21"/>
          <w:szCs w:val="21"/>
          <w:highlight w:val="none"/>
        </w:rPr>
      </w:pPr>
      <w:r>
        <w:rPr>
          <w:rFonts w:hint="eastAsia" w:ascii="Times New Roman" w:hAnsi="Times New Roman" w:eastAsia="宋体" w:cs="宋体"/>
          <w:color w:val="000000"/>
          <w:kern w:val="0"/>
          <w:sz w:val="21"/>
          <w:szCs w:val="21"/>
          <w:highlight w:val="none"/>
          <w:lang w:val="en-US" w:eastAsia="zh-CN" w:bidi="ar"/>
        </w:rPr>
        <w:t xml:space="preserve">1．一般信息化设备运维响应要求达到 100%的用户响应度。对于服务请求，10 分钟内响应，积极配合用户解决。 </w:t>
      </w:r>
    </w:p>
    <w:p w14:paraId="0004C337">
      <w:pPr>
        <w:keepNext w:val="0"/>
        <w:keepLines w:val="0"/>
        <w:widowControl/>
        <w:suppressLineNumbers w:val="0"/>
        <w:spacing w:line="360" w:lineRule="auto"/>
        <w:ind w:firstLine="420" w:firstLineChars="200"/>
        <w:jc w:val="left"/>
        <w:rPr>
          <w:rFonts w:hint="eastAsia" w:ascii="Times New Roman" w:hAnsi="Times New Roman" w:eastAsia="宋体" w:cs="宋体"/>
          <w:sz w:val="21"/>
          <w:szCs w:val="21"/>
          <w:highlight w:val="none"/>
        </w:rPr>
      </w:pPr>
      <w:r>
        <w:rPr>
          <w:rFonts w:hint="eastAsia" w:ascii="Times New Roman" w:hAnsi="Times New Roman" w:eastAsia="宋体" w:cs="宋体"/>
          <w:color w:val="000000"/>
          <w:kern w:val="0"/>
          <w:sz w:val="21"/>
          <w:szCs w:val="21"/>
          <w:highlight w:val="none"/>
          <w:lang w:val="en-US" w:eastAsia="zh-CN" w:bidi="ar"/>
        </w:rPr>
        <w:t xml:space="preserve">2．应用服务器及其他硬件设备运维响应要求达到 100%的用户响应度。不影响业务正常开展的故障，4个小时内解决；影响业务正常开展的故障，1个小时内解决。 </w:t>
      </w:r>
    </w:p>
    <w:p w14:paraId="4135CB70">
      <w:pPr>
        <w:keepNext w:val="0"/>
        <w:keepLines w:val="0"/>
        <w:widowControl/>
        <w:suppressLineNumbers w:val="0"/>
        <w:spacing w:line="360" w:lineRule="auto"/>
        <w:ind w:firstLine="420" w:firstLineChars="200"/>
        <w:jc w:val="left"/>
        <w:outlineLvl w:val="2"/>
        <w:rPr>
          <w:rFonts w:hint="eastAsia" w:ascii="Times New Roman" w:hAnsi="Times New Roman" w:eastAsia="宋体" w:cs="宋体"/>
          <w:sz w:val="21"/>
          <w:szCs w:val="21"/>
          <w:highlight w:val="none"/>
        </w:rPr>
      </w:pPr>
      <w:r>
        <w:rPr>
          <w:rFonts w:hint="eastAsia" w:ascii="Times New Roman" w:hAnsi="Times New Roman" w:eastAsia="宋体" w:cs="宋体"/>
          <w:color w:val="000000"/>
          <w:kern w:val="0"/>
          <w:sz w:val="21"/>
          <w:szCs w:val="21"/>
          <w:highlight w:val="none"/>
          <w:lang w:val="en-US" w:eastAsia="zh-CN" w:bidi="ar"/>
        </w:rPr>
        <w:t xml:space="preserve">（五）运维规范 </w:t>
      </w:r>
    </w:p>
    <w:p w14:paraId="4CBD42FD">
      <w:pPr>
        <w:keepNext w:val="0"/>
        <w:keepLines w:val="0"/>
        <w:widowControl/>
        <w:suppressLineNumbers w:val="0"/>
        <w:spacing w:line="360" w:lineRule="auto"/>
        <w:ind w:firstLine="420" w:firstLineChars="200"/>
        <w:jc w:val="left"/>
        <w:rPr>
          <w:rFonts w:hint="eastAsia" w:ascii="Times New Roman" w:hAnsi="Times New Roman" w:eastAsia="宋体" w:cs="宋体"/>
          <w:sz w:val="21"/>
          <w:szCs w:val="21"/>
          <w:highlight w:val="none"/>
        </w:rPr>
      </w:pPr>
      <w:r>
        <w:rPr>
          <w:rFonts w:hint="eastAsia" w:ascii="Times New Roman" w:hAnsi="Times New Roman" w:eastAsia="宋体" w:cs="宋体"/>
          <w:color w:val="000000"/>
          <w:kern w:val="0"/>
          <w:sz w:val="21"/>
          <w:szCs w:val="21"/>
          <w:highlight w:val="none"/>
          <w:lang w:val="en-US" w:eastAsia="zh-CN" w:bidi="ar"/>
        </w:rPr>
        <w:t xml:space="preserve">1．按照不同运维内容制定明确合理的运维计划，建立完备的运维档案，对硬件设备建立维修档案，根据设备运行情况提供设备升级、改造、更换的建议和方案。制定合理的运维考核机制，以全面提升运维能力和运维水平；保障各系统正常运行，做好网络安全防护工作，保障相关硬件设备、网络及数据安全，包括故障追踪、排除、记录等。 </w:t>
      </w:r>
    </w:p>
    <w:p w14:paraId="23AEC537">
      <w:pPr>
        <w:keepNext w:val="0"/>
        <w:keepLines w:val="0"/>
        <w:widowControl/>
        <w:suppressLineNumbers w:val="0"/>
        <w:spacing w:line="360" w:lineRule="auto"/>
        <w:ind w:firstLine="420" w:firstLineChars="200"/>
        <w:jc w:val="left"/>
        <w:rPr>
          <w:rFonts w:hint="eastAsia" w:ascii="Times New Roman" w:hAnsi="Times New Roman" w:eastAsia="宋体" w:cs="宋体"/>
          <w:sz w:val="21"/>
          <w:szCs w:val="21"/>
          <w:highlight w:val="none"/>
        </w:rPr>
      </w:pPr>
      <w:r>
        <w:rPr>
          <w:rFonts w:hint="eastAsia" w:ascii="Times New Roman" w:hAnsi="Times New Roman" w:eastAsia="宋体" w:cs="宋体"/>
          <w:color w:val="000000"/>
          <w:kern w:val="0"/>
          <w:sz w:val="21"/>
          <w:szCs w:val="21"/>
          <w:highlight w:val="none"/>
          <w:lang w:val="en-US" w:eastAsia="zh-CN" w:bidi="ar"/>
        </w:rPr>
        <w:t xml:space="preserve">2．应为严重影响系统运行故障提供典型案例分析服务，其他系统故障可按照采购人要求提供典型故障案例分析服务。 </w:t>
      </w:r>
    </w:p>
    <w:p w14:paraId="533C8BFF">
      <w:pPr>
        <w:keepNext w:val="0"/>
        <w:keepLines w:val="0"/>
        <w:widowControl/>
        <w:suppressLineNumbers w:val="0"/>
        <w:spacing w:line="360" w:lineRule="auto"/>
        <w:ind w:firstLine="420" w:firstLineChars="200"/>
        <w:jc w:val="left"/>
        <w:rPr>
          <w:rFonts w:hint="eastAsia" w:ascii="Times New Roman" w:hAnsi="Times New Roman" w:eastAsia="宋体" w:cs="宋体"/>
          <w:sz w:val="21"/>
          <w:szCs w:val="21"/>
          <w:highlight w:val="none"/>
        </w:rPr>
      </w:pPr>
      <w:r>
        <w:rPr>
          <w:rFonts w:hint="eastAsia" w:ascii="Times New Roman" w:hAnsi="Times New Roman" w:eastAsia="宋体" w:cs="宋体"/>
          <w:color w:val="000000"/>
          <w:kern w:val="0"/>
          <w:sz w:val="21"/>
          <w:szCs w:val="21"/>
          <w:highlight w:val="none"/>
          <w:lang w:val="en-US" w:eastAsia="zh-CN" w:bidi="ar"/>
        </w:rPr>
        <w:t xml:space="preserve">3．制定定期巡检计划，按照采购人要求，定期对现场设备进行检查，每日组织机房动环系统、消防系统、配电系统、空调系统、新风系统、大屏显示及网络设备、支撑业务系统的软硬件、安全设备等所有设备及环境运行状态巡检，每周组织会议室网络、设备及功能等巡检，每月组织计算机终端、打印机、复印机等办公设备和办公网络巡检，及时发现设备运行中出现的隐患，通过系统调整等手段，减少设备发生故障的概率，确保设备稳定、高效运行。巡检后，提交巡检报告，对存在的隐患提供整改方案并跟进处理进展。 </w:t>
      </w:r>
    </w:p>
    <w:p w14:paraId="79C28116">
      <w:pPr>
        <w:keepNext w:val="0"/>
        <w:keepLines w:val="0"/>
        <w:widowControl/>
        <w:suppressLineNumbers w:val="0"/>
        <w:spacing w:line="360" w:lineRule="auto"/>
        <w:ind w:firstLine="420" w:firstLineChars="200"/>
        <w:jc w:val="left"/>
        <w:rPr>
          <w:rFonts w:hint="eastAsia" w:ascii="Times New Roman" w:hAnsi="Times New Roman" w:eastAsia="宋体" w:cs="宋体"/>
          <w:sz w:val="21"/>
          <w:szCs w:val="21"/>
          <w:highlight w:val="none"/>
        </w:rPr>
      </w:pPr>
      <w:r>
        <w:rPr>
          <w:rFonts w:hint="eastAsia" w:ascii="Times New Roman" w:hAnsi="Times New Roman" w:eastAsia="宋体" w:cs="宋体"/>
          <w:color w:val="000000"/>
          <w:kern w:val="0"/>
          <w:sz w:val="21"/>
          <w:szCs w:val="21"/>
          <w:highlight w:val="none"/>
          <w:lang w:val="en-US" w:eastAsia="zh-CN" w:bidi="ar"/>
        </w:rPr>
        <w:t xml:space="preserve">4．应具有主机、网络、数据库、存储、中间件等多厂商多平台协作支持能力，能够为采购人提供多厂商多平台技术协作支持，以迅速捕捉故障点并排除故障。 </w:t>
      </w:r>
    </w:p>
    <w:p w14:paraId="7495191E">
      <w:pPr>
        <w:keepNext w:val="0"/>
        <w:keepLines w:val="0"/>
        <w:widowControl/>
        <w:suppressLineNumbers w:val="0"/>
        <w:spacing w:line="360" w:lineRule="auto"/>
        <w:ind w:firstLine="420" w:firstLineChars="200"/>
        <w:jc w:val="left"/>
        <w:rPr>
          <w:rFonts w:hint="eastAsia" w:ascii="Times New Roman" w:hAnsi="Times New Roman" w:eastAsia="宋体" w:cs="宋体"/>
          <w:sz w:val="21"/>
          <w:szCs w:val="21"/>
          <w:highlight w:val="none"/>
        </w:rPr>
      </w:pPr>
      <w:r>
        <w:rPr>
          <w:rFonts w:hint="eastAsia" w:ascii="Times New Roman" w:hAnsi="Times New Roman" w:eastAsia="宋体" w:cs="宋体"/>
          <w:color w:val="000000"/>
          <w:kern w:val="0"/>
          <w:sz w:val="21"/>
          <w:szCs w:val="21"/>
          <w:highlight w:val="none"/>
          <w:lang w:val="en-US" w:eastAsia="zh-CN" w:bidi="ar"/>
        </w:rPr>
        <w:t xml:space="preserve">5．根据业务工作需要，按照采购人要求，在国家法定节假日及重大活动时期，安排现场驻场运维团队相关人员值守，并提供相关服务。 </w:t>
      </w:r>
    </w:p>
    <w:p w14:paraId="258D7CB4">
      <w:pPr>
        <w:keepNext w:val="0"/>
        <w:keepLines w:val="0"/>
        <w:widowControl/>
        <w:suppressLineNumbers w:val="0"/>
        <w:spacing w:line="360" w:lineRule="auto"/>
        <w:ind w:firstLine="420" w:firstLineChars="200"/>
        <w:jc w:val="left"/>
        <w:outlineLvl w:val="9"/>
        <w:rPr>
          <w:rFonts w:hint="eastAsia" w:ascii="Times New Roman" w:hAnsi="Times New Roman" w:eastAsia="宋体" w:cs="宋体"/>
          <w:sz w:val="21"/>
          <w:szCs w:val="21"/>
          <w:highlight w:val="none"/>
        </w:rPr>
      </w:pPr>
      <w:r>
        <w:rPr>
          <w:rFonts w:hint="eastAsia" w:ascii="Times New Roman" w:hAnsi="Times New Roman" w:eastAsia="宋体" w:cs="宋体"/>
          <w:color w:val="000000"/>
          <w:kern w:val="0"/>
          <w:sz w:val="21"/>
          <w:szCs w:val="21"/>
          <w:highlight w:val="none"/>
          <w:lang w:val="en-US" w:eastAsia="zh-CN" w:bidi="ar"/>
        </w:rPr>
        <w:t>6．</w:t>
      </w:r>
      <w:r>
        <w:rPr>
          <w:rFonts w:hint="eastAsia" w:cs="宋体"/>
          <w:color w:val="000000"/>
          <w:kern w:val="0"/>
          <w:sz w:val="21"/>
          <w:szCs w:val="21"/>
          <w:highlight w:val="none"/>
          <w:lang w:val="en-US" w:eastAsia="zh-CN" w:bidi="ar"/>
        </w:rPr>
        <w:t>中标供应商</w:t>
      </w:r>
      <w:r>
        <w:rPr>
          <w:rFonts w:hint="eastAsia" w:ascii="Times New Roman" w:hAnsi="Times New Roman" w:eastAsia="宋体" w:cs="宋体"/>
          <w:color w:val="000000"/>
          <w:kern w:val="0"/>
          <w:sz w:val="21"/>
          <w:szCs w:val="21"/>
          <w:highlight w:val="none"/>
          <w:lang w:val="en-US" w:eastAsia="zh-CN" w:bidi="ar"/>
        </w:rPr>
        <w:t xml:space="preserve">须免费自备相关运维工具。 </w:t>
      </w:r>
    </w:p>
    <w:p w14:paraId="30533948">
      <w:pPr>
        <w:spacing w:line="360" w:lineRule="auto"/>
        <w:ind w:firstLine="437"/>
        <w:rPr>
          <w:rFonts w:hint="eastAsia" w:ascii="Times New Roman" w:hAnsi="Times New Roman" w:eastAsia="宋体" w:cs="宋体"/>
          <w:b/>
          <w:color w:val="auto"/>
          <w:sz w:val="21"/>
          <w:szCs w:val="21"/>
          <w:highlight w:val="none"/>
        </w:rPr>
      </w:pPr>
      <w:r>
        <w:rPr>
          <w:rFonts w:hint="eastAsia" w:ascii="Times New Roman" w:hAnsi="Times New Roman" w:eastAsia="宋体" w:cs="宋体"/>
          <w:color w:val="000000"/>
          <w:kern w:val="0"/>
          <w:sz w:val="21"/>
          <w:szCs w:val="21"/>
          <w:highlight w:val="none"/>
          <w:lang w:val="en-US" w:eastAsia="zh-CN" w:bidi="ar"/>
        </w:rPr>
        <w:t>7．</w:t>
      </w:r>
      <w:r>
        <w:rPr>
          <w:rFonts w:hint="eastAsia" w:cs="宋体"/>
          <w:color w:val="000000"/>
          <w:kern w:val="0"/>
          <w:sz w:val="21"/>
          <w:szCs w:val="21"/>
          <w:highlight w:val="none"/>
          <w:lang w:val="en-US" w:eastAsia="zh-CN" w:bidi="ar"/>
        </w:rPr>
        <w:t>中标供应商</w:t>
      </w:r>
      <w:r>
        <w:rPr>
          <w:rFonts w:hint="eastAsia" w:ascii="Times New Roman" w:hAnsi="Times New Roman" w:eastAsia="宋体" w:cs="宋体"/>
          <w:color w:val="000000"/>
          <w:kern w:val="0"/>
          <w:sz w:val="21"/>
          <w:szCs w:val="21"/>
          <w:highlight w:val="none"/>
          <w:lang w:val="en-US" w:eastAsia="zh-CN" w:bidi="ar"/>
        </w:rPr>
        <w:t>应根据采购人要求，对运维团队、服务质量等进行调整完善。因服务质量等原因，</w:t>
      </w:r>
      <w:r>
        <w:rPr>
          <w:rFonts w:hint="eastAsia" w:cs="宋体"/>
          <w:color w:val="000000"/>
          <w:kern w:val="0"/>
          <w:sz w:val="21"/>
          <w:szCs w:val="21"/>
          <w:highlight w:val="none"/>
          <w:lang w:val="en-US" w:eastAsia="zh-CN" w:bidi="ar"/>
        </w:rPr>
        <w:t>中标供应商</w:t>
      </w:r>
      <w:r>
        <w:rPr>
          <w:rFonts w:hint="eastAsia" w:ascii="Times New Roman" w:hAnsi="Times New Roman" w:eastAsia="宋体" w:cs="宋体"/>
          <w:color w:val="000000"/>
          <w:kern w:val="0"/>
          <w:sz w:val="21"/>
          <w:szCs w:val="21"/>
          <w:highlight w:val="none"/>
          <w:lang w:val="en-US" w:eastAsia="zh-CN" w:bidi="ar"/>
        </w:rPr>
        <w:t xml:space="preserve">无法满足采购人所需相关服务支撑要求的，采购人有权终止合同。 </w:t>
      </w:r>
    </w:p>
    <w:p w14:paraId="7CBB9709">
      <w:pPr>
        <w:spacing w:line="360" w:lineRule="auto"/>
        <w:ind w:firstLine="437"/>
        <w:outlineLvl w:val="1"/>
        <w:rPr>
          <w:rFonts w:hint="eastAsia" w:ascii="Times New Roman" w:hAnsi="Times New Roman" w:eastAsia="宋体" w:cs="宋体"/>
          <w:b/>
          <w:color w:val="auto"/>
          <w:sz w:val="21"/>
          <w:szCs w:val="21"/>
          <w:highlight w:val="none"/>
        </w:rPr>
      </w:pPr>
      <w:bookmarkStart w:id="14" w:name="_Toc18052"/>
      <w:bookmarkStart w:id="15" w:name="_Toc12910"/>
    </w:p>
    <w:p w14:paraId="5BA90079">
      <w:pPr>
        <w:spacing w:line="360" w:lineRule="auto"/>
        <w:ind w:firstLine="437"/>
        <w:outlineLvl w:val="1"/>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四、报价要求</w:t>
      </w:r>
      <w:bookmarkEnd w:id="14"/>
      <w:bookmarkEnd w:id="15"/>
    </w:p>
    <w:p w14:paraId="30447B1C">
      <w:pPr>
        <w:spacing w:line="360" w:lineRule="auto"/>
        <w:ind w:firstLine="437"/>
        <w:outlineLvl w:val="9"/>
        <w:rPr>
          <w:rFonts w:hint="eastAsia" w:ascii="Times New Roman" w:hAnsi="Times New Roman" w:eastAsia="宋体" w:cs="宋体"/>
          <w:b/>
          <w:color w:val="auto"/>
          <w:sz w:val="21"/>
          <w:szCs w:val="21"/>
          <w:highlight w:val="none"/>
        </w:rPr>
      </w:pPr>
      <w:bookmarkStart w:id="16" w:name="_Toc23590"/>
      <w:bookmarkStart w:id="17" w:name="_Toc3530"/>
      <w:r>
        <w:rPr>
          <w:rFonts w:hint="eastAsia" w:ascii="Times New Roman" w:hAnsi="Times New Roman" w:eastAsia="宋体" w:cs="宋体"/>
          <w:color w:val="000000"/>
          <w:kern w:val="0"/>
          <w:sz w:val="21"/>
          <w:szCs w:val="21"/>
          <w:highlight w:val="none"/>
          <w:lang w:val="en-US" w:eastAsia="zh-CN" w:bidi="ar"/>
        </w:rPr>
        <w:t>1. 本项目报总价。报价即为完成本项目的全部费用价格，包括但不限于完成本次采购项目所需的人工工资、社会保险费、采购代理服务费、加班费、管理费、利润和税金等全部费用。</w:t>
      </w:r>
      <w:r>
        <w:rPr>
          <w:rFonts w:hint="eastAsia" w:cs="宋体"/>
          <w:color w:val="000000"/>
          <w:kern w:val="0"/>
          <w:sz w:val="21"/>
          <w:szCs w:val="21"/>
          <w:highlight w:val="none"/>
          <w:lang w:val="en-US" w:eastAsia="zh-CN" w:bidi="ar"/>
        </w:rPr>
        <w:t>中标供应商</w:t>
      </w:r>
      <w:r>
        <w:rPr>
          <w:rFonts w:hint="eastAsia" w:ascii="Times New Roman" w:hAnsi="Times New Roman" w:eastAsia="宋体" w:cs="宋体"/>
          <w:color w:val="000000"/>
          <w:kern w:val="0"/>
          <w:sz w:val="21"/>
          <w:szCs w:val="21"/>
          <w:highlight w:val="none"/>
          <w:lang w:val="en-US" w:eastAsia="zh-CN" w:bidi="ar"/>
        </w:rPr>
        <w:t>自行解决员工养老、失业、医疗、工伤、生育、纳税等保险及劳保、工资、福利、食宿、员工上下班交通等有关问题。</w:t>
      </w:r>
    </w:p>
    <w:p w14:paraId="0818D6BA">
      <w:pPr>
        <w:spacing w:line="360" w:lineRule="auto"/>
        <w:ind w:firstLine="437"/>
        <w:outlineLvl w:val="1"/>
        <w:rPr>
          <w:rFonts w:hint="eastAsia" w:ascii="Times New Roman" w:hAnsi="Times New Roman" w:eastAsia="宋体" w:cs="宋体"/>
          <w:b/>
          <w:color w:val="auto"/>
          <w:sz w:val="21"/>
          <w:szCs w:val="21"/>
          <w:highlight w:val="none"/>
        </w:rPr>
      </w:pPr>
    </w:p>
    <w:p w14:paraId="56440883">
      <w:pPr>
        <w:spacing w:line="360" w:lineRule="auto"/>
        <w:ind w:firstLine="437"/>
        <w:outlineLvl w:val="1"/>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五、其他要求</w:t>
      </w:r>
      <w:bookmarkEnd w:id="16"/>
      <w:bookmarkEnd w:id="17"/>
    </w:p>
    <w:p w14:paraId="67D16EC5">
      <w:pPr>
        <w:keepNext w:val="0"/>
        <w:keepLines w:val="0"/>
        <w:widowControl/>
        <w:suppressLineNumbers w:val="0"/>
        <w:spacing w:line="360" w:lineRule="auto"/>
        <w:ind w:firstLine="420" w:firstLineChars="200"/>
        <w:jc w:val="left"/>
        <w:rPr>
          <w:rFonts w:hint="eastAsia" w:ascii="Times New Roman" w:hAnsi="Times New Roman" w:eastAsia="宋体" w:cs="宋体"/>
          <w:sz w:val="21"/>
          <w:szCs w:val="21"/>
          <w:highlight w:val="none"/>
        </w:rPr>
      </w:pPr>
      <w:r>
        <w:rPr>
          <w:rFonts w:hint="eastAsia" w:ascii="Times New Roman" w:hAnsi="Times New Roman" w:eastAsia="宋体" w:cs="宋体"/>
          <w:color w:val="000000"/>
          <w:kern w:val="0"/>
          <w:sz w:val="21"/>
          <w:szCs w:val="21"/>
          <w:highlight w:val="none"/>
          <w:lang w:val="en-US" w:eastAsia="zh-CN" w:bidi="ar"/>
        </w:rPr>
        <w:t>（一）</w:t>
      </w:r>
      <w:r>
        <w:rPr>
          <w:rFonts w:hint="eastAsia" w:cs="宋体"/>
          <w:color w:val="000000"/>
          <w:kern w:val="0"/>
          <w:sz w:val="21"/>
          <w:szCs w:val="21"/>
          <w:highlight w:val="none"/>
          <w:lang w:val="en-US" w:eastAsia="zh-CN" w:bidi="ar"/>
        </w:rPr>
        <w:t>中标供应商</w:t>
      </w:r>
      <w:r>
        <w:rPr>
          <w:rFonts w:hint="eastAsia" w:ascii="Times New Roman" w:hAnsi="Times New Roman" w:eastAsia="宋体" w:cs="宋体"/>
          <w:color w:val="000000"/>
          <w:kern w:val="0"/>
          <w:sz w:val="21"/>
          <w:szCs w:val="21"/>
          <w:highlight w:val="none"/>
          <w:lang w:val="en-US" w:eastAsia="zh-CN" w:bidi="ar"/>
        </w:rPr>
        <w:t xml:space="preserve">须与采购人签订保密协议，严格遵守保密法律法规及保密协议内容等。 </w:t>
      </w:r>
    </w:p>
    <w:p w14:paraId="5D528D6A">
      <w:pPr>
        <w:keepNext w:val="0"/>
        <w:keepLines w:val="0"/>
        <w:widowControl/>
        <w:suppressLineNumbers w:val="0"/>
        <w:spacing w:line="360" w:lineRule="auto"/>
        <w:ind w:firstLine="420" w:firstLineChars="200"/>
        <w:jc w:val="left"/>
        <w:rPr>
          <w:rFonts w:hint="eastAsia" w:ascii="Times New Roman" w:hAnsi="Times New Roman" w:eastAsia="宋体" w:cs="宋体"/>
          <w:sz w:val="21"/>
          <w:szCs w:val="21"/>
          <w:highlight w:val="none"/>
        </w:rPr>
      </w:pPr>
      <w:r>
        <w:rPr>
          <w:rFonts w:hint="eastAsia" w:ascii="Times New Roman" w:hAnsi="Times New Roman" w:eastAsia="宋体" w:cs="宋体"/>
          <w:color w:val="000000"/>
          <w:kern w:val="0"/>
          <w:sz w:val="21"/>
          <w:szCs w:val="21"/>
          <w:highlight w:val="none"/>
          <w:lang w:val="en-US" w:eastAsia="zh-CN" w:bidi="ar"/>
        </w:rPr>
        <w:t>（二）</w:t>
      </w:r>
      <w:r>
        <w:rPr>
          <w:rFonts w:hint="eastAsia" w:cs="宋体"/>
          <w:color w:val="000000"/>
          <w:kern w:val="0"/>
          <w:sz w:val="21"/>
          <w:szCs w:val="21"/>
          <w:highlight w:val="none"/>
          <w:lang w:val="en-US" w:eastAsia="zh-CN" w:bidi="ar"/>
        </w:rPr>
        <w:t>中标供应商</w:t>
      </w:r>
      <w:r>
        <w:rPr>
          <w:rFonts w:hint="eastAsia" w:ascii="Times New Roman" w:hAnsi="Times New Roman" w:eastAsia="宋体" w:cs="宋体"/>
          <w:color w:val="000000"/>
          <w:kern w:val="0"/>
          <w:sz w:val="21"/>
          <w:szCs w:val="21"/>
          <w:highlight w:val="none"/>
          <w:lang w:val="en-US" w:eastAsia="zh-CN" w:bidi="ar"/>
        </w:rPr>
        <w:t xml:space="preserve">须在进驻前提供现场驻场运维人员体检报告和无犯罪记录证明等资料，经采购人审核同意后正式驻场提供服务。 </w:t>
      </w:r>
    </w:p>
    <w:p w14:paraId="07F1D82C">
      <w:pPr>
        <w:keepNext w:val="0"/>
        <w:keepLines w:val="0"/>
        <w:widowControl/>
        <w:suppressLineNumbers w:val="0"/>
        <w:spacing w:line="360" w:lineRule="auto"/>
        <w:ind w:firstLine="420" w:firstLineChars="200"/>
        <w:jc w:val="left"/>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（三）</w:t>
      </w:r>
      <w:r>
        <w:rPr>
          <w:rFonts w:hint="eastAsia" w:cs="宋体"/>
          <w:color w:val="000000"/>
          <w:kern w:val="0"/>
          <w:sz w:val="21"/>
          <w:szCs w:val="21"/>
          <w:highlight w:val="none"/>
          <w:lang w:val="en-US" w:eastAsia="zh-CN" w:bidi="ar"/>
        </w:rPr>
        <w:t>中标供应商</w:t>
      </w:r>
      <w:r>
        <w:rPr>
          <w:rFonts w:hint="eastAsia" w:ascii="Times New Roman" w:hAnsi="Times New Roman" w:eastAsia="宋体" w:cs="宋体"/>
          <w:color w:val="000000"/>
          <w:kern w:val="0"/>
          <w:sz w:val="21"/>
          <w:szCs w:val="21"/>
          <w:highlight w:val="none"/>
          <w:lang w:val="en-US" w:eastAsia="zh-CN" w:bidi="ar"/>
        </w:rPr>
        <w:t>须按照采购人要求，组织现场驻场运维人员熟悉服务环境，掌握服务技能和服务要求等。对于不能够按采购人要求提供服务的驻场运维人员，</w:t>
      </w:r>
      <w:r>
        <w:rPr>
          <w:rFonts w:hint="eastAsia" w:cs="宋体"/>
          <w:color w:val="000000"/>
          <w:kern w:val="0"/>
          <w:sz w:val="21"/>
          <w:szCs w:val="21"/>
          <w:highlight w:val="none"/>
          <w:lang w:val="en-US" w:eastAsia="zh-CN" w:bidi="ar"/>
        </w:rPr>
        <w:t>中标供应商</w:t>
      </w:r>
      <w:r>
        <w:rPr>
          <w:rFonts w:hint="eastAsia" w:ascii="Times New Roman" w:hAnsi="Times New Roman" w:eastAsia="宋体" w:cs="宋体"/>
          <w:color w:val="000000"/>
          <w:kern w:val="0"/>
          <w:sz w:val="21"/>
          <w:szCs w:val="21"/>
          <w:highlight w:val="none"/>
          <w:lang w:val="en-US" w:eastAsia="zh-CN" w:bidi="ar"/>
        </w:rPr>
        <w:t>应及时予以更换。</w:t>
      </w:r>
    </w:p>
    <w:p w14:paraId="5A52E401">
      <w:pPr>
        <w:pStyle w:val="5"/>
        <w:rPr>
          <w:rFonts w:hint="eastAsia" w:ascii="Times New Roman" w:hAnsi="Times New Roman"/>
          <w:sz w:val="21"/>
          <w:szCs w:val="21"/>
          <w:highlight w:val="none"/>
        </w:rPr>
      </w:pPr>
    </w:p>
    <w:p w14:paraId="1E498F88">
      <w:pPr>
        <w:spacing w:line="360" w:lineRule="auto"/>
        <w:ind w:firstLine="437"/>
        <w:outlineLvl w:val="1"/>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lang w:val="en-US" w:eastAsia="zh-CN"/>
        </w:rPr>
        <w:t>六、设备维护清单</w:t>
      </w:r>
    </w:p>
    <w:p w14:paraId="2DBAED03">
      <w:pPr>
        <w:spacing w:line="360" w:lineRule="auto"/>
        <w:ind w:firstLine="480"/>
        <w:rPr>
          <w:rFonts w:hint="eastAsia" w:ascii="Times New Roman" w:hAnsi="Times New Roman"/>
          <w:iCs/>
          <w:color w:val="0D0D0D"/>
          <w:sz w:val="21"/>
          <w:szCs w:val="21"/>
          <w:highlight w:val="none"/>
        </w:rPr>
      </w:pPr>
      <w:bookmarkStart w:id="18" w:name="_Hlk69048969"/>
      <w:r>
        <w:rPr>
          <w:rFonts w:hint="eastAsia" w:ascii="Times New Roman" w:hAnsi="Times New Roman"/>
          <w:iCs/>
          <w:color w:val="0D0D0D"/>
          <w:sz w:val="21"/>
          <w:szCs w:val="21"/>
          <w:highlight w:val="none"/>
        </w:rPr>
        <w:t>需维保服务商为</w:t>
      </w:r>
      <w:r>
        <w:rPr>
          <w:rFonts w:hint="eastAsia" w:ascii="Times New Roman" w:hAnsi="Times New Roman"/>
          <w:iCs/>
          <w:color w:val="0D0D0D"/>
          <w:sz w:val="21"/>
          <w:szCs w:val="21"/>
          <w:highlight w:val="none"/>
          <w:lang w:val="en-US" w:eastAsia="zh-CN"/>
        </w:rPr>
        <w:t>表1和表2中</w:t>
      </w:r>
      <w:r>
        <w:rPr>
          <w:rFonts w:hint="eastAsia" w:ascii="Times New Roman" w:hAnsi="Times New Roman"/>
          <w:iCs/>
          <w:color w:val="0D0D0D"/>
          <w:sz w:val="21"/>
          <w:szCs w:val="21"/>
          <w:highlight w:val="none"/>
        </w:rPr>
        <w:t>硬件设备整体提供</w:t>
      </w:r>
      <w:r>
        <w:rPr>
          <w:rFonts w:hint="eastAsia" w:ascii="Times New Roman" w:hAnsi="Times New Roman"/>
          <w:iCs/>
          <w:color w:val="0D0D0D"/>
          <w:sz w:val="21"/>
          <w:szCs w:val="21"/>
          <w:highlight w:val="none"/>
          <w:lang w:val="en-US" w:eastAsia="zh-CN"/>
        </w:rPr>
        <w:t>日常</w:t>
      </w:r>
      <w:r>
        <w:rPr>
          <w:rFonts w:hint="eastAsia" w:ascii="Times New Roman" w:hAnsi="Times New Roman"/>
          <w:iCs/>
          <w:color w:val="0D0D0D"/>
          <w:sz w:val="21"/>
          <w:szCs w:val="21"/>
          <w:highlight w:val="none"/>
        </w:rPr>
        <w:t>维护服务，</w:t>
      </w:r>
      <w:r>
        <w:rPr>
          <w:rFonts w:hint="eastAsia" w:ascii="Times New Roman" w:hAnsi="Times New Roman"/>
          <w:iCs/>
          <w:color w:val="0D0D0D"/>
          <w:sz w:val="21"/>
          <w:szCs w:val="21"/>
          <w:highlight w:val="none"/>
          <w:lang w:val="en-US" w:eastAsia="zh-CN"/>
        </w:rPr>
        <w:t>负责处理</w:t>
      </w:r>
      <w:r>
        <w:rPr>
          <w:rFonts w:hint="eastAsia" w:ascii="Times New Roman" w:hAnsi="Times New Roman"/>
          <w:iCs/>
          <w:color w:val="0D0D0D"/>
          <w:sz w:val="21"/>
          <w:szCs w:val="21"/>
          <w:highlight w:val="none"/>
        </w:rPr>
        <w:t>解决故障。</w:t>
      </w:r>
      <w:bookmarkEnd w:id="18"/>
    </w:p>
    <w:p w14:paraId="45B93A47">
      <w:pPr>
        <w:spacing w:line="360" w:lineRule="auto"/>
        <w:ind w:firstLine="480"/>
        <w:rPr>
          <w:rFonts w:hint="default" w:ascii="Times New Roman" w:hAnsi="Times New Roman" w:eastAsia="宋体" w:cs="宋体"/>
          <w:iCs/>
          <w:color w:val="0D0D0D"/>
          <w:sz w:val="21"/>
          <w:szCs w:val="21"/>
          <w:highlight w:val="none"/>
          <w:lang w:val="en-US" w:eastAsia="zh-CN"/>
        </w:rPr>
      </w:pPr>
      <w:r>
        <w:rPr>
          <w:rFonts w:hint="eastAsia" w:ascii="Times New Roman" w:hAnsi="Times New Roman" w:eastAsia="宋体" w:cs="宋体"/>
          <w:iCs/>
          <w:color w:val="0D0D0D"/>
          <w:sz w:val="21"/>
          <w:szCs w:val="21"/>
          <w:highlight w:val="none"/>
        </w:rPr>
        <w:t>1. 提供设备硬件7*24小时现场支持服务</w:t>
      </w:r>
      <w:r>
        <w:rPr>
          <w:rFonts w:hint="eastAsia" w:ascii="Times New Roman" w:hAnsi="Times New Roman" w:eastAsia="宋体" w:cs="宋体"/>
          <w:iCs/>
          <w:color w:val="0D0D0D"/>
          <w:sz w:val="21"/>
          <w:szCs w:val="21"/>
          <w:highlight w:val="none"/>
          <w:lang w:eastAsia="zh-CN"/>
        </w:rPr>
        <w:t>，</w:t>
      </w:r>
      <w:r>
        <w:rPr>
          <w:rFonts w:hint="eastAsia" w:ascii="Times New Roman" w:hAnsi="Times New Roman" w:eastAsia="宋体" w:cs="宋体"/>
          <w:iCs/>
          <w:color w:val="0D0D0D"/>
          <w:sz w:val="21"/>
          <w:szCs w:val="21"/>
          <w:highlight w:val="none"/>
        </w:rPr>
        <w:t>须</w:t>
      </w:r>
      <w:r>
        <w:rPr>
          <w:rFonts w:hint="eastAsia" w:ascii="Times New Roman" w:hAnsi="Times New Roman" w:eastAsia="宋体" w:cs="宋体"/>
          <w:iCs/>
          <w:color w:val="0D0D0D"/>
          <w:sz w:val="21"/>
          <w:szCs w:val="21"/>
          <w:highlight w:val="none"/>
          <w:lang w:val="en-US" w:eastAsia="zh-CN"/>
        </w:rPr>
        <w:t>确保硬件故障发生后，10分钟响应，现场排查定位问题，并负责立即联系设备维保服务商进行维修处置，协助设备维保服务商进行故障维修，全程负责跟踪上报故障问题恢复完成情况。</w:t>
      </w:r>
    </w:p>
    <w:p w14:paraId="32CB9503">
      <w:pPr>
        <w:spacing w:line="360" w:lineRule="auto"/>
        <w:ind w:firstLine="480"/>
        <w:rPr>
          <w:rFonts w:hint="eastAsia" w:ascii="Times New Roman" w:hAnsi="Times New Roman" w:eastAsia="宋体" w:cs="宋体"/>
          <w:iCs/>
          <w:color w:val="0D0D0D"/>
          <w:sz w:val="21"/>
          <w:szCs w:val="21"/>
          <w:highlight w:val="none"/>
        </w:rPr>
      </w:pPr>
      <w:r>
        <w:rPr>
          <w:rFonts w:hint="eastAsia" w:ascii="Times New Roman" w:hAnsi="Times New Roman" w:eastAsia="宋体" w:cs="宋体"/>
          <w:iCs/>
          <w:color w:val="0D0D0D"/>
          <w:sz w:val="21"/>
          <w:szCs w:val="21"/>
          <w:highlight w:val="none"/>
          <w:lang w:val="en-US" w:eastAsia="zh-CN"/>
        </w:rPr>
        <w:t>2</w:t>
      </w:r>
      <w:r>
        <w:rPr>
          <w:rFonts w:hint="eastAsia" w:ascii="Times New Roman" w:hAnsi="Times New Roman" w:eastAsia="宋体" w:cs="宋体"/>
          <w:iCs/>
          <w:color w:val="0D0D0D"/>
          <w:sz w:val="21"/>
          <w:szCs w:val="21"/>
          <w:highlight w:val="none"/>
        </w:rPr>
        <w:t>.日常巡检，由驻点工程师每日对设备进行巡检，检查设备运行状态，发现问题及时汇报处理。</w:t>
      </w:r>
    </w:p>
    <w:p w14:paraId="5CA9656F">
      <w:pPr>
        <w:spacing w:line="360" w:lineRule="auto"/>
        <w:ind w:firstLine="480"/>
        <w:rPr>
          <w:rFonts w:hint="eastAsia" w:ascii="Times New Roman" w:hAnsi="Times New Roman" w:eastAsia="宋体" w:cs="宋体"/>
          <w:iCs/>
          <w:color w:val="0D0D0D"/>
          <w:sz w:val="21"/>
          <w:szCs w:val="21"/>
          <w:highlight w:val="none"/>
        </w:rPr>
      </w:pPr>
      <w:r>
        <w:rPr>
          <w:rFonts w:hint="eastAsia" w:ascii="Times New Roman" w:hAnsi="Times New Roman" w:eastAsia="宋体" w:cs="宋体"/>
          <w:iCs/>
          <w:color w:val="0D0D0D"/>
          <w:sz w:val="21"/>
          <w:szCs w:val="21"/>
          <w:highlight w:val="none"/>
        </w:rPr>
        <w:t>3.季度巡检，每季度对设备进行健康巡检，巡检过程中发现问题进行及时汇报处理，并输出《巡检报告》。</w:t>
      </w:r>
    </w:p>
    <w:p w14:paraId="5B33E240">
      <w:pPr>
        <w:spacing w:line="360" w:lineRule="auto"/>
        <w:ind w:firstLine="480"/>
        <w:rPr>
          <w:rFonts w:hint="eastAsia" w:ascii="Times New Roman" w:hAnsi="Times New Roman" w:eastAsia="宋体" w:cs="宋体"/>
          <w:iCs/>
          <w:color w:val="0D0D0D"/>
          <w:sz w:val="21"/>
          <w:szCs w:val="21"/>
          <w:highlight w:val="none"/>
        </w:rPr>
      </w:pPr>
      <w:r>
        <w:rPr>
          <w:rFonts w:hint="eastAsia" w:ascii="Times New Roman" w:hAnsi="Times New Roman" w:eastAsia="宋体" w:cs="宋体"/>
          <w:iCs/>
          <w:color w:val="0D0D0D"/>
          <w:sz w:val="21"/>
          <w:szCs w:val="21"/>
          <w:highlight w:val="none"/>
        </w:rPr>
        <w:t>4.每月定期检查存储设备的运行状态，检查数据存储使用量，确保数据存储安全可靠。</w:t>
      </w:r>
    </w:p>
    <w:p w14:paraId="424B67DC">
      <w:pPr>
        <w:spacing w:line="360" w:lineRule="auto"/>
        <w:ind w:firstLine="480"/>
        <w:rPr>
          <w:rFonts w:hint="eastAsia" w:ascii="Times New Roman" w:hAnsi="Times New Roman" w:eastAsia="宋体" w:cs="宋体"/>
          <w:iCs/>
          <w:color w:val="0D0D0D"/>
          <w:sz w:val="21"/>
          <w:szCs w:val="21"/>
          <w:highlight w:val="none"/>
        </w:rPr>
      </w:pPr>
      <w:r>
        <w:rPr>
          <w:rFonts w:hint="eastAsia" w:ascii="Times New Roman" w:hAnsi="Times New Roman" w:eastAsia="宋体" w:cs="宋体"/>
          <w:iCs/>
          <w:color w:val="0D0D0D"/>
          <w:sz w:val="21"/>
          <w:szCs w:val="21"/>
          <w:highlight w:val="none"/>
          <w:lang w:val="en-US" w:eastAsia="zh-CN"/>
        </w:rPr>
        <w:t>5</w:t>
      </w:r>
      <w:r>
        <w:rPr>
          <w:rFonts w:hint="eastAsia" w:ascii="Times New Roman" w:hAnsi="Times New Roman" w:eastAsia="宋体" w:cs="宋体"/>
          <w:iCs/>
          <w:color w:val="0D0D0D"/>
          <w:sz w:val="21"/>
          <w:szCs w:val="21"/>
          <w:highlight w:val="none"/>
        </w:rPr>
        <w:t>.每月定期对相关网络安全设备配置信息进行保存备份，形成备份记录和备份文件。</w:t>
      </w:r>
    </w:p>
    <w:p w14:paraId="3C9B2657">
      <w:pPr>
        <w:spacing w:line="360" w:lineRule="auto"/>
        <w:ind w:firstLine="480"/>
        <w:rPr>
          <w:rFonts w:hint="eastAsia" w:ascii="Times New Roman" w:hAnsi="Times New Roman"/>
          <w:iCs/>
          <w:color w:val="0D0D0D"/>
          <w:sz w:val="21"/>
          <w:szCs w:val="21"/>
          <w:highlight w:val="none"/>
        </w:rPr>
      </w:pPr>
    </w:p>
    <w:p w14:paraId="71D6AA1F">
      <w:pPr>
        <w:pStyle w:val="4"/>
        <w:widowControl/>
        <w:jc w:val="center"/>
        <w:rPr>
          <w:rFonts w:hint="eastAsia" w:ascii="Times New Roman" w:hAnsi="Times New Roman"/>
          <w:sz w:val="21"/>
          <w:szCs w:val="21"/>
          <w:lang w:val="en-US" w:eastAsia="zh-CN"/>
        </w:rPr>
      </w:pPr>
    </w:p>
    <w:p w14:paraId="2E601045">
      <w:pPr>
        <w:pStyle w:val="4"/>
        <w:widowControl/>
        <w:jc w:val="center"/>
        <w:rPr>
          <w:rFonts w:hint="eastAsia" w:ascii="Times New Roman" w:hAnsi="Times New Roman"/>
          <w:sz w:val="21"/>
          <w:szCs w:val="21"/>
          <w:lang w:val="en-US" w:eastAsia="zh-CN"/>
        </w:rPr>
      </w:pPr>
    </w:p>
    <w:p w14:paraId="4C10864B">
      <w:pPr>
        <w:pStyle w:val="4"/>
        <w:widowControl/>
        <w:jc w:val="center"/>
        <w:rPr>
          <w:rFonts w:hint="default" w:ascii="Times New Roman" w:hAnsi="Times New Roman"/>
          <w:sz w:val="21"/>
          <w:szCs w:val="21"/>
          <w:lang w:val="en-US"/>
        </w:rPr>
      </w:pPr>
      <w:r>
        <w:rPr>
          <w:rFonts w:hint="eastAsia" w:ascii="Times New Roman" w:hAnsi="Times New Roman"/>
          <w:sz w:val="21"/>
          <w:szCs w:val="21"/>
          <w:lang w:val="en-US" w:eastAsia="zh-CN"/>
        </w:rPr>
        <w:t>设备清单</w:t>
      </w:r>
    </w:p>
    <w:tbl>
      <w:tblPr>
        <w:tblStyle w:val="8"/>
        <w:tblW w:w="45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2758"/>
        <w:gridCol w:w="1827"/>
        <w:gridCol w:w="1822"/>
      </w:tblGrid>
      <w:tr w14:paraId="4896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70" w:type="pct"/>
            <w:noWrap w:val="0"/>
            <w:vAlign w:val="center"/>
          </w:tcPr>
          <w:p w14:paraId="7F4D7D4C">
            <w:pPr>
              <w:widowControl/>
              <w:spacing w:line="276" w:lineRule="auto"/>
              <w:ind w:firstLine="0" w:firstLineChars="0"/>
              <w:contextualSpacing/>
              <w:jc w:val="center"/>
              <w:textAlignment w:val="center"/>
              <w:rPr>
                <w:rFonts w:hint="eastAsia" w:ascii="Times New Roman" w:hAnsi="Times New Roman" w:eastAsia="宋体" w:cs="宋体"/>
                <w:b/>
                <w:bCs/>
                <w:color w:val="000000"/>
                <w:sz w:val="21"/>
                <w:szCs w:val="21"/>
              </w:rPr>
            </w:pPr>
            <w:r>
              <w:rPr>
                <w:rStyle w:val="12"/>
                <w:rFonts w:hint="eastAsia" w:ascii="Times New Roman" w:hAnsi="Times New Roman" w:eastAsia="宋体" w:cs="宋体"/>
                <w:sz w:val="21"/>
                <w:szCs w:val="21"/>
                <w:lang w:bidi="ar"/>
              </w:rPr>
              <w:t>序号</w:t>
            </w:r>
          </w:p>
        </w:tc>
        <w:tc>
          <w:tcPr>
            <w:tcW w:w="1777" w:type="pct"/>
            <w:noWrap w:val="0"/>
            <w:vAlign w:val="center"/>
          </w:tcPr>
          <w:p w14:paraId="00FB27BE">
            <w:pPr>
              <w:widowControl/>
              <w:spacing w:line="276" w:lineRule="auto"/>
              <w:ind w:firstLine="0" w:firstLineChars="0"/>
              <w:contextualSpacing/>
              <w:jc w:val="center"/>
              <w:textAlignment w:val="center"/>
              <w:rPr>
                <w:rFonts w:hint="eastAsia" w:ascii="Times New Roman" w:hAnsi="Times New Roman" w:eastAsia="宋体" w:cs="宋体"/>
                <w:b/>
                <w:bCs/>
                <w:color w:val="000000"/>
                <w:sz w:val="21"/>
                <w:szCs w:val="21"/>
              </w:rPr>
            </w:pPr>
            <w:r>
              <w:rPr>
                <w:rStyle w:val="12"/>
                <w:rFonts w:hint="eastAsia" w:ascii="Times New Roman" w:hAnsi="Times New Roman" w:eastAsia="宋体" w:cs="宋体"/>
                <w:sz w:val="21"/>
                <w:szCs w:val="21"/>
                <w:lang w:bidi="ar"/>
              </w:rPr>
              <w:t>设备名称</w:t>
            </w:r>
          </w:p>
        </w:tc>
        <w:tc>
          <w:tcPr>
            <w:tcW w:w="1177" w:type="pct"/>
            <w:noWrap w:val="0"/>
            <w:vAlign w:val="center"/>
          </w:tcPr>
          <w:p w14:paraId="12D9954C">
            <w:pPr>
              <w:widowControl/>
              <w:spacing w:line="276" w:lineRule="auto"/>
              <w:ind w:firstLine="0" w:firstLineChars="0"/>
              <w:contextualSpacing/>
              <w:jc w:val="center"/>
              <w:textAlignment w:val="center"/>
              <w:rPr>
                <w:rStyle w:val="12"/>
                <w:rFonts w:hint="eastAsia" w:ascii="Times New Roman" w:hAnsi="Times New Roman" w:eastAsia="宋体" w:cs="宋体"/>
                <w:sz w:val="21"/>
                <w:szCs w:val="21"/>
                <w:lang w:bidi="ar"/>
              </w:rPr>
            </w:pPr>
            <w:r>
              <w:rPr>
                <w:rStyle w:val="12"/>
                <w:rFonts w:hint="eastAsia" w:ascii="Times New Roman" w:hAnsi="Times New Roman" w:eastAsia="宋体" w:cs="宋体"/>
                <w:sz w:val="21"/>
                <w:szCs w:val="21"/>
                <w:lang w:bidi="ar"/>
              </w:rPr>
              <w:t>数量</w:t>
            </w:r>
          </w:p>
        </w:tc>
        <w:tc>
          <w:tcPr>
            <w:tcW w:w="1174" w:type="pct"/>
            <w:noWrap w:val="0"/>
            <w:vAlign w:val="center"/>
          </w:tcPr>
          <w:p w14:paraId="6B4645D7">
            <w:pPr>
              <w:widowControl/>
              <w:spacing w:line="276" w:lineRule="auto"/>
              <w:ind w:firstLine="0" w:firstLineChars="0"/>
              <w:contextualSpacing/>
              <w:jc w:val="center"/>
              <w:textAlignment w:val="center"/>
              <w:rPr>
                <w:rFonts w:hint="eastAsia" w:ascii="Times New Roman" w:hAnsi="Times New Roman" w:eastAsia="宋体" w:cs="宋体"/>
                <w:b/>
                <w:bCs/>
                <w:color w:val="000000"/>
                <w:sz w:val="21"/>
                <w:szCs w:val="21"/>
              </w:rPr>
            </w:pPr>
            <w:r>
              <w:rPr>
                <w:rStyle w:val="12"/>
                <w:rFonts w:hint="eastAsia" w:ascii="Times New Roman" w:hAnsi="Times New Roman" w:eastAsia="宋体" w:cs="宋体"/>
                <w:sz w:val="21"/>
                <w:szCs w:val="21"/>
                <w:lang w:bidi="ar"/>
              </w:rPr>
              <w:t>状态</w:t>
            </w:r>
          </w:p>
        </w:tc>
      </w:tr>
      <w:tr w14:paraId="50A4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70" w:type="pct"/>
            <w:noWrap w:val="0"/>
            <w:vAlign w:val="center"/>
          </w:tcPr>
          <w:p w14:paraId="12C83DAC">
            <w:pPr>
              <w:widowControl/>
              <w:spacing w:line="276" w:lineRule="auto"/>
              <w:ind w:firstLine="0" w:firstLineChars="0"/>
              <w:contextualSpacing/>
              <w:jc w:val="center"/>
              <w:textAlignment w:val="center"/>
              <w:rPr>
                <w:rStyle w:val="13"/>
                <w:rFonts w:hint="eastAsia" w:ascii="Times New Roman" w:hAnsi="Times New Roman" w:eastAsia="宋体" w:cs="宋体"/>
                <w:sz w:val="21"/>
                <w:szCs w:val="21"/>
                <w:lang w:bidi="ar"/>
              </w:rPr>
            </w:pPr>
            <w:r>
              <w:rPr>
                <w:rStyle w:val="13"/>
                <w:rFonts w:hint="eastAsia" w:ascii="Times New Roman" w:hAnsi="Times New Roman" w:eastAsia="宋体" w:cs="宋体"/>
                <w:sz w:val="21"/>
                <w:szCs w:val="21"/>
                <w:lang w:bidi="ar"/>
              </w:rPr>
              <w:t>1</w:t>
            </w:r>
          </w:p>
        </w:tc>
        <w:tc>
          <w:tcPr>
            <w:tcW w:w="1777" w:type="pct"/>
            <w:noWrap w:val="0"/>
            <w:vAlign w:val="center"/>
          </w:tcPr>
          <w:p w14:paraId="2DDB6C5B">
            <w:pPr>
              <w:widowControl/>
              <w:spacing w:line="276" w:lineRule="auto"/>
              <w:ind w:firstLine="0" w:firstLineChars="0"/>
              <w:contextualSpacing/>
              <w:jc w:val="center"/>
              <w:textAlignment w:val="center"/>
              <w:rPr>
                <w:rFonts w:hint="default" w:ascii="Times New Roman" w:hAnsi="Times New Roman" w:eastAsia="宋体" w:cs="宋体"/>
                <w:color w:val="000000"/>
                <w:sz w:val="21"/>
                <w:szCs w:val="21"/>
                <w:lang w:val="en-US" w:eastAsia="zh-CN"/>
              </w:rPr>
            </w:pPr>
            <w:r>
              <w:rPr>
                <w:rStyle w:val="14"/>
                <w:rFonts w:hint="eastAsia" w:ascii="Times New Roman" w:hAnsi="Times New Roman" w:eastAsia="宋体" w:cs="宋体"/>
                <w:sz w:val="21"/>
                <w:szCs w:val="21"/>
                <w:lang w:val="en-US" w:eastAsia="zh-CN" w:bidi="ar"/>
              </w:rPr>
              <w:t>网络设备</w:t>
            </w:r>
          </w:p>
        </w:tc>
        <w:tc>
          <w:tcPr>
            <w:tcW w:w="1177" w:type="pct"/>
            <w:noWrap w:val="0"/>
            <w:vAlign w:val="center"/>
          </w:tcPr>
          <w:p w14:paraId="77588387">
            <w:pPr>
              <w:widowControl/>
              <w:spacing w:line="276" w:lineRule="auto"/>
              <w:ind w:firstLine="0" w:firstLineChars="0"/>
              <w:contextualSpacing/>
              <w:jc w:val="center"/>
              <w:textAlignment w:val="center"/>
              <w:rPr>
                <w:rStyle w:val="15"/>
                <w:rFonts w:hint="default" w:ascii="Times New Roman" w:hAnsi="Times New Roman" w:eastAsia="宋体" w:cs="宋体"/>
                <w:sz w:val="21"/>
                <w:szCs w:val="21"/>
                <w:lang w:val="en-US" w:eastAsia="zh-CN" w:bidi="ar"/>
              </w:rPr>
            </w:pPr>
            <w:r>
              <w:rPr>
                <w:rStyle w:val="15"/>
                <w:rFonts w:hint="eastAsia" w:ascii="Times New Roman" w:hAnsi="Times New Roman" w:eastAsia="宋体" w:cs="宋体"/>
                <w:sz w:val="21"/>
                <w:szCs w:val="21"/>
                <w:lang w:val="en-US" w:eastAsia="zh-CN" w:bidi="ar"/>
              </w:rPr>
              <w:t>22台</w:t>
            </w:r>
          </w:p>
        </w:tc>
        <w:tc>
          <w:tcPr>
            <w:tcW w:w="1174" w:type="pct"/>
            <w:noWrap w:val="0"/>
            <w:vAlign w:val="center"/>
          </w:tcPr>
          <w:p w14:paraId="560732E1">
            <w:pPr>
              <w:widowControl/>
              <w:spacing w:line="276" w:lineRule="auto"/>
              <w:ind w:firstLine="0" w:firstLineChars="0"/>
              <w:contextualSpacing/>
              <w:jc w:val="center"/>
              <w:textAlignment w:val="center"/>
              <w:rPr>
                <w:rFonts w:hint="eastAsia" w:ascii="Times New Roman" w:hAnsi="Times New Roman" w:eastAsia="宋体" w:cs="宋体"/>
                <w:color w:val="000000"/>
                <w:sz w:val="21"/>
                <w:szCs w:val="21"/>
              </w:rPr>
            </w:pPr>
            <w:r>
              <w:rPr>
                <w:rStyle w:val="13"/>
                <w:rFonts w:hint="eastAsia" w:ascii="Times New Roman" w:hAnsi="Times New Roman" w:eastAsia="宋体" w:cs="宋体"/>
                <w:sz w:val="21"/>
                <w:szCs w:val="21"/>
                <w:lang w:bidi="ar"/>
              </w:rPr>
              <w:t>正常</w:t>
            </w:r>
          </w:p>
        </w:tc>
      </w:tr>
      <w:tr w14:paraId="0444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70" w:type="pct"/>
            <w:noWrap w:val="0"/>
            <w:vAlign w:val="center"/>
          </w:tcPr>
          <w:p w14:paraId="64A3CDA1">
            <w:pPr>
              <w:widowControl/>
              <w:spacing w:line="276" w:lineRule="auto"/>
              <w:ind w:firstLine="0" w:firstLineChars="0"/>
              <w:contextualSpacing/>
              <w:jc w:val="center"/>
              <w:textAlignment w:val="center"/>
              <w:rPr>
                <w:rStyle w:val="13"/>
                <w:rFonts w:hint="eastAsia" w:ascii="Times New Roman" w:hAnsi="Times New Roman" w:eastAsia="宋体" w:cs="宋体"/>
                <w:sz w:val="21"/>
                <w:szCs w:val="21"/>
                <w:lang w:bidi="ar"/>
              </w:rPr>
            </w:pPr>
            <w:r>
              <w:rPr>
                <w:rStyle w:val="13"/>
                <w:rFonts w:hint="eastAsia" w:ascii="Times New Roman" w:hAnsi="Times New Roman" w:eastAsia="宋体" w:cs="宋体"/>
                <w:sz w:val="21"/>
                <w:szCs w:val="21"/>
                <w:lang w:bidi="ar"/>
              </w:rPr>
              <w:t>2</w:t>
            </w:r>
          </w:p>
        </w:tc>
        <w:tc>
          <w:tcPr>
            <w:tcW w:w="1777" w:type="pct"/>
            <w:noWrap w:val="0"/>
            <w:vAlign w:val="center"/>
          </w:tcPr>
          <w:p w14:paraId="6705BEB6">
            <w:pPr>
              <w:widowControl/>
              <w:spacing w:line="276" w:lineRule="auto"/>
              <w:ind w:firstLine="0" w:firstLineChars="0"/>
              <w:contextualSpacing/>
              <w:jc w:val="center"/>
              <w:textAlignment w:val="center"/>
              <w:rPr>
                <w:rFonts w:hint="eastAsia" w:ascii="Times New Roman" w:hAnsi="Times New Roman" w:eastAsia="宋体" w:cs="宋体"/>
                <w:color w:val="000000"/>
                <w:sz w:val="21"/>
                <w:szCs w:val="21"/>
                <w:lang w:eastAsia="zh-CN"/>
              </w:rPr>
            </w:pPr>
            <w:r>
              <w:rPr>
                <w:rStyle w:val="14"/>
                <w:rFonts w:hint="eastAsia" w:ascii="Times New Roman" w:hAnsi="Times New Roman" w:eastAsia="宋体" w:cs="宋体"/>
                <w:sz w:val="21"/>
                <w:szCs w:val="21"/>
                <w:lang w:val="en-US" w:eastAsia="zh-CN" w:bidi="ar"/>
              </w:rPr>
              <w:t>安全设备</w:t>
            </w:r>
          </w:p>
        </w:tc>
        <w:tc>
          <w:tcPr>
            <w:tcW w:w="1177" w:type="pct"/>
            <w:noWrap w:val="0"/>
            <w:vAlign w:val="center"/>
          </w:tcPr>
          <w:p w14:paraId="58A7EDDD">
            <w:pPr>
              <w:widowControl/>
              <w:spacing w:line="276" w:lineRule="auto"/>
              <w:ind w:firstLine="0" w:firstLineChars="0"/>
              <w:contextualSpacing/>
              <w:jc w:val="center"/>
              <w:textAlignment w:val="center"/>
              <w:rPr>
                <w:rStyle w:val="15"/>
                <w:rFonts w:hint="default" w:ascii="Times New Roman" w:hAnsi="Times New Roman" w:eastAsia="宋体" w:cs="宋体"/>
                <w:sz w:val="21"/>
                <w:szCs w:val="21"/>
                <w:lang w:val="en-US" w:eastAsia="zh-CN" w:bidi="ar"/>
              </w:rPr>
            </w:pPr>
            <w:r>
              <w:rPr>
                <w:rStyle w:val="15"/>
                <w:rFonts w:hint="eastAsia" w:ascii="Times New Roman" w:hAnsi="Times New Roman" w:eastAsia="宋体" w:cs="宋体"/>
                <w:sz w:val="21"/>
                <w:szCs w:val="21"/>
                <w:lang w:bidi="ar"/>
              </w:rPr>
              <w:t>1</w:t>
            </w:r>
            <w:r>
              <w:rPr>
                <w:rStyle w:val="15"/>
                <w:rFonts w:hint="eastAsia" w:ascii="Times New Roman" w:hAnsi="Times New Roman" w:eastAsia="宋体" w:cs="宋体"/>
                <w:sz w:val="21"/>
                <w:szCs w:val="21"/>
                <w:lang w:val="en-US" w:eastAsia="zh-CN" w:bidi="ar"/>
              </w:rPr>
              <w:t>2台</w:t>
            </w:r>
          </w:p>
        </w:tc>
        <w:tc>
          <w:tcPr>
            <w:tcW w:w="1174" w:type="pct"/>
            <w:noWrap w:val="0"/>
            <w:vAlign w:val="center"/>
          </w:tcPr>
          <w:p w14:paraId="569D0086">
            <w:pPr>
              <w:widowControl/>
              <w:spacing w:line="276" w:lineRule="auto"/>
              <w:ind w:firstLine="0" w:firstLineChars="0"/>
              <w:contextualSpacing/>
              <w:jc w:val="center"/>
              <w:textAlignment w:val="center"/>
              <w:rPr>
                <w:rFonts w:hint="eastAsia" w:ascii="Times New Roman" w:hAnsi="Times New Roman" w:eastAsia="宋体" w:cs="宋体"/>
                <w:color w:val="000000"/>
                <w:sz w:val="21"/>
                <w:szCs w:val="21"/>
              </w:rPr>
            </w:pPr>
            <w:r>
              <w:rPr>
                <w:rStyle w:val="13"/>
                <w:rFonts w:hint="eastAsia" w:ascii="Times New Roman" w:hAnsi="Times New Roman" w:eastAsia="宋体" w:cs="宋体"/>
                <w:sz w:val="21"/>
                <w:szCs w:val="21"/>
                <w:lang w:bidi="ar"/>
              </w:rPr>
              <w:t>正常</w:t>
            </w:r>
          </w:p>
        </w:tc>
      </w:tr>
      <w:tr w14:paraId="6493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70" w:type="pct"/>
            <w:noWrap w:val="0"/>
            <w:vAlign w:val="center"/>
          </w:tcPr>
          <w:p w14:paraId="7297A241">
            <w:pPr>
              <w:widowControl/>
              <w:spacing w:line="276" w:lineRule="auto"/>
              <w:ind w:firstLine="0" w:firstLineChars="0"/>
              <w:contextualSpacing/>
              <w:jc w:val="center"/>
              <w:textAlignment w:val="center"/>
              <w:rPr>
                <w:rStyle w:val="13"/>
                <w:rFonts w:hint="eastAsia" w:ascii="Times New Roman" w:hAnsi="Times New Roman" w:eastAsia="宋体" w:cs="宋体"/>
                <w:sz w:val="21"/>
                <w:szCs w:val="21"/>
                <w:lang w:bidi="ar"/>
              </w:rPr>
            </w:pPr>
            <w:r>
              <w:rPr>
                <w:rStyle w:val="13"/>
                <w:rFonts w:hint="eastAsia" w:ascii="Times New Roman" w:hAnsi="Times New Roman" w:eastAsia="宋体" w:cs="宋体"/>
                <w:sz w:val="21"/>
                <w:szCs w:val="21"/>
                <w:lang w:bidi="ar"/>
              </w:rPr>
              <w:t>3</w:t>
            </w:r>
          </w:p>
        </w:tc>
        <w:tc>
          <w:tcPr>
            <w:tcW w:w="1777" w:type="pct"/>
            <w:noWrap w:val="0"/>
            <w:vAlign w:val="center"/>
          </w:tcPr>
          <w:p w14:paraId="1A2659D8">
            <w:pPr>
              <w:widowControl/>
              <w:spacing w:line="276" w:lineRule="auto"/>
              <w:ind w:firstLine="0" w:firstLineChars="0"/>
              <w:contextualSpacing/>
              <w:jc w:val="center"/>
              <w:textAlignment w:val="center"/>
              <w:rPr>
                <w:rFonts w:hint="default" w:ascii="Times New Roman" w:hAnsi="Times New Roman" w:eastAsia="宋体" w:cs="宋体"/>
                <w:color w:val="000000"/>
                <w:sz w:val="21"/>
                <w:szCs w:val="21"/>
                <w:lang w:val="en-US" w:eastAsia="zh-CN"/>
              </w:rPr>
            </w:pPr>
            <w:r>
              <w:rPr>
                <w:rFonts w:hint="eastAsia" w:ascii="Times New Roman" w:hAnsi="Times New Roman" w:eastAsia="宋体" w:cs="宋体"/>
                <w:color w:val="000000"/>
                <w:sz w:val="21"/>
                <w:szCs w:val="21"/>
                <w:lang w:val="en-US" w:eastAsia="zh-CN"/>
              </w:rPr>
              <w:t>业务服务器</w:t>
            </w:r>
          </w:p>
        </w:tc>
        <w:tc>
          <w:tcPr>
            <w:tcW w:w="1177" w:type="pct"/>
            <w:noWrap w:val="0"/>
            <w:vAlign w:val="center"/>
          </w:tcPr>
          <w:p w14:paraId="675E3427">
            <w:pPr>
              <w:widowControl/>
              <w:spacing w:line="276" w:lineRule="auto"/>
              <w:ind w:firstLine="0" w:firstLineChars="0"/>
              <w:contextualSpacing/>
              <w:jc w:val="center"/>
              <w:textAlignment w:val="center"/>
              <w:rPr>
                <w:rStyle w:val="15"/>
                <w:rFonts w:hint="default" w:ascii="Times New Roman" w:hAnsi="Times New Roman" w:eastAsia="宋体" w:cs="宋体"/>
                <w:sz w:val="21"/>
                <w:szCs w:val="21"/>
                <w:lang w:val="en-US" w:eastAsia="zh-CN" w:bidi="ar"/>
              </w:rPr>
            </w:pPr>
            <w:r>
              <w:rPr>
                <w:rStyle w:val="15"/>
                <w:rFonts w:hint="eastAsia" w:ascii="Times New Roman" w:hAnsi="Times New Roman" w:eastAsia="宋体" w:cs="宋体"/>
                <w:sz w:val="21"/>
                <w:szCs w:val="21"/>
                <w:lang w:bidi="ar"/>
              </w:rPr>
              <w:t>1</w:t>
            </w:r>
            <w:r>
              <w:rPr>
                <w:rStyle w:val="15"/>
                <w:rFonts w:hint="eastAsia" w:ascii="Times New Roman" w:hAnsi="Times New Roman" w:eastAsia="宋体" w:cs="宋体"/>
                <w:sz w:val="21"/>
                <w:szCs w:val="21"/>
                <w:lang w:val="en-US" w:eastAsia="zh-CN" w:bidi="ar"/>
              </w:rPr>
              <w:t>14台</w:t>
            </w:r>
          </w:p>
        </w:tc>
        <w:tc>
          <w:tcPr>
            <w:tcW w:w="1174" w:type="pct"/>
            <w:noWrap w:val="0"/>
            <w:vAlign w:val="center"/>
          </w:tcPr>
          <w:p w14:paraId="1D01C827">
            <w:pPr>
              <w:widowControl/>
              <w:spacing w:line="276" w:lineRule="auto"/>
              <w:ind w:firstLine="0" w:firstLineChars="0"/>
              <w:contextualSpacing/>
              <w:jc w:val="center"/>
              <w:textAlignment w:val="center"/>
              <w:rPr>
                <w:rFonts w:hint="eastAsia" w:ascii="Times New Roman" w:hAnsi="Times New Roman" w:eastAsia="宋体" w:cs="宋体"/>
                <w:color w:val="000000"/>
                <w:sz w:val="21"/>
                <w:szCs w:val="21"/>
              </w:rPr>
            </w:pPr>
            <w:r>
              <w:rPr>
                <w:rStyle w:val="13"/>
                <w:rFonts w:hint="eastAsia" w:ascii="Times New Roman" w:hAnsi="Times New Roman" w:eastAsia="宋体" w:cs="宋体"/>
                <w:sz w:val="21"/>
                <w:szCs w:val="21"/>
                <w:lang w:bidi="ar"/>
              </w:rPr>
              <w:t>正常</w:t>
            </w:r>
          </w:p>
        </w:tc>
      </w:tr>
      <w:tr w14:paraId="5127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70" w:type="pct"/>
            <w:noWrap w:val="0"/>
            <w:vAlign w:val="center"/>
          </w:tcPr>
          <w:p w14:paraId="1B22A3D7">
            <w:pPr>
              <w:widowControl/>
              <w:spacing w:line="276" w:lineRule="auto"/>
              <w:ind w:firstLine="0" w:firstLineChars="0"/>
              <w:contextualSpacing/>
              <w:jc w:val="center"/>
              <w:textAlignment w:val="center"/>
              <w:rPr>
                <w:rStyle w:val="13"/>
                <w:rFonts w:hint="eastAsia" w:ascii="Times New Roman" w:hAnsi="Times New Roman" w:eastAsia="宋体" w:cs="宋体"/>
                <w:sz w:val="21"/>
                <w:szCs w:val="21"/>
                <w:lang w:bidi="ar"/>
              </w:rPr>
            </w:pPr>
            <w:r>
              <w:rPr>
                <w:rStyle w:val="13"/>
                <w:rFonts w:hint="eastAsia" w:ascii="Times New Roman" w:hAnsi="Times New Roman" w:eastAsia="宋体" w:cs="宋体"/>
                <w:sz w:val="21"/>
                <w:szCs w:val="21"/>
                <w:lang w:bidi="ar"/>
              </w:rPr>
              <w:t>4</w:t>
            </w:r>
          </w:p>
        </w:tc>
        <w:tc>
          <w:tcPr>
            <w:tcW w:w="1777" w:type="pct"/>
            <w:noWrap w:val="0"/>
            <w:vAlign w:val="center"/>
          </w:tcPr>
          <w:p w14:paraId="287F670E">
            <w:pPr>
              <w:widowControl/>
              <w:spacing w:line="276" w:lineRule="auto"/>
              <w:ind w:firstLine="0" w:firstLineChars="0"/>
              <w:contextualSpacing/>
              <w:jc w:val="center"/>
              <w:textAlignment w:val="center"/>
              <w:rPr>
                <w:rFonts w:hint="default" w:ascii="Times New Roman" w:hAnsi="Times New Roman" w:eastAsia="宋体" w:cs="宋体"/>
                <w:color w:val="000000"/>
                <w:sz w:val="21"/>
                <w:szCs w:val="21"/>
                <w:lang w:val="en-US" w:eastAsia="zh-CN"/>
              </w:rPr>
            </w:pPr>
            <w:r>
              <w:rPr>
                <w:rStyle w:val="14"/>
                <w:rFonts w:hint="eastAsia" w:ascii="Times New Roman" w:hAnsi="Times New Roman" w:eastAsia="宋体" w:cs="宋体"/>
                <w:sz w:val="21"/>
                <w:szCs w:val="21"/>
                <w:lang w:val="en-US" w:eastAsia="zh-CN" w:bidi="ar"/>
              </w:rPr>
              <w:t>存储服务器</w:t>
            </w:r>
          </w:p>
        </w:tc>
        <w:tc>
          <w:tcPr>
            <w:tcW w:w="1177" w:type="pct"/>
            <w:noWrap w:val="0"/>
            <w:vAlign w:val="center"/>
          </w:tcPr>
          <w:p w14:paraId="2098CAF5">
            <w:pPr>
              <w:widowControl/>
              <w:spacing w:line="276" w:lineRule="auto"/>
              <w:ind w:firstLine="0" w:firstLineChars="0"/>
              <w:contextualSpacing/>
              <w:jc w:val="center"/>
              <w:textAlignment w:val="center"/>
              <w:rPr>
                <w:rStyle w:val="15"/>
                <w:rFonts w:hint="default" w:ascii="Times New Roman" w:hAnsi="Times New Roman" w:eastAsia="宋体" w:cs="宋体"/>
                <w:sz w:val="21"/>
                <w:szCs w:val="21"/>
                <w:lang w:val="en-US" w:eastAsia="zh-CN" w:bidi="ar"/>
              </w:rPr>
            </w:pPr>
            <w:r>
              <w:rPr>
                <w:rStyle w:val="15"/>
                <w:rFonts w:hint="eastAsia" w:ascii="Times New Roman" w:hAnsi="Times New Roman" w:eastAsia="宋体" w:cs="宋体"/>
                <w:sz w:val="21"/>
                <w:szCs w:val="21"/>
                <w:lang w:val="en-US" w:eastAsia="zh-CN" w:bidi="ar"/>
              </w:rPr>
              <w:t>5台</w:t>
            </w:r>
          </w:p>
        </w:tc>
        <w:tc>
          <w:tcPr>
            <w:tcW w:w="1174" w:type="pct"/>
            <w:noWrap w:val="0"/>
            <w:vAlign w:val="center"/>
          </w:tcPr>
          <w:p w14:paraId="0B028B59">
            <w:pPr>
              <w:widowControl/>
              <w:spacing w:line="276" w:lineRule="auto"/>
              <w:ind w:firstLine="0" w:firstLineChars="0"/>
              <w:contextualSpacing/>
              <w:jc w:val="center"/>
              <w:textAlignment w:val="center"/>
              <w:rPr>
                <w:rFonts w:hint="eastAsia" w:ascii="Times New Roman" w:hAnsi="Times New Roman" w:eastAsia="宋体" w:cs="宋体"/>
                <w:color w:val="000000"/>
                <w:sz w:val="21"/>
                <w:szCs w:val="21"/>
              </w:rPr>
            </w:pPr>
            <w:r>
              <w:rPr>
                <w:rStyle w:val="13"/>
                <w:rFonts w:hint="eastAsia" w:ascii="Times New Roman" w:hAnsi="Times New Roman" w:eastAsia="宋体" w:cs="宋体"/>
                <w:sz w:val="21"/>
                <w:szCs w:val="21"/>
                <w:lang w:bidi="ar"/>
              </w:rPr>
              <w:t>正常</w:t>
            </w:r>
          </w:p>
        </w:tc>
      </w:tr>
    </w:tbl>
    <w:p w14:paraId="06D81E12">
      <w:pPr>
        <w:pStyle w:val="3"/>
        <w:widowControl/>
        <w:spacing w:before="0" w:after="0" w:line="240" w:lineRule="auto"/>
        <w:jc w:val="both"/>
        <w:rPr>
          <w:rFonts w:hint="eastAsia" w:ascii="Times New Roman" w:hAnsi="Times New Roman"/>
        </w:rPr>
      </w:pPr>
    </w:p>
    <w:p w14:paraId="1815FA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F6032"/>
    <w:rsid w:val="0C3F6032"/>
    <w:rsid w:val="2E686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afterLines="0" w:line="480" w:lineRule="auto"/>
      <w:ind w:left="420" w:leftChars="200"/>
    </w:pPr>
  </w:style>
  <w:style w:type="paragraph" w:styleId="4">
    <w:name w:val="caption"/>
    <w:basedOn w:val="1"/>
    <w:next w:val="1"/>
    <w:qFormat/>
    <w:uiPriority w:val="0"/>
    <w:pPr>
      <w:adjustRightInd w:val="0"/>
      <w:spacing w:before="152" w:beforeLines="0" w:after="160" w:afterLines="0" w:line="360" w:lineRule="atLeast"/>
      <w:jc w:val="left"/>
      <w:textAlignment w:val="baseline"/>
    </w:pPr>
    <w:rPr>
      <w:rFonts w:ascii="Arial" w:hAnsi="Arial" w:eastAsia="黑体"/>
      <w:kern w:val="0"/>
      <w:sz w:val="24"/>
    </w:rPr>
  </w:style>
  <w:style w:type="paragraph" w:styleId="5">
    <w:name w:val="Body Text"/>
    <w:basedOn w:val="1"/>
    <w:next w:val="6"/>
    <w:qFormat/>
    <w:uiPriority w:val="0"/>
    <w:rPr>
      <w:rFonts w:eastAsia="黑体"/>
      <w:sz w:val="36"/>
    </w:rPr>
  </w:style>
  <w:style w:type="paragraph" w:styleId="6">
    <w:name w:val="Date"/>
    <w:basedOn w:val="1"/>
    <w:next w:val="1"/>
    <w:qFormat/>
    <w:uiPriority w:val="0"/>
    <w:pPr>
      <w:adjustRightInd w:val="0"/>
      <w:spacing w:line="360" w:lineRule="atLeast"/>
    </w:pPr>
    <w:rPr>
      <w:rFonts w:ascii="宋体"/>
      <w:kern w:val="0"/>
      <w:sz w:val="24"/>
      <w:szCs w:val="20"/>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10">
    <w:name w:val="D&amp;L"/>
    <w:basedOn w:val="7"/>
    <w:qFormat/>
    <w:uiPriority w:val="99"/>
    <w:pPr>
      <w:pBdr>
        <w:bottom w:val="thinThickSmallGap" w:color="auto" w:sz="18" w:space="1"/>
      </w:pBdr>
      <w:adjustRightInd w:val="0"/>
      <w:snapToGrid/>
      <w:spacing w:line="240" w:lineRule="atLeast"/>
      <w:textAlignment w:val="baseline"/>
    </w:pPr>
    <w:rPr>
      <w:sz w:val="24"/>
      <w:szCs w:val="20"/>
    </w:rPr>
  </w:style>
  <w:style w:type="paragraph" w:customStyle="1" w:styleId="11">
    <w:name w:val="xl31"/>
    <w:basedOn w:val="1"/>
    <w:qFormat/>
    <w:uiPriority w:val="0"/>
    <w:pPr>
      <w:widowControl/>
      <w:spacing w:before="100" w:beforeAutospacing="1" w:after="100" w:afterAutospacing="1"/>
      <w:jc w:val="center"/>
    </w:pPr>
    <w:rPr>
      <w:b/>
      <w:bCs/>
      <w:kern w:val="0"/>
      <w:sz w:val="28"/>
      <w:szCs w:val="28"/>
    </w:rPr>
  </w:style>
  <w:style w:type="character" w:customStyle="1" w:styleId="12">
    <w:name w:val="font11"/>
    <w:basedOn w:val="9"/>
    <w:qFormat/>
    <w:uiPriority w:val="0"/>
    <w:rPr>
      <w:rFonts w:hint="eastAsia" w:ascii="微软雅黑" w:hAnsi="微软雅黑" w:eastAsia="微软雅黑" w:cs="微软雅黑"/>
      <w:b/>
      <w:bCs/>
      <w:color w:val="000000"/>
      <w:sz w:val="24"/>
      <w:szCs w:val="24"/>
      <w:u w:val="none"/>
    </w:rPr>
  </w:style>
  <w:style w:type="character" w:customStyle="1" w:styleId="13">
    <w:name w:val="font71"/>
    <w:basedOn w:val="9"/>
    <w:qFormat/>
    <w:uiPriority w:val="0"/>
    <w:rPr>
      <w:rFonts w:hint="eastAsia" w:ascii="微软雅黑" w:hAnsi="微软雅黑" w:eastAsia="微软雅黑" w:cs="微软雅黑"/>
      <w:color w:val="000000"/>
      <w:sz w:val="20"/>
      <w:szCs w:val="20"/>
      <w:u w:val="none"/>
    </w:rPr>
  </w:style>
  <w:style w:type="character" w:customStyle="1" w:styleId="14">
    <w:name w:val="font31"/>
    <w:basedOn w:val="9"/>
    <w:qFormat/>
    <w:uiPriority w:val="0"/>
    <w:rPr>
      <w:rFonts w:hint="eastAsia" w:ascii="微软雅黑" w:hAnsi="微软雅黑" w:eastAsia="微软雅黑" w:cs="微软雅黑"/>
      <w:color w:val="000000"/>
      <w:sz w:val="24"/>
      <w:szCs w:val="24"/>
      <w:u w:val="none"/>
    </w:rPr>
  </w:style>
  <w:style w:type="character" w:customStyle="1" w:styleId="15">
    <w:name w:val="font61"/>
    <w:basedOn w:val="9"/>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4133</Words>
  <Characters>4203</Characters>
  <Lines>0</Lines>
  <Paragraphs>0</Paragraphs>
  <TotalTime>0</TotalTime>
  <ScaleCrop>false</ScaleCrop>
  <LinksUpToDate>false</LinksUpToDate>
  <CharactersWithSpaces>4241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2024-11-29T03:10:00Z</dcterms:created>
  <dc:creator>金晶</dc:creator>
  <cp:lastModifiedBy>金晶</cp:lastModifiedBy>
  <dcterms:modified xsi:type="dcterms:W3CDTF">2024-11-29T06:48:05Z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E61ED1A3D9C14EBF89860DC37D6F422C_11</vt:lpwstr>
  </property>
</Properties>
</file>