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88D9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b/>
          <w:bCs/>
          <w:color w:val="000000"/>
          <w:sz w:val="32"/>
          <w:szCs w:val="32"/>
        </w:rPr>
      </w:pPr>
      <w:bookmarkStart w:id="0" w:name="OLE_LINK3"/>
      <w:r>
        <w:rPr>
          <w:rFonts w:hint="eastAsia" w:ascii="宋体" w:hAnsi="宋体" w:eastAsia="宋体" w:cs="宋体"/>
          <w:b/>
          <w:bCs/>
          <w:color w:val="000000"/>
          <w:sz w:val="32"/>
          <w:szCs w:val="32"/>
          <w:lang w:eastAsia="zh-CN"/>
        </w:rPr>
        <w:t>国网辽宁电力2025年原集体企业、子公司及战新产业第一次服务区域（送变电）联合授权公开招标采购</w:t>
      </w:r>
      <w:r>
        <w:rPr>
          <w:rFonts w:hint="eastAsia" w:ascii="宋体" w:hAnsi="宋体" w:eastAsia="宋体" w:cs="宋体"/>
          <w:b/>
          <w:bCs/>
          <w:color w:val="000000"/>
          <w:sz w:val="32"/>
          <w:szCs w:val="32"/>
        </w:rPr>
        <w:t>推荐的中标候选人公示</w:t>
      </w:r>
      <w:bookmarkEnd w:id="0"/>
    </w:p>
    <w:p w14:paraId="65FFF4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highlight w:val="none"/>
        </w:rPr>
        <w:t>招标编号：</w:t>
      </w:r>
      <w:r>
        <w:rPr>
          <w:rFonts w:hint="eastAsia" w:ascii="宋体" w:hAnsi="宋体" w:eastAsia="宋体" w:cs="宋体"/>
          <w:b/>
          <w:bCs/>
          <w:color w:val="000000"/>
          <w:sz w:val="28"/>
          <w:szCs w:val="28"/>
          <w:highlight w:val="none"/>
          <w:lang w:eastAsia="zh-CN"/>
        </w:rPr>
        <w:t>CYLN25SBDF07P</w:t>
      </w:r>
      <w:r>
        <w:rPr>
          <w:rFonts w:hint="eastAsia" w:ascii="宋体" w:hAnsi="宋体" w:eastAsia="宋体" w:cs="宋体"/>
          <w:b/>
          <w:bCs/>
          <w:color w:val="000000"/>
          <w:sz w:val="28"/>
          <w:szCs w:val="28"/>
        </w:rPr>
        <w:t>）</w:t>
      </w:r>
    </w:p>
    <w:p w14:paraId="665984FE">
      <w:pPr>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p w14:paraId="602ED0D0">
      <w:pPr>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各相关投标人：</w:t>
      </w:r>
    </w:p>
    <w:p w14:paraId="2DF6E0F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国网辽宁电力2025年原集体企业、子公司及战新产业第一次服务区域（送变电）联合授权公开招标采购</w:t>
      </w:r>
      <w:r>
        <w:rPr>
          <w:rFonts w:hint="eastAsia" w:ascii="宋体" w:hAnsi="宋体" w:eastAsia="宋体" w:cs="宋体"/>
          <w:sz w:val="24"/>
          <w:szCs w:val="24"/>
        </w:rPr>
        <w:t>评标工作已经结束，依据《中</w:t>
      </w:r>
      <w:r>
        <w:rPr>
          <w:rFonts w:hint="eastAsia" w:ascii="宋体" w:hAnsi="宋体" w:eastAsia="宋体" w:cs="宋体"/>
          <w:sz w:val="24"/>
          <w:szCs w:val="24"/>
          <w:lang w:eastAsia="zh-CN"/>
        </w:rPr>
        <w:t>华</w:t>
      </w:r>
      <w:r>
        <w:rPr>
          <w:rFonts w:hint="eastAsia" w:ascii="宋体" w:hAnsi="宋体" w:eastAsia="宋体" w:cs="宋体"/>
          <w:sz w:val="24"/>
          <w:szCs w:val="24"/>
        </w:rPr>
        <w:t>人民共和国招标投标法实施条例》、《招标公告和公示信息发布管理办法》对中标候选人公示的规定，现将评标委员会推荐的中标候选人予以公示，公示期3日。投标人或者其他利害关系人若对评标结果有异议的，请在中标候选人公示期间以书面形式（传真）提出。</w:t>
      </w:r>
    </w:p>
    <w:tbl>
      <w:tblPr>
        <w:tblStyle w:val="13"/>
        <w:tblW w:w="499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3"/>
        <w:gridCol w:w="445"/>
        <w:gridCol w:w="1320"/>
        <w:gridCol w:w="2021"/>
        <w:gridCol w:w="1116"/>
        <w:gridCol w:w="412"/>
        <w:gridCol w:w="788"/>
        <w:gridCol w:w="823"/>
        <w:gridCol w:w="791"/>
        <w:gridCol w:w="728"/>
      </w:tblGrid>
      <w:tr w14:paraId="40AA4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blHeader/>
          <w:jc w:val="center"/>
        </w:trPr>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0564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分标编号</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BBA6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包号</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1B91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包名称</w:t>
            </w:r>
          </w:p>
        </w:tc>
        <w:tc>
          <w:tcPr>
            <w:tcW w:w="10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F7E1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推荐的中标候选人</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0337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投标报价</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5422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排序</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C960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质量（售后服务承诺）</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20D9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交货期</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032B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资格能力</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87E5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评标情况</w:t>
            </w:r>
          </w:p>
        </w:tc>
      </w:tr>
      <w:tr w14:paraId="3D95C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tcBorders>
              <w:top w:val="single" w:color="000000" w:sz="4" w:space="0"/>
              <w:left w:val="single" w:color="000000" w:sz="4" w:space="0"/>
              <w:bottom w:val="nil"/>
              <w:right w:val="single" w:color="000000" w:sz="4" w:space="0"/>
            </w:tcBorders>
            <w:shd w:val="clear" w:color="auto" w:fill="auto"/>
            <w:vAlign w:val="center"/>
          </w:tcPr>
          <w:p w14:paraId="32E88FB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CYLN25SBDF07P-LNTX-SG</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B3A5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2EDB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辽宁朝阳供电公司2025年光传输系统改造工程</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9363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沈阳炬石科技有限公司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2D82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rPr>
              <w:t>217.460000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9B68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3853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DB4B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BEC6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DC2B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B9AB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nil"/>
              <w:right w:val="single" w:color="000000" w:sz="4" w:space="0"/>
            </w:tcBorders>
            <w:shd w:val="clear" w:color="auto" w:fill="auto"/>
            <w:vAlign w:val="center"/>
          </w:tcPr>
          <w:p w14:paraId="4039645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CYLN25SBDF07P-LNTX-FW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B888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B966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辽宁朝阳供电公司2025年光传输系统改造工程租赁服务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8862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沈阳炬石科技有限公司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0787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48.800000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6A89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6A7D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AA89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EDE1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3A47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589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64279B1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1C39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EC9C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辽宁电力能源发展集团有限公司2025年磁悬浮飞轮储能UPS电源车特种车辆维保项目</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A40A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流标</w:t>
            </w:r>
          </w:p>
        </w:tc>
      </w:tr>
      <w:tr w14:paraId="0E18B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7DFB333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8C92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9051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辽宁电力能源发展集团有限公司2025年磁悬浮飞轮储能UPS电源车维保项目</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53E9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山东中诚安源电力科技有限公司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6162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69.227000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2E07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7BB6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4133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09AF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0A62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75225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nil"/>
              <w:right w:val="single" w:color="000000" w:sz="4" w:space="0"/>
            </w:tcBorders>
            <w:shd w:val="clear" w:color="auto" w:fill="auto"/>
            <w:vAlign w:val="center"/>
          </w:tcPr>
          <w:p w14:paraId="78D90E5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CYLN25SBDF07P-LNZL-FW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A7E0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2911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上网行为管理设备应用识别及上网安全代码库升级服务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4AFC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辽宁工峰电力建设工程有限公司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84AF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25.800000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B41C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9177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D6FE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313B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1357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5084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5A10301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4FB9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5BB4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互联网大区入侵防御设备及web流量应用防护设备代码库升级服务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6611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辽宁天华科技发展有限公司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4BB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15.102000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85EE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F834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6356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0610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D097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085C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2D1A4AC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78E0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6DF1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2025年信息系统运维（全省桌面准入系统）等2个项目劳务服务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3838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沈阳速倍科技发展有限公司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A334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31.500000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BC3E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C046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D61A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6B26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E91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21F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55AAD80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FB5F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6EBB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2025年信息系统运维（财务管控系统）等3个项目运维。</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3D3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流标</w:t>
            </w:r>
          </w:p>
        </w:tc>
      </w:tr>
      <w:tr w14:paraId="19621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tcBorders>
              <w:top w:val="single" w:color="000000" w:sz="4" w:space="0"/>
              <w:left w:val="single" w:color="000000" w:sz="4" w:space="0"/>
              <w:bottom w:val="nil"/>
              <w:right w:val="single" w:color="000000" w:sz="4" w:space="0"/>
            </w:tcBorders>
            <w:shd w:val="clear" w:color="auto" w:fill="auto"/>
            <w:vAlign w:val="center"/>
          </w:tcPr>
          <w:p w14:paraId="62E5398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CYLN25SBDF07P-LNZL-SG</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AE05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AFCE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国网辽宁信通公司调度控制中心视频会议改造施工等4个项目劳务分包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16CF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沈阳天舒电子网络通信工程有限公司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EE2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28.123900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0059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36B9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3931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5FCD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2769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2DE0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081B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CYLN25SBDF07P-DDWY-FW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42FF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5B47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沈阳东电物业管理有限公司2025年三体系认证</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9463C">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久诚国际认证中心有限公司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70C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4.850000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C67E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793C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40F9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ABD4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C2F9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1731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nil"/>
              <w:right w:val="single" w:color="000000" w:sz="4" w:space="0"/>
            </w:tcBorders>
            <w:shd w:val="clear" w:color="auto" w:fill="auto"/>
            <w:vAlign w:val="center"/>
          </w:tcPr>
          <w:p w14:paraId="519C72D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CYLN25SBDF07P-DKDL-FW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E341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0870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东科（浑南）2025年度物业服务采购</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846B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辽宁国宾物业管理顾问有限公司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DF0D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10.189176</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022F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1E21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858C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7588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0BFF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4526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5CDDF67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A49F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E4A0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东科财务部2025年财务中台应用数据治理咨询服务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756B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沈阳久成科技有限公司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22C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9.800000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6E72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CA3F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661B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A1CA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3226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EF91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4DDB5C1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0E63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6E2E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东科2025年质量、环境和职业健康安全管理体系三标一体化认证项目服务采购</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5485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北京联合智业认证有限公司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3103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8.200000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7231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1799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1CA0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0639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C76C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38E3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nil"/>
              <w:right w:val="single" w:color="000000" w:sz="4" w:space="0"/>
            </w:tcBorders>
            <w:shd w:val="clear" w:color="auto" w:fill="auto"/>
            <w:vAlign w:val="center"/>
          </w:tcPr>
          <w:p w14:paraId="2F08C98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nil"/>
              <w:right w:val="single" w:color="000000" w:sz="4" w:space="0"/>
            </w:tcBorders>
            <w:shd w:val="clear" w:color="auto" w:fill="auto"/>
            <w:vAlign w:val="center"/>
          </w:tcPr>
          <w:p w14:paraId="6718881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0" w:type="pct"/>
            <w:tcBorders>
              <w:top w:val="single" w:color="000000" w:sz="4" w:space="0"/>
              <w:left w:val="single" w:color="000000" w:sz="4" w:space="0"/>
              <w:bottom w:val="nil"/>
              <w:right w:val="single" w:color="000000" w:sz="4" w:space="0"/>
            </w:tcBorders>
            <w:shd w:val="clear" w:color="auto" w:fill="auto"/>
            <w:vAlign w:val="center"/>
          </w:tcPr>
          <w:p w14:paraId="25DE7AC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东科2025年QES管理体系内审服务采购</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F137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流标</w:t>
            </w:r>
          </w:p>
        </w:tc>
      </w:tr>
      <w:tr w14:paraId="7E814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041B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CYLN25SBDF07P-9001001-0538</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DD46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C7FA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2025年辽宁格瑞恩正新咨询管理有限公司沈阳正新展会服务中心经营主楼11至13层装饰装修分系统维修设计咨询项目</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3D34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辽宁大建筑设计有限公司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EEB2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12.300000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6FA7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26F0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0ED8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250E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D19A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7F9F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F4D3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CYLN25SBDF07P-9012013-0549</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A53A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6EDE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2025年辽宁格瑞恩正新咨询管理有限公司空调加装远传表及洗井服务项目</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5487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流标</w:t>
            </w:r>
          </w:p>
        </w:tc>
      </w:tr>
      <w:tr w14:paraId="08A2A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47F8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CYLN25SBDF07P-9011006-0558</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AC75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DC5F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2025年辽宁格瑞恩正新咨询管理有限公司消防安全检测服务项目</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169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辽宁远宏消防检测有限公司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A39D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1.582000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1B15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173C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DBEB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8A12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13FD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E741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55A6C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CYLN25SBDF07P-ZXGR-FW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053D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6484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2025年原集体企业新一代信息系统运维服务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A49B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国电南瑞南京控制系统有限公司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37F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282.838900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FF86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AC12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1A5D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32C2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A365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1AAB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8F58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EDC2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F620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2025年原集体企业单项工程核算系统运维服务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9634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诚睿信息科技（辽宁）有限公司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B160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134.300000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2F53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05DD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376B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D270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84EC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0B132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0134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9F38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1427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2025年原集体企业财务管控系统运维服务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4705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远光软件股份有限公司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5193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343.900000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FE25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86CC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1867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C188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C08C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238E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D7C1A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CYLN25SBDF07P-JJKF-FW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E8BC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0AE6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辽宁东方水能利用开发有限责任公司2025-2026年中压发电车业务外包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42DB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辽宁启源人力资源咨询服务有限公司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D002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128.000000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1397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2C87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968A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AF02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E2B2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22F5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4E20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1467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914F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2025年公司保安服务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ADC3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辽宁辽仕盾保安服务有限公司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AA33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50.730000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D7E7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E744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F9E7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6B4A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84DE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DA47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05A7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A3C7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C810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东方风电公司2025-2026年度财产保险服务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A77A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中国人民财产保险股份有限公司大连市分公司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26D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103.501024</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FF64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5B63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2C27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6F6E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04D4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AF9E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8594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776B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8229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辽宁电力经济开发有限公司及子、分公司2025-2026年劳务服务采购</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A902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流标</w:t>
            </w:r>
          </w:p>
        </w:tc>
      </w:tr>
      <w:tr w14:paraId="7C929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0C1E0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CYLN25SBDF07P-SBD-FW</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A2CB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8946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送变电工程有限公司2025年度小型基建项目可研编制服务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DF6C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首辅工程设计有限公司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B62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rPr>
              <w:t>93.00</w:t>
            </w:r>
            <w:r>
              <w:rPr>
                <w:rFonts w:hint="eastAsia" w:ascii="宋体" w:hAnsi="宋体" w:eastAsia="宋体" w:cs="宋体"/>
                <w:i w:val="0"/>
                <w:iCs w:val="0"/>
                <w:color w:val="000000"/>
                <w:sz w:val="18"/>
                <w:szCs w:val="18"/>
                <w:u w:val="none"/>
                <w:lang w:val="en-US" w:eastAsia="zh-CN"/>
              </w:rPr>
              <w: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C157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F8CD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BA7E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701D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C821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2C71E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AD20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D8AB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4CDB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送变电工程有限公司2025年度小型基建项目设计服务</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BA75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流标</w:t>
            </w:r>
          </w:p>
        </w:tc>
      </w:tr>
      <w:tr w14:paraId="3589E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6077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4079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62FC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甘肃～浙江±800千伏特高压直流输电工程线路工程-爆破技术服务</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EA05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铜陵市泰山爆破有限责任公司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B1E9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150.800000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6C58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8957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EC27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B075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7129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1EA5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D39FD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CYLN25SBDF07P-SBD-SG</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DF6E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7839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铁岭大唐昌图宋家街150MW风电220kV送出工程组塔劳务分包标段1</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AB9F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瑞远实业发展集团有限公司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C31A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119.015245</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EB68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D78C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7A7D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0D9B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B4B1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0FB2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716F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25C8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F8EA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铁岭大唐昌图宋家街150MW风电220kV送出工程架线劳务分包标段1</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BB7C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瑞远实业发展集团有限公司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CD2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106.327000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90DB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BE2E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7057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178A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B3F8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56CD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42F5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E1E7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5FFD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国网东北分部辽宁抚顺供电公司500kV丰徐一线拉线塔改造工程基础劳务分包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98D5C">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沈阳市山城建筑工程有限公司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A49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40.829440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53D7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2C44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4AE5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2AB8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787D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0229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10A0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9C7A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0978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辽西-辽中500千伏断面加强工程（1标段）架线劳务分包标段一</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706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四川省岳池送变电工程公司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4D71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1433.840500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9D1F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4096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3EEE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E664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E9EF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3D89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8159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8304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1221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辽西-辽中500千伏断面加强工程（2标段）架线劳务分包标段一</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848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川东电力集团有限公司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1F3A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1360.937120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B6B1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826E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FDF7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0BF1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FFFB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6E71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C189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DA7D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42AB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辽西-辽中500千伏断面加强工程（1标段）临时围堰专业分包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630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海城德顺电力工程有限公司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0A80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37.590000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7FCF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34C9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7E56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277A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4B2C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9CE3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878A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9574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B098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甘肃～浙江±800千伏特高压直流输电工程线路工程包13基础专业分包标段一</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9D9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浙江慕盛建设有限公司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F6F7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1566.097030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EB95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26F9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A5F9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1489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E1EC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733C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36D0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2E11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F161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甘肃～浙江±800千伏特高压直流输电工程线路工程包13基础专业分包标段二</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D06E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海城德顺电力工程有限公司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C23F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192.582400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383B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B76B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BEE2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4B04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3877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6F97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0C28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FDDA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3EA2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甘肃～浙江±800千伏特高压直流输电工程线路工程包13基础专业分包标段三</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CBFC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沈阳市山城建筑工程有限公司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F9D3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204.126770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99CC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9144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EA1B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8A85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3483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0FE9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445D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D260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99F7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甘肃～浙江±800千伏特高压直流输电工程线路工程包13基础专业分包标段四</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1DB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四川省南充市水电工程有限公司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B242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470.233870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BF4A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98B6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1749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16E7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19DA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6E2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9007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808D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3F88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甘肃～浙江±800千伏特高压直流输电工程线路工程包13基础专业分包标段五</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B27B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吉林省诚达工程建设有限公司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DFE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930.620088</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B9BD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7BD9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155A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8C80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DDD9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7CDC7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808E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483F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49DE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甘肃～浙江±800千伏特高压直流输电工程线路工程（豫2标）索道专业分包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7FB1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吉林省诚达工程建设有限公司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371D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634.370000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D582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D590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6C04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78E8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FC62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7FE32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CADF3">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99CD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FF8E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陕北至关中第三通道750KV输变电工程（线路包11）架线劳务分包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E7A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四川省输变电工程公司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EAC5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1158.955341</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1AB6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6DA1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3990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D06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EC2F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0560C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3ADA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D01F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D3C3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陕北至关中第三通道750KV输变电工程（线路包11）保护帽及排洪沟专业分包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417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海城德顺电力工程有限公司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BFB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40.511650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79C6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5B9A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A91E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BF10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0E05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D48F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97D9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2BD3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0E1C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甘肃武威北（绿洲）750千伏输变电工程线路工程施工2标段基础专业分包标段一</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9D0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辽宁万信电力有限公司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17E03">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730.091417</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08DD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94D3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6376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FB4E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3D7F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DBCC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00C8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0E6E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1A0E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甘肃武威北（绿洲）750千伏输变电工程线路工程施工2标段基础专业分包标段二</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5AC5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辽宁万信电力有限公司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2F8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443.038360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6A21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DD9F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8C53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41F0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C9F5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21651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4F2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5D1E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ECB3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阿坝一成都东1000千伏特高压交流输变电工程线路工程（包8）堆料平台搭设专业分包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B7C0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四川省输变电工程公司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768E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298.180000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1422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F7F2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84D1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85B2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2489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9C7C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95A2C">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E64C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7CCB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阿坝一成都东1000千伏特高压交流输变电工程线路工程（包8）架线劳务分包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4C74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四川省输变电工程公司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EA26C">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1435.061417</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73D9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B726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F3A1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F471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C198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6564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4805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FA25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1A1F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阿坝一成都东1000千伏特高压交流输变电工程线路工程（包8）余土外运专业分包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8077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吉林省诚达工程建设有限公司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8A446">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538.579700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A9F6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A66F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C1C2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6A69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526C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6A576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F4A8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E795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5715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库车～阿拉尔～巴楚 750千伏输变电工程(八团南一三团)辅助工程专业分包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FE5C3">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海城德顺电力工程有限公司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7EFF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53.401400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65D3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055A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02D3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B2A6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E1C0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3F2BD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508E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E775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0EEB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库车～阿拉尔～巴楚 750千伏输变电工程(八团南一三团)基础植被恢复专业分包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D0D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海城德顺电力工程有限公司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FE8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93.189400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2FC8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4C23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5FDA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6FA2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0BBF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4654F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9AFE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ED59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588C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塔额～克拉玛依I、II回750千伏线路工程基础劳务分包标段一</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FD2F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沈阳吉隆建筑安装工程有限公司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2DDB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281.590026</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5A42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CD6C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EF07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C849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EC63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8D52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1D95C">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D68F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0D92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北宁500千伏变电站间隔扩建工程电气安装劳务分包</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A5B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终止</w:t>
            </w:r>
          </w:p>
        </w:tc>
      </w:tr>
      <w:tr w14:paraId="1E9E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3328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F8C3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6C00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沙河营500kV变电站间隔扩建工程电气安装劳务分包</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B73E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终止</w:t>
            </w:r>
          </w:p>
        </w:tc>
      </w:tr>
      <w:tr w14:paraId="405DD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BBA5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F1A4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0374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克旗500kV变电站新建工程电气安装劳务分包</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4249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终止</w:t>
            </w:r>
          </w:p>
        </w:tc>
      </w:tr>
      <w:tr w14:paraId="12A97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652F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5983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710C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青岛220kV变电站新建工程建筑物及装配式围墙安装工程劳务分包</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EC42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终止</w:t>
            </w:r>
          </w:p>
        </w:tc>
      </w:tr>
      <w:tr w14:paraId="2F22E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80A40">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F383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AAA7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青岛220kV变电站新建工程消防专业分包</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4244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终止</w:t>
            </w:r>
          </w:p>
        </w:tc>
      </w:tr>
      <w:tr w14:paraId="549D9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84DBD">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92F3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F024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铁岭500千伏变电站新建工程装饰装修工程专业分包</w:t>
            </w:r>
          </w:p>
        </w:tc>
        <w:tc>
          <w:tcPr>
            <w:tcW w:w="354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F071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终止</w:t>
            </w:r>
          </w:p>
        </w:tc>
      </w:tr>
      <w:tr w14:paraId="35A97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39B2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2AC5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9C5E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大同~天津南1000千伏特高压交流工程线路工程施工包21基础专业分包标段一</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25E4A">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川东电力集团有限公司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962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1235.774510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F93A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4D22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A0C2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E07D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AB69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606A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29B58">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A432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C0EA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大同~天津南1000千伏特高压交流工程线路工程施工包21基础专业分包标段二</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8C2E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浙江慕盛建设有限公司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6EFA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1912.051704</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2C4E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84A1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C830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3A2F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D4D8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A77E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B3E4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6798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1A64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国网东北分部辽宁锦州供电公司500kV燕董一线拉线塔抗冰防舞改造基础专业分包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E26D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四川省岳池送变电工程公司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E799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96.547179</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C4B6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B9F0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C954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ABF2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6C5C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7D4F9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A2CFF">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E5482">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4392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国网东北分部辽宁锦州公司500kV燕董一线拉V塔改造工程基础专业分包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EEE9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四川省岳池送变电工程公司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582B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52.881400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F52F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E633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1AEA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DF95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B305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7BB28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EBE9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D926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5E16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国网东北分部辽宁锦州供电公司500kV燕董二线拉线塔抗冰防舞改造基础专业分包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2A4B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四川省岳池送变电工程公司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EBE43">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53.268640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EED3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FCD2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65F3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64C3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A8CA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139EA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4EA7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3CD4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6F44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甘肃甘南拉仁关（郎木寺）330 千伏输变电工程-线路工程基础钢筋加工专业分包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BE067">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沈阳市山城建筑工程有限公司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DAA4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15.247950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60DF8">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4707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43F5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09F0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BC78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4670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EB0E4">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73FDA">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922E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抚顺-永陵220kV线路工程改线段基础专业分包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24692">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海城德顺电力工程有限公司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D49D9">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38.524265</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5793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F09D1">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D2F1B">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3BFB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24D3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AE30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1DDDE">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C989F">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26A77">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抚顺-永陵220kV线路工程改线段组塔架线劳务分包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8AD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四川省南充市水电工程有限公司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1CAB">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40.520694</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779B0">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D2DA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D85D6">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B06DD">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10EE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r w14:paraId="5F757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5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DE951">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6A27E">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4C4D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徐大堡核电送出工程2标段基余土外运专业分包</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37F93">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沈阳通运电力设备工程有限公司</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4835">
            <w:pPr>
              <w:keepNext w:val="0"/>
              <w:keepLines w:val="0"/>
              <w:pageBreakBefore w:val="0"/>
              <w:widowControl/>
              <w:kinsoku/>
              <w:wordWrap/>
              <w:overflowPunct/>
              <w:topLinePunct w:val="0"/>
              <w:autoSpaceDE/>
              <w:autoSpaceDN/>
              <w:bidi w:val="0"/>
              <w:adjustRightInd w:val="0"/>
              <w:snapToGrid w:val="0"/>
              <w:ind w:firstLine="0" w:firstLineChars="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106.349490</w:t>
            </w:r>
            <w:r>
              <w:rPr>
                <w:rFonts w:hint="eastAsia" w:ascii="宋体" w:hAnsi="宋体" w:eastAsia="宋体" w:cs="宋体"/>
                <w:i w:val="0"/>
                <w:iCs w:val="0"/>
                <w:color w:val="000000"/>
                <w:sz w:val="18"/>
                <w:szCs w:val="18"/>
                <w:u w:val="none"/>
                <w:lang w:val="en-US" w:eastAsia="zh-CN"/>
              </w:rPr>
              <w:t>万元</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77F95">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BA999">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FE423">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BA8BC">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满足招标文件要求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19754">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综合排序第1名</w:t>
            </w:r>
          </w:p>
        </w:tc>
      </w:tr>
    </w:tbl>
    <w:p w14:paraId="189F5D97">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对以上结果如有异议，可以自公示之日起3日内，向招标人提出。根据招标投标法及相关法规规定，投标人和直接参与并且与招投标活动有着直接利害关系的当事人有异议的，有权依法进行异议，提出异议时应注意以下事项：</w:t>
      </w:r>
    </w:p>
    <w:p w14:paraId="39F16AD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 异议必须在中标结果公示结束前以书面形式传真提出。 </w:t>
      </w:r>
    </w:p>
    <w:p w14:paraId="0748FABB">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2．应当提交异议书，并包括下列内容： </w:t>
      </w:r>
    </w:p>
    <w:p w14:paraId="35EFFB5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（1）异议人的名称、地址、联系人及有效联系方式；</w:t>
      </w:r>
    </w:p>
    <w:p w14:paraId="06096A55">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（2）被异议人的名称；  </w:t>
      </w:r>
    </w:p>
    <w:p w14:paraId="3C74FF6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（3）异议事项的基本事实；  </w:t>
      </w:r>
    </w:p>
    <w:p w14:paraId="2A49056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（4）有效线索和相关证明材料。 </w:t>
      </w:r>
    </w:p>
    <w:p w14:paraId="1BF42B6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3．异议人为法人的，异议书必须由其法定代表人或者授权代表签字并加盖公章，同时还需提交授权委托书；异议人为个人的，异议书必须由异议人本人签字，并附有效身份证明，由本人提交。 </w:t>
      </w:r>
    </w:p>
    <w:p w14:paraId="73642D6B">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4．下列异议将不予接收：  </w:t>
      </w:r>
    </w:p>
    <w:p w14:paraId="530C7F8B">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（1）在中标结果公示结束后提出的；</w:t>
      </w:r>
    </w:p>
    <w:p w14:paraId="057CA05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（2）异议人不能证明是所异议招标投标活动的投标人和直接参与并且与招投标活动有着直接利害关系的当事人；</w:t>
      </w:r>
    </w:p>
    <w:p w14:paraId="3631F3D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（3）异议事项不具体，且未提供有效线索，难以查证的；</w:t>
      </w:r>
    </w:p>
    <w:p w14:paraId="6C634F7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（4）对异议事项已经答复，且异议人没有提出新的证据的。</w:t>
      </w:r>
    </w:p>
    <w:p w14:paraId="447F6FB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 异议人不得以异议为名排挤竞争对手，进行虚假、恶意异议，阻碍招标投标活动的正常进行。</w:t>
      </w:r>
    </w:p>
    <w:p w14:paraId="670C9EFF">
      <w:pPr>
        <w:pStyle w:val="9"/>
        <w:keepNext w:val="0"/>
        <w:keepLines w:val="0"/>
        <w:widowControl/>
        <w:suppressLineNumbers w:val="0"/>
        <w:ind w:left="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lang w:val="en-US" w:eastAsia="zh-CN"/>
        </w:rPr>
        <w:t>（024）66131862</w:t>
      </w:r>
    </w:p>
    <w:p w14:paraId="4FAB77D9">
      <w:pPr>
        <w:pStyle w:val="9"/>
        <w:keepNext w:val="0"/>
        <w:keepLines w:val="0"/>
        <w:widowControl/>
        <w:suppressLineNumbers w:val="0"/>
        <w:ind w:left="0" w:leftChars="0" w:firstLine="0" w:firstLineChars="0"/>
        <w:rPr>
          <w:rFonts w:hint="eastAsia" w:ascii="宋体" w:hAnsi="宋体" w:eastAsia="宋体" w:cs="宋体"/>
          <w:sz w:val="24"/>
          <w:szCs w:val="24"/>
          <w:highlight w:val="none"/>
        </w:rPr>
      </w:pPr>
    </w:p>
    <w:p w14:paraId="5A9E77BF">
      <w:pPr>
        <w:keepNext w:val="0"/>
        <w:keepLines w:val="0"/>
        <w:pageBreakBefore w:val="0"/>
        <w:kinsoku/>
        <w:wordWrap/>
        <w:overflowPunct/>
        <w:topLinePunct w:val="0"/>
        <w:autoSpaceDE/>
        <w:autoSpaceDN/>
        <w:bidi w:val="0"/>
        <w:adjustRightInd w:val="0"/>
        <w:snapToGrid w:val="0"/>
        <w:spacing w:line="360" w:lineRule="auto"/>
        <w:ind w:firstLine="0" w:firstLineChars="0"/>
        <w:jc w:val="right"/>
        <w:textAlignment w:val="auto"/>
        <w:rPr>
          <w:rFonts w:hint="eastAsia" w:ascii="宋体" w:hAnsi="宋体" w:eastAsia="宋体" w:cs="宋体"/>
          <w:sz w:val="24"/>
          <w:szCs w:val="24"/>
          <w:highlight w:val="none"/>
        </w:rPr>
      </w:pPr>
    </w:p>
    <w:p w14:paraId="71CFF82D">
      <w:pPr>
        <w:keepNext w:val="0"/>
        <w:keepLines w:val="0"/>
        <w:pageBreakBefore w:val="0"/>
        <w:kinsoku/>
        <w:wordWrap/>
        <w:overflowPunct/>
        <w:topLinePunct w:val="0"/>
        <w:autoSpaceDE/>
        <w:autoSpaceDN/>
        <w:bidi w:val="0"/>
        <w:adjustRightInd w:val="0"/>
        <w:snapToGrid w:val="0"/>
        <w:spacing w:line="360" w:lineRule="auto"/>
        <w:ind w:firstLine="0" w:firstLineChars="0"/>
        <w:jc w:val="right"/>
        <w:textAlignment w:val="auto"/>
        <w:rPr>
          <w:rFonts w:hint="eastAsia" w:ascii="宋体" w:hAnsi="宋体" w:eastAsia="宋体" w:cs="宋体"/>
          <w:sz w:val="24"/>
          <w:szCs w:val="24"/>
          <w:highlight w:val="none"/>
        </w:rPr>
      </w:pPr>
    </w:p>
    <w:p w14:paraId="2CAC91CB">
      <w:pPr>
        <w:keepNext w:val="0"/>
        <w:keepLines w:val="0"/>
        <w:pageBreakBefore w:val="0"/>
        <w:kinsoku/>
        <w:wordWrap/>
        <w:overflowPunct/>
        <w:topLinePunct w:val="0"/>
        <w:autoSpaceDE/>
        <w:autoSpaceDN/>
        <w:bidi w:val="0"/>
        <w:adjustRightInd w:val="0"/>
        <w:snapToGrid w:val="0"/>
        <w:spacing w:line="360" w:lineRule="auto"/>
        <w:ind w:firstLine="0" w:firstLineChars="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招标代理机构：辽宁电力能源发展集团有限公司 </w:t>
      </w:r>
    </w:p>
    <w:p w14:paraId="35486038">
      <w:pPr>
        <w:spacing w:line="580" w:lineRule="exact"/>
        <w:ind w:firstLine="600"/>
        <w:jc w:val="right"/>
        <w:rPr>
          <w:rFonts w:hint="eastAsia" w:ascii="宋体" w:hAnsi="宋体" w:eastAsia="宋体" w:cs="宋体"/>
          <w:sz w:val="24"/>
          <w:szCs w:val="24"/>
          <w:highlight w:val="none"/>
          <w:lang w:val="en-US" w:eastAsia="zh-CN"/>
        </w:rPr>
        <w:sectPr>
          <w:footerReference r:id="rId5" w:type="default"/>
          <w:pgSz w:w="11906" w:h="16838"/>
          <w:pgMar w:top="1327" w:right="1349" w:bottom="1327" w:left="1349"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宋体" w:hAnsi="宋体" w:cs="宋体"/>
          <w:sz w:val="24"/>
          <w:szCs w:val="24"/>
          <w:highlight w:val="none"/>
          <w:lang w:val="en-US" w:eastAsia="zh-CN"/>
        </w:rPr>
        <w:t>2025</w:t>
      </w:r>
      <w:r>
        <w:rPr>
          <w:rFonts w:hint="eastAsia" w:ascii="宋体" w:hAnsi="宋体" w:eastAsia="宋体" w:cs="宋体"/>
          <w:sz w:val="24"/>
          <w:szCs w:val="24"/>
          <w:highlight w:val="none"/>
          <w:lang w:val="en-US" w:eastAsia="zh-CN"/>
        </w:rPr>
        <w:t>年6月25日</w:t>
      </w:r>
    </w:p>
    <w:p w14:paraId="07D529D6">
      <w:pPr>
        <w:widowControl w:val="0"/>
        <w:adjustRightInd/>
        <w:snapToGrid/>
        <w:spacing w:line="360" w:lineRule="auto"/>
        <w:jc w:val="center"/>
        <w:rPr>
          <w:rFonts w:ascii="宋体" w:hAnsi="宋体" w:eastAsia="宋体" w:cs="宋体"/>
          <w:sz w:val="28"/>
          <w:szCs w:val="28"/>
        </w:rPr>
      </w:pPr>
      <w:r>
        <w:rPr>
          <w:rFonts w:hint="eastAsia" w:ascii="宋体" w:hAnsi="宋体" w:eastAsia="宋体" w:cs="宋体"/>
          <w:b/>
          <w:bCs/>
          <w:sz w:val="28"/>
          <w:szCs w:val="28"/>
          <w:lang w:eastAsia="zh-CN"/>
        </w:rPr>
        <w:t>国网辽宁电力2025年原集体企业、子公司及战新产业第一次服务区域（送变电）联合授权公开招标采购</w:t>
      </w:r>
      <w:r>
        <w:rPr>
          <w:rFonts w:hint="eastAsia" w:ascii="宋体" w:hAnsi="宋体" w:eastAsia="宋体" w:cs="宋体"/>
          <w:b/>
          <w:bCs/>
          <w:sz w:val="28"/>
          <w:szCs w:val="28"/>
        </w:rPr>
        <w:t>否决原因公示</w:t>
      </w:r>
    </w:p>
    <w:p w14:paraId="5CD73A57">
      <w:pPr>
        <w:spacing w:line="580" w:lineRule="exact"/>
        <w:ind w:firstLine="600"/>
        <w:rPr>
          <w:rFonts w:ascii="宋体" w:hAnsi="宋体" w:eastAsia="宋体" w:cs="宋体"/>
          <w:sz w:val="28"/>
          <w:szCs w:val="28"/>
        </w:rPr>
      </w:pPr>
      <w:r>
        <w:rPr>
          <w:rFonts w:hint="eastAsia" w:ascii="宋体" w:hAnsi="宋体" w:eastAsia="宋体" w:cs="宋体"/>
          <w:sz w:val="28"/>
          <w:szCs w:val="28"/>
        </w:rPr>
        <w:t>各相关投标人：</w:t>
      </w:r>
    </w:p>
    <w:p w14:paraId="3FDFD71C">
      <w:pPr>
        <w:spacing w:line="580" w:lineRule="exact"/>
        <w:ind w:firstLine="600"/>
        <w:rPr>
          <w:rFonts w:ascii="宋体" w:hAnsi="宋体" w:eastAsia="宋体" w:cs="宋体"/>
          <w:sz w:val="28"/>
          <w:szCs w:val="28"/>
        </w:rPr>
      </w:pPr>
      <w:r>
        <w:rPr>
          <w:rFonts w:hint="eastAsia" w:ascii="宋体" w:hAnsi="宋体" w:eastAsia="宋体" w:cs="宋体"/>
          <w:sz w:val="28"/>
          <w:szCs w:val="28"/>
          <w:lang w:eastAsia="zh-CN"/>
        </w:rPr>
        <w:t>国网辽宁电力2025年原集体企业、子公司及战新产业第一次服务区域（送变电）联合授权公开招标采购</w:t>
      </w:r>
      <w:r>
        <w:rPr>
          <w:rFonts w:hint="eastAsia" w:ascii="宋体" w:hAnsi="宋体" w:eastAsia="宋体" w:cs="宋体"/>
          <w:sz w:val="28"/>
          <w:szCs w:val="28"/>
        </w:rPr>
        <w:t>评标工作已完成，现将评标有关主要否决原因公示如下。</w:t>
      </w:r>
    </w:p>
    <w:p w14:paraId="749A3547">
      <w:pPr>
        <w:numPr>
          <w:ilvl w:val="0"/>
          <w:numId w:val="0"/>
        </w:numPr>
        <w:ind w:firstLine="560" w:firstLineChars="200"/>
        <w:rPr>
          <w:rFonts w:ascii="宋体" w:hAnsi="宋体" w:eastAsia="宋体" w:cs="宋体"/>
          <w:sz w:val="28"/>
          <w:szCs w:val="28"/>
        </w:rPr>
      </w:pPr>
      <w:bookmarkStart w:id="1" w:name="未进入详评原因表"/>
      <w:bookmarkEnd w:id="1"/>
      <w:r>
        <w:rPr>
          <w:rFonts w:ascii="宋体" w:hAnsi="宋体" w:eastAsia="宋体" w:cs="宋体"/>
          <w:kern w:val="2"/>
          <w:sz w:val="28"/>
          <w:szCs w:val="28"/>
          <w:lang w:val="en-US" w:eastAsia="zh-CN" w:bidi="ar-SA"/>
        </w:rPr>
        <w:t>1．</w:t>
      </w:r>
      <w:r>
        <w:rPr>
          <w:rFonts w:hint="eastAsia" w:ascii="宋体" w:hAnsi="宋体" w:eastAsia="宋体" w:cs="宋体"/>
          <w:sz w:val="28"/>
          <w:szCs w:val="28"/>
        </w:rPr>
        <w:t>安装调试-后勤施工服务分标未进入详评原因</w:t>
      </w:r>
    </w:p>
    <w:tbl>
      <w:tblPr>
        <w:tblStyle w:val="13"/>
        <w:tblW w:w="8730" w:type="dxa"/>
        <w:jc w:val="center"/>
        <w:tblBorders>
          <w:top w:val="double" w:color="auto" w:sz="4" w:space="0"/>
          <w:left w:val="none" w:color="auto" w:sz="0" w:space="0"/>
          <w:bottom w:val="double" w:color="auto" w:sz="4" w:space="0"/>
          <w:right w:val="none" w:color="auto" w:sz="0" w:space="0"/>
          <w:insideH w:val="single" w:color="auto" w:sz="8" w:space="0"/>
          <w:insideV w:val="single" w:color="auto" w:sz="8" w:space="0"/>
        </w:tblBorders>
        <w:tblLayout w:type="fixed"/>
        <w:tblCellMar>
          <w:top w:w="0" w:type="dxa"/>
          <w:left w:w="0" w:type="dxa"/>
          <w:bottom w:w="0" w:type="dxa"/>
          <w:right w:w="0" w:type="dxa"/>
        </w:tblCellMar>
      </w:tblPr>
      <w:tblGrid>
        <w:gridCol w:w="894"/>
        <w:gridCol w:w="2549"/>
        <w:gridCol w:w="2516"/>
        <w:gridCol w:w="2771"/>
      </w:tblGrid>
      <w:tr w14:paraId="54351352">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539" w:hRule="atLeast"/>
          <w:jc w:val="center"/>
        </w:trPr>
        <w:tc>
          <w:tcPr>
            <w:tcW w:w="894" w:type="dxa"/>
            <w:vAlign w:val="center"/>
          </w:tcPr>
          <w:p w14:paraId="447D3700">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序号</w:t>
            </w:r>
          </w:p>
        </w:tc>
        <w:tc>
          <w:tcPr>
            <w:tcW w:w="2549" w:type="dxa"/>
            <w:vAlign w:val="center"/>
          </w:tcPr>
          <w:p w14:paraId="2DE4385F">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未进入详评原因</w:t>
            </w:r>
          </w:p>
        </w:tc>
        <w:tc>
          <w:tcPr>
            <w:tcW w:w="2516" w:type="dxa"/>
            <w:vAlign w:val="center"/>
          </w:tcPr>
          <w:p w14:paraId="08DBDB28">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未实质响应的投标人数量</w:t>
            </w:r>
          </w:p>
        </w:tc>
        <w:tc>
          <w:tcPr>
            <w:tcW w:w="2771" w:type="dxa"/>
            <w:vAlign w:val="center"/>
          </w:tcPr>
          <w:p w14:paraId="5EA33FD1">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未实质响应的投标文件份数</w:t>
            </w:r>
          </w:p>
        </w:tc>
      </w:tr>
      <w:tr w14:paraId="4E31EC47">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3297EF04">
            <w:pPr>
              <w:spacing w:before="100" w:beforeAutospacing="1" w:after="100" w:afterAutospacing="1"/>
              <w:ind w:left="0" w:leftChars="0"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2549" w:type="dxa"/>
            <w:vAlign w:val="center"/>
          </w:tcPr>
          <w:p w14:paraId="29AC8AFA">
            <w:pPr>
              <w:ind w:left="0" w:leftChars="0" w:firstLine="0" w:firstLineChars="0"/>
              <w:jc w:val="center"/>
              <w:textAlignment w:val="center"/>
              <w:rPr>
                <w:rFonts w:ascii="宋体" w:hAnsi="宋体" w:eastAsia="宋体" w:cs="宋体"/>
                <w:sz w:val="21"/>
                <w:szCs w:val="21"/>
              </w:rPr>
            </w:pPr>
            <w:r>
              <w:rPr>
                <w:rFonts w:hint="eastAsia" w:ascii="宋体" w:hAnsi="宋体" w:eastAsia="宋体" w:cs="宋体"/>
                <w:color w:val="000000"/>
                <w:sz w:val="24"/>
                <w:szCs w:val="24"/>
                <w:lang w:val="en-US" w:eastAsia="zh-CN" w:bidi="ar"/>
              </w:rPr>
              <w:t>资格不符</w:t>
            </w:r>
          </w:p>
        </w:tc>
        <w:tc>
          <w:tcPr>
            <w:tcW w:w="2516" w:type="dxa"/>
            <w:vAlign w:val="center"/>
          </w:tcPr>
          <w:p w14:paraId="780E6CB7">
            <w:pPr>
              <w:ind w:left="0" w:leftChars="0"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2771" w:type="dxa"/>
            <w:vAlign w:val="center"/>
          </w:tcPr>
          <w:p w14:paraId="5332A159">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r>
    </w:tbl>
    <w:p w14:paraId="42455F7C">
      <w:pPr>
        <w:numPr>
          <w:ilvl w:val="0"/>
          <w:numId w:val="0"/>
        </w:numPr>
        <w:ind w:firstLine="560" w:firstLineChars="200"/>
        <w:rPr>
          <w:rFonts w:ascii="宋体" w:hAnsi="宋体" w:eastAsia="宋体" w:cs="宋体"/>
          <w:sz w:val="28"/>
          <w:szCs w:val="28"/>
        </w:rPr>
      </w:pPr>
      <w:r>
        <w:rPr>
          <w:rFonts w:ascii="宋体" w:hAnsi="宋体" w:eastAsia="宋体" w:cs="宋体"/>
          <w:kern w:val="2"/>
          <w:sz w:val="28"/>
          <w:szCs w:val="28"/>
          <w:lang w:val="en-US" w:eastAsia="zh-CN" w:bidi="ar-SA"/>
        </w:rPr>
        <w:t>2．</w:t>
      </w:r>
      <w:r>
        <w:rPr>
          <w:rFonts w:hint="eastAsia" w:ascii="宋体" w:hAnsi="宋体" w:eastAsia="宋体" w:cs="宋体"/>
          <w:sz w:val="28"/>
          <w:szCs w:val="28"/>
        </w:rPr>
        <w:t>辽能通讯施工分标未进入详评原因</w:t>
      </w:r>
    </w:p>
    <w:tbl>
      <w:tblPr>
        <w:tblStyle w:val="13"/>
        <w:tblW w:w="8730" w:type="dxa"/>
        <w:jc w:val="center"/>
        <w:tblBorders>
          <w:top w:val="double" w:color="auto" w:sz="4" w:space="0"/>
          <w:left w:val="none" w:color="auto" w:sz="0" w:space="0"/>
          <w:bottom w:val="double" w:color="auto" w:sz="4" w:space="0"/>
          <w:right w:val="none" w:color="auto" w:sz="0" w:space="0"/>
          <w:insideH w:val="single" w:color="auto" w:sz="8" w:space="0"/>
          <w:insideV w:val="single" w:color="auto" w:sz="8" w:space="0"/>
        </w:tblBorders>
        <w:tblLayout w:type="fixed"/>
        <w:tblCellMar>
          <w:top w:w="0" w:type="dxa"/>
          <w:left w:w="0" w:type="dxa"/>
          <w:bottom w:w="0" w:type="dxa"/>
          <w:right w:w="0" w:type="dxa"/>
        </w:tblCellMar>
      </w:tblPr>
      <w:tblGrid>
        <w:gridCol w:w="894"/>
        <w:gridCol w:w="2562"/>
        <w:gridCol w:w="2503"/>
        <w:gridCol w:w="2771"/>
      </w:tblGrid>
      <w:tr w14:paraId="3FC72E4F">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539" w:hRule="atLeast"/>
          <w:jc w:val="center"/>
        </w:trPr>
        <w:tc>
          <w:tcPr>
            <w:tcW w:w="894" w:type="dxa"/>
            <w:vAlign w:val="center"/>
          </w:tcPr>
          <w:p w14:paraId="389C3761">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序号</w:t>
            </w:r>
          </w:p>
        </w:tc>
        <w:tc>
          <w:tcPr>
            <w:tcW w:w="2562" w:type="dxa"/>
            <w:vAlign w:val="center"/>
          </w:tcPr>
          <w:p w14:paraId="1A21466F">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未进入详评原因</w:t>
            </w:r>
          </w:p>
        </w:tc>
        <w:tc>
          <w:tcPr>
            <w:tcW w:w="2503" w:type="dxa"/>
            <w:vAlign w:val="center"/>
          </w:tcPr>
          <w:p w14:paraId="1B8CFF78">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未实质响应的投标人数量</w:t>
            </w:r>
          </w:p>
        </w:tc>
        <w:tc>
          <w:tcPr>
            <w:tcW w:w="2771" w:type="dxa"/>
            <w:vAlign w:val="center"/>
          </w:tcPr>
          <w:p w14:paraId="7E7477B8">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未实质响应的投标文件份数</w:t>
            </w:r>
          </w:p>
        </w:tc>
      </w:tr>
      <w:tr w14:paraId="633FC73F">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7C0779A5">
            <w:pPr>
              <w:spacing w:before="100" w:beforeAutospacing="1" w:after="100" w:afterAutospacing="1"/>
              <w:ind w:left="0" w:leftChars="0"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2562" w:type="dxa"/>
            <w:vAlign w:val="center"/>
          </w:tcPr>
          <w:p w14:paraId="03EB6C54">
            <w:pPr>
              <w:ind w:left="0" w:leftChars="0" w:firstLine="0" w:firstLineChars="0"/>
              <w:jc w:val="center"/>
              <w:textAlignment w:val="center"/>
              <w:rPr>
                <w:rFonts w:ascii="宋体" w:hAnsi="宋体" w:eastAsia="宋体" w:cs="宋体"/>
                <w:sz w:val="21"/>
                <w:szCs w:val="21"/>
              </w:rPr>
            </w:pPr>
            <w:r>
              <w:rPr>
                <w:rFonts w:hint="eastAsia" w:ascii="宋体" w:hAnsi="宋体" w:eastAsia="宋体" w:cs="宋体"/>
                <w:color w:val="000000"/>
                <w:sz w:val="24"/>
                <w:szCs w:val="24"/>
                <w:lang w:val="en-US" w:eastAsia="zh-CN" w:bidi="ar"/>
              </w:rPr>
              <w:t>资格不符</w:t>
            </w:r>
          </w:p>
        </w:tc>
        <w:tc>
          <w:tcPr>
            <w:tcW w:w="2503" w:type="dxa"/>
            <w:vAlign w:val="center"/>
          </w:tcPr>
          <w:p w14:paraId="48251477">
            <w:pPr>
              <w:ind w:left="0" w:leftChars="0"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2771" w:type="dxa"/>
            <w:vAlign w:val="center"/>
          </w:tcPr>
          <w:p w14:paraId="03E9B575">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r>
    </w:tbl>
    <w:p w14:paraId="339414B6">
      <w:pPr>
        <w:numPr>
          <w:ilvl w:val="0"/>
          <w:numId w:val="0"/>
        </w:numPr>
        <w:ind w:firstLine="560" w:firstLineChars="200"/>
        <w:rPr>
          <w:rFonts w:ascii="宋体" w:hAnsi="宋体" w:eastAsia="宋体" w:cs="宋体"/>
          <w:sz w:val="28"/>
          <w:szCs w:val="28"/>
        </w:rPr>
      </w:pPr>
      <w:r>
        <w:rPr>
          <w:rFonts w:hint="eastAsia" w:ascii="宋体" w:hAnsi="宋体" w:eastAsia="宋体" w:cs="宋体"/>
          <w:kern w:val="2"/>
          <w:sz w:val="28"/>
          <w:szCs w:val="28"/>
          <w:lang w:val="en-US" w:eastAsia="zh-CN" w:bidi="ar-SA"/>
        </w:rPr>
        <w:t>3</w:t>
      </w:r>
      <w:r>
        <w:rPr>
          <w:rFonts w:ascii="宋体" w:hAnsi="宋体" w:eastAsia="宋体" w:cs="宋体"/>
          <w:kern w:val="2"/>
          <w:sz w:val="28"/>
          <w:szCs w:val="28"/>
          <w:lang w:val="en-US" w:eastAsia="zh-CN" w:bidi="ar-SA"/>
        </w:rPr>
        <w:t>．</w:t>
      </w:r>
      <w:r>
        <w:rPr>
          <w:rFonts w:hint="eastAsia" w:ascii="宋体" w:hAnsi="宋体" w:eastAsia="宋体" w:cs="宋体"/>
          <w:sz w:val="28"/>
          <w:szCs w:val="28"/>
        </w:rPr>
        <w:t>辽宁经济开发服务分标未进入详评原因</w:t>
      </w:r>
    </w:p>
    <w:tbl>
      <w:tblPr>
        <w:tblStyle w:val="13"/>
        <w:tblW w:w="8730" w:type="dxa"/>
        <w:jc w:val="center"/>
        <w:tblBorders>
          <w:top w:val="double" w:color="auto" w:sz="4" w:space="0"/>
          <w:left w:val="none" w:color="auto" w:sz="0" w:space="0"/>
          <w:bottom w:val="double" w:color="auto" w:sz="4" w:space="0"/>
          <w:right w:val="none" w:color="auto" w:sz="0" w:space="0"/>
          <w:insideH w:val="single" w:color="auto" w:sz="8" w:space="0"/>
          <w:insideV w:val="single" w:color="auto" w:sz="8" w:space="0"/>
        </w:tblBorders>
        <w:tblLayout w:type="fixed"/>
        <w:tblCellMar>
          <w:top w:w="0" w:type="dxa"/>
          <w:left w:w="0" w:type="dxa"/>
          <w:bottom w:w="0" w:type="dxa"/>
          <w:right w:w="0" w:type="dxa"/>
        </w:tblCellMar>
      </w:tblPr>
      <w:tblGrid>
        <w:gridCol w:w="894"/>
        <w:gridCol w:w="2562"/>
        <w:gridCol w:w="2503"/>
        <w:gridCol w:w="2771"/>
      </w:tblGrid>
      <w:tr w14:paraId="458F7B19">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539" w:hRule="atLeast"/>
          <w:jc w:val="center"/>
        </w:trPr>
        <w:tc>
          <w:tcPr>
            <w:tcW w:w="894" w:type="dxa"/>
            <w:vAlign w:val="center"/>
          </w:tcPr>
          <w:p w14:paraId="27D291E5">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序号</w:t>
            </w:r>
          </w:p>
        </w:tc>
        <w:tc>
          <w:tcPr>
            <w:tcW w:w="2562" w:type="dxa"/>
            <w:vAlign w:val="center"/>
          </w:tcPr>
          <w:p w14:paraId="7077FE7E">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未进入详评原因</w:t>
            </w:r>
          </w:p>
        </w:tc>
        <w:tc>
          <w:tcPr>
            <w:tcW w:w="2503" w:type="dxa"/>
            <w:vAlign w:val="center"/>
          </w:tcPr>
          <w:p w14:paraId="3F21081C">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未实质响应的投标人数量</w:t>
            </w:r>
          </w:p>
        </w:tc>
        <w:tc>
          <w:tcPr>
            <w:tcW w:w="2771" w:type="dxa"/>
            <w:vAlign w:val="center"/>
          </w:tcPr>
          <w:p w14:paraId="1F727342">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未实质响应的投标文件份数</w:t>
            </w:r>
          </w:p>
        </w:tc>
      </w:tr>
      <w:tr w14:paraId="29F87F3E">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237BCB97">
            <w:pPr>
              <w:spacing w:before="100" w:beforeAutospacing="1" w:after="100" w:afterAutospacing="1"/>
              <w:ind w:left="0" w:leftChars="0"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2562" w:type="dxa"/>
            <w:vAlign w:val="center"/>
          </w:tcPr>
          <w:p w14:paraId="2230A747">
            <w:pPr>
              <w:ind w:left="0" w:leftChars="0" w:firstLine="0" w:firstLineChars="0"/>
              <w:jc w:val="center"/>
              <w:textAlignment w:val="center"/>
              <w:rPr>
                <w:rFonts w:ascii="宋体" w:hAnsi="宋体" w:eastAsia="宋体" w:cs="宋体"/>
                <w:sz w:val="21"/>
                <w:szCs w:val="21"/>
              </w:rPr>
            </w:pPr>
            <w:r>
              <w:rPr>
                <w:rFonts w:hint="eastAsia" w:ascii="宋体" w:hAnsi="宋体" w:eastAsia="宋体" w:cs="宋体"/>
                <w:color w:val="000000"/>
                <w:sz w:val="24"/>
                <w:szCs w:val="24"/>
                <w:lang w:val="en-US" w:eastAsia="zh-CN" w:bidi="ar"/>
              </w:rPr>
              <w:t>格式内容</w:t>
            </w:r>
          </w:p>
        </w:tc>
        <w:tc>
          <w:tcPr>
            <w:tcW w:w="2503" w:type="dxa"/>
            <w:vAlign w:val="center"/>
          </w:tcPr>
          <w:p w14:paraId="72757020">
            <w:pPr>
              <w:ind w:left="0" w:leftChars="0"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2771" w:type="dxa"/>
            <w:vAlign w:val="center"/>
          </w:tcPr>
          <w:p w14:paraId="5D6E9294">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r>
    </w:tbl>
    <w:p w14:paraId="36D5E79F">
      <w:pPr>
        <w:numPr>
          <w:ilvl w:val="0"/>
          <w:numId w:val="0"/>
        </w:numPr>
        <w:ind w:firstLine="560" w:firstLineChars="200"/>
        <w:rPr>
          <w:rFonts w:ascii="宋体" w:hAnsi="宋体" w:eastAsia="宋体" w:cs="宋体"/>
          <w:sz w:val="28"/>
          <w:szCs w:val="28"/>
        </w:rPr>
      </w:pPr>
      <w:r>
        <w:rPr>
          <w:rFonts w:hint="eastAsia" w:ascii="宋体" w:hAnsi="宋体" w:eastAsia="宋体" w:cs="宋体"/>
          <w:kern w:val="2"/>
          <w:sz w:val="28"/>
          <w:szCs w:val="28"/>
          <w:lang w:val="en-US" w:eastAsia="zh-CN" w:bidi="ar-SA"/>
        </w:rPr>
        <w:t>4</w:t>
      </w:r>
      <w:r>
        <w:rPr>
          <w:rFonts w:ascii="宋体" w:hAnsi="宋体" w:eastAsia="宋体" w:cs="宋体"/>
          <w:kern w:val="2"/>
          <w:sz w:val="28"/>
          <w:szCs w:val="28"/>
          <w:lang w:val="en-US" w:eastAsia="zh-CN" w:bidi="ar-SA"/>
        </w:rPr>
        <w:t>．</w:t>
      </w:r>
      <w:r>
        <w:rPr>
          <w:rFonts w:hint="eastAsia" w:ascii="宋体" w:hAnsi="宋体" w:eastAsia="宋体" w:cs="宋体"/>
          <w:sz w:val="28"/>
          <w:szCs w:val="28"/>
        </w:rPr>
        <w:t>送变电服务分标未进入详评原因</w:t>
      </w:r>
    </w:p>
    <w:tbl>
      <w:tblPr>
        <w:tblStyle w:val="13"/>
        <w:tblW w:w="8730" w:type="dxa"/>
        <w:jc w:val="center"/>
        <w:tblBorders>
          <w:top w:val="double" w:color="auto" w:sz="4" w:space="0"/>
          <w:left w:val="none" w:color="auto" w:sz="0" w:space="0"/>
          <w:bottom w:val="double" w:color="auto" w:sz="4" w:space="0"/>
          <w:right w:val="none" w:color="auto" w:sz="0" w:space="0"/>
          <w:insideH w:val="single" w:color="auto" w:sz="8" w:space="0"/>
          <w:insideV w:val="single" w:color="auto" w:sz="8" w:space="0"/>
        </w:tblBorders>
        <w:tblLayout w:type="fixed"/>
        <w:tblCellMar>
          <w:top w:w="0" w:type="dxa"/>
          <w:left w:w="0" w:type="dxa"/>
          <w:bottom w:w="0" w:type="dxa"/>
          <w:right w:w="0" w:type="dxa"/>
        </w:tblCellMar>
      </w:tblPr>
      <w:tblGrid>
        <w:gridCol w:w="894"/>
        <w:gridCol w:w="2562"/>
        <w:gridCol w:w="2503"/>
        <w:gridCol w:w="2771"/>
      </w:tblGrid>
      <w:tr w14:paraId="2C394F16">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539" w:hRule="atLeast"/>
          <w:jc w:val="center"/>
        </w:trPr>
        <w:tc>
          <w:tcPr>
            <w:tcW w:w="894" w:type="dxa"/>
            <w:vAlign w:val="center"/>
          </w:tcPr>
          <w:p w14:paraId="400F0871">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序号</w:t>
            </w:r>
          </w:p>
        </w:tc>
        <w:tc>
          <w:tcPr>
            <w:tcW w:w="2562" w:type="dxa"/>
            <w:vAlign w:val="center"/>
          </w:tcPr>
          <w:p w14:paraId="574AC94A">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未进入详评原因</w:t>
            </w:r>
          </w:p>
        </w:tc>
        <w:tc>
          <w:tcPr>
            <w:tcW w:w="2503" w:type="dxa"/>
            <w:vAlign w:val="center"/>
          </w:tcPr>
          <w:p w14:paraId="5424E530">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未实质响应的投标人数量</w:t>
            </w:r>
          </w:p>
        </w:tc>
        <w:tc>
          <w:tcPr>
            <w:tcW w:w="2771" w:type="dxa"/>
            <w:vAlign w:val="center"/>
          </w:tcPr>
          <w:p w14:paraId="25F6BB66">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未实质响应的投标文件份数</w:t>
            </w:r>
          </w:p>
        </w:tc>
      </w:tr>
      <w:tr w14:paraId="5DDC214F">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220D4A3F">
            <w:pPr>
              <w:spacing w:before="100" w:beforeAutospacing="1" w:after="100" w:afterAutospacing="1"/>
              <w:ind w:left="0" w:leftChars="0"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2562" w:type="dxa"/>
            <w:vAlign w:val="center"/>
          </w:tcPr>
          <w:p w14:paraId="0D166DDE">
            <w:pPr>
              <w:ind w:left="0" w:leftChars="0" w:firstLine="0" w:firstLineChars="0"/>
              <w:jc w:val="center"/>
              <w:textAlignment w:val="center"/>
              <w:rPr>
                <w:rFonts w:ascii="宋体" w:hAnsi="宋体" w:eastAsia="宋体" w:cs="宋体"/>
                <w:sz w:val="21"/>
                <w:szCs w:val="21"/>
              </w:rPr>
            </w:pPr>
            <w:r>
              <w:rPr>
                <w:rFonts w:hint="eastAsia" w:ascii="宋体" w:hAnsi="宋体" w:eastAsia="宋体" w:cs="宋体"/>
                <w:color w:val="000000"/>
                <w:sz w:val="24"/>
                <w:szCs w:val="24"/>
                <w:lang w:val="en-US" w:eastAsia="zh-CN" w:bidi="ar"/>
              </w:rPr>
              <w:t>资格不符</w:t>
            </w:r>
          </w:p>
        </w:tc>
        <w:tc>
          <w:tcPr>
            <w:tcW w:w="2503" w:type="dxa"/>
            <w:vAlign w:val="center"/>
          </w:tcPr>
          <w:p w14:paraId="6B0BB950">
            <w:pPr>
              <w:ind w:left="0" w:leftChars="0"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2771" w:type="dxa"/>
            <w:vAlign w:val="center"/>
          </w:tcPr>
          <w:p w14:paraId="3FC98F14">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r>
    </w:tbl>
    <w:p w14:paraId="7A121148">
      <w:pPr>
        <w:numPr>
          <w:ilvl w:val="0"/>
          <w:numId w:val="0"/>
        </w:numPr>
        <w:ind w:firstLine="560" w:firstLineChars="200"/>
        <w:rPr>
          <w:rFonts w:ascii="宋体" w:hAnsi="宋体" w:eastAsia="宋体" w:cs="宋体"/>
          <w:sz w:val="28"/>
          <w:szCs w:val="28"/>
        </w:rPr>
      </w:pPr>
      <w:r>
        <w:rPr>
          <w:rFonts w:hint="eastAsia" w:ascii="宋体" w:hAnsi="宋体" w:eastAsia="宋体" w:cs="宋体"/>
          <w:kern w:val="2"/>
          <w:sz w:val="28"/>
          <w:szCs w:val="28"/>
          <w:lang w:val="en-US" w:eastAsia="zh-CN" w:bidi="ar-SA"/>
        </w:rPr>
        <w:t>5</w:t>
      </w:r>
      <w:r>
        <w:rPr>
          <w:rFonts w:ascii="宋体" w:hAnsi="宋体" w:eastAsia="宋体" w:cs="宋体"/>
          <w:kern w:val="2"/>
          <w:sz w:val="28"/>
          <w:szCs w:val="28"/>
          <w:lang w:val="en-US" w:eastAsia="zh-CN" w:bidi="ar-SA"/>
        </w:rPr>
        <w:t>．</w:t>
      </w:r>
      <w:r>
        <w:rPr>
          <w:rFonts w:hint="eastAsia" w:ascii="宋体" w:hAnsi="宋体" w:eastAsia="宋体" w:cs="宋体"/>
          <w:sz w:val="28"/>
          <w:szCs w:val="28"/>
        </w:rPr>
        <w:t>送变电施工分标未进入详评原因</w:t>
      </w:r>
    </w:p>
    <w:tbl>
      <w:tblPr>
        <w:tblStyle w:val="13"/>
        <w:tblW w:w="8730" w:type="dxa"/>
        <w:jc w:val="center"/>
        <w:tblBorders>
          <w:top w:val="double" w:color="auto" w:sz="4" w:space="0"/>
          <w:left w:val="none" w:color="auto" w:sz="0" w:space="0"/>
          <w:bottom w:val="double" w:color="auto" w:sz="4" w:space="0"/>
          <w:right w:val="none" w:color="auto" w:sz="0" w:space="0"/>
          <w:insideH w:val="single" w:color="auto" w:sz="8" w:space="0"/>
          <w:insideV w:val="single" w:color="auto" w:sz="8" w:space="0"/>
        </w:tblBorders>
        <w:tblLayout w:type="fixed"/>
        <w:tblCellMar>
          <w:top w:w="0" w:type="dxa"/>
          <w:left w:w="0" w:type="dxa"/>
          <w:bottom w:w="0" w:type="dxa"/>
          <w:right w:w="0" w:type="dxa"/>
        </w:tblCellMar>
      </w:tblPr>
      <w:tblGrid>
        <w:gridCol w:w="894"/>
        <w:gridCol w:w="2562"/>
        <w:gridCol w:w="2503"/>
        <w:gridCol w:w="2771"/>
      </w:tblGrid>
      <w:tr w14:paraId="6800A454">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539" w:hRule="atLeast"/>
          <w:jc w:val="center"/>
        </w:trPr>
        <w:tc>
          <w:tcPr>
            <w:tcW w:w="894" w:type="dxa"/>
            <w:vAlign w:val="center"/>
          </w:tcPr>
          <w:p w14:paraId="0D33D498">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序号</w:t>
            </w:r>
          </w:p>
        </w:tc>
        <w:tc>
          <w:tcPr>
            <w:tcW w:w="2562" w:type="dxa"/>
            <w:vAlign w:val="center"/>
          </w:tcPr>
          <w:p w14:paraId="05AE81B4">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未进入详评原因</w:t>
            </w:r>
          </w:p>
        </w:tc>
        <w:tc>
          <w:tcPr>
            <w:tcW w:w="2503" w:type="dxa"/>
            <w:vAlign w:val="center"/>
          </w:tcPr>
          <w:p w14:paraId="6F9B3F2D">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未实质响应的投标人数量</w:t>
            </w:r>
          </w:p>
        </w:tc>
        <w:tc>
          <w:tcPr>
            <w:tcW w:w="2771" w:type="dxa"/>
            <w:vAlign w:val="center"/>
          </w:tcPr>
          <w:p w14:paraId="7B159ACE">
            <w:pPr>
              <w:spacing w:before="100" w:beforeAutospacing="1" w:after="100" w:afterAutospacing="1"/>
              <w:ind w:left="0" w:leftChars="0" w:firstLine="0" w:firstLineChars="0"/>
              <w:jc w:val="center"/>
              <w:rPr>
                <w:rFonts w:ascii="宋体" w:hAnsi="宋体" w:eastAsia="宋体" w:cs="宋体"/>
                <w:b/>
                <w:sz w:val="21"/>
                <w:szCs w:val="21"/>
              </w:rPr>
            </w:pPr>
            <w:r>
              <w:rPr>
                <w:rFonts w:hint="eastAsia" w:ascii="宋体" w:hAnsi="宋体" w:eastAsia="宋体" w:cs="宋体"/>
                <w:b/>
                <w:sz w:val="21"/>
                <w:szCs w:val="21"/>
              </w:rPr>
              <w:t>未实质响应的投标文件份数</w:t>
            </w:r>
          </w:p>
        </w:tc>
      </w:tr>
      <w:tr w14:paraId="15650984">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2D8DDB68">
            <w:pPr>
              <w:spacing w:before="100" w:beforeAutospacing="1" w:after="100" w:afterAutospacing="1"/>
              <w:ind w:left="0" w:leftChars="0"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2562" w:type="dxa"/>
            <w:vAlign w:val="center"/>
          </w:tcPr>
          <w:p w14:paraId="142D902A">
            <w:pPr>
              <w:ind w:left="0" w:leftChars="0" w:firstLine="0" w:firstLineChars="0"/>
              <w:jc w:val="center"/>
              <w:textAlignment w:val="center"/>
              <w:rPr>
                <w:rFonts w:ascii="宋体" w:hAnsi="宋体" w:eastAsia="宋体" w:cs="宋体"/>
                <w:sz w:val="21"/>
                <w:szCs w:val="21"/>
              </w:rPr>
            </w:pPr>
            <w:r>
              <w:rPr>
                <w:rFonts w:hint="eastAsia" w:ascii="宋体" w:hAnsi="宋体" w:eastAsia="宋体" w:cs="宋体"/>
                <w:color w:val="000000"/>
                <w:sz w:val="24"/>
                <w:szCs w:val="24"/>
                <w:lang w:val="en-US" w:eastAsia="zh-CN" w:bidi="ar"/>
              </w:rPr>
              <w:t>投标报价</w:t>
            </w:r>
          </w:p>
        </w:tc>
        <w:tc>
          <w:tcPr>
            <w:tcW w:w="2503" w:type="dxa"/>
            <w:vAlign w:val="center"/>
          </w:tcPr>
          <w:p w14:paraId="4B643A7F">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771" w:type="dxa"/>
            <w:vAlign w:val="center"/>
          </w:tcPr>
          <w:p w14:paraId="39C1E84B">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r>
      <w:tr w14:paraId="1C98E9C0">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60A7C129">
            <w:pPr>
              <w:spacing w:before="100" w:beforeAutospacing="1" w:after="100" w:afterAutospacing="1"/>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62" w:type="dxa"/>
            <w:vAlign w:val="center"/>
          </w:tcPr>
          <w:p w14:paraId="6F650965">
            <w:pPr>
              <w:ind w:left="0" w:leftChars="0" w:firstLine="0" w:firstLineChars="0"/>
              <w:jc w:val="center"/>
              <w:textAlignment w:val="center"/>
              <w:rPr>
                <w:rFonts w:hint="eastAsia" w:ascii="宋体" w:hAnsi="宋体" w:eastAsia="宋体" w:cs="宋体"/>
                <w:color w:val="000000"/>
                <w:sz w:val="24"/>
                <w:szCs w:val="24"/>
                <w:lang w:val="en-US" w:eastAsia="zh-CN" w:bidi="ar"/>
              </w:rPr>
            </w:pPr>
            <w:r>
              <w:rPr>
                <w:rFonts w:hint="eastAsia" w:ascii="宋体" w:hAnsi="宋体" w:eastAsia="宋体" w:cs="宋体"/>
                <w:color w:val="000000"/>
                <w:sz w:val="24"/>
                <w:szCs w:val="24"/>
                <w:lang w:val="en-US" w:eastAsia="zh-CN" w:bidi="ar"/>
              </w:rPr>
              <w:t>失信惩戒</w:t>
            </w:r>
          </w:p>
        </w:tc>
        <w:tc>
          <w:tcPr>
            <w:tcW w:w="2503" w:type="dxa"/>
            <w:vAlign w:val="center"/>
          </w:tcPr>
          <w:p w14:paraId="4B378B75">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771" w:type="dxa"/>
            <w:vAlign w:val="center"/>
          </w:tcPr>
          <w:p w14:paraId="420318CF">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r>
      <w:tr w14:paraId="622AC2E9">
        <w:tblPrEx>
          <w:tblBorders>
            <w:top w:val="double" w:color="auto" w:sz="4" w:space="0"/>
            <w:left w:val="none" w:color="auto" w:sz="0" w:space="0"/>
            <w:bottom w:val="double" w:color="auto" w:sz="4" w:space="0"/>
            <w:right w:val="none" w:color="auto" w:sz="0" w:space="0"/>
            <w:insideH w:val="single" w:color="auto" w:sz="8" w:space="0"/>
            <w:insideV w:val="single" w:color="auto" w:sz="8" w:space="0"/>
          </w:tblBorders>
          <w:tblCellMar>
            <w:top w:w="0" w:type="dxa"/>
            <w:left w:w="0" w:type="dxa"/>
            <w:bottom w:w="0" w:type="dxa"/>
            <w:right w:w="0" w:type="dxa"/>
          </w:tblCellMar>
        </w:tblPrEx>
        <w:trPr>
          <w:trHeight w:val="399" w:hRule="atLeast"/>
          <w:jc w:val="center"/>
        </w:trPr>
        <w:tc>
          <w:tcPr>
            <w:tcW w:w="894" w:type="dxa"/>
            <w:vAlign w:val="center"/>
          </w:tcPr>
          <w:p w14:paraId="327D1C50">
            <w:pPr>
              <w:spacing w:before="100" w:beforeAutospacing="1" w:after="100" w:afterAutospacing="1"/>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562" w:type="dxa"/>
            <w:vAlign w:val="center"/>
          </w:tcPr>
          <w:p w14:paraId="2FA4168C">
            <w:pPr>
              <w:ind w:left="0" w:leftChars="0" w:firstLine="0" w:firstLineChars="0"/>
              <w:jc w:val="center"/>
              <w:textAlignment w:val="center"/>
              <w:rPr>
                <w:rFonts w:hint="eastAsia" w:ascii="宋体" w:hAnsi="宋体" w:eastAsia="宋体" w:cs="宋体"/>
                <w:color w:val="000000"/>
                <w:sz w:val="24"/>
                <w:szCs w:val="24"/>
                <w:lang w:val="en-US" w:eastAsia="zh-CN" w:bidi="ar"/>
              </w:rPr>
            </w:pPr>
            <w:r>
              <w:rPr>
                <w:rFonts w:hint="eastAsia" w:ascii="宋体" w:hAnsi="宋体" w:eastAsia="宋体" w:cs="宋体"/>
                <w:color w:val="000000"/>
                <w:sz w:val="24"/>
                <w:szCs w:val="24"/>
                <w:lang w:val="en-US" w:eastAsia="zh-CN" w:bidi="ar"/>
              </w:rPr>
              <w:t>格式内容</w:t>
            </w:r>
          </w:p>
        </w:tc>
        <w:tc>
          <w:tcPr>
            <w:tcW w:w="2503" w:type="dxa"/>
            <w:vAlign w:val="center"/>
          </w:tcPr>
          <w:p w14:paraId="501B284E">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771" w:type="dxa"/>
            <w:vAlign w:val="center"/>
          </w:tcPr>
          <w:p w14:paraId="3F8D05EC">
            <w:pPr>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r>
    </w:tbl>
    <w:p w14:paraId="048A7BCF">
      <w:pPr>
        <w:spacing w:line="360" w:lineRule="auto"/>
        <w:ind w:right="640" w:firstLine="560"/>
        <w:rPr>
          <w:rFonts w:hint="eastAsia" w:ascii="宋体" w:hAnsi="宋体" w:eastAsia="宋体" w:cs="宋体"/>
          <w:sz w:val="28"/>
          <w:szCs w:val="28"/>
        </w:rPr>
      </w:pPr>
    </w:p>
    <w:p w14:paraId="075C9B1D">
      <w:pPr>
        <w:spacing w:line="360" w:lineRule="auto"/>
        <w:ind w:right="640" w:firstLine="560"/>
        <w:rPr>
          <w:rFonts w:ascii="宋体" w:hAnsi="宋体" w:eastAsia="宋体" w:cs="宋体"/>
          <w:sz w:val="28"/>
          <w:szCs w:val="28"/>
        </w:rPr>
      </w:pPr>
      <w:r>
        <w:rPr>
          <w:rFonts w:hint="eastAsia" w:ascii="宋体" w:hAnsi="宋体" w:eastAsia="宋体" w:cs="宋体"/>
          <w:sz w:val="28"/>
          <w:szCs w:val="28"/>
        </w:rPr>
        <w:t>特此公示。</w:t>
      </w:r>
    </w:p>
    <w:p w14:paraId="0FE163F7">
      <w:pPr>
        <w:spacing w:line="220" w:lineRule="atLeast"/>
        <w:jc w:val="right"/>
        <w:rPr>
          <w:rFonts w:ascii="宋体" w:hAnsi="宋体" w:eastAsia="宋体" w:cs="宋体"/>
          <w:bCs/>
          <w:sz w:val="28"/>
          <w:szCs w:val="28"/>
        </w:rPr>
      </w:pPr>
      <w:r>
        <w:rPr>
          <w:rFonts w:hint="eastAsia" w:ascii="宋体" w:hAnsi="宋体" w:eastAsia="宋体" w:cs="宋体"/>
          <w:sz w:val="28"/>
          <w:szCs w:val="28"/>
        </w:rPr>
        <w:t xml:space="preserve">                      </w:t>
      </w:r>
      <w:r>
        <w:rPr>
          <w:rFonts w:hint="eastAsia" w:ascii="宋体" w:hAnsi="宋体" w:eastAsia="宋体" w:cs="宋体"/>
          <w:bCs/>
          <w:sz w:val="28"/>
          <w:szCs w:val="28"/>
        </w:rPr>
        <w:t>辽宁电力能源发展集团有限公司</w:t>
      </w:r>
    </w:p>
    <w:p w14:paraId="4B92A7A1">
      <w:pPr>
        <w:pStyle w:val="15"/>
        <w:ind w:left="0" w:leftChars="0" w:firstLine="0" w:firstLineChars="0"/>
        <w:jc w:val="right"/>
        <w:rPr>
          <w:rFonts w:hint="eastAsia"/>
        </w:rPr>
      </w:pP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年</w:t>
      </w:r>
      <w:r>
        <w:rPr>
          <w:rFonts w:hint="eastAsia" w:ascii="宋体" w:hAnsi="宋体" w:eastAsia="宋体" w:cs="宋体"/>
          <w:sz w:val="28"/>
          <w:szCs w:val="28"/>
          <w:lang w:val="en-US" w:eastAsia="zh-CN"/>
        </w:rPr>
        <w:t>6</w:t>
      </w:r>
      <w:r>
        <w:rPr>
          <w:rFonts w:hint="eastAsia" w:ascii="宋体" w:hAnsi="宋体" w:eastAsia="宋体" w:cs="宋体"/>
          <w:sz w:val="28"/>
          <w:szCs w:val="28"/>
        </w:rPr>
        <w:t>月</w:t>
      </w:r>
      <w:r>
        <w:rPr>
          <w:rFonts w:hint="eastAsia" w:ascii="宋体" w:hAnsi="宋体" w:cs="宋体"/>
          <w:sz w:val="28"/>
          <w:szCs w:val="28"/>
          <w:lang w:val="en-US" w:eastAsia="zh-CN"/>
        </w:rPr>
        <w:t>25</w:t>
      </w:r>
      <w:bookmarkStart w:id="2" w:name="_GoBack"/>
      <w:bookmarkEnd w:id="2"/>
      <w:r>
        <w:rPr>
          <w:rFonts w:hint="eastAsia" w:ascii="宋体" w:hAnsi="宋体" w:eastAsia="宋体" w:cs="宋体"/>
          <w:sz w:val="28"/>
          <w:szCs w:val="28"/>
        </w:rPr>
        <w:t>日</w:t>
      </w:r>
    </w:p>
    <w:sectPr>
      <w:pgSz w:w="11906" w:h="16838"/>
      <w:pgMar w:top="1327" w:right="1349" w:bottom="1327" w:left="1349"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BC45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3D8E2C">
                          <w:pPr>
                            <w:pStyle w:val="6"/>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33D8E2C">
                    <w:pPr>
                      <w:pStyle w:val="6"/>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ODY3YzZhN2M5ZWMzOWMyMGQ3MThlMDg4ZWQ2NGMifQ=="/>
    <w:docVar w:name="KSO_WPS_MARK_KEY" w:val="2d4409fb-8ae9-4ea1-9230-0b250ae27634"/>
  </w:docVars>
  <w:rsids>
    <w:rsidRoot w:val="57564C08"/>
    <w:rsid w:val="00B735FD"/>
    <w:rsid w:val="00BE1545"/>
    <w:rsid w:val="00DE1BE7"/>
    <w:rsid w:val="012D0479"/>
    <w:rsid w:val="014D4677"/>
    <w:rsid w:val="01D34B7C"/>
    <w:rsid w:val="01E52B01"/>
    <w:rsid w:val="01FF45A2"/>
    <w:rsid w:val="020C2470"/>
    <w:rsid w:val="02306473"/>
    <w:rsid w:val="026954E1"/>
    <w:rsid w:val="027D2D3A"/>
    <w:rsid w:val="02F32FFC"/>
    <w:rsid w:val="032C0E55"/>
    <w:rsid w:val="033755DF"/>
    <w:rsid w:val="03842365"/>
    <w:rsid w:val="038D3451"/>
    <w:rsid w:val="03D64DF8"/>
    <w:rsid w:val="03E4267B"/>
    <w:rsid w:val="0442423B"/>
    <w:rsid w:val="046D7FF1"/>
    <w:rsid w:val="04762137"/>
    <w:rsid w:val="04893C18"/>
    <w:rsid w:val="04BB50C7"/>
    <w:rsid w:val="04BD30A7"/>
    <w:rsid w:val="054E77E6"/>
    <w:rsid w:val="05515654"/>
    <w:rsid w:val="05656433"/>
    <w:rsid w:val="058640B3"/>
    <w:rsid w:val="05CA5E7F"/>
    <w:rsid w:val="05CF5FA2"/>
    <w:rsid w:val="05F45A09"/>
    <w:rsid w:val="06367DD0"/>
    <w:rsid w:val="064416AA"/>
    <w:rsid w:val="06596626"/>
    <w:rsid w:val="067803E8"/>
    <w:rsid w:val="06933735"/>
    <w:rsid w:val="06B50CF4"/>
    <w:rsid w:val="06C16A51"/>
    <w:rsid w:val="06EC6A6F"/>
    <w:rsid w:val="07137059"/>
    <w:rsid w:val="07261BF2"/>
    <w:rsid w:val="07500A1D"/>
    <w:rsid w:val="07504EC1"/>
    <w:rsid w:val="07534901"/>
    <w:rsid w:val="077E37DC"/>
    <w:rsid w:val="077E7375"/>
    <w:rsid w:val="07C5765D"/>
    <w:rsid w:val="085A5FF7"/>
    <w:rsid w:val="086A5B0F"/>
    <w:rsid w:val="08AF2F0D"/>
    <w:rsid w:val="08F875BE"/>
    <w:rsid w:val="09392FAE"/>
    <w:rsid w:val="0949606C"/>
    <w:rsid w:val="09B2776D"/>
    <w:rsid w:val="09E85885"/>
    <w:rsid w:val="0A165611"/>
    <w:rsid w:val="0A375F6B"/>
    <w:rsid w:val="0A717628"/>
    <w:rsid w:val="0B1701D0"/>
    <w:rsid w:val="0B4502EB"/>
    <w:rsid w:val="0B8E7D66"/>
    <w:rsid w:val="0BF059ED"/>
    <w:rsid w:val="0C465A64"/>
    <w:rsid w:val="0C811679"/>
    <w:rsid w:val="0C9D6AC4"/>
    <w:rsid w:val="0C9E047D"/>
    <w:rsid w:val="0CCF0636"/>
    <w:rsid w:val="0CD43523"/>
    <w:rsid w:val="0CDA7707"/>
    <w:rsid w:val="0D18022F"/>
    <w:rsid w:val="0D3F4828"/>
    <w:rsid w:val="0D5C45C0"/>
    <w:rsid w:val="0D6D2164"/>
    <w:rsid w:val="0D7116ED"/>
    <w:rsid w:val="0E3A5F83"/>
    <w:rsid w:val="0E693052"/>
    <w:rsid w:val="0E7B6CC7"/>
    <w:rsid w:val="0E947D89"/>
    <w:rsid w:val="0EBC098F"/>
    <w:rsid w:val="0ECC750E"/>
    <w:rsid w:val="0ED5374C"/>
    <w:rsid w:val="0EDE6E75"/>
    <w:rsid w:val="0F075542"/>
    <w:rsid w:val="0F307AB2"/>
    <w:rsid w:val="0F3D3F7D"/>
    <w:rsid w:val="10030D22"/>
    <w:rsid w:val="100313BA"/>
    <w:rsid w:val="1064777A"/>
    <w:rsid w:val="109A0F5B"/>
    <w:rsid w:val="10DA1EAA"/>
    <w:rsid w:val="113D2012"/>
    <w:rsid w:val="119D5A6B"/>
    <w:rsid w:val="119F1755"/>
    <w:rsid w:val="11BD13A5"/>
    <w:rsid w:val="11F40D07"/>
    <w:rsid w:val="12A8795F"/>
    <w:rsid w:val="12B46304"/>
    <w:rsid w:val="12C80001"/>
    <w:rsid w:val="132C233E"/>
    <w:rsid w:val="140C7370"/>
    <w:rsid w:val="146649B4"/>
    <w:rsid w:val="146B6E96"/>
    <w:rsid w:val="14A30D26"/>
    <w:rsid w:val="14AE3BDD"/>
    <w:rsid w:val="14B06ECA"/>
    <w:rsid w:val="14C907CD"/>
    <w:rsid w:val="14DC71FD"/>
    <w:rsid w:val="150D2643"/>
    <w:rsid w:val="15A93AAA"/>
    <w:rsid w:val="15B91BCC"/>
    <w:rsid w:val="15BC3653"/>
    <w:rsid w:val="15E74C42"/>
    <w:rsid w:val="15F20A54"/>
    <w:rsid w:val="16007AB2"/>
    <w:rsid w:val="161A6DC6"/>
    <w:rsid w:val="16327340"/>
    <w:rsid w:val="16367DDA"/>
    <w:rsid w:val="16396B51"/>
    <w:rsid w:val="16612C47"/>
    <w:rsid w:val="172D0D7B"/>
    <w:rsid w:val="17553350"/>
    <w:rsid w:val="176C18A3"/>
    <w:rsid w:val="17914E66"/>
    <w:rsid w:val="17C3523B"/>
    <w:rsid w:val="17CA65CA"/>
    <w:rsid w:val="17CE60BA"/>
    <w:rsid w:val="17F67CF3"/>
    <w:rsid w:val="182126BC"/>
    <w:rsid w:val="18463EA2"/>
    <w:rsid w:val="185354FE"/>
    <w:rsid w:val="18E27640"/>
    <w:rsid w:val="190D2C12"/>
    <w:rsid w:val="192835A8"/>
    <w:rsid w:val="193811D5"/>
    <w:rsid w:val="199114DD"/>
    <w:rsid w:val="1A2A3350"/>
    <w:rsid w:val="1A2E4BEE"/>
    <w:rsid w:val="1A506A37"/>
    <w:rsid w:val="1A974E89"/>
    <w:rsid w:val="1AA41B8E"/>
    <w:rsid w:val="1AB87B7E"/>
    <w:rsid w:val="1AD339E7"/>
    <w:rsid w:val="1AE259D8"/>
    <w:rsid w:val="1B073BAB"/>
    <w:rsid w:val="1B083691"/>
    <w:rsid w:val="1B28788F"/>
    <w:rsid w:val="1B446693"/>
    <w:rsid w:val="1B5E7755"/>
    <w:rsid w:val="1BAC5EE5"/>
    <w:rsid w:val="1BE0016A"/>
    <w:rsid w:val="1C4F52EF"/>
    <w:rsid w:val="1C5745F9"/>
    <w:rsid w:val="1C6922AF"/>
    <w:rsid w:val="1D0E51AB"/>
    <w:rsid w:val="1DAA7589"/>
    <w:rsid w:val="1DAB0595"/>
    <w:rsid w:val="1DE71F43"/>
    <w:rsid w:val="1DFD14A7"/>
    <w:rsid w:val="1E2F5BEF"/>
    <w:rsid w:val="1E623046"/>
    <w:rsid w:val="1EB15448"/>
    <w:rsid w:val="1ED3045A"/>
    <w:rsid w:val="1EFC15D5"/>
    <w:rsid w:val="1F0B3750"/>
    <w:rsid w:val="1F426768"/>
    <w:rsid w:val="1F5F3A9B"/>
    <w:rsid w:val="1FC83040"/>
    <w:rsid w:val="200B32D3"/>
    <w:rsid w:val="20482782"/>
    <w:rsid w:val="208C08C0"/>
    <w:rsid w:val="20CE2B02"/>
    <w:rsid w:val="21A34632"/>
    <w:rsid w:val="21E169EA"/>
    <w:rsid w:val="22271C0E"/>
    <w:rsid w:val="22433DDE"/>
    <w:rsid w:val="226A43FB"/>
    <w:rsid w:val="22C00CF5"/>
    <w:rsid w:val="22CC31F6"/>
    <w:rsid w:val="22F17100"/>
    <w:rsid w:val="2355768F"/>
    <w:rsid w:val="23C640E9"/>
    <w:rsid w:val="2409221B"/>
    <w:rsid w:val="2435126F"/>
    <w:rsid w:val="24D01EE1"/>
    <w:rsid w:val="24E16D01"/>
    <w:rsid w:val="24FA6740"/>
    <w:rsid w:val="250C15AD"/>
    <w:rsid w:val="25287E7F"/>
    <w:rsid w:val="255816B9"/>
    <w:rsid w:val="256D51DF"/>
    <w:rsid w:val="25C7488F"/>
    <w:rsid w:val="26492DAF"/>
    <w:rsid w:val="266A3046"/>
    <w:rsid w:val="26AF4822"/>
    <w:rsid w:val="26C54B2C"/>
    <w:rsid w:val="27113522"/>
    <w:rsid w:val="27E64D5A"/>
    <w:rsid w:val="28425D08"/>
    <w:rsid w:val="28504DDB"/>
    <w:rsid w:val="28AA34F6"/>
    <w:rsid w:val="28D41EA5"/>
    <w:rsid w:val="28FA6826"/>
    <w:rsid w:val="29004AEB"/>
    <w:rsid w:val="293F1DFC"/>
    <w:rsid w:val="29A053DC"/>
    <w:rsid w:val="29AC1FD3"/>
    <w:rsid w:val="29D43F8D"/>
    <w:rsid w:val="2A30050E"/>
    <w:rsid w:val="2A4C14A2"/>
    <w:rsid w:val="2A4E7AC9"/>
    <w:rsid w:val="2A693A20"/>
    <w:rsid w:val="2A7F4FF2"/>
    <w:rsid w:val="2AF05EF0"/>
    <w:rsid w:val="2AF93BE6"/>
    <w:rsid w:val="2BE04B36"/>
    <w:rsid w:val="2C361AFC"/>
    <w:rsid w:val="2C9F197B"/>
    <w:rsid w:val="2D095047"/>
    <w:rsid w:val="2D834DF9"/>
    <w:rsid w:val="2D8D7A26"/>
    <w:rsid w:val="2DA01E4F"/>
    <w:rsid w:val="2DC01BA9"/>
    <w:rsid w:val="2DC805E4"/>
    <w:rsid w:val="2DFE0923"/>
    <w:rsid w:val="2E2B796A"/>
    <w:rsid w:val="2E425E44"/>
    <w:rsid w:val="2ECC5D9B"/>
    <w:rsid w:val="2F263B51"/>
    <w:rsid w:val="2F6824F8"/>
    <w:rsid w:val="2F91606A"/>
    <w:rsid w:val="2FA86D99"/>
    <w:rsid w:val="2FB92D54"/>
    <w:rsid w:val="30665178"/>
    <w:rsid w:val="30A752A2"/>
    <w:rsid w:val="30DC319E"/>
    <w:rsid w:val="30F2674F"/>
    <w:rsid w:val="312A197D"/>
    <w:rsid w:val="31436D79"/>
    <w:rsid w:val="314D7BF8"/>
    <w:rsid w:val="319F5F79"/>
    <w:rsid w:val="31B36AB3"/>
    <w:rsid w:val="32026C34"/>
    <w:rsid w:val="322F37A1"/>
    <w:rsid w:val="324A11D1"/>
    <w:rsid w:val="328238D1"/>
    <w:rsid w:val="3295040F"/>
    <w:rsid w:val="329B2BE5"/>
    <w:rsid w:val="33233306"/>
    <w:rsid w:val="332D5F33"/>
    <w:rsid w:val="33705C39"/>
    <w:rsid w:val="33AD5EAB"/>
    <w:rsid w:val="33C060D1"/>
    <w:rsid w:val="342911F8"/>
    <w:rsid w:val="34425155"/>
    <w:rsid w:val="34427ED3"/>
    <w:rsid w:val="344A041F"/>
    <w:rsid w:val="347D25A2"/>
    <w:rsid w:val="34821FDB"/>
    <w:rsid w:val="34A37D74"/>
    <w:rsid w:val="34D6032B"/>
    <w:rsid w:val="35150A2C"/>
    <w:rsid w:val="355C665B"/>
    <w:rsid w:val="35D32B5A"/>
    <w:rsid w:val="35F9034E"/>
    <w:rsid w:val="36034D29"/>
    <w:rsid w:val="3623361D"/>
    <w:rsid w:val="364C4922"/>
    <w:rsid w:val="36BE0BD7"/>
    <w:rsid w:val="37540543"/>
    <w:rsid w:val="37664322"/>
    <w:rsid w:val="376C68FE"/>
    <w:rsid w:val="379F0A81"/>
    <w:rsid w:val="386F1750"/>
    <w:rsid w:val="38887767"/>
    <w:rsid w:val="390F145E"/>
    <w:rsid w:val="399A3BF6"/>
    <w:rsid w:val="39F74BA5"/>
    <w:rsid w:val="3A483652"/>
    <w:rsid w:val="3A9648E3"/>
    <w:rsid w:val="3B135A0E"/>
    <w:rsid w:val="3B2319C9"/>
    <w:rsid w:val="3B590236"/>
    <w:rsid w:val="3B903503"/>
    <w:rsid w:val="3BA66882"/>
    <w:rsid w:val="3BD333EF"/>
    <w:rsid w:val="3BF70E8C"/>
    <w:rsid w:val="3C1D466B"/>
    <w:rsid w:val="3C6D55F2"/>
    <w:rsid w:val="3CBC3E83"/>
    <w:rsid w:val="3D251A29"/>
    <w:rsid w:val="3DA2751D"/>
    <w:rsid w:val="3DBD2FD7"/>
    <w:rsid w:val="3E0B0C1F"/>
    <w:rsid w:val="3E175815"/>
    <w:rsid w:val="3E375EB7"/>
    <w:rsid w:val="3E3A1504"/>
    <w:rsid w:val="3E9E7CE5"/>
    <w:rsid w:val="3EE70B02"/>
    <w:rsid w:val="3F116709"/>
    <w:rsid w:val="3F23643C"/>
    <w:rsid w:val="3F485EA2"/>
    <w:rsid w:val="3F865559"/>
    <w:rsid w:val="3F9F1F66"/>
    <w:rsid w:val="3FB62E0C"/>
    <w:rsid w:val="3FC25C55"/>
    <w:rsid w:val="3FE756BB"/>
    <w:rsid w:val="3FF6334C"/>
    <w:rsid w:val="40506D9D"/>
    <w:rsid w:val="40610FCA"/>
    <w:rsid w:val="407D1B7C"/>
    <w:rsid w:val="40912CB2"/>
    <w:rsid w:val="40B557B9"/>
    <w:rsid w:val="40CB6D8B"/>
    <w:rsid w:val="40D667E7"/>
    <w:rsid w:val="40F40090"/>
    <w:rsid w:val="410F6C78"/>
    <w:rsid w:val="414173C3"/>
    <w:rsid w:val="41474664"/>
    <w:rsid w:val="416B1C74"/>
    <w:rsid w:val="418D3E9C"/>
    <w:rsid w:val="41C52A97"/>
    <w:rsid w:val="41DA42D4"/>
    <w:rsid w:val="42370EC7"/>
    <w:rsid w:val="423A1A4D"/>
    <w:rsid w:val="4246491B"/>
    <w:rsid w:val="42772D26"/>
    <w:rsid w:val="42997141"/>
    <w:rsid w:val="42B15B0D"/>
    <w:rsid w:val="43095949"/>
    <w:rsid w:val="438D0328"/>
    <w:rsid w:val="43AC2EA4"/>
    <w:rsid w:val="442347E8"/>
    <w:rsid w:val="44CD66A5"/>
    <w:rsid w:val="450D34CE"/>
    <w:rsid w:val="45B157A7"/>
    <w:rsid w:val="45DE1EB5"/>
    <w:rsid w:val="45F20916"/>
    <w:rsid w:val="472E597E"/>
    <w:rsid w:val="473131E2"/>
    <w:rsid w:val="475F3D89"/>
    <w:rsid w:val="47680E90"/>
    <w:rsid w:val="479153AF"/>
    <w:rsid w:val="47E30E5E"/>
    <w:rsid w:val="480F138F"/>
    <w:rsid w:val="482E20D9"/>
    <w:rsid w:val="484D62D8"/>
    <w:rsid w:val="487970CD"/>
    <w:rsid w:val="48873598"/>
    <w:rsid w:val="488A12DA"/>
    <w:rsid w:val="48A6478A"/>
    <w:rsid w:val="48BD345D"/>
    <w:rsid w:val="48F0738F"/>
    <w:rsid w:val="49177011"/>
    <w:rsid w:val="49290512"/>
    <w:rsid w:val="492C389B"/>
    <w:rsid w:val="49721B60"/>
    <w:rsid w:val="4A080E59"/>
    <w:rsid w:val="4A0C7E6B"/>
    <w:rsid w:val="4A130AD9"/>
    <w:rsid w:val="4A425A05"/>
    <w:rsid w:val="4A6242BC"/>
    <w:rsid w:val="4A731BD9"/>
    <w:rsid w:val="4A7E09CA"/>
    <w:rsid w:val="4AF15640"/>
    <w:rsid w:val="4B571947"/>
    <w:rsid w:val="4B68366B"/>
    <w:rsid w:val="4B730EEF"/>
    <w:rsid w:val="4BA821A3"/>
    <w:rsid w:val="4BD72A33"/>
    <w:rsid w:val="4C074DC8"/>
    <w:rsid w:val="4C0826AB"/>
    <w:rsid w:val="4C3645C0"/>
    <w:rsid w:val="4C473CD7"/>
    <w:rsid w:val="4C4C5224"/>
    <w:rsid w:val="4D785BA5"/>
    <w:rsid w:val="4D7B5FE1"/>
    <w:rsid w:val="4DBD2686"/>
    <w:rsid w:val="4E742810"/>
    <w:rsid w:val="4E796078"/>
    <w:rsid w:val="4EBE1CDD"/>
    <w:rsid w:val="4EC80F21"/>
    <w:rsid w:val="4ED41176"/>
    <w:rsid w:val="4EE51018"/>
    <w:rsid w:val="4EED167C"/>
    <w:rsid w:val="4EED2CA4"/>
    <w:rsid w:val="4F18763F"/>
    <w:rsid w:val="4F55619D"/>
    <w:rsid w:val="4F5B1E4A"/>
    <w:rsid w:val="4F6B6C12"/>
    <w:rsid w:val="4FAE1D52"/>
    <w:rsid w:val="4FBA24A4"/>
    <w:rsid w:val="501E0185"/>
    <w:rsid w:val="50CD6207"/>
    <w:rsid w:val="50E772C9"/>
    <w:rsid w:val="5100482F"/>
    <w:rsid w:val="510C4F82"/>
    <w:rsid w:val="51CB317A"/>
    <w:rsid w:val="51E743FD"/>
    <w:rsid w:val="521F1763"/>
    <w:rsid w:val="52326C6A"/>
    <w:rsid w:val="5287044A"/>
    <w:rsid w:val="52952D55"/>
    <w:rsid w:val="52A92A0E"/>
    <w:rsid w:val="52DB2011"/>
    <w:rsid w:val="535627DB"/>
    <w:rsid w:val="535844AE"/>
    <w:rsid w:val="53761E9C"/>
    <w:rsid w:val="537C386B"/>
    <w:rsid w:val="54876008"/>
    <w:rsid w:val="54CD4A28"/>
    <w:rsid w:val="54E35FFA"/>
    <w:rsid w:val="551560C9"/>
    <w:rsid w:val="5560589C"/>
    <w:rsid w:val="55644F91"/>
    <w:rsid w:val="5596306C"/>
    <w:rsid w:val="55B1434A"/>
    <w:rsid w:val="55C21C29"/>
    <w:rsid w:val="55C91E76"/>
    <w:rsid w:val="55E03C02"/>
    <w:rsid w:val="55F81F79"/>
    <w:rsid w:val="567E247E"/>
    <w:rsid w:val="568D446F"/>
    <w:rsid w:val="56AE2637"/>
    <w:rsid w:val="56EE7DDD"/>
    <w:rsid w:val="56F87366"/>
    <w:rsid w:val="57386756"/>
    <w:rsid w:val="57390A0F"/>
    <w:rsid w:val="57564C08"/>
    <w:rsid w:val="57664CC0"/>
    <w:rsid w:val="578A6C00"/>
    <w:rsid w:val="57A077D0"/>
    <w:rsid w:val="57C93BCD"/>
    <w:rsid w:val="57D53CE8"/>
    <w:rsid w:val="580E208A"/>
    <w:rsid w:val="58134E48"/>
    <w:rsid w:val="585F790C"/>
    <w:rsid w:val="59006A12"/>
    <w:rsid w:val="598002BB"/>
    <w:rsid w:val="59D336CE"/>
    <w:rsid w:val="59EA607C"/>
    <w:rsid w:val="5A117165"/>
    <w:rsid w:val="5A5D72AA"/>
    <w:rsid w:val="5A6F20DD"/>
    <w:rsid w:val="5A72084D"/>
    <w:rsid w:val="5AC42429"/>
    <w:rsid w:val="5ADA7E9F"/>
    <w:rsid w:val="5B1038C0"/>
    <w:rsid w:val="5B1C2265"/>
    <w:rsid w:val="5B2716E7"/>
    <w:rsid w:val="5B7E3E84"/>
    <w:rsid w:val="5BC546AB"/>
    <w:rsid w:val="5C642116"/>
    <w:rsid w:val="5C78796F"/>
    <w:rsid w:val="5CE40B61"/>
    <w:rsid w:val="5D280F11"/>
    <w:rsid w:val="5D641CA2"/>
    <w:rsid w:val="5D6832D1"/>
    <w:rsid w:val="5D913A11"/>
    <w:rsid w:val="5D997B9D"/>
    <w:rsid w:val="5DAA1DAA"/>
    <w:rsid w:val="5DB6074F"/>
    <w:rsid w:val="5EBA33A2"/>
    <w:rsid w:val="5EDC2437"/>
    <w:rsid w:val="5EDF7832"/>
    <w:rsid w:val="5EF66FDC"/>
    <w:rsid w:val="5F6E0BB6"/>
    <w:rsid w:val="5FC627A0"/>
    <w:rsid w:val="5FE45AFE"/>
    <w:rsid w:val="605A03A2"/>
    <w:rsid w:val="613F280A"/>
    <w:rsid w:val="61B76A2B"/>
    <w:rsid w:val="61C84EF5"/>
    <w:rsid w:val="61E76B2A"/>
    <w:rsid w:val="61E84C4F"/>
    <w:rsid w:val="6200468F"/>
    <w:rsid w:val="62206ADF"/>
    <w:rsid w:val="622B7232"/>
    <w:rsid w:val="629628FD"/>
    <w:rsid w:val="62970ADC"/>
    <w:rsid w:val="62C54F90"/>
    <w:rsid w:val="62EE44E7"/>
    <w:rsid w:val="62F37D50"/>
    <w:rsid w:val="62FE202A"/>
    <w:rsid w:val="63942B39"/>
    <w:rsid w:val="63E853DA"/>
    <w:rsid w:val="64104931"/>
    <w:rsid w:val="642A77A1"/>
    <w:rsid w:val="64DE2339"/>
    <w:rsid w:val="64F1206D"/>
    <w:rsid w:val="64FB113D"/>
    <w:rsid w:val="654B1221"/>
    <w:rsid w:val="65757142"/>
    <w:rsid w:val="65A75576"/>
    <w:rsid w:val="65A92947"/>
    <w:rsid w:val="65AE6102"/>
    <w:rsid w:val="65D774B5"/>
    <w:rsid w:val="65DC062E"/>
    <w:rsid w:val="65E676F8"/>
    <w:rsid w:val="66707D0E"/>
    <w:rsid w:val="66C577DE"/>
    <w:rsid w:val="6733571B"/>
    <w:rsid w:val="67C54791"/>
    <w:rsid w:val="67D3322C"/>
    <w:rsid w:val="67E4235D"/>
    <w:rsid w:val="681D761D"/>
    <w:rsid w:val="684B33D8"/>
    <w:rsid w:val="686A6833"/>
    <w:rsid w:val="687B4A20"/>
    <w:rsid w:val="687C2595"/>
    <w:rsid w:val="68ED6FEF"/>
    <w:rsid w:val="69465E3E"/>
    <w:rsid w:val="697119CE"/>
    <w:rsid w:val="699851AD"/>
    <w:rsid w:val="69C45FA2"/>
    <w:rsid w:val="69C53AC8"/>
    <w:rsid w:val="69CF4947"/>
    <w:rsid w:val="6A5C267E"/>
    <w:rsid w:val="6A8A06CD"/>
    <w:rsid w:val="6ABF2E26"/>
    <w:rsid w:val="6B0D1EDA"/>
    <w:rsid w:val="6B1940CB"/>
    <w:rsid w:val="6B9661E2"/>
    <w:rsid w:val="6BCA186A"/>
    <w:rsid w:val="6C293FE6"/>
    <w:rsid w:val="6C2947E2"/>
    <w:rsid w:val="6C3A254B"/>
    <w:rsid w:val="6C426CB1"/>
    <w:rsid w:val="6C53360D"/>
    <w:rsid w:val="6C5775A1"/>
    <w:rsid w:val="6CD26C28"/>
    <w:rsid w:val="6CD52274"/>
    <w:rsid w:val="6CDF1345"/>
    <w:rsid w:val="6D030C38"/>
    <w:rsid w:val="6D0D1A0E"/>
    <w:rsid w:val="6D527D69"/>
    <w:rsid w:val="6DDB1B0C"/>
    <w:rsid w:val="6E315BD0"/>
    <w:rsid w:val="6E31797E"/>
    <w:rsid w:val="6E3F209B"/>
    <w:rsid w:val="6E445903"/>
    <w:rsid w:val="6E446A9E"/>
    <w:rsid w:val="6E661D1D"/>
    <w:rsid w:val="6EA12D56"/>
    <w:rsid w:val="6EB26D11"/>
    <w:rsid w:val="6EE113A4"/>
    <w:rsid w:val="6F35524C"/>
    <w:rsid w:val="6F467459"/>
    <w:rsid w:val="70182BA3"/>
    <w:rsid w:val="70207CAA"/>
    <w:rsid w:val="70761FC0"/>
    <w:rsid w:val="70912956"/>
    <w:rsid w:val="70BC5C25"/>
    <w:rsid w:val="710650F2"/>
    <w:rsid w:val="71094BE2"/>
    <w:rsid w:val="718304F0"/>
    <w:rsid w:val="718918F8"/>
    <w:rsid w:val="71B40FF2"/>
    <w:rsid w:val="71C92DED"/>
    <w:rsid w:val="720B208F"/>
    <w:rsid w:val="722364BC"/>
    <w:rsid w:val="72573A33"/>
    <w:rsid w:val="730C2768"/>
    <w:rsid w:val="73422584"/>
    <w:rsid w:val="735F0AE9"/>
    <w:rsid w:val="7379604F"/>
    <w:rsid w:val="73886484"/>
    <w:rsid w:val="73A34E7A"/>
    <w:rsid w:val="73C92EDF"/>
    <w:rsid w:val="73E75849"/>
    <w:rsid w:val="74044652"/>
    <w:rsid w:val="740F0761"/>
    <w:rsid w:val="747E1443"/>
    <w:rsid w:val="74FF4332"/>
    <w:rsid w:val="750951B1"/>
    <w:rsid w:val="753D3531"/>
    <w:rsid w:val="7553467E"/>
    <w:rsid w:val="75600A10"/>
    <w:rsid w:val="759C4277"/>
    <w:rsid w:val="75A4312B"/>
    <w:rsid w:val="75A629FF"/>
    <w:rsid w:val="75B07D22"/>
    <w:rsid w:val="75B415C0"/>
    <w:rsid w:val="75BA64AB"/>
    <w:rsid w:val="75CC208A"/>
    <w:rsid w:val="75E822F1"/>
    <w:rsid w:val="7614034F"/>
    <w:rsid w:val="76361FD5"/>
    <w:rsid w:val="76380C6F"/>
    <w:rsid w:val="777440BD"/>
    <w:rsid w:val="777C4360"/>
    <w:rsid w:val="783E1615"/>
    <w:rsid w:val="784A33A1"/>
    <w:rsid w:val="78760DAF"/>
    <w:rsid w:val="78D36201"/>
    <w:rsid w:val="78EB6C36"/>
    <w:rsid w:val="7927654D"/>
    <w:rsid w:val="79475E67"/>
    <w:rsid w:val="79892D64"/>
    <w:rsid w:val="79F2165F"/>
    <w:rsid w:val="7A06222D"/>
    <w:rsid w:val="7A097A01"/>
    <w:rsid w:val="7A445B3E"/>
    <w:rsid w:val="7A6B2CEA"/>
    <w:rsid w:val="7A980B7B"/>
    <w:rsid w:val="7ADE0A28"/>
    <w:rsid w:val="7AF4245F"/>
    <w:rsid w:val="7AF62CA3"/>
    <w:rsid w:val="7B3C2D92"/>
    <w:rsid w:val="7B3C7443"/>
    <w:rsid w:val="7B723FA0"/>
    <w:rsid w:val="7B7470FC"/>
    <w:rsid w:val="7BA774D1"/>
    <w:rsid w:val="7BC40083"/>
    <w:rsid w:val="7BC65BA9"/>
    <w:rsid w:val="7BDE7967"/>
    <w:rsid w:val="7BFD5343"/>
    <w:rsid w:val="7C19365E"/>
    <w:rsid w:val="7C52743D"/>
    <w:rsid w:val="7C532955"/>
    <w:rsid w:val="7C6349C9"/>
    <w:rsid w:val="7C835849"/>
    <w:rsid w:val="7C9165BD"/>
    <w:rsid w:val="7C966987"/>
    <w:rsid w:val="7CA852AF"/>
    <w:rsid w:val="7CDB38D7"/>
    <w:rsid w:val="7D044280"/>
    <w:rsid w:val="7D1961AD"/>
    <w:rsid w:val="7D2863F0"/>
    <w:rsid w:val="7D380D29"/>
    <w:rsid w:val="7D965A4F"/>
    <w:rsid w:val="7E1A3F8B"/>
    <w:rsid w:val="7E4F5CCB"/>
    <w:rsid w:val="7E503E50"/>
    <w:rsid w:val="7EC81C39"/>
    <w:rsid w:val="7EF944E8"/>
    <w:rsid w:val="7FBA0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ascii="方正仿宋_GBK" w:hAnsi="Times New Roman" w:eastAsia="方正仿宋_GBK" w:cs="Times New Roman"/>
      <w:kern w:val="2"/>
      <w:sz w:val="32"/>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Body Text"/>
    <w:basedOn w:val="1"/>
    <w:next w:val="1"/>
    <w:unhideWhenUsed/>
    <w:qFormat/>
    <w:uiPriority w:val="1"/>
    <w:pPr>
      <w:ind w:left="100"/>
    </w:pPr>
    <w:rPr>
      <w:rFonts w:ascii="宋体" w:hAnsi="宋体"/>
      <w:sz w:val="21"/>
      <w:szCs w:val="21"/>
    </w:rPr>
  </w:style>
  <w:style w:type="paragraph" w:styleId="5">
    <w:name w:val="Body Text Indent"/>
    <w:basedOn w:val="1"/>
    <w:qFormat/>
    <w:uiPriority w:val="0"/>
    <w:pPr>
      <w:autoSpaceDE w:val="0"/>
      <w:autoSpaceDN w:val="0"/>
      <w:spacing w:after="120"/>
      <w:ind w:left="420"/>
    </w:pPr>
    <w:rPr>
      <w:rFonts w:ascii="Times New Roman" w:hAnsi="Times New Roman" w:cs="Times New Roman"/>
      <w:szCs w:val="24"/>
      <w:lang w:val="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1"/>
    <w:qFormat/>
    <w:uiPriority w:val="0"/>
    <w:pPr>
      <w:ind w:left="200" w:hanging="200" w:hangingChars="200"/>
      <w:contextualSpacing/>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Title"/>
    <w:basedOn w:val="1"/>
    <w:next w:val="1"/>
    <w:qFormat/>
    <w:uiPriority w:val="10"/>
    <w:pPr>
      <w:spacing w:before="240" w:after="60"/>
      <w:jc w:val="center"/>
      <w:outlineLvl w:val="0"/>
    </w:pPr>
    <w:rPr>
      <w:rFonts w:ascii="Cambria" w:hAnsi="Cambria"/>
      <w:b/>
      <w:bCs/>
      <w:sz w:val="32"/>
      <w:szCs w:val="32"/>
    </w:rPr>
  </w:style>
  <w:style w:type="paragraph" w:styleId="11">
    <w:name w:val="Body Text First Indent 2"/>
    <w:basedOn w:val="5"/>
    <w:next w:val="12"/>
    <w:qFormat/>
    <w:uiPriority w:val="0"/>
    <w:pPr>
      <w:ind w:firstLine="420"/>
    </w:pPr>
    <w:rPr>
      <w:lang w:bidi="zh-CN"/>
    </w:rPr>
  </w:style>
  <w:style w:type="paragraph" w:customStyle="1" w:styleId="12">
    <w:name w:val="表格文字"/>
    <w:basedOn w:val="8"/>
    <w:next w:val="1"/>
    <w:qFormat/>
    <w:uiPriority w:val="0"/>
    <w:pPr>
      <w:ind w:firstLine="0" w:firstLineChars="0"/>
      <w:jc w:val="center"/>
    </w:pPr>
    <w:rPr>
      <w:szCs w:val="20"/>
    </w:rPr>
  </w:style>
  <w:style w:type="paragraph" w:styleId="15">
    <w:name w:val="List Paragraph"/>
    <w:basedOn w:val="1"/>
    <w:qFormat/>
    <w:uiPriority w:val="0"/>
    <w:pPr>
      <w:ind w:firstLine="420" w:firstLineChars="200"/>
    </w:pPr>
    <w:rPr>
      <w:rFonts w:ascii="Times New Roman" w:hAnsi="Times New Roman" w:eastAsia="宋体" w:cs="Times New Roman"/>
      <w:szCs w:val="21"/>
    </w:rPr>
  </w:style>
  <w:style w:type="paragraph" w:customStyle="1" w:styleId="16">
    <w:name w:val="列出段落1"/>
    <w:basedOn w:val="1"/>
    <w:qFormat/>
    <w:uiPriority w:val="0"/>
    <w:pPr>
      <w:ind w:firstLine="420" w:firstLineChars="200"/>
    </w:pPr>
    <w:rPr>
      <w:szCs w:val="20"/>
    </w:rPr>
  </w:style>
  <w:style w:type="paragraph" w:customStyle="1" w:styleId="17">
    <w:name w:val="列表段落1"/>
    <w:basedOn w:val="1"/>
    <w:qFormat/>
    <w:uiPriority w:val="0"/>
    <w:pPr>
      <w:ind w:firstLine="420" w:firstLineChars="200"/>
    </w:pPr>
    <w:rPr>
      <w:rFonts w:hint="eastAsia" w:ascii="Calibri" w:hAnsi="Calibri"/>
    </w:rPr>
  </w:style>
  <w:style w:type="paragraph" w:customStyle="1" w:styleId="18">
    <w:name w:val="彩色列表1"/>
    <w:basedOn w:val="1"/>
    <w:qFormat/>
    <w:uiPriority w:val="0"/>
    <w:pPr>
      <w:ind w:firstLine="420" w:firstLineChars="200"/>
    </w:pPr>
    <w:rPr>
      <w:rFonts w:hint="eastAsia" w:ascii="Calibri" w:hAnsi="Calibri"/>
    </w:rPr>
  </w:style>
  <w:style w:type="character" w:customStyle="1" w:styleId="19">
    <w:name w:val="font81"/>
    <w:basedOn w:val="14"/>
    <w:qFormat/>
    <w:uiPriority w:val="0"/>
    <w:rPr>
      <w:rFonts w:hint="eastAsia" w:ascii="宋体" w:hAnsi="宋体" w:eastAsia="宋体" w:cs="宋体"/>
      <w:color w:val="000000"/>
      <w:sz w:val="20"/>
      <w:szCs w:val="20"/>
      <w:u w:val="none"/>
    </w:rPr>
  </w:style>
  <w:style w:type="character" w:customStyle="1" w:styleId="20">
    <w:name w:val="font61"/>
    <w:basedOn w:val="14"/>
    <w:qFormat/>
    <w:uiPriority w:val="0"/>
    <w:rPr>
      <w:rFonts w:hint="eastAsia" w:ascii="宋体" w:hAnsi="宋体" w:eastAsia="宋体" w:cs="宋体"/>
      <w:b/>
      <w:bCs/>
      <w:color w:val="000000"/>
      <w:sz w:val="18"/>
      <w:szCs w:val="18"/>
      <w:u w:val="none"/>
    </w:rPr>
  </w:style>
  <w:style w:type="character" w:customStyle="1" w:styleId="21">
    <w:name w:val="font71"/>
    <w:basedOn w:val="1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4684</Words>
  <Characters>5665</Characters>
  <Lines>0</Lines>
  <Paragraphs>0</Paragraphs>
  <TotalTime>14</TotalTime>
  <ScaleCrop>false</ScaleCrop>
  <LinksUpToDate>false</LinksUpToDate>
  <CharactersWithSpaces>5668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2019-12-31T03:18:00Z</dcterms:created>
  <dc:creator>jiang</dc:creator>
  <cp:lastModifiedBy>jiang</cp:lastModifiedBy>
  <dcterms:modified xsi:type="dcterms:W3CDTF">2025-06-25T02:29:25Z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382673AF9333473AA287531C83061A57</vt:lpwstr>
  </property>
  <property fmtid="{D5CDD505-2E9C-101B-9397-08002B2CF9AE}" pid="4" name="KSOTemplateDocerSaveRecord">
    <vt:lpwstr>eyJoZGlkIjoiOTZmNDY3ZTJhY2JjYzEyNGUwM2ZlMjhiYjc4NWY2ODgiLCJ1c2VySWQiOiI2MDU0NzE2NTgifQ==</vt:lpwstr>
  </property>
</Properties>
</file>