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80E61A">
      <w:pPr>
        <w:pStyle w:val="2"/>
        <w:spacing w:line="400" w:lineRule="exact"/>
        <w:ind w:firstLine="560"/>
        <w:rPr>
          <w:rFonts w:hint="eastAsia" w:ascii="Times New Roman" w:hAnsi="Times New Roman"/>
          <w:color w:val="000000"/>
          <w:sz w:val="20"/>
        </w:rPr>
      </w:pPr>
    </w:p>
    <w:p w14:paraId="0CDAAC16">
      <w:pPr>
        <w:rPr>
          <w:rFonts w:ascii="Times New Roman" w:hAnsi="Times New Roman"/>
          <w:color w:val="000000"/>
          <w:sz w:val="44"/>
          <w:szCs w:val="36"/>
        </w:rPr>
      </w:pPr>
    </w:p>
    <w:p w14:paraId="583C3A61">
      <w:pPr>
        <w:pStyle w:val="29"/>
        <w:rPr>
          <w:rFonts w:ascii="Times New Roman" w:hAnsi="Times New Roman"/>
          <w:color w:val="000000"/>
          <w:sz w:val="44"/>
          <w:szCs w:val="36"/>
        </w:rPr>
      </w:pPr>
    </w:p>
    <w:p w14:paraId="35B33F67">
      <w:pPr>
        <w:rPr>
          <w:rFonts w:ascii="Times New Roman" w:hAnsi="Times New Roman"/>
          <w:color w:val="000000"/>
          <w:sz w:val="44"/>
          <w:szCs w:val="36"/>
        </w:rPr>
      </w:pPr>
    </w:p>
    <w:p w14:paraId="2EAAAB52">
      <w:pPr>
        <w:pStyle w:val="29"/>
        <w:rPr>
          <w:rFonts w:hint="eastAsia" w:ascii="宋体" w:hAnsi="宋体" w:eastAsia="宋体" w:cs="宋体"/>
        </w:rPr>
      </w:pPr>
    </w:p>
    <w:p w14:paraId="58B74F66">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14:paraId="159E39AC">
      <w:pPr>
        <w:pStyle w:val="29"/>
        <w:rPr>
          <w:rFonts w:hint="eastAsia" w:ascii="黑体" w:hAnsi="黑体" w:eastAsia="黑体" w:cs="黑体"/>
          <w:lang w:val="en-US" w:eastAsia="zh-CN"/>
        </w:rPr>
      </w:pPr>
    </w:p>
    <w:p w14:paraId="379E35EF">
      <w:pPr>
        <w:pStyle w:val="29"/>
        <w:rPr>
          <w:rFonts w:hint="eastAsia" w:ascii="黑体" w:hAnsi="黑体" w:eastAsia="黑体" w:cs="黑体"/>
          <w:lang w:val="en-US" w:eastAsia="zh-CN"/>
        </w:rPr>
      </w:pPr>
    </w:p>
    <w:p w14:paraId="14FCFD46">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14:paraId="5D750FB7">
      <w:pPr>
        <w:pStyle w:val="29"/>
        <w:rPr>
          <w:rFonts w:hint="eastAsia" w:ascii="黑体" w:hAnsi="黑体" w:eastAsia="黑体" w:cs="黑体"/>
          <w:lang w:val="en-US" w:eastAsia="zh-CN"/>
        </w:rPr>
      </w:pPr>
    </w:p>
    <w:p w14:paraId="38E9D236">
      <w:pPr>
        <w:pStyle w:val="29"/>
        <w:rPr>
          <w:rFonts w:hint="eastAsia" w:ascii="黑体" w:hAnsi="黑体" w:eastAsia="黑体" w:cs="黑体"/>
          <w:lang w:val="en-US" w:eastAsia="zh-CN"/>
        </w:rPr>
      </w:pPr>
    </w:p>
    <w:p w14:paraId="71411236">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14:paraId="6D61E705">
      <w:pPr>
        <w:pStyle w:val="29"/>
        <w:rPr>
          <w:rFonts w:hint="eastAsia" w:ascii="黑体" w:hAnsi="黑体" w:eastAsia="黑体" w:cs="黑体"/>
        </w:rPr>
      </w:pPr>
    </w:p>
    <w:p w14:paraId="44C4AAF0">
      <w:pPr>
        <w:pStyle w:val="29"/>
        <w:rPr>
          <w:rFonts w:hint="eastAsia" w:ascii="黑体" w:hAnsi="黑体" w:eastAsia="黑体" w:cs="黑体"/>
        </w:rPr>
      </w:pPr>
    </w:p>
    <w:p w14:paraId="43F1B7D8">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14:paraId="434D8309">
      <w:pPr>
        <w:spacing w:line="400" w:lineRule="exact"/>
        <w:rPr>
          <w:rFonts w:hint="eastAsia" w:ascii="宋体" w:hAnsi="宋体" w:eastAsia="宋体" w:cs="宋体"/>
          <w:color w:val="000000"/>
        </w:rPr>
      </w:pPr>
    </w:p>
    <w:p w14:paraId="6BBDB094">
      <w:pPr>
        <w:spacing w:line="400" w:lineRule="exact"/>
        <w:rPr>
          <w:rFonts w:ascii="Times New Roman" w:hAnsi="Times New Roman"/>
          <w:color w:val="000000"/>
        </w:rPr>
      </w:pPr>
    </w:p>
    <w:p w14:paraId="2B5D7972">
      <w:pPr>
        <w:spacing w:line="400" w:lineRule="exact"/>
        <w:rPr>
          <w:rFonts w:ascii="Times New Roman" w:hAnsi="Times New Roman"/>
          <w:color w:val="000000"/>
        </w:rPr>
      </w:pPr>
    </w:p>
    <w:p w14:paraId="3B95773B">
      <w:pPr>
        <w:spacing w:line="400" w:lineRule="exact"/>
        <w:rPr>
          <w:rFonts w:ascii="Times New Roman" w:hAnsi="Times New Roman"/>
          <w:color w:val="000000"/>
        </w:rPr>
      </w:pPr>
    </w:p>
    <w:p w14:paraId="000DD509">
      <w:pPr>
        <w:spacing w:line="400" w:lineRule="exact"/>
        <w:rPr>
          <w:rFonts w:ascii="Times New Roman" w:hAnsi="Times New Roman"/>
          <w:color w:val="000000"/>
        </w:rPr>
      </w:pPr>
    </w:p>
    <w:p w14:paraId="0A5533A0">
      <w:pPr>
        <w:spacing w:line="400" w:lineRule="exact"/>
        <w:rPr>
          <w:rFonts w:ascii="Times New Roman" w:hAnsi="Times New Roman"/>
          <w:color w:val="000000"/>
        </w:rPr>
      </w:pPr>
    </w:p>
    <w:p w14:paraId="1C082F69">
      <w:pPr>
        <w:spacing w:line="400" w:lineRule="exact"/>
        <w:rPr>
          <w:rFonts w:ascii="Times New Roman" w:hAnsi="Times New Roman"/>
          <w:color w:val="000000"/>
        </w:rPr>
      </w:pPr>
    </w:p>
    <w:p w14:paraId="044CE416">
      <w:pPr>
        <w:spacing w:line="400" w:lineRule="exact"/>
        <w:rPr>
          <w:rFonts w:ascii="Times New Roman" w:hAnsi="Times New Roman"/>
          <w:color w:val="000000"/>
        </w:rPr>
      </w:pPr>
    </w:p>
    <w:p w14:paraId="4C745B4B">
      <w:pPr>
        <w:adjustRightInd w:val="0"/>
        <w:snapToGrid w:val="0"/>
        <w:spacing w:line="360" w:lineRule="auto"/>
        <w:jc w:val="center"/>
        <w:rPr>
          <w:rFonts w:ascii="Times New Roman" w:hAnsi="Times New Roman"/>
          <w:color w:val="000000"/>
        </w:rPr>
      </w:pPr>
      <w:r>
        <w:rPr>
          <w:rFonts w:hint="eastAsia" w:ascii="宋体" w:hAnsi="宋体"/>
          <w:color w:val="auto"/>
          <w:sz w:val="32"/>
          <w:szCs w:val="32"/>
          <w:highlight w:val="none"/>
          <w:u w:val="none"/>
          <w:lang w:val="en-US" w:eastAsia="zh-CN"/>
        </w:rPr>
        <w:t>询价单位</w:t>
      </w:r>
      <w:r>
        <w:rPr>
          <w:rFonts w:hint="eastAsia" w:ascii="宋体" w:hAnsi="宋体"/>
          <w:color w:val="auto"/>
          <w:sz w:val="32"/>
          <w:szCs w:val="32"/>
          <w:highlight w:val="none"/>
          <w:u w:val="none"/>
        </w:rPr>
        <w:t>：中煤华晋集团有限公司</w:t>
      </w:r>
      <w:r>
        <w:rPr>
          <w:rFonts w:ascii="Times New Roman" w:hAnsi="Times New Roman"/>
          <w:color w:val="000000"/>
        </w:rPr>
        <w:br w:type="page"/>
      </w:r>
    </w:p>
    <w:p w14:paraId="069A0B33">
      <w:pPr>
        <w:pStyle w:val="50"/>
        <w:spacing w:line="720" w:lineRule="auto"/>
        <w:jc w:val="center"/>
        <w:rPr>
          <w:rFonts w:hint="eastAsia" w:ascii="宋体" w:hAnsi="宋体" w:eastAsia="宋体" w:cs="宋体"/>
          <w:b/>
          <w:bCs/>
          <w:color w:val="auto"/>
          <w:sz w:val="30"/>
          <w:szCs w:val="30"/>
        </w:rPr>
      </w:pPr>
      <w:bookmarkStart w:id="0" w:name="_Toc144974479"/>
      <w:bookmarkStart w:id="1" w:name="_Toc152042287"/>
      <w:bookmarkStart w:id="2" w:name="_Toc152045511"/>
      <w:r>
        <w:rPr>
          <w:rFonts w:hint="eastAsia" w:ascii="宋体" w:hAnsi="宋体" w:eastAsia="宋体" w:cs="宋体"/>
          <w:b/>
          <w:bCs/>
          <w:color w:val="auto"/>
          <w:sz w:val="30"/>
          <w:szCs w:val="30"/>
          <w:lang w:val="zh-CN"/>
        </w:rPr>
        <w:t>目  录</w:t>
      </w:r>
    </w:p>
    <w:p w14:paraId="35E4EE0C">
      <w:pPr>
        <w:rPr>
          <w:rFonts w:hint="eastAsia" w:ascii="宋体" w:hAnsi="宋体" w:eastAsia="宋体" w:cs="宋体"/>
          <w:b/>
          <w:bCs/>
          <w:sz w:val="30"/>
          <w:szCs w:val="30"/>
        </w:rPr>
      </w:pPr>
    </w:p>
    <w:p w14:paraId="2F8F5D0A">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询价</w:t>
      </w:r>
      <w:r>
        <w:rPr>
          <w:rFonts w:hint="eastAsia" w:ascii="宋体" w:hAnsi="宋体" w:eastAsia="宋体" w:cs="宋体"/>
          <w:b/>
          <w:bCs/>
          <w:sz w:val="30"/>
          <w:szCs w:val="30"/>
        </w:rPr>
        <w:t>公告</w:t>
      </w:r>
    </w:p>
    <w:p w14:paraId="4CB92B26">
      <w:pPr>
        <w:pStyle w:val="25"/>
        <w:numPr>
          <w:ilvl w:val="0"/>
          <w:numId w:val="1"/>
        </w:numPr>
        <w:tabs>
          <w:tab w:val="right" w:leader="dot" w:pos="8640"/>
        </w:tabs>
        <w:spacing w:line="360" w:lineRule="auto"/>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投标人</w:t>
      </w:r>
      <w:r>
        <w:rPr>
          <w:rFonts w:hint="eastAsia" w:ascii="宋体" w:hAnsi="宋体" w:eastAsia="宋体" w:cs="宋体"/>
          <w:b/>
          <w:bCs/>
          <w:sz w:val="30"/>
          <w:szCs w:val="30"/>
          <w:lang w:val="en-US" w:eastAsia="zh-CN"/>
        </w:rPr>
        <w:t>须知及前附表</w:t>
      </w:r>
    </w:p>
    <w:p w14:paraId="4F35A4DC">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rPr>
        <w:t>合同</w:t>
      </w:r>
      <w:r>
        <w:rPr>
          <w:rFonts w:hint="eastAsia" w:ascii="宋体" w:hAnsi="宋体" w:eastAsia="宋体" w:cs="宋体"/>
          <w:b/>
          <w:bCs/>
          <w:sz w:val="30"/>
          <w:szCs w:val="30"/>
          <w:lang w:val="en-US" w:eastAsia="zh-CN"/>
        </w:rPr>
        <w:t>主要</w:t>
      </w:r>
      <w:r>
        <w:rPr>
          <w:rFonts w:hint="eastAsia" w:ascii="宋体" w:hAnsi="宋体" w:eastAsia="宋体" w:cs="宋体"/>
          <w:b/>
          <w:bCs/>
          <w:sz w:val="30"/>
          <w:szCs w:val="30"/>
        </w:rPr>
        <w:t>条款及格式</w:t>
      </w:r>
    </w:p>
    <w:p w14:paraId="69B060DE">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技术</w:t>
      </w:r>
      <w:r>
        <w:rPr>
          <w:rFonts w:hint="eastAsia" w:ascii="宋体" w:hAnsi="宋体" w:eastAsia="宋体" w:cs="宋体"/>
          <w:b/>
          <w:bCs/>
          <w:sz w:val="30"/>
          <w:szCs w:val="30"/>
        </w:rPr>
        <w:t>要求</w:t>
      </w:r>
    </w:p>
    <w:p w14:paraId="1DB99B77">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报价</w:t>
      </w:r>
      <w:r>
        <w:rPr>
          <w:rFonts w:hint="eastAsia" w:ascii="宋体" w:hAnsi="宋体" w:eastAsia="宋体" w:cs="宋体"/>
          <w:b/>
          <w:bCs/>
          <w:sz w:val="30"/>
          <w:szCs w:val="30"/>
        </w:rPr>
        <w:t>文件</w:t>
      </w:r>
      <w:bookmarkStart w:id="3" w:name="_Toc5431"/>
      <w:r>
        <w:rPr>
          <w:rFonts w:hint="eastAsia" w:ascii="宋体" w:hAnsi="宋体" w:eastAsia="宋体" w:cs="宋体"/>
          <w:b/>
          <w:bCs/>
          <w:sz w:val="30"/>
          <w:szCs w:val="30"/>
          <w:lang w:val="en-US" w:eastAsia="zh-CN"/>
        </w:rPr>
        <w:t>模板</w:t>
      </w:r>
      <w:r>
        <w:rPr>
          <w:rFonts w:hint="eastAsia" w:ascii="宋体" w:hAnsi="宋体" w:eastAsia="宋体" w:cs="宋体"/>
          <w:b/>
          <w:bCs/>
          <w:sz w:val="30"/>
          <w:szCs w:val="30"/>
        </w:rPr>
        <w:br w:type="page"/>
      </w:r>
    </w:p>
    <w:p w14:paraId="23C36A2F">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第一章 询价</w:t>
      </w:r>
      <w:r>
        <w:rPr>
          <w:color w:val="000000"/>
          <w:sz w:val="32"/>
          <w:szCs w:val="32"/>
        </w:rPr>
        <w:t>公告</w:t>
      </w:r>
      <w:bookmarkEnd w:id="3"/>
    </w:p>
    <w:bookmarkEnd w:id="0"/>
    <w:bookmarkEnd w:id="1"/>
    <w:bookmarkEnd w:id="2"/>
    <w:p w14:paraId="404EE28F">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4" w:name="_Toc405303153"/>
      <w:bookmarkStart w:id="5" w:name="_Toc438129396"/>
      <w:bookmarkStart w:id="6" w:name="_Toc484184039"/>
      <w:r>
        <w:rPr>
          <w:rFonts w:hint="eastAsia" w:ascii="宋体" w:hAnsi="宋体" w:eastAsia="宋体" w:cs="宋体"/>
          <w:b/>
          <w:bCs/>
          <w:color w:val="000000"/>
          <w:kern w:val="28"/>
          <w:sz w:val="24"/>
          <w:szCs w:val="24"/>
          <w:lang w:val="en-US" w:eastAsia="zh-CN"/>
        </w:rPr>
        <w:t>1.</w:t>
      </w:r>
      <w:r>
        <w:rPr>
          <w:rFonts w:hint="eastAsia" w:ascii="宋体" w:hAnsi="宋体" w:eastAsia="宋体" w:cs="宋体"/>
          <w:b/>
          <w:bCs/>
          <w:color w:val="000000"/>
          <w:kern w:val="28"/>
          <w:sz w:val="24"/>
          <w:szCs w:val="24"/>
        </w:rPr>
        <w:t>项目</w:t>
      </w:r>
      <w:bookmarkEnd w:id="4"/>
      <w:r>
        <w:rPr>
          <w:rFonts w:hint="eastAsia" w:ascii="宋体" w:hAnsi="宋体" w:eastAsia="宋体" w:cs="宋体"/>
          <w:b/>
          <w:bCs/>
          <w:color w:val="000000"/>
          <w:kern w:val="28"/>
          <w:sz w:val="24"/>
          <w:szCs w:val="24"/>
        </w:rPr>
        <w:t>范围</w:t>
      </w:r>
      <w:bookmarkEnd w:id="5"/>
      <w:bookmarkEnd w:id="6"/>
      <w:r>
        <w:rPr>
          <w:rFonts w:hint="eastAsia" w:ascii="宋体" w:hAnsi="宋体" w:eastAsia="宋体" w:cs="宋体"/>
          <w:b/>
          <w:bCs/>
          <w:color w:val="000000"/>
          <w:kern w:val="28"/>
          <w:sz w:val="24"/>
          <w:szCs w:val="24"/>
          <w:lang w:val="en-US" w:eastAsia="zh-CN"/>
        </w:rPr>
        <w:t>和具体时间安排</w:t>
      </w:r>
    </w:p>
    <w:p w14:paraId="6A39E308">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bookmarkStart w:id="7" w:name="_Toc484184040"/>
      <w:bookmarkStart w:id="8" w:name="_Toc438129397"/>
      <w:bookmarkStart w:id="9" w:name="_Toc405303154"/>
      <w:r>
        <w:rPr>
          <w:rFonts w:hint="eastAsia" w:ascii="宋体" w:hAnsi="宋体" w:eastAsia="宋体" w:cs="宋体"/>
          <w:sz w:val="24"/>
          <w:szCs w:val="24"/>
          <w:lang w:val="en-US" w:eastAsia="zh-CN"/>
        </w:rPr>
        <w:t>详见</w:t>
      </w:r>
      <w:r>
        <w:rPr>
          <w:rFonts w:hint="eastAsia" w:ascii="宋体" w:hAnsi="宋体" w:eastAsia="宋体" w:cs="宋体"/>
          <w:sz w:val="24"/>
          <w:szCs w:val="24"/>
        </w:rPr>
        <w:t>中煤</w:t>
      </w:r>
      <w:r>
        <w:rPr>
          <w:rFonts w:hint="eastAsia" w:ascii="宋体" w:hAnsi="宋体" w:eastAsia="宋体" w:cs="宋体"/>
          <w:sz w:val="24"/>
          <w:szCs w:val="24"/>
          <w:lang w:val="en-US" w:eastAsia="zh-CN"/>
        </w:rPr>
        <w:t>易购采购一体化</w:t>
      </w:r>
      <w:r>
        <w:rPr>
          <w:rFonts w:hint="eastAsia" w:ascii="宋体" w:hAnsi="宋体" w:eastAsia="宋体" w:cs="宋体"/>
          <w:sz w:val="24"/>
          <w:szCs w:val="24"/>
        </w:rPr>
        <w:t>平台</w:t>
      </w:r>
      <w:r>
        <w:rPr>
          <w:rFonts w:hint="eastAsia" w:ascii="宋体" w:hAnsi="宋体" w:cs="宋体"/>
          <w:sz w:val="24"/>
          <w:szCs w:val="24"/>
          <w:lang w:val="en-US" w:eastAsia="zh-CN"/>
        </w:rPr>
        <w:t>关于</w:t>
      </w:r>
      <w:r>
        <w:rPr>
          <w:rFonts w:hint="eastAsia" w:ascii="宋体" w:hAnsi="宋体" w:eastAsia="宋体" w:cs="宋体"/>
          <w:sz w:val="24"/>
          <w:szCs w:val="24"/>
          <w:lang w:val="en-US" w:eastAsia="zh-CN"/>
        </w:rPr>
        <w:t>本项目询价通知。</w:t>
      </w:r>
    </w:p>
    <w:p w14:paraId="139F48F9">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rPr>
      </w:pPr>
      <w:r>
        <w:rPr>
          <w:rFonts w:hint="eastAsia" w:ascii="宋体" w:hAnsi="宋体" w:eastAsia="宋体" w:cs="宋体"/>
          <w:b/>
          <w:bCs/>
          <w:color w:val="000000"/>
          <w:kern w:val="28"/>
          <w:sz w:val="24"/>
          <w:szCs w:val="24"/>
          <w:lang w:val="en-US" w:eastAsia="zh-CN"/>
        </w:rPr>
        <w:t>2.</w:t>
      </w:r>
      <w:r>
        <w:rPr>
          <w:rFonts w:hint="eastAsia" w:ascii="宋体" w:hAnsi="宋体" w:cs="宋体"/>
          <w:b/>
          <w:bCs/>
          <w:color w:val="000000"/>
          <w:kern w:val="28"/>
          <w:sz w:val="24"/>
          <w:szCs w:val="24"/>
          <w:lang w:val="en-US" w:eastAsia="zh-CN"/>
        </w:rPr>
        <w:t>投标人</w:t>
      </w:r>
      <w:r>
        <w:rPr>
          <w:rFonts w:hint="eastAsia" w:ascii="宋体" w:hAnsi="宋体" w:eastAsia="宋体" w:cs="宋体"/>
          <w:b/>
          <w:bCs/>
          <w:color w:val="000000"/>
          <w:kern w:val="28"/>
          <w:sz w:val="24"/>
          <w:szCs w:val="24"/>
        </w:rPr>
        <w:t>资格要求</w:t>
      </w:r>
      <w:bookmarkEnd w:id="7"/>
      <w:bookmarkEnd w:id="8"/>
      <w:bookmarkEnd w:id="9"/>
    </w:p>
    <w:p w14:paraId="1A6DFBFA">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bookmarkStart w:id="10" w:name="bidRequire"/>
      <w:r>
        <w:rPr>
          <w:rFonts w:hint="eastAsia" w:ascii="宋体" w:hAnsi="宋体" w:eastAsia="宋体" w:cs="宋体"/>
          <w:sz w:val="24"/>
          <w:szCs w:val="24"/>
          <w:lang w:val="en-US" w:eastAsia="zh-CN"/>
        </w:rPr>
        <w:t>2.1</w:t>
      </w:r>
      <w:bookmarkEnd w:id="10"/>
      <w:r>
        <w:rPr>
          <w:rFonts w:hint="default" w:ascii="宋体" w:hAnsi="宋体" w:eastAsia="宋体" w:cs="宋体"/>
          <w:sz w:val="24"/>
          <w:szCs w:val="24"/>
          <w:lang w:val="en-US" w:eastAsia="zh-CN"/>
        </w:rPr>
        <w:t>投标人须在中华人民共和国注册，并具有独立法人资格</w:t>
      </w:r>
      <w:r>
        <w:rPr>
          <w:rFonts w:hint="eastAsia" w:ascii="宋体" w:hAnsi="宋体" w:cs="宋体"/>
          <w:sz w:val="24"/>
          <w:szCs w:val="24"/>
          <w:lang w:val="en-US" w:eastAsia="zh-CN"/>
        </w:rPr>
        <w:t>或其他组织</w:t>
      </w:r>
      <w:r>
        <w:rPr>
          <w:rFonts w:hint="default" w:ascii="宋体" w:hAnsi="宋体" w:eastAsia="宋体" w:cs="宋体"/>
          <w:sz w:val="24"/>
          <w:szCs w:val="24"/>
          <w:lang w:val="en-US" w:eastAsia="zh-CN"/>
        </w:rPr>
        <w:t>。</w:t>
      </w:r>
    </w:p>
    <w:p w14:paraId="61DD4139">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2.1.1</w:t>
      </w:r>
      <w:r>
        <w:rPr>
          <w:rFonts w:hint="default" w:ascii="宋体" w:hAnsi="宋体" w:eastAsia="宋体" w:cs="宋体"/>
          <w:sz w:val="24"/>
          <w:szCs w:val="24"/>
          <w:lang w:val="en-US" w:eastAsia="zh-CN"/>
        </w:rPr>
        <w:t>投标人为企业的，应提交营业执照和组织机构代码证的扫描件（按照“三证合一”或“五证合一”登记制度进行登记的，可仅提供营业执照扫描件）；</w:t>
      </w:r>
    </w:p>
    <w:p w14:paraId="7A097837">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2.1.2</w:t>
      </w:r>
      <w:r>
        <w:rPr>
          <w:rFonts w:hint="default" w:ascii="宋体" w:hAnsi="宋体" w:eastAsia="宋体" w:cs="宋体"/>
          <w:sz w:val="24"/>
          <w:szCs w:val="24"/>
          <w:lang w:val="en-US" w:eastAsia="zh-CN"/>
        </w:rPr>
        <w:t>投标人为依法允许经营的事业单位的，应提交事业单位法人证书和组织机构代码证的扫描件（按照“三证合一”或“五证合一”登记制度进行登记的，可仅提供事业单位法人证书）。</w:t>
      </w:r>
    </w:p>
    <w:p w14:paraId="0FF599B6">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default" w:ascii="宋体" w:hAnsi="宋体" w:eastAsia="宋体" w:cs="宋体"/>
          <w:sz w:val="24"/>
          <w:szCs w:val="24"/>
          <w:lang w:val="en-US" w:eastAsia="zh-CN"/>
        </w:rPr>
        <w:t>投标人须未被最高人民法院在</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信用中国</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网站（www.creditchina.gov.cn）或各级信用信息共享平台中列入失信被执行人名单；未被工商行政管理机关在全国企业信用信息公示系统（www.gsxt.gov.cn）中列入严重违法失信企业名单；在近三年内投标人或其法定代表人（单位负责人）无行贿犯罪行为，以中国裁判文书网（wenshu.court.gov.cn）查询结果为准（上述情况投标人均应自行提供查询截图，如未提供截图，以</w:t>
      </w:r>
      <w:r>
        <w:rPr>
          <w:rFonts w:hint="eastAsia" w:ascii="宋体" w:hAnsi="宋体" w:eastAsia="宋体" w:cs="宋体"/>
          <w:sz w:val="24"/>
          <w:szCs w:val="24"/>
          <w:lang w:val="en-US" w:eastAsia="zh-CN"/>
        </w:rPr>
        <w:t>评审</w:t>
      </w:r>
      <w:r>
        <w:rPr>
          <w:rFonts w:hint="default" w:ascii="宋体" w:hAnsi="宋体" w:eastAsia="宋体" w:cs="宋体"/>
          <w:sz w:val="24"/>
          <w:szCs w:val="24"/>
          <w:lang w:val="en-US" w:eastAsia="zh-CN"/>
        </w:rPr>
        <w:t>现场查询结果为准）。</w:t>
      </w:r>
    </w:p>
    <w:p w14:paraId="532D2AB5">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2.3</w:t>
      </w:r>
      <w:r>
        <w:rPr>
          <w:rFonts w:hint="default" w:ascii="宋体" w:hAnsi="宋体" w:eastAsia="宋体" w:cs="宋体"/>
          <w:sz w:val="24"/>
          <w:szCs w:val="24"/>
          <w:lang w:val="en-US" w:eastAsia="zh-CN"/>
        </w:rPr>
        <w:t>投标人应签订《供应商廉洁承诺书》，格式见</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文件格式部分，需</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文件中提供（凡没有签订《供应商廉洁承诺书》的投标人均被否决投标）。</w:t>
      </w:r>
    </w:p>
    <w:p w14:paraId="50776E98">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本项目是否接受联合体投标：否。</w:t>
      </w:r>
    </w:p>
    <w:p w14:paraId="24AB052C">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w:t>
      </w:r>
      <w:r>
        <w:rPr>
          <w:rFonts w:hint="default" w:ascii="宋体" w:hAnsi="宋体" w:eastAsia="宋体" w:cs="宋体"/>
          <w:sz w:val="24"/>
          <w:szCs w:val="24"/>
          <w:lang w:val="en-US" w:eastAsia="zh-CN"/>
        </w:rPr>
        <w:t>1</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本次</w:t>
      </w:r>
      <w:r>
        <w:rPr>
          <w:rFonts w:hint="eastAsia" w:ascii="宋体" w:hAnsi="宋体" w:eastAsia="宋体" w:cs="宋体"/>
          <w:sz w:val="24"/>
          <w:szCs w:val="24"/>
          <w:lang w:val="en-US" w:eastAsia="zh-CN"/>
        </w:rPr>
        <w:t>询价</w:t>
      </w:r>
      <w:r>
        <w:rPr>
          <w:rFonts w:hint="default" w:ascii="宋体" w:hAnsi="宋体" w:eastAsia="宋体" w:cs="宋体"/>
          <w:sz w:val="24"/>
          <w:szCs w:val="24"/>
          <w:lang w:val="en-US" w:eastAsia="zh-CN"/>
        </w:rPr>
        <w:t>采用资格后审，潜在投标人</w:t>
      </w:r>
      <w:r>
        <w:rPr>
          <w:rFonts w:hint="eastAsia" w:ascii="宋体" w:hAnsi="宋体" w:eastAsia="宋体" w:cs="宋体"/>
          <w:sz w:val="24"/>
          <w:szCs w:val="24"/>
          <w:lang w:val="en-US" w:eastAsia="zh-CN"/>
        </w:rPr>
        <w:t>报名成功后</w:t>
      </w:r>
      <w:r>
        <w:rPr>
          <w:rFonts w:hint="default" w:ascii="宋体" w:hAnsi="宋体" w:eastAsia="宋体" w:cs="宋体"/>
          <w:sz w:val="24"/>
          <w:szCs w:val="24"/>
          <w:lang w:val="en-US" w:eastAsia="zh-CN"/>
        </w:rPr>
        <w:t>不代表已经通过资格审查。资格审查以投标人成功递交的电子</w:t>
      </w:r>
      <w:r>
        <w:rPr>
          <w:rFonts w:hint="eastAsia" w:ascii="宋体" w:hAnsi="宋体" w:eastAsia="宋体" w:cs="宋体"/>
          <w:sz w:val="24"/>
          <w:szCs w:val="24"/>
          <w:lang w:val="en-US" w:eastAsia="zh-CN"/>
        </w:rPr>
        <w:t>报价</w:t>
      </w:r>
      <w:r>
        <w:rPr>
          <w:rFonts w:hint="default" w:ascii="宋体" w:hAnsi="宋体" w:eastAsia="宋体" w:cs="宋体"/>
          <w:sz w:val="24"/>
          <w:szCs w:val="24"/>
          <w:lang w:val="en-US" w:eastAsia="zh-CN"/>
        </w:rPr>
        <w:t>文件为准。</w:t>
      </w:r>
    </w:p>
    <w:p w14:paraId="1952292B">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单位负责人为同一人或者存在控股、管理关系的不同单位，不得参加同一标段投标或者未划分标段的同一招标项目投标。</w:t>
      </w:r>
    </w:p>
    <w:p w14:paraId="05B79446">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投标人应按投标人资格要求所述在</w:t>
      </w:r>
      <w:r>
        <w:rPr>
          <w:rFonts w:hint="eastAsia" w:ascii="宋体" w:hAnsi="宋体" w:cs="宋体"/>
          <w:sz w:val="24"/>
          <w:szCs w:val="24"/>
          <w:lang w:val="en-US" w:eastAsia="zh-CN"/>
        </w:rPr>
        <w:t>报价文件</w:t>
      </w:r>
      <w:r>
        <w:rPr>
          <w:rFonts w:hint="default" w:ascii="宋体" w:hAnsi="宋体" w:eastAsia="宋体" w:cs="宋体"/>
          <w:sz w:val="24"/>
          <w:szCs w:val="24"/>
          <w:lang w:val="en-US" w:eastAsia="zh-CN"/>
        </w:rPr>
        <w:t>中提供投标产品相应的</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证书</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；若投标人未在</w:t>
      </w:r>
      <w:r>
        <w:rPr>
          <w:rFonts w:hint="eastAsia" w:ascii="宋体" w:hAnsi="宋体" w:cs="宋体"/>
          <w:sz w:val="24"/>
          <w:szCs w:val="24"/>
          <w:lang w:val="en-US" w:eastAsia="zh-CN"/>
        </w:rPr>
        <w:t>报价文件</w:t>
      </w:r>
      <w:r>
        <w:rPr>
          <w:rFonts w:hint="default" w:ascii="宋体" w:hAnsi="宋体" w:eastAsia="宋体" w:cs="宋体"/>
          <w:sz w:val="24"/>
          <w:szCs w:val="24"/>
          <w:lang w:val="en-US" w:eastAsia="zh-CN"/>
        </w:rPr>
        <w:t>中提供的，未提供的设备以</w:t>
      </w:r>
      <w:r>
        <w:rPr>
          <w:rFonts w:hint="eastAsia" w:ascii="宋体" w:hAnsi="宋体" w:eastAsia="宋体" w:cs="宋体"/>
          <w:sz w:val="24"/>
          <w:szCs w:val="24"/>
          <w:lang w:val="en-US" w:eastAsia="zh-CN"/>
        </w:rPr>
        <w:t>评审小组</w:t>
      </w:r>
      <w:r>
        <w:rPr>
          <w:rFonts w:hint="default" w:ascii="宋体" w:hAnsi="宋体" w:eastAsia="宋体" w:cs="宋体"/>
          <w:sz w:val="24"/>
          <w:szCs w:val="24"/>
          <w:lang w:val="en-US" w:eastAsia="zh-CN"/>
        </w:rPr>
        <w:t>在国家矿用产品安全标志中心网站查询为准，相关产品</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矿用产品安全标志证书</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实际存在并有效的，则不否决投标；若经</w:t>
      </w:r>
      <w:r>
        <w:rPr>
          <w:rFonts w:hint="eastAsia" w:ascii="宋体" w:hAnsi="宋体" w:eastAsia="宋体" w:cs="宋体"/>
          <w:sz w:val="24"/>
          <w:szCs w:val="24"/>
          <w:lang w:val="en-US" w:eastAsia="zh-CN"/>
        </w:rPr>
        <w:t>评审小</w:t>
      </w:r>
      <w:r>
        <w:rPr>
          <w:rFonts w:hint="default" w:ascii="宋体" w:hAnsi="宋体" w:eastAsia="宋体" w:cs="宋体"/>
          <w:sz w:val="24"/>
          <w:szCs w:val="24"/>
          <w:lang w:val="en-US" w:eastAsia="zh-CN"/>
        </w:rPr>
        <w:t>组查询复核，相关产品</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矿用产品安全标志</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或自愿性“产品认证证书”</w:t>
      </w:r>
      <w:r>
        <w:rPr>
          <w:rFonts w:hint="default" w:ascii="宋体" w:hAnsi="宋体" w:eastAsia="宋体" w:cs="宋体"/>
          <w:sz w:val="24"/>
          <w:szCs w:val="24"/>
          <w:lang w:val="en-US" w:eastAsia="zh-CN"/>
        </w:rPr>
        <w:t>不存在或无效的，则否决投标。</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如适用）</w:t>
      </w:r>
    </w:p>
    <w:p w14:paraId="28462C48">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3</w:t>
      </w:r>
      <w:r>
        <w:rPr>
          <w:rFonts w:hint="eastAsia" w:ascii="宋体" w:hAnsi="宋体" w:eastAsia="宋体" w:cs="宋体"/>
          <w:b/>
          <w:bCs/>
          <w:color w:val="000000"/>
          <w:kern w:val="28"/>
          <w:sz w:val="24"/>
          <w:szCs w:val="24"/>
          <w:lang w:val="en-US" w:eastAsia="zh-CN"/>
        </w:rPr>
        <w:t>、</w:t>
      </w:r>
      <w:r>
        <w:rPr>
          <w:rFonts w:hint="eastAsia" w:ascii="宋体" w:hAnsi="宋体" w:cs="宋体"/>
          <w:b/>
          <w:bCs/>
          <w:color w:val="000000"/>
          <w:kern w:val="28"/>
          <w:sz w:val="24"/>
          <w:szCs w:val="24"/>
          <w:lang w:val="en-US" w:eastAsia="zh-CN"/>
        </w:rPr>
        <w:t>询价</w:t>
      </w:r>
      <w:r>
        <w:rPr>
          <w:rFonts w:hint="eastAsia" w:ascii="宋体" w:hAnsi="宋体" w:eastAsia="宋体" w:cs="宋体"/>
          <w:b/>
          <w:bCs/>
          <w:color w:val="000000"/>
          <w:kern w:val="28"/>
          <w:sz w:val="24"/>
          <w:szCs w:val="24"/>
          <w:lang w:val="en-US" w:eastAsia="zh-CN"/>
        </w:rPr>
        <w:t>文件获取及编制要求：</w:t>
      </w:r>
    </w:p>
    <w:p w14:paraId="57F6AEC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3.1</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须登录（https://ego.chinacoa</w:t>
      </w:r>
      <w:r>
        <w:rPr>
          <w:rFonts w:hint="eastAsia" w:ascii="宋体" w:hAnsi="宋体" w:cs="宋体"/>
          <w:bCs/>
          <w:color w:val="000000"/>
          <w:sz w:val="24"/>
          <w:szCs w:val="24"/>
          <w:lang w:val="en-US" w:eastAsia="zh-CN"/>
        </w:rPr>
        <w:t>l</w:t>
      </w:r>
      <w:r>
        <w:rPr>
          <w:rFonts w:hint="eastAsia" w:ascii="宋体" w:hAnsi="宋体" w:eastAsia="宋体" w:cs="宋体"/>
          <w:bCs/>
          <w:color w:val="000000"/>
          <w:sz w:val="24"/>
          <w:szCs w:val="24"/>
        </w:rPr>
        <w:t>.com）“中煤</w:t>
      </w:r>
      <w:r>
        <w:rPr>
          <w:rFonts w:hint="eastAsia" w:ascii="宋体" w:hAnsi="宋体" w:eastAsia="宋体" w:cs="宋体"/>
          <w:bCs/>
          <w:color w:val="000000"/>
          <w:sz w:val="24"/>
          <w:szCs w:val="24"/>
          <w:lang w:val="en-US" w:eastAsia="zh-CN"/>
        </w:rPr>
        <w:t>易购采购一体化</w:t>
      </w:r>
      <w:r>
        <w:rPr>
          <w:rFonts w:hint="eastAsia" w:ascii="宋体" w:hAnsi="宋体" w:eastAsia="宋体" w:cs="宋体"/>
          <w:bCs/>
          <w:color w:val="000000"/>
          <w:sz w:val="24"/>
          <w:szCs w:val="24"/>
        </w:rPr>
        <w:t>平台”，注册成为会员后，方可参与</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。已注册用户的供应商直接登录，通过系统网上报名，报名时必须将加盖公章的营业执照、开户许可证、授权书上传；报名审核方式为资格后审，报名提交后无需等待审核即可进行网上报价。</w:t>
      </w:r>
    </w:p>
    <w:p w14:paraId="2D34ADB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3.2</w:t>
      </w:r>
      <w:r>
        <w:rPr>
          <w:rFonts w:hint="eastAsia" w:ascii="宋体" w:hAnsi="宋体" w:eastAsia="宋体" w:cs="宋体"/>
          <w:color w:val="000000"/>
          <w:sz w:val="24"/>
          <w:szCs w:val="24"/>
          <w:lang w:val="en-US" w:eastAsia="zh-CN"/>
        </w:rPr>
        <w:t>供应商报名后，可在报价页面附件中下载</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并</w:t>
      </w:r>
      <w:r>
        <w:rPr>
          <w:rFonts w:hint="eastAsia" w:ascii="宋体" w:hAnsi="宋体" w:eastAsia="宋体" w:cs="宋体"/>
          <w:color w:val="000000"/>
          <w:sz w:val="24"/>
          <w:szCs w:val="24"/>
          <w:lang w:val="en-US" w:eastAsia="zh-CN"/>
        </w:rPr>
        <w:t>按照</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要求进行报价和</w:t>
      </w:r>
      <w:r>
        <w:rPr>
          <w:rFonts w:hint="eastAsia" w:ascii="宋体" w:hAnsi="宋体" w:cs="宋体"/>
          <w:color w:val="000000"/>
          <w:sz w:val="24"/>
          <w:szCs w:val="24"/>
          <w:lang w:val="en-US" w:eastAsia="zh-CN"/>
        </w:rPr>
        <w:t>编制报价</w:t>
      </w:r>
      <w:r>
        <w:rPr>
          <w:rFonts w:hint="eastAsia" w:ascii="宋体" w:hAnsi="宋体" w:eastAsia="宋体" w:cs="宋体"/>
          <w:color w:val="000000"/>
          <w:sz w:val="24"/>
          <w:szCs w:val="24"/>
          <w:lang w:val="en-US" w:eastAsia="zh-CN"/>
        </w:rPr>
        <w:t>文件。</w:t>
      </w:r>
    </w:p>
    <w:p w14:paraId="33CD67C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3</w:t>
      </w:r>
      <w:r>
        <w:rPr>
          <w:rFonts w:hint="eastAsia" w:ascii="宋体" w:hAnsi="宋体" w:eastAsia="宋体" w:cs="宋体"/>
          <w:bCs/>
          <w:color w:val="000000"/>
          <w:sz w:val="24"/>
          <w:szCs w:val="24"/>
        </w:rPr>
        <w:t>.</w:t>
      </w:r>
      <w:r>
        <w:rPr>
          <w:rFonts w:hint="eastAsia" w:ascii="宋体" w:hAnsi="宋体" w:cs="宋体"/>
          <w:bCs/>
          <w:color w:val="000000"/>
          <w:sz w:val="24"/>
          <w:szCs w:val="24"/>
          <w:lang w:val="en-US" w:eastAsia="zh-CN"/>
        </w:rPr>
        <w:t>3</w:t>
      </w:r>
      <w:r>
        <w:rPr>
          <w:rFonts w:hint="eastAsia" w:ascii="宋体" w:hAnsi="宋体" w:eastAsia="宋体" w:cs="宋体"/>
          <w:bCs/>
          <w:color w:val="000000"/>
          <w:sz w:val="24"/>
          <w:szCs w:val="24"/>
        </w:rPr>
        <w:t xml:space="preserve"> </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w:t>
      </w:r>
      <w:r>
        <w:rPr>
          <w:rFonts w:hint="eastAsia" w:ascii="宋体" w:hAnsi="宋体" w:cs="宋体"/>
          <w:bCs/>
          <w:color w:val="000000"/>
          <w:sz w:val="24"/>
          <w:szCs w:val="24"/>
          <w:lang w:val="en-US" w:eastAsia="zh-CN"/>
        </w:rPr>
        <w:t>编制</w:t>
      </w:r>
      <w:r>
        <w:rPr>
          <w:rFonts w:hint="eastAsia" w:ascii="宋体" w:hAnsi="宋体" w:eastAsia="宋体" w:cs="宋体"/>
          <w:bCs/>
          <w:color w:val="000000"/>
          <w:sz w:val="24"/>
          <w:szCs w:val="24"/>
          <w:lang w:eastAsia="zh-CN"/>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文件并在附件中上传</w:t>
      </w:r>
      <w:r>
        <w:rPr>
          <w:rFonts w:hint="eastAsia" w:ascii="宋体" w:hAnsi="宋体" w:eastAsia="宋体" w:cs="宋体"/>
          <w:bCs/>
          <w:color w:val="000000"/>
          <w:sz w:val="24"/>
          <w:szCs w:val="24"/>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文件要求为PDF或Word格式，不得以一个个图片格式单独上传</w:t>
      </w:r>
      <w:r>
        <w:rPr>
          <w:rFonts w:hint="eastAsia" w:ascii="宋体" w:hAnsi="宋体" w:cs="宋体"/>
          <w:bCs/>
          <w:color w:val="000000"/>
          <w:sz w:val="24"/>
          <w:szCs w:val="24"/>
          <w:lang w:eastAsia="zh-CN"/>
        </w:rPr>
        <w:t>。</w:t>
      </w:r>
      <w:r>
        <w:rPr>
          <w:rFonts w:hint="eastAsia" w:ascii="宋体" w:hAnsi="宋体" w:eastAsia="宋体" w:cs="宋体"/>
          <w:bCs/>
          <w:color w:val="000000"/>
          <w:sz w:val="24"/>
          <w:szCs w:val="24"/>
          <w:lang w:eastAsia="zh-CN"/>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w:t>
      </w:r>
      <w:r>
        <w:rPr>
          <w:rFonts w:hint="eastAsia" w:ascii="宋体" w:hAnsi="宋体" w:cs="宋体"/>
          <w:bCs/>
          <w:color w:val="000000"/>
          <w:sz w:val="24"/>
          <w:szCs w:val="24"/>
          <w:lang w:val="en-US" w:eastAsia="zh-CN"/>
        </w:rPr>
        <w:t>须</w:t>
      </w:r>
      <w:r>
        <w:rPr>
          <w:rFonts w:hint="eastAsia" w:ascii="宋体" w:hAnsi="宋体" w:eastAsia="宋体" w:cs="宋体"/>
          <w:bCs/>
          <w:color w:val="000000"/>
          <w:sz w:val="24"/>
          <w:szCs w:val="24"/>
          <w:lang w:eastAsia="zh-CN"/>
        </w:rPr>
        <w:t>签字盖章，否则视为无效</w:t>
      </w:r>
      <w:r>
        <w:rPr>
          <w:rFonts w:hint="eastAsia" w:ascii="宋体" w:hAnsi="宋体" w:cs="宋体"/>
          <w:bCs/>
          <w:color w:val="000000"/>
          <w:sz w:val="24"/>
          <w:szCs w:val="24"/>
          <w:lang w:val="en-US" w:eastAsia="zh-CN"/>
        </w:rPr>
        <w:t>投标</w:t>
      </w:r>
      <w:r>
        <w:rPr>
          <w:rFonts w:hint="eastAsia" w:ascii="宋体" w:hAnsi="宋体" w:eastAsia="宋体" w:cs="宋体"/>
          <w:bCs/>
          <w:color w:val="000000"/>
          <w:sz w:val="24"/>
          <w:szCs w:val="24"/>
          <w:lang w:eastAsia="zh-CN"/>
        </w:rPr>
        <w:t>。</w:t>
      </w:r>
      <w:r>
        <w:rPr>
          <w:rFonts w:hint="eastAsia" w:ascii="宋体" w:hAnsi="宋体" w:cs="宋体"/>
          <w:bCs/>
          <w:color w:val="000000"/>
          <w:sz w:val="24"/>
          <w:szCs w:val="24"/>
          <w:lang w:val="en-US" w:eastAsia="zh-CN"/>
        </w:rPr>
        <w:t>电子版报价文件中缺少报价函、授权委托书（法定代表人投标除外）、法定代表人及被授权人身份证、投标一览表、分项报价表（如适用）、商务及技术偏离表的视为无效投标。</w:t>
      </w:r>
    </w:p>
    <w:p w14:paraId="3413A68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文件以附件形式上传。</w:t>
      </w:r>
    </w:p>
    <w:p w14:paraId="13E22B5E">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3.5</w:t>
      </w:r>
      <w:r>
        <w:rPr>
          <w:rFonts w:hint="eastAsia" w:ascii="宋体" w:hAnsi="宋体" w:eastAsia="宋体" w:cs="宋体"/>
          <w:color w:val="000000"/>
          <w:sz w:val="24"/>
          <w:szCs w:val="24"/>
          <w:lang w:val="en-US" w:eastAsia="zh-CN"/>
        </w:rPr>
        <w:t>在报价录入页面选中参与项目，点击“录入报价”在系统中进行价格录入。各供应商务必严格按照要求报价，不得少报或漏报。</w:t>
      </w:r>
    </w:p>
    <w:p w14:paraId="3D1B8C7E">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3.6</w:t>
      </w:r>
      <w:r>
        <w:rPr>
          <w:rFonts w:hint="eastAsia" w:ascii="宋体" w:hAnsi="宋体" w:eastAsia="宋体" w:cs="宋体"/>
          <w:color w:val="000000"/>
          <w:sz w:val="24"/>
          <w:szCs w:val="24"/>
          <w:highlight w:val="none"/>
          <w:lang w:val="en-US" w:eastAsia="zh-CN"/>
        </w:rPr>
        <w:t>所报价格应包括但不限于原材料、生产加工、检验、包装、管理、运杂、装卸、技术服务、13%增值税等全部费用。</w:t>
      </w:r>
      <w:r>
        <w:rPr>
          <w:rFonts w:hint="eastAsia" w:ascii="宋体" w:hAnsi="宋体" w:cs="宋体"/>
          <w:color w:val="000000"/>
          <w:sz w:val="24"/>
          <w:szCs w:val="24"/>
          <w:highlight w:val="none"/>
          <w:lang w:val="en-US" w:eastAsia="zh-CN"/>
        </w:rPr>
        <w:t>（如适用）</w:t>
      </w:r>
    </w:p>
    <w:p w14:paraId="798E418A">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3.7</w:t>
      </w:r>
      <w:r>
        <w:rPr>
          <w:rFonts w:hint="eastAsia" w:ascii="宋体" w:hAnsi="宋体" w:eastAsia="宋体" w:cs="宋体"/>
          <w:color w:val="000000"/>
          <w:sz w:val="24"/>
          <w:szCs w:val="24"/>
          <w:lang w:val="en-US" w:eastAsia="zh-CN"/>
        </w:rPr>
        <w:t>请各</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在开标当天（即报价揭示时间）保持手机畅通。</w:t>
      </w:r>
    </w:p>
    <w:p w14:paraId="5EC88275">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4</w:t>
      </w:r>
      <w:r>
        <w:rPr>
          <w:rFonts w:hint="eastAsia" w:ascii="宋体" w:hAnsi="宋体" w:eastAsia="宋体" w:cs="宋体"/>
          <w:b/>
          <w:bCs/>
          <w:color w:val="000000"/>
          <w:kern w:val="28"/>
          <w:sz w:val="24"/>
          <w:szCs w:val="24"/>
          <w:lang w:val="en-US" w:eastAsia="zh-CN"/>
        </w:rPr>
        <w:t>、</w:t>
      </w:r>
      <w:r>
        <w:rPr>
          <w:rFonts w:hint="eastAsia" w:ascii="宋体" w:hAnsi="宋体" w:cs="宋体"/>
          <w:b/>
          <w:bCs/>
          <w:color w:val="000000"/>
          <w:kern w:val="28"/>
          <w:sz w:val="24"/>
          <w:szCs w:val="24"/>
          <w:lang w:val="en-US" w:eastAsia="zh-CN"/>
        </w:rPr>
        <w:t>答疑</w:t>
      </w:r>
      <w:r>
        <w:rPr>
          <w:rFonts w:hint="eastAsia" w:ascii="宋体" w:hAnsi="宋体" w:eastAsia="宋体" w:cs="宋体"/>
          <w:b/>
          <w:bCs/>
          <w:color w:val="000000"/>
          <w:kern w:val="28"/>
          <w:sz w:val="24"/>
          <w:szCs w:val="24"/>
          <w:lang w:val="en-US" w:eastAsia="zh-CN"/>
        </w:rPr>
        <w:t>：</w:t>
      </w:r>
    </w:p>
    <w:p w14:paraId="4F2133C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4.1 报价过程中如有项目信息疑问，请与项目对应的联系人沟通：</w:t>
      </w:r>
    </w:p>
    <w:p w14:paraId="5DFBC490">
      <w:pPr>
        <w:pStyle w:val="2"/>
        <w:ind w:firstLine="720" w:firstLineChars="300"/>
        <w:rPr>
          <w:rFonts w:hint="eastAsia" w:ascii="宋体" w:hAnsi="宋体" w:eastAsia="宋体" w:cs="宋体"/>
          <w:color w:val="000000"/>
          <w:kern w:val="2"/>
          <w:sz w:val="24"/>
          <w:szCs w:val="24"/>
          <w:lang w:val="en-US" w:eastAsia="zh-CN" w:bidi="ar-SA"/>
        </w:rPr>
      </w:pPr>
    </w:p>
    <w:p w14:paraId="0936D681">
      <w:pPr>
        <w:pStyle w:val="2"/>
        <w:ind w:firstLine="720" w:firstLineChars="300"/>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贾永飞：13453376815</w:t>
      </w:r>
    </w:p>
    <w:p w14:paraId="192E23FB">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邮箱：</w:t>
      </w:r>
      <w:r>
        <w:rPr>
          <w:rFonts w:hint="eastAsia" w:ascii="宋体" w:hAnsi="宋体" w:eastAsia="宋体" w:cs="宋体"/>
          <w:bCs/>
          <w:color w:val="000000"/>
          <w:sz w:val="24"/>
          <w:szCs w:val="24"/>
        </w:rPr>
        <w:fldChar w:fldCharType="begin"/>
      </w:r>
      <w:r>
        <w:rPr>
          <w:rFonts w:hint="eastAsia" w:ascii="宋体" w:hAnsi="宋体" w:eastAsia="宋体" w:cs="宋体"/>
          <w:bCs/>
          <w:color w:val="000000"/>
          <w:sz w:val="24"/>
          <w:szCs w:val="24"/>
        </w:rPr>
        <w:instrText xml:space="preserve"> HYPERLINK "mailto:zmzbhjny@126.com" </w:instrText>
      </w:r>
      <w:r>
        <w:rPr>
          <w:rFonts w:hint="eastAsia" w:ascii="宋体" w:hAnsi="宋体" w:eastAsia="宋体" w:cs="宋体"/>
          <w:bCs/>
          <w:color w:val="000000"/>
          <w:sz w:val="24"/>
          <w:szCs w:val="24"/>
        </w:rPr>
        <w:fldChar w:fldCharType="separate"/>
      </w:r>
      <w:r>
        <w:rPr>
          <w:rStyle w:val="41"/>
          <w:rFonts w:hint="eastAsia" w:ascii="宋体" w:hAnsi="宋体" w:eastAsia="宋体" w:cs="宋体"/>
          <w:bCs/>
          <w:color w:val="000000"/>
          <w:sz w:val="24"/>
          <w:szCs w:val="24"/>
        </w:rPr>
        <w:t>zmzbhjny@126.com</w:t>
      </w:r>
      <w:r>
        <w:rPr>
          <w:rFonts w:hint="eastAsia" w:ascii="宋体" w:hAnsi="宋体" w:eastAsia="宋体" w:cs="宋体"/>
          <w:bCs/>
          <w:color w:val="000000"/>
          <w:sz w:val="24"/>
          <w:szCs w:val="24"/>
        </w:rPr>
        <w:fldChar w:fldCharType="end"/>
      </w:r>
    </w:p>
    <w:p w14:paraId="7314A71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val="en-US" w:eastAsia="zh-CN"/>
        </w:rPr>
      </w:pPr>
      <w:r>
        <w:rPr>
          <w:rFonts w:hint="eastAsia" w:ascii="宋体" w:hAnsi="宋体" w:cs="宋体"/>
          <w:color w:val="000000"/>
          <w:sz w:val="24"/>
          <w:szCs w:val="24"/>
          <w:lang w:val="en-US" w:eastAsia="zh-CN"/>
        </w:rPr>
        <w:t>地 址：山西运城市河津市固镇村王家岭矿办公楼</w:t>
      </w:r>
    </w:p>
    <w:p w14:paraId="64AED57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邮 编：043300</w:t>
      </w:r>
    </w:p>
    <w:p w14:paraId="35CC3E9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rPr>
      </w:pPr>
      <w:r>
        <w:rPr>
          <w:rFonts w:hint="eastAsia" w:ascii="宋体" w:hAnsi="宋体" w:cs="宋体"/>
          <w:color w:val="000000"/>
          <w:sz w:val="24"/>
          <w:szCs w:val="24"/>
          <w:lang w:val="en-US" w:eastAsia="zh-CN"/>
        </w:rPr>
        <w:t>开标地点：中煤华晋集团有限公司办公楼3层电子评标会议室</w:t>
      </w:r>
    </w:p>
    <w:p w14:paraId="5F3EE7E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w:t>
      </w:r>
      <w:r>
        <w:rPr>
          <w:rFonts w:hint="eastAsia" w:ascii="宋体" w:hAnsi="宋体" w:cs="宋体"/>
          <w:bCs/>
          <w:color w:val="000000"/>
          <w:sz w:val="24"/>
          <w:szCs w:val="24"/>
          <w:lang w:val="en-US" w:eastAsia="zh-CN"/>
        </w:rPr>
        <w:t>2</w:t>
      </w:r>
      <w:r>
        <w:rPr>
          <w:rFonts w:hint="eastAsia" w:ascii="宋体" w:hAnsi="宋体" w:eastAsia="宋体" w:cs="宋体"/>
          <w:bCs/>
          <w:color w:val="000000"/>
          <w:sz w:val="24"/>
          <w:szCs w:val="24"/>
        </w:rPr>
        <w:t>如有操作疑问，请咨询平台客户服务中心</w:t>
      </w:r>
      <w:r>
        <w:rPr>
          <w:rFonts w:hint="eastAsia" w:ascii="宋体" w:hAnsi="宋体" w:eastAsia="宋体" w:cs="宋体"/>
          <w:bCs/>
          <w:color w:val="000000"/>
          <w:sz w:val="24"/>
          <w:szCs w:val="24"/>
          <w:lang w:eastAsia="zh-CN"/>
        </w:rPr>
        <w:t>。</w:t>
      </w:r>
    </w:p>
    <w:p w14:paraId="00DDA8D5">
      <w:pPr>
        <w:rPr>
          <w:rFonts w:hint="eastAsia"/>
          <w:color w:val="000000"/>
          <w:sz w:val="32"/>
          <w:szCs w:val="32"/>
          <w:lang w:val="en-US" w:eastAsia="zh-CN"/>
        </w:rPr>
      </w:pPr>
      <w:r>
        <w:rPr>
          <w:rFonts w:hint="eastAsia"/>
          <w:color w:val="000000"/>
          <w:sz w:val="32"/>
          <w:szCs w:val="32"/>
          <w:lang w:val="en-US" w:eastAsia="zh-CN"/>
        </w:rPr>
        <w:br w:type="page"/>
      </w:r>
    </w:p>
    <w:p w14:paraId="77E1B25C">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 xml:space="preserve">第二章 </w:t>
      </w:r>
      <w:r>
        <w:rPr>
          <w:rFonts w:hint="eastAsia" w:cs="Times New Roman"/>
          <w:color w:val="000000"/>
          <w:sz w:val="32"/>
          <w:szCs w:val="32"/>
          <w:lang w:val="en-US" w:eastAsia="zh-CN"/>
        </w:rPr>
        <w:t>投标人</w:t>
      </w:r>
      <w:r>
        <w:rPr>
          <w:rFonts w:hint="eastAsia" w:ascii="Times New Roman" w:hAnsi="Times New Roman" w:cs="Times New Roman"/>
          <w:color w:val="000000"/>
          <w:sz w:val="32"/>
          <w:szCs w:val="32"/>
        </w:rPr>
        <w:t>须知及前附表</w:t>
      </w:r>
    </w:p>
    <w:tbl>
      <w:tblPr>
        <w:tblStyle w:val="36"/>
        <w:tblpPr w:leftFromText="180" w:rightFromText="180" w:vertAnchor="text" w:horzAnchor="page" w:tblpXSpec="center" w:tblpY="298"/>
        <w:tblOverlap w:val="never"/>
        <w:tblW w:w="98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2205"/>
        <w:gridCol w:w="6800"/>
      </w:tblGrid>
      <w:tr w14:paraId="40AEF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ABF5787">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项号</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7D670A9C">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内    容</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30FFCD1F">
            <w:pPr>
              <w:tabs>
                <w:tab w:val="left" w:pos="1180"/>
              </w:tabs>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说明与要求</w:t>
            </w:r>
          </w:p>
        </w:tc>
      </w:tr>
      <w:tr w14:paraId="0F19B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22EE357">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E61A7F7">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项目名称</w:t>
            </w:r>
          </w:p>
        </w:tc>
        <w:tc>
          <w:tcPr>
            <w:tcW w:w="6800" w:type="dxa"/>
            <w:tcBorders>
              <w:top w:val="single" w:color="auto" w:sz="4" w:space="0"/>
              <w:left w:val="single" w:color="auto" w:sz="4" w:space="0"/>
              <w:bottom w:val="single" w:color="auto" w:sz="4" w:space="0"/>
              <w:right w:val="single" w:color="auto" w:sz="4" w:space="0"/>
            </w:tcBorders>
            <w:noWrap w:val="0"/>
            <w:vAlign w:val="bottom"/>
          </w:tcPr>
          <w:p w14:paraId="39C731DD">
            <w:pPr>
              <w:spacing w:line="560" w:lineRule="exact"/>
              <w:jc w:val="both"/>
              <w:rPr>
                <w:rFonts w:hint="eastAsia" w:ascii="宋体" w:hAnsi="宋体" w:eastAsia="宋体" w:cs="宋体"/>
                <w:bCs/>
                <w:color w:val="auto"/>
                <w:sz w:val="24"/>
                <w:szCs w:val="24"/>
                <w:highlight w:val="none"/>
                <w:u w:val="none"/>
                <w:lang w:eastAsia="zh-CN"/>
              </w:rPr>
            </w:pPr>
            <w:r>
              <w:rPr>
                <w:rFonts w:hint="eastAsia" w:ascii="宋体" w:hAnsi="宋体" w:cs="宋体"/>
                <w:bCs/>
                <w:color w:val="auto"/>
                <w:sz w:val="24"/>
                <w:szCs w:val="24"/>
                <w:highlight w:val="none"/>
                <w:u w:val="none"/>
              </w:rPr>
              <w:t>详见</w:t>
            </w:r>
            <w:r>
              <w:rPr>
                <w:rFonts w:hint="eastAsia" w:ascii="宋体" w:hAnsi="宋体" w:cs="宋体"/>
                <w:bCs/>
                <w:color w:val="auto"/>
                <w:sz w:val="24"/>
                <w:szCs w:val="24"/>
                <w:highlight w:val="none"/>
                <w:u w:val="none"/>
                <w:lang w:val="en-US" w:eastAsia="zh-CN"/>
              </w:rPr>
              <w:t>询价通知</w:t>
            </w:r>
          </w:p>
        </w:tc>
      </w:tr>
      <w:tr w14:paraId="7BAAC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6588C23F">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1B5C6B2">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项目地点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43136F98">
            <w:pPr>
              <w:spacing w:line="560" w:lineRule="exact"/>
              <w:jc w:val="both"/>
              <w:rPr>
                <w:rFonts w:hint="default"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山西省河津市固镇村王家岭矿</w:t>
            </w:r>
          </w:p>
        </w:tc>
      </w:tr>
      <w:tr w14:paraId="026A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56F1A5C">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43130654">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报价方式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7A88635E">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固定总价（含税）</w:t>
            </w:r>
          </w:p>
        </w:tc>
      </w:tr>
      <w:tr w14:paraId="1F569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146899D6">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DAF511E">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采购内容及范围</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72E00F38">
            <w:pPr>
              <w:pStyle w:val="31"/>
              <w:tabs>
                <w:tab w:val="left" w:pos="720"/>
              </w:tabs>
              <w:spacing w:before="0" w:beforeAutospacing="0" w:after="0" w:afterAutospacing="0" w:line="560" w:lineRule="exact"/>
              <w:jc w:val="both"/>
              <w:rPr>
                <w:rFonts w:hint="eastAsia" w:eastAsia="宋体" w:cs="宋体"/>
                <w:bCs/>
                <w:color w:val="auto"/>
                <w:highlight w:val="none"/>
                <w:u w:val="none"/>
                <w:lang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14:paraId="4364E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925F1D5">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2121A52">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资金来源</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1F5BBA7E">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企业自筹</w:t>
            </w:r>
          </w:p>
        </w:tc>
      </w:tr>
      <w:tr w14:paraId="251D1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1AAF9241">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2E715F70">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供货期、服务期</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03F6BC9A">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见合同范本或技术规格书</w:t>
            </w:r>
          </w:p>
        </w:tc>
      </w:tr>
      <w:tr w14:paraId="02A324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4508CDDD">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7</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6A3F0439">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供应商资格标准</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11DD38E1">
            <w:pPr>
              <w:pStyle w:val="31"/>
              <w:tabs>
                <w:tab w:val="left" w:pos="720"/>
              </w:tabs>
              <w:spacing w:before="0" w:beforeAutospacing="0" w:after="0" w:afterAutospacing="0" w:line="560" w:lineRule="exact"/>
              <w:jc w:val="both"/>
              <w:rPr>
                <w:rFonts w:hint="eastAsia" w:eastAsia="宋体" w:cs="宋体"/>
                <w:color w:val="auto"/>
                <w:highlight w:val="none"/>
                <w:u w:val="none"/>
                <w:lang w:eastAsia="zh-CN"/>
              </w:rPr>
            </w:pPr>
            <w:r>
              <w:rPr>
                <w:rFonts w:hint="eastAsia" w:cs="宋体"/>
                <w:color w:val="auto"/>
                <w:highlight w:val="none"/>
                <w:u w:val="none"/>
              </w:rPr>
              <w:t>见</w:t>
            </w:r>
            <w:r>
              <w:rPr>
                <w:rFonts w:hint="eastAsia" w:cs="宋体"/>
                <w:color w:val="auto"/>
                <w:highlight w:val="none"/>
                <w:u w:val="none"/>
                <w:lang w:val="en-US" w:eastAsia="zh-CN"/>
              </w:rPr>
              <w:t>询价文件</w:t>
            </w:r>
          </w:p>
        </w:tc>
      </w:tr>
      <w:tr w14:paraId="19E51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3C1C19E2">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8</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3B362792">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资格审查方式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36EFB45D">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资格后审</w:t>
            </w:r>
          </w:p>
        </w:tc>
      </w:tr>
      <w:tr w14:paraId="10F9E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0FC9EAE4">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9</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35F96D5C">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投标</w:t>
            </w:r>
            <w:r>
              <w:rPr>
                <w:rFonts w:hint="eastAsia" w:ascii="宋体" w:hAnsi="宋体" w:cs="宋体"/>
                <w:color w:val="auto"/>
                <w:sz w:val="24"/>
                <w:szCs w:val="24"/>
                <w:highlight w:val="none"/>
                <w:u w:val="none"/>
              </w:rPr>
              <w:t>有效期</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3B441631">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120天</w:t>
            </w:r>
          </w:p>
        </w:tc>
      </w:tr>
      <w:tr w14:paraId="038CF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35EE8FD">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10</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D783F26">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现</w:t>
            </w:r>
            <w:r>
              <w:rPr>
                <w:rFonts w:hint="eastAsia" w:ascii="宋体" w:hAnsi="宋体" w:cs="宋体"/>
                <w:color w:val="auto"/>
                <w:sz w:val="24"/>
                <w:szCs w:val="24"/>
                <w:highlight w:val="none"/>
                <w:u w:val="none"/>
              </w:rPr>
              <w:t>场勘查</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7832E052">
            <w:pPr>
              <w:widowControl w:val="0"/>
              <w:snapToGrid w:val="0"/>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询价单位</w:t>
            </w:r>
            <w:r>
              <w:rPr>
                <w:rFonts w:hint="eastAsia" w:ascii="宋体" w:hAnsi="宋体" w:cs="宋体"/>
                <w:color w:val="auto"/>
                <w:sz w:val="24"/>
                <w:szCs w:val="24"/>
                <w:highlight w:val="none"/>
                <w:u w:val="none"/>
              </w:rPr>
              <w:t>不安排踏勘。供应商可自行安排，相关一切费用自理</w:t>
            </w:r>
          </w:p>
        </w:tc>
      </w:tr>
      <w:tr w14:paraId="5986A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CE2AD4A">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11</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6F6CC372">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澄清与修改</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7373303B">
            <w:pPr>
              <w:spacing w:line="560" w:lineRule="exact"/>
              <w:jc w:val="both"/>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rPr>
              <w:t>提交</w:t>
            </w:r>
            <w:r>
              <w:rPr>
                <w:rFonts w:hint="eastAsia" w:ascii="宋体" w:hAnsi="宋体" w:cs="宋体"/>
                <w:bCs/>
                <w:color w:val="auto"/>
                <w:sz w:val="24"/>
                <w:szCs w:val="24"/>
                <w:highlight w:val="none"/>
                <w:u w:val="none"/>
                <w:lang w:val="en-US" w:eastAsia="zh-CN"/>
              </w:rPr>
              <w:t>报价</w:t>
            </w:r>
            <w:r>
              <w:rPr>
                <w:rFonts w:hint="eastAsia" w:ascii="宋体" w:hAnsi="宋体" w:cs="宋体"/>
                <w:bCs/>
                <w:color w:val="auto"/>
                <w:sz w:val="24"/>
                <w:szCs w:val="24"/>
                <w:highlight w:val="none"/>
                <w:u w:val="none"/>
              </w:rPr>
              <w:t>文件截止之日前，可对已发出的</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文件进行必要的澄清或修改，澄清或修改的内容将作为</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文件的组成部分</w:t>
            </w:r>
            <w:r>
              <w:rPr>
                <w:rFonts w:hint="eastAsia" w:ascii="宋体" w:hAnsi="宋体" w:cs="宋体"/>
                <w:bCs/>
                <w:color w:val="auto"/>
                <w:sz w:val="24"/>
                <w:szCs w:val="24"/>
                <w:highlight w:val="none"/>
                <w:u w:val="none"/>
                <w:lang w:eastAsia="zh-CN"/>
              </w:rPr>
              <w:t>。</w:t>
            </w:r>
            <w:r>
              <w:rPr>
                <w:rFonts w:hint="eastAsia" w:ascii="宋体" w:hAnsi="宋体" w:cs="宋体"/>
                <w:bCs/>
                <w:color w:val="auto"/>
                <w:sz w:val="24"/>
                <w:szCs w:val="24"/>
                <w:highlight w:val="none"/>
                <w:u w:val="none"/>
                <w:lang w:val="en-US" w:eastAsia="zh-CN"/>
              </w:rPr>
              <w:t>澄清接受和发出形式：</w:t>
            </w:r>
            <w:r>
              <w:rPr>
                <w:rFonts w:hint="default" w:ascii="宋体" w:hAnsi="宋体" w:cs="宋体"/>
                <w:bCs/>
                <w:color w:val="auto"/>
                <w:sz w:val="24"/>
                <w:szCs w:val="24"/>
                <w:highlight w:val="none"/>
                <w:u w:val="none"/>
              </w:rPr>
              <w:t>以书面形式在</w:t>
            </w:r>
            <w:r>
              <w:rPr>
                <w:rFonts w:hint="eastAsia" w:ascii="宋体" w:hAnsi="宋体" w:cs="宋体"/>
                <w:bCs/>
                <w:color w:val="auto"/>
                <w:sz w:val="24"/>
                <w:szCs w:val="24"/>
                <w:highlight w:val="none"/>
                <w:u w:val="none"/>
              </w:rPr>
              <w:fldChar w:fldCharType="begin"/>
            </w:r>
            <w:r>
              <w:rPr>
                <w:rFonts w:hint="eastAsia" w:ascii="宋体" w:hAnsi="宋体" w:cs="宋体"/>
                <w:bCs/>
                <w:color w:val="auto"/>
                <w:sz w:val="24"/>
                <w:szCs w:val="24"/>
                <w:highlight w:val="none"/>
                <w:u w:val="none"/>
              </w:rPr>
              <w:instrText xml:space="preserve"> HYPERLINK "mailto:zmzbhjny@126.com" </w:instrText>
            </w:r>
            <w:r>
              <w:rPr>
                <w:rFonts w:hint="eastAsia" w:ascii="宋体" w:hAnsi="宋体" w:cs="宋体"/>
                <w:bCs/>
                <w:color w:val="auto"/>
                <w:sz w:val="24"/>
                <w:szCs w:val="24"/>
                <w:highlight w:val="none"/>
                <w:u w:val="none"/>
              </w:rPr>
              <w:fldChar w:fldCharType="separate"/>
            </w:r>
            <w:r>
              <w:rPr>
                <w:rFonts w:hint="eastAsia" w:ascii="宋体" w:hAnsi="宋体" w:cs="宋体"/>
                <w:bCs/>
                <w:color w:val="auto"/>
                <w:sz w:val="24"/>
                <w:szCs w:val="24"/>
                <w:highlight w:val="none"/>
                <w:u w:val="none"/>
              </w:rPr>
              <w:t>zmzbhjny@126.com</w:t>
            </w:r>
            <w:r>
              <w:rPr>
                <w:rFonts w:hint="eastAsia" w:ascii="宋体" w:hAnsi="宋体" w:cs="宋体"/>
                <w:bCs/>
                <w:color w:val="auto"/>
                <w:sz w:val="24"/>
                <w:szCs w:val="24"/>
                <w:highlight w:val="none"/>
                <w:u w:val="none"/>
              </w:rPr>
              <w:fldChar w:fldCharType="end"/>
            </w:r>
            <w:r>
              <w:rPr>
                <w:rFonts w:hint="default" w:ascii="宋体" w:hAnsi="宋体" w:cs="宋体"/>
                <w:bCs/>
                <w:color w:val="auto"/>
                <w:sz w:val="24"/>
                <w:szCs w:val="24"/>
                <w:highlight w:val="none"/>
                <w:u w:val="none"/>
              </w:rPr>
              <w:t>提出并通知</w:t>
            </w:r>
            <w:r>
              <w:rPr>
                <w:rFonts w:hint="eastAsia" w:ascii="宋体" w:hAnsi="宋体" w:cs="宋体"/>
                <w:bCs/>
                <w:color w:val="auto"/>
                <w:sz w:val="24"/>
                <w:szCs w:val="24"/>
                <w:highlight w:val="none"/>
                <w:u w:val="none"/>
                <w:lang w:val="en-US" w:eastAsia="zh-CN"/>
              </w:rPr>
              <w:t>询价单位</w:t>
            </w:r>
            <w:r>
              <w:rPr>
                <w:rFonts w:hint="default" w:ascii="宋体" w:hAnsi="宋体" w:cs="宋体"/>
                <w:bCs/>
                <w:color w:val="auto"/>
                <w:sz w:val="24"/>
                <w:szCs w:val="24"/>
                <w:highlight w:val="none"/>
                <w:u w:val="none"/>
              </w:rPr>
              <w:t>，澄清文件应</w:t>
            </w:r>
            <w:r>
              <w:rPr>
                <w:rFonts w:hint="eastAsia" w:ascii="宋体" w:hAnsi="宋体" w:cs="宋体"/>
                <w:bCs/>
                <w:color w:val="auto"/>
                <w:sz w:val="24"/>
                <w:szCs w:val="24"/>
                <w:highlight w:val="none"/>
                <w:u w:val="none"/>
                <w:lang w:val="en-US" w:eastAsia="zh-CN"/>
              </w:rPr>
              <w:t>为盖章扫描件。</w:t>
            </w:r>
          </w:p>
          <w:p w14:paraId="2F56627E">
            <w:pPr>
              <w:spacing w:line="560" w:lineRule="exact"/>
              <w:jc w:val="both"/>
              <w:rPr>
                <w:rFonts w:hint="default" w:ascii="宋体" w:hAnsi="宋体" w:cs="宋体"/>
                <w:bCs/>
                <w:color w:val="auto"/>
                <w:sz w:val="24"/>
                <w:szCs w:val="24"/>
                <w:highlight w:val="none"/>
                <w:u w:val="none"/>
                <w:lang w:val="en-US" w:eastAsia="zh-CN"/>
              </w:rPr>
            </w:pPr>
            <w:r>
              <w:rPr>
                <w:rFonts w:hint="default" w:ascii="宋体" w:hAnsi="宋体" w:cs="宋体"/>
                <w:bCs/>
                <w:color w:val="auto"/>
                <w:sz w:val="24"/>
                <w:szCs w:val="24"/>
                <w:highlight w:val="none"/>
                <w:u w:val="none"/>
                <w:lang w:val="en-US" w:eastAsia="zh-CN"/>
              </w:rPr>
              <w:t>澄清内容可能影响</w:t>
            </w:r>
            <w:r>
              <w:rPr>
                <w:rFonts w:hint="eastAsia" w:ascii="宋体" w:hAnsi="宋体" w:cs="宋体"/>
                <w:bCs/>
                <w:color w:val="auto"/>
                <w:sz w:val="24"/>
                <w:szCs w:val="24"/>
                <w:highlight w:val="none"/>
                <w:u w:val="none"/>
                <w:lang w:val="en-US" w:eastAsia="zh-CN"/>
              </w:rPr>
              <w:t>报价</w:t>
            </w:r>
            <w:r>
              <w:rPr>
                <w:rFonts w:hint="default" w:ascii="宋体" w:hAnsi="宋体" w:cs="宋体"/>
                <w:bCs/>
                <w:color w:val="auto"/>
                <w:sz w:val="24"/>
                <w:szCs w:val="24"/>
                <w:highlight w:val="none"/>
                <w:u w:val="none"/>
                <w:lang w:val="en-US" w:eastAsia="zh-CN"/>
              </w:rPr>
              <w:t>文件编制的，</w:t>
            </w:r>
            <w:r>
              <w:rPr>
                <w:rFonts w:hint="eastAsia" w:ascii="宋体" w:hAnsi="宋体" w:cs="宋体"/>
                <w:bCs/>
                <w:color w:val="auto"/>
                <w:sz w:val="24"/>
                <w:szCs w:val="24"/>
                <w:highlight w:val="none"/>
                <w:u w:val="none"/>
                <w:lang w:val="en-US" w:eastAsia="zh-CN"/>
              </w:rPr>
              <w:t>采购人</w:t>
            </w:r>
            <w:r>
              <w:rPr>
                <w:rFonts w:hint="default" w:ascii="宋体" w:hAnsi="宋体" w:cs="宋体"/>
                <w:bCs/>
                <w:color w:val="auto"/>
                <w:sz w:val="24"/>
                <w:szCs w:val="24"/>
                <w:highlight w:val="none"/>
                <w:u w:val="none"/>
                <w:lang w:val="en-US" w:eastAsia="zh-CN"/>
              </w:rPr>
              <w:t>将相应延长</w:t>
            </w:r>
            <w:r>
              <w:rPr>
                <w:rFonts w:hint="eastAsia" w:ascii="宋体" w:hAnsi="宋体" w:cs="宋体"/>
                <w:bCs/>
                <w:color w:val="auto"/>
                <w:sz w:val="24"/>
                <w:szCs w:val="24"/>
                <w:highlight w:val="none"/>
                <w:u w:val="none"/>
                <w:lang w:val="en-US" w:eastAsia="zh-CN"/>
              </w:rPr>
              <w:t>报价</w:t>
            </w:r>
            <w:r>
              <w:rPr>
                <w:rFonts w:hint="default" w:ascii="宋体" w:hAnsi="宋体" w:cs="宋体"/>
                <w:bCs/>
                <w:color w:val="auto"/>
                <w:sz w:val="24"/>
                <w:szCs w:val="24"/>
                <w:highlight w:val="none"/>
                <w:u w:val="none"/>
                <w:lang w:val="en-US" w:eastAsia="zh-CN"/>
              </w:rPr>
              <w:t>截止时间。</w:t>
            </w:r>
          </w:p>
        </w:tc>
      </w:tr>
      <w:tr w14:paraId="41F66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75FB2403">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36F864FF">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采购响应保证金</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7D407187">
            <w:pPr>
              <w:pStyle w:val="31"/>
              <w:widowControl w:val="0"/>
              <w:tabs>
                <w:tab w:val="left" w:pos="720"/>
              </w:tabs>
              <w:spacing w:before="0" w:beforeAutospacing="0" w:after="0" w:afterAutospacing="0" w:line="560" w:lineRule="exact"/>
              <w:jc w:val="both"/>
              <w:rPr>
                <w:rFonts w:hint="eastAsia" w:cs="宋体"/>
                <w:bCs/>
                <w:color w:val="auto"/>
                <w:highlight w:val="none"/>
                <w:u w:val="none"/>
              </w:rPr>
            </w:pPr>
            <w:r>
              <w:rPr>
                <w:rFonts w:hint="eastAsia" w:cs="宋体"/>
                <w:bCs/>
                <w:color w:val="auto"/>
                <w:highlight w:val="none"/>
                <w:u w:val="none"/>
              </w:rPr>
              <w:t>无</w:t>
            </w:r>
          </w:p>
        </w:tc>
      </w:tr>
      <w:tr w14:paraId="749F8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4909FDCA">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3237A7CC">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采购服务费</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05B13E8D">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无</w:t>
            </w:r>
          </w:p>
        </w:tc>
      </w:tr>
      <w:tr w14:paraId="16DEF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15D7C315">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1C88E0A1">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报价</w:t>
            </w:r>
            <w:r>
              <w:rPr>
                <w:rFonts w:hint="eastAsia" w:ascii="宋体" w:hAnsi="宋体" w:cs="宋体"/>
                <w:color w:val="auto"/>
                <w:sz w:val="24"/>
                <w:szCs w:val="24"/>
                <w:highlight w:val="none"/>
                <w:u w:val="none"/>
              </w:rPr>
              <w:t>文件要求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4500F3D1">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文件以附件形式上传，逾期未上传或未按要求格式上传将否决其投标。</w:t>
            </w:r>
          </w:p>
        </w:tc>
      </w:tr>
      <w:tr w14:paraId="7CDB4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1835A68C">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768053DF">
            <w:pPr>
              <w:spacing w:line="560" w:lineRule="exact"/>
              <w:jc w:val="both"/>
              <w:rPr>
                <w:rFonts w:hint="eastAsia" w:ascii="宋体" w:hAnsi="宋体" w:cs="宋体"/>
                <w:color w:val="auto"/>
                <w:sz w:val="24"/>
                <w:szCs w:val="24"/>
                <w:highlight w:val="none"/>
                <w:u w:val="none"/>
              </w:rPr>
            </w:pPr>
            <w:r>
              <w:rPr>
                <w:rFonts w:hint="default" w:ascii="宋体" w:hAnsi="宋体" w:cs="宋体"/>
                <w:color w:val="auto"/>
                <w:sz w:val="24"/>
                <w:szCs w:val="24"/>
                <w:highlight w:val="none"/>
                <w:u w:val="none"/>
                <w:lang w:val="en-US" w:eastAsia="zh-CN"/>
              </w:rPr>
              <w:t>投标截止时间</w:t>
            </w:r>
            <w:r>
              <w:rPr>
                <w:rFonts w:hint="eastAsia" w:ascii="宋体" w:hAnsi="宋体" w:cs="宋体"/>
                <w:color w:val="auto"/>
                <w:sz w:val="24"/>
                <w:szCs w:val="24"/>
                <w:highlight w:val="none"/>
                <w:u w:val="none"/>
                <w:lang w:val="en-US" w:eastAsia="zh-CN"/>
              </w:rPr>
              <w:t>和</w:t>
            </w:r>
            <w:r>
              <w:rPr>
                <w:rFonts w:hint="eastAsia" w:ascii="宋体" w:hAnsi="宋体" w:eastAsia="宋体" w:cs="宋体"/>
                <w:sz w:val="24"/>
                <w:szCs w:val="24"/>
              </w:rPr>
              <w:t>开标时间</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2C5EAC55">
            <w:pPr>
              <w:pStyle w:val="31"/>
              <w:tabs>
                <w:tab w:val="left" w:pos="720"/>
              </w:tabs>
              <w:spacing w:before="0" w:beforeAutospacing="0" w:after="0" w:afterAutospacing="0" w:line="560" w:lineRule="exact"/>
              <w:jc w:val="both"/>
              <w:rPr>
                <w:rFonts w:hint="default" w:eastAsia="宋体" w:cs="宋体"/>
                <w:color w:val="auto"/>
                <w:highlight w:val="none"/>
                <w:u w:val="none"/>
                <w:lang w:val="en-US"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14:paraId="447D1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5C18B915">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rPr>
              <w:t>1</w:t>
            </w:r>
            <w:r>
              <w:rPr>
                <w:rFonts w:hint="eastAsia" w:ascii="宋体" w:hAnsi="宋体" w:cs="宋体"/>
                <w:color w:val="auto"/>
                <w:kern w:val="0"/>
                <w:sz w:val="24"/>
                <w:highlight w:val="none"/>
                <w:u w:val="none"/>
                <w:lang w:val="en-US" w:eastAsia="zh-CN"/>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63516477">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是否公开最终报价</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2BE51D6B">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否</w:t>
            </w:r>
          </w:p>
        </w:tc>
      </w:tr>
      <w:tr w14:paraId="5018B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6123346B">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17</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79B65E89">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成交供应商</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6E06AFF1">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由</w:t>
            </w:r>
            <w:r>
              <w:rPr>
                <w:rFonts w:hint="eastAsia" w:ascii="宋体" w:hAnsi="宋体" w:cs="宋体"/>
                <w:color w:val="auto"/>
                <w:kern w:val="0"/>
                <w:sz w:val="24"/>
                <w:highlight w:val="none"/>
                <w:u w:val="none"/>
                <w:lang w:val="en-US" w:eastAsia="zh-CN"/>
              </w:rPr>
              <w:t>询价单位</w:t>
            </w:r>
            <w:r>
              <w:rPr>
                <w:rFonts w:hint="eastAsia" w:ascii="宋体" w:hAnsi="宋体" w:cs="宋体"/>
                <w:color w:val="auto"/>
                <w:kern w:val="0"/>
                <w:sz w:val="24"/>
                <w:highlight w:val="none"/>
                <w:u w:val="none"/>
              </w:rPr>
              <w:t>确定成交供应商。</w:t>
            </w:r>
          </w:p>
        </w:tc>
      </w:tr>
      <w:tr w14:paraId="35B34B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1B91FCBE">
            <w:pPr>
              <w:spacing w:line="560" w:lineRule="exact"/>
              <w:jc w:val="both"/>
              <w:rPr>
                <w:rFonts w:hint="default"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18</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1D9DA2C">
            <w:pPr>
              <w:pStyle w:val="2"/>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评审办法</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1CB1B57B">
            <w:pPr>
              <w:pStyle w:val="2"/>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最低评审价格法</w:t>
            </w:r>
          </w:p>
        </w:tc>
      </w:tr>
      <w:tr w14:paraId="50201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14:paraId="38DEA5AF">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19</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0385726B">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eastAsia="zh-CN"/>
              </w:rPr>
              <w:t>其他</w:t>
            </w:r>
          </w:p>
        </w:tc>
        <w:tc>
          <w:tcPr>
            <w:tcW w:w="6800" w:type="dxa"/>
            <w:tcBorders>
              <w:top w:val="single" w:color="auto" w:sz="4" w:space="0"/>
              <w:left w:val="single" w:color="auto" w:sz="4" w:space="0"/>
              <w:bottom w:val="single" w:color="auto" w:sz="4" w:space="0"/>
              <w:right w:val="single" w:color="auto" w:sz="4" w:space="0"/>
            </w:tcBorders>
            <w:noWrap w:val="0"/>
            <w:vAlign w:val="center"/>
          </w:tcPr>
          <w:p w14:paraId="10FFE343">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无</w:t>
            </w:r>
          </w:p>
        </w:tc>
      </w:tr>
    </w:tbl>
    <w:p w14:paraId="6D1562D0">
      <w:pPr>
        <w:rPr>
          <w:rFonts w:hint="eastAsia"/>
          <w:color w:val="000000"/>
          <w:sz w:val="32"/>
          <w:szCs w:val="32"/>
          <w:lang w:val="en-US" w:eastAsia="zh-CN"/>
        </w:rPr>
      </w:pPr>
      <w:r>
        <w:rPr>
          <w:rFonts w:hint="eastAsia"/>
          <w:color w:val="000000"/>
          <w:sz w:val="32"/>
          <w:szCs w:val="32"/>
          <w:lang w:val="en-US" w:eastAsia="zh-CN"/>
        </w:rPr>
        <w:br w:type="page"/>
      </w:r>
    </w:p>
    <w:p w14:paraId="3DE1FB7C">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11" w:name="_Toc4979"/>
      <w:bookmarkStart w:id="12" w:name="_Toc17379"/>
      <w:r>
        <w:rPr>
          <w:rFonts w:hint="eastAsia" w:ascii="宋体" w:hAnsi="宋体" w:eastAsia="宋体" w:cs="宋体"/>
          <w:b/>
          <w:bCs/>
          <w:color w:val="000000"/>
          <w:kern w:val="28"/>
          <w:sz w:val="24"/>
          <w:szCs w:val="24"/>
          <w:lang w:val="en-US" w:eastAsia="zh-CN"/>
        </w:rPr>
        <w:t>1.1 投标人资格要求</w:t>
      </w:r>
      <w:bookmarkEnd w:id="11"/>
      <w:bookmarkEnd w:id="12"/>
    </w:p>
    <w:p w14:paraId="27572CB1">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1.1.1投标人资格要求：见第一章。</w:t>
      </w:r>
    </w:p>
    <w:p w14:paraId="281A2755">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1.1.2联合体投标的应遵守以下规定：</w:t>
      </w:r>
    </w:p>
    <w:p w14:paraId="5E931DF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（1）联合体各方应签订联合体协议书，明确联合体牵头人和各方权利义务，并承诺承担连带责任；</w:t>
      </w:r>
    </w:p>
    <w:p w14:paraId="1502092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（2）由同一专业的单位组成的联合体，按照资质等级较低的单位确定资质等级；</w:t>
      </w:r>
    </w:p>
    <w:p w14:paraId="15BFACF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（3）联合体各方不得再以自己名义单独或参加其他联合体在本项目中投标，否则各相关投标均无效。</w:t>
      </w:r>
    </w:p>
    <w:p w14:paraId="7783BF7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1.1.3 投标人不得存在下列情形之一：</w:t>
      </w:r>
    </w:p>
    <w:p w14:paraId="315933E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（1）与采购人存在利害关系且可能影响询价公正性；</w:t>
      </w:r>
    </w:p>
    <w:p w14:paraId="4B66228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（2）与本项目的其他投标人为同一个单位负责人；</w:t>
      </w:r>
    </w:p>
    <w:p w14:paraId="034315D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（3）与本项目的其他投标人存在控股、管理关系；</w:t>
      </w:r>
    </w:p>
    <w:p w14:paraId="1A33961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（4）为本项目提供过设计、编制技术规范和其他文件的咨询服务；</w:t>
      </w:r>
    </w:p>
    <w:p w14:paraId="1761325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（5）被依法暂停或者取消投标资格；</w:t>
      </w:r>
    </w:p>
    <w:p w14:paraId="0E85058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（6）被责令停产停业，暂扣或者吊销许可证，暂扣或者吊销执照；</w:t>
      </w:r>
    </w:p>
    <w:p w14:paraId="19FB02D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（7）进入清算程序，或被宣告破产，或其他丧失履约能力的情形；</w:t>
      </w:r>
    </w:p>
    <w:p w14:paraId="13787DD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（8）在近三年内发生重大产品质量问题（以相关行业主管部门的行政处罚决定或司法机关出具的有关法律文书为准）；</w:t>
      </w:r>
    </w:p>
    <w:p w14:paraId="5FA8F86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（9）被国家市场监督管理总局国家企业信用信息公示系统网站（www.gsxt.gov.cn）列入严重违法失信企业名单；</w:t>
      </w:r>
    </w:p>
    <w:p w14:paraId="14B07111">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（10）被最高人民法院在“信用中国”网站（www.creditchina.gov.cn）或各级信用信息共享平台中列入失信被执行人名单；</w:t>
      </w:r>
    </w:p>
    <w:p w14:paraId="3140F02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（11）在近三年内投标人或其法定代表人（单位负责人）有行贿犯罪行为的（以中国裁判文书网（wenshu.court.gov.cn）查询结果为准）；</w:t>
      </w:r>
    </w:p>
    <w:p w14:paraId="0A71C884">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（12）被中煤集团、华晋集团列入“失信供应商”或“黑名单供应商”名单，且正在处置期的；</w:t>
      </w:r>
    </w:p>
    <w:p w14:paraId="5C095D6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（13）法律法规或投标人须知前附表规定的其他情形。</w:t>
      </w:r>
    </w:p>
    <w:p w14:paraId="752F3F55">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13" w:name="_Toc14300"/>
      <w:bookmarkStart w:id="14" w:name="_Toc485303289"/>
      <w:bookmarkStart w:id="15" w:name="_Toc8583"/>
      <w:r>
        <w:rPr>
          <w:rFonts w:hint="eastAsia" w:ascii="宋体" w:hAnsi="宋体" w:eastAsia="宋体" w:cs="宋体"/>
          <w:b/>
          <w:bCs/>
          <w:color w:val="000000"/>
          <w:kern w:val="28"/>
          <w:sz w:val="24"/>
          <w:szCs w:val="24"/>
          <w:lang w:val="en-US" w:eastAsia="zh-CN"/>
        </w:rPr>
        <w:t xml:space="preserve">1.2 </w:t>
      </w:r>
      <w:bookmarkEnd w:id="13"/>
      <w:bookmarkEnd w:id="14"/>
      <w:bookmarkEnd w:id="15"/>
      <w:r>
        <w:rPr>
          <w:rFonts w:hint="eastAsia" w:ascii="宋体" w:hAnsi="宋体" w:eastAsia="宋体" w:cs="宋体"/>
          <w:b/>
          <w:bCs/>
          <w:color w:val="000000"/>
          <w:kern w:val="28"/>
          <w:sz w:val="24"/>
          <w:szCs w:val="24"/>
          <w:lang w:val="en-US" w:eastAsia="zh-CN"/>
        </w:rPr>
        <w:t>属于以下情形之一的，视为投标人相互串通投标，投标将被否决：</w:t>
      </w:r>
    </w:p>
    <w:p w14:paraId="217BA52A">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1.2.1 不同报价供应商的已标价工程量清单XML电子文档记录的计价软件加密锁序列号信息有一条及以上相同的； </w:t>
      </w:r>
    </w:p>
    <w:p w14:paraId="21C1F6F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1.2.2 不同报价供应商电子报价文件中报价用同一序列号的编辑计价软件制作的； </w:t>
      </w:r>
    </w:p>
    <w:p w14:paraId="042F01E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1.2.3 不同报价供应商在报价阶段（不含注册信息）所留信息存在联系人相同（姓名和身份证号码均相同）或联系方式（电话或邮箱）相同，且无法证明其合理性的；</w:t>
      </w:r>
    </w:p>
    <w:p w14:paraId="3DFDA2B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1.2.4 不同报价供应商报价时IP地址相同，且无法证明其合理性的；</w:t>
      </w:r>
    </w:p>
    <w:p w14:paraId="2B655F9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bookmarkStart w:id="16" w:name="_Toc32220"/>
      <w:bookmarkStart w:id="17" w:name="_Toc31558"/>
      <w:r>
        <w:rPr>
          <w:rFonts w:hint="eastAsia" w:ascii="宋体" w:hAnsi="宋体" w:eastAsia="宋体" w:cs="宋体"/>
          <w:color w:val="000000"/>
          <w:sz w:val="24"/>
          <w:szCs w:val="24"/>
          <w:highlight w:val="none"/>
          <w:lang w:val="en-US" w:eastAsia="zh-CN"/>
        </w:rPr>
        <w:t>1.2.5 法律法规规定、中煤集团及华晋公司相关管理制度和评审小组认定的其他情形。</w:t>
      </w:r>
    </w:p>
    <w:p w14:paraId="1C8AC974">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1.3投标人失信行为管理</w:t>
      </w:r>
      <w:bookmarkEnd w:id="16"/>
      <w:bookmarkEnd w:id="17"/>
    </w:p>
    <w:p w14:paraId="38CD3DF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1.3.1 华晋集团公司对存在以下失信行为的投标人实施失信惩戒，禁止参加实施惩戒的企业的采购业务。</w:t>
      </w:r>
    </w:p>
    <w:p w14:paraId="31819AA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（一）对以下失信供应商在华晋公司范围内停用一年：</w:t>
      </w:r>
    </w:p>
    <w:p w14:paraId="5AE35D0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1.未经异议直接投诉，或在提出异议及异议处理期间同时提出投诉；</w:t>
      </w:r>
    </w:p>
    <w:p w14:paraId="0545EB5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2.捏造事实、伪造材料或者以非法手段取得证明材料进行投诉；</w:t>
      </w:r>
    </w:p>
    <w:p w14:paraId="6B8464E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3.采购寻源过程中弄虚作假未取得中标/成交资格；</w:t>
      </w:r>
    </w:p>
    <w:p w14:paraId="7EEEA854">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4.要求整改事项在整改期限内拒不整改；</w:t>
      </w:r>
    </w:p>
    <w:p w14:paraId="0A7C9D3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5.项目开标/报价揭示后，无正当理由放弃投标/报价；</w:t>
      </w:r>
    </w:p>
    <w:p w14:paraId="4408AC3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6.华晋公司认定的其他情形。</w:t>
      </w:r>
    </w:p>
    <w:p w14:paraId="41F5919A">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（二）对以下失信供应商在华晋公司范围内停用二年：</w:t>
      </w:r>
    </w:p>
    <w:p w14:paraId="264B174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1.绩效评价不合格；</w:t>
      </w:r>
    </w:p>
    <w:p w14:paraId="59CAAC3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2.破坏或扰乱采购活动；</w:t>
      </w:r>
    </w:p>
    <w:p w14:paraId="2A68B703">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3.无正当理由放弃中标、放弃成交、拒签或拒绝履行合同；</w:t>
      </w:r>
    </w:p>
    <w:p w14:paraId="77E2EFAA">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4.恶意投诉采购人或竞争对手；</w:t>
      </w:r>
    </w:p>
    <w:p w14:paraId="552E0E40">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5.在质保期内产品或服务出现质量问题，未按合同约定及时进行处理，影响安全稳定运行；</w:t>
      </w:r>
    </w:p>
    <w:p w14:paraId="07846E0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6.恶意投诉、举报采购人或竞争对手；</w:t>
      </w:r>
    </w:p>
    <w:p w14:paraId="0572C1A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7.对采购人恶意提起诉讼或仲裁；</w:t>
      </w:r>
    </w:p>
    <w:p w14:paraId="30AEFBE1">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8.华晋公司认定的其他情形。</w:t>
      </w:r>
    </w:p>
    <w:p w14:paraId="4A8AFF7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（三）对以下失信供应商在华晋公司范围内停用三年：</w:t>
      </w:r>
    </w:p>
    <w:p w14:paraId="495FF793">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1.采购过程中串通投标；</w:t>
      </w:r>
    </w:p>
    <w:p w14:paraId="6D9CAD3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2.采购寻源过程中弄虚作假取得中标/成交资格，或未取得中标/成交资格但多次弄虚作假的；</w:t>
      </w:r>
    </w:p>
    <w:p w14:paraId="73B9B7D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3.所供货物不能安全稳定运行或性能指标与设计值出现重大偏差，且无法通过进一步调试和正常维护及时得到解决的；</w:t>
      </w:r>
    </w:p>
    <w:p w14:paraId="2F153515">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4.违反投标/报价承诺或者合同约定提高价格、降低质量、拖延工期；</w:t>
      </w:r>
    </w:p>
    <w:p w14:paraId="72B37B0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5.履约过程中提供假冒伪劣产品，伪造施工、货物和服务检验、试验合格证明、报告、文件资料；</w:t>
      </w:r>
    </w:p>
    <w:p w14:paraId="79963094">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6.华晋公司认定的其他情形。</w:t>
      </w:r>
    </w:p>
    <w:p w14:paraId="2220F75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（四）对以下失信供应商在华晋公司范围内停用五年，情节恶劣的，可延长停用期限，直至长期停用：</w:t>
      </w:r>
    </w:p>
    <w:p w14:paraId="234D289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1.转包或违法分包；</w:t>
      </w:r>
    </w:p>
    <w:p w14:paraId="65B66552">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2.违规挂靠；</w:t>
      </w:r>
    </w:p>
    <w:p w14:paraId="715F6C2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3.因质量问题造成事故的；</w:t>
      </w:r>
    </w:p>
    <w:p w14:paraId="3C0AE17B">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4.给华晋公司造成严重安全、环保、质量隐患或事故的；</w:t>
      </w:r>
    </w:p>
    <w:p w14:paraId="19B39D65">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5.给华晋公司造成较大经济损失或严重不良社会影响的；</w:t>
      </w:r>
    </w:p>
    <w:p w14:paraId="21E4D1B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6.侵害华晋公司专利权、商标权等知识产权；</w:t>
      </w:r>
    </w:p>
    <w:p w14:paraId="06E6C451">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7.华晋公司认定的其他情形。</w:t>
      </w:r>
    </w:p>
    <w:p w14:paraId="4A09287E">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1.4 投标报价有算术错误及其他错误的，评审小组按以下原则对投标报价进</w:t>
      </w:r>
      <w:bookmarkStart w:id="18" w:name="_Toc2907"/>
      <w:bookmarkStart w:id="19" w:name="_Toc384308277"/>
      <w:bookmarkStart w:id="20" w:name="_Toc152042380"/>
      <w:bookmarkStart w:id="21" w:name="_Toc152045603"/>
      <w:bookmarkStart w:id="22" w:name="_Toc144974570"/>
      <w:bookmarkStart w:id="23" w:name="_Toc369531582"/>
      <w:bookmarkStart w:id="24" w:name="_Toc247514027"/>
      <w:bookmarkStart w:id="25" w:name="_Toc361508651"/>
      <w:bookmarkStart w:id="26" w:name="_Toc300835013"/>
      <w:bookmarkStart w:id="27" w:name="_Toc352691538"/>
      <w:bookmarkStart w:id="28" w:name="_Toc247527628"/>
      <w:r>
        <w:rPr>
          <w:rFonts w:hint="eastAsia" w:ascii="宋体" w:hAnsi="宋体" w:eastAsia="宋体" w:cs="宋体"/>
          <w:b/>
          <w:bCs/>
          <w:color w:val="000000"/>
          <w:kern w:val="28"/>
          <w:sz w:val="24"/>
          <w:szCs w:val="24"/>
          <w:lang w:val="en-US" w:eastAsia="zh-CN"/>
        </w:rPr>
        <w:t>行修正（小数点或单位等明显错误的除外），并要求投标人书面澄清确认。</w:t>
      </w:r>
      <w:bookmarkEnd w:id="18"/>
      <w:bookmarkEnd w:id="19"/>
      <w:bookmarkEnd w:id="20"/>
      <w:bookmarkEnd w:id="21"/>
      <w:bookmarkEnd w:id="22"/>
      <w:bookmarkEnd w:id="23"/>
      <w:bookmarkEnd w:id="24"/>
      <w:bookmarkEnd w:id="25"/>
      <w:bookmarkEnd w:id="26"/>
      <w:bookmarkEnd w:id="27"/>
      <w:bookmarkEnd w:id="28"/>
      <w:r>
        <w:rPr>
          <w:rFonts w:hint="eastAsia" w:ascii="宋体" w:hAnsi="宋体" w:eastAsia="宋体" w:cs="宋体"/>
          <w:b/>
          <w:bCs/>
          <w:color w:val="000000"/>
          <w:kern w:val="28"/>
          <w:sz w:val="24"/>
          <w:szCs w:val="24"/>
          <w:lang w:val="en-US" w:eastAsia="zh-CN"/>
        </w:rPr>
        <w:t>投标人拒不澄清确认的，评审小组应当否决其投标：</w:t>
      </w:r>
    </w:p>
    <w:p w14:paraId="5E46036F">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（1）报价文件中的大写金额与小写金额不一致的，以大写金额为准；</w:t>
      </w:r>
    </w:p>
    <w:p w14:paraId="162D9E3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（2）总价金额与单价金额不一致的，以单价金额为准，但单价金额小数点有明显错误的除外；</w:t>
      </w:r>
    </w:p>
    <w:p w14:paraId="6C0546F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（3）投标报价为各分项报价金额之和，投标报价与分项报价的合价不一致的，以不利于投标人的原则进行修正。</w:t>
      </w:r>
    </w:p>
    <w:p w14:paraId="0C444569">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default" w:ascii="宋体" w:hAnsi="宋体" w:eastAsia="宋体" w:cs="宋体"/>
          <w:b/>
          <w:bCs/>
          <w:color w:val="000000"/>
          <w:kern w:val="28"/>
          <w:sz w:val="24"/>
          <w:szCs w:val="24"/>
          <w:lang w:val="en-US" w:eastAsia="zh-CN"/>
        </w:rPr>
      </w:pPr>
      <w:bookmarkStart w:id="29" w:name="_Toc15702"/>
      <w:bookmarkStart w:id="30" w:name="_Toc20040"/>
      <w:r>
        <w:rPr>
          <w:rFonts w:hint="eastAsia" w:ascii="宋体" w:hAnsi="宋体" w:eastAsia="宋体" w:cs="宋体"/>
          <w:b/>
          <w:bCs/>
          <w:color w:val="000000"/>
          <w:kern w:val="28"/>
          <w:sz w:val="24"/>
          <w:szCs w:val="24"/>
          <w:lang w:val="en-US" w:eastAsia="zh-CN"/>
        </w:rPr>
        <w:t>1.5</w:t>
      </w:r>
      <w:r>
        <w:rPr>
          <w:rFonts w:hint="default" w:ascii="宋体" w:hAnsi="宋体" w:eastAsia="宋体" w:cs="宋体"/>
          <w:b/>
          <w:bCs/>
          <w:color w:val="000000"/>
          <w:kern w:val="28"/>
          <w:sz w:val="24"/>
          <w:szCs w:val="24"/>
          <w:lang w:val="en-US" w:eastAsia="zh-CN"/>
        </w:rPr>
        <w:t xml:space="preserve"> </w:t>
      </w:r>
      <w:r>
        <w:rPr>
          <w:rFonts w:hint="eastAsia" w:ascii="宋体" w:hAnsi="宋体" w:eastAsia="宋体" w:cs="宋体"/>
          <w:b/>
          <w:bCs/>
          <w:color w:val="000000"/>
          <w:kern w:val="28"/>
          <w:sz w:val="24"/>
          <w:szCs w:val="24"/>
          <w:lang w:val="en-US" w:eastAsia="zh-CN"/>
        </w:rPr>
        <w:t>报价文件</w:t>
      </w:r>
      <w:r>
        <w:rPr>
          <w:rFonts w:hint="default" w:ascii="宋体" w:hAnsi="宋体" w:eastAsia="宋体" w:cs="宋体"/>
          <w:b/>
          <w:bCs/>
          <w:color w:val="000000"/>
          <w:kern w:val="28"/>
          <w:sz w:val="24"/>
          <w:szCs w:val="24"/>
          <w:lang w:val="en-US" w:eastAsia="zh-CN"/>
        </w:rPr>
        <w:t>的澄清</w:t>
      </w:r>
      <w:bookmarkEnd w:id="29"/>
      <w:bookmarkEnd w:id="30"/>
    </w:p>
    <w:p w14:paraId="6390B6F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default" w:ascii="宋体" w:hAnsi="宋体" w:eastAsia="宋体" w:cs="宋体"/>
          <w:color w:val="000000"/>
          <w:sz w:val="24"/>
          <w:szCs w:val="24"/>
          <w:highlight w:val="none"/>
          <w:lang w:val="en-US" w:eastAsia="zh-CN"/>
        </w:rPr>
        <w:t>在</w:t>
      </w:r>
      <w:r>
        <w:rPr>
          <w:rFonts w:hint="eastAsia" w:ascii="宋体" w:hAnsi="宋体" w:eastAsia="宋体" w:cs="宋体"/>
          <w:color w:val="000000"/>
          <w:sz w:val="24"/>
          <w:szCs w:val="24"/>
          <w:highlight w:val="none"/>
          <w:lang w:val="en-US" w:eastAsia="zh-CN"/>
        </w:rPr>
        <w:t>评审</w:t>
      </w:r>
      <w:r>
        <w:rPr>
          <w:rFonts w:hint="default" w:ascii="宋体" w:hAnsi="宋体" w:eastAsia="宋体" w:cs="宋体"/>
          <w:color w:val="000000"/>
          <w:sz w:val="24"/>
          <w:szCs w:val="24"/>
          <w:highlight w:val="none"/>
          <w:lang w:val="en-US" w:eastAsia="zh-CN"/>
        </w:rPr>
        <w:t>过程中，</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可以书面形式要求投标人对</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中含义不明确、对同类问题表述不一致或者有明显文字和计算错误的内容做必要的澄清、说明或补正。澄清、说明或补正应以书面方式进行。</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不接受投标人主动提出的澄清、说明或补正。</w:t>
      </w:r>
    </w:p>
    <w:p w14:paraId="7FE2B86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3.3.2 澄清、说明或补正不得超出</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的范围且不得改变</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的实质性内容，并构成</w:t>
      </w:r>
      <w:r>
        <w:rPr>
          <w:rFonts w:hint="eastAsia" w:ascii="宋体" w:hAnsi="宋体" w:eastAsia="宋体" w:cs="宋体"/>
          <w:color w:val="000000"/>
          <w:sz w:val="24"/>
          <w:szCs w:val="24"/>
          <w:highlight w:val="none"/>
          <w:lang w:val="en-US" w:eastAsia="zh-CN"/>
        </w:rPr>
        <w:t>报价文件</w:t>
      </w:r>
      <w:r>
        <w:rPr>
          <w:rFonts w:hint="default" w:ascii="宋体" w:hAnsi="宋体" w:eastAsia="宋体" w:cs="宋体"/>
          <w:color w:val="000000"/>
          <w:sz w:val="24"/>
          <w:szCs w:val="24"/>
          <w:highlight w:val="none"/>
          <w:lang w:val="en-US" w:eastAsia="zh-CN"/>
        </w:rPr>
        <w:t>的组成部分。</w:t>
      </w:r>
    </w:p>
    <w:p w14:paraId="2D331BF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 xml:space="preserve">3.3.3 </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对投标人提交的澄清、说明或补正有疑问的，可以要求投标人进一步澄清、说明或补正，直至满足</w:t>
      </w:r>
      <w:r>
        <w:rPr>
          <w:rFonts w:hint="eastAsia" w:ascii="宋体" w:hAnsi="宋体" w:eastAsia="宋体" w:cs="宋体"/>
          <w:color w:val="000000"/>
          <w:sz w:val="24"/>
          <w:szCs w:val="24"/>
          <w:highlight w:val="none"/>
          <w:lang w:val="en-US" w:eastAsia="zh-CN"/>
        </w:rPr>
        <w:t>评审小组</w:t>
      </w:r>
      <w:r>
        <w:rPr>
          <w:rFonts w:hint="default" w:ascii="宋体" w:hAnsi="宋体" w:eastAsia="宋体" w:cs="宋体"/>
          <w:color w:val="000000"/>
          <w:sz w:val="24"/>
          <w:szCs w:val="24"/>
          <w:highlight w:val="none"/>
          <w:lang w:val="en-US" w:eastAsia="zh-CN"/>
        </w:rPr>
        <w:t>的要求。</w:t>
      </w:r>
    </w:p>
    <w:p w14:paraId="762252DB">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eastAsia="宋体" w:cs="宋体"/>
          <w:color w:val="000000"/>
          <w:sz w:val="24"/>
          <w:szCs w:val="24"/>
          <w:highlight w:val="none"/>
          <w:lang w:val="en-US" w:eastAsia="zh-CN"/>
        </w:rPr>
      </w:pPr>
    </w:p>
    <w:p w14:paraId="3977FC8A">
      <w:pPr>
        <w:rPr>
          <w:rFonts w:hint="eastAsia"/>
          <w:color w:val="000000"/>
          <w:sz w:val="32"/>
          <w:szCs w:val="32"/>
          <w:lang w:val="en-US" w:eastAsia="zh-CN"/>
        </w:rPr>
      </w:pPr>
      <w:r>
        <w:rPr>
          <w:rFonts w:hint="eastAsia"/>
          <w:color w:val="000000"/>
          <w:sz w:val="32"/>
          <w:szCs w:val="32"/>
          <w:lang w:val="en-US" w:eastAsia="zh-CN"/>
        </w:rPr>
        <w:br w:type="page"/>
      </w:r>
    </w:p>
    <w:p w14:paraId="571C718F">
      <w:pPr>
        <w:pStyle w:val="3"/>
        <w:spacing w:line="240" w:lineRule="auto"/>
        <w:jc w:val="center"/>
      </w:pPr>
      <w:r>
        <w:rPr>
          <w:rFonts w:hint="eastAsia"/>
          <w:color w:val="000000"/>
          <w:sz w:val="32"/>
          <w:szCs w:val="32"/>
          <w:lang w:val="en-US" w:eastAsia="zh-CN"/>
        </w:rPr>
        <w:t xml:space="preserve">第三章 </w:t>
      </w:r>
      <w:bookmarkStart w:id="31" w:name="_Toc9245"/>
      <w:r>
        <w:rPr>
          <w:color w:val="000000"/>
          <w:sz w:val="32"/>
          <w:szCs w:val="32"/>
        </w:rPr>
        <w:t>合同条款及格式</w:t>
      </w:r>
      <w:bookmarkEnd w:id="31"/>
    </w:p>
    <w:p w14:paraId="458B9F7F">
      <w:pPr>
        <w:spacing w:line="360" w:lineRule="auto"/>
        <w:jc w:val="center"/>
      </w:pPr>
      <w:r>
        <w:rPr>
          <w:rFonts w:hint="eastAsia" w:ascii="宋体" w:hAnsi="宋体" w:eastAsia="宋体" w:cstheme="minorBidi"/>
          <w:b/>
          <w:sz w:val="21"/>
          <w:szCs w:val="21"/>
        </w:rPr>
        <w:t>（此合同为模板格式具体条款以双方协商签订为准）</w:t>
      </w:r>
    </w:p>
    <w:p w14:paraId="67E47E2D">
      <w:pPr>
        <w:pStyle w:val="29"/>
        <w:rPr>
          <w:rFonts w:hint="eastAsia"/>
          <w:lang w:eastAsia="zh-CN"/>
        </w:rPr>
      </w:pPr>
    </w:p>
    <w:p w14:paraId="5E84BA90">
      <w:pPr>
        <w:pStyle w:val="31"/>
        <w:spacing w:before="0" w:beforeAutospacing="0" w:after="0" w:afterAutospacing="0" w:line="400" w:lineRule="exact"/>
        <w:jc w:val="center"/>
        <w:rPr>
          <w:rFonts w:hint="eastAsia" w:ascii="黑体" w:hAnsi="黑体" w:eastAsia="黑体"/>
          <w:kern w:val="2"/>
          <w:sz w:val="32"/>
          <w:szCs w:val="32"/>
        </w:rPr>
      </w:pPr>
      <w:r>
        <w:rPr>
          <w:rFonts w:hint="eastAsia" w:ascii="黑体" w:hAnsi="黑体" w:eastAsia="黑体"/>
          <w:kern w:val="2"/>
          <w:sz w:val="32"/>
          <w:szCs w:val="32"/>
        </w:rPr>
        <w:t>中煤华晋集团有限公司</w:t>
      </w:r>
    </w:p>
    <w:p w14:paraId="25CF73CC">
      <w:pPr>
        <w:pStyle w:val="31"/>
        <w:spacing w:before="0" w:beforeAutospacing="0" w:after="0" w:afterAutospacing="0" w:line="400" w:lineRule="exact"/>
        <w:jc w:val="center"/>
        <w:rPr>
          <w:rFonts w:hint="eastAsia" w:ascii="黑体" w:hAnsi="黑体" w:eastAsia="黑体" w:cs="宋体"/>
          <w:kern w:val="2"/>
          <w:sz w:val="32"/>
          <w:szCs w:val="32"/>
        </w:rPr>
      </w:pPr>
      <w:r>
        <w:rPr>
          <w:rFonts w:hint="eastAsia" w:ascii="黑体" w:hAnsi="黑体" w:eastAsia="黑体"/>
          <w:kern w:val="2"/>
          <w:sz w:val="32"/>
          <w:szCs w:val="32"/>
          <w:lang w:val="en-US" w:eastAsia="zh-CN"/>
        </w:rPr>
        <w:t>王家岭选煤厂</w:t>
      </w:r>
      <w:r>
        <w:rPr>
          <w:rFonts w:hint="eastAsia" w:ascii="黑体" w:hAnsi="黑体" w:eastAsia="黑体"/>
          <w:kern w:val="2"/>
          <w:sz w:val="32"/>
          <w:szCs w:val="32"/>
        </w:rPr>
        <w:t>原煤大样分析技术服</w:t>
      </w:r>
      <w:r>
        <w:rPr>
          <w:rFonts w:hint="eastAsia" w:ascii="黑体" w:hAnsi="黑体" w:eastAsia="黑体" w:cs="宋体"/>
          <w:kern w:val="2"/>
          <w:sz w:val="32"/>
          <w:szCs w:val="32"/>
        </w:rPr>
        <w:t>务合同</w:t>
      </w:r>
    </w:p>
    <w:p w14:paraId="0BC702BF">
      <w:pPr>
        <w:autoSpaceDE w:val="0"/>
        <w:autoSpaceDN w:val="0"/>
        <w:spacing w:line="400" w:lineRule="exact"/>
        <w:ind w:firstLine="482" w:firstLineChars="200"/>
        <w:rPr>
          <w:b/>
          <w:sz w:val="24"/>
          <w:szCs w:val="24"/>
          <w:lang w:val="zh-CN"/>
        </w:rPr>
      </w:pPr>
    </w:p>
    <w:p w14:paraId="26440365">
      <w:pPr>
        <w:autoSpaceDE w:val="0"/>
        <w:autoSpaceDN w:val="0"/>
        <w:spacing w:line="400" w:lineRule="exact"/>
        <w:ind w:firstLine="482" w:firstLineChars="200"/>
        <w:rPr>
          <w:rFonts w:hint="default" w:eastAsia="宋体"/>
          <w:b/>
          <w:kern w:val="0"/>
          <w:sz w:val="24"/>
          <w:szCs w:val="24"/>
          <w:highlight w:val="none"/>
          <w:u w:val="single"/>
          <w:lang w:val="en-US" w:eastAsia="zh-CN"/>
        </w:rPr>
      </w:pPr>
      <w:r>
        <w:rPr>
          <w:b/>
          <w:sz w:val="24"/>
          <w:szCs w:val="24"/>
          <w:highlight w:val="none"/>
          <w:lang w:val="zh-CN"/>
        </w:rPr>
        <w:t>委托</w:t>
      </w:r>
      <w:r>
        <w:rPr>
          <w:rFonts w:hint="eastAsia"/>
          <w:b/>
          <w:sz w:val="24"/>
          <w:szCs w:val="24"/>
          <w:highlight w:val="none"/>
          <w:lang w:val="zh-CN"/>
        </w:rPr>
        <w:t>方（</w:t>
      </w:r>
      <w:r>
        <w:rPr>
          <w:b/>
          <w:sz w:val="24"/>
          <w:szCs w:val="24"/>
          <w:highlight w:val="none"/>
          <w:lang w:val="zh-CN"/>
        </w:rPr>
        <w:t>甲方</w:t>
      </w:r>
      <w:r>
        <w:rPr>
          <w:rFonts w:hint="eastAsia"/>
          <w:b/>
          <w:sz w:val="24"/>
          <w:szCs w:val="24"/>
          <w:highlight w:val="none"/>
          <w:lang w:val="zh-CN"/>
        </w:rPr>
        <w:t>）：</w:t>
      </w:r>
      <w:bookmarkStart w:id="32" w:name="_Hlk11231044"/>
      <w:r>
        <w:rPr>
          <w:rFonts w:hint="eastAsia"/>
          <w:b/>
          <w:sz w:val="24"/>
          <w:szCs w:val="24"/>
          <w:highlight w:val="none"/>
          <w:lang w:val="en-US" w:eastAsia="zh-CN"/>
        </w:rPr>
        <w:t xml:space="preserve"> </w:t>
      </w:r>
      <w:r>
        <w:rPr>
          <w:rFonts w:hint="eastAsia"/>
          <w:b/>
          <w:kern w:val="0"/>
          <w:sz w:val="24"/>
          <w:szCs w:val="24"/>
          <w:highlight w:val="none"/>
          <w:u w:val="single"/>
          <w:lang w:val="en-US" w:eastAsia="zh-CN"/>
        </w:rPr>
        <w:t xml:space="preserve">     中</w:t>
      </w:r>
      <w:r>
        <w:rPr>
          <w:rFonts w:hint="eastAsia"/>
          <w:b/>
          <w:kern w:val="0"/>
          <w:sz w:val="24"/>
          <w:szCs w:val="24"/>
          <w:highlight w:val="none"/>
          <w:u w:val="single"/>
          <w:lang w:val="zh-CN"/>
        </w:rPr>
        <w:t>煤华晋集团有限公司</w:t>
      </w:r>
      <w:bookmarkEnd w:id="32"/>
      <w:r>
        <w:rPr>
          <w:rFonts w:hint="eastAsia"/>
          <w:b/>
          <w:kern w:val="0"/>
          <w:sz w:val="24"/>
          <w:szCs w:val="24"/>
          <w:highlight w:val="none"/>
          <w:u w:val="single"/>
          <w:lang w:val="en-US" w:eastAsia="zh-CN"/>
        </w:rPr>
        <w:t xml:space="preserve">    </w:t>
      </w:r>
    </w:p>
    <w:p w14:paraId="4C23C359">
      <w:pPr>
        <w:spacing w:line="400" w:lineRule="exact"/>
        <w:ind w:firstLine="482" w:firstLineChars="200"/>
        <w:rPr>
          <w:rFonts w:hint="default" w:eastAsia="宋体"/>
          <w:b/>
          <w:kern w:val="0"/>
          <w:sz w:val="24"/>
          <w:szCs w:val="24"/>
          <w:highlight w:val="none"/>
          <w:u w:val="single"/>
          <w:lang w:val="en-US" w:eastAsia="zh-CN"/>
        </w:rPr>
      </w:pPr>
      <w:r>
        <w:rPr>
          <w:rFonts w:hint="eastAsia"/>
          <w:b/>
          <w:sz w:val="24"/>
          <w:szCs w:val="24"/>
          <w:highlight w:val="none"/>
          <w:lang w:val="zh-CN"/>
        </w:rPr>
        <w:t>受托方（乙方）</w:t>
      </w:r>
      <w:r>
        <w:rPr>
          <w:sz w:val="24"/>
          <w:szCs w:val="24"/>
          <w:highlight w:val="none"/>
          <w:lang w:val="zh-CN"/>
        </w:rPr>
        <w:t>：</w:t>
      </w:r>
      <w:r>
        <w:rPr>
          <w:rFonts w:hint="eastAsia"/>
          <w:sz w:val="24"/>
          <w:szCs w:val="24"/>
          <w:highlight w:val="none"/>
          <w:lang w:val="en-US" w:eastAsia="zh-CN"/>
        </w:rPr>
        <w:t xml:space="preserve"> </w:t>
      </w:r>
      <w:r>
        <w:rPr>
          <w:rFonts w:hint="eastAsia"/>
          <w:b/>
          <w:sz w:val="24"/>
          <w:szCs w:val="24"/>
          <w:highlight w:val="none"/>
          <w:u w:val="single"/>
          <w:lang w:val="en-US" w:eastAsia="zh-CN"/>
        </w:rPr>
        <w:t xml:space="preserve">                             </w:t>
      </w:r>
    </w:p>
    <w:p w14:paraId="672650F4">
      <w:pPr>
        <w:spacing w:line="400" w:lineRule="exact"/>
        <w:ind w:firstLine="480" w:firstLineChars="200"/>
        <w:rPr>
          <w:rFonts w:hint="eastAsia"/>
          <w:sz w:val="24"/>
          <w:szCs w:val="24"/>
          <w:highlight w:val="none"/>
        </w:rPr>
      </w:pPr>
    </w:p>
    <w:p w14:paraId="401665BB">
      <w:pPr>
        <w:spacing w:line="400" w:lineRule="exact"/>
        <w:ind w:firstLine="480" w:firstLineChars="200"/>
        <w:rPr>
          <w:rFonts w:hint="eastAsia"/>
          <w:sz w:val="24"/>
          <w:szCs w:val="24"/>
          <w:highlight w:val="none"/>
        </w:rPr>
      </w:pPr>
      <w:r>
        <w:rPr>
          <w:rFonts w:hint="eastAsia"/>
          <w:sz w:val="24"/>
          <w:szCs w:val="24"/>
          <w:highlight w:val="none"/>
        </w:rPr>
        <w:t>甲方委托乙方</w:t>
      </w:r>
      <w:r>
        <w:rPr>
          <w:rFonts w:hint="eastAsia"/>
          <w:sz w:val="24"/>
          <w:szCs w:val="24"/>
          <w:highlight w:val="none"/>
          <w:u w:val="none"/>
          <w:lang w:val="en-US" w:eastAsia="zh-CN"/>
        </w:rPr>
        <w:t>就编制</w:t>
      </w:r>
      <w:r>
        <w:rPr>
          <w:rFonts w:hint="eastAsia"/>
          <w:sz w:val="24"/>
          <w:szCs w:val="24"/>
          <w:highlight w:val="none"/>
          <w:u w:val="single"/>
          <w:lang w:val="en-US" w:eastAsia="zh-CN"/>
        </w:rPr>
        <w:t>《原煤大样分析报告》</w:t>
      </w:r>
      <w:r>
        <w:rPr>
          <w:rFonts w:hint="eastAsia"/>
          <w:sz w:val="24"/>
          <w:szCs w:val="24"/>
          <w:highlight w:val="none"/>
          <w:u w:val="none"/>
          <w:lang w:val="en-US" w:eastAsia="zh-CN"/>
        </w:rPr>
        <w:t>项目提供技术服务</w:t>
      </w:r>
      <w:r>
        <w:rPr>
          <w:rFonts w:hint="eastAsia"/>
          <w:sz w:val="24"/>
          <w:szCs w:val="24"/>
          <w:highlight w:val="none"/>
        </w:rPr>
        <w:t>，本着自愿公平、诚实信用的原则，根据《中华人民共和国民法典·合同编》及国家有关法律法规，结合本项目具体情况，为明确责任，协作配合，确保技术服务工作质量，经双方协商一致，达成以下条款。</w:t>
      </w:r>
    </w:p>
    <w:p w14:paraId="030EDC96">
      <w:pPr>
        <w:pStyle w:val="31"/>
        <w:spacing w:before="0" w:beforeAutospacing="0" w:after="0" w:afterAutospacing="0" w:line="400" w:lineRule="exact"/>
        <w:ind w:firstLine="482" w:firstLineChars="200"/>
        <w:rPr>
          <w:rFonts w:hint="eastAsia" w:ascii="Times New Roman" w:hAnsi="Times New Roman"/>
          <w:szCs w:val="24"/>
          <w:highlight w:val="none"/>
        </w:rPr>
      </w:pPr>
      <w:r>
        <w:rPr>
          <w:rFonts w:hint="eastAsia" w:ascii="Times New Roman" w:hAnsi="Times New Roman"/>
          <w:b/>
          <w:bCs/>
          <w:szCs w:val="24"/>
          <w:highlight w:val="none"/>
        </w:rPr>
        <w:t>第一条　项目概况</w:t>
      </w:r>
      <w:r>
        <w:rPr>
          <w:rFonts w:hint="eastAsia" w:ascii="Times New Roman" w:hAnsi="Times New Roman"/>
          <w:szCs w:val="24"/>
          <w:highlight w:val="none"/>
        </w:rPr>
        <w:t xml:space="preserve"> </w:t>
      </w:r>
    </w:p>
    <w:p w14:paraId="3ABD34C7">
      <w:pPr>
        <w:spacing w:line="400" w:lineRule="exact"/>
        <w:ind w:firstLine="480" w:firstLineChars="200"/>
        <w:rPr>
          <w:rFonts w:hint="eastAsia" w:eastAsia="宋体"/>
          <w:sz w:val="24"/>
          <w:szCs w:val="24"/>
          <w:highlight w:val="none"/>
          <w:u w:val="single"/>
          <w:lang w:val="en-US" w:eastAsia="zh-CN"/>
        </w:rPr>
      </w:pPr>
      <w:r>
        <w:rPr>
          <w:rFonts w:hint="eastAsia"/>
          <w:sz w:val="24"/>
          <w:szCs w:val="24"/>
          <w:highlight w:val="none"/>
        </w:rPr>
        <w:t>1.1项目名称：</w:t>
      </w:r>
      <w:r>
        <w:rPr>
          <w:rFonts w:hint="eastAsia"/>
          <w:sz w:val="24"/>
          <w:szCs w:val="24"/>
          <w:highlight w:val="none"/>
          <w:u w:val="single"/>
          <w:lang w:val="en-US" w:eastAsia="zh-CN"/>
        </w:rPr>
        <w:t>王家岭选煤厂</w:t>
      </w:r>
      <w:r>
        <w:rPr>
          <w:rFonts w:hint="eastAsia"/>
          <w:bCs/>
          <w:sz w:val="24"/>
          <w:szCs w:val="24"/>
          <w:highlight w:val="none"/>
          <w:u w:val="single"/>
          <w:lang w:val="en-US" w:eastAsia="zh-CN"/>
        </w:rPr>
        <w:t>原煤大样分析技术</w:t>
      </w:r>
      <w:r>
        <w:rPr>
          <w:rFonts w:hint="eastAsia"/>
          <w:bCs/>
          <w:sz w:val="24"/>
          <w:szCs w:val="24"/>
          <w:highlight w:val="none"/>
          <w:u w:val="single"/>
        </w:rPr>
        <w:t>服务</w:t>
      </w:r>
      <w:r>
        <w:rPr>
          <w:rFonts w:hint="eastAsia"/>
          <w:bCs/>
          <w:sz w:val="24"/>
          <w:szCs w:val="24"/>
          <w:highlight w:val="none"/>
          <w:u w:val="single"/>
          <w:lang w:val="en-US" w:eastAsia="zh-CN"/>
        </w:rPr>
        <w:t>项目</w:t>
      </w:r>
    </w:p>
    <w:p w14:paraId="42FDA5B0">
      <w:pPr>
        <w:spacing w:line="400" w:lineRule="exact"/>
        <w:ind w:firstLine="480" w:firstLineChars="200"/>
        <w:rPr>
          <w:rFonts w:hint="default" w:eastAsia="宋体"/>
          <w:sz w:val="24"/>
          <w:szCs w:val="24"/>
          <w:highlight w:val="none"/>
          <w:lang w:val="en-US" w:eastAsia="zh-CN"/>
        </w:rPr>
      </w:pPr>
      <w:r>
        <w:rPr>
          <w:rFonts w:hint="eastAsia"/>
          <w:sz w:val="24"/>
          <w:szCs w:val="24"/>
          <w:highlight w:val="none"/>
        </w:rPr>
        <w:t>1.2项目地点：</w:t>
      </w:r>
      <w:r>
        <w:rPr>
          <w:rFonts w:hint="eastAsia"/>
          <w:sz w:val="24"/>
          <w:szCs w:val="24"/>
          <w:highlight w:val="none"/>
          <w:u w:val="single"/>
          <w:lang w:val="en-US" w:eastAsia="zh-CN"/>
        </w:rPr>
        <w:t>山西省河津市</w:t>
      </w:r>
    </w:p>
    <w:p w14:paraId="1771D9CD">
      <w:pPr>
        <w:spacing w:line="400" w:lineRule="exact"/>
        <w:ind w:firstLine="480" w:firstLineChars="200"/>
        <w:rPr>
          <w:rFonts w:hint="eastAsia"/>
          <w:sz w:val="24"/>
          <w:szCs w:val="24"/>
          <w:highlight w:val="none"/>
        </w:rPr>
      </w:pPr>
      <w:r>
        <w:rPr>
          <w:rFonts w:hint="eastAsia"/>
          <w:sz w:val="24"/>
          <w:szCs w:val="24"/>
          <w:highlight w:val="none"/>
        </w:rPr>
        <w:t>1.3项目内容：</w:t>
      </w:r>
    </w:p>
    <w:p w14:paraId="1EE835F9">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1.3.1原煤大样实验（王家岭矿2#煤层12314工作面煤样）：检测</w:t>
      </w:r>
      <w:r>
        <w:rPr>
          <w:rFonts w:hint="eastAsia"/>
          <w:sz w:val="24"/>
          <w:szCs w:val="24"/>
          <w:highlight w:val="none"/>
        </w:rPr>
        <w:t>灰分、水分、挥发分、固定碳</w:t>
      </w:r>
      <w:r>
        <w:rPr>
          <w:rFonts w:hint="eastAsia"/>
          <w:sz w:val="24"/>
          <w:szCs w:val="24"/>
          <w:highlight w:val="none"/>
          <w:lang w:eastAsia="zh-CN"/>
        </w:rPr>
        <w:t>、</w:t>
      </w:r>
      <w:r>
        <w:rPr>
          <w:rFonts w:hint="eastAsia"/>
          <w:sz w:val="24"/>
          <w:szCs w:val="24"/>
          <w:highlight w:val="none"/>
          <w:lang w:val="en-US" w:eastAsia="zh-CN"/>
        </w:rPr>
        <w:t>焦渣特征、全硫、硫铁矿硫、硫酸盐硫、有机硫；</w:t>
      </w:r>
      <w:r>
        <w:rPr>
          <w:rFonts w:hint="eastAsia"/>
          <w:sz w:val="24"/>
          <w:szCs w:val="24"/>
          <w:highlight w:val="none"/>
        </w:rPr>
        <w:t>高位发热量、低位发热量、</w:t>
      </w:r>
      <w:r>
        <w:rPr>
          <w:rFonts w:hint="eastAsia"/>
          <w:sz w:val="24"/>
          <w:szCs w:val="24"/>
          <w:highlight w:val="none"/>
          <w:lang w:val="en-US" w:eastAsia="zh-CN"/>
        </w:rPr>
        <w:t>真密度、</w:t>
      </w:r>
      <w:r>
        <w:rPr>
          <w:rFonts w:hint="eastAsia"/>
          <w:sz w:val="24"/>
          <w:szCs w:val="24"/>
          <w:highlight w:val="none"/>
        </w:rPr>
        <w:t>视密度</w:t>
      </w:r>
      <w:r>
        <w:rPr>
          <w:rFonts w:hint="eastAsia"/>
          <w:sz w:val="24"/>
          <w:szCs w:val="24"/>
          <w:highlight w:val="none"/>
          <w:lang w:eastAsia="zh-CN"/>
        </w:rPr>
        <w:t>；</w:t>
      </w:r>
      <w:r>
        <w:rPr>
          <w:rFonts w:hint="eastAsia"/>
          <w:sz w:val="24"/>
          <w:szCs w:val="24"/>
          <w:highlight w:val="none"/>
        </w:rPr>
        <w:t>碳、氢、氮、氧</w:t>
      </w:r>
      <w:r>
        <w:rPr>
          <w:rFonts w:hint="eastAsia"/>
          <w:sz w:val="24"/>
          <w:szCs w:val="24"/>
          <w:highlight w:val="none"/>
          <w:lang w:val="en-US" w:eastAsia="zh-CN"/>
        </w:rPr>
        <w:t>含量、热稳定性、可磨性、灰熔融性；煤灰成分、微量元素（</w:t>
      </w:r>
      <w:r>
        <w:rPr>
          <w:rFonts w:hint="eastAsia"/>
          <w:sz w:val="24"/>
          <w:szCs w:val="24"/>
          <w:highlight w:val="none"/>
        </w:rPr>
        <w:t>砷、磷、氯、氟、钾、汞</w:t>
      </w:r>
      <w:r>
        <w:rPr>
          <w:rFonts w:hint="eastAsia"/>
          <w:sz w:val="24"/>
          <w:szCs w:val="24"/>
          <w:highlight w:val="none"/>
          <w:lang w:val="en-US" w:eastAsia="zh-CN"/>
        </w:rPr>
        <w:t>等</w:t>
      </w:r>
      <w:r>
        <w:rPr>
          <w:rFonts w:hint="eastAsia"/>
          <w:sz w:val="24"/>
          <w:szCs w:val="24"/>
          <w:highlight w:val="none"/>
        </w:rPr>
        <w:t>含量</w:t>
      </w:r>
      <w:r>
        <w:rPr>
          <w:rFonts w:hint="eastAsia"/>
          <w:sz w:val="24"/>
          <w:szCs w:val="24"/>
          <w:highlight w:val="none"/>
          <w:lang w:val="en-US" w:eastAsia="zh-CN"/>
        </w:rPr>
        <w:t>）、1.4比重液浮煤回收率。并分析原煤物理性质、宏观煤岩特征、显微煤岩特征和变质程度。</w:t>
      </w:r>
    </w:p>
    <w:p w14:paraId="205BF79B">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1.3.2分析1.4密度级精煤产品指标：检测全水、固水、全硫、灰分、</w:t>
      </w:r>
      <w:r>
        <w:rPr>
          <w:rFonts w:hint="eastAsia"/>
          <w:sz w:val="24"/>
          <w:szCs w:val="24"/>
          <w:highlight w:val="none"/>
        </w:rPr>
        <w:t>挥发分、</w:t>
      </w:r>
      <w:r>
        <w:rPr>
          <w:rFonts w:hint="eastAsia"/>
          <w:sz w:val="24"/>
          <w:szCs w:val="24"/>
          <w:highlight w:val="none"/>
          <w:lang w:val="en-US" w:eastAsia="zh-CN"/>
        </w:rPr>
        <w:t>焦渣特征、</w:t>
      </w:r>
      <w:r>
        <w:rPr>
          <w:rFonts w:hint="eastAsia"/>
          <w:sz w:val="24"/>
          <w:szCs w:val="24"/>
          <w:highlight w:val="none"/>
        </w:rPr>
        <w:t>高位发热量、低位发热量、</w:t>
      </w:r>
      <w:r>
        <w:rPr>
          <w:rFonts w:hint="eastAsia"/>
          <w:sz w:val="24"/>
          <w:szCs w:val="24"/>
          <w:highlight w:val="none"/>
          <w:lang w:val="en-US" w:eastAsia="zh-CN"/>
        </w:rPr>
        <w:t>灰熔融性、哈氏可磨指数、冲刷磨损指数；</w:t>
      </w:r>
      <w:r>
        <w:rPr>
          <w:rFonts w:hint="eastAsia"/>
          <w:sz w:val="24"/>
          <w:szCs w:val="24"/>
          <w:highlight w:val="none"/>
        </w:rPr>
        <w:t>碳、氢、氧、氮</w:t>
      </w:r>
      <w:r>
        <w:rPr>
          <w:rFonts w:hint="eastAsia"/>
          <w:sz w:val="24"/>
          <w:szCs w:val="24"/>
          <w:highlight w:val="none"/>
          <w:lang w:val="en-US" w:eastAsia="zh-CN"/>
        </w:rPr>
        <w:t>及微量元素（</w:t>
      </w:r>
      <w:r>
        <w:rPr>
          <w:rFonts w:hint="eastAsia"/>
          <w:sz w:val="24"/>
          <w:szCs w:val="24"/>
          <w:highlight w:val="none"/>
        </w:rPr>
        <w:t>砷、磷、氯、氟、钾、汞</w:t>
      </w:r>
      <w:r>
        <w:rPr>
          <w:rFonts w:hint="eastAsia"/>
          <w:sz w:val="24"/>
          <w:szCs w:val="24"/>
          <w:highlight w:val="none"/>
          <w:lang w:val="en-US" w:eastAsia="zh-CN"/>
        </w:rPr>
        <w:t>等）</w:t>
      </w:r>
      <w:r>
        <w:rPr>
          <w:rFonts w:hint="eastAsia"/>
          <w:sz w:val="24"/>
          <w:szCs w:val="24"/>
          <w:highlight w:val="none"/>
        </w:rPr>
        <w:t>含量</w:t>
      </w:r>
      <w:r>
        <w:rPr>
          <w:rFonts w:hint="eastAsia"/>
          <w:sz w:val="24"/>
          <w:szCs w:val="24"/>
          <w:highlight w:val="none"/>
          <w:lang w:eastAsia="zh-CN"/>
        </w:rPr>
        <w:t>；</w:t>
      </w:r>
      <w:r>
        <w:rPr>
          <w:rFonts w:hint="eastAsia"/>
          <w:sz w:val="24"/>
          <w:szCs w:val="24"/>
          <w:highlight w:val="none"/>
          <w:lang w:val="en-US" w:eastAsia="zh-CN"/>
        </w:rPr>
        <w:t>煤灰成分（氧化硅、氧化铝、氧化铁、氧化钙、氧化镁、氧化硫、氧化钛、氧化鳞、氧化钠、氧化钾、氧化锰）；黏结指数、胶质层指数（胶质层厚度、最终收缩度、体积曲线、熔合状况）、奥阿膨胀度，煤种类别、符号、代码。</w:t>
      </w:r>
    </w:p>
    <w:p w14:paraId="2885CB61">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1.3.3分析炼焦精煤小焦炉试验各项指标：罗加指数、粘结指数、葛金焦型、粘结度、奥亚膨胀度、焦炭强度等。</w:t>
      </w:r>
    </w:p>
    <w:p w14:paraId="0173AD53">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1.3.4分析中煤、煤泥产品指标：检测全水、固水、灰分、硫分、挥发分、固定碳、发热量，灰渣成分。</w:t>
      </w:r>
    </w:p>
    <w:p w14:paraId="092CB2E2">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1.3.5分析煤矸石指标：检测灰分、硫分、发热量，分析矸石成分。</w:t>
      </w:r>
    </w:p>
    <w:p w14:paraId="136AC678">
      <w:pPr>
        <w:spacing w:line="400" w:lineRule="exact"/>
        <w:ind w:firstLine="480" w:firstLineChars="200"/>
        <w:rPr>
          <w:rFonts w:hint="eastAsia"/>
          <w:sz w:val="24"/>
          <w:szCs w:val="24"/>
          <w:highlight w:val="none"/>
          <w:lang w:val="en-US" w:eastAsia="zh-CN"/>
        </w:rPr>
      </w:pPr>
      <w:r>
        <w:rPr>
          <w:rFonts w:hint="eastAsia"/>
          <w:sz w:val="24"/>
          <w:szCs w:val="24"/>
          <w:highlight w:val="none"/>
          <w:lang w:val="en-US" w:eastAsia="zh-CN"/>
        </w:rPr>
        <w:t>1.3.6分析原煤可选性、筛分组成，计算各粒级产率、灰分，并绘制可选性曲线。</w:t>
      </w:r>
    </w:p>
    <w:p w14:paraId="5B75DD99">
      <w:pPr>
        <w:spacing w:line="400" w:lineRule="exact"/>
        <w:ind w:firstLine="480" w:firstLineChars="200"/>
        <w:rPr>
          <w:rFonts w:hint="eastAsia"/>
          <w:sz w:val="24"/>
          <w:szCs w:val="24"/>
          <w:highlight w:val="none"/>
          <w:u w:val="single"/>
        </w:rPr>
      </w:pPr>
      <w:r>
        <w:rPr>
          <w:rFonts w:hint="eastAsia"/>
          <w:sz w:val="24"/>
          <w:szCs w:val="24"/>
          <w:highlight w:val="none"/>
          <w:lang w:val="en-US" w:eastAsia="zh-CN"/>
        </w:rPr>
        <w:t>1.3.7</w:t>
      </w:r>
      <w:r>
        <w:rPr>
          <w:rFonts w:hint="eastAsia"/>
          <w:sz w:val="24"/>
          <w:szCs w:val="24"/>
          <w:highlight w:val="none"/>
          <w:u w:val="none"/>
          <w:lang w:val="en-US" w:eastAsia="zh-CN"/>
        </w:rPr>
        <w:t>编制《原煤大样分析报告》</w:t>
      </w:r>
      <w:r>
        <w:rPr>
          <w:rFonts w:hint="eastAsia"/>
          <w:sz w:val="24"/>
          <w:szCs w:val="24"/>
          <w:highlight w:val="none"/>
          <w:u w:val="none"/>
          <w:lang w:eastAsia="zh-CN"/>
        </w:rPr>
        <w:t>，</w:t>
      </w:r>
      <w:r>
        <w:rPr>
          <w:rFonts w:hint="eastAsia"/>
          <w:sz w:val="24"/>
          <w:szCs w:val="24"/>
          <w:highlight w:val="none"/>
          <w:u w:val="none"/>
          <w:lang w:val="en-US" w:eastAsia="zh-CN"/>
        </w:rPr>
        <w:t>并通过甲方审核、验收</w:t>
      </w:r>
      <w:r>
        <w:rPr>
          <w:rFonts w:hint="eastAsia"/>
          <w:sz w:val="24"/>
          <w:szCs w:val="24"/>
          <w:highlight w:val="none"/>
          <w:u w:val="none"/>
        </w:rPr>
        <w:t>。</w:t>
      </w:r>
    </w:p>
    <w:p w14:paraId="0B61BCB4">
      <w:pPr>
        <w:pStyle w:val="31"/>
        <w:spacing w:before="0" w:beforeAutospacing="0" w:after="0" w:afterAutospacing="0" w:line="400" w:lineRule="exact"/>
        <w:ind w:firstLine="482" w:firstLineChars="200"/>
        <w:rPr>
          <w:rFonts w:hint="eastAsia" w:ascii="Times New Roman" w:hAnsi="Times New Roman"/>
          <w:b/>
          <w:bCs/>
          <w:szCs w:val="24"/>
          <w:highlight w:val="none"/>
        </w:rPr>
      </w:pPr>
      <w:r>
        <w:rPr>
          <w:rFonts w:hint="eastAsia" w:ascii="Times New Roman" w:hAnsi="Times New Roman"/>
          <w:b/>
          <w:bCs/>
          <w:szCs w:val="24"/>
          <w:highlight w:val="none"/>
        </w:rPr>
        <w:t>第二条　技术要求</w:t>
      </w:r>
    </w:p>
    <w:p w14:paraId="2C1BDBCA">
      <w:pPr>
        <w:spacing w:line="400" w:lineRule="exact"/>
        <w:ind w:firstLine="480" w:firstLineChars="200"/>
        <w:rPr>
          <w:rFonts w:hint="default"/>
          <w:kern w:val="0"/>
          <w:sz w:val="24"/>
          <w:szCs w:val="24"/>
          <w:highlight w:val="none"/>
          <w:lang w:val="en-US" w:eastAsia="zh-CN"/>
        </w:rPr>
      </w:pPr>
      <w:r>
        <w:rPr>
          <w:rFonts w:hint="eastAsia"/>
          <w:kern w:val="0"/>
          <w:sz w:val="24"/>
          <w:szCs w:val="24"/>
          <w:highlight w:val="none"/>
          <w:lang w:val="en-US" w:eastAsia="zh-CN"/>
        </w:rPr>
        <w:t>2.1采制样执行标准：《煤中全水分的测定方法（</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GB/T 211—2017</w:t>
      </w:r>
      <w:r>
        <w:rPr>
          <w:rFonts w:hint="eastAsia"/>
          <w:kern w:val="0"/>
          <w:sz w:val="24"/>
          <w:szCs w:val="24"/>
          <w:highlight w:val="none"/>
          <w:lang w:val="en-US" w:eastAsia="zh-CN"/>
        </w:rPr>
        <w:fldChar w:fldCharType="end"/>
      </w:r>
      <w:r>
        <w:rPr>
          <w:rFonts w:hint="eastAsia"/>
          <w:kern w:val="0"/>
          <w:sz w:val="24"/>
          <w:szCs w:val="24"/>
          <w:highlight w:val="none"/>
          <w:lang w:val="en-US" w:eastAsia="zh-CN"/>
        </w:rPr>
        <w:t>）》、《煤的工业分析方法（</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GB/T 212—2008</w:t>
      </w:r>
      <w:r>
        <w:rPr>
          <w:rFonts w:hint="eastAsia"/>
          <w:kern w:val="0"/>
          <w:sz w:val="24"/>
          <w:szCs w:val="24"/>
          <w:highlight w:val="none"/>
          <w:lang w:val="en-US" w:eastAsia="zh-CN"/>
        </w:rPr>
        <w:fldChar w:fldCharType="end"/>
      </w:r>
      <w:r>
        <w:rPr>
          <w:rFonts w:hint="eastAsia"/>
          <w:kern w:val="0"/>
          <w:sz w:val="24"/>
          <w:szCs w:val="24"/>
          <w:highlight w:val="none"/>
          <w:lang w:val="en-US" w:eastAsia="zh-CN"/>
        </w:rPr>
        <w:t>）》、《煤中发热量测定方法（GB/T 213—2008）》、《煤中全硫的测定方法（</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GB/T 214—2007</w:t>
      </w:r>
      <w:r>
        <w:rPr>
          <w:rFonts w:hint="eastAsia"/>
          <w:kern w:val="0"/>
          <w:sz w:val="24"/>
          <w:szCs w:val="24"/>
          <w:highlight w:val="none"/>
          <w:lang w:val="en-US" w:eastAsia="zh-CN"/>
        </w:rPr>
        <w:fldChar w:fldCharType="end"/>
      </w:r>
      <w:r>
        <w:rPr>
          <w:rFonts w:hint="eastAsia"/>
          <w:kern w:val="0"/>
          <w:sz w:val="24"/>
          <w:szCs w:val="24"/>
          <w:highlight w:val="none"/>
          <w:lang w:val="en-US" w:eastAsia="zh-CN"/>
        </w:rPr>
        <w:t>）》、《煤炭分析试验方法一般规定（</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GB/T 483—2007</w:t>
      </w:r>
      <w:r>
        <w:rPr>
          <w:rFonts w:hint="eastAsia"/>
          <w:kern w:val="0"/>
          <w:sz w:val="24"/>
          <w:szCs w:val="24"/>
          <w:highlight w:val="none"/>
          <w:lang w:val="en-US" w:eastAsia="zh-CN"/>
        </w:rPr>
        <w:fldChar w:fldCharType="end"/>
      </w:r>
      <w:r>
        <w:rPr>
          <w:rFonts w:hint="eastAsia"/>
          <w:kern w:val="0"/>
          <w:sz w:val="24"/>
          <w:szCs w:val="24"/>
          <w:highlight w:val="none"/>
          <w:lang w:val="en-US" w:eastAsia="zh-CN"/>
        </w:rPr>
        <w:t>）》、《煤样的制备方法（</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 474—2008</w:t>
      </w:r>
      <w:r>
        <w:rPr>
          <w:rFonts w:hint="eastAsia"/>
          <w:kern w:val="0"/>
          <w:sz w:val="24"/>
          <w:szCs w:val="24"/>
          <w:highlight w:val="none"/>
          <w:lang w:val="en-US" w:eastAsia="zh-CN"/>
        </w:rPr>
        <w:fldChar w:fldCharType="end"/>
      </w:r>
      <w:r>
        <w:rPr>
          <w:rFonts w:hint="eastAsia"/>
          <w:kern w:val="0"/>
          <w:sz w:val="24"/>
          <w:szCs w:val="24"/>
          <w:highlight w:val="none"/>
          <w:lang w:val="en-US" w:eastAsia="zh-CN"/>
        </w:rPr>
        <w:t>）》、《</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煤炭筛分试验方法</w:t>
      </w:r>
      <w:r>
        <w:rPr>
          <w:rFonts w:hint="eastAsia"/>
          <w:kern w:val="0"/>
          <w:sz w:val="24"/>
          <w:szCs w:val="24"/>
          <w:highlight w:val="none"/>
          <w:lang w:val="en-US" w:eastAsia="zh-CN"/>
        </w:rPr>
        <w:fldChar w:fldCharType="end"/>
      </w:r>
      <w:r>
        <w:rPr>
          <w:rFonts w:hint="eastAsia"/>
          <w:kern w:val="0"/>
          <w:sz w:val="24"/>
          <w:szCs w:val="24"/>
          <w:highlight w:val="none"/>
          <w:lang w:val="en-US" w:eastAsia="zh-CN"/>
        </w:rPr>
        <w:t>（</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GB/T 477—2008</w:t>
      </w:r>
      <w:r>
        <w:rPr>
          <w:rFonts w:hint="eastAsia"/>
          <w:kern w:val="0"/>
          <w:sz w:val="24"/>
          <w:szCs w:val="24"/>
          <w:highlight w:val="none"/>
          <w:lang w:val="en-US" w:eastAsia="zh-CN"/>
        </w:rPr>
        <w:fldChar w:fldCharType="end"/>
      </w:r>
      <w:r>
        <w:rPr>
          <w:rFonts w:hint="eastAsia"/>
          <w:kern w:val="0"/>
          <w:sz w:val="24"/>
          <w:szCs w:val="24"/>
          <w:highlight w:val="none"/>
          <w:lang w:val="en-US" w:eastAsia="zh-CN"/>
        </w:rPr>
        <w:t>）》、《商品煤样人工采取方法（</w:t>
      </w:r>
      <w:r>
        <w:rPr>
          <w:rFonts w:hint="eastAsia"/>
          <w:kern w:val="0"/>
          <w:sz w:val="24"/>
          <w:szCs w:val="24"/>
          <w:highlight w:val="none"/>
          <w:lang w:val="en-US" w:eastAsia="zh-CN"/>
        </w:rPr>
        <w:fldChar w:fldCharType="begin"/>
      </w:r>
      <w:r>
        <w:rPr>
          <w:rFonts w:hint="eastAsia"/>
          <w:kern w:val="0"/>
          <w:sz w:val="24"/>
          <w:szCs w:val="24"/>
          <w:highlight w:val="none"/>
          <w:lang w:val="en-US" w:eastAsia="zh-CN"/>
        </w:rPr>
        <w:instrText xml:space="preserve"> HYPERLINK "javascript:void(0)" </w:instrText>
      </w:r>
      <w:r>
        <w:rPr>
          <w:rFonts w:hint="eastAsia"/>
          <w:kern w:val="0"/>
          <w:sz w:val="24"/>
          <w:szCs w:val="24"/>
          <w:highlight w:val="none"/>
          <w:lang w:val="en-US" w:eastAsia="zh-CN"/>
        </w:rPr>
        <w:fldChar w:fldCharType="separate"/>
      </w:r>
      <w:r>
        <w:rPr>
          <w:rFonts w:hint="eastAsia"/>
          <w:kern w:val="0"/>
          <w:sz w:val="24"/>
          <w:szCs w:val="24"/>
          <w:highlight w:val="none"/>
          <w:lang w:val="en-US" w:eastAsia="zh-CN"/>
        </w:rPr>
        <w:t>GB 475—2008</w:t>
      </w:r>
      <w:r>
        <w:rPr>
          <w:rFonts w:hint="eastAsia"/>
          <w:kern w:val="0"/>
          <w:sz w:val="24"/>
          <w:szCs w:val="24"/>
          <w:highlight w:val="none"/>
          <w:lang w:val="en-US" w:eastAsia="zh-CN"/>
        </w:rPr>
        <w:fldChar w:fldCharType="end"/>
      </w:r>
      <w:r>
        <w:rPr>
          <w:rFonts w:hint="eastAsia"/>
          <w:kern w:val="0"/>
          <w:sz w:val="24"/>
          <w:szCs w:val="24"/>
          <w:highlight w:val="none"/>
          <w:lang w:val="en-US" w:eastAsia="zh-CN"/>
        </w:rPr>
        <w:t>）》、《煤炭质量分级第1部分:灰分（GB/T15224.1—2018）》、《煤炭质量分级第2部分:硫分（GB/T15224.2—2021）》、《煤炭质量分级第3部分:发热量（GB/T15224.3—2022）》、《煤中有害元素含量分级第1部分:磷（GB/T20475.1—2006）》、《煤中有害元素含量分级第2部分:氯（GB/T20475.2—2006）》、《煤中有害元素含量分级第3部分:砷（GB/T20475.3—2012）》、《煤中有害元素含量分级第4部分:汞（GB/T20475.4—2012）》、《煤中有害元素含量分级第5部分:氟（GB/T20475.5—2020）》等。</w:t>
      </w:r>
    </w:p>
    <w:p w14:paraId="4D61E5E5">
      <w:pPr>
        <w:spacing w:line="400" w:lineRule="exact"/>
        <w:ind w:firstLine="480" w:firstLineChars="200"/>
        <w:rPr>
          <w:rFonts w:hint="eastAsia"/>
          <w:kern w:val="0"/>
          <w:sz w:val="24"/>
          <w:szCs w:val="24"/>
          <w:highlight w:val="none"/>
        </w:rPr>
      </w:pPr>
      <w:r>
        <w:rPr>
          <w:rFonts w:hint="eastAsia"/>
          <w:kern w:val="0"/>
          <w:sz w:val="24"/>
          <w:szCs w:val="24"/>
          <w:highlight w:val="none"/>
          <w:lang w:val="en-US" w:eastAsia="zh-CN"/>
        </w:rPr>
        <w:t>2.2原煤大样所用检测煤样完成现场取样后要按规范进行贮存、运输，避免出现因煤样污染造成检测结果偏差的情况</w:t>
      </w:r>
      <w:r>
        <w:rPr>
          <w:rFonts w:hint="eastAsia"/>
          <w:kern w:val="0"/>
          <w:sz w:val="24"/>
          <w:szCs w:val="24"/>
          <w:highlight w:val="none"/>
        </w:rPr>
        <w:t>。</w:t>
      </w:r>
    </w:p>
    <w:p w14:paraId="5A7825DE">
      <w:pPr>
        <w:spacing w:line="400" w:lineRule="exact"/>
        <w:ind w:firstLine="480" w:firstLineChars="200"/>
        <w:rPr>
          <w:rFonts w:hint="eastAsia"/>
          <w:kern w:val="0"/>
          <w:sz w:val="24"/>
          <w:szCs w:val="24"/>
          <w:highlight w:val="none"/>
          <w:lang w:val="en-US" w:eastAsia="zh-CN"/>
        </w:rPr>
      </w:pPr>
      <w:r>
        <w:rPr>
          <w:rFonts w:hint="eastAsia"/>
          <w:kern w:val="0"/>
          <w:sz w:val="24"/>
          <w:szCs w:val="24"/>
          <w:highlight w:val="none"/>
          <w:lang w:val="en-US" w:eastAsia="zh-CN"/>
        </w:rPr>
        <w:t>2.3所采煤样应及时完成制样、化验分析，确保外部环境对化验指标的最小影响。</w:t>
      </w:r>
    </w:p>
    <w:p w14:paraId="0890E90A">
      <w:pPr>
        <w:spacing w:line="400" w:lineRule="exact"/>
        <w:ind w:firstLine="480" w:firstLineChars="200"/>
        <w:rPr>
          <w:rFonts w:hint="default"/>
          <w:kern w:val="0"/>
          <w:sz w:val="24"/>
          <w:szCs w:val="24"/>
          <w:highlight w:val="none"/>
          <w:lang w:val="en-US"/>
        </w:rPr>
      </w:pPr>
      <w:r>
        <w:rPr>
          <w:rFonts w:hint="eastAsia"/>
          <w:kern w:val="0"/>
          <w:sz w:val="24"/>
          <w:szCs w:val="24"/>
          <w:highlight w:val="none"/>
        </w:rPr>
        <w:t>2.</w:t>
      </w:r>
      <w:r>
        <w:rPr>
          <w:rFonts w:hint="eastAsia"/>
          <w:kern w:val="0"/>
          <w:sz w:val="24"/>
          <w:szCs w:val="24"/>
          <w:highlight w:val="none"/>
          <w:lang w:val="en-US" w:eastAsia="zh-CN"/>
        </w:rPr>
        <w:t>4</w:t>
      </w:r>
      <w:r>
        <w:rPr>
          <w:rFonts w:hint="eastAsia"/>
          <w:sz w:val="24"/>
          <w:szCs w:val="24"/>
        </w:rPr>
        <w:t>检测过程中的采样、筛分、化验都必须符合相应国家标准</w:t>
      </w:r>
      <w:r>
        <w:rPr>
          <w:rFonts w:hint="eastAsia"/>
          <w:kern w:val="0"/>
          <w:sz w:val="24"/>
          <w:szCs w:val="24"/>
          <w:highlight w:val="none"/>
          <w:lang w:val="en-US" w:eastAsia="zh-CN"/>
        </w:rPr>
        <w:t>。</w:t>
      </w:r>
    </w:p>
    <w:p w14:paraId="20A83172">
      <w:pPr>
        <w:spacing w:line="400" w:lineRule="exact"/>
        <w:ind w:firstLine="480" w:firstLineChars="200"/>
        <w:rPr>
          <w:rFonts w:hint="eastAsia"/>
          <w:kern w:val="0"/>
          <w:sz w:val="24"/>
          <w:szCs w:val="24"/>
          <w:highlight w:val="none"/>
          <w:lang w:val="en-US" w:eastAsia="zh-CN"/>
        </w:rPr>
      </w:pPr>
      <w:r>
        <w:rPr>
          <w:rFonts w:hint="eastAsia"/>
          <w:kern w:val="0"/>
          <w:sz w:val="24"/>
          <w:szCs w:val="24"/>
          <w:highlight w:val="none"/>
        </w:rPr>
        <w:t>2.</w:t>
      </w:r>
      <w:r>
        <w:rPr>
          <w:rFonts w:hint="eastAsia"/>
          <w:kern w:val="0"/>
          <w:sz w:val="24"/>
          <w:szCs w:val="24"/>
          <w:highlight w:val="none"/>
          <w:lang w:val="en-US" w:eastAsia="zh-CN"/>
        </w:rPr>
        <w:t>5参与指标检测和报告编制的人员应是从事煤质检测的专业人员，并取得中级及以上专业技术资格证书。</w:t>
      </w:r>
    </w:p>
    <w:p w14:paraId="73338D98">
      <w:pPr>
        <w:spacing w:line="400" w:lineRule="exact"/>
        <w:ind w:firstLine="480" w:firstLineChars="200"/>
        <w:rPr>
          <w:rFonts w:hint="eastAsia"/>
          <w:kern w:val="0"/>
          <w:sz w:val="24"/>
          <w:szCs w:val="24"/>
          <w:highlight w:val="none"/>
        </w:rPr>
      </w:pPr>
      <w:r>
        <w:rPr>
          <w:rFonts w:hint="eastAsia"/>
          <w:kern w:val="0"/>
          <w:sz w:val="24"/>
          <w:szCs w:val="24"/>
          <w:highlight w:val="none"/>
        </w:rPr>
        <w:t>2.</w:t>
      </w:r>
      <w:r>
        <w:rPr>
          <w:rFonts w:hint="eastAsia"/>
          <w:kern w:val="0"/>
          <w:sz w:val="24"/>
          <w:szCs w:val="24"/>
          <w:highlight w:val="none"/>
          <w:lang w:val="en-US" w:eastAsia="zh-CN"/>
        </w:rPr>
        <w:t>6编制《原煤大样分析报告》应规范、清晰，检测结果均为实测值，并有检测单位盖章和检测人员签字，</w:t>
      </w:r>
      <w:r>
        <w:rPr>
          <w:rFonts w:hint="eastAsia"/>
          <w:sz w:val="24"/>
          <w:szCs w:val="24"/>
        </w:rPr>
        <w:t>具有法律效力</w:t>
      </w:r>
      <w:r>
        <w:rPr>
          <w:rFonts w:hint="eastAsia"/>
          <w:kern w:val="0"/>
          <w:sz w:val="24"/>
          <w:szCs w:val="24"/>
          <w:highlight w:val="none"/>
          <w:lang w:val="en-US" w:eastAsia="zh-CN"/>
        </w:rPr>
        <w:t>。</w:t>
      </w:r>
    </w:p>
    <w:p w14:paraId="7223A45D">
      <w:pPr>
        <w:numPr>
          <w:ilvl w:val="0"/>
          <w:numId w:val="2"/>
        </w:numPr>
        <w:spacing w:line="400" w:lineRule="exact"/>
        <w:ind w:firstLine="482" w:firstLineChars="200"/>
        <w:rPr>
          <w:rFonts w:hint="eastAsia"/>
          <w:b/>
          <w:sz w:val="24"/>
          <w:szCs w:val="24"/>
          <w:highlight w:val="none"/>
        </w:rPr>
      </w:pPr>
      <w:r>
        <w:rPr>
          <w:rFonts w:hint="eastAsia"/>
          <w:b/>
          <w:sz w:val="24"/>
          <w:szCs w:val="24"/>
          <w:highlight w:val="none"/>
        </w:rPr>
        <w:t xml:space="preserve"> </w:t>
      </w:r>
      <w:r>
        <w:rPr>
          <w:rFonts w:hint="eastAsia"/>
          <w:b/>
          <w:sz w:val="24"/>
          <w:szCs w:val="24"/>
          <w:highlight w:val="none"/>
          <w:lang w:val="en-US" w:eastAsia="zh-CN"/>
        </w:rPr>
        <w:t>服务期限及交付内容</w:t>
      </w:r>
    </w:p>
    <w:p w14:paraId="5F0B1572">
      <w:pPr>
        <w:spacing w:line="400" w:lineRule="exact"/>
        <w:ind w:firstLine="480" w:firstLineChars="200"/>
        <w:rPr>
          <w:rFonts w:hint="eastAsia"/>
          <w:sz w:val="24"/>
          <w:szCs w:val="24"/>
          <w:highlight w:val="none"/>
        </w:rPr>
      </w:pPr>
      <w:r>
        <w:rPr>
          <w:sz w:val="24"/>
          <w:szCs w:val="24"/>
          <w:highlight w:val="none"/>
        </w:rPr>
        <w:t>3.1</w:t>
      </w:r>
      <w:r>
        <w:rPr>
          <w:rFonts w:hint="eastAsia"/>
          <w:sz w:val="24"/>
          <w:szCs w:val="24"/>
          <w:highlight w:val="none"/>
          <w:lang w:val="en-US" w:eastAsia="zh-CN"/>
        </w:rPr>
        <w:t>乙方应在合同签订之日起60日历天完成技术服务工作任务</w:t>
      </w:r>
      <w:r>
        <w:rPr>
          <w:rFonts w:hint="eastAsia"/>
          <w:sz w:val="24"/>
          <w:szCs w:val="24"/>
          <w:highlight w:val="none"/>
        </w:rPr>
        <w:t>。</w:t>
      </w:r>
    </w:p>
    <w:p w14:paraId="3A5C7117">
      <w:pPr>
        <w:spacing w:line="400" w:lineRule="exact"/>
        <w:ind w:firstLine="480" w:firstLineChars="200"/>
        <w:rPr>
          <w:rFonts w:hint="default"/>
          <w:sz w:val="24"/>
          <w:szCs w:val="24"/>
          <w:highlight w:val="none"/>
          <w:lang w:val="en-US" w:eastAsia="zh-CN"/>
        </w:rPr>
      </w:pPr>
      <w:r>
        <w:rPr>
          <w:rFonts w:hint="eastAsia"/>
          <w:sz w:val="24"/>
          <w:szCs w:val="24"/>
          <w:highlight w:val="none"/>
          <w:lang w:val="en-US" w:eastAsia="zh-CN"/>
        </w:rPr>
        <w:t>3.2交付成果为《原煤大样分析报告》纸质版8份，以及PDF、Word电子版。乙方交付甲方报告中应包含本合同规定所要完成的项目内容（合同列举指标及列举项目国标中规定指标内容）。</w:t>
      </w:r>
    </w:p>
    <w:p w14:paraId="000A4CD0">
      <w:pPr>
        <w:spacing w:line="400" w:lineRule="exact"/>
        <w:ind w:firstLine="480" w:firstLineChars="200"/>
        <w:rPr>
          <w:rFonts w:hint="default"/>
          <w:sz w:val="24"/>
          <w:szCs w:val="24"/>
          <w:highlight w:val="none"/>
          <w:lang w:val="en-US" w:eastAsia="zh-CN"/>
        </w:rPr>
      </w:pPr>
      <w:r>
        <w:rPr>
          <w:rFonts w:hint="eastAsia"/>
          <w:sz w:val="24"/>
          <w:szCs w:val="24"/>
          <w:highlight w:val="none"/>
          <w:lang w:val="en-US" w:eastAsia="zh-CN"/>
        </w:rPr>
        <w:t>3.3交付地点为王家岭选煤厂。</w:t>
      </w:r>
    </w:p>
    <w:p w14:paraId="00B67932">
      <w:pPr>
        <w:spacing w:line="400" w:lineRule="exact"/>
        <w:ind w:firstLine="482" w:firstLineChars="200"/>
        <w:rPr>
          <w:b/>
          <w:sz w:val="24"/>
          <w:szCs w:val="24"/>
          <w:highlight w:val="none"/>
        </w:rPr>
      </w:pPr>
      <w:r>
        <w:rPr>
          <w:rFonts w:hint="eastAsia"/>
          <w:b/>
          <w:sz w:val="24"/>
          <w:szCs w:val="24"/>
          <w:highlight w:val="none"/>
        </w:rPr>
        <w:t>第</w:t>
      </w:r>
      <w:r>
        <w:rPr>
          <w:rFonts w:hint="eastAsia"/>
          <w:b/>
          <w:sz w:val="24"/>
          <w:szCs w:val="24"/>
          <w:highlight w:val="none"/>
          <w:lang w:val="en-US" w:eastAsia="zh-CN"/>
        </w:rPr>
        <w:t>四</w:t>
      </w:r>
      <w:r>
        <w:rPr>
          <w:rFonts w:hint="eastAsia"/>
          <w:b/>
          <w:sz w:val="24"/>
          <w:szCs w:val="24"/>
          <w:highlight w:val="none"/>
        </w:rPr>
        <w:t>条  报酬及支付方式</w:t>
      </w:r>
    </w:p>
    <w:p w14:paraId="05F1EAAC">
      <w:pPr>
        <w:spacing w:line="400" w:lineRule="exact"/>
        <w:ind w:firstLine="480" w:firstLineChars="200"/>
        <w:rPr>
          <w:rFonts w:hint="eastAsia"/>
          <w:sz w:val="24"/>
          <w:szCs w:val="24"/>
          <w:highlight w:val="none"/>
        </w:rPr>
      </w:pPr>
      <w:r>
        <w:rPr>
          <w:rFonts w:hint="eastAsia"/>
          <w:sz w:val="24"/>
          <w:szCs w:val="24"/>
          <w:highlight w:val="none"/>
          <w:lang w:val="en-US" w:eastAsia="zh-CN"/>
        </w:rPr>
        <w:t>4</w:t>
      </w:r>
      <w:r>
        <w:rPr>
          <w:sz w:val="24"/>
          <w:szCs w:val="24"/>
          <w:highlight w:val="none"/>
        </w:rPr>
        <w:t>.1</w:t>
      </w:r>
      <w:r>
        <w:rPr>
          <w:rFonts w:hint="eastAsia"/>
          <w:sz w:val="24"/>
          <w:szCs w:val="24"/>
          <w:highlight w:val="none"/>
        </w:rPr>
        <w:t>技术服务</w:t>
      </w:r>
      <w:r>
        <w:rPr>
          <w:sz w:val="24"/>
          <w:szCs w:val="24"/>
          <w:highlight w:val="none"/>
        </w:rPr>
        <w:t>报酬总额</w:t>
      </w:r>
      <w:r>
        <w:rPr>
          <w:rFonts w:hint="eastAsia"/>
          <w:sz w:val="24"/>
          <w:szCs w:val="24"/>
          <w:highlight w:val="none"/>
        </w:rPr>
        <w:t>（合同价款）</w:t>
      </w:r>
      <w:r>
        <w:rPr>
          <w:sz w:val="24"/>
          <w:szCs w:val="24"/>
          <w:highlight w:val="none"/>
        </w:rPr>
        <w:t>为</w:t>
      </w:r>
      <w:r>
        <w:rPr>
          <w:rFonts w:hint="eastAsia"/>
          <w:sz w:val="24"/>
          <w:szCs w:val="24"/>
          <w:highlight w:val="none"/>
        </w:rPr>
        <w:t>人民币（大写）：（¥</w:t>
      </w:r>
      <w:r>
        <w:rPr>
          <w:rFonts w:hint="eastAsia"/>
          <w:sz w:val="24"/>
          <w:szCs w:val="24"/>
          <w:highlight w:val="none"/>
          <w:lang w:val="en-US" w:eastAsia="zh-CN"/>
        </w:rPr>
        <w:t xml:space="preserve">  </w:t>
      </w:r>
      <w:r>
        <w:rPr>
          <w:rFonts w:hint="eastAsia"/>
          <w:sz w:val="24"/>
          <w:szCs w:val="24"/>
          <w:highlight w:val="none"/>
        </w:rPr>
        <w:t>）（含6%</w:t>
      </w:r>
      <w:r>
        <w:rPr>
          <w:rFonts w:hint="eastAsia"/>
          <w:sz w:val="24"/>
          <w:szCs w:val="24"/>
          <w:highlight w:val="none"/>
          <w:lang w:val="en-US" w:eastAsia="zh-CN"/>
        </w:rPr>
        <w:t>增</w:t>
      </w:r>
      <w:r>
        <w:rPr>
          <w:rFonts w:hint="eastAsia"/>
          <w:sz w:val="24"/>
          <w:szCs w:val="24"/>
          <w:highlight w:val="none"/>
        </w:rPr>
        <w:t>税率）。</w:t>
      </w:r>
    </w:p>
    <w:p w14:paraId="0252C938">
      <w:pPr>
        <w:spacing w:line="400" w:lineRule="exact"/>
        <w:ind w:firstLine="480" w:firstLineChars="200"/>
        <w:rPr>
          <w:sz w:val="24"/>
          <w:szCs w:val="24"/>
          <w:highlight w:val="none"/>
        </w:rPr>
      </w:pPr>
      <w:r>
        <w:rPr>
          <w:rFonts w:hint="eastAsia"/>
          <w:sz w:val="24"/>
          <w:szCs w:val="24"/>
          <w:highlight w:val="none"/>
          <w:lang w:val="en-US" w:eastAsia="zh-CN"/>
        </w:rPr>
        <w:t>4</w:t>
      </w:r>
      <w:r>
        <w:rPr>
          <w:sz w:val="24"/>
          <w:szCs w:val="24"/>
          <w:highlight w:val="none"/>
        </w:rPr>
        <w:t>.2</w:t>
      </w:r>
      <w:r>
        <w:rPr>
          <w:rFonts w:hint="eastAsia"/>
          <w:sz w:val="24"/>
          <w:szCs w:val="24"/>
          <w:highlight w:val="none"/>
        </w:rPr>
        <w:t>支付方式：乙方完成全部合同任务、交付全部要求的文件并经甲方验收确认无误后两个月内一次性付清。</w:t>
      </w:r>
    </w:p>
    <w:p w14:paraId="571F3EF5">
      <w:pPr>
        <w:spacing w:line="400" w:lineRule="exact"/>
        <w:ind w:firstLine="480" w:firstLineChars="200"/>
        <w:rPr>
          <w:sz w:val="24"/>
          <w:szCs w:val="24"/>
          <w:highlight w:val="none"/>
        </w:rPr>
      </w:pPr>
      <w:r>
        <w:rPr>
          <w:rFonts w:hint="eastAsia"/>
          <w:sz w:val="24"/>
          <w:szCs w:val="24"/>
          <w:highlight w:val="none"/>
          <w:lang w:val="en-US" w:eastAsia="zh-CN"/>
        </w:rPr>
        <w:t>4</w:t>
      </w:r>
      <w:r>
        <w:rPr>
          <w:rFonts w:hint="eastAsia"/>
          <w:sz w:val="24"/>
          <w:szCs w:val="24"/>
          <w:highlight w:val="none"/>
        </w:rPr>
        <w:t>.2.1乙方交付的成果和完成的合同任务在经甲方验收确认无误后，甲方方可按上述规定支付合同价款。</w:t>
      </w:r>
    </w:p>
    <w:p w14:paraId="4F9077F3">
      <w:pPr>
        <w:spacing w:line="400" w:lineRule="exact"/>
        <w:ind w:firstLine="480" w:firstLineChars="200"/>
        <w:rPr>
          <w:rFonts w:hint="eastAsia"/>
          <w:sz w:val="24"/>
          <w:szCs w:val="24"/>
          <w:highlight w:val="none"/>
        </w:rPr>
      </w:pPr>
      <w:r>
        <w:rPr>
          <w:rFonts w:hint="eastAsia"/>
          <w:sz w:val="24"/>
          <w:szCs w:val="24"/>
          <w:highlight w:val="none"/>
          <w:lang w:val="en-US" w:eastAsia="zh-CN"/>
        </w:rPr>
        <w:t>4</w:t>
      </w:r>
      <w:r>
        <w:rPr>
          <w:rFonts w:hint="eastAsia"/>
          <w:sz w:val="24"/>
          <w:szCs w:val="24"/>
          <w:highlight w:val="none"/>
        </w:rPr>
        <w:t>.2.2乙方完成的合同任务出现遗漏、错误、不合格、不符合要求、未能通过有关部门审查的（统称不合格），甲方不予支付合同价款，直至补正、修改、完善（统称整改）达到合格、符合要求后，再按本合同规定支付报酬。</w:t>
      </w:r>
    </w:p>
    <w:p w14:paraId="77A41DC2">
      <w:pPr>
        <w:spacing w:line="400" w:lineRule="exact"/>
        <w:ind w:firstLine="480" w:firstLineChars="200"/>
        <w:rPr>
          <w:rFonts w:hint="eastAsia"/>
          <w:sz w:val="24"/>
          <w:szCs w:val="24"/>
          <w:highlight w:val="none"/>
        </w:rPr>
      </w:pPr>
      <w:r>
        <w:rPr>
          <w:rFonts w:hint="eastAsia"/>
          <w:sz w:val="24"/>
          <w:szCs w:val="24"/>
          <w:highlight w:val="none"/>
          <w:lang w:val="en-US" w:eastAsia="zh-CN"/>
        </w:rPr>
        <w:t>4</w:t>
      </w:r>
      <w:r>
        <w:rPr>
          <w:sz w:val="24"/>
          <w:szCs w:val="24"/>
          <w:highlight w:val="none"/>
        </w:rPr>
        <w:t>.2.</w:t>
      </w:r>
      <w:r>
        <w:rPr>
          <w:rFonts w:hint="eastAsia"/>
          <w:sz w:val="24"/>
          <w:szCs w:val="24"/>
          <w:highlight w:val="none"/>
          <w:lang w:val="en-US" w:eastAsia="zh-CN"/>
        </w:rPr>
        <w:t>3</w:t>
      </w:r>
      <w:r>
        <w:rPr>
          <w:rFonts w:hint="eastAsia"/>
          <w:sz w:val="24"/>
          <w:szCs w:val="24"/>
          <w:highlight w:val="none"/>
        </w:rPr>
        <w:t>付款前由乙方提供合法、有效的增值税专用发票，本合同发票乙方向中煤华晋集团有限公司王家岭分公司开具。</w:t>
      </w:r>
    </w:p>
    <w:p w14:paraId="0ACAF2E8">
      <w:pPr>
        <w:spacing w:line="400" w:lineRule="exact"/>
        <w:ind w:firstLine="480" w:firstLineChars="200"/>
        <w:rPr>
          <w:rFonts w:hint="eastAsia"/>
          <w:sz w:val="24"/>
          <w:szCs w:val="24"/>
          <w:highlight w:val="none"/>
        </w:rPr>
      </w:pPr>
      <w:r>
        <w:rPr>
          <w:rFonts w:hint="eastAsia"/>
          <w:sz w:val="24"/>
          <w:szCs w:val="24"/>
          <w:highlight w:val="none"/>
          <w:lang w:val="en-US" w:eastAsia="zh-CN"/>
        </w:rPr>
        <w:t>4</w:t>
      </w:r>
      <w:r>
        <w:rPr>
          <w:rFonts w:hint="eastAsia"/>
          <w:sz w:val="24"/>
          <w:szCs w:val="24"/>
          <w:highlight w:val="none"/>
        </w:rPr>
        <w:t>.2.</w:t>
      </w:r>
      <w:r>
        <w:rPr>
          <w:rFonts w:hint="eastAsia"/>
          <w:sz w:val="24"/>
          <w:szCs w:val="24"/>
          <w:highlight w:val="none"/>
          <w:lang w:val="en-US" w:eastAsia="zh-CN"/>
        </w:rPr>
        <w:t>4</w:t>
      </w:r>
      <w:r>
        <w:rPr>
          <w:rFonts w:hint="eastAsia"/>
          <w:sz w:val="24"/>
          <w:szCs w:val="24"/>
          <w:highlight w:val="none"/>
        </w:rPr>
        <w:t>在合同履行期间，因国家税收政策调整，本合同税率发生变化，结算/付款时不能按原定税率开具发票的，产生的税差在合同总价中做相应调增或调减。</w:t>
      </w:r>
    </w:p>
    <w:p w14:paraId="32937D3A">
      <w:pPr>
        <w:spacing w:line="400" w:lineRule="exact"/>
        <w:rPr>
          <w:b/>
          <w:sz w:val="24"/>
          <w:szCs w:val="24"/>
          <w:highlight w:val="none"/>
        </w:rPr>
      </w:pPr>
      <w:r>
        <w:rPr>
          <w:rFonts w:hint="eastAsia"/>
          <w:sz w:val="24"/>
          <w:szCs w:val="24"/>
          <w:highlight w:val="none"/>
        </w:rPr>
        <w:t xml:space="preserve">    </w:t>
      </w:r>
      <w:r>
        <w:rPr>
          <w:rFonts w:hint="eastAsia"/>
          <w:b/>
          <w:sz w:val="24"/>
          <w:szCs w:val="24"/>
          <w:highlight w:val="none"/>
        </w:rPr>
        <w:t>第</w:t>
      </w:r>
      <w:r>
        <w:rPr>
          <w:rFonts w:hint="eastAsia"/>
          <w:b/>
          <w:sz w:val="24"/>
          <w:szCs w:val="24"/>
          <w:highlight w:val="none"/>
          <w:lang w:val="en-US" w:eastAsia="zh-CN"/>
        </w:rPr>
        <w:t>五</w:t>
      </w:r>
      <w:r>
        <w:rPr>
          <w:rFonts w:hint="eastAsia"/>
          <w:b/>
          <w:sz w:val="24"/>
          <w:szCs w:val="24"/>
          <w:highlight w:val="none"/>
        </w:rPr>
        <w:t>条</w:t>
      </w:r>
      <w:r>
        <w:rPr>
          <w:b/>
          <w:sz w:val="24"/>
          <w:szCs w:val="24"/>
          <w:highlight w:val="none"/>
        </w:rPr>
        <w:t xml:space="preserve"> </w:t>
      </w:r>
      <w:r>
        <w:rPr>
          <w:rFonts w:hint="eastAsia"/>
          <w:b/>
          <w:sz w:val="24"/>
          <w:szCs w:val="24"/>
          <w:highlight w:val="none"/>
        </w:rPr>
        <w:t>双方责任</w:t>
      </w:r>
    </w:p>
    <w:p w14:paraId="51FFAC2C">
      <w:pPr>
        <w:spacing w:line="400" w:lineRule="exact"/>
        <w:ind w:firstLine="480" w:firstLineChars="200"/>
        <w:rPr>
          <w:rFonts w:hint="eastAsia"/>
          <w:sz w:val="24"/>
          <w:szCs w:val="24"/>
          <w:highlight w:val="none"/>
        </w:rPr>
      </w:pPr>
      <w:r>
        <w:rPr>
          <w:rFonts w:hint="eastAsia"/>
          <w:kern w:val="0"/>
          <w:sz w:val="24"/>
          <w:szCs w:val="24"/>
          <w:highlight w:val="none"/>
          <w:lang w:val="en-US" w:eastAsia="zh-CN"/>
        </w:rPr>
        <w:t>5</w:t>
      </w:r>
      <w:r>
        <w:rPr>
          <w:kern w:val="0"/>
          <w:sz w:val="24"/>
          <w:szCs w:val="24"/>
          <w:highlight w:val="none"/>
        </w:rPr>
        <w:t>.1</w:t>
      </w:r>
      <w:r>
        <w:rPr>
          <w:rFonts w:hint="eastAsia"/>
          <w:sz w:val="24"/>
          <w:szCs w:val="24"/>
          <w:highlight w:val="none"/>
        </w:rPr>
        <w:t>甲方责任</w:t>
      </w:r>
    </w:p>
    <w:p w14:paraId="78BB13FA">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w:t>
      </w:r>
      <w:r>
        <w:rPr>
          <w:rFonts w:hint="eastAsia"/>
          <w:kern w:val="0"/>
          <w:sz w:val="24"/>
          <w:szCs w:val="24"/>
          <w:highlight w:val="none"/>
        </w:rPr>
        <w:t>1.1</w:t>
      </w:r>
      <w:r>
        <w:rPr>
          <w:rFonts w:hint="eastAsia"/>
          <w:kern w:val="0"/>
          <w:sz w:val="24"/>
          <w:szCs w:val="24"/>
          <w:highlight w:val="none"/>
          <w:lang w:val="en-US" w:eastAsia="zh-CN"/>
        </w:rPr>
        <w:t>甲方负责向乙方提供现场采样所需的设施条件，并协助乙方完成所需煤样的现场取样工作</w:t>
      </w:r>
      <w:r>
        <w:rPr>
          <w:rFonts w:hint="eastAsia"/>
          <w:kern w:val="0"/>
          <w:sz w:val="24"/>
          <w:szCs w:val="24"/>
          <w:highlight w:val="none"/>
        </w:rPr>
        <w:t>。</w:t>
      </w:r>
    </w:p>
    <w:p w14:paraId="1CA31D96">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rFonts w:hint="eastAsia"/>
          <w:kern w:val="0"/>
          <w:sz w:val="24"/>
          <w:szCs w:val="24"/>
          <w:highlight w:val="none"/>
        </w:rPr>
        <w:t>.1.</w:t>
      </w:r>
      <w:r>
        <w:rPr>
          <w:rFonts w:hint="eastAsia"/>
          <w:kern w:val="0"/>
          <w:sz w:val="24"/>
          <w:szCs w:val="24"/>
          <w:highlight w:val="none"/>
          <w:lang w:val="en-US" w:eastAsia="zh-CN"/>
        </w:rPr>
        <w:t>2甲方应安排</w:t>
      </w:r>
      <w:r>
        <w:rPr>
          <w:rFonts w:hint="eastAsia"/>
          <w:kern w:val="0"/>
          <w:sz w:val="24"/>
          <w:szCs w:val="24"/>
          <w:highlight w:val="none"/>
        </w:rPr>
        <w:t>现场工作负责人</w:t>
      </w:r>
      <w:r>
        <w:rPr>
          <w:rFonts w:hint="eastAsia"/>
          <w:kern w:val="0"/>
          <w:sz w:val="24"/>
          <w:szCs w:val="24"/>
          <w:highlight w:val="none"/>
          <w:lang w:val="en-US" w:eastAsia="zh-CN"/>
        </w:rPr>
        <w:t>协助乙方完成现场取样和协调工作</w:t>
      </w:r>
      <w:r>
        <w:rPr>
          <w:rFonts w:hint="eastAsia"/>
          <w:kern w:val="0"/>
          <w:sz w:val="24"/>
          <w:szCs w:val="24"/>
          <w:highlight w:val="none"/>
        </w:rPr>
        <w:t>。</w:t>
      </w:r>
    </w:p>
    <w:p w14:paraId="63386338">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rFonts w:hint="eastAsia"/>
          <w:kern w:val="0"/>
          <w:sz w:val="24"/>
          <w:szCs w:val="24"/>
          <w:highlight w:val="none"/>
        </w:rPr>
        <w:t>.1.</w:t>
      </w:r>
      <w:r>
        <w:rPr>
          <w:rFonts w:hint="eastAsia"/>
          <w:kern w:val="0"/>
          <w:sz w:val="24"/>
          <w:szCs w:val="24"/>
          <w:highlight w:val="none"/>
          <w:lang w:val="en-US" w:eastAsia="zh-CN"/>
        </w:rPr>
        <w:t>3</w:t>
      </w:r>
      <w:r>
        <w:rPr>
          <w:rFonts w:hint="eastAsia"/>
          <w:kern w:val="0"/>
          <w:sz w:val="24"/>
          <w:szCs w:val="24"/>
          <w:highlight w:val="none"/>
        </w:rPr>
        <w:t>甲方</w:t>
      </w:r>
      <w:r>
        <w:rPr>
          <w:rFonts w:hint="eastAsia"/>
          <w:kern w:val="0"/>
          <w:sz w:val="24"/>
          <w:szCs w:val="24"/>
          <w:highlight w:val="none"/>
          <w:lang w:val="en-US" w:eastAsia="zh-CN"/>
        </w:rPr>
        <w:t>审查</w:t>
      </w:r>
      <w:r>
        <w:rPr>
          <w:rFonts w:hint="eastAsia"/>
          <w:kern w:val="0"/>
          <w:sz w:val="24"/>
          <w:szCs w:val="24"/>
          <w:highlight w:val="none"/>
        </w:rPr>
        <w:t>乙方提交的</w:t>
      </w:r>
      <w:r>
        <w:rPr>
          <w:rFonts w:hint="eastAsia"/>
          <w:kern w:val="0"/>
          <w:sz w:val="24"/>
          <w:szCs w:val="24"/>
          <w:highlight w:val="none"/>
          <w:lang w:val="en-US" w:eastAsia="zh-CN"/>
        </w:rPr>
        <w:t>检测报告</w:t>
      </w:r>
      <w:r>
        <w:rPr>
          <w:rFonts w:hint="eastAsia"/>
          <w:kern w:val="0"/>
          <w:sz w:val="24"/>
          <w:szCs w:val="24"/>
          <w:highlight w:val="none"/>
        </w:rPr>
        <w:t>，对于不合理</w:t>
      </w:r>
      <w:r>
        <w:rPr>
          <w:rFonts w:hint="eastAsia"/>
          <w:kern w:val="0"/>
          <w:sz w:val="24"/>
          <w:szCs w:val="24"/>
          <w:highlight w:val="none"/>
          <w:lang w:val="en-US" w:eastAsia="zh-CN"/>
        </w:rPr>
        <w:t>检测指标</w:t>
      </w:r>
      <w:r>
        <w:rPr>
          <w:rFonts w:hint="eastAsia"/>
          <w:kern w:val="0"/>
          <w:sz w:val="24"/>
          <w:szCs w:val="24"/>
          <w:highlight w:val="none"/>
        </w:rPr>
        <w:t>，乙方</w:t>
      </w:r>
      <w:r>
        <w:rPr>
          <w:rFonts w:hint="eastAsia"/>
          <w:kern w:val="0"/>
          <w:sz w:val="24"/>
          <w:szCs w:val="24"/>
          <w:highlight w:val="none"/>
          <w:lang w:val="en-US" w:eastAsia="zh-CN"/>
        </w:rPr>
        <w:t>应及时给出答复，安排专业人员给予疑难解答，并在合同到期之前完成重查要求</w:t>
      </w:r>
      <w:r>
        <w:rPr>
          <w:rFonts w:hint="eastAsia"/>
          <w:kern w:val="0"/>
          <w:sz w:val="24"/>
          <w:szCs w:val="24"/>
          <w:highlight w:val="none"/>
        </w:rPr>
        <w:t>。</w:t>
      </w:r>
    </w:p>
    <w:p w14:paraId="177D257F">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w:t>
      </w:r>
      <w:r>
        <w:rPr>
          <w:rFonts w:hint="eastAsia"/>
          <w:kern w:val="0"/>
          <w:sz w:val="24"/>
          <w:szCs w:val="24"/>
          <w:highlight w:val="none"/>
        </w:rPr>
        <w:t>1.</w:t>
      </w:r>
      <w:r>
        <w:rPr>
          <w:rFonts w:hint="eastAsia"/>
          <w:kern w:val="0"/>
          <w:sz w:val="24"/>
          <w:szCs w:val="24"/>
          <w:highlight w:val="none"/>
          <w:lang w:val="en-US" w:eastAsia="zh-CN"/>
        </w:rPr>
        <w:t>4</w:t>
      </w:r>
      <w:r>
        <w:rPr>
          <w:rFonts w:hint="eastAsia"/>
          <w:kern w:val="0"/>
          <w:sz w:val="24"/>
          <w:szCs w:val="24"/>
          <w:highlight w:val="none"/>
        </w:rPr>
        <w:t>保护乙方的报告书、文件、技术成果、专利技术、特殊工艺，未经乙方同意，甲方不得复制泄露或向第三</w:t>
      </w:r>
      <w:r>
        <w:rPr>
          <w:rFonts w:hint="eastAsia"/>
          <w:kern w:val="0"/>
          <w:sz w:val="24"/>
          <w:szCs w:val="24"/>
          <w:highlight w:val="none"/>
          <w:lang w:val="en-US" w:eastAsia="zh-CN"/>
        </w:rPr>
        <w:t>方提供</w:t>
      </w:r>
      <w:r>
        <w:rPr>
          <w:rFonts w:hint="eastAsia"/>
          <w:kern w:val="0"/>
          <w:sz w:val="24"/>
          <w:szCs w:val="24"/>
          <w:highlight w:val="none"/>
        </w:rPr>
        <w:t>，</w:t>
      </w:r>
      <w:r>
        <w:rPr>
          <w:rFonts w:hint="eastAsia"/>
          <w:kern w:val="0"/>
          <w:sz w:val="24"/>
          <w:szCs w:val="24"/>
          <w:highlight w:val="none"/>
          <w:lang w:val="en-US" w:eastAsia="zh-CN"/>
        </w:rPr>
        <w:t>由此产生的问题</w:t>
      </w:r>
      <w:r>
        <w:rPr>
          <w:rFonts w:hint="eastAsia"/>
          <w:kern w:val="0"/>
          <w:sz w:val="24"/>
          <w:szCs w:val="24"/>
          <w:highlight w:val="none"/>
        </w:rPr>
        <w:t>甲方应负法律责任，乙方有权索赔。</w:t>
      </w:r>
    </w:p>
    <w:p w14:paraId="1A07CA1D">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.1.</w:t>
      </w:r>
      <w:r>
        <w:rPr>
          <w:rFonts w:hint="eastAsia"/>
          <w:kern w:val="0"/>
          <w:sz w:val="24"/>
          <w:szCs w:val="24"/>
          <w:highlight w:val="none"/>
          <w:lang w:val="en-US" w:eastAsia="zh-CN"/>
        </w:rPr>
        <w:t>5</w:t>
      </w:r>
      <w:r>
        <w:rPr>
          <w:kern w:val="0"/>
          <w:sz w:val="24"/>
          <w:szCs w:val="24"/>
          <w:highlight w:val="none"/>
        </w:rPr>
        <w:t>甲方应按本合同规定按时向</w:t>
      </w:r>
      <w:r>
        <w:rPr>
          <w:rFonts w:hint="eastAsia"/>
          <w:kern w:val="0"/>
          <w:sz w:val="24"/>
          <w:szCs w:val="24"/>
          <w:highlight w:val="none"/>
        </w:rPr>
        <w:t>乙</w:t>
      </w:r>
      <w:r>
        <w:rPr>
          <w:kern w:val="0"/>
          <w:sz w:val="24"/>
          <w:szCs w:val="24"/>
          <w:highlight w:val="none"/>
        </w:rPr>
        <w:t>方支付合同费用</w:t>
      </w:r>
      <w:r>
        <w:rPr>
          <w:rFonts w:hint="eastAsia"/>
          <w:kern w:val="0"/>
          <w:sz w:val="24"/>
          <w:szCs w:val="24"/>
          <w:highlight w:val="none"/>
        </w:rPr>
        <w:t>。</w:t>
      </w:r>
    </w:p>
    <w:p w14:paraId="60E7C23A">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.2</w:t>
      </w:r>
      <w:r>
        <w:rPr>
          <w:rFonts w:hint="eastAsia"/>
          <w:kern w:val="0"/>
          <w:sz w:val="24"/>
          <w:szCs w:val="24"/>
          <w:highlight w:val="none"/>
        </w:rPr>
        <w:t>乙方责任</w:t>
      </w:r>
    </w:p>
    <w:p w14:paraId="3A11DBDE">
      <w:pPr>
        <w:widowControl/>
        <w:spacing w:line="400" w:lineRule="exact"/>
        <w:ind w:firstLine="480" w:firstLineChars="200"/>
        <w:jc w:val="left"/>
        <w:rPr>
          <w:rFonts w:hint="eastAsia"/>
          <w:kern w:val="0"/>
          <w:sz w:val="24"/>
          <w:szCs w:val="24"/>
          <w:highlight w:val="none"/>
          <w:lang w:val="en-US" w:eastAsia="zh-CN"/>
        </w:rPr>
      </w:pPr>
      <w:r>
        <w:rPr>
          <w:rFonts w:hint="eastAsia"/>
          <w:kern w:val="0"/>
          <w:sz w:val="24"/>
          <w:szCs w:val="24"/>
          <w:highlight w:val="none"/>
          <w:lang w:val="en-US" w:eastAsia="zh-CN"/>
        </w:rPr>
        <w:t>5</w:t>
      </w:r>
      <w:r>
        <w:rPr>
          <w:kern w:val="0"/>
          <w:sz w:val="24"/>
          <w:szCs w:val="24"/>
          <w:highlight w:val="none"/>
        </w:rPr>
        <w:t>.</w:t>
      </w:r>
      <w:r>
        <w:rPr>
          <w:rFonts w:hint="eastAsia"/>
          <w:kern w:val="0"/>
          <w:sz w:val="24"/>
          <w:szCs w:val="24"/>
          <w:highlight w:val="none"/>
        </w:rPr>
        <w:t>2.1乙方</w:t>
      </w:r>
      <w:r>
        <w:rPr>
          <w:rFonts w:hint="eastAsia"/>
          <w:kern w:val="0"/>
          <w:sz w:val="24"/>
          <w:szCs w:val="24"/>
          <w:highlight w:val="none"/>
          <w:lang w:val="en-US" w:eastAsia="zh-CN"/>
        </w:rPr>
        <w:t>负责现场煤样采取，并将所采煤样运回本单位的试验场地后，按照国家及行业相关试验标准测试试验项目。</w:t>
      </w:r>
    </w:p>
    <w:p w14:paraId="079A8A2A">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w:t>
      </w:r>
      <w:r>
        <w:rPr>
          <w:rFonts w:hint="eastAsia"/>
          <w:kern w:val="0"/>
          <w:sz w:val="24"/>
          <w:szCs w:val="24"/>
          <w:highlight w:val="none"/>
        </w:rPr>
        <w:t>2.2乙方技术服务所使用的</w:t>
      </w:r>
      <w:r>
        <w:rPr>
          <w:rFonts w:hint="eastAsia"/>
          <w:kern w:val="0"/>
          <w:sz w:val="24"/>
          <w:szCs w:val="24"/>
          <w:highlight w:val="none"/>
          <w:lang w:val="en-US" w:eastAsia="zh-CN"/>
        </w:rPr>
        <w:t>检测</w:t>
      </w:r>
      <w:r>
        <w:rPr>
          <w:rFonts w:hint="eastAsia"/>
          <w:kern w:val="0"/>
          <w:sz w:val="24"/>
          <w:szCs w:val="24"/>
          <w:highlight w:val="none"/>
        </w:rPr>
        <w:t>仪器必须符合计量部门的校验和技术服务所依据规程的要求，并在有效期内使用。</w:t>
      </w:r>
    </w:p>
    <w:p w14:paraId="371A09B4">
      <w:pPr>
        <w:widowControl/>
        <w:spacing w:line="400" w:lineRule="exact"/>
        <w:ind w:firstLine="480" w:firstLineChars="200"/>
        <w:jc w:val="left"/>
        <w:rPr>
          <w:kern w:val="0"/>
          <w:sz w:val="24"/>
          <w:szCs w:val="24"/>
          <w:highlight w:val="none"/>
        </w:rPr>
      </w:pPr>
      <w:r>
        <w:rPr>
          <w:rFonts w:hint="eastAsia"/>
          <w:kern w:val="0"/>
          <w:sz w:val="24"/>
          <w:szCs w:val="24"/>
          <w:highlight w:val="none"/>
          <w:lang w:val="en-US" w:eastAsia="zh-CN"/>
        </w:rPr>
        <w:t>5</w:t>
      </w:r>
      <w:r>
        <w:rPr>
          <w:rFonts w:hint="eastAsia"/>
          <w:kern w:val="0"/>
          <w:sz w:val="24"/>
          <w:szCs w:val="24"/>
          <w:highlight w:val="none"/>
        </w:rPr>
        <w:t>.2.3乙方</w:t>
      </w:r>
      <w:r>
        <w:rPr>
          <w:rFonts w:hint="eastAsia"/>
          <w:kern w:val="0"/>
          <w:sz w:val="24"/>
          <w:szCs w:val="24"/>
          <w:highlight w:val="none"/>
          <w:lang w:val="en-US" w:eastAsia="zh-CN"/>
        </w:rPr>
        <w:t>有义务对甲方审查发现</w:t>
      </w:r>
      <w:r>
        <w:rPr>
          <w:rFonts w:hint="eastAsia"/>
          <w:kern w:val="0"/>
          <w:sz w:val="24"/>
          <w:szCs w:val="24"/>
          <w:highlight w:val="none"/>
        </w:rPr>
        <w:t>不合格</w:t>
      </w:r>
      <w:r>
        <w:rPr>
          <w:rFonts w:hint="eastAsia"/>
          <w:kern w:val="0"/>
          <w:sz w:val="24"/>
          <w:szCs w:val="24"/>
          <w:highlight w:val="none"/>
          <w:lang w:val="en-US" w:eastAsia="zh-CN"/>
        </w:rPr>
        <w:t>项目进行重新检测</w:t>
      </w:r>
      <w:r>
        <w:rPr>
          <w:rFonts w:hint="eastAsia"/>
          <w:kern w:val="0"/>
          <w:sz w:val="24"/>
          <w:szCs w:val="24"/>
          <w:highlight w:val="none"/>
          <w:lang w:eastAsia="zh-CN"/>
        </w:rPr>
        <w:t>，</w:t>
      </w:r>
      <w:r>
        <w:rPr>
          <w:rFonts w:hint="eastAsia"/>
          <w:kern w:val="0"/>
          <w:sz w:val="24"/>
          <w:szCs w:val="24"/>
          <w:highlight w:val="none"/>
        </w:rPr>
        <w:t>需</w:t>
      </w:r>
      <w:r>
        <w:rPr>
          <w:rFonts w:hint="eastAsia"/>
          <w:kern w:val="0"/>
          <w:sz w:val="24"/>
          <w:szCs w:val="24"/>
          <w:highlight w:val="none"/>
          <w:lang w:val="en-US" w:eastAsia="zh-CN"/>
        </w:rPr>
        <w:t>第三方协助检测</w:t>
      </w:r>
      <w:r>
        <w:rPr>
          <w:rFonts w:hint="eastAsia"/>
          <w:kern w:val="0"/>
          <w:sz w:val="24"/>
          <w:szCs w:val="24"/>
          <w:highlight w:val="none"/>
        </w:rPr>
        <w:t>时，乙方应承担由此发生的全部费用。</w:t>
      </w:r>
    </w:p>
    <w:p w14:paraId="09321EB1">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rFonts w:hint="eastAsia"/>
          <w:kern w:val="0"/>
          <w:sz w:val="24"/>
          <w:szCs w:val="24"/>
          <w:highlight w:val="none"/>
        </w:rPr>
        <w:t>.2.4乙方</w:t>
      </w:r>
      <w:r>
        <w:rPr>
          <w:rFonts w:hint="eastAsia"/>
          <w:kern w:val="0"/>
          <w:sz w:val="24"/>
          <w:szCs w:val="24"/>
          <w:highlight w:val="none"/>
          <w:lang w:val="en-US" w:eastAsia="zh-CN"/>
        </w:rPr>
        <w:t>从采样到出具检测报告等服务项目</w:t>
      </w:r>
      <w:r>
        <w:rPr>
          <w:rFonts w:hint="eastAsia"/>
          <w:kern w:val="0"/>
          <w:sz w:val="24"/>
          <w:szCs w:val="24"/>
          <w:highlight w:val="none"/>
        </w:rPr>
        <w:t>负责项目成果评审（如有）的组织、协调工作，并承担由此产生的费用。</w:t>
      </w:r>
    </w:p>
    <w:p w14:paraId="0F8B6F7F">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5</w:t>
      </w:r>
      <w:r>
        <w:rPr>
          <w:kern w:val="0"/>
          <w:sz w:val="24"/>
          <w:szCs w:val="24"/>
          <w:highlight w:val="none"/>
        </w:rPr>
        <w:t>.2.</w:t>
      </w:r>
      <w:r>
        <w:rPr>
          <w:rFonts w:hint="eastAsia"/>
          <w:kern w:val="0"/>
          <w:sz w:val="24"/>
          <w:szCs w:val="24"/>
          <w:highlight w:val="none"/>
        </w:rPr>
        <w:t>5乙方不得</w:t>
      </w:r>
      <w:r>
        <w:rPr>
          <w:rFonts w:hint="eastAsia"/>
          <w:kern w:val="0"/>
          <w:sz w:val="24"/>
          <w:szCs w:val="24"/>
          <w:highlight w:val="none"/>
          <w:lang w:val="en-US" w:eastAsia="zh-CN"/>
        </w:rPr>
        <w:t>将甲方要求服务的检测结果提供给第三方，因此产生的质量纠纷，</w:t>
      </w:r>
      <w:r>
        <w:rPr>
          <w:rFonts w:hint="eastAsia"/>
          <w:kern w:val="0"/>
          <w:sz w:val="24"/>
          <w:szCs w:val="24"/>
          <w:highlight w:val="none"/>
        </w:rPr>
        <w:t>乙方应负法律责任，甲方有权索赔。</w:t>
      </w:r>
    </w:p>
    <w:p w14:paraId="694D2304">
      <w:pPr>
        <w:spacing w:line="400" w:lineRule="exact"/>
        <w:ind w:firstLine="482" w:firstLineChars="200"/>
        <w:rPr>
          <w:rFonts w:hint="eastAsia"/>
          <w:b/>
          <w:sz w:val="24"/>
          <w:szCs w:val="24"/>
          <w:highlight w:val="none"/>
        </w:rPr>
      </w:pPr>
      <w:r>
        <w:rPr>
          <w:rFonts w:hint="eastAsia"/>
          <w:b/>
          <w:sz w:val="24"/>
          <w:szCs w:val="24"/>
          <w:highlight w:val="none"/>
        </w:rPr>
        <w:t>第</w:t>
      </w:r>
      <w:r>
        <w:rPr>
          <w:rFonts w:hint="eastAsia"/>
          <w:b/>
          <w:sz w:val="24"/>
          <w:szCs w:val="24"/>
          <w:highlight w:val="none"/>
          <w:lang w:val="en-US" w:eastAsia="zh-CN"/>
        </w:rPr>
        <w:t>六</w:t>
      </w:r>
      <w:r>
        <w:rPr>
          <w:rFonts w:hint="eastAsia"/>
          <w:b/>
          <w:sz w:val="24"/>
          <w:szCs w:val="24"/>
          <w:highlight w:val="none"/>
        </w:rPr>
        <w:t>条  违约责任</w:t>
      </w:r>
    </w:p>
    <w:p w14:paraId="60F10A37">
      <w:pPr>
        <w:spacing w:line="400" w:lineRule="exact"/>
        <w:ind w:firstLine="480" w:firstLineChars="200"/>
        <w:rPr>
          <w:rFonts w:hint="eastAsia"/>
          <w:sz w:val="24"/>
          <w:szCs w:val="24"/>
          <w:highlight w:val="none"/>
        </w:rPr>
      </w:pPr>
      <w:r>
        <w:rPr>
          <w:rFonts w:hint="eastAsia"/>
          <w:sz w:val="24"/>
          <w:szCs w:val="24"/>
          <w:highlight w:val="none"/>
          <w:lang w:val="en-US" w:eastAsia="zh-CN"/>
        </w:rPr>
        <w:t>6</w:t>
      </w:r>
      <w:r>
        <w:rPr>
          <w:sz w:val="24"/>
          <w:szCs w:val="24"/>
          <w:highlight w:val="none"/>
        </w:rPr>
        <w:t>.1</w:t>
      </w:r>
      <w:r>
        <w:rPr>
          <w:rFonts w:hint="eastAsia"/>
          <w:sz w:val="24"/>
          <w:szCs w:val="24"/>
          <w:highlight w:val="none"/>
        </w:rPr>
        <w:t>甲方违约责任</w:t>
      </w:r>
    </w:p>
    <w:p w14:paraId="34E5B4E6">
      <w:pPr>
        <w:spacing w:line="400" w:lineRule="exact"/>
        <w:ind w:firstLine="480" w:firstLineChars="200"/>
        <w:rPr>
          <w:sz w:val="24"/>
          <w:szCs w:val="24"/>
          <w:highlight w:val="none"/>
        </w:rPr>
      </w:pPr>
      <w:r>
        <w:rPr>
          <w:rFonts w:hint="eastAsia"/>
          <w:sz w:val="24"/>
          <w:szCs w:val="24"/>
          <w:lang w:val="en-US" w:eastAsia="zh-CN"/>
        </w:rPr>
        <w:t>6.1.1</w:t>
      </w:r>
      <w:r>
        <w:rPr>
          <w:rFonts w:hint="eastAsia"/>
          <w:sz w:val="24"/>
          <w:szCs w:val="24"/>
        </w:rPr>
        <w:t>甲方违反约定，拒付报酬，乙方有权解除合同，并要求赔偿其损失。</w:t>
      </w:r>
    </w:p>
    <w:p w14:paraId="101B3D7F">
      <w:pPr>
        <w:spacing w:line="400" w:lineRule="exact"/>
        <w:ind w:firstLine="480" w:firstLineChars="200"/>
        <w:rPr>
          <w:rFonts w:hint="eastAsia"/>
          <w:sz w:val="24"/>
          <w:szCs w:val="24"/>
          <w:highlight w:val="none"/>
        </w:rPr>
      </w:pPr>
      <w:r>
        <w:rPr>
          <w:rFonts w:hint="eastAsia"/>
          <w:sz w:val="24"/>
          <w:szCs w:val="24"/>
          <w:highlight w:val="none"/>
          <w:lang w:val="en-US" w:eastAsia="zh-CN"/>
        </w:rPr>
        <w:t>6.1.2</w:t>
      </w:r>
      <w:r>
        <w:rPr>
          <w:rFonts w:hint="eastAsia"/>
          <w:sz w:val="24"/>
          <w:szCs w:val="24"/>
          <w:highlight w:val="none"/>
        </w:rPr>
        <w:t>甲方违反约定，无正当理由逾期支付报酬，导致乙方无法按期完成工作的，乙方有权按延误的时间予以顺延，</w:t>
      </w:r>
      <w:r>
        <w:rPr>
          <w:rFonts w:hint="eastAsia"/>
          <w:sz w:val="24"/>
          <w:szCs w:val="24"/>
          <w:highlight w:val="none"/>
          <w:lang w:val="en-US" w:eastAsia="zh-CN"/>
        </w:rPr>
        <w:t>因此造成损失的，由甲方承担</w:t>
      </w:r>
      <w:r>
        <w:rPr>
          <w:rFonts w:hint="eastAsia"/>
          <w:sz w:val="24"/>
          <w:szCs w:val="24"/>
          <w:highlight w:val="none"/>
        </w:rPr>
        <w:t>。</w:t>
      </w:r>
    </w:p>
    <w:p w14:paraId="5E15892C">
      <w:pPr>
        <w:spacing w:line="400" w:lineRule="exact"/>
        <w:ind w:firstLine="480" w:firstLineChars="200"/>
        <w:rPr>
          <w:rFonts w:hint="eastAsia"/>
          <w:sz w:val="24"/>
          <w:szCs w:val="24"/>
          <w:highlight w:val="none"/>
        </w:rPr>
      </w:pPr>
      <w:r>
        <w:rPr>
          <w:rFonts w:hint="eastAsia"/>
          <w:sz w:val="24"/>
          <w:szCs w:val="24"/>
          <w:highlight w:val="none"/>
          <w:lang w:val="en-US" w:eastAsia="zh-CN"/>
        </w:rPr>
        <w:t>6</w:t>
      </w:r>
      <w:r>
        <w:rPr>
          <w:sz w:val="24"/>
          <w:szCs w:val="24"/>
          <w:highlight w:val="none"/>
        </w:rPr>
        <w:t>.2</w:t>
      </w:r>
      <w:r>
        <w:rPr>
          <w:rFonts w:hint="eastAsia"/>
          <w:sz w:val="24"/>
          <w:szCs w:val="24"/>
          <w:highlight w:val="none"/>
        </w:rPr>
        <w:t xml:space="preserve">乙方违约责任 </w:t>
      </w:r>
    </w:p>
    <w:p w14:paraId="68BD8854">
      <w:pPr>
        <w:spacing w:line="400" w:lineRule="exact"/>
        <w:ind w:firstLine="480" w:firstLineChars="200"/>
        <w:rPr>
          <w:color w:val="000000"/>
          <w:sz w:val="24"/>
          <w:highlight w:val="none"/>
        </w:rPr>
      </w:pPr>
      <w:r>
        <w:rPr>
          <w:rFonts w:hint="eastAsia"/>
          <w:sz w:val="24"/>
          <w:szCs w:val="24"/>
          <w:highlight w:val="none"/>
          <w:lang w:val="en-US" w:eastAsia="zh-CN"/>
        </w:rPr>
        <w:t>6.2.1</w:t>
      </w:r>
      <w:r>
        <w:rPr>
          <w:rFonts w:hint="eastAsia"/>
          <w:sz w:val="24"/>
          <w:szCs w:val="24"/>
          <w:highlight w:val="none"/>
        </w:rPr>
        <w:t>乙方原因延误工期或未按规定时间交付成果，每延误一天应承担以合同价款</w:t>
      </w:r>
      <w:r>
        <w:rPr>
          <w:rFonts w:hint="eastAsia"/>
          <w:sz w:val="24"/>
          <w:szCs w:val="24"/>
          <w:highlight w:val="none"/>
          <w:lang w:val="en-US" w:eastAsia="zh-CN"/>
        </w:rPr>
        <w:t>1</w:t>
      </w:r>
      <w:r>
        <w:rPr>
          <w:rFonts w:hint="eastAsia"/>
          <w:sz w:val="24"/>
          <w:szCs w:val="24"/>
        </w:rPr>
        <w:t>‰</w:t>
      </w:r>
      <w:r>
        <w:rPr>
          <w:rFonts w:hint="eastAsia"/>
          <w:sz w:val="24"/>
          <w:szCs w:val="24"/>
          <w:highlight w:val="none"/>
        </w:rPr>
        <w:t>计算的违约金，</w:t>
      </w:r>
      <w:r>
        <w:rPr>
          <w:color w:val="000000"/>
          <w:sz w:val="24"/>
          <w:highlight w:val="none"/>
        </w:rPr>
        <w:t>给甲方造成损失的，应赔偿损失。</w:t>
      </w:r>
    </w:p>
    <w:p w14:paraId="5EC81F99">
      <w:pPr>
        <w:spacing w:line="400" w:lineRule="exact"/>
        <w:ind w:firstLine="480" w:firstLineChars="200"/>
        <w:rPr>
          <w:sz w:val="24"/>
          <w:szCs w:val="24"/>
        </w:rPr>
      </w:pPr>
      <w:r>
        <w:rPr>
          <w:rFonts w:hint="eastAsia"/>
          <w:sz w:val="24"/>
          <w:szCs w:val="24"/>
          <w:lang w:val="en-US" w:eastAsia="zh-CN"/>
        </w:rPr>
        <w:t>6</w:t>
      </w:r>
      <w:r>
        <w:rPr>
          <w:sz w:val="24"/>
          <w:szCs w:val="24"/>
        </w:rPr>
        <w:t>.</w:t>
      </w:r>
      <w:r>
        <w:rPr>
          <w:rFonts w:hint="eastAsia"/>
          <w:sz w:val="24"/>
          <w:szCs w:val="24"/>
        </w:rPr>
        <w:t>2.</w:t>
      </w:r>
      <w:r>
        <w:rPr>
          <w:rFonts w:hint="eastAsia"/>
          <w:sz w:val="24"/>
          <w:szCs w:val="24"/>
          <w:lang w:val="en-US" w:eastAsia="zh-CN"/>
        </w:rPr>
        <w:t>2</w:t>
      </w:r>
      <w:r>
        <w:rPr>
          <w:rFonts w:hint="eastAsia"/>
          <w:sz w:val="24"/>
          <w:szCs w:val="24"/>
        </w:rPr>
        <w:t>乙方违反保密义务，甲方有权要求乙方按本合同价款的</w:t>
      </w:r>
      <w:r>
        <w:rPr>
          <w:rFonts w:hint="eastAsia"/>
          <w:sz w:val="24"/>
          <w:szCs w:val="24"/>
          <w:lang w:val="en-US" w:eastAsia="zh-CN"/>
        </w:rPr>
        <w:t>5</w:t>
      </w:r>
      <w:r>
        <w:rPr>
          <w:rFonts w:hint="eastAsia"/>
          <w:sz w:val="24"/>
          <w:szCs w:val="24"/>
        </w:rPr>
        <w:t>%赔偿损失。</w:t>
      </w:r>
    </w:p>
    <w:p w14:paraId="7DAA934C">
      <w:pPr>
        <w:spacing w:line="400" w:lineRule="exact"/>
        <w:ind w:firstLine="480" w:firstLineChars="200"/>
        <w:rPr>
          <w:rFonts w:hint="eastAsia"/>
          <w:sz w:val="24"/>
          <w:szCs w:val="24"/>
        </w:rPr>
      </w:pPr>
      <w:r>
        <w:rPr>
          <w:rFonts w:hint="eastAsia"/>
          <w:sz w:val="24"/>
          <w:szCs w:val="24"/>
          <w:lang w:val="en-US" w:eastAsia="zh-CN"/>
        </w:rPr>
        <w:t>6</w:t>
      </w:r>
      <w:r>
        <w:rPr>
          <w:sz w:val="24"/>
          <w:szCs w:val="24"/>
        </w:rPr>
        <w:t>.</w:t>
      </w:r>
      <w:r>
        <w:rPr>
          <w:rFonts w:hint="eastAsia"/>
          <w:sz w:val="24"/>
          <w:szCs w:val="24"/>
        </w:rPr>
        <w:t>2.</w:t>
      </w:r>
      <w:r>
        <w:rPr>
          <w:rFonts w:hint="eastAsia"/>
          <w:sz w:val="24"/>
          <w:szCs w:val="24"/>
          <w:lang w:val="en-US" w:eastAsia="zh-CN"/>
        </w:rPr>
        <w:t>3</w:t>
      </w:r>
      <w:r>
        <w:rPr>
          <w:rFonts w:hint="eastAsia"/>
          <w:sz w:val="24"/>
          <w:szCs w:val="24"/>
        </w:rPr>
        <w:t>乙方擅自转包本合同标的，甲方有权解除合同，并可要求乙方偿付合同价款20%的违约金。</w:t>
      </w:r>
    </w:p>
    <w:p w14:paraId="41378772">
      <w:pPr>
        <w:spacing w:line="400" w:lineRule="exact"/>
        <w:ind w:firstLine="482" w:firstLineChars="200"/>
        <w:rPr>
          <w:rFonts w:hint="eastAsia"/>
          <w:b/>
          <w:sz w:val="24"/>
          <w:szCs w:val="24"/>
        </w:rPr>
      </w:pPr>
      <w:r>
        <w:rPr>
          <w:rFonts w:hint="eastAsia"/>
          <w:b/>
          <w:sz w:val="24"/>
          <w:szCs w:val="24"/>
        </w:rPr>
        <w:t>第</w:t>
      </w:r>
      <w:r>
        <w:rPr>
          <w:rFonts w:hint="eastAsia"/>
          <w:b/>
          <w:sz w:val="24"/>
          <w:szCs w:val="24"/>
          <w:lang w:val="en-US" w:eastAsia="zh-CN"/>
        </w:rPr>
        <w:t>七</w:t>
      </w:r>
      <w:r>
        <w:rPr>
          <w:rFonts w:hint="eastAsia"/>
          <w:b/>
          <w:sz w:val="24"/>
          <w:szCs w:val="24"/>
        </w:rPr>
        <w:t>条  双方指定的联系人</w:t>
      </w:r>
    </w:p>
    <w:p w14:paraId="24A27A39">
      <w:pPr>
        <w:spacing w:line="400" w:lineRule="exact"/>
        <w:ind w:firstLine="480" w:firstLineChars="200"/>
        <w:rPr>
          <w:rFonts w:hint="eastAsia"/>
          <w:sz w:val="24"/>
          <w:szCs w:val="24"/>
        </w:rPr>
      </w:pPr>
      <w:r>
        <w:rPr>
          <w:rFonts w:hint="eastAsia"/>
          <w:sz w:val="24"/>
          <w:szCs w:val="24"/>
          <w:lang w:val="en-US" w:eastAsia="zh-CN"/>
        </w:rPr>
        <w:t>7</w:t>
      </w:r>
      <w:r>
        <w:rPr>
          <w:sz w:val="24"/>
          <w:szCs w:val="24"/>
        </w:rPr>
        <w:t>.1</w:t>
      </w:r>
      <w:r>
        <w:rPr>
          <w:rFonts w:hint="eastAsia"/>
          <w:sz w:val="24"/>
          <w:szCs w:val="24"/>
        </w:rPr>
        <w:t>双方确定，在本合同有效期内，甲方指定</w:t>
      </w:r>
      <w:r>
        <w:rPr>
          <w:rFonts w:hint="eastAsia"/>
          <w:sz w:val="24"/>
          <w:szCs w:val="24"/>
          <w:u w:val="single"/>
          <w:lang w:val="en-US" w:eastAsia="zh-CN"/>
        </w:rPr>
        <w:t>贾永飞</w:t>
      </w:r>
      <w:r>
        <w:rPr>
          <w:rFonts w:hint="eastAsia"/>
          <w:sz w:val="24"/>
          <w:szCs w:val="24"/>
        </w:rPr>
        <w:t>为甲方项目联系人，乙方指定</w:t>
      </w:r>
      <w:r>
        <w:rPr>
          <w:rFonts w:hint="eastAsia"/>
          <w:sz w:val="24"/>
          <w:szCs w:val="24"/>
          <w:u w:val="single"/>
        </w:rPr>
        <w:t xml:space="preserve"> </w:t>
      </w:r>
      <w:r>
        <w:rPr>
          <w:sz w:val="24"/>
          <w:szCs w:val="24"/>
          <w:u w:val="single"/>
        </w:rPr>
        <w:t xml:space="preserve">      </w:t>
      </w:r>
      <w:r>
        <w:rPr>
          <w:rFonts w:hint="eastAsia"/>
          <w:sz w:val="24"/>
          <w:szCs w:val="24"/>
          <w:u w:val="single"/>
          <w:lang w:val="en-US" w:eastAsia="zh-CN"/>
        </w:rPr>
        <w:t>某某某</w:t>
      </w:r>
      <w:r>
        <w:rPr>
          <w:rFonts w:hint="eastAsia"/>
          <w:sz w:val="24"/>
          <w:szCs w:val="24"/>
        </w:rPr>
        <w:t>为乙方项目联系人。一方变更项目联系人的，应当及时以书面形式通知另一方。未及时通知并影响本合同履行或造成损失的，应承担相应的责任。</w:t>
      </w:r>
    </w:p>
    <w:p w14:paraId="26430C23">
      <w:pPr>
        <w:pStyle w:val="31"/>
        <w:spacing w:before="0" w:beforeAutospacing="0" w:after="0" w:afterAutospacing="0" w:line="400" w:lineRule="exact"/>
        <w:ind w:firstLine="480" w:firstLineChars="200"/>
        <w:rPr>
          <w:rFonts w:hint="eastAsia" w:ascii="Times New Roman" w:hAnsi="Times New Roman"/>
          <w:kern w:val="2"/>
          <w:szCs w:val="24"/>
        </w:rPr>
      </w:pPr>
      <w:r>
        <w:rPr>
          <w:rFonts w:hint="eastAsia" w:ascii="Times New Roman" w:hAnsi="Times New Roman"/>
          <w:szCs w:val="24"/>
          <w:lang w:val="en-US" w:eastAsia="zh-CN"/>
        </w:rPr>
        <w:t>7</w:t>
      </w:r>
      <w:r>
        <w:rPr>
          <w:rFonts w:ascii="Times New Roman" w:hAnsi="Times New Roman"/>
          <w:szCs w:val="24"/>
        </w:rPr>
        <w:t>.2</w:t>
      </w:r>
      <w:r>
        <w:rPr>
          <w:rFonts w:hint="eastAsia" w:ascii="Times New Roman" w:hAnsi="Times New Roman"/>
          <w:kern w:val="2"/>
          <w:szCs w:val="24"/>
        </w:rPr>
        <w:t>项目联系人承担以下责任：</w:t>
      </w:r>
    </w:p>
    <w:p w14:paraId="02604FB2">
      <w:pPr>
        <w:pStyle w:val="31"/>
        <w:spacing w:before="0" w:beforeAutospacing="0" w:after="0" w:afterAutospacing="0" w:line="400" w:lineRule="exact"/>
        <w:ind w:firstLine="480" w:firstLineChars="200"/>
        <w:rPr>
          <w:rFonts w:hint="eastAsia" w:ascii="Times New Roman" w:hAnsi="Times New Roman"/>
          <w:kern w:val="2"/>
          <w:szCs w:val="24"/>
        </w:rPr>
      </w:pPr>
      <w:r>
        <w:rPr>
          <w:rFonts w:hint="eastAsia" w:ascii="Times New Roman" w:hAnsi="Times New Roman"/>
          <w:kern w:val="2"/>
          <w:szCs w:val="24"/>
          <w:lang w:val="en-US" w:eastAsia="zh-CN"/>
        </w:rPr>
        <w:t>7</w:t>
      </w:r>
      <w:r>
        <w:rPr>
          <w:rFonts w:ascii="Times New Roman" w:hAnsi="Times New Roman"/>
          <w:kern w:val="2"/>
          <w:szCs w:val="24"/>
        </w:rPr>
        <w:t>.</w:t>
      </w:r>
      <w:r>
        <w:rPr>
          <w:rFonts w:hint="eastAsia" w:ascii="Times New Roman" w:hAnsi="Times New Roman"/>
          <w:kern w:val="2"/>
          <w:szCs w:val="24"/>
        </w:rPr>
        <w:t>2</w:t>
      </w:r>
      <w:r>
        <w:rPr>
          <w:rFonts w:ascii="Times New Roman" w:hAnsi="Times New Roman"/>
          <w:kern w:val="2"/>
          <w:szCs w:val="24"/>
        </w:rPr>
        <w:t>.1</w:t>
      </w:r>
      <w:r>
        <w:rPr>
          <w:rFonts w:hint="eastAsia" w:ascii="Times New Roman" w:hAnsi="Times New Roman"/>
          <w:kern w:val="2"/>
          <w:szCs w:val="24"/>
        </w:rPr>
        <w:t>协调项目的进展；</w:t>
      </w:r>
    </w:p>
    <w:p w14:paraId="3A117B49">
      <w:pPr>
        <w:pStyle w:val="31"/>
        <w:spacing w:before="0" w:beforeAutospacing="0" w:after="0" w:afterAutospacing="0" w:line="400" w:lineRule="exact"/>
        <w:rPr>
          <w:rFonts w:hint="eastAsia" w:ascii="Times New Roman" w:hAnsi="Times New Roman"/>
          <w:kern w:val="2"/>
          <w:szCs w:val="24"/>
        </w:rPr>
      </w:pPr>
      <w:r>
        <w:rPr>
          <w:rFonts w:hint="eastAsia" w:ascii="Times New Roman" w:hAnsi="Times New Roman"/>
          <w:kern w:val="2"/>
          <w:szCs w:val="24"/>
        </w:rPr>
        <w:t xml:space="preserve">  </w:t>
      </w:r>
      <w:r>
        <w:rPr>
          <w:rFonts w:hint="eastAsia" w:ascii="Times New Roman" w:hAnsi="Times New Roman"/>
          <w:kern w:val="2"/>
          <w:szCs w:val="24"/>
          <w:lang w:val="en-US" w:eastAsia="zh-CN"/>
        </w:rPr>
        <w:t xml:space="preserve"> </w:t>
      </w:r>
      <w:r>
        <w:rPr>
          <w:rFonts w:hint="eastAsia" w:ascii="Times New Roman" w:hAnsi="Times New Roman"/>
          <w:kern w:val="2"/>
          <w:szCs w:val="24"/>
        </w:rPr>
        <w:t xml:space="preserve"> </w:t>
      </w:r>
      <w:r>
        <w:rPr>
          <w:rFonts w:hint="eastAsia" w:ascii="Times New Roman" w:hAnsi="Times New Roman"/>
          <w:kern w:val="2"/>
          <w:szCs w:val="24"/>
          <w:lang w:val="en-US" w:eastAsia="zh-CN"/>
        </w:rPr>
        <w:t>7</w:t>
      </w:r>
      <w:r>
        <w:rPr>
          <w:rFonts w:ascii="Times New Roman" w:hAnsi="Times New Roman"/>
          <w:kern w:val="2"/>
          <w:szCs w:val="24"/>
        </w:rPr>
        <w:t>.</w:t>
      </w:r>
      <w:r>
        <w:rPr>
          <w:rFonts w:hint="eastAsia" w:ascii="Times New Roman" w:hAnsi="Times New Roman"/>
          <w:kern w:val="2"/>
          <w:szCs w:val="24"/>
        </w:rPr>
        <w:t>2</w:t>
      </w:r>
      <w:r>
        <w:rPr>
          <w:rFonts w:ascii="Times New Roman" w:hAnsi="Times New Roman"/>
          <w:kern w:val="2"/>
          <w:szCs w:val="24"/>
        </w:rPr>
        <w:t>.2</w:t>
      </w:r>
      <w:r>
        <w:rPr>
          <w:rFonts w:hint="eastAsia" w:ascii="Times New Roman" w:hAnsi="Times New Roman"/>
          <w:kern w:val="2"/>
          <w:szCs w:val="24"/>
        </w:rPr>
        <w:t xml:space="preserve">沟通项目进行中出现的问题；                                              </w:t>
      </w:r>
    </w:p>
    <w:p w14:paraId="3298B86A">
      <w:pPr>
        <w:pStyle w:val="31"/>
        <w:spacing w:before="0" w:beforeAutospacing="0" w:after="0" w:afterAutospacing="0" w:line="400" w:lineRule="exact"/>
        <w:ind w:firstLine="480" w:firstLineChars="200"/>
        <w:rPr>
          <w:rFonts w:hint="eastAsia" w:ascii="Times New Roman" w:hAnsi="Times New Roman"/>
          <w:kern w:val="2"/>
          <w:szCs w:val="24"/>
        </w:rPr>
      </w:pPr>
      <w:r>
        <w:rPr>
          <w:rFonts w:hint="eastAsia" w:ascii="Times New Roman" w:hAnsi="Times New Roman"/>
          <w:kern w:val="2"/>
          <w:szCs w:val="24"/>
          <w:lang w:val="en-US" w:eastAsia="zh-CN"/>
        </w:rPr>
        <w:t>7</w:t>
      </w:r>
      <w:r>
        <w:rPr>
          <w:rFonts w:ascii="Times New Roman" w:hAnsi="Times New Roman"/>
          <w:kern w:val="2"/>
          <w:szCs w:val="24"/>
        </w:rPr>
        <w:t>.</w:t>
      </w:r>
      <w:r>
        <w:rPr>
          <w:rFonts w:hint="eastAsia" w:ascii="Times New Roman" w:hAnsi="Times New Roman"/>
          <w:kern w:val="2"/>
          <w:szCs w:val="24"/>
        </w:rPr>
        <w:t>2</w:t>
      </w:r>
      <w:r>
        <w:rPr>
          <w:rFonts w:ascii="Times New Roman" w:hAnsi="Times New Roman"/>
          <w:kern w:val="2"/>
          <w:szCs w:val="24"/>
        </w:rPr>
        <w:t>.3</w:t>
      </w:r>
      <w:r>
        <w:rPr>
          <w:rFonts w:hint="eastAsia" w:ascii="Times New Roman" w:hAnsi="Times New Roman"/>
          <w:kern w:val="2"/>
          <w:szCs w:val="24"/>
        </w:rPr>
        <w:t>甲方负责人承担考核乙方的</w:t>
      </w:r>
      <w:r>
        <w:rPr>
          <w:rFonts w:hint="eastAsia" w:ascii="Times New Roman" w:hAnsi="Times New Roman"/>
          <w:szCs w:val="24"/>
        </w:rPr>
        <w:t>技术服务</w:t>
      </w:r>
      <w:r>
        <w:rPr>
          <w:rFonts w:hint="eastAsia" w:ascii="Times New Roman" w:hAnsi="Times New Roman"/>
          <w:kern w:val="2"/>
          <w:szCs w:val="24"/>
        </w:rPr>
        <w:t xml:space="preserve">内容是否达到合同规定的要求；                 </w:t>
      </w:r>
    </w:p>
    <w:p w14:paraId="1BD6F997">
      <w:pPr>
        <w:widowControl/>
        <w:spacing w:line="400" w:lineRule="exact"/>
        <w:ind w:firstLine="480" w:firstLineChars="200"/>
        <w:jc w:val="left"/>
        <w:rPr>
          <w:rFonts w:hint="eastAsia"/>
          <w:b/>
          <w:bCs/>
          <w:kern w:val="0"/>
          <w:sz w:val="24"/>
          <w:szCs w:val="24"/>
          <w:highlight w:val="none"/>
        </w:rPr>
      </w:pPr>
      <w:r>
        <w:rPr>
          <w:rFonts w:hint="eastAsia"/>
          <w:sz w:val="24"/>
          <w:szCs w:val="24"/>
          <w:lang w:val="en-US" w:eastAsia="zh-CN"/>
        </w:rPr>
        <w:t>7</w:t>
      </w:r>
      <w:r>
        <w:rPr>
          <w:sz w:val="24"/>
          <w:szCs w:val="24"/>
        </w:rPr>
        <w:t>.</w:t>
      </w:r>
      <w:r>
        <w:rPr>
          <w:rFonts w:hint="eastAsia"/>
          <w:sz w:val="24"/>
          <w:szCs w:val="24"/>
        </w:rPr>
        <w:t>2</w:t>
      </w:r>
      <w:r>
        <w:rPr>
          <w:sz w:val="24"/>
          <w:szCs w:val="24"/>
        </w:rPr>
        <w:t>.4</w:t>
      </w:r>
      <w:r>
        <w:rPr>
          <w:rFonts w:hint="eastAsia"/>
          <w:sz w:val="24"/>
          <w:szCs w:val="24"/>
        </w:rPr>
        <w:t>乙方负责人承担组织合同内容的具体实施。</w:t>
      </w:r>
    </w:p>
    <w:p w14:paraId="428EBF0D">
      <w:pPr>
        <w:widowControl/>
        <w:spacing w:line="400" w:lineRule="exact"/>
        <w:ind w:firstLine="482" w:firstLineChars="200"/>
        <w:jc w:val="left"/>
        <w:rPr>
          <w:rFonts w:hint="eastAsia"/>
          <w:kern w:val="0"/>
          <w:sz w:val="24"/>
          <w:szCs w:val="24"/>
          <w:highlight w:val="none"/>
        </w:rPr>
      </w:pPr>
      <w:r>
        <w:rPr>
          <w:rFonts w:hint="eastAsia"/>
          <w:b/>
          <w:bCs/>
          <w:kern w:val="0"/>
          <w:sz w:val="24"/>
          <w:szCs w:val="24"/>
          <w:highlight w:val="none"/>
        </w:rPr>
        <w:t>第</w:t>
      </w:r>
      <w:r>
        <w:rPr>
          <w:rFonts w:hint="eastAsia"/>
          <w:b/>
          <w:bCs/>
          <w:kern w:val="0"/>
          <w:sz w:val="24"/>
          <w:szCs w:val="24"/>
          <w:highlight w:val="none"/>
          <w:lang w:val="en-US" w:eastAsia="zh-CN"/>
        </w:rPr>
        <w:t>八</w:t>
      </w:r>
      <w:r>
        <w:rPr>
          <w:rFonts w:hint="eastAsia"/>
          <w:b/>
          <w:bCs/>
          <w:kern w:val="0"/>
          <w:sz w:val="24"/>
          <w:szCs w:val="24"/>
          <w:highlight w:val="none"/>
        </w:rPr>
        <w:t>条　争议解决</w:t>
      </w:r>
    </w:p>
    <w:p w14:paraId="1CFE33B8">
      <w:pPr>
        <w:widowControl/>
        <w:spacing w:line="400" w:lineRule="exact"/>
        <w:ind w:firstLine="480" w:firstLineChars="200"/>
        <w:jc w:val="left"/>
        <w:rPr>
          <w:rFonts w:hint="eastAsia"/>
          <w:kern w:val="0"/>
          <w:sz w:val="24"/>
          <w:szCs w:val="24"/>
          <w:highlight w:val="none"/>
        </w:rPr>
      </w:pPr>
      <w:r>
        <w:rPr>
          <w:rFonts w:hint="eastAsia"/>
          <w:kern w:val="0"/>
          <w:sz w:val="24"/>
          <w:szCs w:val="24"/>
          <w:highlight w:val="none"/>
          <w:lang w:val="en-US" w:eastAsia="zh-CN"/>
        </w:rPr>
        <w:t>8.1</w:t>
      </w:r>
      <w:r>
        <w:rPr>
          <w:rFonts w:hint="eastAsia"/>
          <w:kern w:val="0"/>
          <w:sz w:val="24"/>
          <w:szCs w:val="24"/>
          <w:highlight w:val="none"/>
        </w:rPr>
        <w:t>本合同在履行过程中发生的争议，由双方当事人协商解决，</w:t>
      </w:r>
      <w:r>
        <w:rPr>
          <w:rFonts w:hint="eastAsia"/>
          <w:sz w:val="24"/>
          <w:szCs w:val="24"/>
          <w:highlight w:val="none"/>
        </w:rPr>
        <w:t>协商不成的由运城仲裁委员会仲裁</w:t>
      </w:r>
      <w:r>
        <w:rPr>
          <w:rFonts w:hint="eastAsia"/>
          <w:kern w:val="0"/>
          <w:sz w:val="24"/>
          <w:szCs w:val="24"/>
          <w:highlight w:val="none"/>
        </w:rPr>
        <w:t>。</w:t>
      </w:r>
    </w:p>
    <w:p w14:paraId="5BC8941F">
      <w:pPr>
        <w:widowControl/>
        <w:spacing w:line="400" w:lineRule="exact"/>
        <w:ind w:firstLine="482" w:firstLineChars="200"/>
        <w:jc w:val="left"/>
        <w:rPr>
          <w:rFonts w:hint="eastAsia"/>
          <w:kern w:val="0"/>
          <w:sz w:val="24"/>
          <w:szCs w:val="24"/>
          <w:highlight w:val="none"/>
        </w:rPr>
      </w:pPr>
      <w:r>
        <w:rPr>
          <w:rFonts w:hint="eastAsia"/>
          <w:b/>
          <w:bCs/>
          <w:kern w:val="0"/>
          <w:sz w:val="24"/>
          <w:szCs w:val="24"/>
          <w:highlight w:val="none"/>
        </w:rPr>
        <w:t>第</w:t>
      </w:r>
      <w:r>
        <w:rPr>
          <w:rFonts w:hint="eastAsia"/>
          <w:b/>
          <w:bCs/>
          <w:kern w:val="0"/>
          <w:sz w:val="24"/>
          <w:szCs w:val="24"/>
          <w:highlight w:val="none"/>
          <w:lang w:val="en-US" w:eastAsia="zh-CN"/>
        </w:rPr>
        <w:t>九</w:t>
      </w:r>
      <w:r>
        <w:rPr>
          <w:rFonts w:hint="eastAsia"/>
          <w:b/>
          <w:bCs/>
          <w:kern w:val="0"/>
          <w:sz w:val="24"/>
          <w:szCs w:val="24"/>
          <w:highlight w:val="none"/>
        </w:rPr>
        <w:t>条  合同生效及其它</w:t>
      </w:r>
    </w:p>
    <w:p w14:paraId="0AE47C1C">
      <w:pPr>
        <w:widowControl/>
        <w:ind w:firstLine="480" w:firstLineChars="200"/>
        <w:jc w:val="left"/>
        <w:rPr>
          <w:rFonts w:hint="eastAsia"/>
          <w:sz w:val="24"/>
          <w:szCs w:val="24"/>
        </w:rPr>
      </w:pPr>
      <w:r>
        <w:rPr>
          <w:rFonts w:hint="eastAsia"/>
          <w:sz w:val="24"/>
          <w:szCs w:val="24"/>
          <w:lang w:val="en-US" w:eastAsia="zh-CN"/>
        </w:rPr>
        <w:t>9</w:t>
      </w:r>
      <w:r>
        <w:rPr>
          <w:rFonts w:hint="eastAsia"/>
          <w:sz w:val="24"/>
          <w:szCs w:val="24"/>
        </w:rPr>
        <w:t>.1本合同自双方法定代表人或授权代表签字或盖章并加盖合同专用章或公章之后生效。</w:t>
      </w:r>
    </w:p>
    <w:p w14:paraId="47AB9D71">
      <w:pPr>
        <w:widowControl/>
        <w:ind w:firstLine="480" w:firstLineChars="200"/>
        <w:jc w:val="left"/>
        <w:rPr>
          <w:rFonts w:hint="eastAsia"/>
          <w:sz w:val="24"/>
          <w:szCs w:val="24"/>
        </w:rPr>
      </w:pPr>
      <w:r>
        <w:rPr>
          <w:rFonts w:hint="eastAsia"/>
          <w:sz w:val="24"/>
          <w:szCs w:val="24"/>
          <w:lang w:val="en-US" w:eastAsia="zh-CN"/>
        </w:rPr>
        <w:t>9</w:t>
      </w:r>
      <w:r>
        <w:rPr>
          <w:rFonts w:hint="eastAsia"/>
          <w:sz w:val="24"/>
          <w:szCs w:val="24"/>
        </w:rPr>
        <w:t>.2双方认可的来往传真、公文、会议纪要等，均为合同的组成部分，与本合同具有同等法律效力。</w:t>
      </w:r>
    </w:p>
    <w:p w14:paraId="27C044F5">
      <w:pPr>
        <w:widowControl/>
        <w:ind w:firstLine="480" w:firstLineChars="200"/>
        <w:jc w:val="left"/>
        <w:rPr>
          <w:rFonts w:hint="eastAsia"/>
          <w:sz w:val="24"/>
          <w:szCs w:val="24"/>
        </w:rPr>
      </w:pPr>
      <w:r>
        <w:rPr>
          <w:rFonts w:hint="eastAsia"/>
          <w:sz w:val="24"/>
          <w:szCs w:val="24"/>
          <w:lang w:val="en-US" w:eastAsia="zh-CN"/>
        </w:rPr>
        <w:t>9</w:t>
      </w:r>
      <w:r>
        <w:rPr>
          <w:rFonts w:hint="eastAsia"/>
          <w:sz w:val="24"/>
          <w:szCs w:val="24"/>
        </w:rPr>
        <w:t>.3本合同未尽事宜，双方可另达成补充协议，补充协议与本合同效力相同。</w:t>
      </w:r>
    </w:p>
    <w:p w14:paraId="02C3780F">
      <w:pPr>
        <w:widowControl/>
        <w:ind w:firstLine="480" w:firstLineChars="200"/>
        <w:jc w:val="left"/>
        <w:rPr>
          <w:rFonts w:hint="eastAsia"/>
          <w:sz w:val="24"/>
          <w:szCs w:val="24"/>
        </w:rPr>
      </w:pPr>
      <w:r>
        <w:rPr>
          <w:rFonts w:hint="eastAsia"/>
          <w:sz w:val="24"/>
          <w:szCs w:val="24"/>
          <w:lang w:val="en-US" w:eastAsia="zh-CN"/>
        </w:rPr>
        <w:t>9</w:t>
      </w:r>
      <w:r>
        <w:rPr>
          <w:rFonts w:hint="eastAsia"/>
          <w:sz w:val="24"/>
          <w:szCs w:val="24"/>
        </w:rPr>
        <w:t>.4本合同的附件及补充协议是本合同组成部分，与本合同具有同等法律效力。</w:t>
      </w:r>
    </w:p>
    <w:p w14:paraId="6D165E03">
      <w:pPr>
        <w:widowControl/>
        <w:ind w:firstLine="480" w:firstLineChars="200"/>
        <w:jc w:val="left"/>
        <w:rPr>
          <w:rFonts w:hint="eastAsia"/>
          <w:sz w:val="24"/>
          <w:szCs w:val="24"/>
        </w:rPr>
      </w:pPr>
      <w:r>
        <w:rPr>
          <w:rFonts w:hint="eastAsia"/>
          <w:sz w:val="24"/>
          <w:szCs w:val="24"/>
          <w:lang w:val="en-US" w:eastAsia="zh-CN"/>
        </w:rPr>
        <w:t>9</w:t>
      </w:r>
      <w:r>
        <w:rPr>
          <w:rFonts w:hint="eastAsia"/>
          <w:sz w:val="24"/>
          <w:szCs w:val="24"/>
        </w:rPr>
        <w:t>.5本合同一式八份，具有同等法律效力，甲方持五份，乙方持三份。</w:t>
      </w:r>
    </w:p>
    <w:p w14:paraId="2A0CC64A">
      <w:pPr>
        <w:spacing w:line="540" w:lineRule="exact"/>
        <w:jc w:val="center"/>
        <w:rPr>
          <w:highlight w:val="none"/>
        </w:rPr>
      </w:pPr>
    </w:p>
    <w:p w14:paraId="789CE47B">
      <w:pPr>
        <w:rPr>
          <w:rFonts w:hint="eastAsia"/>
          <w:color w:val="000000"/>
          <w:sz w:val="21"/>
          <w:szCs w:val="21"/>
        </w:rPr>
      </w:pPr>
    </w:p>
    <w:p w14:paraId="3EF84BA4">
      <w:pPr>
        <w:rPr>
          <w:rFonts w:hint="eastAsia"/>
          <w:color w:val="000000"/>
          <w:sz w:val="21"/>
          <w:szCs w:val="21"/>
        </w:rPr>
      </w:pPr>
    </w:p>
    <w:p w14:paraId="47C7D7D1">
      <w:pPr>
        <w:rPr>
          <w:rFonts w:hint="eastAsia"/>
          <w:color w:val="000000"/>
          <w:sz w:val="21"/>
          <w:szCs w:val="21"/>
        </w:rPr>
      </w:pPr>
    </w:p>
    <w:p w14:paraId="0314E363">
      <w:pPr>
        <w:rPr>
          <w:rFonts w:hint="eastAsia"/>
          <w:color w:val="000000"/>
          <w:sz w:val="21"/>
          <w:szCs w:val="21"/>
        </w:rPr>
      </w:pPr>
    </w:p>
    <w:p w14:paraId="04535E68">
      <w:pPr>
        <w:rPr>
          <w:rFonts w:hint="eastAsia"/>
          <w:color w:val="000000"/>
          <w:sz w:val="21"/>
          <w:szCs w:val="21"/>
        </w:rPr>
      </w:pPr>
    </w:p>
    <w:p w14:paraId="34244678">
      <w:pPr>
        <w:ind w:firstLine="2160" w:firstLineChars="600"/>
        <w:rPr>
          <w:rFonts w:ascii="Times New Roman" w:hAnsi="Times New Roman" w:eastAsia="方正小标宋简体" w:cs="Times New Roman"/>
          <w:color w:val="000000"/>
          <w:sz w:val="36"/>
          <w:szCs w:val="36"/>
        </w:rPr>
      </w:pPr>
      <w:bookmarkStart w:id="33" w:name="_Toc55480655"/>
      <w:bookmarkStart w:id="57" w:name="_GoBack"/>
      <w:bookmarkEnd w:id="57"/>
      <w:r>
        <w:rPr>
          <w:rFonts w:ascii="Times New Roman" w:hAnsi="Times New Roman" w:eastAsia="方正小标宋简体" w:cs="Times New Roman"/>
          <w:color w:val="000000"/>
          <w:sz w:val="36"/>
          <w:szCs w:val="36"/>
        </w:rPr>
        <w:t>供需双方廉洁互保协议</w:t>
      </w:r>
      <w:bookmarkEnd w:id="33"/>
    </w:p>
    <w:p w14:paraId="76FA6148">
      <w:pPr>
        <w:spacing w:line="560" w:lineRule="exact"/>
        <w:rPr>
          <w:rFonts w:ascii="Times New Roman" w:hAnsi="Times New Roman" w:cs="Times New Roman"/>
          <w:color w:val="000000"/>
          <w:sz w:val="30"/>
          <w:szCs w:val="30"/>
        </w:rPr>
      </w:pPr>
    </w:p>
    <w:p w14:paraId="7FFC42DC">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甲方：</w:t>
      </w:r>
    </w:p>
    <w:p w14:paraId="0D03095D">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乙方：</w:t>
      </w:r>
    </w:p>
    <w:p w14:paraId="3B70AE1F">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为规范双方业务往来活动，建立诚实守信的商务合作关系，共同维护双方合法权益，防止违规违纪行为发生，经友好协商，双方就业务往来中的廉洁事宜达成此互保协议。</w:t>
      </w:r>
    </w:p>
    <w:p w14:paraId="2163BFE7">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第一条</w:t>
      </w:r>
      <w:r>
        <w:rPr>
          <w:rFonts w:ascii="Times New Roman" w:hAnsi="Times New Roman" w:eastAsia="方正仿宋简体" w:cs="Times New Roman"/>
          <w:color w:val="000000"/>
          <w:sz w:val="30"/>
          <w:szCs w:val="30"/>
        </w:rPr>
        <w:t xml:space="preserve">  甲乙双方共同的权利和义务</w:t>
      </w:r>
    </w:p>
    <w:p w14:paraId="193C095C">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1.严格遵守国家有关法律法规，坚持诚实守信原则，恪守商业道德，规范商务人员廉洁从业行为。</w:t>
      </w:r>
    </w:p>
    <w:p w14:paraId="0B468556">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2.双方业务活动坚持公开、公正、诚信、透明的原则（商业秘密和合同文件另有规定的除外），不得损害国家和对方利益。</w:t>
      </w:r>
    </w:p>
    <w:p w14:paraId="29DFDAC0">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3.发现对方工作人员在业务活动中有违反廉洁规定的行为，有及时要求对方纠正并向对方举报的权利和义务；涉嫌违法的，可以依法向有关部门举报。</w:t>
      </w:r>
    </w:p>
    <w:p w14:paraId="14035DA5">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4.对涉嫌不廉洁的商业行为进行调查时，双方有相互配合、提供证据、作证的义务。</w:t>
      </w:r>
    </w:p>
    <w:p w14:paraId="3A9E0C2F">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w:t>
      </w:r>
      <w:r>
        <w:rPr>
          <w:rFonts w:ascii="Times New Roman" w:hAnsi="Times New Roman" w:eastAsia="方正仿宋简体" w:cs="Times New Roman"/>
          <w:color w:val="000000"/>
          <w:sz w:val="30"/>
          <w:szCs w:val="30"/>
          <w:lang w:bidi="ar"/>
        </w:rPr>
        <w:t>未经对方同意，不向任何新闻媒体、第三人述及有关对方工作人员恪守商业道德方面的评价、信息。</w:t>
      </w:r>
    </w:p>
    <w:p w14:paraId="69B9425D">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6.双方应依法保护举报人员，不得以任何方式对举报人员进行打击报复。 </w:t>
      </w:r>
    </w:p>
    <w:p w14:paraId="2E10C68C">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第二条</w:t>
      </w:r>
      <w:r>
        <w:rPr>
          <w:rFonts w:ascii="Times New Roman" w:hAnsi="Times New Roman" w:eastAsia="方正仿宋简体" w:cs="Times New Roman"/>
          <w:color w:val="000000"/>
          <w:sz w:val="30"/>
          <w:szCs w:val="30"/>
        </w:rPr>
        <w:t xml:space="preserve">  甲方的廉洁责任</w:t>
      </w:r>
    </w:p>
    <w:p w14:paraId="6D757F39">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1.甲方工作人员不得以任何形式索要或接受乙方的礼金、礼品和有价证券，不得在乙方报销任何应由个人支付的各种费用。</w:t>
      </w:r>
    </w:p>
    <w:p w14:paraId="7AED8CBF">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2.甲方工作人员不得私自参加乙方安排的宴请，不得私自接受乙方提供的通讯、交通工具和办公用品，不得向乙方泄露谈判中的商业秘密。</w:t>
      </w:r>
    </w:p>
    <w:p w14:paraId="55CC2B4C">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3.甲方工作人员不得要求或者接受乙方以住房装修、婚丧嫁娶、家属及其他亲属的工作安排、出国出境、旅游等为理由所提供的方便。</w:t>
      </w:r>
    </w:p>
    <w:p w14:paraId="2755C4DF">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4.甲方工作人员不得以任何理由向乙方推荐物资供应单位、工程承包或劳务分包单位，合同另有约定除外。</w:t>
      </w:r>
    </w:p>
    <w:p w14:paraId="22B07562">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第三条</w:t>
      </w:r>
      <w:r>
        <w:rPr>
          <w:rFonts w:ascii="Times New Roman" w:hAnsi="Times New Roman" w:eastAsia="方正仿宋简体" w:cs="Times New Roman"/>
          <w:color w:val="000000"/>
          <w:sz w:val="30"/>
          <w:szCs w:val="30"/>
        </w:rPr>
        <w:t xml:space="preserve">  乙方的廉洁责任</w:t>
      </w:r>
    </w:p>
    <w:p w14:paraId="1A3F72ED">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1.乙方及其工作人员不得为甲方工作人员提供回扣、礼金、有价证券、贵重物品和报销个人费用。</w:t>
      </w:r>
    </w:p>
    <w:p w14:paraId="615C8A0A">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2.乙方及其工作人员不得为甲方工作人员安排有可能影响公平、公正交易的宴请、健身、娱乐等活动。</w:t>
      </w:r>
    </w:p>
    <w:p w14:paraId="32A65C2C">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3.乙方及其工作人员不得为甲方工作人员投资入股、个人借款或买卖股票、债券等提供方便。</w:t>
      </w:r>
    </w:p>
    <w:p w14:paraId="43D403A3">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4.乙方及其工作人员不得为甲方工作人员购买或装修住房、婚丧嫁娶、配偶子女上学或工作安排以及出国出境、旅游等提供方便。</w:t>
      </w:r>
    </w:p>
    <w:p w14:paraId="36C58943">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5.乙方及其工作人员不得为甲方工作人员在其相关企业挂名兼职、合伙经营、介绍承揽业务等提供方便。</w:t>
      </w:r>
    </w:p>
    <w:p w14:paraId="4ACF060B">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lang w:bidi="ar"/>
        </w:rPr>
        <w:t xml:space="preserve">6.乙方及其工作人员不得利用非法手段向甲方工作人员打探有关涉及甲方的商业秘密、业务渠道等。 </w:t>
      </w:r>
    </w:p>
    <w:p w14:paraId="6C83DABF">
      <w:pPr>
        <w:widowControl/>
        <w:spacing w:line="55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lang w:bidi="ar"/>
        </w:rPr>
        <w:t>7.乙方及其工作人员与甲方发生业务往来过程中，不得有弄虚作假、以次充好、虚结虚算等违反诚信原则的行为。</w:t>
      </w:r>
    </w:p>
    <w:p w14:paraId="0228EA64">
      <w:pPr>
        <w:widowControl/>
        <w:spacing w:line="550" w:lineRule="exact"/>
        <w:ind w:firstLine="600" w:firstLineChars="200"/>
        <w:jc w:val="left"/>
        <w:rPr>
          <w:rFonts w:ascii="Times New Roman" w:hAnsi="Times New Roman" w:eastAsia="方正仿宋简体" w:cs="Times New Roman"/>
          <w:color w:val="000000"/>
          <w:sz w:val="30"/>
          <w:szCs w:val="30"/>
          <w:lang w:bidi="ar"/>
        </w:rPr>
      </w:pPr>
      <w:r>
        <w:rPr>
          <w:rFonts w:ascii="Times New Roman" w:hAnsi="Times New Roman" w:eastAsia="方正仿宋简体" w:cs="Times New Roman"/>
          <w:color w:val="000000"/>
          <w:sz w:val="30"/>
          <w:szCs w:val="30"/>
          <w:lang w:bidi="ar"/>
        </w:rPr>
        <w:t>8.其它违反廉洁规定的行为。</w:t>
      </w:r>
    </w:p>
    <w:p w14:paraId="32642B18">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第四条</w:t>
      </w:r>
      <w:r>
        <w:rPr>
          <w:rFonts w:ascii="Times New Roman" w:hAnsi="Times New Roman" w:eastAsia="方正仿宋简体" w:cs="Times New Roman"/>
          <w:color w:val="000000"/>
          <w:sz w:val="30"/>
          <w:szCs w:val="30"/>
        </w:rPr>
        <w:t xml:space="preserve">  甲方工作人员有违反本协议行为的，甲方应按照管理权限，依据有关规定给予纪律处分、组织处理或经济处罚；涉嫌犯罪的，移交司法机关追究法律责任。</w:t>
      </w:r>
    </w:p>
    <w:p w14:paraId="4C799239">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第五条</w:t>
      </w:r>
      <w:r>
        <w:rPr>
          <w:rFonts w:ascii="Times New Roman" w:hAnsi="Times New Roman" w:eastAsia="方正仿宋简体" w:cs="Times New Roman"/>
          <w:color w:val="000000"/>
          <w:sz w:val="30"/>
          <w:szCs w:val="30"/>
        </w:rPr>
        <w:t xml:space="preserve">  乙方及其工作人员有违反本协议行为的，甲方有权根据情节和所造成的影响采取以下</w:t>
      </w:r>
      <w:r>
        <w:rPr>
          <w:rFonts w:ascii="Times New Roman" w:hAnsi="Times New Roman" w:eastAsia="方正仿宋简体" w:cs="Times New Roman"/>
          <w:color w:val="000000"/>
          <w:sz w:val="30"/>
          <w:szCs w:val="30"/>
          <w:lang w:eastAsia="zh-Hans"/>
        </w:rPr>
        <w:t>一种或多种处理</w:t>
      </w:r>
      <w:r>
        <w:rPr>
          <w:rFonts w:ascii="Times New Roman" w:hAnsi="Times New Roman" w:eastAsia="方正仿宋简体" w:cs="Times New Roman"/>
          <w:color w:val="000000"/>
          <w:sz w:val="30"/>
          <w:szCs w:val="30"/>
        </w:rPr>
        <w:t>措施：</w:t>
      </w:r>
    </w:p>
    <w:p w14:paraId="1FFE1CF3">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1.情节轻微的，要求乙方对相关工作人员进行处分处理，并限期整改；</w:t>
      </w:r>
    </w:p>
    <w:p w14:paraId="38A76E06">
      <w:pPr>
        <w:spacing w:line="550" w:lineRule="exact"/>
        <w:ind w:firstLine="600" w:firstLineChars="200"/>
        <w:rPr>
          <w:rFonts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rPr>
        <w:t>2.导致甲方工作人员受到纪律处分、组织处理或构成违法犯罪的，符合约定条件的应扣罚乙方合同金额</w:t>
      </w:r>
      <w:r>
        <w:rPr>
          <w:rFonts w:hint="eastAsia" w:ascii="Times New Roman" w:hAnsi="Times New Roman" w:eastAsia="方正仿宋简体" w:cs="Times New Roman"/>
          <w:color w:val="000000"/>
          <w:sz w:val="30"/>
          <w:szCs w:val="30"/>
          <w:highlight w:val="none"/>
          <w:lang w:val="en-US" w:eastAsia="zh-CN"/>
        </w:rPr>
        <w:t>20</w:t>
      </w:r>
      <w:r>
        <w:rPr>
          <w:rFonts w:ascii="Times New Roman" w:hAnsi="Times New Roman" w:eastAsia="方正仿宋简体" w:cs="Times New Roman"/>
          <w:color w:val="000000"/>
          <w:sz w:val="30"/>
          <w:szCs w:val="30"/>
          <w:highlight w:val="none"/>
        </w:rPr>
        <w:t>%</w:t>
      </w:r>
      <w:r>
        <w:rPr>
          <w:rFonts w:hint="eastAsia" w:ascii="Times New Roman" w:hAnsi="Times New Roman" w:eastAsia="方正仿宋简体" w:cs="Times New Roman"/>
          <w:color w:val="000000"/>
          <w:sz w:val="30"/>
          <w:szCs w:val="30"/>
          <w:highlight w:val="none"/>
          <w:lang w:eastAsia="zh-Hans"/>
        </w:rPr>
        <w:t>作为</w:t>
      </w:r>
      <w:r>
        <w:rPr>
          <w:rFonts w:hint="eastAsia" w:ascii="Times New Roman" w:hAnsi="Times New Roman" w:eastAsia="方正仿宋简体" w:cs="Times New Roman"/>
          <w:color w:val="000000"/>
          <w:sz w:val="30"/>
          <w:szCs w:val="30"/>
          <w:highlight w:val="none"/>
        </w:rPr>
        <w:t>违约金，列入供应商黑名单；</w:t>
      </w:r>
    </w:p>
    <w:p w14:paraId="4D5C4BA2">
      <w:pPr>
        <w:spacing w:line="55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3.给甲方造成重大社会影响或重大经济损失的，甲方有权解除、终止双方尚未履行完毕的</w:t>
      </w:r>
      <w:r>
        <w:rPr>
          <w:rFonts w:ascii="Times New Roman" w:hAnsi="Times New Roman" w:eastAsia="方正仿宋简体" w:cs="Times New Roman"/>
          <w:color w:val="000000"/>
          <w:sz w:val="30"/>
          <w:szCs w:val="30"/>
          <w:lang w:eastAsia="zh-Hans"/>
        </w:rPr>
        <w:t>所有</w:t>
      </w:r>
      <w:r>
        <w:rPr>
          <w:rFonts w:ascii="Times New Roman" w:hAnsi="Times New Roman" w:eastAsia="方正仿宋简体" w:cs="Times New Roman"/>
          <w:color w:val="000000"/>
          <w:sz w:val="30"/>
          <w:szCs w:val="30"/>
        </w:rPr>
        <w:t>业务合同，暂停支付合同未结算款项，甲方遭受的损失由乙方负责赔偿，乙方因甲方解除合同产生的损失由乙方自行承担，列入供应商黑名单。</w:t>
      </w:r>
    </w:p>
    <w:p w14:paraId="4C1ADC5A">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第六条</w:t>
      </w:r>
      <w:r>
        <w:rPr>
          <w:rFonts w:ascii="Times New Roman" w:hAnsi="Times New Roman" w:eastAsia="方正仿宋简体" w:cs="Times New Roman"/>
          <w:color w:val="000000"/>
          <w:sz w:val="30"/>
          <w:szCs w:val="30"/>
        </w:rPr>
        <w:t xml:space="preserve">  本协议作为双方签订的所有业务合同的组成部分，与业务合同具有同等法律效力。</w:t>
      </w:r>
    </w:p>
    <w:p w14:paraId="210E6429">
      <w:pPr>
        <w:spacing w:line="55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第七条</w:t>
      </w:r>
      <w:r>
        <w:rPr>
          <w:rFonts w:ascii="Times New Roman" w:hAnsi="Times New Roman" w:eastAsia="方正仿宋简体" w:cs="Times New Roman"/>
          <w:color w:val="000000"/>
          <w:sz w:val="30"/>
          <w:szCs w:val="30"/>
        </w:rPr>
        <w:t xml:space="preserve">  本协议自双方法定代表人或其授权代表签署并加盖合同章或公章后生效，有效期与合同履约期一致。</w:t>
      </w:r>
    </w:p>
    <w:p w14:paraId="0BDC1E48">
      <w:pPr>
        <w:spacing w:line="560" w:lineRule="exact"/>
        <w:ind w:firstLine="600" w:firstLineChars="200"/>
        <w:rPr>
          <w:rFonts w:ascii="Times New Roman" w:hAnsi="Times New Roman" w:eastAsia="方正仿宋简体" w:cs="Times New Roman"/>
          <w:color w:val="000000"/>
          <w:sz w:val="30"/>
          <w:szCs w:val="30"/>
        </w:rPr>
      </w:pPr>
    </w:p>
    <w:p w14:paraId="126A6D93">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甲方（盖章） ：              乙方（盖章）：</w:t>
      </w:r>
    </w:p>
    <w:p w14:paraId="4815C05D">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lang w:val="en-US" w:eastAsia="zh-CN"/>
        </w:rPr>
        <w:t>甲方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lang w:val="en-US" w:eastAsia="zh-CN"/>
        </w:rPr>
        <w:t>名</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lang w:val="en-US" w:eastAsia="zh-CN"/>
        </w:rPr>
        <w:t xml:space="preserve">     </w:t>
      </w: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lang w:val="en-US" w:eastAsia="zh-CN"/>
        </w:rPr>
        <w:t>乙方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lang w:val="en-US" w:eastAsia="zh-CN"/>
        </w:rPr>
        <w:t>名</w:t>
      </w:r>
      <w:r>
        <w:rPr>
          <w:rFonts w:ascii="Times New Roman" w:hAnsi="Times New Roman" w:eastAsia="方正仿宋简体" w:cs="Times New Roman"/>
          <w:color w:val="000000"/>
          <w:sz w:val="30"/>
          <w:szCs w:val="30"/>
        </w:rPr>
        <w:t>）：</w:t>
      </w:r>
    </w:p>
    <w:p w14:paraId="7B51AF3A">
      <w:pPr>
        <w:spacing w:line="560" w:lineRule="exact"/>
        <w:ind w:left="5844" w:leftChars="290"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地址：                       地址：</w:t>
      </w:r>
    </w:p>
    <w:p w14:paraId="21B8D802">
      <w:pPr>
        <w:spacing w:line="560" w:lineRule="exact"/>
        <w:ind w:left="5844" w:leftChars="290" w:hanging="5235" w:hangingChars="1745"/>
      </w:pPr>
      <w:r>
        <w:rPr>
          <w:rFonts w:ascii="Times New Roman" w:hAnsi="Times New Roman" w:eastAsia="方正仿宋简体" w:cs="Times New Roman"/>
          <w:color w:val="000000"/>
          <w:sz w:val="30"/>
          <w:szCs w:val="30"/>
        </w:rPr>
        <w:t>电话：                       电话：</w:t>
      </w:r>
    </w:p>
    <w:p w14:paraId="365CA8B5">
      <w:pPr>
        <w:rPr>
          <w:rFonts w:hint="eastAsia" w:ascii="仿宋" w:hAnsi="仿宋" w:eastAsia="仿宋" w:cs="仿宋"/>
          <w:color w:val="000000"/>
          <w:sz w:val="30"/>
          <w:szCs w:val="30"/>
        </w:rPr>
      </w:pPr>
    </w:p>
    <w:p w14:paraId="48D75FB7">
      <w:pPr>
        <w:spacing w:line="600" w:lineRule="exact"/>
        <w:ind w:firstLine="4258" w:firstLineChars="2028"/>
        <w:jc w:val="right"/>
        <w:rPr>
          <w:rFonts w:ascii="Times New Roman" w:hAnsi="Times New Roman"/>
          <w:b/>
          <w:bCs/>
          <w:sz w:val="44"/>
          <w:szCs w:val="44"/>
        </w:rPr>
      </w:pPr>
      <w:r>
        <w:rPr>
          <w:color w:val="000000"/>
        </w:rPr>
        <w:br w:type="page"/>
      </w:r>
      <w:bookmarkStart w:id="34" w:name="_Toc179632787"/>
      <w:bookmarkStart w:id="35" w:name="_Toc246996338"/>
      <w:bookmarkStart w:id="36" w:name="_Toc246997081"/>
      <w:bookmarkStart w:id="37" w:name="_Toc247085853"/>
      <w:bookmarkStart w:id="38" w:name="_Toc300835199"/>
      <w:bookmarkStart w:id="39" w:name="_Toc152042388"/>
      <w:bookmarkStart w:id="40" w:name="_Toc152042549"/>
      <w:bookmarkStart w:id="41" w:name="_Toc144974829"/>
      <w:bookmarkStart w:id="42" w:name="_Toc144974578"/>
      <w:bookmarkStart w:id="43" w:name="_Toc184635122"/>
      <w:bookmarkStart w:id="44" w:name="_Toc247527798"/>
      <w:bookmarkStart w:id="45" w:name="_Toc247514197"/>
      <w:bookmarkStart w:id="46" w:name="_Toc152045610"/>
    </w:p>
    <w:p w14:paraId="54C8CE77">
      <w:pPr>
        <w:pStyle w:val="3"/>
        <w:spacing w:line="240" w:lineRule="auto"/>
        <w:jc w:val="center"/>
        <w:rPr>
          <w:rFonts w:hint="eastAsia"/>
          <w:color w:val="000000"/>
          <w:sz w:val="32"/>
          <w:szCs w:val="32"/>
          <w:lang w:val="en-US" w:eastAsia="zh-CN"/>
        </w:rPr>
      </w:pPr>
      <w:bookmarkStart w:id="47" w:name="_Toc7579"/>
      <w:r>
        <w:rPr>
          <w:rFonts w:hint="eastAsia"/>
          <w:color w:val="000000"/>
          <w:sz w:val="32"/>
          <w:szCs w:val="32"/>
          <w:lang w:val="en-US" w:eastAsia="zh-CN"/>
        </w:rPr>
        <w:t>第四章 技术要求</w:t>
      </w:r>
      <w:bookmarkEnd w:id="34"/>
      <w:bookmarkEnd w:id="35"/>
      <w:bookmarkEnd w:id="36"/>
      <w:bookmarkEnd w:id="37"/>
      <w:bookmarkEnd w:id="47"/>
    </w:p>
    <w:p w14:paraId="7A732438">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r>
        <w:rPr>
          <w:rFonts w:hint="eastAsia" w:ascii="Times New Roman" w:hAnsi="Times New Roman"/>
          <w:b/>
          <w:bCs/>
          <w:sz w:val="40"/>
          <w:szCs w:val="36"/>
          <w:lang w:val="en-US" w:eastAsia="zh-CN"/>
        </w:rPr>
        <w:t>详见附件：技术规格书</w:t>
      </w:r>
    </w:p>
    <w:p w14:paraId="62AA8682">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3EAEB623">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196A6047">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791C413E">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408B3DB0">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502DC78D">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34987B5D">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7E484D2E">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0D4498F4">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4CDC1F36">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20649E7C">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14:paraId="57483765">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38"/>
    <w:bookmarkEnd w:id="39"/>
    <w:bookmarkEnd w:id="40"/>
    <w:bookmarkEnd w:id="41"/>
    <w:bookmarkEnd w:id="42"/>
    <w:bookmarkEnd w:id="43"/>
    <w:bookmarkEnd w:id="44"/>
    <w:bookmarkEnd w:id="45"/>
    <w:bookmarkEnd w:id="46"/>
    <w:p w14:paraId="3B78BEE7">
      <w:pPr>
        <w:rPr>
          <w:rFonts w:hint="eastAsia"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br w:type="page"/>
      </w:r>
    </w:p>
    <w:p w14:paraId="2FCAD669">
      <w:pPr>
        <w:pStyle w:val="3"/>
        <w:spacing w:line="240" w:lineRule="auto"/>
        <w:jc w:val="center"/>
        <w:rPr>
          <w:rFonts w:hint="default"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t>第</w:t>
      </w:r>
      <w:r>
        <w:rPr>
          <w:rFonts w:hint="eastAsia" w:cs="Times New Roman"/>
          <w:color w:val="000000"/>
          <w:sz w:val="36"/>
          <w:szCs w:val="36"/>
          <w:lang w:val="en-US" w:eastAsia="zh-CN"/>
        </w:rPr>
        <w:t>五</w:t>
      </w:r>
      <w:r>
        <w:rPr>
          <w:rFonts w:hint="eastAsia" w:ascii="Times New Roman" w:hAnsi="Times New Roman" w:eastAsia="宋体" w:cs="Times New Roman"/>
          <w:color w:val="000000"/>
          <w:sz w:val="36"/>
          <w:szCs w:val="36"/>
          <w:lang w:val="en-US" w:eastAsia="zh-CN"/>
        </w:rPr>
        <w:t>章 报价文件模板</w:t>
      </w:r>
    </w:p>
    <w:p w14:paraId="3C8CC67B">
      <w:pPr>
        <w:snapToGrid w:val="0"/>
        <w:rPr>
          <w:rFonts w:hint="eastAsia" w:ascii="楷体_GB2312" w:eastAsia="楷体_GB2312"/>
          <w:b/>
          <w:bCs/>
          <w:color w:val="000000"/>
          <w:sz w:val="52"/>
          <w:szCs w:val="52"/>
        </w:rPr>
      </w:pPr>
      <w:r>
        <w:br w:type="page"/>
      </w:r>
    </w:p>
    <w:p w14:paraId="5EEEEF2B">
      <w:pPr>
        <w:pStyle w:val="63"/>
        <w:spacing w:line="360" w:lineRule="auto"/>
        <w:jc w:val="center"/>
      </w:pPr>
    </w:p>
    <w:p w14:paraId="13C72D8B">
      <w:pPr>
        <w:pStyle w:val="63"/>
        <w:spacing w:line="360" w:lineRule="auto"/>
        <w:jc w:val="center"/>
      </w:pPr>
    </w:p>
    <w:p w14:paraId="338D44A1">
      <w:pPr>
        <w:pStyle w:val="63"/>
        <w:spacing w:line="360" w:lineRule="auto"/>
        <w:jc w:val="center"/>
        <w:rPr>
          <w:bCs/>
        </w:rPr>
      </w:pPr>
    </w:p>
    <w:p w14:paraId="1EB3A0A9">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14:paraId="496DF82D">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14:paraId="556DDEFB">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eastAsia="zh-CN"/>
        </w:rPr>
        <w:t>（询价书编号：</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14:paraId="333D02B4">
      <w:pPr>
        <w:autoSpaceDE w:val="0"/>
        <w:autoSpaceDN w:val="0"/>
        <w:adjustRightInd w:val="0"/>
        <w:spacing w:line="240" w:lineRule="atLeast"/>
        <w:jc w:val="center"/>
        <w:rPr>
          <w:rFonts w:hint="eastAsia" w:ascii="宋体" w:hAnsi="宋体" w:eastAsia="宋体" w:cs="宋体"/>
          <w:b w:val="0"/>
          <w:bCs w:val="0"/>
          <w:color w:val="000000"/>
          <w:sz w:val="72"/>
        </w:rPr>
      </w:pPr>
    </w:p>
    <w:p w14:paraId="57A56E5F">
      <w:pPr>
        <w:autoSpaceDE w:val="0"/>
        <w:autoSpaceDN w:val="0"/>
        <w:adjustRightInd w:val="0"/>
        <w:spacing w:line="240" w:lineRule="atLeast"/>
        <w:jc w:val="center"/>
        <w:rPr>
          <w:rFonts w:hint="eastAsia" w:ascii="宋体" w:hAnsi="宋体" w:eastAsia="宋体" w:cs="宋体"/>
          <w:b w:val="0"/>
          <w:bCs w:val="0"/>
          <w:color w:val="000000"/>
          <w:sz w:val="72"/>
        </w:rPr>
      </w:pPr>
    </w:p>
    <w:p w14:paraId="00A16A82">
      <w:pPr>
        <w:autoSpaceDE w:val="0"/>
        <w:autoSpaceDN w:val="0"/>
        <w:adjustRightInd w:val="0"/>
        <w:spacing w:line="240" w:lineRule="atLeast"/>
        <w:jc w:val="both"/>
        <w:rPr>
          <w:rFonts w:hint="eastAsia" w:ascii="宋体" w:hAnsi="宋体" w:eastAsia="宋体" w:cs="宋体"/>
          <w:b w:val="0"/>
          <w:bCs w:val="0"/>
          <w:color w:val="000000"/>
          <w:sz w:val="72"/>
        </w:rPr>
      </w:pPr>
    </w:p>
    <w:p w14:paraId="15B18CE9">
      <w:pPr>
        <w:rPr>
          <w:rFonts w:hint="eastAsia" w:ascii="宋体" w:hAnsi="宋体" w:eastAsia="宋体" w:cs="宋体"/>
          <w:b w:val="0"/>
          <w:bCs w:val="0"/>
          <w:color w:val="000000"/>
          <w:sz w:val="44"/>
        </w:rPr>
      </w:pPr>
    </w:p>
    <w:p w14:paraId="1CCA1720">
      <w:pPr>
        <w:jc w:val="center"/>
        <w:rPr>
          <w:rFonts w:hint="eastAsia" w:ascii="宋体" w:hAnsi="宋体" w:eastAsia="宋体" w:cs="宋体"/>
          <w:b w:val="0"/>
          <w:bCs w:val="0"/>
          <w:color w:val="000000"/>
          <w:spacing w:val="60"/>
          <w:sz w:val="72"/>
          <w:szCs w:val="72"/>
        </w:rPr>
      </w:pPr>
      <w:r>
        <w:rPr>
          <w:rFonts w:hint="eastAsia" w:ascii="宋体" w:hAnsi="宋体" w:eastAsia="宋体" w:cs="宋体"/>
          <w:b w:val="0"/>
          <w:bCs w:val="0"/>
          <w:color w:val="000000"/>
          <w:spacing w:val="60"/>
          <w:sz w:val="72"/>
          <w:szCs w:val="72"/>
        </w:rPr>
        <w:t xml:space="preserve"> </w:t>
      </w:r>
      <w:r>
        <w:rPr>
          <w:rFonts w:hint="eastAsia" w:ascii="宋体" w:hAnsi="宋体" w:cs="宋体"/>
          <w:b w:val="0"/>
          <w:bCs w:val="0"/>
          <w:color w:val="000000"/>
          <w:spacing w:val="60"/>
          <w:sz w:val="72"/>
          <w:szCs w:val="72"/>
          <w:lang w:eastAsia="zh-CN"/>
        </w:rPr>
        <w:t>报价</w:t>
      </w:r>
      <w:r>
        <w:rPr>
          <w:rFonts w:hint="eastAsia" w:ascii="宋体" w:hAnsi="宋体" w:eastAsia="宋体" w:cs="宋体"/>
          <w:b w:val="0"/>
          <w:bCs w:val="0"/>
          <w:color w:val="000000"/>
          <w:spacing w:val="60"/>
          <w:sz w:val="72"/>
          <w:szCs w:val="72"/>
        </w:rPr>
        <w:t>文件</w:t>
      </w:r>
    </w:p>
    <w:p w14:paraId="621E901C">
      <w:pPr>
        <w:rPr>
          <w:rFonts w:hint="eastAsia" w:ascii="宋体" w:hAnsi="宋体" w:eastAsia="宋体" w:cs="宋体"/>
          <w:color w:val="000000"/>
          <w:sz w:val="30"/>
        </w:rPr>
      </w:pPr>
      <w:r>
        <w:rPr>
          <w:rFonts w:hint="eastAsia" w:ascii="宋体" w:hAnsi="宋体" w:eastAsia="宋体" w:cs="宋体"/>
          <w:color w:val="000000"/>
          <w:sz w:val="30"/>
        </w:rPr>
        <w:t xml:space="preserve">                     </w:t>
      </w:r>
    </w:p>
    <w:p w14:paraId="73AAC7A4">
      <w:pPr>
        <w:rPr>
          <w:rFonts w:hint="eastAsia" w:ascii="宋体" w:hAnsi="宋体" w:eastAsia="宋体" w:cs="宋体"/>
          <w:color w:val="000000"/>
          <w:sz w:val="30"/>
        </w:rPr>
      </w:pPr>
    </w:p>
    <w:p w14:paraId="442DCE65">
      <w:pPr>
        <w:rPr>
          <w:rFonts w:hint="eastAsia" w:ascii="宋体" w:hAnsi="宋体" w:eastAsia="宋体" w:cs="宋体"/>
          <w:color w:val="000000"/>
          <w:sz w:val="30"/>
        </w:rPr>
      </w:pPr>
    </w:p>
    <w:p w14:paraId="3B384B7A">
      <w:pPr>
        <w:rPr>
          <w:rFonts w:hint="eastAsia" w:ascii="宋体" w:hAnsi="宋体" w:eastAsia="宋体" w:cs="宋体"/>
          <w:color w:val="000000"/>
          <w:sz w:val="30"/>
        </w:rPr>
      </w:pPr>
    </w:p>
    <w:p w14:paraId="14EF95C1">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14:paraId="48DFE1D1">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p>
    <w:p w14:paraId="759989AF">
      <w:pPr>
        <w:pStyle w:val="18"/>
        <w:spacing w:line="300" w:lineRule="auto"/>
        <w:ind w:left="2" w:hanging="48"/>
        <w:rPr>
          <w:rFonts w:hint="eastAsia" w:ascii="宋体" w:hAnsi="宋体" w:eastAsia="宋体" w:cs="宋体"/>
          <w:color w:val="000000"/>
          <w:sz w:val="28"/>
          <w:szCs w:val="28"/>
        </w:rPr>
      </w:pPr>
    </w:p>
    <w:p w14:paraId="2558FCFC">
      <w:pPr>
        <w:pStyle w:val="18"/>
        <w:spacing w:line="300" w:lineRule="auto"/>
        <w:ind w:left="2" w:hanging="48"/>
        <w:rPr>
          <w:rFonts w:hint="eastAsia" w:ascii="宋体" w:hAnsi="宋体" w:eastAsia="宋体" w:cs="宋体"/>
          <w:color w:val="000000"/>
          <w:sz w:val="28"/>
          <w:szCs w:val="28"/>
        </w:rPr>
      </w:pPr>
    </w:p>
    <w:p w14:paraId="1A0726EF">
      <w:pPr>
        <w:pStyle w:val="18"/>
        <w:spacing w:line="300" w:lineRule="auto"/>
        <w:ind w:left="2" w:hanging="48"/>
        <w:rPr>
          <w:rFonts w:hint="eastAsia" w:ascii="宋体" w:hAnsi="宋体" w:eastAsia="宋体" w:cs="宋体"/>
          <w:color w:val="000000"/>
          <w:sz w:val="28"/>
          <w:szCs w:val="28"/>
        </w:rPr>
      </w:pPr>
    </w:p>
    <w:p w14:paraId="1445AF14">
      <w:pPr>
        <w:pStyle w:val="18"/>
        <w:spacing w:line="300" w:lineRule="auto"/>
        <w:ind w:left="2" w:hanging="48"/>
        <w:rPr>
          <w:rFonts w:hint="eastAsia" w:ascii="宋体" w:hAnsi="宋体" w:eastAsia="宋体" w:cs="宋体"/>
          <w:b/>
          <w:bCs/>
          <w:color w:val="000000"/>
          <w:sz w:val="36"/>
        </w:rPr>
      </w:pPr>
      <w:r>
        <w:rPr>
          <w:rFonts w:hint="eastAsia" w:ascii="宋体" w:hAnsi="宋体" w:eastAsia="宋体" w:cs="宋体"/>
          <w:color w:val="000000"/>
          <w:sz w:val="28"/>
          <w:szCs w:val="28"/>
        </w:rPr>
        <w:t>日期：__________年__________月____________日</w:t>
      </w:r>
    </w:p>
    <w:p w14:paraId="32E144CD">
      <w:pPr>
        <w:numPr>
          <w:ilvl w:val="0"/>
          <w:numId w:val="3"/>
        </w:num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报价函</w:t>
      </w:r>
    </w:p>
    <w:p w14:paraId="4DEEAF5E">
      <w:pPr>
        <w:numPr>
          <w:ilvl w:val="0"/>
          <w:numId w:val="0"/>
        </w:numPr>
        <w:spacing w:line="300" w:lineRule="auto"/>
        <w:jc w:val="both"/>
        <w:rPr>
          <w:rFonts w:hint="eastAsia" w:ascii="楷体_GB2312" w:eastAsia="楷体_GB2312"/>
          <w:b/>
          <w:color w:val="000000"/>
          <w:sz w:val="36"/>
          <w:lang w:eastAsia="zh-CN"/>
        </w:rPr>
      </w:pPr>
    </w:p>
    <w:p w14:paraId="22B38FEF">
      <w:pPr>
        <w:pStyle w:val="18"/>
        <w:adjustRightInd w:val="0"/>
        <w:snapToGrid w:val="0"/>
        <w:spacing w:line="420" w:lineRule="exact"/>
        <w:ind w:firstLine="16" w:firstLineChars="6"/>
        <w:rPr>
          <w:rFonts w:hint="eastAsia" w:ascii="宋体" w:hAnsi="宋体" w:eastAsia="宋体" w:cs="宋体"/>
          <w:color w:val="000000"/>
          <w:sz w:val="28"/>
          <w:szCs w:val="28"/>
        </w:rPr>
      </w:pPr>
      <w:r>
        <w:rPr>
          <w:rFonts w:hint="eastAsia" w:hAnsi="宋体" w:cs="宋体"/>
          <w:color w:val="000000"/>
          <w:sz w:val="28"/>
          <w:szCs w:val="28"/>
          <w:u w:val="single"/>
          <w:lang w:eastAsia="zh-CN"/>
        </w:rPr>
        <w:t>中煤华晋集团有限公司</w:t>
      </w:r>
      <w:r>
        <w:rPr>
          <w:rFonts w:hint="eastAsia" w:ascii="宋体" w:hAnsi="宋体" w:eastAsia="宋体" w:cs="宋体"/>
          <w:color w:val="000000"/>
          <w:sz w:val="28"/>
          <w:szCs w:val="28"/>
        </w:rPr>
        <w:t>：</w:t>
      </w:r>
    </w:p>
    <w:p w14:paraId="6973FD16">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w:t>
      </w:r>
      <w:r>
        <w:rPr>
          <w:rFonts w:hint="eastAsia" w:hAnsi="宋体" w:eastAsia="宋体" w:cs="宋体"/>
          <w:color w:val="000000"/>
          <w:sz w:val="28"/>
          <w:szCs w:val="28"/>
          <w:lang w:eastAsia="zh-CN"/>
        </w:rPr>
        <w:t>提供服务</w:t>
      </w:r>
      <w:r>
        <w:rPr>
          <w:rFonts w:hint="eastAsia" w:ascii="宋体" w:hAnsi="宋体" w:eastAsia="宋体" w:cs="宋体"/>
          <w:color w:val="000000"/>
          <w:sz w:val="28"/>
          <w:szCs w:val="28"/>
        </w:rPr>
        <w:t>。</w:t>
      </w:r>
    </w:p>
    <w:p w14:paraId="2DDFACD0">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14:paraId="2329C8EE">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14:paraId="687E5D39">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14:paraId="001ABF31">
      <w:pPr>
        <w:numPr>
          <w:ilvl w:val="0"/>
          <w:numId w:val="0"/>
        </w:numPr>
        <w:spacing w:line="360" w:lineRule="auto"/>
        <w:ind w:leftChars="0" w:firstLine="560" w:firstLineChars="200"/>
        <w:rPr>
          <w:rFonts w:hint="eastAsia" w:ascii="宋体" w:hAnsi="宋体" w:eastAsia="宋体" w:cs="宋体"/>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有关的一切正式往来通讯请寄:</w:t>
      </w:r>
    </w:p>
    <w:p w14:paraId="0D929BC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报价单位</w:t>
      </w:r>
      <w:r>
        <w:rPr>
          <w:rFonts w:hint="eastAsia" w:ascii="宋体" w:hAnsi="宋体" w:eastAsia="宋体" w:cs="宋体"/>
          <w:sz w:val="28"/>
          <w:szCs w:val="28"/>
        </w:rPr>
        <w:t>名称:</w:t>
      </w:r>
    </w:p>
    <w:p w14:paraId="045FF12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报价人</w:t>
      </w:r>
      <w:r>
        <w:rPr>
          <w:rFonts w:hint="eastAsia" w:ascii="宋体" w:hAnsi="宋体" w:eastAsia="宋体" w:cs="宋体"/>
          <w:sz w:val="28"/>
          <w:szCs w:val="28"/>
        </w:rPr>
        <w:t>代表签字:</w:t>
      </w:r>
    </w:p>
    <w:p w14:paraId="1405338C">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地址:</w:t>
      </w:r>
    </w:p>
    <w:p w14:paraId="158A1B6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邮编:</w:t>
      </w:r>
    </w:p>
    <w:p w14:paraId="0027A64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电话:</w:t>
      </w:r>
    </w:p>
    <w:p w14:paraId="3967F7A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传真:</w:t>
      </w:r>
    </w:p>
    <w:p w14:paraId="7F55B739">
      <w:pPr>
        <w:pStyle w:val="18"/>
        <w:adjustRightInd w:val="0"/>
        <w:snapToGrid w:val="0"/>
        <w:spacing w:line="420" w:lineRule="exact"/>
        <w:ind w:firstLine="397"/>
        <w:rPr>
          <w:rFonts w:hint="eastAsia" w:ascii="宋体" w:hAnsi="宋体" w:eastAsia="宋体" w:cs="宋体"/>
          <w:color w:val="000000"/>
          <w:sz w:val="28"/>
          <w:szCs w:val="28"/>
          <w:lang w:val="en-US" w:eastAsia="zh-CN"/>
        </w:rPr>
      </w:pPr>
    </w:p>
    <w:p w14:paraId="230B54A7">
      <w:pPr>
        <w:pStyle w:val="18"/>
        <w:adjustRightInd w:val="0"/>
        <w:snapToGrid w:val="0"/>
        <w:spacing w:line="420" w:lineRule="exact"/>
        <w:ind w:firstLine="397"/>
        <w:rPr>
          <w:rFonts w:hint="eastAsia" w:ascii="宋体" w:hAnsi="宋体" w:eastAsia="宋体" w:cs="宋体"/>
          <w:color w:val="000000"/>
          <w:sz w:val="28"/>
          <w:szCs w:val="28"/>
        </w:rPr>
      </w:pPr>
    </w:p>
    <w:p w14:paraId="0193277A">
      <w:pPr>
        <w:pStyle w:val="18"/>
        <w:adjustRightInd w:val="0"/>
        <w:snapToGrid w:val="0"/>
        <w:spacing w:line="420" w:lineRule="exact"/>
        <w:ind w:firstLine="397"/>
        <w:rPr>
          <w:rFonts w:hint="eastAsia" w:ascii="宋体" w:hAnsi="宋体" w:eastAsia="宋体" w:cs="宋体"/>
          <w:color w:val="000000"/>
          <w:sz w:val="28"/>
          <w:szCs w:val="28"/>
        </w:rPr>
      </w:pPr>
    </w:p>
    <w:p w14:paraId="3FD76F12">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ascii="宋体" w:hAnsi="宋体" w:eastAsia="宋体" w:cs="宋体"/>
          <w:color w:val="000000"/>
          <w:sz w:val="28"/>
          <w:szCs w:val="28"/>
        </w:rPr>
        <w:t>盖章)</w:t>
      </w:r>
    </w:p>
    <w:p w14:paraId="7146F78C">
      <w:pPr>
        <w:pStyle w:val="18"/>
        <w:adjustRightInd w:val="0"/>
        <w:snapToGrid w:val="0"/>
        <w:spacing w:line="420" w:lineRule="exact"/>
        <w:ind w:firstLine="397"/>
        <w:rPr>
          <w:rFonts w:hint="eastAsia" w:ascii="宋体" w:hAnsi="宋体" w:eastAsia="宋体" w:cs="宋体"/>
          <w:color w:val="000000"/>
          <w:sz w:val="28"/>
          <w:szCs w:val="28"/>
        </w:rPr>
      </w:pPr>
    </w:p>
    <w:p w14:paraId="078D657B">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14:paraId="41DC2906">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14:paraId="14C3B34E">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14:paraId="7E452267">
      <w:pPr>
        <w:pStyle w:val="18"/>
        <w:adjustRightInd w:val="0"/>
        <w:snapToGrid w:val="0"/>
        <w:spacing w:line="420" w:lineRule="exact"/>
        <w:ind w:left="-8" w:leftChars="-4" w:firstLine="440" w:firstLineChars="200"/>
        <w:rPr>
          <w:rFonts w:hAnsi="宋体"/>
          <w:color w:val="000000"/>
          <w:sz w:val="22"/>
        </w:rPr>
      </w:pPr>
    </w:p>
    <w:p w14:paraId="57D27AD2">
      <w:pPr>
        <w:pStyle w:val="18"/>
        <w:adjustRightInd w:val="0"/>
        <w:snapToGrid w:val="0"/>
        <w:spacing w:line="420" w:lineRule="exact"/>
        <w:rPr>
          <w:rFonts w:hAnsi="宋体"/>
          <w:color w:val="000000"/>
          <w:sz w:val="22"/>
        </w:rPr>
      </w:pPr>
    </w:p>
    <w:p w14:paraId="732425AB">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14:paraId="2A2FC285">
      <w:pPr>
        <w:spacing w:line="300" w:lineRule="auto"/>
        <w:jc w:val="center"/>
        <w:rPr>
          <w:rFonts w:ascii="仿宋_GB2312" w:eastAsia="仿宋_GB2312"/>
          <w:b/>
          <w:color w:val="000000"/>
          <w:sz w:val="32"/>
        </w:rPr>
      </w:pPr>
    </w:p>
    <w:p w14:paraId="391177CE">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w:t>
      </w:r>
      <w:r>
        <w:rPr>
          <w:rFonts w:hint="eastAsia" w:ascii="宋体" w:hAnsi="宋体" w:cs="宋体"/>
          <w:color w:val="000000"/>
          <w:sz w:val="28"/>
          <w:szCs w:val="28"/>
          <w:u w:val="single"/>
          <w:lang w:eastAsia="zh-CN"/>
        </w:rPr>
        <w:t>中煤华晋集团有限公司</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14:paraId="461EB15B">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14:paraId="56128C36">
      <w:pPr>
        <w:adjustRightInd w:val="0"/>
        <w:snapToGrid w:val="0"/>
        <w:spacing w:line="420" w:lineRule="exact"/>
        <w:ind w:firstLine="397"/>
        <w:rPr>
          <w:rFonts w:hint="eastAsia" w:ascii="宋体" w:hAnsi="宋体" w:eastAsia="宋体" w:cs="宋体"/>
          <w:color w:val="000000"/>
          <w:sz w:val="28"/>
          <w:szCs w:val="28"/>
        </w:rPr>
      </w:pPr>
    </w:p>
    <w:p w14:paraId="638455E9">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14:paraId="658ECDFA">
      <w:pPr>
        <w:adjustRightInd w:val="0"/>
        <w:snapToGrid w:val="0"/>
        <w:spacing w:line="420" w:lineRule="exact"/>
        <w:ind w:firstLine="397"/>
        <w:rPr>
          <w:rFonts w:hint="eastAsia" w:ascii="宋体" w:hAnsi="宋体" w:eastAsia="宋体" w:cs="宋体"/>
          <w:color w:val="000000"/>
          <w:sz w:val="28"/>
          <w:szCs w:val="28"/>
        </w:rPr>
      </w:pPr>
    </w:p>
    <w:p w14:paraId="78C65745">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14:paraId="378DDA11">
      <w:pPr>
        <w:adjustRightInd w:val="0"/>
        <w:snapToGrid w:val="0"/>
        <w:spacing w:line="420" w:lineRule="exact"/>
        <w:ind w:firstLine="397"/>
        <w:rPr>
          <w:rFonts w:hint="eastAsia" w:ascii="宋体" w:hAnsi="宋体" w:eastAsia="宋体" w:cs="宋体"/>
          <w:color w:val="000000"/>
          <w:sz w:val="28"/>
          <w:szCs w:val="28"/>
        </w:rPr>
      </w:pPr>
    </w:p>
    <w:p w14:paraId="0EC49D96">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14:paraId="7347E811">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法定代表人：（签字盖章）</w:t>
      </w:r>
    </w:p>
    <w:p w14:paraId="034F5553">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代理人：（签字盖章）</w:t>
      </w:r>
    </w:p>
    <w:p w14:paraId="35D1F859">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14:paraId="0A06D627">
      <w:pPr>
        <w:rPr>
          <w:rFonts w:hint="eastAsia" w:ascii="宋体" w:hAnsi="宋体" w:eastAsia="宋体" w:cs="宋体"/>
          <w:b/>
          <w:bCs/>
          <w:color w:val="000000"/>
          <w:sz w:val="28"/>
          <w:szCs w:val="28"/>
        </w:rPr>
      </w:pPr>
    </w:p>
    <w:p w14:paraId="4DA739DD">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36"/>
        <w:tblW w:w="0" w:type="auto"/>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14:paraId="0FB2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trPr>
        <w:tc>
          <w:tcPr>
            <w:tcW w:w="8343" w:type="dxa"/>
            <w:noWrap w:val="0"/>
            <w:vAlign w:val="center"/>
          </w:tcPr>
          <w:p w14:paraId="0BB26F01">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（法定代表人、代理人身份证复印件粘贴处、法人及被授权人须上传二代居民身份证彩色扫描件）</w:t>
            </w:r>
            <w:r>
              <w:rPr>
                <w:rFonts w:hint="eastAsia" w:ascii="宋体" w:hAnsi="宋体" w:eastAsia="宋体" w:cs="宋体"/>
                <w:b/>
                <w:bCs/>
                <w:color w:val="000000"/>
                <w:sz w:val="28"/>
                <w:szCs w:val="28"/>
                <w:lang w:eastAsia="zh-CN"/>
              </w:rPr>
              <w:t>注：身份证关键信息应清晰可辨，否则投标无效；</w:t>
            </w:r>
          </w:p>
          <w:p w14:paraId="47CD6368">
            <w:pPr>
              <w:jc w:val="center"/>
              <w:rPr>
                <w:rFonts w:hint="eastAsia" w:ascii="宋体" w:hAnsi="宋体" w:eastAsia="宋体" w:cs="宋体"/>
                <w:color w:val="000000"/>
                <w:sz w:val="28"/>
                <w:szCs w:val="28"/>
              </w:rPr>
            </w:pPr>
          </w:p>
        </w:tc>
      </w:tr>
    </w:tbl>
    <w:p w14:paraId="4DA7D60C">
      <w:pPr>
        <w:pStyle w:val="18"/>
        <w:tabs>
          <w:tab w:val="left" w:pos="1785"/>
        </w:tabs>
        <w:snapToGrid w:val="0"/>
        <w:spacing w:line="300" w:lineRule="auto"/>
        <w:jc w:val="center"/>
        <w:rPr>
          <w:rFonts w:hint="default"/>
          <w:b/>
          <w:color w:val="000000"/>
          <w:sz w:val="36"/>
        </w:rPr>
        <w:sectPr>
          <w:footerReference r:id="rId6" w:type="first"/>
          <w:headerReference r:id="rId3" w:type="default"/>
          <w:footerReference r:id="rId4" w:type="default"/>
          <w:footerReference r:id="rId5" w:type="even"/>
          <w:pgSz w:w="11906" w:h="16838"/>
          <w:pgMar w:top="1440" w:right="1797" w:bottom="1440" w:left="1797" w:header="851" w:footer="624" w:gutter="0"/>
          <w:pgNumType w:start="0"/>
          <w:cols w:space="720" w:num="1"/>
          <w:titlePg/>
          <w:docGrid w:type="lines" w:linePitch="312" w:charSpace="0"/>
        </w:sectPr>
      </w:pPr>
    </w:p>
    <w:p w14:paraId="293A5E04">
      <w:pPr>
        <w:keepNext/>
        <w:keepLines/>
        <w:adjustRightInd w:val="0"/>
        <w:snapToGrid w:val="0"/>
        <w:spacing w:line="360" w:lineRule="auto"/>
        <w:jc w:val="center"/>
        <w:outlineLvl w:val="1"/>
        <w:rPr>
          <w:rFonts w:ascii="等线" w:hAnsi="等线" w:eastAsia="等线"/>
          <w:kern w:val="0"/>
          <w:sz w:val="28"/>
        </w:rPr>
      </w:pPr>
      <w:bookmarkStart w:id="48" w:name="_Toc361054972"/>
      <w:bookmarkStart w:id="49" w:name="_Toc361054346"/>
      <w:r>
        <w:rPr>
          <w:rFonts w:hint="eastAsia" w:ascii="等线" w:hAnsi="等线" w:eastAsia="等线"/>
          <w:kern w:val="0"/>
          <w:sz w:val="28"/>
        </w:rPr>
        <w:t>二、投标</w:t>
      </w:r>
      <w:r>
        <w:rPr>
          <w:rFonts w:ascii="等线" w:hAnsi="等线" w:eastAsia="等线"/>
          <w:kern w:val="0"/>
          <w:sz w:val="28"/>
        </w:rPr>
        <w:t>一览表</w:t>
      </w:r>
      <w:bookmarkEnd w:id="48"/>
      <w:bookmarkEnd w:id="49"/>
    </w:p>
    <w:p w14:paraId="443599AC">
      <w:pPr>
        <w:spacing w:line="360" w:lineRule="auto"/>
        <w:rPr>
          <w:rFonts w:ascii="宋体" w:hAnsi="宋体"/>
          <w:sz w:val="24"/>
          <w:szCs w:val="24"/>
        </w:rPr>
      </w:pPr>
      <w:r>
        <w:rPr>
          <w:rFonts w:hint="eastAsia" w:ascii="宋体" w:hAnsi="宋体"/>
          <w:sz w:val="24"/>
          <w:szCs w:val="24"/>
          <w:lang w:eastAsia="zh-CN"/>
        </w:rPr>
        <w:t>投标</w:t>
      </w:r>
      <w:r>
        <w:rPr>
          <w:rFonts w:ascii="宋体" w:hAnsi="宋体"/>
          <w:sz w:val="24"/>
          <w:szCs w:val="24"/>
        </w:rPr>
        <w:t>人名称：</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项目名称：                           </w:t>
      </w:r>
    </w:p>
    <w:tbl>
      <w:tblPr>
        <w:tblStyle w:val="36"/>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86"/>
        <w:gridCol w:w="854"/>
        <w:gridCol w:w="196"/>
        <w:gridCol w:w="1611"/>
        <w:gridCol w:w="1440"/>
        <w:gridCol w:w="1440"/>
        <w:gridCol w:w="1440"/>
        <w:gridCol w:w="1621"/>
        <w:gridCol w:w="3540"/>
        <w:gridCol w:w="2"/>
      </w:tblGrid>
      <w:tr w14:paraId="7C60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2026" w:type="dxa"/>
            <w:gridSpan w:val="2"/>
            <w:vMerge w:val="restart"/>
            <w:vAlign w:val="center"/>
          </w:tcPr>
          <w:p w14:paraId="7BAF176A">
            <w:pPr>
              <w:spacing w:line="360" w:lineRule="auto"/>
              <w:jc w:val="center"/>
              <w:rPr>
                <w:rFonts w:ascii="宋体" w:hAnsi="宋体"/>
                <w:b/>
                <w:color w:val="FF0000"/>
                <w:sz w:val="24"/>
                <w:szCs w:val="24"/>
              </w:rPr>
            </w:pPr>
            <w:r>
              <w:rPr>
                <w:rFonts w:hint="eastAsia" w:ascii="宋体" w:hAnsi="宋体"/>
                <w:color w:val="FF0000"/>
                <w:sz w:val="24"/>
                <w:szCs w:val="24"/>
              </w:rPr>
              <w:t>招标内容</w:t>
            </w:r>
            <w:r>
              <w:rPr>
                <w:rFonts w:ascii="宋体" w:hAnsi="宋体"/>
                <w:color w:val="FF0000"/>
                <w:sz w:val="24"/>
                <w:szCs w:val="24"/>
              </w:rPr>
              <w:t>名称</w:t>
            </w:r>
          </w:p>
        </w:tc>
        <w:tc>
          <w:tcPr>
            <w:tcW w:w="1050" w:type="dxa"/>
            <w:gridSpan w:val="2"/>
            <w:vMerge w:val="restart"/>
            <w:vAlign w:val="center"/>
          </w:tcPr>
          <w:p w14:paraId="6D9148F1">
            <w:pPr>
              <w:widowControl/>
              <w:adjustRightInd w:val="0"/>
              <w:snapToGrid w:val="0"/>
              <w:spacing w:line="360" w:lineRule="auto"/>
              <w:jc w:val="center"/>
              <w:rPr>
                <w:rFonts w:ascii="宋体" w:hAnsi="宋体"/>
                <w:kern w:val="0"/>
                <w:sz w:val="24"/>
                <w:szCs w:val="24"/>
              </w:rPr>
            </w:pPr>
            <w:r>
              <w:rPr>
                <w:rFonts w:ascii="宋体" w:hAnsi="宋体"/>
                <w:kern w:val="0"/>
                <w:sz w:val="24"/>
                <w:szCs w:val="24"/>
              </w:rPr>
              <w:t>数量</w:t>
            </w:r>
          </w:p>
        </w:tc>
        <w:tc>
          <w:tcPr>
            <w:tcW w:w="5931" w:type="dxa"/>
            <w:gridSpan w:val="4"/>
            <w:vAlign w:val="center"/>
          </w:tcPr>
          <w:p w14:paraId="54A3426B">
            <w:pPr>
              <w:widowControl/>
              <w:adjustRightInd w:val="0"/>
              <w:snapToGrid w:val="0"/>
              <w:spacing w:line="360" w:lineRule="auto"/>
              <w:jc w:val="center"/>
              <w:rPr>
                <w:rFonts w:ascii="宋体" w:hAnsi="宋体"/>
                <w:kern w:val="0"/>
                <w:sz w:val="24"/>
                <w:szCs w:val="24"/>
              </w:rPr>
            </w:pPr>
            <w:r>
              <w:rPr>
                <w:rFonts w:ascii="宋体" w:hAnsi="宋体"/>
                <w:kern w:val="0"/>
                <w:sz w:val="24"/>
                <w:szCs w:val="24"/>
              </w:rPr>
              <w:t>投标价（元）</w:t>
            </w:r>
          </w:p>
        </w:tc>
        <w:tc>
          <w:tcPr>
            <w:tcW w:w="1621" w:type="dxa"/>
            <w:vMerge w:val="restart"/>
            <w:vAlign w:val="center"/>
          </w:tcPr>
          <w:p w14:paraId="69054A74">
            <w:pPr>
              <w:widowControl/>
              <w:adjustRightInd w:val="0"/>
              <w:snapToGrid w:val="0"/>
              <w:spacing w:line="360" w:lineRule="auto"/>
              <w:jc w:val="center"/>
              <w:rPr>
                <w:rFonts w:ascii="宋体" w:hAnsi="宋体"/>
                <w:color w:val="FF0000"/>
                <w:kern w:val="0"/>
                <w:sz w:val="24"/>
                <w:szCs w:val="24"/>
              </w:rPr>
            </w:pPr>
            <w:r>
              <w:rPr>
                <w:rFonts w:hint="eastAsia" w:ascii="宋体" w:hAnsi="宋体"/>
                <w:color w:val="FF0000"/>
                <w:kern w:val="0"/>
                <w:sz w:val="24"/>
                <w:szCs w:val="24"/>
              </w:rPr>
              <w:t>服务期</w:t>
            </w:r>
          </w:p>
        </w:tc>
        <w:tc>
          <w:tcPr>
            <w:tcW w:w="3542" w:type="dxa"/>
            <w:gridSpan w:val="2"/>
            <w:vMerge w:val="restart"/>
            <w:vAlign w:val="center"/>
          </w:tcPr>
          <w:p w14:paraId="4E86DD84">
            <w:pPr>
              <w:widowControl/>
              <w:spacing w:line="360" w:lineRule="auto"/>
              <w:jc w:val="center"/>
              <w:rPr>
                <w:rFonts w:ascii="宋体" w:hAnsi="宋体"/>
                <w:kern w:val="0"/>
                <w:sz w:val="24"/>
                <w:szCs w:val="24"/>
              </w:rPr>
            </w:pPr>
            <w:r>
              <w:rPr>
                <w:rFonts w:ascii="宋体" w:hAnsi="宋体"/>
                <w:kern w:val="0"/>
                <w:sz w:val="24"/>
                <w:szCs w:val="24"/>
              </w:rPr>
              <w:t>投标声明</w:t>
            </w:r>
          </w:p>
        </w:tc>
      </w:tr>
      <w:tr w14:paraId="13D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 w:hRule="atLeast"/>
        </w:trPr>
        <w:tc>
          <w:tcPr>
            <w:tcW w:w="2026" w:type="dxa"/>
            <w:gridSpan w:val="2"/>
            <w:vMerge w:val="continue"/>
            <w:vAlign w:val="center"/>
          </w:tcPr>
          <w:p w14:paraId="1F1A1078">
            <w:pPr>
              <w:widowControl/>
              <w:adjustRightInd w:val="0"/>
              <w:snapToGrid w:val="0"/>
              <w:spacing w:line="360" w:lineRule="auto"/>
              <w:jc w:val="center"/>
              <w:rPr>
                <w:rFonts w:ascii="宋体" w:hAnsi="宋体"/>
                <w:kern w:val="0"/>
                <w:sz w:val="24"/>
                <w:szCs w:val="24"/>
              </w:rPr>
            </w:pPr>
          </w:p>
        </w:tc>
        <w:tc>
          <w:tcPr>
            <w:tcW w:w="1050" w:type="dxa"/>
            <w:gridSpan w:val="2"/>
            <w:vMerge w:val="continue"/>
          </w:tcPr>
          <w:p w14:paraId="48F0ADEB">
            <w:pPr>
              <w:widowControl/>
              <w:adjustRightInd w:val="0"/>
              <w:snapToGrid w:val="0"/>
              <w:spacing w:line="360" w:lineRule="auto"/>
              <w:jc w:val="center"/>
              <w:rPr>
                <w:rFonts w:ascii="宋体" w:hAnsi="宋体"/>
                <w:kern w:val="0"/>
                <w:sz w:val="24"/>
                <w:szCs w:val="24"/>
              </w:rPr>
            </w:pPr>
          </w:p>
        </w:tc>
        <w:tc>
          <w:tcPr>
            <w:tcW w:w="1611" w:type="dxa"/>
            <w:vAlign w:val="center"/>
          </w:tcPr>
          <w:p w14:paraId="1901A85D">
            <w:pPr>
              <w:widowControl/>
              <w:adjustRightInd w:val="0"/>
              <w:snapToGrid w:val="0"/>
              <w:spacing w:line="360" w:lineRule="auto"/>
              <w:jc w:val="center"/>
              <w:rPr>
                <w:rFonts w:ascii="宋体" w:hAnsi="宋体"/>
                <w:kern w:val="0"/>
                <w:sz w:val="24"/>
                <w:szCs w:val="24"/>
              </w:rPr>
            </w:pPr>
            <w:r>
              <w:rPr>
                <w:rFonts w:hint="eastAsia" w:ascii="宋体" w:hAnsi="宋体"/>
                <w:kern w:val="0"/>
                <w:sz w:val="24"/>
                <w:szCs w:val="24"/>
                <w:lang w:val="en-US" w:eastAsia="zh-CN"/>
              </w:rPr>
              <w:t>不含税</w:t>
            </w:r>
            <w:r>
              <w:rPr>
                <w:rFonts w:ascii="宋体" w:hAnsi="宋体"/>
                <w:kern w:val="0"/>
                <w:sz w:val="24"/>
                <w:szCs w:val="24"/>
              </w:rPr>
              <w:t>单价</w:t>
            </w:r>
          </w:p>
        </w:tc>
        <w:tc>
          <w:tcPr>
            <w:tcW w:w="1440" w:type="dxa"/>
            <w:vAlign w:val="center"/>
          </w:tcPr>
          <w:p w14:paraId="4169B4CC">
            <w:pPr>
              <w:widowControl/>
              <w:adjustRightInd w:val="0"/>
              <w:snapToGrid w:val="0"/>
              <w:spacing w:line="360" w:lineRule="auto"/>
              <w:jc w:val="center"/>
              <w:rPr>
                <w:rFonts w:hint="eastAsia" w:ascii="宋体" w:hAnsi="宋体" w:eastAsia="宋体"/>
                <w:kern w:val="0"/>
                <w:sz w:val="24"/>
                <w:szCs w:val="24"/>
                <w:lang w:val="en-US" w:eastAsia="zh-CN"/>
              </w:rPr>
            </w:pPr>
            <w:r>
              <w:rPr>
                <w:rFonts w:hint="eastAsia" w:ascii="宋体" w:hAnsi="宋体"/>
                <w:kern w:val="0"/>
                <w:sz w:val="24"/>
                <w:szCs w:val="24"/>
                <w:lang w:val="en-US" w:eastAsia="zh-CN"/>
              </w:rPr>
              <w:t>税率</w:t>
            </w:r>
          </w:p>
        </w:tc>
        <w:tc>
          <w:tcPr>
            <w:tcW w:w="1440" w:type="dxa"/>
            <w:vAlign w:val="center"/>
          </w:tcPr>
          <w:p w14:paraId="279A208E">
            <w:pPr>
              <w:widowControl/>
              <w:adjustRightInd w:val="0"/>
              <w:snapToGrid w:val="0"/>
              <w:spacing w:line="360" w:lineRule="auto"/>
              <w:jc w:val="center"/>
              <w:rPr>
                <w:rFonts w:hint="default" w:ascii="宋体" w:hAnsi="宋体" w:eastAsia="宋体"/>
                <w:kern w:val="0"/>
                <w:sz w:val="24"/>
                <w:szCs w:val="24"/>
                <w:lang w:val="en-US" w:eastAsia="zh-CN"/>
              </w:rPr>
            </w:pPr>
            <w:r>
              <w:rPr>
                <w:rFonts w:hint="eastAsia" w:ascii="宋体" w:hAnsi="宋体"/>
                <w:kern w:val="0"/>
                <w:sz w:val="24"/>
                <w:szCs w:val="24"/>
                <w:lang w:val="en-US" w:eastAsia="zh-CN"/>
              </w:rPr>
              <w:t>含税单价</w:t>
            </w:r>
          </w:p>
        </w:tc>
        <w:tc>
          <w:tcPr>
            <w:tcW w:w="1440" w:type="dxa"/>
            <w:vAlign w:val="center"/>
          </w:tcPr>
          <w:p w14:paraId="748B80A3">
            <w:pPr>
              <w:widowControl/>
              <w:adjustRightInd w:val="0"/>
              <w:snapToGrid w:val="0"/>
              <w:spacing w:line="360" w:lineRule="auto"/>
              <w:jc w:val="center"/>
              <w:rPr>
                <w:rFonts w:ascii="宋体" w:hAnsi="宋体"/>
                <w:kern w:val="0"/>
                <w:sz w:val="24"/>
                <w:szCs w:val="24"/>
              </w:rPr>
            </w:pPr>
            <w:r>
              <w:rPr>
                <w:rFonts w:hint="eastAsia" w:ascii="宋体" w:hAnsi="宋体"/>
                <w:kern w:val="0"/>
                <w:sz w:val="24"/>
                <w:szCs w:val="24"/>
                <w:lang w:val="en-US" w:eastAsia="zh-CN"/>
              </w:rPr>
              <w:t>含税</w:t>
            </w:r>
            <w:r>
              <w:rPr>
                <w:rFonts w:ascii="宋体" w:hAnsi="宋体"/>
                <w:kern w:val="0"/>
                <w:sz w:val="24"/>
                <w:szCs w:val="24"/>
              </w:rPr>
              <w:t>总价</w:t>
            </w:r>
          </w:p>
        </w:tc>
        <w:tc>
          <w:tcPr>
            <w:tcW w:w="1621" w:type="dxa"/>
            <w:vMerge w:val="continue"/>
          </w:tcPr>
          <w:p w14:paraId="0EA75469">
            <w:pPr>
              <w:widowControl/>
              <w:adjustRightInd w:val="0"/>
              <w:snapToGrid w:val="0"/>
              <w:spacing w:line="360" w:lineRule="auto"/>
              <w:jc w:val="center"/>
              <w:rPr>
                <w:rFonts w:ascii="宋体" w:hAnsi="宋体"/>
                <w:kern w:val="0"/>
                <w:sz w:val="24"/>
                <w:szCs w:val="24"/>
              </w:rPr>
            </w:pPr>
          </w:p>
        </w:tc>
        <w:tc>
          <w:tcPr>
            <w:tcW w:w="3542" w:type="dxa"/>
            <w:gridSpan w:val="2"/>
            <w:vMerge w:val="continue"/>
            <w:vAlign w:val="center"/>
          </w:tcPr>
          <w:p w14:paraId="16E4B365">
            <w:pPr>
              <w:widowControl/>
              <w:adjustRightInd w:val="0"/>
              <w:snapToGrid w:val="0"/>
              <w:spacing w:line="360" w:lineRule="auto"/>
              <w:jc w:val="center"/>
              <w:rPr>
                <w:rFonts w:ascii="宋体" w:hAnsi="宋体"/>
                <w:kern w:val="0"/>
                <w:sz w:val="24"/>
                <w:szCs w:val="24"/>
              </w:rPr>
            </w:pPr>
          </w:p>
        </w:tc>
      </w:tr>
      <w:tr w14:paraId="62CC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2026" w:type="dxa"/>
            <w:gridSpan w:val="2"/>
            <w:vAlign w:val="center"/>
          </w:tcPr>
          <w:p w14:paraId="45B95B20">
            <w:pPr>
              <w:widowControl/>
              <w:adjustRightInd w:val="0"/>
              <w:snapToGrid w:val="0"/>
              <w:spacing w:line="360" w:lineRule="auto"/>
              <w:jc w:val="center"/>
              <w:rPr>
                <w:rFonts w:ascii="宋体" w:hAnsi="宋体"/>
                <w:kern w:val="0"/>
                <w:sz w:val="24"/>
                <w:szCs w:val="24"/>
              </w:rPr>
            </w:pPr>
          </w:p>
        </w:tc>
        <w:tc>
          <w:tcPr>
            <w:tcW w:w="1050" w:type="dxa"/>
            <w:gridSpan w:val="2"/>
          </w:tcPr>
          <w:p w14:paraId="6822FA44">
            <w:pPr>
              <w:widowControl/>
              <w:adjustRightInd w:val="0"/>
              <w:snapToGrid w:val="0"/>
              <w:spacing w:line="360" w:lineRule="auto"/>
              <w:jc w:val="center"/>
              <w:rPr>
                <w:rFonts w:ascii="宋体" w:hAnsi="宋体"/>
                <w:kern w:val="0"/>
                <w:sz w:val="24"/>
                <w:szCs w:val="24"/>
              </w:rPr>
            </w:pPr>
          </w:p>
        </w:tc>
        <w:tc>
          <w:tcPr>
            <w:tcW w:w="1611" w:type="dxa"/>
            <w:vAlign w:val="center"/>
          </w:tcPr>
          <w:p w14:paraId="70C648A0">
            <w:pPr>
              <w:widowControl/>
              <w:adjustRightInd w:val="0"/>
              <w:snapToGrid w:val="0"/>
              <w:spacing w:line="360" w:lineRule="auto"/>
              <w:jc w:val="center"/>
              <w:rPr>
                <w:rFonts w:ascii="宋体" w:hAnsi="宋体"/>
                <w:kern w:val="0"/>
                <w:sz w:val="24"/>
                <w:szCs w:val="24"/>
              </w:rPr>
            </w:pPr>
          </w:p>
        </w:tc>
        <w:tc>
          <w:tcPr>
            <w:tcW w:w="1440" w:type="dxa"/>
            <w:vAlign w:val="center"/>
          </w:tcPr>
          <w:p w14:paraId="246891F9">
            <w:pPr>
              <w:widowControl/>
              <w:adjustRightInd w:val="0"/>
              <w:snapToGrid w:val="0"/>
              <w:spacing w:line="360" w:lineRule="auto"/>
              <w:jc w:val="center"/>
              <w:rPr>
                <w:rFonts w:ascii="宋体" w:hAnsi="宋体"/>
                <w:kern w:val="0"/>
                <w:sz w:val="24"/>
                <w:szCs w:val="24"/>
              </w:rPr>
            </w:pPr>
          </w:p>
        </w:tc>
        <w:tc>
          <w:tcPr>
            <w:tcW w:w="1440" w:type="dxa"/>
            <w:vAlign w:val="center"/>
          </w:tcPr>
          <w:p w14:paraId="1307F138">
            <w:pPr>
              <w:widowControl/>
              <w:adjustRightInd w:val="0"/>
              <w:snapToGrid w:val="0"/>
              <w:spacing w:line="360" w:lineRule="auto"/>
              <w:jc w:val="center"/>
              <w:rPr>
                <w:rFonts w:ascii="宋体" w:hAnsi="宋体"/>
                <w:kern w:val="0"/>
                <w:sz w:val="24"/>
                <w:szCs w:val="24"/>
              </w:rPr>
            </w:pPr>
          </w:p>
        </w:tc>
        <w:tc>
          <w:tcPr>
            <w:tcW w:w="1440" w:type="dxa"/>
            <w:vAlign w:val="center"/>
          </w:tcPr>
          <w:p w14:paraId="68CD99DE">
            <w:pPr>
              <w:widowControl/>
              <w:adjustRightInd w:val="0"/>
              <w:snapToGrid w:val="0"/>
              <w:spacing w:line="360" w:lineRule="auto"/>
              <w:jc w:val="center"/>
              <w:rPr>
                <w:rFonts w:ascii="宋体" w:hAnsi="宋体"/>
                <w:kern w:val="0"/>
                <w:sz w:val="24"/>
                <w:szCs w:val="24"/>
              </w:rPr>
            </w:pPr>
          </w:p>
        </w:tc>
        <w:tc>
          <w:tcPr>
            <w:tcW w:w="1621" w:type="dxa"/>
          </w:tcPr>
          <w:p w14:paraId="596BD3D0">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5908DAC4">
            <w:pPr>
              <w:widowControl/>
              <w:adjustRightInd w:val="0"/>
              <w:snapToGrid w:val="0"/>
              <w:spacing w:line="360" w:lineRule="auto"/>
              <w:jc w:val="center"/>
              <w:rPr>
                <w:rFonts w:ascii="宋体" w:hAnsi="宋体"/>
                <w:kern w:val="0"/>
                <w:sz w:val="24"/>
                <w:szCs w:val="24"/>
              </w:rPr>
            </w:pPr>
          </w:p>
        </w:tc>
      </w:tr>
      <w:tr w14:paraId="603C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2026" w:type="dxa"/>
            <w:gridSpan w:val="2"/>
            <w:vAlign w:val="center"/>
          </w:tcPr>
          <w:p w14:paraId="717A3E13">
            <w:pPr>
              <w:widowControl/>
              <w:adjustRightInd w:val="0"/>
              <w:snapToGrid w:val="0"/>
              <w:spacing w:line="360" w:lineRule="auto"/>
              <w:jc w:val="center"/>
              <w:rPr>
                <w:rFonts w:ascii="宋体" w:hAnsi="宋体"/>
                <w:kern w:val="0"/>
                <w:sz w:val="24"/>
                <w:szCs w:val="24"/>
              </w:rPr>
            </w:pPr>
          </w:p>
        </w:tc>
        <w:tc>
          <w:tcPr>
            <w:tcW w:w="1050" w:type="dxa"/>
            <w:gridSpan w:val="2"/>
          </w:tcPr>
          <w:p w14:paraId="38B288FC">
            <w:pPr>
              <w:widowControl/>
              <w:adjustRightInd w:val="0"/>
              <w:snapToGrid w:val="0"/>
              <w:spacing w:line="360" w:lineRule="auto"/>
              <w:jc w:val="center"/>
              <w:rPr>
                <w:rFonts w:ascii="宋体" w:hAnsi="宋体"/>
                <w:kern w:val="0"/>
                <w:sz w:val="24"/>
                <w:szCs w:val="24"/>
              </w:rPr>
            </w:pPr>
          </w:p>
        </w:tc>
        <w:tc>
          <w:tcPr>
            <w:tcW w:w="1611" w:type="dxa"/>
            <w:vAlign w:val="center"/>
          </w:tcPr>
          <w:p w14:paraId="6758D762">
            <w:pPr>
              <w:widowControl/>
              <w:adjustRightInd w:val="0"/>
              <w:snapToGrid w:val="0"/>
              <w:spacing w:line="360" w:lineRule="auto"/>
              <w:jc w:val="center"/>
              <w:rPr>
                <w:rFonts w:ascii="宋体" w:hAnsi="宋体"/>
                <w:kern w:val="0"/>
                <w:sz w:val="24"/>
                <w:szCs w:val="24"/>
              </w:rPr>
            </w:pPr>
          </w:p>
        </w:tc>
        <w:tc>
          <w:tcPr>
            <w:tcW w:w="1440" w:type="dxa"/>
            <w:vAlign w:val="center"/>
          </w:tcPr>
          <w:p w14:paraId="76E34A4C">
            <w:pPr>
              <w:widowControl/>
              <w:adjustRightInd w:val="0"/>
              <w:snapToGrid w:val="0"/>
              <w:spacing w:line="360" w:lineRule="auto"/>
              <w:jc w:val="center"/>
              <w:rPr>
                <w:rFonts w:ascii="宋体" w:hAnsi="宋体"/>
                <w:kern w:val="0"/>
                <w:sz w:val="24"/>
                <w:szCs w:val="24"/>
              </w:rPr>
            </w:pPr>
          </w:p>
        </w:tc>
        <w:tc>
          <w:tcPr>
            <w:tcW w:w="1440" w:type="dxa"/>
            <w:vAlign w:val="center"/>
          </w:tcPr>
          <w:p w14:paraId="57CD4B8E">
            <w:pPr>
              <w:widowControl/>
              <w:adjustRightInd w:val="0"/>
              <w:snapToGrid w:val="0"/>
              <w:spacing w:line="360" w:lineRule="auto"/>
              <w:jc w:val="center"/>
              <w:rPr>
                <w:rFonts w:ascii="宋体" w:hAnsi="宋体"/>
                <w:kern w:val="0"/>
                <w:sz w:val="24"/>
                <w:szCs w:val="24"/>
              </w:rPr>
            </w:pPr>
          </w:p>
        </w:tc>
        <w:tc>
          <w:tcPr>
            <w:tcW w:w="1440" w:type="dxa"/>
            <w:vAlign w:val="center"/>
          </w:tcPr>
          <w:p w14:paraId="7085BADC">
            <w:pPr>
              <w:widowControl/>
              <w:adjustRightInd w:val="0"/>
              <w:snapToGrid w:val="0"/>
              <w:spacing w:line="360" w:lineRule="auto"/>
              <w:jc w:val="center"/>
              <w:rPr>
                <w:rFonts w:ascii="宋体" w:hAnsi="宋体"/>
                <w:kern w:val="0"/>
                <w:sz w:val="24"/>
                <w:szCs w:val="24"/>
              </w:rPr>
            </w:pPr>
          </w:p>
        </w:tc>
        <w:tc>
          <w:tcPr>
            <w:tcW w:w="1621" w:type="dxa"/>
          </w:tcPr>
          <w:p w14:paraId="7A9E756C">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16BEEA48">
            <w:pPr>
              <w:widowControl/>
              <w:adjustRightInd w:val="0"/>
              <w:snapToGrid w:val="0"/>
              <w:spacing w:line="360" w:lineRule="auto"/>
              <w:jc w:val="center"/>
              <w:rPr>
                <w:rFonts w:ascii="宋体" w:hAnsi="宋体"/>
                <w:kern w:val="0"/>
                <w:sz w:val="24"/>
                <w:szCs w:val="24"/>
              </w:rPr>
            </w:pPr>
          </w:p>
        </w:tc>
      </w:tr>
      <w:tr w14:paraId="028E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2026" w:type="dxa"/>
            <w:gridSpan w:val="2"/>
            <w:vAlign w:val="center"/>
          </w:tcPr>
          <w:p w14:paraId="3F06CC3F">
            <w:pPr>
              <w:widowControl/>
              <w:adjustRightInd w:val="0"/>
              <w:snapToGrid w:val="0"/>
              <w:spacing w:line="360" w:lineRule="auto"/>
              <w:jc w:val="center"/>
              <w:rPr>
                <w:rFonts w:ascii="宋体" w:hAnsi="宋体"/>
                <w:kern w:val="0"/>
                <w:sz w:val="24"/>
                <w:szCs w:val="24"/>
              </w:rPr>
            </w:pPr>
          </w:p>
        </w:tc>
        <w:tc>
          <w:tcPr>
            <w:tcW w:w="1050" w:type="dxa"/>
            <w:gridSpan w:val="2"/>
          </w:tcPr>
          <w:p w14:paraId="3F0F45A5">
            <w:pPr>
              <w:widowControl/>
              <w:adjustRightInd w:val="0"/>
              <w:snapToGrid w:val="0"/>
              <w:spacing w:line="360" w:lineRule="auto"/>
              <w:jc w:val="center"/>
              <w:rPr>
                <w:rFonts w:ascii="宋体" w:hAnsi="宋体"/>
                <w:kern w:val="0"/>
                <w:sz w:val="24"/>
                <w:szCs w:val="24"/>
              </w:rPr>
            </w:pPr>
          </w:p>
        </w:tc>
        <w:tc>
          <w:tcPr>
            <w:tcW w:w="1611" w:type="dxa"/>
            <w:vAlign w:val="center"/>
          </w:tcPr>
          <w:p w14:paraId="60B10509">
            <w:pPr>
              <w:widowControl/>
              <w:adjustRightInd w:val="0"/>
              <w:snapToGrid w:val="0"/>
              <w:spacing w:line="360" w:lineRule="auto"/>
              <w:jc w:val="center"/>
              <w:rPr>
                <w:rFonts w:ascii="宋体" w:hAnsi="宋体"/>
                <w:kern w:val="0"/>
                <w:sz w:val="24"/>
                <w:szCs w:val="24"/>
              </w:rPr>
            </w:pPr>
          </w:p>
        </w:tc>
        <w:tc>
          <w:tcPr>
            <w:tcW w:w="1440" w:type="dxa"/>
            <w:vAlign w:val="center"/>
          </w:tcPr>
          <w:p w14:paraId="30B1FDB2">
            <w:pPr>
              <w:widowControl/>
              <w:adjustRightInd w:val="0"/>
              <w:snapToGrid w:val="0"/>
              <w:spacing w:line="360" w:lineRule="auto"/>
              <w:jc w:val="center"/>
              <w:rPr>
                <w:rFonts w:ascii="宋体" w:hAnsi="宋体"/>
                <w:kern w:val="0"/>
                <w:sz w:val="24"/>
                <w:szCs w:val="24"/>
              </w:rPr>
            </w:pPr>
          </w:p>
        </w:tc>
        <w:tc>
          <w:tcPr>
            <w:tcW w:w="1440" w:type="dxa"/>
            <w:vAlign w:val="center"/>
          </w:tcPr>
          <w:p w14:paraId="2310D19C">
            <w:pPr>
              <w:widowControl/>
              <w:adjustRightInd w:val="0"/>
              <w:snapToGrid w:val="0"/>
              <w:spacing w:line="360" w:lineRule="auto"/>
              <w:jc w:val="center"/>
              <w:rPr>
                <w:rFonts w:ascii="宋体" w:hAnsi="宋体"/>
                <w:kern w:val="0"/>
                <w:sz w:val="24"/>
                <w:szCs w:val="24"/>
              </w:rPr>
            </w:pPr>
          </w:p>
        </w:tc>
        <w:tc>
          <w:tcPr>
            <w:tcW w:w="1440" w:type="dxa"/>
            <w:vAlign w:val="center"/>
          </w:tcPr>
          <w:p w14:paraId="4F68F4C9">
            <w:pPr>
              <w:widowControl/>
              <w:adjustRightInd w:val="0"/>
              <w:snapToGrid w:val="0"/>
              <w:spacing w:line="360" w:lineRule="auto"/>
              <w:jc w:val="center"/>
              <w:rPr>
                <w:rFonts w:ascii="宋体" w:hAnsi="宋体"/>
                <w:kern w:val="0"/>
                <w:sz w:val="24"/>
                <w:szCs w:val="24"/>
              </w:rPr>
            </w:pPr>
          </w:p>
        </w:tc>
        <w:tc>
          <w:tcPr>
            <w:tcW w:w="1621" w:type="dxa"/>
          </w:tcPr>
          <w:p w14:paraId="022BC45A">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30631EAC">
            <w:pPr>
              <w:widowControl/>
              <w:adjustRightInd w:val="0"/>
              <w:snapToGrid w:val="0"/>
              <w:spacing w:line="360" w:lineRule="auto"/>
              <w:jc w:val="center"/>
              <w:rPr>
                <w:rFonts w:ascii="宋体" w:hAnsi="宋体"/>
                <w:kern w:val="0"/>
                <w:sz w:val="24"/>
                <w:szCs w:val="24"/>
              </w:rPr>
            </w:pPr>
          </w:p>
        </w:tc>
      </w:tr>
      <w:tr w14:paraId="4907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2026" w:type="dxa"/>
            <w:gridSpan w:val="2"/>
            <w:vAlign w:val="center"/>
          </w:tcPr>
          <w:p w14:paraId="678612CA">
            <w:pPr>
              <w:widowControl/>
              <w:adjustRightInd w:val="0"/>
              <w:snapToGrid w:val="0"/>
              <w:spacing w:line="360" w:lineRule="auto"/>
              <w:jc w:val="center"/>
              <w:rPr>
                <w:rFonts w:ascii="宋体" w:hAnsi="宋体"/>
                <w:kern w:val="0"/>
                <w:sz w:val="24"/>
                <w:szCs w:val="24"/>
              </w:rPr>
            </w:pPr>
          </w:p>
        </w:tc>
        <w:tc>
          <w:tcPr>
            <w:tcW w:w="1050" w:type="dxa"/>
            <w:gridSpan w:val="2"/>
          </w:tcPr>
          <w:p w14:paraId="69042726">
            <w:pPr>
              <w:widowControl/>
              <w:adjustRightInd w:val="0"/>
              <w:snapToGrid w:val="0"/>
              <w:spacing w:line="360" w:lineRule="auto"/>
              <w:jc w:val="center"/>
              <w:rPr>
                <w:rFonts w:ascii="宋体" w:hAnsi="宋体"/>
                <w:kern w:val="0"/>
                <w:sz w:val="24"/>
                <w:szCs w:val="24"/>
              </w:rPr>
            </w:pPr>
          </w:p>
        </w:tc>
        <w:tc>
          <w:tcPr>
            <w:tcW w:w="1611" w:type="dxa"/>
            <w:vAlign w:val="center"/>
          </w:tcPr>
          <w:p w14:paraId="3369E740">
            <w:pPr>
              <w:widowControl/>
              <w:adjustRightInd w:val="0"/>
              <w:snapToGrid w:val="0"/>
              <w:spacing w:line="360" w:lineRule="auto"/>
              <w:jc w:val="center"/>
              <w:rPr>
                <w:rFonts w:ascii="宋体" w:hAnsi="宋体"/>
                <w:kern w:val="0"/>
                <w:sz w:val="24"/>
                <w:szCs w:val="24"/>
              </w:rPr>
            </w:pPr>
          </w:p>
        </w:tc>
        <w:tc>
          <w:tcPr>
            <w:tcW w:w="1440" w:type="dxa"/>
            <w:vAlign w:val="center"/>
          </w:tcPr>
          <w:p w14:paraId="7D62012B">
            <w:pPr>
              <w:widowControl/>
              <w:adjustRightInd w:val="0"/>
              <w:snapToGrid w:val="0"/>
              <w:spacing w:line="360" w:lineRule="auto"/>
              <w:jc w:val="center"/>
              <w:rPr>
                <w:rFonts w:ascii="宋体" w:hAnsi="宋体"/>
                <w:kern w:val="0"/>
                <w:sz w:val="24"/>
                <w:szCs w:val="24"/>
              </w:rPr>
            </w:pPr>
          </w:p>
        </w:tc>
        <w:tc>
          <w:tcPr>
            <w:tcW w:w="1440" w:type="dxa"/>
            <w:vAlign w:val="center"/>
          </w:tcPr>
          <w:p w14:paraId="6DD95D14">
            <w:pPr>
              <w:widowControl/>
              <w:adjustRightInd w:val="0"/>
              <w:snapToGrid w:val="0"/>
              <w:spacing w:line="360" w:lineRule="auto"/>
              <w:jc w:val="center"/>
              <w:rPr>
                <w:rFonts w:ascii="宋体" w:hAnsi="宋体"/>
                <w:kern w:val="0"/>
                <w:sz w:val="24"/>
                <w:szCs w:val="24"/>
              </w:rPr>
            </w:pPr>
          </w:p>
        </w:tc>
        <w:tc>
          <w:tcPr>
            <w:tcW w:w="1440" w:type="dxa"/>
            <w:vAlign w:val="center"/>
          </w:tcPr>
          <w:p w14:paraId="581A2F3E">
            <w:pPr>
              <w:widowControl/>
              <w:adjustRightInd w:val="0"/>
              <w:snapToGrid w:val="0"/>
              <w:spacing w:line="360" w:lineRule="auto"/>
              <w:jc w:val="center"/>
              <w:rPr>
                <w:rFonts w:ascii="宋体" w:hAnsi="宋体"/>
                <w:kern w:val="0"/>
                <w:sz w:val="24"/>
                <w:szCs w:val="24"/>
              </w:rPr>
            </w:pPr>
          </w:p>
        </w:tc>
        <w:tc>
          <w:tcPr>
            <w:tcW w:w="1621" w:type="dxa"/>
          </w:tcPr>
          <w:p w14:paraId="3235007C">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1E86A233">
            <w:pPr>
              <w:widowControl/>
              <w:adjustRightInd w:val="0"/>
              <w:snapToGrid w:val="0"/>
              <w:spacing w:line="360" w:lineRule="auto"/>
              <w:jc w:val="center"/>
              <w:rPr>
                <w:rFonts w:ascii="宋体" w:hAnsi="宋体"/>
                <w:kern w:val="0"/>
                <w:sz w:val="24"/>
                <w:szCs w:val="24"/>
              </w:rPr>
            </w:pPr>
          </w:p>
        </w:tc>
      </w:tr>
      <w:tr w14:paraId="7772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2026" w:type="dxa"/>
            <w:gridSpan w:val="2"/>
            <w:vAlign w:val="center"/>
          </w:tcPr>
          <w:p w14:paraId="5EC06334">
            <w:pPr>
              <w:widowControl/>
              <w:adjustRightInd w:val="0"/>
              <w:snapToGrid w:val="0"/>
              <w:spacing w:line="360" w:lineRule="auto"/>
              <w:jc w:val="center"/>
              <w:rPr>
                <w:rFonts w:ascii="宋体" w:hAnsi="宋体"/>
                <w:kern w:val="0"/>
                <w:sz w:val="24"/>
                <w:szCs w:val="24"/>
              </w:rPr>
            </w:pPr>
          </w:p>
        </w:tc>
        <w:tc>
          <w:tcPr>
            <w:tcW w:w="1050" w:type="dxa"/>
            <w:gridSpan w:val="2"/>
          </w:tcPr>
          <w:p w14:paraId="501152B0">
            <w:pPr>
              <w:widowControl/>
              <w:adjustRightInd w:val="0"/>
              <w:snapToGrid w:val="0"/>
              <w:spacing w:line="360" w:lineRule="auto"/>
              <w:jc w:val="center"/>
              <w:rPr>
                <w:rFonts w:ascii="宋体" w:hAnsi="宋体"/>
                <w:kern w:val="0"/>
                <w:sz w:val="24"/>
                <w:szCs w:val="24"/>
              </w:rPr>
            </w:pPr>
          </w:p>
        </w:tc>
        <w:tc>
          <w:tcPr>
            <w:tcW w:w="1611" w:type="dxa"/>
            <w:vAlign w:val="center"/>
          </w:tcPr>
          <w:p w14:paraId="73913F6C">
            <w:pPr>
              <w:widowControl/>
              <w:adjustRightInd w:val="0"/>
              <w:snapToGrid w:val="0"/>
              <w:spacing w:line="360" w:lineRule="auto"/>
              <w:jc w:val="center"/>
              <w:rPr>
                <w:rFonts w:ascii="宋体" w:hAnsi="宋体"/>
                <w:kern w:val="0"/>
                <w:sz w:val="24"/>
                <w:szCs w:val="24"/>
              </w:rPr>
            </w:pPr>
          </w:p>
        </w:tc>
        <w:tc>
          <w:tcPr>
            <w:tcW w:w="1440" w:type="dxa"/>
            <w:vAlign w:val="center"/>
          </w:tcPr>
          <w:p w14:paraId="166521A7">
            <w:pPr>
              <w:widowControl/>
              <w:adjustRightInd w:val="0"/>
              <w:snapToGrid w:val="0"/>
              <w:spacing w:line="360" w:lineRule="auto"/>
              <w:jc w:val="center"/>
              <w:rPr>
                <w:rFonts w:ascii="宋体" w:hAnsi="宋体"/>
                <w:kern w:val="0"/>
                <w:sz w:val="24"/>
                <w:szCs w:val="24"/>
              </w:rPr>
            </w:pPr>
          </w:p>
        </w:tc>
        <w:tc>
          <w:tcPr>
            <w:tcW w:w="1440" w:type="dxa"/>
            <w:vAlign w:val="center"/>
          </w:tcPr>
          <w:p w14:paraId="2CCE7F6F">
            <w:pPr>
              <w:widowControl/>
              <w:adjustRightInd w:val="0"/>
              <w:snapToGrid w:val="0"/>
              <w:spacing w:line="360" w:lineRule="auto"/>
              <w:jc w:val="center"/>
              <w:rPr>
                <w:rFonts w:ascii="宋体" w:hAnsi="宋体"/>
                <w:kern w:val="0"/>
                <w:sz w:val="24"/>
                <w:szCs w:val="24"/>
              </w:rPr>
            </w:pPr>
          </w:p>
        </w:tc>
        <w:tc>
          <w:tcPr>
            <w:tcW w:w="1440" w:type="dxa"/>
            <w:vAlign w:val="center"/>
          </w:tcPr>
          <w:p w14:paraId="758B453D">
            <w:pPr>
              <w:widowControl/>
              <w:adjustRightInd w:val="0"/>
              <w:snapToGrid w:val="0"/>
              <w:spacing w:line="360" w:lineRule="auto"/>
              <w:jc w:val="center"/>
              <w:rPr>
                <w:rFonts w:ascii="宋体" w:hAnsi="宋体"/>
                <w:kern w:val="0"/>
                <w:sz w:val="24"/>
                <w:szCs w:val="24"/>
              </w:rPr>
            </w:pPr>
          </w:p>
        </w:tc>
        <w:tc>
          <w:tcPr>
            <w:tcW w:w="1621" w:type="dxa"/>
          </w:tcPr>
          <w:p w14:paraId="7746AA5C">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79FA634F">
            <w:pPr>
              <w:widowControl/>
              <w:adjustRightInd w:val="0"/>
              <w:snapToGrid w:val="0"/>
              <w:spacing w:line="360" w:lineRule="auto"/>
              <w:jc w:val="center"/>
              <w:rPr>
                <w:rFonts w:ascii="宋体" w:hAnsi="宋体"/>
                <w:kern w:val="0"/>
                <w:sz w:val="24"/>
                <w:szCs w:val="24"/>
              </w:rPr>
            </w:pPr>
          </w:p>
        </w:tc>
      </w:tr>
      <w:tr w14:paraId="1398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2026" w:type="dxa"/>
            <w:gridSpan w:val="2"/>
            <w:vAlign w:val="center"/>
          </w:tcPr>
          <w:p w14:paraId="679934C2">
            <w:pPr>
              <w:widowControl/>
              <w:adjustRightInd w:val="0"/>
              <w:snapToGrid w:val="0"/>
              <w:spacing w:line="360" w:lineRule="auto"/>
              <w:jc w:val="center"/>
              <w:rPr>
                <w:rFonts w:ascii="宋体" w:hAnsi="宋体"/>
                <w:kern w:val="0"/>
                <w:sz w:val="24"/>
                <w:szCs w:val="24"/>
              </w:rPr>
            </w:pPr>
            <w:r>
              <w:rPr>
                <w:rFonts w:ascii="宋体" w:hAnsi="宋体"/>
                <w:kern w:val="0"/>
                <w:sz w:val="24"/>
                <w:szCs w:val="24"/>
              </w:rPr>
              <w:t>合计</w:t>
            </w:r>
          </w:p>
        </w:tc>
        <w:tc>
          <w:tcPr>
            <w:tcW w:w="1050" w:type="dxa"/>
            <w:gridSpan w:val="2"/>
          </w:tcPr>
          <w:p w14:paraId="6BC1A402">
            <w:pPr>
              <w:widowControl/>
              <w:adjustRightInd w:val="0"/>
              <w:snapToGrid w:val="0"/>
              <w:spacing w:line="360" w:lineRule="auto"/>
              <w:jc w:val="center"/>
              <w:rPr>
                <w:rFonts w:ascii="宋体" w:hAnsi="宋体"/>
                <w:kern w:val="0"/>
                <w:sz w:val="24"/>
                <w:szCs w:val="24"/>
              </w:rPr>
            </w:pPr>
          </w:p>
        </w:tc>
        <w:tc>
          <w:tcPr>
            <w:tcW w:w="1611" w:type="dxa"/>
            <w:vAlign w:val="center"/>
          </w:tcPr>
          <w:p w14:paraId="5E520706">
            <w:pPr>
              <w:widowControl/>
              <w:adjustRightInd w:val="0"/>
              <w:snapToGrid w:val="0"/>
              <w:spacing w:line="360" w:lineRule="auto"/>
              <w:jc w:val="center"/>
              <w:rPr>
                <w:rFonts w:ascii="宋体" w:hAnsi="宋体"/>
                <w:kern w:val="0"/>
                <w:sz w:val="24"/>
                <w:szCs w:val="24"/>
              </w:rPr>
            </w:pPr>
          </w:p>
        </w:tc>
        <w:tc>
          <w:tcPr>
            <w:tcW w:w="1440" w:type="dxa"/>
            <w:vAlign w:val="center"/>
          </w:tcPr>
          <w:p w14:paraId="12DF7ADC">
            <w:pPr>
              <w:widowControl/>
              <w:adjustRightInd w:val="0"/>
              <w:snapToGrid w:val="0"/>
              <w:spacing w:line="360" w:lineRule="auto"/>
              <w:jc w:val="center"/>
              <w:rPr>
                <w:rFonts w:ascii="宋体" w:hAnsi="宋体"/>
                <w:kern w:val="0"/>
                <w:sz w:val="24"/>
                <w:szCs w:val="24"/>
              </w:rPr>
            </w:pPr>
          </w:p>
        </w:tc>
        <w:tc>
          <w:tcPr>
            <w:tcW w:w="1440" w:type="dxa"/>
            <w:vAlign w:val="center"/>
          </w:tcPr>
          <w:p w14:paraId="488CFE56">
            <w:pPr>
              <w:widowControl/>
              <w:adjustRightInd w:val="0"/>
              <w:snapToGrid w:val="0"/>
              <w:spacing w:line="360" w:lineRule="auto"/>
              <w:jc w:val="center"/>
              <w:rPr>
                <w:rFonts w:ascii="宋体" w:hAnsi="宋体"/>
                <w:kern w:val="0"/>
                <w:sz w:val="24"/>
                <w:szCs w:val="24"/>
              </w:rPr>
            </w:pPr>
          </w:p>
        </w:tc>
        <w:tc>
          <w:tcPr>
            <w:tcW w:w="1440" w:type="dxa"/>
            <w:vAlign w:val="center"/>
          </w:tcPr>
          <w:p w14:paraId="375762AF">
            <w:pPr>
              <w:widowControl/>
              <w:adjustRightInd w:val="0"/>
              <w:snapToGrid w:val="0"/>
              <w:spacing w:line="360" w:lineRule="auto"/>
              <w:jc w:val="center"/>
              <w:rPr>
                <w:rFonts w:ascii="宋体" w:hAnsi="宋体"/>
                <w:kern w:val="0"/>
                <w:sz w:val="24"/>
                <w:szCs w:val="24"/>
              </w:rPr>
            </w:pPr>
          </w:p>
        </w:tc>
        <w:tc>
          <w:tcPr>
            <w:tcW w:w="1621" w:type="dxa"/>
          </w:tcPr>
          <w:p w14:paraId="61B92B7D">
            <w:pPr>
              <w:widowControl/>
              <w:adjustRightInd w:val="0"/>
              <w:snapToGrid w:val="0"/>
              <w:spacing w:line="360" w:lineRule="auto"/>
              <w:jc w:val="center"/>
              <w:rPr>
                <w:rFonts w:ascii="宋体" w:hAnsi="宋体"/>
                <w:kern w:val="0"/>
                <w:sz w:val="24"/>
                <w:szCs w:val="24"/>
              </w:rPr>
            </w:pPr>
          </w:p>
        </w:tc>
        <w:tc>
          <w:tcPr>
            <w:tcW w:w="3542" w:type="dxa"/>
            <w:gridSpan w:val="2"/>
            <w:vAlign w:val="center"/>
          </w:tcPr>
          <w:p w14:paraId="36BA3622">
            <w:pPr>
              <w:widowControl/>
              <w:adjustRightInd w:val="0"/>
              <w:snapToGrid w:val="0"/>
              <w:spacing w:line="360" w:lineRule="auto"/>
              <w:jc w:val="center"/>
              <w:rPr>
                <w:rFonts w:ascii="宋体" w:hAnsi="宋体"/>
                <w:kern w:val="0"/>
                <w:sz w:val="24"/>
                <w:szCs w:val="24"/>
              </w:rPr>
            </w:pPr>
          </w:p>
        </w:tc>
      </w:tr>
      <w:tr w14:paraId="2702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86" w:hRule="atLeast"/>
        </w:trPr>
        <w:tc>
          <w:tcPr>
            <w:tcW w:w="1440" w:type="dxa"/>
          </w:tcPr>
          <w:p w14:paraId="71627C1F">
            <w:pPr>
              <w:widowControl/>
              <w:adjustRightInd w:val="0"/>
              <w:snapToGrid w:val="0"/>
              <w:spacing w:line="360" w:lineRule="auto"/>
              <w:jc w:val="left"/>
              <w:rPr>
                <w:rFonts w:hint="eastAsia" w:ascii="宋体" w:hAnsi="宋体"/>
                <w:kern w:val="0"/>
                <w:sz w:val="24"/>
                <w:szCs w:val="24"/>
              </w:rPr>
            </w:pPr>
          </w:p>
        </w:tc>
        <w:tc>
          <w:tcPr>
            <w:tcW w:w="1440" w:type="dxa"/>
            <w:gridSpan w:val="2"/>
          </w:tcPr>
          <w:p w14:paraId="61F28378">
            <w:pPr>
              <w:widowControl/>
              <w:adjustRightInd w:val="0"/>
              <w:snapToGrid w:val="0"/>
              <w:spacing w:line="360" w:lineRule="auto"/>
              <w:jc w:val="left"/>
              <w:rPr>
                <w:rFonts w:hint="eastAsia" w:ascii="宋体" w:hAnsi="宋体"/>
                <w:kern w:val="0"/>
                <w:sz w:val="24"/>
                <w:szCs w:val="24"/>
              </w:rPr>
            </w:pPr>
          </w:p>
        </w:tc>
        <w:tc>
          <w:tcPr>
            <w:tcW w:w="11288" w:type="dxa"/>
            <w:gridSpan w:val="7"/>
          </w:tcPr>
          <w:p w14:paraId="37192A13">
            <w:pPr>
              <w:widowControl/>
              <w:adjustRightInd w:val="0"/>
              <w:snapToGrid w:val="0"/>
              <w:spacing w:line="360" w:lineRule="auto"/>
              <w:jc w:val="left"/>
              <w:rPr>
                <w:rFonts w:ascii="宋体" w:hAnsi="宋体"/>
                <w:kern w:val="0"/>
                <w:sz w:val="24"/>
                <w:szCs w:val="24"/>
              </w:rPr>
            </w:pPr>
            <w:r>
              <w:rPr>
                <w:rFonts w:hint="eastAsia" w:ascii="宋体" w:hAnsi="宋体"/>
                <w:kern w:val="0"/>
                <w:sz w:val="24"/>
                <w:szCs w:val="24"/>
              </w:rPr>
              <w:t>投标总报价（大写）（含税价）：</w:t>
            </w:r>
          </w:p>
        </w:tc>
      </w:tr>
      <w:tr w14:paraId="0255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86" w:hRule="atLeast"/>
        </w:trPr>
        <w:tc>
          <w:tcPr>
            <w:tcW w:w="1440" w:type="dxa"/>
          </w:tcPr>
          <w:p w14:paraId="23F46CD1">
            <w:pPr>
              <w:widowControl/>
              <w:adjustRightInd w:val="0"/>
              <w:snapToGrid w:val="0"/>
              <w:spacing w:before="20" w:after="20"/>
              <w:ind w:firstLine="632" w:firstLineChars="300"/>
              <w:rPr>
                <w:rFonts w:hint="eastAsia" w:ascii="宋体" w:hAnsi="宋体"/>
                <w:b/>
                <w:color w:val="FF0000"/>
                <w:kern w:val="0"/>
                <w:szCs w:val="21"/>
                <w:lang w:val="en-US" w:eastAsia="zh-CN"/>
              </w:rPr>
            </w:pPr>
          </w:p>
        </w:tc>
        <w:tc>
          <w:tcPr>
            <w:tcW w:w="1440" w:type="dxa"/>
            <w:gridSpan w:val="2"/>
          </w:tcPr>
          <w:p w14:paraId="7ED5B679">
            <w:pPr>
              <w:widowControl/>
              <w:adjustRightInd w:val="0"/>
              <w:snapToGrid w:val="0"/>
              <w:spacing w:before="20" w:after="20"/>
              <w:ind w:firstLine="632" w:firstLineChars="300"/>
              <w:rPr>
                <w:rFonts w:hint="eastAsia" w:ascii="宋体" w:hAnsi="宋体"/>
                <w:b/>
                <w:color w:val="FF0000"/>
                <w:kern w:val="0"/>
                <w:szCs w:val="21"/>
                <w:lang w:val="en-US" w:eastAsia="zh-CN"/>
              </w:rPr>
            </w:pPr>
          </w:p>
        </w:tc>
        <w:tc>
          <w:tcPr>
            <w:tcW w:w="11288" w:type="dxa"/>
            <w:gridSpan w:val="7"/>
          </w:tcPr>
          <w:p w14:paraId="03572F5D">
            <w:pPr>
              <w:widowControl/>
              <w:adjustRightInd w:val="0"/>
              <w:snapToGrid w:val="0"/>
              <w:spacing w:before="20" w:after="20"/>
              <w:rPr>
                <w:rFonts w:hint="eastAsia" w:ascii="宋体" w:hAnsi="宋体" w:eastAsia="宋体"/>
                <w:b/>
                <w:color w:val="FF0000"/>
                <w:kern w:val="0"/>
                <w:szCs w:val="21"/>
                <w:lang w:eastAsia="zh-CN"/>
              </w:rPr>
            </w:pPr>
            <w:r>
              <w:rPr>
                <w:rFonts w:hint="eastAsia" w:ascii="宋体" w:hAnsi="宋体"/>
                <w:b/>
                <w:color w:val="FF0000"/>
                <w:kern w:val="0"/>
                <w:szCs w:val="21"/>
              </w:rPr>
              <w:t>备注：</w:t>
            </w:r>
            <w:r>
              <w:rPr>
                <w:rFonts w:hint="eastAsia" w:ascii="宋体" w:hAnsi="宋体"/>
                <w:b/>
                <w:color w:val="FF0000"/>
                <w:kern w:val="0"/>
                <w:szCs w:val="21"/>
                <w:highlight w:val="yellow"/>
                <w:lang w:val="en-US" w:eastAsia="zh-CN"/>
              </w:rPr>
              <w:t>1</w:t>
            </w:r>
            <w:r>
              <w:rPr>
                <w:rFonts w:hint="eastAsia" w:ascii="宋体" w:hAnsi="宋体"/>
                <w:b/>
                <w:color w:val="FF0000"/>
                <w:kern w:val="0"/>
                <w:szCs w:val="21"/>
                <w:highlight w:val="yellow"/>
              </w:rPr>
              <w:t>.投标报价为</w:t>
            </w:r>
            <w:r>
              <w:rPr>
                <w:rFonts w:hint="eastAsia" w:ascii="宋体" w:hAnsi="宋体"/>
                <w:b/>
                <w:color w:val="FF0000"/>
                <w:kern w:val="0"/>
                <w:szCs w:val="21"/>
                <w:highlight w:val="yellow"/>
                <w:u w:val="single"/>
              </w:rPr>
              <w:t>含税价格</w:t>
            </w:r>
            <w:r>
              <w:rPr>
                <w:rFonts w:hint="eastAsia" w:ascii="宋体" w:hAnsi="宋体"/>
                <w:b/>
                <w:color w:val="FF0000"/>
                <w:kern w:val="0"/>
                <w:szCs w:val="21"/>
                <w:highlight w:val="yellow"/>
              </w:rPr>
              <w:t>；</w:t>
            </w:r>
            <w:r>
              <w:rPr>
                <w:rFonts w:hint="eastAsia" w:ascii="宋体" w:hAnsi="宋体"/>
                <w:b/>
                <w:color w:val="FF0000"/>
                <w:kern w:val="0"/>
                <w:szCs w:val="21"/>
                <w:highlight w:val="yellow"/>
                <w:u w:val="single"/>
              </w:rPr>
              <w:t>（为含增值税、含运费）</w:t>
            </w:r>
            <w:r>
              <w:rPr>
                <w:rFonts w:hint="eastAsia" w:ascii="宋体" w:hAnsi="宋体"/>
                <w:b/>
                <w:color w:val="FF0000"/>
                <w:kern w:val="0"/>
                <w:szCs w:val="21"/>
                <w:highlight w:val="yellow"/>
                <w:u w:val="single"/>
                <w:lang w:eastAsia="zh-CN"/>
              </w:rPr>
              <w:t>（</w:t>
            </w:r>
            <w:r>
              <w:rPr>
                <w:rFonts w:hint="eastAsia" w:ascii="宋体" w:hAnsi="宋体"/>
                <w:b/>
                <w:color w:val="FF0000"/>
                <w:kern w:val="0"/>
                <w:szCs w:val="21"/>
                <w:highlight w:val="yellow"/>
                <w:u w:val="single"/>
                <w:lang w:val="en-US" w:eastAsia="zh-CN"/>
              </w:rPr>
              <w:t>必须填写税率，</w:t>
            </w:r>
            <w:r>
              <w:rPr>
                <w:rFonts w:hint="eastAsia" w:ascii="宋体" w:hAnsi="宋体"/>
                <w:b/>
                <w:color w:val="FF0000"/>
                <w:kern w:val="0"/>
                <w:szCs w:val="21"/>
                <w:highlight w:val="yellow"/>
                <w:u w:val="single"/>
                <w:lang w:eastAsia="zh-CN"/>
              </w:rPr>
              <w:t>以</w:t>
            </w:r>
            <w:r>
              <w:rPr>
                <w:rFonts w:hint="eastAsia" w:ascii="宋体" w:hAnsi="宋体"/>
                <w:b/>
                <w:color w:val="FF0000"/>
                <w:kern w:val="0"/>
                <w:szCs w:val="21"/>
                <w:highlight w:val="yellow"/>
                <w:u w:val="single"/>
                <w:lang w:val="en-US" w:eastAsia="zh-CN"/>
              </w:rPr>
              <w:t>实际税率</w:t>
            </w:r>
            <w:r>
              <w:rPr>
                <w:rFonts w:hint="eastAsia" w:ascii="宋体" w:hAnsi="宋体"/>
                <w:b/>
                <w:color w:val="FF0000"/>
                <w:kern w:val="0"/>
                <w:szCs w:val="21"/>
                <w:highlight w:val="yellow"/>
                <w:u w:val="single"/>
                <w:lang w:eastAsia="zh-CN"/>
              </w:rPr>
              <w:t>为准）</w:t>
            </w:r>
          </w:p>
          <w:p w14:paraId="6B62768B">
            <w:pPr>
              <w:widowControl/>
              <w:adjustRightInd w:val="0"/>
              <w:snapToGrid w:val="0"/>
              <w:spacing w:before="20" w:after="20"/>
              <w:ind w:firstLine="632" w:firstLineChars="300"/>
              <w:rPr>
                <w:rFonts w:ascii="宋体" w:hAnsi="宋体"/>
                <w:b/>
                <w:color w:val="FF0000"/>
                <w:kern w:val="0"/>
                <w:szCs w:val="21"/>
              </w:rPr>
            </w:pPr>
            <w:r>
              <w:rPr>
                <w:rFonts w:hint="eastAsia" w:ascii="宋体" w:hAnsi="宋体"/>
                <w:b/>
                <w:color w:val="FF0000"/>
                <w:kern w:val="0"/>
                <w:szCs w:val="21"/>
                <w:lang w:val="en-US" w:eastAsia="zh-CN"/>
              </w:rPr>
              <w:t>2</w:t>
            </w:r>
            <w:r>
              <w:rPr>
                <w:rFonts w:ascii="宋体" w:hAnsi="宋体"/>
                <w:b/>
                <w:color w:val="FF0000"/>
                <w:kern w:val="0"/>
                <w:szCs w:val="21"/>
              </w:rPr>
              <w:t>.</w:t>
            </w:r>
            <w:r>
              <w:rPr>
                <w:rFonts w:hint="eastAsia" w:ascii="宋体" w:hAnsi="宋体"/>
                <w:b/>
                <w:color w:val="FF0000"/>
                <w:kern w:val="0"/>
                <w:szCs w:val="21"/>
              </w:rPr>
              <w:t>此表格式作为投标人制作和填写投标一览表的主要参照依据，</w:t>
            </w:r>
            <w:r>
              <w:rPr>
                <w:rFonts w:hint="eastAsia" w:ascii="宋体" w:hAnsi="宋体"/>
                <w:b/>
                <w:color w:val="FF0000"/>
                <w:kern w:val="0"/>
                <w:szCs w:val="21"/>
                <w:highlight w:val="yellow"/>
              </w:rPr>
              <w:t>投标人可根据项目实际情况扩展、完善</w:t>
            </w:r>
            <w:r>
              <w:rPr>
                <w:rFonts w:hint="eastAsia" w:ascii="宋体" w:hAnsi="宋体"/>
                <w:b/>
                <w:color w:val="FF0000"/>
                <w:kern w:val="0"/>
                <w:szCs w:val="21"/>
              </w:rPr>
              <w:t>。</w:t>
            </w:r>
          </w:p>
        </w:tc>
      </w:tr>
    </w:tbl>
    <w:p w14:paraId="219C45F8">
      <w:pPr>
        <w:spacing w:line="360" w:lineRule="auto"/>
        <w:jc w:val="left"/>
        <w:rPr>
          <w:rFonts w:ascii="宋体" w:hAnsi="宋体"/>
          <w:color w:val="FF0000"/>
          <w:sz w:val="24"/>
          <w:szCs w:val="24"/>
        </w:rPr>
      </w:pPr>
    </w:p>
    <w:p w14:paraId="5745AD6D">
      <w:pPr>
        <w:spacing w:line="360" w:lineRule="auto"/>
        <w:jc w:val="left"/>
        <w:rPr>
          <w:rFonts w:ascii="宋体" w:hAnsi="宋体"/>
          <w:color w:val="FF0000"/>
          <w:sz w:val="24"/>
          <w:szCs w:val="24"/>
        </w:rPr>
      </w:pPr>
      <w:r>
        <w:rPr>
          <w:rFonts w:ascii="宋体" w:hAnsi="宋体"/>
          <w:color w:val="FF0000"/>
          <w:sz w:val="24"/>
          <w:szCs w:val="24"/>
        </w:rPr>
        <w:t>投标</w:t>
      </w:r>
      <w:r>
        <w:rPr>
          <w:rFonts w:hint="eastAsia" w:ascii="宋体" w:hAnsi="宋体"/>
          <w:color w:val="FF0000"/>
          <w:sz w:val="24"/>
          <w:szCs w:val="24"/>
        </w:rPr>
        <w:t>授权代表签字：</w:t>
      </w:r>
    </w:p>
    <w:p w14:paraId="04BBA73E">
      <w:pPr>
        <w:spacing w:line="360" w:lineRule="auto"/>
        <w:jc w:val="left"/>
        <w:rPr>
          <w:rFonts w:ascii="宋体" w:hAnsi="宋体"/>
          <w:color w:val="FF0000"/>
          <w:sz w:val="24"/>
          <w:szCs w:val="24"/>
        </w:rPr>
      </w:pPr>
    </w:p>
    <w:p w14:paraId="0567B204">
      <w:pPr>
        <w:spacing w:line="360" w:lineRule="auto"/>
        <w:jc w:val="left"/>
        <w:rPr>
          <w:rFonts w:ascii="宋体" w:hAnsi="宋体"/>
          <w:sz w:val="24"/>
          <w:szCs w:val="24"/>
        </w:rPr>
      </w:pPr>
      <w:r>
        <w:rPr>
          <w:rFonts w:hint="eastAsia" w:ascii="宋体" w:hAnsi="宋体"/>
          <w:color w:val="FF0000"/>
          <w:sz w:val="24"/>
          <w:szCs w:val="24"/>
        </w:rPr>
        <w:t>投标单位（盖章）：</w:t>
      </w:r>
      <w:r>
        <w:rPr>
          <w:rFonts w:ascii="宋体" w:hAnsi="宋体"/>
          <w:sz w:val="24"/>
          <w:szCs w:val="24"/>
        </w:rPr>
        <w:t xml:space="preserve">    </w:t>
      </w:r>
    </w:p>
    <w:p w14:paraId="3DFBD7EA">
      <w:pPr>
        <w:spacing w:line="360" w:lineRule="auto"/>
        <w:jc w:val="left"/>
        <w:rPr>
          <w:rFonts w:ascii="宋体" w:hAnsi="宋体"/>
          <w:sz w:val="24"/>
          <w:szCs w:val="24"/>
        </w:rPr>
      </w:pPr>
    </w:p>
    <w:p w14:paraId="5C962590">
      <w:pPr>
        <w:keepNext/>
        <w:keepLines/>
        <w:adjustRightInd w:val="0"/>
        <w:snapToGrid w:val="0"/>
        <w:spacing w:line="360" w:lineRule="auto"/>
        <w:jc w:val="center"/>
        <w:outlineLvl w:val="1"/>
        <w:rPr>
          <w:rFonts w:ascii="等线" w:hAnsi="等线" w:eastAsia="等线"/>
          <w:color w:val="FF0000"/>
          <w:kern w:val="0"/>
          <w:sz w:val="28"/>
        </w:rPr>
      </w:pPr>
      <w:r>
        <w:rPr>
          <w:rFonts w:hint="eastAsia" w:ascii="等线" w:hAnsi="等线" w:eastAsia="等线"/>
          <w:bCs/>
          <w:color w:val="FF0000"/>
          <w:kern w:val="0"/>
          <w:sz w:val="28"/>
        </w:rPr>
        <w:t>三、分项报价表</w:t>
      </w:r>
    </w:p>
    <w:p w14:paraId="4868CDC4">
      <w:pPr>
        <w:spacing w:line="360" w:lineRule="auto"/>
        <w:rPr>
          <w:rFonts w:ascii="宋体" w:hAnsi="宋体"/>
          <w:color w:val="FF0000"/>
          <w:sz w:val="24"/>
          <w:szCs w:val="24"/>
        </w:rPr>
      </w:pPr>
      <w:r>
        <w:rPr>
          <w:rFonts w:hint="eastAsia" w:ascii="宋体" w:hAnsi="宋体"/>
          <w:color w:val="FF0000"/>
          <w:sz w:val="24"/>
          <w:szCs w:val="24"/>
        </w:rPr>
        <w:t xml:space="preserve">投标人名称：____________                                                           </w:t>
      </w:r>
    </w:p>
    <w:tbl>
      <w:tblPr>
        <w:tblStyle w:val="36"/>
        <w:tblW w:w="13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3735"/>
        <w:gridCol w:w="3255"/>
        <w:gridCol w:w="5055"/>
      </w:tblGrid>
      <w:tr w14:paraId="080B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blHeader/>
          <w:jc w:val="center"/>
        </w:trPr>
        <w:tc>
          <w:tcPr>
            <w:tcW w:w="1267" w:type="dxa"/>
            <w:noWrap w:val="0"/>
            <w:vAlign w:val="center"/>
          </w:tcPr>
          <w:p w14:paraId="04218211">
            <w:pPr>
              <w:spacing w:after="120" w:line="360" w:lineRule="auto"/>
              <w:jc w:val="center"/>
              <w:rPr>
                <w:bCs/>
                <w:sz w:val="24"/>
              </w:rPr>
            </w:pPr>
            <w:r>
              <w:rPr>
                <w:rFonts w:hint="eastAsia"/>
                <w:bCs/>
                <w:sz w:val="24"/>
              </w:rPr>
              <w:t>序号</w:t>
            </w:r>
          </w:p>
        </w:tc>
        <w:tc>
          <w:tcPr>
            <w:tcW w:w="3735" w:type="dxa"/>
            <w:noWrap w:val="0"/>
            <w:vAlign w:val="center"/>
          </w:tcPr>
          <w:p w14:paraId="3A31971C">
            <w:pPr>
              <w:spacing w:after="120" w:line="360" w:lineRule="auto"/>
              <w:jc w:val="center"/>
              <w:rPr>
                <w:rFonts w:hint="eastAsia" w:eastAsia="宋体"/>
                <w:bCs/>
                <w:sz w:val="24"/>
                <w:lang w:eastAsia="zh-CN"/>
              </w:rPr>
            </w:pPr>
            <w:r>
              <w:rPr>
                <w:rFonts w:hint="eastAsia"/>
                <w:bCs/>
                <w:sz w:val="24"/>
                <w:lang w:eastAsia="zh-CN"/>
              </w:rPr>
              <w:t>名称</w:t>
            </w:r>
          </w:p>
        </w:tc>
        <w:tc>
          <w:tcPr>
            <w:tcW w:w="3255" w:type="dxa"/>
            <w:noWrap w:val="0"/>
            <w:vAlign w:val="center"/>
          </w:tcPr>
          <w:p w14:paraId="096D2668">
            <w:pPr>
              <w:spacing w:after="120" w:line="360" w:lineRule="auto"/>
              <w:jc w:val="center"/>
              <w:rPr>
                <w:bCs/>
                <w:sz w:val="24"/>
              </w:rPr>
            </w:pPr>
            <w:r>
              <w:rPr>
                <w:rFonts w:hint="eastAsia"/>
                <w:bCs/>
                <w:sz w:val="24"/>
              </w:rPr>
              <w:t>报价</w:t>
            </w:r>
            <w:r>
              <w:rPr>
                <w:bCs/>
                <w:sz w:val="24"/>
              </w:rPr>
              <w:t>（元）</w:t>
            </w:r>
          </w:p>
        </w:tc>
        <w:tc>
          <w:tcPr>
            <w:tcW w:w="5055" w:type="dxa"/>
            <w:noWrap w:val="0"/>
            <w:vAlign w:val="center"/>
          </w:tcPr>
          <w:p w14:paraId="7FCB52B0">
            <w:pPr>
              <w:spacing w:after="120" w:line="360" w:lineRule="auto"/>
              <w:jc w:val="center"/>
              <w:rPr>
                <w:bCs/>
                <w:sz w:val="24"/>
              </w:rPr>
            </w:pPr>
            <w:r>
              <w:rPr>
                <w:bCs/>
                <w:sz w:val="24"/>
              </w:rPr>
              <w:t>备注</w:t>
            </w:r>
          </w:p>
        </w:tc>
      </w:tr>
      <w:tr w14:paraId="61F2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67" w:type="dxa"/>
            <w:noWrap w:val="0"/>
            <w:vAlign w:val="center"/>
          </w:tcPr>
          <w:p w14:paraId="2991B6DA">
            <w:pPr>
              <w:spacing w:after="120" w:line="360" w:lineRule="auto"/>
              <w:jc w:val="center"/>
              <w:rPr>
                <w:bCs/>
                <w:sz w:val="24"/>
              </w:rPr>
            </w:pPr>
            <w:r>
              <w:rPr>
                <w:rFonts w:hint="eastAsia"/>
                <w:bCs/>
                <w:sz w:val="24"/>
              </w:rPr>
              <w:t>1</w:t>
            </w:r>
          </w:p>
        </w:tc>
        <w:tc>
          <w:tcPr>
            <w:tcW w:w="3735" w:type="dxa"/>
            <w:noWrap w:val="0"/>
            <w:vAlign w:val="center"/>
          </w:tcPr>
          <w:p w14:paraId="381EF9A4">
            <w:pPr>
              <w:spacing w:after="120" w:line="360" w:lineRule="auto"/>
              <w:jc w:val="center"/>
              <w:rPr>
                <w:bCs/>
                <w:sz w:val="24"/>
              </w:rPr>
            </w:pPr>
          </w:p>
        </w:tc>
        <w:tc>
          <w:tcPr>
            <w:tcW w:w="3255" w:type="dxa"/>
            <w:noWrap w:val="0"/>
            <w:vAlign w:val="center"/>
          </w:tcPr>
          <w:p w14:paraId="554A48F4">
            <w:pPr>
              <w:spacing w:after="120" w:line="360" w:lineRule="auto"/>
              <w:ind w:left="420" w:leftChars="200"/>
              <w:jc w:val="center"/>
              <w:rPr>
                <w:sz w:val="24"/>
              </w:rPr>
            </w:pPr>
          </w:p>
        </w:tc>
        <w:tc>
          <w:tcPr>
            <w:tcW w:w="5055" w:type="dxa"/>
            <w:noWrap w:val="0"/>
            <w:vAlign w:val="center"/>
          </w:tcPr>
          <w:p w14:paraId="6EDF93DC">
            <w:pPr>
              <w:spacing w:after="120" w:line="360" w:lineRule="auto"/>
              <w:jc w:val="center"/>
              <w:rPr>
                <w:sz w:val="24"/>
              </w:rPr>
            </w:pPr>
          </w:p>
        </w:tc>
      </w:tr>
      <w:tr w14:paraId="375C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67" w:type="dxa"/>
            <w:noWrap w:val="0"/>
            <w:vAlign w:val="center"/>
          </w:tcPr>
          <w:p w14:paraId="71B8469C">
            <w:pPr>
              <w:spacing w:after="120" w:line="360" w:lineRule="auto"/>
              <w:jc w:val="center"/>
              <w:rPr>
                <w:bCs/>
                <w:sz w:val="24"/>
              </w:rPr>
            </w:pPr>
            <w:r>
              <w:rPr>
                <w:rFonts w:hint="eastAsia"/>
                <w:bCs/>
                <w:sz w:val="24"/>
              </w:rPr>
              <w:t>2</w:t>
            </w:r>
          </w:p>
        </w:tc>
        <w:tc>
          <w:tcPr>
            <w:tcW w:w="3735" w:type="dxa"/>
            <w:noWrap w:val="0"/>
            <w:vAlign w:val="center"/>
          </w:tcPr>
          <w:p w14:paraId="608E0118">
            <w:pPr>
              <w:spacing w:after="120" w:line="360" w:lineRule="auto"/>
              <w:jc w:val="center"/>
              <w:rPr>
                <w:rFonts w:hint="eastAsia"/>
                <w:bCs/>
                <w:sz w:val="24"/>
              </w:rPr>
            </w:pPr>
          </w:p>
        </w:tc>
        <w:tc>
          <w:tcPr>
            <w:tcW w:w="3255" w:type="dxa"/>
            <w:noWrap w:val="0"/>
            <w:vAlign w:val="center"/>
          </w:tcPr>
          <w:p w14:paraId="2A425BC4">
            <w:pPr>
              <w:spacing w:after="120" w:line="360" w:lineRule="auto"/>
              <w:ind w:left="420" w:leftChars="200"/>
              <w:jc w:val="center"/>
              <w:rPr>
                <w:sz w:val="24"/>
              </w:rPr>
            </w:pPr>
          </w:p>
        </w:tc>
        <w:tc>
          <w:tcPr>
            <w:tcW w:w="5055" w:type="dxa"/>
            <w:noWrap w:val="0"/>
            <w:vAlign w:val="center"/>
          </w:tcPr>
          <w:p w14:paraId="29A17193">
            <w:pPr>
              <w:spacing w:after="120" w:line="360" w:lineRule="auto"/>
              <w:jc w:val="center"/>
              <w:rPr>
                <w:sz w:val="24"/>
              </w:rPr>
            </w:pPr>
          </w:p>
        </w:tc>
      </w:tr>
      <w:tr w14:paraId="3DD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67" w:type="dxa"/>
            <w:noWrap w:val="0"/>
            <w:vAlign w:val="center"/>
          </w:tcPr>
          <w:p w14:paraId="7FC32718">
            <w:pPr>
              <w:spacing w:after="120" w:line="360" w:lineRule="auto"/>
              <w:jc w:val="center"/>
              <w:rPr>
                <w:bCs/>
                <w:sz w:val="24"/>
              </w:rPr>
            </w:pPr>
            <w:r>
              <w:rPr>
                <w:rFonts w:hint="eastAsia"/>
                <w:bCs/>
                <w:sz w:val="24"/>
              </w:rPr>
              <w:t>3</w:t>
            </w:r>
          </w:p>
        </w:tc>
        <w:tc>
          <w:tcPr>
            <w:tcW w:w="3735" w:type="dxa"/>
            <w:noWrap w:val="0"/>
            <w:vAlign w:val="center"/>
          </w:tcPr>
          <w:p w14:paraId="2A021BB4">
            <w:pPr>
              <w:spacing w:after="120" w:line="360" w:lineRule="auto"/>
              <w:jc w:val="center"/>
              <w:rPr>
                <w:bCs/>
                <w:sz w:val="24"/>
              </w:rPr>
            </w:pPr>
          </w:p>
        </w:tc>
        <w:tc>
          <w:tcPr>
            <w:tcW w:w="3255" w:type="dxa"/>
            <w:noWrap w:val="0"/>
            <w:vAlign w:val="center"/>
          </w:tcPr>
          <w:p w14:paraId="5E798C61">
            <w:pPr>
              <w:spacing w:after="120" w:line="360" w:lineRule="auto"/>
              <w:ind w:left="420" w:leftChars="200"/>
              <w:jc w:val="center"/>
              <w:rPr>
                <w:sz w:val="24"/>
              </w:rPr>
            </w:pPr>
          </w:p>
        </w:tc>
        <w:tc>
          <w:tcPr>
            <w:tcW w:w="5055" w:type="dxa"/>
            <w:noWrap w:val="0"/>
            <w:vAlign w:val="center"/>
          </w:tcPr>
          <w:p w14:paraId="73E4C639">
            <w:pPr>
              <w:spacing w:after="120" w:line="360" w:lineRule="auto"/>
              <w:jc w:val="center"/>
              <w:rPr>
                <w:sz w:val="24"/>
              </w:rPr>
            </w:pPr>
          </w:p>
        </w:tc>
      </w:tr>
      <w:tr w14:paraId="0709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67" w:type="dxa"/>
            <w:noWrap w:val="0"/>
            <w:vAlign w:val="center"/>
          </w:tcPr>
          <w:p w14:paraId="48FFDCB4">
            <w:pPr>
              <w:spacing w:after="120" w:line="360" w:lineRule="auto"/>
              <w:jc w:val="center"/>
              <w:rPr>
                <w:rFonts w:hint="eastAsia"/>
                <w:bCs/>
                <w:sz w:val="24"/>
              </w:rPr>
            </w:pPr>
            <w:r>
              <w:rPr>
                <w:rFonts w:hint="eastAsia"/>
                <w:bCs/>
                <w:sz w:val="24"/>
              </w:rPr>
              <w:t>4</w:t>
            </w:r>
          </w:p>
        </w:tc>
        <w:tc>
          <w:tcPr>
            <w:tcW w:w="3735" w:type="dxa"/>
            <w:noWrap w:val="0"/>
            <w:vAlign w:val="center"/>
          </w:tcPr>
          <w:p w14:paraId="747A0BE0">
            <w:pPr>
              <w:spacing w:after="120" w:line="360" w:lineRule="auto"/>
              <w:jc w:val="center"/>
              <w:rPr>
                <w:bCs/>
                <w:sz w:val="24"/>
              </w:rPr>
            </w:pPr>
          </w:p>
        </w:tc>
        <w:tc>
          <w:tcPr>
            <w:tcW w:w="3255" w:type="dxa"/>
            <w:noWrap w:val="0"/>
            <w:vAlign w:val="center"/>
          </w:tcPr>
          <w:p w14:paraId="44B7CCBB">
            <w:pPr>
              <w:spacing w:after="120" w:line="360" w:lineRule="auto"/>
              <w:ind w:left="420" w:leftChars="200"/>
              <w:jc w:val="center"/>
              <w:rPr>
                <w:sz w:val="24"/>
              </w:rPr>
            </w:pPr>
          </w:p>
        </w:tc>
        <w:tc>
          <w:tcPr>
            <w:tcW w:w="5055" w:type="dxa"/>
            <w:noWrap w:val="0"/>
            <w:vAlign w:val="center"/>
          </w:tcPr>
          <w:p w14:paraId="4034FCC9">
            <w:pPr>
              <w:spacing w:after="120" w:line="360" w:lineRule="auto"/>
              <w:jc w:val="center"/>
              <w:rPr>
                <w:sz w:val="24"/>
              </w:rPr>
            </w:pPr>
          </w:p>
        </w:tc>
      </w:tr>
      <w:tr w14:paraId="21F2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67" w:type="dxa"/>
            <w:noWrap w:val="0"/>
            <w:vAlign w:val="center"/>
          </w:tcPr>
          <w:p w14:paraId="4CA66449">
            <w:pPr>
              <w:spacing w:after="120" w:line="360" w:lineRule="auto"/>
              <w:jc w:val="center"/>
              <w:rPr>
                <w:bCs/>
                <w:sz w:val="24"/>
              </w:rPr>
            </w:pPr>
            <w:r>
              <w:rPr>
                <w:rFonts w:hint="eastAsia"/>
                <w:bCs/>
                <w:sz w:val="24"/>
              </w:rPr>
              <w:t>5</w:t>
            </w:r>
          </w:p>
        </w:tc>
        <w:tc>
          <w:tcPr>
            <w:tcW w:w="3735" w:type="dxa"/>
            <w:noWrap w:val="0"/>
            <w:vAlign w:val="center"/>
          </w:tcPr>
          <w:p w14:paraId="24BCC312">
            <w:pPr>
              <w:spacing w:after="120" w:line="360" w:lineRule="auto"/>
              <w:jc w:val="center"/>
              <w:rPr>
                <w:bCs/>
                <w:sz w:val="24"/>
              </w:rPr>
            </w:pPr>
          </w:p>
        </w:tc>
        <w:tc>
          <w:tcPr>
            <w:tcW w:w="3255" w:type="dxa"/>
            <w:noWrap w:val="0"/>
            <w:vAlign w:val="center"/>
          </w:tcPr>
          <w:p w14:paraId="0D8D790A">
            <w:pPr>
              <w:spacing w:after="120" w:line="360" w:lineRule="auto"/>
              <w:ind w:left="420" w:leftChars="200"/>
              <w:jc w:val="center"/>
              <w:rPr>
                <w:sz w:val="24"/>
              </w:rPr>
            </w:pPr>
          </w:p>
        </w:tc>
        <w:tc>
          <w:tcPr>
            <w:tcW w:w="5055" w:type="dxa"/>
            <w:noWrap w:val="0"/>
            <w:vAlign w:val="center"/>
          </w:tcPr>
          <w:p w14:paraId="30D97F2D">
            <w:pPr>
              <w:spacing w:after="120" w:line="360" w:lineRule="auto"/>
              <w:jc w:val="center"/>
              <w:rPr>
                <w:sz w:val="24"/>
              </w:rPr>
            </w:pPr>
          </w:p>
        </w:tc>
      </w:tr>
      <w:tr w14:paraId="2599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noWrap w:val="0"/>
            <w:vAlign w:val="center"/>
          </w:tcPr>
          <w:p w14:paraId="19B0D607">
            <w:pPr>
              <w:spacing w:after="120" w:line="360" w:lineRule="auto"/>
              <w:jc w:val="center"/>
              <w:rPr>
                <w:bCs/>
                <w:sz w:val="24"/>
              </w:rPr>
            </w:pPr>
            <w:r>
              <w:rPr>
                <w:rFonts w:hint="eastAsia"/>
                <w:bCs/>
                <w:sz w:val="24"/>
              </w:rPr>
              <w:t>6</w:t>
            </w:r>
          </w:p>
        </w:tc>
        <w:tc>
          <w:tcPr>
            <w:tcW w:w="3735" w:type="dxa"/>
            <w:noWrap w:val="0"/>
            <w:vAlign w:val="center"/>
          </w:tcPr>
          <w:p w14:paraId="1BF19B3B">
            <w:pPr>
              <w:spacing w:after="120" w:line="360" w:lineRule="auto"/>
              <w:jc w:val="center"/>
              <w:rPr>
                <w:bCs/>
                <w:sz w:val="24"/>
              </w:rPr>
            </w:pPr>
            <w:r>
              <w:rPr>
                <w:bCs/>
                <w:sz w:val="24"/>
              </w:rPr>
              <w:t>合     计</w:t>
            </w:r>
          </w:p>
        </w:tc>
        <w:tc>
          <w:tcPr>
            <w:tcW w:w="3255" w:type="dxa"/>
            <w:noWrap w:val="0"/>
            <w:vAlign w:val="center"/>
          </w:tcPr>
          <w:p w14:paraId="70C1B15C">
            <w:pPr>
              <w:spacing w:after="120" w:line="360" w:lineRule="auto"/>
              <w:ind w:left="420" w:leftChars="200"/>
              <w:jc w:val="center"/>
              <w:rPr>
                <w:b/>
                <w:szCs w:val="21"/>
              </w:rPr>
            </w:pPr>
          </w:p>
        </w:tc>
        <w:tc>
          <w:tcPr>
            <w:tcW w:w="5055" w:type="dxa"/>
            <w:noWrap w:val="0"/>
            <w:vAlign w:val="center"/>
          </w:tcPr>
          <w:p w14:paraId="0AF541D7">
            <w:pPr>
              <w:spacing w:after="120" w:line="360" w:lineRule="auto"/>
              <w:ind w:left="420" w:leftChars="200"/>
              <w:jc w:val="center"/>
              <w:rPr>
                <w:b/>
                <w:szCs w:val="21"/>
              </w:rPr>
            </w:pPr>
          </w:p>
        </w:tc>
      </w:tr>
    </w:tbl>
    <w:p w14:paraId="15A9C873">
      <w:pPr>
        <w:rPr>
          <w:color w:val="FF0000"/>
          <w:sz w:val="24"/>
        </w:rPr>
      </w:pPr>
    </w:p>
    <w:p w14:paraId="73E2D447">
      <w:pPr>
        <w:rPr>
          <w:rFonts w:ascii="宋体" w:hAnsi="宋体"/>
          <w:color w:val="FF0000"/>
          <w:sz w:val="24"/>
          <w:szCs w:val="24"/>
        </w:rPr>
      </w:pPr>
      <w:r>
        <w:rPr>
          <w:rFonts w:hint="eastAsia"/>
          <w:color w:val="FF0000"/>
          <w:sz w:val="24"/>
        </w:rPr>
        <w:t>投标人授权代表签字（或盖章）：</w:t>
      </w:r>
      <w:r>
        <w:rPr>
          <w:rFonts w:hint="eastAsia"/>
          <w:color w:val="FF0000"/>
          <w:sz w:val="24"/>
          <w:u w:val="single"/>
        </w:rPr>
        <w:t xml:space="preserve">                   </w:t>
      </w:r>
    </w:p>
    <w:p w14:paraId="7C3BD353">
      <w:pPr>
        <w:spacing w:line="360" w:lineRule="auto"/>
        <w:rPr>
          <w:rFonts w:hint="eastAsia" w:ascii="宋体" w:hAnsi="宋体"/>
          <w:b/>
          <w:color w:val="FF0000"/>
          <w:sz w:val="24"/>
          <w:szCs w:val="24"/>
        </w:rPr>
      </w:pPr>
      <w:r>
        <w:rPr>
          <w:rFonts w:hint="eastAsia" w:ascii="宋体" w:hAnsi="宋体"/>
          <w:color w:val="FF0000"/>
          <w:sz w:val="24"/>
          <w:szCs w:val="24"/>
        </w:rPr>
        <w:t>要求:</w:t>
      </w:r>
      <w:r>
        <w:rPr>
          <w:rFonts w:hint="eastAsia" w:ascii="宋体" w:hAnsi="宋体"/>
          <w:color w:val="FF0000"/>
          <w:sz w:val="24"/>
          <w:szCs w:val="24"/>
          <w:lang w:val="en-US" w:eastAsia="zh-CN"/>
        </w:rPr>
        <w:t>1</w:t>
      </w:r>
      <w:r>
        <w:rPr>
          <w:rFonts w:ascii="宋体" w:hAnsi="宋体"/>
          <w:color w:val="FF0000"/>
          <w:sz w:val="24"/>
          <w:szCs w:val="24"/>
        </w:rPr>
        <w:t>.</w:t>
      </w:r>
      <w:r>
        <w:rPr>
          <w:rFonts w:hint="eastAsia" w:ascii="宋体" w:hAnsi="宋体"/>
          <w:color w:val="FF0000"/>
          <w:sz w:val="24"/>
          <w:szCs w:val="24"/>
        </w:rPr>
        <w:t>投标人应按技术要求及相关图纸详细列出分项报价，可按此格式扩展。</w:t>
      </w:r>
      <w:r>
        <w:rPr>
          <w:rFonts w:hint="eastAsia" w:ascii="宋体" w:hAnsi="宋体"/>
          <w:b/>
          <w:color w:val="FF0000"/>
          <w:sz w:val="24"/>
          <w:szCs w:val="24"/>
        </w:rPr>
        <w:t>如果不提供详细分项报价视为没有实质性响应招标文件要求。</w:t>
      </w:r>
    </w:p>
    <w:p w14:paraId="3964AAF6">
      <w:pPr>
        <w:numPr>
          <w:ilvl w:val="0"/>
          <w:numId w:val="4"/>
        </w:numPr>
        <w:spacing w:line="360" w:lineRule="auto"/>
        <w:rPr>
          <w:rFonts w:hint="eastAsia" w:ascii="宋体" w:hAnsi="宋体"/>
          <w:color w:val="FF0000"/>
          <w:sz w:val="24"/>
          <w:szCs w:val="24"/>
          <w:highlight w:val="yellow"/>
        </w:rPr>
      </w:pPr>
      <w:r>
        <w:rPr>
          <w:rFonts w:hint="eastAsia" w:ascii="宋体" w:hAnsi="宋体"/>
          <w:color w:val="FF0000"/>
          <w:sz w:val="24"/>
          <w:szCs w:val="24"/>
          <w:highlight w:val="yellow"/>
        </w:rPr>
        <w:t>此表仅供投标人报价时，做格式参考，投标人可根据投标项目情况自行编制。</w:t>
      </w:r>
    </w:p>
    <w:p w14:paraId="35C1ED43">
      <w:pPr>
        <w:numPr>
          <w:ilvl w:val="0"/>
          <w:numId w:val="0"/>
        </w:numPr>
        <w:spacing w:line="360" w:lineRule="auto"/>
        <w:rPr>
          <w:rFonts w:ascii="宋体" w:hAnsi="宋体"/>
          <w:sz w:val="24"/>
          <w:szCs w:val="24"/>
        </w:rPr>
      </w:pPr>
      <w:r>
        <w:rPr>
          <w:rFonts w:hint="eastAsia" w:ascii="宋体" w:hAnsi="宋体"/>
          <w:color w:val="FF0000"/>
          <w:sz w:val="24"/>
          <w:szCs w:val="24"/>
          <w:lang w:val="en-US" w:eastAsia="zh-CN"/>
        </w:rPr>
        <w:t>3</w:t>
      </w:r>
      <w:r>
        <w:rPr>
          <w:rFonts w:hint="eastAsia" w:ascii="宋体" w:hAnsi="宋体"/>
          <w:color w:val="FF0000"/>
          <w:sz w:val="24"/>
          <w:szCs w:val="24"/>
        </w:rPr>
        <w:t>.此表手写无效。</w:t>
      </w:r>
    </w:p>
    <w:p w14:paraId="3C508A76">
      <w:pPr>
        <w:spacing w:line="360" w:lineRule="auto"/>
        <w:rPr>
          <w:rFonts w:ascii="宋体" w:hAnsi="宋体"/>
          <w:color w:val="FF0000"/>
          <w:sz w:val="24"/>
          <w:szCs w:val="24"/>
          <w:u w:val="single"/>
        </w:rPr>
      </w:pPr>
      <w:bookmarkStart w:id="50" w:name="_Hlk509409727"/>
      <w:r>
        <w:rPr>
          <w:rFonts w:hint="eastAsia" w:ascii="宋体" w:hAnsi="宋体"/>
          <w:color w:val="FF0000"/>
          <w:sz w:val="24"/>
          <w:szCs w:val="24"/>
        </w:rPr>
        <w:t xml:space="preserve">投标单位（盖章）： </w:t>
      </w:r>
      <w:bookmarkEnd w:id="50"/>
      <w:r>
        <w:rPr>
          <w:rFonts w:hint="eastAsia" w:ascii="宋体" w:hAnsi="宋体"/>
          <w:color w:val="FF0000"/>
          <w:sz w:val="24"/>
          <w:szCs w:val="24"/>
        </w:rPr>
        <w:t xml:space="preserve"> </w:t>
      </w:r>
      <w:r>
        <w:rPr>
          <w:rFonts w:hint="eastAsia" w:ascii="宋体" w:hAnsi="宋体"/>
          <w:color w:val="FF0000"/>
          <w:sz w:val="24"/>
          <w:szCs w:val="24"/>
          <w:u w:val="single"/>
        </w:rPr>
        <w:t xml:space="preserve">                 </w:t>
      </w:r>
    </w:p>
    <w:p w14:paraId="08ED462B">
      <w:pPr>
        <w:spacing w:line="360" w:lineRule="auto"/>
        <w:jc w:val="left"/>
        <w:rPr>
          <w:rFonts w:ascii="宋体" w:hAnsi="宋体"/>
          <w:sz w:val="24"/>
          <w:szCs w:val="24"/>
        </w:rPr>
        <w:sectPr>
          <w:headerReference r:id="rId7" w:type="default"/>
          <w:footerReference r:id="rId8" w:type="default"/>
          <w:pgSz w:w="16840" w:h="11907" w:orient="landscape"/>
          <w:pgMar w:top="1418" w:right="1418" w:bottom="1418" w:left="1418" w:header="720" w:footer="720" w:gutter="0"/>
          <w:pgNumType w:fmt="numberInDash"/>
          <w:cols w:space="720" w:num="1"/>
          <w:docGrid w:linePitch="312" w:charSpace="0"/>
        </w:sectPr>
      </w:pPr>
    </w:p>
    <w:p w14:paraId="0C428F22">
      <w:pPr>
        <w:spacing w:after="0" w:line="200" w:lineRule="exact"/>
        <w:rPr>
          <w:color w:val="auto"/>
          <w:sz w:val="20"/>
          <w:szCs w:val="20"/>
        </w:rPr>
      </w:pPr>
    </w:p>
    <w:p w14:paraId="7FC38DE7">
      <w:pPr>
        <w:spacing w:after="0" w:line="200" w:lineRule="exact"/>
        <w:rPr>
          <w:color w:val="auto"/>
          <w:sz w:val="20"/>
          <w:szCs w:val="20"/>
        </w:rPr>
      </w:pPr>
    </w:p>
    <w:p w14:paraId="74E0F6DF">
      <w:pPr>
        <w:pStyle w:val="4"/>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14:paraId="109D5828">
      <w:pPr>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.1 技术规格偏离表</w:t>
      </w:r>
    </w:p>
    <w:p w14:paraId="5D9E03CB">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0" w:type="auto"/>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560"/>
        <w:gridCol w:w="1260"/>
        <w:gridCol w:w="1323"/>
        <w:gridCol w:w="1077"/>
        <w:gridCol w:w="1077"/>
        <w:gridCol w:w="1743"/>
      </w:tblGrid>
      <w:tr w14:paraId="7AF9F51C">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301A09AB">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14:paraId="424BD33A">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货物名称</w:t>
            </w:r>
          </w:p>
        </w:tc>
        <w:tc>
          <w:tcPr>
            <w:tcW w:w="1260" w:type="dxa"/>
            <w:noWrap w:val="0"/>
            <w:vAlign w:val="top"/>
          </w:tcPr>
          <w:p w14:paraId="36A8B1D3">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p>
          <w:p w14:paraId="383D7D72">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序</w:t>
            </w:r>
            <w:r>
              <w:rPr>
                <w:rFonts w:hint="eastAsia" w:ascii="宋体" w:hAnsi="宋体" w:eastAsia="宋体" w:cs="宋体"/>
                <w:color w:val="000000"/>
                <w:sz w:val="28"/>
                <w:szCs w:val="28"/>
              </w:rPr>
              <w:t>号</w:t>
            </w:r>
          </w:p>
        </w:tc>
        <w:tc>
          <w:tcPr>
            <w:tcW w:w="1323" w:type="dxa"/>
            <w:noWrap w:val="0"/>
            <w:vAlign w:val="top"/>
          </w:tcPr>
          <w:p w14:paraId="11442713">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rPr>
              <w:t>规格</w:t>
            </w:r>
          </w:p>
        </w:tc>
        <w:tc>
          <w:tcPr>
            <w:tcW w:w="1077" w:type="dxa"/>
            <w:noWrap w:val="0"/>
            <w:vAlign w:val="top"/>
          </w:tcPr>
          <w:p w14:paraId="0E367094">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规格</w:t>
            </w:r>
          </w:p>
        </w:tc>
        <w:tc>
          <w:tcPr>
            <w:tcW w:w="1077" w:type="dxa"/>
            <w:noWrap w:val="0"/>
            <w:vAlign w:val="top"/>
          </w:tcPr>
          <w:p w14:paraId="4F9EDC36">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偏离</w:t>
            </w:r>
          </w:p>
        </w:tc>
        <w:tc>
          <w:tcPr>
            <w:tcW w:w="1743" w:type="dxa"/>
            <w:noWrap w:val="0"/>
            <w:vAlign w:val="top"/>
          </w:tcPr>
          <w:p w14:paraId="0AC8D2E2">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14:paraId="33F610D3">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1DE04B59">
            <w:pPr>
              <w:rPr>
                <w:rFonts w:hint="eastAsia" w:ascii="宋体" w:hAnsi="宋体" w:eastAsia="宋体" w:cs="宋体"/>
                <w:color w:val="000000"/>
                <w:sz w:val="28"/>
                <w:szCs w:val="28"/>
              </w:rPr>
            </w:pPr>
          </w:p>
        </w:tc>
        <w:tc>
          <w:tcPr>
            <w:tcW w:w="1560" w:type="dxa"/>
            <w:noWrap w:val="0"/>
            <w:vAlign w:val="top"/>
          </w:tcPr>
          <w:p w14:paraId="6FAD5C93">
            <w:pPr>
              <w:rPr>
                <w:rFonts w:hint="eastAsia" w:ascii="宋体" w:hAnsi="宋体" w:eastAsia="宋体" w:cs="宋体"/>
                <w:color w:val="000000"/>
                <w:sz w:val="28"/>
                <w:szCs w:val="28"/>
              </w:rPr>
            </w:pPr>
          </w:p>
        </w:tc>
        <w:tc>
          <w:tcPr>
            <w:tcW w:w="1260" w:type="dxa"/>
            <w:noWrap w:val="0"/>
            <w:vAlign w:val="top"/>
          </w:tcPr>
          <w:p w14:paraId="18C837AD">
            <w:pPr>
              <w:rPr>
                <w:rFonts w:hint="eastAsia" w:ascii="宋体" w:hAnsi="宋体" w:eastAsia="宋体" w:cs="宋体"/>
                <w:color w:val="000000"/>
                <w:sz w:val="28"/>
                <w:szCs w:val="28"/>
              </w:rPr>
            </w:pPr>
          </w:p>
        </w:tc>
        <w:tc>
          <w:tcPr>
            <w:tcW w:w="1323" w:type="dxa"/>
            <w:noWrap w:val="0"/>
            <w:vAlign w:val="top"/>
          </w:tcPr>
          <w:p w14:paraId="3B4B83E3">
            <w:pPr>
              <w:rPr>
                <w:rFonts w:hint="eastAsia" w:ascii="宋体" w:hAnsi="宋体" w:eastAsia="宋体" w:cs="宋体"/>
                <w:color w:val="000000"/>
                <w:sz w:val="28"/>
                <w:szCs w:val="28"/>
              </w:rPr>
            </w:pPr>
          </w:p>
        </w:tc>
        <w:tc>
          <w:tcPr>
            <w:tcW w:w="1077" w:type="dxa"/>
            <w:noWrap w:val="0"/>
            <w:vAlign w:val="top"/>
          </w:tcPr>
          <w:p w14:paraId="3BFF2147">
            <w:pPr>
              <w:rPr>
                <w:rFonts w:hint="eastAsia" w:ascii="宋体" w:hAnsi="宋体" w:eastAsia="宋体" w:cs="宋体"/>
                <w:color w:val="000000"/>
                <w:sz w:val="28"/>
                <w:szCs w:val="28"/>
              </w:rPr>
            </w:pPr>
          </w:p>
        </w:tc>
        <w:tc>
          <w:tcPr>
            <w:tcW w:w="1077" w:type="dxa"/>
            <w:noWrap w:val="0"/>
            <w:vAlign w:val="top"/>
          </w:tcPr>
          <w:p w14:paraId="21AB415A">
            <w:pPr>
              <w:rPr>
                <w:rFonts w:hint="eastAsia" w:ascii="宋体" w:hAnsi="宋体" w:eastAsia="宋体" w:cs="宋体"/>
                <w:color w:val="000000"/>
                <w:sz w:val="28"/>
                <w:szCs w:val="28"/>
              </w:rPr>
            </w:pPr>
          </w:p>
        </w:tc>
        <w:tc>
          <w:tcPr>
            <w:tcW w:w="1743" w:type="dxa"/>
            <w:noWrap w:val="0"/>
            <w:vAlign w:val="top"/>
          </w:tcPr>
          <w:p w14:paraId="162B35B3">
            <w:pPr>
              <w:rPr>
                <w:rFonts w:hint="eastAsia" w:ascii="宋体" w:hAnsi="宋体" w:eastAsia="宋体" w:cs="宋体"/>
                <w:color w:val="000000"/>
                <w:sz w:val="28"/>
                <w:szCs w:val="28"/>
              </w:rPr>
            </w:pPr>
          </w:p>
        </w:tc>
      </w:tr>
      <w:tr w14:paraId="44DC4EF5">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416BE2C2">
            <w:pPr>
              <w:rPr>
                <w:rFonts w:hint="eastAsia" w:ascii="宋体" w:hAnsi="宋体" w:eastAsia="宋体" w:cs="宋体"/>
                <w:color w:val="000000"/>
                <w:sz w:val="28"/>
                <w:szCs w:val="28"/>
              </w:rPr>
            </w:pPr>
          </w:p>
        </w:tc>
        <w:tc>
          <w:tcPr>
            <w:tcW w:w="1560" w:type="dxa"/>
            <w:noWrap w:val="0"/>
            <w:vAlign w:val="top"/>
          </w:tcPr>
          <w:p w14:paraId="11F18C90">
            <w:pPr>
              <w:rPr>
                <w:rFonts w:hint="eastAsia" w:ascii="宋体" w:hAnsi="宋体" w:eastAsia="宋体" w:cs="宋体"/>
                <w:color w:val="000000"/>
                <w:sz w:val="28"/>
                <w:szCs w:val="28"/>
              </w:rPr>
            </w:pPr>
          </w:p>
        </w:tc>
        <w:tc>
          <w:tcPr>
            <w:tcW w:w="1260" w:type="dxa"/>
            <w:noWrap w:val="0"/>
            <w:vAlign w:val="top"/>
          </w:tcPr>
          <w:p w14:paraId="2AD1550E">
            <w:pPr>
              <w:rPr>
                <w:rFonts w:hint="eastAsia" w:ascii="宋体" w:hAnsi="宋体" w:eastAsia="宋体" w:cs="宋体"/>
                <w:color w:val="000000"/>
                <w:sz w:val="28"/>
                <w:szCs w:val="28"/>
              </w:rPr>
            </w:pPr>
          </w:p>
        </w:tc>
        <w:tc>
          <w:tcPr>
            <w:tcW w:w="1323" w:type="dxa"/>
            <w:noWrap w:val="0"/>
            <w:vAlign w:val="top"/>
          </w:tcPr>
          <w:p w14:paraId="35ECE3B1">
            <w:pPr>
              <w:rPr>
                <w:rFonts w:hint="eastAsia" w:ascii="宋体" w:hAnsi="宋体" w:eastAsia="宋体" w:cs="宋体"/>
                <w:color w:val="000000"/>
                <w:sz w:val="28"/>
                <w:szCs w:val="28"/>
              </w:rPr>
            </w:pPr>
          </w:p>
        </w:tc>
        <w:tc>
          <w:tcPr>
            <w:tcW w:w="1077" w:type="dxa"/>
            <w:noWrap w:val="0"/>
            <w:vAlign w:val="top"/>
          </w:tcPr>
          <w:p w14:paraId="27157686">
            <w:pPr>
              <w:rPr>
                <w:rFonts w:hint="eastAsia" w:ascii="宋体" w:hAnsi="宋体" w:eastAsia="宋体" w:cs="宋体"/>
                <w:color w:val="000000"/>
                <w:sz w:val="28"/>
                <w:szCs w:val="28"/>
              </w:rPr>
            </w:pPr>
          </w:p>
        </w:tc>
        <w:tc>
          <w:tcPr>
            <w:tcW w:w="1077" w:type="dxa"/>
            <w:noWrap w:val="0"/>
            <w:vAlign w:val="top"/>
          </w:tcPr>
          <w:p w14:paraId="4D73EFBF">
            <w:pPr>
              <w:rPr>
                <w:rFonts w:hint="eastAsia" w:ascii="宋体" w:hAnsi="宋体" w:eastAsia="宋体" w:cs="宋体"/>
                <w:color w:val="000000"/>
                <w:sz w:val="28"/>
                <w:szCs w:val="28"/>
              </w:rPr>
            </w:pPr>
          </w:p>
        </w:tc>
        <w:tc>
          <w:tcPr>
            <w:tcW w:w="1743" w:type="dxa"/>
            <w:noWrap w:val="0"/>
            <w:vAlign w:val="top"/>
          </w:tcPr>
          <w:p w14:paraId="68632CB6">
            <w:pPr>
              <w:rPr>
                <w:rFonts w:hint="eastAsia" w:ascii="宋体" w:hAnsi="宋体" w:eastAsia="宋体" w:cs="宋体"/>
                <w:color w:val="000000"/>
                <w:sz w:val="28"/>
                <w:szCs w:val="28"/>
              </w:rPr>
            </w:pPr>
          </w:p>
        </w:tc>
      </w:tr>
      <w:tr w14:paraId="1DD88F84">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3C9B0D20">
            <w:pPr>
              <w:rPr>
                <w:rFonts w:hint="eastAsia" w:ascii="宋体" w:hAnsi="宋体" w:eastAsia="宋体" w:cs="宋体"/>
                <w:color w:val="000000"/>
                <w:sz w:val="28"/>
                <w:szCs w:val="28"/>
              </w:rPr>
            </w:pPr>
          </w:p>
        </w:tc>
        <w:tc>
          <w:tcPr>
            <w:tcW w:w="1560" w:type="dxa"/>
            <w:noWrap w:val="0"/>
            <w:vAlign w:val="top"/>
          </w:tcPr>
          <w:p w14:paraId="3F08174A">
            <w:pPr>
              <w:rPr>
                <w:rFonts w:hint="eastAsia" w:ascii="宋体" w:hAnsi="宋体" w:eastAsia="宋体" w:cs="宋体"/>
                <w:color w:val="000000"/>
                <w:sz w:val="28"/>
                <w:szCs w:val="28"/>
              </w:rPr>
            </w:pPr>
          </w:p>
        </w:tc>
        <w:tc>
          <w:tcPr>
            <w:tcW w:w="1260" w:type="dxa"/>
            <w:noWrap w:val="0"/>
            <w:vAlign w:val="top"/>
          </w:tcPr>
          <w:p w14:paraId="0DCA0C62">
            <w:pPr>
              <w:rPr>
                <w:rFonts w:hint="eastAsia" w:ascii="宋体" w:hAnsi="宋体" w:eastAsia="宋体" w:cs="宋体"/>
                <w:color w:val="000000"/>
                <w:sz w:val="28"/>
                <w:szCs w:val="28"/>
              </w:rPr>
            </w:pPr>
          </w:p>
        </w:tc>
        <w:tc>
          <w:tcPr>
            <w:tcW w:w="1323" w:type="dxa"/>
            <w:noWrap w:val="0"/>
            <w:vAlign w:val="top"/>
          </w:tcPr>
          <w:p w14:paraId="54C1470A">
            <w:pPr>
              <w:rPr>
                <w:rFonts w:hint="eastAsia" w:ascii="宋体" w:hAnsi="宋体" w:eastAsia="宋体" w:cs="宋体"/>
                <w:color w:val="000000"/>
                <w:sz w:val="28"/>
                <w:szCs w:val="28"/>
              </w:rPr>
            </w:pPr>
          </w:p>
        </w:tc>
        <w:tc>
          <w:tcPr>
            <w:tcW w:w="1077" w:type="dxa"/>
            <w:noWrap w:val="0"/>
            <w:vAlign w:val="top"/>
          </w:tcPr>
          <w:p w14:paraId="38E89BE2">
            <w:pPr>
              <w:rPr>
                <w:rFonts w:hint="eastAsia" w:ascii="宋体" w:hAnsi="宋体" w:eastAsia="宋体" w:cs="宋体"/>
                <w:color w:val="000000"/>
                <w:sz w:val="28"/>
                <w:szCs w:val="28"/>
              </w:rPr>
            </w:pPr>
          </w:p>
        </w:tc>
        <w:tc>
          <w:tcPr>
            <w:tcW w:w="1077" w:type="dxa"/>
            <w:noWrap w:val="0"/>
            <w:vAlign w:val="top"/>
          </w:tcPr>
          <w:p w14:paraId="283D7462">
            <w:pPr>
              <w:rPr>
                <w:rFonts w:hint="eastAsia" w:ascii="宋体" w:hAnsi="宋体" w:eastAsia="宋体" w:cs="宋体"/>
                <w:color w:val="000000"/>
                <w:sz w:val="28"/>
                <w:szCs w:val="28"/>
              </w:rPr>
            </w:pPr>
          </w:p>
        </w:tc>
        <w:tc>
          <w:tcPr>
            <w:tcW w:w="1743" w:type="dxa"/>
            <w:noWrap w:val="0"/>
            <w:vAlign w:val="top"/>
          </w:tcPr>
          <w:p w14:paraId="6E25126A">
            <w:pPr>
              <w:rPr>
                <w:rFonts w:hint="eastAsia" w:ascii="宋体" w:hAnsi="宋体" w:eastAsia="宋体" w:cs="宋体"/>
                <w:color w:val="000000"/>
                <w:sz w:val="28"/>
                <w:szCs w:val="28"/>
              </w:rPr>
            </w:pPr>
          </w:p>
        </w:tc>
      </w:tr>
      <w:tr w14:paraId="3C7DB50B">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3FCBD86E">
            <w:pPr>
              <w:rPr>
                <w:rFonts w:hint="eastAsia" w:ascii="宋体" w:hAnsi="宋体" w:eastAsia="宋体" w:cs="宋体"/>
                <w:color w:val="000000"/>
                <w:sz w:val="28"/>
                <w:szCs w:val="28"/>
              </w:rPr>
            </w:pPr>
          </w:p>
        </w:tc>
        <w:tc>
          <w:tcPr>
            <w:tcW w:w="1560" w:type="dxa"/>
            <w:noWrap w:val="0"/>
            <w:vAlign w:val="top"/>
          </w:tcPr>
          <w:p w14:paraId="4A7B6E44">
            <w:pPr>
              <w:rPr>
                <w:rFonts w:hint="eastAsia" w:ascii="宋体" w:hAnsi="宋体" w:eastAsia="宋体" w:cs="宋体"/>
                <w:color w:val="000000"/>
                <w:sz w:val="28"/>
                <w:szCs w:val="28"/>
              </w:rPr>
            </w:pPr>
          </w:p>
        </w:tc>
        <w:tc>
          <w:tcPr>
            <w:tcW w:w="1260" w:type="dxa"/>
            <w:noWrap w:val="0"/>
            <w:vAlign w:val="top"/>
          </w:tcPr>
          <w:p w14:paraId="071FA3BC">
            <w:pPr>
              <w:rPr>
                <w:rFonts w:hint="eastAsia" w:ascii="宋体" w:hAnsi="宋体" w:eastAsia="宋体" w:cs="宋体"/>
                <w:color w:val="000000"/>
                <w:sz w:val="28"/>
                <w:szCs w:val="28"/>
              </w:rPr>
            </w:pPr>
          </w:p>
        </w:tc>
        <w:tc>
          <w:tcPr>
            <w:tcW w:w="1323" w:type="dxa"/>
            <w:noWrap w:val="0"/>
            <w:vAlign w:val="top"/>
          </w:tcPr>
          <w:p w14:paraId="4D328DD8">
            <w:pPr>
              <w:rPr>
                <w:rFonts w:hint="eastAsia" w:ascii="宋体" w:hAnsi="宋体" w:eastAsia="宋体" w:cs="宋体"/>
                <w:color w:val="000000"/>
                <w:sz w:val="28"/>
                <w:szCs w:val="28"/>
              </w:rPr>
            </w:pPr>
          </w:p>
        </w:tc>
        <w:tc>
          <w:tcPr>
            <w:tcW w:w="1077" w:type="dxa"/>
            <w:noWrap w:val="0"/>
            <w:vAlign w:val="top"/>
          </w:tcPr>
          <w:p w14:paraId="339609AA">
            <w:pPr>
              <w:rPr>
                <w:rFonts w:hint="eastAsia" w:ascii="宋体" w:hAnsi="宋体" w:eastAsia="宋体" w:cs="宋体"/>
                <w:color w:val="000000"/>
                <w:sz w:val="28"/>
                <w:szCs w:val="28"/>
              </w:rPr>
            </w:pPr>
          </w:p>
        </w:tc>
        <w:tc>
          <w:tcPr>
            <w:tcW w:w="1077" w:type="dxa"/>
            <w:noWrap w:val="0"/>
            <w:vAlign w:val="top"/>
          </w:tcPr>
          <w:p w14:paraId="342C9F55">
            <w:pPr>
              <w:rPr>
                <w:rFonts w:hint="eastAsia" w:ascii="宋体" w:hAnsi="宋体" w:eastAsia="宋体" w:cs="宋体"/>
                <w:color w:val="000000"/>
                <w:sz w:val="28"/>
                <w:szCs w:val="28"/>
              </w:rPr>
            </w:pPr>
          </w:p>
        </w:tc>
        <w:tc>
          <w:tcPr>
            <w:tcW w:w="1743" w:type="dxa"/>
            <w:noWrap w:val="0"/>
            <w:vAlign w:val="top"/>
          </w:tcPr>
          <w:p w14:paraId="66AC20C7">
            <w:pPr>
              <w:rPr>
                <w:rFonts w:hint="eastAsia" w:ascii="宋体" w:hAnsi="宋体" w:eastAsia="宋体" w:cs="宋体"/>
                <w:color w:val="000000"/>
                <w:sz w:val="28"/>
                <w:szCs w:val="28"/>
              </w:rPr>
            </w:pPr>
          </w:p>
        </w:tc>
      </w:tr>
      <w:tr w14:paraId="66AEC357">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0EDCB1D1">
            <w:pPr>
              <w:rPr>
                <w:rFonts w:hint="eastAsia" w:ascii="宋体" w:hAnsi="宋体" w:eastAsia="宋体" w:cs="宋体"/>
                <w:color w:val="000000"/>
                <w:sz w:val="28"/>
                <w:szCs w:val="28"/>
              </w:rPr>
            </w:pPr>
          </w:p>
        </w:tc>
        <w:tc>
          <w:tcPr>
            <w:tcW w:w="1560" w:type="dxa"/>
            <w:noWrap w:val="0"/>
            <w:vAlign w:val="top"/>
          </w:tcPr>
          <w:p w14:paraId="5C271E34">
            <w:pPr>
              <w:rPr>
                <w:rFonts w:hint="eastAsia" w:ascii="宋体" w:hAnsi="宋体" w:eastAsia="宋体" w:cs="宋体"/>
                <w:color w:val="000000"/>
                <w:sz w:val="28"/>
                <w:szCs w:val="28"/>
              </w:rPr>
            </w:pPr>
          </w:p>
        </w:tc>
        <w:tc>
          <w:tcPr>
            <w:tcW w:w="1260" w:type="dxa"/>
            <w:noWrap w:val="0"/>
            <w:vAlign w:val="top"/>
          </w:tcPr>
          <w:p w14:paraId="3259D449">
            <w:pPr>
              <w:rPr>
                <w:rFonts w:hint="eastAsia" w:ascii="宋体" w:hAnsi="宋体" w:eastAsia="宋体" w:cs="宋体"/>
                <w:color w:val="000000"/>
                <w:sz w:val="28"/>
                <w:szCs w:val="28"/>
              </w:rPr>
            </w:pPr>
          </w:p>
        </w:tc>
        <w:tc>
          <w:tcPr>
            <w:tcW w:w="1323" w:type="dxa"/>
            <w:noWrap w:val="0"/>
            <w:vAlign w:val="top"/>
          </w:tcPr>
          <w:p w14:paraId="195B6069">
            <w:pPr>
              <w:rPr>
                <w:rFonts w:hint="eastAsia" w:ascii="宋体" w:hAnsi="宋体" w:eastAsia="宋体" w:cs="宋体"/>
                <w:color w:val="000000"/>
                <w:sz w:val="28"/>
                <w:szCs w:val="28"/>
              </w:rPr>
            </w:pPr>
          </w:p>
        </w:tc>
        <w:tc>
          <w:tcPr>
            <w:tcW w:w="1077" w:type="dxa"/>
            <w:noWrap w:val="0"/>
            <w:vAlign w:val="top"/>
          </w:tcPr>
          <w:p w14:paraId="31FDDF57">
            <w:pPr>
              <w:rPr>
                <w:rFonts w:hint="eastAsia" w:ascii="宋体" w:hAnsi="宋体" w:eastAsia="宋体" w:cs="宋体"/>
                <w:color w:val="000000"/>
                <w:sz w:val="28"/>
                <w:szCs w:val="28"/>
              </w:rPr>
            </w:pPr>
          </w:p>
        </w:tc>
        <w:tc>
          <w:tcPr>
            <w:tcW w:w="1077" w:type="dxa"/>
            <w:noWrap w:val="0"/>
            <w:vAlign w:val="top"/>
          </w:tcPr>
          <w:p w14:paraId="7570DE5A">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743" w:type="dxa"/>
            <w:noWrap w:val="0"/>
            <w:vAlign w:val="top"/>
          </w:tcPr>
          <w:p w14:paraId="65E9780F">
            <w:pPr>
              <w:rPr>
                <w:rFonts w:hint="eastAsia" w:ascii="宋体" w:hAnsi="宋体" w:eastAsia="宋体" w:cs="宋体"/>
                <w:color w:val="000000"/>
                <w:sz w:val="28"/>
                <w:szCs w:val="28"/>
              </w:rPr>
            </w:pPr>
          </w:p>
        </w:tc>
      </w:tr>
    </w:tbl>
    <w:p w14:paraId="621439DB">
      <w:pPr>
        <w:pStyle w:val="13"/>
        <w:rPr>
          <w:rFonts w:hint="eastAsia" w:ascii="宋体" w:hAnsi="宋体" w:eastAsia="宋体" w:cs="宋体"/>
          <w:color w:val="000000"/>
          <w:sz w:val="28"/>
          <w:szCs w:val="28"/>
        </w:rPr>
      </w:pPr>
    </w:p>
    <w:p w14:paraId="492A3041">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人应在</w:t>
      </w:r>
      <w:r>
        <w:rPr>
          <w:rFonts w:hint="eastAsia" w:ascii="宋体" w:hAnsi="宋体" w:eastAsia="宋体" w:cs="宋体"/>
          <w:color w:val="000000"/>
          <w:sz w:val="28"/>
          <w:szCs w:val="28"/>
          <w:lang w:eastAsia="zh-CN"/>
        </w:rPr>
        <w:t>报价文件</w:t>
      </w:r>
      <w:r>
        <w:rPr>
          <w:rFonts w:hint="eastAsia" w:ascii="宋体" w:hAnsi="宋体" w:eastAsia="宋体" w:cs="宋体"/>
          <w:color w:val="000000"/>
          <w:sz w:val="28"/>
          <w:szCs w:val="28"/>
        </w:rPr>
        <w:t>中详细列出</w:t>
      </w:r>
      <w:r>
        <w:rPr>
          <w:rFonts w:hint="eastAsia" w:ascii="宋体" w:hAnsi="宋体" w:eastAsia="宋体" w:cs="宋体"/>
          <w:color w:val="000000"/>
          <w:sz w:val="28"/>
          <w:szCs w:val="28"/>
          <w:lang w:eastAsia="zh-CN"/>
        </w:rPr>
        <w:t>参与报价</w:t>
      </w:r>
      <w:r>
        <w:rPr>
          <w:rFonts w:hint="eastAsia" w:ascii="宋体" w:hAnsi="宋体" w:eastAsia="宋体" w:cs="宋体"/>
          <w:color w:val="000000"/>
          <w:sz w:val="28"/>
          <w:szCs w:val="28"/>
        </w:rPr>
        <w:t>货物的技术性能和主要技术参数，如</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人递交的技术规格书中与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的技术规格书中的要求有不同时，应逐条列在技术偏离表中，否则将认为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询价通知及附件</w:t>
      </w:r>
      <w:r>
        <w:rPr>
          <w:rFonts w:hint="eastAsia" w:ascii="宋体" w:hAnsi="宋体" w:eastAsia="宋体" w:cs="宋体"/>
          <w:color w:val="000000"/>
          <w:sz w:val="28"/>
          <w:szCs w:val="28"/>
        </w:rPr>
        <w:t>技术规格书中的要求。</w:t>
      </w:r>
    </w:p>
    <w:p w14:paraId="6E8AB989">
      <w:pPr>
        <w:rPr>
          <w:rFonts w:hint="eastAsia" w:ascii="宋体" w:hAnsi="宋体" w:eastAsia="宋体" w:cs="宋体"/>
          <w:color w:val="000000"/>
          <w:sz w:val="28"/>
          <w:szCs w:val="28"/>
        </w:rPr>
      </w:pPr>
    </w:p>
    <w:p w14:paraId="2B4283FF">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w:t>
      </w:r>
    </w:p>
    <w:p w14:paraId="5B5C496F">
      <w:pPr>
        <w:rPr>
          <w:rFonts w:hint="eastAsia" w:ascii="宋体" w:hAnsi="宋体" w:eastAsia="宋体" w:cs="宋体"/>
          <w:color w:val="000000"/>
          <w:sz w:val="28"/>
          <w:szCs w:val="28"/>
        </w:rPr>
      </w:pPr>
    </w:p>
    <w:p w14:paraId="5BF45D6B">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报价单位代表签字盖章：</w:t>
      </w:r>
    </w:p>
    <w:p w14:paraId="0164A7B8">
      <w:pPr>
        <w:pStyle w:val="4"/>
        <w:jc w:val="both"/>
        <w:rPr>
          <w:rFonts w:hint="eastAsia" w:ascii="楷体_GB2312" w:hAnsi="Times New Roman" w:eastAsia="楷体_GB2312"/>
          <w:b/>
          <w:bCs w:val="0"/>
          <w:color w:val="000000"/>
          <w:kern w:val="2"/>
          <w:sz w:val="36"/>
          <w:szCs w:val="24"/>
          <w:lang w:val="en-US" w:eastAsia="zh-CN" w:bidi="ar-SA"/>
        </w:rPr>
      </w:pPr>
    </w:p>
    <w:p w14:paraId="7F388C67">
      <w:pPr>
        <w:pStyle w:val="4"/>
        <w:jc w:val="both"/>
        <w:rPr>
          <w:rFonts w:hint="eastAsia" w:ascii="楷体_GB2312" w:hAnsi="Times New Roman" w:eastAsia="楷体_GB2312"/>
          <w:b/>
          <w:bCs w:val="0"/>
          <w:color w:val="000000"/>
          <w:kern w:val="2"/>
          <w:sz w:val="36"/>
          <w:szCs w:val="24"/>
          <w:lang w:val="en-US" w:eastAsia="zh-CN" w:bidi="ar-SA"/>
        </w:rPr>
      </w:pPr>
    </w:p>
    <w:p w14:paraId="68126632">
      <w:pPr>
        <w:pStyle w:val="4"/>
        <w:jc w:val="both"/>
        <w:rPr>
          <w:rFonts w:hint="eastAsia" w:ascii="楷体_GB2312" w:hAnsi="Times New Roman" w:eastAsia="楷体_GB2312"/>
          <w:b/>
          <w:bCs w:val="0"/>
          <w:color w:val="000000"/>
          <w:kern w:val="2"/>
          <w:sz w:val="36"/>
          <w:szCs w:val="24"/>
          <w:lang w:val="en-US" w:eastAsia="zh-CN" w:bidi="ar-SA"/>
        </w:rPr>
      </w:pPr>
    </w:p>
    <w:p w14:paraId="444764D7">
      <w:pPr>
        <w:spacing w:line="360" w:lineRule="auto"/>
        <w:rPr>
          <w:rFonts w:hint="eastAsia" w:ascii="宋体" w:hAnsi="宋体"/>
          <w:sz w:val="24"/>
          <w:szCs w:val="24"/>
        </w:rPr>
      </w:pPr>
    </w:p>
    <w:p w14:paraId="4939A95C">
      <w:pPr>
        <w:jc w:val="center"/>
        <w:rPr>
          <w:rFonts w:hint="eastAsia" w:ascii="宋体" w:hAnsi="宋体"/>
          <w:b w:val="0"/>
          <w:bCs/>
          <w:color w:val="000000"/>
          <w:sz w:val="30"/>
          <w:szCs w:val="30"/>
        </w:rPr>
      </w:pPr>
      <w:r>
        <w:rPr>
          <w:rFonts w:hint="eastAsia" w:ascii="宋体" w:hAnsi="宋体"/>
          <w:b w:val="0"/>
          <w:bCs/>
          <w:color w:val="000000"/>
          <w:sz w:val="30"/>
          <w:szCs w:val="30"/>
          <w:lang w:val="en-US" w:eastAsia="zh-CN"/>
        </w:rPr>
        <w:t>5</w:t>
      </w:r>
      <w:r>
        <w:rPr>
          <w:rFonts w:hint="eastAsia" w:ascii="宋体" w:hAnsi="宋体"/>
          <w:b w:val="0"/>
          <w:bCs/>
          <w:color w:val="000000"/>
          <w:sz w:val="30"/>
          <w:szCs w:val="30"/>
        </w:rPr>
        <w:t>.2 商务条款偏离表</w:t>
      </w:r>
    </w:p>
    <w:p w14:paraId="600E4ED9">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0" w:type="auto"/>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14:paraId="2CA4E790">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center"/>
          </w:tcPr>
          <w:p w14:paraId="710775A7">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815" w:type="dxa"/>
            <w:noWrap w:val="0"/>
            <w:vAlign w:val="center"/>
          </w:tcPr>
          <w:p w14:paraId="50F1D307">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询价通知序号</w:t>
            </w:r>
          </w:p>
        </w:tc>
        <w:tc>
          <w:tcPr>
            <w:tcW w:w="2520" w:type="dxa"/>
            <w:noWrap w:val="0"/>
            <w:vAlign w:val="center"/>
          </w:tcPr>
          <w:p w14:paraId="611ED06E">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的商务条款</w:t>
            </w:r>
          </w:p>
        </w:tc>
        <w:tc>
          <w:tcPr>
            <w:tcW w:w="2415" w:type="dxa"/>
            <w:noWrap w:val="0"/>
            <w:vAlign w:val="center"/>
          </w:tcPr>
          <w:p w14:paraId="67DA39DE">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365" w:type="dxa"/>
            <w:noWrap w:val="0"/>
            <w:vAlign w:val="center"/>
          </w:tcPr>
          <w:p w14:paraId="3D25EADD">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14:paraId="7AB26510">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6E872AF0">
            <w:pPr>
              <w:rPr>
                <w:rFonts w:hint="eastAsia" w:ascii="宋体" w:hAnsi="宋体" w:eastAsia="宋体" w:cs="宋体"/>
                <w:color w:val="000000"/>
                <w:sz w:val="28"/>
                <w:szCs w:val="28"/>
              </w:rPr>
            </w:pPr>
          </w:p>
        </w:tc>
        <w:tc>
          <w:tcPr>
            <w:tcW w:w="1815" w:type="dxa"/>
            <w:noWrap w:val="0"/>
            <w:vAlign w:val="top"/>
          </w:tcPr>
          <w:p w14:paraId="354CEC93">
            <w:pPr>
              <w:rPr>
                <w:rFonts w:hint="eastAsia" w:ascii="宋体" w:hAnsi="宋体" w:eastAsia="宋体" w:cs="宋体"/>
                <w:color w:val="000000"/>
                <w:sz w:val="28"/>
                <w:szCs w:val="28"/>
              </w:rPr>
            </w:pPr>
          </w:p>
        </w:tc>
        <w:tc>
          <w:tcPr>
            <w:tcW w:w="2520" w:type="dxa"/>
            <w:noWrap w:val="0"/>
            <w:vAlign w:val="top"/>
          </w:tcPr>
          <w:p w14:paraId="2C1FBC8A">
            <w:pPr>
              <w:rPr>
                <w:rFonts w:hint="eastAsia" w:ascii="宋体" w:hAnsi="宋体" w:eastAsia="宋体" w:cs="宋体"/>
                <w:color w:val="000000"/>
                <w:sz w:val="28"/>
                <w:szCs w:val="28"/>
              </w:rPr>
            </w:pPr>
          </w:p>
        </w:tc>
        <w:tc>
          <w:tcPr>
            <w:tcW w:w="2415" w:type="dxa"/>
            <w:noWrap w:val="0"/>
            <w:vAlign w:val="top"/>
          </w:tcPr>
          <w:p w14:paraId="09CC31C5">
            <w:pPr>
              <w:rPr>
                <w:rFonts w:hint="eastAsia" w:ascii="宋体" w:hAnsi="宋体" w:eastAsia="宋体" w:cs="宋体"/>
                <w:color w:val="000000"/>
                <w:sz w:val="28"/>
                <w:szCs w:val="28"/>
              </w:rPr>
            </w:pPr>
          </w:p>
        </w:tc>
        <w:tc>
          <w:tcPr>
            <w:tcW w:w="1365" w:type="dxa"/>
            <w:noWrap w:val="0"/>
            <w:vAlign w:val="top"/>
          </w:tcPr>
          <w:p w14:paraId="0F4EF3C3">
            <w:pPr>
              <w:rPr>
                <w:rFonts w:hint="eastAsia" w:ascii="宋体" w:hAnsi="宋体" w:eastAsia="宋体" w:cs="宋体"/>
                <w:color w:val="000000"/>
                <w:sz w:val="28"/>
                <w:szCs w:val="28"/>
              </w:rPr>
            </w:pPr>
          </w:p>
        </w:tc>
      </w:tr>
      <w:tr w14:paraId="5D15637F">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57B63770">
            <w:pPr>
              <w:rPr>
                <w:rFonts w:hint="eastAsia" w:ascii="宋体" w:hAnsi="宋体" w:eastAsia="宋体" w:cs="宋体"/>
                <w:color w:val="000000"/>
                <w:sz w:val="28"/>
                <w:szCs w:val="28"/>
              </w:rPr>
            </w:pPr>
          </w:p>
        </w:tc>
        <w:tc>
          <w:tcPr>
            <w:tcW w:w="1815" w:type="dxa"/>
            <w:noWrap w:val="0"/>
            <w:vAlign w:val="top"/>
          </w:tcPr>
          <w:p w14:paraId="4244798F">
            <w:pPr>
              <w:rPr>
                <w:rFonts w:hint="eastAsia" w:ascii="宋体" w:hAnsi="宋体" w:eastAsia="宋体" w:cs="宋体"/>
                <w:color w:val="000000"/>
                <w:sz w:val="28"/>
                <w:szCs w:val="28"/>
              </w:rPr>
            </w:pPr>
          </w:p>
        </w:tc>
        <w:tc>
          <w:tcPr>
            <w:tcW w:w="2520" w:type="dxa"/>
            <w:noWrap w:val="0"/>
            <w:vAlign w:val="top"/>
          </w:tcPr>
          <w:p w14:paraId="27CB28A6">
            <w:pPr>
              <w:rPr>
                <w:rFonts w:hint="eastAsia" w:ascii="宋体" w:hAnsi="宋体" w:eastAsia="宋体" w:cs="宋体"/>
                <w:color w:val="000000"/>
                <w:sz w:val="28"/>
                <w:szCs w:val="28"/>
              </w:rPr>
            </w:pPr>
          </w:p>
        </w:tc>
        <w:tc>
          <w:tcPr>
            <w:tcW w:w="2415" w:type="dxa"/>
            <w:noWrap w:val="0"/>
            <w:vAlign w:val="top"/>
          </w:tcPr>
          <w:p w14:paraId="0BD954D2">
            <w:pPr>
              <w:rPr>
                <w:rFonts w:hint="eastAsia" w:ascii="宋体" w:hAnsi="宋体" w:eastAsia="宋体" w:cs="宋体"/>
                <w:color w:val="000000"/>
                <w:sz w:val="28"/>
                <w:szCs w:val="28"/>
              </w:rPr>
            </w:pPr>
          </w:p>
        </w:tc>
        <w:tc>
          <w:tcPr>
            <w:tcW w:w="1365" w:type="dxa"/>
            <w:noWrap w:val="0"/>
            <w:vAlign w:val="top"/>
          </w:tcPr>
          <w:p w14:paraId="30264F0B">
            <w:pPr>
              <w:rPr>
                <w:rFonts w:hint="eastAsia" w:ascii="宋体" w:hAnsi="宋体" w:eastAsia="宋体" w:cs="宋体"/>
                <w:color w:val="000000"/>
                <w:sz w:val="28"/>
                <w:szCs w:val="28"/>
              </w:rPr>
            </w:pPr>
          </w:p>
        </w:tc>
      </w:tr>
      <w:tr w14:paraId="338B7F88">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0764E8A1">
            <w:pPr>
              <w:rPr>
                <w:rFonts w:hint="eastAsia" w:ascii="宋体" w:hAnsi="宋体" w:eastAsia="宋体" w:cs="宋体"/>
                <w:color w:val="000000"/>
                <w:sz w:val="28"/>
                <w:szCs w:val="28"/>
              </w:rPr>
            </w:pPr>
          </w:p>
        </w:tc>
        <w:tc>
          <w:tcPr>
            <w:tcW w:w="1815" w:type="dxa"/>
            <w:noWrap w:val="0"/>
            <w:vAlign w:val="top"/>
          </w:tcPr>
          <w:p w14:paraId="6FEB624F">
            <w:pPr>
              <w:rPr>
                <w:rFonts w:hint="eastAsia" w:ascii="宋体" w:hAnsi="宋体" w:eastAsia="宋体" w:cs="宋体"/>
                <w:color w:val="000000"/>
                <w:sz w:val="28"/>
                <w:szCs w:val="28"/>
              </w:rPr>
            </w:pPr>
          </w:p>
        </w:tc>
        <w:tc>
          <w:tcPr>
            <w:tcW w:w="2520" w:type="dxa"/>
            <w:noWrap w:val="0"/>
            <w:vAlign w:val="top"/>
          </w:tcPr>
          <w:p w14:paraId="77E15D28">
            <w:pPr>
              <w:rPr>
                <w:rFonts w:hint="eastAsia" w:ascii="宋体" w:hAnsi="宋体" w:eastAsia="宋体" w:cs="宋体"/>
                <w:color w:val="000000"/>
                <w:sz w:val="28"/>
                <w:szCs w:val="28"/>
              </w:rPr>
            </w:pPr>
          </w:p>
        </w:tc>
        <w:tc>
          <w:tcPr>
            <w:tcW w:w="2415" w:type="dxa"/>
            <w:noWrap w:val="0"/>
            <w:vAlign w:val="top"/>
          </w:tcPr>
          <w:p w14:paraId="1374B81F">
            <w:pPr>
              <w:rPr>
                <w:rFonts w:hint="eastAsia" w:ascii="宋体" w:hAnsi="宋体" w:eastAsia="宋体" w:cs="宋体"/>
                <w:color w:val="000000"/>
                <w:sz w:val="28"/>
                <w:szCs w:val="28"/>
              </w:rPr>
            </w:pPr>
          </w:p>
        </w:tc>
        <w:tc>
          <w:tcPr>
            <w:tcW w:w="1365" w:type="dxa"/>
            <w:noWrap w:val="0"/>
            <w:vAlign w:val="top"/>
          </w:tcPr>
          <w:p w14:paraId="240E55DC">
            <w:pPr>
              <w:rPr>
                <w:rFonts w:hint="eastAsia" w:ascii="宋体" w:hAnsi="宋体" w:eastAsia="宋体" w:cs="宋体"/>
                <w:color w:val="000000"/>
                <w:sz w:val="28"/>
                <w:szCs w:val="28"/>
              </w:rPr>
            </w:pPr>
          </w:p>
        </w:tc>
      </w:tr>
      <w:tr w14:paraId="16E7912C">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2D4843C9">
            <w:pPr>
              <w:rPr>
                <w:rFonts w:hint="eastAsia" w:ascii="宋体" w:hAnsi="宋体" w:eastAsia="宋体" w:cs="宋体"/>
                <w:color w:val="000000"/>
                <w:sz w:val="28"/>
                <w:szCs w:val="28"/>
              </w:rPr>
            </w:pPr>
          </w:p>
        </w:tc>
        <w:tc>
          <w:tcPr>
            <w:tcW w:w="1815" w:type="dxa"/>
            <w:noWrap w:val="0"/>
            <w:vAlign w:val="top"/>
          </w:tcPr>
          <w:p w14:paraId="086E5BC6">
            <w:pPr>
              <w:rPr>
                <w:rFonts w:hint="eastAsia" w:ascii="宋体" w:hAnsi="宋体" w:eastAsia="宋体" w:cs="宋体"/>
                <w:color w:val="000000"/>
                <w:sz w:val="28"/>
                <w:szCs w:val="28"/>
              </w:rPr>
            </w:pPr>
          </w:p>
        </w:tc>
        <w:tc>
          <w:tcPr>
            <w:tcW w:w="2520" w:type="dxa"/>
            <w:noWrap w:val="0"/>
            <w:vAlign w:val="top"/>
          </w:tcPr>
          <w:p w14:paraId="32F49DB9">
            <w:pPr>
              <w:rPr>
                <w:rFonts w:hint="eastAsia" w:ascii="宋体" w:hAnsi="宋体" w:eastAsia="宋体" w:cs="宋体"/>
                <w:color w:val="000000"/>
                <w:sz w:val="28"/>
                <w:szCs w:val="28"/>
              </w:rPr>
            </w:pPr>
          </w:p>
        </w:tc>
        <w:tc>
          <w:tcPr>
            <w:tcW w:w="2415" w:type="dxa"/>
            <w:noWrap w:val="0"/>
            <w:vAlign w:val="top"/>
          </w:tcPr>
          <w:p w14:paraId="1BC6F4E9">
            <w:pPr>
              <w:rPr>
                <w:rFonts w:hint="eastAsia" w:ascii="宋体" w:hAnsi="宋体" w:eastAsia="宋体" w:cs="宋体"/>
                <w:color w:val="000000"/>
                <w:sz w:val="28"/>
                <w:szCs w:val="28"/>
              </w:rPr>
            </w:pPr>
          </w:p>
        </w:tc>
        <w:tc>
          <w:tcPr>
            <w:tcW w:w="1365" w:type="dxa"/>
            <w:noWrap w:val="0"/>
            <w:vAlign w:val="top"/>
          </w:tcPr>
          <w:p w14:paraId="2A4205ED">
            <w:pPr>
              <w:rPr>
                <w:rFonts w:hint="eastAsia" w:ascii="宋体" w:hAnsi="宋体" w:eastAsia="宋体" w:cs="宋体"/>
                <w:color w:val="000000"/>
                <w:sz w:val="28"/>
                <w:szCs w:val="28"/>
              </w:rPr>
            </w:pPr>
          </w:p>
        </w:tc>
      </w:tr>
      <w:tr w14:paraId="60496985">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00DA1D25">
            <w:pPr>
              <w:rPr>
                <w:rFonts w:hint="eastAsia" w:ascii="宋体" w:hAnsi="宋体" w:eastAsia="宋体" w:cs="宋体"/>
                <w:color w:val="000000"/>
                <w:sz w:val="28"/>
                <w:szCs w:val="28"/>
              </w:rPr>
            </w:pPr>
          </w:p>
        </w:tc>
        <w:tc>
          <w:tcPr>
            <w:tcW w:w="1815" w:type="dxa"/>
            <w:noWrap w:val="0"/>
            <w:vAlign w:val="top"/>
          </w:tcPr>
          <w:p w14:paraId="5B3740CC">
            <w:pPr>
              <w:rPr>
                <w:rFonts w:hint="eastAsia" w:ascii="宋体" w:hAnsi="宋体" w:eastAsia="宋体" w:cs="宋体"/>
                <w:color w:val="000000"/>
                <w:sz w:val="28"/>
                <w:szCs w:val="28"/>
              </w:rPr>
            </w:pPr>
          </w:p>
        </w:tc>
        <w:tc>
          <w:tcPr>
            <w:tcW w:w="2520" w:type="dxa"/>
            <w:noWrap w:val="0"/>
            <w:vAlign w:val="top"/>
          </w:tcPr>
          <w:p w14:paraId="2C927001">
            <w:pPr>
              <w:rPr>
                <w:rFonts w:hint="eastAsia" w:ascii="宋体" w:hAnsi="宋体" w:eastAsia="宋体" w:cs="宋体"/>
                <w:color w:val="000000"/>
                <w:sz w:val="28"/>
                <w:szCs w:val="28"/>
              </w:rPr>
            </w:pPr>
          </w:p>
        </w:tc>
        <w:tc>
          <w:tcPr>
            <w:tcW w:w="2415" w:type="dxa"/>
            <w:noWrap w:val="0"/>
            <w:vAlign w:val="top"/>
          </w:tcPr>
          <w:p w14:paraId="30295D68">
            <w:pPr>
              <w:rPr>
                <w:rFonts w:hint="eastAsia" w:ascii="宋体" w:hAnsi="宋体" w:eastAsia="宋体" w:cs="宋体"/>
                <w:color w:val="000000"/>
                <w:sz w:val="28"/>
                <w:szCs w:val="28"/>
              </w:rPr>
            </w:pPr>
          </w:p>
        </w:tc>
        <w:tc>
          <w:tcPr>
            <w:tcW w:w="1365" w:type="dxa"/>
            <w:noWrap w:val="0"/>
            <w:vAlign w:val="top"/>
          </w:tcPr>
          <w:p w14:paraId="6514399D">
            <w:pPr>
              <w:rPr>
                <w:rFonts w:hint="eastAsia" w:ascii="宋体" w:hAnsi="宋体" w:eastAsia="宋体" w:cs="宋体"/>
                <w:color w:val="000000"/>
                <w:sz w:val="28"/>
                <w:szCs w:val="28"/>
              </w:rPr>
            </w:pPr>
          </w:p>
        </w:tc>
      </w:tr>
      <w:tr w14:paraId="7D2A8DBB">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368F22F4">
            <w:pPr>
              <w:rPr>
                <w:rFonts w:hint="eastAsia" w:ascii="宋体" w:hAnsi="宋体" w:eastAsia="宋体" w:cs="宋体"/>
                <w:color w:val="000000"/>
                <w:sz w:val="28"/>
                <w:szCs w:val="28"/>
              </w:rPr>
            </w:pPr>
          </w:p>
        </w:tc>
        <w:tc>
          <w:tcPr>
            <w:tcW w:w="1815" w:type="dxa"/>
            <w:noWrap w:val="0"/>
            <w:vAlign w:val="top"/>
          </w:tcPr>
          <w:p w14:paraId="7BAFD97B">
            <w:pPr>
              <w:rPr>
                <w:rFonts w:hint="eastAsia" w:ascii="宋体" w:hAnsi="宋体" w:eastAsia="宋体" w:cs="宋体"/>
                <w:color w:val="000000"/>
                <w:sz w:val="28"/>
                <w:szCs w:val="28"/>
              </w:rPr>
            </w:pPr>
          </w:p>
        </w:tc>
        <w:tc>
          <w:tcPr>
            <w:tcW w:w="2520" w:type="dxa"/>
            <w:noWrap w:val="0"/>
            <w:vAlign w:val="top"/>
          </w:tcPr>
          <w:p w14:paraId="75E40A46">
            <w:pPr>
              <w:rPr>
                <w:rFonts w:hint="eastAsia" w:ascii="宋体" w:hAnsi="宋体" w:eastAsia="宋体" w:cs="宋体"/>
                <w:color w:val="000000"/>
                <w:sz w:val="28"/>
                <w:szCs w:val="28"/>
              </w:rPr>
            </w:pPr>
          </w:p>
        </w:tc>
        <w:tc>
          <w:tcPr>
            <w:tcW w:w="2415" w:type="dxa"/>
            <w:noWrap w:val="0"/>
            <w:vAlign w:val="top"/>
          </w:tcPr>
          <w:p w14:paraId="3D8F254E">
            <w:pPr>
              <w:rPr>
                <w:rFonts w:hint="eastAsia" w:ascii="宋体" w:hAnsi="宋体" w:eastAsia="宋体" w:cs="宋体"/>
                <w:color w:val="000000"/>
                <w:sz w:val="28"/>
                <w:szCs w:val="28"/>
              </w:rPr>
            </w:pPr>
          </w:p>
        </w:tc>
        <w:tc>
          <w:tcPr>
            <w:tcW w:w="1365" w:type="dxa"/>
            <w:noWrap w:val="0"/>
            <w:vAlign w:val="top"/>
          </w:tcPr>
          <w:p w14:paraId="3D6B4F9F">
            <w:pPr>
              <w:rPr>
                <w:rFonts w:hint="eastAsia" w:ascii="宋体" w:hAnsi="宋体" w:eastAsia="宋体" w:cs="宋体"/>
                <w:color w:val="000000"/>
                <w:sz w:val="28"/>
                <w:szCs w:val="28"/>
              </w:rPr>
            </w:pPr>
          </w:p>
        </w:tc>
      </w:tr>
      <w:tr w14:paraId="65F8401B">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7BDADEE6">
            <w:pPr>
              <w:rPr>
                <w:rFonts w:hint="eastAsia" w:ascii="宋体" w:hAnsi="宋体" w:eastAsia="宋体" w:cs="宋体"/>
                <w:color w:val="000000"/>
                <w:sz w:val="28"/>
                <w:szCs w:val="28"/>
              </w:rPr>
            </w:pPr>
          </w:p>
        </w:tc>
        <w:tc>
          <w:tcPr>
            <w:tcW w:w="1815" w:type="dxa"/>
            <w:noWrap w:val="0"/>
            <w:vAlign w:val="top"/>
          </w:tcPr>
          <w:p w14:paraId="40A882B3">
            <w:pPr>
              <w:rPr>
                <w:rFonts w:hint="eastAsia" w:ascii="宋体" w:hAnsi="宋体" w:eastAsia="宋体" w:cs="宋体"/>
                <w:color w:val="000000"/>
                <w:sz w:val="28"/>
                <w:szCs w:val="28"/>
              </w:rPr>
            </w:pPr>
          </w:p>
        </w:tc>
        <w:tc>
          <w:tcPr>
            <w:tcW w:w="2520" w:type="dxa"/>
            <w:noWrap w:val="0"/>
            <w:vAlign w:val="top"/>
          </w:tcPr>
          <w:p w14:paraId="6957C871">
            <w:pPr>
              <w:rPr>
                <w:rFonts w:hint="eastAsia" w:ascii="宋体" w:hAnsi="宋体" w:eastAsia="宋体" w:cs="宋体"/>
                <w:color w:val="000000"/>
                <w:sz w:val="28"/>
                <w:szCs w:val="28"/>
              </w:rPr>
            </w:pPr>
          </w:p>
        </w:tc>
        <w:tc>
          <w:tcPr>
            <w:tcW w:w="2415" w:type="dxa"/>
            <w:noWrap w:val="0"/>
            <w:vAlign w:val="top"/>
          </w:tcPr>
          <w:p w14:paraId="35EACC73">
            <w:pPr>
              <w:rPr>
                <w:rFonts w:hint="eastAsia" w:ascii="宋体" w:hAnsi="宋体" w:eastAsia="宋体" w:cs="宋体"/>
                <w:color w:val="000000"/>
                <w:sz w:val="28"/>
                <w:szCs w:val="28"/>
              </w:rPr>
            </w:pPr>
          </w:p>
        </w:tc>
        <w:tc>
          <w:tcPr>
            <w:tcW w:w="1365" w:type="dxa"/>
            <w:noWrap w:val="0"/>
            <w:vAlign w:val="top"/>
          </w:tcPr>
          <w:p w14:paraId="544366B6">
            <w:pPr>
              <w:rPr>
                <w:rFonts w:hint="eastAsia" w:ascii="宋体" w:hAnsi="宋体" w:eastAsia="宋体" w:cs="宋体"/>
                <w:color w:val="000000"/>
                <w:sz w:val="28"/>
                <w:szCs w:val="28"/>
              </w:rPr>
            </w:pPr>
          </w:p>
        </w:tc>
      </w:tr>
      <w:tr w14:paraId="20480B89">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14:paraId="36D04E0F">
            <w:pPr>
              <w:rPr>
                <w:rFonts w:hint="eastAsia" w:ascii="宋体" w:hAnsi="宋体" w:eastAsia="宋体" w:cs="宋体"/>
                <w:color w:val="000000"/>
                <w:sz w:val="28"/>
                <w:szCs w:val="28"/>
              </w:rPr>
            </w:pPr>
          </w:p>
        </w:tc>
        <w:tc>
          <w:tcPr>
            <w:tcW w:w="1815" w:type="dxa"/>
            <w:noWrap w:val="0"/>
            <w:vAlign w:val="top"/>
          </w:tcPr>
          <w:p w14:paraId="499B02CD">
            <w:pPr>
              <w:rPr>
                <w:rFonts w:hint="eastAsia" w:ascii="宋体" w:hAnsi="宋体" w:eastAsia="宋体" w:cs="宋体"/>
                <w:color w:val="000000"/>
                <w:sz w:val="28"/>
                <w:szCs w:val="28"/>
              </w:rPr>
            </w:pPr>
          </w:p>
        </w:tc>
        <w:tc>
          <w:tcPr>
            <w:tcW w:w="2520" w:type="dxa"/>
            <w:noWrap w:val="0"/>
            <w:vAlign w:val="top"/>
          </w:tcPr>
          <w:p w14:paraId="7F5171B0">
            <w:pPr>
              <w:rPr>
                <w:rFonts w:hint="eastAsia" w:ascii="宋体" w:hAnsi="宋体" w:eastAsia="宋体" w:cs="宋体"/>
                <w:color w:val="000000"/>
                <w:sz w:val="28"/>
                <w:szCs w:val="28"/>
              </w:rPr>
            </w:pPr>
          </w:p>
        </w:tc>
        <w:tc>
          <w:tcPr>
            <w:tcW w:w="2415" w:type="dxa"/>
            <w:noWrap w:val="0"/>
            <w:vAlign w:val="top"/>
          </w:tcPr>
          <w:p w14:paraId="4A633DF6">
            <w:pPr>
              <w:rPr>
                <w:rFonts w:hint="eastAsia" w:ascii="宋体" w:hAnsi="宋体" w:eastAsia="宋体" w:cs="宋体"/>
                <w:color w:val="000000"/>
                <w:sz w:val="28"/>
                <w:szCs w:val="28"/>
              </w:rPr>
            </w:pPr>
          </w:p>
        </w:tc>
        <w:tc>
          <w:tcPr>
            <w:tcW w:w="1365" w:type="dxa"/>
            <w:noWrap w:val="0"/>
            <w:vAlign w:val="top"/>
          </w:tcPr>
          <w:p w14:paraId="1E575B31">
            <w:pPr>
              <w:rPr>
                <w:rFonts w:hint="eastAsia" w:ascii="宋体" w:hAnsi="宋体" w:eastAsia="宋体" w:cs="宋体"/>
                <w:color w:val="000000"/>
                <w:sz w:val="28"/>
                <w:szCs w:val="28"/>
              </w:rPr>
            </w:pPr>
          </w:p>
        </w:tc>
      </w:tr>
    </w:tbl>
    <w:p w14:paraId="0DA79C78">
      <w:pPr>
        <w:pStyle w:val="13"/>
        <w:rPr>
          <w:rFonts w:hint="eastAsia" w:ascii="宋体" w:hAnsi="宋体" w:eastAsia="宋体" w:cs="宋体"/>
          <w:color w:val="000000"/>
          <w:sz w:val="28"/>
          <w:szCs w:val="28"/>
        </w:rPr>
      </w:pPr>
    </w:p>
    <w:p w14:paraId="2813ECD5">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的商务部分的要求有不同时，应逐条列在商务偏离表中，否则将认为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的要求。</w:t>
      </w:r>
    </w:p>
    <w:p w14:paraId="56AB68EB">
      <w:pPr>
        <w:rPr>
          <w:rFonts w:hint="eastAsia" w:ascii="宋体" w:hAnsi="宋体" w:eastAsia="宋体" w:cs="宋体"/>
          <w:color w:val="000000"/>
          <w:sz w:val="28"/>
          <w:szCs w:val="28"/>
        </w:rPr>
      </w:pPr>
    </w:p>
    <w:p w14:paraId="335AA6FC">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报价单位名称：</w:t>
      </w:r>
    </w:p>
    <w:p w14:paraId="13E168B0">
      <w:pPr>
        <w:spacing w:after="0" w:line="194" w:lineRule="exact"/>
        <w:rPr>
          <w:rFonts w:hint="eastAsia" w:ascii="宋体" w:hAnsi="宋体" w:eastAsia="宋体" w:cs="宋体"/>
          <w:color w:val="auto"/>
          <w:sz w:val="28"/>
          <w:szCs w:val="28"/>
        </w:rPr>
      </w:pPr>
    </w:p>
    <w:p w14:paraId="711C05D1">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报价单位代表签字盖章：</w:t>
      </w:r>
    </w:p>
    <w:p w14:paraId="3FF3F54F">
      <w:pPr>
        <w:sectPr>
          <w:pgSz w:w="11900" w:h="16838"/>
          <w:pgMar w:top="1440" w:right="1128" w:bottom="692" w:left="1083" w:header="0" w:footer="0" w:gutter="0"/>
          <w:cols w:space="720" w:num="1"/>
          <w:rtlGutter w:val="0"/>
          <w:docGrid w:linePitch="0" w:charSpace="0"/>
        </w:sectPr>
      </w:pPr>
    </w:p>
    <w:p w14:paraId="45DD417E">
      <w:pPr>
        <w:spacing w:after="0" w:line="200" w:lineRule="exact"/>
        <w:rPr>
          <w:color w:val="auto"/>
          <w:sz w:val="20"/>
          <w:szCs w:val="20"/>
        </w:rPr>
      </w:pPr>
    </w:p>
    <w:p w14:paraId="05A3924B">
      <w:pPr>
        <w:spacing w:after="0" w:line="200" w:lineRule="exact"/>
        <w:rPr>
          <w:color w:val="auto"/>
          <w:sz w:val="20"/>
          <w:szCs w:val="20"/>
        </w:rPr>
      </w:pPr>
    </w:p>
    <w:p w14:paraId="72865FEC">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14:paraId="43EC9665">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14:paraId="408D943C">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14:paraId="553B8289">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14:paraId="186A728D">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14:paraId="43DFB5B9">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14:paraId="16E5626F">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14:paraId="30B13993">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14:paraId="26753F3E">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14:paraId="064CA166">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14:paraId="6523DA1F">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14:paraId="3B624D85">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14:paraId="26BF57C4">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14:paraId="33C19BB8">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14:paraId="2AD36F64">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14:paraId="3CA71DF1">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14:paraId="39C41EC8">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14:paraId="4C0FD936">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14:paraId="5C6720EC">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14:paraId="3AFA9CF3">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14:paraId="4F8ED00C">
      <w:pPr>
        <w:pStyle w:val="18"/>
        <w:snapToGrid w:val="0"/>
        <w:spacing w:line="300" w:lineRule="auto"/>
        <w:jc w:val="both"/>
        <w:rPr>
          <w:rFonts w:hint="eastAsia" w:ascii="楷体_GB2312" w:hAnsi="Times New Roman" w:eastAsia="楷体_GB2312"/>
          <w:b/>
          <w:color w:val="000000"/>
          <w:kern w:val="2"/>
          <w:sz w:val="36"/>
          <w:szCs w:val="24"/>
          <w:lang w:val="en-US" w:eastAsia="zh-CN" w:bidi="ar-SA"/>
        </w:rPr>
      </w:pPr>
    </w:p>
    <w:p w14:paraId="495F3C35">
      <w:pPr>
        <w:pStyle w:val="18"/>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七、资质证明文件</w:t>
      </w:r>
    </w:p>
    <w:p w14:paraId="3248C1AE">
      <w:pPr>
        <w:pStyle w:val="18"/>
        <w:snapToGrid w:val="0"/>
        <w:spacing w:line="300" w:lineRule="auto"/>
        <w:jc w:val="center"/>
        <w:rPr>
          <w:rFonts w:hint="default" w:ascii="宋体" w:hAnsi="宋体"/>
          <w:kern w:val="2"/>
          <w:sz w:val="28"/>
          <w:szCs w:val="28"/>
          <w:lang w:val="en-US" w:eastAsia="zh-CN" w:bidi="ar-SA"/>
        </w:rPr>
      </w:pPr>
    </w:p>
    <w:p w14:paraId="55AFEC8F">
      <w:pPr>
        <w:spacing w:line="360" w:lineRule="auto"/>
        <w:rPr>
          <w:rFonts w:ascii="宋体" w:hAnsi="宋体"/>
          <w:b/>
          <w:sz w:val="24"/>
          <w:szCs w:val="24"/>
        </w:rPr>
      </w:pPr>
      <w:r>
        <w:rPr>
          <w:rFonts w:hint="eastAsia" w:ascii="宋体" w:hAnsi="宋体"/>
          <w:b/>
          <w:sz w:val="24"/>
          <w:szCs w:val="24"/>
        </w:rPr>
        <w:t>1.营业执照(副本复印件)、开户许可证</w:t>
      </w:r>
    </w:p>
    <w:p w14:paraId="0180203D">
      <w:pPr>
        <w:spacing w:line="360" w:lineRule="auto"/>
        <w:rPr>
          <w:rFonts w:ascii="宋体" w:hAnsi="宋体"/>
          <w:sz w:val="24"/>
          <w:szCs w:val="24"/>
        </w:rPr>
      </w:pPr>
      <w:r>
        <w:rPr>
          <w:rFonts w:hint="eastAsia" w:ascii="宋体" w:hAnsi="宋体"/>
          <w:b/>
          <w:sz w:val="24"/>
          <w:szCs w:val="24"/>
        </w:rPr>
        <w:t>2.生产许可证（如资质有要求）</w:t>
      </w:r>
    </w:p>
    <w:p w14:paraId="73F8499A">
      <w:pPr>
        <w:spacing w:line="360" w:lineRule="auto"/>
        <w:rPr>
          <w:rFonts w:hint="eastAsia" w:ascii="宋体" w:hAnsi="宋体"/>
          <w:b/>
          <w:sz w:val="24"/>
          <w:szCs w:val="24"/>
        </w:rPr>
      </w:pPr>
      <w:r>
        <w:rPr>
          <w:rFonts w:hint="eastAsia" w:ascii="宋体" w:hAnsi="宋体"/>
          <w:b/>
          <w:sz w:val="24"/>
          <w:szCs w:val="24"/>
        </w:rPr>
        <w:t>3.质量认证证书等证明材料（如资质有要求）</w:t>
      </w:r>
    </w:p>
    <w:p w14:paraId="392365FB">
      <w:pPr>
        <w:pStyle w:val="5"/>
        <w:keepNext/>
        <w:keepLines/>
        <w:pageBreakBefore w:val="0"/>
        <w:widowControl w:val="0"/>
        <w:kinsoku w:val="0"/>
        <w:wordWrap/>
        <w:overflowPunct w:val="0"/>
        <w:topLinePunct w:val="0"/>
        <w:autoSpaceDE/>
        <w:autoSpaceDN/>
        <w:bidi w:val="0"/>
        <w:adjustRightInd/>
        <w:snapToGrid/>
        <w:spacing w:before="0" w:after="0" w:line="360" w:lineRule="auto"/>
        <w:ind w:left="0" w:leftChars="0" w:firstLine="0" w:firstLineChars="0"/>
        <w:textAlignment w:val="auto"/>
        <w:rPr>
          <w:sz w:val="21"/>
        </w:rPr>
      </w:pPr>
      <w:r>
        <w:rPr>
          <w:rFonts w:hint="eastAsia"/>
          <w:sz w:val="21"/>
          <w:lang w:eastAsia="zh-CN"/>
        </w:rPr>
        <w:t>（</w:t>
      </w:r>
      <w:r>
        <w:rPr>
          <w:rFonts w:hint="eastAsia"/>
          <w:sz w:val="21"/>
          <w:lang w:val="en-US" w:eastAsia="zh-CN"/>
        </w:rPr>
        <w:t>1</w:t>
      </w:r>
      <w:r>
        <w:rPr>
          <w:rFonts w:hint="eastAsia"/>
          <w:sz w:val="21"/>
          <w:lang w:eastAsia="zh-CN"/>
        </w:rPr>
        <w:t>）</w:t>
      </w:r>
      <w:r>
        <w:rPr>
          <w:rFonts w:hint="eastAsia"/>
          <w:sz w:val="21"/>
        </w:rPr>
        <w:t>质量管理体系、环境管理体系、职业健康管理体系认证证书（如适用）</w:t>
      </w:r>
    </w:p>
    <w:p w14:paraId="30909810">
      <w:pPr>
        <w:pStyle w:val="5"/>
        <w:keepNext/>
        <w:keepLines/>
        <w:pageBreakBefore w:val="0"/>
        <w:widowControl w:val="0"/>
        <w:numPr>
          <w:ilvl w:val="0"/>
          <w:numId w:val="0"/>
        </w:numPr>
        <w:kinsoku w:val="0"/>
        <w:wordWrap/>
        <w:overflowPunct w:val="0"/>
        <w:topLinePunct w:val="0"/>
        <w:autoSpaceDE/>
        <w:autoSpaceDN/>
        <w:bidi w:val="0"/>
        <w:adjustRightInd/>
        <w:snapToGrid/>
        <w:spacing w:before="0" w:after="0" w:line="360" w:lineRule="auto"/>
        <w:textAlignment w:val="auto"/>
        <w:rPr>
          <w:rFonts w:hint="eastAsia"/>
          <w:sz w:val="21"/>
        </w:rPr>
      </w:pPr>
      <w:r>
        <w:rPr>
          <w:rFonts w:hint="eastAsia"/>
          <w:sz w:val="21"/>
          <w:lang w:eastAsia="zh-CN"/>
        </w:rPr>
        <w:t>（</w:t>
      </w:r>
      <w:r>
        <w:rPr>
          <w:rFonts w:hint="eastAsia"/>
          <w:sz w:val="21"/>
          <w:lang w:val="en-US" w:eastAsia="zh-CN"/>
        </w:rPr>
        <w:t>2</w:t>
      </w:r>
      <w:r>
        <w:rPr>
          <w:rFonts w:hint="eastAsia"/>
          <w:sz w:val="21"/>
          <w:lang w:eastAsia="zh-CN"/>
        </w:rPr>
        <w:t>）</w:t>
      </w:r>
      <w:r>
        <w:rPr>
          <w:rFonts w:hint="eastAsia"/>
          <w:sz w:val="21"/>
        </w:rPr>
        <w:t>投标供应商专利技术证书，包括发明专利、实用新型专利（如适用）</w:t>
      </w:r>
    </w:p>
    <w:p w14:paraId="7CA23E7D">
      <w:pPr>
        <w:spacing w:line="360" w:lineRule="auto"/>
        <w:rPr>
          <w:rFonts w:ascii="宋体" w:hAnsi="宋体"/>
          <w:b/>
          <w:sz w:val="24"/>
          <w:szCs w:val="24"/>
        </w:rPr>
      </w:pPr>
      <w:r>
        <w:rPr>
          <w:rFonts w:hint="eastAsia" w:ascii="宋体" w:hAnsi="宋体"/>
          <w:b/>
          <w:sz w:val="24"/>
          <w:szCs w:val="24"/>
        </w:rPr>
        <w:t>4.投标人近3年的销售业绩（业绩表填表后，须在后附加主要业绩的合同证明或中标通知书等可以证明业绩真实可信的相关材料）（如需要）</w:t>
      </w:r>
    </w:p>
    <w:p w14:paraId="5B2E7028">
      <w:pPr>
        <w:spacing w:line="360" w:lineRule="auto"/>
        <w:rPr>
          <w:rFonts w:hint="eastAsia" w:ascii="宋体" w:hAnsi="宋体"/>
          <w:b/>
          <w:sz w:val="24"/>
          <w:szCs w:val="24"/>
        </w:rPr>
      </w:pPr>
      <w:r>
        <w:rPr>
          <w:rFonts w:hint="eastAsia" w:ascii="宋体" w:hAnsi="宋体"/>
          <w:b/>
          <w:sz w:val="24"/>
          <w:szCs w:val="24"/>
        </w:rPr>
        <w:t>5.制造厂商授权书（如需要）</w:t>
      </w:r>
    </w:p>
    <w:p w14:paraId="11723047">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eastAsia="宋体" w:cs="Times New Roman"/>
          <w:b/>
          <w:sz w:val="24"/>
          <w:szCs w:val="24"/>
        </w:rPr>
        <w:t>投标</w:t>
      </w:r>
      <w:r>
        <w:rPr>
          <w:rFonts w:hint="eastAsia" w:ascii="宋体" w:hAnsi="宋体" w:eastAsia="宋体" w:cs="Times New Roman"/>
          <w:b/>
          <w:sz w:val="24"/>
          <w:szCs w:val="24"/>
          <w:lang w:val="en-US" w:eastAsia="zh-CN"/>
        </w:rPr>
        <w:t>人</w:t>
      </w:r>
      <w:r>
        <w:rPr>
          <w:rFonts w:hint="eastAsia" w:ascii="宋体" w:hAnsi="宋体" w:eastAsia="宋体" w:cs="Times New Roman"/>
          <w:b/>
          <w:sz w:val="24"/>
          <w:szCs w:val="24"/>
        </w:rPr>
        <w:t>近三年会计师事务所出具完整的审计报告（如适用）</w:t>
      </w:r>
    </w:p>
    <w:p w14:paraId="525D996F">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其它资质证明文件（如：井下使用产品需提供煤安证书、防爆合格证书，以及其它国家有强制要求的资质证明文件等。投标人应详细阅读招标文件中的资质要求部分和技术要求部分，按要求在</w:t>
      </w:r>
      <w:r>
        <w:rPr>
          <w:rFonts w:hint="eastAsia" w:ascii="宋体" w:hAnsi="宋体"/>
          <w:b/>
          <w:sz w:val="24"/>
          <w:szCs w:val="24"/>
          <w:lang w:eastAsia="zh-CN"/>
        </w:rPr>
        <w:t>报价文件</w:t>
      </w:r>
      <w:r>
        <w:rPr>
          <w:rFonts w:hint="eastAsia" w:ascii="宋体" w:hAnsi="宋体"/>
          <w:b/>
          <w:sz w:val="24"/>
          <w:szCs w:val="24"/>
        </w:rPr>
        <w:t>中提供相应的资质证明文件）</w:t>
      </w:r>
    </w:p>
    <w:p w14:paraId="407FA322">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14:paraId="62494C9F">
      <w:pPr>
        <w:pStyle w:val="5"/>
        <w:keepNext/>
        <w:keepLines/>
        <w:pageBreakBefore w:val="0"/>
        <w:widowControl w:val="0"/>
        <w:kinsoku/>
        <w:wordWrap/>
        <w:overflowPunct/>
        <w:topLinePunct w:val="0"/>
        <w:autoSpaceDE/>
        <w:autoSpaceDN/>
        <w:bidi w:val="0"/>
        <w:adjustRightInd/>
        <w:snapToGrid/>
        <w:spacing w:before="20" w:after="20" w:line="413" w:lineRule="auto"/>
        <w:ind w:left="0" w:leftChars="0" w:firstLine="0" w:firstLineChars="0"/>
        <w:jc w:val="both"/>
        <w:textAlignment w:val="auto"/>
        <w:rPr>
          <w:b/>
          <w:bCs/>
          <w:sz w:val="24"/>
          <w:szCs w:val="22"/>
        </w:rPr>
      </w:pPr>
      <w:bookmarkStart w:id="51" w:name="_bookmark163"/>
      <w:bookmarkEnd w:id="51"/>
      <w:r>
        <w:rPr>
          <w:rFonts w:hint="eastAsia" w:ascii="黑体" w:hAnsi="黑体"/>
          <w:b/>
          <w:bCs/>
          <w:sz w:val="36"/>
          <w:szCs w:val="22"/>
        </w:rPr>
        <w:t>其他证明文件</w:t>
      </w:r>
    </w:p>
    <w:p w14:paraId="14DADD21">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r>
        <w:rPr>
          <w:rFonts w:hint="eastAsia" w:ascii="黑体" w:hAnsi="黑体" w:cs="Times New Roman"/>
          <w:szCs w:val="22"/>
          <w:lang w:val="en-US" w:eastAsia="zh-CN"/>
        </w:rPr>
        <w:t>（一）公司简介</w:t>
      </w:r>
    </w:p>
    <w:p w14:paraId="0481C6CC">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2" w:name="_bookmark167"/>
      <w:bookmarkEnd w:id="52"/>
      <w:r>
        <w:rPr>
          <w:rFonts w:hint="eastAsia" w:ascii="黑体" w:hAnsi="黑体" w:cs="Times New Roman"/>
          <w:szCs w:val="22"/>
          <w:lang w:val="en-US" w:eastAsia="zh-CN"/>
        </w:rPr>
        <w:t>（二）企业信誉或获奖情况</w:t>
      </w:r>
    </w:p>
    <w:p w14:paraId="4A0C5689">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default" w:ascii="黑体" w:hAnsi="黑体" w:cs="Times New Roman"/>
          <w:szCs w:val="22"/>
          <w:lang w:val="en-US" w:eastAsia="zh-CN"/>
        </w:rPr>
        <w:sectPr>
          <w:headerReference r:id="rId9" w:type="default"/>
          <w:footerReference r:id="rId10"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14:paraId="0EC3E306">
      <w:pPr>
        <w:pStyle w:val="4"/>
        <w:keepNext/>
        <w:keepLines/>
        <w:pageBreakBefore w:val="0"/>
        <w:widowControl w:val="0"/>
        <w:numPr>
          <w:ilvl w:val="0"/>
          <w:numId w:val="5"/>
        </w:numPr>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szCs w:val="22"/>
          <w:lang w:val="en-US" w:eastAsia="zh-CN"/>
        </w:rPr>
      </w:pPr>
      <w:bookmarkStart w:id="53" w:name="_bookmark170"/>
      <w:bookmarkEnd w:id="53"/>
      <w:r>
        <w:rPr>
          <w:rFonts w:hint="eastAsia" w:ascii="黑体" w:hAnsi="黑体"/>
          <w:szCs w:val="22"/>
          <w:lang w:val="en-US" w:eastAsia="zh-CN"/>
        </w:rPr>
        <w:t>服务方案</w:t>
      </w:r>
    </w:p>
    <w:p w14:paraId="0A5377A3">
      <w:pPr>
        <w:numPr>
          <w:ilvl w:val="0"/>
          <w:numId w:val="0"/>
        </w:numPr>
        <w:rPr>
          <w:rFonts w:hint="default"/>
          <w:highlight w:val="none"/>
          <w:lang w:val="en-US" w:eastAsia="zh-CN"/>
        </w:rPr>
      </w:pPr>
      <w:r>
        <w:rPr>
          <w:rFonts w:hint="eastAsia" w:eastAsia="宋体"/>
          <w:color w:val="000000"/>
          <w:sz w:val="28"/>
          <w:szCs w:val="28"/>
          <w:highlight w:val="none"/>
          <w:lang w:eastAsia="zh-CN"/>
        </w:rPr>
        <w:t>服务商</w:t>
      </w:r>
      <w:r>
        <w:rPr>
          <w:rFonts w:hint="eastAsia" w:eastAsia="宋体"/>
          <w:color w:val="000000"/>
          <w:sz w:val="28"/>
          <w:szCs w:val="28"/>
          <w:highlight w:val="none"/>
        </w:rPr>
        <w:t>应根据</w:t>
      </w:r>
      <w:r>
        <w:rPr>
          <w:rFonts w:hint="eastAsia" w:eastAsia="宋体"/>
          <w:color w:val="000000"/>
          <w:sz w:val="28"/>
          <w:szCs w:val="28"/>
          <w:highlight w:val="none"/>
          <w:lang w:val="en-US" w:eastAsia="zh-CN"/>
        </w:rPr>
        <w:t>项目实际情况</w:t>
      </w:r>
      <w:r>
        <w:rPr>
          <w:rFonts w:hint="eastAsia" w:eastAsia="宋体"/>
          <w:color w:val="000000"/>
          <w:sz w:val="28"/>
          <w:szCs w:val="28"/>
          <w:highlight w:val="none"/>
        </w:rPr>
        <w:t>编写服务方案。</w:t>
      </w:r>
      <w:r>
        <w:rPr>
          <w:rFonts w:hint="eastAsia" w:eastAsia="宋体"/>
          <w:color w:val="000000"/>
          <w:sz w:val="28"/>
          <w:szCs w:val="28"/>
          <w:highlight w:val="none"/>
          <w:lang w:eastAsia="zh-CN"/>
        </w:rPr>
        <w:t>（</w:t>
      </w:r>
      <w:r>
        <w:rPr>
          <w:rFonts w:hint="eastAsia" w:eastAsia="宋体"/>
          <w:color w:val="000000"/>
          <w:sz w:val="28"/>
          <w:szCs w:val="28"/>
          <w:highlight w:val="none"/>
          <w:lang w:val="en-US" w:eastAsia="zh-CN"/>
        </w:rPr>
        <w:t>如需要</w:t>
      </w:r>
      <w:r>
        <w:rPr>
          <w:rFonts w:hint="eastAsia" w:eastAsia="宋体"/>
          <w:color w:val="000000"/>
          <w:sz w:val="28"/>
          <w:szCs w:val="28"/>
          <w:highlight w:val="none"/>
          <w:lang w:eastAsia="zh-CN"/>
        </w:rPr>
        <w:t>）</w:t>
      </w:r>
    </w:p>
    <w:p w14:paraId="2A81BF81">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4" w:name="_bookmark171"/>
      <w:bookmarkEnd w:id="54"/>
      <w:r>
        <w:rPr>
          <w:rFonts w:hint="eastAsia" w:ascii="黑体" w:hAnsi="黑体" w:cs="Times New Roman"/>
          <w:szCs w:val="22"/>
          <w:lang w:val="en-US" w:eastAsia="zh-CN"/>
        </w:rPr>
        <w:t>（四）技术支持资料</w:t>
      </w:r>
    </w:p>
    <w:p w14:paraId="01D3CD36">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5" w:name="_bookmark172"/>
      <w:bookmarkEnd w:id="55"/>
      <w:r>
        <w:rPr>
          <w:rFonts w:hint="eastAsia" w:ascii="黑体" w:hAnsi="黑体" w:cs="Times New Roman"/>
          <w:szCs w:val="22"/>
          <w:lang w:val="en-US" w:eastAsia="zh-CN"/>
        </w:rPr>
        <w:t>（五）技术服务、售后服务和质保期服务计划</w:t>
      </w:r>
    </w:p>
    <w:p w14:paraId="7DB74B45">
      <w:pPr>
        <w:pStyle w:val="4"/>
        <w:keepNext/>
        <w:keepLines/>
        <w:pageBreakBefore w:val="0"/>
        <w:widowControl w:val="0"/>
        <w:kinsoku w:val="0"/>
        <w:wordWrap/>
        <w:overflowPunct w:val="0"/>
        <w:topLinePunct w:val="0"/>
        <w:autoSpaceDE/>
        <w:autoSpaceDN/>
        <w:bidi w:val="0"/>
        <w:adjustRightInd/>
        <w:snapToGrid/>
        <w:spacing w:before="140" w:after="140" w:line="498" w:lineRule="exact"/>
        <w:ind w:right="300"/>
        <w:jc w:val="both"/>
        <w:textAlignment w:val="auto"/>
        <w:rPr>
          <w:rFonts w:hint="eastAsia" w:ascii="黑体" w:hAnsi="黑体" w:cs="Times New Roman"/>
          <w:szCs w:val="22"/>
          <w:lang w:val="en-US" w:eastAsia="zh-CN"/>
        </w:rPr>
      </w:pPr>
      <w:bookmarkStart w:id="56" w:name="_bookmark173"/>
      <w:bookmarkEnd w:id="56"/>
      <w:r>
        <w:rPr>
          <w:rFonts w:hint="eastAsia" w:ascii="黑体" w:hAnsi="黑体" w:cs="Times New Roman"/>
          <w:szCs w:val="22"/>
          <w:lang w:val="en-US" w:eastAsia="zh-CN"/>
        </w:rPr>
        <w:t>（七）投标供应商认为需要加以说明的其他内容</w:t>
      </w:r>
    </w:p>
    <w:p w14:paraId="39CF1B62">
      <w:pPr>
        <w:widowControl w:val="0"/>
        <w:numPr>
          <w:ilvl w:val="0"/>
          <w:numId w:val="0"/>
        </w:numPr>
        <w:jc w:val="both"/>
      </w:pPr>
    </w:p>
    <w:p w14:paraId="0CE67284">
      <w:pPr>
        <w:numPr>
          <w:ilvl w:val="0"/>
          <w:numId w:val="0"/>
        </w:numPr>
        <w:ind w:leftChars="0"/>
      </w:pPr>
    </w:p>
    <w:p w14:paraId="49F3161C">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panose1 w:val="00000000000000000000"/>
    <w:charset w:val="86"/>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0476">
    <w:pPr>
      <w:pStyle w:val="23"/>
      <w:jc w:val="center"/>
    </w:pPr>
    <w:r>
      <w:fldChar w:fldCharType="begin"/>
    </w:r>
    <w:r>
      <w:instrText xml:space="preserve"> PAGE   \* MERGEFORMAT </w:instrText>
    </w:r>
    <w:r>
      <w:fldChar w:fldCharType="separate"/>
    </w:r>
    <w:r>
      <w:rPr>
        <w:lang w:val="zh-CN"/>
      </w:rPr>
      <w:t>10</w:t>
    </w:r>
    <w:r>
      <w:fldChar w:fldCharType="end"/>
    </w:r>
  </w:p>
  <w:p w14:paraId="23361B95">
    <w:pPr>
      <w:pStyle w:val="2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F791">
    <w:pPr>
      <w:pStyle w:val="23"/>
      <w:framePr w:wrap="around" w:vAnchor="text" w:hAnchor="margin" w:xAlign="right" w:y="1"/>
      <w:rPr>
        <w:rStyle w:val="40"/>
      </w:rPr>
    </w:pPr>
    <w:r>
      <w:fldChar w:fldCharType="begin"/>
    </w:r>
    <w:r>
      <w:rPr>
        <w:rStyle w:val="40"/>
      </w:rPr>
      <w:instrText xml:space="preserve">PAGE  </w:instrText>
    </w:r>
    <w:r>
      <w:fldChar w:fldCharType="end"/>
    </w:r>
  </w:p>
  <w:p w14:paraId="5D8CB08F">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275DD">
    <w:pPr>
      <w:pStyle w:val="23"/>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F59C1">
    <w:pPr>
      <w:pStyle w:val="2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135C2E">
                          <w:pPr>
                            <w:pStyle w:val="23"/>
                            <w:rPr>
                              <w:rFonts w:eastAsia="仿宋"/>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4135C2E">
                    <w:pPr>
                      <w:pStyle w:val="23"/>
                      <w:rPr>
                        <w:rFonts w:eastAsia="仿宋"/>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2EDF9">
    <w:pPr>
      <w:pStyle w:val="23"/>
      <w:jc w:val="center"/>
      <w:rPr>
        <w:rFonts w:hint="eastAsia"/>
      </w:rPr>
    </w:pPr>
    <w:r>
      <w:fldChar w:fldCharType="begin"/>
    </w:r>
    <w:r>
      <w:rPr>
        <w:rStyle w:val="40"/>
      </w:rPr>
      <w:instrText xml:space="preserve"> PAGE </w:instrText>
    </w:r>
    <w:r>
      <w:fldChar w:fldCharType="separate"/>
    </w:r>
    <w:r>
      <w:rPr>
        <w:rStyle w:val="40"/>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E1A53"/>
  <w:p w14:paraId="135A46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CD8F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0D4F4">
    <w:pPr>
      <w:pStyle w:val="24"/>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6E5D3"/>
    <w:multiLevelType w:val="singleLevel"/>
    <w:tmpl w:val="9CD6E5D3"/>
    <w:lvl w:ilvl="0" w:tentative="0">
      <w:start w:val="1"/>
      <w:numFmt w:val="chineseCounting"/>
      <w:suff w:val="nothing"/>
      <w:lvlText w:val="%1、"/>
      <w:lvlJc w:val="left"/>
      <w:rPr>
        <w:rFonts w:hint="eastAsia"/>
      </w:rPr>
    </w:lvl>
  </w:abstractNum>
  <w:abstractNum w:abstractNumId="1">
    <w:nsid w:val="B3D60D80"/>
    <w:multiLevelType w:val="singleLevel"/>
    <w:tmpl w:val="B3D60D80"/>
    <w:lvl w:ilvl="0" w:tentative="0">
      <w:start w:val="3"/>
      <w:numFmt w:val="chineseCounting"/>
      <w:suff w:val="space"/>
      <w:lvlText w:val="第%1条"/>
      <w:lvlJc w:val="left"/>
      <w:rPr>
        <w:rFonts w:hint="eastAsia"/>
      </w:rPr>
    </w:lvl>
  </w:abstractNum>
  <w:abstractNum w:abstractNumId="2">
    <w:nsid w:val="00A49269"/>
    <w:multiLevelType w:val="singleLevel"/>
    <w:tmpl w:val="00A49269"/>
    <w:lvl w:ilvl="0" w:tentative="0">
      <w:start w:val="1"/>
      <w:numFmt w:val="chineseCounting"/>
      <w:suff w:val="space"/>
      <w:lvlText w:val="第%1章"/>
      <w:lvlJc w:val="left"/>
      <w:rPr>
        <w:rFonts w:hint="eastAsia"/>
      </w:rPr>
    </w:lvl>
  </w:abstractNum>
  <w:abstractNum w:abstractNumId="3">
    <w:nsid w:val="38957E85"/>
    <w:multiLevelType w:val="singleLevel"/>
    <w:tmpl w:val="38957E85"/>
    <w:lvl w:ilvl="0" w:tentative="0">
      <w:start w:val="2"/>
      <w:numFmt w:val="decimal"/>
      <w:lvlText w:val="%1."/>
      <w:lvlJc w:val="left"/>
      <w:pPr>
        <w:tabs>
          <w:tab w:val="left" w:pos="312"/>
        </w:tabs>
      </w:pPr>
    </w:lvl>
  </w:abstractNum>
  <w:abstractNum w:abstractNumId="4">
    <w:nsid w:val="3D2EFB86"/>
    <w:multiLevelType w:val="singleLevel"/>
    <w:tmpl w:val="3D2EFB86"/>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ZmE1ZmNkYmRjNGFmNjM0MWFlMTM2NmZlNGI3Yzk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2D4559"/>
    <w:rsid w:val="0143370E"/>
    <w:rsid w:val="014E4B09"/>
    <w:rsid w:val="02AF383B"/>
    <w:rsid w:val="02CD558E"/>
    <w:rsid w:val="02F954F7"/>
    <w:rsid w:val="0320159E"/>
    <w:rsid w:val="03A30712"/>
    <w:rsid w:val="04A3132C"/>
    <w:rsid w:val="04C647CC"/>
    <w:rsid w:val="05214D9E"/>
    <w:rsid w:val="05466C03"/>
    <w:rsid w:val="058E204C"/>
    <w:rsid w:val="05C73104"/>
    <w:rsid w:val="060C13D1"/>
    <w:rsid w:val="061D7F7D"/>
    <w:rsid w:val="0787278A"/>
    <w:rsid w:val="07CB51FF"/>
    <w:rsid w:val="07F941B6"/>
    <w:rsid w:val="081D1C70"/>
    <w:rsid w:val="087263A0"/>
    <w:rsid w:val="08862D58"/>
    <w:rsid w:val="0892434E"/>
    <w:rsid w:val="08A17A30"/>
    <w:rsid w:val="08C73E86"/>
    <w:rsid w:val="08E629B3"/>
    <w:rsid w:val="09086C9E"/>
    <w:rsid w:val="096A718F"/>
    <w:rsid w:val="09B0194F"/>
    <w:rsid w:val="0A033AB2"/>
    <w:rsid w:val="0A4270B6"/>
    <w:rsid w:val="0B3D612D"/>
    <w:rsid w:val="0B7932AB"/>
    <w:rsid w:val="0CBD680E"/>
    <w:rsid w:val="0CE62C1D"/>
    <w:rsid w:val="0D0264FC"/>
    <w:rsid w:val="0DEC43F9"/>
    <w:rsid w:val="100653D1"/>
    <w:rsid w:val="1135411C"/>
    <w:rsid w:val="11D8256B"/>
    <w:rsid w:val="129605BB"/>
    <w:rsid w:val="12BB1D53"/>
    <w:rsid w:val="12E61367"/>
    <w:rsid w:val="12EA441C"/>
    <w:rsid w:val="1394497D"/>
    <w:rsid w:val="13F13A91"/>
    <w:rsid w:val="141007B1"/>
    <w:rsid w:val="14173EB5"/>
    <w:rsid w:val="142F21C9"/>
    <w:rsid w:val="143B1D4E"/>
    <w:rsid w:val="14B663AB"/>
    <w:rsid w:val="150F14EC"/>
    <w:rsid w:val="15241F34"/>
    <w:rsid w:val="157A6181"/>
    <w:rsid w:val="160040FF"/>
    <w:rsid w:val="160C11E0"/>
    <w:rsid w:val="162A0935"/>
    <w:rsid w:val="162E33EB"/>
    <w:rsid w:val="165D6ECF"/>
    <w:rsid w:val="169C5459"/>
    <w:rsid w:val="16F86E7F"/>
    <w:rsid w:val="16FA792A"/>
    <w:rsid w:val="1714307F"/>
    <w:rsid w:val="172A4A57"/>
    <w:rsid w:val="179A0945"/>
    <w:rsid w:val="17A71517"/>
    <w:rsid w:val="17A93843"/>
    <w:rsid w:val="180B7B5C"/>
    <w:rsid w:val="181F648C"/>
    <w:rsid w:val="1824322E"/>
    <w:rsid w:val="18B72DA7"/>
    <w:rsid w:val="18E276B7"/>
    <w:rsid w:val="197A2BBE"/>
    <w:rsid w:val="19AD0BD8"/>
    <w:rsid w:val="19B94E7B"/>
    <w:rsid w:val="1A580D51"/>
    <w:rsid w:val="1AC576A1"/>
    <w:rsid w:val="1B5D6AB9"/>
    <w:rsid w:val="1BE00AFC"/>
    <w:rsid w:val="1CBC4BAC"/>
    <w:rsid w:val="1CCC5875"/>
    <w:rsid w:val="1D206E8B"/>
    <w:rsid w:val="1D381513"/>
    <w:rsid w:val="1D3C0729"/>
    <w:rsid w:val="1E293E48"/>
    <w:rsid w:val="1E6F56F1"/>
    <w:rsid w:val="1F3D032E"/>
    <w:rsid w:val="1F720104"/>
    <w:rsid w:val="210A5A0F"/>
    <w:rsid w:val="215313DE"/>
    <w:rsid w:val="217B22EC"/>
    <w:rsid w:val="21D70458"/>
    <w:rsid w:val="21F94319"/>
    <w:rsid w:val="22421EF3"/>
    <w:rsid w:val="224578C9"/>
    <w:rsid w:val="22B31A67"/>
    <w:rsid w:val="23BB49F7"/>
    <w:rsid w:val="24162A12"/>
    <w:rsid w:val="24531A68"/>
    <w:rsid w:val="24832077"/>
    <w:rsid w:val="249A1D87"/>
    <w:rsid w:val="25122706"/>
    <w:rsid w:val="256166A4"/>
    <w:rsid w:val="25BE07AA"/>
    <w:rsid w:val="26523FF5"/>
    <w:rsid w:val="26827B2C"/>
    <w:rsid w:val="26C70F42"/>
    <w:rsid w:val="26CB6B86"/>
    <w:rsid w:val="26D24C82"/>
    <w:rsid w:val="270D1CD1"/>
    <w:rsid w:val="27C3780D"/>
    <w:rsid w:val="27E637EB"/>
    <w:rsid w:val="28271C83"/>
    <w:rsid w:val="28466F55"/>
    <w:rsid w:val="28E93685"/>
    <w:rsid w:val="29143B49"/>
    <w:rsid w:val="29F3066E"/>
    <w:rsid w:val="2A0E41D3"/>
    <w:rsid w:val="2A20052E"/>
    <w:rsid w:val="2A527E8E"/>
    <w:rsid w:val="2AE91B40"/>
    <w:rsid w:val="2B214D5B"/>
    <w:rsid w:val="2B8A0D4B"/>
    <w:rsid w:val="2BD61206"/>
    <w:rsid w:val="2C1B3797"/>
    <w:rsid w:val="2C3D6E32"/>
    <w:rsid w:val="2C677365"/>
    <w:rsid w:val="2CD9183F"/>
    <w:rsid w:val="2D5561A6"/>
    <w:rsid w:val="2D6E34A7"/>
    <w:rsid w:val="2D7A5810"/>
    <w:rsid w:val="2E863C44"/>
    <w:rsid w:val="2F022441"/>
    <w:rsid w:val="2F0430D2"/>
    <w:rsid w:val="2F934789"/>
    <w:rsid w:val="2FD02127"/>
    <w:rsid w:val="2FEA1F10"/>
    <w:rsid w:val="30184E35"/>
    <w:rsid w:val="3035712B"/>
    <w:rsid w:val="303C3D54"/>
    <w:rsid w:val="306F4229"/>
    <w:rsid w:val="30CF7378"/>
    <w:rsid w:val="30D12D49"/>
    <w:rsid w:val="30F134CE"/>
    <w:rsid w:val="31024382"/>
    <w:rsid w:val="31105104"/>
    <w:rsid w:val="31472444"/>
    <w:rsid w:val="31A96372"/>
    <w:rsid w:val="32BB0D05"/>
    <w:rsid w:val="32C239E6"/>
    <w:rsid w:val="340F2D34"/>
    <w:rsid w:val="34436C96"/>
    <w:rsid w:val="350910B7"/>
    <w:rsid w:val="35DD21D4"/>
    <w:rsid w:val="35E506D9"/>
    <w:rsid w:val="36026880"/>
    <w:rsid w:val="364963F2"/>
    <w:rsid w:val="36884BC0"/>
    <w:rsid w:val="36DA10EC"/>
    <w:rsid w:val="36F871A7"/>
    <w:rsid w:val="378E1589"/>
    <w:rsid w:val="380764A1"/>
    <w:rsid w:val="38F444D1"/>
    <w:rsid w:val="38FC556E"/>
    <w:rsid w:val="399E38AA"/>
    <w:rsid w:val="39C80A83"/>
    <w:rsid w:val="39D42781"/>
    <w:rsid w:val="3A816D41"/>
    <w:rsid w:val="3AF8453A"/>
    <w:rsid w:val="3AF85C82"/>
    <w:rsid w:val="3B0216D1"/>
    <w:rsid w:val="3B3F71E3"/>
    <w:rsid w:val="3BC25DC5"/>
    <w:rsid w:val="3C4C7E13"/>
    <w:rsid w:val="3C843D09"/>
    <w:rsid w:val="3D637BB9"/>
    <w:rsid w:val="3D6C1213"/>
    <w:rsid w:val="3D6C13F8"/>
    <w:rsid w:val="3D811F18"/>
    <w:rsid w:val="3DD75255"/>
    <w:rsid w:val="3DDD79E8"/>
    <w:rsid w:val="3FA637C7"/>
    <w:rsid w:val="3FBF05B1"/>
    <w:rsid w:val="3FD94560"/>
    <w:rsid w:val="40551EE9"/>
    <w:rsid w:val="406706B3"/>
    <w:rsid w:val="40B35988"/>
    <w:rsid w:val="41B03AD3"/>
    <w:rsid w:val="41F20CFE"/>
    <w:rsid w:val="41FF42C7"/>
    <w:rsid w:val="42003BED"/>
    <w:rsid w:val="422B44E5"/>
    <w:rsid w:val="42F860BA"/>
    <w:rsid w:val="434846C3"/>
    <w:rsid w:val="43822435"/>
    <w:rsid w:val="43C367A9"/>
    <w:rsid w:val="43DC43DA"/>
    <w:rsid w:val="43DC7139"/>
    <w:rsid w:val="43F34005"/>
    <w:rsid w:val="43FC6C22"/>
    <w:rsid w:val="44086395"/>
    <w:rsid w:val="44364759"/>
    <w:rsid w:val="446156A2"/>
    <w:rsid w:val="44791600"/>
    <w:rsid w:val="44A41927"/>
    <w:rsid w:val="44CC73CF"/>
    <w:rsid w:val="45185CC7"/>
    <w:rsid w:val="452E0A39"/>
    <w:rsid w:val="45780A1D"/>
    <w:rsid w:val="45BC3439"/>
    <w:rsid w:val="45D76AB6"/>
    <w:rsid w:val="45E67EB5"/>
    <w:rsid w:val="46A05BA4"/>
    <w:rsid w:val="4700521D"/>
    <w:rsid w:val="47255446"/>
    <w:rsid w:val="472F7B68"/>
    <w:rsid w:val="476B650D"/>
    <w:rsid w:val="47EB6DA9"/>
    <w:rsid w:val="48305EAD"/>
    <w:rsid w:val="487462AE"/>
    <w:rsid w:val="487625B9"/>
    <w:rsid w:val="489E4030"/>
    <w:rsid w:val="48D0299D"/>
    <w:rsid w:val="49A14C3C"/>
    <w:rsid w:val="49B2787C"/>
    <w:rsid w:val="49E74DC6"/>
    <w:rsid w:val="4A2B7417"/>
    <w:rsid w:val="4A5B4034"/>
    <w:rsid w:val="4A7E30FC"/>
    <w:rsid w:val="4A7F6A22"/>
    <w:rsid w:val="4AD87C28"/>
    <w:rsid w:val="4B06733D"/>
    <w:rsid w:val="4B721A58"/>
    <w:rsid w:val="4B9106CF"/>
    <w:rsid w:val="4BD51267"/>
    <w:rsid w:val="4C033545"/>
    <w:rsid w:val="4C207F8B"/>
    <w:rsid w:val="4C21155B"/>
    <w:rsid w:val="4CB37B3F"/>
    <w:rsid w:val="4D074BF6"/>
    <w:rsid w:val="4D091462"/>
    <w:rsid w:val="4D2E65F4"/>
    <w:rsid w:val="4D3358A5"/>
    <w:rsid w:val="4D3E79A5"/>
    <w:rsid w:val="4D646FA8"/>
    <w:rsid w:val="4DBD4658"/>
    <w:rsid w:val="4E7A678B"/>
    <w:rsid w:val="4EF641ED"/>
    <w:rsid w:val="4F304989"/>
    <w:rsid w:val="4FC740B1"/>
    <w:rsid w:val="4FEB1B0A"/>
    <w:rsid w:val="504557E4"/>
    <w:rsid w:val="504F1365"/>
    <w:rsid w:val="50D436E4"/>
    <w:rsid w:val="50DC133F"/>
    <w:rsid w:val="50DD52BE"/>
    <w:rsid w:val="50F86BB7"/>
    <w:rsid w:val="5134028E"/>
    <w:rsid w:val="515A169C"/>
    <w:rsid w:val="51A712AC"/>
    <w:rsid w:val="51B2273F"/>
    <w:rsid w:val="51E43809"/>
    <w:rsid w:val="52013877"/>
    <w:rsid w:val="52DE7234"/>
    <w:rsid w:val="533E69B9"/>
    <w:rsid w:val="53D76A4D"/>
    <w:rsid w:val="541C219E"/>
    <w:rsid w:val="547D1318"/>
    <w:rsid w:val="54D5463A"/>
    <w:rsid w:val="552B46EA"/>
    <w:rsid w:val="55590A7B"/>
    <w:rsid w:val="55B57011"/>
    <w:rsid w:val="55EE46CE"/>
    <w:rsid w:val="561C01DC"/>
    <w:rsid w:val="570E6017"/>
    <w:rsid w:val="57D63774"/>
    <w:rsid w:val="58253C56"/>
    <w:rsid w:val="58311772"/>
    <w:rsid w:val="588E3388"/>
    <w:rsid w:val="59A417DF"/>
    <w:rsid w:val="5A150B74"/>
    <w:rsid w:val="5A595D42"/>
    <w:rsid w:val="5A7A663F"/>
    <w:rsid w:val="5B1F2E32"/>
    <w:rsid w:val="5B8D05F1"/>
    <w:rsid w:val="5BEB6E7E"/>
    <w:rsid w:val="5C4D1DB3"/>
    <w:rsid w:val="5CCC5BEA"/>
    <w:rsid w:val="5CEE2993"/>
    <w:rsid w:val="5D3112EA"/>
    <w:rsid w:val="5D343D1B"/>
    <w:rsid w:val="5DA014FA"/>
    <w:rsid w:val="5DD32969"/>
    <w:rsid w:val="5E2B4BBA"/>
    <w:rsid w:val="5E431B16"/>
    <w:rsid w:val="5E8254B3"/>
    <w:rsid w:val="5EED6B35"/>
    <w:rsid w:val="5F64744E"/>
    <w:rsid w:val="5FF50F6F"/>
    <w:rsid w:val="60141A41"/>
    <w:rsid w:val="60180D8C"/>
    <w:rsid w:val="60365152"/>
    <w:rsid w:val="60A17999"/>
    <w:rsid w:val="60CC71C6"/>
    <w:rsid w:val="61353271"/>
    <w:rsid w:val="62714A2C"/>
    <w:rsid w:val="62773740"/>
    <w:rsid w:val="62825678"/>
    <w:rsid w:val="62A96597"/>
    <w:rsid w:val="6347676C"/>
    <w:rsid w:val="63706C05"/>
    <w:rsid w:val="63CA01BB"/>
    <w:rsid w:val="644D6ECE"/>
    <w:rsid w:val="65F36FB4"/>
    <w:rsid w:val="66521708"/>
    <w:rsid w:val="67333B6F"/>
    <w:rsid w:val="67384DB0"/>
    <w:rsid w:val="676A2ABF"/>
    <w:rsid w:val="68A2078B"/>
    <w:rsid w:val="68E24A13"/>
    <w:rsid w:val="69654B6F"/>
    <w:rsid w:val="697D68D0"/>
    <w:rsid w:val="69AA170E"/>
    <w:rsid w:val="6A8857AC"/>
    <w:rsid w:val="6B276FC0"/>
    <w:rsid w:val="6B541DD4"/>
    <w:rsid w:val="6B746E30"/>
    <w:rsid w:val="6B79303A"/>
    <w:rsid w:val="6C94357E"/>
    <w:rsid w:val="6CA821A9"/>
    <w:rsid w:val="6D391458"/>
    <w:rsid w:val="6E0B4D4F"/>
    <w:rsid w:val="6E593EEB"/>
    <w:rsid w:val="6E6011C3"/>
    <w:rsid w:val="6EA63A9D"/>
    <w:rsid w:val="6ED77465"/>
    <w:rsid w:val="6EE95D08"/>
    <w:rsid w:val="6EEA0449"/>
    <w:rsid w:val="6EF34C2C"/>
    <w:rsid w:val="6F1D4D75"/>
    <w:rsid w:val="6FD107CB"/>
    <w:rsid w:val="70405B3D"/>
    <w:rsid w:val="70BF0967"/>
    <w:rsid w:val="70D9168A"/>
    <w:rsid w:val="71784803"/>
    <w:rsid w:val="719A01D2"/>
    <w:rsid w:val="71C87581"/>
    <w:rsid w:val="71CD20B4"/>
    <w:rsid w:val="71E179F6"/>
    <w:rsid w:val="721A3E0D"/>
    <w:rsid w:val="7247183F"/>
    <w:rsid w:val="72A106E0"/>
    <w:rsid w:val="72FB7DBB"/>
    <w:rsid w:val="7327014A"/>
    <w:rsid w:val="734015F3"/>
    <w:rsid w:val="73B61AA2"/>
    <w:rsid w:val="73EE0C71"/>
    <w:rsid w:val="74082F2F"/>
    <w:rsid w:val="746F3BF8"/>
    <w:rsid w:val="75177580"/>
    <w:rsid w:val="75EC65D9"/>
    <w:rsid w:val="75FD507B"/>
    <w:rsid w:val="765E271F"/>
    <w:rsid w:val="76C02CA1"/>
    <w:rsid w:val="76F20FC6"/>
    <w:rsid w:val="77383AA7"/>
    <w:rsid w:val="779052CB"/>
    <w:rsid w:val="77F0414A"/>
    <w:rsid w:val="788554ED"/>
    <w:rsid w:val="79A41575"/>
    <w:rsid w:val="79E61F64"/>
    <w:rsid w:val="7A504461"/>
    <w:rsid w:val="7AAD1B85"/>
    <w:rsid w:val="7ABA023C"/>
    <w:rsid w:val="7AED7E0D"/>
    <w:rsid w:val="7B41707C"/>
    <w:rsid w:val="7B6839D6"/>
    <w:rsid w:val="7B794B10"/>
    <w:rsid w:val="7BED24FE"/>
    <w:rsid w:val="7C8A1D77"/>
    <w:rsid w:val="7C8B644A"/>
    <w:rsid w:val="7CCE5617"/>
    <w:rsid w:val="7CD1277D"/>
    <w:rsid w:val="7CFF3AAE"/>
    <w:rsid w:val="7D613BF9"/>
    <w:rsid w:val="7D66580D"/>
    <w:rsid w:val="7D954C19"/>
    <w:rsid w:val="7DA205E1"/>
    <w:rsid w:val="7DB076D1"/>
    <w:rsid w:val="7E466A82"/>
    <w:rsid w:val="7E5E541F"/>
    <w:rsid w:val="7E883D33"/>
    <w:rsid w:val="7EE859B2"/>
    <w:rsid w:val="7F253B70"/>
    <w:rsid w:val="7FE65B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61"/>
    <w:autoRedefine/>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6">
    <w:name w:val="heading 5"/>
    <w:basedOn w:val="1"/>
    <w:next w:val="1"/>
    <w:autoRedefine/>
    <w:unhideWhenUsed/>
    <w:qFormat/>
    <w:uiPriority w:val="0"/>
    <w:pPr>
      <w:keepNext/>
      <w:keepLines/>
      <w:spacing w:before="280" w:after="290" w:line="372" w:lineRule="auto"/>
      <w:outlineLvl w:val="4"/>
    </w:pPr>
    <w:rPr>
      <w:rFonts w:ascii="Calibri" w:hAnsi="Calibri"/>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0"/>
    <w:pPr>
      <w:ind w:firstLine="420"/>
    </w:pPr>
  </w:style>
  <w:style w:type="paragraph" w:styleId="7">
    <w:name w:val="toc 7"/>
    <w:basedOn w:val="1"/>
    <w:next w:val="1"/>
    <w:autoRedefine/>
    <w:qFormat/>
    <w:uiPriority w:val="39"/>
    <w:pPr>
      <w:ind w:left="1200" w:leftChars="1200"/>
    </w:pPr>
  </w:style>
  <w:style w:type="paragraph" w:styleId="8">
    <w:name w:val="caption"/>
    <w:basedOn w:val="1"/>
    <w:next w:val="1"/>
    <w:autoRedefine/>
    <w:qFormat/>
    <w:uiPriority w:val="0"/>
    <w:pPr>
      <w:ind w:firstLine="6290" w:firstLineChars="2282"/>
    </w:pPr>
    <w:rPr>
      <w:b/>
      <w:bCs/>
      <w:snapToGrid/>
      <w:color w:val="000080"/>
      <w:kern w:val="2"/>
      <w:sz w:val="28"/>
      <w:szCs w:val="24"/>
    </w:rPr>
  </w:style>
  <w:style w:type="paragraph" w:styleId="9">
    <w:name w:val="Document Map"/>
    <w:basedOn w:val="1"/>
    <w:autoRedefine/>
    <w:qFormat/>
    <w:uiPriority w:val="0"/>
    <w:rPr>
      <w:rFonts w:ascii="宋体" w:cs="宋体"/>
      <w:sz w:val="18"/>
      <w:szCs w:val="18"/>
    </w:rPr>
  </w:style>
  <w:style w:type="paragraph" w:styleId="10">
    <w:name w:val="toa heading"/>
    <w:basedOn w:val="1"/>
    <w:next w:val="1"/>
    <w:autoRedefine/>
    <w:unhideWhenUsed/>
    <w:qFormat/>
    <w:uiPriority w:val="99"/>
    <w:pPr>
      <w:spacing w:before="120"/>
    </w:pPr>
    <w:rPr>
      <w:rFonts w:ascii="Arial" w:hAnsi="Arial"/>
      <w:sz w:val="24"/>
    </w:rPr>
  </w:style>
  <w:style w:type="paragraph" w:styleId="11">
    <w:name w:val="annotation text"/>
    <w:basedOn w:val="1"/>
    <w:link w:val="51"/>
    <w:autoRedefine/>
    <w:qFormat/>
    <w:uiPriority w:val="0"/>
    <w:pPr>
      <w:jc w:val="left"/>
    </w:pPr>
    <w:rPr>
      <w:rFonts w:ascii="Times New Roman" w:hAnsi="Times New Roman"/>
      <w:szCs w:val="20"/>
    </w:rPr>
  </w:style>
  <w:style w:type="paragraph" w:styleId="12">
    <w:name w:val="Body Text 3"/>
    <w:basedOn w:val="1"/>
    <w:link w:val="52"/>
    <w:autoRedefine/>
    <w:qFormat/>
    <w:uiPriority w:val="0"/>
    <w:rPr>
      <w:rFonts w:ascii="宋体"/>
      <w:sz w:val="24"/>
      <w:szCs w:val="20"/>
    </w:rPr>
  </w:style>
  <w:style w:type="paragraph" w:styleId="13">
    <w:name w:val="Body Text"/>
    <w:basedOn w:val="1"/>
    <w:next w:val="1"/>
    <w:autoRedefine/>
    <w:unhideWhenUsed/>
    <w:qFormat/>
    <w:uiPriority w:val="1"/>
    <w:rPr>
      <w:rFonts w:hint="eastAsia"/>
    </w:rPr>
  </w:style>
  <w:style w:type="paragraph" w:styleId="14">
    <w:name w:val="Body Text Indent"/>
    <w:basedOn w:val="1"/>
    <w:autoRedefine/>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5">
    <w:name w:val="Block Text"/>
    <w:basedOn w:val="1"/>
    <w:next w:val="1"/>
    <w:autoRedefine/>
    <w:qFormat/>
    <w:uiPriority w:val="99"/>
    <w:pPr>
      <w:adjustRightInd w:val="0"/>
      <w:spacing w:line="360" w:lineRule="auto"/>
      <w:ind w:left="1560" w:right="1466" w:hanging="240"/>
      <w:textAlignment w:val="baseline"/>
    </w:pPr>
    <w:rPr>
      <w:color w:val="000000"/>
      <w:kern w:val="0"/>
      <w:sz w:val="24"/>
    </w:rPr>
  </w:style>
  <w:style w:type="paragraph" w:styleId="16">
    <w:name w:val="toc 5"/>
    <w:basedOn w:val="1"/>
    <w:next w:val="1"/>
    <w:autoRedefine/>
    <w:qFormat/>
    <w:uiPriority w:val="39"/>
    <w:pPr>
      <w:ind w:left="800" w:leftChars="800"/>
    </w:pPr>
  </w:style>
  <w:style w:type="paragraph" w:styleId="17">
    <w:name w:val="toc 3"/>
    <w:basedOn w:val="1"/>
    <w:next w:val="1"/>
    <w:autoRedefine/>
    <w:qFormat/>
    <w:uiPriority w:val="39"/>
    <w:pPr>
      <w:ind w:left="400" w:leftChars="400"/>
    </w:pPr>
  </w:style>
  <w:style w:type="paragraph" w:styleId="18">
    <w:name w:val="Plain Text"/>
    <w:basedOn w:val="1"/>
    <w:next w:val="19"/>
    <w:autoRedefine/>
    <w:qFormat/>
    <w:uiPriority w:val="0"/>
    <w:rPr>
      <w:rFonts w:ascii="宋体"/>
    </w:rPr>
  </w:style>
  <w:style w:type="paragraph" w:customStyle="1" w:styleId="19">
    <w:name w:val="y6"/>
    <w:autoRedefine/>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0">
    <w:name w:val="toc 8"/>
    <w:basedOn w:val="1"/>
    <w:next w:val="1"/>
    <w:autoRedefine/>
    <w:qFormat/>
    <w:uiPriority w:val="39"/>
    <w:pPr>
      <w:ind w:left="1400" w:leftChars="1400"/>
    </w:pPr>
  </w:style>
  <w:style w:type="paragraph" w:styleId="21">
    <w:name w:val="Date"/>
    <w:basedOn w:val="1"/>
    <w:next w:val="1"/>
    <w:autoRedefine/>
    <w:qFormat/>
    <w:uiPriority w:val="0"/>
    <w:pPr>
      <w:ind w:left="2500" w:leftChars="2500"/>
    </w:pPr>
    <w:rPr>
      <w:rFonts w:ascii="Times New Roman" w:hAnsi="Times New Roman"/>
      <w:szCs w:val="20"/>
    </w:rPr>
  </w:style>
  <w:style w:type="paragraph" w:styleId="22">
    <w:name w:val="Balloon Text"/>
    <w:basedOn w:val="1"/>
    <w:autoRedefine/>
    <w:qFormat/>
    <w:uiPriority w:val="0"/>
    <w:rPr>
      <w:rFonts w:ascii="Times New Roman" w:hAnsi="Times New Roman"/>
      <w:sz w:val="18"/>
      <w:szCs w:val="20"/>
    </w:rPr>
  </w:style>
  <w:style w:type="paragraph" w:styleId="23">
    <w:name w:val="footer"/>
    <w:basedOn w:val="1"/>
    <w:autoRedefine/>
    <w:qFormat/>
    <w:uiPriority w:val="0"/>
    <w:pPr>
      <w:tabs>
        <w:tab w:val="center" w:pos="4153"/>
        <w:tab w:val="right" w:pos="8306"/>
      </w:tabs>
      <w:snapToGrid w:val="0"/>
      <w:jc w:val="left"/>
    </w:pPr>
    <w:rPr>
      <w:sz w:val="18"/>
    </w:rPr>
  </w:style>
  <w:style w:type="paragraph" w:styleId="24">
    <w:name w:val="header"/>
    <w:basedOn w:val="1"/>
    <w:autoRedefine/>
    <w:qFormat/>
    <w:uiPriority w:val="0"/>
    <w:pPr>
      <w:tabs>
        <w:tab w:val="center" w:pos="4153"/>
        <w:tab w:val="right" w:pos="8306"/>
      </w:tabs>
      <w:snapToGrid w:val="0"/>
    </w:pPr>
    <w:rPr>
      <w:rFonts w:ascii="Times New Roman" w:hAnsi="Times New Roman"/>
      <w:sz w:val="18"/>
      <w:szCs w:val="20"/>
    </w:rPr>
  </w:style>
  <w:style w:type="paragraph" w:styleId="25">
    <w:name w:val="toc 1"/>
    <w:basedOn w:val="1"/>
    <w:next w:val="1"/>
    <w:autoRedefine/>
    <w:qFormat/>
    <w:uiPriority w:val="39"/>
  </w:style>
  <w:style w:type="paragraph" w:styleId="26">
    <w:name w:val="toc 4"/>
    <w:basedOn w:val="1"/>
    <w:next w:val="1"/>
    <w:autoRedefine/>
    <w:qFormat/>
    <w:uiPriority w:val="39"/>
    <w:pPr>
      <w:ind w:left="600" w:leftChars="600"/>
    </w:pPr>
  </w:style>
  <w:style w:type="paragraph" w:styleId="27">
    <w:name w:val="toc 6"/>
    <w:basedOn w:val="1"/>
    <w:next w:val="1"/>
    <w:autoRedefine/>
    <w:qFormat/>
    <w:uiPriority w:val="39"/>
    <w:pPr>
      <w:ind w:left="1000" w:leftChars="1000"/>
    </w:pPr>
  </w:style>
  <w:style w:type="paragraph" w:styleId="28">
    <w:name w:val="Body Text Indent 3"/>
    <w:basedOn w:val="1"/>
    <w:autoRedefine/>
    <w:qFormat/>
    <w:uiPriority w:val="0"/>
    <w:pPr>
      <w:spacing w:after="120"/>
      <w:ind w:left="200" w:leftChars="200"/>
    </w:pPr>
    <w:rPr>
      <w:sz w:val="16"/>
      <w:szCs w:val="16"/>
    </w:rPr>
  </w:style>
  <w:style w:type="paragraph" w:styleId="29">
    <w:name w:val="toc 2"/>
    <w:basedOn w:val="1"/>
    <w:next w:val="1"/>
    <w:autoRedefine/>
    <w:qFormat/>
    <w:uiPriority w:val="39"/>
    <w:pPr>
      <w:ind w:left="200" w:leftChars="200"/>
    </w:pPr>
  </w:style>
  <w:style w:type="paragraph" w:styleId="30">
    <w:name w:val="toc 9"/>
    <w:basedOn w:val="1"/>
    <w:next w:val="1"/>
    <w:autoRedefine/>
    <w:qFormat/>
    <w:uiPriority w:val="39"/>
    <w:pPr>
      <w:ind w:left="1600" w:leftChars="1600"/>
    </w:pPr>
  </w:style>
  <w:style w:type="paragraph" w:styleId="31">
    <w:name w:val="Normal (Web)"/>
    <w:basedOn w:val="1"/>
    <w:autoRedefine/>
    <w:semiHidden/>
    <w:unhideWhenUsed/>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autoRedefine/>
    <w:qFormat/>
    <w:uiPriority w:val="0"/>
    <w:pPr>
      <w:spacing w:before="240" w:after="60" w:line="240" w:lineRule="auto"/>
      <w:jc w:val="center"/>
      <w:outlineLvl w:val="0"/>
    </w:pPr>
    <w:rPr>
      <w:rFonts w:ascii="Cambria" w:hAnsi="Cambria"/>
      <w:b/>
      <w:bCs/>
      <w:sz w:val="32"/>
      <w:szCs w:val="32"/>
    </w:rPr>
  </w:style>
  <w:style w:type="paragraph" w:styleId="33">
    <w:name w:val="annotation subject"/>
    <w:basedOn w:val="11"/>
    <w:next w:val="11"/>
    <w:autoRedefine/>
    <w:qFormat/>
    <w:uiPriority w:val="0"/>
  </w:style>
  <w:style w:type="paragraph" w:styleId="34">
    <w:name w:val="Body Text First Indent"/>
    <w:basedOn w:val="13"/>
    <w:autoRedefine/>
    <w:semiHidden/>
    <w:unhideWhenUsed/>
    <w:qFormat/>
    <w:uiPriority w:val="99"/>
    <w:pPr>
      <w:ind w:firstLine="420" w:firstLineChars="100"/>
    </w:pPr>
  </w:style>
  <w:style w:type="paragraph" w:styleId="35">
    <w:name w:val="Body Text First Indent 2"/>
    <w:basedOn w:val="14"/>
    <w:next w:val="15"/>
    <w:autoRedefine/>
    <w:qFormat/>
    <w:uiPriority w:val="0"/>
    <w:pPr>
      <w:ind w:firstLine="420" w:firstLineChars="200"/>
    </w:pPr>
  </w:style>
  <w:style w:type="table" w:styleId="37">
    <w:name w:val="Table Grid"/>
    <w:basedOn w:val="3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9">
    <w:name w:val="Strong"/>
    <w:autoRedefine/>
    <w:qFormat/>
    <w:uiPriority w:val="0"/>
    <w:rPr>
      <w:b/>
      <w:bCs/>
    </w:rPr>
  </w:style>
  <w:style w:type="character" w:styleId="40">
    <w:name w:val="page number"/>
    <w:basedOn w:val="38"/>
    <w:autoRedefine/>
    <w:qFormat/>
    <w:uiPriority w:val="0"/>
  </w:style>
  <w:style w:type="character" w:styleId="41">
    <w:name w:val="Hyperlink"/>
    <w:autoRedefine/>
    <w:qFormat/>
    <w:uiPriority w:val="99"/>
    <w:rPr>
      <w:color w:val="0000FF"/>
      <w:u w:val="single"/>
    </w:rPr>
  </w:style>
  <w:style w:type="character" w:styleId="42">
    <w:name w:val="annotation reference"/>
    <w:autoRedefine/>
    <w:qFormat/>
    <w:uiPriority w:val="0"/>
    <w:rPr>
      <w:sz w:val="21"/>
    </w:rPr>
  </w:style>
  <w:style w:type="paragraph" w:customStyle="1" w:styleId="43">
    <w:name w:val="Default"/>
    <w:next w:val="2"/>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表格"/>
    <w:basedOn w:val="1"/>
    <w:next w:val="1"/>
    <w:autoRedefine/>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5">
    <w:name w:val="style_kwd"/>
    <w:basedOn w:val="38"/>
    <w:autoRedefine/>
    <w:qFormat/>
    <w:uiPriority w:val="0"/>
  </w:style>
  <w:style w:type="character" w:customStyle="1" w:styleId="46">
    <w:name w:val="批注文字 Char1"/>
    <w:autoRedefine/>
    <w:qFormat/>
    <w:uiPriority w:val="0"/>
    <w:rPr>
      <w:rFonts w:ascii="Times New Roman" w:hAnsi="Times New Roman" w:eastAsia="宋体" w:cs="Times New Roman"/>
      <w:sz w:val="20"/>
      <w:szCs w:val="20"/>
      <w:lang w:bidi="ar-SA"/>
    </w:rPr>
  </w:style>
  <w:style w:type="character" w:customStyle="1" w:styleId="47">
    <w:name w:val="Comment Text Char"/>
    <w:autoRedefine/>
    <w:qFormat/>
    <w:uiPriority w:val="0"/>
  </w:style>
  <w:style w:type="paragraph" w:customStyle="1" w:styleId="48">
    <w:name w:val="修订1"/>
    <w:autoRedefine/>
    <w:qFormat/>
    <w:uiPriority w:val="0"/>
    <w:rPr>
      <w:rFonts w:ascii="Times New Roman" w:hAnsi="Times New Roman" w:eastAsia="宋体" w:cs="Times New Roman"/>
      <w:kern w:val="2"/>
      <w:sz w:val="21"/>
      <w:lang w:val="en-US" w:eastAsia="zh-CN" w:bidi="ar-SA"/>
    </w:rPr>
  </w:style>
  <w:style w:type="paragraph" w:customStyle="1" w:styleId="49">
    <w:name w:val="_Style 23"/>
    <w:basedOn w:val="1"/>
    <w:autoRedefine/>
    <w:qFormat/>
    <w:uiPriority w:val="0"/>
    <w:pPr>
      <w:widowControl/>
      <w:spacing w:after="160" w:line="240" w:lineRule="exact"/>
      <w:jc w:val="left"/>
    </w:pPr>
  </w:style>
  <w:style w:type="paragraph" w:customStyle="1" w:styleId="50">
    <w:name w:val="TOC 标题1"/>
    <w:basedOn w:val="3"/>
    <w:next w:val="1"/>
    <w:autoRedefine/>
    <w:qFormat/>
    <w:uiPriority w:val="39"/>
    <w:pPr>
      <w:widowControl/>
      <w:spacing w:before="480" w:after="0" w:line="276" w:lineRule="auto"/>
      <w:jc w:val="left"/>
      <w:outlineLvl w:val="9"/>
    </w:pPr>
    <w:rPr>
      <w:rFonts w:ascii="Cambria" w:hAnsi="Cambria"/>
      <w:color w:val="365F91"/>
      <w:kern w:val="0"/>
      <w:sz w:val="28"/>
    </w:rPr>
  </w:style>
  <w:style w:type="character" w:customStyle="1" w:styleId="51">
    <w:name w:val="批注文字 Char"/>
    <w:basedOn w:val="38"/>
    <w:link w:val="11"/>
    <w:autoRedefine/>
    <w:qFormat/>
    <w:uiPriority w:val="0"/>
    <w:rPr>
      <w:rFonts w:eastAsia="宋体"/>
      <w:kern w:val="2"/>
      <w:sz w:val="21"/>
    </w:rPr>
  </w:style>
  <w:style w:type="character" w:customStyle="1" w:styleId="52">
    <w:name w:val="正文文本 3 Char"/>
    <w:basedOn w:val="38"/>
    <w:link w:val="12"/>
    <w:autoRedefine/>
    <w:qFormat/>
    <w:uiPriority w:val="0"/>
    <w:rPr>
      <w:rFonts w:ascii="宋体" w:hAnsi="Calibri" w:eastAsia="宋体"/>
      <w:kern w:val="2"/>
      <w:sz w:val="24"/>
    </w:rPr>
  </w:style>
  <w:style w:type="character" w:customStyle="1" w:styleId="53">
    <w:name w:val="font161"/>
    <w:autoRedefine/>
    <w:qFormat/>
    <w:uiPriority w:val="0"/>
    <w:rPr>
      <w:b/>
      <w:bCs/>
      <w:sz w:val="32"/>
      <w:szCs w:val="32"/>
    </w:rPr>
  </w:style>
  <w:style w:type="paragraph" w:styleId="54">
    <w:name w:val="List Paragraph"/>
    <w:basedOn w:val="1"/>
    <w:autoRedefine/>
    <w:qFormat/>
    <w:uiPriority w:val="34"/>
    <w:pPr>
      <w:ind w:firstLine="420" w:firstLineChars="200"/>
    </w:pPr>
    <w:rPr>
      <w:rFonts w:asciiTheme="minorHAnsi" w:hAnsiTheme="minorHAnsi" w:eastAsiaTheme="minorEastAsia" w:cstheme="minorBidi"/>
    </w:rPr>
  </w:style>
  <w:style w:type="paragraph" w:customStyle="1" w:styleId="55">
    <w:name w:val="列出段落12"/>
    <w:basedOn w:val="1"/>
    <w:autoRedefine/>
    <w:unhideWhenUsed/>
    <w:qFormat/>
    <w:uiPriority w:val="0"/>
    <w:pPr>
      <w:widowControl/>
      <w:ind w:left="720" w:firstLine="360"/>
    </w:pPr>
    <w:rPr>
      <w:rFonts w:hint="eastAsia"/>
      <w:sz w:val="22"/>
      <w:lang w:eastAsia="en-US"/>
    </w:rPr>
  </w:style>
  <w:style w:type="paragraph" w:customStyle="1" w:styleId="56">
    <w:name w:val="标书正文"/>
    <w:autoRedefine/>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57">
    <w:name w:val="默认段落字体 Para Char Char Char Char Char Char Char"/>
    <w:basedOn w:val="1"/>
    <w:autoRedefine/>
    <w:qFormat/>
    <w:uiPriority w:val="0"/>
    <w:pPr>
      <w:adjustRightInd/>
      <w:spacing w:line="240" w:lineRule="auto"/>
      <w:textAlignment w:val="auto"/>
    </w:pPr>
  </w:style>
  <w:style w:type="paragraph" w:customStyle="1" w:styleId="58">
    <w:name w:val="_Style 1"/>
    <w:basedOn w:val="1"/>
    <w:autoRedefine/>
    <w:qFormat/>
    <w:uiPriority w:val="0"/>
    <w:pPr>
      <w:adjustRightInd/>
      <w:spacing w:line="240" w:lineRule="auto"/>
      <w:jc w:val="both"/>
      <w:textAlignment w:val="auto"/>
    </w:pPr>
    <w:rPr>
      <w:spacing w:val="0"/>
      <w:kern w:val="2"/>
    </w:rPr>
  </w:style>
  <w:style w:type="paragraph" w:customStyle="1" w:styleId="59">
    <w:name w:val="BodyText"/>
    <w:basedOn w:val="1"/>
    <w:autoRedefine/>
    <w:qFormat/>
    <w:uiPriority w:val="0"/>
    <w:pPr>
      <w:spacing w:after="120"/>
      <w:jc w:val="both"/>
      <w:textAlignment w:val="baseline"/>
    </w:pPr>
    <w:rPr>
      <w:kern w:val="2"/>
      <w:sz w:val="28"/>
      <w:szCs w:val="28"/>
      <w:lang w:val="en-US" w:eastAsia="zh-CN" w:bidi="ar-SA"/>
    </w:rPr>
  </w:style>
  <w:style w:type="character" w:customStyle="1" w:styleId="60">
    <w:name w:val="NormalCharacter"/>
    <w:autoRedefine/>
    <w:qFormat/>
    <w:uiPriority w:val="0"/>
    <w:rPr>
      <w:kern w:val="2"/>
      <w:sz w:val="28"/>
      <w:szCs w:val="28"/>
      <w:lang w:val="en-US" w:eastAsia="zh-CN" w:bidi="ar-SA"/>
    </w:rPr>
  </w:style>
  <w:style w:type="character" w:customStyle="1" w:styleId="61">
    <w:name w:val="标题 2 字符"/>
    <w:link w:val="4"/>
    <w:autoRedefine/>
    <w:qFormat/>
    <w:uiPriority w:val="0"/>
    <w:rPr>
      <w:rFonts w:ascii="Arial" w:hAnsi="Arial" w:eastAsia="黑体"/>
      <w:b/>
      <w:sz w:val="32"/>
      <w:szCs w:val="20"/>
    </w:rPr>
  </w:style>
  <w:style w:type="paragraph" w:customStyle="1" w:styleId="62">
    <w:name w:val="Body text|1"/>
    <w:basedOn w:val="1"/>
    <w:qFormat/>
    <w:uiPriority w:val="0"/>
    <w:pPr>
      <w:widowControl w:val="0"/>
      <w:shd w:val="clear" w:color="auto" w:fill="auto"/>
      <w:spacing w:line="422" w:lineRule="auto"/>
      <w:ind w:firstLine="400"/>
    </w:pPr>
    <w:rPr>
      <w:rFonts w:ascii="宋体" w:hAnsi="宋体" w:eastAsia="宋体" w:cs="宋体"/>
      <w:sz w:val="28"/>
      <w:szCs w:val="28"/>
      <w:u w:val="none"/>
      <w:shd w:val="clear" w:color="auto" w:fill="auto"/>
      <w:lang w:val="zh-TW" w:eastAsia="zh-TW" w:bidi="zh-TW"/>
    </w:rPr>
  </w:style>
  <w:style w:type="paragraph" w:customStyle="1" w:styleId="63">
    <w:name w:val="无间隔1"/>
    <w:autoRedefine/>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D553E-C390-4DE6-BA03-81007821DDE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30</Pages>
  <Words>7910</Words>
  <Characters>8299</Characters>
  <Lines>367</Lines>
  <Paragraphs>103</Paragraphs>
  <TotalTime>0</TotalTime>
  <ScaleCrop>false</ScaleCrop>
  <LinksUpToDate>false</LinksUpToDate>
  <CharactersWithSpaces>8938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神奇世界¹³⁵⁴⁶¹²⁷⁰⁵⁷</cp:lastModifiedBy>
  <cp:lastPrinted>2017-12-13T03:25:00Z</cp:lastPrinted>
  <dcterms:modified xsi:type="dcterms:W3CDTF">2024-11-06T02:51:22Z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DE44A6D1479A47ABADD3E54E34DF77E9</vt:lpwstr>
  </property>
</Properties>
</file>