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6872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315" w:lineRule="atLeast"/>
        <w:ind w:left="0" w:right="0" w:firstLine="0"/>
        <w:jc w:val="center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44"/>
          <w:szCs w:val="44"/>
          <w:highlight w:val="none"/>
        </w:rPr>
      </w:pPr>
      <w:r>
        <w:rPr>
          <w:rStyle w:val="13"/>
          <w:rFonts w:ascii="仿宋" w:hAnsi="仿宋" w:eastAsia="仿宋" w:cs="仿宋"/>
          <w:b/>
          <w:bCs w:val="0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  </w:t>
      </w:r>
      <w:r>
        <w:rPr>
          <w:rStyle w:val="13"/>
          <w:rFonts w:hint="eastAsia" w:ascii="仿宋" w:hAnsi="仿宋" w:eastAsia="仿宋" w:cs="仿宋"/>
          <w:b/>
          <w:bCs w:val="0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招标说明</w:t>
      </w:r>
      <w:bookmarkStart w:id="0" w:name="_GoBack"/>
      <w:bookmarkEnd w:id="0"/>
    </w:p>
    <w:p w14:paraId="23AD228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一、招标条件</w:t>
      </w:r>
    </w:p>
    <w:p w14:paraId="6153A52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>新疆德坤绿色建筑科技有限公司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就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 xml:space="preserve"> 草湖四十一团2024年公共租赁建设项目- D地块弱电工程专业分包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进行招标,现招标前期各项工作已完成。</w:t>
      </w:r>
    </w:p>
    <w:p w14:paraId="6166E0A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二、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项目概况：</w:t>
      </w:r>
    </w:p>
    <w:p w14:paraId="70F5BC2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1.工程地点：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四十一团草湖镇</w:t>
      </w:r>
    </w:p>
    <w:p w14:paraId="5DEA625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2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施工工期：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甲方通知为准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具体以招标方的具体通知为准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；</w:t>
      </w:r>
    </w:p>
    <w:p w14:paraId="4630B2A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3.工程内容：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弱电工程专业分包招标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。</w:t>
      </w:r>
    </w:p>
    <w:p w14:paraId="23B2FE4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0"/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三、招标内容</w:t>
      </w:r>
    </w:p>
    <w:p w14:paraId="552182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" w:eastAsia="仿宋_GB2312" w:cs="仿宋"/>
          <w:b/>
          <w:bCs/>
          <w:color w:val="auto"/>
          <w:spacing w:val="6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color w:val="auto"/>
          <w:spacing w:val="6"/>
          <w:kern w:val="2"/>
          <w:sz w:val="44"/>
          <w:szCs w:val="44"/>
          <w:highlight w:val="none"/>
          <w:lang w:val="en-US" w:eastAsia="zh-CN" w:bidi="ar-SA"/>
        </w:rPr>
        <w:t>弱电工程专业分包报价表</w:t>
      </w:r>
    </w:p>
    <w:tbl>
      <w:tblPr>
        <w:tblStyle w:val="10"/>
        <w:tblW w:w="975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03"/>
        <w:gridCol w:w="3244"/>
        <w:gridCol w:w="598"/>
        <w:gridCol w:w="1017"/>
        <w:gridCol w:w="933"/>
        <w:gridCol w:w="1249"/>
        <w:gridCol w:w="853"/>
      </w:tblGrid>
      <w:tr w14:paraId="12AF1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工程内容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BC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含税单价（元）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E5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总金额（元）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E24B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防火堵洞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1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1.名称:防火堵料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2.材质:盘柜下、井道内及保护管封堵等综合考虑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3.部位：地上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4.其它：满足设计施工规范要求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9F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A7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F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3D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防火隔板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1.名称：防火隔板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2.厚度：综合考虑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3.安装部位：地上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C3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61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2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5DC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配管SC20（暗敷）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C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2、材质：RC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18.55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7F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1C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C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838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配管SC20（明敷）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7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2、材质：RC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4F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EE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E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D0C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配管SC25（暗敷）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4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194.21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BD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F5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8C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306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F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配管SC25（明敷）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7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41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72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8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758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配管RC20（暗敷）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6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2、材质：RC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232.32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63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83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6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C6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配管RC32（暗敷）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B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2、材质：RC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116.16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F2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4A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4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69D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配管RC40（暗敷）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3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2、材质：RC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5、配置形式及部位：地上明敷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7、含管件及所有附件、明装敷设管道卡子、支架制作、安装；接地（含跨接线），凡管线中穿线不在本次施工范围者，预埋管中需留置带线，按设计要求刷漆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C5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5B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7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6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配管RC70（暗敷）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9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2、材质：RC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5、配置形式及部位：地上明敷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7、含管件及所有附件、明装敷设管道卡子、支架制作、安装；接地（含跨接线），凡管线中穿线不在本次施工范围者，预埋管中需留置带线，按设计要求刷漆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170.44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B7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4D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0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70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配管RC40（明敷）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8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5、配置形式及部位：地上明敷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7、含管件及所有附件、明装敷设管道卡子、支架制作、安装；接地（含跨接线），凡管线中穿线不在本次施工范围者，预埋管中需留置带线，按设计要求刷漆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32.85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85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64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5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CA1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配管RC70（明敷）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7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5、配置形式及部位：地上明敷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7、含管件及所有附件、明装敷设管道卡子、支架制作、安装；接地（含跨接线），凡管线中穿线不在本次施工范围者，预埋管中需留置带线，按设计要求刷漆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29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9D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D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D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配管SC20（暗敷）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0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8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11215.48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D9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E6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F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55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配管SC25（暗敷）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C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1194.86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B0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41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B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830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配管SC32（暗敷）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C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130.7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9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6C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8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69C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配管SC40（暗敷）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9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8C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0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A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9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配管SC70（暗敷）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E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241.99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CA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4A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4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62D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F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配管SC32（明敷）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65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5、配置形式及部位：地上明敷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7、含管件及所有附件、明装敷设管道卡子、支架制作、安装；接地（含跨接线），凡管线中穿线不在本次施工范围者，预埋管中需留置带线，按设计要求刷漆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57.51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8C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CD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3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C0C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配管SC40（明敷）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A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5、配置形式及部位：地上明敷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7、含管件及所有附件、明装敷设管道卡子、支架制作、安装；接地（含跨接线），凡管线中穿线不在本次施工范围者，预埋管中需留置带线，按设计要求刷漆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56.86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22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3F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3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5C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配管SC70（明敷）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A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2、材质：SC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5、配置形式及部位：地上明敷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7、含管件及所有附件、明装敷设管道卡子、支架制作、安装；接地（含跨接线），凡管线中穿线不在本次施工范围者，预埋管中需留置带线，按设计要求刷漆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A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71.14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F4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7A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B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AD9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配管RPE25（暗敷）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2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2、材质：RPE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4、壁厚：满足国标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5、配置形式及部位：地上砖、混凝土结构暗配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6、预留孔洞、打孔洞、混凝土砂浆补孔洞等相关工作内容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7、含管件及所有附件；接地（含跨接线），凡管线中穿线不在本次施工范围者，预埋管中需留置带线，按设计要求刷漆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D8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36555.12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D0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FA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E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AD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弱电封闭金属槽盒100*50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C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1、名称：弱电封闭金属槽盒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2、规格、型号：100*50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3.材质：金属(厚度符合规范要求)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4.安装部位：地下室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5.附件：含桥架主体、盖板、隔板、弯通、三通、四通及异形弯、连接片、连接螺栓、锁扣、跨接线、支架等所有部件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6.含按规范要求开孔、过伸缩缝、沉降缝时做伸缩节、补偿装置处理；穿梁、穿剪力墙做套管等，托盘、线槽、桥架、梯架综合考虑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131.76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50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DB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7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CE8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弱电封闭金属槽盒200*150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5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1、名称：弱电封闭金属槽盒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2、规格、型号：200*150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3.材质：金属(厚度符合规范要求)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4.安装部位：地下室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5.附件：含桥架主体、盖板、隔板、弯通、三通、四通及异形弯、连接片、连接螺栓、锁扣、跨接线、支架等所有部件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6.含按规范要求开孔、过伸缩缝、沉降缝时做伸缩节、补偿装置处理；穿梁、穿剪力墙做套管等，托盘、线槽、桥架、梯架综合考虑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7E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4B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1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FF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弱电封闭金属槽盒300*150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9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1、名称：弱电封闭金属槽盒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2、规格、型号：300*150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3.材质：金属(厚度符合规范要求)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4.安装部位：地下室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5.附件：含桥架主体、盖板、隔板、弯通、三通、四通及异形弯、连接片、连接螺栓、锁扣、跨接线、支架等所有部件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6.含按规范要求开孔、过伸缩缝、沉降缝时做伸缩节、补偿装置处理；穿梁、穿剪力墙做套管等，托盘、线槽、桥架、梯架综合考虑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270.79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1E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AF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6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5C6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F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弱电桥架200*100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8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1、名称：弱电桥架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2、规格、型号：200*100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3.材质：金属(厚度符合规范要求)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4.安装部位：电井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5.附件：含桥架主体、盖板、隔板、弯通、三通、四通及异形弯、连接片、连接螺栓、锁扣、跨接线、支架等所有部件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6.含按规范要求开孔、过伸缩缝、沉降缝时做伸缩节、补偿装置处理；穿梁、穿剪力墙做套管等，托盘、线槽、桥架、梯架、支架综合考虑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5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426.1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C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4E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B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976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访客呼叫系统线槽50*25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C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1、名称：访客呼叫系统线槽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2、规格、型号：50*25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3.材质：金属(厚度符合规范要求)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4.安装部位：电井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5.附件：含桥架主体、盖板、隔板、弯通、三通、四通及异形弯、连接片、连接螺栓、锁扣、跨接线等所有部件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6.含按规范要求开孔、过伸缩缝、沉降缝时做伸缩节、补偿装置处理；穿梁、穿剪力墙做套管等，托盘、线槽、桥架、梯架、支架综合考虑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524.7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96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6B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C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4FA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弱电桥架200*100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F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1、名称：弱电桥架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2、规格、型号：200*100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3.材质：金属(厚度符合规范要求)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4.安装部位：电井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5.附件：含桥架主体、盖板、隔板、弯通、三通、四通及异形弯、连接片、连接螺栓、锁扣、跨接线、支架等所有部件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6.含按规范要求开孔、过伸缩缝、沉降缝时做伸缩节、补偿装置处理；穿梁、穿剪力墙做套管等，托盘、线槽、桥架、梯架、支架综合考虑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E6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E1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2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317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配线WDZN-RYYP-4*1.0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0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2、配线形式：综合考虑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3、型号：WDZN-RYYP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4、规格：4*1.0mm2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5、材质：铜芯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6、配线部位：地上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7、本项目双色线价差考虑在综合单价内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7738.19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77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5D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D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76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 RVS-5*0.5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E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1、名称：配线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2、配线形式：综合考虑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3、型号：RVS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4、规格：5*0.5mm2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5、材质：铜芯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6、配线部位：综合考虑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7、配线线制：综合考虑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7115.99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F8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51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6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7C4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金属接线盒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E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1、名称：接线盒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4、安装形式：综合考虑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58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73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7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A5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塑料接线盒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6A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1、名称：接线盒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4、安装形式：综合考虑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2785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59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DE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4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DD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金属接线盒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6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1、名称：接线盒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4、安装形式：综合考虑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D7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01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0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30F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家居配线箱（空箱）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9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1、名称:家居配线箱（空箱）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3、包含箱内支架及插座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1E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3F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88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75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电视插座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D9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1、名称：电视插座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2、安装方式：综合考虑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3、含模块、面板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70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97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B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01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电话插座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5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1、名称：电话插座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2、安装方式：综合考虑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3、含模块、面板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B9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4A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3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9CC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网络线 CAT.5e 4Pair UTP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B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1、名称：网络线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2、规格：CAT.5e 4Pair UTP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3、包含水晶头制作、安装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14409.6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3C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34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C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3D9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电话、网络出线口(双线口)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9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1、名称：电话、网络出线口 (双线口)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3、安装高度：综合考虑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0A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FD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1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51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1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网络插座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5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1、名称：网络插座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2、安装方式：综合考虑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3、含模块、面板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4、其他：满足设计施工规范要求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D5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5E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E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47C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五类线链路测试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0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1、名称：五类线链路测试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链路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3E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D5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F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F3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射频同轴电缆 SYV-75-5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CC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1、名称：射频同轴电缆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2、配线形式：综合考虑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3、型号：SYV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4、规格：75-5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5、材质：铜芯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6、配线部位：地上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11501.92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AC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C5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5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3C4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电子对讲门主机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4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1、名称：电子对讲门口主机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3、安装高度：综合考虑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E5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55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D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263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户内对讲机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F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1、名称：户内对讲机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3、安装高度：综合考虑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F5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80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1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04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出入门按钮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0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1、名称：出入门按钮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3、安装高度：综合考虑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4D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6E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2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038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电控锁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0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1、名称：电控锁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3、安装高度：综合考虑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5D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2C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1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61A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电动闭门器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3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1、名称：电动闭门器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2、规格：综合考虑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3、安装高度：综合考虑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81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A3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1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D5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停车场管理设备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4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1、名称：停车场管理系统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2、含收费管理电脑、停车场管理主机、满位显示屏、摄像机、出入口控制机、地感线圈、读卡地感、出入口道闸、远距离读卡器、设备岛、电源、按钮、交换机、光纤收发器以及配套线、缆、管等成套综合考虑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3、含后期深化所需所有附件综合考虑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4、含检查接线、调试、试运行，包括设备购买、安装、配套配件及正版软件、软件升级等成套价格综合考虑进入本项目综合单价中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5、其他未尽事项详见图纸设计，满足设计、施工及验收规范、满足业主提供的《主要设备材料品牌选用表以及装饰材料选型产品说明书》及使用方要求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B2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0A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F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DEA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成品智能人行通道闸门及围栏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B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成品智能人行通道闸门及围栏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05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95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2A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E4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刚性防水套管 DN80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E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1、名称：刚性防水套管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2、材质：钢制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3、规格：介质管道管径DN80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4、填料材质：综合考虑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5、安装部位：地下室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32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DA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F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0A2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E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防火涂料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9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1、材质：防火簿涂型防火涂料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2、耐火极限不小于1小时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3、涂刷（喷）遍数：两遍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4、其他：满足设计及规范要求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296.21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1A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99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6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5FA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总价措施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5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总价措施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D3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3C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0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94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地下车库脚手架搭拆费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A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1、建筑结构形式：框架、框剪等综合。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2、脚手架支架材料：钢管、竹、木支架综合。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3、投标人根据施工经验，结合现场实际情况和企业自身情况综合报价，不论采用何种支架方式综合报价。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4、其他：满足现行施工验收规范及招标技术要求。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A9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AF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B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D0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D1脚手架搭拆费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6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1、建筑结构形式：框架、框剪等综合。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2、脚手架支架材料：钢管、竹、木支架综合。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3、投标人根据施工经验，结合现场实际情况和企业自身情况综合报价，不论采用何种支架方式综合报价。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4、其他：满足现行施工验收规范及招标技术要求。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59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2E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E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0A7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D1高层建筑增加费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C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1、名称：高层建筑增加费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FE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D7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9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D8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D4脚手架搭拆费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5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1、建筑结构形式：框架、框剪等综合。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2、脚手架支架材料：钢管、竹、木支架综合。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3、投标人根据施工经验，结合现场实际情况和企业自身情况综合报价，不论采用何种支架方式综合报价。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4、其他：满足现行施工验收规范及招标技术要求。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EF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3E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6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DA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D4高层建筑增加费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8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1、名称：高层建筑增加费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A4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FF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C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23E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D5脚手架搭拆费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8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1、建筑结构形式：框架、框剪等综合。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2、脚手架支架材料：钢管、竹、木支架综合。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3、投标人根据施工经验，结合现场实际情况和企业自身情况综合报价，不论采用何种支架方式综合报价。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4、其他：满足现行施工验收规范及招标技术要求。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59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93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E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F3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D5高层建筑增加费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0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1、名称：高层建筑增加费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78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9E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6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F9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D6脚手架搭拆费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0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1、建筑结构形式：框架、框剪等综合。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2、脚手架支架材料：钢管、竹、木支架综合。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3、投标人根据施工经验，结合现场实际情况和企业自身情况综合报价，不论采用何种支架方式综合报价。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4、其他：满足现行施工验收规范及招标技术要求。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5B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27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F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42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D6高层建筑增加费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C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1、名称：高层建筑增加费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CE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A1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6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EA3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D7脚手架搭拆费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4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1、建筑结构形式：框架、框剪等综合。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2、脚手架支架材料：钢管、竹、木支架综合。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3、投标人根据施工经验，结合现场实际情况和企业自身情况综合报价，不论采用何种支架方式综合报价。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4、其他：满足现行施工验收规范及招标技术要求。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DA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29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CB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4C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D7高层建筑增加费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3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1、名称：高层建筑增加费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AA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B1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8D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AEC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D8脚手架搭拆费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0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1、建筑结构形式：框架、框剪等综合。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2、脚手架支架材料：钢管、竹、木支架综合。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3、投标人根据施工经验，结合现场实际情况和企业自身情况综合报价，不论采用何种支架方式综合报价。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4、其他：满足现行施工验收规范及招标技术要求。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C5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A0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8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384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规费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规费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9C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40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2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7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7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4593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合计小写：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元，大写： </w:t>
            </w:r>
          </w:p>
        </w:tc>
      </w:tr>
      <w:tr w14:paraId="2A68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atLeast"/>
        </w:trPr>
        <w:tc>
          <w:tcPr>
            <w:tcW w:w="97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068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1、结算价款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包括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但不限于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完成规定计量单位项目所需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的：图纸深化、优化超限额设计费、工程材料、设备、劳务、机械、运输、临时设施、试验检验费、工程资料费、夜间施工费、安全文明施工费、辅材费、赶工、窝工、停工费、疫情防控费、二次搬运及完工清理费、交叉作业费、投入以及满足规范、图集要求的相关措施、冬雨季施工增加费、个人所得税、管理、利润、税金、验收、结算、质保维修及政策性文件规定的各项应有费用，施工中一切风险因素等全部费用以及合同明示或暗示的所有责任、义务和风险等。（设计深化和优化超限额设计费用部分不予结算） </w:t>
            </w:r>
          </w:p>
          <w:p w14:paraId="17ADB4B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2、上述工作内容中不明确的项目以招标文件中报价范围为准。</w:t>
            </w:r>
          </w:p>
          <w:p w14:paraId="2DCC064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3、以上项目及内容不得自行更改或删减。</w:t>
            </w:r>
          </w:p>
          <w:p w14:paraId="489A8A7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4、乙方需提供9%的增值税专用发票。</w:t>
            </w:r>
          </w:p>
          <w:p w14:paraId="4EB1C20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5、报价时出现缺项、漏项均按甲方最终结算下浮率20%。</w:t>
            </w:r>
          </w:p>
        </w:tc>
      </w:tr>
    </w:tbl>
    <w:p w14:paraId="13AF80B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240" w:lineRule="auto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四、 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投标人资格要求</w:t>
      </w:r>
    </w:p>
    <w:p w14:paraId="7A8C131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default" w:ascii="仿宋_GB2312" w:hAnsi="仿宋_GB2312" w:eastAsia="仿宋_GB2312" w:cs="仿宋_GB2312"/>
          <w:color w:val="auto"/>
          <w:sz w:val="28"/>
          <w:szCs w:val="28"/>
          <w:highlight w:val="red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资质条件：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拥有电子与智能化工程专业承包贰级或安防工程叁级及以上资质，且为独立法人。</w:t>
      </w:r>
    </w:p>
    <w:p w14:paraId="37FE1DA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能力要求：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人员、设备、资金等方面具有相应的实力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；</w:t>
      </w:r>
    </w:p>
    <w:p w14:paraId="294C5BB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仿宋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4.3信誉要求：近三年履约情况良好，无不良记录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；</w:t>
      </w:r>
    </w:p>
    <w:p w14:paraId="3C319B1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4.4财务要求：投标人没有处于被责令停业，财产被接管、冻结，没有处于破产状态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；</w:t>
      </w:r>
    </w:p>
    <w:p w14:paraId="59984B0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4.5投标人应在供货地区内具有技术支持和后续服务能力。</w:t>
      </w:r>
    </w:p>
    <w:p w14:paraId="38EB0A7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4.6本次招标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> 不接受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联合体投标。</w:t>
      </w:r>
    </w:p>
    <w:p w14:paraId="33E82D7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五、招标文件的发售时间及地点等：</w:t>
      </w:r>
    </w:p>
    <w:p w14:paraId="79B5D35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5.1招标文件发售时间：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>以十一师集采平台招标公告时间为准</w:t>
      </w:r>
    </w:p>
    <w:p w14:paraId="6B99921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5.2获取招标文件地点：</w:t>
      </w:r>
      <w:r>
        <w:rPr>
          <w:rFonts w:hint="eastAsia" w:ascii="仿宋_GB2312" w:hAnsi="仿宋_GB2312" w:eastAsia="仿宋_GB2312" w:cs="仿宋_GB2312"/>
          <w:color w:val="auto"/>
          <w:spacing w:val="-4"/>
          <w:sz w:val="28"/>
          <w:szCs w:val="28"/>
          <w:highlight w:val="none"/>
          <w:u w:val="single"/>
        </w:rPr>
        <w:t>http://xbjgjc.cn</w:t>
      </w:r>
    </w:p>
    <w:p w14:paraId="6E35469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5.3招标文件售价（元）：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  <w:lang w:val="en-US" w:eastAsia="zh-CN"/>
        </w:rPr>
        <w:t>500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元</w:t>
      </w:r>
    </w:p>
    <w:p w14:paraId="470C1BF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0" w:right="0" w:firstLine="7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5.4获取投标文件截止时间：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>以十一师集采平台招标公告时间为准</w:t>
      </w:r>
    </w:p>
    <w:p w14:paraId="0FA2A76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5.5投标文件提交地点：</w:t>
      </w:r>
      <w:r>
        <w:rPr>
          <w:rFonts w:hint="eastAsia" w:ascii="仿宋_GB2312" w:hAnsi="仿宋_GB2312" w:eastAsia="仿宋_GB2312" w:cs="仿宋_GB2312"/>
          <w:color w:val="auto"/>
          <w:spacing w:val="-4"/>
          <w:sz w:val="28"/>
          <w:szCs w:val="28"/>
          <w:highlight w:val="none"/>
          <w:u w:val="single"/>
        </w:rPr>
        <w:t>http://xbjgjc.cn</w:t>
      </w:r>
    </w:p>
    <w:p w14:paraId="11165E7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5.6开标时间：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>以十一师集采平台招标公告时间为准</w:t>
      </w:r>
    </w:p>
    <w:p w14:paraId="1F434A3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  <w:t>5.7将购买招标文件费（500元）汇入指定账户，并将交费凭证或截图上传至平台报名附件位置，经招标方审核通过后可下载招标文件。</w:t>
      </w:r>
    </w:p>
    <w:p w14:paraId="44A13AB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  <w:t>5.8未缴纳招标文件购买费无资格参与投标及评标，招标文件费缴纳后概不退回。</w:t>
      </w:r>
    </w:p>
    <w:p w14:paraId="019F9F8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shd w:val="clear" w:fill="FFFFFF"/>
          <w:lang w:val="en-US" w:eastAsia="zh-CN"/>
        </w:rPr>
        <w:t>5.9招标文件购买费仅开具收据，可由其它账户转入，但必须 注明投标单位名称。</w:t>
      </w:r>
    </w:p>
    <w:p w14:paraId="54118B5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0" w:right="0" w:firstLine="2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六、投标保证金及交付方式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（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具体详见招标文件要求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）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：</w:t>
      </w:r>
    </w:p>
    <w:p w14:paraId="408AEAA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6.1投标人必须提供不少于投标须知规定数额的投标保证金，并在获取投标资料时提交给招标人。</w:t>
      </w:r>
    </w:p>
    <w:p w14:paraId="57A519D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80" w:lineRule="atLeast"/>
        <w:ind w:left="0" w:right="0" w:firstLine="7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6.2投标保证金以转账的方式交于公司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财务银行账户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单位名称：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新疆德坤绿色建筑科技有限公司，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账号：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30783301040006574，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开户行：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中国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农业银行草湖经开区支行，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行号：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103894078334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备注:草湖四十一团2024年公共租赁建设项目- D地块弱电工程专业分包招标文件费或投标保证金XX公司）如若中标，投标保证金转为履约保证金。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）</w:t>
      </w:r>
    </w:p>
    <w:p w14:paraId="1DE18AD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6.3 招标人将拒绝未能按要求提交投标保证金的投标书。</w:t>
      </w:r>
    </w:p>
    <w:p w14:paraId="4C90138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6.4 投标人的投标保证金在招标工作结束后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 xml:space="preserve">  5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个工作日内，予以无息退回。</w:t>
      </w:r>
    </w:p>
    <w:p w14:paraId="154464C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6.5如若中标投标保证金转为履约保证金。</w:t>
      </w:r>
    </w:p>
    <w:p w14:paraId="23611D6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 xml:space="preserve"> 如有下列情况，将没收投标保证金：</w:t>
      </w:r>
    </w:p>
    <w:p w14:paraId="2B245F4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.1投标人在投标有效期内撤回其投标书或未参加投标的；</w:t>
      </w:r>
    </w:p>
    <w:p w14:paraId="1CC50FE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.6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.2宣布中标后，投标人未能在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fill="FFFFFF"/>
        </w:rPr>
        <w:t> 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个工作日内签订合同的；</w:t>
      </w:r>
    </w:p>
    <w:p w14:paraId="7D490EB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.3 投标过程中出现与其他投标人IP地址相同，被判定为围标、串标行为的。</w:t>
      </w:r>
    </w:p>
    <w:p w14:paraId="1921D5B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七</w:t>
      </w: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、其他事项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：</w:t>
      </w:r>
    </w:p>
    <w:p w14:paraId="508EBE2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7.1购买招标文件时须出示的文件资料：</w:t>
      </w:r>
    </w:p>
    <w:p w14:paraId="3A01C59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7.1.1介绍信或法人授权书（原件）；</w:t>
      </w:r>
    </w:p>
    <w:p w14:paraId="46FA7B1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7.1.2被授权人身份证（原件和复印件）；</w:t>
      </w:r>
    </w:p>
    <w:p w14:paraId="29F106B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left="24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7.1.3经有关部门年检通过的企业法人营业执照副本复印件（复印件加盖单位公章）；</w:t>
      </w:r>
    </w:p>
    <w:p w14:paraId="1701576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right="0" w:firstLine="560" w:firstLineChars="200"/>
        <w:rPr>
          <w:rFonts w:hint="default" w:ascii="微软雅黑" w:hAnsi="微软雅黑" w:eastAsia="仿宋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8.1招 标 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新疆德坤绿色建筑科技有限公司</w:t>
      </w:r>
    </w:p>
    <w:p w14:paraId="2E15B46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20" w:beforeAutospacing="0" w:after="120" w:afterAutospacing="0" w:line="420" w:lineRule="atLeast"/>
        <w:ind w:right="0" w:firstLine="56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8.2项目地址：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四十一团草湖镇</w:t>
      </w:r>
    </w:p>
    <w:p w14:paraId="142AF3C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56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8.3联 系 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杨海华、陈猛（联系方式：13579214207、15518174656）</w:t>
      </w:r>
    </w:p>
    <w:p w14:paraId="6180913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</w:p>
    <w:p w14:paraId="5AAE4EEB">
      <w:pPr>
        <w:shd w:val="clear"/>
        <w:rPr>
          <w:sz w:val="28"/>
          <w:szCs w:val="28"/>
          <w:highlight w:val="none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4832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1407A00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1407A00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MzAwYTRjZmRjNDk3MmVmNGY5NjI5YmIzZjY4YmEifQ=="/>
  </w:docVars>
  <w:rsids>
    <w:rsidRoot w:val="79FA27C6"/>
    <w:rsid w:val="0062123C"/>
    <w:rsid w:val="00E16FE2"/>
    <w:rsid w:val="01437C9C"/>
    <w:rsid w:val="02DF57A3"/>
    <w:rsid w:val="045D2E23"/>
    <w:rsid w:val="087E3D87"/>
    <w:rsid w:val="08A76D63"/>
    <w:rsid w:val="09280DA2"/>
    <w:rsid w:val="0A7315F2"/>
    <w:rsid w:val="0B9F1F73"/>
    <w:rsid w:val="0C394A9D"/>
    <w:rsid w:val="0DB15AE0"/>
    <w:rsid w:val="102B0279"/>
    <w:rsid w:val="10C4365E"/>
    <w:rsid w:val="11531836"/>
    <w:rsid w:val="137A6EE0"/>
    <w:rsid w:val="139B59E6"/>
    <w:rsid w:val="16DC407B"/>
    <w:rsid w:val="19023E8D"/>
    <w:rsid w:val="19A1381B"/>
    <w:rsid w:val="21A341AA"/>
    <w:rsid w:val="223E345B"/>
    <w:rsid w:val="231141DD"/>
    <w:rsid w:val="23CE7442"/>
    <w:rsid w:val="24016B72"/>
    <w:rsid w:val="264B2FCC"/>
    <w:rsid w:val="269729A1"/>
    <w:rsid w:val="26993D37"/>
    <w:rsid w:val="28FB4835"/>
    <w:rsid w:val="29EF35B2"/>
    <w:rsid w:val="2A1B76ED"/>
    <w:rsid w:val="2C0954BB"/>
    <w:rsid w:val="2C8C00D2"/>
    <w:rsid w:val="2D3B0057"/>
    <w:rsid w:val="2D9214E0"/>
    <w:rsid w:val="2EBE31F1"/>
    <w:rsid w:val="2F9432ED"/>
    <w:rsid w:val="319B1D20"/>
    <w:rsid w:val="33877B47"/>
    <w:rsid w:val="33D11454"/>
    <w:rsid w:val="37B95FE7"/>
    <w:rsid w:val="38714EF1"/>
    <w:rsid w:val="39AA4496"/>
    <w:rsid w:val="3A00614F"/>
    <w:rsid w:val="3AC37F4F"/>
    <w:rsid w:val="3DF5764D"/>
    <w:rsid w:val="4021297B"/>
    <w:rsid w:val="40291830"/>
    <w:rsid w:val="427C0131"/>
    <w:rsid w:val="43AD3F5D"/>
    <w:rsid w:val="43D106A4"/>
    <w:rsid w:val="43D5270B"/>
    <w:rsid w:val="43FF1225"/>
    <w:rsid w:val="442711C4"/>
    <w:rsid w:val="45DE01BB"/>
    <w:rsid w:val="471354DC"/>
    <w:rsid w:val="4839282C"/>
    <w:rsid w:val="4A905E03"/>
    <w:rsid w:val="4B6E54B7"/>
    <w:rsid w:val="4BD05255"/>
    <w:rsid w:val="4F5E152A"/>
    <w:rsid w:val="51CB46D7"/>
    <w:rsid w:val="52607C50"/>
    <w:rsid w:val="53F51CFD"/>
    <w:rsid w:val="53FF78A1"/>
    <w:rsid w:val="550C37A2"/>
    <w:rsid w:val="582D5F79"/>
    <w:rsid w:val="58A500EF"/>
    <w:rsid w:val="5923730C"/>
    <w:rsid w:val="5B793214"/>
    <w:rsid w:val="5E7423B8"/>
    <w:rsid w:val="5F8B6297"/>
    <w:rsid w:val="62DD634D"/>
    <w:rsid w:val="639826A5"/>
    <w:rsid w:val="63D710CC"/>
    <w:rsid w:val="656A4931"/>
    <w:rsid w:val="666A657B"/>
    <w:rsid w:val="692549DB"/>
    <w:rsid w:val="698C2CAC"/>
    <w:rsid w:val="6AC10733"/>
    <w:rsid w:val="6AD93CCF"/>
    <w:rsid w:val="6BA20565"/>
    <w:rsid w:val="6F125A01"/>
    <w:rsid w:val="71793B16"/>
    <w:rsid w:val="731F249B"/>
    <w:rsid w:val="780B1240"/>
    <w:rsid w:val="78E24696"/>
    <w:rsid w:val="79681AAC"/>
    <w:rsid w:val="79FA27C6"/>
    <w:rsid w:val="7CAF4890"/>
    <w:rsid w:val="7D7D2BE0"/>
    <w:rsid w:val="7FC4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widowControl w:val="0"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pPr>
      <w:spacing w:before="100" w:beforeAutospacing="1" w:after="100" w:afterAutospacing="1" w:line="600" w:lineRule="auto"/>
    </w:pPr>
    <w:rPr>
      <w:rFonts w:eastAsia="华文新魏"/>
      <w:color w:val="CC99FF"/>
      <w:sz w:val="52"/>
      <w:szCs w:val="24"/>
    </w:rPr>
  </w:style>
  <w:style w:type="paragraph" w:styleId="4">
    <w:name w:val="Body Text Indent"/>
    <w:basedOn w:val="1"/>
    <w:next w:val="5"/>
    <w:autoRedefine/>
    <w:qFormat/>
    <w:uiPriority w:val="0"/>
    <w:pPr>
      <w:widowControl/>
      <w:adjustRightInd w:val="0"/>
      <w:snapToGrid w:val="0"/>
      <w:spacing w:line="360" w:lineRule="auto"/>
      <w:ind w:right="-142" w:firstLine="200" w:firstLineChars="200"/>
    </w:pPr>
    <w:rPr>
      <w:rFonts w:ascii="宋体"/>
      <w:sz w:val="24"/>
    </w:rPr>
  </w:style>
  <w:style w:type="paragraph" w:styleId="5">
    <w:name w:val="Subtitle"/>
    <w:next w:val="1"/>
    <w:autoRedefine/>
    <w:qFormat/>
    <w:uiPriority w:val="0"/>
    <w:pPr>
      <w:wordWrap w:val="0"/>
      <w:spacing w:after="60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paragraph" w:styleId="6">
    <w:name w:val="Plain Text"/>
    <w:basedOn w:val="1"/>
    <w:autoRedefine/>
    <w:qFormat/>
    <w:uiPriority w:val="0"/>
    <w:rPr>
      <w:rFonts w:ascii="宋体" w:cs="Courier New"/>
      <w:szCs w:val="21"/>
    </w:rPr>
  </w:style>
  <w:style w:type="paragraph" w:styleId="7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16">
    <w:name w:val="font11"/>
    <w:basedOn w:val="12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Body text|1"/>
    <w:basedOn w:val="1"/>
    <w:autoRedefine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3437</Words>
  <Characters>4074</Characters>
  <Lines>0</Lines>
  <Paragraphs>0</Paragraphs>
  <TotalTime>5</TotalTime>
  <ScaleCrop>false</ScaleCrop>
  <LinksUpToDate>false</LinksUpToDate>
  <CharactersWithSpaces>4191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2023-08-21T04:12:00Z</dcterms:created>
  <dc:creator>杨梅</dc:creator>
  <cp:lastModifiedBy>最初的美好cy</cp:lastModifiedBy>
  <dcterms:modified xsi:type="dcterms:W3CDTF">2025-11-20T10:39:39Z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8A9BF67CD6C84BA0A74D61A5DFAF5B68_11</vt:lpwstr>
  </property>
  <property fmtid="{D5CDD505-2E9C-101B-9397-08002B2CF9AE}" pid="4" name="KSOTemplateDocerSaveRecord">
    <vt:lpwstr>eyJoZGlkIjoiYTc5MmViNWYyYmRmM2I0Y2EwZDk2NGE1M2FjNDBiMzkiLCJ1c2VySWQiOiI3MDczOTk0NjgifQ==</vt:lpwstr>
  </property>
</Properties>
</file>