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3F257">
      <w:pPr>
        <w:pStyle w:val="12"/>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b/>
          <w:bCs/>
          <w:sz w:val="28"/>
          <w:szCs w:val="28"/>
        </w:rPr>
      </w:pPr>
      <w:r>
        <w:rPr>
          <w:rFonts w:hint="eastAsia"/>
          <w:b/>
          <w:bCs/>
          <w:sz w:val="28"/>
          <w:szCs w:val="28"/>
          <w:lang w:eastAsia="zh-CN"/>
        </w:rPr>
        <w:t>毕节市煤矿安全综合监控平台融合升级改造项目</w:t>
      </w:r>
      <w:r>
        <w:rPr>
          <w:b/>
          <w:bCs/>
          <w:sz w:val="28"/>
          <w:szCs w:val="28"/>
        </w:rPr>
        <w:t>需求公示</w:t>
      </w:r>
    </w:p>
    <w:p w14:paraId="41C395C1">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一、项目基本信息</w:t>
      </w:r>
    </w:p>
    <w:p w14:paraId="66C8BC29">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hint="eastAsia" w:ascii="宋体" w:hAnsi="宋体" w:eastAsia="宋体"/>
          <w:sz w:val="28"/>
          <w:szCs w:val="28"/>
          <w:lang w:eastAsia="zh-CN"/>
        </w:rPr>
      </w:pPr>
      <w:r>
        <w:rPr>
          <w:rFonts w:hint="eastAsia" w:ascii="宋体" w:hAnsi="宋体" w:eastAsia="宋体" w:cs="宋体"/>
          <w:color w:val="000000"/>
          <w:sz w:val="28"/>
          <w:szCs w:val="28"/>
        </w:rPr>
        <w:t>项目名称：</w:t>
      </w:r>
      <w:r>
        <w:rPr>
          <w:rFonts w:hint="eastAsia" w:ascii="宋体" w:hAnsi="宋体" w:eastAsia="宋体"/>
          <w:sz w:val="28"/>
          <w:szCs w:val="28"/>
          <w:lang w:eastAsia="zh-CN"/>
        </w:rPr>
        <w:t>毕节市煤矿安全综合监控平台融合升级改造项目</w:t>
      </w:r>
    </w:p>
    <w:p w14:paraId="19BF429D">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hint="default" w:ascii="宋体" w:hAnsi="宋体" w:eastAsia="宋体"/>
          <w:sz w:val="28"/>
          <w:szCs w:val="28"/>
          <w:lang w:val="en-US" w:eastAsia="zh-CN"/>
        </w:rPr>
      </w:pPr>
      <w:r>
        <w:rPr>
          <w:rFonts w:hint="eastAsia" w:ascii="宋体" w:hAnsi="宋体" w:eastAsia="宋体" w:cs="宋体"/>
          <w:color w:val="000000"/>
          <w:sz w:val="28"/>
          <w:szCs w:val="28"/>
        </w:rPr>
        <w:t>项目编号：</w:t>
      </w:r>
      <w:r>
        <w:rPr>
          <w:rFonts w:hint="eastAsia" w:ascii="宋体" w:hAnsi="宋体" w:eastAsia="宋体"/>
          <w:sz w:val="28"/>
          <w:szCs w:val="28"/>
          <w:lang w:val="en-US" w:eastAsia="zh-CN"/>
        </w:rPr>
        <w:t>申请编号1486113</w:t>
      </w:r>
    </w:p>
    <w:p w14:paraId="6BFDB90F">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hint="eastAsia" w:ascii="宋体" w:hAnsi="宋体" w:eastAsia="宋体"/>
          <w:sz w:val="28"/>
          <w:szCs w:val="28"/>
          <w:lang w:eastAsia="zh-CN"/>
        </w:rPr>
      </w:pPr>
      <w:r>
        <w:rPr>
          <w:rFonts w:hint="eastAsia" w:ascii="宋体" w:hAnsi="宋体" w:eastAsia="宋体" w:cs="宋体"/>
          <w:color w:val="000000"/>
          <w:sz w:val="28"/>
          <w:szCs w:val="28"/>
        </w:rPr>
        <w:t>采购预算：</w:t>
      </w:r>
      <w:r>
        <w:rPr>
          <w:rFonts w:hint="eastAsia" w:ascii="宋体" w:hAnsi="宋体" w:eastAsia="宋体"/>
          <w:sz w:val="28"/>
          <w:szCs w:val="28"/>
          <w:lang w:val="en-US" w:eastAsia="zh-CN"/>
        </w:rPr>
        <w:t>676100.00</w:t>
      </w:r>
      <w:r>
        <w:rPr>
          <w:rFonts w:ascii="宋体" w:hAnsi="宋体" w:eastAsia="宋体"/>
          <w:sz w:val="28"/>
          <w:szCs w:val="28"/>
        </w:rPr>
        <w:t>元</w:t>
      </w:r>
    </w:p>
    <w:p w14:paraId="6C62B878">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ascii="宋体" w:hAnsi="宋体" w:eastAsia="宋体"/>
          <w:sz w:val="28"/>
          <w:szCs w:val="28"/>
        </w:rPr>
      </w:pPr>
      <w:r>
        <w:rPr>
          <w:rFonts w:hint="eastAsia" w:ascii="宋体" w:hAnsi="宋体" w:eastAsia="宋体" w:cs="宋体"/>
          <w:color w:val="000000"/>
          <w:sz w:val="28"/>
          <w:szCs w:val="28"/>
        </w:rPr>
        <w:t>最高限价：</w:t>
      </w:r>
      <w:r>
        <w:rPr>
          <w:rFonts w:hint="eastAsia" w:ascii="宋体" w:hAnsi="宋体" w:eastAsia="宋体"/>
          <w:sz w:val="28"/>
          <w:szCs w:val="28"/>
          <w:lang w:val="en-US" w:eastAsia="zh-CN"/>
        </w:rPr>
        <w:t>676100.00</w:t>
      </w:r>
      <w:r>
        <w:rPr>
          <w:rFonts w:ascii="宋体" w:hAnsi="宋体" w:eastAsia="宋体"/>
          <w:sz w:val="28"/>
          <w:szCs w:val="28"/>
        </w:rPr>
        <w:t>元</w:t>
      </w:r>
    </w:p>
    <w:p w14:paraId="4A838689">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二、公示期限（不少于</w:t>
      </w:r>
      <w:r>
        <w:rPr>
          <w:rFonts w:ascii="宋体" w:hAnsi="宋体" w:eastAsia="宋体" w:cs="Calibri"/>
          <w:color w:val="000000"/>
          <w:sz w:val="28"/>
          <w:szCs w:val="28"/>
        </w:rPr>
        <w:t>2</w:t>
      </w:r>
      <w:r>
        <w:rPr>
          <w:rFonts w:hint="eastAsia" w:ascii="宋体" w:hAnsi="宋体" w:eastAsia="宋体" w:cs="宋体"/>
          <w:color w:val="000000"/>
          <w:sz w:val="28"/>
          <w:szCs w:val="28"/>
        </w:rPr>
        <w:t>个工作日）</w:t>
      </w:r>
    </w:p>
    <w:p w14:paraId="6B012D6A">
      <w:pPr>
        <w:pStyle w:val="12"/>
        <w:keepNext w:val="0"/>
        <w:keepLines w:val="0"/>
        <w:pageBreakBefore w:val="0"/>
        <w:widowControl/>
        <w:kinsoku/>
        <w:wordWrap/>
        <w:overflowPunct/>
        <w:topLinePunct w:val="0"/>
        <w:autoSpaceDE/>
        <w:autoSpaceDN/>
        <w:bidi w:val="0"/>
        <w:adjustRightInd/>
        <w:snapToGrid/>
        <w:spacing w:before="100" w:after="100" w:line="240" w:lineRule="auto"/>
        <w:textAlignment w:val="auto"/>
        <w:rPr>
          <w:rFonts w:ascii="宋体" w:hAnsi="宋体" w:eastAsia="宋体"/>
          <w:sz w:val="28"/>
          <w:szCs w:val="28"/>
        </w:rPr>
      </w:pPr>
      <w:r>
        <w:rPr>
          <w:rFonts w:hint="eastAsia" w:ascii="宋体" w:hAnsi="宋体" w:eastAsia="宋体" w:cs="宋体"/>
          <w:color w:val="000000"/>
          <w:sz w:val="28"/>
          <w:szCs w:val="28"/>
        </w:rPr>
        <w:t>时间：202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24</w:t>
      </w:r>
      <w:r>
        <w:rPr>
          <w:rFonts w:hint="eastAsia" w:ascii="宋体" w:hAnsi="宋体" w:eastAsia="宋体" w:cs="宋体"/>
          <w:color w:val="000000"/>
          <w:sz w:val="28"/>
          <w:szCs w:val="28"/>
        </w:rPr>
        <w:t>日至202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26</w:t>
      </w:r>
      <w:r>
        <w:rPr>
          <w:rFonts w:hint="eastAsia" w:ascii="宋体" w:hAnsi="宋体" w:eastAsia="宋体" w:cs="宋体"/>
          <w:color w:val="000000"/>
          <w:sz w:val="28"/>
          <w:szCs w:val="28"/>
        </w:rPr>
        <w:t>日</w:t>
      </w:r>
    </w:p>
    <w:p w14:paraId="3C87F066">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三、其他补充事宜</w:t>
      </w:r>
    </w:p>
    <w:p w14:paraId="6E053F0E">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ascii="宋体" w:hAnsi="宋体" w:eastAsia="宋体"/>
          <w:sz w:val="28"/>
          <w:szCs w:val="28"/>
        </w:rPr>
      </w:pPr>
      <w:r>
        <w:rPr>
          <w:rFonts w:hint="eastAsia" w:ascii="宋体" w:hAnsi="宋体" w:eastAsia="宋体" w:cs="宋体"/>
          <w:color w:val="000000"/>
          <w:sz w:val="28"/>
          <w:szCs w:val="28"/>
        </w:rPr>
        <w:t>采购预算确定依据：</w:t>
      </w:r>
      <w:r>
        <w:rPr>
          <w:rFonts w:hint="eastAsia" w:ascii="宋体" w:hAnsi="宋体" w:eastAsia="宋体"/>
          <w:sz w:val="28"/>
          <w:szCs w:val="28"/>
          <w:lang w:eastAsia="zh-CN"/>
        </w:rPr>
        <w:t>毕节市本级政府采购计划书[202</w:t>
      </w:r>
      <w:r>
        <w:rPr>
          <w:rFonts w:hint="eastAsia" w:ascii="宋体" w:hAnsi="宋体" w:eastAsia="宋体"/>
          <w:sz w:val="28"/>
          <w:szCs w:val="28"/>
          <w:lang w:val="en-US" w:eastAsia="zh-CN"/>
        </w:rPr>
        <w:t>5</w:t>
      </w:r>
      <w:r>
        <w:rPr>
          <w:rFonts w:hint="eastAsia" w:ascii="宋体" w:hAnsi="宋体" w:eastAsia="宋体"/>
          <w:sz w:val="28"/>
          <w:szCs w:val="28"/>
          <w:lang w:eastAsia="zh-CN"/>
        </w:rPr>
        <w:t>]</w:t>
      </w:r>
      <w:r>
        <w:rPr>
          <w:rFonts w:hint="eastAsia" w:ascii="宋体" w:hAnsi="宋体" w:eastAsia="宋体"/>
          <w:sz w:val="28"/>
          <w:szCs w:val="28"/>
          <w:lang w:val="en-US" w:eastAsia="zh-CN"/>
        </w:rPr>
        <w:t>2182</w:t>
      </w:r>
      <w:r>
        <w:rPr>
          <w:rFonts w:hint="eastAsia" w:ascii="宋体" w:hAnsi="宋体" w:eastAsia="宋体"/>
          <w:sz w:val="28"/>
          <w:szCs w:val="28"/>
          <w:lang w:eastAsia="zh-CN"/>
        </w:rPr>
        <w:t>号</w:t>
      </w:r>
      <w:r>
        <w:rPr>
          <w:rFonts w:ascii="宋体" w:hAnsi="宋体" w:eastAsia="宋体"/>
          <w:sz w:val="28"/>
          <w:szCs w:val="28"/>
        </w:rPr>
        <w:t> </w:t>
      </w:r>
    </w:p>
    <w:p w14:paraId="14DDF516">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ascii="宋体" w:hAnsi="宋体" w:eastAsia="宋体"/>
          <w:sz w:val="28"/>
          <w:szCs w:val="28"/>
        </w:rPr>
      </w:pPr>
      <w:r>
        <w:rPr>
          <w:rFonts w:hint="eastAsia" w:ascii="宋体" w:hAnsi="宋体" w:eastAsia="宋体" w:cs="宋体"/>
          <w:color w:val="000000"/>
          <w:sz w:val="28"/>
          <w:szCs w:val="28"/>
        </w:rPr>
        <w:t>四、项目联系人（公示期限内，优先反馈意见给代理机构）</w:t>
      </w:r>
    </w:p>
    <w:p w14:paraId="0D41D0E7">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1、采购人信息</w:t>
      </w:r>
    </w:p>
    <w:p w14:paraId="09127C43">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hint="eastAsia" w:ascii="宋体" w:hAnsi="宋体" w:eastAsia="宋体"/>
          <w:sz w:val="28"/>
          <w:szCs w:val="28"/>
          <w:lang w:eastAsia="zh-CN"/>
        </w:rPr>
      </w:pPr>
      <w:r>
        <w:rPr>
          <w:rFonts w:hint="eastAsia" w:ascii="宋体" w:hAnsi="宋体" w:eastAsia="宋体" w:cs="宋体"/>
          <w:color w:val="000000"/>
          <w:sz w:val="28"/>
          <w:szCs w:val="28"/>
        </w:rPr>
        <w:t>采购单位名称：</w:t>
      </w:r>
      <w:r>
        <w:rPr>
          <w:rFonts w:hint="eastAsia" w:ascii="宋体" w:hAnsi="宋体" w:eastAsia="宋体"/>
          <w:sz w:val="28"/>
          <w:szCs w:val="28"/>
          <w:lang w:eastAsia="zh-CN"/>
        </w:rPr>
        <w:t>毕节市能源局</w:t>
      </w:r>
    </w:p>
    <w:p w14:paraId="0058571C">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hint="eastAsia" w:ascii="宋体" w:hAnsi="宋体" w:eastAsia="宋体"/>
          <w:sz w:val="28"/>
          <w:szCs w:val="28"/>
          <w:lang w:val="en-US" w:eastAsia="zh-CN"/>
        </w:rPr>
      </w:pPr>
      <w:r>
        <w:rPr>
          <w:rFonts w:hint="eastAsia" w:ascii="宋体" w:hAnsi="宋体" w:eastAsia="宋体" w:cs="宋体"/>
          <w:color w:val="000000"/>
          <w:sz w:val="28"/>
          <w:szCs w:val="28"/>
        </w:rPr>
        <w:t>联系电话：</w:t>
      </w:r>
      <w:r>
        <w:rPr>
          <w:rFonts w:hint="eastAsia" w:ascii="宋体" w:hAnsi="宋体" w:eastAsia="宋体"/>
          <w:sz w:val="28"/>
          <w:szCs w:val="28"/>
          <w:lang w:val="en-US" w:eastAsia="zh-CN"/>
        </w:rPr>
        <w:t>0857-8227691</w:t>
      </w:r>
    </w:p>
    <w:p w14:paraId="4702A24A">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、代理机构</w:t>
      </w:r>
    </w:p>
    <w:p w14:paraId="3172D995">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代理全称：</w:t>
      </w:r>
      <w:r>
        <w:rPr>
          <w:rFonts w:hint="eastAsia" w:ascii="宋体" w:hAnsi="宋体" w:eastAsia="宋体" w:cs="宋体"/>
          <w:color w:val="000000"/>
          <w:sz w:val="28"/>
          <w:szCs w:val="28"/>
          <w:lang w:eastAsia="zh-CN"/>
        </w:rPr>
        <w:t>贵州源辉项目管理有限公司</w:t>
      </w:r>
    </w:p>
    <w:p w14:paraId="1A299459">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val="en-US" w:eastAsia="zh-CN"/>
        </w:rPr>
        <w:t>陈工</w:t>
      </w:r>
    </w:p>
    <w:p w14:paraId="3CC3B196">
      <w:pPr>
        <w:pStyle w:val="12"/>
        <w:keepNext w:val="0"/>
        <w:keepLines w:val="0"/>
        <w:pageBreakBefore w:val="0"/>
        <w:widowControl/>
        <w:kinsoku/>
        <w:wordWrap/>
        <w:overflowPunct/>
        <w:topLinePunct w:val="0"/>
        <w:autoSpaceDE/>
        <w:autoSpaceDN/>
        <w:bidi w:val="0"/>
        <w:adjustRightInd/>
        <w:snapToGrid/>
        <w:spacing w:before="100" w:after="100" w:line="420" w:lineRule="exact"/>
        <w:textAlignment w:val="auto"/>
        <w:rPr>
          <w:rFonts w:hint="eastAsia" w:ascii="宋体" w:hAnsi="宋体" w:eastAsia="宋体" w:cs="宋体"/>
          <w:color w:val="000000"/>
          <w:sz w:val="28"/>
          <w:szCs w:val="28"/>
          <w:lang w:val="en-US" w:eastAsia="zh-CN"/>
        </w:rPr>
        <w:sectPr>
          <w:pgSz w:w="11906" w:h="16838"/>
          <w:pgMar w:top="1020" w:right="1800" w:bottom="918" w:left="1800" w:header="851" w:footer="992" w:gutter="0"/>
          <w:cols w:space="425" w:num="1"/>
          <w:docGrid w:type="lines" w:linePitch="312" w:charSpace="0"/>
        </w:sectPr>
      </w:pPr>
      <w:r>
        <w:rPr>
          <w:rFonts w:hint="eastAsia" w:ascii="宋体" w:hAnsi="宋体" w:eastAsia="宋体" w:cs="宋体"/>
          <w:color w:val="000000"/>
          <w:sz w:val="28"/>
          <w:szCs w:val="28"/>
        </w:rPr>
        <w:t>联系方式：</w:t>
      </w:r>
      <w:r>
        <w:rPr>
          <w:rFonts w:hint="eastAsia" w:ascii="宋体" w:hAnsi="宋体" w:eastAsia="宋体" w:cs="宋体"/>
          <w:color w:val="000000"/>
          <w:sz w:val="28"/>
          <w:szCs w:val="28"/>
          <w:lang w:val="en-US" w:eastAsia="zh-CN"/>
        </w:rPr>
        <w:t>17588822006</w:t>
      </w:r>
    </w:p>
    <w:p w14:paraId="398872D7">
      <w:pPr>
        <w:pStyle w:val="5"/>
        <w:ind w:left="221"/>
        <w:jc w:val="center"/>
        <w:outlineLvl w:val="0"/>
        <w:rPr>
          <w:rFonts w:hint="eastAsia" w:ascii="宋体" w:hAnsi="宋体" w:eastAsia="宋体" w:cs="宋体"/>
          <w:color w:val="000000"/>
          <w:sz w:val="44"/>
          <w:highlight w:val="none"/>
        </w:rPr>
      </w:pPr>
      <w:bookmarkStart w:id="0" w:name="_Toc12685"/>
      <w:bookmarkStart w:id="1" w:name="_Toc21749"/>
      <w:r>
        <w:rPr>
          <w:rFonts w:hint="eastAsia" w:ascii="宋体" w:hAnsi="宋体" w:eastAsia="宋体" w:cs="宋体"/>
          <w:color w:val="000000"/>
          <w:sz w:val="44"/>
          <w:highlight w:val="none"/>
        </w:rPr>
        <w:t>第一章</w:t>
      </w:r>
      <w:r>
        <w:rPr>
          <w:rFonts w:hint="eastAsia" w:ascii="宋体" w:hAnsi="宋体" w:eastAsia="宋体" w:cs="宋体"/>
          <w:color w:val="000000"/>
          <w:sz w:val="44"/>
          <w:highlight w:val="none"/>
          <w:lang w:val="en-US" w:eastAsia="zh-CN"/>
        </w:rPr>
        <w:t xml:space="preserve">  </w:t>
      </w:r>
      <w:bookmarkEnd w:id="0"/>
      <w:r>
        <w:rPr>
          <w:rFonts w:hint="eastAsia" w:ascii="宋体" w:hAnsi="宋体" w:eastAsia="宋体" w:cs="宋体"/>
          <w:color w:val="000000"/>
          <w:sz w:val="44"/>
          <w:highlight w:val="none"/>
        </w:rPr>
        <w:t>竞争性磋商公告</w:t>
      </w:r>
      <w:bookmarkEnd w:id="1"/>
    </w:p>
    <w:p w14:paraId="707EDF49">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项目概况</w:t>
      </w:r>
    </w:p>
    <w:p w14:paraId="2A142EE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sz w:val="24"/>
          <w:szCs w:val="24"/>
          <w:highlight w:val="none"/>
        </w:rPr>
      </w:pPr>
      <w:r>
        <w:rPr>
          <w:rFonts w:hint="eastAsia" w:eastAsia="宋体" w:cs="宋体"/>
          <w:color w:val="000000"/>
          <w:sz w:val="24"/>
          <w:szCs w:val="24"/>
          <w:highlight w:val="none"/>
          <w:u w:val="single"/>
          <w:lang w:eastAsia="zh-CN"/>
        </w:rPr>
        <w:t>毕节市煤矿安全综合监控平台融合升级改造项目</w:t>
      </w:r>
      <w:r>
        <w:rPr>
          <w:rFonts w:hint="eastAsia" w:ascii="宋体" w:hAnsi="宋体" w:eastAsia="宋体" w:cs="宋体"/>
          <w:color w:val="000000"/>
          <w:sz w:val="24"/>
          <w:szCs w:val="24"/>
          <w:highlight w:val="none"/>
        </w:rPr>
        <w:t>的潜在投标人应在</w:t>
      </w:r>
      <w:r>
        <w:rPr>
          <w:rFonts w:hint="eastAsia" w:eastAsia="宋体" w:cs="宋体"/>
          <w:color w:val="000000"/>
          <w:sz w:val="24"/>
          <w:szCs w:val="24"/>
          <w:highlight w:val="none"/>
          <w:u w:val="single"/>
          <w:lang w:eastAsia="zh-CN"/>
        </w:rPr>
        <w:t>2025年</w:t>
      </w:r>
      <w:bookmarkStart w:id="95" w:name="_GoBack"/>
      <w:bookmarkEnd w:id="95"/>
      <w:r>
        <w:rPr>
          <w:rFonts w:hint="eastAsia" w:eastAsia="宋体" w:cs="宋体"/>
          <w:color w:val="000000"/>
          <w:sz w:val="24"/>
          <w:szCs w:val="24"/>
          <w:highlight w:val="none"/>
          <w:u w:val="single"/>
          <w:lang w:eastAsia="zh-CN"/>
        </w:rPr>
        <w:t>11月XX日至2025年11月XX日，每天上午00:00至12:00，12:00至23:59（北京时间，法定节假日除外）</w:t>
      </w:r>
      <w:r>
        <w:rPr>
          <w:rFonts w:hint="eastAsia" w:ascii="宋体" w:hAnsi="宋体" w:eastAsia="宋体" w:cs="宋体"/>
          <w:color w:val="000000"/>
          <w:sz w:val="24"/>
          <w:szCs w:val="24"/>
          <w:highlight w:val="none"/>
          <w:u w:val="single"/>
        </w:rPr>
        <w:t>登陆毕节市公共资源交易中心系统</w:t>
      </w:r>
      <w:r>
        <w:rPr>
          <w:rFonts w:hint="eastAsia" w:ascii="宋体" w:hAnsi="宋体" w:eastAsia="宋体" w:cs="宋体"/>
          <w:color w:val="000000"/>
          <w:sz w:val="24"/>
          <w:szCs w:val="24"/>
          <w:highlight w:val="none"/>
        </w:rPr>
        <w:t>获取磋商文件，并于</w:t>
      </w:r>
      <w:r>
        <w:rPr>
          <w:rFonts w:hint="eastAsia" w:eastAsia="宋体" w:cs="宋体"/>
          <w:color w:val="000000"/>
          <w:sz w:val="24"/>
          <w:szCs w:val="24"/>
          <w:highlight w:val="none"/>
          <w:u w:val="single"/>
          <w:lang w:eastAsia="zh-CN"/>
        </w:rPr>
        <w:t>2025年11月XX日10时00分</w:t>
      </w:r>
      <w:r>
        <w:rPr>
          <w:rFonts w:hint="eastAsia" w:ascii="宋体" w:hAnsi="宋体" w:eastAsia="宋体" w:cs="宋体"/>
          <w:bCs/>
          <w:color w:val="000000"/>
          <w:sz w:val="24"/>
          <w:szCs w:val="24"/>
          <w:highlight w:val="none"/>
          <w:u w:val="single"/>
        </w:rPr>
        <w:t>（</w:t>
      </w:r>
      <w:r>
        <w:rPr>
          <w:rFonts w:hint="eastAsia" w:ascii="宋体" w:hAnsi="宋体" w:eastAsia="宋体" w:cs="宋体"/>
          <w:bCs/>
          <w:color w:val="000000"/>
          <w:sz w:val="24"/>
          <w:szCs w:val="24"/>
          <w:highlight w:val="none"/>
        </w:rPr>
        <w:t>北京时间）前递交响应文件</w:t>
      </w:r>
      <w:r>
        <w:rPr>
          <w:rFonts w:hint="eastAsia" w:ascii="宋体" w:hAnsi="宋体" w:eastAsia="宋体" w:cs="宋体"/>
          <w:color w:val="000000"/>
          <w:sz w:val="24"/>
          <w:szCs w:val="24"/>
          <w:highlight w:val="none"/>
        </w:rPr>
        <w:t>。</w:t>
      </w:r>
    </w:p>
    <w:p w14:paraId="2FD4DBC6">
      <w:pPr>
        <w:pStyle w:val="5"/>
        <w:spacing w:before="120" w:beforeLines="50" w:after="120" w:afterLines="50" w:line="360" w:lineRule="auto"/>
        <w:ind w:firstLine="482" w:firstLineChars="200"/>
        <w:rPr>
          <w:rFonts w:hint="eastAsia" w:ascii="宋体" w:hAnsi="宋体" w:eastAsia="宋体" w:cs="宋体"/>
          <w:bCs/>
          <w:color w:val="000000"/>
          <w:sz w:val="24"/>
          <w:szCs w:val="24"/>
          <w:highlight w:val="none"/>
        </w:rPr>
      </w:pPr>
      <w:bookmarkStart w:id="2" w:name="_Toc28359002"/>
      <w:bookmarkStart w:id="3" w:name="_Toc35393790"/>
      <w:bookmarkStart w:id="4" w:name="_Toc3661"/>
      <w:bookmarkStart w:id="5" w:name="_Toc35393621"/>
      <w:bookmarkStart w:id="6" w:name="_Toc72571252"/>
      <w:bookmarkStart w:id="7" w:name="_Toc24989"/>
      <w:bookmarkStart w:id="8" w:name="_Toc28359079"/>
      <w:bookmarkStart w:id="9" w:name="_Hlk24379207"/>
      <w:r>
        <w:rPr>
          <w:rFonts w:hint="eastAsia" w:ascii="宋体" w:hAnsi="宋体" w:eastAsia="宋体" w:cs="宋体"/>
          <w:bCs/>
          <w:color w:val="000000"/>
          <w:sz w:val="24"/>
          <w:szCs w:val="24"/>
          <w:highlight w:val="none"/>
        </w:rPr>
        <w:t>1.1 项目基本情况</w:t>
      </w:r>
      <w:bookmarkEnd w:id="2"/>
      <w:bookmarkEnd w:id="3"/>
      <w:bookmarkEnd w:id="4"/>
      <w:bookmarkEnd w:id="5"/>
      <w:bookmarkEnd w:id="6"/>
      <w:bookmarkEnd w:id="7"/>
      <w:bookmarkEnd w:id="8"/>
    </w:p>
    <w:p w14:paraId="28CF377D">
      <w:pPr>
        <w:pStyle w:val="21"/>
        <w:tabs>
          <w:tab w:val="left" w:pos="983"/>
          <w:tab w:val="left" w:pos="8505"/>
        </w:tabs>
        <w:spacing w:line="500" w:lineRule="exact"/>
        <w:ind w:left="0" w:right="41" w:firstLine="480" w:firstLineChars="200"/>
        <w:jc w:val="both"/>
        <w:rPr>
          <w:rFonts w:hint="eastAsia" w:ascii="宋体" w:hAnsi="宋体" w:eastAsia="宋体" w:cs="宋体"/>
          <w:color w:val="000000"/>
          <w:sz w:val="24"/>
          <w:szCs w:val="24"/>
          <w:highlight w:val="none"/>
          <w:u w:val="single"/>
          <w:lang w:val="en-US" w:eastAsia="zh-CN"/>
        </w:rPr>
      </w:pPr>
      <w:bookmarkStart w:id="10" w:name="_Toc2144"/>
      <w:r>
        <w:rPr>
          <w:rFonts w:hint="eastAsia" w:ascii="宋体" w:hAnsi="宋体" w:eastAsia="宋体" w:cs="宋体"/>
          <w:color w:val="000000"/>
          <w:sz w:val="24"/>
          <w:szCs w:val="24"/>
          <w:highlight w:val="none"/>
        </w:rPr>
        <w:t>项目编号：</w:t>
      </w:r>
      <w:bookmarkEnd w:id="10"/>
      <w:bookmarkStart w:id="11" w:name="_Toc4963"/>
      <w:r>
        <w:rPr>
          <w:rFonts w:hint="eastAsia" w:eastAsia="宋体" w:cs="宋体"/>
          <w:b/>
          <w:bCs/>
          <w:color w:val="000000"/>
          <w:sz w:val="24"/>
          <w:szCs w:val="24"/>
          <w:highlight w:val="none"/>
          <w:lang w:eastAsia="zh-CN"/>
        </w:rPr>
        <w:t>XXXXXXXXXXXX</w:t>
      </w:r>
    </w:p>
    <w:p w14:paraId="720A6F45">
      <w:pPr>
        <w:pStyle w:val="21"/>
        <w:tabs>
          <w:tab w:val="left" w:pos="983"/>
          <w:tab w:val="left" w:pos="8505"/>
        </w:tabs>
        <w:spacing w:line="500" w:lineRule="exact"/>
        <w:ind w:left="0" w:right="41" w:firstLine="480" w:firstLineChars="200"/>
        <w:jc w:val="both"/>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color w:val="000000"/>
          <w:sz w:val="24"/>
          <w:szCs w:val="24"/>
          <w:highlight w:val="none"/>
        </w:rPr>
        <w:t>项目名称：</w:t>
      </w:r>
      <w:bookmarkEnd w:id="11"/>
      <w:r>
        <w:rPr>
          <w:rFonts w:hint="eastAsia" w:eastAsia="宋体" w:cs="宋体"/>
          <w:b/>
          <w:bCs/>
          <w:color w:val="000000"/>
          <w:sz w:val="24"/>
          <w:szCs w:val="24"/>
          <w:highlight w:val="none"/>
          <w:u w:val="single"/>
          <w:lang w:val="en-US" w:eastAsia="zh-CN"/>
        </w:rPr>
        <w:t>毕节市煤矿安全综合监控平台融合升级改造项目</w:t>
      </w:r>
    </w:p>
    <w:bookmarkEnd w:id="9"/>
    <w:p w14:paraId="57C686DF">
      <w:pPr>
        <w:pStyle w:val="21"/>
        <w:tabs>
          <w:tab w:val="left" w:pos="983"/>
          <w:tab w:val="left" w:pos="8505"/>
        </w:tabs>
        <w:spacing w:line="500" w:lineRule="exact"/>
        <w:ind w:left="0" w:right="41"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预算金额：</w:t>
      </w:r>
      <w:r>
        <w:rPr>
          <w:rFonts w:hint="eastAsia" w:eastAsia="宋体" w:cs="宋体"/>
          <w:b/>
          <w:bCs/>
          <w:color w:val="000000"/>
          <w:sz w:val="24"/>
          <w:szCs w:val="24"/>
          <w:highlight w:val="none"/>
          <w:u w:val="single"/>
          <w:lang w:val="en-US" w:eastAsia="zh-CN"/>
        </w:rPr>
        <w:t>676100.00元</w:t>
      </w:r>
    </w:p>
    <w:p w14:paraId="560B7CF4">
      <w:pPr>
        <w:pStyle w:val="21"/>
        <w:tabs>
          <w:tab w:val="left" w:pos="983"/>
          <w:tab w:val="left" w:pos="8505"/>
        </w:tabs>
        <w:spacing w:line="500" w:lineRule="exact"/>
        <w:ind w:left="0" w:right="41"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最高限价：</w:t>
      </w:r>
      <w:r>
        <w:rPr>
          <w:rFonts w:hint="eastAsia" w:eastAsia="宋体" w:cs="宋体"/>
          <w:b/>
          <w:bCs/>
          <w:color w:val="000000"/>
          <w:sz w:val="24"/>
          <w:szCs w:val="24"/>
          <w:highlight w:val="none"/>
          <w:u w:val="single"/>
          <w:lang w:val="en-US" w:eastAsia="zh-CN"/>
        </w:rPr>
        <w:t>676100.00元</w:t>
      </w:r>
    </w:p>
    <w:p w14:paraId="34010310">
      <w:pPr>
        <w:pStyle w:val="21"/>
        <w:tabs>
          <w:tab w:val="left" w:pos="983"/>
          <w:tab w:val="left" w:pos="8505"/>
        </w:tabs>
        <w:spacing w:line="500" w:lineRule="exact"/>
        <w:ind w:left="462" w:leftChars="220" w:right="41" w:firstLine="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采购内容：</w:t>
      </w:r>
      <w:r>
        <w:rPr>
          <w:rFonts w:hint="eastAsia" w:ascii="宋体" w:hAnsi="宋体" w:eastAsia="宋体" w:cs="宋体"/>
          <w:color w:val="000000"/>
          <w:sz w:val="24"/>
          <w:szCs w:val="24"/>
          <w:highlight w:val="none"/>
          <w:lang w:val="en-US" w:eastAsia="zh-CN"/>
        </w:rPr>
        <w:t>毕节市煤矿安全综合监控平台融合升级改造</w:t>
      </w:r>
      <w:r>
        <w:rPr>
          <w:rFonts w:hint="eastAsia" w:ascii="宋体" w:hAnsi="宋体" w:eastAsia="宋体" w:cs="宋体"/>
          <w:color w:val="000000"/>
          <w:sz w:val="24"/>
          <w:szCs w:val="24"/>
          <w:highlight w:val="none"/>
        </w:rPr>
        <w:t>（详见磋商文件附件</w:t>
      </w:r>
      <w:r>
        <w:rPr>
          <w:rFonts w:hint="eastAsia" w:ascii="宋体" w:hAnsi="宋体" w:eastAsia="宋体" w:cs="宋体"/>
          <w:color w:val="000000"/>
          <w:sz w:val="24"/>
          <w:szCs w:val="24"/>
          <w:highlight w:val="none"/>
          <w:lang w:val="en-US"/>
        </w:rPr>
        <w:t>3</w:t>
      </w:r>
      <w:r>
        <w:rPr>
          <w:rFonts w:hint="eastAsia" w:ascii="宋体" w:hAnsi="宋体" w:eastAsia="宋体" w:cs="宋体"/>
          <w:color w:val="000000"/>
          <w:sz w:val="24"/>
          <w:szCs w:val="24"/>
          <w:highlight w:val="none"/>
        </w:rPr>
        <w:t>）。</w:t>
      </w:r>
    </w:p>
    <w:p w14:paraId="2168DFC5">
      <w:pPr>
        <w:spacing w:line="460" w:lineRule="exact"/>
        <w:ind w:firstLine="480" w:firstLineChars="200"/>
        <w:rPr>
          <w:rFonts w:hint="eastAsia" w:ascii="宋体" w:hAnsi="宋体" w:eastAsia="宋体" w:cs="宋体"/>
          <w:color w:val="000000"/>
          <w:sz w:val="24"/>
          <w:highlight w:val="none"/>
          <w:lang w:val="en-US"/>
        </w:rPr>
      </w:pPr>
      <w:r>
        <w:rPr>
          <w:rFonts w:hint="eastAsia" w:eastAsia="宋体" w:cs="宋体"/>
          <w:color w:val="000000"/>
          <w:sz w:val="24"/>
          <w:szCs w:val="24"/>
          <w:highlight w:val="none"/>
          <w:lang w:eastAsia="zh-CN"/>
        </w:rPr>
        <w:t>合同履行期限</w:t>
      </w:r>
      <w:r>
        <w:rPr>
          <w:rFonts w:hint="eastAsia" w:ascii="宋体" w:hAnsi="宋体" w:eastAsia="宋体" w:cs="宋体"/>
          <w:color w:val="000000"/>
          <w:sz w:val="24"/>
          <w:szCs w:val="24"/>
          <w:highlight w:val="none"/>
        </w:rPr>
        <w:t>：</w:t>
      </w:r>
      <w:r>
        <w:rPr>
          <w:rFonts w:hint="eastAsia" w:eastAsia="宋体" w:cs="宋体"/>
          <w:color w:val="000000"/>
          <w:sz w:val="24"/>
          <w:szCs w:val="24"/>
          <w:highlight w:val="none"/>
          <w:lang w:val="en-US" w:eastAsia="zh-CN"/>
        </w:rPr>
        <w:t>合同签订之日起3个月内完成</w:t>
      </w:r>
      <w:r>
        <w:rPr>
          <w:rFonts w:hint="eastAsia" w:ascii="宋体" w:hAnsi="宋体" w:eastAsia="宋体" w:cs="宋体"/>
          <w:color w:val="000000"/>
          <w:sz w:val="24"/>
          <w:szCs w:val="24"/>
          <w:highlight w:val="none"/>
          <w:lang w:val="en-US"/>
        </w:rPr>
        <w:t>。</w:t>
      </w:r>
    </w:p>
    <w:p w14:paraId="17BBC056">
      <w:pPr>
        <w:pStyle w:val="21"/>
        <w:tabs>
          <w:tab w:val="left" w:pos="983"/>
          <w:tab w:val="left" w:pos="8505"/>
        </w:tabs>
        <w:spacing w:line="500" w:lineRule="exact"/>
        <w:ind w:left="0" w:right="41"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w:t>
      </w:r>
      <w:r>
        <w:rPr>
          <w:rFonts w:hint="eastAsia" w:ascii="宋体" w:hAnsi="宋体" w:eastAsia="宋体" w:cs="宋体"/>
          <w:b/>
          <w:bCs/>
          <w:color w:val="000000"/>
          <w:sz w:val="24"/>
          <w:szCs w:val="24"/>
          <w:highlight w:val="none"/>
          <w:u w:val="single"/>
          <w:lang w:val="en-US"/>
        </w:rPr>
        <w:t>不</w:t>
      </w:r>
      <w:r>
        <w:rPr>
          <w:rFonts w:hint="eastAsia" w:ascii="宋体" w:hAnsi="宋体" w:eastAsia="宋体" w:cs="宋体"/>
          <w:b/>
          <w:bCs/>
          <w:color w:val="000000"/>
          <w:sz w:val="24"/>
          <w:szCs w:val="24"/>
          <w:highlight w:val="none"/>
          <w:u w:val="single"/>
        </w:rPr>
        <w:t>接受</w:t>
      </w:r>
      <w:r>
        <w:rPr>
          <w:rFonts w:hint="eastAsia" w:ascii="宋体" w:hAnsi="宋体" w:eastAsia="宋体" w:cs="宋体"/>
          <w:color w:val="000000"/>
          <w:sz w:val="24"/>
          <w:szCs w:val="24"/>
          <w:highlight w:val="none"/>
        </w:rPr>
        <w:t>联合体投标。</w:t>
      </w:r>
    </w:p>
    <w:p w14:paraId="5CFB34A9">
      <w:pPr>
        <w:pStyle w:val="5"/>
        <w:spacing w:before="120" w:beforeLines="50" w:after="120" w:afterLines="50" w:line="360" w:lineRule="auto"/>
        <w:ind w:firstLine="482" w:firstLineChars="200"/>
        <w:rPr>
          <w:rFonts w:hint="eastAsia" w:ascii="宋体" w:hAnsi="宋体" w:eastAsia="宋体" w:cs="宋体"/>
          <w:bCs/>
          <w:color w:val="000000"/>
          <w:sz w:val="24"/>
          <w:szCs w:val="24"/>
          <w:highlight w:val="none"/>
        </w:rPr>
      </w:pPr>
      <w:bookmarkStart w:id="12" w:name="_Toc28359080"/>
      <w:bookmarkStart w:id="13" w:name="_Toc5007"/>
      <w:bookmarkStart w:id="14" w:name="_Toc72571253"/>
      <w:bookmarkStart w:id="15" w:name="_Toc35393791"/>
      <w:bookmarkStart w:id="16" w:name="_Toc22481"/>
      <w:bookmarkStart w:id="17" w:name="_Toc35393622"/>
      <w:bookmarkStart w:id="18" w:name="_Toc28359003"/>
      <w:r>
        <w:rPr>
          <w:rFonts w:hint="eastAsia" w:ascii="宋体" w:hAnsi="宋体" w:eastAsia="宋体" w:cs="宋体"/>
          <w:bCs/>
          <w:color w:val="000000"/>
          <w:sz w:val="24"/>
          <w:szCs w:val="24"/>
          <w:highlight w:val="none"/>
        </w:rPr>
        <w:t>1.2 申请人的资格要求</w:t>
      </w:r>
      <w:bookmarkEnd w:id="12"/>
      <w:bookmarkEnd w:id="13"/>
      <w:bookmarkEnd w:id="14"/>
      <w:bookmarkEnd w:id="15"/>
      <w:bookmarkEnd w:id="16"/>
      <w:bookmarkEnd w:id="17"/>
      <w:bookmarkEnd w:id="18"/>
    </w:p>
    <w:p w14:paraId="4DBAC17E">
      <w:pPr>
        <w:spacing w:line="360" w:lineRule="auto"/>
        <w:ind w:left="56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1.2.1  满足《中华人民共和国政府采购法》第二十二条规定；</w:t>
      </w:r>
    </w:p>
    <w:p w14:paraId="10AD67AD">
      <w:pPr>
        <w:pStyle w:val="21"/>
        <w:tabs>
          <w:tab w:val="left" w:pos="983"/>
          <w:tab w:val="left" w:pos="8505"/>
        </w:tabs>
        <w:spacing w:line="360" w:lineRule="auto"/>
        <w:ind w:left="0" w:right="40" w:firstLine="480" w:firstLineChars="200"/>
        <w:jc w:val="both"/>
        <w:rPr>
          <w:rFonts w:hint="eastAsia" w:ascii="宋体" w:hAnsi="宋体" w:eastAsia="宋体" w:cs="宋体"/>
          <w:color w:val="000000"/>
          <w:sz w:val="24"/>
          <w:szCs w:val="24"/>
          <w:highlight w:val="none"/>
        </w:rPr>
      </w:pPr>
      <w:bookmarkStart w:id="19" w:name="_Toc28359004"/>
      <w:bookmarkStart w:id="20" w:name="_Toc28359081"/>
      <w:r>
        <w:rPr>
          <w:rFonts w:hint="eastAsia" w:ascii="宋体" w:hAnsi="宋体" w:eastAsia="宋体" w:cs="宋体"/>
          <w:color w:val="000000"/>
          <w:sz w:val="24"/>
          <w:szCs w:val="24"/>
          <w:highlight w:val="none"/>
          <w:lang w:val="en-US"/>
        </w:rPr>
        <w:t>A.</w:t>
      </w:r>
      <w:r>
        <w:rPr>
          <w:rFonts w:hint="eastAsia" w:ascii="宋体" w:hAnsi="宋体" w:eastAsia="宋体" w:cs="宋体"/>
          <w:color w:val="000000"/>
          <w:sz w:val="24"/>
          <w:szCs w:val="24"/>
          <w:highlight w:val="none"/>
        </w:rPr>
        <w:t>具有独立承担民事责任的能力</w:t>
      </w:r>
      <w:r>
        <w:rPr>
          <w:rFonts w:hint="eastAsia" w:ascii="宋体" w:hAnsi="宋体" w:eastAsia="宋体" w:cs="宋体"/>
          <w:color w:val="000000"/>
          <w:sz w:val="24"/>
          <w:szCs w:val="24"/>
          <w:highlight w:val="none"/>
          <w:lang w:val="en-US"/>
        </w:rPr>
        <w:t>:</w:t>
      </w:r>
      <w:r>
        <w:rPr>
          <w:rFonts w:hint="eastAsia" w:ascii="宋体" w:hAnsi="宋体" w:eastAsia="宋体" w:cs="宋体"/>
          <w:color w:val="000000"/>
          <w:sz w:val="24"/>
          <w:szCs w:val="24"/>
          <w:highlight w:val="none"/>
        </w:rPr>
        <w:t>法人或者其他组织的营业执照等证明文件（营业执照、组织机构代码证和税务登记证，或多证合一的营业执照）</w:t>
      </w:r>
      <w:r>
        <w:rPr>
          <w:rFonts w:hint="eastAsia" w:ascii="宋体" w:hAnsi="宋体" w:eastAsia="宋体" w:cs="宋体"/>
          <w:color w:val="000000"/>
          <w:sz w:val="24"/>
          <w:szCs w:val="24"/>
          <w:highlight w:val="none"/>
          <w:lang w:val="en-US"/>
        </w:rPr>
        <w:t>；</w:t>
      </w:r>
    </w:p>
    <w:p w14:paraId="7C696BE7">
      <w:pPr>
        <w:pStyle w:val="21"/>
        <w:tabs>
          <w:tab w:val="left" w:pos="983"/>
        </w:tabs>
        <w:spacing w:line="360" w:lineRule="auto"/>
        <w:ind w:left="0" w:right="4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B.具有良好的商业信誉和健全的财务会计制度：</w:t>
      </w:r>
      <w:r>
        <w:rPr>
          <w:rFonts w:hint="eastAsia" w:eastAsia="宋体" w:cs="宋体"/>
          <w:color w:val="000000"/>
          <w:sz w:val="24"/>
          <w:szCs w:val="24"/>
          <w:highlight w:val="none"/>
          <w:lang w:val="en-US" w:eastAsia="zh-CN"/>
        </w:rPr>
        <w:t>提供具</w:t>
      </w:r>
      <w:r>
        <w:rPr>
          <w:rFonts w:hint="eastAsia" w:ascii="宋体" w:hAnsi="宋体" w:eastAsia="宋体" w:cs="宋体"/>
          <w:color w:val="000000"/>
          <w:sz w:val="24"/>
          <w:szCs w:val="24"/>
          <w:highlight w:val="none"/>
          <w:lang w:val="en-US"/>
        </w:rPr>
        <w:t>有良好的商业信用和健全的财务制度</w:t>
      </w:r>
      <w:r>
        <w:rPr>
          <w:rFonts w:hint="eastAsia"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书面承诺</w:t>
      </w:r>
      <w:r>
        <w:rPr>
          <w:rFonts w:hint="eastAsia" w:ascii="宋体" w:hAnsi="宋体" w:eastAsia="宋体" w:cs="宋体"/>
          <w:color w:val="000000"/>
          <w:sz w:val="24"/>
          <w:szCs w:val="24"/>
          <w:highlight w:val="none"/>
          <w:lang w:val="en-US"/>
        </w:rPr>
        <w:t>；</w:t>
      </w:r>
    </w:p>
    <w:p w14:paraId="5B4AD34F">
      <w:pPr>
        <w:pStyle w:val="21"/>
        <w:tabs>
          <w:tab w:val="left" w:pos="983"/>
        </w:tabs>
        <w:spacing w:line="360" w:lineRule="auto"/>
        <w:ind w:left="0" w:right="40"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C.</w:t>
      </w:r>
      <w:r>
        <w:rPr>
          <w:rFonts w:hint="eastAsia" w:ascii="宋体" w:hAnsi="宋体" w:eastAsia="宋体" w:cs="宋体"/>
          <w:color w:val="000000"/>
          <w:sz w:val="24"/>
          <w:szCs w:val="24"/>
          <w:highlight w:val="none"/>
        </w:rPr>
        <w:t>具有履行合同</w:t>
      </w:r>
      <w:r>
        <w:rPr>
          <w:rFonts w:hint="eastAsia" w:eastAsia="宋体" w:cs="宋体"/>
          <w:color w:val="000000"/>
          <w:sz w:val="24"/>
          <w:szCs w:val="24"/>
          <w:highlight w:val="none"/>
          <w:lang w:eastAsia="zh-CN"/>
        </w:rPr>
        <w:t>所必需的</w:t>
      </w:r>
      <w:r>
        <w:rPr>
          <w:rFonts w:hint="eastAsia" w:ascii="宋体" w:hAnsi="宋体" w:eastAsia="宋体" w:cs="宋体"/>
          <w:color w:val="000000"/>
          <w:sz w:val="24"/>
          <w:szCs w:val="24"/>
          <w:highlight w:val="none"/>
        </w:rPr>
        <w:t>设备和专业技术能力：提供具有履行合同</w:t>
      </w:r>
      <w:r>
        <w:rPr>
          <w:rFonts w:hint="eastAsia" w:eastAsia="宋体" w:cs="宋体"/>
          <w:color w:val="000000"/>
          <w:sz w:val="24"/>
          <w:szCs w:val="24"/>
          <w:highlight w:val="none"/>
          <w:lang w:eastAsia="zh-CN"/>
        </w:rPr>
        <w:t>所必需的</w:t>
      </w:r>
      <w:r>
        <w:rPr>
          <w:rFonts w:hint="eastAsia" w:ascii="宋体" w:hAnsi="宋体" w:eastAsia="宋体" w:cs="宋体"/>
          <w:color w:val="000000"/>
          <w:sz w:val="24"/>
          <w:szCs w:val="24"/>
          <w:highlight w:val="none"/>
        </w:rPr>
        <w:t>设备和专业技术能力</w:t>
      </w:r>
      <w:r>
        <w:rPr>
          <w:rFonts w:hint="eastAsia"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书面承诺；</w:t>
      </w:r>
    </w:p>
    <w:p w14:paraId="309AB4DB">
      <w:pPr>
        <w:pStyle w:val="21"/>
        <w:spacing w:line="360" w:lineRule="auto"/>
        <w:ind w:left="0" w:leftChars="0" w:right="40" w:firstLine="480" w:firstLineChars="20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D.具有依法缴纳税收和社会保障资金的良好记录：</w:t>
      </w:r>
      <w:r>
        <w:rPr>
          <w:rFonts w:hint="eastAsia" w:eastAsia="宋体" w:cs="宋体"/>
          <w:color w:val="000000"/>
          <w:sz w:val="24"/>
          <w:szCs w:val="24"/>
          <w:highlight w:val="none"/>
          <w:lang w:val="en-US" w:eastAsia="zh-CN"/>
        </w:rPr>
        <w:t>提供</w:t>
      </w:r>
      <w:r>
        <w:rPr>
          <w:rFonts w:hint="eastAsia" w:ascii="宋体" w:hAnsi="宋体" w:eastAsia="宋体" w:cs="宋体"/>
          <w:color w:val="000000"/>
          <w:sz w:val="24"/>
          <w:szCs w:val="24"/>
          <w:highlight w:val="none"/>
          <w:lang w:val="en-US"/>
        </w:rPr>
        <w:t>具有依法缴纳税收和社会保障资金的良好记录</w:t>
      </w:r>
      <w:r>
        <w:rPr>
          <w:rFonts w:hint="eastAsia" w:ascii="宋体" w:hAnsi="宋体" w:eastAsia="宋体" w:cs="宋体"/>
          <w:color w:val="000000"/>
          <w:sz w:val="24"/>
          <w:szCs w:val="24"/>
          <w:highlight w:val="none"/>
          <w:lang w:val="en-US" w:eastAsia="zh-CN"/>
        </w:rPr>
        <w:t>的书面承诺</w:t>
      </w:r>
      <w:r>
        <w:rPr>
          <w:rFonts w:hint="eastAsia" w:ascii="宋体" w:hAnsi="宋体" w:eastAsia="宋体" w:cs="宋体"/>
          <w:color w:val="000000"/>
          <w:sz w:val="24"/>
          <w:szCs w:val="24"/>
          <w:highlight w:val="none"/>
          <w:lang w:val="en-US"/>
        </w:rPr>
        <w:t>；</w:t>
      </w:r>
    </w:p>
    <w:p w14:paraId="25E095B4">
      <w:pPr>
        <w:pStyle w:val="21"/>
        <w:tabs>
          <w:tab w:val="left" w:pos="983"/>
        </w:tabs>
        <w:spacing w:line="360" w:lineRule="auto"/>
        <w:ind w:left="0" w:right="4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E.参加本次政府采购活动</w:t>
      </w:r>
      <w:r>
        <w:rPr>
          <w:rFonts w:hint="eastAsia" w:ascii="宋体" w:hAnsi="宋体" w:eastAsia="宋体" w:cs="宋体"/>
          <w:color w:val="000000"/>
          <w:sz w:val="24"/>
          <w:szCs w:val="24"/>
          <w:highlight w:val="none"/>
        </w:rPr>
        <w:t>前三年内</w:t>
      </w:r>
      <w:r>
        <w:rPr>
          <w:rFonts w:hint="eastAsia" w:ascii="宋体" w:hAnsi="宋体" w:eastAsia="宋体" w:cs="宋体"/>
          <w:color w:val="000000"/>
          <w:sz w:val="24"/>
          <w:szCs w:val="24"/>
          <w:highlight w:val="none"/>
          <w:lang w:val="en-US"/>
        </w:rPr>
        <w:t>，在经营活动中没有违法违规记录：提供参加政府采购活动前3年内在经营活动中没有重大违法记录的书面声明；</w:t>
      </w:r>
    </w:p>
    <w:p w14:paraId="6A022DAF">
      <w:pPr>
        <w:pStyle w:val="21"/>
        <w:tabs>
          <w:tab w:val="left" w:pos="983"/>
        </w:tabs>
        <w:spacing w:line="360" w:lineRule="auto"/>
        <w:ind w:left="0" w:right="40" w:firstLine="480" w:firstLineChars="200"/>
        <w:jc w:val="both"/>
        <w:rPr>
          <w:rFonts w:hint="eastAsia" w:ascii="宋体" w:hAnsi="宋体" w:eastAsia="宋体" w:cs="宋体"/>
          <w:color w:val="000000"/>
          <w:highlight w:val="none"/>
          <w:lang w:val="en-US"/>
        </w:rPr>
      </w:pPr>
      <w:r>
        <w:rPr>
          <w:rFonts w:hint="eastAsia" w:ascii="宋体" w:hAnsi="宋体" w:eastAsia="宋体" w:cs="宋体"/>
          <w:color w:val="000000"/>
          <w:sz w:val="24"/>
          <w:szCs w:val="24"/>
          <w:highlight w:val="none"/>
          <w:lang w:val="en-US"/>
        </w:rPr>
        <w:t>F.供应商信用信息：</w:t>
      </w:r>
      <w:r>
        <w:rPr>
          <w:rFonts w:hint="eastAsia" w:eastAsia="宋体" w:cs="宋体"/>
          <w:color w:val="000000"/>
          <w:sz w:val="24"/>
          <w:szCs w:val="24"/>
          <w:highlight w:val="none"/>
          <w:lang w:val="en-US" w:eastAsia="zh-CN"/>
        </w:rPr>
        <w:t>供应商须承诺在“信用中国”网站、中国政府采购网等渠道查询中未被列入失信被执行人名单、重大税收违法案件当事人名单、政府采购严重违法失信行为记录名单中,如被列入失信被执行人、重大税收违法案件当事人名单、政府采购严重违法失信行为记录名单中的投标供应商取消其投标资格,并承担由此造成的一切法律责任及后果</w:t>
      </w:r>
      <w:r>
        <w:rPr>
          <w:rFonts w:hint="eastAsia" w:ascii="宋体" w:hAnsi="宋体" w:eastAsia="宋体" w:cs="宋体"/>
          <w:color w:val="000000"/>
          <w:sz w:val="24"/>
          <w:szCs w:val="24"/>
          <w:highlight w:val="none"/>
          <w:lang w:val="en-US"/>
        </w:rPr>
        <w:t>；</w:t>
      </w:r>
    </w:p>
    <w:p w14:paraId="10EDD288">
      <w:pPr>
        <w:pStyle w:val="21"/>
        <w:tabs>
          <w:tab w:val="left" w:pos="983"/>
        </w:tabs>
        <w:spacing w:line="360" w:lineRule="auto"/>
        <w:ind w:left="0" w:right="4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G</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rPr>
        <w:t>法定代表人参加投标的必须有法定代表人身份证及身份证明，法人授权委托人参加投标的必须有法定代表人授权委托书及被授权委托人的身份证；</w:t>
      </w:r>
    </w:p>
    <w:p w14:paraId="673E3D5A">
      <w:pPr>
        <w:pStyle w:val="21"/>
        <w:tabs>
          <w:tab w:val="left" w:pos="983"/>
        </w:tabs>
        <w:spacing w:line="360" w:lineRule="auto"/>
        <w:ind w:left="0" w:right="40"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H</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落实政府采购政策需满足的资格要求：</w:t>
      </w:r>
    </w:p>
    <w:p w14:paraId="25BE5F8A">
      <w:pPr>
        <w:pStyle w:val="21"/>
        <w:tabs>
          <w:tab w:val="left" w:pos="983"/>
        </w:tabs>
        <w:spacing w:line="360" w:lineRule="auto"/>
        <w:ind w:left="0" w:right="40" w:firstLine="480" w:firstLineChars="200"/>
        <w:jc w:val="both"/>
        <w:rPr>
          <w:rFonts w:hint="eastAsia" w:eastAsia="宋体" w:cs="宋体"/>
          <w:color w:val="000000"/>
          <w:sz w:val="24"/>
          <w:szCs w:val="24"/>
          <w:highlight w:val="none"/>
          <w:lang w:val="en-US" w:eastAsia="zh-CN"/>
        </w:rPr>
      </w:pPr>
      <w:bookmarkStart w:id="21" w:name="_Toc18180"/>
      <w:bookmarkStart w:id="22" w:name="_Toc35393792"/>
      <w:bookmarkStart w:id="23" w:name="_Toc35393623"/>
      <w:r>
        <w:rPr>
          <w:rFonts w:hint="eastAsia" w:ascii="宋体" w:hAnsi="宋体" w:eastAsia="宋体" w:cs="宋体"/>
          <w:color w:val="000000"/>
          <w:sz w:val="24"/>
          <w:szCs w:val="24"/>
          <w:highlight w:val="none"/>
        </w:rPr>
        <w:t>本项目专门面向中小企业采购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供应商须根据《政府采购促进中小企业发展管理办法》（财库【2020】46 号）规定提供“中小企业声明函”，若查实不属于中小企业，将按虚假应标处理。</w:t>
      </w:r>
      <w:r>
        <w:rPr>
          <w:rFonts w:hint="eastAsia" w:eastAsia="宋体" w:cs="宋体"/>
          <w:color w:val="000000"/>
          <w:sz w:val="24"/>
          <w:szCs w:val="24"/>
          <w:highlight w:val="none"/>
          <w:lang w:val="en-US" w:eastAsia="zh-CN"/>
        </w:rPr>
        <w:t>本项目所属行业：软件和信息技术服务业。</w:t>
      </w:r>
    </w:p>
    <w:p w14:paraId="4D353331">
      <w:pPr>
        <w:pStyle w:val="5"/>
        <w:spacing w:before="120" w:beforeLines="50" w:after="120" w:afterLines="50" w:line="360" w:lineRule="auto"/>
        <w:ind w:firstLine="482" w:firstLineChars="200"/>
        <w:rPr>
          <w:rFonts w:hint="eastAsia" w:ascii="宋体" w:hAnsi="宋体" w:eastAsia="宋体" w:cs="宋体"/>
          <w:bCs/>
          <w:color w:val="000000"/>
          <w:sz w:val="24"/>
          <w:szCs w:val="24"/>
          <w:highlight w:val="none"/>
        </w:rPr>
      </w:pPr>
      <w:bookmarkStart w:id="24" w:name="_Toc72571254"/>
      <w:bookmarkStart w:id="25" w:name="_Toc9367"/>
      <w:r>
        <w:rPr>
          <w:rFonts w:hint="eastAsia" w:ascii="宋体" w:hAnsi="宋体" w:eastAsia="宋体" w:cs="宋体"/>
          <w:bCs/>
          <w:color w:val="000000"/>
          <w:sz w:val="24"/>
          <w:szCs w:val="24"/>
          <w:highlight w:val="none"/>
        </w:rPr>
        <w:t>1.3 获取磋商文件</w:t>
      </w:r>
      <w:bookmarkEnd w:id="19"/>
      <w:bookmarkEnd w:id="20"/>
      <w:bookmarkEnd w:id="21"/>
      <w:bookmarkEnd w:id="22"/>
      <w:bookmarkEnd w:id="23"/>
      <w:bookmarkEnd w:id="24"/>
      <w:bookmarkEnd w:id="25"/>
    </w:p>
    <w:p w14:paraId="3FDF7B0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报名时间：</w:t>
      </w:r>
      <w:r>
        <w:rPr>
          <w:rFonts w:hint="eastAsia" w:eastAsia="宋体" w:cs="宋体"/>
          <w:color w:val="000000"/>
          <w:sz w:val="24"/>
          <w:szCs w:val="24"/>
          <w:highlight w:val="none"/>
          <w:u w:val="single"/>
          <w:lang w:eastAsia="zh-CN"/>
        </w:rPr>
        <w:t>2025年11月XX日至2025年11月XX日，每天上午00:00至12:00，12:00至23:59（北京时间，法定节假日除外）</w:t>
      </w:r>
      <w:r>
        <w:rPr>
          <w:rFonts w:hint="eastAsia" w:ascii="宋体" w:hAnsi="宋体" w:eastAsia="宋体" w:cs="宋体"/>
          <w:color w:val="000000"/>
          <w:sz w:val="24"/>
          <w:szCs w:val="24"/>
          <w:highlight w:val="none"/>
          <w:u w:val="single"/>
        </w:rPr>
        <w:t>。</w:t>
      </w:r>
    </w:p>
    <w:p w14:paraId="5FCEC0F2">
      <w:pPr>
        <w:spacing w:line="360" w:lineRule="auto"/>
        <w:ind w:firstLine="484" w:firstLineChars="20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地点：毕节市公共资源交易中心网（网上获取，供应商无需到现场获取）。</w:t>
      </w:r>
    </w:p>
    <w:p w14:paraId="683032D3">
      <w:pPr>
        <w:spacing w:line="360" w:lineRule="auto"/>
        <w:ind w:firstLine="482" w:firstLineChars="20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方式：投标人必须在规定的时间内按要求登录毕节市公共资源交易中心网站交易系统报名并通过审核后，才能获取（下载）《磋商文件》，并取得上传响应文件资格；</w:t>
      </w:r>
    </w:p>
    <w:p w14:paraId="16D2D4DD">
      <w:pPr>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（1）《磋商文件》澄清与更正内容获取方式</w:t>
      </w:r>
      <w:r>
        <w:rPr>
          <w:rFonts w:hint="eastAsia" w:ascii="宋体" w:hAnsi="宋体" w:eastAsia="宋体" w:cs="宋体"/>
          <w:color w:val="000000"/>
          <w:sz w:val="24"/>
          <w:szCs w:val="24"/>
          <w:highlight w:val="none"/>
        </w:rPr>
        <w:t>：投标人应随时关注该网站及业务系统发出的澄清与更正内容，如因投标人未及时上网查询，后果由投标人自行承担；</w:t>
      </w:r>
    </w:p>
    <w:p w14:paraId="27C2C9A0">
      <w:pPr>
        <w:spacing w:line="360" w:lineRule="auto"/>
        <w:ind w:firstLine="54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售价：</w:t>
      </w:r>
      <w:r>
        <w:rPr>
          <w:rFonts w:hint="eastAsia" w:ascii="宋体" w:hAnsi="宋体" w:eastAsia="宋体" w:cs="宋体"/>
          <w:color w:val="000000"/>
          <w:sz w:val="24"/>
          <w:szCs w:val="24"/>
          <w:highlight w:val="none"/>
          <w:u w:val="single"/>
        </w:rPr>
        <w:t xml:space="preserve">   /   </w:t>
      </w:r>
    </w:p>
    <w:p w14:paraId="24463F96">
      <w:pPr>
        <w:spacing w:line="360" w:lineRule="auto"/>
        <w:ind w:firstLine="482" w:firstLineChars="200"/>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（2）办理CA及上传响应文件事宜：</w:t>
      </w:r>
    </w:p>
    <w:p w14:paraId="692CADE4">
      <w:pPr>
        <w:spacing w:line="360" w:lineRule="auto"/>
        <w:ind w:firstLine="480" w:firstLineChars="200"/>
        <w:rPr>
          <w:rFonts w:hint="eastAsia" w:ascii="宋体" w:hAnsi="宋体" w:eastAsia="宋体" w:cs="宋体"/>
          <w:color w:val="000000"/>
          <w:sz w:val="24"/>
          <w:szCs w:val="24"/>
          <w:highlight w:val="none"/>
        </w:rPr>
      </w:pPr>
      <w:bookmarkStart w:id="26" w:name="_Toc28359005"/>
      <w:bookmarkStart w:id="27" w:name="_Toc28359082"/>
      <w:bookmarkStart w:id="28" w:name="_Toc35393624"/>
      <w:bookmarkStart w:id="29" w:name="_Toc35393793"/>
      <w:r>
        <w:rPr>
          <w:rFonts w:hint="eastAsia" w:ascii="宋体" w:hAnsi="宋体" w:eastAsia="宋体" w:cs="宋体"/>
          <w:color w:val="000000"/>
          <w:sz w:val="24"/>
          <w:szCs w:val="24"/>
          <w:highlight w:val="none"/>
        </w:rPr>
        <w:t xml:space="preserve">㈠办理CA、“标信通”APP及网上上传响应文件事宜: </w:t>
      </w:r>
    </w:p>
    <w:p w14:paraId="5D97322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1．办理电子密钥(CA）联系人及联系电话 联系人:CA办理窗口; 联系电话（传真）:0857-8316572（华测CA）、0857-8319852（贵州CA--应急联系人15680500516）。 </w:t>
      </w:r>
    </w:p>
    <w:p w14:paraId="33B5DE4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2．办理“标信通”APP联系人及联系电话 联系人：标信智链（杭州）科技发展有限公司 服务热线：400-658-7878； 应急联系电话:18785066386。</w:t>
      </w:r>
    </w:p>
    <w:p w14:paraId="1827BCAF">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3．制作、上传响应文件技术支持: 联系人:信源公司; 电话（传真）:0857-8317294。</w:t>
      </w:r>
    </w:p>
    <w:p w14:paraId="0563AC5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注意：潜在供应商只有在规定的时间内按要求登录毕节市公共资源交易中心交易系统报名并通过审核后才能下载《投标书》制作工具并取得上传响应文件资格； </w:t>
      </w:r>
    </w:p>
    <w:p w14:paraId="758CDF3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售价：免费获取；</w:t>
      </w:r>
    </w:p>
    <w:p w14:paraId="0D6C8FF0">
      <w:pPr>
        <w:pStyle w:val="5"/>
        <w:spacing w:before="120" w:beforeLines="50" w:after="120" w:afterLines="50" w:line="360" w:lineRule="auto"/>
        <w:ind w:firstLine="482" w:firstLineChars="200"/>
        <w:rPr>
          <w:rFonts w:hint="eastAsia" w:ascii="宋体" w:hAnsi="宋体" w:eastAsia="宋体" w:cs="宋体"/>
          <w:bCs/>
          <w:color w:val="000000"/>
          <w:sz w:val="24"/>
          <w:szCs w:val="24"/>
          <w:highlight w:val="none"/>
        </w:rPr>
      </w:pPr>
      <w:bookmarkStart w:id="30" w:name="_Toc72571255"/>
      <w:bookmarkStart w:id="31" w:name="_Toc3664"/>
      <w:r>
        <w:rPr>
          <w:rFonts w:hint="eastAsia" w:ascii="宋体" w:hAnsi="宋体" w:eastAsia="宋体" w:cs="宋体"/>
          <w:bCs/>
          <w:color w:val="000000"/>
          <w:sz w:val="24"/>
          <w:szCs w:val="24"/>
          <w:highlight w:val="none"/>
        </w:rPr>
        <w:t>1.4 提交响应文件</w:t>
      </w:r>
      <w:bookmarkEnd w:id="26"/>
      <w:bookmarkEnd w:id="27"/>
      <w:r>
        <w:rPr>
          <w:rFonts w:hint="eastAsia" w:ascii="宋体" w:hAnsi="宋体" w:eastAsia="宋体" w:cs="宋体"/>
          <w:bCs/>
          <w:color w:val="000000"/>
          <w:sz w:val="24"/>
          <w:szCs w:val="24"/>
          <w:highlight w:val="none"/>
        </w:rPr>
        <w:t>截止时间、开标时间和地点</w:t>
      </w:r>
      <w:bookmarkEnd w:id="28"/>
      <w:bookmarkEnd w:id="29"/>
      <w:bookmarkEnd w:id="30"/>
      <w:bookmarkEnd w:id="31"/>
      <w:bookmarkStart w:id="32" w:name="_Toc35393794"/>
      <w:bookmarkStart w:id="33" w:name="_Toc35393625"/>
      <w:bookmarkStart w:id="34" w:name="_Toc28359084"/>
      <w:bookmarkStart w:id="35" w:name="_Toc28359007"/>
    </w:p>
    <w:p w14:paraId="5C777F46">
      <w:pPr>
        <w:spacing w:line="360" w:lineRule="auto"/>
        <w:ind w:firstLine="5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（1）开标时间：</w:t>
      </w:r>
      <w:r>
        <w:rPr>
          <w:rFonts w:hint="eastAsia" w:eastAsia="宋体" w:cs="宋体"/>
          <w:color w:val="000000"/>
          <w:sz w:val="24"/>
          <w:szCs w:val="24"/>
          <w:highlight w:val="none"/>
          <w:u w:val="single"/>
          <w:lang w:eastAsia="zh-CN"/>
        </w:rPr>
        <w:t>2025年11月XX日10时00分</w:t>
      </w:r>
      <w:r>
        <w:rPr>
          <w:rFonts w:hint="eastAsia" w:ascii="宋体" w:hAnsi="宋体" w:eastAsia="宋体" w:cs="宋体"/>
          <w:color w:val="000000"/>
          <w:sz w:val="24"/>
          <w:szCs w:val="24"/>
          <w:highlight w:val="none"/>
        </w:rPr>
        <w:t>；</w:t>
      </w:r>
    </w:p>
    <w:p w14:paraId="09E77805">
      <w:pPr>
        <w:spacing w:line="360" w:lineRule="auto"/>
        <w:ind w:firstLine="5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（2）开标地点(网上开标, 投标人无需到现场)</w:t>
      </w:r>
    </w:p>
    <w:p w14:paraId="071D6063">
      <w:pPr>
        <w:spacing w:line="360" w:lineRule="auto"/>
        <w:ind w:firstLine="540"/>
        <w:rPr>
          <w:rFonts w:hint="eastAsia" w:ascii="宋体" w:hAnsi="宋体" w:eastAsia="宋体" w:cs="宋体"/>
          <w:color w:val="000000"/>
          <w:sz w:val="24"/>
          <w:szCs w:val="24"/>
          <w:highlight w:val="none"/>
        </w:rPr>
      </w:pPr>
      <w:bookmarkStart w:id="36" w:name="_Toc19166"/>
      <w:r>
        <w:rPr>
          <w:rFonts w:hint="eastAsia" w:ascii="宋体" w:hAnsi="宋体" w:eastAsia="宋体" w:cs="宋体"/>
          <w:color w:val="000000"/>
          <w:sz w:val="24"/>
          <w:szCs w:val="24"/>
          <w:highlight w:val="none"/>
        </w:rPr>
        <w:t>（3）上传《响应文件》截止时间：</w:t>
      </w:r>
      <w:r>
        <w:rPr>
          <w:rFonts w:hint="eastAsia" w:eastAsia="宋体" w:cs="宋体"/>
          <w:color w:val="000000"/>
          <w:sz w:val="24"/>
          <w:szCs w:val="24"/>
          <w:highlight w:val="none"/>
          <w:u w:val="single"/>
          <w:lang w:eastAsia="zh-CN"/>
        </w:rPr>
        <w:t>2025年11月XX日10时00分</w:t>
      </w:r>
      <w:r>
        <w:rPr>
          <w:rFonts w:hint="eastAsia" w:ascii="宋体" w:hAnsi="宋体" w:eastAsia="宋体" w:cs="宋体"/>
          <w:color w:val="000000"/>
          <w:sz w:val="24"/>
          <w:szCs w:val="24"/>
          <w:highlight w:val="none"/>
        </w:rPr>
        <w:t>前按照系统要求上传，并于当日</w:t>
      </w:r>
      <w:r>
        <w:rPr>
          <w:rFonts w:hint="eastAsia" w:eastAsia="宋体" w:cs="宋体"/>
          <w:color w:val="000000"/>
          <w:sz w:val="24"/>
          <w:szCs w:val="24"/>
          <w:highlight w:val="none"/>
          <w:u w:val="single"/>
          <w:lang w:val="en-US" w:eastAsia="zh-CN"/>
        </w:rPr>
        <w:t>11时00分</w:t>
      </w:r>
      <w:r>
        <w:rPr>
          <w:rFonts w:hint="eastAsia" w:ascii="宋体" w:hAnsi="宋体" w:eastAsia="宋体" w:cs="宋体"/>
          <w:color w:val="000000"/>
          <w:sz w:val="24"/>
          <w:szCs w:val="24"/>
          <w:highlight w:val="none"/>
        </w:rPr>
        <w:t>前解密响应文件。</w:t>
      </w:r>
      <w:bookmarkEnd w:id="36"/>
    </w:p>
    <w:p w14:paraId="237D4FA4">
      <w:pPr>
        <w:pStyle w:val="5"/>
        <w:spacing w:before="120" w:beforeLines="50" w:after="120" w:afterLines="50" w:line="360" w:lineRule="auto"/>
        <w:ind w:firstLine="482" w:firstLineChars="200"/>
        <w:rPr>
          <w:rFonts w:hint="eastAsia" w:ascii="宋体" w:hAnsi="宋体" w:eastAsia="宋体" w:cs="宋体"/>
          <w:bCs/>
          <w:color w:val="000000"/>
          <w:sz w:val="24"/>
          <w:szCs w:val="24"/>
          <w:highlight w:val="none"/>
        </w:rPr>
      </w:pPr>
      <w:bookmarkStart w:id="37" w:name="_Toc1654"/>
      <w:bookmarkStart w:id="38" w:name="_Toc72571256"/>
      <w:bookmarkStart w:id="39" w:name="_Toc4959"/>
      <w:r>
        <w:rPr>
          <w:rFonts w:hint="eastAsia" w:ascii="宋体" w:hAnsi="宋体" w:eastAsia="宋体" w:cs="宋体"/>
          <w:bCs/>
          <w:color w:val="000000"/>
          <w:sz w:val="24"/>
          <w:szCs w:val="24"/>
          <w:highlight w:val="none"/>
        </w:rPr>
        <w:t>1.5 公告期限</w:t>
      </w:r>
      <w:bookmarkEnd w:id="32"/>
      <w:bookmarkEnd w:id="33"/>
      <w:bookmarkEnd w:id="34"/>
      <w:bookmarkEnd w:id="35"/>
      <w:bookmarkEnd w:id="37"/>
      <w:bookmarkEnd w:id="38"/>
      <w:bookmarkEnd w:id="39"/>
    </w:p>
    <w:p w14:paraId="46C757C2">
      <w:pPr>
        <w:spacing w:line="360" w:lineRule="auto"/>
        <w:ind w:firstLine="480" w:firstLineChars="200"/>
        <w:rPr>
          <w:rFonts w:hint="eastAsia" w:ascii="宋体" w:hAnsi="宋体" w:eastAsia="宋体" w:cs="宋体"/>
          <w:bCs/>
          <w:color w:val="000000"/>
          <w:sz w:val="24"/>
          <w:szCs w:val="24"/>
          <w:highlight w:val="none"/>
        </w:rPr>
      </w:pPr>
      <w:r>
        <w:rPr>
          <w:rFonts w:hint="eastAsia" w:eastAsia="宋体" w:cs="宋体"/>
          <w:color w:val="000000"/>
          <w:sz w:val="24"/>
          <w:szCs w:val="24"/>
          <w:highlight w:val="none"/>
          <w:u w:val="single"/>
          <w:lang w:eastAsia="zh-CN"/>
        </w:rPr>
        <w:t>自本公告发布之日起</w:t>
      </w:r>
      <w:r>
        <w:rPr>
          <w:rFonts w:hint="eastAsia" w:eastAsia="宋体" w:cs="宋体"/>
          <w:color w:val="000000"/>
          <w:sz w:val="24"/>
          <w:szCs w:val="24"/>
          <w:highlight w:val="none"/>
          <w:u w:val="single"/>
          <w:lang w:val="en-US" w:eastAsia="zh-CN"/>
        </w:rPr>
        <w:t>3个工作日</w:t>
      </w:r>
      <w:r>
        <w:rPr>
          <w:rFonts w:hint="eastAsia" w:ascii="宋体" w:hAnsi="宋体" w:eastAsia="宋体" w:cs="宋体"/>
          <w:bCs/>
          <w:color w:val="000000"/>
          <w:sz w:val="24"/>
          <w:szCs w:val="24"/>
          <w:highlight w:val="none"/>
        </w:rPr>
        <w:t>；</w:t>
      </w:r>
      <w:bookmarkStart w:id="40" w:name="_Toc35393626"/>
      <w:bookmarkStart w:id="41" w:name="_Toc35393795"/>
    </w:p>
    <w:p w14:paraId="3CF3E440">
      <w:pPr>
        <w:pStyle w:val="5"/>
        <w:spacing w:before="120" w:beforeLines="50" w:after="120" w:afterLines="50" w:line="360" w:lineRule="auto"/>
        <w:ind w:firstLine="482" w:firstLineChars="200"/>
        <w:rPr>
          <w:rFonts w:hint="eastAsia" w:ascii="宋体" w:hAnsi="宋体" w:eastAsia="宋体" w:cs="宋体"/>
          <w:bCs/>
          <w:color w:val="000000"/>
          <w:sz w:val="24"/>
          <w:szCs w:val="24"/>
          <w:highlight w:val="none"/>
        </w:rPr>
      </w:pPr>
      <w:bookmarkStart w:id="42" w:name="_Toc19908"/>
      <w:bookmarkStart w:id="43" w:name="_Toc72571257"/>
      <w:r>
        <w:rPr>
          <w:rFonts w:hint="eastAsia" w:ascii="宋体" w:hAnsi="宋体" w:eastAsia="宋体" w:cs="宋体"/>
          <w:bCs/>
          <w:color w:val="000000"/>
          <w:sz w:val="24"/>
          <w:szCs w:val="24"/>
          <w:highlight w:val="none"/>
        </w:rPr>
        <w:t>1.6 其他补充事宜</w:t>
      </w:r>
      <w:bookmarkEnd w:id="40"/>
      <w:bookmarkEnd w:id="41"/>
      <w:bookmarkEnd w:id="42"/>
      <w:bookmarkEnd w:id="43"/>
    </w:p>
    <w:p w14:paraId="7A86FCD2">
      <w:pPr>
        <w:spacing w:line="360" w:lineRule="auto"/>
        <w:ind w:firstLine="482" w:firstLineChars="200"/>
        <w:jc w:val="both"/>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1.6.1 投标保证金: </w:t>
      </w:r>
      <w:r>
        <w:rPr>
          <w:rFonts w:hint="eastAsia" w:ascii="宋体" w:hAnsi="宋体" w:eastAsia="宋体" w:cs="宋体"/>
          <w:color w:val="000000"/>
          <w:sz w:val="24"/>
          <w:szCs w:val="24"/>
          <w:highlight w:val="none"/>
        </w:rPr>
        <w:t>投标人必须在响应文件递交截止时间前从其基本账户向毕节市公共资源交易中心一次性交纳投标保证金</w:t>
      </w:r>
      <w:r>
        <w:rPr>
          <w:rFonts w:hint="eastAsia" w:eastAsia="宋体" w:cs="宋体"/>
          <w:b/>
          <w:color w:val="000000"/>
          <w:sz w:val="24"/>
          <w:szCs w:val="24"/>
          <w:highlight w:val="none"/>
          <w:u w:val="single"/>
          <w:lang w:val="en-US" w:eastAsia="zh-CN"/>
        </w:rPr>
        <w:t>壹万元</w:t>
      </w:r>
      <w:r>
        <w:rPr>
          <w:rFonts w:hint="eastAsia" w:ascii="宋体" w:hAnsi="宋体" w:eastAsia="宋体" w:cs="宋体"/>
          <w:b/>
          <w:color w:val="000000"/>
          <w:sz w:val="24"/>
          <w:szCs w:val="24"/>
          <w:highlight w:val="none"/>
          <w:u w:val="single"/>
          <w:lang w:val="en-US"/>
        </w:rPr>
        <w:t>整</w:t>
      </w:r>
      <w:r>
        <w:rPr>
          <w:rFonts w:hint="eastAsia" w:ascii="宋体" w:hAnsi="宋体" w:eastAsia="宋体" w:cs="宋体"/>
          <w:color w:val="000000"/>
          <w:sz w:val="24"/>
          <w:szCs w:val="24"/>
          <w:highlight w:val="none"/>
        </w:rPr>
        <w:t>人民币（以到账时间为准，由于跨行转账</w:t>
      </w:r>
      <w:r>
        <w:rPr>
          <w:rFonts w:hint="eastAsia" w:eastAsia="宋体" w:cs="宋体"/>
          <w:color w:val="000000"/>
          <w:sz w:val="24"/>
          <w:szCs w:val="24"/>
          <w:highlight w:val="none"/>
          <w:lang w:eastAsia="zh-CN"/>
        </w:rPr>
        <w:t>需要</w:t>
      </w:r>
      <w:r>
        <w:rPr>
          <w:rFonts w:hint="eastAsia" w:ascii="宋体" w:hAnsi="宋体" w:eastAsia="宋体" w:cs="宋体"/>
          <w:color w:val="000000"/>
          <w:sz w:val="24"/>
          <w:szCs w:val="24"/>
          <w:highlight w:val="none"/>
        </w:rPr>
        <w:t>一定时间，为确保保证金按时到账，请尽早交纳保证金）。保证金交纳方式：基本账户出具，以银行转账、支票、汇票、本票或者金融机构、担保机构出具的保函等非现金形式提交（详细按照毕节市公共资源交易中心规定执行）。</w:t>
      </w:r>
    </w:p>
    <w:p w14:paraId="5E67014E">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联系人：财务部办公室；</w:t>
      </w:r>
    </w:p>
    <w:p w14:paraId="5D2D4A10">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联系电话（传真）：0857-8314036。</w:t>
      </w:r>
    </w:p>
    <w:p w14:paraId="72000939">
      <w:pPr>
        <w:spacing w:line="360" w:lineRule="auto"/>
        <w:ind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（1）保证金绑定方式使用随机码功能。投标人报名完</w:t>
      </w:r>
      <w:r>
        <w:rPr>
          <w:rFonts w:hint="eastAsia" w:eastAsia="宋体" w:cs="宋体"/>
          <w:color w:val="000000"/>
          <w:sz w:val="24"/>
          <w:szCs w:val="24"/>
          <w:highlight w:val="none"/>
          <w:lang w:eastAsia="zh-CN"/>
        </w:rPr>
        <w:t>成后</w:t>
      </w:r>
      <w:r>
        <w:rPr>
          <w:rFonts w:hint="eastAsia" w:ascii="宋体" w:hAnsi="宋体" w:eastAsia="宋体" w:cs="宋体"/>
          <w:color w:val="000000"/>
          <w:sz w:val="24"/>
          <w:szCs w:val="24"/>
          <w:highlight w:val="none"/>
        </w:rPr>
        <w:t>将自动产生投标随机码，保证金缴纳时在银行汇款单备注或附言处填写随机码，符合投标要求的费用进账后自动完成绑定。投标保证金未自动绑定的，不能上传《响应文件》。</w:t>
      </w:r>
    </w:p>
    <w:p w14:paraId="1C463A0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2</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投标保证金的缴纳信息：</w:t>
      </w:r>
    </w:p>
    <w:p w14:paraId="166C3AE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投标保证金缴纳至毕节市公共资源交易中心</w:t>
      </w:r>
    </w:p>
    <w:p w14:paraId="4059E79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账户名称：毕节市公共资源交易中心</w:t>
      </w:r>
    </w:p>
    <w:p w14:paraId="1E8DCD5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账号：17710121050000969</w:t>
      </w:r>
    </w:p>
    <w:p w14:paraId="5F31401F">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开户行：贵阳银行股份有限公司毕节分行</w:t>
      </w:r>
    </w:p>
    <w:p w14:paraId="7E05DB6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保证金绑定：缴纳费用之前请确保缴费账户已在交易系统注册登记且生效，所注册的账户信息准确无误（账户类别、账户名称、账号、基本账户开户许可证号、开户银行名称及开户支行号），如果没有注册账户信息，请登录毕节市公共资源交易中心网站系统-会员-会员信息变更-银行账户增加需要缴费的银行账户信息，基本账户有地区码的，填写账号时需加上地区码（但不加-）然后提交审核并审核通过。缴纳费用时请在银行汇款单备注、附言、用途、说明、附加信息、摘要处填写投标随机码（只能填写随机码且字体清晰,不能有其他汉字或符号等内容，否则投标保证金不能绑定），影响缴纳费用到账的，责任由投标人自行承担。</w:t>
      </w:r>
    </w:p>
    <w:p w14:paraId="0E5894B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（4）投标保证金必须从投标人基本账户一次性转入，且确保在响应文件递交截止时间前到账并检查绑定成功，否则，责任由投标人自行承担。</w:t>
      </w:r>
    </w:p>
    <w:p w14:paraId="673FF78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（5）转账方式支持网上银行（工商银行除外）及柜台转账两种方式，不支持超级网银（手机银行）及第三方平台支付。</w:t>
      </w:r>
    </w:p>
    <w:p w14:paraId="1435618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（6）关于保证金与项目的绑定方法，请认真阅读毕节市公共资源交易中心网站</w:t>
      </w:r>
      <w:r>
        <w:rPr>
          <w:rFonts w:hint="eastAsia" w:eastAsia="宋体" w:cs="宋体"/>
          <w:color w:val="000000"/>
          <w:sz w:val="24"/>
          <w:szCs w:val="24"/>
          <w:highlight w:val="none"/>
          <w:lang w:eastAsia="zh-CN"/>
        </w:rPr>
        <w:t>相关</w:t>
      </w:r>
      <w:r>
        <w:rPr>
          <w:rFonts w:hint="eastAsia" w:ascii="宋体" w:hAnsi="宋体" w:eastAsia="宋体" w:cs="宋体"/>
          <w:color w:val="000000"/>
          <w:sz w:val="24"/>
          <w:szCs w:val="24"/>
          <w:highlight w:val="none"/>
        </w:rPr>
        <w:t>指南。</w:t>
      </w:r>
    </w:p>
    <w:p w14:paraId="286AEC05">
      <w:pPr>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1.6.2 对《磋商文件》提出询问或质疑的时间、方式</w:t>
      </w:r>
      <w:r>
        <w:rPr>
          <w:rFonts w:hint="eastAsia" w:ascii="宋体" w:hAnsi="宋体" w:eastAsia="宋体" w:cs="宋体"/>
          <w:color w:val="000000"/>
          <w:sz w:val="24"/>
          <w:szCs w:val="24"/>
          <w:highlight w:val="none"/>
        </w:rPr>
        <w:t>：</w:t>
      </w:r>
    </w:p>
    <w:p w14:paraId="579BBE3C">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公告确定的获取《磋商文件》之日或报名截止时间之日起7个工作日内向本公司或者采购人书面提出，提出询问的方式不限，提出质疑的方式为通过毕节市公共资源交易中心网站系统送达代理机构或采购人。</w:t>
      </w:r>
    </w:p>
    <w:p w14:paraId="4994705B">
      <w:pPr>
        <w:spacing w:line="360" w:lineRule="auto"/>
        <w:ind w:firstLine="480" w:firstLineChars="200"/>
        <w:rPr>
          <w:rFonts w:hint="eastAsia" w:ascii="宋体" w:hAnsi="宋体" w:eastAsia="宋体" w:cs="宋体"/>
          <w:color w:val="000000"/>
          <w:sz w:val="24"/>
          <w:szCs w:val="24"/>
          <w:highlight w:val="none"/>
        </w:rPr>
      </w:pPr>
      <w:bookmarkStart w:id="44" w:name="_Toc5407"/>
      <w:r>
        <w:rPr>
          <w:rFonts w:hint="eastAsia" w:ascii="宋体" w:hAnsi="宋体" w:eastAsia="宋体" w:cs="宋体"/>
          <w:color w:val="000000"/>
          <w:sz w:val="24"/>
          <w:szCs w:val="24"/>
          <w:highlight w:val="none"/>
        </w:rPr>
        <w:t>（2）投标人因自身原因，在本公告确定的获取《磋商文件》时间之外下载《磋商文件》的，下载时间不作为投标人提出询问或质疑的起始时间，因此而造成投标丧失询问或质疑资格的，责任由投标人自行承担。</w:t>
      </w:r>
      <w:bookmarkEnd w:id="44"/>
    </w:p>
    <w:p w14:paraId="03666BE0">
      <w:pPr>
        <w:spacing w:line="440" w:lineRule="exact"/>
        <w:ind w:firstLine="480" w:firstLineChars="200"/>
        <w:rPr>
          <w:rFonts w:hint="eastAsia" w:ascii="宋体" w:hAnsi="宋体" w:eastAsia="宋体" w:cs="宋体"/>
          <w:color w:val="000000"/>
          <w:sz w:val="24"/>
          <w:szCs w:val="24"/>
          <w:highlight w:val="none"/>
        </w:rPr>
      </w:pPr>
      <w:bookmarkStart w:id="45" w:name="_Toc14278"/>
      <w:r>
        <w:rPr>
          <w:rFonts w:hint="eastAsia" w:ascii="宋体" w:hAnsi="宋体" w:eastAsia="宋体" w:cs="宋体"/>
          <w:color w:val="000000"/>
          <w:sz w:val="24"/>
          <w:szCs w:val="24"/>
          <w:highlight w:val="none"/>
        </w:rPr>
        <w:t>（3）投标人只能在法定质疑期内一次性提出针对同一采购程序环节的质疑。</w:t>
      </w:r>
      <w:bookmarkEnd w:id="45"/>
    </w:p>
    <w:p w14:paraId="785E6687">
      <w:pPr>
        <w:pStyle w:val="5"/>
        <w:spacing w:before="120" w:beforeLines="50" w:after="120" w:afterLines="50" w:line="440" w:lineRule="exact"/>
        <w:ind w:firstLine="482" w:firstLineChars="200"/>
        <w:rPr>
          <w:rFonts w:hint="eastAsia" w:ascii="宋体" w:hAnsi="宋体" w:eastAsia="宋体" w:cs="宋体"/>
          <w:bCs/>
          <w:color w:val="000000"/>
          <w:sz w:val="24"/>
          <w:szCs w:val="24"/>
          <w:highlight w:val="none"/>
        </w:rPr>
      </w:pPr>
      <w:bookmarkStart w:id="46" w:name="_Toc27402"/>
      <w:bookmarkStart w:id="47" w:name="_Toc28359085"/>
      <w:bookmarkStart w:id="48" w:name="_Toc35393627"/>
      <w:bookmarkStart w:id="49" w:name="_Toc72571258"/>
      <w:bookmarkStart w:id="50" w:name="_Toc14730"/>
      <w:bookmarkStart w:id="51" w:name="_Toc35393796"/>
      <w:bookmarkStart w:id="52" w:name="_Toc28359008"/>
      <w:r>
        <w:rPr>
          <w:rFonts w:hint="eastAsia" w:ascii="宋体" w:hAnsi="宋体" w:eastAsia="宋体" w:cs="宋体"/>
          <w:bCs/>
          <w:color w:val="000000"/>
          <w:sz w:val="24"/>
          <w:szCs w:val="24"/>
          <w:highlight w:val="none"/>
        </w:rPr>
        <w:t>1.7 对本次磋商提出询问，请按以下方式联系</w:t>
      </w:r>
      <w:bookmarkEnd w:id="46"/>
      <w:bookmarkEnd w:id="47"/>
      <w:bookmarkEnd w:id="48"/>
      <w:bookmarkEnd w:id="49"/>
      <w:bookmarkEnd w:id="50"/>
      <w:bookmarkEnd w:id="51"/>
      <w:bookmarkEnd w:id="52"/>
    </w:p>
    <w:p w14:paraId="628E8820">
      <w:pPr>
        <w:pStyle w:val="5"/>
        <w:spacing w:before="120" w:beforeLines="50" w:after="120" w:afterLines="50" w:line="440" w:lineRule="exact"/>
        <w:ind w:firstLine="482" w:firstLineChars="200"/>
        <w:rPr>
          <w:rFonts w:hint="eastAsia" w:ascii="宋体" w:hAnsi="宋体" w:eastAsia="宋体" w:cs="宋体"/>
          <w:bCs/>
          <w:color w:val="000000"/>
          <w:sz w:val="24"/>
          <w:szCs w:val="24"/>
          <w:highlight w:val="none"/>
        </w:rPr>
      </w:pPr>
      <w:bookmarkStart w:id="53" w:name="_Toc32341"/>
      <w:bookmarkStart w:id="54" w:name="_Toc72571259"/>
      <w:r>
        <w:rPr>
          <w:rFonts w:hint="eastAsia" w:ascii="宋体" w:hAnsi="宋体" w:eastAsia="宋体" w:cs="宋体"/>
          <w:color w:val="000000"/>
          <w:sz w:val="24"/>
          <w:szCs w:val="24"/>
          <w:highlight w:val="none"/>
        </w:rPr>
        <w:t>1.7.1 采购人信息</w:t>
      </w:r>
      <w:bookmarkEnd w:id="53"/>
      <w:bookmarkEnd w:id="54"/>
    </w:p>
    <w:p w14:paraId="4024498B">
      <w:pPr>
        <w:spacing w:line="44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名称：</w:t>
      </w:r>
      <w:r>
        <w:rPr>
          <w:rFonts w:hint="eastAsia" w:eastAsia="宋体" w:cs="宋体"/>
          <w:color w:val="000000"/>
          <w:sz w:val="24"/>
          <w:szCs w:val="24"/>
          <w:highlight w:val="none"/>
          <w:lang w:eastAsia="zh-CN"/>
        </w:rPr>
        <w:t>毕节市能源局</w:t>
      </w:r>
    </w:p>
    <w:p w14:paraId="2B20388E">
      <w:pPr>
        <w:spacing w:line="44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地址：</w:t>
      </w:r>
      <w:r>
        <w:rPr>
          <w:rFonts w:hint="eastAsia" w:eastAsia="宋体" w:cs="宋体"/>
          <w:color w:val="000000"/>
          <w:sz w:val="24"/>
          <w:szCs w:val="24"/>
          <w:highlight w:val="none"/>
          <w:lang w:eastAsia="zh-CN"/>
        </w:rPr>
        <w:t>毕节市行政办公中心</w:t>
      </w:r>
    </w:p>
    <w:p w14:paraId="4B1EF2C1">
      <w:pPr>
        <w:spacing w:line="44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联系方式：</w:t>
      </w:r>
      <w:bookmarkStart w:id="55" w:name="_Toc28359009"/>
      <w:bookmarkStart w:id="56" w:name="_Toc28359086"/>
      <w:r>
        <w:rPr>
          <w:rFonts w:hint="eastAsia" w:eastAsia="宋体" w:cs="宋体"/>
          <w:color w:val="000000"/>
          <w:sz w:val="24"/>
          <w:szCs w:val="24"/>
          <w:highlight w:val="none"/>
          <w:lang w:val="en-US" w:eastAsia="zh-CN"/>
        </w:rPr>
        <w:t>0857-8227691</w:t>
      </w:r>
    </w:p>
    <w:p w14:paraId="5F757113">
      <w:pPr>
        <w:pStyle w:val="5"/>
        <w:spacing w:before="120" w:beforeLines="50" w:after="120" w:afterLines="50" w:line="440" w:lineRule="exact"/>
        <w:ind w:firstLine="482" w:firstLineChars="200"/>
        <w:rPr>
          <w:rFonts w:hint="eastAsia" w:ascii="宋体" w:hAnsi="宋体" w:eastAsia="宋体" w:cs="宋体"/>
          <w:color w:val="000000"/>
          <w:sz w:val="24"/>
          <w:szCs w:val="24"/>
          <w:highlight w:val="none"/>
        </w:rPr>
      </w:pPr>
      <w:bookmarkStart w:id="57" w:name="_Toc72571260"/>
      <w:bookmarkStart w:id="58" w:name="_Toc28688"/>
      <w:r>
        <w:rPr>
          <w:rFonts w:hint="eastAsia" w:ascii="宋体" w:hAnsi="宋体" w:eastAsia="宋体" w:cs="宋体"/>
          <w:color w:val="000000"/>
          <w:sz w:val="24"/>
          <w:szCs w:val="24"/>
          <w:highlight w:val="none"/>
        </w:rPr>
        <w:t>1.7.2 采购代理机构信息</w:t>
      </w:r>
      <w:bookmarkEnd w:id="55"/>
      <w:bookmarkEnd w:id="56"/>
      <w:bookmarkEnd w:id="57"/>
      <w:bookmarkEnd w:id="58"/>
    </w:p>
    <w:p w14:paraId="06E1E8EC">
      <w:pPr>
        <w:spacing w:line="44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名称：</w:t>
      </w:r>
      <w:r>
        <w:rPr>
          <w:rFonts w:hint="eastAsia" w:eastAsia="宋体" w:cs="宋体"/>
          <w:color w:val="000000"/>
          <w:sz w:val="24"/>
          <w:szCs w:val="24"/>
          <w:highlight w:val="none"/>
          <w:lang w:eastAsia="zh-CN"/>
        </w:rPr>
        <w:t>贵州源辉项目管理有限公司</w:t>
      </w:r>
    </w:p>
    <w:p w14:paraId="5A16598C">
      <w:pPr>
        <w:spacing w:line="44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　址：</w:t>
      </w:r>
      <w:r>
        <w:rPr>
          <w:rFonts w:hint="eastAsia" w:eastAsia="宋体" w:cs="宋体"/>
          <w:color w:val="000000"/>
          <w:sz w:val="24"/>
          <w:szCs w:val="21"/>
          <w:highlight w:val="none"/>
          <w:lang w:eastAsia="zh-CN"/>
        </w:rPr>
        <w:t>贵州省毕节市七星关区碧阳大道众隆财富中心A座11楼</w:t>
      </w:r>
    </w:p>
    <w:p w14:paraId="34E66BB7">
      <w:pPr>
        <w:spacing w:line="440" w:lineRule="exact"/>
        <w:ind w:firstLine="480" w:firstLineChars="2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联系方式：</w:t>
      </w:r>
      <w:bookmarkStart w:id="59" w:name="_Toc28359087"/>
      <w:bookmarkStart w:id="60" w:name="_Toc28359010"/>
      <w:r>
        <w:rPr>
          <w:rFonts w:hint="eastAsia" w:eastAsia="宋体" w:cs="宋体"/>
          <w:color w:val="000000"/>
          <w:sz w:val="24"/>
          <w:szCs w:val="24"/>
          <w:highlight w:val="none"/>
          <w:lang w:eastAsia="zh-CN"/>
        </w:rPr>
        <w:t>17588822006</w:t>
      </w:r>
    </w:p>
    <w:p w14:paraId="2EAF0FD7">
      <w:pPr>
        <w:pStyle w:val="5"/>
        <w:spacing w:before="120" w:beforeLines="50" w:after="120" w:afterLines="50" w:line="440" w:lineRule="exact"/>
        <w:ind w:firstLine="482" w:firstLineChars="200"/>
        <w:rPr>
          <w:rFonts w:hint="eastAsia" w:ascii="宋体" w:hAnsi="宋体" w:eastAsia="宋体" w:cs="宋体"/>
          <w:color w:val="000000"/>
          <w:sz w:val="24"/>
          <w:szCs w:val="24"/>
          <w:highlight w:val="none"/>
        </w:rPr>
      </w:pPr>
      <w:bookmarkStart w:id="61" w:name="_Toc72571261"/>
      <w:bookmarkStart w:id="62" w:name="_Toc4406"/>
      <w:r>
        <w:rPr>
          <w:rFonts w:hint="eastAsia" w:ascii="宋体" w:hAnsi="宋体" w:eastAsia="宋体" w:cs="宋体"/>
          <w:color w:val="000000"/>
          <w:sz w:val="24"/>
          <w:szCs w:val="24"/>
          <w:highlight w:val="none"/>
        </w:rPr>
        <w:t>1.7.3 项目联系方式</w:t>
      </w:r>
      <w:bookmarkEnd w:id="59"/>
      <w:bookmarkEnd w:id="60"/>
      <w:bookmarkEnd w:id="61"/>
      <w:bookmarkEnd w:id="62"/>
    </w:p>
    <w:p w14:paraId="2FA94A9E">
      <w:pPr>
        <w:spacing w:line="440" w:lineRule="exact"/>
        <w:ind w:firstLine="480" w:firstLineChars="200"/>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项目联系人：</w:t>
      </w:r>
      <w:r>
        <w:rPr>
          <w:rFonts w:hint="eastAsia" w:eastAsia="宋体" w:cs="宋体"/>
          <w:color w:val="000000"/>
          <w:sz w:val="24"/>
          <w:szCs w:val="24"/>
          <w:highlight w:val="none"/>
          <w:lang w:val="en-US" w:eastAsia="zh-CN"/>
        </w:rPr>
        <w:t>陈工</w:t>
      </w:r>
    </w:p>
    <w:p w14:paraId="17FB0646">
      <w:pPr>
        <w:spacing w:line="440" w:lineRule="exact"/>
        <w:ind w:firstLine="480" w:firstLineChars="200"/>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联系方式：</w:t>
      </w:r>
      <w:r>
        <w:rPr>
          <w:rFonts w:hint="eastAsia" w:eastAsia="宋体" w:cs="宋体"/>
          <w:color w:val="000000"/>
          <w:sz w:val="24"/>
          <w:szCs w:val="24"/>
          <w:highlight w:val="none"/>
          <w:lang w:eastAsia="zh-CN"/>
        </w:rPr>
        <w:t>17588822006</w:t>
      </w:r>
    </w:p>
    <w:p w14:paraId="47514B25">
      <w:pPr>
        <w:pStyle w:val="8"/>
        <w:spacing w:line="360" w:lineRule="auto"/>
        <w:ind w:firstLine="482" w:firstLineChars="200"/>
        <w:rPr>
          <w:rFonts w:hint="eastAsia" w:ascii="宋体" w:hAnsi="宋体" w:eastAsia="宋体" w:cs="宋体"/>
          <w:b/>
          <w:color w:val="000000"/>
          <w:sz w:val="24"/>
          <w:szCs w:val="24"/>
          <w:highlight w:val="none"/>
        </w:rPr>
      </w:pPr>
    </w:p>
    <w:p w14:paraId="7C746605">
      <w:pPr>
        <w:pStyle w:val="8"/>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敬告：</w:t>
      </w:r>
    </w:p>
    <w:p w14:paraId="57840266">
      <w:pPr>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1.响应文件的制作、上传、签到、解密必须完全符合毕节市公共资源交易中心网上交易系统要求，否则可能导致投标被拒绝。如有不明请及时详询网上投标技术支持方。</w:t>
      </w:r>
    </w:p>
    <w:p w14:paraId="4DEEF3EB">
      <w:pPr>
        <w:spacing w:line="360" w:lineRule="auto"/>
        <w:ind w:firstLine="56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2.毕节市公共资源交易中心保证金绑定方式现启用随机码功能。投标供应商报名完</w:t>
      </w:r>
      <w:r>
        <w:rPr>
          <w:rFonts w:hint="eastAsia" w:eastAsia="宋体" w:cs="宋体"/>
          <w:b/>
          <w:bCs/>
          <w:color w:val="000000"/>
          <w:sz w:val="24"/>
          <w:szCs w:val="24"/>
          <w:highlight w:val="none"/>
          <w:lang w:eastAsia="zh-CN"/>
        </w:rPr>
        <w:t>成后</w:t>
      </w:r>
      <w:r>
        <w:rPr>
          <w:rFonts w:hint="eastAsia" w:ascii="宋体" w:hAnsi="宋体" w:eastAsia="宋体" w:cs="宋体"/>
          <w:b/>
          <w:bCs/>
          <w:color w:val="000000"/>
          <w:sz w:val="24"/>
          <w:szCs w:val="24"/>
          <w:highlight w:val="none"/>
        </w:rPr>
        <w:t>将自动产生投标随机码，缴纳保证金时在银行汇款单备注或附言处填写投标随机码，符合投标要求的费用进账后自动完成绑定。</w:t>
      </w:r>
    </w:p>
    <w:p w14:paraId="4175A15B">
      <w:pPr>
        <w:spacing w:line="360" w:lineRule="auto"/>
        <w:ind w:firstLine="56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保证金银行缴费：使用网上银行转账或银行柜台转账（支票转账）方式，在费用缴纳时在备注/附言/说明/附件信息（不同的银行名称不一样，如建行为备注、贵阳银行为附加信息，具体可咨询付款银行）处填写投标随机码，不能错填、多填或少填，只能填随机码且确保字体清晰可识别。</w:t>
      </w:r>
    </w:p>
    <w:p w14:paraId="6A3E8A25">
      <w:pPr>
        <w:spacing w:line="360" w:lineRule="auto"/>
        <w:ind w:firstLine="56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4.目前暂不支持工商银行网银及其他网银转账会自带备注内容的银行。暂不支持手机银行及第三方支付平台。</w:t>
      </w:r>
    </w:p>
    <w:p w14:paraId="4EBBD1AF">
      <w:pPr>
        <w:spacing w:line="360" w:lineRule="auto"/>
        <w:ind w:firstLine="56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 (1)《响应文件》的制作、上传、签到、解密和谈判操作必须完全符合毕节市公共资源交易中心交易系统要求，否则可能导致其响应被拒绝。如有不明之处请及时详询技术支持方。</w:t>
      </w:r>
    </w:p>
    <w:p w14:paraId="56CF5285">
      <w:pPr>
        <w:spacing w:line="360" w:lineRule="auto"/>
        <w:ind w:firstLine="560"/>
        <w:rPr>
          <w:rFonts w:hint="eastAsia" w:ascii="宋体" w:hAnsi="宋体" w:eastAsia="宋体" w:cs="宋体"/>
          <w:b/>
          <w:bCs/>
          <w:color w:val="000000"/>
          <w:sz w:val="24"/>
          <w:szCs w:val="24"/>
          <w:highlight w:val="none"/>
        </w:rPr>
        <w:sectPr>
          <w:footerReference r:id="rId3" w:type="default"/>
          <w:pgSz w:w="11910" w:h="16840"/>
          <w:pgMar w:top="1420" w:right="1418" w:bottom="1134" w:left="1588" w:header="0" w:footer="850" w:gutter="0"/>
          <w:pgNumType w:fmt="decimal" w:start="1"/>
          <w:cols w:space="720" w:num="1"/>
          <w:docGrid w:linePitch="299" w:charSpace="0"/>
        </w:sectPr>
      </w:pPr>
      <w:r>
        <w:rPr>
          <w:rFonts w:hint="eastAsia" w:ascii="宋体" w:hAnsi="宋体" w:eastAsia="宋体" w:cs="宋体"/>
          <w:b/>
          <w:bCs/>
          <w:color w:val="000000"/>
          <w:sz w:val="24"/>
          <w:szCs w:val="24"/>
          <w:highlight w:val="none"/>
        </w:rPr>
        <w:t>(2)供应商必须保证在磋商过程中随时处于在线状态。在磋商小组发出响应或报价通知后20分钟内，供应商未按时在交易系统中通过有效磋商途径进行响应或报价的，将视作无补充响应内容或按其上一轮报价作为其本轮最终报价（第一轮在线报价20分钟内未实质响应的该轮报价即为其基础报价，第二轮在线报价20分钟内未实质响应的该轮报价即为第一轮报价，以此类推）。请各供应商在参加报价前，认真阅读并熟悉毕节市公共资源交易中心综合及业务系统操作流程。</w:t>
      </w:r>
    </w:p>
    <w:p w14:paraId="1226335B">
      <w:pPr>
        <w:pStyle w:val="5"/>
        <w:ind w:left="221"/>
        <w:jc w:val="center"/>
        <w:outlineLvl w:val="0"/>
        <w:rPr>
          <w:rFonts w:hint="eastAsia" w:ascii="宋体" w:hAnsi="宋体" w:eastAsia="宋体" w:cs="宋体"/>
          <w:color w:val="000000"/>
          <w:sz w:val="44"/>
          <w:highlight w:val="none"/>
        </w:rPr>
      </w:pPr>
      <w:bookmarkStart w:id="63" w:name="_Toc15071"/>
      <w:bookmarkStart w:id="64" w:name="_Toc26290"/>
      <w:r>
        <w:rPr>
          <w:rFonts w:hint="eastAsia" w:ascii="宋体" w:hAnsi="宋体" w:eastAsia="宋体" w:cs="宋体"/>
          <w:color w:val="000000"/>
          <w:sz w:val="44"/>
          <w:highlight w:val="none"/>
        </w:rPr>
        <w:t>第二章</w:t>
      </w:r>
      <w:r>
        <w:rPr>
          <w:rFonts w:hint="eastAsia" w:ascii="宋体" w:hAnsi="宋体" w:eastAsia="宋体" w:cs="宋体"/>
          <w:color w:val="000000"/>
          <w:sz w:val="44"/>
          <w:highlight w:val="none"/>
          <w:lang w:val="en-US" w:eastAsia="zh-CN"/>
        </w:rPr>
        <w:t xml:space="preserve">  </w:t>
      </w:r>
      <w:r>
        <w:rPr>
          <w:rFonts w:hint="eastAsia" w:ascii="宋体" w:hAnsi="宋体" w:eastAsia="宋体" w:cs="宋体"/>
          <w:color w:val="000000"/>
          <w:sz w:val="44"/>
          <w:highlight w:val="none"/>
        </w:rPr>
        <w:t>采购内容</w:t>
      </w:r>
      <w:bookmarkEnd w:id="63"/>
      <w:bookmarkEnd w:id="64"/>
    </w:p>
    <w:p w14:paraId="43C725DF">
      <w:pPr>
        <w:adjustRightInd w:val="0"/>
        <w:spacing w:line="360" w:lineRule="auto"/>
        <w:ind w:firstLine="482" w:firstLineChars="200"/>
        <w:rPr>
          <w:rFonts w:hint="eastAsia" w:ascii="宋体" w:hAnsi="宋体" w:eastAsia="宋体" w:cs="宋体"/>
          <w:color w:val="000000"/>
          <w:sz w:val="24"/>
          <w:szCs w:val="24"/>
          <w:highlight w:val="none"/>
          <w:lang w:val="en-US" w:bidi="ar-SA"/>
        </w:rPr>
      </w:pPr>
      <w:r>
        <w:rPr>
          <w:rFonts w:hint="eastAsia" w:ascii="宋体" w:hAnsi="宋体" w:eastAsia="宋体" w:cs="宋体"/>
          <w:b/>
          <w:color w:val="000000"/>
          <w:sz w:val="24"/>
          <w:szCs w:val="24"/>
          <w:highlight w:val="none"/>
          <w:lang w:val="en-US" w:bidi="ar-SA"/>
        </w:rPr>
        <w:t>2.1</w:t>
      </w:r>
      <w:r>
        <w:rPr>
          <w:rFonts w:hint="eastAsia" w:eastAsia="宋体" w:cs="宋体"/>
          <w:b/>
          <w:color w:val="000000"/>
          <w:sz w:val="24"/>
          <w:szCs w:val="24"/>
          <w:highlight w:val="none"/>
          <w:lang w:val="en-US" w:eastAsia="zh-CN" w:bidi="ar-SA"/>
        </w:rPr>
        <w:t xml:space="preserve"> </w:t>
      </w:r>
      <w:r>
        <w:rPr>
          <w:rFonts w:hint="eastAsia" w:ascii="宋体" w:hAnsi="宋体" w:eastAsia="宋体" w:cs="宋体"/>
          <w:b/>
          <w:color w:val="000000"/>
          <w:sz w:val="24"/>
          <w:szCs w:val="24"/>
          <w:highlight w:val="none"/>
          <w:lang w:val="en-US" w:bidi="ar-SA"/>
        </w:rPr>
        <w:t>采购内容：</w:t>
      </w:r>
      <w:r>
        <w:rPr>
          <w:rFonts w:hint="eastAsia" w:eastAsia="宋体" w:cs="宋体"/>
          <w:color w:val="000000"/>
          <w:sz w:val="24"/>
          <w:szCs w:val="24"/>
          <w:highlight w:val="none"/>
          <w:lang w:val="en-US" w:eastAsia="zh-CN"/>
        </w:rPr>
        <w:t>毕节市煤矿安全综合监控平台融合升级改造</w:t>
      </w:r>
      <w:r>
        <w:rPr>
          <w:rFonts w:hint="eastAsia" w:ascii="宋体" w:hAnsi="宋体" w:eastAsia="宋体" w:cs="宋体"/>
          <w:color w:val="000000"/>
          <w:sz w:val="24"/>
          <w:szCs w:val="24"/>
          <w:highlight w:val="none"/>
        </w:rPr>
        <w:t>（详见磋商文件附件</w:t>
      </w:r>
      <w:r>
        <w:rPr>
          <w:rFonts w:hint="eastAsia" w:ascii="宋体" w:hAnsi="宋体" w:eastAsia="宋体" w:cs="宋体"/>
          <w:color w:val="000000"/>
          <w:sz w:val="24"/>
          <w:szCs w:val="24"/>
          <w:highlight w:val="none"/>
          <w:lang w:val="en-US"/>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bidi="ar-SA"/>
        </w:rPr>
        <w:t>；</w:t>
      </w:r>
    </w:p>
    <w:p w14:paraId="5157C1C1">
      <w:pPr>
        <w:adjustRightInd w:val="0"/>
        <w:spacing w:line="360" w:lineRule="auto"/>
        <w:ind w:firstLine="482" w:firstLineChars="200"/>
        <w:rPr>
          <w:rFonts w:hint="eastAsia" w:ascii="宋体" w:hAnsi="宋体" w:eastAsia="宋体" w:cs="宋体"/>
          <w:b/>
          <w:color w:val="000000"/>
          <w:sz w:val="24"/>
          <w:szCs w:val="24"/>
          <w:highlight w:val="none"/>
          <w:lang w:val="en-US" w:bidi="ar-SA"/>
        </w:rPr>
      </w:pPr>
      <w:r>
        <w:rPr>
          <w:rFonts w:hint="eastAsia" w:ascii="宋体" w:hAnsi="宋体" w:eastAsia="宋体" w:cs="宋体"/>
          <w:b/>
          <w:color w:val="000000"/>
          <w:sz w:val="24"/>
          <w:szCs w:val="24"/>
          <w:highlight w:val="none"/>
          <w:lang w:val="en-US" w:bidi="ar-SA"/>
        </w:rPr>
        <w:t>2.2</w:t>
      </w:r>
      <w:r>
        <w:rPr>
          <w:rFonts w:hint="eastAsia" w:eastAsia="宋体" w:cs="宋体"/>
          <w:b/>
          <w:color w:val="000000"/>
          <w:sz w:val="24"/>
          <w:szCs w:val="24"/>
          <w:highlight w:val="none"/>
          <w:lang w:val="en-US" w:eastAsia="zh-CN" w:bidi="ar-SA"/>
        </w:rPr>
        <w:t xml:space="preserve"> </w:t>
      </w:r>
      <w:r>
        <w:rPr>
          <w:rFonts w:hint="eastAsia" w:eastAsia="宋体" w:cs="宋体"/>
          <w:b/>
          <w:color w:val="000000"/>
          <w:sz w:val="24"/>
          <w:szCs w:val="24"/>
          <w:highlight w:val="none"/>
          <w:lang w:eastAsia="zh-CN"/>
        </w:rPr>
        <w:t>合同履行期限</w:t>
      </w:r>
      <w:r>
        <w:rPr>
          <w:rFonts w:hint="eastAsia" w:ascii="宋体" w:hAnsi="宋体" w:eastAsia="宋体" w:cs="宋体"/>
          <w:b/>
          <w:color w:val="000000"/>
          <w:sz w:val="24"/>
          <w:szCs w:val="24"/>
          <w:highlight w:val="none"/>
        </w:rPr>
        <w:t>：</w:t>
      </w:r>
      <w:r>
        <w:rPr>
          <w:rFonts w:hint="eastAsia" w:eastAsia="宋体" w:cs="宋体"/>
          <w:color w:val="000000"/>
          <w:sz w:val="24"/>
          <w:szCs w:val="24"/>
          <w:highlight w:val="none"/>
          <w:lang w:val="en-US" w:eastAsia="zh-CN"/>
        </w:rPr>
        <w:t>合同签订之日起3个月内完成</w:t>
      </w:r>
      <w:r>
        <w:rPr>
          <w:rFonts w:hint="eastAsia" w:ascii="宋体" w:hAnsi="宋体" w:eastAsia="宋体" w:cs="宋体"/>
          <w:color w:val="000000"/>
          <w:sz w:val="24"/>
          <w:szCs w:val="24"/>
          <w:highlight w:val="none"/>
          <w:lang w:val="en-US"/>
        </w:rPr>
        <w:t>。</w:t>
      </w:r>
    </w:p>
    <w:p w14:paraId="68130C76">
      <w:pPr>
        <w:adjustRightInd w:val="0"/>
        <w:spacing w:line="360" w:lineRule="auto"/>
        <w:ind w:firstLine="482" w:firstLineChars="200"/>
        <w:rPr>
          <w:rFonts w:hint="eastAsia" w:ascii="宋体" w:hAnsi="宋体" w:eastAsia="宋体" w:cs="宋体"/>
          <w:b/>
          <w:color w:val="000000"/>
          <w:sz w:val="24"/>
          <w:szCs w:val="24"/>
          <w:highlight w:val="none"/>
          <w:lang w:val="en-US" w:bidi="ar-SA"/>
        </w:rPr>
      </w:pPr>
      <w:r>
        <w:rPr>
          <w:rFonts w:hint="eastAsia" w:ascii="宋体" w:hAnsi="宋体" w:eastAsia="宋体" w:cs="宋体"/>
          <w:b/>
          <w:color w:val="000000"/>
          <w:sz w:val="24"/>
          <w:szCs w:val="24"/>
          <w:highlight w:val="none"/>
          <w:lang w:val="en-US" w:bidi="ar-SA"/>
        </w:rPr>
        <w:t>2.3 项目地点：</w:t>
      </w:r>
      <w:r>
        <w:rPr>
          <w:rFonts w:hint="eastAsia" w:ascii="宋体" w:hAnsi="宋体" w:eastAsia="宋体" w:cs="宋体"/>
          <w:bCs/>
          <w:color w:val="000000"/>
          <w:sz w:val="24"/>
          <w:szCs w:val="24"/>
          <w:highlight w:val="none"/>
          <w:lang w:val="en-US" w:bidi="ar-SA"/>
        </w:rPr>
        <w:t>采购人指定地点；</w:t>
      </w:r>
    </w:p>
    <w:p w14:paraId="7986F195">
      <w:pPr>
        <w:adjustRightInd w:val="0"/>
        <w:spacing w:line="360" w:lineRule="auto"/>
        <w:ind w:firstLine="482" w:firstLineChars="200"/>
        <w:rPr>
          <w:rFonts w:hint="eastAsia" w:ascii="宋体" w:hAnsi="宋体" w:eastAsia="宋体" w:cs="宋体"/>
          <w:b/>
          <w:color w:val="000000"/>
          <w:sz w:val="24"/>
          <w:szCs w:val="24"/>
          <w:highlight w:val="none"/>
          <w:lang w:val="en-US" w:bidi="ar-SA"/>
        </w:rPr>
      </w:pPr>
      <w:r>
        <w:rPr>
          <w:rFonts w:hint="eastAsia" w:ascii="宋体" w:hAnsi="宋体" w:eastAsia="宋体" w:cs="宋体"/>
          <w:b/>
          <w:color w:val="000000"/>
          <w:sz w:val="24"/>
          <w:szCs w:val="24"/>
          <w:highlight w:val="none"/>
          <w:lang w:val="en-US" w:bidi="ar-SA"/>
        </w:rPr>
        <w:t>2.4</w:t>
      </w:r>
      <w:r>
        <w:rPr>
          <w:rFonts w:hint="eastAsia" w:eastAsia="宋体" w:cs="宋体"/>
          <w:b/>
          <w:color w:val="000000"/>
          <w:sz w:val="24"/>
          <w:szCs w:val="24"/>
          <w:highlight w:val="none"/>
          <w:lang w:val="en-US" w:eastAsia="zh-CN" w:bidi="ar-SA"/>
        </w:rPr>
        <w:t xml:space="preserve"> </w:t>
      </w:r>
      <w:r>
        <w:rPr>
          <w:rFonts w:hint="eastAsia" w:ascii="宋体" w:hAnsi="宋体" w:eastAsia="宋体" w:cs="宋体"/>
          <w:b/>
          <w:color w:val="000000"/>
          <w:sz w:val="24"/>
          <w:szCs w:val="24"/>
          <w:highlight w:val="none"/>
          <w:lang w:val="en-US" w:bidi="ar-SA"/>
        </w:rPr>
        <w:t>本项目最高限价为：</w:t>
      </w:r>
      <w:r>
        <w:rPr>
          <w:rFonts w:hint="eastAsia" w:eastAsia="宋体" w:cs="宋体"/>
          <w:color w:val="000000"/>
          <w:sz w:val="24"/>
          <w:szCs w:val="24"/>
          <w:highlight w:val="none"/>
          <w:lang w:val="en-US" w:eastAsia="zh-CN"/>
        </w:rPr>
        <w:t>676100.00元</w:t>
      </w:r>
      <w:r>
        <w:rPr>
          <w:rFonts w:hint="eastAsia" w:ascii="宋体" w:hAnsi="宋体" w:eastAsia="宋体" w:cs="宋体"/>
          <w:bCs/>
          <w:color w:val="000000"/>
          <w:sz w:val="24"/>
          <w:szCs w:val="24"/>
          <w:highlight w:val="none"/>
          <w:lang w:val="en-US" w:bidi="ar-SA"/>
        </w:rPr>
        <w:t>。</w:t>
      </w:r>
      <w:r>
        <w:rPr>
          <w:rFonts w:hint="eastAsia" w:ascii="宋体" w:hAnsi="宋体" w:eastAsia="宋体" w:cs="宋体"/>
          <w:b/>
          <w:color w:val="000000"/>
          <w:sz w:val="24"/>
          <w:szCs w:val="24"/>
          <w:highlight w:val="none"/>
        </w:rPr>
        <w:t>（报价审查项）</w:t>
      </w:r>
    </w:p>
    <w:p w14:paraId="571E7EC9">
      <w:pPr>
        <w:adjustRightInd w:val="0"/>
        <w:spacing w:line="360" w:lineRule="auto"/>
        <w:ind w:firstLine="482" w:firstLineChars="200"/>
        <w:rPr>
          <w:rFonts w:hint="eastAsia" w:ascii="宋体" w:hAnsi="宋体" w:eastAsia="宋体" w:cs="宋体"/>
          <w:b/>
          <w:color w:val="000000"/>
          <w:sz w:val="24"/>
          <w:szCs w:val="24"/>
          <w:highlight w:val="none"/>
          <w:lang w:val="en-US" w:bidi="ar-SA"/>
        </w:rPr>
      </w:pPr>
      <w:r>
        <w:rPr>
          <w:rFonts w:hint="eastAsia" w:ascii="宋体" w:hAnsi="宋体" w:eastAsia="宋体" w:cs="宋体"/>
          <w:b/>
          <w:color w:val="000000"/>
          <w:sz w:val="24"/>
          <w:szCs w:val="24"/>
          <w:highlight w:val="none"/>
          <w:lang w:val="en-US" w:bidi="ar-SA"/>
        </w:rPr>
        <w:t>2.5 投标预备会：</w:t>
      </w:r>
      <w:r>
        <w:rPr>
          <w:rFonts w:hint="eastAsia" w:ascii="宋体" w:hAnsi="宋体" w:eastAsia="宋体" w:cs="宋体"/>
          <w:color w:val="000000"/>
          <w:sz w:val="24"/>
          <w:szCs w:val="24"/>
          <w:highlight w:val="none"/>
          <w:lang w:val="en-US" w:bidi="ar-SA"/>
        </w:rPr>
        <w:t>不召开；</w:t>
      </w:r>
    </w:p>
    <w:p w14:paraId="53F12FE3">
      <w:pPr>
        <w:adjustRightInd w:val="0"/>
        <w:spacing w:line="360" w:lineRule="auto"/>
        <w:ind w:firstLine="482" w:firstLineChars="200"/>
        <w:rPr>
          <w:rFonts w:hint="eastAsia" w:ascii="宋体" w:hAnsi="宋体" w:eastAsia="宋体" w:cs="宋体"/>
          <w:bCs/>
          <w:color w:val="000000"/>
          <w:sz w:val="24"/>
          <w:szCs w:val="24"/>
          <w:highlight w:val="none"/>
          <w:lang w:val="en-US" w:bidi="ar-SA"/>
        </w:rPr>
      </w:pPr>
      <w:r>
        <w:rPr>
          <w:rFonts w:hint="eastAsia" w:ascii="宋体" w:hAnsi="宋体" w:eastAsia="宋体" w:cs="宋体"/>
          <w:b/>
          <w:color w:val="000000"/>
          <w:sz w:val="24"/>
          <w:szCs w:val="24"/>
          <w:highlight w:val="none"/>
          <w:lang w:val="en-US" w:bidi="ar-SA"/>
        </w:rPr>
        <w:t>2.6 投标有效期：</w:t>
      </w:r>
      <w:r>
        <w:rPr>
          <w:rFonts w:hint="eastAsia" w:ascii="宋体" w:hAnsi="宋体" w:eastAsia="宋体" w:cs="宋体"/>
          <w:bCs/>
          <w:color w:val="000000"/>
          <w:sz w:val="24"/>
          <w:szCs w:val="24"/>
          <w:highlight w:val="none"/>
          <w:lang w:val="en-US" w:bidi="ar-SA"/>
        </w:rPr>
        <w:t>投标截止时间起生效，其有效期为90日历天；</w:t>
      </w:r>
    </w:p>
    <w:p w14:paraId="7CF366C6">
      <w:pPr>
        <w:widowControl/>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color w:val="000000"/>
          <w:sz w:val="24"/>
          <w:szCs w:val="24"/>
          <w:highlight w:val="none"/>
          <w:lang w:val="en-US" w:bidi="ar-SA"/>
        </w:rPr>
        <w:t>2.7</w:t>
      </w:r>
      <w:r>
        <w:rPr>
          <w:rFonts w:hint="eastAsia" w:eastAsia="宋体" w:cs="宋体"/>
          <w:b/>
          <w:color w:val="000000"/>
          <w:sz w:val="24"/>
          <w:szCs w:val="24"/>
          <w:highlight w:val="none"/>
          <w:lang w:val="en-US" w:eastAsia="zh-CN" w:bidi="ar-SA"/>
        </w:rPr>
        <w:t xml:space="preserve"> </w:t>
      </w:r>
      <w:r>
        <w:rPr>
          <w:rFonts w:hint="eastAsia" w:ascii="宋体" w:hAnsi="宋体" w:eastAsia="宋体" w:cs="宋体"/>
          <w:b/>
          <w:bCs/>
          <w:color w:val="000000"/>
          <w:sz w:val="24"/>
          <w:highlight w:val="none"/>
        </w:rPr>
        <w:t>本项目招标代理服务费：</w:t>
      </w:r>
      <w:r>
        <w:rPr>
          <w:rFonts w:hint="eastAsia" w:ascii="宋体" w:hAnsi="宋体" w:eastAsia="宋体" w:cs="宋体"/>
          <w:b/>
          <w:bCs/>
          <w:color w:val="000000"/>
          <w:sz w:val="24"/>
          <w:highlight w:val="none"/>
          <w:u w:val="none"/>
        </w:rPr>
        <w:t>参考黔价房〔2011〕69号文件</w:t>
      </w:r>
      <w:r>
        <w:rPr>
          <w:rFonts w:hint="eastAsia" w:eastAsia="宋体" w:cs="宋体"/>
          <w:b/>
          <w:bCs/>
          <w:color w:val="000000"/>
          <w:sz w:val="24"/>
          <w:highlight w:val="none"/>
          <w:u w:val="none"/>
          <w:lang w:eastAsia="zh-CN"/>
        </w:rPr>
        <w:t>收取，</w:t>
      </w:r>
      <w:r>
        <w:rPr>
          <w:rFonts w:hint="eastAsia" w:ascii="宋体" w:hAnsi="宋体" w:eastAsia="宋体" w:cs="宋体"/>
          <w:b/>
          <w:bCs/>
          <w:color w:val="000000"/>
          <w:sz w:val="24"/>
          <w:highlight w:val="none"/>
          <w:u w:val="none"/>
        </w:rPr>
        <w:t>由成</w:t>
      </w:r>
      <w:r>
        <w:rPr>
          <w:rFonts w:hint="eastAsia" w:ascii="宋体" w:hAnsi="宋体" w:eastAsia="宋体" w:cs="宋体"/>
          <w:b/>
          <w:bCs/>
          <w:color w:val="000000"/>
          <w:sz w:val="24"/>
          <w:highlight w:val="none"/>
        </w:rPr>
        <w:t>交单位在领取中标成交通知书时一次性支付给招标代理机构。</w:t>
      </w:r>
    </w:p>
    <w:p w14:paraId="32AEB35C">
      <w:pPr>
        <w:tabs>
          <w:tab w:val="left" w:pos="654"/>
          <w:tab w:val="left" w:pos="1734"/>
          <w:tab w:val="left" w:pos="2814"/>
          <w:tab w:val="left" w:pos="3894"/>
          <w:tab w:val="left" w:pos="5334"/>
          <w:tab w:val="left" w:pos="6414"/>
          <w:tab w:val="left" w:pos="7254"/>
          <w:tab w:val="left" w:pos="8574"/>
          <w:tab w:val="left" w:pos="9654"/>
        </w:tabs>
        <w:spacing w:line="360" w:lineRule="auto"/>
        <w:ind w:firstLine="480"/>
        <w:jc w:val="both"/>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sz w:val="24"/>
          <w:szCs w:val="24"/>
          <w:highlight w:val="none"/>
          <w:lang w:val="en-US" w:bidi="ar-SA"/>
        </w:rPr>
        <w:t>2.8</w:t>
      </w:r>
      <w:r>
        <w:rPr>
          <w:rFonts w:hint="eastAsia" w:eastAsia="宋体" w:cs="宋体"/>
          <w:b/>
          <w:color w:val="000000"/>
          <w:sz w:val="24"/>
          <w:szCs w:val="24"/>
          <w:highlight w:val="none"/>
          <w:lang w:val="en-US" w:eastAsia="zh-CN" w:bidi="ar-SA"/>
        </w:rPr>
        <w:t xml:space="preserve"> </w:t>
      </w:r>
      <w:r>
        <w:rPr>
          <w:rFonts w:hint="eastAsia" w:ascii="宋体" w:hAnsi="宋体" w:eastAsia="宋体" w:cs="宋体"/>
          <w:b/>
          <w:color w:val="000000"/>
          <w:sz w:val="24"/>
          <w:szCs w:val="24"/>
          <w:highlight w:val="none"/>
          <w:lang w:val="en-US" w:eastAsia="zh-CN" w:bidi="ar-SA"/>
        </w:rPr>
        <w:t>付款方式：采购人与</w:t>
      </w:r>
      <w:r>
        <w:rPr>
          <w:rFonts w:hint="eastAsia" w:eastAsia="宋体" w:cs="宋体"/>
          <w:b/>
          <w:color w:val="000000"/>
          <w:sz w:val="24"/>
          <w:szCs w:val="24"/>
          <w:highlight w:val="none"/>
          <w:lang w:val="en-US" w:eastAsia="zh-CN" w:bidi="ar-SA"/>
        </w:rPr>
        <w:t>成交供应商</w:t>
      </w:r>
      <w:r>
        <w:rPr>
          <w:rFonts w:hint="eastAsia" w:ascii="宋体" w:hAnsi="宋体" w:eastAsia="宋体" w:cs="宋体"/>
          <w:b/>
          <w:color w:val="000000"/>
          <w:sz w:val="24"/>
          <w:szCs w:val="24"/>
          <w:highlight w:val="none"/>
          <w:lang w:val="en-US" w:eastAsia="zh-CN" w:bidi="ar-SA"/>
        </w:rPr>
        <w:t>自行商定。</w:t>
      </w:r>
    </w:p>
    <w:p w14:paraId="0B3C0C97">
      <w:pPr>
        <w:pStyle w:val="11"/>
        <w:rPr>
          <w:rFonts w:hint="eastAsia" w:ascii="宋体" w:hAnsi="宋体" w:eastAsia="宋体" w:cs="宋体"/>
          <w:color w:val="000000"/>
          <w:highlight w:val="none"/>
          <w:lang w:val="en-US"/>
        </w:rPr>
      </w:pPr>
    </w:p>
    <w:p w14:paraId="43157C8A">
      <w:pPr>
        <w:adjustRightInd w:val="0"/>
        <w:spacing w:line="360" w:lineRule="auto"/>
        <w:ind w:firstLine="480" w:firstLineChars="200"/>
        <w:rPr>
          <w:rFonts w:hint="eastAsia" w:ascii="宋体" w:hAnsi="宋体" w:eastAsia="宋体" w:cs="宋体"/>
          <w:b w:val="0"/>
          <w:bCs w:val="0"/>
          <w:color w:val="000000"/>
          <w:sz w:val="24"/>
          <w:szCs w:val="24"/>
          <w:highlight w:val="none"/>
          <w:lang w:val="en-US" w:bidi="ar-SA"/>
        </w:rPr>
      </w:pPr>
      <w:r>
        <w:rPr>
          <w:rFonts w:hint="eastAsia" w:ascii="宋体" w:hAnsi="宋体" w:eastAsia="宋体" w:cs="宋体"/>
          <w:b w:val="0"/>
          <w:bCs w:val="0"/>
          <w:color w:val="000000"/>
          <w:sz w:val="24"/>
          <w:szCs w:val="24"/>
          <w:highlight w:val="none"/>
          <w:lang w:val="en-US" w:bidi="ar-SA"/>
        </w:rPr>
        <w:t>注：敬告：</w:t>
      </w:r>
    </w:p>
    <w:p w14:paraId="50B2EAAD">
      <w:pPr>
        <w:adjustRightInd w:val="0"/>
        <w:spacing w:line="360" w:lineRule="auto"/>
        <w:ind w:firstLine="480" w:firstLineChars="200"/>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bidi="ar-SA"/>
        </w:rPr>
        <w:t>供应商须</w:t>
      </w:r>
      <w:r>
        <w:rPr>
          <w:rFonts w:hint="eastAsia" w:eastAsia="宋体" w:cs="宋体"/>
          <w:b w:val="0"/>
          <w:bCs w:val="0"/>
          <w:color w:val="000000"/>
          <w:sz w:val="24"/>
          <w:szCs w:val="24"/>
          <w:highlight w:val="none"/>
          <w:lang w:val="en-US" w:eastAsia="zh-CN" w:bidi="ar-SA"/>
        </w:rPr>
        <w:t>承诺</w:t>
      </w:r>
      <w:r>
        <w:rPr>
          <w:rFonts w:hint="eastAsia" w:ascii="宋体" w:hAnsi="宋体" w:eastAsia="宋体" w:cs="宋体"/>
          <w:b w:val="0"/>
          <w:bCs w:val="0"/>
          <w:color w:val="000000"/>
          <w:sz w:val="24"/>
          <w:szCs w:val="24"/>
          <w:highlight w:val="none"/>
          <w:lang w:val="en-US" w:bidi="ar-SA"/>
        </w:rPr>
        <w:t>按国家现行的相关规范、标准以及磋商文件完成本项目的服务等；实现采购项目功能所需</w:t>
      </w:r>
      <w:r>
        <w:rPr>
          <w:rFonts w:hint="eastAsia" w:eastAsia="宋体" w:cs="宋体"/>
          <w:b w:val="0"/>
          <w:bCs w:val="0"/>
          <w:color w:val="000000"/>
          <w:sz w:val="24"/>
          <w:szCs w:val="24"/>
          <w:highlight w:val="none"/>
          <w:lang w:val="en-US" w:eastAsia="zh-CN" w:bidi="ar-SA"/>
        </w:rPr>
        <w:t>采购需求</w:t>
      </w:r>
      <w:r>
        <w:rPr>
          <w:rFonts w:hint="eastAsia" w:ascii="宋体" w:hAnsi="宋体" w:eastAsia="宋体" w:cs="宋体"/>
          <w:b w:val="0"/>
          <w:bCs w:val="0"/>
          <w:color w:val="000000"/>
          <w:sz w:val="24"/>
          <w:szCs w:val="24"/>
          <w:highlight w:val="none"/>
          <w:lang w:val="en-US" w:bidi="ar-SA"/>
        </w:rPr>
        <w:t>等，供应商必须准备充分，若需增加，不再另行单独计费，所提供的标的物质量、服务等必须满足或优于本《磋商文件》的要求。</w:t>
      </w:r>
    </w:p>
    <w:p w14:paraId="3ED96D4C">
      <w:pPr>
        <w:rPr>
          <w:rFonts w:hint="eastAsia" w:ascii="宋体" w:hAnsi="宋体" w:eastAsia="宋体" w:cs="宋体"/>
          <w:color w:val="000000"/>
          <w:highlight w:val="none"/>
          <w:lang w:val="en-US"/>
        </w:rPr>
      </w:pPr>
    </w:p>
    <w:p w14:paraId="459DF982">
      <w:pPr>
        <w:pStyle w:val="11"/>
        <w:rPr>
          <w:rFonts w:hint="eastAsia" w:ascii="宋体" w:hAnsi="宋体" w:eastAsia="宋体" w:cs="宋体"/>
          <w:color w:val="000000"/>
          <w:highlight w:val="none"/>
          <w:lang w:val="en-US"/>
        </w:rPr>
      </w:pPr>
    </w:p>
    <w:p w14:paraId="698B2286">
      <w:pPr>
        <w:rPr>
          <w:rFonts w:hint="eastAsia" w:ascii="宋体" w:hAnsi="宋体" w:eastAsia="宋体" w:cs="宋体"/>
          <w:color w:val="000000"/>
          <w:highlight w:val="none"/>
          <w:lang w:val="en-US"/>
        </w:rPr>
      </w:pPr>
    </w:p>
    <w:p w14:paraId="6B6E1374">
      <w:pPr>
        <w:pStyle w:val="11"/>
        <w:rPr>
          <w:rFonts w:hint="eastAsia" w:ascii="宋体" w:hAnsi="宋体" w:eastAsia="宋体" w:cs="宋体"/>
          <w:color w:val="000000"/>
          <w:highlight w:val="none"/>
          <w:lang w:val="en-US"/>
        </w:rPr>
      </w:pPr>
    </w:p>
    <w:p w14:paraId="3144B199">
      <w:pPr>
        <w:pStyle w:val="5"/>
        <w:ind w:left="221"/>
        <w:jc w:val="center"/>
        <w:outlineLvl w:val="0"/>
        <w:rPr>
          <w:rFonts w:hint="eastAsia" w:ascii="宋体" w:hAnsi="宋体" w:eastAsia="宋体" w:cs="宋体"/>
          <w:color w:val="000000"/>
          <w:sz w:val="44"/>
          <w:highlight w:val="none"/>
        </w:rPr>
      </w:pPr>
      <w:bookmarkStart w:id="65" w:name="_Toc10151"/>
      <w:r>
        <w:rPr>
          <w:rFonts w:hint="eastAsia" w:ascii="宋体" w:hAnsi="宋体" w:eastAsia="宋体" w:cs="宋体"/>
          <w:color w:val="000000"/>
          <w:sz w:val="44"/>
          <w:highlight w:val="none"/>
        </w:rPr>
        <w:br w:type="page"/>
      </w:r>
      <w:bookmarkStart w:id="66" w:name="_Toc5843"/>
      <w:r>
        <w:rPr>
          <w:rFonts w:hint="eastAsia" w:ascii="宋体" w:hAnsi="宋体" w:eastAsia="宋体" w:cs="宋体"/>
          <w:color w:val="000000"/>
          <w:sz w:val="44"/>
          <w:highlight w:val="none"/>
        </w:rPr>
        <w:t>第三章</w:t>
      </w:r>
      <w:r>
        <w:rPr>
          <w:rFonts w:hint="eastAsia" w:ascii="宋体" w:hAnsi="宋体" w:eastAsia="宋体" w:cs="宋体"/>
          <w:color w:val="000000"/>
          <w:sz w:val="44"/>
          <w:highlight w:val="none"/>
          <w:lang w:val="en-US" w:eastAsia="zh-CN"/>
        </w:rPr>
        <w:t xml:space="preserve">  </w:t>
      </w:r>
      <w:r>
        <w:rPr>
          <w:rFonts w:hint="eastAsia" w:ascii="宋体" w:hAnsi="宋体" w:eastAsia="宋体" w:cs="宋体"/>
          <w:color w:val="000000"/>
          <w:sz w:val="44"/>
          <w:highlight w:val="none"/>
        </w:rPr>
        <w:t>投标须知</w:t>
      </w:r>
      <w:bookmarkEnd w:id="65"/>
      <w:bookmarkEnd w:id="66"/>
    </w:p>
    <w:p w14:paraId="2E06236A">
      <w:pPr>
        <w:pStyle w:val="5"/>
        <w:spacing w:before="120" w:beforeLines="50" w:after="120" w:afterLines="50" w:line="360" w:lineRule="auto"/>
        <w:ind w:firstLine="482" w:firstLineChars="200"/>
        <w:rPr>
          <w:rFonts w:hint="eastAsia" w:ascii="宋体" w:hAnsi="宋体" w:eastAsia="宋体" w:cs="宋体"/>
          <w:b w:val="0"/>
          <w:bCs/>
          <w:color w:val="000000"/>
          <w:sz w:val="24"/>
          <w:szCs w:val="24"/>
          <w:highlight w:val="none"/>
        </w:rPr>
      </w:pPr>
      <w:bookmarkStart w:id="67" w:name="_Toc7167"/>
      <w:bookmarkStart w:id="68" w:name="_Toc72571264"/>
      <w:r>
        <w:rPr>
          <w:rFonts w:hint="eastAsia" w:ascii="宋体" w:hAnsi="宋体" w:eastAsia="宋体" w:cs="宋体"/>
          <w:bCs/>
          <w:color w:val="000000"/>
          <w:sz w:val="24"/>
          <w:szCs w:val="24"/>
          <w:highlight w:val="none"/>
        </w:rPr>
        <w:t>3.1 总则</w:t>
      </w:r>
      <w:bookmarkEnd w:id="67"/>
      <w:bookmarkEnd w:id="68"/>
    </w:p>
    <w:p w14:paraId="4E749D50">
      <w:pPr>
        <w:pStyle w:val="21"/>
        <w:tabs>
          <w:tab w:val="left" w:pos="360"/>
        </w:tabs>
        <w:spacing w:line="360" w:lineRule="auto"/>
        <w:ind w:left="0" w:right="88" w:firstLine="480" w:firstLineChars="20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3.1.1</w:t>
      </w:r>
      <w:r>
        <w:rPr>
          <w:rFonts w:hint="eastAsia" w:ascii="宋体" w:hAnsi="宋体" w:eastAsia="宋体" w:cs="宋体"/>
          <w:color w:val="000000"/>
          <w:sz w:val="24"/>
          <w:szCs w:val="24"/>
          <w:highlight w:val="none"/>
          <w:lang w:val="en-US"/>
        </w:rPr>
        <w:t>本</w:t>
      </w:r>
      <w:r>
        <w:rPr>
          <w:rFonts w:hint="eastAsia" w:ascii="宋体" w:hAnsi="宋体" w:eastAsia="宋体" w:cs="宋体"/>
          <w:color w:val="000000"/>
          <w:spacing w:val="-12"/>
          <w:sz w:val="24"/>
          <w:szCs w:val="24"/>
          <w:highlight w:val="none"/>
        </w:rPr>
        <w:t>《磋商文件》</w:t>
      </w:r>
      <w:r>
        <w:rPr>
          <w:rFonts w:hint="eastAsia" w:ascii="宋体" w:hAnsi="宋体" w:eastAsia="宋体" w:cs="宋体"/>
          <w:color w:val="000000"/>
          <w:sz w:val="24"/>
          <w:szCs w:val="24"/>
          <w:highlight w:val="none"/>
          <w:lang w:val="en-US"/>
        </w:rPr>
        <w:t>由</w:t>
      </w:r>
      <w:r>
        <w:rPr>
          <w:rFonts w:hint="eastAsia" w:eastAsia="宋体" w:cs="宋体"/>
          <w:b/>
          <w:bCs/>
          <w:color w:val="000000"/>
          <w:sz w:val="24"/>
          <w:szCs w:val="24"/>
          <w:highlight w:val="none"/>
          <w:u w:val="single"/>
          <w:lang w:val="en-US" w:eastAsia="zh-CN"/>
        </w:rPr>
        <w:t>贵州源辉项目管理有限公司</w:t>
      </w:r>
      <w:r>
        <w:rPr>
          <w:rFonts w:hint="eastAsia" w:ascii="宋体" w:hAnsi="宋体" w:eastAsia="宋体" w:cs="宋体"/>
          <w:color w:val="000000"/>
          <w:sz w:val="24"/>
          <w:szCs w:val="24"/>
          <w:highlight w:val="none"/>
          <w:lang w:val="en-US"/>
        </w:rPr>
        <w:t>依照《中华人民共和国政府采购法》、财政部令第 87 号、财库【2014】214 号、财库【2015】124 号及相关</w:t>
      </w:r>
      <w:r>
        <w:rPr>
          <w:rFonts w:hint="eastAsia" w:eastAsia="宋体" w:cs="宋体"/>
          <w:color w:val="000000"/>
          <w:sz w:val="24"/>
          <w:szCs w:val="24"/>
          <w:highlight w:val="none"/>
          <w:lang w:val="en-US" w:eastAsia="zh-CN"/>
        </w:rPr>
        <w:t>法律法规</w:t>
      </w:r>
      <w:r>
        <w:rPr>
          <w:rFonts w:hint="eastAsia" w:ascii="宋体" w:hAnsi="宋体" w:eastAsia="宋体" w:cs="宋体"/>
          <w:color w:val="000000"/>
          <w:sz w:val="24"/>
          <w:szCs w:val="24"/>
          <w:highlight w:val="none"/>
          <w:lang w:val="en-US"/>
        </w:rPr>
        <w:t>和规章的规定制定，仅适用于本次磋商。</w:t>
      </w:r>
    </w:p>
    <w:p w14:paraId="47113E05">
      <w:pPr>
        <w:pStyle w:val="21"/>
        <w:tabs>
          <w:tab w:val="left" w:pos="360"/>
        </w:tabs>
        <w:spacing w:line="360" w:lineRule="auto"/>
        <w:ind w:left="0" w:right="88"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 供应商必须遵守《中华人民共和国政府采购法》及相关</w:t>
      </w:r>
      <w:r>
        <w:rPr>
          <w:rFonts w:hint="eastAsia" w:eastAsia="宋体" w:cs="宋体"/>
          <w:color w:val="000000"/>
          <w:sz w:val="24"/>
          <w:szCs w:val="24"/>
          <w:highlight w:val="none"/>
          <w:lang w:eastAsia="zh-CN"/>
        </w:rPr>
        <w:t>法律法规</w:t>
      </w:r>
      <w:r>
        <w:rPr>
          <w:rFonts w:hint="eastAsia" w:ascii="宋体" w:hAnsi="宋体" w:eastAsia="宋体" w:cs="宋体"/>
          <w:color w:val="000000"/>
          <w:spacing w:val="-12"/>
          <w:sz w:val="24"/>
          <w:szCs w:val="24"/>
          <w:highlight w:val="none"/>
        </w:rPr>
        <w:t>和规章的规定，按照本磋商文件的要求参加投标并履行相应</w:t>
      </w:r>
      <w:r>
        <w:rPr>
          <w:rFonts w:hint="eastAsia" w:ascii="宋体" w:hAnsi="宋体" w:eastAsia="宋体" w:cs="宋体"/>
          <w:color w:val="000000"/>
          <w:spacing w:val="-8"/>
          <w:sz w:val="24"/>
          <w:szCs w:val="24"/>
          <w:highlight w:val="none"/>
        </w:rPr>
        <w:t>的义务。</w:t>
      </w:r>
    </w:p>
    <w:p w14:paraId="0B8FB068">
      <w:pPr>
        <w:pStyle w:val="21"/>
        <w:tabs>
          <w:tab w:val="left" w:pos="8800"/>
        </w:tabs>
        <w:spacing w:line="360" w:lineRule="auto"/>
        <w:ind w:left="0" w:right="88"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3.1.3 定义：</w:t>
      </w:r>
    </w:p>
    <w:p w14:paraId="5E38B9E9">
      <w:pPr>
        <w:pStyle w:val="21"/>
        <w:numPr>
          <w:ilvl w:val="0"/>
          <w:numId w:val="1"/>
        </w:numPr>
        <w:tabs>
          <w:tab w:val="left" w:pos="993"/>
        </w:tabs>
        <w:spacing w:line="360" w:lineRule="auto"/>
        <w:ind w:left="0" w:right="308" w:firstLine="426"/>
        <w:jc w:val="both"/>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《磋商文件》是“政府采购公开磋商文件”的简称，是采</w:t>
      </w:r>
      <w:r>
        <w:rPr>
          <w:rFonts w:hint="eastAsia" w:ascii="宋体" w:hAnsi="宋体" w:eastAsia="宋体" w:cs="宋体"/>
          <w:color w:val="000000"/>
          <w:spacing w:val="-11"/>
          <w:sz w:val="24"/>
          <w:szCs w:val="24"/>
          <w:highlight w:val="none"/>
        </w:rPr>
        <w:t>购代理机构依法制定的关于本次磋商性质、内容、程序、规则等的采购文件，是评审和评定成交的依据，是供应商参加投标应遵循的规则；</w:t>
      </w:r>
    </w:p>
    <w:p w14:paraId="4BB8CCF0">
      <w:pPr>
        <w:pStyle w:val="21"/>
        <w:numPr>
          <w:ilvl w:val="0"/>
          <w:numId w:val="1"/>
        </w:numPr>
        <w:tabs>
          <w:tab w:val="left" w:pos="993"/>
        </w:tabs>
        <w:spacing w:line="360" w:lineRule="auto"/>
        <w:ind w:left="0" w:right="308" w:firstLine="426"/>
        <w:rPr>
          <w:rFonts w:hint="eastAsia" w:ascii="宋体" w:hAnsi="宋体" w:eastAsia="宋体" w:cs="宋体"/>
          <w:color w:val="000000"/>
          <w:spacing w:val="-9"/>
          <w:sz w:val="24"/>
          <w:szCs w:val="24"/>
          <w:highlight w:val="none"/>
        </w:rPr>
      </w:pPr>
      <w:r>
        <w:rPr>
          <w:rFonts w:hint="eastAsia" w:ascii="宋体" w:hAnsi="宋体" w:eastAsia="宋体" w:cs="宋体"/>
          <w:color w:val="000000"/>
          <w:spacing w:val="-9"/>
          <w:sz w:val="24"/>
          <w:szCs w:val="24"/>
          <w:highlight w:val="none"/>
        </w:rPr>
        <w:t>《响应文件》是指供应商为参加投标而上传的资格、技术、商务、报价等文件资料，也称投标书，是评标定标的依据；</w:t>
      </w:r>
    </w:p>
    <w:p w14:paraId="1CD58B5E">
      <w:pPr>
        <w:pStyle w:val="21"/>
        <w:numPr>
          <w:ilvl w:val="0"/>
          <w:numId w:val="1"/>
        </w:numPr>
        <w:tabs>
          <w:tab w:val="left" w:pos="993"/>
        </w:tabs>
        <w:spacing w:line="360" w:lineRule="auto"/>
        <w:ind w:left="0" w:right="308" w:firstLine="426"/>
        <w:rPr>
          <w:rFonts w:hint="eastAsia" w:ascii="宋体" w:hAnsi="宋体" w:eastAsia="宋体" w:cs="宋体"/>
          <w:color w:val="000000"/>
          <w:spacing w:val="-9"/>
          <w:sz w:val="24"/>
          <w:szCs w:val="24"/>
          <w:highlight w:val="none"/>
        </w:rPr>
      </w:pPr>
      <w:r>
        <w:rPr>
          <w:rFonts w:hint="eastAsia" w:ascii="宋体" w:hAnsi="宋体" w:eastAsia="宋体" w:cs="宋体"/>
          <w:color w:val="000000"/>
          <w:spacing w:val="-9"/>
          <w:sz w:val="24"/>
          <w:szCs w:val="24"/>
          <w:highlight w:val="none"/>
        </w:rPr>
        <w:t>“磋商代理机构”是指组织本次磋商的</w:t>
      </w:r>
      <w:r>
        <w:rPr>
          <w:rFonts w:hint="eastAsia" w:eastAsia="宋体" w:cs="宋体"/>
          <w:color w:val="000000"/>
          <w:spacing w:val="-9"/>
          <w:sz w:val="24"/>
          <w:szCs w:val="24"/>
          <w:highlight w:val="none"/>
          <w:u w:val="single"/>
          <w:lang w:eastAsia="zh-CN"/>
        </w:rPr>
        <w:t>贵州源辉项目管理有限公司</w:t>
      </w:r>
      <w:r>
        <w:rPr>
          <w:rFonts w:hint="eastAsia" w:ascii="宋体" w:hAnsi="宋体" w:eastAsia="宋体" w:cs="宋体"/>
          <w:color w:val="000000"/>
          <w:spacing w:val="-9"/>
          <w:sz w:val="24"/>
          <w:szCs w:val="24"/>
          <w:highlight w:val="none"/>
        </w:rPr>
        <w:t>。</w:t>
      </w:r>
    </w:p>
    <w:p w14:paraId="017EFFE9">
      <w:pPr>
        <w:pStyle w:val="21"/>
        <w:numPr>
          <w:ilvl w:val="0"/>
          <w:numId w:val="1"/>
        </w:numPr>
        <w:tabs>
          <w:tab w:val="left" w:pos="993"/>
        </w:tabs>
        <w:spacing w:line="360" w:lineRule="auto"/>
        <w:ind w:left="0" w:right="308" w:firstLine="426"/>
        <w:jc w:val="both"/>
        <w:rPr>
          <w:rFonts w:hint="eastAsia" w:ascii="宋体" w:hAnsi="宋体" w:eastAsia="宋体" w:cs="宋体"/>
          <w:color w:val="000000"/>
          <w:spacing w:val="-9"/>
          <w:sz w:val="24"/>
          <w:szCs w:val="24"/>
          <w:highlight w:val="none"/>
        </w:rPr>
      </w:pPr>
      <w:r>
        <w:rPr>
          <w:rFonts w:hint="eastAsia" w:ascii="宋体" w:hAnsi="宋体" w:eastAsia="宋体" w:cs="宋体"/>
          <w:color w:val="000000"/>
          <w:spacing w:val="-9"/>
          <w:sz w:val="24"/>
          <w:szCs w:val="24"/>
          <w:highlight w:val="none"/>
        </w:rPr>
        <w:t>“供应商”是指向采购代理机构购买了本《磋商文件》的供应商，也称投标人、投标商；</w:t>
      </w:r>
    </w:p>
    <w:p w14:paraId="6CEB8B67">
      <w:pPr>
        <w:pStyle w:val="21"/>
        <w:numPr>
          <w:ilvl w:val="0"/>
          <w:numId w:val="1"/>
        </w:numPr>
        <w:tabs>
          <w:tab w:val="left" w:pos="993"/>
        </w:tabs>
        <w:spacing w:line="360" w:lineRule="auto"/>
        <w:ind w:left="0" w:right="308" w:firstLine="426"/>
        <w:rPr>
          <w:rFonts w:hint="eastAsia" w:ascii="宋体" w:hAnsi="宋体" w:eastAsia="宋体" w:cs="宋体"/>
          <w:color w:val="000000"/>
          <w:spacing w:val="-9"/>
          <w:sz w:val="24"/>
          <w:szCs w:val="24"/>
          <w:highlight w:val="none"/>
        </w:rPr>
      </w:pPr>
      <w:r>
        <w:rPr>
          <w:rFonts w:hint="eastAsia" w:ascii="宋体" w:hAnsi="宋体" w:eastAsia="宋体" w:cs="宋体"/>
          <w:color w:val="000000"/>
          <w:spacing w:val="-9"/>
          <w:sz w:val="24"/>
          <w:szCs w:val="24"/>
          <w:highlight w:val="none"/>
        </w:rPr>
        <w:t>“甲方”是指</w:t>
      </w:r>
      <w:r>
        <w:rPr>
          <w:rFonts w:hint="eastAsia" w:eastAsia="宋体" w:cs="宋体"/>
          <w:color w:val="000000"/>
          <w:sz w:val="24"/>
          <w:szCs w:val="24"/>
          <w:highlight w:val="none"/>
          <w:u w:val="single"/>
          <w:lang w:eastAsia="zh-CN"/>
        </w:rPr>
        <w:t>毕节市能源局</w:t>
      </w:r>
      <w:r>
        <w:rPr>
          <w:rFonts w:hint="eastAsia" w:ascii="宋体" w:hAnsi="宋体" w:eastAsia="宋体" w:cs="宋体"/>
          <w:color w:val="000000"/>
          <w:spacing w:val="-9"/>
          <w:sz w:val="24"/>
          <w:szCs w:val="24"/>
          <w:highlight w:val="none"/>
        </w:rPr>
        <w:t>，也称采购单位、采购人、采购方；</w:t>
      </w:r>
    </w:p>
    <w:p w14:paraId="0417EE60">
      <w:pPr>
        <w:pStyle w:val="21"/>
        <w:numPr>
          <w:ilvl w:val="0"/>
          <w:numId w:val="1"/>
        </w:numPr>
        <w:tabs>
          <w:tab w:val="left" w:pos="993"/>
        </w:tabs>
        <w:spacing w:line="360" w:lineRule="auto"/>
        <w:ind w:left="0" w:right="308" w:firstLine="426"/>
        <w:rPr>
          <w:rFonts w:hint="eastAsia" w:ascii="宋体" w:hAnsi="宋体" w:eastAsia="宋体" w:cs="宋体"/>
          <w:color w:val="000000"/>
          <w:spacing w:val="-9"/>
          <w:sz w:val="24"/>
          <w:szCs w:val="24"/>
          <w:highlight w:val="none"/>
        </w:rPr>
      </w:pPr>
      <w:r>
        <w:rPr>
          <w:rFonts w:hint="eastAsia" w:ascii="宋体" w:hAnsi="宋体" w:eastAsia="宋体" w:cs="宋体"/>
          <w:color w:val="000000"/>
          <w:spacing w:val="-9"/>
          <w:sz w:val="24"/>
          <w:szCs w:val="24"/>
          <w:highlight w:val="none"/>
        </w:rPr>
        <w:t>“乙方”是指成交供应商。</w:t>
      </w:r>
    </w:p>
    <w:p w14:paraId="72B51AD0">
      <w:pPr>
        <w:pStyle w:val="21"/>
        <w:tabs>
          <w:tab w:val="left" w:pos="8800"/>
        </w:tabs>
        <w:spacing w:line="360" w:lineRule="auto"/>
        <w:ind w:left="0" w:right="88"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3.1.4 在本次磋商活动中，供应商应自己承担与投标有关的一切费用，不管投标结果如何采购代理机构对这些费用概不负责。评标委员会和采购代理机构不向供应商解释不成交的原因，不退还响应文件。</w:t>
      </w:r>
    </w:p>
    <w:p w14:paraId="4D059053">
      <w:pPr>
        <w:pStyle w:val="21"/>
        <w:tabs>
          <w:tab w:val="left" w:pos="8800"/>
        </w:tabs>
        <w:spacing w:line="360" w:lineRule="auto"/>
        <w:ind w:left="0" w:right="88"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3.1.5 投标保证金：</w:t>
      </w:r>
    </w:p>
    <w:p w14:paraId="72C6E502">
      <w:pPr>
        <w:pStyle w:val="21"/>
        <w:tabs>
          <w:tab w:val="left" w:pos="8800"/>
        </w:tabs>
        <w:spacing w:line="360" w:lineRule="auto"/>
        <w:ind w:left="0" w:right="88"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供应商必须在响应文件递交截止时间前从其基本账户向毕节市公共资源交易中心交纳投标保证金人民币</w:t>
      </w:r>
      <w:r>
        <w:rPr>
          <w:rFonts w:hint="eastAsia" w:eastAsia="宋体" w:cs="宋体"/>
          <w:b/>
          <w:color w:val="000000"/>
          <w:sz w:val="24"/>
          <w:szCs w:val="24"/>
          <w:highlight w:val="none"/>
          <w:u w:val="single"/>
          <w:lang w:eastAsia="zh-CN"/>
        </w:rPr>
        <w:t>壹万元</w:t>
      </w:r>
      <w:r>
        <w:rPr>
          <w:rFonts w:hint="eastAsia" w:ascii="宋体" w:hAnsi="宋体" w:eastAsia="宋体" w:cs="宋体"/>
          <w:b/>
          <w:color w:val="000000"/>
          <w:sz w:val="24"/>
          <w:szCs w:val="24"/>
          <w:highlight w:val="none"/>
          <w:u w:val="single"/>
        </w:rPr>
        <w:t>整</w:t>
      </w:r>
      <w:r>
        <w:rPr>
          <w:rFonts w:hint="eastAsia" w:ascii="宋体" w:hAnsi="宋体" w:eastAsia="宋体" w:cs="宋体"/>
          <w:color w:val="000000"/>
          <w:sz w:val="24"/>
          <w:szCs w:val="24"/>
          <w:highlight w:val="none"/>
        </w:rPr>
        <w:t>（以到账时间为准）。确定成交结果后，成交人的投标保证金在签订采购合同后 5 日内无息退还；未成交单位的投标保证金在公示期结束后 5 日内无息退还。退还投标保证金的方式是按原汇款账户退还，如供应商有账户改动等情况的，应及时书面告知采购代理机构，否则责任自负。供应商在投标活动中有违法、违规行为的，其投标保证金不予退还，还应当根据情节承担相应的经济和法律责任。</w:t>
      </w:r>
    </w:p>
    <w:p w14:paraId="08BFD205">
      <w:pPr>
        <w:pStyle w:val="21"/>
        <w:tabs>
          <w:tab w:val="left" w:pos="8800"/>
        </w:tabs>
        <w:spacing w:line="360" w:lineRule="auto"/>
        <w:ind w:left="0" w:right="88" w:firstLine="472"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3.1.6 报价：</w:t>
      </w:r>
      <w:r>
        <w:rPr>
          <w:rFonts w:hint="eastAsia" w:ascii="宋体" w:hAnsi="宋体" w:eastAsia="宋体" w:cs="宋体"/>
          <w:color w:val="000000"/>
          <w:spacing w:val="-8"/>
          <w:sz w:val="24"/>
          <w:szCs w:val="24"/>
          <w:highlight w:val="none"/>
        </w:rPr>
        <w:t>供应商在《投标总报价书》中填报的报价即是对本项目标的物的投标报价，在合同有效期内不受市场变化因素的影响。</w:t>
      </w:r>
    </w:p>
    <w:p w14:paraId="755575DE">
      <w:pPr>
        <w:pStyle w:val="21"/>
        <w:tabs>
          <w:tab w:val="left" w:pos="8800"/>
        </w:tabs>
        <w:spacing w:line="360" w:lineRule="auto"/>
        <w:ind w:left="0" w:right="88"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3.1.7 采购代理机构不接受采购单位和成交供应商与《磋商文件》相违背的任何协议和要求。</w:t>
      </w:r>
    </w:p>
    <w:p w14:paraId="506E4B46">
      <w:pPr>
        <w:pStyle w:val="21"/>
        <w:tabs>
          <w:tab w:val="left" w:pos="8800"/>
        </w:tabs>
        <w:spacing w:line="360" w:lineRule="auto"/>
        <w:ind w:left="0" w:right="88"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3.1.8 本《磋商文件》解释权属采购单位及采购代理机构。</w:t>
      </w:r>
    </w:p>
    <w:p w14:paraId="2C59EF41">
      <w:pPr>
        <w:pStyle w:val="21"/>
        <w:tabs>
          <w:tab w:val="left" w:pos="8800"/>
        </w:tabs>
        <w:spacing w:line="360" w:lineRule="auto"/>
        <w:ind w:left="0" w:right="88" w:firstLine="476"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3.2 供应商资格要求：</w:t>
      </w:r>
      <w:r>
        <w:rPr>
          <w:rFonts w:hint="eastAsia" w:ascii="宋体" w:hAnsi="宋体" w:eastAsia="宋体" w:cs="宋体"/>
          <w:b/>
          <w:bCs/>
          <w:color w:val="000000"/>
          <w:spacing w:val="-1"/>
          <w:sz w:val="24"/>
          <w:szCs w:val="24"/>
          <w:highlight w:val="none"/>
        </w:rPr>
        <w:t>符合第一章</w:t>
      </w:r>
      <w:r>
        <w:rPr>
          <w:rFonts w:hint="eastAsia" w:eastAsia="宋体" w:cs="宋体"/>
          <w:b/>
          <w:bCs/>
          <w:color w:val="000000"/>
          <w:spacing w:val="-1"/>
          <w:sz w:val="24"/>
          <w:szCs w:val="24"/>
          <w:highlight w:val="none"/>
          <w:lang w:eastAsia="zh-CN"/>
        </w:rPr>
        <w:t>磋商公告</w:t>
      </w:r>
      <w:r>
        <w:rPr>
          <w:rFonts w:hint="eastAsia" w:ascii="宋体" w:hAnsi="宋体" w:eastAsia="宋体" w:cs="宋体"/>
          <w:b/>
          <w:bCs/>
          <w:color w:val="000000"/>
          <w:spacing w:val="-1"/>
          <w:sz w:val="24"/>
          <w:szCs w:val="24"/>
          <w:highlight w:val="none"/>
        </w:rPr>
        <w:t>的要求</w:t>
      </w:r>
    </w:p>
    <w:p w14:paraId="7B6913AB">
      <w:pPr>
        <w:pStyle w:val="21"/>
        <w:tabs>
          <w:tab w:val="left" w:pos="8800"/>
        </w:tabs>
        <w:spacing w:line="360" w:lineRule="auto"/>
        <w:ind w:left="0" w:right="88" w:firstLine="476"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3.2.1 按规定向毕节市公共资源交易中心交纳投标保证金；</w:t>
      </w:r>
    </w:p>
    <w:p w14:paraId="378BE978">
      <w:pPr>
        <w:pStyle w:val="21"/>
        <w:tabs>
          <w:tab w:val="left" w:pos="8800"/>
        </w:tabs>
        <w:spacing w:line="360" w:lineRule="auto"/>
        <w:ind w:left="0" w:right="88" w:firstLine="476"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3.2.2 《响应文件》的编制、上传、加解密符合本《磋商文件》的要求；</w:t>
      </w:r>
    </w:p>
    <w:p w14:paraId="7730F828">
      <w:pPr>
        <w:pStyle w:val="21"/>
        <w:tabs>
          <w:tab w:val="left" w:pos="8800"/>
        </w:tabs>
        <w:spacing w:line="360" w:lineRule="auto"/>
        <w:ind w:left="0" w:right="88" w:firstLine="476"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3.2.3 在规定时间内获取《磋商文件》，并按《磋商文件》要求提供（上传）相关资料；</w:t>
      </w:r>
    </w:p>
    <w:p w14:paraId="5C4B38AE">
      <w:pPr>
        <w:pStyle w:val="21"/>
        <w:tabs>
          <w:tab w:val="left" w:pos="8800"/>
        </w:tabs>
        <w:spacing w:line="360" w:lineRule="auto"/>
        <w:ind w:left="0" w:right="88" w:firstLine="476"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3.3 磋商文件的澄清和修改</w:t>
      </w:r>
    </w:p>
    <w:p w14:paraId="4F9B65EB">
      <w:pPr>
        <w:pStyle w:val="21"/>
        <w:tabs>
          <w:tab w:val="left" w:pos="8800"/>
        </w:tabs>
        <w:spacing w:line="360" w:lineRule="auto"/>
        <w:ind w:left="0" w:right="88" w:firstLine="476"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3.3.1 供应商对政府采购活动事项有疑问的，可以向采购人或采购代理机构提出询问，采购人或采购代理机构</w:t>
      </w:r>
      <w:r>
        <w:rPr>
          <w:rFonts w:hint="eastAsia" w:eastAsia="宋体" w:cs="宋体"/>
          <w:color w:val="000000"/>
          <w:spacing w:val="-1"/>
          <w:sz w:val="24"/>
          <w:szCs w:val="24"/>
          <w:highlight w:val="none"/>
          <w:lang w:eastAsia="zh-CN"/>
        </w:rPr>
        <w:t>应</w:t>
      </w:r>
      <w:r>
        <w:rPr>
          <w:rFonts w:hint="eastAsia" w:ascii="宋体" w:hAnsi="宋体" w:eastAsia="宋体" w:cs="宋体"/>
          <w:color w:val="000000"/>
          <w:spacing w:val="-1"/>
          <w:sz w:val="24"/>
          <w:szCs w:val="24"/>
          <w:highlight w:val="none"/>
        </w:rPr>
        <w:t>当在 3 个工作日内对供应商提出的询问</w:t>
      </w:r>
      <w:r>
        <w:rPr>
          <w:rFonts w:hint="eastAsia" w:eastAsia="宋体" w:cs="宋体"/>
          <w:color w:val="000000"/>
          <w:spacing w:val="-1"/>
          <w:sz w:val="24"/>
          <w:szCs w:val="24"/>
          <w:highlight w:val="none"/>
          <w:lang w:eastAsia="zh-CN"/>
        </w:rPr>
        <w:t>作出</w:t>
      </w:r>
      <w:r>
        <w:rPr>
          <w:rFonts w:hint="eastAsia" w:ascii="宋体" w:hAnsi="宋体" w:eastAsia="宋体" w:cs="宋体"/>
          <w:color w:val="000000"/>
          <w:spacing w:val="-1"/>
          <w:sz w:val="24"/>
          <w:szCs w:val="24"/>
          <w:highlight w:val="none"/>
        </w:rPr>
        <w:t>答复。供应商若对成交公告结果有异议，可在成交公告发布之日起 7 个工作日内向采购人或采购代理机构提出书面质疑。质疑须有被质疑单位名称、质疑事项、举证材料等。采购人或采购代理机构在收到质疑之日起 7 个工作日内书面答复。采购人和采购代理机构不受理无效的或质疑期满后提出的质疑，供应商对磋商文件没有提出质疑的，将被视为完全认同磋商文件。</w:t>
      </w:r>
    </w:p>
    <w:p w14:paraId="1937FCFC">
      <w:pPr>
        <w:pStyle w:val="21"/>
        <w:tabs>
          <w:tab w:val="left" w:pos="8800"/>
        </w:tabs>
        <w:spacing w:line="360" w:lineRule="auto"/>
        <w:ind w:left="0" w:right="88" w:firstLine="476"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3.3.2 在开标期间，磋商文件中存在的瑕疵或疏漏由评标委员会进行明确或澄清，但不得对磋商文件作实质性的修改。</w:t>
      </w:r>
    </w:p>
    <w:p w14:paraId="00F365A6">
      <w:pPr>
        <w:pStyle w:val="21"/>
        <w:tabs>
          <w:tab w:val="left" w:pos="8800"/>
        </w:tabs>
        <w:spacing w:line="360" w:lineRule="auto"/>
        <w:ind w:left="0" w:right="88" w:firstLine="478" w:firstLineChars="200"/>
        <w:rPr>
          <w:rFonts w:hint="eastAsia" w:ascii="宋体" w:hAnsi="宋体" w:eastAsia="宋体" w:cs="宋体"/>
          <w:b/>
          <w:bCs/>
          <w:color w:val="000000"/>
          <w:spacing w:val="-1"/>
          <w:sz w:val="24"/>
          <w:szCs w:val="24"/>
          <w:highlight w:val="none"/>
        </w:rPr>
      </w:pPr>
      <w:r>
        <w:rPr>
          <w:rFonts w:hint="eastAsia" w:ascii="宋体" w:hAnsi="宋体" w:eastAsia="宋体" w:cs="宋体"/>
          <w:b/>
          <w:bCs/>
          <w:color w:val="000000"/>
          <w:spacing w:val="-1"/>
          <w:sz w:val="24"/>
          <w:szCs w:val="24"/>
          <w:highlight w:val="none"/>
        </w:rPr>
        <w:t>3.4 响应文件的编制要求</w:t>
      </w:r>
    </w:p>
    <w:p w14:paraId="4F41B6DB">
      <w:pPr>
        <w:pStyle w:val="21"/>
        <w:tabs>
          <w:tab w:val="left" w:pos="8800"/>
        </w:tabs>
        <w:spacing w:line="360" w:lineRule="auto"/>
        <w:ind w:left="0" w:right="88" w:firstLine="430" w:firstLineChars="200"/>
        <w:rPr>
          <w:rFonts w:hint="eastAsia" w:ascii="宋体" w:hAnsi="宋体" w:eastAsia="宋体" w:cs="宋体"/>
          <w:b/>
          <w:bCs/>
          <w:color w:val="000000"/>
          <w:spacing w:val="-1"/>
          <w:sz w:val="24"/>
          <w:szCs w:val="24"/>
          <w:highlight w:val="none"/>
        </w:rPr>
      </w:pPr>
      <w:r>
        <w:rPr>
          <w:rFonts w:hint="eastAsia" w:ascii="宋体" w:hAnsi="宋体" w:eastAsia="宋体" w:cs="宋体"/>
          <w:b/>
          <w:color w:val="000000"/>
          <w:spacing w:val="-13"/>
          <w:sz w:val="24"/>
          <w:szCs w:val="24"/>
          <w:highlight w:val="none"/>
        </w:rPr>
        <w:t>敬告：响应文件的制作必须完全符合毕节市公共资源交易中心交</w:t>
      </w:r>
      <w:r>
        <w:rPr>
          <w:rFonts w:hint="eastAsia" w:ascii="宋体" w:hAnsi="宋体" w:eastAsia="宋体" w:cs="宋体"/>
          <w:b/>
          <w:color w:val="000000"/>
          <w:sz w:val="24"/>
          <w:szCs w:val="24"/>
          <w:highlight w:val="none"/>
        </w:rPr>
        <w:t>易网络系统要求，否则可能导致投标被拒绝。</w:t>
      </w:r>
    </w:p>
    <w:p w14:paraId="57C4982D">
      <w:pPr>
        <w:pStyle w:val="22"/>
        <w:tabs>
          <w:tab w:val="left" w:pos="709"/>
          <w:tab w:val="left" w:pos="827"/>
        </w:tabs>
        <w:spacing w:line="360" w:lineRule="auto"/>
        <w:ind w:left="0" w:firstLine="482" w:firstLineChars="200"/>
        <w:rPr>
          <w:rFonts w:hint="eastAsia" w:ascii="宋体" w:hAnsi="宋体" w:eastAsia="宋体" w:cs="宋体"/>
          <w:b w:val="0"/>
          <w:color w:val="000000"/>
          <w:sz w:val="24"/>
          <w:szCs w:val="24"/>
          <w:highlight w:val="none"/>
        </w:rPr>
      </w:pPr>
      <w:r>
        <w:rPr>
          <w:rFonts w:hint="eastAsia" w:ascii="宋体" w:hAnsi="宋体" w:eastAsia="宋体" w:cs="宋体"/>
          <w:color w:val="000000"/>
          <w:sz w:val="24"/>
          <w:szCs w:val="24"/>
          <w:highlight w:val="none"/>
        </w:rPr>
        <w:t>3.4.1 响应文件的格式：</w:t>
      </w:r>
    </w:p>
    <w:p w14:paraId="6C398932">
      <w:pPr>
        <w:adjustRightInd w:val="0"/>
        <w:spacing w:line="360" w:lineRule="auto"/>
        <w:ind w:firstLine="215" w:firstLineChars="100"/>
        <w:rPr>
          <w:rFonts w:hint="eastAsia" w:ascii="宋体" w:hAnsi="宋体" w:eastAsia="宋体" w:cs="宋体"/>
          <w:b/>
          <w:color w:val="000000"/>
          <w:spacing w:val="-13"/>
          <w:sz w:val="24"/>
          <w:szCs w:val="24"/>
          <w:highlight w:val="none"/>
        </w:rPr>
      </w:pPr>
      <w:r>
        <w:rPr>
          <w:rFonts w:hint="eastAsia" w:ascii="宋体" w:hAnsi="宋体" w:eastAsia="宋体" w:cs="宋体"/>
          <w:b/>
          <w:color w:val="000000"/>
          <w:spacing w:val="-13"/>
          <w:sz w:val="24"/>
          <w:szCs w:val="24"/>
          <w:highlight w:val="none"/>
        </w:rPr>
        <w:t>（</w:t>
      </w:r>
      <w:r>
        <w:rPr>
          <w:rFonts w:hint="eastAsia" w:eastAsia="宋体" w:cs="宋体"/>
          <w:b/>
          <w:color w:val="000000"/>
          <w:spacing w:val="-13"/>
          <w:sz w:val="24"/>
          <w:szCs w:val="24"/>
          <w:highlight w:val="none"/>
          <w:lang w:val="en-US" w:eastAsia="zh-CN"/>
        </w:rPr>
        <w:t>1</w:t>
      </w:r>
      <w:r>
        <w:rPr>
          <w:rFonts w:hint="eastAsia" w:ascii="宋体" w:hAnsi="宋体" w:eastAsia="宋体" w:cs="宋体"/>
          <w:b/>
          <w:color w:val="000000"/>
          <w:spacing w:val="-13"/>
          <w:sz w:val="24"/>
          <w:szCs w:val="24"/>
          <w:highlight w:val="none"/>
        </w:rPr>
        <w:t>）《响应文件》应用中文表述、中华人民共和国法定计量单位、清晰可读。</w:t>
      </w:r>
    </w:p>
    <w:p w14:paraId="3A7253BA">
      <w:pPr>
        <w:adjustRightInd w:val="0"/>
        <w:spacing w:line="360" w:lineRule="auto"/>
        <w:ind w:firstLine="215" w:firstLineChars="100"/>
        <w:rPr>
          <w:rFonts w:hint="eastAsia" w:ascii="宋体" w:hAnsi="宋体" w:eastAsia="宋体" w:cs="宋体"/>
          <w:b/>
          <w:color w:val="000000"/>
          <w:spacing w:val="-13"/>
          <w:sz w:val="24"/>
          <w:szCs w:val="24"/>
          <w:highlight w:val="none"/>
        </w:rPr>
      </w:pPr>
      <w:r>
        <w:rPr>
          <w:rFonts w:hint="eastAsia" w:ascii="宋体" w:hAnsi="宋体" w:eastAsia="宋体" w:cs="宋体"/>
          <w:b/>
          <w:color w:val="000000"/>
          <w:spacing w:val="-13"/>
          <w:sz w:val="24"/>
          <w:szCs w:val="24"/>
          <w:highlight w:val="none"/>
        </w:rPr>
        <w:t>（</w:t>
      </w:r>
      <w:r>
        <w:rPr>
          <w:rFonts w:hint="eastAsia" w:eastAsia="宋体" w:cs="宋体"/>
          <w:b/>
          <w:color w:val="000000"/>
          <w:spacing w:val="-13"/>
          <w:sz w:val="24"/>
          <w:szCs w:val="24"/>
          <w:highlight w:val="none"/>
          <w:lang w:val="en-US" w:eastAsia="zh-CN"/>
        </w:rPr>
        <w:t>2</w:t>
      </w:r>
      <w:r>
        <w:rPr>
          <w:rFonts w:hint="eastAsia" w:ascii="宋体" w:hAnsi="宋体" w:eastAsia="宋体" w:cs="宋体"/>
          <w:b/>
          <w:color w:val="000000"/>
          <w:spacing w:val="-13"/>
          <w:sz w:val="24"/>
          <w:szCs w:val="24"/>
          <w:highlight w:val="none"/>
        </w:rPr>
        <w:t>）《投标文件》封面应标明项目名称、编号，封面必须加盖投标人电子公章、法定代表人电子印章。《投标文件》</w:t>
      </w:r>
      <w:r>
        <w:rPr>
          <w:rFonts w:hint="eastAsia" w:ascii="宋体" w:hAnsi="宋体" w:eastAsia="宋体" w:cs="宋体"/>
          <w:b/>
          <w:color w:val="000000"/>
          <w:spacing w:val="-13"/>
          <w:sz w:val="24"/>
          <w:szCs w:val="24"/>
          <w:highlight w:val="none"/>
          <w:lang w:val="en-US"/>
        </w:rPr>
        <w:t>须逐页</w:t>
      </w:r>
      <w:r>
        <w:rPr>
          <w:rFonts w:hint="eastAsia" w:ascii="宋体" w:hAnsi="宋体" w:eastAsia="宋体" w:cs="宋体"/>
          <w:b/>
          <w:color w:val="000000"/>
          <w:spacing w:val="-13"/>
          <w:sz w:val="24"/>
          <w:szCs w:val="24"/>
          <w:highlight w:val="none"/>
        </w:rPr>
        <w:t>加盖供应商电子公章、法定代表人电子印章。（符合性审查项）</w:t>
      </w:r>
    </w:p>
    <w:p w14:paraId="35AD502E">
      <w:pPr>
        <w:adjustRightInd w:val="0"/>
        <w:spacing w:line="360" w:lineRule="auto"/>
        <w:ind w:firstLine="215" w:firstLineChars="100"/>
        <w:rPr>
          <w:rFonts w:hint="eastAsia" w:ascii="宋体" w:hAnsi="宋体" w:eastAsia="宋体" w:cs="宋体"/>
          <w:b/>
          <w:color w:val="000000"/>
          <w:spacing w:val="-13"/>
          <w:sz w:val="24"/>
          <w:szCs w:val="24"/>
          <w:highlight w:val="none"/>
          <w:lang w:eastAsia="zh-CN"/>
        </w:rPr>
      </w:pPr>
      <w:r>
        <w:rPr>
          <w:rFonts w:hint="eastAsia" w:ascii="宋体" w:hAnsi="宋体" w:eastAsia="宋体" w:cs="宋体"/>
          <w:b/>
          <w:color w:val="000000"/>
          <w:spacing w:val="-13"/>
          <w:sz w:val="24"/>
          <w:szCs w:val="24"/>
          <w:highlight w:val="none"/>
          <w:lang w:eastAsia="zh-CN"/>
        </w:rPr>
        <w:t>（</w:t>
      </w:r>
      <w:r>
        <w:rPr>
          <w:rFonts w:hint="eastAsia" w:ascii="宋体" w:hAnsi="宋体" w:eastAsia="宋体" w:cs="宋体"/>
          <w:b/>
          <w:color w:val="000000"/>
          <w:spacing w:val="-13"/>
          <w:sz w:val="24"/>
          <w:szCs w:val="24"/>
          <w:highlight w:val="none"/>
          <w:lang w:val="en-US" w:eastAsia="zh-CN"/>
        </w:rPr>
        <w:t>3</w:t>
      </w:r>
      <w:r>
        <w:rPr>
          <w:rFonts w:hint="eastAsia" w:ascii="宋体" w:hAnsi="宋体" w:eastAsia="宋体" w:cs="宋体"/>
          <w:b/>
          <w:color w:val="000000"/>
          <w:spacing w:val="-13"/>
          <w:sz w:val="24"/>
          <w:szCs w:val="24"/>
          <w:highlight w:val="none"/>
          <w:lang w:eastAsia="zh-CN"/>
        </w:rPr>
        <w:t>）格式、盖章要求：投标文件必须符合招标文件中指定格式要求，并按招标文件格式或审查项要求签字或盖章（由于系统原因，电子印章未盖到指定位置的，不影响投标的有效性）。（符合性审查项）</w:t>
      </w:r>
    </w:p>
    <w:p w14:paraId="15D0A937">
      <w:pPr>
        <w:pStyle w:val="22"/>
        <w:tabs>
          <w:tab w:val="left" w:pos="709"/>
          <w:tab w:val="left" w:pos="827"/>
        </w:tabs>
        <w:spacing w:line="360" w:lineRule="auto"/>
        <w:ind w:left="0" w:firstLine="480" w:firstLineChars="200"/>
        <w:rPr>
          <w:rFonts w:hint="eastAsia" w:ascii="宋体" w:hAnsi="宋体" w:eastAsia="宋体" w:cs="宋体"/>
          <w:b w:val="0"/>
          <w:color w:val="000000"/>
          <w:sz w:val="24"/>
          <w:szCs w:val="24"/>
          <w:highlight w:val="none"/>
        </w:rPr>
      </w:pPr>
      <w:r>
        <w:rPr>
          <w:rFonts w:hint="eastAsia" w:eastAsia="宋体" w:cs="宋体"/>
          <w:b w:val="0"/>
          <w:color w:val="000000"/>
          <w:sz w:val="24"/>
          <w:szCs w:val="24"/>
          <w:highlight w:val="none"/>
          <w:lang w:val="en-US" w:eastAsia="zh-CN"/>
        </w:rPr>
        <w:t>3.</w:t>
      </w:r>
      <w:r>
        <w:rPr>
          <w:rFonts w:hint="eastAsia" w:ascii="宋体" w:hAnsi="宋体" w:eastAsia="宋体" w:cs="宋体"/>
          <w:b w:val="0"/>
          <w:color w:val="000000"/>
          <w:sz w:val="24"/>
          <w:szCs w:val="24"/>
          <w:highlight w:val="none"/>
        </w:rPr>
        <w:t>4.2 响应文件的构成（包含但不仅限于）：</w:t>
      </w:r>
    </w:p>
    <w:p w14:paraId="7EDE91A0">
      <w:pPr>
        <w:pStyle w:val="21"/>
        <w:tabs>
          <w:tab w:val="left" w:pos="851"/>
        </w:tabs>
        <w:spacing w:line="360" w:lineRule="auto"/>
        <w:ind w:left="428" w:firstLine="0"/>
        <w:rPr>
          <w:rFonts w:hint="eastAsia" w:ascii="宋体" w:hAnsi="宋体" w:eastAsia="宋体" w:cs="宋体"/>
          <w:b/>
          <w:color w:val="000000"/>
          <w:spacing w:val="-3"/>
          <w:sz w:val="24"/>
          <w:szCs w:val="24"/>
          <w:highlight w:val="none"/>
        </w:rPr>
      </w:pPr>
      <w:r>
        <w:rPr>
          <w:rFonts w:hint="eastAsia" w:ascii="宋体" w:hAnsi="宋体" w:eastAsia="宋体" w:cs="宋体"/>
          <w:b/>
          <w:color w:val="000000"/>
          <w:spacing w:val="-3"/>
          <w:sz w:val="24"/>
          <w:szCs w:val="24"/>
          <w:highlight w:val="none"/>
        </w:rPr>
        <w:t>一、《技术与商务投标书》的内容：</w:t>
      </w:r>
    </w:p>
    <w:p w14:paraId="7B3CC15D">
      <w:pPr>
        <w:snapToGrid w:val="0"/>
        <w:spacing w:line="360" w:lineRule="auto"/>
        <w:ind w:firstLine="48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4"/>
          <w:szCs w:val="24"/>
          <w:highlight w:val="none"/>
        </w:rPr>
        <w:t>资格文件</w:t>
      </w:r>
      <w:r>
        <w:rPr>
          <w:rFonts w:hint="eastAsia" w:ascii="宋体" w:hAnsi="宋体" w:eastAsia="宋体" w:cs="宋体"/>
          <w:b/>
          <w:bCs/>
          <w:color w:val="000000"/>
          <w:spacing w:val="-29"/>
          <w:w w:val="99"/>
          <w:sz w:val="24"/>
          <w:szCs w:val="24"/>
          <w:highlight w:val="none"/>
        </w:rPr>
        <w:t>：</w:t>
      </w:r>
    </w:p>
    <w:p w14:paraId="72D564EA">
      <w:pPr>
        <w:snapToGrid w:val="0"/>
        <w:spacing w:line="360" w:lineRule="auto"/>
        <w:ind w:firstLine="492" w:firstLineChars="200"/>
        <w:rPr>
          <w:rFonts w:hint="eastAsia" w:ascii="宋体" w:hAnsi="宋体" w:eastAsia="宋体" w:cs="宋体"/>
          <w:color w:val="000000"/>
          <w:sz w:val="28"/>
          <w:szCs w:val="28"/>
          <w:highlight w:val="none"/>
        </w:rPr>
      </w:pPr>
      <w:r>
        <w:rPr>
          <w:rFonts w:hint="eastAsia" w:ascii="宋体" w:hAnsi="宋体" w:eastAsia="宋体" w:cs="宋体"/>
          <w:color w:val="000000"/>
          <w:spacing w:val="3"/>
          <w:sz w:val="24"/>
          <w:szCs w:val="24"/>
          <w:highlight w:val="none"/>
          <w:lang w:val="en-US"/>
        </w:rPr>
        <w:t>A.</w:t>
      </w:r>
      <w:r>
        <w:rPr>
          <w:rFonts w:hint="eastAsia" w:ascii="宋体" w:hAnsi="宋体" w:eastAsia="宋体" w:cs="宋体"/>
          <w:color w:val="000000"/>
          <w:spacing w:val="3"/>
          <w:sz w:val="24"/>
          <w:szCs w:val="24"/>
          <w:highlight w:val="none"/>
        </w:rPr>
        <w:t>具有独立承担民事责任的能力</w:t>
      </w:r>
      <w:r>
        <w:rPr>
          <w:rFonts w:hint="eastAsia" w:ascii="宋体" w:hAnsi="宋体" w:eastAsia="宋体" w:cs="宋体"/>
          <w:color w:val="000000"/>
          <w:spacing w:val="3"/>
          <w:sz w:val="24"/>
          <w:szCs w:val="24"/>
          <w:highlight w:val="none"/>
          <w:lang w:val="en-US"/>
        </w:rPr>
        <w:t>:</w:t>
      </w:r>
      <w:r>
        <w:rPr>
          <w:rFonts w:hint="eastAsia" w:ascii="宋体" w:hAnsi="宋体" w:eastAsia="宋体" w:cs="宋体"/>
          <w:color w:val="000000"/>
          <w:spacing w:val="3"/>
          <w:sz w:val="24"/>
          <w:szCs w:val="24"/>
          <w:highlight w:val="none"/>
        </w:rPr>
        <w:t>法人或者其他组织的营业执照等证明文件（营业执照、组织机构代码证和税务登记证，或多证合一的营业执照）</w:t>
      </w:r>
      <w:r>
        <w:rPr>
          <w:rFonts w:hint="eastAsia" w:eastAsia="宋体" w:cs="宋体"/>
          <w:color w:val="000000"/>
          <w:spacing w:val="-3"/>
          <w:sz w:val="24"/>
          <w:szCs w:val="24"/>
          <w:highlight w:val="none"/>
          <w:lang w:val="en-US" w:eastAsia="zh-CN"/>
        </w:rPr>
        <w:t>。</w:t>
      </w:r>
      <w:r>
        <w:rPr>
          <w:rFonts w:hint="eastAsia" w:ascii="宋体" w:hAnsi="宋体" w:eastAsia="宋体" w:cs="宋体"/>
          <w:b/>
          <w:color w:val="000000"/>
          <w:spacing w:val="-3"/>
          <w:sz w:val="24"/>
          <w:szCs w:val="24"/>
          <w:highlight w:val="none"/>
          <w:lang w:val="en-US"/>
        </w:rPr>
        <w:t>（</w:t>
      </w:r>
      <w:r>
        <w:rPr>
          <w:rFonts w:hint="eastAsia" w:ascii="宋体" w:hAnsi="宋体" w:eastAsia="宋体" w:cs="宋体"/>
          <w:b/>
          <w:color w:val="000000"/>
          <w:spacing w:val="-3"/>
          <w:sz w:val="24"/>
          <w:szCs w:val="24"/>
          <w:highlight w:val="none"/>
        </w:rPr>
        <w:t>资格审查项，原件或复印件扫描上传）</w:t>
      </w:r>
    </w:p>
    <w:p w14:paraId="02BF92F7">
      <w:pPr>
        <w:pStyle w:val="21"/>
        <w:tabs>
          <w:tab w:val="left" w:pos="983"/>
        </w:tabs>
        <w:spacing w:line="360" w:lineRule="auto"/>
        <w:ind w:left="0" w:right="40" w:firstLine="464" w:firstLineChars="200"/>
        <w:jc w:val="both"/>
        <w:rPr>
          <w:rFonts w:hint="eastAsia" w:ascii="宋体" w:hAnsi="宋体" w:eastAsia="宋体" w:cs="宋体"/>
          <w:color w:val="000000"/>
          <w:sz w:val="28"/>
          <w:szCs w:val="28"/>
          <w:highlight w:val="none"/>
        </w:rPr>
      </w:pPr>
      <w:r>
        <w:rPr>
          <w:rFonts w:hint="eastAsia" w:ascii="宋体" w:hAnsi="宋体" w:eastAsia="宋体" w:cs="宋体"/>
          <w:color w:val="000000"/>
          <w:spacing w:val="-4"/>
          <w:sz w:val="24"/>
          <w:szCs w:val="24"/>
          <w:highlight w:val="none"/>
          <w:lang w:val="en-US"/>
        </w:rPr>
        <w:t>B.</w:t>
      </w:r>
      <w:r>
        <w:rPr>
          <w:rFonts w:hint="eastAsia" w:ascii="宋体" w:hAnsi="宋体" w:eastAsia="宋体" w:cs="宋体"/>
          <w:color w:val="000000"/>
          <w:sz w:val="24"/>
          <w:szCs w:val="24"/>
          <w:highlight w:val="none"/>
          <w:lang w:val="en-US"/>
        </w:rPr>
        <w:t>具有良好的商业信誉和健全的财务会计制度：</w:t>
      </w:r>
      <w:r>
        <w:rPr>
          <w:rFonts w:hint="eastAsia" w:eastAsia="宋体" w:cs="宋体"/>
          <w:color w:val="000000"/>
          <w:sz w:val="24"/>
          <w:szCs w:val="24"/>
          <w:highlight w:val="none"/>
          <w:lang w:val="en-US" w:eastAsia="zh-CN"/>
        </w:rPr>
        <w:t>提供具</w:t>
      </w:r>
      <w:r>
        <w:rPr>
          <w:rFonts w:hint="eastAsia" w:ascii="宋体" w:hAnsi="宋体" w:eastAsia="宋体" w:cs="宋体"/>
          <w:color w:val="000000"/>
          <w:sz w:val="24"/>
          <w:szCs w:val="24"/>
          <w:highlight w:val="none"/>
          <w:lang w:val="en-US"/>
        </w:rPr>
        <w:t>有良好的商业信用和健全的财务制度</w:t>
      </w:r>
      <w:r>
        <w:rPr>
          <w:rFonts w:hint="eastAsia"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书面承诺</w:t>
      </w:r>
      <w:r>
        <w:rPr>
          <w:rFonts w:hint="eastAsia" w:eastAsia="宋体" w:cs="宋体"/>
          <w:color w:val="000000"/>
          <w:sz w:val="24"/>
          <w:szCs w:val="24"/>
          <w:highlight w:val="none"/>
          <w:lang w:val="en-US" w:eastAsia="zh-CN"/>
        </w:rPr>
        <w:t>。</w:t>
      </w:r>
      <w:r>
        <w:rPr>
          <w:rFonts w:hint="eastAsia" w:ascii="宋体" w:hAnsi="宋体" w:eastAsia="宋体" w:cs="宋体"/>
          <w:b/>
          <w:color w:val="000000"/>
          <w:spacing w:val="-3"/>
          <w:sz w:val="24"/>
          <w:szCs w:val="24"/>
          <w:highlight w:val="none"/>
          <w:lang w:val="en-US"/>
        </w:rPr>
        <w:t>（</w:t>
      </w:r>
      <w:r>
        <w:rPr>
          <w:rFonts w:hint="eastAsia" w:ascii="宋体" w:hAnsi="宋体" w:eastAsia="宋体" w:cs="宋体"/>
          <w:b/>
          <w:color w:val="000000"/>
          <w:spacing w:val="-3"/>
          <w:sz w:val="24"/>
          <w:szCs w:val="24"/>
          <w:highlight w:val="none"/>
        </w:rPr>
        <w:t>资格审查项，</w:t>
      </w:r>
      <w:r>
        <w:rPr>
          <w:rFonts w:hint="eastAsia" w:eastAsia="宋体" w:cs="宋体"/>
          <w:b/>
          <w:color w:val="000000"/>
          <w:spacing w:val="-3"/>
          <w:sz w:val="24"/>
          <w:szCs w:val="24"/>
          <w:highlight w:val="none"/>
          <w:lang w:val="en-US" w:eastAsia="zh-CN"/>
        </w:rPr>
        <w:t>格式自拟</w:t>
      </w:r>
      <w:r>
        <w:rPr>
          <w:rFonts w:hint="eastAsia" w:ascii="宋体" w:hAnsi="宋体" w:eastAsia="宋体" w:cs="宋体"/>
          <w:b/>
          <w:color w:val="000000"/>
          <w:spacing w:val="-3"/>
          <w:sz w:val="24"/>
          <w:szCs w:val="24"/>
          <w:highlight w:val="none"/>
        </w:rPr>
        <w:t>）</w:t>
      </w:r>
    </w:p>
    <w:p w14:paraId="5D954902">
      <w:pPr>
        <w:snapToGrid w:val="0"/>
        <w:spacing w:line="360" w:lineRule="auto"/>
        <w:ind w:firstLine="464" w:firstLineChars="200"/>
        <w:rPr>
          <w:rFonts w:hint="eastAsia" w:ascii="宋体" w:hAnsi="宋体" w:eastAsia="宋体" w:cs="宋体"/>
          <w:b/>
          <w:color w:val="000000"/>
          <w:spacing w:val="-3"/>
          <w:sz w:val="24"/>
          <w:szCs w:val="24"/>
          <w:highlight w:val="none"/>
        </w:rPr>
      </w:pPr>
      <w:r>
        <w:rPr>
          <w:rFonts w:hint="eastAsia" w:ascii="宋体" w:hAnsi="宋体" w:eastAsia="宋体" w:cs="宋体"/>
          <w:color w:val="000000"/>
          <w:spacing w:val="-4"/>
          <w:sz w:val="24"/>
          <w:szCs w:val="24"/>
          <w:highlight w:val="none"/>
          <w:lang w:val="en-US"/>
        </w:rPr>
        <w:t>C.</w:t>
      </w:r>
      <w:r>
        <w:rPr>
          <w:rFonts w:hint="eastAsia" w:ascii="宋体" w:hAnsi="宋体" w:eastAsia="宋体" w:cs="宋体"/>
          <w:color w:val="000000"/>
          <w:sz w:val="24"/>
          <w:szCs w:val="24"/>
          <w:highlight w:val="none"/>
        </w:rPr>
        <w:t>具有履行合同</w:t>
      </w:r>
      <w:r>
        <w:rPr>
          <w:rFonts w:hint="eastAsia" w:eastAsia="宋体" w:cs="宋体"/>
          <w:color w:val="000000"/>
          <w:sz w:val="24"/>
          <w:szCs w:val="24"/>
          <w:highlight w:val="none"/>
          <w:lang w:eastAsia="zh-CN"/>
        </w:rPr>
        <w:t>所必需的</w:t>
      </w:r>
      <w:r>
        <w:rPr>
          <w:rFonts w:hint="eastAsia" w:ascii="宋体" w:hAnsi="宋体" w:eastAsia="宋体" w:cs="宋体"/>
          <w:color w:val="000000"/>
          <w:sz w:val="24"/>
          <w:szCs w:val="24"/>
          <w:highlight w:val="none"/>
        </w:rPr>
        <w:t>设备和专业技术能力：提供具有履行合同</w:t>
      </w:r>
      <w:r>
        <w:rPr>
          <w:rFonts w:hint="eastAsia" w:eastAsia="宋体" w:cs="宋体"/>
          <w:color w:val="000000"/>
          <w:sz w:val="24"/>
          <w:szCs w:val="24"/>
          <w:highlight w:val="none"/>
          <w:lang w:eastAsia="zh-CN"/>
        </w:rPr>
        <w:t>所必需的</w:t>
      </w:r>
      <w:r>
        <w:rPr>
          <w:rFonts w:hint="eastAsia" w:ascii="宋体" w:hAnsi="宋体" w:eastAsia="宋体" w:cs="宋体"/>
          <w:color w:val="000000"/>
          <w:sz w:val="24"/>
          <w:szCs w:val="24"/>
          <w:highlight w:val="none"/>
        </w:rPr>
        <w:t>设备和专业技术能力书面承诺</w:t>
      </w:r>
      <w:r>
        <w:rPr>
          <w:rFonts w:hint="eastAsia" w:ascii="宋体" w:hAnsi="宋体" w:eastAsia="宋体" w:cs="宋体"/>
          <w:color w:val="000000"/>
          <w:sz w:val="24"/>
          <w:szCs w:val="24"/>
          <w:highlight w:val="none"/>
          <w:lang w:eastAsia="zh-CN"/>
        </w:rPr>
        <w:t>。</w:t>
      </w:r>
      <w:r>
        <w:rPr>
          <w:rFonts w:hint="eastAsia" w:ascii="宋体" w:hAnsi="宋体" w:eastAsia="宋体" w:cs="宋体"/>
          <w:b/>
          <w:color w:val="000000"/>
          <w:spacing w:val="-3"/>
          <w:sz w:val="24"/>
          <w:szCs w:val="24"/>
          <w:highlight w:val="none"/>
          <w:lang w:val="en-US"/>
        </w:rPr>
        <w:t>（</w:t>
      </w:r>
      <w:r>
        <w:rPr>
          <w:rFonts w:hint="eastAsia" w:ascii="宋体" w:hAnsi="宋体" w:eastAsia="宋体" w:cs="宋体"/>
          <w:b/>
          <w:color w:val="000000"/>
          <w:spacing w:val="-3"/>
          <w:sz w:val="24"/>
          <w:szCs w:val="24"/>
          <w:highlight w:val="none"/>
        </w:rPr>
        <w:t>资格审查项，格式自拟）</w:t>
      </w:r>
    </w:p>
    <w:p w14:paraId="35737671">
      <w:pPr>
        <w:pStyle w:val="21"/>
        <w:spacing w:line="360" w:lineRule="auto"/>
        <w:ind w:left="0" w:leftChars="0" w:right="40" w:firstLine="464" w:firstLineChars="200"/>
        <w:rPr>
          <w:rFonts w:hint="eastAsia" w:ascii="宋体" w:hAnsi="宋体" w:eastAsia="宋体" w:cs="宋体"/>
          <w:color w:val="000000"/>
          <w:sz w:val="28"/>
          <w:szCs w:val="28"/>
          <w:highlight w:val="none"/>
        </w:rPr>
      </w:pPr>
      <w:r>
        <w:rPr>
          <w:rFonts w:hint="eastAsia" w:ascii="宋体" w:hAnsi="宋体" w:eastAsia="宋体" w:cs="宋体"/>
          <w:color w:val="000000"/>
          <w:spacing w:val="-4"/>
          <w:sz w:val="24"/>
          <w:szCs w:val="24"/>
          <w:highlight w:val="none"/>
          <w:lang w:val="en-US"/>
        </w:rPr>
        <w:t>D.</w:t>
      </w:r>
      <w:r>
        <w:rPr>
          <w:rFonts w:hint="eastAsia" w:ascii="宋体" w:hAnsi="宋体" w:eastAsia="宋体" w:cs="宋体"/>
          <w:color w:val="000000"/>
          <w:sz w:val="24"/>
          <w:szCs w:val="24"/>
          <w:highlight w:val="none"/>
          <w:lang w:val="en-US"/>
        </w:rPr>
        <w:t>具有依法缴纳税收和社会保障资金的良好记录：</w:t>
      </w:r>
      <w:r>
        <w:rPr>
          <w:rFonts w:hint="eastAsia" w:eastAsia="宋体" w:cs="宋体"/>
          <w:color w:val="000000"/>
          <w:sz w:val="24"/>
          <w:szCs w:val="24"/>
          <w:highlight w:val="none"/>
          <w:lang w:val="en-US" w:eastAsia="zh-CN"/>
        </w:rPr>
        <w:t>提供</w:t>
      </w:r>
      <w:r>
        <w:rPr>
          <w:rFonts w:hint="eastAsia" w:ascii="宋体" w:hAnsi="宋体" w:eastAsia="宋体" w:cs="宋体"/>
          <w:color w:val="000000"/>
          <w:sz w:val="24"/>
          <w:szCs w:val="24"/>
          <w:highlight w:val="none"/>
          <w:lang w:val="en-US"/>
        </w:rPr>
        <w:t>具有依法缴纳税收和社会保障资金的良好记录</w:t>
      </w:r>
      <w:r>
        <w:rPr>
          <w:rFonts w:hint="eastAsia" w:ascii="宋体" w:hAnsi="宋体" w:eastAsia="宋体" w:cs="宋体"/>
          <w:color w:val="000000"/>
          <w:sz w:val="24"/>
          <w:szCs w:val="24"/>
          <w:highlight w:val="none"/>
          <w:lang w:val="en-US" w:eastAsia="zh-CN"/>
        </w:rPr>
        <w:t>的书面承诺</w:t>
      </w:r>
      <w:r>
        <w:rPr>
          <w:rFonts w:hint="eastAsia" w:eastAsia="宋体" w:cs="宋体"/>
          <w:color w:val="000000"/>
          <w:sz w:val="24"/>
          <w:szCs w:val="24"/>
          <w:highlight w:val="none"/>
          <w:lang w:val="en-US" w:eastAsia="zh-CN"/>
        </w:rPr>
        <w:t>。</w:t>
      </w:r>
      <w:r>
        <w:rPr>
          <w:rFonts w:hint="eastAsia" w:ascii="宋体" w:hAnsi="宋体" w:eastAsia="宋体" w:cs="宋体"/>
          <w:b/>
          <w:color w:val="000000"/>
          <w:spacing w:val="-3"/>
          <w:sz w:val="24"/>
          <w:szCs w:val="24"/>
          <w:highlight w:val="none"/>
          <w:lang w:val="en-US"/>
        </w:rPr>
        <w:t>（</w:t>
      </w:r>
      <w:r>
        <w:rPr>
          <w:rFonts w:hint="eastAsia" w:ascii="宋体" w:hAnsi="宋体" w:eastAsia="宋体" w:cs="宋体"/>
          <w:b/>
          <w:color w:val="000000"/>
          <w:spacing w:val="-3"/>
          <w:sz w:val="24"/>
          <w:szCs w:val="24"/>
          <w:highlight w:val="none"/>
        </w:rPr>
        <w:t>资格审查项，</w:t>
      </w:r>
      <w:r>
        <w:rPr>
          <w:rFonts w:hint="eastAsia" w:eastAsia="宋体" w:cs="宋体"/>
          <w:b/>
          <w:color w:val="000000"/>
          <w:spacing w:val="-3"/>
          <w:sz w:val="24"/>
          <w:szCs w:val="24"/>
          <w:highlight w:val="none"/>
          <w:lang w:val="en-US" w:eastAsia="zh-CN"/>
        </w:rPr>
        <w:t>格式自拟</w:t>
      </w:r>
      <w:r>
        <w:rPr>
          <w:rFonts w:hint="eastAsia" w:ascii="宋体" w:hAnsi="宋体" w:eastAsia="宋体" w:cs="宋体"/>
          <w:b/>
          <w:color w:val="000000"/>
          <w:spacing w:val="-3"/>
          <w:sz w:val="24"/>
          <w:szCs w:val="24"/>
          <w:highlight w:val="none"/>
        </w:rPr>
        <w:t>）</w:t>
      </w:r>
    </w:p>
    <w:p w14:paraId="779D8890">
      <w:pPr>
        <w:snapToGrid w:val="0"/>
        <w:spacing w:line="360" w:lineRule="auto"/>
        <w:ind w:firstLine="512" w:firstLineChars="200"/>
        <w:rPr>
          <w:rFonts w:hint="eastAsia" w:ascii="宋体" w:hAnsi="宋体" w:eastAsia="宋体" w:cs="宋体"/>
          <w:color w:val="000000"/>
          <w:sz w:val="28"/>
          <w:szCs w:val="28"/>
          <w:highlight w:val="none"/>
        </w:rPr>
      </w:pPr>
      <w:r>
        <w:rPr>
          <w:rFonts w:hint="eastAsia" w:ascii="宋体" w:hAnsi="宋体" w:eastAsia="宋体" w:cs="宋体"/>
          <w:color w:val="000000"/>
          <w:spacing w:val="8"/>
          <w:sz w:val="24"/>
          <w:szCs w:val="24"/>
          <w:highlight w:val="none"/>
          <w:lang w:val="en-US"/>
        </w:rPr>
        <w:t>E</w:t>
      </w:r>
      <w:r>
        <w:rPr>
          <w:rFonts w:hint="eastAsia" w:ascii="宋体" w:hAnsi="宋体" w:eastAsia="宋体" w:cs="宋体"/>
          <w:color w:val="000000"/>
          <w:spacing w:val="-4"/>
          <w:sz w:val="24"/>
          <w:szCs w:val="24"/>
          <w:highlight w:val="none"/>
          <w:lang w:val="en-US"/>
        </w:rPr>
        <w:t>.参加本次政府采购活动前三年内，在经营活动中没有违法违规记录：提供参加政府采购活动前3年内在经营活动中没有重大违法记录的书面声明</w:t>
      </w:r>
      <w:r>
        <w:rPr>
          <w:rFonts w:hint="eastAsia" w:eastAsia="宋体" w:cs="宋体"/>
          <w:color w:val="000000"/>
          <w:spacing w:val="-4"/>
          <w:sz w:val="24"/>
          <w:szCs w:val="24"/>
          <w:highlight w:val="none"/>
          <w:lang w:val="en-US" w:eastAsia="zh-CN"/>
        </w:rPr>
        <w:t>。</w:t>
      </w:r>
      <w:r>
        <w:rPr>
          <w:rFonts w:hint="eastAsia" w:ascii="宋体" w:hAnsi="宋体" w:eastAsia="宋体" w:cs="宋体"/>
          <w:b/>
          <w:color w:val="000000"/>
          <w:spacing w:val="-3"/>
          <w:sz w:val="24"/>
          <w:szCs w:val="24"/>
          <w:highlight w:val="none"/>
          <w:lang w:val="en-US"/>
        </w:rPr>
        <w:t>（</w:t>
      </w:r>
      <w:r>
        <w:rPr>
          <w:rFonts w:hint="eastAsia" w:ascii="宋体" w:hAnsi="宋体" w:eastAsia="宋体" w:cs="宋体"/>
          <w:b/>
          <w:color w:val="000000"/>
          <w:spacing w:val="-3"/>
          <w:sz w:val="24"/>
          <w:szCs w:val="24"/>
          <w:highlight w:val="none"/>
        </w:rPr>
        <w:t>资格审查项，格式自拟）</w:t>
      </w:r>
    </w:p>
    <w:p w14:paraId="588C3219">
      <w:pPr>
        <w:snapToGrid w:val="0"/>
        <w:spacing w:line="360" w:lineRule="auto"/>
        <w:ind w:firstLine="512" w:firstLineChars="200"/>
        <w:rPr>
          <w:rFonts w:hint="eastAsia" w:ascii="宋体" w:hAnsi="宋体" w:eastAsia="宋体" w:cs="宋体"/>
          <w:color w:val="000000"/>
          <w:sz w:val="28"/>
          <w:szCs w:val="28"/>
          <w:highlight w:val="none"/>
        </w:rPr>
      </w:pPr>
      <w:r>
        <w:rPr>
          <w:rFonts w:hint="eastAsia" w:ascii="宋体" w:hAnsi="宋体" w:eastAsia="宋体" w:cs="宋体"/>
          <w:color w:val="000000"/>
          <w:spacing w:val="8"/>
          <w:sz w:val="24"/>
          <w:szCs w:val="24"/>
          <w:highlight w:val="none"/>
          <w:lang w:val="en-US"/>
        </w:rPr>
        <w:t>F</w:t>
      </w:r>
      <w:r>
        <w:rPr>
          <w:rFonts w:hint="eastAsia" w:ascii="宋体" w:hAnsi="宋体" w:eastAsia="宋体" w:cs="宋体"/>
          <w:color w:val="000000"/>
          <w:spacing w:val="-4"/>
          <w:sz w:val="24"/>
          <w:szCs w:val="24"/>
          <w:highlight w:val="none"/>
          <w:lang w:val="en-US"/>
        </w:rPr>
        <w:t>.供应商信用信息：</w:t>
      </w:r>
      <w:r>
        <w:rPr>
          <w:rFonts w:hint="eastAsia" w:eastAsia="宋体" w:cs="宋体"/>
          <w:color w:val="000000"/>
          <w:spacing w:val="-4"/>
          <w:sz w:val="24"/>
          <w:szCs w:val="24"/>
          <w:highlight w:val="none"/>
          <w:lang w:val="en-US" w:eastAsia="zh-CN"/>
        </w:rPr>
        <w:t>供应商须承诺在“信用中国”网站、中国政府采购网等渠道查询中未被列入失信被执行人名单、重大税收违法案件当事人名单、政府采购严重违法失信行为记录名单中,如被列入失信被执行人、重大税收违法案件当事人名单、政府采购严重违法失信行为记录名单中的投标供应商取消其投标资格,并承担由此造成的一切法律责任及后果。</w:t>
      </w:r>
      <w:r>
        <w:rPr>
          <w:rFonts w:hint="eastAsia" w:ascii="宋体" w:hAnsi="宋体" w:eastAsia="宋体" w:cs="宋体"/>
          <w:b/>
          <w:color w:val="000000"/>
          <w:spacing w:val="-3"/>
          <w:sz w:val="24"/>
          <w:szCs w:val="24"/>
          <w:highlight w:val="none"/>
          <w:lang w:val="en-US"/>
        </w:rPr>
        <w:t>（</w:t>
      </w:r>
      <w:r>
        <w:rPr>
          <w:rFonts w:hint="eastAsia" w:ascii="宋体" w:hAnsi="宋体" w:eastAsia="宋体" w:cs="宋体"/>
          <w:b/>
          <w:color w:val="000000"/>
          <w:spacing w:val="-3"/>
          <w:sz w:val="24"/>
          <w:szCs w:val="24"/>
          <w:highlight w:val="none"/>
        </w:rPr>
        <w:t>资格审查项）</w:t>
      </w:r>
    </w:p>
    <w:p w14:paraId="4F557F0F">
      <w:pPr>
        <w:spacing w:line="360" w:lineRule="auto"/>
        <w:ind w:firstLine="512" w:firstLineChars="200"/>
        <w:rPr>
          <w:rFonts w:hint="eastAsia" w:ascii="宋体" w:hAnsi="宋体" w:eastAsia="宋体" w:cs="宋体"/>
          <w:b/>
          <w:color w:val="000000"/>
          <w:spacing w:val="-3"/>
          <w:sz w:val="24"/>
          <w:szCs w:val="24"/>
          <w:highlight w:val="none"/>
        </w:rPr>
      </w:pPr>
      <w:r>
        <w:rPr>
          <w:rFonts w:hint="eastAsia" w:ascii="宋体" w:hAnsi="宋体" w:eastAsia="宋体" w:cs="宋体"/>
          <w:color w:val="000000"/>
          <w:spacing w:val="8"/>
          <w:sz w:val="24"/>
          <w:szCs w:val="24"/>
          <w:highlight w:val="none"/>
          <w:lang w:val="en-US"/>
        </w:rPr>
        <w:t>G.法</w:t>
      </w:r>
      <w:r>
        <w:rPr>
          <w:rFonts w:hint="eastAsia" w:ascii="宋体" w:hAnsi="宋体" w:eastAsia="宋体" w:cs="宋体"/>
          <w:color w:val="000000"/>
          <w:sz w:val="24"/>
          <w:szCs w:val="24"/>
          <w:highlight w:val="none"/>
          <w:lang w:val="en-US"/>
        </w:rPr>
        <w:t>定代表人参加投标的必须有法定代表人身份证原件扫描件及身份证明，法人授权委托人参加投标的必须有法定代表人授权委托书及被授权委托人的身份证原件扫描件</w:t>
      </w:r>
      <w:r>
        <w:rPr>
          <w:rFonts w:hint="eastAsia" w:eastAsia="宋体" w:cs="宋体"/>
          <w:color w:val="000000"/>
          <w:sz w:val="24"/>
          <w:szCs w:val="24"/>
          <w:highlight w:val="none"/>
          <w:lang w:val="en-US" w:eastAsia="zh-CN"/>
        </w:rPr>
        <w:t>；</w:t>
      </w:r>
      <w:r>
        <w:rPr>
          <w:rFonts w:hint="eastAsia" w:ascii="宋体" w:hAnsi="宋体" w:eastAsia="宋体" w:cs="宋体"/>
          <w:b/>
          <w:color w:val="000000"/>
          <w:spacing w:val="-3"/>
          <w:sz w:val="24"/>
          <w:szCs w:val="24"/>
          <w:highlight w:val="none"/>
          <w:lang w:val="en-US"/>
        </w:rPr>
        <w:t>（</w:t>
      </w:r>
      <w:r>
        <w:rPr>
          <w:rFonts w:hint="eastAsia" w:ascii="宋体" w:hAnsi="宋体" w:eastAsia="宋体" w:cs="宋体"/>
          <w:b/>
          <w:color w:val="000000"/>
          <w:spacing w:val="-3"/>
          <w:sz w:val="24"/>
          <w:szCs w:val="24"/>
          <w:highlight w:val="none"/>
        </w:rPr>
        <w:t>资格审查项）</w:t>
      </w:r>
    </w:p>
    <w:p w14:paraId="358C4E70">
      <w:pPr>
        <w:spacing w:line="360" w:lineRule="auto"/>
        <w:ind w:firstLine="480" w:firstLineChars="200"/>
        <w:rPr>
          <w:rFonts w:hint="eastAsia" w:ascii="宋体" w:hAnsi="宋体" w:eastAsia="宋体" w:cs="宋体"/>
          <w:b/>
          <w:color w:val="000000"/>
          <w:spacing w:val="-3"/>
          <w:sz w:val="24"/>
          <w:szCs w:val="24"/>
          <w:highlight w:val="none"/>
        </w:rPr>
      </w:pPr>
      <w:r>
        <w:rPr>
          <w:rFonts w:hint="eastAsia" w:ascii="宋体" w:hAnsi="宋体" w:eastAsia="宋体" w:cs="宋体"/>
          <w:color w:val="000000"/>
          <w:sz w:val="24"/>
          <w:szCs w:val="24"/>
          <w:highlight w:val="none"/>
          <w:lang w:val="en-US"/>
        </w:rPr>
        <w:t>H.</w:t>
      </w:r>
      <w:r>
        <w:rPr>
          <w:rFonts w:hint="eastAsia" w:ascii="宋体" w:hAnsi="宋体" w:eastAsia="宋体" w:cs="宋体"/>
          <w:color w:val="000000"/>
          <w:sz w:val="24"/>
          <w:szCs w:val="24"/>
          <w:highlight w:val="none"/>
        </w:rPr>
        <w:t>本项目专门面向中小企业采购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供应商须根据《政府采购促进中小企业发展管理办法》（财库【2020】46 号）规定提供“中小企业声明函”，若查实不属于中小企业，将按虚假应标处理。</w:t>
      </w:r>
      <w:r>
        <w:rPr>
          <w:rFonts w:hint="eastAsia" w:ascii="宋体" w:hAnsi="宋体" w:eastAsia="宋体" w:cs="宋体"/>
          <w:b/>
          <w:color w:val="000000"/>
          <w:spacing w:val="-3"/>
          <w:sz w:val="24"/>
          <w:szCs w:val="24"/>
          <w:highlight w:val="none"/>
          <w:lang w:val="en-US"/>
        </w:rPr>
        <w:t>（</w:t>
      </w:r>
      <w:r>
        <w:rPr>
          <w:rFonts w:hint="eastAsia" w:ascii="宋体" w:hAnsi="宋体" w:eastAsia="宋体" w:cs="宋体"/>
          <w:b/>
          <w:color w:val="000000"/>
          <w:spacing w:val="-3"/>
          <w:sz w:val="24"/>
          <w:szCs w:val="24"/>
          <w:highlight w:val="none"/>
        </w:rPr>
        <w:t>资格审查项）</w:t>
      </w:r>
    </w:p>
    <w:p w14:paraId="2A02561C">
      <w:pPr>
        <w:pStyle w:val="21"/>
        <w:tabs>
          <w:tab w:val="left" w:pos="983"/>
        </w:tabs>
        <w:spacing w:line="360" w:lineRule="auto"/>
        <w:ind w:left="0" w:right="40" w:firstLine="470" w:firstLineChars="200"/>
        <w:jc w:val="both"/>
        <w:rPr>
          <w:rFonts w:hint="default" w:eastAsia="宋体" w:cs="宋体"/>
          <w:color w:val="000000"/>
          <w:sz w:val="24"/>
          <w:szCs w:val="24"/>
          <w:highlight w:val="none"/>
          <w:lang w:val="en-US" w:eastAsia="zh-CN"/>
        </w:rPr>
      </w:pPr>
      <w:r>
        <w:rPr>
          <w:rFonts w:hint="eastAsia" w:ascii="宋体" w:hAnsi="宋体" w:eastAsia="宋体" w:cs="宋体"/>
          <w:b/>
          <w:color w:val="000000"/>
          <w:spacing w:val="-3"/>
          <w:sz w:val="24"/>
          <w:szCs w:val="24"/>
          <w:highlight w:val="none"/>
          <w:lang w:val="en-US"/>
        </w:rPr>
        <w:t>（</w:t>
      </w:r>
      <w:r>
        <w:rPr>
          <w:rFonts w:hint="eastAsia" w:ascii="宋体" w:hAnsi="宋体" w:eastAsia="宋体" w:cs="宋体"/>
          <w:b/>
          <w:color w:val="000000"/>
          <w:spacing w:val="-3"/>
          <w:sz w:val="24"/>
          <w:szCs w:val="24"/>
          <w:highlight w:val="none"/>
        </w:rPr>
        <w:t>资格审查项）</w:t>
      </w:r>
    </w:p>
    <w:p w14:paraId="229D15B1">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（2）技术文件：</w:t>
      </w:r>
    </w:p>
    <w:p w14:paraId="2568536A">
      <w:pPr>
        <w:pStyle w:val="21"/>
        <w:tabs>
          <w:tab w:val="left" w:pos="963"/>
          <w:tab w:val="left" w:pos="4981"/>
        </w:tabs>
        <w:spacing w:line="360" w:lineRule="auto"/>
        <w:ind w:left="-158" w:leftChars="-75" w:right="21"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 参加投标说明：简要介绍投标人的基本情况并对《磋商文件》作完全响应的承诺；</w:t>
      </w:r>
      <w:r>
        <w:rPr>
          <w:rFonts w:hint="eastAsia" w:ascii="宋体" w:hAnsi="宋体" w:eastAsia="宋体" w:cs="宋体"/>
          <w:b/>
          <w:color w:val="000000"/>
          <w:spacing w:val="-3"/>
          <w:sz w:val="24"/>
          <w:szCs w:val="24"/>
          <w:highlight w:val="none"/>
        </w:rPr>
        <w:t>（符合性审查项）</w:t>
      </w:r>
    </w:p>
    <w:p w14:paraId="5925D51A">
      <w:pPr>
        <w:adjustRightInd w:val="0"/>
        <w:spacing w:line="360" w:lineRule="auto"/>
        <w:ind w:firstLine="480" w:firstLineChars="20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B</w:t>
      </w:r>
      <w:r>
        <w:rPr>
          <w:rFonts w:hint="eastAsia" w:ascii="宋体" w:hAnsi="宋体" w:eastAsia="宋体" w:cs="宋体"/>
          <w:color w:val="000000"/>
          <w:sz w:val="24"/>
          <w:szCs w:val="24"/>
          <w:highlight w:val="none"/>
          <w:lang w:val="en-US"/>
        </w:rPr>
        <w:t>.</w:t>
      </w:r>
      <w:r>
        <w:rPr>
          <w:rFonts w:hint="eastAsia" w:ascii="宋体" w:hAnsi="宋体" w:eastAsia="宋体" w:cs="宋体"/>
          <w:color w:val="000000"/>
          <w:kern w:val="2"/>
          <w:sz w:val="24"/>
          <w:szCs w:val="24"/>
          <w:highlight w:val="none"/>
          <w:lang w:val="en-US" w:bidi="ar-SA"/>
        </w:rPr>
        <w:t xml:space="preserve"> </w:t>
      </w:r>
      <w:r>
        <w:rPr>
          <w:rFonts w:hint="eastAsia" w:ascii="宋体" w:hAnsi="宋体" w:eastAsia="宋体" w:cs="宋体"/>
          <w:color w:val="000000"/>
          <w:sz w:val="24"/>
          <w:szCs w:val="24"/>
          <w:highlight w:val="none"/>
          <w:lang w:val="en-US"/>
        </w:rPr>
        <w:t>技术评分所需材料：结合评分标准自行编制；</w:t>
      </w:r>
    </w:p>
    <w:p w14:paraId="09A856D9">
      <w:pPr>
        <w:adjustRightInd w:val="0"/>
        <w:spacing w:line="360" w:lineRule="auto"/>
        <w:ind w:firstLine="480" w:firstLineChars="20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C.</w:t>
      </w:r>
      <w:r>
        <w:rPr>
          <w:rFonts w:hint="eastAsia"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rPr>
        <w:t>投标人认为应该提交的</w:t>
      </w:r>
      <w:r>
        <w:rPr>
          <w:rFonts w:hint="eastAsia" w:eastAsia="宋体" w:cs="宋体"/>
          <w:color w:val="000000"/>
          <w:sz w:val="24"/>
          <w:szCs w:val="24"/>
          <w:highlight w:val="none"/>
          <w:lang w:val="en-US" w:eastAsia="zh-CN"/>
        </w:rPr>
        <w:t>其他</w:t>
      </w:r>
      <w:r>
        <w:rPr>
          <w:rFonts w:hint="eastAsia" w:ascii="宋体" w:hAnsi="宋体" w:eastAsia="宋体" w:cs="宋体"/>
          <w:color w:val="000000"/>
          <w:sz w:val="24"/>
          <w:szCs w:val="24"/>
          <w:highlight w:val="none"/>
          <w:lang w:val="en-US"/>
        </w:rPr>
        <w:t>技术性文件及资料。</w:t>
      </w:r>
    </w:p>
    <w:p w14:paraId="2B8172E6">
      <w:pPr>
        <w:pStyle w:val="21"/>
        <w:tabs>
          <w:tab w:val="left" w:pos="983"/>
        </w:tabs>
        <w:spacing w:line="360" w:lineRule="auto"/>
        <w:ind w:left="0" w:firstLine="482" w:firstLineChars="200"/>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（3）商务文件：</w:t>
      </w:r>
    </w:p>
    <w:p w14:paraId="638F5E44">
      <w:pPr>
        <w:pStyle w:val="21"/>
        <w:tabs>
          <w:tab w:val="left" w:pos="851"/>
        </w:tabs>
        <w:spacing w:line="360" w:lineRule="auto"/>
        <w:ind w:left="428" w:firstLine="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A. 商务评分所需材料：结合评分标准自行编制；</w:t>
      </w:r>
    </w:p>
    <w:p w14:paraId="296784ED">
      <w:pPr>
        <w:pStyle w:val="21"/>
        <w:tabs>
          <w:tab w:val="left" w:pos="851"/>
        </w:tabs>
        <w:spacing w:line="360" w:lineRule="auto"/>
        <w:ind w:left="428" w:firstLine="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rPr>
        <w:t>B．投标人认为应该提交的其他商务性文件及资料</w:t>
      </w:r>
      <w:r>
        <w:rPr>
          <w:rFonts w:hint="eastAsia" w:eastAsia="宋体" w:cs="宋体"/>
          <w:color w:val="000000"/>
          <w:sz w:val="24"/>
          <w:szCs w:val="24"/>
          <w:highlight w:val="none"/>
          <w:lang w:val="en-US" w:eastAsia="zh-CN"/>
        </w:rPr>
        <w:t>。</w:t>
      </w:r>
    </w:p>
    <w:p w14:paraId="3C41289F">
      <w:pPr>
        <w:pStyle w:val="21"/>
        <w:tabs>
          <w:tab w:val="left" w:pos="851"/>
        </w:tabs>
        <w:spacing w:line="360" w:lineRule="auto"/>
        <w:ind w:left="428" w:firstLine="0"/>
        <w:rPr>
          <w:rFonts w:hint="eastAsia" w:ascii="宋体" w:hAnsi="宋体" w:eastAsia="宋体" w:cs="宋体"/>
          <w:b/>
          <w:color w:val="000000"/>
          <w:spacing w:val="-3"/>
          <w:sz w:val="24"/>
          <w:szCs w:val="24"/>
          <w:highlight w:val="none"/>
        </w:rPr>
      </w:pPr>
      <w:r>
        <w:rPr>
          <w:rFonts w:hint="eastAsia" w:ascii="宋体" w:hAnsi="宋体" w:eastAsia="宋体" w:cs="宋体"/>
          <w:b/>
          <w:color w:val="000000"/>
          <w:spacing w:val="-3"/>
          <w:sz w:val="24"/>
          <w:szCs w:val="24"/>
          <w:highlight w:val="none"/>
        </w:rPr>
        <w:t>二、《基础报价书》：</w:t>
      </w:r>
    </w:p>
    <w:p w14:paraId="140F6B6B">
      <w:pPr>
        <w:pStyle w:val="21"/>
        <w:tabs>
          <w:tab w:val="left" w:pos="963"/>
          <w:tab w:val="left" w:pos="4981"/>
        </w:tabs>
        <w:spacing w:line="360" w:lineRule="auto"/>
        <w:ind w:left="0" w:right="21" w:firstLine="434" w:firstLineChars="18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A.《基础报价书》：必须按本《磋商文件》“附件</w:t>
      </w:r>
      <w:r>
        <w:rPr>
          <w:rFonts w:hint="eastAsia" w:ascii="宋体" w:hAnsi="宋体" w:eastAsia="宋体" w:cs="宋体"/>
          <w:color w:val="000000"/>
          <w:sz w:val="24"/>
          <w:szCs w:val="24"/>
          <w:highlight w:val="none"/>
          <w:lang w:val="en-US"/>
        </w:rPr>
        <w:t>1</w:t>
      </w:r>
      <w:r>
        <w:rPr>
          <w:rFonts w:hint="eastAsia" w:ascii="宋体" w:hAnsi="宋体" w:eastAsia="宋体" w:cs="宋体"/>
          <w:color w:val="000000"/>
          <w:sz w:val="24"/>
          <w:szCs w:val="24"/>
          <w:highlight w:val="none"/>
        </w:rPr>
        <w:t>”的格式填写</w:t>
      </w:r>
      <w:r>
        <w:rPr>
          <w:rFonts w:hint="eastAsia" w:eastAsia="宋体" w:cs="宋体"/>
          <w:color w:val="000000"/>
          <w:sz w:val="24"/>
          <w:szCs w:val="24"/>
          <w:highlight w:val="none"/>
          <w:lang w:eastAsia="zh-CN"/>
        </w:rPr>
        <w:t>；</w:t>
      </w:r>
      <w:r>
        <w:rPr>
          <w:rFonts w:hint="eastAsia" w:ascii="宋体" w:hAnsi="宋体" w:eastAsia="宋体" w:cs="宋体"/>
          <w:b/>
          <w:color w:val="000000"/>
          <w:sz w:val="24"/>
          <w:szCs w:val="24"/>
          <w:highlight w:val="none"/>
        </w:rPr>
        <w:t>（报价审查项）</w:t>
      </w:r>
    </w:p>
    <w:p w14:paraId="171903E9">
      <w:pPr>
        <w:pStyle w:val="21"/>
        <w:tabs>
          <w:tab w:val="left" w:pos="963"/>
          <w:tab w:val="left" w:pos="4981"/>
        </w:tabs>
        <w:spacing w:line="360" w:lineRule="auto"/>
        <w:ind w:left="-158" w:leftChars="-75" w:right="21"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 投标人认为应该提交有关本项目报价说明。</w:t>
      </w:r>
    </w:p>
    <w:p w14:paraId="4156D11E">
      <w:pPr>
        <w:spacing w:line="360" w:lineRule="auto"/>
        <w:ind w:right="21"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3.4.3 响应文件的提交：</w:t>
      </w:r>
    </w:p>
    <w:p w14:paraId="08CBB208">
      <w:pPr>
        <w:pStyle w:val="23"/>
        <w:spacing w:line="360" w:lineRule="auto"/>
        <w:ind w:left="472" w:right="21"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(1)投标人应响应文件按系统按要求进行编制导出后加密上传。</w:t>
      </w:r>
    </w:p>
    <w:p w14:paraId="7B7B615A">
      <w:pPr>
        <w:pStyle w:val="23"/>
        <w:spacing w:line="360" w:lineRule="auto"/>
        <w:ind w:left="472" w:right="21"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(2)投标人只有按要求交纳投标保证金并与该项目绑定才能按照系统要求上传响</w:t>
      </w:r>
    </w:p>
    <w:p w14:paraId="69C032BC">
      <w:pPr>
        <w:pStyle w:val="23"/>
        <w:spacing w:line="360" w:lineRule="auto"/>
        <w:ind w:left="0" w:leftChars="0" w:right="21"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应文件。</w:t>
      </w:r>
    </w:p>
    <w:p w14:paraId="069C1AB3">
      <w:pPr>
        <w:pStyle w:val="23"/>
        <w:numPr>
          <w:ilvl w:val="1"/>
          <w:numId w:val="2"/>
        </w:numPr>
        <w:spacing w:line="360" w:lineRule="auto"/>
        <w:ind w:right="21" w:firstLine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w:t>
      </w:r>
    </w:p>
    <w:p w14:paraId="2E49D314">
      <w:pPr>
        <w:pStyle w:val="21"/>
        <w:tabs>
          <w:tab w:val="left" w:pos="360"/>
          <w:tab w:val="left" w:pos="709"/>
        </w:tabs>
        <w:spacing w:line="360" w:lineRule="auto"/>
        <w:ind w:left="0" w:right="21"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3.5.1 供应商必须由经法定代表人授权的操作员作为代表上传响应文件</w:t>
      </w:r>
      <w:r>
        <w:rPr>
          <w:rFonts w:hint="eastAsia" w:ascii="宋体" w:hAnsi="宋体" w:eastAsia="宋体" w:cs="宋体"/>
          <w:color w:val="000000"/>
          <w:spacing w:val="-2"/>
          <w:sz w:val="24"/>
          <w:szCs w:val="24"/>
          <w:highlight w:val="none"/>
        </w:rPr>
        <w:t>；</w:t>
      </w:r>
    </w:p>
    <w:p w14:paraId="35C737D1">
      <w:pPr>
        <w:pStyle w:val="21"/>
        <w:tabs>
          <w:tab w:val="left" w:pos="360"/>
          <w:tab w:val="left" w:pos="709"/>
        </w:tabs>
        <w:spacing w:line="360" w:lineRule="auto"/>
        <w:ind w:left="0" w:right="21"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3.5.2 供应商必须按本磋商文件规定的时间上传响应文件；</w:t>
      </w:r>
    </w:p>
    <w:p w14:paraId="287BB2B0">
      <w:pPr>
        <w:pStyle w:val="21"/>
        <w:tabs>
          <w:tab w:val="left" w:pos="360"/>
          <w:tab w:val="left" w:pos="709"/>
        </w:tabs>
        <w:spacing w:line="360" w:lineRule="auto"/>
        <w:ind w:left="0" w:right="21"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3.5.3 供应商必须保证响应文件中的全部文件资料是真实、合法、有效的</w:t>
      </w:r>
      <w:r>
        <w:rPr>
          <w:rFonts w:hint="eastAsia" w:eastAsia="宋体" w:cs="宋体"/>
          <w:color w:val="000000"/>
          <w:sz w:val="24"/>
          <w:szCs w:val="24"/>
          <w:highlight w:val="none"/>
          <w:lang w:eastAsia="zh-CN"/>
        </w:rPr>
        <w:t>；</w:t>
      </w:r>
    </w:p>
    <w:p w14:paraId="08ED4A2C">
      <w:pPr>
        <w:pStyle w:val="23"/>
        <w:numPr>
          <w:ilvl w:val="1"/>
          <w:numId w:val="2"/>
        </w:numPr>
        <w:spacing w:line="360" w:lineRule="auto"/>
        <w:ind w:right="21" w:firstLine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投标资格的丧失</w:t>
      </w:r>
    </w:p>
    <w:p w14:paraId="78FA0DE1">
      <w:pPr>
        <w:pStyle w:val="21"/>
        <w:tabs>
          <w:tab w:val="left" w:pos="360"/>
          <w:tab w:val="left" w:pos="709"/>
        </w:tabs>
        <w:spacing w:line="360" w:lineRule="auto"/>
        <w:ind w:left="0" w:right="21"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3.6.1 供应商没有按要求交纳投标保证金的，供应商将丧失投标资格；</w:t>
      </w:r>
    </w:p>
    <w:p w14:paraId="627E3216">
      <w:pPr>
        <w:pStyle w:val="21"/>
        <w:tabs>
          <w:tab w:val="left" w:pos="360"/>
          <w:tab w:val="left" w:pos="709"/>
        </w:tabs>
        <w:spacing w:line="360" w:lineRule="auto"/>
        <w:ind w:left="0" w:right="21"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3.6.2 供应商的《投标书》中无属于资格审查项内容或资格审查项所列内容不符合磋商文件要求的，供应商将丧失投标资格；</w:t>
      </w:r>
    </w:p>
    <w:p w14:paraId="4AAF512E">
      <w:pPr>
        <w:pStyle w:val="21"/>
        <w:tabs>
          <w:tab w:val="left" w:pos="360"/>
          <w:tab w:val="left" w:pos="709"/>
        </w:tabs>
        <w:spacing w:line="360" w:lineRule="auto"/>
        <w:ind w:left="0" w:right="21"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3.6.3 供应商的《投标书》中无属于符合性审查项内容或符合性审查项所列内容不符合磋商文件要求的，视为未对磋商文件作实质性响应。</w:t>
      </w:r>
    </w:p>
    <w:p w14:paraId="19BFA7C3">
      <w:pPr>
        <w:pStyle w:val="21"/>
        <w:tabs>
          <w:tab w:val="left" w:pos="360"/>
          <w:tab w:val="left" w:pos="709"/>
        </w:tabs>
        <w:spacing w:line="360" w:lineRule="auto"/>
        <w:ind w:left="0" w:right="21"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3.6.4 供应商的《投标书》中无属于</w:t>
      </w:r>
      <w:r>
        <w:rPr>
          <w:rFonts w:hint="eastAsia" w:ascii="宋体" w:hAnsi="宋体" w:eastAsia="宋体" w:cs="宋体"/>
          <w:color w:val="000000"/>
          <w:sz w:val="24"/>
          <w:szCs w:val="24"/>
          <w:highlight w:val="none"/>
          <w:lang w:val="en-US"/>
        </w:rPr>
        <w:t>报价</w:t>
      </w:r>
      <w:r>
        <w:rPr>
          <w:rFonts w:hint="eastAsia" w:ascii="宋体" w:hAnsi="宋体" w:eastAsia="宋体" w:cs="宋体"/>
          <w:color w:val="000000"/>
          <w:sz w:val="24"/>
          <w:szCs w:val="24"/>
          <w:highlight w:val="none"/>
        </w:rPr>
        <w:t>审查项内容或</w:t>
      </w:r>
      <w:r>
        <w:rPr>
          <w:rFonts w:hint="eastAsia" w:ascii="宋体" w:hAnsi="宋体" w:eastAsia="宋体" w:cs="宋体"/>
          <w:color w:val="000000"/>
          <w:sz w:val="24"/>
          <w:szCs w:val="24"/>
          <w:highlight w:val="none"/>
          <w:lang w:val="en-US"/>
        </w:rPr>
        <w:t>报价</w:t>
      </w:r>
      <w:r>
        <w:rPr>
          <w:rFonts w:hint="eastAsia" w:ascii="宋体" w:hAnsi="宋体" w:eastAsia="宋体" w:cs="宋体"/>
          <w:color w:val="000000"/>
          <w:sz w:val="24"/>
          <w:szCs w:val="24"/>
          <w:highlight w:val="none"/>
        </w:rPr>
        <w:t>审查项所列内容不符合磋商文件要求的，供应商将丧失投标资格；</w:t>
      </w:r>
    </w:p>
    <w:p w14:paraId="2FBAAB87">
      <w:pPr>
        <w:pStyle w:val="21"/>
        <w:tabs>
          <w:tab w:val="left" w:pos="360"/>
          <w:tab w:val="left" w:pos="709"/>
        </w:tabs>
        <w:spacing w:line="360" w:lineRule="auto"/>
        <w:ind w:left="0" w:right="21"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 xml:space="preserve">3.6.5 </w:t>
      </w:r>
      <w:r>
        <w:rPr>
          <w:rFonts w:hint="eastAsia" w:ascii="宋体" w:hAnsi="宋体" w:eastAsia="宋体" w:cs="宋体"/>
          <w:color w:val="000000"/>
          <w:sz w:val="24"/>
          <w:szCs w:val="24"/>
          <w:highlight w:val="none"/>
        </w:rPr>
        <w:t>供应商所递交的投标资料是合法有效的，若经采购人查出提供虚假资料骗取成交的，采购人有权取消成交资格，且承担由此产生的法律责任及后果。</w:t>
      </w:r>
      <w:bookmarkStart w:id="69" w:name="_Toc26368"/>
    </w:p>
    <w:p w14:paraId="21BFF33C">
      <w:pPr>
        <w:pStyle w:val="21"/>
        <w:tabs>
          <w:tab w:val="left" w:pos="360"/>
          <w:tab w:val="left" w:pos="709"/>
        </w:tabs>
        <w:spacing w:line="360" w:lineRule="auto"/>
        <w:ind w:left="0" w:right="21"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磋商文件要求的承诺，供应商没有承诺或承诺不满足要求的将丧失磋商资格，作无效投标处理。</w:t>
      </w:r>
      <w:r>
        <w:rPr>
          <w:rFonts w:hint="eastAsia" w:ascii="宋体" w:hAnsi="宋体" w:eastAsia="宋体" w:cs="宋体"/>
          <w:b w:val="0"/>
          <w:bCs w:val="0"/>
          <w:color w:val="000000"/>
          <w:sz w:val="24"/>
          <w:szCs w:val="24"/>
          <w:highlight w:val="none"/>
        </w:rPr>
        <w:t>(符合性审查)</w:t>
      </w:r>
    </w:p>
    <w:p w14:paraId="04C43138">
      <w:pPr>
        <w:pStyle w:val="5"/>
        <w:jc w:val="center"/>
        <w:outlineLvl w:val="0"/>
        <w:rPr>
          <w:rStyle w:val="24"/>
          <w:rFonts w:hint="eastAsia" w:ascii="宋体" w:hAnsi="宋体" w:eastAsia="宋体" w:cs="宋体"/>
          <w:b/>
          <w:bCs w:val="0"/>
          <w:color w:val="000000"/>
          <w:highlight w:val="none"/>
        </w:rPr>
      </w:pPr>
      <w:r>
        <w:rPr>
          <w:rStyle w:val="24"/>
          <w:rFonts w:hint="eastAsia" w:ascii="宋体" w:hAnsi="宋体" w:eastAsia="宋体" w:cs="宋体"/>
          <w:b/>
          <w:bCs w:val="0"/>
          <w:color w:val="000000"/>
          <w:highlight w:val="none"/>
        </w:rPr>
        <w:br w:type="page"/>
      </w:r>
      <w:bookmarkStart w:id="70" w:name="_Toc28050"/>
      <w:bookmarkStart w:id="71" w:name="_Toc32582"/>
      <w:r>
        <w:rPr>
          <w:rStyle w:val="24"/>
          <w:rFonts w:hint="eastAsia" w:ascii="宋体" w:hAnsi="宋体" w:eastAsia="宋体" w:cs="宋体"/>
          <w:b/>
          <w:bCs w:val="0"/>
          <w:color w:val="000000"/>
          <w:highlight w:val="none"/>
        </w:rPr>
        <w:t>第四章</w:t>
      </w:r>
      <w:r>
        <w:rPr>
          <w:rStyle w:val="24"/>
          <w:rFonts w:hint="eastAsia" w:ascii="宋体" w:hAnsi="宋体" w:eastAsia="宋体" w:cs="宋体"/>
          <w:b/>
          <w:bCs w:val="0"/>
          <w:color w:val="000000"/>
          <w:highlight w:val="none"/>
          <w:lang w:val="en-US" w:eastAsia="zh-CN"/>
        </w:rPr>
        <w:t xml:space="preserve">  </w:t>
      </w:r>
      <w:r>
        <w:rPr>
          <w:rStyle w:val="24"/>
          <w:rFonts w:hint="eastAsia" w:ascii="宋体" w:hAnsi="宋体" w:eastAsia="宋体" w:cs="宋体"/>
          <w:b/>
          <w:bCs w:val="0"/>
          <w:color w:val="000000"/>
          <w:highlight w:val="none"/>
        </w:rPr>
        <w:t>评审方法、原则和纪律</w:t>
      </w:r>
      <w:bookmarkEnd w:id="69"/>
      <w:bookmarkEnd w:id="70"/>
    </w:p>
    <w:bookmarkEnd w:id="71"/>
    <w:p w14:paraId="029EB044">
      <w:pPr>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4.1评审方法</w:t>
      </w:r>
    </w:p>
    <w:p w14:paraId="348807D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㈠本次竞争性磋商采用的是100分制，最高分确定成交供应商的综合评分法，由评标委员会在磋商会议现场评定并按本磋商文件相关规定推荐成交候选供应商名单；</w:t>
      </w:r>
    </w:p>
    <w:p w14:paraId="7AB9BB6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㈡投标供应商的技术与商务得分(满分</w:t>
      </w:r>
      <w:r>
        <w:rPr>
          <w:rFonts w:hint="eastAsia" w:ascii="宋体" w:hAnsi="宋体" w:eastAsia="宋体" w:cs="宋体"/>
          <w:color w:val="000000"/>
          <w:sz w:val="24"/>
          <w:szCs w:val="24"/>
          <w:highlight w:val="none"/>
          <w:lang w:val="en-US"/>
        </w:rPr>
        <w:t>90</w:t>
      </w:r>
      <w:r>
        <w:rPr>
          <w:rFonts w:hint="eastAsia" w:ascii="宋体" w:hAnsi="宋体" w:eastAsia="宋体" w:cs="宋体"/>
          <w:color w:val="000000"/>
          <w:sz w:val="24"/>
          <w:szCs w:val="24"/>
          <w:highlight w:val="none"/>
        </w:rPr>
        <w:t>分)为评标委员会根据其提交的《响应文件》按照本《磋商文件》规定的评分标准评出后的算术平均值。投标供应商的报价得分(满分</w:t>
      </w:r>
      <w:r>
        <w:rPr>
          <w:rFonts w:hint="eastAsia" w:ascii="宋体" w:hAnsi="宋体" w:eastAsia="宋体" w:cs="宋体"/>
          <w:color w:val="000000"/>
          <w:sz w:val="24"/>
          <w:szCs w:val="24"/>
          <w:highlight w:val="none"/>
          <w:lang w:val="en-US"/>
        </w:rPr>
        <w:t>10</w:t>
      </w:r>
      <w:r>
        <w:rPr>
          <w:rFonts w:hint="eastAsia" w:ascii="宋体" w:hAnsi="宋体" w:eastAsia="宋体" w:cs="宋体"/>
          <w:color w:val="000000"/>
          <w:sz w:val="24"/>
          <w:szCs w:val="24"/>
          <w:highlight w:val="none"/>
        </w:rPr>
        <w:t>分)将由投标供应商在投标系统中填报上传的最终报价按照本《磋商文件》规定的计算方法计算获得；综合得分由技术与商务得分和报价得分相加获得。</w:t>
      </w:r>
    </w:p>
    <w:p w14:paraId="43394844">
      <w:pPr>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4.2评审原则</w:t>
      </w:r>
    </w:p>
    <w:p w14:paraId="73289D4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（一）最低报价不作为成交的保证。</w:t>
      </w:r>
    </w:p>
    <w:p w14:paraId="58E9952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按各投标供应商的综合得分从高到低排序，前3名分别为本次磋商的第1、第2、第3成交候选供应商，评标报告送采购人后，采购人应当确定第1成交候选供应商为本项目的成交供应商。当第1成交候选供应商因自身原因或不可抗力因素不能按期签约时，采购人可确定第2成交候选供应商为成交供应商，以此类推至第3成交候选供应商。</w:t>
      </w:r>
    </w:p>
    <w:p w14:paraId="24344F9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（三）在分值汇总时，当两家</w:t>
      </w:r>
      <w:r>
        <w:rPr>
          <w:rFonts w:hint="eastAsia" w:eastAsia="宋体" w:cs="宋体"/>
          <w:color w:val="000000"/>
          <w:sz w:val="24"/>
          <w:szCs w:val="24"/>
          <w:highlight w:val="none"/>
          <w:lang w:eastAsia="zh-CN"/>
        </w:rPr>
        <w:t>及</w:t>
      </w:r>
      <w:r>
        <w:rPr>
          <w:rFonts w:hint="eastAsia" w:ascii="宋体" w:hAnsi="宋体" w:eastAsia="宋体" w:cs="宋体"/>
          <w:color w:val="000000"/>
          <w:sz w:val="24"/>
          <w:szCs w:val="24"/>
          <w:highlight w:val="none"/>
        </w:rPr>
        <w:t>以上投标供应商的综合得分相等时，以磋商报价得分高者排名在先。当两家</w:t>
      </w:r>
      <w:r>
        <w:rPr>
          <w:rFonts w:hint="eastAsia" w:eastAsia="宋体" w:cs="宋体"/>
          <w:color w:val="000000"/>
          <w:sz w:val="24"/>
          <w:szCs w:val="24"/>
          <w:highlight w:val="none"/>
          <w:lang w:eastAsia="zh-CN"/>
        </w:rPr>
        <w:t>及</w:t>
      </w:r>
      <w:r>
        <w:rPr>
          <w:rFonts w:hint="eastAsia" w:ascii="宋体" w:hAnsi="宋体" w:eastAsia="宋体" w:cs="宋体"/>
          <w:color w:val="000000"/>
          <w:sz w:val="24"/>
          <w:szCs w:val="24"/>
          <w:highlight w:val="none"/>
        </w:rPr>
        <w:t>以上投标供应商的综合得分、磋商报价得分、技术与商务得分都相等时，由评标委员会全体成员投票决定排名先后。对磋商文件未作实质性响应的作废标处理，报价超过采购预算的投标供应商不列为成交候选供应商。</w:t>
      </w:r>
    </w:p>
    <w:p w14:paraId="647785A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（四）在此次磋商采购中，出现下列情形之一的予以废标：</w:t>
      </w:r>
    </w:p>
    <w:p w14:paraId="18682A3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4.2.1.符合专业条件的投标供应商或对磋商文件作实质响应的投标供应商不足三家的；</w:t>
      </w:r>
    </w:p>
    <w:p w14:paraId="6AC7F82C">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4.2.2.出现影响采购公正的违法、违规行为的；</w:t>
      </w:r>
    </w:p>
    <w:p w14:paraId="6BEAC37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4.2.3.因重大变故，采购任务取消的。</w:t>
      </w:r>
    </w:p>
    <w:p w14:paraId="5E84FA9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成交公告及成交通知书：确定成交结果后，本公司将自成交供应商确定之日起2个工作日内在相关媒体发布成交公告(公示1个工作日)，同时向成交供应商发出《成交通知书》。《成交通知书》一经发出即具有法律效力，采购单位改变成交结果或成交单位在成交公告公示期满后的7个工作日内未领取《成交通知书》或领取《成交通知书》后的30日内未与采购人签订合同的，除了应当赔偿本公司组织此次磋商活动产生的直接费用外，还应当视其情节承担相应的经济和法律责任。</w:t>
      </w:r>
    </w:p>
    <w:p w14:paraId="78599D4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从开标之日起，至《成交通知书》发出之日止，任何</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不得与评委、采购人及有关工作人员私下接触或联系，严禁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lang w:eastAsia="zh-CN"/>
        </w:rPr>
        <w:t>采购</w:t>
      </w:r>
      <w:r>
        <w:rPr>
          <w:rFonts w:hint="eastAsia" w:ascii="宋体" w:hAnsi="宋体" w:eastAsia="宋体" w:cs="宋体"/>
          <w:color w:val="000000"/>
          <w:sz w:val="24"/>
          <w:szCs w:val="24"/>
          <w:highlight w:val="none"/>
        </w:rPr>
        <w:t>人、评标委员会成员和与审查活动有关的其他工作人员行贿，</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须出具此次项目无行贿书面保证书，如无该保证书，视为未实质性响应采购文件要求。（符合性审查）</w:t>
      </w:r>
    </w:p>
    <w:p w14:paraId="6120D4C6">
      <w:pPr>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4.3评标纪律</w:t>
      </w:r>
    </w:p>
    <w:p w14:paraId="43EF2C8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（一）评标工作应严格遵守《中华人民共和国政府采购法》及相关</w:t>
      </w:r>
      <w:r>
        <w:rPr>
          <w:rFonts w:hint="eastAsia" w:eastAsia="宋体" w:cs="宋体"/>
          <w:color w:val="000000"/>
          <w:sz w:val="24"/>
          <w:szCs w:val="24"/>
          <w:highlight w:val="none"/>
          <w:lang w:eastAsia="zh-CN"/>
        </w:rPr>
        <w:t>法律法规</w:t>
      </w:r>
      <w:r>
        <w:rPr>
          <w:rFonts w:hint="eastAsia" w:ascii="宋体" w:hAnsi="宋体" w:eastAsia="宋体" w:cs="宋体"/>
          <w:color w:val="000000"/>
          <w:sz w:val="24"/>
          <w:szCs w:val="24"/>
          <w:highlight w:val="none"/>
        </w:rPr>
        <w:t>和规章的规定，坚持公平、公正、择优、保密的原则。</w:t>
      </w:r>
    </w:p>
    <w:p w14:paraId="1A36E14F">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磋商会议由采购代理机构人员主持。评标工作由评标委员会进行。磋商小组由采购人代表和评审专家共3人（含3人）以上单数组成，其中评审专家人数不得少于磋商小组成员总数的2/3。采购人代表不得以评审专家身份参加本部门或本单位采购项目的评审。采购代理机构人员不得参加本机构代理的采购项目的评审，专家由采购单位代表在会前临时从毕节市公共资源交易中心专家抽取系统内的贵州省综合评标专家库中随机抽取，磋商小组独立履行下列职责：</w:t>
      </w:r>
    </w:p>
    <w:p w14:paraId="031B8C1C">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⑴审查《响应文件》和磋商承诺是否符合《磋商文件》要求，并作出评价；</w:t>
      </w:r>
    </w:p>
    <w:p w14:paraId="42862F39">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⑵要求供应商对《响应文件》和磋商承诺的有关事项作出解释或者澄清；</w:t>
      </w:r>
    </w:p>
    <w:p w14:paraId="2D4065AD">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⑶推荐成交候选供应商名单；</w:t>
      </w:r>
    </w:p>
    <w:p w14:paraId="3005C4B7">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⑷向采购单位或者有关部门报告非法干预评审工作的行为。</w:t>
      </w:r>
    </w:p>
    <w:p w14:paraId="05C03793">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 磋商小组专家的权利与义务：</w:t>
      </w:r>
    </w:p>
    <w:p w14:paraId="0AA8262D">
      <w:pPr>
        <w:snapToGrid w:val="0"/>
        <w:spacing w:line="360" w:lineRule="auto"/>
        <w:ind w:firstLine="480" w:firstLineChars="200"/>
        <w:rPr>
          <w:rFonts w:hint="eastAsia" w:ascii="宋体" w:hAnsi="宋体" w:eastAsia="宋体" w:cs="宋体"/>
          <w:color w:val="000000"/>
          <w:sz w:val="24"/>
          <w:szCs w:val="24"/>
          <w:highlight w:val="none"/>
        </w:rPr>
      </w:pPr>
      <w:r>
        <w:rPr>
          <w:rFonts w:hint="eastAsia" w:eastAsia="宋体" w:cs="宋体"/>
          <w:color w:val="000000"/>
          <w:sz w:val="24"/>
          <w:szCs w:val="24"/>
          <w:highlight w:val="none"/>
          <w:lang w:eastAsia="zh-CN"/>
        </w:rPr>
        <w:t>（</w:t>
      </w:r>
      <w:r>
        <w:rPr>
          <w:rFonts w:hint="eastAsia" w:eastAsia="宋体" w:cs="宋体"/>
          <w:color w:val="000000"/>
          <w:sz w:val="24"/>
          <w:szCs w:val="24"/>
          <w:highlight w:val="none"/>
          <w:lang w:val="en-US" w:eastAsia="zh-CN"/>
        </w:rPr>
        <w:t>1</w:t>
      </w:r>
      <w:r>
        <w:rPr>
          <w:rFonts w:hint="eastAsia" w:eastAsia="宋体" w:cs="宋体"/>
          <w:color w:val="000000"/>
          <w:sz w:val="24"/>
          <w:szCs w:val="24"/>
          <w:highlight w:val="none"/>
          <w:lang w:eastAsia="zh-CN"/>
        </w:rPr>
        <w:t>）</w:t>
      </w:r>
      <w:r>
        <w:rPr>
          <w:rFonts w:hint="eastAsia" w:ascii="宋体" w:hAnsi="宋体" w:eastAsia="宋体" w:cs="宋体"/>
          <w:color w:val="000000"/>
          <w:sz w:val="24"/>
          <w:szCs w:val="24"/>
          <w:highlight w:val="none"/>
        </w:rPr>
        <w:t>权利：</w:t>
      </w:r>
    </w:p>
    <w:p w14:paraId="3FAB89B9">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a.对政府采购制度及相关情况的知情权；</w:t>
      </w:r>
    </w:p>
    <w:p w14:paraId="0250216E">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b.对供应商所供货物、工程和服务质量的评审权；</w:t>
      </w:r>
    </w:p>
    <w:p w14:paraId="7563C280">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c.推荐成交候选供应商的表决权；</w:t>
      </w:r>
    </w:p>
    <w:p w14:paraId="2FBA7B2A">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d.按规定获得相应的评审劳务报酬；</w:t>
      </w:r>
    </w:p>
    <w:p w14:paraId="1EA39558">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e.</w:t>
      </w:r>
      <w:r>
        <w:rPr>
          <w:rFonts w:hint="eastAsia" w:eastAsia="宋体" w:cs="宋体"/>
          <w:color w:val="000000"/>
          <w:sz w:val="24"/>
          <w:szCs w:val="24"/>
          <w:highlight w:val="none"/>
          <w:lang w:eastAsia="zh-CN"/>
        </w:rPr>
        <w:t>法律法规</w:t>
      </w:r>
      <w:r>
        <w:rPr>
          <w:rFonts w:hint="eastAsia" w:ascii="宋体" w:hAnsi="宋体" w:eastAsia="宋体" w:cs="宋体"/>
          <w:color w:val="000000"/>
          <w:sz w:val="24"/>
          <w:szCs w:val="24"/>
          <w:highlight w:val="none"/>
        </w:rPr>
        <w:t>和规章规定的其他权利。</w:t>
      </w:r>
    </w:p>
    <w:p w14:paraId="352C9C00">
      <w:pPr>
        <w:snapToGrid w:val="0"/>
        <w:spacing w:line="360" w:lineRule="auto"/>
        <w:ind w:firstLine="480" w:firstLineChars="200"/>
        <w:rPr>
          <w:rFonts w:hint="eastAsia" w:ascii="宋体" w:hAnsi="宋体" w:eastAsia="宋体" w:cs="宋体"/>
          <w:color w:val="000000"/>
          <w:sz w:val="24"/>
          <w:szCs w:val="24"/>
          <w:highlight w:val="none"/>
        </w:rPr>
      </w:pPr>
      <w:r>
        <w:rPr>
          <w:rFonts w:hint="eastAsia" w:eastAsia="宋体" w:cs="宋体"/>
          <w:color w:val="000000"/>
          <w:sz w:val="24"/>
          <w:szCs w:val="24"/>
          <w:highlight w:val="none"/>
          <w:lang w:eastAsia="zh-CN"/>
        </w:rPr>
        <w:t>（</w:t>
      </w:r>
      <w:r>
        <w:rPr>
          <w:rFonts w:hint="eastAsia" w:eastAsia="宋体" w:cs="宋体"/>
          <w:color w:val="000000"/>
          <w:sz w:val="24"/>
          <w:szCs w:val="24"/>
          <w:highlight w:val="none"/>
          <w:lang w:val="en-US" w:eastAsia="zh-CN"/>
        </w:rPr>
        <w:t>2</w:t>
      </w:r>
      <w:r>
        <w:rPr>
          <w:rFonts w:hint="eastAsia" w:eastAsia="宋体" w:cs="宋体"/>
          <w:color w:val="000000"/>
          <w:sz w:val="24"/>
          <w:szCs w:val="24"/>
          <w:highlight w:val="none"/>
          <w:lang w:eastAsia="zh-CN"/>
        </w:rPr>
        <w:t>）</w:t>
      </w:r>
      <w:r>
        <w:rPr>
          <w:rFonts w:hint="eastAsia" w:ascii="宋体" w:hAnsi="宋体" w:eastAsia="宋体" w:cs="宋体"/>
          <w:color w:val="000000"/>
          <w:sz w:val="24"/>
          <w:szCs w:val="24"/>
          <w:highlight w:val="none"/>
        </w:rPr>
        <w:t>义务：</w:t>
      </w:r>
    </w:p>
    <w:p w14:paraId="6455AAC4">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a.为政府采购工作提供真实、可靠的评审意见；</w:t>
      </w:r>
    </w:p>
    <w:p w14:paraId="19C1DE58">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b.严格遵守政府采购评审工作纪律，不得向外界泄露评审情况（不包括本条第 d 款内容）；</w:t>
      </w:r>
    </w:p>
    <w:p w14:paraId="4CFF467C">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c.发现供应商在政府采购活动中有不正当竞争或恶意串通等违规行为，应及时向本公司或监督部门报告并加以制止；</w:t>
      </w:r>
    </w:p>
    <w:p w14:paraId="7A342981">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d.解答有关方面对政府采购评审工作的咨询或质疑，配合财政部门的投诉处理工作，配合采购单位答复投标供应商提出的质疑。</w:t>
      </w:r>
    </w:p>
    <w:p w14:paraId="5CD60B41">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e.</w:t>
      </w:r>
      <w:r>
        <w:rPr>
          <w:rFonts w:hint="eastAsia" w:eastAsia="宋体" w:cs="宋体"/>
          <w:color w:val="000000"/>
          <w:sz w:val="24"/>
          <w:szCs w:val="24"/>
          <w:highlight w:val="none"/>
          <w:lang w:eastAsia="zh-CN"/>
        </w:rPr>
        <w:t>法律法规</w:t>
      </w:r>
      <w:r>
        <w:rPr>
          <w:rFonts w:hint="eastAsia" w:ascii="宋体" w:hAnsi="宋体" w:eastAsia="宋体" w:cs="宋体"/>
          <w:color w:val="000000"/>
          <w:sz w:val="24"/>
          <w:szCs w:val="24"/>
          <w:highlight w:val="none"/>
        </w:rPr>
        <w:t>和规章规定的其他义务。</w:t>
      </w:r>
    </w:p>
    <w:p w14:paraId="2808B8FF">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eastAsia="宋体" w:cs="宋体"/>
          <w:color w:val="000000"/>
          <w:sz w:val="24"/>
          <w:szCs w:val="24"/>
          <w:highlight w:val="none"/>
          <w:lang w:val="en-US" w:eastAsia="zh-CN"/>
        </w:rPr>
        <w:t>四</w:t>
      </w:r>
      <w:r>
        <w:rPr>
          <w:rFonts w:hint="eastAsia" w:ascii="宋体" w:hAnsi="宋体" w:eastAsia="宋体" w:cs="宋体"/>
          <w:color w:val="000000"/>
          <w:sz w:val="24"/>
          <w:szCs w:val="24"/>
          <w:highlight w:val="none"/>
        </w:rPr>
        <w:t>） 磋商小组成员与供应商有法律规定的直接利益关系的，必须实行回避。采购单位、监督部门和本公司的参会人员中与本项目有利害关系的应主动提出回避。凡到供应商所在的公司或企业进行过考察的采购单位领导或工作人员，不得作为采购单位的代表出席磋商会议。</w:t>
      </w:r>
    </w:p>
    <w:p w14:paraId="1E757483">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eastAsia="宋体" w:cs="宋体"/>
          <w:color w:val="000000"/>
          <w:sz w:val="24"/>
          <w:szCs w:val="24"/>
          <w:highlight w:val="none"/>
          <w:lang w:val="en-US" w:eastAsia="zh-CN"/>
        </w:rPr>
        <w:t>五</w:t>
      </w:r>
      <w:r>
        <w:rPr>
          <w:rFonts w:hint="eastAsia" w:ascii="宋体" w:hAnsi="宋体" w:eastAsia="宋体" w:cs="宋体"/>
          <w:color w:val="000000"/>
          <w:sz w:val="24"/>
          <w:szCs w:val="24"/>
          <w:highlight w:val="none"/>
        </w:rPr>
        <w:t>） 磋商小组成员及所有参会人员应严格遵守国家的相关</w:t>
      </w:r>
      <w:r>
        <w:rPr>
          <w:rFonts w:hint="eastAsia" w:eastAsia="宋体" w:cs="宋体"/>
          <w:color w:val="000000"/>
          <w:sz w:val="24"/>
          <w:szCs w:val="24"/>
          <w:highlight w:val="none"/>
          <w:lang w:eastAsia="zh-CN"/>
        </w:rPr>
        <w:t>法律法规</w:t>
      </w:r>
      <w:r>
        <w:rPr>
          <w:rFonts w:hint="eastAsia" w:ascii="宋体" w:hAnsi="宋体" w:eastAsia="宋体" w:cs="宋体"/>
          <w:color w:val="000000"/>
          <w:sz w:val="24"/>
          <w:szCs w:val="24"/>
          <w:highlight w:val="none"/>
        </w:rPr>
        <w:t>和规章，做到公正廉洁、不徇私情，客观、公正地履行职务，遵守职业道德，不得有损害国家和供应商的违法违纪行为。</w:t>
      </w:r>
    </w:p>
    <w:p w14:paraId="1D027789">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在磋商会议期间，磋商小组和参会人员必须严格遵守评审纪律和保密规定，不得以任何形式将评审情况透露给供应商和未参会人员。磋商会议结束后，与评审有关的文件、资料、记录和草稿等应全部交本公司存档，磋商小组和参会人员必须对评审情况、技术与商业秘密等保密。</w:t>
      </w:r>
    </w:p>
    <w:p w14:paraId="53CBCFCA">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eastAsia="宋体" w:cs="宋体"/>
          <w:color w:val="000000"/>
          <w:sz w:val="24"/>
          <w:szCs w:val="24"/>
          <w:highlight w:val="none"/>
          <w:lang w:val="en-US" w:eastAsia="zh-CN"/>
        </w:rPr>
        <w:t>七</w:t>
      </w:r>
      <w:r>
        <w:rPr>
          <w:rFonts w:hint="eastAsia" w:ascii="宋体" w:hAnsi="宋体" w:eastAsia="宋体" w:cs="宋体"/>
          <w:color w:val="000000"/>
          <w:sz w:val="24"/>
          <w:szCs w:val="24"/>
          <w:highlight w:val="none"/>
        </w:rPr>
        <w:t>） 评审工作在磋商小组内独立进行，磋商小组以外的任何人不得在会场内发表评审意见和诱导性语言，不得影响或左右磋商小组成员独立的评审和评分。</w:t>
      </w:r>
    </w:p>
    <w:p w14:paraId="591FBF06">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eastAsia="宋体" w:cs="宋体"/>
          <w:color w:val="000000"/>
          <w:sz w:val="24"/>
          <w:szCs w:val="24"/>
          <w:highlight w:val="none"/>
          <w:lang w:val="en-US" w:eastAsia="zh-CN"/>
        </w:rPr>
        <w:t>八</w:t>
      </w:r>
      <w:r>
        <w:rPr>
          <w:rFonts w:hint="eastAsia" w:ascii="宋体" w:hAnsi="宋体" w:eastAsia="宋体" w:cs="宋体"/>
          <w:color w:val="000000"/>
          <w:sz w:val="24"/>
          <w:szCs w:val="24"/>
          <w:highlight w:val="none"/>
        </w:rPr>
        <w:t>）评审的标准是《磋商文件》的所有规定和要求，评审的依据是供应商提交的《响应文件》和磋商承诺。磋商小组成员必须严格按照《磋商文件》的评审方法、评审原则和评分标准独立地对供应商的《响应文件》和磋商承诺等进行评估、综合比较、评价与评分，不得有倾向性、歧视性或随意性。磋商小组成员对自己的评分表独立承担责任。</w:t>
      </w:r>
    </w:p>
    <w:p w14:paraId="0F9E3EC3">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eastAsia="宋体" w:cs="宋体"/>
          <w:color w:val="000000"/>
          <w:sz w:val="24"/>
          <w:szCs w:val="24"/>
          <w:highlight w:val="none"/>
          <w:lang w:val="en-US" w:eastAsia="zh-CN"/>
        </w:rPr>
        <w:t>九</w:t>
      </w:r>
      <w:r>
        <w:rPr>
          <w:rFonts w:hint="eastAsia" w:ascii="宋体" w:hAnsi="宋体" w:eastAsia="宋体" w:cs="宋体"/>
          <w:color w:val="000000"/>
          <w:sz w:val="24"/>
          <w:szCs w:val="24"/>
          <w:highlight w:val="none"/>
        </w:rPr>
        <w:t>）磋商小组有权要求供应商对其《响应文件》中不清楚和不明确的地方进行澄清、说明或者纠正。</w:t>
      </w:r>
    </w:p>
    <w:p w14:paraId="38DB9F7A">
      <w:pPr>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（十）评审工作接受财政、监察、审计等部门的监督。</w:t>
      </w:r>
    </w:p>
    <w:p w14:paraId="4EDB9EFA">
      <w:pPr>
        <w:snapToGrid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4.4会场须知</w:t>
      </w:r>
    </w:p>
    <w:p w14:paraId="6508B83A">
      <w:pPr>
        <w:snapToGrid w:val="0"/>
        <w:spacing w:line="360" w:lineRule="auto"/>
        <w:ind w:firstLine="480" w:firstLineChars="200"/>
        <w:rPr>
          <w:rFonts w:hint="eastAsia" w:ascii="宋体" w:hAnsi="宋体" w:eastAsia="宋体" w:cs="宋体"/>
          <w:color w:val="000000"/>
          <w:sz w:val="24"/>
          <w:szCs w:val="24"/>
          <w:highlight w:val="none"/>
        </w:rPr>
      </w:pPr>
      <w:r>
        <w:rPr>
          <w:rFonts w:hint="eastAsia" w:eastAsia="宋体" w:cs="宋体"/>
          <w:color w:val="000000"/>
          <w:sz w:val="24"/>
          <w:szCs w:val="24"/>
          <w:highlight w:val="none"/>
          <w:lang w:eastAsia="zh-CN"/>
        </w:rPr>
        <w:t>（</w:t>
      </w:r>
      <w:r>
        <w:rPr>
          <w:rFonts w:hint="eastAsia" w:eastAsia="宋体" w:cs="宋体"/>
          <w:color w:val="000000"/>
          <w:sz w:val="24"/>
          <w:szCs w:val="24"/>
          <w:highlight w:val="none"/>
          <w:lang w:val="en-US" w:eastAsia="zh-CN"/>
        </w:rPr>
        <w:t>一</w:t>
      </w:r>
      <w:r>
        <w:rPr>
          <w:rFonts w:hint="eastAsia" w:eastAsia="宋体" w:cs="宋体"/>
          <w:color w:val="000000"/>
          <w:sz w:val="24"/>
          <w:szCs w:val="24"/>
          <w:highlight w:val="none"/>
          <w:lang w:eastAsia="zh-CN"/>
        </w:rPr>
        <w:t>）</w:t>
      </w:r>
      <w:r>
        <w:rPr>
          <w:rFonts w:hint="eastAsia" w:ascii="宋体" w:hAnsi="宋体" w:eastAsia="宋体" w:cs="宋体"/>
          <w:color w:val="000000"/>
          <w:sz w:val="24"/>
          <w:szCs w:val="24"/>
          <w:highlight w:val="none"/>
        </w:rPr>
        <w:t>所有参会人员应准时到场就座、签到，服从调度与安排；</w:t>
      </w:r>
    </w:p>
    <w:p w14:paraId="1D688942">
      <w:pPr>
        <w:snapToGrid w:val="0"/>
        <w:spacing w:line="360" w:lineRule="auto"/>
        <w:ind w:firstLine="480" w:firstLineChars="200"/>
        <w:rPr>
          <w:rFonts w:hint="eastAsia" w:ascii="宋体" w:hAnsi="宋体" w:eastAsia="宋体" w:cs="宋体"/>
          <w:color w:val="000000"/>
          <w:sz w:val="24"/>
          <w:szCs w:val="24"/>
          <w:highlight w:val="none"/>
        </w:rPr>
      </w:pPr>
      <w:r>
        <w:rPr>
          <w:rFonts w:hint="eastAsia" w:eastAsia="宋体" w:cs="宋体"/>
          <w:color w:val="000000"/>
          <w:sz w:val="24"/>
          <w:szCs w:val="24"/>
          <w:highlight w:val="none"/>
          <w:lang w:eastAsia="zh-CN"/>
        </w:rPr>
        <w:t>（</w:t>
      </w:r>
      <w:r>
        <w:rPr>
          <w:rFonts w:hint="eastAsia" w:eastAsia="宋体" w:cs="宋体"/>
          <w:color w:val="000000"/>
          <w:sz w:val="24"/>
          <w:szCs w:val="24"/>
          <w:highlight w:val="none"/>
          <w:lang w:val="en-US" w:eastAsia="zh-CN"/>
        </w:rPr>
        <w:t>二</w:t>
      </w:r>
      <w:r>
        <w:rPr>
          <w:rFonts w:hint="eastAsia" w:eastAsia="宋体" w:cs="宋体"/>
          <w:color w:val="000000"/>
          <w:sz w:val="24"/>
          <w:szCs w:val="24"/>
          <w:highlight w:val="none"/>
          <w:lang w:eastAsia="zh-CN"/>
        </w:rPr>
        <w:t>）</w:t>
      </w:r>
      <w:r>
        <w:rPr>
          <w:rFonts w:hint="eastAsia" w:ascii="宋体" w:hAnsi="宋体" w:eastAsia="宋体" w:cs="宋体"/>
          <w:color w:val="000000"/>
          <w:sz w:val="24"/>
          <w:szCs w:val="24"/>
          <w:highlight w:val="none"/>
        </w:rPr>
        <w:t>会场内必须保持肃静、有序，不得高声喧哗，不得走动串位，不得随意进出；</w:t>
      </w:r>
    </w:p>
    <w:p w14:paraId="4EE27140">
      <w:pPr>
        <w:snapToGrid w:val="0"/>
        <w:spacing w:line="360" w:lineRule="auto"/>
        <w:ind w:firstLine="480" w:firstLineChars="200"/>
        <w:rPr>
          <w:rFonts w:hint="eastAsia" w:ascii="宋体" w:hAnsi="宋体" w:eastAsia="宋体" w:cs="宋体"/>
          <w:color w:val="000000"/>
          <w:sz w:val="24"/>
          <w:szCs w:val="24"/>
          <w:highlight w:val="none"/>
        </w:rPr>
      </w:pPr>
      <w:r>
        <w:rPr>
          <w:rFonts w:hint="eastAsia" w:eastAsia="宋体" w:cs="宋体"/>
          <w:color w:val="000000"/>
          <w:sz w:val="24"/>
          <w:szCs w:val="24"/>
          <w:highlight w:val="none"/>
          <w:lang w:eastAsia="zh-CN"/>
        </w:rPr>
        <w:t>（</w:t>
      </w:r>
      <w:r>
        <w:rPr>
          <w:rFonts w:hint="eastAsia" w:eastAsia="宋体" w:cs="宋体"/>
          <w:color w:val="000000"/>
          <w:sz w:val="24"/>
          <w:szCs w:val="24"/>
          <w:highlight w:val="none"/>
          <w:lang w:val="en-US" w:eastAsia="zh-CN"/>
        </w:rPr>
        <w:t>三</w:t>
      </w:r>
      <w:r>
        <w:rPr>
          <w:rFonts w:hint="eastAsia" w:eastAsia="宋体" w:cs="宋体"/>
          <w:color w:val="000000"/>
          <w:sz w:val="24"/>
          <w:szCs w:val="24"/>
          <w:highlight w:val="none"/>
          <w:lang w:eastAsia="zh-CN"/>
        </w:rPr>
        <w:t>）</w:t>
      </w:r>
      <w:r>
        <w:rPr>
          <w:rFonts w:hint="eastAsia" w:ascii="宋体" w:hAnsi="宋体" w:eastAsia="宋体" w:cs="宋体"/>
          <w:color w:val="000000"/>
          <w:sz w:val="24"/>
          <w:szCs w:val="24"/>
          <w:highlight w:val="none"/>
        </w:rPr>
        <w:t>所有参会人员在会场内严禁使用任何通讯工具。进入评标室的评标委员会成员、采购单位代表、监督部门代表和采购代理机构参会人员等手机必须关闭并统一存放。</w:t>
      </w:r>
    </w:p>
    <w:p w14:paraId="01A4FB33">
      <w:pPr>
        <w:snapToGrid w:val="0"/>
        <w:spacing w:line="360" w:lineRule="auto"/>
        <w:ind w:firstLine="480" w:firstLineChars="200"/>
        <w:rPr>
          <w:rFonts w:hint="eastAsia" w:ascii="宋体" w:hAnsi="宋体" w:eastAsia="宋体" w:cs="宋体"/>
          <w:color w:val="000000"/>
          <w:sz w:val="24"/>
          <w:szCs w:val="24"/>
          <w:highlight w:val="none"/>
        </w:rPr>
      </w:pPr>
      <w:r>
        <w:rPr>
          <w:rFonts w:hint="eastAsia" w:eastAsia="宋体" w:cs="宋体"/>
          <w:color w:val="000000"/>
          <w:sz w:val="24"/>
          <w:szCs w:val="24"/>
          <w:highlight w:val="none"/>
          <w:lang w:eastAsia="zh-CN"/>
        </w:rPr>
        <w:t>（</w:t>
      </w:r>
      <w:r>
        <w:rPr>
          <w:rFonts w:hint="eastAsia" w:eastAsia="宋体" w:cs="宋体"/>
          <w:color w:val="000000"/>
          <w:sz w:val="24"/>
          <w:szCs w:val="24"/>
          <w:highlight w:val="none"/>
          <w:lang w:val="en-US" w:eastAsia="zh-CN"/>
        </w:rPr>
        <w:t>四</w:t>
      </w:r>
      <w:r>
        <w:rPr>
          <w:rFonts w:hint="eastAsia" w:eastAsia="宋体" w:cs="宋体"/>
          <w:color w:val="000000"/>
          <w:sz w:val="24"/>
          <w:szCs w:val="24"/>
          <w:highlight w:val="none"/>
          <w:lang w:eastAsia="zh-CN"/>
        </w:rPr>
        <w:t>）</w:t>
      </w:r>
      <w:r>
        <w:rPr>
          <w:rFonts w:hint="eastAsia" w:ascii="宋体" w:hAnsi="宋体" w:eastAsia="宋体" w:cs="宋体"/>
          <w:color w:val="000000"/>
          <w:sz w:val="24"/>
          <w:szCs w:val="24"/>
          <w:highlight w:val="none"/>
        </w:rPr>
        <w:t>从会议开始到主持人宣布散会期间，评标委员会成员、采购单位代表、采购代理机构参会人员的所有活动必须在监督人员的监督下进行；</w:t>
      </w:r>
    </w:p>
    <w:p w14:paraId="4E64A611">
      <w:pPr>
        <w:snapToGrid w:val="0"/>
        <w:spacing w:line="360" w:lineRule="auto"/>
        <w:ind w:firstLine="480" w:firstLineChars="200"/>
        <w:rPr>
          <w:rFonts w:hint="eastAsia" w:ascii="宋体" w:hAnsi="宋体" w:eastAsia="宋体" w:cs="宋体"/>
          <w:color w:val="000000"/>
          <w:sz w:val="24"/>
          <w:szCs w:val="24"/>
          <w:highlight w:val="none"/>
        </w:rPr>
      </w:pPr>
      <w:r>
        <w:rPr>
          <w:rFonts w:hint="eastAsia" w:eastAsia="宋体" w:cs="宋体"/>
          <w:color w:val="000000"/>
          <w:sz w:val="24"/>
          <w:szCs w:val="24"/>
          <w:highlight w:val="none"/>
          <w:lang w:eastAsia="zh-CN"/>
        </w:rPr>
        <w:t>（</w:t>
      </w:r>
      <w:r>
        <w:rPr>
          <w:rFonts w:hint="eastAsia" w:eastAsia="宋体" w:cs="宋体"/>
          <w:color w:val="000000"/>
          <w:sz w:val="24"/>
          <w:szCs w:val="24"/>
          <w:highlight w:val="none"/>
          <w:lang w:val="en-US" w:eastAsia="zh-CN"/>
        </w:rPr>
        <w:t>五</w:t>
      </w:r>
      <w:r>
        <w:rPr>
          <w:rFonts w:hint="eastAsia" w:eastAsia="宋体" w:cs="宋体"/>
          <w:color w:val="000000"/>
          <w:sz w:val="24"/>
          <w:szCs w:val="24"/>
          <w:highlight w:val="none"/>
          <w:lang w:eastAsia="zh-CN"/>
        </w:rPr>
        <w:t>）</w:t>
      </w:r>
      <w:r>
        <w:rPr>
          <w:rFonts w:hint="eastAsia" w:ascii="宋体" w:hAnsi="宋体" w:eastAsia="宋体" w:cs="宋体"/>
          <w:color w:val="000000"/>
          <w:sz w:val="24"/>
          <w:szCs w:val="24"/>
          <w:highlight w:val="none"/>
        </w:rPr>
        <w:t>评标委员会成员就座后原则上不得相互商量，不得发表对投标供应商或投标文件的观点和看法；</w:t>
      </w:r>
    </w:p>
    <w:p w14:paraId="4A69314F">
      <w:pPr>
        <w:snapToGrid w:val="0"/>
        <w:spacing w:line="360" w:lineRule="auto"/>
        <w:ind w:firstLine="480" w:firstLineChars="200"/>
        <w:rPr>
          <w:rFonts w:hint="eastAsia" w:ascii="宋体" w:hAnsi="宋体" w:eastAsia="宋体" w:cs="宋体"/>
          <w:color w:val="000000"/>
          <w:sz w:val="24"/>
          <w:szCs w:val="24"/>
          <w:highlight w:val="none"/>
        </w:rPr>
      </w:pPr>
      <w:r>
        <w:rPr>
          <w:rFonts w:hint="eastAsia" w:eastAsia="宋体" w:cs="宋体"/>
          <w:color w:val="000000"/>
          <w:sz w:val="24"/>
          <w:szCs w:val="24"/>
          <w:highlight w:val="none"/>
          <w:lang w:eastAsia="zh-CN"/>
        </w:rPr>
        <w:t>（</w:t>
      </w:r>
      <w:r>
        <w:rPr>
          <w:rFonts w:hint="eastAsia" w:eastAsia="宋体" w:cs="宋体"/>
          <w:color w:val="000000"/>
          <w:sz w:val="24"/>
          <w:szCs w:val="24"/>
          <w:highlight w:val="none"/>
          <w:lang w:val="en-US" w:eastAsia="zh-CN"/>
        </w:rPr>
        <w:t>六</w:t>
      </w:r>
      <w:r>
        <w:rPr>
          <w:rFonts w:hint="eastAsia" w:eastAsia="宋体" w:cs="宋体"/>
          <w:color w:val="000000"/>
          <w:sz w:val="24"/>
          <w:szCs w:val="24"/>
          <w:highlight w:val="none"/>
          <w:lang w:eastAsia="zh-CN"/>
        </w:rPr>
        <w:t>）</w:t>
      </w:r>
      <w:r>
        <w:rPr>
          <w:rFonts w:hint="eastAsia" w:ascii="宋体" w:hAnsi="宋体" w:eastAsia="宋体" w:cs="宋体"/>
          <w:color w:val="000000"/>
          <w:sz w:val="24"/>
          <w:szCs w:val="24"/>
          <w:highlight w:val="none"/>
        </w:rPr>
        <w:t>采购人代表对评标委员会作出的评审结果应签名确认，拒绝签名或拒绝评审经主持人劝告仍坚持意见的，将被记录在案，报行业主管部门和纪检监察机关进行处理。</w:t>
      </w:r>
    </w:p>
    <w:p w14:paraId="7F1F636A">
      <w:pPr>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4.5在此次磋商采购中，出现下列情形之一的应中止采购：</w:t>
      </w:r>
    </w:p>
    <w:p w14:paraId="0778EA6F">
      <w:pPr>
        <w:spacing w:line="360" w:lineRule="auto"/>
        <w:ind w:firstLine="480" w:firstLineChars="200"/>
        <w:rPr>
          <w:rFonts w:hint="eastAsia" w:ascii="宋体" w:hAnsi="宋体" w:eastAsia="宋体" w:cs="宋体"/>
          <w:color w:val="000000"/>
          <w:sz w:val="24"/>
          <w:szCs w:val="24"/>
          <w:highlight w:val="none"/>
        </w:rPr>
      </w:pPr>
      <w:r>
        <w:rPr>
          <w:rFonts w:hint="eastAsia" w:eastAsia="宋体" w:cs="宋体"/>
          <w:color w:val="000000"/>
          <w:sz w:val="24"/>
          <w:szCs w:val="24"/>
          <w:highlight w:val="none"/>
          <w:lang w:eastAsia="zh-CN"/>
        </w:rPr>
        <w:t>（</w:t>
      </w:r>
      <w:r>
        <w:rPr>
          <w:rFonts w:hint="eastAsia" w:eastAsia="宋体" w:cs="宋体"/>
          <w:color w:val="000000"/>
          <w:sz w:val="24"/>
          <w:szCs w:val="24"/>
          <w:highlight w:val="none"/>
          <w:lang w:val="en-US" w:eastAsia="zh-CN"/>
        </w:rPr>
        <w:t>1</w:t>
      </w:r>
      <w:r>
        <w:rPr>
          <w:rFonts w:hint="eastAsia" w:eastAsia="宋体" w:cs="宋体"/>
          <w:color w:val="000000"/>
          <w:sz w:val="24"/>
          <w:szCs w:val="24"/>
          <w:highlight w:val="none"/>
          <w:lang w:eastAsia="zh-CN"/>
        </w:rPr>
        <w:t>）</w:t>
      </w:r>
      <w:r>
        <w:rPr>
          <w:rFonts w:hint="eastAsia" w:ascii="宋体" w:hAnsi="宋体" w:eastAsia="宋体" w:cs="宋体"/>
          <w:color w:val="000000"/>
          <w:sz w:val="24"/>
          <w:szCs w:val="24"/>
          <w:highlight w:val="none"/>
        </w:rPr>
        <w:t>因情况变化，不再符合规定的竞争性磋商采购方式适用情形的；</w:t>
      </w:r>
    </w:p>
    <w:p w14:paraId="1C79987A">
      <w:pPr>
        <w:spacing w:line="360" w:lineRule="auto"/>
        <w:ind w:firstLine="480" w:firstLineChars="200"/>
        <w:rPr>
          <w:rFonts w:hint="eastAsia" w:ascii="宋体" w:hAnsi="宋体" w:eastAsia="宋体" w:cs="宋体"/>
          <w:color w:val="000000"/>
          <w:sz w:val="24"/>
          <w:szCs w:val="24"/>
          <w:highlight w:val="none"/>
        </w:rPr>
      </w:pPr>
      <w:r>
        <w:rPr>
          <w:rFonts w:hint="eastAsia" w:eastAsia="宋体" w:cs="宋体"/>
          <w:color w:val="000000"/>
          <w:sz w:val="24"/>
          <w:szCs w:val="24"/>
          <w:highlight w:val="none"/>
          <w:lang w:eastAsia="zh-CN"/>
        </w:rPr>
        <w:t>（</w:t>
      </w:r>
      <w:r>
        <w:rPr>
          <w:rFonts w:hint="eastAsia" w:eastAsia="宋体" w:cs="宋体"/>
          <w:color w:val="000000"/>
          <w:sz w:val="24"/>
          <w:szCs w:val="24"/>
          <w:highlight w:val="none"/>
          <w:lang w:val="en-US" w:eastAsia="zh-CN"/>
        </w:rPr>
        <w:t>2</w:t>
      </w:r>
      <w:r>
        <w:rPr>
          <w:rFonts w:hint="eastAsia" w:eastAsia="宋体" w:cs="宋体"/>
          <w:color w:val="000000"/>
          <w:sz w:val="24"/>
          <w:szCs w:val="24"/>
          <w:highlight w:val="none"/>
          <w:lang w:eastAsia="zh-CN"/>
        </w:rPr>
        <w:t>）</w:t>
      </w:r>
      <w:r>
        <w:rPr>
          <w:rFonts w:hint="eastAsia" w:ascii="宋体" w:hAnsi="宋体" w:eastAsia="宋体" w:cs="宋体"/>
          <w:color w:val="000000"/>
          <w:sz w:val="24"/>
          <w:szCs w:val="24"/>
          <w:highlight w:val="none"/>
        </w:rPr>
        <w:t>出现影响采购公正的违法、违规行为的；</w:t>
      </w:r>
    </w:p>
    <w:p w14:paraId="03662FB8">
      <w:pPr>
        <w:spacing w:line="360" w:lineRule="auto"/>
        <w:ind w:firstLine="480" w:firstLineChars="200"/>
        <w:rPr>
          <w:rFonts w:hint="eastAsia" w:ascii="宋体" w:hAnsi="宋体" w:eastAsia="宋体" w:cs="宋体"/>
          <w:color w:val="000000"/>
          <w:sz w:val="24"/>
          <w:szCs w:val="24"/>
          <w:highlight w:val="none"/>
        </w:rPr>
      </w:pPr>
      <w:r>
        <w:rPr>
          <w:rFonts w:hint="eastAsia" w:eastAsia="宋体" w:cs="宋体"/>
          <w:color w:val="000000"/>
          <w:sz w:val="24"/>
          <w:szCs w:val="24"/>
          <w:highlight w:val="none"/>
          <w:lang w:eastAsia="zh-CN"/>
        </w:rPr>
        <w:t>（</w:t>
      </w:r>
      <w:r>
        <w:rPr>
          <w:rFonts w:hint="eastAsia" w:eastAsia="宋体" w:cs="宋体"/>
          <w:color w:val="000000"/>
          <w:sz w:val="24"/>
          <w:szCs w:val="24"/>
          <w:highlight w:val="none"/>
          <w:lang w:val="en-US" w:eastAsia="zh-CN"/>
        </w:rPr>
        <w:t>3</w:t>
      </w:r>
      <w:r>
        <w:rPr>
          <w:rFonts w:hint="eastAsia" w:eastAsia="宋体" w:cs="宋体"/>
          <w:color w:val="000000"/>
          <w:sz w:val="24"/>
          <w:szCs w:val="24"/>
          <w:highlight w:val="none"/>
          <w:lang w:eastAsia="zh-CN"/>
        </w:rPr>
        <w:t>）</w:t>
      </w:r>
      <w:r>
        <w:rPr>
          <w:rFonts w:hint="eastAsia" w:ascii="宋体" w:hAnsi="宋体" w:eastAsia="宋体" w:cs="宋体"/>
          <w:color w:val="000000"/>
          <w:sz w:val="24"/>
          <w:szCs w:val="24"/>
          <w:highlight w:val="none"/>
        </w:rPr>
        <w:t>符合要求的供应商或报价未超过采购预算的供应商不得低于3家；</w:t>
      </w:r>
    </w:p>
    <w:p w14:paraId="7AA2F766">
      <w:pPr>
        <w:spacing w:line="360" w:lineRule="auto"/>
        <w:ind w:firstLine="480" w:firstLineChars="200"/>
        <w:rPr>
          <w:rFonts w:hint="eastAsia" w:ascii="宋体" w:hAnsi="宋体" w:eastAsia="宋体" w:cs="宋体"/>
          <w:color w:val="000000"/>
          <w:sz w:val="24"/>
          <w:szCs w:val="24"/>
          <w:highlight w:val="none"/>
        </w:rPr>
      </w:pPr>
      <w:r>
        <w:rPr>
          <w:rFonts w:hint="eastAsia" w:eastAsia="宋体" w:cs="宋体"/>
          <w:color w:val="000000"/>
          <w:sz w:val="24"/>
          <w:szCs w:val="24"/>
          <w:highlight w:val="none"/>
          <w:lang w:eastAsia="zh-CN"/>
        </w:rPr>
        <w:t>（</w:t>
      </w:r>
      <w:r>
        <w:rPr>
          <w:rFonts w:hint="eastAsia" w:eastAsia="宋体" w:cs="宋体"/>
          <w:color w:val="000000"/>
          <w:sz w:val="24"/>
          <w:szCs w:val="24"/>
          <w:highlight w:val="none"/>
          <w:lang w:val="en-US" w:eastAsia="zh-CN"/>
        </w:rPr>
        <w:t>4</w:t>
      </w:r>
      <w:r>
        <w:rPr>
          <w:rFonts w:hint="eastAsia" w:eastAsia="宋体" w:cs="宋体"/>
          <w:color w:val="000000"/>
          <w:sz w:val="24"/>
          <w:szCs w:val="24"/>
          <w:highlight w:val="none"/>
          <w:lang w:eastAsia="zh-CN"/>
        </w:rPr>
        <w:t>）</w:t>
      </w:r>
      <w:r>
        <w:rPr>
          <w:rFonts w:hint="eastAsia" w:ascii="宋体" w:hAnsi="宋体" w:eastAsia="宋体" w:cs="宋体"/>
          <w:color w:val="000000"/>
          <w:sz w:val="24"/>
          <w:szCs w:val="24"/>
          <w:highlight w:val="none"/>
        </w:rPr>
        <w:t>因重大变故，采购任务取消的。</w:t>
      </w:r>
    </w:p>
    <w:p w14:paraId="19352635">
      <w:pPr>
        <w:tabs>
          <w:tab w:val="left" w:pos="1383"/>
        </w:tabs>
        <w:spacing w:line="358" w:lineRule="exact"/>
        <w:ind w:firstLine="686" w:firstLineChars="245"/>
        <w:rPr>
          <w:rFonts w:hint="eastAsia" w:ascii="宋体" w:hAnsi="宋体" w:eastAsia="宋体" w:cs="宋体"/>
          <w:color w:val="000000"/>
          <w:sz w:val="28"/>
          <w:highlight w:val="none"/>
        </w:rPr>
      </w:pPr>
    </w:p>
    <w:p w14:paraId="414585CB">
      <w:pPr>
        <w:tabs>
          <w:tab w:val="left" w:pos="1378"/>
          <w:tab w:val="left" w:pos="8647"/>
        </w:tabs>
        <w:spacing w:line="417" w:lineRule="auto"/>
        <w:ind w:right="21" w:firstLine="637" w:firstLineChars="245"/>
        <w:rPr>
          <w:rFonts w:hint="eastAsia" w:ascii="宋体" w:hAnsi="宋体" w:eastAsia="宋体" w:cs="宋体"/>
          <w:color w:val="000000"/>
          <w:spacing w:val="-10"/>
          <w:sz w:val="28"/>
          <w:highlight w:val="none"/>
        </w:rPr>
        <w:sectPr>
          <w:pgSz w:w="11910" w:h="16840"/>
          <w:pgMar w:top="1420" w:right="1418" w:bottom="1134" w:left="1588" w:header="0" w:footer="850" w:gutter="0"/>
          <w:pgNumType w:fmt="decimal"/>
          <w:cols w:space="720" w:num="1"/>
          <w:docGrid w:linePitch="299" w:charSpace="0"/>
        </w:sectPr>
      </w:pPr>
    </w:p>
    <w:p w14:paraId="717FF92F">
      <w:pPr>
        <w:pStyle w:val="5"/>
        <w:jc w:val="center"/>
        <w:outlineLvl w:val="0"/>
        <w:rPr>
          <w:rFonts w:hint="eastAsia" w:ascii="宋体" w:hAnsi="宋体" w:eastAsia="宋体" w:cs="宋体"/>
          <w:b w:val="0"/>
          <w:bCs/>
          <w:color w:val="000000"/>
          <w:sz w:val="44"/>
          <w:szCs w:val="44"/>
          <w:highlight w:val="none"/>
        </w:rPr>
      </w:pPr>
      <w:bookmarkStart w:id="72" w:name="_Toc9039"/>
      <w:bookmarkStart w:id="73" w:name="_Toc25811"/>
      <w:bookmarkStart w:id="74" w:name="_Toc11889"/>
      <w:bookmarkStart w:id="75" w:name="_Toc28373"/>
      <w:r>
        <w:rPr>
          <w:rStyle w:val="24"/>
          <w:rFonts w:hint="eastAsia" w:ascii="宋体" w:hAnsi="宋体" w:eastAsia="宋体" w:cs="宋体"/>
          <w:b/>
          <w:bCs w:val="0"/>
          <w:color w:val="000000"/>
          <w:highlight w:val="none"/>
        </w:rPr>
        <w:t>第五章</w:t>
      </w:r>
      <w:r>
        <w:rPr>
          <w:rStyle w:val="24"/>
          <w:rFonts w:hint="eastAsia" w:ascii="宋体" w:hAnsi="宋体" w:eastAsia="宋体" w:cs="宋体"/>
          <w:b/>
          <w:bCs w:val="0"/>
          <w:color w:val="000000"/>
          <w:highlight w:val="none"/>
          <w:lang w:val="en-US" w:eastAsia="zh-CN"/>
        </w:rPr>
        <w:t xml:space="preserve">  </w:t>
      </w:r>
      <w:bookmarkEnd w:id="72"/>
      <w:r>
        <w:rPr>
          <w:rFonts w:hint="eastAsia" w:ascii="宋体" w:hAnsi="宋体" w:eastAsia="宋体" w:cs="宋体"/>
          <w:color w:val="000000"/>
          <w:kern w:val="44"/>
          <w:sz w:val="44"/>
          <w:szCs w:val="44"/>
          <w:highlight w:val="none"/>
        </w:rPr>
        <w:t>磋商程序及评审</w:t>
      </w:r>
      <w:bookmarkEnd w:id="73"/>
      <w:bookmarkEnd w:id="74"/>
      <w:bookmarkEnd w:id="75"/>
    </w:p>
    <w:p w14:paraId="060C3E94">
      <w:pPr>
        <w:spacing w:line="500" w:lineRule="exact"/>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5.1</w:t>
      </w:r>
      <w:r>
        <w:rPr>
          <w:rFonts w:hint="eastAsia" w:ascii="宋体" w:hAnsi="宋体" w:eastAsia="宋体" w:cs="宋体"/>
          <w:color w:val="000000"/>
          <w:sz w:val="24"/>
          <w:szCs w:val="24"/>
          <w:highlight w:val="none"/>
        </w:rPr>
        <w:t>开标前</w:t>
      </w:r>
      <w:r>
        <w:rPr>
          <w:rFonts w:hint="eastAsia" w:eastAsia="宋体" w:cs="宋体"/>
          <w:color w:val="000000"/>
          <w:sz w:val="24"/>
          <w:szCs w:val="24"/>
          <w:highlight w:val="none"/>
          <w:lang w:val="en-US" w:eastAsia="zh-CN"/>
        </w:rPr>
        <w:t>24</w:t>
      </w:r>
      <w:r>
        <w:rPr>
          <w:rFonts w:hint="eastAsia" w:ascii="宋体" w:hAnsi="宋体" w:eastAsia="宋体" w:cs="宋体"/>
          <w:color w:val="000000"/>
          <w:sz w:val="24"/>
          <w:szCs w:val="24"/>
          <w:highlight w:val="none"/>
        </w:rPr>
        <w:t>小时从政府采购评审专家库抽取专家组成磋商小组。</w:t>
      </w:r>
    </w:p>
    <w:p w14:paraId="32C410C0">
      <w:pPr>
        <w:spacing w:line="5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5.2</w:t>
      </w:r>
      <w:r>
        <w:rPr>
          <w:rFonts w:hint="eastAsia" w:ascii="宋体" w:hAnsi="宋体" w:eastAsia="宋体" w:cs="宋体"/>
          <w:color w:val="000000"/>
          <w:sz w:val="24"/>
          <w:szCs w:val="24"/>
          <w:highlight w:val="none"/>
        </w:rPr>
        <w:t>磋商小组、监督人员登录系统签到。</w:t>
      </w:r>
    </w:p>
    <w:p w14:paraId="2BCB6969">
      <w:pPr>
        <w:spacing w:line="5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5.3</w:t>
      </w:r>
      <w:r>
        <w:rPr>
          <w:rFonts w:hint="eastAsia" w:ascii="宋体" w:hAnsi="宋体" w:eastAsia="宋体" w:cs="宋体"/>
          <w:color w:val="000000"/>
          <w:sz w:val="24"/>
          <w:szCs w:val="24"/>
          <w:highlight w:val="none"/>
        </w:rPr>
        <w:t>主持人宣布本次磋商会议开始。主持人简要介绍项目的基本情况，介绍参加会议的有关部门和人员，介绍专家的抽取和磋商小组的组成情况。</w:t>
      </w:r>
      <w:r>
        <w:rPr>
          <w:rFonts w:hint="eastAsia" w:ascii="宋体" w:hAnsi="宋体" w:eastAsia="宋体" w:cs="宋体"/>
          <w:b/>
          <w:color w:val="000000"/>
          <w:sz w:val="24"/>
          <w:szCs w:val="24"/>
          <w:highlight w:val="none"/>
        </w:rPr>
        <w:t>（采用全电子在线开标的，供应商在线解密响应文件即可）</w:t>
      </w:r>
    </w:p>
    <w:p w14:paraId="006B16D5">
      <w:pPr>
        <w:spacing w:line="5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5.4</w:t>
      </w:r>
      <w:r>
        <w:rPr>
          <w:rFonts w:hint="eastAsia" w:ascii="宋体" w:hAnsi="宋体" w:eastAsia="宋体" w:cs="宋体"/>
          <w:color w:val="000000"/>
          <w:sz w:val="24"/>
          <w:szCs w:val="24"/>
          <w:highlight w:val="none"/>
        </w:rPr>
        <w:t>宣读《评审纪律》（或播放录音）。</w:t>
      </w:r>
      <w:r>
        <w:rPr>
          <w:rFonts w:hint="eastAsia" w:ascii="宋体" w:hAnsi="宋体" w:eastAsia="宋体" w:cs="宋体"/>
          <w:b/>
          <w:color w:val="000000"/>
          <w:sz w:val="24"/>
          <w:szCs w:val="24"/>
          <w:highlight w:val="none"/>
        </w:rPr>
        <w:t>（采用全电子在线开标的，此项不适用）</w:t>
      </w:r>
    </w:p>
    <w:p w14:paraId="23523F63">
      <w:pPr>
        <w:widowControl/>
        <w:adjustRightInd w:val="0"/>
        <w:spacing w:line="5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5.5熟悉磋商文件：</w:t>
      </w:r>
    </w:p>
    <w:p w14:paraId="71C50BAD">
      <w:pPr>
        <w:widowControl/>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评标委员会和监督人员熟悉磋商文件，并就不清楚的地方向本公司询问，本公司对其进行说明和解答。</w:t>
      </w:r>
    </w:p>
    <w:p w14:paraId="78030325">
      <w:pPr>
        <w:widowControl/>
        <w:adjustRightInd w:val="0"/>
        <w:spacing w:line="500" w:lineRule="exact"/>
        <w:rPr>
          <w:rFonts w:hint="eastAsia" w:ascii="宋体" w:hAnsi="宋体" w:eastAsia="宋体" w:cs="宋体"/>
          <w:b/>
          <w:color w:val="000000"/>
          <w:kern w:val="15"/>
          <w:sz w:val="24"/>
          <w:szCs w:val="24"/>
          <w:highlight w:val="none"/>
        </w:rPr>
      </w:pPr>
      <w:r>
        <w:rPr>
          <w:rFonts w:hint="eastAsia" w:ascii="宋体" w:hAnsi="宋体" w:eastAsia="宋体" w:cs="宋体"/>
          <w:b/>
          <w:color w:val="000000"/>
          <w:sz w:val="24"/>
          <w:szCs w:val="24"/>
          <w:highlight w:val="none"/>
        </w:rPr>
        <w:t>5.6</w:t>
      </w:r>
      <w:r>
        <w:rPr>
          <w:rFonts w:hint="eastAsia" w:ascii="宋体" w:hAnsi="宋体" w:eastAsia="宋体" w:cs="宋体"/>
          <w:b/>
          <w:color w:val="000000"/>
          <w:kern w:val="15"/>
          <w:sz w:val="24"/>
          <w:szCs w:val="24"/>
          <w:highlight w:val="none"/>
        </w:rPr>
        <w:t xml:space="preserve"> 开启响应文件</w:t>
      </w:r>
    </w:p>
    <w:p w14:paraId="48FC6506">
      <w:pPr>
        <w:widowControl/>
        <w:adjustRightInd w:val="0"/>
        <w:spacing w:line="500" w:lineRule="exact"/>
        <w:ind w:firstLine="480" w:firstLineChars="200"/>
        <w:rPr>
          <w:rFonts w:hint="eastAsia" w:ascii="宋体" w:hAnsi="宋体" w:eastAsia="宋体" w:cs="宋体"/>
          <w:color w:val="000000"/>
          <w:kern w:val="15"/>
          <w:sz w:val="24"/>
          <w:szCs w:val="24"/>
          <w:highlight w:val="none"/>
        </w:rPr>
      </w:pPr>
      <w:r>
        <w:rPr>
          <w:rFonts w:hint="eastAsia" w:ascii="宋体" w:hAnsi="宋体" w:eastAsia="宋体" w:cs="宋体"/>
          <w:color w:val="000000"/>
          <w:kern w:val="15"/>
          <w:sz w:val="24"/>
          <w:szCs w:val="24"/>
          <w:highlight w:val="none"/>
        </w:rPr>
        <w:t>5.6.1 各供应商解密响应文件后，由招标代理机构在毕节市公共资源交易中心系统内解密《响应文件》,开启《响应文件》；</w:t>
      </w:r>
    </w:p>
    <w:p w14:paraId="1909B252">
      <w:pPr>
        <w:widowControl/>
        <w:adjustRightInd w:val="0"/>
        <w:spacing w:line="500" w:lineRule="exact"/>
        <w:ind w:firstLine="480" w:firstLineChars="200"/>
        <w:rPr>
          <w:rFonts w:hint="eastAsia" w:ascii="宋体" w:hAnsi="宋体" w:eastAsia="宋体" w:cs="宋体"/>
          <w:color w:val="000000"/>
          <w:kern w:val="15"/>
          <w:sz w:val="24"/>
          <w:szCs w:val="24"/>
          <w:highlight w:val="none"/>
        </w:rPr>
      </w:pPr>
      <w:r>
        <w:rPr>
          <w:rFonts w:hint="eastAsia" w:ascii="宋体" w:hAnsi="宋体" w:eastAsia="宋体" w:cs="宋体"/>
          <w:color w:val="000000"/>
          <w:kern w:val="15"/>
          <w:sz w:val="24"/>
          <w:szCs w:val="24"/>
          <w:highlight w:val="none"/>
        </w:rPr>
        <w:t>5.6.2 磋商小组对《响应文件》进行评审。</w:t>
      </w:r>
    </w:p>
    <w:p w14:paraId="78B4FB70">
      <w:pPr>
        <w:widowControl/>
        <w:adjustRightInd w:val="0"/>
        <w:spacing w:line="500" w:lineRule="exact"/>
        <w:rPr>
          <w:rFonts w:hint="eastAsia" w:ascii="宋体" w:hAnsi="宋体" w:eastAsia="宋体" w:cs="宋体"/>
          <w:b/>
          <w:color w:val="000000"/>
          <w:kern w:val="15"/>
          <w:sz w:val="24"/>
          <w:szCs w:val="24"/>
          <w:highlight w:val="none"/>
        </w:rPr>
      </w:pPr>
      <w:r>
        <w:rPr>
          <w:rFonts w:hint="eastAsia" w:ascii="宋体" w:hAnsi="宋体" w:eastAsia="宋体" w:cs="宋体"/>
          <w:b/>
          <w:color w:val="000000"/>
          <w:sz w:val="24"/>
          <w:szCs w:val="24"/>
          <w:highlight w:val="none"/>
        </w:rPr>
        <w:t>5.7</w:t>
      </w:r>
      <w:r>
        <w:rPr>
          <w:rFonts w:hint="eastAsia" w:ascii="宋体" w:hAnsi="宋体" w:eastAsia="宋体" w:cs="宋体"/>
          <w:b/>
          <w:color w:val="000000"/>
          <w:kern w:val="15"/>
          <w:sz w:val="24"/>
          <w:szCs w:val="24"/>
          <w:highlight w:val="none"/>
        </w:rPr>
        <w:t>资格性审查：</w:t>
      </w:r>
    </w:p>
    <w:p w14:paraId="2C230730">
      <w:pPr>
        <w:widowControl/>
        <w:adjustRightInd w:val="0"/>
        <w:spacing w:line="500" w:lineRule="exact"/>
        <w:ind w:firstLine="470" w:firstLineChars="196"/>
        <w:rPr>
          <w:rFonts w:hint="eastAsia" w:ascii="宋体" w:hAnsi="宋体" w:eastAsia="宋体" w:cs="宋体"/>
          <w:color w:val="000000"/>
          <w:kern w:val="15"/>
          <w:sz w:val="24"/>
          <w:szCs w:val="24"/>
          <w:highlight w:val="none"/>
        </w:rPr>
      </w:pPr>
      <w:r>
        <w:rPr>
          <w:rFonts w:hint="eastAsia" w:ascii="宋体" w:hAnsi="宋体" w:eastAsia="宋体" w:cs="宋体"/>
          <w:color w:val="000000"/>
          <w:sz w:val="24"/>
          <w:szCs w:val="24"/>
          <w:highlight w:val="none"/>
        </w:rPr>
        <w:t>5.7.1</w:t>
      </w:r>
      <w:r>
        <w:rPr>
          <w:rFonts w:hint="eastAsia" w:ascii="宋体" w:hAnsi="宋体" w:eastAsia="宋体" w:cs="宋体"/>
          <w:color w:val="000000"/>
          <w:kern w:val="15"/>
          <w:sz w:val="24"/>
          <w:szCs w:val="24"/>
          <w:highlight w:val="none"/>
        </w:rPr>
        <w:t>资格性审查：</w:t>
      </w:r>
      <w:r>
        <w:rPr>
          <w:rFonts w:hint="eastAsia" w:ascii="宋体" w:hAnsi="宋体" w:eastAsia="宋体" w:cs="宋体"/>
          <w:color w:val="000000"/>
          <w:sz w:val="24"/>
          <w:szCs w:val="24"/>
          <w:highlight w:val="none"/>
        </w:rPr>
        <w:t>磋商小组根据磋商文件的规定审查，以确认供应商是否具备磋商资格，只有具有磋商资格的供应商才能进入下一程序；</w:t>
      </w:r>
    </w:p>
    <w:p w14:paraId="40FE25CE">
      <w:pPr>
        <w:widowControl/>
        <w:adjustRightInd w:val="0"/>
        <w:spacing w:line="5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5.8磋商：</w:t>
      </w:r>
    </w:p>
    <w:p w14:paraId="12C5C91F">
      <w:pPr>
        <w:adjustRightInd w:val="0"/>
        <w:spacing w:line="500" w:lineRule="exact"/>
        <w:ind w:firstLine="470" w:firstLineChars="196"/>
        <w:rPr>
          <w:rFonts w:hint="eastAsia" w:ascii="宋体" w:hAnsi="宋体" w:eastAsia="宋体" w:cs="宋体"/>
          <w:color w:val="000000"/>
          <w:kern w:val="15"/>
          <w:sz w:val="24"/>
          <w:szCs w:val="24"/>
          <w:highlight w:val="none"/>
        </w:rPr>
      </w:pPr>
      <w:r>
        <w:rPr>
          <w:rFonts w:hint="eastAsia" w:ascii="宋体" w:hAnsi="宋体" w:eastAsia="宋体" w:cs="宋体"/>
          <w:color w:val="000000"/>
          <w:kern w:val="15"/>
          <w:sz w:val="24"/>
          <w:szCs w:val="24"/>
          <w:highlight w:val="none"/>
        </w:rPr>
        <w:t>5.8.1依据磋商文件的规定，磋商小组对响应文件的有效性、完整性和响应程度进行审查，审查通过后，</w:t>
      </w:r>
      <w:r>
        <w:rPr>
          <w:rFonts w:hint="eastAsia" w:ascii="宋体" w:hAnsi="宋体" w:eastAsia="宋体" w:cs="宋体"/>
          <w:color w:val="000000"/>
          <w:sz w:val="24"/>
          <w:szCs w:val="24"/>
          <w:highlight w:val="none"/>
        </w:rPr>
        <w:t>磋商小组与供应商进行技术和商务磋商；</w:t>
      </w:r>
    </w:p>
    <w:p w14:paraId="2B092EDD">
      <w:pPr>
        <w:spacing w:line="500" w:lineRule="exact"/>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kern w:val="15"/>
          <w:sz w:val="24"/>
          <w:szCs w:val="24"/>
          <w:highlight w:val="none"/>
        </w:rPr>
        <w:t>5.8.2对《响应文件》中含义不明确、同类问题表述不一致或者有明显文字和计算错误的内容，磋商小组可要求</w:t>
      </w:r>
      <w:r>
        <w:rPr>
          <w:rFonts w:hint="eastAsia" w:ascii="宋体" w:hAnsi="宋体" w:eastAsia="宋体" w:cs="宋体"/>
          <w:color w:val="000000"/>
          <w:sz w:val="24"/>
          <w:szCs w:val="24"/>
          <w:highlight w:val="none"/>
        </w:rPr>
        <w:t>供应商作出澄清、说明或者纠正；对《响应文件》中</w:t>
      </w:r>
      <w:r>
        <w:rPr>
          <w:rFonts w:hint="eastAsia" w:ascii="宋体" w:hAnsi="宋体" w:eastAsia="宋体" w:cs="宋体"/>
          <w:color w:val="000000"/>
          <w:kern w:val="15"/>
          <w:sz w:val="24"/>
          <w:szCs w:val="24"/>
          <w:highlight w:val="none"/>
        </w:rPr>
        <w:t>不</w:t>
      </w:r>
      <w:r>
        <w:rPr>
          <w:rFonts w:hint="eastAsia" w:ascii="宋体" w:hAnsi="宋体" w:eastAsia="宋体" w:cs="宋体"/>
          <w:color w:val="000000"/>
          <w:sz w:val="24"/>
          <w:szCs w:val="24"/>
          <w:highlight w:val="none"/>
        </w:rPr>
        <w:t>响应</w:t>
      </w:r>
      <w:r>
        <w:rPr>
          <w:rFonts w:hint="eastAsia" w:ascii="宋体" w:hAnsi="宋体" w:eastAsia="宋体" w:cs="宋体"/>
          <w:color w:val="000000"/>
          <w:kern w:val="15"/>
          <w:sz w:val="24"/>
          <w:szCs w:val="24"/>
          <w:highlight w:val="none"/>
        </w:rPr>
        <w:t>本《磋商文件》要求的内容，磋商小组应要求</w:t>
      </w:r>
      <w:r>
        <w:rPr>
          <w:rFonts w:hint="eastAsia" w:ascii="宋体" w:hAnsi="宋体" w:eastAsia="宋体" w:cs="宋体"/>
          <w:color w:val="000000"/>
          <w:sz w:val="24"/>
          <w:szCs w:val="24"/>
          <w:highlight w:val="none"/>
        </w:rPr>
        <w:t>供应商</w:t>
      </w:r>
      <w:r>
        <w:rPr>
          <w:rFonts w:hint="eastAsia" w:ascii="宋体" w:hAnsi="宋体" w:eastAsia="宋体" w:cs="宋体"/>
          <w:bCs/>
          <w:color w:val="000000"/>
          <w:sz w:val="24"/>
          <w:szCs w:val="24"/>
          <w:highlight w:val="none"/>
        </w:rPr>
        <w:t>在线</w:t>
      </w:r>
      <w:r>
        <w:rPr>
          <w:rFonts w:hint="eastAsia" w:ascii="宋体" w:hAnsi="宋体" w:eastAsia="宋体" w:cs="宋体"/>
          <w:color w:val="000000"/>
          <w:sz w:val="24"/>
          <w:szCs w:val="24"/>
          <w:highlight w:val="none"/>
        </w:rPr>
        <w:t>作出书面的补充响应承诺。评审专家组长将《技术与商务条款补充响应承诺书》在线发放给供应商,供应商将自己的响应承诺意见以及对《响应文件》的澄清、说明或纠正事项按规定时间填写完毕后在线提交。《技术与商务条款补充响应承诺书》发出20分钟内须进行响应，未响应或不需要补充响应承诺的，磋商小组可以同步发起《技术与商务条款补充响应承诺书》和价格磋商。</w:t>
      </w:r>
    </w:p>
    <w:p w14:paraId="4E0ADE08">
      <w:pPr>
        <w:spacing w:line="500" w:lineRule="exact"/>
        <w:rPr>
          <w:rFonts w:hint="eastAsia" w:ascii="宋体" w:hAnsi="宋体" w:eastAsia="宋体" w:cs="宋体"/>
          <w:b/>
          <w:bCs/>
          <w:color w:val="000000"/>
          <w:kern w:val="15"/>
          <w:sz w:val="24"/>
          <w:szCs w:val="24"/>
          <w:highlight w:val="none"/>
        </w:rPr>
      </w:pPr>
      <w:r>
        <w:rPr>
          <w:rFonts w:hint="eastAsia" w:ascii="宋体" w:hAnsi="宋体" w:eastAsia="宋体" w:cs="宋体"/>
          <w:b/>
          <w:bCs/>
          <w:color w:val="000000"/>
          <w:kern w:val="15"/>
          <w:sz w:val="24"/>
          <w:szCs w:val="24"/>
          <w:highlight w:val="none"/>
        </w:rPr>
        <w:t>5.9符合性审查</w:t>
      </w:r>
    </w:p>
    <w:p w14:paraId="105F7CF8">
      <w:pPr>
        <w:widowControl/>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5.9.1</w:t>
      </w:r>
      <w:r>
        <w:rPr>
          <w:rFonts w:hint="eastAsia" w:ascii="宋体" w:hAnsi="宋体" w:eastAsia="宋体" w:cs="宋体"/>
          <w:bCs/>
          <w:color w:val="000000"/>
          <w:sz w:val="24"/>
          <w:szCs w:val="24"/>
          <w:highlight w:val="none"/>
        </w:rPr>
        <w:t>符合性审查：</w:t>
      </w:r>
      <w:r>
        <w:rPr>
          <w:rFonts w:hint="eastAsia" w:ascii="宋体" w:hAnsi="宋体" w:eastAsia="宋体" w:cs="宋体"/>
          <w:color w:val="000000"/>
          <w:sz w:val="24"/>
          <w:szCs w:val="24"/>
          <w:highlight w:val="none"/>
        </w:rPr>
        <w:t>磋商小组成员根据供应商的《响应文件》、磋商情况进行符合性审查，以确定供应商《响应文件》是否在技术和商务方面均能满足磋商文件实质性响应要求。</w:t>
      </w:r>
    </w:p>
    <w:p w14:paraId="2DF5B768">
      <w:pPr>
        <w:spacing w:line="5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5.10</w:t>
      </w:r>
      <w:r>
        <w:rPr>
          <w:rFonts w:hint="eastAsia" w:ascii="宋体" w:hAnsi="宋体" w:eastAsia="宋体" w:cs="宋体"/>
          <w:b/>
          <w:bCs/>
          <w:color w:val="000000"/>
          <w:kern w:val="15"/>
          <w:sz w:val="24"/>
          <w:szCs w:val="24"/>
          <w:highlight w:val="none"/>
        </w:rPr>
        <w:t>价格磋商</w:t>
      </w:r>
      <w:r>
        <w:rPr>
          <w:rFonts w:hint="eastAsia" w:ascii="宋体" w:hAnsi="宋体" w:eastAsia="宋体" w:cs="宋体"/>
          <w:b/>
          <w:color w:val="000000"/>
          <w:sz w:val="24"/>
          <w:szCs w:val="24"/>
          <w:highlight w:val="none"/>
        </w:rPr>
        <w:t>：</w:t>
      </w:r>
    </w:p>
    <w:p w14:paraId="069D2132">
      <w:pPr>
        <w:spacing w:line="500" w:lineRule="exact"/>
        <w:ind w:firstLine="470" w:firstLineChars="196"/>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根据磋商小组的意见概述谈判中各供应商的报价与市场价格的偏离情况，要求供应商进行报价。评审专家组长将报价表在线发给各供应商，各供应商在线按规定时间填写完毕后在线提交磋商小组评审。磋商小组根据供应商的报价情况确定报价的轮数，供应商在最后一轮填写的报价即为自己参加本次磋商的最后报价，最后报价是供应商响应文件的有效组成部分，以最后报价参与价格评分。</w:t>
      </w:r>
    </w:p>
    <w:p w14:paraId="6B59A610">
      <w:pPr>
        <w:spacing w:line="500" w:lineRule="exact"/>
        <w:rPr>
          <w:rFonts w:hint="eastAsia" w:ascii="宋体" w:hAnsi="宋体" w:eastAsia="宋体" w:cs="宋体"/>
          <w:b/>
          <w:bCs/>
          <w:color w:val="000000"/>
          <w:kern w:val="15"/>
          <w:sz w:val="24"/>
          <w:szCs w:val="24"/>
          <w:highlight w:val="none"/>
        </w:rPr>
      </w:pPr>
      <w:r>
        <w:rPr>
          <w:rFonts w:hint="eastAsia" w:ascii="宋体" w:hAnsi="宋体" w:eastAsia="宋体" w:cs="宋体"/>
          <w:b/>
          <w:bCs/>
          <w:color w:val="000000"/>
          <w:kern w:val="15"/>
          <w:sz w:val="24"/>
          <w:szCs w:val="24"/>
          <w:highlight w:val="none"/>
        </w:rPr>
        <w:t>5.11综合评分：</w:t>
      </w:r>
    </w:p>
    <w:p w14:paraId="41D51F54">
      <w:pPr>
        <w:spacing w:line="500" w:lineRule="exact"/>
        <w:ind w:firstLine="480" w:firstLineChars="200"/>
        <w:rPr>
          <w:rFonts w:hint="eastAsia" w:ascii="宋体" w:hAnsi="宋体" w:eastAsia="宋体" w:cs="宋体"/>
          <w:b/>
          <w:bCs/>
          <w:color w:val="000000"/>
          <w:kern w:val="15"/>
          <w:sz w:val="24"/>
          <w:szCs w:val="24"/>
          <w:highlight w:val="none"/>
        </w:rPr>
      </w:pPr>
      <w:r>
        <w:rPr>
          <w:rFonts w:hint="eastAsia" w:ascii="宋体" w:hAnsi="宋体" w:eastAsia="宋体" w:cs="宋体"/>
          <w:bCs/>
          <w:color w:val="000000"/>
          <w:kern w:val="15"/>
          <w:sz w:val="24"/>
          <w:szCs w:val="24"/>
          <w:highlight w:val="none"/>
        </w:rPr>
        <w:t>经磋商确定提交最后报价的供应商后，由磋商小组采用综合评分法对提交最后报价的供应商的响应文件和最后报价进行综合评分。评审时，磋商小组各成员应当独立对每个有效响应的文件进行评价、打分，然后汇总每个供应商每项评分因素的得分。</w:t>
      </w:r>
    </w:p>
    <w:p w14:paraId="2300CD74">
      <w:pPr>
        <w:pStyle w:val="7"/>
        <w:spacing w:line="500" w:lineRule="exact"/>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5.12推荐成交候选人：</w:t>
      </w:r>
    </w:p>
    <w:p w14:paraId="2D888F82">
      <w:pPr>
        <w:spacing w:line="500" w:lineRule="exact"/>
        <w:ind w:firstLine="480" w:firstLineChars="200"/>
        <w:rPr>
          <w:rFonts w:hint="eastAsia" w:ascii="宋体" w:hAnsi="宋体" w:eastAsia="宋体" w:cs="宋体"/>
          <w:bCs/>
          <w:color w:val="000000"/>
          <w:kern w:val="15"/>
          <w:sz w:val="24"/>
          <w:szCs w:val="24"/>
          <w:highlight w:val="none"/>
        </w:rPr>
      </w:pPr>
      <w:r>
        <w:rPr>
          <w:rFonts w:hint="eastAsia" w:ascii="宋体" w:hAnsi="宋体" w:eastAsia="宋体" w:cs="宋体"/>
          <w:bCs/>
          <w:color w:val="000000"/>
          <w:kern w:val="15"/>
          <w:sz w:val="24"/>
          <w:szCs w:val="24"/>
          <w:highlight w:val="none"/>
        </w:rPr>
        <w:t>磋商小组应当根据综合评分情况，按照评审得分由高到低顺序推荐3名成交候选供应商，并编写《竞争性磋商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4D5FA9F">
      <w:pPr>
        <w:spacing w:line="500" w:lineRule="exact"/>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5.13 </w:t>
      </w:r>
      <w:r>
        <w:rPr>
          <w:rFonts w:hint="eastAsia" w:ascii="宋体" w:hAnsi="宋体" w:eastAsia="宋体" w:cs="宋体"/>
          <w:color w:val="000000"/>
          <w:sz w:val="24"/>
          <w:szCs w:val="24"/>
          <w:highlight w:val="none"/>
        </w:rPr>
        <w:t>公布成交候选供应商。</w:t>
      </w:r>
    </w:p>
    <w:p w14:paraId="015F3D4E">
      <w:pPr>
        <w:spacing w:line="500" w:lineRule="exact"/>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5.14 </w:t>
      </w:r>
      <w:r>
        <w:rPr>
          <w:rFonts w:hint="eastAsia" w:ascii="宋体" w:hAnsi="宋体" w:eastAsia="宋体" w:cs="宋体"/>
          <w:color w:val="000000"/>
          <w:sz w:val="24"/>
          <w:szCs w:val="24"/>
          <w:highlight w:val="none"/>
        </w:rPr>
        <w:t>磋商会议结束。</w:t>
      </w:r>
    </w:p>
    <w:p w14:paraId="37C3389A">
      <w:pPr>
        <w:spacing w:line="417" w:lineRule="auto"/>
        <w:ind w:right="21" w:firstLine="480" w:firstLineChars="200"/>
        <w:rPr>
          <w:rFonts w:hint="eastAsia" w:ascii="宋体" w:hAnsi="宋体" w:eastAsia="宋体" w:cs="宋体"/>
          <w:color w:val="000000"/>
          <w:sz w:val="24"/>
          <w:szCs w:val="24"/>
          <w:highlight w:val="none"/>
        </w:rPr>
        <w:sectPr>
          <w:footerReference r:id="rId4" w:type="default"/>
          <w:pgSz w:w="11910" w:h="16840"/>
          <w:pgMar w:top="1200" w:right="1418" w:bottom="1134" w:left="1588" w:header="0" w:footer="825" w:gutter="0"/>
          <w:pgNumType w:fmt="decimal"/>
          <w:cols w:space="720" w:num="1"/>
        </w:sectPr>
      </w:pPr>
    </w:p>
    <w:p w14:paraId="69B36954">
      <w:pPr>
        <w:pStyle w:val="5"/>
        <w:jc w:val="center"/>
        <w:outlineLvl w:val="0"/>
        <w:rPr>
          <w:rFonts w:hint="eastAsia" w:ascii="宋体" w:hAnsi="宋体" w:eastAsia="宋体" w:cs="宋体"/>
          <w:color w:val="000000"/>
          <w:sz w:val="44"/>
          <w:highlight w:val="none"/>
        </w:rPr>
      </w:pPr>
      <w:bookmarkStart w:id="76" w:name="_Toc2571"/>
      <w:bookmarkStart w:id="77" w:name="_Toc19892"/>
      <w:r>
        <w:rPr>
          <w:rFonts w:hint="eastAsia" w:ascii="宋体" w:hAnsi="宋体" w:eastAsia="宋体" w:cs="宋体"/>
          <w:color w:val="000000"/>
          <w:sz w:val="44"/>
          <w:highlight w:val="none"/>
        </w:rPr>
        <w:t>第六章</w:t>
      </w:r>
      <w:r>
        <w:rPr>
          <w:rFonts w:hint="eastAsia" w:ascii="宋体" w:hAnsi="宋体" w:eastAsia="宋体" w:cs="宋体"/>
          <w:color w:val="000000"/>
          <w:sz w:val="44"/>
          <w:highlight w:val="none"/>
          <w:lang w:val="en-US" w:eastAsia="zh-CN"/>
        </w:rPr>
        <w:t xml:space="preserve">  </w:t>
      </w:r>
      <w:r>
        <w:rPr>
          <w:rFonts w:hint="eastAsia" w:ascii="宋体" w:hAnsi="宋体" w:eastAsia="宋体" w:cs="宋体"/>
          <w:color w:val="000000"/>
          <w:sz w:val="44"/>
          <w:highlight w:val="none"/>
        </w:rPr>
        <w:t>评分标准</w:t>
      </w:r>
      <w:bookmarkEnd w:id="76"/>
      <w:bookmarkEnd w:id="77"/>
    </w:p>
    <w:p w14:paraId="1424BEAC">
      <w:pPr>
        <w:keepNext w:val="0"/>
        <w:keepLines w:val="0"/>
        <w:pageBreakBefore w:val="0"/>
        <w:widowControl/>
        <w:numPr>
          <w:ilvl w:val="0"/>
          <w:numId w:val="3"/>
        </w:numPr>
        <w:kinsoku/>
        <w:wordWrap/>
        <w:overflowPunct/>
        <w:topLinePunct w:val="0"/>
        <w:autoSpaceDE/>
        <w:autoSpaceDN/>
        <w:bidi w:val="0"/>
        <w:adjustRightInd/>
        <w:snapToGrid/>
        <w:spacing w:before="300" w:beforeLines="100"/>
        <w:ind w:left="901" w:hanging="901"/>
        <w:jc w:val="both"/>
        <w:textAlignment w:val="auto"/>
        <w:rPr>
          <w:rFonts w:hint="eastAsia" w:ascii="宋体" w:hAnsi="宋体" w:eastAsia="宋体" w:cs="宋体"/>
          <w:b/>
          <w:bCs/>
          <w:color w:val="000000"/>
          <w:sz w:val="32"/>
          <w:highlight w:val="none"/>
        </w:rPr>
      </w:pPr>
      <w:r>
        <w:rPr>
          <w:rFonts w:hint="eastAsia" w:ascii="宋体" w:hAnsi="宋体" w:eastAsia="宋体" w:cs="宋体"/>
          <w:b/>
          <w:bCs/>
          <w:color w:val="000000"/>
          <w:sz w:val="32"/>
          <w:highlight w:val="none"/>
        </w:rPr>
        <w:t>报价评分标准（满分</w:t>
      </w:r>
      <w:r>
        <w:rPr>
          <w:rFonts w:hint="eastAsia" w:ascii="宋体" w:hAnsi="宋体" w:eastAsia="宋体" w:cs="宋体"/>
          <w:b/>
          <w:bCs/>
          <w:color w:val="000000"/>
          <w:sz w:val="32"/>
          <w:highlight w:val="none"/>
          <w:lang w:val="en-US"/>
        </w:rPr>
        <w:t>10</w:t>
      </w:r>
      <w:r>
        <w:rPr>
          <w:rFonts w:hint="eastAsia" w:ascii="宋体" w:hAnsi="宋体" w:eastAsia="宋体" w:cs="宋体"/>
          <w:b/>
          <w:bCs/>
          <w:color w:val="000000"/>
          <w:sz w:val="32"/>
          <w:highlight w:val="none"/>
        </w:rPr>
        <w:t>分）</w:t>
      </w:r>
    </w:p>
    <w:tbl>
      <w:tblPr>
        <w:tblStyle w:val="13"/>
        <w:tblW w:w="9562" w:type="dxa"/>
        <w:jc w:val="center"/>
        <w:tblLayout w:type="fixed"/>
        <w:tblCellMar>
          <w:top w:w="0" w:type="dxa"/>
          <w:left w:w="108" w:type="dxa"/>
          <w:bottom w:w="0" w:type="dxa"/>
          <w:right w:w="108" w:type="dxa"/>
        </w:tblCellMar>
      </w:tblPr>
      <w:tblGrid>
        <w:gridCol w:w="755"/>
        <w:gridCol w:w="1212"/>
        <w:gridCol w:w="1193"/>
        <w:gridCol w:w="5603"/>
        <w:gridCol w:w="799"/>
      </w:tblGrid>
      <w:tr w14:paraId="67F7D8AB">
        <w:tblPrEx>
          <w:tblCellMar>
            <w:top w:w="0" w:type="dxa"/>
            <w:left w:w="108" w:type="dxa"/>
            <w:bottom w:w="0" w:type="dxa"/>
            <w:right w:w="108" w:type="dxa"/>
          </w:tblCellMar>
        </w:tblPrEx>
        <w:trPr>
          <w:trHeight w:val="397" w:hRule="atLeast"/>
          <w:jc w:val="center"/>
        </w:trPr>
        <w:tc>
          <w:tcPr>
            <w:tcW w:w="755" w:type="dxa"/>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5377F74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2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A48B4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评审因素</w:t>
            </w:r>
          </w:p>
        </w:tc>
        <w:tc>
          <w:tcPr>
            <w:tcW w:w="119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A36D7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分值标准</w:t>
            </w:r>
          </w:p>
        </w:tc>
        <w:tc>
          <w:tcPr>
            <w:tcW w:w="56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02078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评分标准说明</w:t>
            </w:r>
          </w:p>
        </w:tc>
        <w:tc>
          <w:tcPr>
            <w:tcW w:w="799" w:type="dxa"/>
            <w:tcBorders>
              <w:top w:val="single" w:color="auto" w:sz="4" w:space="0"/>
              <w:left w:val="nil"/>
              <w:bottom w:val="single" w:color="auto" w:sz="4" w:space="0"/>
              <w:right w:val="single" w:color="auto" w:sz="4" w:space="0"/>
            </w:tcBorders>
            <w:shd w:val="clear" w:color="000000" w:fill="FFFFFF"/>
            <w:noWrap w:val="0"/>
            <w:vAlign w:val="center"/>
          </w:tcPr>
          <w:p w14:paraId="0E397D8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14:paraId="654AED15">
        <w:tblPrEx>
          <w:tblCellMar>
            <w:top w:w="0" w:type="dxa"/>
            <w:left w:w="108" w:type="dxa"/>
            <w:bottom w:w="0" w:type="dxa"/>
            <w:right w:w="108" w:type="dxa"/>
          </w:tblCellMar>
        </w:tblPrEx>
        <w:trPr>
          <w:trHeight w:val="814" w:hRule="atLeast"/>
          <w:jc w:val="center"/>
        </w:trPr>
        <w:tc>
          <w:tcPr>
            <w:tcW w:w="7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744B92">
            <w:pPr>
              <w:spacing w:line="276"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2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0EA92A">
            <w:pPr>
              <w:spacing w:line="276"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1193" w:type="dxa"/>
            <w:tcBorders>
              <w:top w:val="single" w:color="auto" w:sz="4" w:space="0"/>
              <w:left w:val="nil"/>
              <w:bottom w:val="single" w:color="auto" w:sz="4" w:space="0"/>
              <w:right w:val="single" w:color="auto" w:sz="4" w:space="0"/>
            </w:tcBorders>
            <w:shd w:val="clear" w:color="000000" w:fill="FFFFFF"/>
            <w:noWrap w:val="0"/>
            <w:vAlign w:val="center"/>
          </w:tcPr>
          <w:p w14:paraId="101375F1">
            <w:pPr>
              <w:spacing w:line="276" w:lineRule="auto"/>
              <w:ind w:firstLine="120" w:firstLineChars="5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10</w:t>
            </w:r>
            <w:r>
              <w:rPr>
                <w:rFonts w:hint="eastAsia" w:ascii="宋体" w:hAnsi="宋体" w:eastAsia="宋体" w:cs="宋体"/>
                <w:color w:val="000000"/>
                <w:sz w:val="24"/>
                <w:szCs w:val="24"/>
                <w:highlight w:val="none"/>
              </w:rPr>
              <w:t>分</w:t>
            </w:r>
          </w:p>
        </w:tc>
        <w:tc>
          <w:tcPr>
            <w:tcW w:w="5603" w:type="dxa"/>
            <w:tcBorders>
              <w:top w:val="single" w:color="auto" w:sz="4" w:space="0"/>
              <w:left w:val="nil"/>
              <w:bottom w:val="single" w:color="auto" w:sz="4" w:space="0"/>
              <w:right w:val="single" w:color="auto" w:sz="4" w:space="0"/>
            </w:tcBorders>
            <w:shd w:val="clear" w:color="000000" w:fill="FFFFFF"/>
            <w:noWrap w:val="0"/>
            <w:vAlign w:val="center"/>
          </w:tcPr>
          <w:p w14:paraId="2F7191C1">
            <w:pPr>
              <w:spacing w:before="25"/>
              <w:ind w:left="4"/>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投标报价得分＝有效的最低投标总报价/投标人的有效投标总报价×10（得分四舍五入保留2位小数）</w:t>
            </w:r>
          </w:p>
        </w:tc>
        <w:tc>
          <w:tcPr>
            <w:tcW w:w="799" w:type="dxa"/>
            <w:tcBorders>
              <w:top w:val="single" w:color="auto" w:sz="4" w:space="0"/>
              <w:left w:val="nil"/>
              <w:bottom w:val="single" w:color="auto" w:sz="4" w:space="0"/>
              <w:right w:val="single" w:color="auto" w:sz="4" w:space="0"/>
            </w:tcBorders>
            <w:shd w:val="clear" w:color="000000" w:fill="FFFFFF"/>
            <w:noWrap w:val="0"/>
            <w:vAlign w:val="center"/>
          </w:tcPr>
          <w:p w14:paraId="63939633">
            <w:pPr>
              <w:spacing w:line="276" w:lineRule="auto"/>
              <w:ind w:firstLine="480" w:firstLineChars="200"/>
              <w:rPr>
                <w:rFonts w:hint="eastAsia" w:ascii="宋体" w:hAnsi="宋体" w:eastAsia="宋体" w:cs="宋体"/>
                <w:color w:val="000000"/>
                <w:sz w:val="24"/>
                <w:szCs w:val="24"/>
                <w:highlight w:val="none"/>
              </w:rPr>
            </w:pPr>
          </w:p>
        </w:tc>
      </w:tr>
    </w:tbl>
    <w:p w14:paraId="0017892B">
      <w:pPr>
        <w:pStyle w:val="23"/>
        <w:keepNext w:val="0"/>
        <w:keepLines w:val="0"/>
        <w:pageBreakBefore w:val="0"/>
        <w:widowControl w:val="0"/>
        <w:numPr>
          <w:ilvl w:val="0"/>
          <w:numId w:val="3"/>
        </w:numPr>
        <w:kinsoku/>
        <w:wordWrap/>
        <w:overflowPunct/>
        <w:topLinePunct w:val="0"/>
        <w:autoSpaceDE w:val="0"/>
        <w:autoSpaceDN w:val="0"/>
        <w:bidi w:val="0"/>
        <w:adjustRightInd/>
        <w:snapToGrid/>
        <w:spacing w:before="898" w:beforeLines="300"/>
        <w:ind w:left="901" w:hanging="901" w:firstLineChars="0"/>
        <w:textAlignment w:val="auto"/>
        <w:rPr>
          <w:rFonts w:hint="eastAsia" w:ascii="宋体" w:hAnsi="宋体" w:eastAsia="宋体" w:cs="宋体"/>
          <w:b/>
          <w:bCs/>
          <w:color w:val="000000"/>
          <w:sz w:val="32"/>
          <w:highlight w:val="none"/>
        </w:rPr>
      </w:pPr>
      <w:r>
        <w:rPr>
          <w:rFonts w:hint="eastAsia" w:ascii="宋体" w:hAnsi="宋体" w:eastAsia="宋体" w:cs="宋体"/>
          <w:b/>
          <w:bCs/>
          <w:color w:val="000000"/>
          <w:sz w:val="32"/>
          <w:highlight w:val="none"/>
        </w:rPr>
        <w:t>技术评分标准（满分</w:t>
      </w:r>
      <w:r>
        <w:rPr>
          <w:rFonts w:hint="eastAsia" w:eastAsia="宋体" w:cs="宋体"/>
          <w:b/>
          <w:bCs/>
          <w:color w:val="000000"/>
          <w:sz w:val="32"/>
          <w:highlight w:val="none"/>
          <w:lang w:val="en-US" w:eastAsia="zh-CN"/>
        </w:rPr>
        <w:t>15</w:t>
      </w:r>
      <w:r>
        <w:rPr>
          <w:rFonts w:hint="eastAsia" w:ascii="宋体" w:hAnsi="宋体" w:eastAsia="宋体" w:cs="宋体"/>
          <w:b/>
          <w:bCs/>
          <w:color w:val="000000"/>
          <w:sz w:val="32"/>
          <w:highlight w:val="none"/>
        </w:rPr>
        <w:t>分</w:t>
      </w:r>
      <w:bookmarkStart w:id="78" w:name="_Toc347731829"/>
      <w:r>
        <w:rPr>
          <w:rFonts w:hint="eastAsia" w:ascii="宋体" w:hAnsi="宋体" w:eastAsia="宋体" w:cs="宋体"/>
          <w:b/>
          <w:bCs/>
          <w:color w:val="000000"/>
          <w:sz w:val="32"/>
          <w:highlight w:val="none"/>
        </w:rPr>
        <w:t>）</w:t>
      </w:r>
    </w:p>
    <w:bookmarkEnd w:id="78"/>
    <w:tbl>
      <w:tblPr>
        <w:tblStyle w:val="13"/>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85"/>
        <w:gridCol w:w="1207"/>
        <w:gridCol w:w="5585"/>
        <w:gridCol w:w="764"/>
      </w:tblGrid>
      <w:tr w14:paraId="1030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44" w:type="dxa"/>
            <w:shd w:val="clear" w:color="000000" w:fill="FFFFFF"/>
            <w:noWrap w:val="0"/>
            <w:vAlign w:val="center"/>
          </w:tcPr>
          <w:p w14:paraId="6A4DCB6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185" w:type="dxa"/>
            <w:shd w:val="clear" w:color="000000" w:fill="FFFFFF"/>
            <w:noWrap w:val="0"/>
            <w:vAlign w:val="center"/>
          </w:tcPr>
          <w:p w14:paraId="59002FF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评审因素</w:t>
            </w:r>
          </w:p>
        </w:tc>
        <w:tc>
          <w:tcPr>
            <w:tcW w:w="1207" w:type="dxa"/>
            <w:shd w:val="clear" w:color="000000" w:fill="FFFFFF"/>
            <w:noWrap w:val="0"/>
            <w:vAlign w:val="center"/>
          </w:tcPr>
          <w:p w14:paraId="684FCE0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分值标准</w:t>
            </w:r>
          </w:p>
        </w:tc>
        <w:tc>
          <w:tcPr>
            <w:tcW w:w="5585" w:type="dxa"/>
            <w:shd w:val="clear" w:color="000000" w:fill="FFFFFF"/>
            <w:noWrap w:val="0"/>
            <w:vAlign w:val="center"/>
          </w:tcPr>
          <w:p w14:paraId="46B1C49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评分标准说明</w:t>
            </w:r>
          </w:p>
        </w:tc>
        <w:tc>
          <w:tcPr>
            <w:tcW w:w="764" w:type="dxa"/>
            <w:shd w:val="clear" w:color="000000" w:fill="FFFFFF"/>
            <w:noWrap w:val="0"/>
            <w:vAlign w:val="center"/>
          </w:tcPr>
          <w:p w14:paraId="34DC05A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14:paraId="27EF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744" w:type="dxa"/>
            <w:shd w:val="clear" w:color="000000" w:fill="FFFFFF"/>
            <w:noWrap w:val="0"/>
            <w:vAlign w:val="center"/>
          </w:tcPr>
          <w:p w14:paraId="5D961699">
            <w:pPr>
              <w:spacing w:before="25"/>
              <w:ind w:left="4"/>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1</w:t>
            </w:r>
          </w:p>
        </w:tc>
        <w:tc>
          <w:tcPr>
            <w:tcW w:w="1185" w:type="dxa"/>
            <w:shd w:val="clear" w:color="000000" w:fill="FFFFFF"/>
            <w:noWrap w:val="0"/>
            <w:vAlign w:val="center"/>
          </w:tcPr>
          <w:p w14:paraId="16AFDFD0">
            <w:pPr>
              <w:spacing w:before="25"/>
              <w:ind w:left="4"/>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技术</w:t>
            </w:r>
            <w:r>
              <w:rPr>
                <w:rFonts w:hint="eastAsia" w:ascii="宋体" w:hAnsi="宋体" w:eastAsia="宋体" w:cs="宋体"/>
                <w:color w:val="000000"/>
                <w:sz w:val="24"/>
                <w:szCs w:val="24"/>
                <w:highlight w:val="none"/>
                <w:lang w:val="en-US" w:eastAsia="zh-CN"/>
              </w:rPr>
              <w:t>实施及售后</w:t>
            </w:r>
            <w:r>
              <w:rPr>
                <w:rFonts w:hint="eastAsia" w:ascii="宋体" w:hAnsi="宋体" w:eastAsia="宋体" w:cs="宋体"/>
                <w:color w:val="000000"/>
                <w:sz w:val="24"/>
                <w:szCs w:val="24"/>
                <w:highlight w:val="none"/>
                <w:lang w:val="en-US"/>
              </w:rPr>
              <w:t>方案</w:t>
            </w:r>
          </w:p>
        </w:tc>
        <w:tc>
          <w:tcPr>
            <w:tcW w:w="1207" w:type="dxa"/>
            <w:shd w:val="clear" w:color="000000" w:fill="FFFFFF"/>
            <w:noWrap w:val="0"/>
            <w:vAlign w:val="center"/>
          </w:tcPr>
          <w:p w14:paraId="0D8EF7C2">
            <w:pPr>
              <w:spacing w:before="25"/>
              <w:ind w:left="4"/>
              <w:jc w:val="center"/>
              <w:rPr>
                <w:rFonts w:hint="default"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分</w:t>
            </w:r>
          </w:p>
        </w:tc>
        <w:tc>
          <w:tcPr>
            <w:tcW w:w="5585" w:type="dxa"/>
            <w:shd w:val="clear" w:color="000000" w:fill="FFFFFF"/>
            <w:noWrap w:val="0"/>
            <w:vAlign w:val="center"/>
          </w:tcPr>
          <w:p w14:paraId="4CB589BE">
            <w:pPr>
              <w:spacing w:before="25"/>
              <w:ind w:left="4"/>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供应商根据项目需求提供对项目理解、项目实施情况及售后服务的表述，内容包括但不限于对项目现状理解分析、对项目要达成的目标、技术工作的专业性、规范性以及售后技术响应、响应时间、售后人员等。</w:t>
            </w:r>
          </w:p>
          <w:p w14:paraId="763A022D">
            <w:pPr>
              <w:spacing w:before="25"/>
              <w:ind w:left="4"/>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（1）方案措施完善具体、合理可行、针对性很强的得15分；</w:t>
            </w:r>
          </w:p>
          <w:p w14:paraId="24981AAD">
            <w:pPr>
              <w:spacing w:before="25"/>
              <w:ind w:left="4"/>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（2）方案措施比较完善具体、比较合理可行、针对性比较强的得12分；</w:t>
            </w:r>
          </w:p>
          <w:p w14:paraId="30A2ED87">
            <w:pPr>
              <w:spacing w:before="25"/>
              <w:ind w:left="4"/>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（3）方案措施较为具体、具有一定针对性的得9分；</w:t>
            </w:r>
          </w:p>
          <w:p w14:paraId="6CB0B2CF">
            <w:pPr>
              <w:spacing w:before="25"/>
              <w:ind w:left="4"/>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（4）方案措施不具体、针对性差的得6分；</w:t>
            </w:r>
          </w:p>
          <w:p w14:paraId="45B8B86C">
            <w:pPr>
              <w:spacing w:before="25"/>
              <w:ind w:left="4"/>
              <w:jc w:val="left"/>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注：需提供项目实施方案，未提供不得分，格式自拟。</w:t>
            </w:r>
          </w:p>
        </w:tc>
        <w:tc>
          <w:tcPr>
            <w:tcW w:w="764" w:type="dxa"/>
            <w:shd w:val="clear" w:color="000000" w:fill="FFFFFF"/>
            <w:noWrap w:val="0"/>
            <w:vAlign w:val="center"/>
          </w:tcPr>
          <w:p w14:paraId="2F1E65C6">
            <w:pPr>
              <w:spacing w:line="276" w:lineRule="auto"/>
              <w:ind w:firstLine="480" w:firstLineChars="200"/>
              <w:rPr>
                <w:rFonts w:hint="eastAsia" w:ascii="宋体" w:hAnsi="宋体" w:eastAsia="宋体" w:cs="宋体"/>
                <w:color w:val="000000"/>
                <w:sz w:val="24"/>
                <w:szCs w:val="24"/>
                <w:highlight w:val="none"/>
                <w:lang w:val="en-US"/>
              </w:rPr>
            </w:pPr>
          </w:p>
        </w:tc>
      </w:tr>
    </w:tbl>
    <w:p w14:paraId="0540A13C">
      <w:pPr>
        <w:pStyle w:val="23"/>
        <w:keepNext w:val="0"/>
        <w:keepLines w:val="0"/>
        <w:pageBreakBefore w:val="0"/>
        <w:widowControl w:val="0"/>
        <w:numPr>
          <w:ilvl w:val="0"/>
          <w:numId w:val="3"/>
        </w:numPr>
        <w:kinsoku/>
        <w:wordWrap/>
        <w:overflowPunct/>
        <w:topLinePunct w:val="0"/>
        <w:autoSpaceDE w:val="0"/>
        <w:autoSpaceDN w:val="0"/>
        <w:bidi w:val="0"/>
        <w:adjustRightInd/>
        <w:snapToGrid/>
        <w:spacing w:before="898" w:beforeLines="300"/>
        <w:ind w:left="901" w:hanging="901" w:firstLineChars="0"/>
        <w:textAlignment w:val="auto"/>
        <w:rPr>
          <w:rFonts w:hint="eastAsia" w:ascii="宋体" w:hAnsi="宋体" w:eastAsia="宋体" w:cs="宋体"/>
          <w:b/>
          <w:bCs/>
          <w:color w:val="000000"/>
          <w:sz w:val="32"/>
          <w:highlight w:val="none"/>
        </w:rPr>
      </w:pPr>
      <w:r>
        <w:rPr>
          <w:rFonts w:hint="eastAsia" w:ascii="宋体" w:hAnsi="宋体" w:eastAsia="宋体" w:cs="宋体"/>
          <w:b/>
          <w:bCs/>
          <w:color w:val="000000"/>
          <w:sz w:val="32"/>
          <w:highlight w:val="none"/>
        </w:rPr>
        <w:t>商务评分标准（满分</w:t>
      </w:r>
      <w:r>
        <w:rPr>
          <w:rFonts w:hint="eastAsia" w:ascii="宋体" w:hAnsi="宋体" w:eastAsia="宋体" w:cs="宋体"/>
          <w:b/>
          <w:bCs/>
          <w:color w:val="000000"/>
          <w:sz w:val="32"/>
          <w:highlight w:val="none"/>
          <w:lang w:val="en-US" w:eastAsia="zh-CN"/>
        </w:rPr>
        <w:t>75</w:t>
      </w:r>
      <w:r>
        <w:rPr>
          <w:rFonts w:hint="eastAsia" w:ascii="宋体" w:hAnsi="宋体" w:eastAsia="宋体" w:cs="宋体"/>
          <w:b/>
          <w:bCs/>
          <w:color w:val="000000"/>
          <w:sz w:val="32"/>
          <w:highlight w:val="none"/>
        </w:rPr>
        <w:t>分）</w:t>
      </w:r>
    </w:p>
    <w:tbl>
      <w:tblPr>
        <w:tblStyle w:val="13"/>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282"/>
        <w:gridCol w:w="1255"/>
        <w:gridCol w:w="5466"/>
        <w:gridCol w:w="845"/>
      </w:tblGrid>
      <w:tr w14:paraId="69B6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shd w:val="clear" w:color="000000" w:fill="FFFFFF"/>
            <w:noWrap w:val="0"/>
            <w:vAlign w:val="center"/>
          </w:tcPr>
          <w:p w14:paraId="0E757FC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282" w:type="dxa"/>
            <w:shd w:val="clear" w:color="000000" w:fill="FFFFFF"/>
            <w:noWrap w:val="0"/>
            <w:vAlign w:val="center"/>
          </w:tcPr>
          <w:p w14:paraId="55C0E52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评审因素</w:t>
            </w:r>
          </w:p>
        </w:tc>
        <w:tc>
          <w:tcPr>
            <w:tcW w:w="1255" w:type="dxa"/>
            <w:shd w:val="clear" w:color="000000" w:fill="FFFFFF"/>
            <w:noWrap w:val="0"/>
            <w:vAlign w:val="center"/>
          </w:tcPr>
          <w:p w14:paraId="5D74D9E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分值标准</w:t>
            </w:r>
          </w:p>
        </w:tc>
        <w:tc>
          <w:tcPr>
            <w:tcW w:w="5466" w:type="dxa"/>
            <w:shd w:val="clear" w:color="000000" w:fill="FFFFFF"/>
            <w:noWrap w:val="0"/>
            <w:vAlign w:val="center"/>
          </w:tcPr>
          <w:p w14:paraId="6A2B91E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评分标准说明</w:t>
            </w:r>
          </w:p>
        </w:tc>
        <w:tc>
          <w:tcPr>
            <w:tcW w:w="845" w:type="dxa"/>
            <w:shd w:val="clear" w:color="000000" w:fill="FFFFFF"/>
            <w:noWrap w:val="0"/>
            <w:vAlign w:val="center"/>
          </w:tcPr>
          <w:p w14:paraId="53756676">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14:paraId="2CBD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24" w:type="dxa"/>
            <w:shd w:val="clear" w:color="000000" w:fill="FFFFFF"/>
            <w:noWrap w:val="0"/>
            <w:vAlign w:val="center"/>
          </w:tcPr>
          <w:p w14:paraId="5C8546E9">
            <w:pPr>
              <w:jc w:val="center"/>
              <w:rPr>
                <w:rFonts w:hint="eastAsia" w:ascii="宋体" w:hAnsi="宋体" w:eastAsia="宋体" w:cs="宋体"/>
                <w:color w:val="000000"/>
                <w:sz w:val="24"/>
                <w:szCs w:val="24"/>
                <w:highlight w:val="none"/>
                <w:lang w:eastAsia="zh-CN"/>
              </w:rPr>
            </w:pPr>
            <w:r>
              <w:rPr>
                <w:rFonts w:hint="eastAsia" w:eastAsia="宋体" w:cs="宋体"/>
                <w:color w:val="000000"/>
                <w:sz w:val="24"/>
                <w:szCs w:val="24"/>
                <w:highlight w:val="none"/>
                <w:lang w:val="en-US" w:eastAsia="zh-CN"/>
              </w:rPr>
              <w:t>1</w:t>
            </w:r>
          </w:p>
        </w:tc>
        <w:tc>
          <w:tcPr>
            <w:tcW w:w="1282" w:type="dxa"/>
            <w:shd w:val="clear" w:color="000000" w:fill="FFFFFF"/>
            <w:noWrap w:val="0"/>
            <w:vAlign w:val="center"/>
          </w:tcPr>
          <w:p w14:paraId="0D5DB878">
            <w:pPr>
              <w:widowControl/>
              <w:ind w:firstLine="0" w:firstLineChars="0"/>
              <w:jc w:val="center"/>
              <w:textAlignment w:val="center"/>
              <w:rPr>
                <w:rFonts w:hint="eastAsia" w:ascii="宋体" w:hAnsi="宋体" w:eastAsia="宋体" w:cs="宋体"/>
                <w:color w:val="000000"/>
                <w:sz w:val="24"/>
                <w:szCs w:val="24"/>
                <w:highlight w:val="none"/>
                <w:lang w:val="en-US" w:bidi="ar-SA"/>
              </w:rPr>
            </w:pPr>
            <w:r>
              <w:rPr>
                <w:rFonts w:hint="eastAsia" w:ascii="宋体" w:hAnsi="宋体" w:eastAsia="宋体" w:cs="宋体"/>
                <w:color w:val="auto"/>
                <w:spacing w:val="0"/>
                <w:w w:val="100"/>
                <w:position w:val="0"/>
                <w:sz w:val="24"/>
                <w:szCs w:val="24"/>
              </w:rPr>
              <w:t>投标人</w:t>
            </w:r>
            <w:r>
              <w:rPr>
                <w:rFonts w:hint="eastAsia" w:ascii="宋体" w:hAnsi="宋体" w:eastAsia="宋体" w:cs="宋体"/>
                <w:color w:val="auto"/>
                <w:spacing w:val="0"/>
                <w:w w:val="100"/>
                <w:position w:val="0"/>
                <w:sz w:val="24"/>
                <w:szCs w:val="24"/>
                <w:lang w:eastAsia="zh-CN"/>
              </w:rPr>
              <w:t>综合实力</w:t>
            </w:r>
            <w:r>
              <w:rPr>
                <w:rFonts w:hint="eastAsia" w:ascii="宋体" w:hAnsi="宋体" w:eastAsia="宋体" w:cs="宋体"/>
                <w:color w:val="auto"/>
                <w:spacing w:val="0"/>
                <w:w w:val="100"/>
                <w:position w:val="0"/>
                <w:sz w:val="24"/>
                <w:szCs w:val="24"/>
              </w:rPr>
              <w:t>资质认证</w:t>
            </w:r>
          </w:p>
        </w:tc>
        <w:tc>
          <w:tcPr>
            <w:tcW w:w="1255" w:type="dxa"/>
            <w:shd w:val="clear" w:color="000000" w:fill="FFFFFF"/>
            <w:noWrap w:val="0"/>
            <w:vAlign w:val="center"/>
          </w:tcPr>
          <w:p w14:paraId="1836FBE7">
            <w:pPr>
              <w:widowControl/>
              <w:ind w:firstLine="0" w:firstLineChars="0"/>
              <w:jc w:val="center"/>
              <w:textAlignment w:val="center"/>
              <w:rPr>
                <w:rFonts w:hint="default" w:ascii="宋体" w:hAnsi="宋体" w:eastAsia="宋体" w:cs="宋体"/>
                <w:color w:val="000000"/>
                <w:sz w:val="24"/>
                <w:szCs w:val="24"/>
                <w:highlight w:val="none"/>
                <w:lang w:val="en-US" w:bidi="ar-SA"/>
              </w:rPr>
            </w:pPr>
            <w:r>
              <w:rPr>
                <w:rFonts w:hint="eastAsia"/>
                <w:color w:val="auto"/>
                <w:sz w:val="24"/>
                <w:szCs w:val="24"/>
                <w:lang w:val="en-US" w:eastAsia="zh-CN" w:bidi="ar"/>
              </w:rPr>
              <w:t>20</w:t>
            </w:r>
            <w:r>
              <w:rPr>
                <w:rFonts w:hint="eastAsia" w:ascii="宋体" w:hAnsi="宋体" w:eastAsia="宋体" w:cs="宋体"/>
                <w:color w:val="000000"/>
                <w:sz w:val="24"/>
                <w:szCs w:val="24"/>
                <w:highlight w:val="none"/>
              </w:rPr>
              <w:t>分</w:t>
            </w:r>
          </w:p>
        </w:tc>
        <w:tc>
          <w:tcPr>
            <w:tcW w:w="5466" w:type="dxa"/>
            <w:shd w:val="clear" w:color="000000" w:fill="FFFFFF"/>
            <w:noWrap w:val="0"/>
            <w:vAlign w:val="center"/>
          </w:tcPr>
          <w:p w14:paraId="506E725A">
            <w:pPr>
              <w:numPr>
                <w:ilvl w:val="0"/>
                <w:numId w:val="0"/>
              </w:numPr>
              <w:ind w:left="0" w:leftChars="0" w:firstLine="0" w:firstLineChars="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1）投标人同时具有有效的ISO9001（质量管理体系认证证书）、ISO27001（信息安全管理体系认证证书）、ISO20000（信息技术服务管理体系认证证书）、ISO14001（环境管理体系认证证书）、ISO45001（职业健康安全管理体系认证证书）得</w:t>
            </w:r>
            <w:r>
              <w:rPr>
                <w:rFonts w:hint="eastAsia"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rPr>
              <w:t>分，缺一项扣</w:t>
            </w:r>
            <w:r>
              <w:rPr>
                <w:rFonts w:hint="eastAsia"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rPr>
              <w:t>分，本项满分</w:t>
            </w:r>
            <w:r>
              <w:rPr>
                <w:rFonts w:hint="eastAsia"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rPr>
              <w:t>分，扣完为止。</w:t>
            </w:r>
          </w:p>
          <w:p w14:paraId="02DE54C3">
            <w:pPr>
              <w:numPr>
                <w:ilvl w:val="0"/>
                <w:numId w:val="0"/>
              </w:numPr>
              <w:ind w:left="0" w:leftChars="0" w:firstLine="0" w:firstLineChars="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（2）投标人具备有效的软件能力成熟度CMMI3级及以上证书得</w:t>
            </w:r>
            <w:r>
              <w:rPr>
                <w:rFonts w:hint="eastAsia"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rPr>
              <w:t>分，不提供不得分。</w:t>
            </w:r>
          </w:p>
          <w:p w14:paraId="1BA0805E">
            <w:pPr>
              <w:numPr>
                <w:ilvl w:val="0"/>
                <w:numId w:val="0"/>
              </w:numPr>
              <w:ind w:left="0" w:leftChars="0" w:firstLine="0" w:firstLineChars="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（3）投标人具有有效的“信息系统建设和服务能力评估（CS-2级）”及以上服务资质得</w:t>
            </w:r>
            <w:r>
              <w:rPr>
                <w:rFonts w:hint="eastAsia"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rPr>
              <w:t>分，不提供不得分。</w:t>
            </w:r>
          </w:p>
          <w:p w14:paraId="301B18D0">
            <w:pPr>
              <w:numPr>
                <w:ilvl w:val="0"/>
                <w:numId w:val="0"/>
              </w:numPr>
              <w:ind w:left="0" w:leftChars="0" w:firstLine="0" w:firstLineChars="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（4）投标人具有有效的ITSS信息技术服务运行维护标准三级及以上证书得</w:t>
            </w:r>
            <w:r>
              <w:rPr>
                <w:rFonts w:hint="eastAsia"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rPr>
              <w:t>分，不提供不得分。</w:t>
            </w:r>
          </w:p>
          <w:p w14:paraId="7D9539A7">
            <w:pPr>
              <w:numPr>
                <w:ilvl w:val="0"/>
                <w:numId w:val="0"/>
              </w:numPr>
              <w:ind w:left="0" w:leftChars="0" w:firstLine="0" w:firstLineChars="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（注：须提供与投标人名称一致的证书复印件并加盖公章，证书状态必须为有效，中标后原件备查）。</w:t>
            </w:r>
          </w:p>
        </w:tc>
        <w:tc>
          <w:tcPr>
            <w:tcW w:w="845" w:type="dxa"/>
            <w:shd w:val="clear" w:color="000000" w:fill="FFFFFF"/>
            <w:noWrap w:val="0"/>
            <w:vAlign w:val="center"/>
          </w:tcPr>
          <w:p w14:paraId="1454185D">
            <w:pPr>
              <w:spacing w:line="276" w:lineRule="auto"/>
              <w:ind w:firstLine="480" w:firstLineChars="200"/>
              <w:jc w:val="center"/>
              <w:rPr>
                <w:rFonts w:hint="eastAsia" w:ascii="宋体" w:hAnsi="宋体" w:eastAsia="宋体" w:cs="宋体"/>
                <w:color w:val="000000"/>
                <w:sz w:val="24"/>
                <w:szCs w:val="24"/>
                <w:highlight w:val="none"/>
              </w:rPr>
            </w:pPr>
          </w:p>
        </w:tc>
      </w:tr>
      <w:tr w14:paraId="4671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4" w:type="dxa"/>
            <w:shd w:val="clear" w:color="000000" w:fill="FFFFFF"/>
            <w:noWrap w:val="0"/>
            <w:vAlign w:val="center"/>
          </w:tcPr>
          <w:p w14:paraId="43899674">
            <w:pPr>
              <w:jc w:val="center"/>
              <w:rPr>
                <w:rFonts w:hint="eastAsia" w:ascii="宋体" w:hAnsi="宋体"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2</w:t>
            </w:r>
          </w:p>
        </w:tc>
        <w:tc>
          <w:tcPr>
            <w:tcW w:w="1282" w:type="dxa"/>
            <w:shd w:val="clear" w:color="000000" w:fill="FFFFFF"/>
            <w:noWrap w:val="0"/>
            <w:vAlign w:val="center"/>
          </w:tcPr>
          <w:p w14:paraId="11B33DC8">
            <w:pPr>
              <w:widowControl/>
              <w:ind w:firstLine="0" w:firstLineChars="0"/>
              <w:jc w:val="center"/>
              <w:textAlignment w:val="center"/>
              <w:rPr>
                <w:rFonts w:hint="eastAsia" w:ascii="宋体" w:hAnsi="宋体" w:eastAsia="宋体" w:cs="宋体"/>
                <w:color w:val="000000"/>
                <w:sz w:val="24"/>
                <w:szCs w:val="24"/>
                <w:highlight w:val="none"/>
                <w:lang w:val="en-US" w:eastAsia="en-US" w:bidi="ar-SA"/>
              </w:rPr>
            </w:pPr>
            <w:r>
              <w:rPr>
                <w:rFonts w:hint="eastAsia" w:ascii="宋体" w:hAnsi="宋体" w:eastAsia="宋体" w:cs="宋体"/>
                <w:spacing w:val="12"/>
                <w:sz w:val="24"/>
                <w:szCs w:val="24"/>
                <w:lang w:eastAsia="zh-CN"/>
              </w:rPr>
              <w:t>拟投入项目人员情况</w:t>
            </w:r>
          </w:p>
        </w:tc>
        <w:tc>
          <w:tcPr>
            <w:tcW w:w="1255" w:type="dxa"/>
            <w:shd w:val="clear" w:color="000000" w:fill="FFFFFF"/>
            <w:noWrap w:val="0"/>
            <w:vAlign w:val="center"/>
          </w:tcPr>
          <w:p w14:paraId="7AA0F3BF">
            <w:pPr>
              <w:widowControl/>
              <w:ind w:firstLine="0" w:firstLineChars="0"/>
              <w:jc w:val="center"/>
              <w:textAlignment w:val="center"/>
              <w:rPr>
                <w:rFonts w:hint="default" w:ascii="宋体" w:hAnsi="宋体" w:eastAsia="宋体" w:cs="宋体"/>
                <w:color w:val="000000"/>
                <w:sz w:val="24"/>
                <w:szCs w:val="24"/>
                <w:highlight w:val="none"/>
                <w:lang w:val="en-US" w:bidi="ar-SA"/>
              </w:rPr>
            </w:pPr>
            <w:r>
              <w:rPr>
                <w:rFonts w:hint="eastAsia"/>
                <w:color w:val="auto"/>
                <w:sz w:val="24"/>
                <w:szCs w:val="24"/>
                <w:lang w:val="en-US" w:eastAsia="zh-CN" w:bidi="ar"/>
              </w:rPr>
              <w:t>10</w:t>
            </w:r>
            <w:r>
              <w:rPr>
                <w:rFonts w:hint="eastAsia" w:ascii="宋体" w:hAnsi="宋体" w:eastAsia="宋体" w:cs="宋体"/>
                <w:color w:val="000000"/>
                <w:sz w:val="24"/>
                <w:szCs w:val="24"/>
                <w:highlight w:val="none"/>
              </w:rPr>
              <w:t>分</w:t>
            </w:r>
          </w:p>
        </w:tc>
        <w:tc>
          <w:tcPr>
            <w:tcW w:w="5466" w:type="dxa"/>
            <w:shd w:val="clear" w:color="000000" w:fill="FFFFFF"/>
            <w:noWrap w:val="0"/>
            <w:vAlign w:val="center"/>
          </w:tcPr>
          <w:p w14:paraId="38725983">
            <w:pPr>
              <w:keepNext w:val="0"/>
              <w:keepLines w:val="0"/>
              <w:widowControl/>
              <w:suppressLineNumbers w:val="0"/>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（1）项目经理持有信息系统项目管理师证书得3分；</w:t>
            </w:r>
          </w:p>
          <w:p w14:paraId="68497FC2">
            <w:pPr>
              <w:keepNext w:val="0"/>
              <w:keepLines w:val="0"/>
              <w:widowControl/>
              <w:suppressLineNumbers w:val="0"/>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（2）项目组成员中持有系统集成项目管理工程师证书的得2分，持有网络工程师证书的得2分；成员中有两名及以上采矿专业毕业的加3分，本项满分7分。</w:t>
            </w:r>
          </w:p>
          <w:p w14:paraId="1DBB81C7">
            <w:pPr>
              <w:keepNext w:val="0"/>
              <w:keepLines w:val="0"/>
              <w:widowControl/>
              <w:suppressLineNumbers w:val="0"/>
              <w:ind w:left="0" w:leftChars="0" w:firstLine="0" w:firstLineChars="0"/>
              <w:jc w:val="left"/>
              <w:rPr>
                <w:rFonts w:hint="eastAsia" w:ascii="宋体" w:hAnsi="宋体" w:eastAsia="宋体" w:cs="宋体"/>
                <w:color w:val="000000"/>
                <w:sz w:val="24"/>
                <w:szCs w:val="24"/>
                <w:highlight w:val="none"/>
                <w:lang w:val="en-US" w:bidi="ar-SA"/>
              </w:rPr>
            </w:pPr>
            <w:r>
              <w:rPr>
                <w:rFonts w:hint="eastAsia" w:ascii="宋体" w:hAnsi="宋体" w:eastAsia="宋体" w:cs="宋体"/>
                <w:color w:val="auto"/>
                <w:kern w:val="0"/>
                <w:sz w:val="24"/>
                <w:szCs w:val="24"/>
                <w:lang w:val="en-US" w:eastAsia="zh-CN" w:bidi="ar"/>
              </w:rPr>
              <w:t>（注：须提供有效的证书复印件，并提供2022年以来连续3个月投标人为其缴纳社保相关证明材料，否则不得分。）</w:t>
            </w:r>
          </w:p>
        </w:tc>
        <w:tc>
          <w:tcPr>
            <w:tcW w:w="845" w:type="dxa"/>
            <w:shd w:val="clear" w:color="000000" w:fill="FFFFFF"/>
            <w:noWrap w:val="0"/>
            <w:vAlign w:val="center"/>
          </w:tcPr>
          <w:p w14:paraId="50D71047">
            <w:pPr>
              <w:spacing w:line="276" w:lineRule="auto"/>
              <w:ind w:firstLine="480" w:firstLineChars="200"/>
              <w:jc w:val="center"/>
              <w:rPr>
                <w:rFonts w:hint="eastAsia" w:ascii="宋体" w:hAnsi="宋体" w:eastAsia="宋体" w:cs="宋体"/>
                <w:color w:val="000000"/>
                <w:sz w:val="24"/>
                <w:szCs w:val="24"/>
                <w:highlight w:val="none"/>
              </w:rPr>
            </w:pPr>
          </w:p>
        </w:tc>
      </w:tr>
      <w:tr w14:paraId="27D7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4" w:type="dxa"/>
            <w:shd w:val="clear" w:color="000000" w:fill="FFFFFF"/>
            <w:noWrap w:val="0"/>
            <w:vAlign w:val="center"/>
          </w:tcPr>
          <w:p w14:paraId="7D2CFD8D">
            <w:pPr>
              <w:jc w:val="center"/>
              <w:rPr>
                <w:rFonts w:hint="default"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3</w:t>
            </w:r>
          </w:p>
        </w:tc>
        <w:tc>
          <w:tcPr>
            <w:tcW w:w="1282" w:type="dxa"/>
            <w:shd w:val="clear" w:color="000000" w:fill="FFFFFF"/>
            <w:noWrap w:val="0"/>
            <w:vAlign w:val="center"/>
          </w:tcPr>
          <w:p w14:paraId="324DE4A6">
            <w:pPr>
              <w:widowControl/>
              <w:ind w:firstLine="0" w:firstLineChars="0"/>
              <w:jc w:val="center"/>
              <w:textAlignment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lang w:val="en-US" w:eastAsia="zh-CN"/>
              </w:rPr>
              <w:t>项目业绩</w:t>
            </w:r>
          </w:p>
        </w:tc>
        <w:tc>
          <w:tcPr>
            <w:tcW w:w="1255" w:type="dxa"/>
            <w:shd w:val="clear" w:color="000000" w:fill="FFFFFF"/>
            <w:noWrap w:val="0"/>
            <w:vAlign w:val="center"/>
          </w:tcPr>
          <w:p w14:paraId="407F07F0">
            <w:pPr>
              <w:widowControl/>
              <w:ind w:firstLine="0" w:firstLineChars="0"/>
              <w:jc w:val="center"/>
              <w:textAlignment w:val="center"/>
              <w:rPr>
                <w:rFonts w:hint="default"/>
                <w:color w:val="auto"/>
                <w:sz w:val="24"/>
                <w:szCs w:val="24"/>
                <w:lang w:val="en-US" w:eastAsia="zh-CN" w:bidi="ar"/>
              </w:rPr>
            </w:pPr>
            <w:r>
              <w:rPr>
                <w:rFonts w:hint="eastAsia"/>
                <w:color w:val="auto"/>
                <w:sz w:val="24"/>
                <w:szCs w:val="24"/>
                <w:lang w:val="en-US" w:eastAsia="zh-CN" w:bidi="ar"/>
              </w:rPr>
              <w:t>20分</w:t>
            </w:r>
          </w:p>
        </w:tc>
        <w:tc>
          <w:tcPr>
            <w:tcW w:w="5466" w:type="dxa"/>
            <w:shd w:val="clear" w:color="000000" w:fill="FFFFFF"/>
            <w:noWrap w:val="0"/>
            <w:vAlign w:val="center"/>
          </w:tcPr>
          <w:p w14:paraId="1CBD51A6">
            <w:pPr>
              <w:keepNext w:val="0"/>
              <w:keepLines w:val="0"/>
              <w:widowControl/>
              <w:suppressLineNumbers w:val="0"/>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投标人提供2020年至今类似业绩，提供一份得4分，本项满分20分。</w:t>
            </w:r>
          </w:p>
          <w:p w14:paraId="7785F0E8">
            <w:pPr>
              <w:keepNext w:val="0"/>
              <w:keepLines w:val="0"/>
              <w:widowControl/>
              <w:suppressLineNumbers w:val="0"/>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（注：投标人须提供类似业绩的中标通知书或合同复印件，未提供的不予计分。）</w:t>
            </w:r>
          </w:p>
        </w:tc>
        <w:tc>
          <w:tcPr>
            <w:tcW w:w="845" w:type="dxa"/>
            <w:shd w:val="clear" w:color="000000" w:fill="FFFFFF"/>
            <w:noWrap w:val="0"/>
            <w:vAlign w:val="center"/>
          </w:tcPr>
          <w:p w14:paraId="6CCF14F7">
            <w:pPr>
              <w:spacing w:line="276" w:lineRule="auto"/>
              <w:ind w:firstLine="480" w:firstLineChars="200"/>
              <w:jc w:val="center"/>
              <w:rPr>
                <w:rFonts w:hint="eastAsia" w:ascii="宋体" w:hAnsi="宋体" w:eastAsia="宋体" w:cs="宋体"/>
                <w:color w:val="000000"/>
                <w:sz w:val="24"/>
                <w:szCs w:val="24"/>
                <w:highlight w:val="none"/>
              </w:rPr>
            </w:pPr>
          </w:p>
        </w:tc>
      </w:tr>
      <w:tr w14:paraId="5107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24" w:type="dxa"/>
            <w:shd w:val="clear" w:color="000000" w:fill="FFFFFF"/>
            <w:noWrap w:val="0"/>
            <w:vAlign w:val="center"/>
          </w:tcPr>
          <w:p w14:paraId="2290D007">
            <w:pPr>
              <w:spacing w:before="25"/>
              <w:ind w:left="4" w:leftChars="0"/>
              <w:jc w:val="center"/>
              <w:rPr>
                <w:rFonts w:hint="eastAsia"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282" w:type="dxa"/>
            <w:shd w:val="clear" w:color="000000" w:fill="FFFFFF"/>
            <w:noWrap w:val="0"/>
            <w:vAlign w:val="center"/>
          </w:tcPr>
          <w:p w14:paraId="6ED97E4E">
            <w:pPr>
              <w:spacing w:before="25"/>
              <w:ind w:left="4" w:left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商务</w:t>
            </w:r>
          </w:p>
          <w:p w14:paraId="6E232DA2">
            <w:pPr>
              <w:spacing w:before="25"/>
              <w:ind w:left="4" w:leftChars="0"/>
              <w:jc w:val="center"/>
              <w:rPr>
                <w:rFonts w:hint="eastAsia" w:ascii="宋体" w:hAnsi="宋体" w:cs="宋体"/>
                <w:color w:val="auto"/>
                <w:sz w:val="24"/>
                <w:szCs w:val="24"/>
                <w:lang w:bidi="ar"/>
              </w:rPr>
            </w:pPr>
            <w:r>
              <w:rPr>
                <w:rFonts w:hint="eastAsia" w:ascii="宋体" w:hAnsi="宋体" w:eastAsia="宋体" w:cs="宋体"/>
                <w:color w:val="000000"/>
                <w:sz w:val="24"/>
                <w:szCs w:val="24"/>
                <w:highlight w:val="none"/>
                <w:lang w:val="en-US" w:eastAsia="zh-CN"/>
              </w:rPr>
              <w:t>偏离表</w:t>
            </w:r>
          </w:p>
        </w:tc>
        <w:tc>
          <w:tcPr>
            <w:tcW w:w="1255" w:type="dxa"/>
            <w:shd w:val="clear" w:color="000000" w:fill="FFFFFF"/>
            <w:noWrap w:val="0"/>
            <w:vAlign w:val="center"/>
          </w:tcPr>
          <w:p w14:paraId="181F9CE6">
            <w:pPr>
              <w:spacing w:before="25"/>
              <w:ind w:left="4" w:leftChars="0"/>
              <w:jc w:val="center"/>
              <w:rPr>
                <w:rFonts w:hint="eastAsia" w:ascii="宋体" w:hAnsi="宋体"/>
                <w:color w:val="auto"/>
                <w:sz w:val="24"/>
                <w:szCs w:val="24"/>
                <w:lang w:val="en-US" w:eastAsia="zh-CN" w:bidi="ar"/>
              </w:rPr>
            </w:pP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分</w:t>
            </w:r>
          </w:p>
        </w:tc>
        <w:tc>
          <w:tcPr>
            <w:tcW w:w="5466" w:type="dxa"/>
            <w:shd w:val="clear" w:color="000000" w:fill="FFFFFF"/>
            <w:noWrap w:val="0"/>
            <w:vAlign w:val="center"/>
          </w:tcPr>
          <w:p w14:paraId="70351E12">
            <w:pPr>
              <w:spacing w:before="25"/>
              <w:ind w:left="4"/>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rPr>
              <w:t>按</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lang w:val="en-US"/>
              </w:rPr>
              <w:t>文件</w:t>
            </w:r>
            <w:r>
              <w:rPr>
                <w:rFonts w:hint="eastAsia" w:ascii="宋体" w:hAnsi="宋体" w:eastAsia="宋体" w:cs="宋体"/>
                <w:color w:val="000000"/>
                <w:sz w:val="24"/>
                <w:szCs w:val="24"/>
                <w:highlight w:val="none"/>
                <w:lang w:val="en-US" w:eastAsia="zh-CN"/>
              </w:rPr>
              <w:t>采购需求</w:t>
            </w:r>
            <w:r>
              <w:rPr>
                <w:rFonts w:hint="eastAsia" w:ascii="宋体" w:hAnsi="宋体" w:eastAsia="宋体" w:cs="宋体"/>
                <w:color w:val="000000"/>
                <w:sz w:val="24"/>
                <w:szCs w:val="24"/>
                <w:highlight w:val="none"/>
                <w:lang w:val="en-US"/>
              </w:rPr>
              <w:t>逐条进行响应</w:t>
            </w:r>
            <w:r>
              <w:rPr>
                <w:rFonts w:hint="eastAsia" w:ascii="宋体" w:hAnsi="宋体" w:eastAsia="宋体" w:cs="宋体"/>
                <w:color w:val="000000"/>
                <w:sz w:val="24"/>
                <w:szCs w:val="24"/>
                <w:highlight w:val="none"/>
                <w:lang w:val="en-US" w:eastAsia="zh-CN"/>
              </w:rPr>
              <w:t>并按附件6提供商务偏离表</w:t>
            </w:r>
            <w:r>
              <w:rPr>
                <w:rFonts w:hint="eastAsia" w:ascii="宋体" w:hAnsi="宋体" w:eastAsia="宋体" w:cs="宋体"/>
                <w:color w:val="000000"/>
                <w:sz w:val="24"/>
                <w:szCs w:val="24"/>
                <w:highlight w:val="none"/>
                <w:lang w:val="en-US"/>
              </w:rPr>
              <w:t>，</w:t>
            </w:r>
            <w:r>
              <w:rPr>
                <w:rFonts w:hint="eastAsia" w:ascii="宋体" w:hAnsi="宋体" w:eastAsia="宋体" w:cs="宋体"/>
                <w:color w:val="000000"/>
                <w:sz w:val="24"/>
                <w:szCs w:val="24"/>
                <w:highlight w:val="none"/>
                <w:lang w:val="en-US" w:eastAsia="zh-CN"/>
              </w:rPr>
              <w:t>供应商所投产品完全满足或优于本磋商文件相关要求，得20分</w:t>
            </w:r>
            <w:r>
              <w:rPr>
                <w:rFonts w:hint="eastAsia" w:ascii="宋体" w:hAnsi="宋体" w:eastAsia="宋体" w:cs="宋体"/>
                <w:color w:val="000000"/>
                <w:sz w:val="24"/>
                <w:szCs w:val="24"/>
                <w:highlight w:val="none"/>
                <w:lang w:val="en-US"/>
              </w:rPr>
              <w:t>：</w:t>
            </w:r>
          </w:p>
          <w:p w14:paraId="7E043DEC">
            <w:pPr>
              <w:spacing w:before="25"/>
              <w:ind w:left="4"/>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1、每存在1项不满足的扣</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rPr>
              <w:t>分，扣至0分为止。</w:t>
            </w:r>
          </w:p>
          <w:p w14:paraId="057AF2CE">
            <w:pPr>
              <w:spacing w:before="25"/>
              <w:ind w:left="4" w:leftChars="0"/>
              <w:jc w:val="both"/>
              <w:rPr>
                <w:rFonts w:hint="eastAsia" w:ascii="宋体" w:hAnsi="宋体" w:cs="宋体"/>
                <w:color w:val="auto"/>
                <w:kern w:val="0"/>
                <w:sz w:val="24"/>
                <w:szCs w:val="24"/>
                <w:lang w:val="en-US" w:eastAsia="zh-CN" w:bidi="ar"/>
              </w:rPr>
            </w:pPr>
            <w:r>
              <w:rPr>
                <w:rFonts w:hint="eastAsia" w:ascii="宋体" w:hAnsi="宋体" w:eastAsia="宋体" w:cs="宋体"/>
                <w:color w:val="000000"/>
                <w:sz w:val="24"/>
                <w:szCs w:val="24"/>
                <w:highlight w:val="none"/>
                <w:lang w:val="en-US"/>
              </w:rPr>
              <w:t>2、如一项参数</w:t>
            </w:r>
            <w:r>
              <w:rPr>
                <w:rFonts w:hint="eastAsia" w:ascii="宋体" w:hAnsi="宋体" w:eastAsia="宋体" w:cs="宋体"/>
                <w:color w:val="000000"/>
                <w:sz w:val="24"/>
                <w:szCs w:val="24"/>
                <w:highlight w:val="none"/>
                <w:lang w:val="en-US" w:eastAsia="zh-CN"/>
              </w:rPr>
              <w:t>包含</w:t>
            </w:r>
            <w:r>
              <w:rPr>
                <w:rFonts w:hint="eastAsia" w:ascii="宋体" w:hAnsi="宋体" w:eastAsia="宋体" w:cs="宋体"/>
                <w:color w:val="000000"/>
                <w:sz w:val="24"/>
                <w:szCs w:val="24"/>
                <w:highlight w:val="none"/>
                <w:lang w:val="en-US"/>
              </w:rPr>
              <w:t>多项指标，该参数中只要有一项指标不满足，也视为负偏离</w:t>
            </w:r>
            <w:r>
              <w:rPr>
                <w:rFonts w:hint="eastAsia" w:ascii="宋体" w:hAnsi="宋体" w:eastAsia="宋体" w:cs="宋体"/>
                <w:color w:val="000000"/>
                <w:sz w:val="24"/>
                <w:szCs w:val="24"/>
                <w:highlight w:val="none"/>
                <w:lang w:val="en-US" w:eastAsia="zh-CN"/>
              </w:rPr>
              <w:t>。</w:t>
            </w:r>
          </w:p>
        </w:tc>
        <w:tc>
          <w:tcPr>
            <w:tcW w:w="845" w:type="dxa"/>
            <w:shd w:val="clear" w:color="000000" w:fill="FFFFFF"/>
            <w:noWrap w:val="0"/>
            <w:vAlign w:val="center"/>
          </w:tcPr>
          <w:p w14:paraId="1908A029">
            <w:pPr>
              <w:spacing w:line="276" w:lineRule="auto"/>
              <w:ind w:firstLine="480" w:firstLineChars="200"/>
              <w:rPr>
                <w:rFonts w:hint="eastAsia" w:ascii="宋体" w:hAnsi="宋体" w:eastAsia="宋体" w:cs="宋体"/>
                <w:color w:val="000000"/>
                <w:sz w:val="24"/>
                <w:szCs w:val="24"/>
                <w:highlight w:val="none"/>
              </w:rPr>
            </w:pPr>
          </w:p>
        </w:tc>
      </w:tr>
      <w:tr w14:paraId="15C2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24" w:type="dxa"/>
            <w:shd w:val="clear" w:color="000000" w:fill="FFFFFF"/>
            <w:noWrap w:val="0"/>
            <w:vAlign w:val="center"/>
          </w:tcPr>
          <w:p w14:paraId="79705D9F">
            <w:pPr>
              <w:spacing w:before="25"/>
              <w:ind w:left="4" w:leftChars="0"/>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282" w:type="dxa"/>
            <w:shd w:val="clear" w:color="000000" w:fill="FFFFFF"/>
            <w:noWrap w:val="0"/>
            <w:vAlign w:val="center"/>
          </w:tcPr>
          <w:p w14:paraId="36FC5DAA">
            <w:pPr>
              <w:pStyle w:val="29"/>
              <w:keepNext w:val="0"/>
              <w:keepLines w:val="0"/>
              <w:widowControl w:val="0"/>
              <w:shd w:val="clear" w:color="auto" w:fill="auto"/>
              <w:tabs>
                <w:tab w:val="left" w:pos="1080"/>
              </w:tabs>
              <w:bidi w:val="0"/>
              <w:spacing w:before="0" w:after="0" w:line="437" w:lineRule="exact"/>
              <w:ind w:right="0"/>
              <w:jc w:val="center"/>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售后服务</w:t>
            </w:r>
          </w:p>
          <w:p w14:paraId="6A274327">
            <w:pPr>
              <w:spacing w:before="25"/>
              <w:ind w:left="4" w:left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spacing w:val="12"/>
                <w:sz w:val="24"/>
                <w:szCs w:val="24"/>
                <w:lang w:val="en-US" w:eastAsia="zh-CN"/>
              </w:rPr>
              <w:t>保障能力</w:t>
            </w:r>
          </w:p>
        </w:tc>
        <w:tc>
          <w:tcPr>
            <w:tcW w:w="1255" w:type="dxa"/>
            <w:shd w:val="clear" w:color="000000" w:fill="FFFFFF"/>
            <w:noWrap w:val="0"/>
            <w:vAlign w:val="center"/>
          </w:tcPr>
          <w:p w14:paraId="0B2CE674">
            <w:pPr>
              <w:spacing w:before="25"/>
              <w:ind w:left="4" w:leftChars="0"/>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5分</w:t>
            </w:r>
          </w:p>
        </w:tc>
        <w:tc>
          <w:tcPr>
            <w:tcW w:w="5466" w:type="dxa"/>
            <w:shd w:val="clear" w:color="000000" w:fill="FFFFFF"/>
            <w:noWrap w:val="0"/>
            <w:vAlign w:val="center"/>
          </w:tcPr>
          <w:p w14:paraId="54E3E3B4">
            <w:pPr>
              <w:spacing w:before="25"/>
              <w:ind w:left="4" w:leftChars="0"/>
              <w:jc w:val="both"/>
              <w:rPr>
                <w:rFonts w:hint="eastAsia" w:ascii="宋体" w:hAnsi="宋体" w:eastAsia="宋体" w:cs="宋体"/>
                <w:color w:val="000000"/>
                <w:sz w:val="24"/>
                <w:szCs w:val="24"/>
                <w:highlight w:val="none"/>
                <w:lang w:val="en-US"/>
              </w:rPr>
            </w:pPr>
            <w:r>
              <w:rPr>
                <w:rFonts w:hint="eastAsia" w:ascii="宋体" w:hAnsi="宋体" w:eastAsia="宋体" w:cs="宋体"/>
                <w:spacing w:val="12"/>
                <w:sz w:val="24"/>
                <w:szCs w:val="24"/>
                <w:lang w:val="en-US" w:eastAsia="zh-CN"/>
              </w:rPr>
              <w:t>投标人专职的售后运维人员在2小时内到达维修现场并能解决问题的得5分，在2小时以后到达维修现场的不得分。（投标人自行承诺，提供承诺书原件扫描上传）</w:t>
            </w:r>
          </w:p>
        </w:tc>
        <w:tc>
          <w:tcPr>
            <w:tcW w:w="845" w:type="dxa"/>
            <w:shd w:val="clear" w:color="000000" w:fill="FFFFFF"/>
            <w:noWrap w:val="0"/>
            <w:vAlign w:val="center"/>
          </w:tcPr>
          <w:p w14:paraId="1C6D8519">
            <w:pPr>
              <w:spacing w:line="276" w:lineRule="auto"/>
              <w:ind w:firstLine="480" w:firstLineChars="200"/>
              <w:rPr>
                <w:rFonts w:hint="eastAsia" w:ascii="宋体" w:hAnsi="宋体" w:eastAsia="宋体" w:cs="宋体"/>
                <w:color w:val="000000"/>
                <w:sz w:val="24"/>
                <w:szCs w:val="24"/>
                <w:highlight w:val="none"/>
              </w:rPr>
            </w:pPr>
          </w:p>
        </w:tc>
      </w:tr>
    </w:tbl>
    <w:p w14:paraId="20C3759D">
      <w:pPr>
        <w:pStyle w:val="11"/>
        <w:rPr>
          <w:rFonts w:hint="eastAsia" w:ascii="宋体" w:hAnsi="宋体" w:eastAsia="宋体" w:cs="宋体"/>
          <w:color w:val="000000"/>
          <w:highlight w:val="none"/>
          <w:lang w:val="en-US" w:bidi="ar-SA"/>
        </w:rPr>
        <w:sectPr>
          <w:footerReference r:id="rId5" w:type="default"/>
          <w:pgSz w:w="11910" w:h="16840"/>
          <w:pgMar w:top="1360" w:right="1418" w:bottom="1134" w:left="1588" w:header="0" w:footer="850" w:gutter="0"/>
          <w:pgNumType w:fmt="decimal"/>
          <w:cols w:space="720" w:num="1"/>
          <w:docGrid w:linePitch="299" w:charSpace="0"/>
        </w:sectPr>
      </w:pPr>
    </w:p>
    <w:p w14:paraId="120E5B10">
      <w:pPr>
        <w:pStyle w:val="5"/>
        <w:numPr>
          <w:ilvl w:val="0"/>
          <w:numId w:val="4"/>
        </w:numPr>
        <w:spacing w:line="360" w:lineRule="auto"/>
        <w:jc w:val="center"/>
        <w:outlineLvl w:val="0"/>
        <w:rPr>
          <w:rFonts w:hint="eastAsia" w:ascii="宋体" w:hAnsi="宋体" w:eastAsia="宋体" w:cs="宋体"/>
          <w:color w:val="000000"/>
          <w:sz w:val="44"/>
          <w:highlight w:val="none"/>
        </w:rPr>
      </w:pPr>
      <w:bookmarkStart w:id="79" w:name="_Toc19647"/>
      <w:bookmarkStart w:id="80" w:name="_Toc82"/>
      <w:r>
        <w:rPr>
          <w:rFonts w:hint="eastAsia" w:ascii="宋体" w:hAnsi="宋体" w:eastAsia="宋体" w:cs="宋体"/>
          <w:color w:val="000000"/>
          <w:sz w:val="44"/>
          <w:highlight w:val="none"/>
          <w:lang w:val="en-US" w:eastAsia="zh-CN"/>
        </w:rPr>
        <w:t xml:space="preserve"> </w:t>
      </w:r>
      <w:bookmarkStart w:id="81" w:name="_Toc30392"/>
      <w:r>
        <w:rPr>
          <w:rFonts w:hint="eastAsia" w:ascii="宋体" w:hAnsi="宋体" w:eastAsia="宋体" w:cs="宋体"/>
          <w:color w:val="000000"/>
          <w:sz w:val="44"/>
          <w:highlight w:val="none"/>
        </w:rPr>
        <w:t>合同主要条款</w:t>
      </w:r>
      <w:bookmarkEnd w:id="81"/>
    </w:p>
    <w:p w14:paraId="78B61C84">
      <w:pPr>
        <w:pStyle w:val="5"/>
        <w:numPr>
          <w:ilvl w:val="0"/>
          <w:numId w:val="0"/>
        </w:numPr>
        <w:spacing w:line="360" w:lineRule="auto"/>
        <w:jc w:val="center"/>
        <w:rPr>
          <w:rFonts w:hint="eastAsia" w:ascii="宋体" w:hAnsi="宋体" w:eastAsia="宋体" w:cs="宋体"/>
          <w:color w:val="000000"/>
          <w:sz w:val="44"/>
          <w:highlight w:val="none"/>
        </w:rPr>
      </w:pPr>
      <w:r>
        <w:rPr>
          <w:rFonts w:hint="eastAsia" w:ascii="宋体" w:hAnsi="宋体" w:eastAsia="宋体" w:cs="宋体"/>
          <w:color w:val="000000"/>
          <w:sz w:val="24"/>
          <w:szCs w:val="24"/>
          <w:highlight w:val="none"/>
        </w:rPr>
        <w:t>（参考格式</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以甲乙双方实际签订为准</w:t>
      </w:r>
      <w:r>
        <w:rPr>
          <w:rFonts w:hint="eastAsia" w:ascii="宋体" w:hAnsi="宋体" w:eastAsia="宋体" w:cs="宋体"/>
          <w:color w:val="000000"/>
          <w:sz w:val="24"/>
          <w:szCs w:val="24"/>
          <w:highlight w:val="none"/>
        </w:rPr>
        <w:t>）</w:t>
      </w:r>
      <w:bookmarkEnd w:id="79"/>
    </w:p>
    <w:p w14:paraId="0D503B79">
      <w:pPr>
        <w:spacing w:line="360" w:lineRule="auto"/>
        <w:ind w:firstLine="544" w:firstLineChars="200"/>
        <w:rPr>
          <w:rFonts w:hint="eastAsia" w:ascii="宋体" w:hAnsi="宋体" w:eastAsia="宋体" w:cs="宋体"/>
          <w:color w:val="000000"/>
          <w:sz w:val="24"/>
          <w:szCs w:val="24"/>
          <w:highlight w:val="none"/>
        </w:rPr>
      </w:pPr>
      <w:r>
        <w:rPr>
          <w:rFonts w:hint="eastAsia" w:ascii="宋体" w:hAnsi="宋体" w:eastAsia="宋体" w:cs="宋体"/>
          <w:bCs/>
          <w:color w:val="000000"/>
          <w:spacing w:val="16"/>
          <w:sz w:val="24"/>
          <w:szCs w:val="24"/>
          <w:highlight w:val="none"/>
        </w:rPr>
        <w:t xml:space="preserve">7.1 </w:t>
      </w:r>
      <w:r>
        <w:rPr>
          <w:rFonts w:hint="eastAsia" w:ascii="宋体" w:hAnsi="宋体" w:eastAsia="宋体" w:cs="宋体"/>
          <w:color w:val="000000"/>
          <w:sz w:val="24"/>
          <w:szCs w:val="24"/>
          <w:highlight w:val="none"/>
        </w:rPr>
        <w:t>乙方应在《成交通知书》下达后30日内与甲方签订采购合同。甲乙双方签订的合同必须符合《中华人民共和国政府采购法》、《中华人民共和国民法典》和相关</w:t>
      </w:r>
      <w:r>
        <w:rPr>
          <w:rFonts w:hint="eastAsia" w:eastAsia="宋体" w:cs="宋体"/>
          <w:color w:val="000000"/>
          <w:sz w:val="24"/>
          <w:szCs w:val="24"/>
          <w:highlight w:val="none"/>
          <w:lang w:eastAsia="zh-CN"/>
        </w:rPr>
        <w:t>法律法规</w:t>
      </w:r>
      <w:r>
        <w:rPr>
          <w:rFonts w:hint="eastAsia" w:ascii="宋体" w:hAnsi="宋体" w:eastAsia="宋体" w:cs="宋体"/>
          <w:color w:val="000000"/>
          <w:sz w:val="24"/>
          <w:szCs w:val="24"/>
          <w:highlight w:val="none"/>
        </w:rPr>
        <w:t>的规定，必须符合《磋商文件》的要求和投标人优于《磋商文件》的承诺条件。</w:t>
      </w:r>
    </w:p>
    <w:p w14:paraId="465C6C8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 乙方应按合同的约定履行义务，完成成交项目。乙方不得向他人转让成交项目。</w:t>
      </w:r>
    </w:p>
    <w:p w14:paraId="35D3C93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 交货时间、地点与付款。</w:t>
      </w:r>
    </w:p>
    <w:p w14:paraId="0F37180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7.3.1</w:t>
      </w:r>
      <w:r>
        <w:rPr>
          <w:rFonts w:hint="eastAsia" w:eastAsia="宋体" w:cs="宋体"/>
          <w:color w:val="000000"/>
          <w:sz w:val="24"/>
          <w:szCs w:val="24"/>
          <w:highlight w:val="none"/>
          <w:lang w:val="en-US" w:eastAsia="zh-CN"/>
        </w:rPr>
        <w:t xml:space="preserve"> </w:t>
      </w:r>
      <w:r>
        <w:rPr>
          <w:rFonts w:hint="eastAsia" w:eastAsia="宋体" w:cs="宋体"/>
          <w:color w:val="000000"/>
          <w:sz w:val="24"/>
          <w:szCs w:val="24"/>
          <w:highlight w:val="none"/>
          <w:lang w:eastAsia="zh-CN"/>
        </w:rPr>
        <w:t>合同履行期限</w:t>
      </w:r>
      <w:r>
        <w:rPr>
          <w:rFonts w:hint="eastAsia" w:ascii="宋体" w:hAnsi="宋体" w:eastAsia="宋体" w:cs="宋体"/>
          <w:color w:val="000000"/>
          <w:sz w:val="24"/>
          <w:szCs w:val="24"/>
          <w:highlight w:val="none"/>
        </w:rPr>
        <w:t>：</w:t>
      </w:r>
      <w:r>
        <w:rPr>
          <w:rFonts w:hint="eastAsia" w:eastAsia="宋体" w:cs="宋体"/>
          <w:color w:val="000000"/>
          <w:sz w:val="24"/>
          <w:szCs w:val="24"/>
          <w:highlight w:val="none"/>
          <w:lang w:val="en-US" w:eastAsia="zh-CN"/>
        </w:rPr>
        <w:t>合同签订之日起3个月内完成</w:t>
      </w:r>
      <w:r>
        <w:rPr>
          <w:rFonts w:hint="eastAsia" w:ascii="宋体" w:hAnsi="宋体" w:eastAsia="宋体" w:cs="宋体"/>
          <w:color w:val="000000"/>
          <w:sz w:val="24"/>
          <w:szCs w:val="24"/>
          <w:highlight w:val="none"/>
          <w:lang w:val="en-US"/>
        </w:rPr>
        <w:t>。</w:t>
      </w:r>
    </w:p>
    <w:p w14:paraId="13605C3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7.3.2 服务地点：采购人指定地点。</w:t>
      </w:r>
    </w:p>
    <w:p w14:paraId="1400807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7.3.4 付款方式及验收：成交后由甲乙双方自行协商。</w:t>
      </w:r>
    </w:p>
    <w:p w14:paraId="617CC53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7.3.5 </w:t>
      </w:r>
      <w:r>
        <w:rPr>
          <w:rFonts w:hint="eastAsia" w:ascii="宋体" w:hAnsi="宋体" w:eastAsia="宋体" w:cs="宋体"/>
          <w:color w:val="000000"/>
          <w:sz w:val="24"/>
          <w:szCs w:val="24"/>
          <w:highlight w:val="none"/>
        </w:rPr>
        <w:t>违约责任：</w:t>
      </w:r>
    </w:p>
    <w:p w14:paraId="277FFC7E">
      <w:pPr>
        <w:pStyle w:val="25"/>
        <w:spacing w:line="360" w:lineRule="auto"/>
        <w:ind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rPr>
        <w:t>⑴甲方无正当理由拒签合同或拒不验收的，甲方应向乙方承担相应的经济和法律责任，造成项目重新采购的甲方还必须赔偿采购代理机构在本次采购活动中产生的一切费用；乙方未按约定期限签订合同的，除了要赔偿甲方和采购代理机构在本次招标活动中产生的一切费用外，还将报请政府采购监督管理部门按相关法律法规规定对乙方追究相应的经济和法律责任。</w:t>
      </w:r>
    </w:p>
    <w:p w14:paraId="3908B70C">
      <w:pPr>
        <w:pStyle w:val="25"/>
        <w:spacing w:line="360" w:lineRule="auto"/>
        <w:ind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rPr>
        <w:t>⑵ 当乙方承担的本项目验收不合格的，甲方有权拒收并追究乙方相应的经济和法律责任。乙方逾期完成服务的，每逾期1日应按合同总金额的1‰向甲方支付违约金。</w:t>
      </w:r>
    </w:p>
    <w:p w14:paraId="192CEC63">
      <w:pPr>
        <w:pStyle w:val="25"/>
        <w:spacing w:line="360" w:lineRule="auto"/>
        <w:ind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rPr>
        <w:t>⑶当乙方提出总体验收申请后，甲方不能在15个工作日内开始组织验收的，其验收累计时间应在乙方送达验收申请的60个工作日内。甲方验收累计时间超过60个工作日的，视为验收合格。</w:t>
      </w:r>
    </w:p>
    <w:p w14:paraId="5B80F9D2">
      <w:pPr>
        <w:pStyle w:val="25"/>
        <w:spacing w:line="360" w:lineRule="auto"/>
        <w:ind w:firstLine="240" w:firstLineChars="100"/>
        <w:rPr>
          <w:rFonts w:hint="eastAsia" w:ascii="宋体" w:hAnsi="宋体" w:eastAsia="宋体" w:cs="宋体"/>
          <w:color w:val="000000"/>
          <w:highlight w:val="none"/>
        </w:rPr>
      </w:pPr>
      <w:r>
        <w:rPr>
          <w:rFonts w:hint="eastAsia" w:ascii="宋体" w:hAnsi="宋体" w:eastAsia="宋体" w:cs="宋体"/>
          <w:color w:val="000000"/>
          <w:highlight w:val="none"/>
        </w:rPr>
        <w:t xml:space="preserve"> ⑷乙方承担的本项目有瑕疵的，验收小组应书面向其提出补救或整改意见并约定期限，乙方应在约定的期限内完成补救或整改，逾期的每逾期1日应按合同总金额的1%向需方支付违约金。</w:t>
      </w:r>
      <w:bookmarkEnd w:id="80"/>
    </w:p>
    <w:p w14:paraId="44BE27BB">
      <w:pPr>
        <w:numPr>
          <w:ilvl w:val="0"/>
          <w:numId w:val="5"/>
        </w:numPr>
        <w:spacing w:line="360" w:lineRule="auto"/>
        <w:rPr>
          <w:rFonts w:hint="eastAsia" w:ascii="宋体" w:hAnsi="宋体" w:eastAsia="宋体" w:cs="宋体"/>
          <w:color w:val="000000"/>
          <w:sz w:val="24"/>
          <w:szCs w:val="24"/>
          <w:highlight w:val="none"/>
        </w:rPr>
      </w:pPr>
    </w:p>
    <w:p w14:paraId="357CF88F">
      <w:pPr>
        <w:numPr>
          <w:ilvl w:val="0"/>
          <w:numId w:val="5"/>
        </w:numPr>
        <w:spacing w:line="360" w:lineRule="auto"/>
        <w:rPr>
          <w:rFonts w:hint="eastAsia" w:ascii="宋体" w:hAnsi="宋体" w:eastAsia="宋体" w:cs="宋体"/>
          <w:color w:val="000000"/>
          <w:sz w:val="24"/>
          <w:szCs w:val="24"/>
          <w:highlight w:val="none"/>
        </w:rPr>
      </w:pPr>
    </w:p>
    <w:p w14:paraId="703BBE23">
      <w:pPr>
        <w:numPr>
          <w:ilvl w:val="0"/>
          <w:numId w:val="5"/>
        </w:numPr>
        <w:spacing w:line="360" w:lineRule="auto"/>
        <w:rPr>
          <w:rFonts w:hint="eastAsia" w:ascii="宋体" w:hAnsi="宋体" w:eastAsia="宋体" w:cs="宋体"/>
          <w:color w:val="000000"/>
          <w:sz w:val="24"/>
          <w:szCs w:val="24"/>
          <w:highlight w:val="none"/>
        </w:rPr>
      </w:pPr>
    </w:p>
    <w:p w14:paraId="1716DE37">
      <w:pPr>
        <w:pStyle w:val="5"/>
        <w:ind w:left="221"/>
        <w:jc w:val="center"/>
        <w:outlineLvl w:val="0"/>
        <w:rPr>
          <w:rFonts w:hint="eastAsia" w:ascii="宋体" w:hAnsi="宋体" w:eastAsia="宋体" w:cs="宋体"/>
          <w:color w:val="000000"/>
          <w:sz w:val="44"/>
          <w:highlight w:val="none"/>
        </w:rPr>
      </w:pPr>
      <w:bookmarkStart w:id="82" w:name="_Toc8688"/>
      <w:bookmarkStart w:id="83" w:name="_Toc569"/>
      <w:r>
        <w:rPr>
          <w:rFonts w:hint="eastAsia" w:ascii="宋体" w:hAnsi="宋体" w:eastAsia="宋体" w:cs="宋体"/>
          <w:color w:val="000000"/>
          <w:sz w:val="44"/>
          <w:highlight w:val="none"/>
        </w:rPr>
        <w:t>第八章</w:t>
      </w:r>
      <w:r>
        <w:rPr>
          <w:rFonts w:hint="eastAsia" w:ascii="宋体" w:hAnsi="宋体" w:eastAsia="宋体" w:cs="宋体"/>
          <w:color w:val="000000"/>
          <w:sz w:val="44"/>
          <w:highlight w:val="none"/>
          <w:lang w:val="en-US" w:eastAsia="zh-CN"/>
        </w:rPr>
        <w:t xml:space="preserve">  </w:t>
      </w:r>
      <w:r>
        <w:rPr>
          <w:rFonts w:hint="eastAsia" w:ascii="宋体" w:hAnsi="宋体" w:eastAsia="宋体" w:cs="宋体"/>
          <w:color w:val="000000"/>
          <w:sz w:val="44"/>
          <w:highlight w:val="none"/>
        </w:rPr>
        <w:t>本项目落实的政府采购相关政策</w:t>
      </w:r>
      <w:bookmarkEnd w:id="82"/>
      <w:bookmarkEnd w:id="83"/>
    </w:p>
    <w:p w14:paraId="334A13B5">
      <w:pPr>
        <w:numPr>
          <w:ilvl w:val="0"/>
          <w:numId w:val="5"/>
        </w:numPr>
        <w:spacing w:line="360" w:lineRule="auto"/>
        <w:rPr>
          <w:rFonts w:hint="eastAsia" w:ascii="宋体" w:hAnsi="宋体" w:eastAsia="宋体" w:cs="宋体"/>
          <w:b/>
          <w:color w:val="000000"/>
          <w:sz w:val="24"/>
          <w:szCs w:val="24"/>
          <w:highlight w:val="none"/>
          <w:lang w:val="en-US"/>
        </w:rPr>
      </w:pPr>
      <w:r>
        <w:rPr>
          <w:rFonts w:hint="eastAsia" w:ascii="宋体" w:hAnsi="宋体" w:eastAsia="宋体" w:cs="宋体"/>
          <w:b/>
          <w:color w:val="000000"/>
          <w:sz w:val="24"/>
          <w:szCs w:val="24"/>
          <w:highlight w:val="none"/>
        </w:rPr>
        <w:t xml:space="preserve">    </w:t>
      </w:r>
      <w:r>
        <w:rPr>
          <w:rFonts w:hint="eastAsia" w:ascii="宋体" w:hAnsi="宋体" w:eastAsia="宋体" w:cs="宋体"/>
          <w:b/>
          <w:dstrike/>
          <w:color w:val="000000"/>
          <w:sz w:val="24"/>
          <w:szCs w:val="24"/>
          <w:highlight w:val="none"/>
        </w:rPr>
        <w:t xml:space="preserve">  </w:t>
      </w:r>
      <w:r>
        <w:rPr>
          <w:rFonts w:hint="eastAsia" w:ascii="宋体" w:hAnsi="宋体" w:eastAsia="宋体" w:cs="宋体"/>
          <w:b/>
          <w:dstrike/>
          <w:color w:val="000000"/>
          <w:sz w:val="24"/>
          <w:szCs w:val="24"/>
          <w:highlight w:val="none"/>
          <w:lang w:val="en-US"/>
        </w:rPr>
        <w:t>8.1 根据《国务院关于印发扎实稳住经济一揽子政策措施的通知》（国发〔2022〕12号）和财政部、工业和信息化部关于印发《政府采购促进中小企业发展管理办法》的通知 财库〔2020〕46号文件相关规定，对符合本办法规定的小微企业报价给予10%--20%（工程项目为3%--5%）的扣除，用扣除后的价格参加评审。</w:t>
      </w:r>
      <w:r>
        <w:rPr>
          <w:rFonts w:hint="eastAsia" w:ascii="宋体" w:hAnsi="宋体" w:eastAsia="宋体" w:cs="宋体"/>
          <w:b/>
          <w:color w:val="000000"/>
          <w:sz w:val="24"/>
          <w:szCs w:val="24"/>
          <w:highlight w:val="none"/>
          <w:lang w:val="en-US"/>
        </w:rPr>
        <w:t>本项目因专门面向中小企业进行采购，故不再进行价格扣除。</w:t>
      </w:r>
    </w:p>
    <w:p w14:paraId="5F9D6A5B">
      <w:pPr>
        <w:numPr>
          <w:ilvl w:val="0"/>
          <w:numId w:val="5"/>
        </w:numPr>
        <w:spacing w:line="360" w:lineRule="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b/>
          <w:color w:val="000000"/>
          <w:sz w:val="24"/>
          <w:szCs w:val="24"/>
          <w:highlight w:val="none"/>
          <w:lang w:val="en-US"/>
        </w:rPr>
        <w:t xml:space="preserve">   </w:t>
      </w:r>
      <w:r>
        <w:rPr>
          <w:rFonts w:hint="eastAsia" w:ascii="宋体" w:hAnsi="宋体" w:eastAsia="宋体" w:cs="宋体"/>
          <w:b/>
          <w:color w:val="000000"/>
          <w:sz w:val="24"/>
          <w:szCs w:val="24"/>
          <w:highlight w:val="none"/>
        </w:rPr>
        <w:t>8.2 根据【财库〔2014〕68号】文件规定</w:t>
      </w:r>
      <w:r>
        <w:rPr>
          <w:rFonts w:hint="eastAsia" w:ascii="宋体" w:hAnsi="宋体" w:eastAsia="宋体" w:cs="宋体"/>
          <w:color w:val="000000"/>
          <w:sz w:val="24"/>
          <w:szCs w:val="24"/>
          <w:highlight w:val="none"/>
        </w:rPr>
        <w:t>,在政府采购活动中，监狱企业视同小型、微型企业，享受预留份额、评审中价格扣除等政府采购促进中小企业发展的政府采购政策。向监狱企业采购的金额，计入面向中小企业采购的统计数据。</w:t>
      </w:r>
    </w:p>
    <w:p w14:paraId="0CF06268">
      <w:pPr>
        <w:tabs>
          <w:tab w:val="left" w:pos="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1F02125">
      <w:pPr>
        <w:tabs>
          <w:tab w:val="left" w:pos="0"/>
        </w:tabs>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8.3根据【财库〔2017〕141号】文件规定，</w:t>
      </w:r>
      <w:r>
        <w:rPr>
          <w:rFonts w:hint="eastAsia" w:ascii="宋体" w:hAnsi="宋体" w:eastAsia="宋体" w:cs="宋体"/>
          <w:color w:val="000000"/>
          <w:sz w:val="24"/>
          <w:szCs w:val="24"/>
          <w:highlight w:val="none"/>
        </w:rPr>
        <w:t>对残疾人福利性单位产品参与投标享受相应优惠，应当同时满足以下条件：</w:t>
      </w:r>
    </w:p>
    <w:p w14:paraId="33F3384F">
      <w:pPr>
        <w:tabs>
          <w:tab w:val="left" w:pos="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①安置的残疾人占本单位在职职工人数的比例不低于25%（含25%），并且安置的残疾人人数不少于10人（含10人）；</w:t>
      </w:r>
    </w:p>
    <w:p w14:paraId="06EA4387">
      <w:pPr>
        <w:tabs>
          <w:tab w:val="left" w:pos="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②依法与安置的每位残疾人签订了一年以上（含一年）的劳动合同或服务协议；</w:t>
      </w:r>
    </w:p>
    <w:p w14:paraId="3F68E38B">
      <w:pPr>
        <w:tabs>
          <w:tab w:val="left" w:pos="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③为安置的每位残疾人按月足额缴纳了基本养老保险、基本医疗保险、失业保险、工伤保险和生育保险等社会保险费；</w:t>
      </w:r>
    </w:p>
    <w:p w14:paraId="67CBD5BF">
      <w:pPr>
        <w:tabs>
          <w:tab w:val="left" w:pos="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④通过银行等金融机构向安置的每位残疾人，按月支付了不低于单位所在区县适用的经省级人民政府批准的月最低工资标准的工资；</w:t>
      </w:r>
    </w:p>
    <w:p w14:paraId="6BA2718C">
      <w:pPr>
        <w:tabs>
          <w:tab w:val="left" w:pos="0"/>
        </w:tabs>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⑤提供本单位制造的货物、承担的工程或者服务（以下简称产品），或者提供其他残疾人福利性单位制造的货物（不包括使用非残疾人福利性单位注册商标的货物）。</w:t>
      </w:r>
    </w:p>
    <w:p w14:paraId="6BE424EF">
      <w:pPr>
        <w:tabs>
          <w:tab w:val="left" w:pos="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3083C72">
      <w:pPr>
        <w:tabs>
          <w:tab w:val="left" w:pos="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条件的残疾人福利性单位在参加政府采购活动时，应当提供《残疾人福利性单位声明函》（格式自拟），并对声明的真实性负责。任何单位或者个人在政府采购活动中均不得要求残疾人福利性单位提供其他证明声明函内容的材料。</w:t>
      </w:r>
    </w:p>
    <w:p w14:paraId="5FCB5289">
      <w:pPr>
        <w:tabs>
          <w:tab w:val="left" w:pos="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供应商提供的《残疾人福利性单位声明函》与事实不符的，依照《政府采购法》第七十七条第一款的规定追究法律责任。</w:t>
      </w:r>
    </w:p>
    <w:p w14:paraId="4F36FE5F">
      <w:pPr>
        <w:tabs>
          <w:tab w:val="left" w:pos="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bookmarkStart w:id="84" w:name="_Toc7152"/>
      <w:bookmarkStart w:id="85" w:name="_Toc28008"/>
    </w:p>
    <w:bookmarkEnd w:id="84"/>
    <w:bookmarkEnd w:id="85"/>
    <w:p w14:paraId="3C0EB3D0">
      <w:pPr>
        <w:rPr>
          <w:rFonts w:hint="eastAsia" w:ascii="宋体" w:hAnsi="宋体" w:eastAsia="宋体" w:cs="宋体"/>
          <w:color w:val="000000"/>
          <w:highlight w:val="none"/>
        </w:rPr>
      </w:pPr>
      <w:bookmarkStart w:id="86" w:name="_Toc27381"/>
    </w:p>
    <w:p w14:paraId="532B320D">
      <w:pPr>
        <w:pStyle w:val="5"/>
        <w:ind w:left="221"/>
        <w:jc w:val="center"/>
        <w:outlineLvl w:val="9"/>
        <w:rPr>
          <w:rFonts w:hint="eastAsia" w:ascii="宋体" w:hAnsi="宋体" w:eastAsia="宋体" w:cs="宋体"/>
          <w:color w:val="000000"/>
          <w:sz w:val="44"/>
          <w:highlight w:val="none"/>
        </w:rPr>
      </w:pPr>
    </w:p>
    <w:p w14:paraId="6E96C60E">
      <w:pPr>
        <w:pStyle w:val="5"/>
        <w:ind w:left="221"/>
        <w:jc w:val="center"/>
        <w:outlineLvl w:val="9"/>
        <w:rPr>
          <w:rFonts w:hint="eastAsia" w:ascii="宋体" w:hAnsi="宋体" w:eastAsia="宋体" w:cs="宋体"/>
          <w:color w:val="000000"/>
          <w:sz w:val="44"/>
          <w:highlight w:val="none"/>
        </w:rPr>
      </w:pPr>
    </w:p>
    <w:p w14:paraId="60CF4E01">
      <w:pPr>
        <w:pStyle w:val="5"/>
        <w:ind w:left="221"/>
        <w:jc w:val="center"/>
        <w:outlineLvl w:val="9"/>
        <w:rPr>
          <w:rFonts w:hint="eastAsia" w:ascii="宋体" w:hAnsi="宋体" w:eastAsia="宋体" w:cs="宋体"/>
          <w:color w:val="000000"/>
          <w:sz w:val="44"/>
          <w:highlight w:val="none"/>
        </w:rPr>
      </w:pPr>
    </w:p>
    <w:p w14:paraId="5F13D8AA">
      <w:pPr>
        <w:pStyle w:val="5"/>
        <w:ind w:left="221"/>
        <w:jc w:val="center"/>
        <w:outlineLvl w:val="9"/>
        <w:rPr>
          <w:rFonts w:hint="eastAsia" w:ascii="宋体" w:hAnsi="宋体" w:eastAsia="宋体" w:cs="宋体"/>
          <w:color w:val="000000"/>
          <w:sz w:val="44"/>
          <w:highlight w:val="none"/>
        </w:rPr>
      </w:pPr>
    </w:p>
    <w:p w14:paraId="46182356">
      <w:pPr>
        <w:rPr>
          <w:rFonts w:hint="eastAsia" w:ascii="宋体" w:hAnsi="宋体" w:eastAsia="宋体" w:cs="宋体"/>
          <w:color w:val="000000"/>
          <w:highlight w:val="none"/>
        </w:rPr>
      </w:pPr>
    </w:p>
    <w:p w14:paraId="56E2C002">
      <w:pPr>
        <w:pStyle w:val="11"/>
        <w:rPr>
          <w:rFonts w:hint="eastAsia" w:ascii="宋体" w:hAnsi="宋体" w:eastAsia="宋体" w:cs="宋体"/>
          <w:color w:val="000000"/>
          <w:highlight w:val="none"/>
        </w:rPr>
      </w:pPr>
    </w:p>
    <w:p w14:paraId="0CDD51FA">
      <w:pPr>
        <w:rPr>
          <w:rFonts w:hint="eastAsia" w:ascii="宋体" w:hAnsi="宋体" w:eastAsia="宋体" w:cs="宋体"/>
          <w:color w:val="000000"/>
          <w:highlight w:val="none"/>
        </w:rPr>
      </w:pPr>
    </w:p>
    <w:p w14:paraId="5A4BCEEB">
      <w:pPr>
        <w:pStyle w:val="11"/>
        <w:rPr>
          <w:rFonts w:hint="eastAsia" w:ascii="宋体" w:hAnsi="宋体" w:eastAsia="宋体" w:cs="宋体"/>
          <w:color w:val="000000"/>
          <w:highlight w:val="none"/>
        </w:rPr>
      </w:pPr>
    </w:p>
    <w:p w14:paraId="58EA7230">
      <w:pPr>
        <w:rPr>
          <w:rFonts w:hint="eastAsia" w:ascii="宋体" w:hAnsi="宋体" w:eastAsia="宋体" w:cs="宋体"/>
          <w:color w:val="000000"/>
          <w:highlight w:val="none"/>
        </w:rPr>
      </w:pPr>
    </w:p>
    <w:p w14:paraId="13EF05B8">
      <w:pPr>
        <w:pStyle w:val="11"/>
        <w:rPr>
          <w:rFonts w:hint="eastAsia" w:ascii="宋体" w:hAnsi="宋体" w:eastAsia="宋体" w:cs="宋体"/>
          <w:color w:val="000000"/>
          <w:highlight w:val="none"/>
        </w:rPr>
      </w:pPr>
    </w:p>
    <w:p w14:paraId="154AEC62">
      <w:pPr>
        <w:rPr>
          <w:rFonts w:hint="eastAsia" w:ascii="宋体" w:hAnsi="宋体" w:eastAsia="宋体" w:cs="宋体"/>
          <w:color w:val="000000"/>
          <w:highlight w:val="none"/>
        </w:rPr>
      </w:pPr>
    </w:p>
    <w:p w14:paraId="4D6FF37A">
      <w:pPr>
        <w:rPr>
          <w:rFonts w:hint="eastAsia" w:ascii="宋体" w:hAnsi="宋体" w:eastAsia="宋体" w:cs="宋体"/>
          <w:color w:val="000000"/>
          <w:highlight w:val="none"/>
        </w:rPr>
      </w:pPr>
    </w:p>
    <w:p w14:paraId="363FC9B4">
      <w:pPr>
        <w:rPr>
          <w:rFonts w:hint="eastAsia" w:ascii="宋体" w:hAnsi="宋体" w:eastAsia="宋体" w:cs="宋体"/>
          <w:color w:val="000000"/>
          <w:highlight w:val="none"/>
        </w:rPr>
      </w:pPr>
    </w:p>
    <w:p w14:paraId="713379F6">
      <w:pPr>
        <w:rPr>
          <w:rFonts w:hint="eastAsia" w:ascii="宋体" w:hAnsi="宋体" w:eastAsia="宋体" w:cs="宋体"/>
          <w:color w:val="000000"/>
          <w:highlight w:val="none"/>
        </w:rPr>
      </w:pPr>
    </w:p>
    <w:p w14:paraId="1A753120">
      <w:pPr>
        <w:rPr>
          <w:rFonts w:hint="eastAsia" w:ascii="宋体" w:hAnsi="宋体" w:eastAsia="宋体" w:cs="宋体"/>
          <w:color w:val="000000"/>
          <w:highlight w:val="none"/>
        </w:rPr>
      </w:pPr>
    </w:p>
    <w:p w14:paraId="122F7258">
      <w:pPr>
        <w:rPr>
          <w:rFonts w:hint="eastAsia" w:ascii="宋体" w:hAnsi="宋体" w:eastAsia="宋体" w:cs="宋体"/>
          <w:color w:val="000000"/>
          <w:highlight w:val="none"/>
        </w:rPr>
      </w:pPr>
    </w:p>
    <w:p w14:paraId="23445018">
      <w:pPr>
        <w:pStyle w:val="11"/>
        <w:rPr>
          <w:rFonts w:hint="eastAsia" w:ascii="宋体" w:hAnsi="宋体" w:eastAsia="宋体" w:cs="宋体"/>
          <w:color w:val="000000"/>
          <w:highlight w:val="none"/>
        </w:rPr>
      </w:pPr>
    </w:p>
    <w:p w14:paraId="37C9DE45">
      <w:pPr>
        <w:rPr>
          <w:rFonts w:hint="eastAsia" w:ascii="宋体" w:hAnsi="宋体" w:eastAsia="宋体" w:cs="宋体"/>
          <w:color w:val="000000"/>
          <w:highlight w:val="none"/>
        </w:rPr>
      </w:pPr>
    </w:p>
    <w:p w14:paraId="28C400E0">
      <w:pPr>
        <w:pStyle w:val="11"/>
        <w:rPr>
          <w:rFonts w:hint="eastAsia" w:ascii="宋体" w:hAnsi="宋体" w:eastAsia="宋体" w:cs="宋体"/>
          <w:color w:val="000000"/>
          <w:highlight w:val="none"/>
        </w:rPr>
      </w:pPr>
    </w:p>
    <w:p w14:paraId="106550FA">
      <w:pPr>
        <w:rPr>
          <w:rFonts w:hint="eastAsia" w:ascii="宋体" w:hAnsi="宋体" w:eastAsia="宋体" w:cs="宋体"/>
          <w:color w:val="000000"/>
          <w:highlight w:val="none"/>
        </w:rPr>
      </w:pPr>
    </w:p>
    <w:p w14:paraId="33543C50">
      <w:pPr>
        <w:pStyle w:val="11"/>
        <w:rPr>
          <w:rFonts w:hint="eastAsia" w:ascii="宋体" w:hAnsi="宋体" w:eastAsia="宋体" w:cs="宋体"/>
          <w:color w:val="000000"/>
          <w:highlight w:val="none"/>
        </w:rPr>
      </w:pPr>
    </w:p>
    <w:p w14:paraId="1C20FCB5">
      <w:pPr>
        <w:rPr>
          <w:rFonts w:hint="eastAsia" w:ascii="宋体" w:hAnsi="宋体" w:eastAsia="宋体" w:cs="宋体"/>
          <w:color w:val="000000"/>
          <w:highlight w:val="none"/>
        </w:rPr>
      </w:pPr>
    </w:p>
    <w:p w14:paraId="4977D2D4">
      <w:pPr>
        <w:pStyle w:val="11"/>
        <w:rPr>
          <w:rFonts w:hint="eastAsia" w:ascii="宋体" w:hAnsi="宋体" w:eastAsia="宋体" w:cs="宋体"/>
          <w:color w:val="000000"/>
          <w:highlight w:val="none"/>
        </w:rPr>
      </w:pPr>
    </w:p>
    <w:p w14:paraId="5A688BC8">
      <w:pPr>
        <w:rPr>
          <w:rFonts w:hint="eastAsia" w:ascii="宋体" w:hAnsi="宋体" w:eastAsia="宋体" w:cs="宋体"/>
          <w:color w:val="000000"/>
          <w:highlight w:val="none"/>
        </w:rPr>
      </w:pPr>
    </w:p>
    <w:p w14:paraId="29F8B50E">
      <w:pPr>
        <w:pStyle w:val="5"/>
        <w:ind w:left="221"/>
        <w:jc w:val="center"/>
        <w:outlineLvl w:val="0"/>
        <w:rPr>
          <w:rFonts w:hint="eastAsia" w:ascii="宋体" w:hAnsi="宋体" w:eastAsia="宋体" w:cs="宋体"/>
          <w:color w:val="000000"/>
          <w:spacing w:val="1"/>
          <w:w w:val="99"/>
          <w:highlight w:val="none"/>
        </w:rPr>
      </w:pPr>
      <w:bookmarkStart w:id="87" w:name="_Toc15727"/>
      <w:r>
        <w:rPr>
          <w:rFonts w:hint="eastAsia" w:ascii="宋体" w:hAnsi="宋体" w:eastAsia="宋体" w:cs="宋体"/>
          <w:color w:val="000000"/>
          <w:sz w:val="44"/>
          <w:highlight w:val="none"/>
        </w:rPr>
        <w:t>第九章</w:t>
      </w:r>
      <w:r>
        <w:rPr>
          <w:rFonts w:hint="eastAsia" w:ascii="宋体" w:hAnsi="宋体" w:eastAsia="宋体" w:cs="宋体"/>
          <w:color w:val="000000"/>
          <w:sz w:val="44"/>
          <w:highlight w:val="none"/>
          <w:lang w:val="en-US" w:eastAsia="zh-CN"/>
        </w:rPr>
        <w:t xml:space="preserve">  </w:t>
      </w:r>
      <w:r>
        <w:rPr>
          <w:rFonts w:hint="eastAsia" w:ascii="宋体" w:hAnsi="宋体" w:eastAsia="宋体" w:cs="宋体"/>
          <w:color w:val="000000"/>
          <w:sz w:val="44"/>
          <w:highlight w:val="none"/>
        </w:rPr>
        <w:t>附件</w:t>
      </w:r>
      <w:bookmarkEnd w:id="86"/>
      <w:bookmarkEnd w:id="87"/>
    </w:p>
    <w:p w14:paraId="40168DAC">
      <w:pPr>
        <w:spacing w:before="107"/>
        <w:ind w:left="138"/>
        <w:rPr>
          <w:rFonts w:hint="eastAsia" w:ascii="宋体" w:hAnsi="宋体" w:eastAsia="宋体" w:cs="宋体"/>
          <w:b/>
          <w:color w:val="000000"/>
          <w:sz w:val="24"/>
          <w:szCs w:val="24"/>
          <w:highlight w:val="none"/>
          <w:lang w:val="en-US"/>
        </w:rPr>
      </w:pPr>
      <w:r>
        <w:rPr>
          <w:rFonts w:hint="eastAsia" w:ascii="宋体" w:hAnsi="宋体" w:eastAsia="宋体" w:cs="宋体"/>
          <w:b/>
          <w:color w:val="000000"/>
          <w:sz w:val="24"/>
          <w:szCs w:val="24"/>
          <w:highlight w:val="none"/>
        </w:rPr>
        <w:t>附件</w:t>
      </w:r>
      <w:r>
        <w:rPr>
          <w:rFonts w:hint="eastAsia" w:ascii="宋体" w:hAnsi="宋体" w:eastAsia="宋体" w:cs="宋体"/>
          <w:b/>
          <w:color w:val="000000"/>
          <w:sz w:val="24"/>
          <w:szCs w:val="24"/>
          <w:highlight w:val="none"/>
          <w:lang w:val="en-US"/>
        </w:rPr>
        <w:t>1（</w:t>
      </w:r>
      <w:r>
        <w:rPr>
          <w:rFonts w:hint="eastAsia" w:ascii="宋体" w:hAnsi="宋体" w:eastAsia="宋体" w:cs="宋体"/>
          <w:b/>
          <w:color w:val="000000"/>
          <w:sz w:val="24"/>
          <w:szCs w:val="24"/>
          <w:highlight w:val="none"/>
        </w:rPr>
        <w:t>指定格式</w:t>
      </w:r>
      <w:r>
        <w:rPr>
          <w:rFonts w:hint="eastAsia" w:ascii="宋体" w:hAnsi="宋体" w:eastAsia="宋体" w:cs="宋体"/>
          <w:b/>
          <w:color w:val="000000"/>
          <w:sz w:val="24"/>
          <w:szCs w:val="24"/>
          <w:highlight w:val="none"/>
          <w:lang w:val="en-US"/>
        </w:rPr>
        <w:t>）：</w:t>
      </w:r>
    </w:p>
    <w:p w14:paraId="155568BA">
      <w:pPr>
        <w:pStyle w:val="11"/>
        <w:rPr>
          <w:rFonts w:hint="eastAsia" w:ascii="宋体" w:hAnsi="宋体" w:eastAsia="宋体" w:cs="宋体"/>
          <w:color w:val="000000"/>
          <w:highlight w:val="none"/>
          <w:lang w:val="en-US"/>
        </w:rPr>
      </w:pPr>
    </w:p>
    <w:p w14:paraId="75FBC37F">
      <w:pPr>
        <w:pStyle w:val="22"/>
        <w:spacing w:before="62" w:line="417" w:lineRule="auto"/>
        <w:ind w:left="132" w:leftChars="63" w:right="704" w:firstLine="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基础报价书</w:t>
      </w:r>
    </w:p>
    <w:p w14:paraId="262227A8">
      <w:pPr>
        <w:pStyle w:val="22"/>
        <w:spacing w:line="417" w:lineRule="auto"/>
        <w:ind w:right="1272" w:firstLine="4"/>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致：</w:t>
      </w:r>
      <w:r>
        <w:rPr>
          <w:rFonts w:hint="eastAsia" w:eastAsia="宋体" w:cs="宋体"/>
          <w:color w:val="000000"/>
          <w:sz w:val="24"/>
          <w:szCs w:val="24"/>
          <w:highlight w:val="none"/>
          <w:lang w:eastAsia="zh-CN"/>
        </w:rPr>
        <w:t>毕节市能源局</w:t>
      </w:r>
    </w:p>
    <w:p w14:paraId="798F92C2">
      <w:pPr>
        <w:pStyle w:val="7"/>
        <w:keepNext w:val="0"/>
        <w:keepLines w:val="0"/>
        <w:pageBreakBefore w:val="0"/>
        <w:widowControl w:val="0"/>
        <w:kinsoku/>
        <w:wordWrap/>
        <w:overflowPunct/>
        <w:topLinePunct w:val="0"/>
        <w:autoSpaceDE w:val="0"/>
        <w:autoSpaceDN w:val="0"/>
        <w:bidi w:val="0"/>
        <w:adjustRightInd/>
        <w:snapToGrid/>
        <w:spacing w:line="240" w:lineRule="auto"/>
        <w:ind w:left="136" w:leftChars="65"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我方已收到项目编号</w:t>
      </w:r>
      <w:r>
        <w:rPr>
          <w:rFonts w:hint="eastAsia" w:eastAsia="宋体" w:cs="宋体"/>
          <w:color w:val="000000"/>
          <w:sz w:val="24"/>
          <w:szCs w:val="24"/>
          <w:highlight w:val="none"/>
          <w:lang w:eastAsia="zh-CN"/>
        </w:rPr>
        <w:t>：</w:t>
      </w:r>
      <w:r>
        <w:rPr>
          <w:rFonts w:hint="eastAsia" w:ascii="宋体" w:hAnsi="宋体" w:eastAsia="宋体" w:cs="宋体"/>
          <w:b/>
          <w:bCs/>
          <w:color w:val="000000"/>
          <w:sz w:val="24"/>
          <w:szCs w:val="24"/>
          <w:highlight w:val="none"/>
          <w:u w:val="single"/>
          <w:lang w:val="en-US"/>
        </w:rPr>
        <w:t xml:space="preserve">                  </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《磋商文件》，遵照《中华人民共和国政府采购法》及有关</w:t>
      </w:r>
      <w:r>
        <w:rPr>
          <w:rFonts w:hint="eastAsia" w:eastAsia="宋体" w:cs="宋体"/>
          <w:color w:val="000000"/>
          <w:sz w:val="24"/>
          <w:szCs w:val="24"/>
          <w:highlight w:val="none"/>
          <w:lang w:eastAsia="zh-CN"/>
        </w:rPr>
        <w:t>法律法规</w:t>
      </w:r>
      <w:r>
        <w:rPr>
          <w:rFonts w:hint="eastAsia" w:ascii="宋体" w:hAnsi="宋体" w:eastAsia="宋体" w:cs="宋体"/>
          <w:color w:val="000000"/>
          <w:sz w:val="24"/>
          <w:szCs w:val="24"/>
          <w:highlight w:val="none"/>
        </w:rPr>
        <w:t>和规章的规定，愿意按《磋商文件》的要求作如下承诺：</w:t>
      </w:r>
    </w:p>
    <w:p w14:paraId="0D18D6D5">
      <w:pPr>
        <w:pStyle w:val="7"/>
        <w:keepNext w:val="0"/>
        <w:keepLines w:val="0"/>
        <w:pageBreakBefore w:val="0"/>
        <w:widowControl w:val="0"/>
        <w:kinsoku/>
        <w:wordWrap/>
        <w:overflowPunct/>
        <w:topLinePunct w:val="0"/>
        <w:autoSpaceDE w:val="0"/>
        <w:autoSpaceDN w:val="0"/>
        <w:bidi w:val="0"/>
        <w:adjustRightInd/>
        <w:snapToGrid/>
        <w:spacing w:line="240" w:lineRule="auto"/>
        <w:ind w:left="698"/>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一、提交：</w:t>
      </w:r>
    </w:p>
    <w:p w14:paraId="01D3E4FB">
      <w:pPr>
        <w:pStyle w:val="7"/>
        <w:keepNext w:val="0"/>
        <w:keepLines w:val="0"/>
        <w:pageBreakBefore w:val="0"/>
        <w:widowControl w:val="0"/>
        <w:kinsoku/>
        <w:wordWrap/>
        <w:overflowPunct/>
        <w:topLinePunct w:val="0"/>
        <w:autoSpaceDE w:val="0"/>
        <w:autoSpaceDN w:val="0"/>
        <w:bidi w:val="0"/>
        <w:adjustRightInd/>
        <w:snapToGrid/>
        <w:spacing w:line="240" w:lineRule="auto"/>
        <w:ind w:left="698"/>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1、《技术与商务投标书》；</w:t>
      </w:r>
    </w:p>
    <w:p w14:paraId="11C8C5BB">
      <w:pPr>
        <w:pStyle w:val="7"/>
        <w:keepNext w:val="0"/>
        <w:keepLines w:val="0"/>
        <w:pageBreakBefore w:val="0"/>
        <w:widowControl w:val="0"/>
        <w:kinsoku/>
        <w:wordWrap/>
        <w:overflowPunct/>
        <w:topLinePunct w:val="0"/>
        <w:autoSpaceDE w:val="0"/>
        <w:autoSpaceDN w:val="0"/>
        <w:bidi w:val="0"/>
        <w:adjustRightInd/>
        <w:snapToGrid/>
        <w:spacing w:line="240" w:lineRule="auto"/>
        <w:ind w:left="698"/>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2、《投标报价书》。</w:t>
      </w:r>
    </w:p>
    <w:p w14:paraId="3DF02645">
      <w:pPr>
        <w:pStyle w:val="7"/>
        <w:keepNext w:val="0"/>
        <w:keepLines w:val="0"/>
        <w:pageBreakBefore w:val="0"/>
        <w:widowControl w:val="0"/>
        <w:kinsoku/>
        <w:wordWrap/>
        <w:overflowPunct/>
        <w:topLinePunct w:val="0"/>
        <w:autoSpaceDE w:val="0"/>
        <w:autoSpaceDN w:val="0"/>
        <w:bidi w:val="0"/>
        <w:adjustRightInd/>
        <w:snapToGrid/>
        <w:spacing w:line="240" w:lineRule="auto"/>
        <w:ind w:left="136" w:leftChars="65"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二、我方</w:t>
      </w:r>
      <w:r>
        <w:rPr>
          <w:rFonts w:hint="eastAsia" w:ascii="宋体" w:hAnsi="宋体" w:eastAsia="宋体" w:cs="宋体"/>
          <w:color w:val="000000"/>
          <w:sz w:val="24"/>
          <w:szCs w:val="24"/>
          <w:highlight w:val="none"/>
          <w:lang w:val="en-US"/>
        </w:rPr>
        <w:t>愿意以</w:t>
      </w:r>
      <w:r>
        <w:rPr>
          <w:rFonts w:hint="eastAsia" w:eastAsia="宋体" w:cs="宋体"/>
          <w:color w:val="000000"/>
          <w:sz w:val="24"/>
          <w:szCs w:val="24"/>
          <w:highlight w:val="none"/>
          <w:lang w:val="en-US" w:eastAsia="zh-CN"/>
        </w:rPr>
        <w:t>（人民币小写）</w:t>
      </w:r>
      <w:r>
        <w:rPr>
          <w:rFonts w:hint="eastAsia" w:ascii="宋体" w:hAnsi="宋体" w:eastAsia="宋体" w:cs="宋体"/>
          <w:color w:val="000000"/>
          <w:sz w:val="24"/>
          <w:szCs w:val="24"/>
          <w:highlight w:val="none"/>
          <w:u w:val="single"/>
          <w:lang w:val="en-US"/>
        </w:rPr>
        <w:t xml:space="preserve">             </w:t>
      </w:r>
      <w:r>
        <w:rPr>
          <w:rFonts w:hint="eastAsia" w:ascii="宋体" w:hAnsi="宋体" w:eastAsia="宋体" w:cs="宋体"/>
          <w:color w:val="000000"/>
          <w:sz w:val="24"/>
          <w:szCs w:val="24"/>
          <w:highlight w:val="none"/>
          <w:lang w:val="en-US"/>
        </w:rPr>
        <w:t>元的基础报价参加磋商</w:t>
      </w:r>
      <w:r>
        <w:rPr>
          <w:rFonts w:hint="eastAsia" w:ascii="宋体" w:hAnsi="宋体" w:eastAsia="宋体" w:cs="宋体"/>
          <w:color w:val="000000"/>
          <w:sz w:val="24"/>
          <w:szCs w:val="24"/>
          <w:highlight w:val="none"/>
        </w:rPr>
        <w:t>。向采购方提供《磋商文件》中</w:t>
      </w:r>
      <w:r>
        <w:rPr>
          <w:rFonts w:hint="eastAsia" w:ascii="宋体" w:hAnsi="宋体" w:eastAsia="宋体" w:cs="宋体"/>
          <w:color w:val="000000"/>
          <w:spacing w:val="-6"/>
          <w:sz w:val="24"/>
          <w:szCs w:val="24"/>
          <w:highlight w:val="none"/>
        </w:rPr>
        <w:t>全部内容</w:t>
      </w:r>
      <w:r>
        <w:rPr>
          <w:rFonts w:hint="eastAsia" w:ascii="宋体" w:hAnsi="宋体" w:eastAsia="宋体" w:cs="宋体"/>
          <w:color w:val="000000"/>
          <w:spacing w:val="-9"/>
          <w:sz w:val="24"/>
          <w:szCs w:val="24"/>
          <w:highlight w:val="none"/>
        </w:rPr>
        <w:t>，并完全满足《磋商文件》对采购标的服务等方面</w:t>
      </w:r>
      <w:r>
        <w:rPr>
          <w:rFonts w:hint="eastAsia" w:ascii="宋体" w:hAnsi="宋体" w:eastAsia="宋体" w:cs="宋体"/>
          <w:color w:val="000000"/>
          <w:spacing w:val="-8"/>
          <w:sz w:val="24"/>
          <w:szCs w:val="24"/>
          <w:highlight w:val="none"/>
        </w:rPr>
        <w:t>的要求。如果我方成交，愿意按《磋商文件》的规定向采购代理机构交纳</w:t>
      </w:r>
      <w:r>
        <w:rPr>
          <w:rFonts w:hint="eastAsia" w:ascii="宋体" w:hAnsi="宋体" w:eastAsia="宋体" w:cs="宋体"/>
          <w:color w:val="000000"/>
          <w:spacing w:val="-6"/>
          <w:sz w:val="24"/>
          <w:szCs w:val="24"/>
          <w:highlight w:val="none"/>
        </w:rPr>
        <w:t>代理服务费。</w:t>
      </w:r>
    </w:p>
    <w:p w14:paraId="4D4A3F24">
      <w:pPr>
        <w:pStyle w:val="7"/>
        <w:keepNext w:val="0"/>
        <w:keepLines w:val="0"/>
        <w:pageBreakBefore w:val="0"/>
        <w:widowControl w:val="0"/>
        <w:kinsoku/>
        <w:wordWrap/>
        <w:overflowPunct/>
        <w:topLinePunct w:val="0"/>
        <w:autoSpaceDE w:val="0"/>
        <w:autoSpaceDN w:val="0"/>
        <w:bidi w:val="0"/>
        <w:adjustRightInd/>
        <w:snapToGrid/>
        <w:spacing w:line="240" w:lineRule="auto"/>
        <w:ind w:left="142" w:firstLine="475" w:firstLineChars="198"/>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三、我方愿意向毕节市公共资源交易中心交纳投标保证金</w:t>
      </w:r>
      <w:r>
        <w:rPr>
          <w:rFonts w:hint="eastAsia" w:eastAsia="宋体" w:cs="宋体"/>
          <w:color w:val="000000"/>
          <w:sz w:val="24"/>
          <w:szCs w:val="24"/>
          <w:highlight w:val="none"/>
          <w:u w:val="single"/>
          <w:lang w:val="en-US" w:eastAsia="zh-CN"/>
        </w:rPr>
        <w:t xml:space="preserve"> </w:t>
      </w:r>
      <w:r>
        <w:rPr>
          <w:rFonts w:hint="eastAsia" w:eastAsia="宋体" w:cs="宋体"/>
          <w:b/>
          <w:bCs/>
          <w:color w:val="000000"/>
          <w:sz w:val="24"/>
          <w:szCs w:val="24"/>
          <w:highlight w:val="none"/>
          <w:u w:val="single"/>
          <w:lang w:val="en-US" w:eastAsia="zh-CN"/>
        </w:rPr>
        <w:t>壹万元</w:t>
      </w:r>
      <w:r>
        <w:rPr>
          <w:rFonts w:hint="eastAsia" w:ascii="宋体" w:hAnsi="宋体" w:eastAsia="宋体" w:cs="宋体"/>
          <w:b/>
          <w:bCs/>
          <w:color w:val="000000"/>
          <w:sz w:val="24"/>
          <w:szCs w:val="24"/>
          <w:highlight w:val="none"/>
          <w:u w:val="single"/>
          <w:lang w:val="en-US"/>
        </w:rPr>
        <w:t>整</w:t>
      </w:r>
      <w:r>
        <w:rPr>
          <w:rFonts w:hint="eastAsia"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人民币)。如果我方在投标活动中有违法、违纪和违规行为的，贵方将不退还我方交纳的投标保证金，我方将永远放弃追索投标保证金的权利。因我方的代表不能按时到会造成本次磋商会议不能正常召开的，可以扣除我方投标保证金的部分或全部以弥补因此造成的损失。</w:t>
      </w:r>
    </w:p>
    <w:p w14:paraId="453DE295">
      <w:pPr>
        <w:pStyle w:val="7"/>
        <w:keepNext w:val="0"/>
        <w:keepLines w:val="0"/>
        <w:pageBreakBefore w:val="0"/>
        <w:widowControl w:val="0"/>
        <w:kinsoku/>
        <w:wordWrap/>
        <w:overflowPunct/>
        <w:topLinePunct w:val="0"/>
        <w:autoSpaceDE w:val="0"/>
        <w:autoSpaceDN w:val="0"/>
        <w:bidi w:val="0"/>
        <w:adjustRightInd/>
        <w:snapToGrid/>
        <w:spacing w:line="240" w:lineRule="auto"/>
        <w:ind w:left="142" w:right="-4" w:firstLine="475" w:firstLineChars="198"/>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四、如果我方成交，我方将完全按《磋商文件》的规定履行责任和义务。如我方成交后不在规定期</w:t>
      </w:r>
      <w:r>
        <w:rPr>
          <w:rFonts w:hint="eastAsia" w:eastAsia="宋体" w:cs="宋体"/>
          <w:color w:val="000000"/>
          <w:sz w:val="24"/>
          <w:szCs w:val="24"/>
          <w:highlight w:val="none"/>
          <w:lang w:eastAsia="zh-CN"/>
        </w:rPr>
        <w:t>限内</w:t>
      </w:r>
      <w:r>
        <w:rPr>
          <w:rFonts w:hint="eastAsia" w:ascii="宋体" w:hAnsi="宋体" w:eastAsia="宋体" w:cs="宋体"/>
          <w:color w:val="000000"/>
          <w:sz w:val="24"/>
          <w:szCs w:val="24"/>
          <w:highlight w:val="none"/>
        </w:rPr>
        <w:t>与采购单位签订合同的，贵方将不予退还我方的投标保证金，且有权视其情节追究我方的经济和法律责任。如我方因自身原因不能履行合同的，我方将承担相应的经济和法律责任。</w:t>
      </w:r>
    </w:p>
    <w:p w14:paraId="54D280F0">
      <w:pPr>
        <w:pStyle w:val="7"/>
        <w:keepNext w:val="0"/>
        <w:keepLines w:val="0"/>
        <w:pageBreakBefore w:val="0"/>
        <w:widowControl w:val="0"/>
        <w:kinsoku/>
        <w:wordWrap/>
        <w:overflowPunct/>
        <w:topLinePunct w:val="0"/>
        <w:autoSpaceDE w:val="0"/>
        <w:autoSpaceDN w:val="0"/>
        <w:bidi w:val="0"/>
        <w:adjustRightInd/>
        <w:snapToGrid/>
        <w:spacing w:line="240" w:lineRule="auto"/>
        <w:ind w:left="138" w:right="-4" w:firstLine="559"/>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五、我方已详细阅读了全部《磋商文件》（包括修改文件、参考资料</w:t>
      </w:r>
      <w:r>
        <w:rPr>
          <w:rFonts w:hint="eastAsia" w:ascii="宋体" w:hAnsi="宋体" w:eastAsia="宋体" w:cs="宋体"/>
          <w:color w:val="000000"/>
          <w:spacing w:val="-1"/>
          <w:sz w:val="24"/>
          <w:szCs w:val="24"/>
          <w:highlight w:val="none"/>
        </w:rPr>
        <w:t>和有关附件</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，我方认为《磋商文件》所有的条款是合理、公平、公正的，</w:t>
      </w:r>
      <w:r>
        <w:rPr>
          <w:rFonts w:hint="eastAsia" w:ascii="宋体" w:hAnsi="宋体" w:eastAsia="宋体" w:cs="宋体"/>
          <w:color w:val="000000"/>
          <w:spacing w:val="-3"/>
          <w:sz w:val="24"/>
          <w:szCs w:val="24"/>
          <w:highlight w:val="none"/>
        </w:rPr>
        <w:t>我们完全理解并同意放弃对这方面有不明及误解的权利。</w:t>
      </w:r>
    </w:p>
    <w:p w14:paraId="52D3B428">
      <w:pPr>
        <w:pStyle w:val="7"/>
        <w:keepNext w:val="0"/>
        <w:keepLines w:val="0"/>
        <w:pageBreakBefore w:val="0"/>
        <w:widowControl w:val="0"/>
        <w:kinsoku/>
        <w:wordWrap/>
        <w:overflowPunct/>
        <w:topLinePunct w:val="0"/>
        <w:autoSpaceDE w:val="0"/>
        <w:autoSpaceDN w:val="0"/>
        <w:bidi w:val="0"/>
        <w:adjustRightInd/>
        <w:snapToGrid/>
        <w:spacing w:line="240" w:lineRule="auto"/>
        <w:ind w:left="138" w:right="-4" w:firstLine="559"/>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六、我方的报价承诺从填报之日至合同终止期间有效，如果我方在合同终止前撤回承诺将承担违约责任。</w:t>
      </w:r>
    </w:p>
    <w:p w14:paraId="31699BB4">
      <w:pPr>
        <w:pStyle w:val="7"/>
        <w:keepNext w:val="0"/>
        <w:keepLines w:val="0"/>
        <w:pageBreakBefore w:val="0"/>
        <w:widowControl w:val="0"/>
        <w:kinsoku/>
        <w:wordWrap/>
        <w:overflowPunct/>
        <w:topLinePunct w:val="0"/>
        <w:autoSpaceDE w:val="0"/>
        <w:autoSpaceDN w:val="0"/>
        <w:bidi w:val="0"/>
        <w:adjustRightInd/>
        <w:snapToGrid/>
        <w:spacing w:line="240" w:lineRule="auto"/>
        <w:ind w:left="698"/>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七、与本次报价有关的一切正式往来文件请寄：</w:t>
      </w:r>
    </w:p>
    <w:p w14:paraId="0AAA2C20">
      <w:pPr>
        <w:pStyle w:val="7"/>
        <w:spacing w:line="417" w:lineRule="auto"/>
        <w:ind w:left="138" w:right="-4" w:firstLine="5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邮编：</w:t>
      </w:r>
    </w:p>
    <w:p w14:paraId="68C277EA">
      <w:pPr>
        <w:pStyle w:val="7"/>
        <w:spacing w:line="417" w:lineRule="auto"/>
        <w:ind w:left="138" w:right="-4" w:firstLine="5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　　　　　　　　　　　　传真：</w:t>
      </w:r>
    </w:p>
    <w:p w14:paraId="238A11E0">
      <w:pPr>
        <w:pStyle w:val="7"/>
        <w:spacing w:line="417" w:lineRule="auto"/>
        <w:ind w:left="138" w:right="-4" w:firstLine="559"/>
        <w:rPr>
          <w:rFonts w:hint="eastAsia" w:ascii="宋体" w:hAnsi="宋体" w:eastAsia="宋体" w:cs="宋体"/>
          <w:color w:val="000000"/>
          <w:sz w:val="24"/>
          <w:szCs w:val="24"/>
          <w:highlight w:val="none"/>
        </w:rPr>
      </w:pPr>
    </w:p>
    <w:p w14:paraId="07F22559">
      <w:pPr>
        <w:pStyle w:val="7"/>
        <w:spacing w:before="61"/>
        <w:ind w:left="1312"/>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供应商全称（电子签章）：</w:t>
      </w:r>
    </w:p>
    <w:p w14:paraId="68476055">
      <w:pPr>
        <w:pStyle w:val="7"/>
        <w:spacing w:before="9"/>
        <w:jc w:val="right"/>
        <w:rPr>
          <w:rFonts w:hint="eastAsia" w:ascii="宋体" w:hAnsi="宋体" w:eastAsia="宋体" w:cs="宋体"/>
          <w:color w:val="000000"/>
          <w:sz w:val="24"/>
          <w:szCs w:val="24"/>
          <w:highlight w:val="none"/>
        </w:rPr>
      </w:pPr>
    </w:p>
    <w:p w14:paraId="523B40DB">
      <w:pPr>
        <w:pStyle w:val="7"/>
        <w:ind w:left="4169"/>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法定代表人（电子签章）：</w:t>
      </w:r>
    </w:p>
    <w:p w14:paraId="59E98C57">
      <w:pPr>
        <w:pStyle w:val="7"/>
        <w:spacing w:before="9"/>
        <w:jc w:val="right"/>
        <w:rPr>
          <w:rFonts w:hint="eastAsia" w:ascii="宋体" w:hAnsi="宋体" w:eastAsia="宋体" w:cs="宋体"/>
          <w:color w:val="000000"/>
          <w:sz w:val="24"/>
          <w:szCs w:val="24"/>
          <w:highlight w:val="none"/>
        </w:rPr>
      </w:pPr>
    </w:p>
    <w:p w14:paraId="5BFA8F73">
      <w:pPr>
        <w:pStyle w:val="7"/>
        <w:spacing w:before="1"/>
        <w:ind w:left="6300" w:right="84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年月日</w:t>
      </w:r>
    </w:p>
    <w:p w14:paraId="3FCC7DCA">
      <w:pPr>
        <w:pStyle w:val="22"/>
        <w:spacing w:before="34"/>
        <w:ind w:hanging="138"/>
        <w:outlineLvl w:val="9"/>
        <w:rPr>
          <w:rFonts w:hint="eastAsia" w:ascii="宋体" w:hAnsi="宋体" w:eastAsia="宋体" w:cs="宋体"/>
          <w:color w:val="000000"/>
          <w:spacing w:val="1"/>
          <w:w w:val="99"/>
          <w:sz w:val="24"/>
          <w:szCs w:val="24"/>
          <w:highlight w:val="none"/>
        </w:rPr>
        <w:sectPr>
          <w:pgSz w:w="11910" w:h="16840"/>
          <w:pgMar w:top="1360" w:right="1418" w:bottom="1134" w:left="1588" w:header="0" w:footer="850" w:gutter="0"/>
          <w:pgNumType w:fmt="decimal"/>
          <w:cols w:space="720" w:num="1"/>
          <w:docGrid w:linePitch="299" w:charSpace="0"/>
        </w:sectPr>
      </w:pPr>
    </w:p>
    <w:p w14:paraId="18E5745A">
      <w:pPr>
        <w:pStyle w:val="22"/>
        <w:spacing w:before="34"/>
        <w:ind w:firstLine="0"/>
        <w:rPr>
          <w:rFonts w:hint="eastAsia" w:ascii="宋体" w:hAnsi="宋体" w:eastAsia="宋体" w:cs="宋体"/>
          <w:color w:val="000000"/>
          <w:spacing w:val="1"/>
          <w:w w:val="99"/>
          <w:sz w:val="24"/>
          <w:szCs w:val="24"/>
          <w:highlight w:val="none"/>
        </w:rPr>
      </w:pPr>
      <w:r>
        <w:rPr>
          <w:rFonts w:hint="eastAsia" w:ascii="宋体" w:hAnsi="宋体" w:eastAsia="宋体" w:cs="宋体"/>
          <w:color w:val="000000"/>
          <w:spacing w:val="1"/>
          <w:w w:val="99"/>
          <w:sz w:val="24"/>
          <w:szCs w:val="24"/>
          <w:highlight w:val="none"/>
        </w:rPr>
        <w:t>附件2</w:t>
      </w:r>
      <w:r>
        <w:rPr>
          <w:rFonts w:hint="eastAsia" w:ascii="宋体" w:hAnsi="宋体" w:eastAsia="宋体" w:cs="宋体"/>
          <w:color w:val="000000"/>
          <w:w w:val="99"/>
          <w:sz w:val="24"/>
          <w:szCs w:val="24"/>
          <w:highlight w:val="none"/>
        </w:rPr>
        <w:t>（</w:t>
      </w:r>
      <w:r>
        <w:rPr>
          <w:rFonts w:hint="eastAsia" w:eastAsia="宋体" w:cs="宋体"/>
          <w:color w:val="000000"/>
          <w:w w:val="99"/>
          <w:sz w:val="24"/>
          <w:szCs w:val="24"/>
          <w:highlight w:val="none"/>
          <w:lang w:val="en-US" w:eastAsia="zh-CN"/>
        </w:rPr>
        <w:t>参考</w:t>
      </w:r>
      <w:r>
        <w:rPr>
          <w:rFonts w:hint="eastAsia" w:ascii="宋体" w:hAnsi="宋体" w:eastAsia="宋体" w:cs="宋体"/>
          <w:b/>
          <w:color w:val="000000"/>
          <w:sz w:val="24"/>
          <w:szCs w:val="24"/>
          <w:highlight w:val="none"/>
        </w:rPr>
        <w:t>格式</w:t>
      </w:r>
      <w:r>
        <w:rPr>
          <w:rFonts w:hint="eastAsia" w:ascii="宋体" w:hAnsi="宋体" w:eastAsia="宋体" w:cs="宋体"/>
          <w:color w:val="000000"/>
          <w:spacing w:val="1"/>
          <w:w w:val="99"/>
          <w:sz w:val="24"/>
          <w:szCs w:val="24"/>
          <w:highlight w:val="none"/>
        </w:rPr>
        <w:t>）：</w:t>
      </w:r>
    </w:p>
    <w:p w14:paraId="276EF885">
      <w:pPr>
        <w:pStyle w:val="22"/>
        <w:spacing w:before="34"/>
        <w:ind w:firstLine="0"/>
        <w:outlineLvl w:val="9"/>
        <w:rPr>
          <w:rFonts w:hint="eastAsia" w:ascii="宋体" w:hAnsi="宋体" w:eastAsia="宋体" w:cs="宋体"/>
          <w:color w:val="000000"/>
          <w:spacing w:val="1"/>
          <w:w w:val="99"/>
          <w:sz w:val="24"/>
          <w:szCs w:val="24"/>
          <w:highlight w:val="none"/>
        </w:rPr>
      </w:pPr>
    </w:p>
    <w:p w14:paraId="4077504E">
      <w:pPr>
        <w:pStyle w:val="22"/>
        <w:spacing w:before="62" w:line="417" w:lineRule="auto"/>
        <w:ind w:left="132" w:leftChars="63" w:right="704" w:firstLine="0"/>
        <w:jc w:val="center"/>
        <w:rPr>
          <w:rFonts w:hint="eastAsia" w:ascii="宋体" w:hAnsi="宋体" w:eastAsia="宋体" w:cs="宋体"/>
          <w:color w:val="000000"/>
          <w:sz w:val="44"/>
          <w:szCs w:val="44"/>
          <w:highlight w:val="none"/>
        </w:rPr>
      </w:pPr>
      <w:bookmarkStart w:id="88" w:name="_Toc72571271"/>
      <w:bookmarkStart w:id="89" w:name="_Toc20344"/>
      <w:r>
        <w:rPr>
          <w:rFonts w:hint="eastAsia" w:ascii="宋体" w:hAnsi="宋体" w:eastAsia="宋体" w:cs="宋体"/>
          <w:color w:val="000000"/>
          <w:sz w:val="44"/>
          <w:szCs w:val="44"/>
          <w:highlight w:val="none"/>
        </w:rPr>
        <w:t>法定代表人身份证明</w:t>
      </w:r>
      <w:bookmarkEnd w:id="88"/>
      <w:bookmarkEnd w:id="89"/>
    </w:p>
    <w:p w14:paraId="72B86E45">
      <w:pPr>
        <w:pStyle w:val="7"/>
        <w:spacing w:before="8"/>
        <w:rPr>
          <w:rFonts w:hint="eastAsia" w:ascii="宋体" w:hAnsi="宋体" w:eastAsia="宋体" w:cs="宋体"/>
          <w:b/>
          <w:color w:val="000000"/>
          <w:sz w:val="25"/>
          <w:highlight w:val="none"/>
        </w:rPr>
      </w:pPr>
    </w:p>
    <w:p w14:paraId="6C44415D">
      <w:pPr>
        <w:pStyle w:val="7"/>
        <w:tabs>
          <w:tab w:val="left" w:pos="3928"/>
        </w:tabs>
        <w:ind w:left="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投标人名称：</w:t>
      </w:r>
      <w:r>
        <w:rPr>
          <w:rFonts w:hint="eastAsia" w:ascii="宋体" w:hAnsi="宋体" w:eastAsia="宋体" w:cs="宋体"/>
          <w:color w:val="000000"/>
          <w:sz w:val="24"/>
          <w:szCs w:val="24"/>
          <w:highlight w:val="none"/>
          <w:u w:val="single"/>
        </w:rPr>
        <w:tab/>
      </w:r>
    </w:p>
    <w:p w14:paraId="2D5C62CC">
      <w:pPr>
        <w:pStyle w:val="7"/>
        <w:spacing w:before="1"/>
        <w:rPr>
          <w:rFonts w:hint="eastAsia" w:ascii="宋体" w:hAnsi="宋体" w:eastAsia="宋体" w:cs="宋体"/>
          <w:color w:val="000000"/>
          <w:sz w:val="24"/>
          <w:szCs w:val="24"/>
          <w:highlight w:val="none"/>
        </w:rPr>
      </w:pPr>
    </w:p>
    <w:p w14:paraId="5AE57C4A">
      <w:pPr>
        <w:pStyle w:val="7"/>
        <w:tabs>
          <w:tab w:val="left" w:pos="2412"/>
          <w:tab w:val="left" w:pos="3883"/>
          <w:tab w:val="left" w:pos="5352"/>
          <w:tab w:val="left" w:pos="6869"/>
        </w:tabs>
        <w:spacing w:before="37"/>
        <w:ind w:left="1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ab/>
      </w:r>
      <w:r>
        <w:rPr>
          <w:rFonts w:hint="eastAsia" w:ascii="宋体" w:hAnsi="宋体" w:eastAsia="宋体" w:cs="宋体"/>
          <w:color w:val="000000"/>
          <w:sz w:val="24"/>
          <w:szCs w:val="24"/>
          <w:highlight w:val="none"/>
        </w:rPr>
        <w:t>性别：</w:t>
      </w:r>
      <w:r>
        <w:rPr>
          <w:rFonts w:hint="eastAsia" w:ascii="宋体" w:hAnsi="宋体" w:eastAsia="宋体" w:cs="宋体"/>
          <w:color w:val="000000"/>
          <w:sz w:val="24"/>
          <w:szCs w:val="24"/>
          <w:highlight w:val="none"/>
          <w:u w:val="single"/>
        </w:rPr>
        <w:tab/>
      </w:r>
      <w:r>
        <w:rPr>
          <w:rFonts w:hint="eastAsia" w:ascii="宋体" w:hAnsi="宋体" w:eastAsia="宋体" w:cs="宋体"/>
          <w:color w:val="000000"/>
          <w:sz w:val="24"/>
          <w:szCs w:val="24"/>
          <w:highlight w:val="none"/>
        </w:rPr>
        <w:t>年龄：</w:t>
      </w:r>
      <w:r>
        <w:rPr>
          <w:rFonts w:hint="eastAsia" w:ascii="宋体" w:hAnsi="宋体" w:eastAsia="宋体" w:cs="宋体"/>
          <w:color w:val="000000"/>
          <w:sz w:val="24"/>
          <w:szCs w:val="24"/>
          <w:highlight w:val="none"/>
          <w:u w:val="single"/>
        </w:rPr>
        <w:tab/>
      </w:r>
      <w:r>
        <w:rPr>
          <w:rFonts w:hint="eastAsia" w:ascii="宋体" w:hAnsi="宋体" w:eastAsia="宋体" w:cs="宋体"/>
          <w:color w:val="000000"/>
          <w:sz w:val="24"/>
          <w:szCs w:val="24"/>
          <w:highlight w:val="none"/>
        </w:rPr>
        <w:t>职务：</w:t>
      </w:r>
      <w:r>
        <w:rPr>
          <w:rFonts w:hint="eastAsia" w:ascii="宋体" w:hAnsi="宋体" w:eastAsia="宋体" w:cs="宋体"/>
          <w:color w:val="000000"/>
          <w:sz w:val="24"/>
          <w:szCs w:val="24"/>
          <w:highlight w:val="none"/>
          <w:u w:val="single"/>
        </w:rPr>
        <w:tab/>
      </w:r>
      <w:r>
        <w:rPr>
          <w:rFonts w:hint="eastAsia" w:eastAsia="宋体" w:cs="宋体"/>
          <w:color w:val="000000"/>
          <w:sz w:val="24"/>
          <w:szCs w:val="24"/>
          <w:highlight w:val="none"/>
          <w:u w:val="single"/>
          <w:lang w:val="en-US" w:eastAsia="zh-CN"/>
        </w:rPr>
        <w:t xml:space="preserve">     </w:t>
      </w:r>
    </w:p>
    <w:p w14:paraId="15EFE52C">
      <w:pPr>
        <w:pStyle w:val="7"/>
        <w:spacing w:before="4"/>
        <w:rPr>
          <w:rFonts w:hint="eastAsia" w:ascii="宋体" w:hAnsi="宋体" w:eastAsia="宋体" w:cs="宋体"/>
          <w:color w:val="000000"/>
          <w:sz w:val="24"/>
          <w:szCs w:val="24"/>
          <w:highlight w:val="none"/>
        </w:rPr>
      </w:pPr>
    </w:p>
    <w:p w14:paraId="6FF97515">
      <w:pPr>
        <w:pStyle w:val="7"/>
        <w:tabs>
          <w:tab w:val="left" w:pos="2832"/>
        </w:tabs>
        <w:spacing w:before="37"/>
        <w:ind w:left="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u w:val="single"/>
        </w:rPr>
        <w:tab/>
      </w:r>
      <w:r>
        <w:rPr>
          <w:rFonts w:hint="eastAsia" w:ascii="宋体" w:hAnsi="宋体" w:eastAsia="宋体" w:cs="宋体"/>
          <w:color w:val="000000"/>
          <w:sz w:val="24"/>
          <w:szCs w:val="24"/>
          <w:highlight w:val="none"/>
        </w:rPr>
        <w:t>（投标人名称）的法定代表人。</w:t>
      </w:r>
    </w:p>
    <w:p w14:paraId="306E3208">
      <w:pPr>
        <w:pStyle w:val="7"/>
        <w:spacing w:before="10"/>
        <w:rPr>
          <w:rFonts w:hint="eastAsia" w:ascii="宋体" w:hAnsi="宋体" w:eastAsia="宋体" w:cs="宋体"/>
          <w:color w:val="000000"/>
          <w:sz w:val="24"/>
          <w:szCs w:val="24"/>
          <w:highlight w:val="none"/>
        </w:rPr>
      </w:pPr>
    </w:p>
    <w:p w14:paraId="7F7869E2">
      <w:pPr>
        <w:pStyle w:val="7"/>
        <w:spacing w:before="36"/>
        <w:ind w:left="5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6EBB00F7">
      <w:pPr>
        <w:pStyle w:val="7"/>
        <w:rPr>
          <w:rFonts w:hint="eastAsia" w:ascii="宋体" w:hAnsi="宋体" w:eastAsia="宋体" w:cs="宋体"/>
          <w:color w:val="000000"/>
          <w:sz w:val="24"/>
          <w:szCs w:val="24"/>
          <w:highlight w:val="none"/>
        </w:rPr>
      </w:pPr>
    </w:p>
    <w:p w14:paraId="333BFA74">
      <w:pPr>
        <w:pStyle w:val="7"/>
        <w:spacing w:before="4"/>
        <w:rPr>
          <w:rFonts w:hint="eastAsia" w:ascii="宋体" w:hAnsi="宋体" w:eastAsia="宋体" w:cs="宋体"/>
          <w:color w:val="000000"/>
          <w:sz w:val="24"/>
          <w:szCs w:val="24"/>
          <w:highlight w:val="none"/>
        </w:rPr>
      </w:pPr>
    </w:p>
    <w:p w14:paraId="0E3F174B">
      <w:pPr>
        <w:pStyle w:val="7"/>
        <w:ind w:left="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附：法定代表人身份证</w:t>
      </w:r>
      <w:r>
        <w:rPr>
          <w:rFonts w:hint="eastAsia" w:eastAsia="宋体" w:cs="宋体"/>
          <w:color w:val="000000"/>
          <w:sz w:val="24"/>
          <w:szCs w:val="24"/>
          <w:highlight w:val="none"/>
          <w:lang w:val="en-US" w:eastAsia="zh-CN"/>
        </w:rPr>
        <w:t>正反面</w:t>
      </w:r>
      <w:r>
        <w:rPr>
          <w:rFonts w:hint="eastAsia" w:ascii="宋体" w:hAnsi="宋体" w:eastAsia="宋体" w:cs="宋体"/>
          <w:color w:val="000000"/>
          <w:sz w:val="24"/>
          <w:szCs w:val="24"/>
          <w:highlight w:val="none"/>
        </w:rPr>
        <w:t>复印件或扫描件。</w:t>
      </w:r>
    </w:p>
    <w:p w14:paraId="730BFBB6">
      <w:pPr>
        <w:pStyle w:val="7"/>
        <w:rPr>
          <w:rFonts w:hint="eastAsia" w:ascii="宋体" w:hAnsi="宋体" w:eastAsia="宋体" w:cs="宋体"/>
          <w:color w:val="000000"/>
          <w:sz w:val="24"/>
          <w:szCs w:val="24"/>
          <w:highlight w:val="none"/>
        </w:rPr>
      </w:pPr>
    </w:p>
    <w:p w14:paraId="0C094276">
      <w:pPr>
        <w:pStyle w:val="7"/>
        <w:spacing w:before="1"/>
        <w:rPr>
          <w:rFonts w:hint="eastAsia" w:ascii="宋体" w:hAnsi="宋体" w:eastAsia="宋体" w:cs="宋体"/>
          <w:color w:val="000000"/>
          <w:sz w:val="24"/>
          <w:szCs w:val="24"/>
          <w:highlight w:val="none"/>
        </w:rPr>
      </w:pPr>
    </w:p>
    <w:tbl>
      <w:tblPr>
        <w:tblStyle w:val="1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720"/>
        <w:gridCol w:w="3780"/>
      </w:tblGrid>
      <w:tr w14:paraId="6893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3780" w:type="dxa"/>
            <w:noWrap w:val="0"/>
            <w:vAlign w:val="center"/>
          </w:tcPr>
          <w:p w14:paraId="0919C6C2">
            <w:pPr>
              <w:jc w:val="center"/>
              <w:rPr>
                <w:rFonts w:hint="eastAsia"/>
                <w:color w:val="auto"/>
                <w:sz w:val="24"/>
                <w:szCs w:val="24"/>
                <w:highlight w:val="none"/>
              </w:rPr>
            </w:pPr>
          </w:p>
          <w:p w14:paraId="259B4E5C">
            <w:pPr>
              <w:jc w:val="center"/>
              <w:rPr>
                <w:rFonts w:hint="eastAsia"/>
                <w:color w:val="auto"/>
                <w:sz w:val="24"/>
                <w:szCs w:val="24"/>
                <w:highlight w:val="none"/>
              </w:rPr>
            </w:pPr>
            <w:r>
              <w:rPr>
                <w:rFonts w:hint="eastAsia"/>
                <w:color w:val="auto"/>
                <w:sz w:val="24"/>
                <w:szCs w:val="24"/>
                <w:highlight w:val="none"/>
                <w:lang w:eastAsia="zh-CN"/>
              </w:rPr>
              <w:t>法定代表人</w:t>
            </w:r>
            <w:r>
              <w:rPr>
                <w:rFonts w:hint="eastAsia"/>
                <w:color w:val="auto"/>
                <w:sz w:val="24"/>
                <w:szCs w:val="24"/>
                <w:highlight w:val="none"/>
              </w:rPr>
              <w:t>身份证正面扫描件</w:t>
            </w:r>
          </w:p>
          <w:p w14:paraId="4A9DBD3E">
            <w:pPr>
              <w:spacing w:line="440" w:lineRule="exact"/>
              <w:jc w:val="center"/>
              <w:rPr>
                <w:rFonts w:hint="eastAsia"/>
                <w:color w:val="auto"/>
                <w:sz w:val="24"/>
                <w:szCs w:val="24"/>
                <w:highlight w:val="none"/>
                <w:u w:val="single"/>
              </w:rPr>
            </w:pPr>
          </w:p>
        </w:tc>
        <w:tc>
          <w:tcPr>
            <w:tcW w:w="720" w:type="dxa"/>
            <w:tcBorders>
              <w:top w:val="nil"/>
              <w:bottom w:val="nil"/>
            </w:tcBorders>
            <w:noWrap w:val="0"/>
            <w:vAlign w:val="top"/>
          </w:tcPr>
          <w:p w14:paraId="126B314A">
            <w:pPr>
              <w:widowControl/>
              <w:rPr>
                <w:rFonts w:hint="eastAsia"/>
                <w:color w:val="auto"/>
                <w:sz w:val="24"/>
                <w:szCs w:val="24"/>
                <w:highlight w:val="none"/>
                <w:u w:val="single"/>
              </w:rPr>
            </w:pPr>
          </w:p>
        </w:tc>
        <w:tc>
          <w:tcPr>
            <w:tcW w:w="3780" w:type="dxa"/>
            <w:noWrap w:val="0"/>
            <w:vAlign w:val="center"/>
          </w:tcPr>
          <w:p w14:paraId="56DA9237">
            <w:pPr>
              <w:jc w:val="center"/>
              <w:rPr>
                <w:rFonts w:hint="eastAsia"/>
                <w:color w:val="auto"/>
                <w:sz w:val="24"/>
                <w:szCs w:val="24"/>
                <w:highlight w:val="none"/>
              </w:rPr>
            </w:pPr>
          </w:p>
          <w:p w14:paraId="61B43FA9">
            <w:pPr>
              <w:jc w:val="center"/>
              <w:rPr>
                <w:rFonts w:hint="eastAsia"/>
                <w:color w:val="auto"/>
                <w:sz w:val="24"/>
                <w:szCs w:val="24"/>
                <w:highlight w:val="none"/>
              </w:rPr>
            </w:pPr>
          </w:p>
          <w:p w14:paraId="3A8F80DC">
            <w:pPr>
              <w:jc w:val="center"/>
              <w:rPr>
                <w:rFonts w:hint="eastAsia"/>
                <w:color w:val="auto"/>
                <w:sz w:val="24"/>
                <w:szCs w:val="24"/>
                <w:highlight w:val="none"/>
              </w:rPr>
            </w:pPr>
            <w:r>
              <w:rPr>
                <w:rFonts w:hint="eastAsia"/>
                <w:color w:val="auto"/>
                <w:sz w:val="24"/>
                <w:szCs w:val="24"/>
                <w:highlight w:val="none"/>
                <w:lang w:eastAsia="zh-CN"/>
              </w:rPr>
              <w:t>法定代表人</w:t>
            </w:r>
            <w:r>
              <w:rPr>
                <w:rFonts w:hint="eastAsia"/>
                <w:color w:val="auto"/>
                <w:sz w:val="24"/>
                <w:szCs w:val="24"/>
                <w:highlight w:val="none"/>
              </w:rPr>
              <w:t>身份证反面扫描件</w:t>
            </w:r>
          </w:p>
          <w:p w14:paraId="007CFAA3">
            <w:pPr>
              <w:jc w:val="center"/>
              <w:rPr>
                <w:rFonts w:hint="eastAsia"/>
                <w:color w:val="auto"/>
                <w:sz w:val="24"/>
                <w:szCs w:val="24"/>
                <w:highlight w:val="none"/>
              </w:rPr>
            </w:pPr>
          </w:p>
          <w:p w14:paraId="2FF95DB8">
            <w:pPr>
              <w:widowControl/>
              <w:jc w:val="center"/>
              <w:rPr>
                <w:rFonts w:hint="eastAsia"/>
                <w:color w:val="auto"/>
                <w:sz w:val="24"/>
                <w:szCs w:val="24"/>
                <w:highlight w:val="none"/>
                <w:u w:val="single"/>
              </w:rPr>
            </w:pPr>
          </w:p>
        </w:tc>
      </w:tr>
    </w:tbl>
    <w:p w14:paraId="6F63ED01">
      <w:pPr>
        <w:pStyle w:val="7"/>
        <w:rPr>
          <w:rFonts w:hint="eastAsia" w:ascii="宋体" w:hAnsi="宋体" w:eastAsia="宋体" w:cs="宋体"/>
          <w:color w:val="000000"/>
          <w:sz w:val="24"/>
          <w:szCs w:val="24"/>
          <w:highlight w:val="none"/>
        </w:rPr>
      </w:pPr>
    </w:p>
    <w:p w14:paraId="55225D54">
      <w:pPr>
        <w:pStyle w:val="7"/>
        <w:rPr>
          <w:rFonts w:hint="eastAsia" w:ascii="宋体" w:hAnsi="宋体" w:eastAsia="宋体" w:cs="宋体"/>
          <w:color w:val="000000"/>
          <w:sz w:val="24"/>
          <w:szCs w:val="24"/>
          <w:highlight w:val="none"/>
        </w:rPr>
      </w:pPr>
    </w:p>
    <w:p w14:paraId="1C5C3A58">
      <w:pPr>
        <w:pStyle w:val="7"/>
        <w:rPr>
          <w:rFonts w:hint="eastAsia" w:ascii="宋体" w:hAnsi="宋体" w:eastAsia="宋体" w:cs="宋体"/>
          <w:color w:val="000000"/>
          <w:sz w:val="24"/>
          <w:szCs w:val="24"/>
          <w:highlight w:val="none"/>
        </w:rPr>
      </w:pPr>
    </w:p>
    <w:p w14:paraId="369D3D5B">
      <w:pPr>
        <w:pStyle w:val="7"/>
        <w:spacing w:before="1"/>
        <w:rPr>
          <w:rFonts w:hint="eastAsia" w:ascii="宋体" w:hAnsi="宋体" w:eastAsia="宋体" w:cs="宋体"/>
          <w:color w:val="000000"/>
          <w:sz w:val="24"/>
          <w:szCs w:val="24"/>
          <w:highlight w:val="none"/>
        </w:rPr>
      </w:pPr>
    </w:p>
    <w:p w14:paraId="2BBDF55E">
      <w:pPr>
        <w:pStyle w:val="7"/>
        <w:tabs>
          <w:tab w:val="left" w:pos="6521"/>
        </w:tabs>
        <w:spacing w:before="37"/>
        <w:ind w:left="421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ab/>
      </w:r>
      <w:r>
        <w:rPr>
          <w:rFonts w:hint="eastAsia" w:ascii="宋体" w:hAnsi="宋体" w:eastAsia="宋体" w:cs="宋体"/>
          <w:color w:val="000000"/>
          <w:sz w:val="24"/>
          <w:szCs w:val="24"/>
          <w:highlight w:val="none"/>
        </w:rPr>
        <w:t>（电子签章）</w:t>
      </w:r>
    </w:p>
    <w:p w14:paraId="56528D3A">
      <w:pPr>
        <w:pStyle w:val="7"/>
        <w:rPr>
          <w:rFonts w:hint="eastAsia" w:ascii="宋体" w:hAnsi="宋体" w:eastAsia="宋体" w:cs="宋体"/>
          <w:color w:val="000000"/>
          <w:sz w:val="24"/>
          <w:szCs w:val="24"/>
          <w:highlight w:val="none"/>
        </w:rPr>
      </w:pPr>
    </w:p>
    <w:p w14:paraId="142577F3">
      <w:pPr>
        <w:pStyle w:val="7"/>
        <w:spacing w:before="7"/>
        <w:rPr>
          <w:rFonts w:hint="eastAsia" w:ascii="宋体" w:hAnsi="宋体" w:eastAsia="宋体" w:cs="宋体"/>
          <w:color w:val="000000"/>
          <w:sz w:val="24"/>
          <w:szCs w:val="24"/>
          <w:highlight w:val="none"/>
        </w:rPr>
      </w:pPr>
    </w:p>
    <w:p w14:paraId="23A16A22">
      <w:pPr>
        <w:pStyle w:val="7"/>
        <w:tabs>
          <w:tab w:val="left" w:pos="5352"/>
          <w:tab w:val="left" w:pos="6192"/>
          <w:tab w:val="left" w:pos="7032"/>
        </w:tabs>
        <w:spacing w:before="36"/>
        <w:ind w:left="47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ab/>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ab/>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ab/>
      </w:r>
      <w:r>
        <w:rPr>
          <w:rFonts w:hint="eastAsia" w:ascii="宋体" w:hAnsi="宋体" w:eastAsia="宋体" w:cs="宋体"/>
          <w:color w:val="000000"/>
          <w:sz w:val="24"/>
          <w:szCs w:val="24"/>
          <w:highlight w:val="none"/>
        </w:rPr>
        <w:t>日</w:t>
      </w:r>
    </w:p>
    <w:p w14:paraId="698CBB64">
      <w:pPr>
        <w:spacing w:line="360" w:lineRule="auto"/>
        <w:ind w:left="200" w:firstLine="480"/>
        <w:rPr>
          <w:rFonts w:hint="eastAsia" w:ascii="宋体" w:hAnsi="宋体" w:eastAsia="宋体" w:cs="宋体"/>
          <w:bCs/>
          <w:color w:val="000000"/>
          <w:sz w:val="24"/>
          <w:szCs w:val="24"/>
          <w:highlight w:val="none"/>
        </w:rPr>
      </w:pPr>
    </w:p>
    <w:p w14:paraId="3056779B">
      <w:pPr>
        <w:pStyle w:val="11"/>
        <w:rPr>
          <w:rFonts w:hint="eastAsia" w:ascii="宋体" w:hAnsi="宋体" w:eastAsia="宋体" w:cs="宋体"/>
          <w:color w:val="000000"/>
          <w:sz w:val="24"/>
          <w:szCs w:val="24"/>
          <w:highlight w:val="none"/>
        </w:rPr>
      </w:pPr>
    </w:p>
    <w:p w14:paraId="5A89A899">
      <w:pPr>
        <w:rPr>
          <w:rFonts w:hint="eastAsia" w:ascii="宋体" w:hAnsi="宋体" w:eastAsia="宋体" w:cs="宋体"/>
          <w:color w:val="000000"/>
          <w:highlight w:val="none"/>
        </w:rPr>
      </w:pPr>
    </w:p>
    <w:p w14:paraId="17C99676">
      <w:pPr>
        <w:pStyle w:val="11"/>
        <w:rPr>
          <w:rFonts w:hint="eastAsia" w:ascii="宋体" w:hAnsi="宋体" w:eastAsia="宋体" w:cs="宋体"/>
          <w:color w:val="000000"/>
          <w:highlight w:val="none"/>
        </w:rPr>
      </w:pPr>
    </w:p>
    <w:p w14:paraId="1574DEE6">
      <w:pPr>
        <w:rPr>
          <w:rFonts w:hint="eastAsia" w:ascii="宋体" w:hAnsi="宋体" w:eastAsia="宋体" w:cs="宋体"/>
          <w:color w:val="000000"/>
          <w:highlight w:val="none"/>
        </w:rPr>
      </w:pPr>
    </w:p>
    <w:p w14:paraId="7848097C">
      <w:pPr>
        <w:pStyle w:val="11"/>
        <w:rPr>
          <w:rFonts w:hint="eastAsia" w:ascii="宋体" w:hAnsi="宋体" w:eastAsia="宋体" w:cs="宋体"/>
          <w:color w:val="000000"/>
          <w:highlight w:val="none"/>
        </w:rPr>
      </w:pPr>
    </w:p>
    <w:p w14:paraId="4C891F4E">
      <w:pPr>
        <w:rPr>
          <w:rFonts w:hint="eastAsia" w:ascii="宋体" w:hAnsi="宋体" w:eastAsia="宋体" w:cs="宋体"/>
          <w:color w:val="000000"/>
          <w:highlight w:val="none"/>
        </w:rPr>
      </w:pPr>
    </w:p>
    <w:p w14:paraId="0D0A525A">
      <w:pPr>
        <w:pStyle w:val="22"/>
        <w:spacing w:before="34"/>
        <w:ind w:firstLine="0"/>
        <w:rPr>
          <w:rFonts w:hint="eastAsia" w:ascii="宋体" w:hAnsi="宋体" w:eastAsia="宋体" w:cs="宋体"/>
          <w:color w:val="000000"/>
          <w:spacing w:val="1"/>
          <w:w w:val="99"/>
          <w:sz w:val="24"/>
          <w:szCs w:val="24"/>
          <w:highlight w:val="none"/>
        </w:rPr>
        <w:sectPr>
          <w:pgSz w:w="11910" w:h="16840"/>
          <w:pgMar w:top="1360" w:right="1418" w:bottom="1134" w:left="1588" w:header="0" w:footer="850" w:gutter="0"/>
          <w:pgNumType w:fmt="decimal"/>
          <w:cols w:space="720" w:num="1"/>
          <w:docGrid w:linePitch="299" w:charSpace="0"/>
        </w:sectPr>
      </w:pPr>
    </w:p>
    <w:p w14:paraId="4529DFD4">
      <w:pPr>
        <w:pStyle w:val="22"/>
        <w:spacing w:before="34"/>
        <w:ind w:firstLine="0"/>
        <w:rPr>
          <w:rFonts w:hint="eastAsia" w:ascii="宋体" w:hAnsi="宋体" w:eastAsia="宋体" w:cs="宋体"/>
          <w:color w:val="000000"/>
          <w:spacing w:val="1"/>
          <w:w w:val="99"/>
          <w:sz w:val="24"/>
          <w:szCs w:val="24"/>
          <w:highlight w:val="none"/>
        </w:rPr>
      </w:pPr>
      <w:r>
        <w:rPr>
          <w:rFonts w:hint="eastAsia" w:ascii="宋体" w:hAnsi="宋体" w:eastAsia="宋体" w:cs="宋体"/>
          <w:color w:val="000000"/>
          <w:spacing w:val="1"/>
          <w:w w:val="99"/>
          <w:sz w:val="24"/>
          <w:szCs w:val="24"/>
          <w:highlight w:val="none"/>
        </w:rPr>
        <w:t>附件2.1</w:t>
      </w:r>
      <w:r>
        <w:rPr>
          <w:rFonts w:hint="eastAsia" w:ascii="宋体" w:hAnsi="宋体" w:eastAsia="宋体" w:cs="宋体"/>
          <w:color w:val="000000"/>
          <w:w w:val="99"/>
          <w:sz w:val="24"/>
          <w:szCs w:val="24"/>
          <w:highlight w:val="none"/>
        </w:rPr>
        <w:t>（</w:t>
      </w:r>
      <w:r>
        <w:rPr>
          <w:rFonts w:hint="eastAsia" w:ascii="宋体" w:hAnsi="宋体" w:eastAsia="宋体" w:cs="宋体"/>
          <w:b/>
          <w:color w:val="000000"/>
          <w:sz w:val="24"/>
          <w:szCs w:val="24"/>
          <w:highlight w:val="none"/>
          <w:lang w:val="en-US" w:eastAsia="zh-CN"/>
        </w:rPr>
        <w:t>参考</w:t>
      </w:r>
      <w:r>
        <w:rPr>
          <w:rFonts w:hint="eastAsia" w:ascii="宋体" w:hAnsi="宋体" w:eastAsia="宋体" w:cs="宋体"/>
          <w:b/>
          <w:color w:val="000000"/>
          <w:sz w:val="24"/>
          <w:szCs w:val="24"/>
          <w:highlight w:val="none"/>
        </w:rPr>
        <w:t>格式</w:t>
      </w:r>
      <w:r>
        <w:rPr>
          <w:rFonts w:hint="eastAsia" w:ascii="宋体" w:hAnsi="宋体" w:eastAsia="宋体" w:cs="宋体"/>
          <w:color w:val="000000"/>
          <w:spacing w:val="1"/>
          <w:w w:val="99"/>
          <w:sz w:val="24"/>
          <w:szCs w:val="24"/>
          <w:highlight w:val="none"/>
        </w:rPr>
        <w:t>）：</w:t>
      </w:r>
    </w:p>
    <w:p w14:paraId="6C5EF79E">
      <w:pPr>
        <w:pStyle w:val="22"/>
        <w:spacing w:before="62" w:line="417" w:lineRule="auto"/>
        <w:ind w:left="132" w:leftChars="63" w:right="704" w:firstLine="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授权委托书</w:t>
      </w:r>
    </w:p>
    <w:p w14:paraId="6EE6A6A9">
      <w:pPr>
        <w:pStyle w:val="22"/>
        <w:spacing w:before="62" w:line="417" w:lineRule="auto"/>
        <w:ind w:right="-4" w:firstLine="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致：</w:t>
      </w:r>
      <w:r>
        <w:rPr>
          <w:rFonts w:hint="eastAsia" w:eastAsia="宋体" w:cs="宋体"/>
          <w:color w:val="000000"/>
          <w:sz w:val="24"/>
          <w:szCs w:val="24"/>
          <w:highlight w:val="none"/>
          <w:lang w:eastAsia="zh-CN"/>
        </w:rPr>
        <w:t>毕节市能源局</w:t>
      </w:r>
    </w:p>
    <w:p w14:paraId="01C7EDB8">
      <w:pPr>
        <w:pStyle w:val="7"/>
        <w:spacing w:line="360" w:lineRule="auto"/>
        <w:ind w:left="136" w:leftChars="65"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兹委派我单位</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（被委托操作员姓名）参加贵方组织的</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（项目名称、项目编号）磋商采购活动，全权代表我单位处理本次投标中的有关事务。本授权书于本单位盖章和法定代表人签字或盖章</w:t>
      </w:r>
      <w:r>
        <w:rPr>
          <w:rFonts w:hint="eastAsia" w:eastAsia="宋体" w:cs="宋体"/>
          <w:color w:val="000000"/>
          <w:sz w:val="24"/>
          <w:szCs w:val="24"/>
          <w:highlight w:val="none"/>
          <w:lang w:eastAsia="zh-CN"/>
        </w:rPr>
        <w:t>之日起</w:t>
      </w:r>
      <w:r>
        <w:rPr>
          <w:rFonts w:hint="eastAsia" w:ascii="宋体" w:hAnsi="宋体" w:eastAsia="宋体" w:cs="宋体"/>
          <w:color w:val="000000"/>
          <w:sz w:val="24"/>
          <w:szCs w:val="24"/>
          <w:highlight w:val="none"/>
        </w:rPr>
        <w:t>生效。</w:t>
      </w:r>
    </w:p>
    <w:p w14:paraId="1429F7B4">
      <w:pPr>
        <w:pStyle w:val="7"/>
        <w:spacing w:line="360" w:lineRule="auto"/>
        <w:ind w:left="698"/>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特此委托</w:t>
      </w:r>
      <w:r>
        <w:rPr>
          <w:rFonts w:hint="eastAsia" w:eastAsia="宋体" w:cs="宋体"/>
          <w:color w:val="000000"/>
          <w:sz w:val="24"/>
          <w:szCs w:val="24"/>
          <w:highlight w:val="none"/>
          <w:lang w:eastAsia="zh-CN"/>
        </w:rPr>
        <w:t>。</w:t>
      </w:r>
    </w:p>
    <w:p w14:paraId="7B4A5F38">
      <w:pPr>
        <w:pStyle w:val="7"/>
        <w:spacing w:before="9"/>
        <w:rPr>
          <w:rFonts w:hint="eastAsia" w:ascii="宋体" w:hAnsi="宋体" w:eastAsia="宋体" w:cs="宋体"/>
          <w:color w:val="000000"/>
          <w:sz w:val="24"/>
          <w:szCs w:val="24"/>
          <w:highlight w:val="none"/>
        </w:rPr>
      </w:pPr>
    </w:p>
    <w:tbl>
      <w:tblPr>
        <w:tblStyle w:val="1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720"/>
        <w:gridCol w:w="3780"/>
      </w:tblGrid>
      <w:tr w14:paraId="6DF4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3780" w:type="dxa"/>
            <w:noWrap w:val="0"/>
            <w:vAlign w:val="center"/>
          </w:tcPr>
          <w:p w14:paraId="7F77BFFF">
            <w:pPr>
              <w:jc w:val="center"/>
              <w:rPr>
                <w:rFonts w:hint="eastAsia" w:ascii="宋体" w:hAnsi="宋体" w:eastAsia="宋体" w:cs="Times New Roman"/>
                <w:color w:val="auto"/>
                <w:sz w:val="24"/>
                <w:szCs w:val="24"/>
                <w:highlight w:val="none"/>
              </w:rPr>
            </w:pPr>
          </w:p>
          <w:p w14:paraId="5099C5EB">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法定代表人</w:t>
            </w:r>
            <w:r>
              <w:rPr>
                <w:rFonts w:hint="eastAsia" w:ascii="宋体" w:hAnsi="宋体" w:eastAsia="宋体" w:cs="Times New Roman"/>
                <w:color w:val="auto"/>
                <w:sz w:val="24"/>
                <w:szCs w:val="24"/>
                <w:highlight w:val="none"/>
              </w:rPr>
              <w:t>身份证正面扫描件</w:t>
            </w:r>
          </w:p>
          <w:p w14:paraId="4A479C72">
            <w:pPr>
              <w:spacing w:line="440" w:lineRule="exact"/>
              <w:jc w:val="center"/>
              <w:rPr>
                <w:rFonts w:hint="eastAsia" w:ascii="宋体" w:hAnsi="宋体" w:eastAsia="宋体" w:cs="Times New Roman"/>
                <w:color w:val="auto"/>
                <w:sz w:val="24"/>
                <w:szCs w:val="24"/>
                <w:highlight w:val="none"/>
                <w:u w:val="single"/>
              </w:rPr>
            </w:pPr>
          </w:p>
        </w:tc>
        <w:tc>
          <w:tcPr>
            <w:tcW w:w="720" w:type="dxa"/>
            <w:tcBorders>
              <w:top w:val="nil"/>
              <w:bottom w:val="nil"/>
            </w:tcBorders>
            <w:noWrap w:val="0"/>
            <w:vAlign w:val="top"/>
          </w:tcPr>
          <w:p w14:paraId="467915E5">
            <w:pPr>
              <w:widowControl/>
              <w:rPr>
                <w:rFonts w:hint="eastAsia" w:ascii="宋体" w:hAnsi="宋体" w:eastAsia="宋体" w:cs="Times New Roman"/>
                <w:color w:val="auto"/>
                <w:sz w:val="24"/>
                <w:szCs w:val="24"/>
                <w:highlight w:val="none"/>
                <w:u w:val="single"/>
              </w:rPr>
            </w:pPr>
          </w:p>
        </w:tc>
        <w:tc>
          <w:tcPr>
            <w:tcW w:w="3780" w:type="dxa"/>
            <w:noWrap w:val="0"/>
            <w:vAlign w:val="center"/>
          </w:tcPr>
          <w:p w14:paraId="1F853735">
            <w:pPr>
              <w:jc w:val="center"/>
              <w:rPr>
                <w:rFonts w:hint="eastAsia" w:ascii="宋体" w:hAnsi="宋体" w:eastAsia="宋体" w:cs="Times New Roman"/>
                <w:color w:val="auto"/>
                <w:sz w:val="24"/>
                <w:szCs w:val="24"/>
                <w:highlight w:val="none"/>
              </w:rPr>
            </w:pPr>
          </w:p>
          <w:p w14:paraId="3EF06D38">
            <w:pPr>
              <w:jc w:val="center"/>
              <w:rPr>
                <w:rFonts w:hint="eastAsia" w:ascii="宋体" w:hAnsi="宋体" w:eastAsia="宋体" w:cs="Times New Roman"/>
                <w:color w:val="auto"/>
                <w:sz w:val="24"/>
                <w:szCs w:val="24"/>
                <w:highlight w:val="none"/>
              </w:rPr>
            </w:pPr>
          </w:p>
          <w:p w14:paraId="62BF59FF">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法定代表人</w:t>
            </w:r>
            <w:r>
              <w:rPr>
                <w:rFonts w:hint="eastAsia" w:ascii="宋体" w:hAnsi="宋体" w:eastAsia="宋体" w:cs="Times New Roman"/>
                <w:color w:val="auto"/>
                <w:sz w:val="24"/>
                <w:szCs w:val="24"/>
                <w:highlight w:val="none"/>
              </w:rPr>
              <w:t>身份证反面扫描件</w:t>
            </w:r>
          </w:p>
          <w:p w14:paraId="766B42CD">
            <w:pPr>
              <w:jc w:val="center"/>
              <w:rPr>
                <w:rFonts w:hint="eastAsia" w:ascii="宋体" w:hAnsi="宋体" w:eastAsia="宋体" w:cs="Times New Roman"/>
                <w:color w:val="auto"/>
                <w:sz w:val="24"/>
                <w:szCs w:val="24"/>
                <w:highlight w:val="none"/>
              </w:rPr>
            </w:pPr>
          </w:p>
          <w:p w14:paraId="3D55D26F">
            <w:pPr>
              <w:widowControl/>
              <w:jc w:val="center"/>
              <w:rPr>
                <w:rFonts w:hint="eastAsia" w:ascii="宋体" w:hAnsi="宋体" w:eastAsia="宋体" w:cs="Times New Roman"/>
                <w:color w:val="auto"/>
                <w:sz w:val="24"/>
                <w:szCs w:val="24"/>
                <w:highlight w:val="none"/>
                <w:u w:val="single"/>
              </w:rPr>
            </w:pPr>
          </w:p>
        </w:tc>
      </w:tr>
    </w:tbl>
    <w:p w14:paraId="2566E514">
      <w:pPr>
        <w:pStyle w:val="7"/>
        <w:ind w:left="132" w:leftChars="63" w:firstLine="480" w:firstLineChars="200"/>
        <w:rPr>
          <w:rFonts w:hint="eastAsia" w:ascii="宋体" w:hAnsi="宋体" w:eastAsia="宋体" w:cs="宋体"/>
          <w:color w:val="000000"/>
          <w:sz w:val="24"/>
          <w:szCs w:val="24"/>
          <w:highlight w:val="none"/>
        </w:rPr>
      </w:pPr>
    </w:p>
    <w:tbl>
      <w:tblPr>
        <w:tblStyle w:val="1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720"/>
        <w:gridCol w:w="3780"/>
      </w:tblGrid>
      <w:tr w14:paraId="5C3A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3780" w:type="dxa"/>
            <w:noWrap w:val="0"/>
            <w:vAlign w:val="center"/>
          </w:tcPr>
          <w:p w14:paraId="1F69A832">
            <w:pPr>
              <w:jc w:val="center"/>
              <w:rPr>
                <w:rFonts w:hint="eastAsia" w:ascii="宋体" w:hAnsi="宋体" w:eastAsia="宋体" w:cs="Times New Roman"/>
                <w:color w:val="auto"/>
                <w:sz w:val="24"/>
                <w:szCs w:val="24"/>
                <w:highlight w:val="none"/>
              </w:rPr>
            </w:pPr>
          </w:p>
          <w:p w14:paraId="4689BED2">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被委托人身份证正面扫描件</w:t>
            </w:r>
          </w:p>
          <w:p w14:paraId="7AD03745">
            <w:pPr>
              <w:spacing w:line="440" w:lineRule="exact"/>
              <w:jc w:val="center"/>
              <w:rPr>
                <w:rFonts w:hint="eastAsia" w:ascii="宋体" w:hAnsi="宋体" w:eastAsia="宋体" w:cs="Times New Roman"/>
                <w:color w:val="auto"/>
                <w:sz w:val="24"/>
                <w:szCs w:val="24"/>
                <w:highlight w:val="none"/>
                <w:u w:val="single"/>
              </w:rPr>
            </w:pPr>
          </w:p>
        </w:tc>
        <w:tc>
          <w:tcPr>
            <w:tcW w:w="720" w:type="dxa"/>
            <w:tcBorders>
              <w:top w:val="nil"/>
              <w:bottom w:val="nil"/>
            </w:tcBorders>
            <w:noWrap w:val="0"/>
            <w:vAlign w:val="top"/>
          </w:tcPr>
          <w:p w14:paraId="54540EA2">
            <w:pPr>
              <w:widowControl/>
              <w:rPr>
                <w:rFonts w:hint="eastAsia" w:ascii="宋体" w:hAnsi="宋体" w:eastAsia="宋体" w:cs="Times New Roman"/>
                <w:color w:val="auto"/>
                <w:sz w:val="24"/>
                <w:szCs w:val="24"/>
                <w:highlight w:val="none"/>
                <w:u w:val="single"/>
              </w:rPr>
            </w:pPr>
          </w:p>
        </w:tc>
        <w:tc>
          <w:tcPr>
            <w:tcW w:w="3780" w:type="dxa"/>
            <w:noWrap w:val="0"/>
            <w:vAlign w:val="center"/>
          </w:tcPr>
          <w:p w14:paraId="11E6027E">
            <w:pPr>
              <w:jc w:val="center"/>
              <w:rPr>
                <w:rFonts w:hint="eastAsia" w:ascii="宋体" w:hAnsi="宋体" w:eastAsia="宋体" w:cs="Times New Roman"/>
                <w:color w:val="auto"/>
                <w:sz w:val="24"/>
                <w:szCs w:val="24"/>
                <w:highlight w:val="none"/>
              </w:rPr>
            </w:pPr>
          </w:p>
          <w:p w14:paraId="2418BB1A">
            <w:pPr>
              <w:jc w:val="center"/>
              <w:rPr>
                <w:rFonts w:hint="eastAsia" w:ascii="宋体" w:hAnsi="宋体" w:eastAsia="宋体" w:cs="Times New Roman"/>
                <w:color w:val="auto"/>
                <w:sz w:val="24"/>
                <w:szCs w:val="24"/>
                <w:highlight w:val="none"/>
              </w:rPr>
            </w:pPr>
          </w:p>
          <w:p w14:paraId="41D94F78">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被委托人身份证反面扫描件</w:t>
            </w:r>
          </w:p>
          <w:p w14:paraId="42B234B7">
            <w:pPr>
              <w:jc w:val="center"/>
              <w:rPr>
                <w:rFonts w:hint="eastAsia" w:ascii="宋体" w:hAnsi="宋体" w:eastAsia="宋体" w:cs="Times New Roman"/>
                <w:color w:val="auto"/>
                <w:sz w:val="24"/>
                <w:szCs w:val="24"/>
                <w:highlight w:val="none"/>
              </w:rPr>
            </w:pPr>
          </w:p>
          <w:p w14:paraId="2DC7A875">
            <w:pPr>
              <w:widowControl/>
              <w:jc w:val="center"/>
              <w:rPr>
                <w:rFonts w:hint="eastAsia" w:ascii="宋体" w:hAnsi="宋体" w:eastAsia="宋体" w:cs="Times New Roman"/>
                <w:color w:val="auto"/>
                <w:sz w:val="24"/>
                <w:szCs w:val="24"/>
                <w:highlight w:val="none"/>
                <w:u w:val="single"/>
              </w:rPr>
            </w:pPr>
          </w:p>
        </w:tc>
      </w:tr>
    </w:tbl>
    <w:p w14:paraId="7137770A">
      <w:pPr>
        <w:pStyle w:val="7"/>
        <w:ind w:left="132" w:leftChars="63" w:firstLine="480" w:firstLineChars="200"/>
        <w:rPr>
          <w:rFonts w:hint="eastAsia" w:ascii="宋体" w:hAnsi="宋体" w:eastAsia="宋体" w:cs="宋体"/>
          <w:color w:val="000000"/>
          <w:sz w:val="24"/>
          <w:szCs w:val="24"/>
          <w:highlight w:val="none"/>
        </w:rPr>
      </w:pPr>
    </w:p>
    <w:p w14:paraId="4E3880D0">
      <w:pPr>
        <w:pStyle w:val="7"/>
        <w:spacing w:before="9"/>
        <w:rPr>
          <w:rFonts w:hint="eastAsia" w:ascii="宋体" w:hAnsi="宋体" w:eastAsia="宋体" w:cs="宋体"/>
          <w:color w:val="000000"/>
          <w:sz w:val="24"/>
          <w:szCs w:val="24"/>
          <w:highlight w:val="none"/>
        </w:rPr>
      </w:pPr>
    </w:p>
    <w:p w14:paraId="2EF13C40">
      <w:pPr>
        <w:pStyle w:val="7"/>
        <w:spacing w:before="12"/>
        <w:rPr>
          <w:rFonts w:hint="eastAsia" w:ascii="宋体" w:hAnsi="宋体" w:eastAsia="宋体" w:cs="宋体"/>
          <w:color w:val="000000"/>
          <w:sz w:val="24"/>
          <w:szCs w:val="24"/>
          <w:highlight w:val="none"/>
        </w:rPr>
      </w:pPr>
    </w:p>
    <w:p w14:paraId="4AC72630">
      <w:pPr>
        <w:pStyle w:val="7"/>
        <w:rPr>
          <w:rFonts w:hint="eastAsia" w:ascii="宋体" w:hAnsi="宋体" w:eastAsia="宋体" w:cs="宋体"/>
          <w:color w:val="000000"/>
          <w:sz w:val="24"/>
          <w:szCs w:val="24"/>
          <w:highlight w:val="none"/>
        </w:rPr>
      </w:pPr>
    </w:p>
    <w:p w14:paraId="1E180951">
      <w:pPr>
        <w:pStyle w:val="7"/>
        <w:rPr>
          <w:rFonts w:hint="eastAsia" w:ascii="宋体" w:hAnsi="宋体" w:eastAsia="宋体" w:cs="宋体"/>
          <w:color w:val="000000"/>
          <w:sz w:val="24"/>
          <w:szCs w:val="24"/>
          <w:highlight w:val="none"/>
        </w:rPr>
      </w:pPr>
    </w:p>
    <w:p w14:paraId="5689083C">
      <w:pPr>
        <w:pStyle w:val="7"/>
        <w:rPr>
          <w:rFonts w:hint="eastAsia" w:ascii="宋体" w:hAnsi="宋体" w:eastAsia="宋体" w:cs="宋体"/>
          <w:color w:val="000000"/>
          <w:sz w:val="24"/>
          <w:szCs w:val="24"/>
          <w:highlight w:val="none"/>
        </w:rPr>
      </w:pPr>
    </w:p>
    <w:p w14:paraId="301BBD3D">
      <w:pPr>
        <w:tabs>
          <w:tab w:val="left" w:pos="654"/>
          <w:tab w:val="left" w:pos="1734"/>
          <w:tab w:val="left" w:pos="2814"/>
          <w:tab w:val="left" w:pos="3894"/>
          <w:tab w:val="left" w:pos="5334"/>
          <w:tab w:val="left" w:pos="6414"/>
          <w:tab w:val="left" w:pos="7254"/>
          <w:tab w:val="left" w:pos="8574"/>
          <w:tab w:val="left" w:pos="9654"/>
        </w:tabs>
        <w:spacing w:line="360" w:lineRule="auto"/>
        <w:ind w:firstLine="480"/>
        <w:jc w:val="center"/>
        <w:rPr>
          <w:rFonts w:hint="eastAsia" w:ascii="宋体" w:hAnsi="宋体" w:eastAsia="宋体" w:cs="宋体"/>
          <w:color w:val="000000"/>
          <w:sz w:val="24"/>
          <w:szCs w:val="24"/>
          <w:highlight w:val="none"/>
          <w:u w:val="single"/>
        </w:rPr>
      </w:pPr>
      <w:r>
        <w:rPr>
          <w:rFonts w:hint="eastAsia"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供应商（电子签章）:</w:t>
      </w:r>
    </w:p>
    <w:p w14:paraId="2BAECE57">
      <w:pPr>
        <w:spacing w:line="360" w:lineRule="auto"/>
        <w:ind w:firstLine="480"/>
        <w:jc w:val="center"/>
        <w:rPr>
          <w:rFonts w:hint="eastAsia" w:ascii="宋体" w:hAnsi="宋体" w:eastAsia="宋体" w:cs="宋体"/>
          <w:color w:val="000000"/>
          <w:sz w:val="24"/>
          <w:szCs w:val="24"/>
          <w:highlight w:val="none"/>
          <w:u w:val="single"/>
        </w:rPr>
      </w:pPr>
      <w:r>
        <w:rPr>
          <w:rFonts w:hint="eastAsia"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法定代表人（电子签章）:</w:t>
      </w:r>
    </w:p>
    <w:p w14:paraId="2CE01075">
      <w:pPr>
        <w:pStyle w:val="7"/>
        <w:ind w:right="993"/>
        <w:jc w:val="center"/>
        <w:rPr>
          <w:rFonts w:hint="eastAsia" w:ascii="宋体" w:hAnsi="宋体" w:eastAsia="宋体" w:cs="宋体"/>
          <w:color w:val="000000"/>
          <w:sz w:val="24"/>
          <w:szCs w:val="24"/>
          <w:highlight w:val="none"/>
        </w:rPr>
      </w:pPr>
      <w:r>
        <w:rPr>
          <w:rFonts w:hint="eastAsia"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年月日</w:t>
      </w:r>
    </w:p>
    <w:p w14:paraId="5354C13E">
      <w:pPr>
        <w:rPr>
          <w:rFonts w:hint="eastAsia" w:ascii="宋体" w:hAnsi="宋体" w:eastAsia="宋体" w:cs="宋体"/>
          <w:color w:val="000000"/>
          <w:sz w:val="24"/>
          <w:szCs w:val="24"/>
          <w:highlight w:val="none"/>
        </w:rPr>
        <w:sectPr>
          <w:pgSz w:w="11910" w:h="16840"/>
          <w:pgMar w:top="1360" w:right="1418" w:bottom="1134" w:left="1588" w:header="0" w:footer="850" w:gutter="0"/>
          <w:pgNumType w:fmt="decimal"/>
          <w:cols w:space="720" w:num="1"/>
          <w:docGrid w:linePitch="299" w:charSpace="0"/>
        </w:sectPr>
      </w:pPr>
    </w:p>
    <w:p w14:paraId="5D14FFB9">
      <w:pPr>
        <w:pStyle w:val="22"/>
        <w:spacing w:before="34"/>
        <w:ind w:firstLine="0"/>
        <w:rPr>
          <w:rFonts w:hint="eastAsia" w:ascii="宋体" w:hAnsi="宋体" w:eastAsia="宋体" w:cs="宋体"/>
          <w:color w:val="000000"/>
          <w:spacing w:val="1"/>
          <w:w w:val="99"/>
          <w:sz w:val="24"/>
          <w:szCs w:val="24"/>
          <w:highlight w:val="none"/>
          <w:lang w:val="en-US" w:eastAsia="zh-CN"/>
        </w:rPr>
      </w:pPr>
      <w:r>
        <w:rPr>
          <w:rFonts w:hint="eastAsia" w:ascii="宋体" w:hAnsi="宋体" w:eastAsia="宋体" w:cs="宋体"/>
          <w:color w:val="000000"/>
          <w:spacing w:val="1"/>
          <w:w w:val="99"/>
          <w:sz w:val="24"/>
          <w:szCs w:val="24"/>
          <w:highlight w:val="none"/>
        </w:rPr>
        <w:t>附件3</w:t>
      </w:r>
      <w:r>
        <w:rPr>
          <w:rFonts w:hint="eastAsia" w:ascii="宋体" w:hAnsi="宋体" w:eastAsia="宋体" w:cs="宋体"/>
          <w:color w:val="000000"/>
          <w:spacing w:val="1"/>
          <w:w w:val="99"/>
          <w:sz w:val="24"/>
          <w:szCs w:val="24"/>
          <w:highlight w:val="none"/>
          <w:lang w:val="en-US"/>
        </w:rPr>
        <w:t>：</w:t>
      </w:r>
      <w:r>
        <w:rPr>
          <w:rFonts w:hint="eastAsia" w:eastAsia="宋体" w:cs="宋体"/>
          <w:color w:val="000000"/>
          <w:spacing w:val="1"/>
          <w:w w:val="99"/>
          <w:sz w:val="24"/>
          <w:szCs w:val="24"/>
          <w:highlight w:val="none"/>
          <w:lang w:val="en-US" w:eastAsia="zh-CN"/>
        </w:rPr>
        <w:t>采购需求</w:t>
      </w:r>
    </w:p>
    <w:p w14:paraId="3C85521D">
      <w:pPr>
        <w:pStyle w:val="22"/>
        <w:spacing w:before="34"/>
        <w:ind w:firstLine="0"/>
        <w:rPr>
          <w:rFonts w:hint="eastAsia" w:ascii="宋体" w:hAnsi="宋体" w:eastAsia="宋体" w:cs="宋体"/>
          <w:color w:val="000000"/>
          <w:spacing w:val="1"/>
          <w:w w:val="99"/>
          <w:sz w:val="24"/>
          <w:szCs w:val="24"/>
          <w:highlight w:val="none"/>
          <w:lang w:val="en-US"/>
        </w:rPr>
      </w:pPr>
    </w:p>
    <w:p w14:paraId="4E84BCB2">
      <w:pPr>
        <w:pStyle w:val="26"/>
        <w:ind w:left="0" w:leftChars="0" w:firstLine="0" w:firstLineChars="0"/>
        <w:jc w:val="center"/>
        <w:rPr>
          <w:rFonts w:hint="eastAsia" w:ascii="宋体" w:hAnsi="宋体" w:eastAsia="宋体" w:cs="Times New Roman"/>
          <w:sz w:val="28"/>
          <w:szCs w:val="28"/>
          <w:vertAlign w:val="baseline"/>
          <w:lang w:val="en-US" w:eastAsia="zh-CN" w:bidi="ar-SA"/>
        </w:rPr>
      </w:pPr>
      <w:r>
        <w:rPr>
          <w:rFonts w:hint="eastAsia" w:ascii="宋体" w:hAnsi="宋体" w:eastAsia="宋体" w:cs="Times New Roman"/>
          <w:sz w:val="28"/>
          <w:szCs w:val="28"/>
          <w:vertAlign w:val="baseline"/>
          <w:lang w:val="en-US" w:eastAsia="zh-CN" w:bidi="ar-SA"/>
        </w:rPr>
        <w:t>毕节市煤矿安全综合监控平台融合升级改造项目</w:t>
      </w:r>
    </w:p>
    <w:p w14:paraId="7D470FF0">
      <w:pPr>
        <w:ind w:left="0" w:leftChars="0" w:firstLine="420" w:firstLineChars="200"/>
        <w:rPr>
          <w:rFonts w:hint="eastAsia"/>
          <w:lang w:val="en-US" w:eastAsia="zh-CN"/>
        </w:rPr>
      </w:pPr>
    </w:p>
    <w:p w14:paraId="47369DDA">
      <w:pPr>
        <w:spacing w:line="360" w:lineRule="auto"/>
        <w:ind w:left="0" w:leftChars="0" w:firstLine="420" w:firstLineChars="200"/>
        <w:rPr>
          <w:rFonts w:hint="eastAsia"/>
          <w:lang w:val="en-US" w:eastAsia="zh-CN"/>
        </w:rPr>
      </w:pPr>
      <w:r>
        <w:rPr>
          <w:rFonts w:hint="eastAsia"/>
          <w:lang w:val="en-US" w:eastAsia="zh-CN"/>
        </w:rPr>
        <w:t>毕节市煤矿安全综合监控平台融合升级改造项目作为原平台的功能补充，主要建设内容为：</w:t>
      </w:r>
    </w:p>
    <w:p w14:paraId="306D42B5">
      <w:pPr>
        <w:spacing w:line="360" w:lineRule="auto"/>
        <w:ind w:left="0" w:leftChars="0" w:firstLine="420" w:firstLineChars="200"/>
        <w:rPr>
          <w:rFonts w:hint="eastAsia"/>
          <w:lang w:val="en-US" w:eastAsia="zh-CN"/>
        </w:rPr>
      </w:pPr>
      <w:r>
        <w:rPr>
          <w:rFonts w:hint="eastAsia"/>
          <w:lang w:val="en-US" w:eastAsia="zh-CN"/>
        </w:rPr>
        <w:t>1.视频联网集中管理平台</w:t>
      </w:r>
    </w:p>
    <w:p w14:paraId="46C4B564">
      <w:pPr>
        <w:spacing w:line="360" w:lineRule="auto"/>
        <w:ind w:left="0" w:leftChars="0" w:firstLine="420" w:firstLineChars="200"/>
        <w:rPr>
          <w:rFonts w:hint="eastAsia"/>
          <w:lang w:val="en-US" w:eastAsia="zh-CN"/>
        </w:rPr>
      </w:pPr>
      <w:r>
        <w:rPr>
          <w:rFonts w:hint="eastAsia"/>
          <w:lang w:val="en-US" w:eastAsia="zh-CN"/>
        </w:rPr>
        <w:t>2.边坡监测预警子系统</w:t>
      </w:r>
    </w:p>
    <w:p w14:paraId="085A4473">
      <w:pPr>
        <w:spacing w:line="360" w:lineRule="auto"/>
        <w:ind w:left="0" w:leftChars="0" w:firstLine="420" w:firstLineChars="200"/>
        <w:rPr>
          <w:rFonts w:hint="eastAsia"/>
          <w:lang w:val="en-US" w:eastAsia="zh-CN"/>
        </w:rPr>
      </w:pPr>
      <w:r>
        <w:rPr>
          <w:rFonts w:hint="eastAsia"/>
          <w:lang w:val="en-US" w:eastAsia="zh-CN"/>
        </w:rPr>
        <w:t>3.矿压监测预警子系统</w:t>
      </w:r>
    </w:p>
    <w:p w14:paraId="73ED9EFC">
      <w:pPr>
        <w:spacing w:line="360" w:lineRule="auto"/>
        <w:ind w:left="0" w:leftChars="0" w:firstLine="420" w:firstLineChars="200"/>
        <w:rPr>
          <w:rFonts w:hint="eastAsia"/>
          <w:lang w:val="en-US" w:eastAsia="zh-CN"/>
        </w:rPr>
      </w:pPr>
      <w:r>
        <w:rPr>
          <w:rFonts w:hint="eastAsia"/>
          <w:lang w:val="en-US" w:eastAsia="zh-CN"/>
        </w:rPr>
        <w:t>3.水害防治监测预警子系统</w:t>
      </w:r>
    </w:p>
    <w:p w14:paraId="3ADD9023">
      <w:pPr>
        <w:spacing w:line="360" w:lineRule="auto"/>
        <w:ind w:left="0" w:leftChars="0" w:firstLine="420" w:firstLineChars="200"/>
        <w:rPr>
          <w:rFonts w:hint="eastAsia"/>
          <w:lang w:val="en-US" w:eastAsia="zh-CN"/>
        </w:rPr>
      </w:pPr>
      <w:r>
        <w:rPr>
          <w:rFonts w:hint="eastAsia"/>
          <w:lang w:val="en-US" w:eastAsia="zh-CN"/>
        </w:rPr>
        <w:t>4.宣教培训子系统</w:t>
      </w:r>
    </w:p>
    <w:p w14:paraId="47804456">
      <w:pPr>
        <w:pStyle w:val="6"/>
        <w:rPr>
          <w:rFonts w:hint="eastAsia"/>
          <w:lang w:val="en-US" w:eastAsia="zh-CN"/>
        </w:rPr>
      </w:pPr>
    </w:p>
    <w:p w14:paraId="7AB7EE5A">
      <w:pPr>
        <w:spacing w:line="360" w:lineRule="auto"/>
        <w:ind w:firstLine="420" w:firstLineChars="200"/>
        <w:rPr>
          <w:rFonts w:hint="eastAsia"/>
          <w:lang w:val="en-US" w:eastAsia="zh-CN"/>
        </w:rPr>
      </w:pPr>
      <w:r>
        <w:rPr>
          <w:rFonts w:hint="eastAsia"/>
          <w:lang w:val="en-US" w:eastAsia="zh-CN"/>
        </w:rPr>
        <w:t>其中：</w:t>
      </w:r>
    </w:p>
    <w:p w14:paraId="348D229D">
      <w:pPr>
        <w:spacing w:line="360" w:lineRule="auto"/>
        <w:ind w:firstLine="422" w:firstLineChars="200"/>
        <w:rPr>
          <w:rFonts w:hint="default"/>
          <w:b/>
          <w:bCs/>
          <w:lang w:val="en-US" w:eastAsia="zh-CN"/>
        </w:rPr>
      </w:pPr>
      <w:r>
        <w:rPr>
          <w:rFonts w:hint="eastAsia"/>
          <w:b/>
          <w:bCs/>
          <w:color w:val="auto"/>
          <w:lang w:val="en-US" w:eastAsia="zh-CN"/>
        </w:rPr>
        <w:t>新增一台国产化超融合主机和一台视频综合平台</w:t>
      </w:r>
    </w:p>
    <w:tbl>
      <w:tblPr>
        <w:tblStyle w:val="13"/>
        <w:tblW w:w="482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4"/>
        <w:gridCol w:w="1075"/>
        <w:gridCol w:w="5921"/>
        <w:gridCol w:w="685"/>
        <w:gridCol w:w="1146"/>
      </w:tblGrid>
      <w:tr w14:paraId="19F7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64" w:type="pct"/>
            <w:tcBorders>
              <w:top w:val="single" w:color="003894" w:sz="4" w:space="0"/>
              <w:left w:val="single" w:color="003894" w:sz="4" w:space="0"/>
              <w:bottom w:val="single" w:color="003894" w:sz="4" w:space="0"/>
              <w:right w:val="single" w:color="003894" w:sz="4" w:space="0"/>
            </w:tcBorders>
            <w:noWrap w:val="0"/>
            <w:tcMar>
              <w:top w:w="0" w:type="dxa"/>
              <w:left w:w="57" w:type="dxa"/>
              <w:bottom w:w="0" w:type="dxa"/>
              <w:right w:w="57" w:type="dxa"/>
            </w:tcMar>
            <w:vAlign w:val="center"/>
          </w:tcPr>
          <w:p w14:paraId="05755571">
            <w:pPr>
              <w:ind w:left="0" w:leftChars="0" w:firstLine="0" w:firstLineChars="0"/>
              <w:jc w:val="center"/>
              <w:rPr>
                <w:rFonts w:hint="eastAsia" w:ascii="宋体" w:hAnsi="宋体" w:eastAsia="宋体" w:cs="宋体"/>
                <w:b/>
                <w:bCs/>
                <w:color w:val="auto"/>
                <w:sz w:val="21"/>
                <w:szCs w:val="21"/>
              </w:rPr>
            </w:pPr>
            <w:bookmarkStart w:id="90" w:name="_Toc22058"/>
            <w:r>
              <w:rPr>
                <w:rFonts w:hint="eastAsia" w:ascii="宋体" w:hAnsi="宋体" w:eastAsia="宋体" w:cs="宋体"/>
                <w:b/>
                <w:bCs/>
                <w:color w:val="auto"/>
                <w:sz w:val="21"/>
                <w:szCs w:val="21"/>
                <w:lang w:val="en-US" w:eastAsia="zh-CN"/>
              </w:rPr>
              <w:t>序号</w:t>
            </w:r>
          </w:p>
        </w:tc>
        <w:tc>
          <w:tcPr>
            <w:tcW w:w="564" w:type="pct"/>
            <w:tcBorders>
              <w:top w:val="single" w:color="003894" w:sz="4" w:space="0"/>
              <w:left w:val="single" w:color="003894" w:sz="4" w:space="0"/>
              <w:bottom w:val="single" w:color="003894" w:sz="4" w:space="0"/>
              <w:right w:val="single" w:color="003894" w:sz="4" w:space="0"/>
            </w:tcBorders>
            <w:noWrap w:val="0"/>
            <w:tcMar>
              <w:top w:w="0" w:type="dxa"/>
              <w:left w:w="57" w:type="dxa"/>
              <w:bottom w:w="0" w:type="dxa"/>
              <w:right w:w="57" w:type="dxa"/>
            </w:tcMar>
            <w:vAlign w:val="center"/>
          </w:tcPr>
          <w:p w14:paraId="57A01C6F">
            <w:pPr>
              <w:ind w:left="0" w:leftChars="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名称</w:t>
            </w:r>
          </w:p>
        </w:tc>
        <w:tc>
          <w:tcPr>
            <w:tcW w:w="3109" w:type="pct"/>
            <w:tcBorders>
              <w:top w:val="single" w:color="003894" w:sz="4" w:space="0"/>
              <w:left w:val="single" w:color="003894" w:sz="4" w:space="0"/>
              <w:bottom w:val="single" w:color="003894" w:sz="4" w:space="0"/>
              <w:right w:val="single" w:color="003894" w:sz="4" w:space="0"/>
            </w:tcBorders>
            <w:noWrap w:val="0"/>
            <w:tcMar>
              <w:top w:w="0" w:type="dxa"/>
              <w:left w:w="57" w:type="dxa"/>
              <w:bottom w:w="0" w:type="dxa"/>
              <w:right w:w="57" w:type="dxa"/>
            </w:tcMar>
            <w:vAlign w:val="center"/>
          </w:tcPr>
          <w:p w14:paraId="275014D4">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功能参数描述</w:t>
            </w:r>
          </w:p>
        </w:tc>
        <w:tc>
          <w:tcPr>
            <w:tcW w:w="359" w:type="pct"/>
            <w:tcBorders>
              <w:top w:val="single" w:color="003894" w:sz="4" w:space="0"/>
              <w:left w:val="single" w:color="003894" w:sz="4" w:space="0"/>
              <w:bottom w:val="single" w:color="003894" w:sz="4" w:space="0"/>
              <w:right w:val="single" w:color="003894" w:sz="4" w:space="0"/>
            </w:tcBorders>
            <w:noWrap w:val="0"/>
            <w:tcMar>
              <w:top w:w="0" w:type="dxa"/>
              <w:left w:w="57" w:type="dxa"/>
              <w:bottom w:w="0" w:type="dxa"/>
              <w:right w:w="57" w:type="dxa"/>
            </w:tcMar>
            <w:vAlign w:val="center"/>
          </w:tcPr>
          <w:p w14:paraId="3A429152">
            <w:pPr>
              <w:ind w:left="0" w:leftChars="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数量</w:t>
            </w:r>
          </w:p>
        </w:tc>
        <w:tc>
          <w:tcPr>
            <w:tcW w:w="601" w:type="pct"/>
            <w:tcBorders>
              <w:top w:val="single" w:color="003894" w:sz="4" w:space="0"/>
              <w:left w:val="single" w:color="003894" w:sz="4" w:space="0"/>
              <w:bottom w:val="single" w:color="003894" w:sz="4" w:space="0"/>
              <w:right w:val="single" w:color="003894" w:sz="4" w:space="0"/>
            </w:tcBorders>
            <w:noWrap w:val="0"/>
            <w:tcMar>
              <w:top w:w="0" w:type="dxa"/>
              <w:left w:w="57" w:type="dxa"/>
              <w:bottom w:w="0" w:type="dxa"/>
              <w:right w:w="57" w:type="dxa"/>
            </w:tcMar>
            <w:vAlign w:val="center"/>
          </w:tcPr>
          <w:p w14:paraId="12C38501">
            <w:pPr>
              <w:ind w:left="0" w:leftChars="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备注</w:t>
            </w:r>
          </w:p>
        </w:tc>
      </w:tr>
      <w:tr w14:paraId="0304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4" w:type="pct"/>
            <w:tcBorders>
              <w:top w:val="single" w:color="333333"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84A73B">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p>
        </w:tc>
        <w:tc>
          <w:tcPr>
            <w:tcW w:w="564" w:type="pct"/>
            <w:tcBorders>
              <w:top w:val="single" w:color="333333"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045C582">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国产化超融合主机</w:t>
            </w:r>
          </w:p>
        </w:tc>
        <w:tc>
          <w:tcPr>
            <w:tcW w:w="3109" w:type="pct"/>
            <w:tcBorders>
              <w:top w:val="single" w:color="333333"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04095C">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硬件参数：规格：2U，CPU：2颗hygon 5380 2.6GHz（16C），内存：12*64GB DDR4 3200，系统盘：2*240GB SATA，缓存盘：2*1.92T，数据盘：10*16T，标配盘位数：12，电源：白金，冗余电源，接口：4千兆电口+2万兆光口。</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含：计算服务器虚拟化软件；网络虚拟化软件；虚拟存储软件；云计算管理软件；国产操作系统。</w:t>
            </w:r>
          </w:p>
        </w:tc>
        <w:tc>
          <w:tcPr>
            <w:tcW w:w="359" w:type="pct"/>
            <w:tcBorders>
              <w:top w:val="single" w:color="333333"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763170">
            <w:pPr>
              <w:ind w:left="0" w:leftChars="0" w:firstLine="0" w:firstLineChars="0"/>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1台</w:t>
            </w:r>
          </w:p>
        </w:tc>
        <w:tc>
          <w:tcPr>
            <w:tcW w:w="601" w:type="pct"/>
            <w:tcBorders>
              <w:top w:val="single" w:color="333333"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2D3DCA7">
            <w:pPr>
              <w:jc w:val="center"/>
              <w:rPr>
                <w:rFonts w:hint="eastAsia" w:ascii="宋体" w:hAnsi="宋体" w:eastAsia="宋体" w:cs="宋体"/>
                <w:color w:val="auto"/>
                <w:sz w:val="21"/>
                <w:szCs w:val="21"/>
              </w:rPr>
            </w:pPr>
            <w:r>
              <w:rPr>
                <w:rFonts w:hint="eastAsia"/>
                <w:color w:val="auto"/>
                <w:sz w:val="21"/>
                <w:szCs w:val="21"/>
                <w:lang w:val="en-US" w:eastAsia="zh-CN"/>
              </w:rPr>
              <w:t>质保期5年</w:t>
            </w:r>
          </w:p>
        </w:tc>
      </w:tr>
      <w:tr w14:paraId="1A19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6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5154C1">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56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7B547E">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视频综合平台</w:t>
            </w:r>
          </w:p>
        </w:tc>
        <w:tc>
          <w:tcPr>
            <w:tcW w:w="310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92C658">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一、采用H.264或MPEG4视频压缩标准，支持双码流技术，可变码流，支持复合流和视频流编码，且音频和视频同步；</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80路高清视频编码能力（满配）或320路标清视频编码能力（满配）；</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支持4K点对点输出显示；</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支持300W/500W/800W/1200W解码；</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满配最大支持80路3840*2160@30fps/320路1080p@30fps及以下标清视频解码能力；</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支持解码H.265，满配最大支持320路H.265的1080P解码输出；</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支持解码SVAC和非标码流；</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支持1/4/6/8/9/16/25/36画面分割显示；支持自由分割；</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支持鱼眼矫正；</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支持60个显示屏的任意拼接；</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支持液晶屏/DLP屏/小间距LED屏显示；</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支持开窗和漫游功能，单屏支持16个窗口；</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单屏和融合窗口都支持1/4/6/8/9/16/25/36分割；支持自由分割；</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支持30个预设场景，用户可以自定义每个场景电视墙布局；</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支持高清底图显示；</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支持高清全景拼接；</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支持80路1080P网络视频接入及转发；</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支持网络级联；</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支持TCP/IP协议，支持RTP/RTSP/RTCP/TCP/UDP/DHCP等网络协议。</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二、支持2路32MP@25fps（H.265码流），6路12MP@25fps（H.265码流），8路8MP@30fps，32路1080p@30fps，64路720p@30fps，90路D1@30fps解码；</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支持8路1080P的SVAC解码；支持24路非标D1码流解码；1/4/6/8/9/16/25/36画面分割，自由分割。</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三、视频输入接口：HDMI接口；</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音频输入接口：无接口，HDMI接口自带音频；</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编码格式：H.264/MPEG4；</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编码能力：单板4路1080P，支持1080P/720P/UXGA/SXGA+ /SXGA/XGA/SVGA/VGA分辨率。</w:t>
            </w:r>
          </w:p>
        </w:tc>
        <w:tc>
          <w:tcPr>
            <w:tcW w:w="35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F564EF">
            <w:pPr>
              <w:ind w:left="0" w:leftChars="0" w:firstLine="0" w:firstLineChars="0"/>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1台</w:t>
            </w:r>
          </w:p>
        </w:tc>
        <w:tc>
          <w:tcPr>
            <w:tcW w:w="60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145949">
            <w:pPr>
              <w:jc w:val="center"/>
              <w:rPr>
                <w:rFonts w:hint="eastAsia" w:ascii="宋体" w:hAnsi="宋体" w:eastAsia="宋体" w:cs="宋体"/>
                <w:color w:val="auto"/>
                <w:sz w:val="21"/>
                <w:szCs w:val="21"/>
              </w:rPr>
            </w:pPr>
            <w:r>
              <w:rPr>
                <w:rFonts w:hint="eastAsia"/>
                <w:color w:val="auto"/>
                <w:sz w:val="21"/>
                <w:szCs w:val="21"/>
                <w:lang w:val="en-US" w:eastAsia="zh-CN"/>
              </w:rPr>
              <w:t>质保期5年</w:t>
            </w:r>
          </w:p>
        </w:tc>
      </w:tr>
    </w:tbl>
    <w:p w14:paraId="386D558D">
      <w:pPr>
        <w:pStyle w:val="6"/>
        <w:numPr>
          <w:ilvl w:val="0"/>
          <w:numId w:val="0"/>
        </w:numPr>
        <w:rPr>
          <w:rFonts w:hint="eastAsia" w:ascii="Times New Roman" w:hAnsi="Times New Roman"/>
          <w:color w:val="auto"/>
          <w:lang w:val="en-US" w:eastAsia="zh-CN"/>
        </w:rPr>
      </w:pPr>
    </w:p>
    <w:p w14:paraId="1F4D1C20">
      <w:pPr>
        <w:pStyle w:val="6"/>
        <w:numPr>
          <w:ilvl w:val="0"/>
          <w:numId w:val="0"/>
        </w:numPr>
        <w:spacing w:line="360" w:lineRule="auto"/>
        <w:ind w:left="0" w:leftChars="0" w:firstLine="422" w:firstLineChars="200"/>
        <w:rPr>
          <w:rFonts w:hint="eastAsia" w:ascii="Times New Roman" w:hAnsi="Times New Roman"/>
          <w:b/>
          <w:bCs/>
          <w:color w:val="auto"/>
          <w:lang w:val="en-US" w:eastAsia="zh-CN"/>
        </w:rPr>
      </w:pPr>
      <w:r>
        <w:rPr>
          <w:rFonts w:hint="eastAsia" w:ascii="Times New Roman" w:hAnsi="Times New Roman"/>
          <w:b/>
          <w:bCs/>
          <w:color w:val="auto"/>
          <w:lang w:val="en-US" w:eastAsia="zh-CN"/>
        </w:rPr>
        <w:t>新增子系统软件</w:t>
      </w:r>
    </w:p>
    <w:tbl>
      <w:tblPr>
        <w:tblStyle w:val="14"/>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144"/>
        <w:gridCol w:w="1425"/>
        <w:gridCol w:w="2009"/>
      </w:tblGrid>
      <w:tr w14:paraId="780E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tcMar>
              <w:top w:w="0" w:type="dxa"/>
              <w:left w:w="0" w:type="dxa"/>
              <w:bottom w:w="0" w:type="dxa"/>
              <w:right w:w="0" w:type="dxa"/>
            </w:tcMar>
            <w:vAlign w:val="center"/>
          </w:tcPr>
          <w:p w14:paraId="244738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序号</w:t>
            </w:r>
          </w:p>
        </w:tc>
        <w:tc>
          <w:tcPr>
            <w:tcW w:w="4144" w:type="dxa"/>
            <w:noWrap w:val="0"/>
            <w:tcMar>
              <w:top w:w="0" w:type="dxa"/>
              <w:left w:w="0" w:type="dxa"/>
              <w:bottom w:w="0" w:type="dxa"/>
              <w:right w:w="0" w:type="dxa"/>
            </w:tcMar>
            <w:vAlign w:val="center"/>
          </w:tcPr>
          <w:p w14:paraId="7704C1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软件名称</w:t>
            </w:r>
          </w:p>
        </w:tc>
        <w:tc>
          <w:tcPr>
            <w:tcW w:w="1425" w:type="dxa"/>
            <w:noWrap w:val="0"/>
            <w:tcMar>
              <w:top w:w="0" w:type="dxa"/>
              <w:left w:w="0" w:type="dxa"/>
              <w:bottom w:w="0" w:type="dxa"/>
              <w:right w:w="0" w:type="dxa"/>
            </w:tcMar>
            <w:vAlign w:val="center"/>
          </w:tcPr>
          <w:p w14:paraId="525DC7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数量</w:t>
            </w:r>
          </w:p>
        </w:tc>
        <w:tc>
          <w:tcPr>
            <w:tcW w:w="2009" w:type="dxa"/>
            <w:noWrap w:val="0"/>
            <w:tcMar>
              <w:top w:w="0" w:type="dxa"/>
              <w:left w:w="0" w:type="dxa"/>
              <w:bottom w:w="0" w:type="dxa"/>
              <w:right w:w="0" w:type="dxa"/>
            </w:tcMar>
            <w:vAlign w:val="center"/>
          </w:tcPr>
          <w:p w14:paraId="6DA665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备注</w:t>
            </w:r>
          </w:p>
        </w:tc>
      </w:tr>
      <w:tr w14:paraId="6A63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tcMar>
              <w:top w:w="0" w:type="dxa"/>
              <w:left w:w="0" w:type="dxa"/>
              <w:bottom w:w="0" w:type="dxa"/>
              <w:right w:w="0" w:type="dxa"/>
            </w:tcMar>
            <w:vAlign w:val="center"/>
          </w:tcPr>
          <w:p w14:paraId="7EB897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4144" w:type="dxa"/>
            <w:noWrap w:val="0"/>
            <w:tcMar>
              <w:top w:w="0" w:type="dxa"/>
              <w:left w:w="0" w:type="dxa"/>
              <w:bottom w:w="0" w:type="dxa"/>
              <w:right w:w="0" w:type="dxa"/>
            </w:tcMar>
            <w:vAlign w:val="center"/>
          </w:tcPr>
          <w:p w14:paraId="145255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视频联网集中管理平台</w:t>
            </w:r>
          </w:p>
        </w:tc>
        <w:tc>
          <w:tcPr>
            <w:tcW w:w="1425" w:type="dxa"/>
            <w:noWrap w:val="0"/>
            <w:tcMar>
              <w:top w:w="0" w:type="dxa"/>
              <w:left w:w="0" w:type="dxa"/>
              <w:bottom w:w="0" w:type="dxa"/>
              <w:right w:w="0" w:type="dxa"/>
            </w:tcMar>
            <w:vAlign w:val="center"/>
          </w:tcPr>
          <w:p w14:paraId="49C563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1套</w:t>
            </w:r>
          </w:p>
        </w:tc>
        <w:tc>
          <w:tcPr>
            <w:tcW w:w="2009" w:type="dxa"/>
            <w:noWrap w:val="0"/>
            <w:tcMar>
              <w:top w:w="0" w:type="dxa"/>
              <w:left w:w="0" w:type="dxa"/>
              <w:bottom w:w="0" w:type="dxa"/>
              <w:right w:w="0" w:type="dxa"/>
            </w:tcMar>
            <w:vAlign w:val="center"/>
          </w:tcPr>
          <w:p w14:paraId="2BD550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rPr>
            </w:pPr>
            <w:r>
              <w:rPr>
                <w:rFonts w:hint="eastAsia"/>
                <w:color w:val="auto"/>
                <w:sz w:val="21"/>
                <w:szCs w:val="21"/>
                <w:lang w:val="en-US" w:eastAsia="zh-CN"/>
              </w:rPr>
              <w:t>运维</w:t>
            </w:r>
            <w:r>
              <w:rPr>
                <w:rFonts w:hint="eastAsia"/>
                <w:color w:val="auto"/>
                <w:sz w:val="21"/>
                <w:szCs w:val="21"/>
              </w:rPr>
              <w:t>质保期</w:t>
            </w:r>
            <w:r>
              <w:rPr>
                <w:rFonts w:hint="eastAsia"/>
                <w:color w:val="auto"/>
                <w:sz w:val="21"/>
                <w:szCs w:val="21"/>
                <w:lang w:val="en-US" w:eastAsia="zh-CN"/>
              </w:rPr>
              <w:t>5</w:t>
            </w:r>
            <w:r>
              <w:rPr>
                <w:rFonts w:hint="eastAsia"/>
                <w:color w:val="auto"/>
                <w:sz w:val="21"/>
                <w:szCs w:val="21"/>
              </w:rPr>
              <w:t>年</w:t>
            </w:r>
          </w:p>
        </w:tc>
      </w:tr>
      <w:tr w14:paraId="5E5F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tcMar>
              <w:top w:w="0" w:type="dxa"/>
              <w:left w:w="0" w:type="dxa"/>
              <w:bottom w:w="0" w:type="dxa"/>
              <w:right w:w="0" w:type="dxa"/>
            </w:tcMar>
            <w:vAlign w:val="center"/>
          </w:tcPr>
          <w:p w14:paraId="3B6A6E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4144" w:type="dxa"/>
            <w:noWrap w:val="0"/>
            <w:tcMar>
              <w:top w:w="0" w:type="dxa"/>
              <w:left w:w="0" w:type="dxa"/>
              <w:bottom w:w="0" w:type="dxa"/>
              <w:right w:w="0" w:type="dxa"/>
            </w:tcMar>
            <w:vAlign w:val="center"/>
          </w:tcPr>
          <w:p w14:paraId="3DF6E7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边坡监测预警子系统</w:t>
            </w:r>
          </w:p>
        </w:tc>
        <w:tc>
          <w:tcPr>
            <w:tcW w:w="1425" w:type="dxa"/>
            <w:noWrap w:val="0"/>
            <w:tcMar>
              <w:top w:w="0" w:type="dxa"/>
              <w:left w:w="0" w:type="dxa"/>
              <w:bottom w:w="0" w:type="dxa"/>
              <w:right w:w="0" w:type="dxa"/>
            </w:tcMar>
            <w:vAlign w:val="center"/>
          </w:tcPr>
          <w:p w14:paraId="24B67DC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1套</w:t>
            </w:r>
          </w:p>
        </w:tc>
        <w:tc>
          <w:tcPr>
            <w:tcW w:w="2009" w:type="dxa"/>
            <w:noWrap w:val="0"/>
            <w:tcMar>
              <w:top w:w="0" w:type="dxa"/>
              <w:left w:w="0" w:type="dxa"/>
              <w:bottom w:w="0" w:type="dxa"/>
              <w:right w:w="0" w:type="dxa"/>
            </w:tcMar>
            <w:vAlign w:val="center"/>
          </w:tcPr>
          <w:p w14:paraId="4CAE8F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rPr>
            </w:pPr>
            <w:r>
              <w:rPr>
                <w:rFonts w:hint="eastAsia"/>
                <w:color w:val="auto"/>
                <w:sz w:val="21"/>
                <w:szCs w:val="21"/>
                <w:lang w:val="en-US" w:eastAsia="zh-CN"/>
              </w:rPr>
              <w:t>运维</w:t>
            </w:r>
            <w:r>
              <w:rPr>
                <w:rFonts w:hint="eastAsia"/>
                <w:color w:val="auto"/>
                <w:sz w:val="21"/>
                <w:szCs w:val="21"/>
              </w:rPr>
              <w:t>质保期</w:t>
            </w:r>
            <w:r>
              <w:rPr>
                <w:rFonts w:hint="eastAsia"/>
                <w:color w:val="auto"/>
                <w:sz w:val="21"/>
                <w:szCs w:val="21"/>
                <w:lang w:val="en-US" w:eastAsia="zh-CN"/>
              </w:rPr>
              <w:t>5</w:t>
            </w:r>
            <w:r>
              <w:rPr>
                <w:rFonts w:hint="eastAsia"/>
                <w:color w:val="auto"/>
                <w:sz w:val="21"/>
                <w:szCs w:val="21"/>
              </w:rPr>
              <w:t>年</w:t>
            </w:r>
          </w:p>
        </w:tc>
      </w:tr>
      <w:tr w14:paraId="3F80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tcMar>
              <w:top w:w="0" w:type="dxa"/>
              <w:left w:w="0" w:type="dxa"/>
              <w:bottom w:w="0" w:type="dxa"/>
              <w:right w:w="0" w:type="dxa"/>
            </w:tcMar>
            <w:vAlign w:val="center"/>
          </w:tcPr>
          <w:p w14:paraId="6C0864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4144" w:type="dxa"/>
            <w:noWrap w:val="0"/>
            <w:tcMar>
              <w:top w:w="0" w:type="dxa"/>
              <w:left w:w="0" w:type="dxa"/>
              <w:bottom w:w="0" w:type="dxa"/>
              <w:right w:w="0" w:type="dxa"/>
            </w:tcMar>
            <w:vAlign w:val="center"/>
          </w:tcPr>
          <w:p w14:paraId="486427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矿压监测预警子系统</w:t>
            </w:r>
          </w:p>
        </w:tc>
        <w:tc>
          <w:tcPr>
            <w:tcW w:w="1425" w:type="dxa"/>
            <w:noWrap w:val="0"/>
            <w:tcMar>
              <w:top w:w="0" w:type="dxa"/>
              <w:left w:w="0" w:type="dxa"/>
              <w:bottom w:w="0" w:type="dxa"/>
              <w:right w:w="0" w:type="dxa"/>
            </w:tcMar>
            <w:vAlign w:val="center"/>
          </w:tcPr>
          <w:p w14:paraId="6A55F77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1套</w:t>
            </w:r>
          </w:p>
        </w:tc>
        <w:tc>
          <w:tcPr>
            <w:tcW w:w="2009" w:type="dxa"/>
            <w:noWrap w:val="0"/>
            <w:tcMar>
              <w:top w:w="0" w:type="dxa"/>
              <w:left w:w="0" w:type="dxa"/>
              <w:bottom w:w="0" w:type="dxa"/>
              <w:right w:w="0" w:type="dxa"/>
            </w:tcMar>
            <w:vAlign w:val="center"/>
          </w:tcPr>
          <w:p w14:paraId="1F0999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rPr>
            </w:pPr>
            <w:r>
              <w:rPr>
                <w:rFonts w:hint="eastAsia"/>
                <w:color w:val="auto"/>
                <w:sz w:val="21"/>
                <w:szCs w:val="21"/>
                <w:lang w:val="en-US" w:eastAsia="zh-CN"/>
              </w:rPr>
              <w:t>运维</w:t>
            </w:r>
            <w:r>
              <w:rPr>
                <w:rFonts w:hint="eastAsia"/>
                <w:color w:val="auto"/>
                <w:sz w:val="21"/>
                <w:szCs w:val="21"/>
              </w:rPr>
              <w:t>质保期</w:t>
            </w:r>
            <w:r>
              <w:rPr>
                <w:rFonts w:hint="eastAsia"/>
                <w:color w:val="auto"/>
                <w:sz w:val="21"/>
                <w:szCs w:val="21"/>
                <w:lang w:val="en-US" w:eastAsia="zh-CN"/>
              </w:rPr>
              <w:t>5</w:t>
            </w:r>
            <w:r>
              <w:rPr>
                <w:rFonts w:hint="eastAsia"/>
                <w:color w:val="auto"/>
                <w:sz w:val="21"/>
                <w:szCs w:val="21"/>
              </w:rPr>
              <w:t>年</w:t>
            </w:r>
          </w:p>
        </w:tc>
      </w:tr>
      <w:tr w14:paraId="1F17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tcMar>
              <w:top w:w="0" w:type="dxa"/>
              <w:left w:w="0" w:type="dxa"/>
              <w:bottom w:w="0" w:type="dxa"/>
              <w:right w:w="0" w:type="dxa"/>
            </w:tcMar>
            <w:vAlign w:val="center"/>
          </w:tcPr>
          <w:p w14:paraId="0A85FA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4144" w:type="dxa"/>
            <w:noWrap w:val="0"/>
            <w:tcMar>
              <w:top w:w="0" w:type="dxa"/>
              <w:left w:w="0" w:type="dxa"/>
              <w:bottom w:w="0" w:type="dxa"/>
              <w:right w:w="0" w:type="dxa"/>
            </w:tcMar>
            <w:vAlign w:val="center"/>
          </w:tcPr>
          <w:p w14:paraId="700107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水害防治监测预警子系统</w:t>
            </w:r>
          </w:p>
        </w:tc>
        <w:tc>
          <w:tcPr>
            <w:tcW w:w="1425" w:type="dxa"/>
            <w:noWrap w:val="0"/>
            <w:tcMar>
              <w:top w:w="0" w:type="dxa"/>
              <w:left w:w="0" w:type="dxa"/>
              <w:bottom w:w="0" w:type="dxa"/>
              <w:right w:w="0" w:type="dxa"/>
            </w:tcMar>
            <w:vAlign w:val="center"/>
          </w:tcPr>
          <w:p w14:paraId="1CC751C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1套</w:t>
            </w:r>
          </w:p>
        </w:tc>
        <w:tc>
          <w:tcPr>
            <w:tcW w:w="2009" w:type="dxa"/>
            <w:noWrap w:val="0"/>
            <w:tcMar>
              <w:top w:w="0" w:type="dxa"/>
              <w:left w:w="0" w:type="dxa"/>
              <w:bottom w:w="0" w:type="dxa"/>
              <w:right w:w="0" w:type="dxa"/>
            </w:tcMar>
            <w:vAlign w:val="center"/>
          </w:tcPr>
          <w:p w14:paraId="685ED1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rPr>
            </w:pPr>
            <w:r>
              <w:rPr>
                <w:rFonts w:hint="eastAsia"/>
                <w:color w:val="auto"/>
                <w:sz w:val="21"/>
                <w:szCs w:val="21"/>
                <w:lang w:val="en-US" w:eastAsia="zh-CN"/>
              </w:rPr>
              <w:t>运维</w:t>
            </w:r>
            <w:r>
              <w:rPr>
                <w:rFonts w:hint="eastAsia"/>
                <w:color w:val="auto"/>
                <w:sz w:val="21"/>
                <w:szCs w:val="21"/>
              </w:rPr>
              <w:t>质保期</w:t>
            </w:r>
            <w:r>
              <w:rPr>
                <w:rFonts w:hint="eastAsia"/>
                <w:color w:val="auto"/>
                <w:sz w:val="21"/>
                <w:szCs w:val="21"/>
                <w:lang w:val="en-US" w:eastAsia="zh-CN"/>
              </w:rPr>
              <w:t>5</w:t>
            </w:r>
            <w:r>
              <w:rPr>
                <w:rFonts w:hint="eastAsia"/>
                <w:color w:val="auto"/>
                <w:sz w:val="21"/>
                <w:szCs w:val="21"/>
              </w:rPr>
              <w:t>年</w:t>
            </w:r>
          </w:p>
        </w:tc>
      </w:tr>
      <w:tr w14:paraId="40CD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tcMar>
              <w:top w:w="0" w:type="dxa"/>
              <w:left w:w="0" w:type="dxa"/>
              <w:bottom w:w="0" w:type="dxa"/>
              <w:right w:w="0" w:type="dxa"/>
            </w:tcMar>
            <w:vAlign w:val="center"/>
          </w:tcPr>
          <w:p w14:paraId="3D2170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4144" w:type="dxa"/>
            <w:noWrap w:val="0"/>
            <w:tcMar>
              <w:top w:w="0" w:type="dxa"/>
              <w:left w:w="0" w:type="dxa"/>
              <w:bottom w:w="0" w:type="dxa"/>
              <w:right w:w="0" w:type="dxa"/>
            </w:tcMar>
            <w:vAlign w:val="center"/>
          </w:tcPr>
          <w:p w14:paraId="5D090C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宣教培训子系统</w:t>
            </w:r>
          </w:p>
        </w:tc>
        <w:tc>
          <w:tcPr>
            <w:tcW w:w="1425" w:type="dxa"/>
            <w:noWrap w:val="0"/>
            <w:tcMar>
              <w:top w:w="0" w:type="dxa"/>
              <w:left w:w="0" w:type="dxa"/>
              <w:bottom w:w="0" w:type="dxa"/>
              <w:right w:w="0" w:type="dxa"/>
            </w:tcMar>
            <w:vAlign w:val="center"/>
          </w:tcPr>
          <w:p w14:paraId="1577C42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1套</w:t>
            </w:r>
          </w:p>
        </w:tc>
        <w:tc>
          <w:tcPr>
            <w:tcW w:w="2009" w:type="dxa"/>
            <w:noWrap w:val="0"/>
            <w:tcMar>
              <w:top w:w="0" w:type="dxa"/>
              <w:left w:w="0" w:type="dxa"/>
              <w:bottom w:w="0" w:type="dxa"/>
              <w:right w:w="0" w:type="dxa"/>
            </w:tcMar>
            <w:vAlign w:val="center"/>
          </w:tcPr>
          <w:p w14:paraId="444D72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rPr>
            </w:pPr>
            <w:r>
              <w:rPr>
                <w:rFonts w:hint="eastAsia"/>
                <w:color w:val="auto"/>
                <w:sz w:val="21"/>
                <w:szCs w:val="21"/>
                <w:lang w:val="en-US" w:eastAsia="zh-CN"/>
              </w:rPr>
              <w:t>运维</w:t>
            </w:r>
            <w:r>
              <w:rPr>
                <w:rFonts w:hint="eastAsia"/>
                <w:color w:val="auto"/>
                <w:sz w:val="21"/>
                <w:szCs w:val="21"/>
              </w:rPr>
              <w:t>质保期</w:t>
            </w:r>
            <w:r>
              <w:rPr>
                <w:rFonts w:hint="eastAsia"/>
                <w:color w:val="auto"/>
                <w:sz w:val="21"/>
                <w:szCs w:val="21"/>
                <w:lang w:val="en-US" w:eastAsia="zh-CN"/>
              </w:rPr>
              <w:t>5</w:t>
            </w:r>
            <w:r>
              <w:rPr>
                <w:rFonts w:hint="eastAsia"/>
                <w:color w:val="auto"/>
                <w:sz w:val="21"/>
                <w:szCs w:val="21"/>
              </w:rPr>
              <w:t>年</w:t>
            </w:r>
          </w:p>
        </w:tc>
      </w:tr>
    </w:tbl>
    <w:p w14:paraId="5CD8BF6E">
      <w:pPr>
        <w:pStyle w:val="6"/>
        <w:numPr>
          <w:ilvl w:val="0"/>
          <w:numId w:val="0"/>
        </w:numPr>
        <w:ind w:firstLine="630" w:firstLineChars="300"/>
        <w:rPr>
          <w:rFonts w:hint="eastAsia" w:ascii="Times New Roman" w:hAnsi="Times New Roman" w:eastAsia="宋体" w:cs="宋体"/>
          <w:color w:val="auto"/>
          <w:lang w:val="en-US" w:eastAsia="zh-CN"/>
        </w:rPr>
      </w:pPr>
    </w:p>
    <w:p w14:paraId="7E8BBFF6">
      <w:pPr>
        <w:pStyle w:val="6"/>
        <w:numPr>
          <w:ilvl w:val="0"/>
          <w:numId w:val="0"/>
        </w:numPr>
        <w:spacing w:line="360" w:lineRule="auto"/>
        <w:ind w:firstLine="630" w:firstLineChars="300"/>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子系统功能列表：</w:t>
      </w:r>
    </w:p>
    <w:tbl>
      <w:tblPr>
        <w:tblStyle w:val="13"/>
        <w:tblW w:w="4161" w:type="pct"/>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56"/>
        <w:gridCol w:w="3834"/>
      </w:tblGrid>
      <w:tr w14:paraId="2CEF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0A5FBE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序号</w:t>
            </w:r>
          </w:p>
        </w:tc>
        <w:tc>
          <w:tcPr>
            <w:tcW w:w="2264" w:type="pct"/>
            <w:noWrap w:val="0"/>
            <w:vAlign w:val="center"/>
          </w:tcPr>
          <w:p w14:paraId="0A2C87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子系统</w:t>
            </w:r>
          </w:p>
        </w:tc>
        <w:tc>
          <w:tcPr>
            <w:tcW w:w="2311" w:type="pct"/>
            <w:noWrap w:val="0"/>
            <w:vAlign w:val="center"/>
          </w:tcPr>
          <w:p w14:paraId="1E9514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功能列表</w:t>
            </w:r>
          </w:p>
        </w:tc>
      </w:tr>
      <w:tr w14:paraId="654F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01FC82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p>
        </w:tc>
        <w:tc>
          <w:tcPr>
            <w:tcW w:w="2264" w:type="pct"/>
            <w:vMerge w:val="restart"/>
            <w:noWrap w:val="0"/>
            <w:vAlign w:val="center"/>
          </w:tcPr>
          <w:p w14:paraId="5C0174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视频联网集中管理平台</w:t>
            </w:r>
          </w:p>
        </w:tc>
        <w:tc>
          <w:tcPr>
            <w:tcW w:w="2311" w:type="pct"/>
            <w:noWrap/>
            <w:vAlign w:val="center"/>
          </w:tcPr>
          <w:p w14:paraId="1CA5DC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数据总览</w:t>
            </w:r>
          </w:p>
        </w:tc>
      </w:tr>
      <w:tr w14:paraId="19C0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noWrap w:val="0"/>
            <w:vAlign w:val="center"/>
          </w:tcPr>
          <w:p w14:paraId="175445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2264" w:type="pct"/>
            <w:vMerge w:val="continue"/>
            <w:noWrap w:val="0"/>
            <w:vAlign w:val="center"/>
          </w:tcPr>
          <w:p w14:paraId="20E089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ign w:val="center"/>
          </w:tcPr>
          <w:p w14:paraId="0F111B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煤矿视频查询</w:t>
            </w:r>
          </w:p>
        </w:tc>
      </w:tr>
      <w:tr w14:paraId="29E3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5CC5DA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2264" w:type="pct"/>
            <w:vMerge w:val="continue"/>
            <w:noWrap w:val="0"/>
            <w:vAlign w:val="center"/>
          </w:tcPr>
          <w:p w14:paraId="285D2A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ign w:val="center"/>
          </w:tcPr>
          <w:p w14:paraId="16507A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视频分析大屏</w:t>
            </w:r>
          </w:p>
        </w:tc>
      </w:tr>
      <w:tr w14:paraId="4AB4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75A936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p>
        </w:tc>
        <w:tc>
          <w:tcPr>
            <w:tcW w:w="2264" w:type="pct"/>
            <w:vMerge w:val="continue"/>
            <w:noWrap w:val="0"/>
            <w:vAlign w:val="center"/>
          </w:tcPr>
          <w:p w14:paraId="2F657B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ign w:val="center"/>
          </w:tcPr>
          <w:p w14:paraId="0CF154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视频变更清单</w:t>
            </w:r>
          </w:p>
        </w:tc>
      </w:tr>
      <w:tr w14:paraId="24DE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783153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p>
        </w:tc>
        <w:tc>
          <w:tcPr>
            <w:tcW w:w="2264" w:type="pct"/>
            <w:vMerge w:val="continue"/>
            <w:noWrap w:val="0"/>
            <w:vAlign w:val="center"/>
          </w:tcPr>
          <w:p w14:paraId="28D6D4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ign w:val="center"/>
          </w:tcPr>
          <w:p w14:paraId="258084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视频分类统计</w:t>
            </w:r>
          </w:p>
        </w:tc>
      </w:tr>
      <w:tr w14:paraId="0FB3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42ECF9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p>
        </w:tc>
        <w:tc>
          <w:tcPr>
            <w:tcW w:w="2264" w:type="pct"/>
            <w:vMerge w:val="continue"/>
            <w:noWrap w:val="0"/>
            <w:vAlign w:val="center"/>
          </w:tcPr>
          <w:p w14:paraId="6F5BA4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ign w:val="center"/>
          </w:tcPr>
          <w:p w14:paraId="17C7D3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视频台账管理</w:t>
            </w:r>
          </w:p>
        </w:tc>
      </w:tr>
      <w:tr w14:paraId="4AC7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466AF7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p>
        </w:tc>
        <w:tc>
          <w:tcPr>
            <w:tcW w:w="2264" w:type="pct"/>
            <w:vMerge w:val="continue"/>
            <w:noWrap w:val="0"/>
            <w:vAlign w:val="center"/>
          </w:tcPr>
          <w:p w14:paraId="3B1790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ign w:val="center"/>
          </w:tcPr>
          <w:p w14:paraId="784A9A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预警管理</w:t>
            </w:r>
          </w:p>
        </w:tc>
      </w:tr>
      <w:tr w14:paraId="46F2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24" w:type="pct"/>
            <w:noWrap w:val="0"/>
            <w:vAlign w:val="center"/>
          </w:tcPr>
          <w:p w14:paraId="228856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c>
          <w:tcPr>
            <w:tcW w:w="2264" w:type="pct"/>
            <w:vMerge w:val="continue"/>
            <w:noWrap w:val="0"/>
            <w:vAlign w:val="center"/>
          </w:tcPr>
          <w:p w14:paraId="011787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ign w:val="center"/>
          </w:tcPr>
          <w:p w14:paraId="632656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电视墙</w:t>
            </w:r>
          </w:p>
        </w:tc>
      </w:tr>
      <w:tr w14:paraId="4D84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522FD5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p>
        </w:tc>
        <w:tc>
          <w:tcPr>
            <w:tcW w:w="2264" w:type="pct"/>
            <w:vMerge w:val="restart"/>
            <w:noWrap w:val="0"/>
            <w:vAlign w:val="center"/>
          </w:tcPr>
          <w:p w14:paraId="15D326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边坡监测预警子系统</w:t>
            </w:r>
          </w:p>
        </w:tc>
        <w:tc>
          <w:tcPr>
            <w:tcW w:w="2311" w:type="pct"/>
            <w:noWrap w:val="0"/>
            <w:vAlign w:val="center"/>
          </w:tcPr>
          <w:p w14:paraId="3D7295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边坡数据采集程序</w:t>
            </w:r>
          </w:p>
        </w:tc>
      </w:tr>
      <w:tr w14:paraId="7C88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217440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p>
        </w:tc>
        <w:tc>
          <w:tcPr>
            <w:tcW w:w="2264" w:type="pct"/>
            <w:vMerge w:val="continue"/>
            <w:noWrap w:val="0"/>
            <w:vAlign w:val="center"/>
          </w:tcPr>
          <w:p w14:paraId="533570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0"/>
            <w:vAlign w:val="center"/>
          </w:tcPr>
          <w:p w14:paraId="695C6D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边坡基础信息展示</w:t>
            </w:r>
          </w:p>
        </w:tc>
      </w:tr>
      <w:tr w14:paraId="6274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4B0183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p>
        </w:tc>
        <w:tc>
          <w:tcPr>
            <w:tcW w:w="2264" w:type="pct"/>
            <w:vMerge w:val="continue"/>
            <w:noWrap w:val="0"/>
            <w:vAlign w:val="center"/>
          </w:tcPr>
          <w:p w14:paraId="430F0D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0"/>
            <w:vAlign w:val="center"/>
          </w:tcPr>
          <w:p w14:paraId="7CC02D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边坡监测</w:t>
            </w:r>
          </w:p>
        </w:tc>
      </w:tr>
      <w:tr w14:paraId="6EE0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70C939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16</w:t>
            </w:r>
          </w:p>
        </w:tc>
        <w:tc>
          <w:tcPr>
            <w:tcW w:w="2264" w:type="pct"/>
            <w:vMerge w:val="continue"/>
            <w:noWrap w:val="0"/>
            <w:vAlign w:val="center"/>
          </w:tcPr>
          <w:p w14:paraId="545C75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0"/>
            <w:vAlign w:val="center"/>
          </w:tcPr>
          <w:p w14:paraId="343913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报警查询</w:t>
            </w:r>
          </w:p>
        </w:tc>
      </w:tr>
      <w:tr w14:paraId="7026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286276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19</w:t>
            </w:r>
          </w:p>
        </w:tc>
        <w:tc>
          <w:tcPr>
            <w:tcW w:w="2264" w:type="pct"/>
            <w:vMerge w:val="restart"/>
            <w:noWrap w:val="0"/>
            <w:vAlign w:val="center"/>
          </w:tcPr>
          <w:p w14:paraId="5CD7AC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矿压监测预警子系统</w:t>
            </w:r>
          </w:p>
        </w:tc>
        <w:tc>
          <w:tcPr>
            <w:tcW w:w="2311" w:type="pct"/>
            <w:noWrap w:val="0"/>
            <w:vAlign w:val="center"/>
          </w:tcPr>
          <w:p w14:paraId="7CBEA9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矿压数据采集程序</w:t>
            </w:r>
          </w:p>
        </w:tc>
      </w:tr>
      <w:tr w14:paraId="77D4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27EC17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w:t>
            </w:r>
          </w:p>
        </w:tc>
        <w:tc>
          <w:tcPr>
            <w:tcW w:w="2264" w:type="pct"/>
            <w:vMerge w:val="continue"/>
            <w:noWrap w:val="0"/>
            <w:vAlign w:val="center"/>
          </w:tcPr>
          <w:p w14:paraId="7F73C7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0"/>
            <w:vAlign w:val="center"/>
          </w:tcPr>
          <w:p w14:paraId="02C322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实时数据</w:t>
            </w:r>
          </w:p>
        </w:tc>
      </w:tr>
      <w:tr w14:paraId="0983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770FBA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w:t>
            </w:r>
          </w:p>
        </w:tc>
        <w:tc>
          <w:tcPr>
            <w:tcW w:w="2264" w:type="pct"/>
            <w:vMerge w:val="continue"/>
            <w:noWrap w:val="0"/>
            <w:vAlign w:val="center"/>
          </w:tcPr>
          <w:p w14:paraId="615AF6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0"/>
            <w:vAlign w:val="center"/>
          </w:tcPr>
          <w:p w14:paraId="23119D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报警处置</w:t>
            </w:r>
          </w:p>
        </w:tc>
      </w:tr>
      <w:tr w14:paraId="7E0D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74E898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w:t>
            </w:r>
          </w:p>
        </w:tc>
        <w:tc>
          <w:tcPr>
            <w:tcW w:w="2264" w:type="pct"/>
            <w:vMerge w:val="continue"/>
            <w:noWrap w:val="0"/>
            <w:vAlign w:val="center"/>
          </w:tcPr>
          <w:p w14:paraId="6A1095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0"/>
            <w:vAlign w:val="center"/>
          </w:tcPr>
          <w:p w14:paraId="181F05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报警查询</w:t>
            </w:r>
          </w:p>
        </w:tc>
      </w:tr>
      <w:tr w14:paraId="15CE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12E391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23</w:t>
            </w:r>
          </w:p>
        </w:tc>
        <w:tc>
          <w:tcPr>
            <w:tcW w:w="2264" w:type="pct"/>
            <w:vMerge w:val="continue"/>
            <w:noWrap w:val="0"/>
            <w:vAlign w:val="center"/>
          </w:tcPr>
          <w:p w14:paraId="426D87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0"/>
            <w:vAlign w:val="center"/>
          </w:tcPr>
          <w:p w14:paraId="54DB29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基础数据</w:t>
            </w:r>
          </w:p>
        </w:tc>
      </w:tr>
      <w:tr w14:paraId="36A3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0FC3B9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24</w:t>
            </w:r>
          </w:p>
        </w:tc>
        <w:tc>
          <w:tcPr>
            <w:tcW w:w="2264" w:type="pct"/>
            <w:vMerge w:val="continue"/>
            <w:noWrap w:val="0"/>
            <w:vAlign w:val="center"/>
          </w:tcPr>
          <w:p w14:paraId="4CDFA2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0"/>
            <w:vAlign w:val="center"/>
          </w:tcPr>
          <w:p w14:paraId="6FB2D3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短信管理发送规则设置</w:t>
            </w:r>
          </w:p>
        </w:tc>
      </w:tr>
      <w:tr w14:paraId="797C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65A568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w:t>
            </w:r>
          </w:p>
        </w:tc>
        <w:tc>
          <w:tcPr>
            <w:tcW w:w="2264" w:type="pct"/>
            <w:vMerge w:val="continue"/>
            <w:noWrap w:val="0"/>
            <w:vAlign w:val="center"/>
          </w:tcPr>
          <w:p w14:paraId="0EB48C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0"/>
            <w:vAlign w:val="center"/>
          </w:tcPr>
          <w:p w14:paraId="7B4FCF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联网统计</w:t>
            </w:r>
          </w:p>
        </w:tc>
      </w:tr>
      <w:tr w14:paraId="0351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0C65A2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w:t>
            </w:r>
          </w:p>
        </w:tc>
        <w:tc>
          <w:tcPr>
            <w:tcW w:w="2264" w:type="pct"/>
            <w:vMerge w:val="continue"/>
            <w:noWrap w:val="0"/>
            <w:vAlign w:val="center"/>
          </w:tcPr>
          <w:p w14:paraId="6BC93D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0"/>
            <w:vAlign w:val="center"/>
          </w:tcPr>
          <w:p w14:paraId="138673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断线统计</w:t>
            </w:r>
          </w:p>
        </w:tc>
      </w:tr>
      <w:tr w14:paraId="539B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70E4DE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p>
        </w:tc>
        <w:tc>
          <w:tcPr>
            <w:tcW w:w="2264" w:type="pct"/>
            <w:vMerge w:val="restart"/>
            <w:noWrap w:val="0"/>
            <w:vAlign w:val="center"/>
          </w:tcPr>
          <w:p w14:paraId="07A8E2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水害防治监测预警子系统</w:t>
            </w:r>
          </w:p>
        </w:tc>
        <w:tc>
          <w:tcPr>
            <w:tcW w:w="2311" w:type="pct"/>
            <w:noWrap w:val="0"/>
            <w:vAlign w:val="center"/>
          </w:tcPr>
          <w:p w14:paraId="6A1A3C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水害数据采集程序</w:t>
            </w:r>
          </w:p>
        </w:tc>
      </w:tr>
      <w:tr w14:paraId="2A3D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1B66AF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p>
        </w:tc>
        <w:tc>
          <w:tcPr>
            <w:tcW w:w="2264" w:type="pct"/>
            <w:vMerge w:val="continue"/>
            <w:noWrap w:val="0"/>
            <w:vAlign w:val="center"/>
          </w:tcPr>
          <w:p w14:paraId="38ECF5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0"/>
            <w:vAlign w:val="center"/>
          </w:tcPr>
          <w:p w14:paraId="729FC5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实时数据</w:t>
            </w:r>
          </w:p>
        </w:tc>
      </w:tr>
      <w:tr w14:paraId="4003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2E004B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w:t>
            </w:r>
          </w:p>
        </w:tc>
        <w:tc>
          <w:tcPr>
            <w:tcW w:w="2264" w:type="pct"/>
            <w:vMerge w:val="continue"/>
            <w:noWrap w:val="0"/>
            <w:vAlign w:val="center"/>
          </w:tcPr>
          <w:p w14:paraId="534704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0"/>
            <w:vAlign w:val="center"/>
          </w:tcPr>
          <w:p w14:paraId="512C6F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报警查询</w:t>
            </w:r>
          </w:p>
        </w:tc>
      </w:tr>
      <w:tr w14:paraId="20E8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323BF9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32</w:t>
            </w:r>
          </w:p>
        </w:tc>
        <w:tc>
          <w:tcPr>
            <w:tcW w:w="2264" w:type="pct"/>
            <w:vMerge w:val="continue"/>
            <w:noWrap w:val="0"/>
            <w:vAlign w:val="center"/>
          </w:tcPr>
          <w:p w14:paraId="004196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0"/>
            <w:vAlign w:val="center"/>
          </w:tcPr>
          <w:p w14:paraId="6EF3FF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基础信息查询</w:t>
            </w:r>
          </w:p>
        </w:tc>
      </w:tr>
      <w:tr w14:paraId="3B81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2C333B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w:t>
            </w:r>
          </w:p>
        </w:tc>
        <w:tc>
          <w:tcPr>
            <w:tcW w:w="2264" w:type="pct"/>
            <w:vMerge w:val="restart"/>
            <w:noWrap w:val="0"/>
            <w:vAlign w:val="center"/>
          </w:tcPr>
          <w:p w14:paraId="2B0B0C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宣教培训子系统</w:t>
            </w:r>
          </w:p>
        </w:tc>
        <w:tc>
          <w:tcPr>
            <w:tcW w:w="2311" w:type="pct"/>
            <w:noWrap/>
            <w:vAlign w:val="center"/>
          </w:tcPr>
          <w:p w14:paraId="3F918D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培训管理</w:t>
            </w:r>
          </w:p>
        </w:tc>
      </w:tr>
      <w:tr w14:paraId="7D07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480795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34</w:t>
            </w:r>
          </w:p>
        </w:tc>
        <w:tc>
          <w:tcPr>
            <w:tcW w:w="2264" w:type="pct"/>
            <w:vMerge w:val="continue"/>
            <w:noWrap w:val="0"/>
            <w:vAlign w:val="center"/>
          </w:tcPr>
          <w:p w14:paraId="193E92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ign w:val="center"/>
          </w:tcPr>
          <w:p w14:paraId="53DF81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题库管理</w:t>
            </w:r>
          </w:p>
        </w:tc>
      </w:tr>
      <w:tr w14:paraId="6447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07E6AE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35</w:t>
            </w:r>
          </w:p>
        </w:tc>
        <w:tc>
          <w:tcPr>
            <w:tcW w:w="2264" w:type="pct"/>
            <w:vMerge w:val="continue"/>
            <w:noWrap w:val="0"/>
            <w:vAlign w:val="center"/>
          </w:tcPr>
          <w:p w14:paraId="491493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ign w:val="center"/>
          </w:tcPr>
          <w:p w14:paraId="1161B2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练习管理</w:t>
            </w:r>
          </w:p>
        </w:tc>
      </w:tr>
      <w:tr w14:paraId="4439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1763FD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w:t>
            </w:r>
          </w:p>
        </w:tc>
        <w:tc>
          <w:tcPr>
            <w:tcW w:w="2264" w:type="pct"/>
            <w:vMerge w:val="continue"/>
            <w:noWrap w:val="0"/>
            <w:vAlign w:val="center"/>
          </w:tcPr>
          <w:p w14:paraId="1F227E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ign w:val="center"/>
          </w:tcPr>
          <w:p w14:paraId="29F5A6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考试管理</w:t>
            </w:r>
          </w:p>
        </w:tc>
      </w:tr>
      <w:tr w14:paraId="30F4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017BB7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w:t>
            </w:r>
          </w:p>
        </w:tc>
        <w:tc>
          <w:tcPr>
            <w:tcW w:w="2264" w:type="pct"/>
            <w:vMerge w:val="continue"/>
            <w:noWrap w:val="0"/>
            <w:vAlign w:val="center"/>
          </w:tcPr>
          <w:p w14:paraId="251576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ign w:val="center"/>
          </w:tcPr>
          <w:p w14:paraId="42AD8B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抽考管理</w:t>
            </w:r>
          </w:p>
        </w:tc>
      </w:tr>
      <w:tr w14:paraId="653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20F288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38</w:t>
            </w:r>
          </w:p>
        </w:tc>
        <w:tc>
          <w:tcPr>
            <w:tcW w:w="2264" w:type="pct"/>
            <w:vMerge w:val="continue"/>
            <w:noWrap w:val="0"/>
            <w:vAlign w:val="center"/>
          </w:tcPr>
          <w:p w14:paraId="5C6C9B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ign w:val="center"/>
          </w:tcPr>
          <w:p w14:paraId="67D74D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学习任务</w:t>
            </w:r>
          </w:p>
        </w:tc>
      </w:tr>
      <w:tr w14:paraId="5A5E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4" w:type="pct"/>
            <w:noWrap w:val="0"/>
            <w:vAlign w:val="center"/>
          </w:tcPr>
          <w:p w14:paraId="098251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39</w:t>
            </w:r>
          </w:p>
        </w:tc>
        <w:tc>
          <w:tcPr>
            <w:tcW w:w="2264" w:type="pct"/>
            <w:vMerge w:val="continue"/>
            <w:noWrap w:val="0"/>
            <w:vAlign w:val="center"/>
          </w:tcPr>
          <w:p w14:paraId="450669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p>
        </w:tc>
        <w:tc>
          <w:tcPr>
            <w:tcW w:w="2311" w:type="pct"/>
            <w:noWrap/>
            <w:vAlign w:val="center"/>
          </w:tcPr>
          <w:p w14:paraId="5C46FD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我的考试</w:t>
            </w:r>
          </w:p>
        </w:tc>
      </w:tr>
    </w:tbl>
    <w:p w14:paraId="10AA6AFB">
      <w:pPr>
        <w:spacing w:line="360" w:lineRule="auto"/>
        <w:ind w:left="0" w:leftChars="0" w:firstLine="420" w:firstLineChars="200"/>
        <w:rPr>
          <w:rFonts w:hint="eastAsia" w:ascii="宋体" w:hAnsi="宋体" w:eastAsia="宋体" w:cs="宋体"/>
          <w:lang w:val="en-US" w:eastAsia="zh-CN"/>
        </w:rPr>
      </w:pPr>
    </w:p>
    <w:p w14:paraId="66B4092A">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一、视频联网集中管理平台</w:t>
      </w:r>
    </w:p>
    <w:p w14:paraId="5AD55F10">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视频联网集中管理平台是以视频联网集中管理和流媒体分发为核心的视频管理平台，集成GB28181、海康SDK、大华SDK协议，支持国标级联。支持RTSP、RTMP、HLS、FLV、FMP、TS、RTC等视频流分发；客户端无插件视频播放。</w:t>
      </w:r>
    </w:p>
    <w:p w14:paraId="060B1DD3">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（一）数据总览</w:t>
      </w:r>
    </w:p>
    <w:p w14:paraId="0E0E0CFE">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查询联网统计、预警情况统计、视频实时状态等统计信息</w:t>
      </w:r>
    </w:p>
    <w:p w14:paraId="1740C60F">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（二）煤矿视频查询</w:t>
      </w:r>
    </w:p>
    <w:p w14:paraId="0E2A5F45">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网页端无插件实时视频预览和录像回放；</w:t>
      </w:r>
    </w:p>
    <w:p w14:paraId="30292D09">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1.视频预览：</w:t>
      </w:r>
    </w:p>
    <w:p w14:paraId="050F3615">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支持1、4、9分屏；</w:t>
      </w:r>
    </w:p>
    <w:p w14:paraId="0AC5FE91">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支持全屏预览，支持截图、视频录制；</w:t>
      </w:r>
    </w:p>
    <w:p w14:paraId="7F02F942">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支持按《国家矿山安监局贵州局 省能源局 省应急厅&lt;关于安装矿山人员定位系统、重要场所视频监控的通知&gt;》(矿安黔〔2023〕76号)文件视频类型自动分类，类型包括井口区域、采煤工作面、掘进工作面、打钻作业、重要设备、重要瓦斯传感器、巷道维修、工作面安撤、零星作业、其他区域；</w:t>
      </w:r>
    </w:p>
    <w:p w14:paraId="604CF65A">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支持摄像头按安装位置所属巷道、工作面进行自动分组展示。</w:t>
      </w:r>
    </w:p>
    <w:p w14:paraId="76FB1F05">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2.录像回放：</w:t>
      </w:r>
    </w:p>
    <w:p w14:paraId="55E0CB72">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视频历史录像查询、回放。</w:t>
      </w:r>
    </w:p>
    <w:p w14:paraId="3369792F">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支持倍速回放；</w:t>
      </w:r>
    </w:p>
    <w:p w14:paraId="1AACFBEC">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支持录像下载。</w:t>
      </w:r>
    </w:p>
    <w:p w14:paraId="0B28E2E4">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（三）视频分析大屏</w:t>
      </w:r>
    </w:p>
    <w:p w14:paraId="148A8B7C">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展示视频智能分析实时预警、数据统计等。</w:t>
      </w:r>
    </w:p>
    <w:p w14:paraId="15630BF3">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（四）视频变更清单</w:t>
      </w:r>
    </w:p>
    <w:p w14:paraId="0F9655AC">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查看煤矿的视频变更信息。</w:t>
      </w:r>
    </w:p>
    <w:p w14:paraId="2577BE86">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变更信息包括视频名称、变更类型、变更时间、变更内容、变更理由。</w:t>
      </w:r>
    </w:p>
    <w:p w14:paraId="7BFFC5DC">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支持按视频名称、状态、变量时间查询和导出变更清单；</w:t>
      </w:r>
    </w:p>
    <w:p w14:paraId="53888095">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按煤矿统计视频总数、近30天新增、近30天拆除和近30天修改数量。</w:t>
      </w:r>
    </w:p>
    <w:p w14:paraId="39A174AB">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（五）视频分类统计</w:t>
      </w:r>
    </w:p>
    <w:p w14:paraId="37D5D466">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统计区县、企业各类视频情况</w:t>
      </w:r>
    </w:p>
    <w:p w14:paraId="6EF74A50">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按井口区域、采煤工作面、掘进工作面、打钻作业点、重要设备、重要瓦斯传感器、巷道维修、运输系统、零星作业、其他区域、未分类进行统计。</w:t>
      </w:r>
    </w:p>
    <w:p w14:paraId="658EF47F">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（六）视频台账管理</w:t>
      </w:r>
    </w:p>
    <w:p w14:paraId="3EBBEC5E">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查看各煤矿的视频台账</w:t>
      </w:r>
    </w:p>
    <w:p w14:paraId="2ADC9611">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台账列表包括视频位詈类型、视频名称、用户名、版本号、厂商、变更时间等信息；</w:t>
      </w:r>
    </w:p>
    <w:p w14:paraId="595079A7">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支持按煤矿名称、变更时间查询台账。</w:t>
      </w:r>
    </w:p>
    <w:p w14:paraId="0BD5D07A">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（七）预警管理</w:t>
      </w:r>
    </w:p>
    <w:p w14:paraId="67BBE293">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预警查询：查看各煤矿的视频预警情况；含视频质量、智能分析预警查询。</w:t>
      </w:r>
    </w:p>
    <w:p w14:paraId="3ACF4DC0">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预警统计：统计各类预警数据，包括系统断线、视频点位断线、无法取流、未安装视频质量、智能分析预警等预警类型。</w:t>
      </w:r>
    </w:p>
    <w:p w14:paraId="36270FB9">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（八）电视墙</w:t>
      </w:r>
    </w:p>
    <w:p w14:paraId="35DACD70">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支持海康、大华等主流厂商解码器；</w:t>
      </w:r>
    </w:p>
    <w:p w14:paraId="55AF84D5">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支持多窗口同一列表轮巡，智能跳过取流失败视频；</w:t>
      </w:r>
    </w:p>
    <w:p w14:paraId="7171045A">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支持按视频分类配置轮巡列表；支持根据规则更新列表，规则支持关键字限定、指定煤矿、指定视频分类或监控区域。</w:t>
      </w:r>
    </w:p>
    <w:p w14:paraId="2FA5D343">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二、边坡监测预警子系统</w:t>
      </w:r>
    </w:p>
    <w:p w14:paraId="11BF1881">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实现边坡数据采集、实时数据监测、报警管理等功能。</w:t>
      </w:r>
    </w:p>
    <w:p w14:paraId="65521070">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（一）边坡数据采集程序</w:t>
      </w:r>
    </w:p>
    <w:p w14:paraId="4EC0FE3A">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基于《露天矿山边坡感知数据接入规范（试行）》的数据采集、发送、接收和解析等功能</w:t>
      </w:r>
    </w:p>
    <w:p w14:paraId="3EE86C96">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（二）边坡基础信息展示</w:t>
      </w:r>
    </w:p>
    <w:p w14:paraId="291066EE">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1、展示矿山基础信息包括矿山名称、运行状况、详细地址、矿区范围等</w:t>
      </w:r>
    </w:p>
    <w:p w14:paraId="701EB81E">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2、展示边坡基础信息包括露天矿山名称、边坡编号、边坡名称、边坡地址、设计边坡高度、设计边坡角、现状边坡高度、现状边坡角等。</w:t>
      </w:r>
    </w:p>
    <w:p w14:paraId="57BD2632">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3、展示雷达设备信息包括雷达编号、雷达ID、雷达名称、安装日期、生产厂家等。</w:t>
      </w:r>
    </w:p>
    <w:p w14:paraId="5886FF90">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4、展示GNSS设备信息包括设备编号、设备名称、安装日期、安装位置、生产厂家等。</w:t>
      </w:r>
    </w:p>
    <w:p w14:paraId="729B0B7D">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5、视频监控设备信息包括设备编号、设备名称、安装日期、安装位置、生产厂家等。</w:t>
      </w:r>
    </w:p>
    <w:p w14:paraId="00B8FD7E">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（三）边坡监测</w:t>
      </w:r>
    </w:p>
    <w:p w14:paraId="5633FC53">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1、展示煤矿边坡雷达监测数据、GNSS监测数据等实时数据；</w:t>
      </w:r>
    </w:p>
    <w:p w14:paraId="4AA7DEA4">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2、联网状态等。</w:t>
      </w:r>
    </w:p>
    <w:p w14:paraId="66BBED63">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（四）报警查询</w:t>
      </w:r>
    </w:p>
    <w:p w14:paraId="14EF8FDD">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1、查询联网煤矿边坡雷达报警、GNSS报警记录；</w:t>
      </w:r>
    </w:p>
    <w:p w14:paraId="42322E87">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2、支持查看报警信息、处置报警。</w:t>
      </w:r>
    </w:p>
    <w:p w14:paraId="19840632">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三、矿压监测预警子系统</w:t>
      </w:r>
    </w:p>
    <w:p w14:paraId="26336526">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实现矿压数据采集、实时数据监测、报警管理等功能。</w:t>
      </w:r>
    </w:p>
    <w:p w14:paraId="26711545">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（一）矿压数据采集程序</w:t>
      </w:r>
    </w:p>
    <w:p w14:paraId="2F1416FD">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基于MT/T 1201.5-2023《煤矿感知数据联网接入规范 第5部分：冲击地压》的数据采集、发送、接收和解析等功能。</w:t>
      </w:r>
    </w:p>
    <w:p w14:paraId="15119FC5">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（二）实时数据</w:t>
      </w:r>
    </w:p>
    <w:p w14:paraId="5294455A">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矿压监测模块，展示联网煤矿工作面支架阻力、钻孔应力、铀杆（索）应力、顶板离层、巷道表面位移测点实时数据。</w:t>
      </w:r>
    </w:p>
    <w:p w14:paraId="76340463">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（三）报警处置</w:t>
      </w:r>
    </w:p>
    <w:p w14:paraId="330D218C">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支持矿压监测语音报警功能。</w:t>
      </w:r>
    </w:p>
    <w:p w14:paraId="3FDEE454">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（四）报警查询</w:t>
      </w:r>
    </w:p>
    <w:p w14:paraId="5F0BEBFD">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矿压监测模块，查询联网煤矿工作面支架阻力、钻孔应力、铀杆（索）应力、顶板离层、巷道表面位移报警记录，支持查看、报警处置、通讯录，支持手动发送短信功能。</w:t>
      </w:r>
    </w:p>
    <w:p w14:paraId="33CBBC76">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（五）基础数据</w:t>
      </w:r>
    </w:p>
    <w:p w14:paraId="3C976D1D">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1、展示矿井基础信息，包括煤矿名称、煤层名称、煤层倾角、开采煤层深度、开采煤层厚度等。</w:t>
      </w:r>
    </w:p>
    <w:p w14:paraId="463913A7">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2、工作面支架阻力测点，包括煤矿名称、监测区名称、传感器位置、泄压值、初撑力、工作阻力等。</w:t>
      </w:r>
    </w:p>
    <w:p w14:paraId="2611A419">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3、钻孔应力测点，包括煤矿名称、传感器位置、应力计安装深度、安装日期、应力计方向等。</w:t>
      </w:r>
    </w:p>
    <w:p w14:paraId="45B7EEB1">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4、锚杆（索）应力测点，包括煤矿名称、监测区名称、传感器位置、安装日期、锚杆（索）破断值等。</w:t>
      </w:r>
    </w:p>
    <w:p w14:paraId="6641322F">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5、顶板离层测点，包括煤矿名称、监测区名称、传感器位置、安装日期、深基点初始安装深度、浅基点初始安装深度等。</w:t>
      </w:r>
    </w:p>
    <w:p w14:paraId="64B2194C">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6、巷道位移测点，包括煤矿名称、监测区名称、巷道名称、传感器位置、安装日期等。</w:t>
      </w:r>
    </w:p>
    <w:p w14:paraId="01E0A5D7">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（六）短信管理发送规则设置</w:t>
      </w:r>
    </w:p>
    <w:p w14:paraId="41DD61E0">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矿压监测报警发送短信规则设置。</w:t>
      </w:r>
    </w:p>
    <w:p w14:paraId="5657076E">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（七）联网统计</w:t>
      </w:r>
    </w:p>
    <w:p w14:paraId="50FC6F32">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矿压监测系统联网情况统计。</w:t>
      </w:r>
    </w:p>
    <w:p w14:paraId="48D63F00">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（八）断线统计</w:t>
      </w:r>
    </w:p>
    <w:p w14:paraId="7576BCFD">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矿压监测系统联网断线次数与时长统计。</w:t>
      </w:r>
    </w:p>
    <w:p w14:paraId="05C13A99">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四、水害防治监测预警子系统</w:t>
      </w:r>
    </w:p>
    <w:p w14:paraId="427E3A5A">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实现水害防治数据采集、实时数据监测、报警管理等功能。</w:t>
      </w:r>
    </w:p>
    <w:p w14:paraId="1447E57B">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（一）水害数据采集程序</w:t>
      </w:r>
    </w:p>
    <w:p w14:paraId="3C0BCDD5">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基于MT/T 1201.4—2023 《煤矿感知数据联网接入规范 第4部分：水害防治》的数据采集、发送、接收和解析等功能。</w:t>
      </w:r>
    </w:p>
    <w:p w14:paraId="754198DD">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（二）实时数据</w:t>
      </w:r>
    </w:p>
    <w:p w14:paraId="737585B5">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展示煤矿长观孔、排水量、涌水量、降水量的统计数据，明细数据，包含测点编码、安装位置、测点的基本信息、监测值等。</w:t>
      </w:r>
    </w:p>
    <w:p w14:paraId="305C219A">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支持曲线查看；</w:t>
      </w:r>
    </w:p>
    <w:p w14:paraId="06F44435">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支持多条件组合查询。</w:t>
      </w:r>
    </w:p>
    <w:p w14:paraId="18806259">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（三）报警查询</w:t>
      </w:r>
    </w:p>
    <w:p w14:paraId="6EBF98A8">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支持对接报警中心预警规则，展示煤矿长观孔、排水量、涌水量、降水量的预警数据。</w:t>
      </w:r>
    </w:p>
    <w:p w14:paraId="15E3979A">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支持多条件组合查询。</w:t>
      </w:r>
    </w:p>
    <w:p w14:paraId="5B5D425B">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（四）基础信息查询</w:t>
      </w:r>
    </w:p>
    <w:p w14:paraId="7782FD9D">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支持查看煤矿长观孔、排水量、涌水量、降水量测点的基础信息；</w:t>
      </w:r>
    </w:p>
    <w:p w14:paraId="47CEA1BC">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支持多条件组合查询。</w:t>
      </w:r>
    </w:p>
    <w:p w14:paraId="4EEEF844">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五、宣教培训子系统</w:t>
      </w:r>
    </w:p>
    <w:p w14:paraId="7C906ECC">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建设在线宣教培训业务系统，实现在线培训与考核能力。</w:t>
      </w:r>
    </w:p>
    <w:p w14:paraId="014AB984">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（一）培训管理</w:t>
      </w:r>
    </w:p>
    <w:p w14:paraId="43F9E2A2">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创建及管理培训计划，学习结果查看。</w:t>
      </w:r>
    </w:p>
    <w:p w14:paraId="22F951D3">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（二）题库管理</w:t>
      </w:r>
    </w:p>
    <w:p w14:paraId="6893DA56">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1、题库分类：管理题库分类</w:t>
      </w:r>
    </w:p>
    <w:p w14:paraId="3B02DD42">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2、试题库：创建和管理单选、多选、判断题目。</w:t>
      </w:r>
    </w:p>
    <w:p w14:paraId="3A8B21AD">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（三）练习管理</w:t>
      </w:r>
    </w:p>
    <w:p w14:paraId="7F6ABB97">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创建练习，学员可进行刷题。</w:t>
      </w:r>
    </w:p>
    <w:p w14:paraId="4CBF8F79">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（四）考试管理</w:t>
      </w:r>
    </w:p>
    <w:p w14:paraId="4A244D60">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创建和管理考试信息，考试结果查看。</w:t>
      </w:r>
    </w:p>
    <w:p w14:paraId="0D099CD6">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（五）抽考管理</w:t>
      </w:r>
    </w:p>
    <w:p w14:paraId="52662B97">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创建及管理抽考任务，一键下发至煤矿员工端，考试结果实时查看、试卷在线归档。</w:t>
      </w:r>
    </w:p>
    <w:p w14:paraId="49EA7718">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（六）学习任务</w:t>
      </w:r>
    </w:p>
    <w:p w14:paraId="34D7A3D1">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利用pc端进行培训学习。</w:t>
      </w:r>
    </w:p>
    <w:p w14:paraId="7B33C6AC">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（七）我的考试</w:t>
      </w:r>
    </w:p>
    <w:p w14:paraId="6DDB496E">
      <w:pPr>
        <w:spacing w:line="360" w:lineRule="auto"/>
        <w:ind w:left="0" w:leftChars="0" w:firstLine="420" w:firstLineChars="200"/>
        <w:rPr>
          <w:rFonts w:hint="eastAsia" w:ascii="宋体" w:hAnsi="宋体" w:eastAsia="宋体" w:cs="宋体"/>
          <w:lang w:val="en-US" w:eastAsia="zh-CN"/>
        </w:rPr>
        <w:sectPr>
          <w:headerReference r:id="rId6" w:type="default"/>
          <w:footerReference r:id="rId7" w:type="default"/>
          <w:pgSz w:w="11910" w:h="16840"/>
          <w:pgMar w:top="1440" w:right="1080" w:bottom="1440" w:left="1080" w:header="0" w:footer="850" w:gutter="0"/>
          <w:pgNumType w:fmt="decimal"/>
          <w:cols w:space="720" w:num="1"/>
          <w:docGrid w:linePitch="299" w:charSpace="0"/>
        </w:sectPr>
      </w:pPr>
      <w:r>
        <w:rPr>
          <w:rFonts w:hint="eastAsia" w:ascii="宋体" w:hAnsi="宋体" w:eastAsia="宋体" w:cs="宋体"/>
          <w:lang w:val="en-US" w:eastAsia="zh-CN"/>
        </w:rPr>
        <w:t>进行考试、补考、考试结果查看。</w:t>
      </w:r>
    </w:p>
    <w:p w14:paraId="74E1FCE9">
      <w:pPr>
        <w:spacing w:before="120" w:beforeLines="50" w:after="240" w:afterLines="100"/>
        <w:rPr>
          <w:rFonts w:hint="eastAsia" w:ascii="宋体" w:hAnsi="宋体" w:eastAsia="宋体" w:cs="宋体"/>
          <w:b/>
          <w:color w:val="000000"/>
          <w:sz w:val="21"/>
          <w:szCs w:val="21"/>
          <w:highlight w:val="none"/>
          <w:lang w:val="en-US"/>
        </w:rPr>
      </w:pPr>
      <w:r>
        <w:rPr>
          <w:rFonts w:hint="eastAsia" w:ascii="宋体" w:hAnsi="宋体" w:eastAsia="宋体" w:cs="宋体"/>
          <w:b/>
          <w:color w:val="000000"/>
          <w:sz w:val="21"/>
          <w:szCs w:val="21"/>
          <w:highlight w:val="none"/>
          <w:lang w:val="en-US"/>
        </w:rPr>
        <w:t>附件</w:t>
      </w:r>
      <w:r>
        <w:rPr>
          <w:rFonts w:hint="eastAsia" w:ascii="宋体" w:hAnsi="宋体" w:eastAsia="宋体" w:cs="宋体"/>
          <w:b/>
          <w:color w:val="000000"/>
          <w:sz w:val="21"/>
          <w:szCs w:val="21"/>
          <w:highlight w:val="none"/>
          <w:lang w:val="en-US" w:eastAsia="zh-CN"/>
        </w:rPr>
        <w:t>4</w:t>
      </w:r>
      <w:r>
        <w:rPr>
          <w:rFonts w:hint="eastAsia" w:ascii="宋体" w:hAnsi="宋体" w:eastAsia="宋体" w:cs="宋体"/>
          <w:b/>
          <w:color w:val="000000"/>
          <w:sz w:val="21"/>
          <w:szCs w:val="21"/>
          <w:highlight w:val="none"/>
          <w:lang w:val="en-US"/>
        </w:rPr>
        <w:t>：政策适用性说明（如有）</w:t>
      </w:r>
      <w:bookmarkEnd w:id="90"/>
    </w:p>
    <w:p w14:paraId="7B1EA83D">
      <w:pPr>
        <w:widowControl/>
        <w:jc w:val="center"/>
        <w:rPr>
          <w:rFonts w:hint="eastAsia" w:ascii="宋体" w:hAnsi="宋体" w:eastAsia="宋体" w:cs="宋体"/>
          <w:b/>
          <w:color w:val="000000"/>
          <w:sz w:val="36"/>
          <w:szCs w:val="36"/>
          <w:highlight w:val="none"/>
        </w:rPr>
      </w:pPr>
    </w:p>
    <w:p w14:paraId="6E5665A9">
      <w:pPr>
        <w:widowControl/>
        <w:jc w:val="center"/>
        <w:rPr>
          <w:rFonts w:hint="eastAsia" w:ascii="宋体" w:hAnsi="宋体" w:eastAsia="宋体" w:cs="宋体"/>
          <w:color w:val="000000"/>
          <w:highlight w:val="none"/>
        </w:rPr>
      </w:pPr>
      <w:r>
        <w:rPr>
          <w:rFonts w:hint="eastAsia" w:ascii="宋体" w:hAnsi="宋体" w:eastAsia="宋体" w:cs="宋体"/>
          <w:b/>
          <w:color w:val="000000"/>
          <w:sz w:val="36"/>
          <w:szCs w:val="36"/>
          <w:highlight w:val="none"/>
        </w:rPr>
        <w:t>中小企业声明函（服务）</w:t>
      </w:r>
    </w:p>
    <w:p w14:paraId="5A9F132D">
      <w:pPr>
        <w:widowControl/>
        <w:spacing w:line="360" w:lineRule="auto"/>
        <w:ind w:firstLine="480" w:firstLineChars="200"/>
        <w:rPr>
          <w:rFonts w:hint="eastAsia" w:ascii="宋体" w:hAnsi="宋体" w:eastAsia="宋体" w:cs="宋体"/>
          <w:color w:val="000000"/>
          <w:sz w:val="24"/>
          <w:szCs w:val="24"/>
          <w:highlight w:val="none"/>
        </w:rPr>
      </w:pPr>
    </w:p>
    <w:p w14:paraId="07748B05">
      <w:pPr>
        <w:widowControl/>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本公司郑重声明，根据《政府采购促进中小企业发展管理办法》（财库﹝2020﹞46 号）的规定，本公司参加 </w:t>
      </w:r>
      <w:r>
        <w:rPr>
          <w:rFonts w:hint="eastAsia" w:ascii="宋体" w:hAnsi="宋体" w:eastAsia="宋体" w:cs="宋体"/>
          <w:color w:val="000000"/>
          <w:sz w:val="24"/>
          <w:szCs w:val="24"/>
          <w:highlight w:val="none"/>
          <w:u w:val="single"/>
        </w:rPr>
        <w:t xml:space="preserve">           （单位名称）</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 xml:space="preserve">       （项目名称）</w:t>
      </w:r>
      <w:r>
        <w:rPr>
          <w:rFonts w:hint="eastAsia" w:ascii="宋体" w:hAnsi="宋体" w:eastAsia="宋体" w:cs="宋体"/>
          <w:color w:val="000000"/>
          <w:sz w:val="24"/>
          <w:szCs w:val="24"/>
          <w:highlight w:val="none"/>
        </w:rPr>
        <w:t>采购活动，服务全部由符合政策要求的中小企业承接。相关企业的具体情况如下：</w:t>
      </w:r>
    </w:p>
    <w:p w14:paraId="392E215A">
      <w:pPr>
        <w:widowControl/>
        <w:numPr>
          <w:ilvl w:val="0"/>
          <w:numId w:val="6"/>
        </w:numPr>
        <w:spacing w:line="360" w:lineRule="auto"/>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（标的名称） </w:t>
      </w:r>
      <w:r>
        <w:rPr>
          <w:rFonts w:hint="eastAsia" w:ascii="宋体" w:hAnsi="宋体" w:eastAsia="宋体" w:cs="宋体"/>
          <w:color w:val="000000"/>
          <w:sz w:val="24"/>
          <w:szCs w:val="24"/>
          <w:highlight w:val="none"/>
        </w:rPr>
        <w:t>，属于</w:t>
      </w:r>
      <w:r>
        <w:rPr>
          <w:rFonts w:hint="eastAsia" w:ascii="宋体" w:hAnsi="宋体" w:eastAsia="宋体" w:cs="宋体"/>
          <w:color w:val="000000"/>
          <w:sz w:val="24"/>
          <w:szCs w:val="24"/>
          <w:highlight w:val="none"/>
          <w:u w:val="single"/>
        </w:rPr>
        <w:t xml:space="preserve">     </w:t>
      </w:r>
      <w:r>
        <w:rPr>
          <w:rFonts w:hint="eastAsia"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（采购文件中明确的所属行业）</w:t>
      </w:r>
      <w:r>
        <w:rPr>
          <w:rFonts w:hint="eastAsia" w:ascii="宋体" w:hAnsi="宋体" w:eastAsia="宋体" w:cs="宋体"/>
          <w:color w:val="000000"/>
          <w:sz w:val="24"/>
          <w:szCs w:val="24"/>
          <w:highlight w:val="none"/>
        </w:rPr>
        <w:t>；承接企业为</w:t>
      </w:r>
      <w:r>
        <w:rPr>
          <w:rFonts w:hint="eastAsia" w:ascii="宋体" w:hAnsi="宋体" w:eastAsia="宋体" w:cs="宋体"/>
          <w:color w:val="000000"/>
          <w:sz w:val="24"/>
          <w:szCs w:val="24"/>
          <w:highlight w:val="none"/>
          <w:u w:val="single"/>
        </w:rPr>
        <w:t xml:space="preserve">      （企业名称）</w:t>
      </w:r>
      <w:r>
        <w:rPr>
          <w:rFonts w:hint="eastAsia" w:ascii="宋体" w:hAnsi="宋体" w:eastAsia="宋体" w:cs="宋体"/>
          <w:color w:val="000000"/>
          <w:sz w:val="24"/>
          <w:szCs w:val="24"/>
          <w:highlight w:val="none"/>
        </w:rPr>
        <w:t>，从业人员人，营业收入为</w:t>
      </w:r>
      <w:r>
        <w:rPr>
          <w:rFonts w:hint="eastAsia"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万元，资产总额为 </w:t>
      </w:r>
      <w:r>
        <w:rPr>
          <w:rFonts w:hint="eastAsia"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万元</w:t>
      </w:r>
      <w:r>
        <w:rPr>
          <w:rFonts w:hint="eastAsia" w:ascii="宋体" w:hAnsi="宋体" w:eastAsia="宋体" w:cs="宋体"/>
          <w:color w:val="000000"/>
          <w:sz w:val="24"/>
          <w:szCs w:val="24"/>
          <w:highlight w:val="none"/>
          <w:vertAlign w:val="superscript"/>
        </w:rPr>
        <w:t>1</w:t>
      </w:r>
      <w:r>
        <w:rPr>
          <w:rFonts w:hint="eastAsia" w:ascii="宋体" w:hAnsi="宋体" w:eastAsia="宋体" w:cs="宋体"/>
          <w:color w:val="000000"/>
          <w:sz w:val="24"/>
          <w:szCs w:val="24"/>
          <w:highlight w:val="none"/>
        </w:rPr>
        <w:t>，属于</w:t>
      </w:r>
      <w:r>
        <w:rPr>
          <w:rFonts w:hint="eastAsia" w:ascii="宋体" w:hAnsi="宋体" w:eastAsia="宋体" w:cs="宋体"/>
          <w:color w:val="000000"/>
          <w:sz w:val="24"/>
          <w:szCs w:val="24"/>
          <w:highlight w:val="none"/>
          <w:u w:val="single"/>
        </w:rPr>
        <w:t xml:space="preserve">     （中型企业、小型企业、微型企业）</w:t>
      </w:r>
      <w:r>
        <w:rPr>
          <w:rFonts w:hint="eastAsia" w:ascii="宋体" w:hAnsi="宋体" w:eastAsia="宋体" w:cs="宋体"/>
          <w:color w:val="000000"/>
          <w:sz w:val="24"/>
          <w:szCs w:val="24"/>
          <w:highlight w:val="none"/>
        </w:rPr>
        <w:t>；</w:t>
      </w:r>
    </w:p>
    <w:p w14:paraId="70CA118A">
      <w:pPr>
        <w:widowControl/>
        <w:numPr>
          <w:ilvl w:val="0"/>
          <w:numId w:val="6"/>
        </w:numPr>
        <w:spacing w:line="360" w:lineRule="auto"/>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（标的名称） </w:t>
      </w:r>
      <w:r>
        <w:rPr>
          <w:rFonts w:hint="eastAsia" w:ascii="宋体" w:hAnsi="宋体" w:eastAsia="宋体" w:cs="宋体"/>
          <w:color w:val="000000"/>
          <w:sz w:val="24"/>
          <w:szCs w:val="24"/>
          <w:highlight w:val="none"/>
        </w:rPr>
        <w:t>，属于</w:t>
      </w:r>
      <w:r>
        <w:rPr>
          <w:rFonts w:hint="eastAsia" w:ascii="宋体" w:hAnsi="宋体" w:eastAsia="宋体" w:cs="宋体"/>
          <w:color w:val="000000"/>
          <w:sz w:val="24"/>
          <w:szCs w:val="24"/>
          <w:highlight w:val="none"/>
          <w:u w:val="single"/>
        </w:rPr>
        <w:t xml:space="preserve">     </w:t>
      </w:r>
      <w:r>
        <w:rPr>
          <w:rFonts w:hint="eastAsia"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（采购文件中明确的所属行业）</w:t>
      </w:r>
      <w:r>
        <w:rPr>
          <w:rFonts w:hint="eastAsia" w:ascii="宋体" w:hAnsi="宋体" w:eastAsia="宋体" w:cs="宋体"/>
          <w:color w:val="000000"/>
          <w:sz w:val="24"/>
          <w:szCs w:val="24"/>
          <w:highlight w:val="none"/>
        </w:rPr>
        <w:t>；承接企业为</w:t>
      </w:r>
      <w:r>
        <w:rPr>
          <w:rFonts w:hint="eastAsia" w:ascii="宋体" w:hAnsi="宋体" w:eastAsia="宋体" w:cs="宋体"/>
          <w:color w:val="000000"/>
          <w:sz w:val="24"/>
          <w:szCs w:val="24"/>
          <w:highlight w:val="none"/>
          <w:u w:val="single"/>
        </w:rPr>
        <w:t xml:space="preserve">      （企业名称）</w:t>
      </w:r>
      <w:r>
        <w:rPr>
          <w:rFonts w:hint="eastAsia" w:ascii="宋体" w:hAnsi="宋体" w:eastAsia="宋体" w:cs="宋体"/>
          <w:color w:val="000000"/>
          <w:sz w:val="24"/>
          <w:szCs w:val="24"/>
          <w:highlight w:val="none"/>
        </w:rPr>
        <w:t>，从业人员人，营业收入为</w:t>
      </w:r>
      <w:r>
        <w:rPr>
          <w:rFonts w:hint="eastAsia"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万元，资产总额为 </w:t>
      </w:r>
      <w:r>
        <w:rPr>
          <w:rFonts w:hint="eastAsia"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万元</w:t>
      </w:r>
      <w:r>
        <w:rPr>
          <w:rFonts w:hint="eastAsia" w:ascii="宋体" w:hAnsi="宋体" w:eastAsia="宋体" w:cs="宋体"/>
          <w:color w:val="000000"/>
          <w:sz w:val="24"/>
          <w:szCs w:val="24"/>
          <w:highlight w:val="none"/>
          <w:vertAlign w:val="superscript"/>
        </w:rPr>
        <w:t>1</w:t>
      </w:r>
      <w:r>
        <w:rPr>
          <w:rFonts w:hint="eastAsia" w:ascii="宋体" w:hAnsi="宋体" w:eastAsia="宋体" w:cs="宋体"/>
          <w:color w:val="000000"/>
          <w:sz w:val="24"/>
          <w:szCs w:val="24"/>
          <w:highlight w:val="none"/>
        </w:rPr>
        <w:t>，属于</w:t>
      </w:r>
      <w:r>
        <w:rPr>
          <w:rFonts w:hint="eastAsia" w:ascii="宋体" w:hAnsi="宋体" w:eastAsia="宋体" w:cs="宋体"/>
          <w:color w:val="000000"/>
          <w:sz w:val="24"/>
          <w:szCs w:val="24"/>
          <w:highlight w:val="none"/>
          <w:u w:val="single"/>
        </w:rPr>
        <w:t xml:space="preserve">     （中型企业、小型企业、微型企业）</w:t>
      </w:r>
      <w:r>
        <w:rPr>
          <w:rFonts w:hint="eastAsia" w:ascii="宋体" w:hAnsi="宋体" w:eastAsia="宋体" w:cs="宋体"/>
          <w:color w:val="000000"/>
          <w:sz w:val="24"/>
          <w:szCs w:val="24"/>
          <w:highlight w:val="none"/>
        </w:rPr>
        <w:t xml:space="preserve">； </w:t>
      </w:r>
    </w:p>
    <w:p w14:paraId="0020236B">
      <w:pPr>
        <w:widowControl/>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p w14:paraId="06ACC545">
      <w:pPr>
        <w:widowControl/>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以上企业，不属于大企业的分支机构，不存在控股股东为大企业的情形，也不存在与大企业的负责人为同一人的情形。</w:t>
      </w:r>
    </w:p>
    <w:p w14:paraId="6C8B23D8">
      <w:pPr>
        <w:widowControl/>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本企业对上述声明内容的真实性负责。如有虚假，将依法承担相应责任。</w:t>
      </w:r>
    </w:p>
    <w:p w14:paraId="1E1F0C82">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color w:val="000000"/>
          <w:sz w:val="24"/>
          <w:szCs w:val="24"/>
          <w:highlight w:val="none"/>
        </w:rPr>
      </w:pPr>
    </w:p>
    <w:p w14:paraId="25192E10">
      <w:pPr>
        <w:pBdr>
          <w:top w:val="none" w:color="auto" w:sz="0" w:space="1"/>
          <w:left w:val="none" w:color="auto" w:sz="0" w:space="4"/>
          <w:bottom w:val="none" w:color="auto" w:sz="0" w:space="1"/>
          <w:right w:val="none" w:color="auto" w:sz="0" w:space="4"/>
        </w:pBdr>
        <w:spacing w:line="360" w:lineRule="auto"/>
        <w:ind w:firstLine="480" w:firstLineChars="200"/>
        <w:jc w:val="righ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企业名称(盖章)：</w:t>
      </w:r>
    </w:p>
    <w:p w14:paraId="4CC3F8A1">
      <w:pPr>
        <w:pBdr>
          <w:top w:val="none" w:color="auto" w:sz="0" w:space="1"/>
          <w:left w:val="none" w:color="auto" w:sz="0" w:space="4"/>
          <w:bottom w:val="none" w:color="auto" w:sz="0" w:space="1"/>
          <w:right w:val="none" w:color="auto" w:sz="0" w:space="4"/>
        </w:pBdr>
        <w:spacing w:line="360" w:lineRule="auto"/>
        <w:ind w:firstLine="480" w:firstLineChars="20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w:t>
      </w:r>
    </w:p>
    <w:p w14:paraId="1CBCC8AE">
      <w:pPr>
        <w:widowControl/>
        <w:rPr>
          <w:rFonts w:hint="eastAsia" w:ascii="宋体" w:hAnsi="宋体" w:eastAsia="宋体" w:cs="宋体"/>
          <w:b/>
          <w:color w:val="000000"/>
          <w:sz w:val="24"/>
          <w:highlight w:val="none"/>
        </w:rPr>
      </w:pPr>
    </w:p>
    <w:p w14:paraId="2B77C199">
      <w:pPr>
        <w:widowControl/>
        <w:rPr>
          <w:rFonts w:hint="eastAsia" w:ascii="宋体" w:hAnsi="宋体" w:eastAsia="宋体" w:cs="宋体"/>
          <w:b/>
          <w:color w:val="000000"/>
          <w:sz w:val="24"/>
          <w:highlight w:val="none"/>
        </w:rPr>
      </w:pPr>
    </w:p>
    <w:p w14:paraId="736B9A7D">
      <w:pPr>
        <w:pStyle w:val="27"/>
        <w:rPr>
          <w:rFonts w:hint="eastAsia" w:ascii="宋体" w:hAnsi="宋体" w:eastAsia="宋体" w:cs="宋体"/>
          <w:b w:val="0"/>
          <w:color w:val="000000"/>
          <w:sz w:val="24"/>
          <w:highlight w:val="none"/>
        </w:rPr>
      </w:pPr>
    </w:p>
    <w:p w14:paraId="29529B32">
      <w:pPr>
        <w:rPr>
          <w:rFonts w:hint="eastAsia" w:ascii="宋体" w:hAnsi="宋体" w:eastAsia="宋体" w:cs="宋体"/>
          <w:b/>
          <w:color w:val="000000"/>
          <w:sz w:val="24"/>
          <w:highlight w:val="none"/>
        </w:rPr>
      </w:pPr>
    </w:p>
    <w:p w14:paraId="4AC943C9">
      <w:pPr>
        <w:widowControl/>
        <w:rPr>
          <w:rFonts w:hint="eastAsia" w:ascii="宋体" w:hAnsi="宋体" w:eastAsia="宋体" w:cs="宋体"/>
          <w:b/>
          <w:color w:val="000000"/>
          <w:sz w:val="24"/>
          <w:highlight w:val="none"/>
        </w:rPr>
      </w:pPr>
    </w:p>
    <w:p w14:paraId="179BDE45">
      <w:pPr>
        <w:widowControl/>
        <w:rPr>
          <w:rFonts w:hint="eastAsia" w:ascii="宋体" w:hAnsi="宋体" w:eastAsia="宋体" w:cs="宋体"/>
          <w:b/>
          <w:color w:val="000000"/>
          <w:sz w:val="24"/>
          <w:szCs w:val="24"/>
          <w:highlight w:val="none"/>
        </w:rPr>
      </w:pPr>
      <w:r>
        <w:rPr>
          <w:rFonts w:hint="eastAsia" w:ascii="宋体" w:hAnsi="宋体" w:eastAsia="宋体" w:cs="宋体"/>
          <w:b/>
          <w:color w:val="000000"/>
          <w:sz w:val="24"/>
          <w:highlight w:val="none"/>
        </w:rPr>
        <w:t>注：1、符合政策的单位，声明函</w:t>
      </w:r>
      <w:r>
        <w:rPr>
          <w:rFonts w:hint="eastAsia" w:ascii="宋体" w:hAnsi="宋体" w:eastAsia="宋体" w:cs="宋体"/>
          <w:b/>
          <w:color w:val="000000"/>
          <w:sz w:val="24"/>
          <w:szCs w:val="24"/>
          <w:highlight w:val="none"/>
        </w:rPr>
        <w:t>须加盖公章，不符合要求的无需提供；</w:t>
      </w:r>
    </w:p>
    <w:p w14:paraId="57EB789D">
      <w:pPr>
        <w:widowControl/>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vertAlign w:val="superscript"/>
        </w:rPr>
        <w:t>1</w:t>
      </w:r>
      <w:r>
        <w:rPr>
          <w:rFonts w:hint="eastAsia" w:ascii="宋体" w:hAnsi="宋体" w:eastAsia="宋体" w:cs="宋体"/>
          <w:b/>
          <w:color w:val="000000"/>
          <w:sz w:val="24"/>
          <w:szCs w:val="24"/>
          <w:highlight w:val="none"/>
        </w:rPr>
        <w:t>从业人员、营业收入、资产总额填报上一年度数据，无上一年度数据的新成立企业可不填报。</w:t>
      </w:r>
    </w:p>
    <w:p w14:paraId="09C12328">
      <w:pPr>
        <w:widowControl/>
        <w:ind w:firstLine="482" w:firstLineChars="200"/>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3、供应商提供声明内容不实的，属于弄虚作假骗取成交，依照《中华人民共和国招标投标法》等国家有关规定追究相应责任</w:t>
      </w:r>
      <w:r>
        <w:rPr>
          <w:rFonts w:hint="eastAsia" w:ascii="宋体" w:hAnsi="宋体" w:eastAsia="宋体" w:cs="宋体"/>
          <w:color w:val="000000"/>
          <w:sz w:val="24"/>
          <w:szCs w:val="24"/>
          <w:highlight w:val="none"/>
        </w:rPr>
        <w:t>。</w:t>
      </w:r>
    </w:p>
    <w:p w14:paraId="372C3D70">
      <w:pPr>
        <w:spacing w:before="120" w:beforeLines="50" w:after="240" w:afterLines="100"/>
        <w:rPr>
          <w:rFonts w:hint="eastAsia" w:ascii="宋体" w:hAnsi="宋体" w:eastAsia="宋体" w:cs="宋体"/>
          <w:b/>
          <w:color w:val="000000"/>
          <w:sz w:val="21"/>
          <w:szCs w:val="21"/>
          <w:highlight w:val="none"/>
        </w:rPr>
        <w:sectPr>
          <w:pgSz w:w="11910" w:h="16840"/>
          <w:pgMar w:top="1440" w:right="1080" w:bottom="1440" w:left="1080" w:header="0" w:footer="850" w:gutter="0"/>
          <w:pgNumType w:fmt="decimal"/>
          <w:cols w:space="720" w:num="1"/>
          <w:docGrid w:linePitch="299" w:charSpace="0"/>
        </w:sectPr>
      </w:pPr>
    </w:p>
    <w:p w14:paraId="678C7668">
      <w:pPr>
        <w:spacing w:before="120" w:beforeLines="50" w:after="240" w:afterLines="100"/>
        <w:rPr>
          <w:rFonts w:hint="eastAsia" w:ascii="宋体" w:hAnsi="宋体" w:eastAsia="宋体" w:cs="宋体"/>
          <w:b/>
          <w:color w:val="000000"/>
          <w:sz w:val="28"/>
          <w:szCs w:val="28"/>
          <w:highlight w:val="none"/>
        </w:rPr>
      </w:pPr>
      <w:r>
        <w:rPr>
          <w:rFonts w:hint="eastAsia" w:ascii="宋体" w:hAnsi="宋体" w:eastAsia="宋体" w:cs="宋体"/>
          <w:b/>
          <w:color w:val="000000"/>
          <w:sz w:val="21"/>
          <w:szCs w:val="21"/>
          <w:highlight w:val="none"/>
        </w:rPr>
        <w:t>附件</w:t>
      </w:r>
      <w:r>
        <w:rPr>
          <w:rFonts w:hint="eastAsia" w:eastAsia="宋体" w:cs="宋体"/>
          <w:b/>
          <w:color w:val="000000"/>
          <w:sz w:val="21"/>
          <w:szCs w:val="21"/>
          <w:highlight w:val="none"/>
          <w:lang w:val="en-US" w:eastAsia="zh-CN"/>
        </w:rPr>
        <w:t>5</w:t>
      </w:r>
      <w:r>
        <w:rPr>
          <w:rFonts w:hint="eastAsia" w:ascii="宋体" w:hAnsi="宋体" w:eastAsia="宋体" w:cs="宋体"/>
          <w:b/>
          <w:color w:val="000000"/>
          <w:sz w:val="21"/>
          <w:szCs w:val="21"/>
          <w:highlight w:val="none"/>
        </w:rPr>
        <w:t xml:space="preserve">： </w:t>
      </w:r>
      <w:r>
        <w:rPr>
          <w:rFonts w:hint="eastAsia" w:ascii="宋体" w:hAnsi="宋体" w:eastAsia="宋体" w:cs="宋体"/>
          <w:b/>
          <w:bCs/>
          <w:color w:val="000000"/>
          <w:sz w:val="24"/>
          <w:szCs w:val="24"/>
          <w:highlight w:val="none"/>
        </w:rPr>
        <w:t>指定格式</w:t>
      </w:r>
    </w:p>
    <w:p w14:paraId="0F2F7D0B">
      <w:pPr>
        <w:jc w:val="center"/>
        <w:outlineLvl w:val="0"/>
        <w:rPr>
          <w:rFonts w:hint="eastAsia" w:ascii="宋体" w:hAnsi="宋体" w:eastAsia="宋体" w:cs="宋体"/>
          <w:b/>
          <w:color w:val="000000"/>
          <w:sz w:val="28"/>
          <w:szCs w:val="28"/>
          <w:highlight w:val="none"/>
        </w:rPr>
      </w:pPr>
      <w:bookmarkStart w:id="91" w:name="_Toc8379"/>
      <w:r>
        <w:rPr>
          <w:rFonts w:hint="eastAsia" w:ascii="宋体" w:hAnsi="宋体" w:eastAsia="宋体" w:cs="宋体"/>
          <w:b/>
          <w:color w:val="000000"/>
          <w:sz w:val="28"/>
          <w:szCs w:val="28"/>
          <w:highlight w:val="none"/>
        </w:rPr>
        <w:t>残疾人福利性单位声明函</w:t>
      </w:r>
      <w:bookmarkEnd w:id="91"/>
    </w:p>
    <w:p w14:paraId="416A0D12">
      <w:pPr>
        <w:spacing w:line="588" w:lineRule="exact"/>
        <w:ind w:firstLine="504" w:firstLineChars="20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000000"/>
          <w:sz w:val="24"/>
          <w:szCs w:val="24"/>
          <w:highlight w:val="none"/>
        </w:rPr>
        <w:t>〔2017〕141</w:t>
      </w:r>
      <w:r>
        <w:rPr>
          <w:rFonts w:hint="eastAsia" w:ascii="宋体" w:hAnsi="宋体" w:eastAsia="宋体" w:cs="宋体"/>
          <w:color w:val="000000"/>
          <w:spacing w:val="6"/>
          <w:sz w:val="24"/>
          <w:szCs w:val="24"/>
          <w:highlight w:val="none"/>
        </w:rPr>
        <w:t>号)的规定，本单位为符合条件的残疾人福利性单位，且本单位参加（采购人名称）的（项目名称）采购活动提供本单位制造的货物(由本单位承担工程/提供服务)，或者提供其他残疾人福利性单位制造的货物(不包括使用非残疾人福利性单位注册商标的货物)。</w:t>
      </w:r>
    </w:p>
    <w:p w14:paraId="0C4E1927">
      <w:pPr>
        <w:spacing w:line="588" w:lineRule="exact"/>
        <w:ind w:firstLine="504" w:firstLineChars="20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本单位对上述声明的真实性负责。如有虚假，将依法承担相应责任。</w:t>
      </w:r>
    </w:p>
    <w:p w14:paraId="0AC9A498">
      <w:pPr>
        <w:spacing w:line="588" w:lineRule="exact"/>
        <w:ind w:firstLine="504" w:firstLineChars="200"/>
        <w:rPr>
          <w:rFonts w:hint="eastAsia" w:ascii="宋体" w:hAnsi="宋体" w:eastAsia="宋体" w:cs="宋体"/>
          <w:color w:val="000000"/>
          <w:spacing w:val="6"/>
          <w:sz w:val="24"/>
          <w:szCs w:val="24"/>
          <w:highlight w:val="none"/>
        </w:rPr>
      </w:pPr>
    </w:p>
    <w:p w14:paraId="24D4DAA0">
      <w:pPr>
        <w:pBdr>
          <w:top w:val="none" w:color="auto" w:sz="0" w:space="1"/>
          <w:left w:val="none" w:color="auto" w:sz="0" w:space="4"/>
          <w:bottom w:val="none" w:color="auto" w:sz="0" w:space="1"/>
          <w:right w:val="none" w:color="auto" w:sz="0" w:space="4"/>
        </w:pBdr>
        <w:rPr>
          <w:rFonts w:hint="eastAsia" w:ascii="宋体" w:hAnsi="宋体" w:eastAsia="宋体" w:cs="宋体"/>
          <w:color w:val="000000"/>
          <w:spacing w:val="6"/>
          <w:sz w:val="24"/>
          <w:szCs w:val="24"/>
          <w:highlight w:val="none"/>
        </w:rPr>
      </w:pPr>
    </w:p>
    <w:p w14:paraId="6B491283">
      <w:pPr>
        <w:pBdr>
          <w:top w:val="none" w:color="auto" w:sz="0" w:space="1"/>
          <w:left w:val="none" w:color="auto" w:sz="0" w:space="4"/>
          <w:bottom w:val="none" w:color="auto" w:sz="0" w:space="1"/>
          <w:right w:val="none" w:color="auto" w:sz="0" w:space="4"/>
        </w:pBdr>
        <w:ind w:firstLine="2016" w:firstLineChars="800"/>
        <w:jc w:val="right"/>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单位名称(盖章)：</w:t>
      </w:r>
    </w:p>
    <w:p w14:paraId="475AEAD0">
      <w:pPr>
        <w:pBdr>
          <w:top w:val="none" w:color="auto" w:sz="0" w:space="1"/>
          <w:left w:val="none" w:color="auto" w:sz="0" w:space="4"/>
          <w:bottom w:val="none" w:color="auto" w:sz="0" w:space="1"/>
          <w:right w:val="none" w:color="auto" w:sz="0" w:space="4"/>
        </w:pBdr>
        <w:ind w:firstLine="3024" w:firstLineChars="1200"/>
        <w:jc w:val="right"/>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日  期：</w:t>
      </w:r>
    </w:p>
    <w:p w14:paraId="53DC6442">
      <w:pPr>
        <w:spacing w:before="120" w:beforeLines="50" w:line="360" w:lineRule="auto"/>
        <w:ind w:firstLine="360" w:firstLineChars="150"/>
        <w:jc w:val="right"/>
        <w:rPr>
          <w:rFonts w:hint="eastAsia" w:ascii="宋体" w:hAnsi="宋体" w:eastAsia="宋体" w:cs="宋体"/>
          <w:color w:val="000000"/>
          <w:sz w:val="24"/>
          <w:szCs w:val="24"/>
          <w:highlight w:val="none"/>
        </w:rPr>
      </w:pPr>
    </w:p>
    <w:p w14:paraId="507440BD">
      <w:pPr>
        <w:rPr>
          <w:rFonts w:hint="eastAsia" w:ascii="宋体" w:hAnsi="宋体" w:eastAsia="宋体" w:cs="宋体"/>
          <w:color w:val="000000"/>
          <w:highlight w:val="none"/>
        </w:rPr>
      </w:pPr>
    </w:p>
    <w:p w14:paraId="1C2248D5">
      <w:pPr>
        <w:rPr>
          <w:rFonts w:hint="eastAsia" w:ascii="宋体" w:hAnsi="宋体" w:eastAsia="宋体" w:cs="宋体"/>
          <w:color w:val="000000"/>
          <w:sz w:val="24"/>
          <w:highlight w:val="none"/>
        </w:rPr>
      </w:pPr>
    </w:p>
    <w:p w14:paraId="61EA93E1">
      <w:pPr>
        <w:rPr>
          <w:rFonts w:hint="eastAsia" w:ascii="宋体" w:hAnsi="宋体" w:eastAsia="宋体" w:cs="宋体"/>
          <w:color w:val="000000"/>
          <w:sz w:val="24"/>
          <w:highlight w:val="none"/>
        </w:rPr>
      </w:pPr>
    </w:p>
    <w:p w14:paraId="7130888E">
      <w:pPr>
        <w:pStyle w:val="27"/>
        <w:rPr>
          <w:rFonts w:hint="eastAsia" w:ascii="宋体" w:hAnsi="宋体" w:eastAsia="宋体" w:cs="宋体"/>
          <w:color w:val="000000"/>
          <w:sz w:val="24"/>
          <w:highlight w:val="none"/>
        </w:rPr>
      </w:pPr>
    </w:p>
    <w:p w14:paraId="0D996A2B">
      <w:pPr>
        <w:rPr>
          <w:rFonts w:hint="eastAsia" w:ascii="宋体" w:hAnsi="宋体" w:eastAsia="宋体" w:cs="宋体"/>
          <w:color w:val="000000"/>
          <w:sz w:val="24"/>
          <w:highlight w:val="none"/>
        </w:rPr>
      </w:pPr>
    </w:p>
    <w:p w14:paraId="01855268">
      <w:pPr>
        <w:pStyle w:val="27"/>
        <w:rPr>
          <w:rFonts w:hint="eastAsia"/>
        </w:rPr>
      </w:pPr>
    </w:p>
    <w:p w14:paraId="316B775F">
      <w:pPr>
        <w:rPr>
          <w:rFonts w:hint="eastAsia" w:ascii="宋体" w:hAnsi="宋体" w:eastAsia="宋体" w:cs="宋体"/>
          <w:color w:val="000000"/>
          <w:highlight w:val="none"/>
        </w:rPr>
      </w:pPr>
    </w:p>
    <w:p w14:paraId="160E378A">
      <w:pPr>
        <w:rPr>
          <w:rFonts w:hint="eastAsia" w:ascii="宋体" w:hAnsi="宋体" w:eastAsia="宋体" w:cs="宋体"/>
          <w:color w:val="000000"/>
          <w:sz w:val="24"/>
          <w:highlight w:val="none"/>
        </w:rPr>
      </w:pPr>
    </w:p>
    <w:p w14:paraId="1745A972">
      <w:pPr>
        <w:spacing w:line="588" w:lineRule="exact"/>
        <w:ind w:firstLine="506" w:firstLineChars="200"/>
        <w:rPr>
          <w:rFonts w:hint="eastAsia" w:ascii="宋体" w:hAnsi="宋体" w:eastAsia="宋体" w:cs="宋体"/>
          <w:b/>
          <w:color w:val="000000"/>
          <w:spacing w:val="6"/>
          <w:sz w:val="24"/>
          <w:szCs w:val="24"/>
          <w:highlight w:val="none"/>
        </w:rPr>
      </w:pPr>
      <w:r>
        <w:rPr>
          <w:rFonts w:hint="eastAsia" w:ascii="宋体" w:hAnsi="宋体" w:eastAsia="宋体" w:cs="宋体"/>
          <w:b/>
          <w:color w:val="000000"/>
          <w:spacing w:val="6"/>
          <w:sz w:val="24"/>
          <w:szCs w:val="24"/>
          <w:highlight w:val="none"/>
        </w:rPr>
        <w:t>注：符合政策的单位，声明函须加盖公章，不符合要求的无需提供</w:t>
      </w:r>
    </w:p>
    <w:p w14:paraId="792BDC14">
      <w:pPr>
        <w:rPr>
          <w:rFonts w:hint="eastAsia" w:ascii="宋体" w:hAnsi="宋体" w:eastAsia="宋体" w:cs="宋体"/>
          <w:color w:val="000000"/>
          <w:highlight w:val="none"/>
        </w:rPr>
      </w:pPr>
    </w:p>
    <w:p w14:paraId="6C2774DB">
      <w:pPr>
        <w:rPr>
          <w:rFonts w:hint="eastAsia" w:ascii="宋体" w:hAnsi="宋体" w:eastAsia="宋体" w:cs="宋体"/>
          <w:color w:val="000000"/>
          <w:highlight w:val="none"/>
        </w:rPr>
      </w:pPr>
    </w:p>
    <w:p w14:paraId="69537A39">
      <w:pPr>
        <w:pStyle w:val="28"/>
        <w:keepNext/>
        <w:keepLines/>
        <w:widowControl w:val="0"/>
        <w:shd w:val="clear" w:color="auto" w:fill="auto"/>
        <w:bidi w:val="0"/>
        <w:spacing w:before="0" w:after="560" w:line="240" w:lineRule="auto"/>
        <w:ind w:right="0"/>
        <w:jc w:val="both"/>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br w:type="page"/>
      </w:r>
      <w:r>
        <w:rPr>
          <w:rFonts w:hint="eastAsia" w:ascii="宋体" w:hAnsi="宋体" w:eastAsia="宋体" w:cs="宋体"/>
          <w:b/>
          <w:color w:val="000000"/>
          <w:sz w:val="21"/>
          <w:szCs w:val="21"/>
          <w:highlight w:val="none"/>
          <w:lang w:val="en-US" w:eastAsia="zh-CN"/>
        </w:rPr>
        <w:t>附件</w:t>
      </w:r>
      <w:r>
        <w:rPr>
          <w:rFonts w:hint="eastAsia" w:cs="宋体"/>
          <w:b/>
          <w:color w:val="000000"/>
          <w:sz w:val="21"/>
          <w:szCs w:val="21"/>
          <w:highlight w:val="none"/>
          <w:lang w:val="en-US" w:eastAsia="zh-CN"/>
        </w:rPr>
        <w:t>6</w:t>
      </w:r>
      <w:r>
        <w:rPr>
          <w:rFonts w:hint="eastAsia" w:ascii="宋体" w:hAnsi="宋体" w:eastAsia="宋体" w:cs="宋体"/>
          <w:b/>
          <w:color w:val="000000"/>
          <w:sz w:val="21"/>
          <w:szCs w:val="21"/>
          <w:highlight w:val="none"/>
          <w:lang w:val="en-US" w:eastAsia="zh-CN"/>
        </w:rPr>
        <w:t>：</w:t>
      </w:r>
      <w:r>
        <w:rPr>
          <w:rFonts w:hint="eastAsia" w:cs="宋体"/>
          <w:b/>
          <w:color w:val="000000"/>
          <w:sz w:val="21"/>
          <w:szCs w:val="21"/>
          <w:highlight w:val="none"/>
          <w:lang w:eastAsia="zh-CN"/>
        </w:rPr>
        <w:t>商务偏离表</w:t>
      </w:r>
      <w:r>
        <w:rPr>
          <w:rFonts w:hint="eastAsia" w:ascii="宋体" w:hAnsi="宋体" w:eastAsia="宋体" w:cs="宋体"/>
          <w:b/>
          <w:color w:val="000000"/>
          <w:sz w:val="21"/>
          <w:szCs w:val="21"/>
          <w:highlight w:val="none"/>
        </w:rPr>
        <w:t>（指定格式）</w:t>
      </w:r>
      <w:bookmarkStart w:id="92" w:name="bookmark357"/>
      <w:bookmarkStart w:id="93" w:name="bookmark356"/>
      <w:bookmarkStart w:id="94" w:name="bookmark355"/>
    </w:p>
    <w:bookmarkEnd w:id="92"/>
    <w:bookmarkEnd w:id="93"/>
    <w:bookmarkEnd w:id="94"/>
    <w:p w14:paraId="485363AA">
      <w:pPr>
        <w:pStyle w:val="28"/>
        <w:keepNext/>
        <w:keepLines/>
        <w:widowControl w:val="0"/>
        <w:shd w:val="clear" w:color="auto" w:fill="auto"/>
        <w:bidi w:val="0"/>
        <w:spacing w:before="0" w:after="560" w:line="240" w:lineRule="auto"/>
        <w:ind w:right="0"/>
        <w:jc w:val="center"/>
        <w:rPr>
          <w:rFonts w:hint="eastAsia" w:ascii="宋体" w:hAnsi="宋体" w:eastAsia="宋体" w:cs="宋体"/>
          <w:b/>
          <w:bCs/>
          <w:i w:val="0"/>
          <w:iCs w:val="0"/>
          <w:smallCaps w:val="0"/>
          <w:strike w:val="0"/>
          <w:color w:val="auto"/>
          <w:spacing w:val="0"/>
          <w:w w:val="100"/>
          <w:position w:val="0"/>
          <w:sz w:val="28"/>
          <w:szCs w:val="28"/>
          <w:lang w:eastAsia="zh-CN"/>
        </w:rPr>
      </w:pPr>
      <w:r>
        <w:rPr>
          <w:rFonts w:hint="eastAsia" w:cs="宋体"/>
          <w:b/>
          <w:bCs/>
          <w:i w:val="0"/>
          <w:iCs w:val="0"/>
          <w:smallCaps w:val="0"/>
          <w:strike w:val="0"/>
          <w:color w:val="auto"/>
          <w:spacing w:val="0"/>
          <w:w w:val="100"/>
          <w:position w:val="0"/>
          <w:sz w:val="28"/>
          <w:szCs w:val="28"/>
          <w:lang w:eastAsia="zh-CN"/>
        </w:rPr>
        <w:t>商务偏离表</w:t>
      </w:r>
    </w:p>
    <w:tbl>
      <w:tblPr>
        <w:tblStyle w:val="13"/>
        <w:tblW w:w="0" w:type="auto"/>
        <w:jc w:val="center"/>
        <w:tblLayout w:type="fixed"/>
        <w:tblCellMar>
          <w:top w:w="0" w:type="dxa"/>
          <w:left w:w="10" w:type="dxa"/>
          <w:bottom w:w="0" w:type="dxa"/>
          <w:right w:w="10" w:type="dxa"/>
        </w:tblCellMar>
      </w:tblPr>
      <w:tblGrid>
        <w:gridCol w:w="960"/>
        <w:gridCol w:w="2700"/>
        <w:gridCol w:w="2550"/>
        <w:gridCol w:w="1876"/>
        <w:gridCol w:w="974"/>
      </w:tblGrid>
      <w:tr w14:paraId="1793E836">
        <w:tblPrEx>
          <w:tblCellMar>
            <w:top w:w="0" w:type="dxa"/>
            <w:left w:w="10" w:type="dxa"/>
            <w:bottom w:w="0" w:type="dxa"/>
            <w:right w:w="10" w:type="dxa"/>
          </w:tblCellMar>
        </w:tblPrEx>
        <w:trPr>
          <w:trHeight w:val="1339" w:hRule="exact"/>
          <w:jc w:val="center"/>
        </w:trPr>
        <w:tc>
          <w:tcPr>
            <w:tcW w:w="960" w:type="dxa"/>
            <w:tcBorders>
              <w:top w:val="single" w:color="auto" w:sz="4" w:space="0"/>
              <w:left w:val="single" w:color="auto" w:sz="4" w:space="0"/>
            </w:tcBorders>
            <w:shd w:val="clear" w:color="auto" w:fill="FFFFFF"/>
            <w:noWrap w:val="0"/>
            <w:vAlign w:val="center"/>
          </w:tcPr>
          <w:p w14:paraId="3E8EEFA6">
            <w:pPr>
              <w:pStyle w:val="29"/>
              <w:keepNext w:val="0"/>
              <w:keepLines w:val="0"/>
              <w:widowControl w:val="0"/>
              <w:shd w:val="clear" w:color="auto" w:fill="auto"/>
              <w:bidi w:val="0"/>
              <w:spacing w:before="0" w:after="0" w:line="240" w:lineRule="auto"/>
              <w:ind w:left="0" w:right="0" w:firstLine="0"/>
              <w:jc w:val="center"/>
              <w:rPr>
                <w:rFonts w:ascii="宋体" w:hAnsi="宋体" w:eastAsia="宋体" w:cs="宋体"/>
                <w:b/>
                <w:bCs/>
                <w:color w:val="auto"/>
                <w:spacing w:val="0"/>
                <w:w w:val="100"/>
                <w:position w:val="0"/>
                <w:sz w:val="24"/>
                <w:szCs w:val="24"/>
              </w:rPr>
            </w:pPr>
            <w:r>
              <w:rPr>
                <w:rFonts w:ascii="宋体" w:hAnsi="宋体" w:eastAsia="宋体" w:cs="宋体"/>
                <w:b/>
                <w:bCs/>
                <w:color w:val="auto"/>
                <w:spacing w:val="0"/>
                <w:w w:val="100"/>
                <w:position w:val="0"/>
                <w:sz w:val="24"/>
                <w:szCs w:val="24"/>
              </w:rPr>
              <w:t>序号</w:t>
            </w:r>
          </w:p>
        </w:tc>
        <w:tc>
          <w:tcPr>
            <w:tcW w:w="2700" w:type="dxa"/>
            <w:tcBorders>
              <w:top w:val="single" w:color="auto" w:sz="4" w:space="0"/>
              <w:left w:val="single" w:color="auto" w:sz="4" w:space="0"/>
            </w:tcBorders>
            <w:shd w:val="clear" w:color="auto" w:fill="FFFFFF"/>
            <w:noWrap w:val="0"/>
            <w:vAlign w:val="center"/>
          </w:tcPr>
          <w:p w14:paraId="6D971491">
            <w:pPr>
              <w:pStyle w:val="29"/>
              <w:keepNext w:val="0"/>
              <w:keepLines w:val="0"/>
              <w:widowControl w:val="0"/>
              <w:shd w:val="clear" w:color="auto" w:fill="auto"/>
              <w:bidi w:val="0"/>
              <w:spacing w:before="0" w:after="0" w:line="240" w:lineRule="auto"/>
              <w:ind w:left="0" w:right="0" w:firstLine="0"/>
              <w:jc w:val="center"/>
              <w:rPr>
                <w:rFonts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服务内容</w:t>
            </w:r>
          </w:p>
        </w:tc>
        <w:tc>
          <w:tcPr>
            <w:tcW w:w="2550" w:type="dxa"/>
            <w:tcBorders>
              <w:top w:val="single" w:color="auto" w:sz="4" w:space="0"/>
              <w:left w:val="single" w:color="auto" w:sz="4" w:space="0"/>
            </w:tcBorders>
            <w:shd w:val="clear" w:color="auto" w:fill="FFFFFF"/>
            <w:noWrap w:val="0"/>
            <w:vAlign w:val="center"/>
          </w:tcPr>
          <w:p w14:paraId="0A825629">
            <w:pPr>
              <w:pStyle w:val="29"/>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color w:val="auto"/>
                <w:spacing w:val="0"/>
                <w:w w:val="100"/>
                <w:position w:val="0"/>
                <w:sz w:val="24"/>
                <w:szCs w:val="24"/>
                <w:lang w:val="en-US" w:eastAsia="zh-CN"/>
              </w:rPr>
            </w:pPr>
            <w:r>
              <w:rPr>
                <w:rFonts w:ascii="宋体" w:hAnsi="宋体" w:eastAsia="宋体" w:cs="宋体"/>
                <w:b/>
                <w:bCs/>
                <w:color w:val="auto"/>
                <w:spacing w:val="0"/>
                <w:w w:val="100"/>
                <w:position w:val="0"/>
                <w:sz w:val="24"/>
                <w:szCs w:val="24"/>
              </w:rPr>
              <w:t>响应</w:t>
            </w:r>
            <w:r>
              <w:rPr>
                <w:rFonts w:hint="eastAsia" w:ascii="宋体" w:hAnsi="宋体" w:eastAsia="宋体" w:cs="宋体"/>
                <w:b/>
                <w:bCs/>
                <w:color w:val="auto"/>
                <w:spacing w:val="0"/>
                <w:w w:val="100"/>
                <w:position w:val="0"/>
                <w:sz w:val="24"/>
                <w:szCs w:val="24"/>
                <w:lang w:eastAsia="zh-CN"/>
              </w:rPr>
              <w:t>要求</w:t>
            </w:r>
          </w:p>
        </w:tc>
        <w:tc>
          <w:tcPr>
            <w:tcW w:w="1876" w:type="dxa"/>
            <w:tcBorders>
              <w:top w:val="single" w:color="auto" w:sz="4" w:space="0"/>
              <w:left w:val="single" w:color="auto" w:sz="4" w:space="0"/>
            </w:tcBorders>
            <w:shd w:val="clear" w:color="auto" w:fill="FFFFFF"/>
            <w:noWrap w:val="0"/>
            <w:vAlign w:val="center"/>
          </w:tcPr>
          <w:p w14:paraId="46DD9A51">
            <w:pPr>
              <w:pStyle w:val="29"/>
              <w:keepNext w:val="0"/>
              <w:keepLines w:val="0"/>
              <w:widowControl w:val="0"/>
              <w:shd w:val="clear" w:color="auto" w:fill="auto"/>
              <w:bidi w:val="0"/>
              <w:spacing w:before="0" w:after="0" w:line="240" w:lineRule="auto"/>
              <w:ind w:left="0" w:right="0" w:firstLine="0"/>
              <w:jc w:val="center"/>
              <w:rPr>
                <w:rFonts w:ascii="宋体" w:hAnsi="宋体" w:eastAsia="宋体" w:cs="宋体"/>
                <w:b/>
                <w:bCs/>
                <w:color w:val="auto"/>
                <w:spacing w:val="0"/>
                <w:w w:val="100"/>
                <w:position w:val="0"/>
                <w:sz w:val="24"/>
                <w:szCs w:val="24"/>
              </w:rPr>
            </w:pPr>
            <w:r>
              <w:rPr>
                <w:rFonts w:ascii="宋体" w:hAnsi="宋体" w:eastAsia="宋体" w:cs="宋体"/>
                <w:b/>
                <w:bCs/>
                <w:color w:val="auto"/>
                <w:spacing w:val="0"/>
                <w:w w:val="100"/>
                <w:position w:val="0"/>
                <w:sz w:val="24"/>
                <w:szCs w:val="24"/>
              </w:rPr>
              <w:t>偏离情况</w:t>
            </w:r>
          </w:p>
        </w:tc>
        <w:tc>
          <w:tcPr>
            <w:tcW w:w="974" w:type="dxa"/>
            <w:tcBorders>
              <w:top w:val="single" w:color="auto" w:sz="4" w:space="0"/>
              <w:left w:val="single" w:color="auto" w:sz="4" w:space="0"/>
              <w:right w:val="single" w:color="auto" w:sz="4" w:space="0"/>
            </w:tcBorders>
            <w:shd w:val="clear" w:color="auto" w:fill="FFFFFF"/>
            <w:noWrap w:val="0"/>
            <w:vAlign w:val="center"/>
          </w:tcPr>
          <w:p w14:paraId="11FA095C">
            <w:pPr>
              <w:pStyle w:val="29"/>
              <w:keepNext w:val="0"/>
              <w:keepLines w:val="0"/>
              <w:widowControl w:val="0"/>
              <w:shd w:val="clear" w:color="auto" w:fill="auto"/>
              <w:bidi w:val="0"/>
              <w:spacing w:before="0" w:after="0" w:line="240" w:lineRule="auto"/>
              <w:ind w:left="0" w:right="0" w:firstLine="0"/>
              <w:jc w:val="center"/>
              <w:rPr>
                <w:rFonts w:ascii="宋体" w:hAnsi="宋体" w:eastAsia="宋体" w:cs="宋体"/>
                <w:b/>
                <w:bCs/>
                <w:color w:val="auto"/>
                <w:spacing w:val="0"/>
                <w:w w:val="100"/>
                <w:position w:val="0"/>
                <w:sz w:val="24"/>
                <w:szCs w:val="24"/>
              </w:rPr>
            </w:pPr>
            <w:r>
              <w:rPr>
                <w:rFonts w:ascii="宋体" w:hAnsi="宋体" w:eastAsia="宋体" w:cs="宋体"/>
                <w:b/>
                <w:bCs/>
                <w:color w:val="auto"/>
                <w:spacing w:val="0"/>
                <w:w w:val="100"/>
                <w:position w:val="0"/>
                <w:sz w:val="24"/>
                <w:szCs w:val="24"/>
              </w:rPr>
              <w:t>备注</w:t>
            </w:r>
          </w:p>
        </w:tc>
      </w:tr>
      <w:tr w14:paraId="4DFE59D1">
        <w:tblPrEx>
          <w:tblCellMar>
            <w:top w:w="0" w:type="dxa"/>
            <w:left w:w="10" w:type="dxa"/>
            <w:bottom w:w="0" w:type="dxa"/>
            <w:right w:w="10" w:type="dxa"/>
          </w:tblCellMar>
        </w:tblPrEx>
        <w:trPr>
          <w:trHeight w:val="619" w:hRule="exact"/>
          <w:jc w:val="center"/>
        </w:trPr>
        <w:tc>
          <w:tcPr>
            <w:tcW w:w="960" w:type="dxa"/>
            <w:tcBorders>
              <w:top w:val="single" w:color="auto" w:sz="4" w:space="0"/>
              <w:left w:val="single" w:color="auto" w:sz="4" w:space="0"/>
            </w:tcBorders>
            <w:shd w:val="clear" w:color="auto" w:fill="FFFFFF"/>
            <w:noWrap w:val="0"/>
            <w:vAlign w:val="top"/>
          </w:tcPr>
          <w:p w14:paraId="4C56B23C">
            <w:pPr>
              <w:widowControl w:val="0"/>
              <w:rPr>
                <w:color w:val="auto"/>
                <w:sz w:val="10"/>
                <w:szCs w:val="10"/>
              </w:rPr>
            </w:pPr>
          </w:p>
        </w:tc>
        <w:tc>
          <w:tcPr>
            <w:tcW w:w="2700" w:type="dxa"/>
            <w:tcBorders>
              <w:top w:val="single" w:color="auto" w:sz="4" w:space="0"/>
              <w:left w:val="single" w:color="auto" w:sz="4" w:space="0"/>
            </w:tcBorders>
            <w:shd w:val="clear" w:color="auto" w:fill="FFFFFF"/>
            <w:noWrap w:val="0"/>
            <w:vAlign w:val="top"/>
          </w:tcPr>
          <w:p w14:paraId="5D34C654">
            <w:pPr>
              <w:widowControl w:val="0"/>
              <w:rPr>
                <w:color w:val="auto"/>
                <w:sz w:val="10"/>
                <w:szCs w:val="10"/>
              </w:rPr>
            </w:pPr>
          </w:p>
        </w:tc>
        <w:tc>
          <w:tcPr>
            <w:tcW w:w="2550" w:type="dxa"/>
            <w:tcBorders>
              <w:top w:val="single" w:color="auto" w:sz="4" w:space="0"/>
              <w:left w:val="single" w:color="auto" w:sz="4" w:space="0"/>
            </w:tcBorders>
            <w:shd w:val="clear" w:color="auto" w:fill="FFFFFF"/>
            <w:noWrap w:val="0"/>
            <w:vAlign w:val="top"/>
          </w:tcPr>
          <w:p w14:paraId="2E92B603">
            <w:pPr>
              <w:widowControl w:val="0"/>
              <w:rPr>
                <w:color w:val="auto"/>
                <w:sz w:val="10"/>
                <w:szCs w:val="10"/>
              </w:rPr>
            </w:pPr>
          </w:p>
        </w:tc>
        <w:tc>
          <w:tcPr>
            <w:tcW w:w="1876" w:type="dxa"/>
            <w:tcBorders>
              <w:top w:val="single" w:color="auto" w:sz="4" w:space="0"/>
              <w:left w:val="single" w:color="auto" w:sz="4" w:space="0"/>
            </w:tcBorders>
            <w:shd w:val="clear" w:color="auto" w:fill="FFFFFF"/>
            <w:noWrap w:val="0"/>
            <w:vAlign w:val="top"/>
          </w:tcPr>
          <w:p w14:paraId="6C47389C">
            <w:pPr>
              <w:widowControl w:val="0"/>
              <w:rPr>
                <w:color w:val="auto"/>
                <w:sz w:val="10"/>
                <w:szCs w:val="10"/>
              </w:rPr>
            </w:pPr>
          </w:p>
        </w:tc>
        <w:tc>
          <w:tcPr>
            <w:tcW w:w="974" w:type="dxa"/>
            <w:tcBorders>
              <w:top w:val="single" w:color="auto" w:sz="4" w:space="0"/>
              <w:left w:val="single" w:color="auto" w:sz="4" w:space="0"/>
              <w:right w:val="single" w:color="auto" w:sz="4" w:space="0"/>
            </w:tcBorders>
            <w:shd w:val="clear" w:color="auto" w:fill="FFFFFF"/>
            <w:noWrap w:val="0"/>
            <w:vAlign w:val="top"/>
          </w:tcPr>
          <w:p w14:paraId="730F9EC2">
            <w:pPr>
              <w:widowControl w:val="0"/>
              <w:rPr>
                <w:color w:val="auto"/>
                <w:sz w:val="10"/>
                <w:szCs w:val="10"/>
              </w:rPr>
            </w:pPr>
          </w:p>
        </w:tc>
      </w:tr>
      <w:tr w14:paraId="4CA2E61A">
        <w:tblPrEx>
          <w:tblCellMar>
            <w:top w:w="0" w:type="dxa"/>
            <w:left w:w="10" w:type="dxa"/>
            <w:bottom w:w="0" w:type="dxa"/>
            <w:right w:w="10" w:type="dxa"/>
          </w:tblCellMar>
        </w:tblPrEx>
        <w:trPr>
          <w:trHeight w:val="624" w:hRule="exact"/>
          <w:jc w:val="center"/>
        </w:trPr>
        <w:tc>
          <w:tcPr>
            <w:tcW w:w="960" w:type="dxa"/>
            <w:tcBorders>
              <w:top w:val="single" w:color="auto" w:sz="4" w:space="0"/>
              <w:left w:val="single" w:color="auto" w:sz="4" w:space="0"/>
            </w:tcBorders>
            <w:shd w:val="clear" w:color="auto" w:fill="FFFFFF"/>
            <w:noWrap w:val="0"/>
            <w:vAlign w:val="top"/>
          </w:tcPr>
          <w:p w14:paraId="56D3A07B">
            <w:pPr>
              <w:widowControl w:val="0"/>
              <w:rPr>
                <w:color w:val="auto"/>
                <w:sz w:val="10"/>
                <w:szCs w:val="10"/>
              </w:rPr>
            </w:pPr>
          </w:p>
        </w:tc>
        <w:tc>
          <w:tcPr>
            <w:tcW w:w="2700" w:type="dxa"/>
            <w:tcBorders>
              <w:top w:val="single" w:color="auto" w:sz="4" w:space="0"/>
              <w:left w:val="single" w:color="auto" w:sz="4" w:space="0"/>
            </w:tcBorders>
            <w:shd w:val="clear" w:color="auto" w:fill="FFFFFF"/>
            <w:noWrap w:val="0"/>
            <w:vAlign w:val="top"/>
          </w:tcPr>
          <w:p w14:paraId="52B633EF">
            <w:pPr>
              <w:widowControl w:val="0"/>
              <w:rPr>
                <w:color w:val="auto"/>
                <w:sz w:val="10"/>
                <w:szCs w:val="10"/>
              </w:rPr>
            </w:pPr>
          </w:p>
        </w:tc>
        <w:tc>
          <w:tcPr>
            <w:tcW w:w="2550" w:type="dxa"/>
            <w:tcBorders>
              <w:top w:val="single" w:color="auto" w:sz="4" w:space="0"/>
              <w:left w:val="single" w:color="auto" w:sz="4" w:space="0"/>
            </w:tcBorders>
            <w:shd w:val="clear" w:color="auto" w:fill="FFFFFF"/>
            <w:noWrap w:val="0"/>
            <w:vAlign w:val="top"/>
          </w:tcPr>
          <w:p w14:paraId="71F34CE3">
            <w:pPr>
              <w:widowControl w:val="0"/>
              <w:rPr>
                <w:color w:val="auto"/>
                <w:sz w:val="10"/>
                <w:szCs w:val="10"/>
              </w:rPr>
            </w:pPr>
          </w:p>
        </w:tc>
        <w:tc>
          <w:tcPr>
            <w:tcW w:w="1876" w:type="dxa"/>
            <w:tcBorders>
              <w:top w:val="single" w:color="auto" w:sz="4" w:space="0"/>
              <w:left w:val="single" w:color="auto" w:sz="4" w:space="0"/>
            </w:tcBorders>
            <w:shd w:val="clear" w:color="auto" w:fill="FFFFFF"/>
            <w:noWrap w:val="0"/>
            <w:vAlign w:val="top"/>
          </w:tcPr>
          <w:p w14:paraId="180F685C">
            <w:pPr>
              <w:widowControl w:val="0"/>
              <w:rPr>
                <w:color w:val="auto"/>
                <w:sz w:val="10"/>
                <w:szCs w:val="10"/>
              </w:rPr>
            </w:pPr>
          </w:p>
        </w:tc>
        <w:tc>
          <w:tcPr>
            <w:tcW w:w="974" w:type="dxa"/>
            <w:tcBorders>
              <w:top w:val="single" w:color="auto" w:sz="4" w:space="0"/>
              <w:left w:val="single" w:color="auto" w:sz="4" w:space="0"/>
              <w:right w:val="single" w:color="auto" w:sz="4" w:space="0"/>
            </w:tcBorders>
            <w:shd w:val="clear" w:color="auto" w:fill="FFFFFF"/>
            <w:noWrap w:val="0"/>
            <w:vAlign w:val="top"/>
          </w:tcPr>
          <w:p w14:paraId="5B2ECF4C">
            <w:pPr>
              <w:widowControl w:val="0"/>
              <w:rPr>
                <w:color w:val="auto"/>
                <w:sz w:val="10"/>
                <w:szCs w:val="10"/>
              </w:rPr>
            </w:pPr>
          </w:p>
        </w:tc>
      </w:tr>
      <w:tr w14:paraId="7B353050">
        <w:tblPrEx>
          <w:tblCellMar>
            <w:top w:w="0" w:type="dxa"/>
            <w:left w:w="10" w:type="dxa"/>
            <w:bottom w:w="0" w:type="dxa"/>
            <w:right w:w="10" w:type="dxa"/>
          </w:tblCellMar>
        </w:tblPrEx>
        <w:trPr>
          <w:trHeight w:val="619" w:hRule="exact"/>
          <w:jc w:val="center"/>
        </w:trPr>
        <w:tc>
          <w:tcPr>
            <w:tcW w:w="960" w:type="dxa"/>
            <w:tcBorders>
              <w:top w:val="single" w:color="auto" w:sz="4" w:space="0"/>
              <w:left w:val="single" w:color="auto" w:sz="4" w:space="0"/>
            </w:tcBorders>
            <w:shd w:val="clear" w:color="auto" w:fill="FFFFFF"/>
            <w:noWrap w:val="0"/>
            <w:vAlign w:val="top"/>
          </w:tcPr>
          <w:p w14:paraId="18DCDA66">
            <w:pPr>
              <w:widowControl w:val="0"/>
              <w:rPr>
                <w:color w:val="auto"/>
                <w:sz w:val="10"/>
                <w:szCs w:val="10"/>
              </w:rPr>
            </w:pPr>
          </w:p>
        </w:tc>
        <w:tc>
          <w:tcPr>
            <w:tcW w:w="2700" w:type="dxa"/>
            <w:tcBorders>
              <w:top w:val="single" w:color="auto" w:sz="4" w:space="0"/>
              <w:left w:val="single" w:color="auto" w:sz="4" w:space="0"/>
            </w:tcBorders>
            <w:shd w:val="clear" w:color="auto" w:fill="FFFFFF"/>
            <w:noWrap w:val="0"/>
            <w:vAlign w:val="top"/>
          </w:tcPr>
          <w:p w14:paraId="13F2D0DC">
            <w:pPr>
              <w:widowControl w:val="0"/>
              <w:rPr>
                <w:color w:val="auto"/>
                <w:sz w:val="10"/>
                <w:szCs w:val="10"/>
              </w:rPr>
            </w:pPr>
          </w:p>
        </w:tc>
        <w:tc>
          <w:tcPr>
            <w:tcW w:w="2550" w:type="dxa"/>
            <w:tcBorders>
              <w:top w:val="single" w:color="auto" w:sz="4" w:space="0"/>
              <w:left w:val="single" w:color="auto" w:sz="4" w:space="0"/>
            </w:tcBorders>
            <w:shd w:val="clear" w:color="auto" w:fill="FFFFFF"/>
            <w:noWrap w:val="0"/>
            <w:vAlign w:val="top"/>
          </w:tcPr>
          <w:p w14:paraId="354D4FE6">
            <w:pPr>
              <w:widowControl w:val="0"/>
              <w:rPr>
                <w:color w:val="auto"/>
                <w:sz w:val="10"/>
                <w:szCs w:val="10"/>
              </w:rPr>
            </w:pPr>
          </w:p>
        </w:tc>
        <w:tc>
          <w:tcPr>
            <w:tcW w:w="1876" w:type="dxa"/>
            <w:tcBorders>
              <w:top w:val="single" w:color="auto" w:sz="4" w:space="0"/>
              <w:left w:val="single" w:color="auto" w:sz="4" w:space="0"/>
            </w:tcBorders>
            <w:shd w:val="clear" w:color="auto" w:fill="FFFFFF"/>
            <w:noWrap w:val="0"/>
            <w:vAlign w:val="top"/>
          </w:tcPr>
          <w:p w14:paraId="08936979">
            <w:pPr>
              <w:widowControl w:val="0"/>
              <w:rPr>
                <w:color w:val="auto"/>
                <w:sz w:val="10"/>
                <w:szCs w:val="10"/>
              </w:rPr>
            </w:pPr>
          </w:p>
        </w:tc>
        <w:tc>
          <w:tcPr>
            <w:tcW w:w="974" w:type="dxa"/>
            <w:tcBorders>
              <w:top w:val="single" w:color="auto" w:sz="4" w:space="0"/>
              <w:left w:val="single" w:color="auto" w:sz="4" w:space="0"/>
              <w:right w:val="single" w:color="auto" w:sz="4" w:space="0"/>
            </w:tcBorders>
            <w:shd w:val="clear" w:color="auto" w:fill="FFFFFF"/>
            <w:noWrap w:val="0"/>
            <w:vAlign w:val="top"/>
          </w:tcPr>
          <w:p w14:paraId="1E73E5EB">
            <w:pPr>
              <w:widowControl w:val="0"/>
              <w:rPr>
                <w:color w:val="auto"/>
                <w:sz w:val="10"/>
                <w:szCs w:val="10"/>
              </w:rPr>
            </w:pPr>
          </w:p>
        </w:tc>
      </w:tr>
      <w:tr w14:paraId="13C38CDF">
        <w:tblPrEx>
          <w:tblCellMar>
            <w:top w:w="0" w:type="dxa"/>
            <w:left w:w="10" w:type="dxa"/>
            <w:bottom w:w="0" w:type="dxa"/>
            <w:right w:w="10" w:type="dxa"/>
          </w:tblCellMar>
        </w:tblPrEx>
        <w:trPr>
          <w:trHeight w:val="624" w:hRule="exact"/>
          <w:jc w:val="center"/>
        </w:trPr>
        <w:tc>
          <w:tcPr>
            <w:tcW w:w="960" w:type="dxa"/>
            <w:tcBorders>
              <w:top w:val="single" w:color="auto" w:sz="4" w:space="0"/>
              <w:left w:val="single" w:color="auto" w:sz="4" w:space="0"/>
            </w:tcBorders>
            <w:shd w:val="clear" w:color="auto" w:fill="FFFFFF"/>
            <w:noWrap w:val="0"/>
            <w:vAlign w:val="top"/>
          </w:tcPr>
          <w:p w14:paraId="1C0C3916">
            <w:pPr>
              <w:widowControl w:val="0"/>
              <w:rPr>
                <w:color w:val="auto"/>
                <w:sz w:val="10"/>
                <w:szCs w:val="10"/>
              </w:rPr>
            </w:pPr>
          </w:p>
        </w:tc>
        <w:tc>
          <w:tcPr>
            <w:tcW w:w="2700" w:type="dxa"/>
            <w:tcBorders>
              <w:top w:val="single" w:color="auto" w:sz="4" w:space="0"/>
              <w:left w:val="single" w:color="auto" w:sz="4" w:space="0"/>
            </w:tcBorders>
            <w:shd w:val="clear" w:color="auto" w:fill="FFFFFF"/>
            <w:noWrap w:val="0"/>
            <w:vAlign w:val="top"/>
          </w:tcPr>
          <w:p w14:paraId="00BD380A">
            <w:pPr>
              <w:widowControl w:val="0"/>
              <w:rPr>
                <w:color w:val="auto"/>
                <w:sz w:val="10"/>
                <w:szCs w:val="10"/>
              </w:rPr>
            </w:pPr>
          </w:p>
        </w:tc>
        <w:tc>
          <w:tcPr>
            <w:tcW w:w="2550" w:type="dxa"/>
            <w:tcBorders>
              <w:top w:val="single" w:color="auto" w:sz="4" w:space="0"/>
              <w:left w:val="single" w:color="auto" w:sz="4" w:space="0"/>
            </w:tcBorders>
            <w:shd w:val="clear" w:color="auto" w:fill="FFFFFF"/>
            <w:noWrap w:val="0"/>
            <w:vAlign w:val="top"/>
          </w:tcPr>
          <w:p w14:paraId="6B987ECD">
            <w:pPr>
              <w:widowControl w:val="0"/>
              <w:rPr>
                <w:color w:val="auto"/>
                <w:sz w:val="10"/>
                <w:szCs w:val="10"/>
              </w:rPr>
            </w:pPr>
          </w:p>
        </w:tc>
        <w:tc>
          <w:tcPr>
            <w:tcW w:w="1876" w:type="dxa"/>
            <w:tcBorders>
              <w:top w:val="single" w:color="auto" w:sz="4" w:space="0"/>
              <w:left w:val="single" w:color="auto" w:sz="4" w:space="0"/>
            </w:tcBorders>
            <w:shd w:val="clear" w:color="auto" w:fill="FFFFFF"/>
            <w:noWrap w:val="0"/>
            <w:vAlign w:val="top"/>
          </w:tcPr>
          <w:p w14:paraId="597687E4">
            <w:pPr>
              <w:widowControl w:val="0"/>
              <w:rPr>
                <w:color w:val="auto"/>
                <w:sz w:val="10"/>
                <w:szCs w:val="10"/>
              </w:rPr>
            </w:pPr>
          </w:p>
        </w:tc>
        <w:tc>
          <w:tcPr>
            <w:tcW w:w="974" w:type="dxa"/>
            <w:tcBorders>
              <w:top w:val="single" w:color="auto" w:sz="4" w:space="0"/>
              <w:left w:val="single" w:color="auto" w:sz="4" w:space="0"/>
              <w:right w:val="single" w:color="auto" w:sz="4" w:space="0"/>
            </w:tcBorders>
            <w:shd w:val="clear" w:color="auto" w:fill="FFFFFF"/>
            <w:noWrap w:val="0"/>
            <w:vAlign w:val="top"/>
          </w:tcPr>
          <w:p w14:paraId="52D6CF96">
            <w:pPr>
              <w:widowControl w:val="0"/>
              <w:rPr>
                <w:color w:val="auto"/>
                <w:sz w:val="10"/>
                <w:szCs w:val="10"/>
              </w:rPr>
            </w:pPr>
          </w:p>
        </w:tc>
      </w:tr>
      <w:tr w14:paraId="031E6EC2">
        <w:tblPrEx>
          <w:tblCellMar>
            <w:top w:w="0" w:type="dxa"/>
            <w:left w:w="10" w:type="dxa"/>
            <w:bottom w:w="0" w:type="dxa"/>
            <w:right w:w="10" w:type="dxa"/>
          </w:tblCellMar>
        </w:tblPrEx>
        <w:trPr>
          <w:trHeight w:val="619" w:hRule="exact"/>
          <w:jc w:val="center"/>
        </w:trPr>
        <w:tc>
          <w:tcPr>
            <w:tcW w:w="960" w:type="dxa"/>
            <w:tcBorders>
              <w:top w:val="single" w:color="auto" w:sz="4" w:space="0"/>
              <w:left w:val="single" w:color="auto" w:sz="4" w:space="0"/>
            </w:tcBorders>
            <w:shd w:val="clear" w:color="auto" w:fill="FFFFFF"/>
            <w:noWrap w:val="0"/>
            <w:vAlign w:val="top"/>
          </w:tcPr>
          <w:p w14:paraId="3F7E0F51">
            <w:pPr>
              <w:widowControl w:val="0"/>
              <w:rPr>
                <w:color w:val="auto"/>
                <w:sz w:val="10"/>
                <w:szCs w:val="10"/>
              </w:rPr>
            </w:pPr>
          </w:p>
        </w:tc>
        <w:tc>
          <w:tcPr>
            <w:tcW w:w="2700" w:type="dxa"/>
            <w:tcBorders>
              <w:top w:val="single" w:color="auto" w:sz="4" w:space="0"/>
              <w:left w:val="single" w:color="auto" w:sz="4" w:space="0"/>
            </w:tcBorders>
            <w:shd w:val="clear" w:color="auto" w:fill="FFFFFF"/>
            <w:noWrap w:val="0"/>
            <w:vAlign w:val="top"/>
          </w:tcPr>
          <w:p w14:paraId="18226922">
            <w:pPr>
              <w:widowControl w:val="0"/>
              <w:rPr>
                <w:color w:val="auto"/>
                <w:sz w:val="10"/>
                <w:szCs w:val="10"/>
              </w:rPr>
            </w:pPr>
          </w:p>
        </w:tc>
        <w:tc>
          <w:tcPr>
            <w:tcW w:w="2550" w:type="dxa"/>
            <w:tcBorders>
              <w:top w:val="single" w:color="auto" w:sz="4" w:space="0"/>
              <w:left w:val="single" w:color="auto" w:sz="4" w:space="0"/>
            </w:tcBorders>
            <w:shd w:val="clear" w:color="auto" w:fill="FFFFFF"/>
            <w:noWrap w:val="0"/>
            <w:vAlign w:val="top"/>
          </w:tcPr>
          <w:p w14:paraId="02B13BBB">
            <w:pPr>
              <w:widowControl w:val="0"/>
              <w:rPr>
                <w:color w:val="auto"/>
                <w:sz w:val="10"/>
                <w:szCs w:val="10"/>
              </w:rPr>
            </w:pPr>
          </w:p>
        </w:tc>
        <w:tc>
          <w:tcPr>
            <w:tcW w:w="1876" w:type="dxa"/>
            <w:tcBorders>
              <w:top w:val="single" w:color="auto" w:sz="4" w:space="0"/>
              <w:left w:val="single" w:color="auto" w:sz="4" w:space="0"/>
            </w:tcBorders>
            <w:shd w:val="clear" w:color="auto" w:fill="FFFFFF"/>
            <w:noWrap w:val="0"/>
            <w:vAlign w:val="top"/>
          </w:tcPr>
          <w:p w14:paraId="32168B09">
            <w:pPr>
              <w:widowControl w:val="0"/>
              <w:rPr>
                <w:color w:val="auto"/>
                <w:sz w:val="10"/>
                <w:szCs w:val="10"/>
              </w:rPr>
            </w:pPr>
          </w:p>
        </w:tc>
        <w:tc>
          <w:tcPr>
            <w:tcW w:w="974" w:type="dxa"/>
            <w:tcBorders>
              <w:top w:val="single" w:color="auto" w:sz="4" w:space="0"/>
              <w:left w:val="single" w:color="auto" w:sz="4" w:space="0"/>
              <w:right w:val="single" w:color="auto" w:sz="4" w:space="0"/>
            </w:tcBorders>
            <w:shd w:val="clear" w:color="auto" w:fill="FFFFFF"/>
            <w:noWrap w:val="0"/>
            <w:vAlign w:val="top"/>
          </w:tcPr>
          <w:p w14:paraId="45816BE7">
            <w:pPr>
              <w:widowControl w:val="0"/>
              <w:rPr>
                <w:color w:val="auto"/>
                <w:sz w:val="10"/>
                <w:szCs w:val="10"/>
              </w:rPr>
            </w:pPr>
          </w:p>
        </w:tc>
      </w:tr>
      <w:tr w14:paraId="320B4310">
        <w:tblPrEx>
          <w:tblCellMar>
            <w:top w:w="0" w:type="dxa"/>
            <w:left w:w="10" w:type="dxa"/>
            <w:bottom w:w="0" w:type="dxa"/>
            <w:right w:w="10" w:type="dxa"/>
          </w:tblCellMar>
        </w:tblPrEx>
        <w:trPr>
          <w:trHeight w:val="624" w:hRule="exact"/>
          <w:jc w:val="center"/>
        </w:trPr>
        <w:tc>
          <w:tcPr>
            <w:tcW w:w="960" w:type="dxa"/>
            <w:tcBorders>
              <w:top w:val="single" w:color="auto" w:sz="4" w:space="0"/>
              <w:left w:val="single" w:color="auto" w:sz="4" w:space="0"/>
            </w:tcBorders>
            <w:shd w:val="clear" w:color="auto" w:fill="FFFFFF"/>
            <w:noWrap w:val="0"/>
            <w:vAlign w:val="top"/>
          </w:tcPr>
          <w:p w14:paraId="2EC719BD">
            <w:pPr>
              <w:widowControl w:val="0"/>
              <w:rPr>
                <w:color w:val="auto"/>
                <w:sz w:val="10"/>
                <w:szCs w:val="10"/>
              </w:rPr>
            </w:pPr>
          </w:p>
        </w:tc>
        <w:tc>
          <w:tcPr>
            <w:tcW w:w="2700" w:type="dxa"/>
            <w:tcBorders>
              <w:top w:val="single" w:color="auto" w:sz="4" w:space="0"/>
              <w:left w:val="single" w:color="auto" w:sz="4" w:space="0"/>
            </w:tcBorders>
            <w:shd w:val="clear" w:color="auto" w:fill="FFFFFF"/>
            <w:noWrap w:val="0"/>
            <w:vAlign w:val="top"/>
          </w:tcPr>
          <w:p w14:paraId="22E45377">
            <w:pPr>
              <w:widowControl w:val="0"/>
              <w:rPr>
                <w:color w:val="auto"/>
                <w:sz w:val="10"/>
                <w:szCs w:val="10"/>
              </w:rPr>
            </w:pPr>
          </w:p>
        </w:tc>
        <w:tc>
          <w:tcPr>
            <w:tcW w:w="2550" w:type="dxa"/>
            <w:tcBorders>
              <w:top w:val="single" w:color="auto" w:sz="4" w:space="0"/>
              <w:left w:val="single" w:color="auto" w:sz="4" w:space="0"/>
            </w:tcBorders>
            <w:shd w:val="clear" w:color="auto" w:fill="FFFFFF"/>
            <w:noWrap w:val="0"/>
            <w:vAlign w:val="top"/>
          </w:tcPr>
          <w:p w14:paraId="3CC37F37">
            <w:pPr>
              <w:widowControl w:val="0"/>
              <w:rPr>
                <w:color w:val="auto"/>
                <w:sz w:val="10"/>
                <w:szCs w:val="10"/>
              </w:rPr>
            </w:pPr>
          </w:p>
        </w:tc>
        <w:tc>
          <w:tcPr>
            <w:tcW w:w="1876" w:type="dxa"/>
            <w:tcBorders>
              <w:top w:val="single" w:color="auto" w:sz="4" w:space="0"/>
              <w:left w:val="single" w:color="auto" w:sz="4" w:space="0"/>
            </w:tcBorders>
            <w:shd w:val="clear" w:color="auto" w:fill="FFFFFF"/>
            <w:noWrap w:val="0"/>
            <w:vAlign w:val="top"/>
          </w:tcPr>
          <w:p w14:paraId="0B4C12F6">
            <w:pPr>
              <w:widowControl w:val="0"/>
              <w:rPr>
                <w:color w:val="auto"/>
                <w:sz w:val="10"/>
                <w:szCs w:val="10"/>
              </w:rPr>
            </w:pPr>
          </w:p>
        </w:tc>
        <w:tc>
          <w:tcPr>
            <w:tcW w:w="974" w:type="dxa"/>
            <w:tcBorders>
              <w:top w:val="single" w:color="auto" w:sz="4" w:space="0"/>
              <w:left w:val="single" w:color="auto" w:sz="4" w:space="0"/>
              <w:right w:val="single" w:color="auto" w:sz="4" w:space="0"/>
            </w:tcBorders>
            <w:shd w:val="clear" w:color="auto" w:fill="FFFFFF"/>
            <w:noWrap w:val="0"/>
            <w:vAlign w:val="top"/>
          </w:tcPr>
          <w:p w14:paraId="18D761BA">
            <w:pPr>
              <w:widowControl w:val="0"/>
              <w:rPr>
                <w:color w:val="auto"/>
                <w:sz w:val="10"/>
                <w:szCs w:val="10"/>
              </w:rPr>
            </w:pPr>
          </w:p>
        </w:tc>
      </w:tr>
      <w:tr w14:paraId="182C18E5">
        <w:tblPrEx>
          <w:tblCellMar>
            <w:top w:w="0" w:type="dxa"/>
            <w:left w:w="10" w:type="dxa"/>
            <w:bottom w:w="0" w:type="dxa"/>
            <w:right w:w="10" w:type="dxa"/>
          </w:tblCellMar>
        </w:tblPrEx>
        <w:trPr>
          <w:trHeight w:val="619" w:hRule="exact"/>
          <w:jc w:val="center"/>
        </w:trPr>
        <w:tc>
          <w:tcPr>
            <w:tcW w:w="960" w:type="dxa"/>
            <w:tcBorders>
              <w:top w:val="single" w:color="auto" w:sz="4" w:space="0"/>
              <w:left w:val="single" w:color="auto" w:sz="4" w:space="0"/>
            </w:tcBorders>
            <w:shd w:val="clear" w:color="auto" w:fill="FFFFFF"/>
            <w:noWrap w:val="0"/>
            <w:vAlign w:val="top"/>
          </w:tcPr>
          <w:p w14:paraId="1AEC114C">
            <w:pPr>
              <w:widowControl w:val="0"/>
              <w:rPr>
                <w:color w:val="auto"/>
                <w:sz w:val="10"/>
                <w:szCs w:val="10"/>
              </w:rPr>
            </w:pPr>
          </w:p>
        </w:tc>
        <w:tc>
          <w:tcPr>
            <w:tcW w:w="2700" w:type="dxa"/>
            <w:tcBorders>
              <w:top w:val="single" w:color="auto" w:sz="4" w:space="0"/>
              <w:left w:val="single" w:color="auto" w:sz="4" w:space="0"/>
            </w:tcBorders>
            <w:shd w:val="clear" w:color="auto" w:fill="FFFFFF"/>
            <w:noWrap w:val="0"/>
            <w:vAlign w:val="top"/>
          </w:tcPr>
          <w:p w14:paraId="40384311">
            <w:pPr>
              <w:widowControl w:val="0"/>
              <w:rPr>
                <w:color w:val="auto"/>
                <w:sz w:val="10"/>
                <w:szCs w:val="10"/>
              </w:rPr>
            </w:pPr>
          </w:p>
        </w:tc>
        <w:tc>
          <w:tcPr>
            <w:tcW w:w="2550" w:type="dxa"/>
            <w:tcBorders>
              <w:top w:val="single" w:color="auto" w:sz="4" w:space="0"/>
              <w:left w:val="single" w:color="auto" w:sz="4" w:space="0"/>
            </w:tcBorders>
            <w:shd w:val="clear" w:color="auto" w:fill="FFFFFF"/>
            <w:noWrap w:val="0"/>
            <w:vAlign w:val="top"/>
          </w:tcPr>
          <w:p w14:paraId="74105FD7">
            <w:pPr>
              <w:widowControl w:val="0"/>
              <w:rPr>
                <w:color w:val="auto"/>
                <w:sz w:val="10"/>
                <w:szCs w:val="10"/>
              </w:rPr>
            </w:pPr>
          </w:p>
        </w:tc>
        <w:tc>
          <w:tcPr>
            <w:tcW w:w="1876" w:type="dxa"/>
            <w:tcBorders>
              <w:top w:val="single" w:color="auto" w:sz="4" w:space="0"/>
              <w:left w:val="single" w:color="auto" w:sz="4" w:space="0"/>
            </w:tcBorders>
            <w:shd w:val="clear" w:color="auto" w:fill="FFFFFF"/>
            <w:noWrap w:val="0"/>
            <w:vAlign w:val="top"/>
          </w:tcPr>
          <w:p w14:paraId="5AFAC80E">
            <w:pPr>
              <w:widowControl w:val="0"/>
              <w:rPr>
                <w:color w:val="auto"/>
                <w:sz w:val="10"/>
                <w:szCs w:val="10"/>
              </w:rPr>
            </w:pPr>
          </w:p>
        </w:tc>
        <w:tc>
          <w:tcPr>
            <w:tcW w:w="974" w:type="dxa"/>
            <w:tcBorders>
              <w:top w:val="single" w:color="auto" w:sz="4" w:space="0"/>
              <w:left w:val="single" w:color="auto" w:sz="4" w:space="0"/>
              <w:right w:val="single" w:color="auto" w:sz="4" w:space="0"/>
            </w:tcBorders>
            <w:shd w:val="clear" w:color="auto" w:fill="FFFFFF"/>
            <w:noWrap w:val="0"/>
            <w:vAlign w:val="top"/>
          </w:tcPr>
          <w:p w14:paraId="64A1619C">
            <w:pPr>
              <w:widowControl w:val="0"/>
              <w:rPr>
                <w:color w:val="auto"/>
                <w:sz w:val="10"/>
                <w:szCs w:val="10"/>
              </w:rPr>
            </w:pPr>
          </w:p>
        </w:tc>
      </w:tr>
      <w:tr w14:paraId="7B4A7CF0">
        <w:tblPrEx>
          <w:tblCellMar>
            <w:top w:w="0" w:type="dxa"/>
            <w:left w:w="10" w:type="dxa"/>
            <w:bottom w:w="0" w:type="dxa"/>
            <w:right w:w="10" w:type="dxa"/>
          </w:tblCellMar>
        </w:tblPrEx>
        <w:trPr>
          <w:trHeight w:val="629" w:hRule="exact"/>
          <w:jc w:val="center"/>
        </w:trPr>
        <w:tc>
          <w:tcPr>
            <w:tcW w:w="960" w:type="dxa"/>
            <w:tcBorders>
              <w:top w:val="single" w:color="auto" w:sz="4" w:space="0"/>
              <w:left w:val="single" w:color="auto" w:sz="4" w:space="0"/>
              <w:bottom w:val="single" w:color="auto" w:sz="4" w:space="0"/>
            </w:tcBorders>
            <w:shd w:val="clear" w:color="auto" w:fill="FFFFFF"/>
            <w:noWrap w:val="0"/>
            <w:vAlign w:val="top"/>
          </w:tcPr>
          <w:p w14:paraId="33F16F3D">
            <w:pPr>
              <w:widowControl w:val="0"/>
              <w:rPr>
                <w:color w:val="auto"/>
                <w:sz w:val="10"/>
                <w:szCs w:val="10"/>
              </w:rPr>
            </w:pPr>
          </w:p>
        </w:tc>
        <w:tc>
          <w:tcPr>
            <w:tcW w:w="2700" w:type="dxa"/>
            <w:tcBorders>
              <w:top w:val="single" w:color="auto" w:sz="4" w:space="0"/>
              <w:left w:val="single" w:color="auto" w:sz="4" w:space="0"/>
              <w:bottom w:val="single" w:color="auto" w:sz="4" w:space="0"/>
            </w:tcBorders>
            <w:shd w:val="clear" w:color="auto" w:fill="FFFFFF"/>
            <w:noWrap w:val="0"/>
            <w:vAlign w:val="top"/>
          </w:tcPr>
          <w:p w14:paraId="16C602A4">
            <w:pPr>
              <w:widowControl w:val="0"/>
              <w:rPr>
                <w:color w:val="auto"/>
                <w:sz w:val="10"/>
                <w:szCs w:val="10"/>
              </w:rPr>
            </w:pPr>
          </w:p>
        </w:tc>
        <w:tc>
          <w:tcPr>
            <w:tcW w:w="2550" w:type="dxa"/>
            <w:tcBorders>
              <w:top w:val="single" w:color="auto" w:sz="4" w:space="0"/>
              <w:left w:val="single" w:color="auto" w:sz="4" w:space="0"/>
              <w:bottom w:val="single" w:color="auto" w:sz="4" w:space="0"/>
            </w:tcBorders>
            <w:shd w:val="clear" w:color="auto" w:fill="FFFFFF"/>
            <w:noWrap w:val="0"/>
            <w:vAlign w:val="top"/>
          </w:tcPr>
          <w:p w14:paraId="45D09488">
            <w:pPr>
              <w:widowControl w:val="0"/>
              <w:rPr>
                <w:color w:val="auto"/>
                <w:sz w:val="10"/>
                <w:szCs w:val="10"/>
              </w:rPr>
            </w:pPr>
          </w:p>
        </w:tc>
        <w:tc>
          <w:tcPr>
            <w:tcW w:w="1876" w:type="dxa"/>
            <w:tcBorders>
              <w:top w:val="single" w:color="auto" w:sz="4" w:space="0"/>
              <w:left w:val="single" w:color="auto" w:sz="4" w:space="0"/>
              <w:bottom w:val="single" w:color="auto" w:sz="4" w:space="0"/>
            </w:tcBorders>
            <w:shd w:val="clear" w:color="auto" w:fill="FFFFFF"/>
            <w:noWrap w:val="0"/>
            <w:vAlign w:val="top"/>
          </w:tcPr>
          <w:p w14:paraId="7384803A">
            <w:pPr>
              <w:widowControl w:val="0"/>
              <w:rPr>
                <w:color w:val="auto"/>
                <w:sz w:val="10"/>
                <w:szCs w:val="10"/>
              </w:rPr>
            </w:pPr>
          </w:p>
        </w:tc>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D70261E">
            <w:pPr>
              <w:widowControl w:val="0"/>
              <w:rPr>
                <w:color w:val="auto"/>
                <w:sz w:val="10"/>
                <w:szCs w:val="10"/>
              </w:rPr>
            </w:pPr>
          </w:p>
        </w:tc>
      </w:tr>
    </w:tbl>
    <w:p w14:paraId="7EA6A250">
      <w:pPr>
        <w:widowControl w:val="0"/>
        <w:spacing w:after="439" w:line="1" w:lineRule="exact"/>
        <w:rPr>
          <w:color w:val="auto"/>
        </w:rPr>
      </w:pPr>
      <w:r>
        <w:rPr>
          <w:rFonts w:hint="eastAsia"/>
          <w:color w:val="auto"/>
        </w:rPr>
        <w:t>我单位承诺:本表偏离情况完全属实;若因我方投标产品技术参数实际情况与本偏离表阐述</w:t>
      </w:r>
      <w:r>
        <w:rPr>
          <w:rFonts w:hint="eastAsia"/>
          <w:color w:val="auto"/>
          <w:lang w:eastAsia="zh-CN"/>
        </w:rPr>
        <w:t>情况</w:t>
      </w:r>
    </w:p>
    <w:p w14:paraId="309BD8D4">
      <w:pPr>
        <w:pStyle w:val="30"/>
        <w:keepNext w:val="0"/>
        <w:keepLines w:val="0"/>
        <w:widowControl w:val="0"/>
        <w:shd w:val="clear" w:color="auto" w:fill="auto"/>
        <w:tabs>
          <w:tab w:val="left" w:pos="7550"/>
        </w:tabs>
        <w:bidi w:val="0"/>
        <w:spacing w:before="0" w:after="120" w:line="442" w:lineRule="exact"/>
        <w:ind w:left="660" w:leftChars="0" w:right="240" w:firstLine="0" w:firstLineChars="0"/>
        <w:jc w:val="left"/>
        <w:rPr>
          <w:rFonts w:hint="eastAsia" w:eastAsia="宋体"/>
          <w:color w:val="auto"/>
          <w:spacing w:val="0"/>
          <w:w w:val="100"/>
          <w:position w:val="0"/>
          <w:sz w:val="24"/>
          <w:szCs w:val="24"/>
          <w:lang w:val="en-US" w:eastAsia="zh-CN"/>
        </w:rPr>
      </w:pPr>
      <w:r>
        <w:rPr>
          <w:rFonts w:hint="eastAsia"/>
          <w:color w:val="auto"/>
          <w:spacing w:val="0"/>
          <w:w w:val="100"/>
          <w:position w:val="0"/>
          <w:sz w:val="24"/>
          <w:szCs w:val="24"/>
        </w:rPr>
        <w:t>我单位承诺</w:t>
      </w:r>
      <w:r>
        <w:rPr>
          <w:rFonts w:hint="eastAsia"/>
          <w:color w:val="auto"/>
          <w:spacing w:val="0"/>
          <w:w w:val="100"/>
          <w:position w:val="0"/>
          <w:sz w:val="24"/>
          <w:szCs w:val="24"/>
          <w:lang w:eastAsia="zh-CN"/>
        </w:rPr>
        <w:t>：</w:t>
      </w:r>
      <w:r>
        <w:rPr>
          <w:rFonts w:hint="eastAsia"/>
          <w:color w:val="auto"/>
          <w:spacing w:val="0"/>
          <w:w w:val="100"/>
          <w:position w:val="0"/>
          <w:sz w:val="24"/>
          <w:szCs w:val="24"/>
        </w:rPr>
        <w:t>本表偏离情况完全属实</w:t>
      </w:r>
      <w:r>
        <w:rPr>
          <w:rFonts w:hint="eastAsia"/>
          <w:color w:val="auto"/>
          <w:spacing w:val="0"/>
          <w:w w:val="100"/>
          <w:position w:val="0"/>
          <w:sz w:val="24"/>
          <w:szCs w:val="24"/>
          <w:lang w:eastAsia="zh-CN"/>
        </w:rPr>
        <w:t>；</w:t>
      </w:r>
      <w:r>
        <w:rPr>
          <w:rFonts w:hint="eastAsia"/>
          <w:color w:val="auto"/>
          <w:spacing w:val="0"/>
          <w:w w:val="100"/>
          <w:position w:val="0"/>
          <w:sz w:val="24"/>
          <w:szCs w:val="24"/>
        </w:rPr>
        <w:t>若因我方投标产品参数实际情况与本偏离表阐述情况不一致的，应视为我方属于虚假应标，我方同意采购人有权无条件没收我方针对本次投标项目所缴纳的投标保证金</w:t>
      </w:r>
      <w:r>
        <w:rPr>
          <w:rFonts w:hint="eastAsia"/>
          <w:color w:val="auto"/>
          <w:spacing w:val="0"/>
          <w:w w:val="100"/>
          <w:position w:val="0"/>
          <w:sz w:val="24"/>
          <w:szCs w:val="24"/>
          <w:lang w:eastAsia="zh-CN"/>
        </w:rPr>
        <w:t>，并</w:t>
      </w:r>
      <w:r>
        <w:rPr>
          <w:rFonts w:hint="eastAsia"/>
          <w:color w:val="auto"/>
          <w:spacing w:val="0"/>
          <w:w w:val="100"/>
          <w:position w:val="0"/>
          <w:sz w:val="24"/>
          <w:szCs w:val="24"/>
        </w:rPr>
        <w:t>会同主管部门对我方按照相应处罚条款进行处罚，并追究我方应负的所有法律</w:t>
      </w:r>
      <w:r>
        <w:rPr>
          <w:rFonts w:hint="eastAsia"/>
          <w:color w:val="auto"/>
          <w:spacing w:val="0"/>
          <w:w w:val="100"/>
          <w:position w:val="0"/>
          <w:sz w:val="24"/>
          <w:szCs w:val="24"/>
          <w:lang w:val="en-US" w:eastAsia="zh-CN"/>
        </w:rPr>
        <w:t>责任。</w:t>
      </w:r>
    </w:p>
    <w:p w14:paraId="798B0689">
      <w:pPr>
        <w:pStyle w:val="30"/>
        <w:keepNext w:val="0"/>
        <w:keepLines w:val="0"/>
        <w:widowControl w:val="0"/>
        <w:shd w:val="clear" w:color="auto" w:fill="auto"/>
        <w:tabs>
          <w:tab w:val="left" w:pos="7550"/>
        </w:tabs>
        <w:bidi w:val="0"/>
        <w:spacing w:before="0" w:after="120" w:line="442" w:lineRule="exact"/>
        <w:ind w:left="5040" w:right="240" w:firstLine="0"/>
        <w:jc w:val="right"/>
        <w:rPr>
          <w:color w:val="auto"/>
          <w:spacing w:val="0"/>
          <w:w w:val="100"/>
          <w:position w:val="0"/>
          <w:sz w:val="24"/>
          <w:szCs w:val="24"/>
        </w:rPr>
      </w:pPr>
    </w:p>
    <w:p w14:paraId="1C61E31B">
      <w:pPr>
        <w:pStyle w:val="30"/>
        <w:keepNext w:val="0"/>
        <w:keepLines w:val="0"/>
        <w:widowControl w:val="0"/>
        <w:shd w:val="clear" w:color="auto" w:fill="auto"/>
        <w:tabs>
          <w:tab w:val="left" w:pos="7550"/>
        </w:tabs>
        <w:bidi w:val="0"/>
        <w:spacing w:before="0" w:after="120" w:line="442" w:lineRule="exact"/>
        <w:ind w:left="5040" w:right="240" w:firstLine="0"/>
        <w:jc w:val="right"/>
        <w:rPr>
          <w:rFonts w:hint="eastAsia"/>
          <w:color w:val="auto"/>
          <w:spacing w:val="0"/>
          <w:w w:val="100"/>
          <w:position w:val="0"/>
          <w:sz w:val="24"/>
          <w:szCs w:val="24"/>
          <w:lang w:val="en-US" w:eastAsia="zh-CN"/>
        </w:rPr>
      </w:pPr>
      <w:r>
        <w:rPr>
          <w:rFonts w:hint="eastAsia"/>
          <w:color w:val="auto"/>
          <w:spacing w:val="0"/>
          <w:w w:val="100"/>
          <w:position w:val="0"/>
          <w:sz w:val="24"/>
          <w:szCs w:val="24"/>
          <w:lang w:val="en-US" w:eastAsia="zh-CN"/>
        </w:rPr>
        <w:t xml:space="preserve"> </w:t>
      </w:r>
      <w:r>
        <w:rPr>
          <w:color w:val="auto"/>
          <w:spacing w:val="0"/>
          <w:w w:val="100"/>
          <w:position w:val="0"/>
          <w:sz w:val="24"/>
          <w:szCs w:val="24"/>
        </w:rPr>
        <w:t>法定代表人：</w:t>
      </w:r>
      <w:r>
        <w:rPr>
          <w:color w:val="auto"/>
          <w:u w:val="single"/>
        </w:rPr>
        <w:t xml:space="preserve"> </w:t>
      </w:r>
      <w:r>
        <w:rPr>
          <w:color w:val="auto"/>
          <w:u w:val="single"/>
        </w:rPr>
        <w:tab/>
      </w:r>
      <w:r>
        <w:rPr>
          <w:color w:val="auto"/>
          <w:spacing w:val="0"/>
          <w:w w:val="100"/>
          <w:position w:val="0"/>
          <w:sz w:val="24"/>
          <w:szCs w:val="24"/>
        </w:rPr>
        <w:t xml:space="preserve"> （电子签章） </w:t>
      </w:r>
      <w:r>
        <w:rPr>
          <w:rFonts w:hint="eastAsia"/>
          <w:color w:val="auto"/>
          <w:spacing w:val="0"/>
          <w:w w:val="100"/>
          <w:position w:val="0"/>
          <w:sz w:val="24"/>
          <w:szCs w:val="24"/>
          <w:lang w:val="en-US" w:eastAsia="zh-CN"/>
        </w:rPr>
        <w:t xml:space="preserve">   </w:t>
      </w:r>
    </w:p>
    <w:p w14:paraId="1A463B22">
      <w:pPr>
        <w:pStyle w:val="30"/>
        <w:keepNext w:val="0"/>
        <w:keepLines w:val="0"/>
        <w:widowControl w:val="0"/>
        <w:shd w:val="clear" w:color="auto" w:fill="auto"/>
        <w:tabs>
          <w:tab w:val="left" w:pos="7550"/>
        </w:tabs>
        <w:bidi w:val="0"/>
        <w:spacing w:before="0" w:after="120" w:line="442" w:lineRule="exact"/>
        <w:ind w:left="5040" w:right="240" w:firstLine="0"/>
        <w:jc w:val="right"/>
        <w:rPr>
          <w:color w:val="auto"/>
          <w:spacing w:val="0"/>
          <w:w w:val="100"/>
          <w:position w:val="0"/>
          <w:sz w:val="24"/>
          <w:szCs w:val="24"/>
        </w:rPr>
      </w:pPr>
      <w:r>
        <w:rPr>
          <w:rFonts w:hint="eastAsia" w:ascii="宋体" w:hAnsi="宋体" w:eastAsia="宋体" w:cs="宋体"/>
          <w:color w:val="000000"/>
          <w:sz w:val="24"/>
          <w:szCs w:val="24"/>
          <w:highlight w:val="none"/>
        </w:rPr>
        <w:t>供应商</w:t>
      </w:r>
      <w:r>
        <w:rPr>
          <w:color w:val="auto"/>
          <w:spacing w:val="0"/>
          <w:w w:val="100"/>
          <w:position w:val="0"/>
          <w:sz w:val="24"/>
          <w:szCs w:val="24"/>
        </w:rPr>
        <w:t>全称：</w:t>
      </w:r>
      <w:r>
        <w:rPr>
          <w:color w:val="auto"/>
          <w:u w:val="single"/>
        </w:rPr>
        <w:t xml:space="preserve"> </w:t>
      </w:r>
      <w:r>
        <w:rPr>
          <w:color w:val="auto"/>
          <w:u w:val="single"/>
        </w:rPr>
        <w:tab/>
      </w:r>
      <w:r>
        <w:rPr>
          <w:color w:val="auto"/>
          <w:spacing w:val="0"/>
          <w:w w:val="100"/>
          <w:position w:val="0"/>
          <w:sz w:val="24"/>
          <w:szCs w:val="24"/>
        </w:rPr>
        <w:t xml:space="preserve">（电子签章） </w:t>
      </w:r>
    </w:p>
    <w:p w14:paraId="65989D57">
      <w:pPr>
        <w:pStyle w:val="30"/>
        <w:keepNext w:val="0"/>
        <w:keepLines w:val="0"/>
        <w:widowControl w:val="0"/>
        <w:shd w:val="clear" w:color="auto" w:fill="auto"/>
        <w:tabs>
          <w:tab w:val="left" w:pos="7550"/>
        </w:tabs>
        <w:bidi w:val="0"/>
        <w:spacing w:before="0" w:after="120" w:line="442" w:lineRule="exact"/>
        <w:ind w:left="5040" w:right="240" w:firstLine="0"/>
        <w:jc w:val="right"/>
        <w:rPr>
          <w:rFonts w:hint="eastAsia"/>
          <w:color w:val="auto"/>
          <w:spacing w:val="0"/>
          <w:w w:val="100"/>
          <w:position w:val="0"/>
          <w:sz w:val="24"/>
          <w:szCs w:val="24"/>
          <w:lang w:val="zh-CN" w:eastAsia="zh-CN" w:bidi="zh-CN"/>
        </w:rPr>
      </w:pPr>
      <w:r>
        <w:rPr>
          <w:color w:val="auto"/>
          <w:spacing w:val="0"/>
          <w:w w:val="100"/>
          <w:position w:val="0"/>
          <w:sz w:val="24"/>
          <w:szCs w:val="24"/>
        </w:rPr>
        <w:t>年</w:t>
      </w:r>
      <w:r>
        <w:rPr>
          <w:color w:val="auto"/>
          <w:spacing w:val="0"/>
          <w:w w:val="100"/>
          <w:position w:val="0"/>
          <w:sz w:val="24"/>
          <w:szCs w:val="24"/>
          <w:lang w:val="zh-CN" w:eastAsia="zh-CN" w:bidi="zh-CN"/>
        </w:rPr>
        <w:t>月</w:t>
      </w:r>
      <w:r>
        <w:rPr>
          <w:rFonts w:hint="eastAsia"/>
          <w:color w:val="auto"/>
          <w:spacing w:val="0"/>
          <w:w w:val="100"/>
          <w:position w:val="0"/>
          <w:sz w:val="24"/>
          <w:szCs w:val="24"/>
          <w:lang w:val="zh-CN" w:eastAsia="zh-CN" w:bidi="zh-CN"/>
        </w:rPr>
        <w:t>日</w:t>
      </w:r>
    </w:p>
    <w:p w14:paraId="1E7C004C">
      <w:pPr>
        <w:widowControl/>
        <w:shd w:val="clear" w:color="auto" w:fill="auto"/>
        <w:spacing w:line="360" w:lineRule="auto"/>
        <w:rPr>
          <w:rFonts w:hint="eastAsia" w:ascii="Times New Roman" w:hAnsi="Times New Roman" w:eastAsia="Times New Roman" w:cs="宋体"/>
          <w:strike w:val="0"/>
          <w:dstrike w:val="0"/>
          <w:color w:val="auto"/>
          <w:sz w:val="24"/>
          <w:szCs w:val="22"/>
          <w:highlight w:val="none"/>
          <w:lang w:val="zh-CN" w:eastAsia="zh-CN"/>
        </w:rPr>
      </w:pPr>
    </w:p>
    <w:p w14:paraId="05116941">
      <w:pPr>
        <w:widowControl/>
        <w:shd w:val="clear" w:color="auto" w:fill="auto"/>
        <w:spacing w:line="360" w:lineRule="auto"/>
        <w:rPr>
          <w:rFonts w:hint="eastAsia" w:ascii="Times New Roman" w:hAnsi="Times New Roman" w:eastAsia="Times New Roman" w:cs="宋体"/>
          <w:strike w:val="0"/>
          <w:dstrike w:val="0"/>
          <w:color w:val="auto"/>
          <w:sz w:val="24"/>
          <w:szCs w:val="22"/>
          <w:highlight w:val="none"/>
        </w:rPr>
      </w:pPr>
      <w:r>
        <w:rPr>
          <w:rFonts w:hint="eastAsia" w:ascii="Times New Roman" w:hAnsi="Times New Roman" w:eastAsia="Times New Roman" w:cs="宋体"/>
          <w:strike w:val="0"/>
          <w:dstrike w:val="0"/>
          <w:color w:val="auto"/>
          <w:sz w:val="24"/>
          <w:szCs w:val="22"/>
          <w:highlight w:val="none"/>
          <w:lang w:val="zh-CN" w:eastAsia="zh-CN"/>
        </w:rPr>
        <w:t>注：</w:t>
      </w:r>
      <w:r>
        <w:rPr>
          <w:rFonts w:hint="eastAsia" w:ascii="Times New Roman" w:hAnsi="Times New Roman" w:eastAsia="Times New Roman" w:cs="宋体"/>
          <w:strike w:val="0"/>
          <w:dstrike w:val="0"/>
          <w:color w:val="auto"/>
          <w:sz w:val="24"/>
          <w:szCs w:val="22"/>
          <w:highlight w:val="none"/>
          <w:lang w:val="en-US" w:eastAsia="zh-CN"/>
        </w:rPr>
        <w:t>1、</w:t>
      </w:r>
      <w:r>
        <w:rPr>
          <w:rFonts w:hint="eastAsia" w:ascii="Times New Roman" w:hAnsi="Times New Roman" w:eastAsia="Times New Roman" w:cs="宋体"/>
          <w:strike w:val="0"/>
          <w:dstrike w:val="0"/>
          <w:color w:val="auto"/>
          <w:sz w:val="24"/>
          <w:szCs w:val="22"/>
          <w:highlight w:val="none"/>
        </w:rPr>
        <w:t>服务内容、响应要求，由供应商根据招标文件</w:t>
      </w:r>
      <w:r>
        <w:rPr>
          <w:rFonts w:hint="eastAsia" w:ascii="Times New Roman" w:hAnsi="Times New Roman" w:eastAsia="Times New Roman" w:cs="宋体"/>
          <w:strike w:val="0"/>
          <w:dstrike w:val="0"/>
          <w:color w:val="auto"/>
          <w:sz w:val="24"/>
          <w:szCs w:val="22"/>
          <w:highlight w:val="none"/>
          <w:lang w:val="zh-CN" w:eastAsia="zh-CN"/>
        </w:rPr>
        <w:t>“附件</w:t>
      </w:r>
      <w:r>
        <w:rPr>
          <w:rFonts w:hint="eastAsia" w:ascii="Times New Roman" w:hAnsi="Times New Roman" w:eastAsia="宋体" w:cs="宋体"/>
          <w:strike w:val="0"/>
          <w:dstrike w:val="0"/>
          <w:color w:val="auto"/>
          <w:sz w:val="24"/>
          <w:szCs w:val="22"/>
          <w:highlight w:val="none"/>
          <w:lang w:val="en-US" w:eastAsia="zh-CN"/>
        </w:rPr>
        <w:t>3</w:t>
      </w:r>
      <w:r>
        <w:rPr>
          <w:rFonts w:hint="eastAsia" w:ascii="Times New Roman" w:hAnsi="Times New Roman" w:eastAsia="Times New Roman" w:cs="宋体"/>
          <w:strike w:val="0"/>
          <w:dstrike w:val="0"/>
          <w:color w:val="auto"/>
          <w:sz w:val="24"/>
          <w:szCs w:val="22"/>
          <w:highlight w:val="none"/>
        </w:rPr>
        <w:t>：</w:t>
      </w:r>
      <w:r>
        <w:rPr>
          <w:rFonts w:hint="eastAsia" w:ascii="Times New Roman" w:hAnsi="Times New Roman" w:eastAsia="宋体" w:cs="宋体"/>
          <w:strike w:val="0"/>
          <w:dstrike w:val="0"/>
          <w:color w:val="auto"/>
          <w:sz w:val="24"/>
          <w:szCs w:val="22"/>
          <w:highlight w:val="none"/>
          <w:lang w:eastAsia="zh-CN"/>
        </w:rPr>
        <w:t>采购需求</w:t>
      </w:r>
      <w:r>
        <w:rPr>
          <w:rFonts w:hint="eastAsia" w:ascii="Times New Roman" w:hAnsi="Times New Roman" w:eastAsia="Times New Roman" w:cs="宋体"/>
          <w:strike w:val="0"/>
          <w:dstrike w:val="0"/>
          <w:color w:val="auto"/>
          <w:sz w:val="24"/>
          <w:szCs w:val="22"/>
          <w:highlight w:val="none"/>
          <w:lang w:val="zh-CN" w:eastAsia="zh-CN"/>
        </w:rPr>
        <w:t>”</w:t>
      </w:r>
      <w:r>
        <w:rPr>
          <w:rFonts w:hint="eastAsia" w:ascii="Times New Roman" w:hAnsi="Times New Roman" w:eastAsia="Times New Roman" w:cs="宋体"/>
          <w:strike w:val="0"/>
          <w:dstrike w:val="0"/>
          <w:color w:val="auto"/>
          <w:sz w:val="24"/>
          <w:szCs w:val="22"/>
          <w:highlight w:val="none"/>
        </w:rPr>
        <w:t>自行提供。</w:t>
      </w:r>
    </w:p>
    <w:p w14:paraId="327356AF">
      <w:pPr>
        <w:widowControl/>
        <w:shd w:val="clear" w:color="auto" w:fill="auto"/>
        <w:spacing w:line="360" w:lineRule="auto"/>
        <w:ind w:firstLine="480" w:firstLineChars="200"/>
        <w:rPr>
          <w:rFonts w:hint="default" w:ascii="宋体" w:hAnsi="宋体" w:eastAsia="宋体" w:cs="宋体"/>
          <w:color w:val="000000"/>
          <w:sz w:val="28"/>
          <w:szCs w:val="28"/>
          <w:lang w:val="en-US" w:eastAsia="zh-CN"/>
        </w:rPr>
      </w:pPr>
      <w:r>
        <w:rPr>
          <w:rFonts w:hint="eastAsia" w:ascii="Times New Roman" w:hAnsi="Times New Roman" w:eastAsia="宋体" w:cs="宋体"/>
          <w:strike w:val="0"/>
          <w:dstrike w:val="0"/>
          <w:color w:val="auto"/>
          <w:sz w:val="24"/>
          <w:szCs w:val="22"/>
          <w:highlight w:val="none"/>
          <w:lang w:val="en-US" w:eastAsia="zh-CN"/>
        </w:rPr>
        <w:t>2、</w:t>
      </w:r>
      <w:r>
        <w:rPr>
          <w:rFonts w:hint="eastAsia" w:ascii="Times New Roman" w:hAnsi="Times New Roman" w:eastAsia="Times New Roman" w:cs="宋体"/>
          <w:strike w:val="0"/>
          <w:dstrike w:val="0"/>
          <w:color w:val="auto"/>
          <w:sz w:val="24"/>
          <w:szCs w:val="22"/>
          <w:highlight w:val="none"/>
          <w:lang w:val="zh-CN" w:eastAsia="zh-CN"/>
        </w:rPr>
        <w:t>“偏</w:t>
      </w:r>
      <w:r>
        <w:rPr>
          <w:rFonts w:hint="eastAsia" w:ascii="Times New Roman" w:hAnsi="Times New Roman" w:eastAsia="Times New Roman" w:cs="宋体"/>
          <w:strike w:val="0"/>
          <w:dstrike w:val="0"/>
          <w:color w:val="auto"/>
          <w:sz w:val="24"/>
          <w:szCs w:val="22"/>
          <w:highlight w:val="none"/>
        </w:rPr>
        <w:t>离”系指</w:t>
      </w:r>
      <w:r>
        <w:rPr>
          <w:rFonts w:hint="eastAsia" w:ascii="Times New Roman" w:hAnsi="Times New Roman" w:eastAsia="Times New Roman" w:cs="宋体"/>
          <w:strike w:val="0"/>
          <w:dstrike w:val="0"/>
          <w:color w:val="auto"/>
          <w:sz w:val="24"/>
          <w:szCs w:val="22"/>
          <w:highlight w:val="none"/>
          <w:lang w:val="zh-CN" w:eastAsia="zh-CN"/>
        </w:rPr>
        <w:t>“正</w:t>
      </w:r>
      <w:r>
        <w:rPr>
          <w:rFonts w:hint="eastAsia" w:ascii="Times New Roman" w:hAnsi="Times New Roman" w:eastAsia="Times New Roman" w:cs="宋体"/>
          <w:strike w:val="0"/>
          <w:dstrike w:val="0"/>
          <w:color w:val="auto"/>
          <w:sz w:val="24"/>
          <w:szCs w:val="22"/>
          <w:highlight w:val="none"/>
        </w:rPr>
        <w:t>偏离”、</w:t>
      </w:r>
      <w:r>
        <w:rPr>
          <w:rFonts w:hint="eastAsia" w:ascii="Times New Roman" w:hAnsi="Times New Roman" w:eastAsia="Times New Roman" w:cs="宋体"/>
          <w:strike w:val="0"/>
          <w:dstrike w:val="0"/>
          <w:color w:val="auto"/>
          <w:sz w:val="24"/>
          <w:szCs w:val="22"/>
          <w:highlight w:val="none"/>
          <w:lang w:val="zh-CN" w:eastAsia="zh-CN"/>
        </w:rPr>
        <w:t>“负</w:t>
      </w:r>
      <w:r>
        <w:rPr>
          <w:rFonts w:hint="eastAsia" w:ascii="Times New Roman" w:hAnsi="Times New Roman" w:eastAsia="Times New Roman" w:cs="宋体"/>
          <w:strike w:val="0"/>
          <w:dstrike w:val="0"/>
          <w:color w:val="auto"/>
          <w:sz w:val="24"/>
          <w:szCs w:val="22"/>
          <w:highlight w:val="none"/>
        </w:rPr>
        <w:t>偏离”或</w:t>
      </w:r>
      <w:r>
        <w:rPr>
          <w:rFonts w:hint="eastAsia" w:ascii="Times New Roman" w:hAnsi="Times New Roman" w:eastAsia="Times New Roman" w:cs="宋体"/>
          <w:strike w:val="0"/>
          <w:dstrike w:val="0"/>
          <w:color w:val="auto"/>
          <w:sz w:val="24"/>
          <w:szCs w:val="22"/>
          <w:highlight w:val="none"/>
          <w:lang w:val="zh-CN" w:eastAsia="zh-CN"/>
        </w:rPr>
        <w:t>“无</w:t>
      </w:r>
      <w:r>
        <w:rPr>
          <w:rFonts w:hint="eastAsia" w:ascii="Times New Roman" w:hAnsi="Times New Roman" w:eastAsia="Times New Roman" w:cs="宋体"/>
          <w:strike w:val="0"/>
          <w:dstrike w:val="0"/>
          <w:color w:val="auto"/>
          <w:sz w:val="24"/>
          <w:szCs w:val="22"/>
          <w:highlight w:val="none"/>
        </w:rPr>
        <w:t>偏离”</w:t>
      </w:r>
    </w:p>
    <w:sectPr>
      <w:pgSz w:w="11910" w:h="16840"/>
      <w:pgMar w:top="1440" w:right="1080" w:bottom="1440" w:left="1080" w:header="0" w:footer="850"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5C46E">
    <w:pPr>
      <w:pStyle w:val="9"/>
      <w:ind w:firstLine="4320" w:firstLineChars="240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B07649">
                          <w:pPr>
                            <w:pStyle w:val="9"/>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00B07649">
                    <w:pPr>
                      <w:pStyle w:val="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373F8">
    <w:pPr>
      <w:pStyle w:val="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4A1C50">
                          <w:pPr>
                            <w:pStyle w:val="9"/>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544A1C50">
                    <w:pPr>
                      <w:pStyle w:val="9"/>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5AF0E">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28C592">
                          <w:pPr>
                            <w:pStyle w:val="9"/>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2828C592">
                    <w:pPr>
                      <w:pStyle w:val="9"/>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6FFA6">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6AE3A0">
                          <w:pPr>
                            <w:pStyle w:val="9"/>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14:paraId="1D6AE3A0">
                    <w:pPr>
                      <w:pStyle w:val="9"/>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CDB1134">
                          <w:pPr>
                            <w:pStyle w:val="9"/>
                            <w:rPr>
                              <w:rFonts w:hint="eastAsia" w:ascii="宋体" w:hAnsi="宋体" w:eastAsia="宋体" w:cs="宋体"/>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Ccexf0QEAAKIDAAAOAAAAAAAAAAEAIAAAAB8BAABk&#10;cnMvZTJvRG9jLnhtbFBLBQYAAAAABgAGAFkBAABiBQAAAAA=&#10;">
              <v:path/>
              <v:fill on="f" focussize="0,0"/>
              <v:stroke on="f" weight="0.5pt"/>
              <v:imagedata o:title=""/>
              <o:lock v:ext="edit"/>
              <v:textbox inset="0mm,0mm,0mm,0mm" style="mso-fit-shape-to-text:t;">
                <w:txbxContent>
                  <w:p w14:paraId="6CDB1134">
                    <w:pPr>
                      <w:pStyle w:val="9"/>
                      <w:rPr>
                        <w:rFonts w:hint="eastAsia" w:ascii="宋体" w:hAnsi="宋体" w:eastAsia="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42F58">
    <w:pPr>
      <w:pStyle w:val="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A3198"/>
    <w:multiLevelType w:val="singleLevel"/>
    <w:tmpl w:val="1CBA3198"/>
    <w:lvl w:ilvl="0" w:tentative="0">
      <w:start w:val="1"/>
      <w:numFmt w:val="decimal"/>
      <w:suff w:val="space"/>
      <w:lvlText w:val="%1."/>
      <w:lvlJc w:val="left"/>
    </w:lvl>
  </w:abstractNum>
  <w:abstractNum w:abstractNumId="1">
    <w:nsid w:val="3542716C"/>
    <w:multiLevelType w:val="multilevel"/>
    <w:tmpl w:val="3542716C"/>
    <w:lvl w:ilvl="0" w:tentative="0">
      <w:start w:val="1"/>
      <w:numFmt w:val="decimal"/>
      <w:lvlText w:val="（%1）"/>
      <w:lvlJc w:val="left"/>
      <w:pPr>
        <w:ind w:left="120" w:hanging="705"/>
      </w:pPr>
      <w:rPr>
        <w:rFonts w:hint="default" w:ascii="宋体" w:hAnsi="宋体" w:eastAsia="宋体" w:cs="宋体"/>
        <w:spacing w:val="-20"/>
        <w:w w:val="100"/>
        <w:sz w:val="26"/>
        <w:szCs w:val="26"/>
        <w:lang w:val="zh-CN" w:eastAsia="zh-CN" w:bidi="zh-CN"/>
      </w:rPr>
    </w:lvl>
    <w:lvl w:ilvl="1" w:tentative="0">
      <w:start w:val="0"/>
      <w:numFmt w:val="bullet"/>
      <w:lvlText w:val="•"/>
      <w:lvlJc w:val="left"/>
      <w:pPr>
        <w:ind w:left="1130" w:hanging="705"/>
      </w:pPr>
      <w:rPr>
        <w:rFonts w:hint="default"/>
        <w:lang w:val="zh-CN" w:eastAsia="zh-CN" w:bidi="zh-CN"/>
      </w:rPr>
    </w:lvl>
    <w:lvl w:ilvl="2" w:tentative="0">
      <w:start w:val="0"/>
      <w:numFmt w:val="bullet"/>
      <w:lvlText w:val="•"/>
      <w:lvlJc w:val="left"/>
      <w:pPr>
        <w:ind w:left="2141" w:hanging="705"/>
      </w:pPr>
      <w:rPr>
        <w:rFonts w:hint="default"/>
        <w:lang w:val="zh-CN" w:eastAsia="zh-CN" w:bidi="zh-CN"/>
      </w:rPr>
    </w:lvl>
    <w:lvl w:ilvl="3" w:tentative="0">
      <w:start w:val="0"/>
      <w:numFmt w:val="bullet"/>
      <w:lvlText w:val="•"/>
      <w:lvlJc w:val="left"/>
      <w:pPr>
        <w:ind w:left="3151" w:hanging="705"/>
      </w:pPr>
      <w:rPr>
        <w:rFonts w:hint="default"/>
        <w:lang w:val="zh-CN" w:eastAsia="zh-CN" w:bidi="zh-CN"/>
      </w:rPr>
    </w:lvl>
    <w:lvl w:ilvl="4" w:tentative="0">
      <w:start w:val="0"/>
      <w:numFmt w:val="bullet"/>
      <w:lvlText w:val="•"/>
      <w:lvlJc w:val="left"/>
      <w:pPr>
        <w:ind w:left="4162" w:hanging="705"/>
      </w:pPr>
      <w:rPr>
        <w:rFonts w:hint="default"/>
        <w:lang w:val="zh-CN" w:eastAsia="zh-CN" w:bidi="zh-CN"/>
      </w:rPr>
    </w:lvl>
    <w:lvl w:ilvl="5" w:tentative="0">
      <w:start w:val="0"/>
      <w:numFmt w:val="bullet"/>
      <w:lvlText w:val="•"/>
      <w:lvlJc w:val="left"/>
      <w:pPr>
        <w:ind w:left="5173" w:hanging="705"/>
      </w:pPr>
      <w:rPr>
        <w:rFonts w:hint="default"/>
        <w:lang w:val="zh-CN" w:eastAsia="zh-CN" w:bidi="zh-CN"/>
      </w:rPr>
    </w:lvl>
    <w:lvl w:ilvl="6" w:tentative="0">
      <w:start w:val="0"/>
      <w:numFmt w:val="bullet"/>
      <w:lvlText w:val="•"/>
      <w:lvlJc w:val="left"/>
      <w:pPr>
        <w:ind w:left="6183" w:hanging="705"/>
      </w:pPr>
      <w:rPr>
        <w:rFonts w:hint="default"/>
        <w:lang w:val="zh-CN" w:eastAsia="zh-CN" w:bidi="zh-CN"/>
      </w:rPr>
    </w:lvl>
    <w:lvl w:ilvl="7" w:tentative="0">
      <w:start w:val="0"/>
      <w:numFmt w:val="bullet"/>
      <w:lvlText w:val="•"/>
      <w:lvlJc w:val="left"/>
      <w:pPr>
        <w:ind w:left="7194" w:hanging="705"/>
      </w:pPr>
      <w:rPr>
        <w:rFonts w:hint="default"/>
        <w:lang w:val="zh-CN" w:eastAsia="zh-CN" w:bidi="zh-CN"/>
      </w:rPr>
    </w:lvl>
    <w:lvl w:ilvl="8" w:tentative="0">
      <w:start w:val="0"/>
      <w:numFmt w:val="bullet"/>
      <w:lvlText w:val="•"/>
      <w:lvlJc w:val="left"/>
      <w:pPr>
        <w:ind w:left="8205" w:hanging="705"/>
      </w:pPr>
      <w:rPr>
        <w:rFonts w:hint="default"/>
        <w:lang w:val="zh-CN" w:eastAsia="zh-CN" w:bidi="zh-CN"/>
      </w:rPr>
    </w:lvl>
  </w:abstractNum>
  <w:abstractNum w:abstractNumId="2">
    <w:nsid w:val="444D7C94"/>
    <w:multiLevelType w:val="multilevel"/>
    <w:tmpl w:val="444D7C94"/>
    <w:lvl w:ilvl="0" w:tentative="0">
      <w:start w:val="3"/>
      <w:numFmt w:val="decimal"/>
      <w:lvlText w:val="%1"/>
      <w:lvlJc w:val="left"/>
      <w:pPr>
        <w:ind w:left="405" w:hanging="405"/>
      </w:pPr>
      <w:rPr>
        <w:rFonts w:hint="default"/>
      </w:rPr>
    </w:lvl>
    <w:lvl w:ilvl="1" w:tentative="0">
      <w:start w:val="5"/>
      <w:numFmt w:val="decimal"/>
      <w:lvlText w:val="%1.%2"/>
      <w:lvlJc w:val="left"/>
      <w:pPr>
        <w:ind w:left="877" w:hanging="405"/>
      </w:pPr>
      <w:rPr>
        <w:rFonts w:hint="default"/>
      </w:rPr>
    </w:lvl>
    <w:lvl w:ilvl="2" w:tentative="0">
      <w:start w:val="1"/>
      <w:numFmt w:val="decimal"/>
      <w:lvlText w:val="%1.%2.%3"/>
      <w:lvlJc w:val="left"/>
      <w:pPr>
        <w:ind w:left="1664" w:hanging="720"/>
      </w:pPr>
      <w:rPr>
        <w:rFonts w:hint="default"/>
      </w:rPr>
    </w:lvl>
    <w:lvl w:ilvl="3" w:tentative="0">
      <w:start w:val="1"/>
      <w:numFmt w:val="decimal"/>
      <w:lvlText w:val="%1.%2.%3.%4"/>
      <w:lvlJc w:val="left"/>
      <w:pPr>
        <w:ind w:left="2496" w:hanging="1080"/>
      </w:pPr>
      <w:rPr>
        <w:rFonts w:hint="default"/>
      </w:rPr>
    </w:lvl>
    <w:lvl w:ilvl="4" w:tentative="0">
      <w:start w:val="1"/>
      <w:numFmt w:val="decimal"/>
      <w:lvlText w:val="%1.%2.%3.%4.%5"/>
      <w:lvlJc w:val="left"/>
      <w:pPr>
        <w:ind w:left="2968" w:hanging="1080"/>
      </w:pPr>
      <w:rPr>
        <w:rFonts w:hint="default"/>
      </w:rPr>
    </w:lvl>
    <w:lvl w:ilvl="5" w:tentative="0">
      <w:start w:val="1"/>
      <w:numFmt w:val="decimal"/>
      <w:lvlText w:val="%1.%2.%3.%4.%5.%6"/>
      <w:lvlJc w:val="left"/>
      <w:pPr>
        <w:ind w:left="3800" w:hanging="1440"/>
      </w:pPr>
      <w:rPr>
        <w:rFonts w:hint="default"/>
      </w:rPr>
    </w:lvl>
    <w:lvl w:ilvl="6" w:tentative="0">
      <w:start w:val="1"/>
      <w:numFmt w:val="decimal"/>
      <w:lvlText w:val="%1.%2.%3.%4.%5.%6.%7"/>
      <w:lvlJc w:val="left"/>
      <w:pPr>
        <w:ind w:left="4632" w:hanging="1800"/>
      </w:pPr>
      <w:rPr>
        <w:rFonts w:hint="default"/>
      </w:rPr>
    </w:lvl>
    <w:lvl w:ilvl="7" w:tentative="0">
      <w:start w:val="1"/>
      <w:numFmt w:val="decimal"/>
      <w:lvlText w:val="%1.%2.%3.%4.%5.%6.%7.%8"/>
      <w:lvlJc w:val="left"/>
      <w:pPr>
        <w:ind w:left="5104" w:hanging="1800"/>
      </w:pPr>
      <w:rPr>
        <w:rFonts w:hint="default"/>
      </w:rPr>
    </w:lvl>
    <w:lvl w:ilvl="8" w:tentative="0">
      <w:start w:val="1"/>
      <w:numFmt w:val="decimal"/>
      <w:lvlText w:val="%1.%2.%3.%4.%5.%6.%7.%8.%9"/>
      <w:lvlJc w:val="left"/>
      <w:pPr>
        <w:ind w:left="5936" w:hanging="2160"/>
      </w:pPr>
      <w:rPr>
        <w:rFonts w:hint="default"/>
      </w:rPr>
    </w:lvl>
  </w:abstractNum>
  <w:abstractNum w:abstractNumId="3">
    <w:nsid w:val="4B0E13CD"/>
    <w:multiLevelType w:val="multilevel"/>
    <w:tmpl w:val="4B0E13CD"/>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060EDE"/>
    <w:multiLevelType w:val="singleLevel"/>
    <w:tmpl w:val="5C060EDE"/>
    <w:lvl w:ilvl="0" w:tentative="0">
      <w:start w:val="7"/>
      <w:numFmt w:val="chineseCounting"/>
      <w:suff w:val="space"/>
      <w:lvlText w:val="第%1章"/>
      <w:lvlJc w:val="left"/>
      <w:rPr>
        <w:rFonts w:hint="eastAsia"/>
      </w:rPr>
    </w:lvl>
  </w:abstractNum>
  <w:abstractNum w:abstractNumId="5">
    <w:nsid w:val="7E8F04B4"/>
    <w:multiLevelType w:val="multilevel"/>
    <w:tmpl w:val="7E8F04B4"/>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NzliMGQxMThmMzlmZjJiOTYzMGE1YTUwYTJkYTgifQ=="/>
  </w:docVars>
  <w:rsids>
    <w:rsidRoot w:val="11B609E0"/>
    <w:rsid w:val="00097D25"/>
    <w:rsid w:val="000C2485"/>
    <w:rsid w:val="001C75F4"/>
    <w:rsid w:val="002F0C10"/>
    <w:rsid w:val="004441F5"/>
    <w:rsid w:val="005126B7"/>
    <w:rsid w:val="0066663D"/>
    <w:rsid w:val="007729D8"/>
    <w:rsid w:val="00C67221"/>
    <w:rsid w:val="00DD7F3B"/>
    <w:rsid w:val="00EB74A5"/>
    <w:rsid w:val="00FB71AC"/>
    <w:rsid w:val="030A1285"/>
    <w:rsid w:val="07B648FA"/>
    <w:rsid w:val="0C6A0D75"/>
    <w:rsid w:val="1145112A"/>
    <w:rsid w:val="11B609E0"/>
    <w:rsid w:val="13240DF8"/>
    <w:rsid w:val="16DC1074"/>
    <w:rsid w:val="1890184C"/>
    <w:rsid w:val="1FB36A80"/>
    <w:rsid w:val="216E5C49"/>
    <w:rsid w:val="31FB2552"/>
    <w:rsid w:val="31FB3B4C"/>
    <w:rsid w:val="327F0B6A"/>
    <w:rsid w:val="33F16193"/>
    <w:rsid w:val="36AF1F42"/>
    <w:rsid w:val="3F0D09C6"/>
    <w:rsid w:val="4B500F6E"/>
    <w:rsid w:val="4B5A31C2"/>
    <w:rsid w:val="52C75B7B"/>
    <w:rsid w:val="5C58097A"/>
    <w:rsid w:val="5D1B2846"/>
    <w:rsid w:val="66240F42"/>
    <w:rsid w:val="67E30969"/>
    <w:rsid w:val="67E92373"/>
    <w:rsid w:val="69EC68AC"/>
    <w:rsid w:val="6F1B55D0"/>
    <w:rsid w:val="6FDA73B0"/>
    <w:rsid w:val="75B073FD"/>
    <w:rsid w:val="79234A97"/>
    <w:rsid w:val="7ADE5E1B"/>
    <w:rsid w:val="7CC57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4"/>
    <w:qFormat/>
    <w:uiPriority w:val="0"/>
    <w:pPr>
      <w:keepNext/>
      <w:keepLines/>
      <w:spacing w:before="340" w:after="330" w:line="578" w:lineRule="auto"/>
      <w:outlineLvl w:val="0"/>
    </w:pPr>
    <w:rPr>
      <w:rFonts w:ascii="Times New Roman" w:hAnsi="Times New Roman" w:cs="Times New Roman"/>
      <w:b/>
      <w:bCs/>
      <w:kern w:val="44"/>
      <w:sz w:val="44"/>
      <w:szCs w:val="44"/>
      <w:lang w:bidi="ar-SA"/>
    </w:rPr>
  </w:style>
  <w:style w:type="paragraph" w:styleId="5">
    <w:name w:val="heading 2"/>
    <w:basedOn w:val="1"/>
    <w:next w:val="1"/>
    <w:qFormat/>
    <w:uiPriority w:val="0"/>
    <w:pPr>
      <w:keepNext/>
      <w:keepLines/>
      <w:spacing w:line="413" w:lineRule="auto"/>
      <w:outlineLvl w:val="1"/>
    </w:pPr>
    <w:rPr>
      <w:rFonts w:ascii="Times New Roman" w:hAnsi="Times New Roman" w:eastAsia="楷体" w:cs="Times New Roman"/>
      <w:b/>
      <w:kern w:val="2"/>
      <w:sz w:val="32"/>
      <w:lang w:val="en-US"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rPr>
      <w:rFonts w:ascii="Calibri" w:hAnsi="Calibri" w:eastAsia="宋体" w:cs="Times New Roman"/>
    </w:rPr>
  </w:style>
  <w:style w:type="paragraph" w:customStyle="1" w:styleId="3">
    <w:name w:val="正文 New New New New New"/>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Normal Indent"/>
    <w:basedOn w:val="1"/>
    <w:next w:val="7"/>
    <w:qFormat/>
    <w:uiPriority w:val="0"/>
    <w:pPr>
      <w:ind w:firstLine="420"/>
    </w:pPr>
    <w:rPr>
      <w:rFonts w:ascii="宋体"/>
    </w:rPr>
  </w:style>
  <w:style w:type="paragraph" w:styleId="7">
    <w:name w:val="Body Text"/>
    <w:basedOn w:val="1"/>
    <w:next w:val="1"/>
    <w:qFormat/>
    <w:uiPriority w:val="1"/>
    <w:rPr>
      <w:sz w:val="28"/>
      <w:szCs w:val="28"/>
    </w:rPr>
  </w:style>
  <w:style w:type="paragraph" w:styleId="8">
    <w:name w:val="Plain Text"/>
    <w:basedOn w:val="1"/>
    <w:unhideWhenUsed/>
    <w:qFormat/>
    <w:uiPriority w:val="99"/>
    <w:rPr>
      <w:rFonts w:hAnsi="Courier New"/>
      <w:szCs w:val="21"/>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0782C1"/>
      <w:u w:val="single"/>
    </w:rPr>
  </w:style>
  <w:style w:type="character" w:styleId="17">
    <w:name w:val="Hyperlink"/>
    <w:basedOn w:val="15"/>
    <w:qFormat/>
    <w:uiPriority w:val="0"/>
    <w:rPr>
      <w:color w:val="0782C1"/>
      <w:u w:val="single"/>
    </w:rPr>
  </w:style>
  <w:style w:type="character" w:styleId="18">
    <w:name w:val="HTML Sample"/>
    <w:basedOn w:val="15"/>
    <w:qFormat/>
    <w:uiPriority w:val="0"/>
    <w:rPr>
      <w:rFonts w:ascii="Courier New" w:hAnsi="Courier New"/>
    </w:rPr>
  </w:style>
  <w:style w:type="character" w:customStyle="1" w:styleId="19">
    <w:name w:val="页眉 Char"/>
    <w:basedOn w:val="15"/>
    <w:link w:val="10"/>
    <w:qFormat/>
    <w:uiPriority w:val="0"/>
    <w:rPr>
      <w:rFonts w:asciiTheme="minorHAnsi" w:hAnsiTheme="minorHAnsi" w:eastAsiaTheme="minorEastAsia" w:cstheme="minorBidi"/>
      <w:kern w:val="2"/>
      <w:sz w:val="18"/>
      <w:szCs w:val="18"/>
    </w:rPr>
  </w:style>
  <w:style w:type="character" w:customStyle="1" w:styleId="20">
    <w:name w:val="页脚 Char"/>
    <w:basedOn w:val="15"/>
    <w:link w:val="9"/>
    <w:qFormat/>
    <w:uiPriority w:val="0"/>
    <w:rPr>
      <w:rFonts w:asciiTheme="minorHAnsi" w:hAnsiTheme="minorHAnsi" w:eastAsiaTheme="minorEastAsia" w:cstheme="minorBidi"/>
      <w:kern w:val="2"/>
      <w:sz w:val="18"/>
      <w:szCs w:val="18"/>
    </w:rPr>
  </w:style>
  <w:style w:type="paragraph" w:customStyle="1" w:styleId="21">
    <w:name w:val="列出段落1"/>
    <w:basedOn w:val="1"/>
    <w:qFormat/>
    <w:uiPriority w:val="1"/>
    <w:pPr>
      <w:ind w:left="120" w:firstLine="559"/>
    </w:pPr>
  </w:style>
  <w:style w:type="paragraph" w:customStyle="1" w:styleId="22">
    <w:name w:val="标题 51"/>
    <w:basedOn w:val="1"/>
    <w:qFormat/>
    <w:uiPriority w:val="1"/>
    <w:pPr>
      <w:ind w:left="138" w:hanging="426"/>
      <w:outlineLvl w:val="5"/>
    </w:pPr>
    <w:rPr>
      <w:b/>
      <w:bCs/>
      <w:sz w:val="28"/>
      <w:szCs w:val="28"/>
    </w:rPr>
  </w:style>
  <w:style w:type="paragraph" w:styleId="23">
    <w:name w:val="List Paragraph"/>
    <w:basedOn w:val="1"/>
    <w:qFormat/>
    <w:uiPriority w:val="1"/>
    <w:pPr>
      <w:ind w:firstLine="420" w:firstLineChars="200"/>
    </w:pPr>
  </w:style>
  <w:style w:type="character" w:customStyle="1" w:styleId="24">
    <w:name w:val="标题 1 字符"/>
    <w:link w:val="4"/>
    <w:qFormat/>
    <w:uiPriority w:val="0"/>
    <w:rPr>
      <w:rFonts w:ascii="Times New Roman" w:hAnsi="Times New Roman" w:cs="Times New Roman"/>
      <w:b/>
      <w:bCs/>
      <w:kern w:val="44"/>
      <w:sz w:val="44"/>
      <w:szCs w:val="44"/>
      <w:lang w:bidi="ar-SA"/>
    </w:rPr>
  </w:style>
  <w:style w:type="paragraph" w:customStyle="1" w:styleId="2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6">
    <w:name w:val="彩色列表 - 强调文字颜色 11"/>
    <w:basedOn w:val="1"/>
    <w:next w:val="1"/>
    <w:qFormat/>
    <w:uiPriority w:val="0"/>
    <w:pPr>
      <w:ind w:firstLine="420" w:firstLineChars="200"/>
    </w:pPr>
    <w:rPr>
      <w:rFonts w:ascii="Calibri" w:hAnsi="Calibri"/>
      <w:szCs w:val="22"/>
    </w:rPr>
  </w:style>
  <w:style w:type="paragraph" w:customStyle="1" w:styleId="27">
    <w:name w:val="Heading2"/>
    <w:basedOn w:val="1"/>
    <w:next w:val="1"/>
    <w:qFormat/>
    <w:uiPriority w:val="0"/>
    <w:pPr>
      <w:keepNext/>
      <w:keepLines/>
      <w:spacing w:line="413" w:lineRule="auto"/>
      <w:jc w:val="both"/>
      <w:textAlignment w:val="baseline"/>
    </w:pPr>
    <w:rPr>
      <w:rFonts w:ascii="Arial" w:hAnsi="Arial" w:eastAsia="黑体"/>
      <w:b/>
      <w:kern w:val="2"/>
      <w:sz w:val="32"/>
      <w:szCs w:val="24"/>
      <w:lang w:val="en-US" w:eastAsia="zh-CN" w:bidi="ar-SA"/>
    </w:rPr>
  </w:style>
  <w:style w:type="paragraph" w:customStyle="1" w:styleId="28">
    <w:name w:val="Heading #2|1"/>
    <w:basedOn w:val="1"/>
    <w:qFormat/>
    <w:uiPriority w:val="0"/>
    <w:pPr>
      <w:widowControl w:val="0"/>
      <w:shd w:val="clear" w:color="auto" w:fill="auto"/>
      <w:spacing w:line="479" w:lineRule="exact"/>
      <w:outlineLvl w:val="1"/>
    </w:pPr>
    <w:rPr>
      <w:rFonts w:ascii="宋体" w:hAnsi="宋体" w:eastAsia="宋体" w:cs="宋体"/>
      <w:u w:val="none"/>
      <w:shd w:val="clear" w:color="auto" w:fill="auto"/>
      <w:lang w:val="zh-TW" w:eastAsia="zh-TW" w:bidi="zh-TW"/>
    </w:rPr>
  </w:style>
  <w:style w:type="paragraph" w:customStyle="1" w:styleId="29">
    <w:name w:val="Other|1"/>
    <w:basedOn w:val="1"/>
    <w:qFormat/>
    <w:uiPriority w:val="0"/>
    <w:pPr>
      <w:widowControl w:val="0"/>
      <w:shd w:val="clear" w:color="auto" w:fill="auto"/>
      <w:spacing w:line="420" w:lineRule="auto"/>
    </w:pPr>
    <w:rPr>
      <w:rFonts w:ascii="宋体" w:hAnsi="宋体" w:eastAsia="宋体" w:cs="宋体"/>
      <w:u w:val="none"/>
      <w:shd w:val="clear" w:color="auto" w:fill="auto"/>
      <w:lang w:val="zh-TW" w:eastAsia="zh-TW" w:bidi="zh-TW"/>
    </w:rPr>
  </w:style>
  <w:style w:type="paragraph" w:customStyle="1" w:styleId="30">
    <w:name w:val="Body text|1"/>
    <w:basedOn w:val="1"/>
    <w:qFormat/>
    <w:uiPriority w:val="0"/>
    <w:pPr>
      <w:widowControl w:val="0"/>
      <w:shd w:val="clear" w:color="auto" w:fill="auto"/>
      <w:spacing w:line="420" w:lineRule="auto"/>
    </w:pPr>
    <w:rPr>
      <w:rFonts w:ascii="宋体" w:hAnsi="宋体" w:eastAsia="宋体" w:cs="宋体"/>
      <w:u w:val="none"/>
      <w:shd w:val="clear" w:color="auto" w:fill="auto"/>
      <w:lang w:val="zh-TW" w:eastAsia="zh-TW" w:bidi="zh-TW"/>
    </w:rPr>
  </w:style>
  <w:style w:type="paragraph" w:customStyle="1" w:styleId="31">
    <w:name w:val="Table Text"/>
    <w:basedOn w:val="1"/>
    <w:semiHidden/>
    <w:qFormat/>
    <w:uiPriority w:val="0"/>
    <w:rPr>
      <w:rFonts w:ascii="仿宋" w:hAnsi="仿宋" w:eastAsia="仿宋" w:cs="仿宋"/>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4687</Words>
  <Characters>5116</Characters>
  <Lines>1</Lines>
  <Paragraphs>1</Paragraphs>
  <TotalTime>0</TotalTime>
  <ScaleCrop>false</ScaleCrop>
  <LinksUpToDate>false</LinksUpToDate>
  <CharactersWithSpaces>5212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2022-05-25T08:29:00Z</dcterms:created>
  <dc:creator>Administrator</dc:creator>
  <cp:lastModifiedBy>Yh123456</cp:lastModifiedBy>
  <cp:lastPrinted>2022-05-31T16:03:00Z</cp:lastPrinted>
  <dcterms:modified xsi:type="dcterms:W3CDTF">2025-11-24T03:39:46Z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D42F9F0B73BA41A0A13EFD43232D04CD</vt:lpwstr>
  </property>
  <property fmtid="{D5CDD505-2E9C-101B-9397-08002B2CF9AE}" pid="4" name="KSOTemplateDocerSaveRecord">
    <vt:lpwstr>eyJoZGlkIjoiMjVkMWFjNzFiNjcxODFjMTYxN2U0Y2ZhMmJlODI3ZjUiLCJ1c2VySWQiOiIxMzcxNTI2MTM2In0=</vt:lpwstr>
  </property>
</Properties>
</file>