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ordWrap w:val="0"/>
        <w:adjustRightInd w:val="0"/>
        <w:snapToGrid w:val="0"/>
        <w:jc w:val="right"/>
        <w:rPr>
          <w:rFonts w:ascii="宋体"/>
          <w:b/>
          <w:spacing w:val="30"/>
          <w:szCs w:val="21"/>
        </w:rPr>
      </w:pPr>
      <w:r>
        <w:rPr>
          <w:rFonts w:hint="eastAsia" w:ascii="黑体" w:hAnsi="黑体" w:eastAsia="黑体"/>
          <w:b/>
          <w:bCs/>
          <w:sz w:val="24"/>
          <w:szCs w:val="21"/>
        </w:rPr>
        <w:t xml:space="preserve">                                                           </w:t>
      </w:r>
      <w:r>
        <w:rPr>
          <w:rFonts w:hint="eastAsia" w:ascii="宋体" w:hAnsi="宋体" w:cs="仿宋_GB2312"/>
          <w:b/>
          <w:bCs/>
          <w:color w:val="000000"/>
          <w:sz w:val="28"/>
          <w:szCs w:val="28"/>
        </w:rPr>
        <w:t xml:space="preserve">           </w:t>
      </w:r>
    </w:p>
    <w:p>
      <w:pPr>
        <w:wordWrap w:val="0"/>
        <w:adjustRightInd w:val="0"/>
        <w:snapToGrid w:val="0"/>
        <w:jc w:val="right"/>
        <w:rPr>
          <w:rFonts w:ascii="黑体" w:eastAsia="黑体"/>
          <w:b/>
          <w:spacing w:val="30"/>
          <w:sz w:val="52"/>
          <w:szCs w:val="52"/>
          <w:u w:val="single"/>
        </w:rPr>
      </w:pPr>
      <w:r>
        <w:rPr>
          <w:rFonts w:hint="eastAsia" w:ascii="黑体" w:hAnsi="黑体" w:eastAsia="黑体"/>
          <w:b/>
          <w:bCs/>
          <w:sz w:val="24"/>
          <w:szCs w:val="21"/>
        </w:rPr>
        <w:t xml:space="preserve">                     </w:t>
      </w:r>
      <w:r>
        <w:rPr>
          <w:rFonts w:ascii="宋体" w:hAnsi="宋体" w:cs="仿宋_GB2312"/>
          <w:b/>
          <w:bCs/>
          <w:sz w:val="28"/>
          <w:szCs w:val="28"/>
        </w:rPr>
        <w:t xml:space="preserve"> </w:t>
      </w:r>
    </w:p>
    <w:p>
      <w:pPr>
        <w:adjustRightInd w:val="0"/>
        <w:snapToGrid w:val="0"/>
        <w:jc w:val="center"/>
        <w:rPr>
          <w:rFonts w:ascii="黑体" w:eastAsia="黑体"/>
          <w:b/>
          <w:spacing w:val="30"/>
          <w:sz w:val="52"/>
          <w:szCs w:val="52"/>
        </w:rPr>
      </w:pPr>
      <w:r>
        <w:rPr>
          <w:rFonts w:hint="eastAsia" w:ascii="黑体" w:eastAsia="黑体"/>
          <w:b/>
          <w:spacing w:val="30"/>
          <w:sz w:val="52"/>
          <w:szCs w:val="52"/>
        </w:rPr>
        <w:t xml:space="preserve"> 建筑消防（智慧消防）设施</w:t>
      </w:r>
    </w:p>
    <w:p>
      <w:pPr>
        <w:adjustRightInd w:val="0"/>
        <w:snapToGrid w:val="0"/>
        <w:jc w:val="center"/>
        <w:rPr>
          <w:rFonts w:ascii="黑体" w:eastAsia="黑体"/>
          <w:b/>
          <w:spacing w:val="30"/>
          <w:sz w:val="52"/>
          <w:szCs w:val="52"/>
        </w:rPr>
      </w:pPr>
    </w:p>
    <w:p>
      <w:pPr>
        <w:adjustRightInd w:val="0"/>
        <w:snapToGrid w:val="0"/>
        <w:rPr>
          <w:rFonts w:ascii="黑体" w:eastAsia="黑体"/>
          <w:b/>
          <w:spacing w:val="30"/>
          <w:sz w:val="52"/>
          <w:szCs w:val="52"/>
        </w:rPr>
      </w:pPr>
    </w:p>
    <w:p>
      <w:pPr>
        <w:jc w:val="center"/>
        <w:rPr>
          <w:rFonts w:ascii="黑体" w:eastAsia="黑体"/>
          <w:b/>
          <w:sz w:val="84"/>
          <w:szCs w:val="84"/>
        </w:rPr>
      </w:pPr>
      <w:r>
        <w:rPr>
          <w:rFonts w:hint="eastAsia" w:ascii="黑体" w:eastAsia="黑体"/>
          <w:b/>
          <w:sz w:val="84"/>
          <w:szCs w:val="84"/>
        </w:rPr>
        <w:t xml:space="preserve">维 </w:t>
      </w:r>
    </w:p>
    <w:p>
      <w:pPr>
        <w:jc w:val="center"/>
        <w:rPr>
          <w:rFonts w:ascii="黑体" w:eastAsia="黑体"/>
          <w:b/>
          <w:sz w:val="84"/>
          <w:szCs w:val="84"/>
        </w:rPr>
      </w:pPr>
      <w:r>
        <w:rPr>
          <w:rFonts w:hint="eastAsia" w:ascii="黑体" w:eastAsia="黑体"/>
          <w:b/>
          <w:sz w:val="84"/>
          <w:szCs w:val="84"/>
        </w:rPr>
        <w:t>护</w:t>
      </w:r>
    </w:p>
    <w:p>
      <w:pPr>
        <w:jc w:val="center"/>
        <w:rPr>
          <w:rFonts w:ascii="黑体" w:eastAsia="黑体"/>
          <w:b/>
          <w:sz w:val="84"/>
          <w:szCs w:val="84"/>
        </w:rPr>
      </w:pPr>
      <w:r>
        <w:rPr>
          <w:rFonts w:hint="eastAsia" w:ascii="黑体" w:eastAsia="黑体"/>
          <w:b/>
          <w:sz w:val="84"/>
          <w:szCs w:val="84"/>
        </w:rPr>
        <w:t>保</w:t>
      </w:r>
    </w:p>
    <w:p>
      <w:pPr>
        <w:jc w:val="center"/>
        <w:rPr>
          <w:rFonts w:ascii="黑体" w:eastAsia="黑体"/>
          <w:b/>
          <w:sz w:val="84"/>
          <w:szCs w:val="84"/>
        </w:rPr>
      </w:pPr>
      <w:r>
        <w:rPr>
          <w:rFonts w:hint="eastAsia" w:ascii="黑体" w:eastAsia="黑体"/>
          <w:b/>
          <w:sz w:val="84"/>
          <w:szCs w:val="84"/>
        </w:rPr>
        <w:t>养</w:t>
      </w:r>
    </w:p>
    <w:p>
      <w:pPr>
        <w:jc w:val="center"/>
        <w:rPr>
          <w:rFonts w:ascii="黑体" w:eastAsia="黑体"/>
          <w:b/>
          <w:sz w:val="84"/>
          <w:szCs w:val="84"/>
        </w:rPr>
      </w:pPr>
      <w:r>
        <w:rPr>
          <w:rFonts w:hint="eastAsia" w:ascii="黑体" w:eastAsia="黑体"/>
          <w:b/>
          <w:sz w:val="84"/>
          <w:szCs w:val="84"/>
        </w:rPr>
        <w:t>技</w:t>
      </w:r>
    </w:p>
    <w:p>
      <w:pPr>
        <w:jc w:val="center"/>
        <w:rPr>
          <w:rFonts w:ascii="黑体" w:eastAsia="黑体"/>
          <w:b/>
          <w:sz w:val="84"/>
          <w:szCs w:val="84"/>
        </w:rPr>
      </w:pPr>
      <w:r>
        <w:rPr>
          <w:rFonts w:hint="eastAsia" w:ascii="黑体" w:eastAsia="黑体"/>
          <w:b/>
          <w:sz w:val="84"/>
          <w:szCs w:val="84"/>
        </w:rPr>
        <w:t xml:space="preserve">术 </w:t>
      </w:r>
    </w:p>
    <w:p>
      <w:pPr>
        <w:jc w:val="center"/>
        <w:rPr>
          <w:rFonts w:hint="eastAsia" w:ascii="黑体" w:eastAsia="黑体"/>
          <w:b/>
          <w:sz w:val="84"/>
          <w:szCs w:val="84"/>
          <w:lang w:eastAsia="zh-CN"/>
        </w:rPr>
      </w:pPr>
      <w:r>
        <w:rPr>
          <w:rFonts w:hint="eastAsia" w:ascii="黑体" w:eastAsia="黑体"/>
          <w:b/>
          <w:sz w:val="84"/>
          <w:szCs w:val="84"/>
          <w:lang w:eastAsia="zh-CN"/>
        </w:rPr>
        <w:t>需</w:t>
      </w:r>
    </w:p>
    <w:p>
      <w:pPr>
        <w:jc w:val="center"/>
        <w:rPr>
          <w:rFonts w:hint="eastAsia" w:ascii="黑体" w:eastAsia="黑体"/>
          <w:b/>
          <w:sz w:val="84"/>
          <w:szCs w:val="84"/>
          <w:lang w:eastAsia="zh-CN"/>
        </w:rPr>
      </w:pPr>
      <w:r>
        <w:rPr>
          <w:rFonts w:hint="eastAsia" w:ascii="黑体" w:eastAsia="黑体"/>
          <w:b/>
          <w:sz w:val="84"/>
          <w:szCs w:val="84"/>
          <w:lang w:eastAsia="zh-CN"/>
        </w:rPr>
        <w:t>求</w:t>
      </w:r>
    </w:p>
    <w:p>
      <w:pPr>
        <w:adjustRightInd w:val="0"/>
        <w:snapToGrid w:val="0"/>
        <w:spacing w:line="500" w:lineRule="atLeast"/>
        <w:rPr>
          <w:rFonts w:ascii="宋体"/>
          <w:b/>
          <w:spacing w:val="40"/>
          <w:sz w:val="32"/>
          <w:szCs w:val="32"/>
        </w:rPr>
      </w:pPr>
    </w:p>
    <w:p>
      <w:pPr>
        <w:adjustRightInd w:val="0"/>
        <w:snapToGrid w:val="0"/>
        <w:spacing w:line="500" w:lineRule="atLeast"/>
        <w:jc w:val="center"/>
        <w:rPr>
          <w:rFonts w:hint="eastAsia" w:ascii="宋体" w:eastAsia="宋体"/>
          <w:b/>
          <w:spacing w:val="40"/>
          <w:sz w:val="32"/>
          <w:szCs w:val="32"/>
          <w:lang w:eastAsia="zh-CN"/>
        </w:rPr>
      </w:pPr>
      <w:r>
        <w:rPr>
          <w:rFonts w:hint="eastAsia" w:ascii="宋体"/>
          <w:b/>
          <w:spacing w:val="40"/>
          <w:sz w:val="32"/>
          <w:szCs w:val="32"/>
        </w:rPr>
        <w:t>建筑消防（智慧消防）设施</w:t>
      </w:r>
      <w:r>
        <w:rPr>
          <w:rFonts w:hint="eastAsia" w:ascii="宋体"/>
          <w:b/>
          <w:spacing w:val="40"/>
          <w:sz w:val="32"/>
          <w:szCs w:val="32"/>
          <w:lang w:val="en-US" w:eastAsia="zh-CN"/>
        </w:rPr>
        <w:t>2025</w:t>
      </w:r>
      <w:r>
        <w:rPr>
          <w:rFonts w:hint="eastAsia" w:ascii="宋体"/>
          <w:b/>
          <w:spacing w:val="40"/>
          <w:sz w:val="32"/>
          <w:szCs w:val="32"/>
        </w:rPr>
        <w:t>年维护技术服务</w:t>
      </w:r>
      <w:r>
        <w:rPr>
          <w:rFonts w:hint="eastAsia" w:ascii="宋体"/>
          <w:b/>
          <w:spacing w:val="40"/>
          <w:sz w:val="32"/>
          <w:szCs w:val="32"/>
          <w:lang w:eastAsia="zh-CN"/>
        </w:rPr>
        <w:t>需求</w:t>
      </w:r>
    </w:p>
    <w:p>
      <w:pPr>
        <w:adjustRightInd w:val="0"/>
        <w:snapToGrid w:val="0"/>
        <w:spacing w:line="440" w:lineRule="exact"/>
        <w:ind w:firstLine="420" w:firstLineChars="200"/>
        <w:jc w:val="left"/>
        <w:rPr>
          <w:rFonts w:ascii="宋体" w:hAnsi="宋体"/>
          <w:szCs w:val="21"/>
        </w:rPr>
      </w:pPr>
      <w:r>
        <w:rPr>
          <w:rFonts w:hint="eastAsia" w:ascii="宋体" w:hAnsi="宋体"/>
          <w:szCs w:val="21"/>
        </w:rPr>
        <w:t>甲方：（申请维保单位）</w:t>
      </w:r>
      <w:r>
        <w:rPr>
          <w:rFonts w:hint="eastAsia" w:ascii="宋体" w:hAnsi="宋体"/>
          <w:szCs w:val="21"/>
          <w:u w:val="single"/>
        </w:rPr>
        <w:t xml:space="preserve"> </w:t>
      </w:r>
      <w:r>
        <w:rPr>
          <w:rFonts w:hint="eastAsia" w:ascii="宋体" w:hAnsi="宋体"/>
          <w:b/>
          <w:szCs w:val="21"/>
          <w:u w:val="single"/>
        </w:rPr>
        <w:t>广州</w:t>
      </w:r>
      <w:r>
        <w:rPr>
          <w:rFonts w:hint="eastAsia" w:ascii="宋体" w:hAnsi="宋体"/>
          <w:b/>
          <w:szCs w:val="21"/>
          <w:u w:val="single"/>
          <w:lang w:eastAsia="zh-CN"/>
        </w:rPr>
        <w:t>市天河区国家档案馆</w:t>
      </w:r>
      <w:r>
        <w:rPr>
          <w:rFonts w:hint="eastAsia" w:ascii="宋体" w:hAnsi="宋体"/>
          <w:b/>
          <w:szCs w:val="21"/>
          <w:u w:val="single"/>
          <w:lang w:val="en-US" w:eastAsia="zh-CN"/>
        </w:rPr>
        <w:t xml:space="preserve">              </w:t>
      </w:r>
    </w:p>
    <w:p>
      <w:pPr>
        <w:adjustRightInd w:val="0"/>
        <w:snapToGrid w:val="0"/>
        <w:spacing w:line="440" w:lineRule="exact"/>
        <w:ind w:firstLine="420" w:firstLineChars="200"/>
        <w:jc w:val="left"/>
        <w:rPr>
          <w:rFonts w:hint="eastAsia" w:ascii="宋体" w:hAnsi="宋体"/>
          <w:szCs w:val="21"/>
        </w:rPr>
      </w:pPr>
      <w:r>
        <w:rPr>
          <w:rFonts w:hint="eastAsia" w:ascii="宋体" w:hAnsi="宋体"/>
          <w:szCs w:val="21"/>
        </w:rPr>
        <w:t>乙方：（受托维保单位）</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b/>
          <w:szCs w:val="21"/>
          <w:u w:val="single"/>
        </w:rPr>
        <w:t xml:space="preserve">       </w:t>
      </w:r>
    </w:p>
    <w:p>
      <w:pPr>
        <w:adjustRightInd w:val="0"/>
        <w:snapToGrid w:val="0"/>
        <w:spacing w:line="420" w:lineRule="exact"/>
        <w:ind w:firstLine="420" w:firstLineChars="200"/>
        <w:rPr>
          <w:rFonts w:ascii="宋体" w:hAnsi="宋体"/>
          <w:szCs w:val="21"/>
        </w:rPr>
      </w:pPr>
      <w:r>
        <w:rPr>
          <w:rFonts w:hint="eastAsia" w:ascii="宋体" w:hAnsi="宋体"/>
          <w:szCs w:val="21"/>
        </w:rPr>
        <w:t>为贯彻国家消防法，防患于未然以及消除火灾隐患，保证消防系统的正常运作，更好地落实</w:t>
      </w:r>
      <w:r>
        <w:rPr>
          <w:rFonts w:hint="eastAsia" w:ascii="宋体" w:hAnsi="宋体"/>
          <w:b/>
          <w:szCs w:val="21"/>
          <w:u w:val="single"/>
        </w:rPr>
        <w:t xml:space="preserve"> </w:t>
      </w:r>
      <w:r>
        <w:rPr>
          <w:rFonts w:hint="eastAsia" w:ascii="宋体" w:hAnsi="宋体"/>
          <w:b/>
          <w:szCs w:val="21"/>
          <w:u w:val="single"/>
          <w:lang w:val="en-US" w:eastAsia="zh-CN"/>
        </w:rPr>
        <w:t xml:space="preserve"> 广州市天河区国家档案馆  </w:t>
      </w:r>
      <w:r>
        <w:rPr>
          <w:rFonts w:hint="eastAsia" w:ascii="宋体" w:hAnsi="宋体"/>
          <w:szCs w:val="21"/>
        </w:rPr>
        <w:t>消防系统维护保养工作，根据《消防法》和公安部文件的有关规定，甲方委托乙方对该项目的建筑消防设施进行维护保养，维护保养面积：</w:t>
      </w:r>
      <w:r>
        <w:rPr>
          <w:rFonts w:hint="eastAsia" w:ascii="宋体" w:hAnsi="宋体"/>
          <w:color w:val="auto"/>
          <w:szCs w:val="21"/>
          <w:u w:val="single"/>
        </w:rPr>
        <w:t xml:space="preserve"> </w:t>
      </w:r>
      <w:r>
        <w:rPr>
          <w:rFonts w:hint="eastAsia" w:ascii="宋体" w:hAnsi="宋体"/>
          <w:color w:val="auto"/>
          <w:szCs w:val="21"/>
          <w:u w:val="single"/>
          <w:lang w:val="en-US" w:eastAsia="zh-CN"/>
        </w:rPr>
        <w:t>26897</w:t>
      </w:r>
      <w:r>
        <w:rPr>
          <w:rFonts w:ascii="宋体" w:hAnsi="宋体"/>
          <w:color w:val="auto"/>
          <w:szCs w:val="21"/>
          <w:u w:val="single"/>
        </w:rPr>
        <w:t xml:space="preserve"> </w:t>
      </w:r>
      <w:r>
        <w:rPr>
          <w:rFonts w:ascii="宋体" w:hAnsi="宋体"/>
          <w:color w:val="auto"/>
          <w:szCs w:val="21"/>
        </w:rPr>
        <w:t>m</w:t>
      </w:r>
      <w:r>
        <w:rPr>
          <w:rFonts w:ascii="宋体" w:hAnsi="宋体"/>
          <w:color w:val="auto"/>
          <w:szCs w:val="21"/>
          <w:vertAlign w:val="superscript"/>
        </w:rPr>
        <w:t>2</w:t>
      </w:r>
      <w:r>
        <w:rPr>
          <w:rFonts w:hint="eastAsia" w:ascii="宋体" w:hAnsi="宋体"/>
          <w:color w:val="auto"/>
          <w:szCs w:val="21"/>
        </w:rPr>
        <w:t>。</w:t>
      </w:r>
      <w:r>
        <w:rPr>
          <w:rFonts w:hint="eastAsia" w:ascii="宋体" w:hAnsi="宋体"/>
          <w:szCs w:val="21"/>
        </w:rPr>
        <w:t>甲、乙双方在平等、自愿、等价有偿、公平、诚信的基础上，经友好协商达成一致意见，双方协议如下：</w:t>
      </w:r>
    </w:p>
    <w:p>
      <w:pPr>
        <w:numPr>
          <w:ilvl w:val="0"/>
          <w:numId w:val="0"/>
        </w:numPr>
        <w:adjustRightInd w:val="0"/>
        <w:snapToGrid w:val="0"/>
        <w:spacing w:line="420" w:lineRule="exact"/>
        <w:jc w:val="left"/>
        <w:rPr>
          <w:rFonts w:ascii="宋体" w:hAnsi="宋体"/>
          <w:b/>
          <w:szCs w:val="21"/>
        </w:rPr>
      </w:pPr>
      <w:r>
        <w:rPr>
          <w:rFonts w:hint="eastAsia" w:ascii="宋体" w:hAnsi="宋体" w:eastAsia="宋体" w:cs="Times New Roman"/>
          <w:b/>
          <w:kern w:val="2"/>
          <w:sz w:val="21"/>
          <w:szCs w:val="21"/>
          <w:lang w:val="en-US" w:eastAsia="zh-CN" w:bidi="ar-SA"/>
        </w:rPr>
        <w:t>一、</w:t>
      </w:r>
      <w:r>
        <w:rPr>
          <w:rFonts w:hint="eastAsia" w:ascii="宋体" w:hAnsi="宋体"/>
          <w:b/>
          <w:szCs w:val="21"/>
        </w:rPr>
        <w:t>维护技术服务内容</w:t>
      </w:r>
    </w:p>
    <w:p>
      <w:pPr>
        <w:adjustRightInd w:val="0"/>
        <w:snapToGrid w:val="0"/>
        <w:spacing w:line="420" w:lineRule="exact"/>
        <w:ind w:right="-154" w:firstLine="420" w:firstLineChars="200"/>
        <w:rPr>
          <w:rFonts w:ascii="宋体" w:hAnsi="宋体"/>
          <w:szCs w:val="21"/>
        </w:rPr>
      </w:pPr>
      <w:r>
        <w:rPr>
          <w:rFonts w:hint="eastAsia" w:ascii="宋体" w:hAnsi="宋体"/>
          <w:szCs w:val="21"/>
        </w:rPr>
        <w:t>甲方委托维护技术服务内容：</w:t>
      </w:r>
      <w:r>
        <w:rPr>
          <w:rFonts w:hint="eastAsia" w:ascii="宋体" w:hAnsi="宋体"/>
          <w:szCs w:val="21"/>
          <w:u w:val="single"/>
        </w:rPr>
        <w:t>1、火灾自动报警系统；2、应急照明疏散指示系统；3、消火栓系统（供水设施类）；4、自动喷水灭火系统；</w:t>
      </w:r>
      <w:r>
        <w:rPr>
          <w:rFonts w:ascii="宋体" w:hAnsi="宋体"/>
          <w:szCs w:val="21"/>
          <w:u w:val="single"/>
        </w:rPr>
        <w:t>5</w:t>
      </w:r>
      <w:r>
        <w:rPr>
          <w:rFonts w:hint="eastAsia" w:ascii="宋体" w:hAnsi="宋体"/>
          <w:szCs w:val="21"/>
          <w:u w:val="single"/>
        </w:rPr>
        <w:t>、防排烟系统；6、气体灭火系统；7、灭火器和防毒面具；8、防火卷帘。（注：所有系统都不包含风机控制柜、水泵控制柜、自动报警系统控制柜前端强电电源）</w:t>
      </w:r>
    </w:p>
    <w:p>
      <w:pPr>
        <w:numPr>
          <w:ilvl w:val="0"/>
          <w:numId w:val="0"/>
        </w:numPr>
        <w:adjustRightInd w:val="0"/>
        <w:snapToGrid w:val="0"/>
        <w:spacing w:line="420" w:lineRule="exact"/>
        <w:rPr>
          <w:rFonts w:ascii="宋体" w:hAnsi="宋体"/>
          <w:b/>
          <w:szCs w:val="21"/>
        </w:rPr>
      </w:pPr>
      <w:r>
        <w:rPr>
          <w:rFonts w:hint="eastAsia" w:ascii="宋体" w:hAnsi="宋体" w:eastAsia="宋体" w:cs="Times New Roman"/>
          <w:b/>
          <w:kern w:val="2"/>
          <w:sz w:val="21"/>
          <w:szCs w:val="21"/>
          <w:lang w:val="en-US" w:eastAsia="zh-CN" w:bidi="ar-SA"/>
        </w:rPr>
        <w:t>二、</w:t>
      </w:r>
      <w:r>
        <w:rPr>
          <w:rFonts w:hint="eastAsia" w:ascii="宋体" w:hAnsi="宋体"/>
          <w:b/>
          <w:szCs w:val="21"/>
        </w:rPr>
        <w:t>保养期限</w:t>
      </w:r>
    </w:p>
    <w:p>
      <w:pPr>
        <w:adjustRightInd w:val="0"/>
        <w:snapToGrid w:val="0"/>
        <w:spacing w:line="420" w:lineRule="exact"/>
        <w:ind w:firstLine="420" w:firstLineChars="200"/>
        <w:rPr>
          <w:rFonts w:ascii="宋体" w:hAnsi="宋体"/>
          <w:szCs w:val="21"/>
        </w:rPr>
      </w:pPr>
      <w:r>
        <w:rPr>
          <w:rFonts w:hint="eastAsia" w:ascii="宋体" w:hAnsi="宋体"/>
          <w:szCs w:val="21"/>
        </w:rPr>
        <w:t>上述消防系统的维护技术服务</w:t>
      </w:r>
      <w:r>
        <w:rPr>
          <w:rFonts w:hint="eastAsia" w:ascii="宋体" w:hAnsi="宋体"/>
          <w:szCs w:val="21"/>
          <w:lang w:eastAsia="zh-CN"/>
        </w:rPr>
        <w:t>，</w:t>
      </w:r>
      <w:r>
        <w:rPr>
          <w:rFonts w:ascii="宋体" w:hAnsi="宋体"/>
          <w:szCs w:val="21"/>
        </w:rPr>
        <w:t xml:space="preserve"> </w:t>
      </w:r>
      <w:r>
        <w:rPr>
          <w:rFonts w:hint="eastAsia" w:ascii="宋体" w:hAnsi="宋体"/>
          <w:szCs w:val="21"/>
        </w:rPr>
        <w:t>期限为</w:t>
      </w:r>
      <w:r>
        <w:rPr>
          <w:rFonts w:ascii="宋体" w:hAnsi="宋体"/>
          <w:szCs w:val="21"/>
          <w:u w:val="single"/>
        </w:rPr>
        <w:t xml:space="preserve"> </w:t>
      </w:r>
      <w:r>
        <w:rPr>
          <w:rFonts w:hint="eastAsia" w:ascii="宋体" w:hAnsi="宋体"/>
          <w:szCs w:val="21"/>
          <w:u w:val="single"/>
          <w:lang w:val="en-US" w:eastAsia="zh-CN"/>
        </w:rPr>
        <w:t>12</w:t>
      </w:r>
      <w:r>
        <w:rPr>
          <w:rFonts w:ascii="宋体" w:hAnsi="宋体"/>
          <w:szCs w:val="21"/>
          <w:u w:val="single"/>
        </w:rPr>
        <w:t xml:space="preserve"> </w:t>
      </w:r>
      <w:r>
        <w:rPr>
          <w:rFonts w:hint="eastAsia" w:ascii="宋体" w:hAnsi="宋体"/>
          <w:szCs w:val="21"/>
        </w:rPr>
        <w:t>个月。</w:t>
      </w:r>
    </w:p>
    <w:p>
      <w:pPr>
        <w:adjustRightInd w:val="0"/>
        <w:snapToGrid w:val="0"/>
        <w:spacing w:line="420" w:lineRule="exact"/>
        <w:ind w:firstLine="420" w:firstLineChars="200"/>
        <w:rPr>
          <w:rFonts w:ascii="宋体" w:hAnsi="宋体"/>
          <w:szCs w:val="21"/>
        </w:rPr>
      </w:pPr>
      <w:r>
        <w:rPr>
          <w:rFonts w:hint="eastAsia" w:ascii="宋体" w:hAnsi="宋体"/>
          <w:szCs w:val="21"/>
          <w:lang w:val="en-US" w:eastAsia="zh-CN"/>
        </w:rPr>
        <w:t>自</w:t>
      </w:r>
      <w:r>
        <w:rPr>
          <w:rFonts w:hint="eastAsia" w:ascii="宋体" w:hAnsi="宋体"/>
          <w:szCs w:val="21"/>
          <w:u w:val="single"/>
        </w:rPr>
        <w:t>20</w:t>
      </w:r>
      <w:r>
        <w:rPr>
          <w:rFonts w:hint="eastAsia" w:ascii="宋体" w:hAnsi="宋体"/>
          <w:szCs w:val="21"/>
          <w:u w:val="single"/>
          <w:lang w:val="en-US" w:eastAsia="zh-CN"/>
        </w:rPr>
        <w:t>25</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lang w:val="en-US" w:eastAsia="zh-CN"/>
        </w:rPr>
        <w:t>5</w:t>
      </w:r>
      <w:r>
        <w:rPr>
          <w:rFonts w:hint="eastAsia" w:ascii="宋体" w:hAnsi="宋体"/>
          <w:szCs w:val="21"/>
        </w:rPr>
        <w:t>月</w:t>
      </w:r>
      <w:r>
        <w:rPr>
          <w:rFonts w:hint="eastAsia" w:ascii="宋体" w:hAnsi="宋体"/>
          <w:szCs w:val="21"/>
          <w:u w:val="single"/>
          <w:lang w:val="en-US" w:eastAsia="zh-CN"/>
        </w:rPr>
        <w:t>15</w:t>
      </w:r>
      <w:r>
        <w:rPr>
          <w:rFonts w:hint="eastAsia" w:ascii="宋体" w:hAnsi="宋体"/>
          <w:szCs w:val="21"/>
        </w:rPr>
        <w:t>日</w:t>
      </w:r>
      <w:r>
        <w:rPr>
          <w:rFonts w:hint="eastAsia" w:ascii="宋体" w:hAnsi="宋体"/>
          <w:szCs w:val="21"/>
          <w:lang w:val="en-US" w:eastAsia="zh-CN"/>
        </w:rPr>
        <w:t>起</w:t>
      </w:r>
      <w:r>
        <w:rPr>
          <w:rFonts w:hint="eastAsia" w:ascii="宋体" w:hAnsi="宋体"/>
          <w:szCs w:val="21"/>
        </w:rPr>
        <w:t>至</w:t>
      </w:r>
      <w:r>
        <w:rPr>
          <w:rFonts w:hint="eastAsia" w:ascii="宋体" w:hAnsi="宋体"/>
          <w:szCs w:val="21"/>
          <w:u w:val="single"/>
        </w:rPr>
        <w:t xml:space="preserve"> 202</w:t>
      </w:r>
      <w:r>
        <w:rPr>
          <w:rFonts w:hint="eastAsia" w:ascii="宋体" w:hAnsi="宋体"/>
          <w:szCs w:val="21"/>
          <w:u w:val="single"/>
          <w:lang w:val="en-US" w:eastAsia="zh-CN"/>
        </w:rPr>
        <w:t>6</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lang w:val="en-US" w:eastAsia="zh-CN"/>
        </w:rPr>
        <w:t>5</w:t>
      </w:r>
      <w:r>
        <w:rPr>
          <w:rFonts w:hint="eastAsia" w:ascii="宋体" w:hAnsi="宋体"/>
          <w:szCs w:val="21"/>
        </w:rPr>
        <w:t>月</w:t>
      </w:r>
      <w:r>
        <w:rPr>
          <w:rFonts w:hint="eastAsia" w:ascii="宋体" w:hAnsi="宋体"/>
          <w:szCs w:val="21"/>
          <w:u w:val="single"/>
          <w:lang w:val="en-US" w:eastAsia="zh-CN"/>
        </w:rPr>
        <w:t>14</w:t>
      </w:r>
      <w:r>
        <w:rPr>
          <w:rFonts w:hint="eastAsia" w:ascii="宋体" w:hAnsi="宋体"/>
          <w:szCs w:val="21"/>
        </w:rPr>
        <w:t>日止。</w:t>
      </w:r>
    </w:p>
    <w:p>
      <w:pPr>
        <w:numPr>
          <w:ilvl w:val="0"/>
          <w:numId w:val="0"/>
        </w:numPr>
        <w:adjustRightInd w:val="0"/>
        <w:snapToGrid w:val="0"/>
        <w:spacing w:line="420" w:lineRule="exact"/>
        <w:rPr>
          <w:rFonts w:ascii="宋体" w:hAnsi="宋体"/>
          <w:b/>
          <w:szCs w:val="21"/>
        </w:rPr>
      </w:pPr>
      <w:r>
        <w:rPr>
          <w:rFonts w:hint="eastAsia" w:ascii="宋体" w:hAnsi="宋体" w:eastAsia="宋体" w:cs="Times New Roman"/>
          <w:b/>
          <w:kern w:val="2"/>
          <w:sz w:val="21"/>
          <w:szCs w:val="21"/>
          <w:lang w:val="en-US" w:eastAsia="zh-CN" w:bidi="ar-SA"/>
        </w:rPr>
        <w:t>三、</w:t>
      </w:r>
      <w:r>
        <w:rPr>
          <w:rFonts w:hint="eastAsia" w:ascii="宋体" w:hAnsi="宋体"/>
          <w:b/>
          <w:szCs w:val="21"/>
        </w:rPr>
        <w:t>维护技术服务范围</w:t>
      </w:r>
    </w:p>
    <w:p>
      <w:pPr>
        <w:adjustRightInd w:val="0"/>
        <w:snapToGrid w:val="0"/>
        <w:spacing w:line="420" w:lineRule="exact"/>
        <w:ind w:firstLine="420" w:firstLineChars="200"/>
        <w:rPr>
          <w:rFonts w:ascii="宋体" w:hAnsi="宋体"/>
          <w:szCs w:val="21"/>
        </w:rPr>
      </w:pPr>
      <w:r>
        <w:rPr>
          <w:rFonts w:hint="eastAsia" w:ascii="Calibri" w:hAnsi="Calibri" w:cs="Calibri"/>
          <w:szCs w:val="21"/>
          <w:lang w:val="en-US" w:eastAsia="zh-CN"/>
        </w:rPr>
        <w:t>①</w:t>
      </w:r>
      <w:r>
        <w:rPr>
          <w:rFonts w:hint="eastAsia" w:ascii="宋体" w:hAnsi="宋体"/>
          <w:szCs w:val="21"/>
        </w:rPr>
        <w:t>乙方对甲方所委托区域</w:t>
      </w:r>
      <w:r>
        <w:rPr>
          <w:rFonts w:hint="eastAsia" w:ascii="宋体" w:hAnsi="宋体"/>
          <w:b/>
          <w:szCs w:val="21"/>
          <w:u w:val="single"/>
        </w:rPr>
        <w:t xml:space="preserve"> </w:t>
      </w:r>
      <w:r>
        <w:rPr>
          <w:rFonts w:hint="eastAsia" w:ascii="宋体" w:hAnsi="宋体"/>
          <w:b/>
          <w:szCs w:val="21"/>
          <w:u w:val="single"/>
          <w:lang w:eastAsia="zh-CN"/>
        </w:rPr>
        <w:t>天河区国家档案馆新馆大楼</w:t>
      </w:r>
      <w:r>
        <w:rPr>
          <w:rFonts w:hint="eastAsia" w:ascii="宋体" w:hAnsi="宋体"/>
          <w:b/>
          <w:szCs w:val="21"/>
          <w:u w:val="single"/>
          <w:lang w:val="en-US" w:eastAsia="zh-CN"/>
        </w:rPr>
        <w:t xml:space="preserve">  </w:t>
      </w:r>
      <w:r>
        <w:rPr>
          <w:rFonts w:hint="eastAsia" w:ascii="宋体" w:hAnsi="宋体"/>
          <w:szCs w:val="21"/>
        </w:rPr>
        <w:t>内的上述消防系统进行维护保养。</w:t>
      </w:r>
    </w:p>
    <w:p>
      <w:pPr>
        <w:pStyle w:val="86"/>
        <w:adjustRightInd w:val="0"/>
        <w:snapToGrid w:val="0"/>
        <w:spacing w:line="380" w:lineRule="exact"/>
        <w:ind w:right="-154"/>
        <w:rPr>
          <w:rFonts w:hint="default" w:ascii="宋体" w:hAnsi="宋体" w:eastAsia="宋体"/>
          <w:szCs w:val="21"/>
          <w:lang w:val="en-US" w:eastAsia="zh-CN"/>
        </w:rPr>
      </w:pPr>
      <w:r>
        <w:rPr>
          <w:rFonts w:hint="eastAsia" w:ascii="Calibri" w:hAnsi="Calibri" w:cs="Calibri"/>
          <w:szCs w:val="21"/>
          <w:lang w:val="en-US" w:eastAsia="zh-CN"/>
        </w:rPr>
        <w:t>②</w:t>
      </w:r>
      <w:r>
        <w:rPr>
          <w:rFonts w:hint="eastAsia" w:ascii="Calibri" w:hAnsi="Calibri" w:cs="Calibri"/>
          <w:szCs w:val="21"/>
        </w:rPr>
        <w:t>项目地点：</w:t>
      </w:r>
      <w:r>
        <w:rPr>
          <w:rFonts w:hint="eastAsia" w:ascii="Calibri" w:hAnsi="Calibri" w:cs="Calibri"/>
          <w:szCs w:val="21"/>
          <w:lang w:val="en-US" w:eastAsia="zh-CN"/>
        </w:rPr>
        <w:t>广州市天河区华农紫薇路1号。</w:t>
      </w:r>
    </w:p>
    <w:p>
      <w:pPr>
        <w:numPr>
          <w:ilvl w:val="0"/>
          <w:numId w:val="0"/>
        </w:numPr>
        <w:adjustRightInd w:val="0"/>
        <w:snapToGrid w:val="0"/>
        <w:spacing w:line="420" w:lineRule="exact"/>
        <w:rPr>
          <w:rFonts w:ascii="宋体" w:hAnsi="宋体"/>
          <w:b/>
          <w:szCs w:val="21"/>
        </w:rPr>
      </w:pPr>
      <w:r>
        <w:rPr>
          <w:rFonts w:hint="eastAsia" w:ascii="宋体" w:hAnsi="宋体" w:eastAsia="宋体" w:cs="Times New Roman"/>
          <w:b/>
          <w:kern w:val="2"/>
          <w:sz w:val="21"/>
          <w:szCs w:val="21"/>
          <w:lang w:val="en-US" w:eastAsia="zh-CN" w:bidi="ar-SA"/>
        </w:rPr>
        <w:t>四、</w:t>
      </w:r>
      <w:r>
        <w:rPr>
          <w:rFonts w:hint="eastAsia" w:ascii="宋体" w:hAnsi="宋体"/>
          <w:b/>
          <w:szCs w:val="21"/>
        </w:rPr>
        <w:t>付款方式：</w:t>
      </w:r>
    </w:p>
    <w:p>
      <w:pPr>
        <w:numPr>
          <w:ilvl w:val="1"/>
          <w:numId w:val="0"/>
        </w:numPr>
        <w:tabs>
          <w:tab w:val="left" w:pos="543"/>
        </w:tabs>
        <w:adjustRightInd w:val="0"/>
        <w:snapToGrid w:val="0"/>
        <w:spacing w:line="420" w:lineRule="exact"/>
        <w:ind w:left="0" w:firstLine="420" w:firstLineChars="200"/>
        <w:rPr>
          <w:rFonts w:hint="eastAsia" w:ascii="宋体" w:hAnsi="宋体"/>
          <w:spacing w:val="-6"/>
          <w:szCs w:val="21"/>
          <w:lang w:eastAsia="zh-CN"/>
        </w:rPr>
      </w:pPr>
      <w:r>
        <w:rPr>
          <w:rFonts w:hint="default" w:ascii="宋体" w:hAnsi="宋体" w:eastAsia="宋体" w:cs="Times New Roman"/>
          <w:b w:val="0"/>
          <w:kern w:val="2"/>
          <w:sz w:val="21"/>
          <w:szCs w:val="21"/>
          <w:lang w:val="en-US" w:eastAsia="zh-CN" w:bidi="ar-SA"/>
        </w:rPr>
        <w:t>①</w:t>
      </w:r>
      <w:r>
        <w:rPr>
          <w:rFonts w:hint="eastAsia" w:ascii="宋体" w:hAnsi="宋体"/>
          <w:spacing w:val="-6"/>
          <w:szCs w:val="21"/>
        </w:rPr>
        <w:t>本工程消防设施的维护保养费用（</w:t>
      </w:r>
      <w:r>
        <w:rPr>
          <w:rFonts w:hint="eastAsia" w:ascii="宋体" w:hAnsi="宋体"/>
          <w:b/>
          <w:bCs/>
          <w:spacing w:val="-6"/>
          <w:szCs w:val="21"/>
        </w:rPr>
        <w:t>含税率</w:t>
      </w:r>
      <w:r>
        <w:rPr>
          <w:rFonts w:ascii="宋体" w:hAnsi="宋体"/>
          <w:b/>
          <w:spacing w:val="-6"/>
          <w:szCs w:val="21"/>
        </w:rPr>
        <w:t>6</w:t>
      </w:r>
      <w:r>
        <w:rPr>
          <w:rFonts w:hint="eastAsia" w:ascii="宋体" w:hAnsi="宋体"/>
          <w:b/>
          <w:spacing w:val="-6"/>
          <w:szCs w:val="21"/>
        </w:rPr>
        <w:t>%增值税</w:t>
      </w:r>
      <w:r>
        <w:rPr>
          <w:rFonts w:hint="eastAsia" w:ascii="宋体" w:hAnsi="宋体"/>
          <w:b/>
          <w:spacing w:val="-6"/>
          <w:szCs w:val="21"/>
          <w:lang w:val="en-US" w:eastAsia="zh-CN"/>
        </w:rPr>
        <w:t>专用</w:t>
      </w:r>
      <w:r>
        <w:rPr>
          <w:rFonts w:hint="eastAsia" w:ascii="宋体" w:hAnsi="宋体"/>
          <w:b/>
          <w:spacing w:val="-6"/>
          <w:szCs w:val="21"/>
        </w:rPr>
        <w:t>发票</w:t>
      </w:r>
      <w:r>
        <w:rPr>
          <w:rFonts w:hint="eastAsia" w:ascii="宋体" w:hAnsi="宋体"/>
          <w:spacing w:val="-6"/>
          <w:szCs w:val="21"/>
        </w:rPr>
        <w:t>）为：</w:t>
      </w:r>
      <w:r>
        <w:rPr>
          <w:rFonts w:hint="eastAsia" w:ascii="宋体" w:hAnsi="宋体"/>
          <w:b/>
          <w:bCs/>
          <w:szCs w:val="21"/>
          <w:u w:val="single"/>
        </w:rPr>
        <w:t>￥</w:t>
      </w:r>
      <w:r>
        <w:rPr>
          <w:rFonts w:hint="eastAsia" w:ascii="宋体" w:hAnsi="宋体"/>
          <w:b/>
          <w:bCs/>
          <w:szCs w:val="21"/>
          <w:u w:val="single"/>
          <w:lang w:val="en-US" w:eastAsia="zh-CN"/>
        </w:rPr>
        <w:t xml:space="preserve"> 40704 .00（人民币大写：肆万零柒佰零肆元整）</w:t>
      </w:r>
      <w:r>
        <w:rPr>
          <w:rFonts w:hint="eastAsia" w:ascii="宋体" w:hAnsi="宋体"/>
          <w:b/>
          <w:spacing w:val="-6"/>
          <w:szCs w:val="21"/>
        </w:rPr>
        <w:t>。</w:t>
      </w:r>
      <w:bookmarkStart w:id="0" w:name="_Hlk42533320"/>
      <w:r>
        <w:rPr>
          <w:rFonts w:hint="eastAsia" w:ascii="宋体" w:hAnsi="宋体"/>
          <w:spacing w:val="-6"/>
          <w:szCs w:val="21"/>
        </w:rPr>
        <w:t>其中税率【</w:t>
      </w:r>
      <w:r>
        <w:rPr>
          <w:rFonts w:ascii="宋体" w:hAnsi="宋体"/>
          <w:spacing w:val="-6"/>
          <w:szCs w:val="21"/>
        </w:rPr>
        <w:t>6</w:t>
      </w:r>
      <w:r>
        <w:rPr>
          <w:rFonts w:hint="eastAsia" w:ascii="宋体" w:hAnsi="宋体"/>
          <w:spacing w:val="-6"/>
          <w:szCs w:val="21"/>
        </w:rPr>
        <w:t>】</w:t>
      </w:r>
      <w:r>
        <w:rPr>
          <w:rFonts w:ascii="宋体" w:hAnsi="宋体"/>
          <w:spacing w:val="-6"/>
          <w:szCs w:val="21"/>
        </w:rPr>
        <w:t>%</w:t>
      </w:r>
      <w:r>
        <w:rPr>
          <w:rFonts w:hint="eastAsia" w:ascii="宋体" w:hAnsi="宋体"/>
          <w:spacing w:val="-6"/>
          <w:szCs w:val="21"/>
        </w:rPr>
        <w:t>，税额【</w:t>
      </w:r>
      <w:r>
        <w:rPr>
          <w:rFonts w:hint="eastAsia" w:ascii="宋体" w:hAnsi="宋体"/>
          <w:spacing w:val="-6"/>
          <w:szCs w:val="21"/>
          <w:lang w:val="en-US" w:eastAsia="zh-CN"/>
        </w:rPr>
        <w:t>2304.00</w:t>
      </w:r>
      <w:r>
        <w:rPr>
          <w:rFonts w:hint="eastAsia" w:ascii="宋体" w:hAnsi="宋体"/>
          <w:spacing w:val="-6"/>
          <w:szCs w:val="21"/>
        </w:rPr>
        <w:t>】元，不含税金额【</w:t>
      </w:r>
      <w:r>
        <w:rPr>
          <w:rFonts w:hint="eastAsia" w:ascii="宋体" w:hAnsi="宋体"/>
          <w:spacing w:val="-6"/>
          <w:szCs w:val="21"/>
          <w:lang w:val="en-US" w:eastAsia="zh-CN"/>
        </w:rPr>
        <w:t>38400.00</w:t>
      </w:r>
      <w:r>
        <w:rPr>
          <w:rFonts w:hint="eastAsia" w:ascii="宋体" w:hAnsi="宋体"/>
          <w:spacing w:val="-6"/>
          <w:szCs w:val="21"/>
        </w:rPr>
        <w:t>】元</w:t>
      </w:r>
      <w:bookmarkEnd w:id="0"/>
      <w:r>
        <w:rPr>
          <w:rFonts w:hint="eastAsia" w:ascii="宋体" w:hAnsi="宋体"/>
          <w:spacing w:val="-6"/>
          <w:szCs w:val="21"/>
          <w:lang w:eastAsia="zh-CN"/>
        </w:rPr>
        <w:t>。</w:t>
      </w:r>
    </w:p>
    <w:p>
      <w:pPr>
        <w:numPr>
          <w:ilvl w:val="1"/>
          <w:numId w:val="0"/>
        </w:numPr>
        <w:tabs>
          <w:tab w:val="left" w:pos="543"/>
        </w:tabs>
        <w:adjustRightInd w:val="0"/>
        <w:snapToGrid w:val="0"/>
        <w:spacing w:line="420" w:lineRule="exact"/>
        <w:ind w:left="0" w:firstLine="420" w:firstLineChars="200"/>
        <w:rPr>
          <w:rFonts w:ascii="宋体" w:hAnsi="宋体"/>
          <w:b/>
          <w:szCs w:val="21"/>
          <w:u w:val="single"/>
        </w:rPr>
      </w:pPr>
      <w:r>
        <w:rPr>
          <w:rFonts w:hint="default" w:ascii="宋体" w:hAnsi="宋体" w:eastAsia="宋体" w:cs="Times New Roman"/>
          <w:b w:val="0"/>
          <w:kern w:val="2"/>
          <w:sz w:val="21"/>
          <w:szCs w:val="21"/>
          <w:lang w:val="en-US" w:eastAsia="zh-CN" w:bidi="ar-SA"/>
        </w:rPr>
        <w:t>②</w:t>
      </w:r>
      <w:r>
        <w:rPr>
          <w:rFonts w:hint="eastAsia" w:ascii="宋体" w:hAnsi="宋体"/>
          <w:szCs w:val="21"/>
        </w:rPr>
        <w:t>付款方式：本</w:t>
      </w:r>
      <w:r>
        <w:rPr>
          <w:rFonts w:hint="eastAsia" w:ascii="宋体" w:hAnsi="宋体"/>
          <w:szCs w:val="21"/>
          <w:lang w:eastAsia="zh-CN"/>
        </w:rPr>
        <w:t>需求</w:t>
      </w:r>
      <w:r>
        <w:rPr>
          <w:rFonts w:hint="eastAsia" w:ascii="宋体" w:hAnsi="宋体"/>
          <w:szCs w:val="21"/>
        </w:rPr>
        <w:t>维护保养服务费用按季度支付</w:t>
      </w:r>
      <w:r>
        <w:rPr>
          <w:rFonts w:hint="eastAsia" w:ascii="宋体" w:hAnsi="宋体"/>
          <w:szCs w:val="21"/>
          <w:lang w:val="en-US" w:eastAsia="zh-CN"/>
        </w:rPr>
        <w:t>，共四期。第</w:t>
      </w:r>
      <w:r>
        <w:rPr>
          <w:rFonts w:hint="eastAsia" w:ascii="宋体" w:hAnsi="宋体"/>
          <w:szCs w:val="21"/>
        </w:rPr>
        <w:t>一</w:t>
      </w:r>
      <w:r>
        <w:rPr>
          <w:rFonts w:hint="eastAsia" w:ascii="宋体" w:hAnsi="宋体"/>
          <w:szCs w:val="21"/>
          <w:lang w:eastAsia="zh-CN"/>
        </w:rPr>
        <w:t>期</w:t>
      </w:r>
      <w:r>
        <w:rPr>
          <w:rFonts w:hint="eastAsia" w:ascii="宋体" w:hAnsi="宋体"/>
          <w:szCs w:val="21"/>
          <w:lang w:val="en-US" w:eastAsia="zh-CN"/>
        </w:rPr>
        <w:t>2025年8月份支付；第二</w:t>
      </w:r>
      <w:r>
        <w:rPr>
          <w:rFonts w:hint="eastAsia" w:ascii="宋体" w:hAnsi="宋体"/>
          <w:szCs w:val="21"/>
          <w:lang w:eastAsia="zh-CN"/>
        </w:rPr>
        <w:t>期</w:t>
      </w:r>
      <w:r>
        <w:rPr>
          <w:rFonts w:hint="eastAsia" w:ascii="宋体" w:hAnsi="宋体"/>
          <w:szCs w:val="21"/>
          <w:lang w:val="en-US" w:eastAsia="zh-CN"/>
        </w:rPr>
        <w:t>2024年11月份支付；第三</w:t>
      </w:r>
      <w:r>
        <w:rPr>
          <w:rFonts w:hint="eastAsia" w:ascii="宋体" w:hAnsi="宋体"/>
          <w:szCs w:val="21"/>
          <w:lang w:eastAsia="zh-CN"/>
        </w:rPr>
        <w:t>期</w:t>
      </w:r>
      <w:r>
        <w:rPr>
          <w:rFonts w:hint="eastAsia" w:ascii="宋体" w:hAnsi="宋体"/>
          <w:szCs w:val="21"/>
          <w:lang w:val="en-US" w:eastAsia="zh-CN"/>
        </w:rPr>
        <w:t>2025年3月份支付，第四期2026年5月份支付。</w:t>
      </w:r>
      <w:r>
        <w:rPr>
          <w:rFonts w:hint="eastAsia" w:ascii="宋体" w:hAnsi="宋体"/>
          <w:szCs w:val="21"/>
        </w:rPr>
        <w:t>每</w:t>
      </w:r>
      <w:r>
        <w:rPr>
          <w:rFonts w:hint="eastAsia" w:ascii="宋体" w:hAnsi="宋体"/>
          <w:szCs w:val="21"/>
          <w:lang w:eastAsia="zh-CN"/>
        </w:rPr>
        <w:t>一期</w:t>
      </w:r>
      <w:r>
        <w:rPr>
          <w:rFonts w:hint="eastAsia" w:ascii="宋体" w:hAnsi="宋体"/>
          <w:szCs w:val="21"/>
        </w:rPr>
        <w:t>费用为</w:t>
      </w:r>
      <w:r>
        <w:rPr>
          <w:rFonts w:hint="eastAsia" w:ascii="宋体" w:hAnsi="宋体"/>
          <w:b/>
          <w:bCs/>
          <w:szCs w:val="21"/>
          <w:u w:val="single"/>
        </w:rPr>
        <w:t xml:space="preserve"> </w:t>
      </w:r>
      <w:r>
        <w:rPr>
          <w:rFonts w:hint="eastAsia" w:ascii="宋体" w:hAnsi="宋体" w:cs="宋体"/>
          <w:b/>
          <w:bCs/>
          <w:szCs w:val="21"/>
          <w:u w:val="single"/>
        </w:rPr>
        <w:t>￥</w:t>
      </w:r>
      <w:r>
        <w:rPr>
          <w:rFonts w:hint="eastAsia" w:ascii="宋体" w:hAnsi="宋体" w:cs="宋体"/>
          <w:b/>
          <w:bCs/>
          <w:szCs w:val="21"/>
          <w:u w:val="single"/>
          <w:lang w:val="en-US" w:eastAsia="zh-CN"/>
        </w:rPr>
        <w:t>10176.00（人民币大写：壹万零壹佰柒拾陆元整）</w:t>
      </w:r>
      <w:r>
        <w:rPr>
          <w:rFonts w:hint="eastAsia" w:ascii="宋体" w:hAnsi="宋体" w:cs="Arial"/>
          <w:color w:val="000000" w:themeColor="text1"/>
          <w:szCs w:val="21"/>
          <w:u w:val="none"/>
          <w:lang w:val="en-US" w:eastAsia="zh-CN"/>
          <w14:textFill>
            <w14:solidFill>
              <w14:schemeClr w14:val="tx1"/>
            </w14:solidFill>
          </w14:textFill>
        </w:rPr>
        <w:t>。</w:t>
      </w:r>
    </w:p>
    <w:p>
      <w:pPr>
        <w:pStyle w:val="86"/>
        <w:numPr>
          <w:ilvl w:val="1"/>
          <w:numId w:val="0"/>
        </w:numPr>
        <w:spacing w:line="420" w:lineRule="exact"/>
        <w:ind w:left="0" w:firstLine="420" w:firstLineChars="200"/>
        <w:rPr>
          <w:rFonts w:hint="eastAsia" w:ascii="宋体" w:hAnsi="宋体"/>
          <w:szCs w:val="21"/>
        </w:rPr>
      </w:pPr>
      <w:r>
        <w:rPr>
          <w:rFonts w:hint="default" w:ascii="宋体" w:hAnsi="宋体" w:eastAsia="宋体" w:cs="Times New Roman"/>
          <w:b w:val="0"/>
          <w:kern w:val="2"/>
          <w:sz w:val="21"/>
          <w:szCs w:val="21"/>
          <w:lang w:val="en-US" w:eastAsia="zh-CN" w:bidi="ar-SA"/>
        </w:rPr>
        <w:t>③</w:t>
      </w:r>
      <w:r>
        <w:rPr>
          <w:rFonts w:hint="eastAsia" w:ascii="宋体" w:hAnsi="宋体"/>
          <w:szCs w:val="21"/>
        </w:rPr>
        <w:t>乙方应在甲方办理财政支付手续的【5】个工作日前提供与应付款项等额的合法有效的增值税普通发票与书面请款报告给甲方，以便甲方办理财政支付手续。</w:t>
      </w:r>
    </w:p>
    <w:p>
      <w:pPr>
        <w:pStyle w:val="86"/>
        <w:numPr>
          <w:ilvl w:val="1"/>
          <w:numId w:val="0"/>
        </w:numPr>
        <w:spacing w:line="420" w:lineRule="exact"/>
        <w:ind w:left="0" w:leftChars="0" w:firstLine="420" w:firstLineChars="200"/>
        <w:rPr>
          <w:rFonts w:hint="eastAsia" w:ascii="宋体" w:hAnsi="宋体"/>
          <w:szCs w:val="21"/>
        </w:rPr>
      </w:pPr>
      <w:r>
        <w:rPr>
          <w:rFonts w:hint="eastAsia" w:ascii="宋体" w:hAnsi="宋体"/>
          <w:szCs w:val="21"/>
        </w:rPr>
        <w:t>甲方指定的发票开具信息如下：</w:t>
      </w:r>
    </w:p>
    <w:p>
      <w:pPr>
        <w:pStyle w:val="86"/>
        <w:numPr>
          <w:ilvl w:val="1"/>
          <w:numId w:val="0"/>
        </w:numPr>
        <w:spacing w:line="420" w:lineRule="exact"/>
        <w:ind w:left="0" w:leftChars="0" w:firstLine="420" w:firstLineChars="200"/>
        <w:rPr>
          <w:rFonts w:hint="eastAsia" w:ascii="宋体" w:hAnsi="宋体" w:eastAsia="宋体"/>
          <w:szCs w:val="21"/>
          <w:lang w:eastAsia="zh-CN"/>
        </w:rPr>
      </w:pPr>
      <w:r>
        <w:rPr>
          <w:rFonts w:hint="eastAsia" w:ascii="宋体" w:hAnsi="宋体"/>
          <w:szCs w:val="21"/>
        </w:rPr>
        <w:t>名        称：</w:t>
      </w:r>
      <w:r>
        <w:rPr>
          <w:rFonts w:hint="eastAsia" w:ascii="宋体" w:hAnsi="宋体"/>
          <w:szCs w:val="21"/>
          <w:lang w:eastAsia="zh-CN"/>
        </w:rPr>
        <w:t>广州市天河区国家档案馆</w:t>
      </w:r>
    </w:p>
    <w:p>
      <w:pPr>
        <w:pStyle w:val="86"/>
        <w:numPr>
          <w:ilvl w:val="1"/>
          <w:numId w:val="0"/>
        </w:numPr>
        <w:spacing w:line="420" w:lineRule="exact"/>
        <w:ind w:left="0" w:leftChars="0" w:firstLine="420" w:firstLineChars="200"/>
        <w:rPr>
          <w:rFonts w:hint="default" w:ascii="宋体" w:hAnsi="宋体" w:eastAsia="宋体"/>
          <w:szCs w:val="21"/>
          <w:lang w:val="en-US" w:eastAsia="zh-CN"/>
        </w:rPr>
      </w:pPr>
      <w:r>
        <w:rPr>
          <w:rFonts w:hint="eastAsia" w:ascii="宋体" w:hAnsi="宋体"/>
          <w:szCs w:val="21"/>
        </w:rPr>
        <w:t>纳税人识别号：</w:t>
      </w:r>
      <w:r>
        <w:rPr>
          <w:rFonts w:hint="eastAsia" w:ascii="宋体" w:hAnsi="宋体"/>
          <w:szCs w:val="21"/>
          <w:lang w:val="en-US" w:eastAsia="zh-CN"/>
        </w:rPr>
        <w:t>12440106007508448M</w:t>
      </w:r>
    </w:p>
    <w:p>
      <w:pPr>
        <w:pStyle w:val="86"/>
        <w:numPr>
          <w:ilvl w:val="1"/>
          <w:numId w:val="0"/>
        </w:numPr>
        <w:spacing w:line="420" w:lineRule="exact"/>
        <w:ind w:left="0" w:leftChars="0" w:firstLine="420" w:firstLineChars="200"/>
        <w:rPr>
          <w:rFonts w:hint="default" w:ascii="宋体" w:hAnsi="宋体" w:eastAsia="宋体"/>
          <w:szCs w:val="21"/>
          <w:lang w:val="en-US" w:eastAsia="zh-CN"/>
        </w:rPr>
      </w:pPr>
      <w:r>
        <w:rPr>
          <w:rFonts w:hint="eastAsia" w:ascii="宋体" w:hAnsi="宋体"/>
          <w:szCs w:val="21"/>
        </w:rPr>
        <w:t>地址、电话：</w:t>
      </w:r>
      <w:r>
        <w:rPr>
          <w:rFonts w:hint="eastAsia" w:ascii="宋体" w:hAnsi="宋体"/>
          <w:szCs w:val="21"/>
          <w:lang w:eastAsia="zh-CN"/>
        </w:rPr>
        <w:t>广州市天河区华农紫薇路</w:t>
      </w:r>
      <w:r>
        <w:rPr>
          <w:rFonts w:hint="eastAsia" w:ascii="宋体" w:hAnsi="宋体"/>
          <w:szCs w:val="21"/>
          <w:lang w:val="en-US" w:eastAsia="zh-CN"/>
        </w:rPr>
        <w:t>1号，020—38263859</w:t>
      </w:r>
    </w:p>
    <w:p>
      <w:pPr>
        <w:pStyle w:val="86"/>
        <w:numPr>
          <w:ilvl w:val="1"/>
          <w:numId w:val="0"/>
        </w:numPr>
        <w:spacing w:line="420" w:lineRule="exact"/>
        <w:ind w:left="0" w:leftChars="0" w:firstLine="420" w:firstLineChars="200"/>
        <w:rPr>
          <w:rFonts w:hint="eastAsia" w:ascii="宋体" w:hAnsi="宋体" w:eastAsia="宋体"/>
          <w:szCs w:val="21"/>
          <w:lang w:eastAsia="zh-CN"/>
        </w:rPr>
      </w:pPr>
      <w:r>
        <w:rPr>
          <w:rFonts w:hint="eastAsia" w:ascii="宋体" w:hAnsi="宋体"/>
          <w:szCs w:val="21"/>
        </w:rPr>
        <w:t>货物或应税劳务、服务名称：</w:t>
      </w:r>
      <w:r>
        <w:rPr>
          <w:rFonts w:hint="eastAsia" w:ascii="宋体" w:hAnsi="宋体"/>
          <w:szCs w:val="21"/>
          <w:lang w:eastAsia="zh-CN"/>
        </w:rPr>
        <w:t>消防设备维护保养费</w:t>
      </w:r>
    </w:p>
    <w:p>
      <w:pPr>
        <w:pStyle w:val="86"/>
        <w:numPr>
          <w:ilvl w:val="1"/>
          <w:numId w:val="0"/>
        </w:numPr>
        <w:spacing w:line="420" w:lineRule="exact"/>
        <w:ind w:left="0" w:firstLine="420" w:firstLineChars="200"/>
        <w:rPr>
          <w:rFonts w:hint="eastAsia" w:ascii="宋体" w:hAnsi="宋体"/>
          <w:szCs w:val="21"/>
        </w:rPr>
      </w:pPr>
      <w:r>
        <w:rPr>
          <w:rFonts w:hint="eastAsia" w:ascii="宋体" w:hAnsi="宋体"/>
          <w:szCs w:val="21"/>
          <w:lang w:val="en-US" w:eastAsia="zh-CN"/>
        </w:rPr>
        <w:t>④</w:t>
      </w:r>
      <w:r>
        <w:rPr>
          <w:rFonts w:hint="eastAsia" w:ascii="宋体" w:hAnsi="宋体"/>
          <w:szCs w:val="21"/>
        </w:rPr>
        <w:t>乙方确认以下银行账户为其指定的唯一的收款账户。如乙方需更改银行账户信息须于甲方办理财政集中支付手续3个工作日前以书面的方式通知甲方，否则甲方向本</w:t>
      </w:r>
      <w:r>
        <w:rPr>
          <w:rFonts w:hint="eastAsia" w:ascii="宋体" w:hAnsi="宋体"/>
          <w:szCs w:val="21"/>
          <w:lang w:eastAsia="zh-CN"/>
        </w:rPr>
        <w:t>需求</w:t>
      </w:r>
      <w:r>
        <w:rPr>
          <w:rFonts w:hint="eastAsia" w:ascii="宋体" w:hAnsi="宋体"/>
          <w:szCs w:val="21"/>
        </w:rPr>
        <w:t>约定的银行账户支付</w:t>
      </w:r>
      <w:r>
        <w:rPr>
          <w:rFonts w:hint="eastAsia" w:ascii="宋体" w:hAnsi="宋体"/>
          <w:szCs w:val="21"/>
          <w:lang w:eastAsia="zh-CN"/>
        </w:rPr>
        <w:t>需求</w:t>
      </w:r>
      <w:r>
        <w:rPr>
          <w:rFonts w:hint="eastAsia" w:ascii="宋体" w:hAnsi="宋体"/>
          <w:szCs w:val="21"/>
        </w:rPr>
        <w:t>费用到账后，视为已支付</w:t>
      </w:r>
      <w:r>
        <w:rPr>
          <w:rFonts w:hint="eastAsia" w:ascii="宋体" w:hAnsi="宋体"/>
          <w:szCs w:val="21"/>
          <w:lang w:eastAsia="zh-CN"/>
        </w:rPr>
        <w:t>需求</w:t>
      </w:r>
      <w:r>
        <w:rPr>
          <w:rFonts w:hint="eastAsia" w:ascii="宋体" w:hAnsi="宋体"/>
          <w:szCs w:val="21"/>
        </w:rPr>
        <w:t>费用，乙方自行承担怠于通知的不利后果。</w:t>
      </w:r>
    </w:p>
    <w:p>
      <w:pPr>
        <w:pStyle w:val="86"/>
        <w:numPr>
          <w:ilvl w:val="1"/>
          <w:numId w:val="0"/>
        </w:numPr>
        <w:spacing w:line="420" w:lineRule="exact"/>
        <w:ind w:left="0" w:leftChars="0" w:firstLine="420" w:firstLineChars="200"/>
        <w:rPr>
          <w:rFonts w:hint="eastAsia" w:ascii="宋体" w:hAnsi="宋体"/>
          <w:szCs w:val="21"/>
        </w:rPr>
      </w:pPr>
      <w:r>
        <w:rPr>
          <w:rFonts w:hint="eastAsia" w:ascii="宋体" w:hAnsi="宋体"/>
          <w:szCs w:val="21"/>
        </w:rPr>
        <w:t>乙方指定的收款银行账户信息为：</w:t>
      </w:r>
    </w:p>
    <w:p>
      <w:pPr>
        <w:pStyle w:val="86"/>
        <w:numPr>
          <w:ilvl w:val="1"/>
          <w:numId w:val="0"/>
        </w:numPr>
        <w:spacing w:line="420" w:lineRule="exact"/>
        <w:ind w:left="0" w:leftChars="0" w:firstLine="420" w:firstLineChars="200"/>
        <w:rPr>
          <w:rFonts w:hint="eastAsia" w:ascii="宋体" w:hAnsi="宋体"/>
          <w:szCs w:val="21"/>
          <w:u w:val="single"/>
        </w:rPr>
      </w:pPr>
      <w:r>
        <w:rPr>
          <w:rFonts w:hint="eastAsia" w:ascii="宋体" w:hAnsi="宋体"/>
          <w:szCs w:val="21"/>
        </w:rPr>
        <w:t>账户名称：</w:t>
      </w:r>
      <w:r>
        <w:rPr>
          <w:rFonts w:hint="eastAsia" w:ascii="宋体" w:hAnsi="宋体"/>
          <w:b w:val="0"/>
          <w:szCs w:val="21"/>
          <w:u w:val="single"/>
          <w:lang w:val="en-US" w:eastAsia="zh-CN"/>
        </w:rPr>
        <w:t xml:space="preserve">                                </w:t>
      </w:r>
    </w:p>
    <w:p>
      <w:pPr>
        <w:pStyle w:val="86"/>
        <w:numPr>
          <w:ilvl w:val="1"/>
          <w:numId w:val="0"/>
        </w:numPr>
        <w:spacing w:line="420" w:lineRule="exact"/>
        <w:ind w:left="0" w:leftChars="0" w:firstLine="420" w:firstLineChars="200"/>
        <w:rPr>
          <w:rFonts w:hint="eastAsia" w:ascii="宋体" w:hAnsi="宋体" w:eastAsia="宋体"/>
          <w:szCs w:val="21"/>
          <w:lang w:eastAsia="zh-CN"/>
        </w:rPr>
      </w:pPr>
      <w:r>
        <w:rPr>
          <w:rFonts w:hint="eastAsia" w:ascii="宋体" w:hAnsi="宋体"/>
          <w:szCs w:val="21"/>
        </w:rPr>
        <w:t>开户银行：</w:t>
      </w:r>
      <w:r>
        <w:rPr>
          <w:rFonts w:hint="eastAsia" w:ascii="宋体" w:hAnsi="宋体"/>
          <w:szCs w:val="21"/>
          <w:u w:val="single"/>
          <w:lang w:val="en-US" w:eastAsia="zh-CN"/>
        </w:rPr>
        <w:t xml:space="preserve">                                    </w:t>
      </w:r>
    </w:p>
    <w:p>
      <w:pPr>
        <w:pStyle w:val="86"/>
        <w:numPr>
          <w:ilvl w:val="1"/>
          <w:numId w:val="0"/>
        </w:numPr>
        <w:spacing w:line="420" w:lineRule="exact"/>
        <w:ind w:left="0" w:leftChars="0" w:firstLine="420" w:firstLineChars="200"/>
        <w:rPr>
          <w:rFonts w:hint="eastAsia" w:ascii="宋体" w:hAnsi="宋体"/>
          <w:szCs w:val="21"/>
          <w:u w:val="single"/>
          <w:lang w:val="en-US" w:eastAsia="zh-CN"/>
        </w:rPr>
      </w:pPr>
      <w:r>
        <w:rPr>
          <w:rFonts w:hint="eastAsia" w:ascii="宋体" w:hAnsi="宋体"/>
          <w:szCs w:val="21"/>
        </w:rPr>
        <w:t>银行账号：</w:t>
      </w:r>
      <w:r>
        <w:rPr>
          <w:rFonts w:hint="eastAsia" w:ascii="宋体" w:hAnsi="宋体"/>
          <w:szCs w:val="21"/>
          <w:u w:val="single"/>
          <w:lang w:val="en-US" w:eastAsia="zh-CN"/>
        </w:rPr>
        <w:t xml:space="preserve">                        </w:t>
      </w:r>
    </w:p>
    <w:p>
      <w:pPr>
        <w:pStyle w:val="86"/>
        <w:numPr>
          <w:ilvl w:val="1"/>
          <w:numId w:val="0"/>
        </w:numPr>
        <w:spacing w:line="420" w:lineRule="exact"/>
        <w:ind w:left="0" w:leftChars="0" w:firstLine="420" w:firstLineChars="200"/>
        <w:rPr>
          <w:rFonts w:hint="default" w:ascii="宋体" w:hAnsi="宋体"/>
          <w:szCs w:val="21"/>
          <w:u w:val="single"/>
          <w:lang w:val="en-US" w:eastAsia="zh-CN"/>
        </w:rPr>
      </w:pPr>
      <w:r>
        <w:rPr>
          <w:rFonts w:hint="eastAsia" w:ascii="宋体" w:hAnsi="宋体"/>
          <w:szCs w:val="21"/>
          <w:lang w:val="en-US" w:eastAsia="zh-CN"/>
        </w:rPr>
        <w:t>纳税人识别号：</w:t>
      </w:r>
      <w:r>
        <w:rPr>
          <w:rFonts w:hint="eastAsia" w:ascii="宋体" w:hAnsi="宋体"/>
          <w:szCs w:val="21"/>
          <w:u w:val="single"/>
          <w:lang w:val="en-US" w:eastAsia="zh-CN"/>
        </w:rPr>
        <w:t xml:space="preserve">                    </w:t>
      </w:r>
    </w:p>
    <w:p>
      <w:pPr>
        <w:pStyle w:val="86"/>
        <w:numPr>
          <w:ilvl w:val="1"/>
          <w:numId w:val="0"/>
        </w:numPr>
        <w:spacing w:line="420" w:lineRule="exact"/>
        <w:ind w:left="0" w:firstLine="420" w:firstLineChars="200"/>
        <w:rPr>
          <w:rFonts w:hint="eastAsia" w:ascii="宋体" w:hAnsi="宋体"/>
          <w:szCs w:val="21"/>
        </w:rPr>
      </w:pPr>
      <w:r>
        <w:rPr>
          <w:rFonts w:hint="eastAsia" w:ascii="宋体" w:hAnsi="宋体"/>
          <w:szCs w:val="21"/>
          <w:lang w:val="en-US" w:eastAsia="zh-CN"/>
        </w:rPr>
        <w:t>⑤</w:t>
      </w:r>
      <w:r>
        <w:rPr>
          <w:rFonts w:hint="eastAsia" w:ascii="宋体" w:hAnsi="宋体"/>
          <w:szCs w:val="21"/>
        </w:rPr>
        <w:t>本</w:t>
      </w:r>
      <w:r>
        <w:rPr>
          <w:rFonts w:hint="eastAsia" w:ascii="宋体" w:hAnsi="宋体"/>
          <w:szCs w:val="21"/>
          <w:lang w:eastAsia="zh-CN"/>
        </w:rPr>
        <w:t>需求</w:t>
      </w:r>
      <w:r>
        <w:rPr>
          <w:rFonts w:hint="eastAsia" w:ascii="宋体" w:hAnsi="宋体"/>
          <w:szCs w:val="21"/>
        </w:rPr>
        <w:t>增值税税率依据国家最新政策执行，若国家调整税率，则保持本</w:t>
      </w:r>
      <w:r>
        <w:rPr>
          <w:rFonts w:hint="eastAsia" w:ascii="宋体" w:hAnsi="宋体"/>
          <w:szCs w:val="21"/>
          <w:lang w:eastAsia="zh-CN"/>
        </w:rPr>
        <w:t>需求</w:t>
      </w:r>
      <w:r>
        <w:rPr>
          <w:rFonts w:hint="eastAsia" w:ascii="宋体" w:hAnsi="宋体"/>
          <w:szCs w:val="21"/>
        </w:rPr>
        <w:t>不含税金额不变，按新税率计算</w:t>
      </w:r>
      <w:r>
        <w:rPr>
          <w:rFonts w:hint="eastAsia" w:ascii="宋体" w:hAnsi="宋体"/>
          <w:szCs w:val="21"/>
          <w:lang w:eastAsia="zh-CN"/>
        </w:rPr>
        <w:t>需求</w:t>
      </w:r>
      <w:r>
        <w:rPr>
          <w:rFonts w:hint="eastAsia" w:ascii="宋体" w:hAnsi="宋体"/>
          <w:szCs w:val="21"/>
        </w:rPr>
        <w:t>含税总价。</w:t>
      </w:r>
    </w:p>
    <w:p>
      <w:pPr>
        <w:pStyle w:val="86"/>
        <w:numPr>
          <w:ilvl w:val="1"/>
          <w:numId w:val="0"/>
        </w:numPr>
        <w:spacing w:line="420" w:lineRule="exact"/>
        <w:ind w:left="0" w:firstLine="420" w:firstLineChars="200"/>
        <w:rPr>
          <w:rFonts w:hint="eastAsia" w:ascii="宋体" w:hAnsi="宋体" w:eastAsia="宋体"/>
          <w:szCs w:val="21"/>
          <w:lang w:val="en-US" w:eastAsia="zh-CN"/>
        </w:rPr>
      </w:pPr>
      <w:r>
        <w:rPr>
          <w:rFonts w:hint="eastAsia" w:ascii="宋体" w:hAnsi="宋体"/>
          <w:szCs w:val="21"/>
          <w:lang w:val="en-US" w:eastAsia="zh-CN"/>
        </w:rPr>
        <w:t>⑥</w:t>
      </w:r>
      <w:r>
        <w:rPr>
          <w:rFonts w:hint="eastAsia" w:ascii="宋体" w:hAnsi="宋体"/>
          <w:szCs w:val="21"/>
        </w:rPr>
        <w:t>鉴于甲方使用的是财政资金，甲方在前款规定的付款时间内按期办理支付手续的（不含支付部门审核的时间），视为甲方已按约支付。由于财政拨款不到位、乙方未及时提供合法有效的发票或不可抗力原因导致乙方收款延误的，甲方不承担迟延付款的责任，并且此情况不能成为乙方中止或拒绝履行本</w:t>
      </w:r>
      <w:r>
        <w:rPr>
          <w:rFonts w:hint="eastAsia" w:ascii="宋体" w:hAnsi="宋体"/>
          <w:szCs w:val="21"/>
          <w:lang w:eastAsia="zh-CN"/>
        </w:rPr>
        <w:t>需求</w:t>
      </w:r>
      <w:r>
        <w:rPr>
          <w:rFonts w:hint="eastAsia" w:ascii="宋体" w:hAnsi="宋体"/>
          <w:szCs w:val="21"/>
        </w:rPr>
        <w:t>项下义务的理由。</w:t>
      </w:r>
    </w:p>
    <w:p>
      <w:pPr>
        <w:numPr>
          <w:ilvl w:val="0"/>
          <w:numId w:val="0"/>
        </w:numPr>
        <w:adjustRightInd w:val="0"/>
        <w:snapToGrid w:val="0"/>
        <w:spacing w:line="420" w:lineRule="exact"/>
        <w:rPr>
          <w:rFonts w:ascii="宋体" w:hAnsi="宋体"/>
          <w:b/>
          <w:szCs w:val="21"/>
        </w:rPr>
      </w:pPr>
      <w:r>
        <w:rPr>
          <w:rFonts w:hint="eastAsia" w:ascii="宋体" w:hAnsi="宋体" w:eastAsia="宋体" w:cs="Times New Roman"/>
          <w:b/>
          <w:kern w:val="2"/>
          <w:sz w:val="21"/>
          <w:szCs w:val="21"/>
          <w:lang w:val="en-US" w:eastAsia="zh-CN" w:bidi="ar-SA"/>
        </w:rPr>
        <w:t>五、</w:t>
      </w:r>
      <w:r>
        <w:rPr>
          <w:rFonts w:hint="eastAsia" w:ascii="宋体" w:hAnsi="宋体"/>
          <w:b/>
          <w:szCs w:val="21"/>
        </w:rPr>
        <w:t>双方责任</w:t>
      </w:r>
    </w:p>
    <w:p>
      <w:pPr>
        <w:spacing w:line="420" w:lineRule="exact"/>
        <w:ind w:firstLine="420" w:firstLineChars="200"/>
        <w:rPr>
          <w:rFonts w:ascii="宋体" w:hAnsi="宋体"/>
          <w:szCs w:val="21"/>
        </w:rPr>
      </w:pPr>
      <w:r>
        <w:rPr>
          <w:rFonts w:hint="eastAsia" w:ascii="宋体" w:hAnsi="宋体"/>
          <w:szCs w:val="21"/>
        </w:rPr>
        <w:t>1、甲方的责任</w:t>
      </w:r>
      <w:r>
        <w:rPr>
          <w:rFonts w:hint="eastAsia" w:ascii="宋体" w:hAnsi="宋体"/>
          <w:szCs w:val="21"/>
          <w:lang w:eastAsia="zh-CN"/>
        </w:rPr>
        <w:t>：</w:t>
      </w:r>
    </w:p>
    <w:p>
      <w:pPr>
        <w:tabs>
          <w:tab w:val="left" w:pos="9540"/>
        </w:tabs>
        <w:spacing w:line="420" w:lineRule="exact"/>
        <w:ind w:left="0" w:leftChars="0" w:firstLine="420" w:firstLineChars="200"/>
        <w:rPr>
          <w:rFonts w:hint="eastAsia" w:ascii="宋体" w:hAnsi="宋体" w:eastAsia="宋体"/>
          <w:szCs w:val="21"/>
          <w:lang w:eastAsia="zh-CN"/>
        </w:rPr>
      </w:pPr>
      <w:r>
        <w:rPr>
          <w:rFonts w:hint="eastAsia" w:ascii="宋体" w:hAnsi="宋体"/>
          <w:szCs w:val="21"/>
        </w:rPr>
        <w:t>①</w:t>
      </w:r>
      <w:r>
        <w:rPr>
          <w:rFonts w:hint="eastAsia" w:ascii="宋体" w:hAnsi="宋体"/>
          <w:spacing w:val="-4"/>
          <w:szCs w:val="21"/>
        </w:rPr>
        <w:t>提供符合现场的有关消防系统的竣工图纸、运行记录、隐蔽线路等有关资料给乙方参阅</w:t>
      </w:r>
      <w:r>
        <w:rPr>
          <w:rFonts w:hint="eastAsia" w:ascii="宋体" w:hAnsi="宋体"/>
          <w:szCs w:val="21"/>
          <w:lang w:eastAsia="zh-CN"/>
        </w:rPr>
        <w:t>。</w:t>
      </w:r>
    </w:p>
    <w:p>
      <w:pPr>
        <w:tabs>
          <w:tab w:val="left" w:pos="9540"/>
        </w:tabs>
        <w:spacing w:line="420" w:lineRule="exact"/>
        <w:ind w:left="0" w:leftChars="0" w:firstLine="420" w:firstLineChars="200"/>
        <w:rPr>
          <w:rFonts w:hint="eastAsia" w:ascii="宋体" w:hAnsi="宋体" w:eastAsia="宋体"/>
          <w:szCs w:val="21"/>
          <w:lang w:eastAsia="zh-CN"/>
        </w:rPr>
      </w:pPr>
      <w:r>
        <w:rPr>
          <w:rFonts w:hint="eastAsia" w:ascii="宋体" w:hAnsi="宋体"/>
          <w:szCs w:val="21"/>
        </w:rPr>
        <w:t>②由于管理需要，为方便维保工作的顺利进行，保养期间甲方必须派至少一名工作人员协助乙方的维保工作，为乙方到现场维保提供便利的条件如：甲方须带乙方进出因维保需要进出的场所</w:t>
      </w:r>
      <w:r>
        <w:rPr>
          <w:rFonts w:hint="eastAsia" w:ascii="宋体" w:hAnsi="宋体"/>
          <w:szCs w:val="21"/>
          <w:lang w:eastAsia="zh-CN"/>
        </w:rPr>
        <w:t>，</w:t>
      </w:r>
      <w:r>
        <w:rPr>
          <w:rFonts w:hint="eastAsia" w:ascii="宋体" w:hAnsi="宋体"/>
          <w:szCs w:val="21"/>
        </w:rPr>
        <w:t>并在维保工作上尽量予以协助</w:t>
      </w:r>
      <w:r>
        <w:rPr>
          <w:rFonts w:hint="eastAsia" w:ascii="宋体" w:hAnsi="宋体"/>
          <w:szCs w:val="21"/>
          <w:lang w:eastAsia="zh-CN"/>
        </w:rPr>
        <w:t>。</w:t>
      </w:r>
    </w:p>
    <w:p>
      <w:pPr>
        <w:tabs>
          <w:tab w:val="left" w:pos="9540"/>
        </w:tabs>
        <w:spacing w:line="420" w:lineRule="exact"/>
        <w:ind w:left="0" w:leftChars="0" w:firstLine="420" w:firstLineChars="200"/>
        <w:rPr>
          <w:rFonts w:hint="eastAsia" w:ascii="宋体" w:hAnsi="宋体" w:eastAsia="宋体"/>
          <w:szCs w:val="21"/>
          <w:lang w:eastAsia="zh-CN"/>
        </w:rPr>
      </w:pPr>
      <w:r>
        <w:rPr>
          <w:rFonts w:hint="eastAsia" w:ascii="宋体" w:hAnsi="宋体"/>
          <w:szCs w:val="21"/>
        </w:rPr>
        <w:t>③消防系统出现异常和故障</w:t>
      </w:r>
      <w:r>
        <w:rPr>
          <w:rFonts w:hint="eastAsia" w:ascii="宋体" w:hAnsi="宋体"/>
          <w:szCs w:val="21"/>
          <w:lang w:eastAsia="zh-CN"/>
        </w:rPr>
        <w:t>，</w:t>
      </w:r>
      <w:r>
        <w:rPr>
          <w:rFonts w:ascii="宋体" w:hAnsi="宋体"/>
          <w:szCs w:val="21"/>
        </w:rPr>
        <w:t xml:space="preserve"> </w:t>
      </w:r>
      <w:r>
        <w:rPr>
          <w:rFonts w:hint="eastAsia" w:ascii="宋体" w:hAnsi="宋体"/>
          <w:szCs w:val="21"/>
        </w:rPr>
        <w:t>甲方应及时</w:t>
      </w:r>
      <w:r>
        <w:rPr>
          <w:rFonts w:hint="eastAsia" w:ascii="宋体" w:hAnsi="宋体"/>
          <w:szCs w:val="21"/>
          <w:lang w:val="en-US" w:eastAsia="zh-CN"/>
        </w:rPr>
        <w:t>书面</w:t>
      </w:r>
      <w:r>
        <w:rPr>
          <w:rFonts w:hint="eastAsia" w:ascii="宋体" w:hAnsi="宋体"/>
          <w:szCs w:val="21"/>
        </w:rPr>
        <w:t>通知乙方</w:t>
      </w:r>
      <w:r>
        <w:rPr>
          <w:rFonts w:hint="eastAsia" w:ascii="宋体" w:hAnsi="宋体"/>
          <w:szCs w:val="21"/>
          <w:lang w:eastAsia="zh-CN"/>
        </w:rPr>
        <w:t>。</w:t>
      </w:r>
    </w:p>
    <w:p>
      <w:pPr>
        <w:tabs>
          <w:tab w:val="left" w:pos="9540"/>
        </w:tabs>
        <w:spacing w:line="420" w:lineRule="exact"/>
        <w:ind w:left="0" w:leftChars="0" w:firstLine="420" w:firstLineChars="200"/>
        <w:rPr>
          <w:rFonts w:hint="eastAsia" w:ascii="宋体" w:hAnsi="宋体" w:eastAsia="宋体"/>
          <w:szCs w:val="21"/>
          <w:lang w:eastAsia="zh-CN"/>
        </w:rPr>
      </w:pPr>
      <w:r>
        <w:rPr>
          <w:rFonts w:hint="eastAsia" w:ascii="宋体" w:hAnsi="宋体"/>
          <w:szCs w:val="21"/>
        </w:rPr>
        <w:t>④维护保养工作完成后</w:t>
      </w:r>
      <w:r>
        <w:rPr>
          <w:rFonts w:hint="eastAsia" w:ascii="宋体" w:hAnsi="宋体"/>
          <w:szCs w:val="21"/>
          <w:lang w:eastAsia="zh-CN"/>
        </w:rPr>
        <w:t>，</w:t>
      </w:r>
      <w:r>
        <w:rPr>
          <w:rFonts w:ascii="宋体" w:hAnsi="宋体"/>
          <w:szCs w:val="21"/>
        </w:rPr>
        <w:t xml:space="preserve"> </w:t>
      </w:r>
      <w:r>
        <w:rPr>
          <w:rFonts w:hint="eastAsia" w:ascii="宋体" w:hAnsi="宋体"/>
          <w:szCs w:val="21"/>
        </w:rPr>
        <w:t>甲方应按协议，及时支付保养费用</w:t>
      </w:r>
      <w:r>
        <w:rPr>
          <w:rFonts w:hint="eastAsia" w:ascii="宋体" w:hAnsi="宋体"/>
          <w:szCs w:val="21"/>
          <w:lang w:eastAsia="zh-CN"/>
        </w:rPr>
        <w:t>。</w:t>
      </w:r>
    </w:p>
    <w:p>
      <w:pPr>
        <w:tabs>
          <w:tab w:val="left" w:pos="9540"/>
        </w:tabs>
        <w:spacing w:line="420" w:lineRule="exact"/>
        <w:ind w:left="0" w:leftChars="0" w:firstLine="420" w:firstLineChars="200"/>
        <w:rPr>
          <w:rFonts w:ascii="宋体" w:hAnsi="宋体"/>
          <w:szCs w:val="21"/>
        </w:rPr>
      </w:pPr>
      <w:r>
        <w:rPr>
          <w:rFonts w:hint="eastAsia" w:ascii="宋体" w:hAnsi="宋体"/>
          <w:szCs w:val="21"/>
        </w:rPr>
        <w:t>⑤</w:t>
      </w:r>
      <w:r>
        <w:rPr>
          <w:rFonts w:hint="eastAsia" w:ascii="宋体" w:hAnsi="宋体"/>
          <w:spacing w:val="-4"/>
          <w:szCs w:val="21"/>
        </w:rPr>
        <w:t>在维护保养过程中</w:t>
      </w:r>
      <w:r>
        <w:rPr>
          <w:rFonts w:hint="eastAsia" w:ascii="宋体" w:hAnsi="宋体"/>
          <w:spacing w:val="-4"/>
          <w:szCs w:val="21"/>
          <w:lang w:eastAsia="zh-CN"/>
        </w:rPr>
        <w:t>，</w:t>
      </w:r>
      <w:r>
        <w:rPr>
          <w:rFonts w:ascii="宋体" w:hAnsi="宋体"/>
          <w:spacing w:val="-4"/>
          <w:szCs w:val="21"/>
        </w:rPr>
        <w:t xml:space="preserve"> </w:t>
      </w:r>
      <w:r>
        <w:rPr>
          <w:rFonts w:hint="eastAsia" w:ascii="宋体" w:hAnsi="宋体"/>
          <w:spacing w:val="-4"/>
          <w:szCs w:val="21"/>
        </w:rPr>
        <w:t>乙方如因工作需要有关技术资料</w:t>
      </w:r>
      <w:r>
        <w:rPr>
          <w:rFonts w:ascii="宋体" w:hAnsi="宋体"/>
          <w:spacing w:val="-4"/>
          <w:szCs w:val="21"/>
        </w:rPr>
        <w:t>(</w:t>
      </w:r>
      <w:r>
        <w:rPr>
          <w:rFonts w:hint="eastAsia" w:ascii="宋体" w:hAnsi="宋体"/>
          <w:spacing w:val="-4"/>
          <w:szCs w:val="21"/>
        </w:rPr>
        <w:t>设计和设备资料等</w:t>
      </w:r>
      <w:r>
        <w:rPr>
          <w:rFonts w:ascii="宋体" w:hAnsi="宋体"/>
          <w:spacing w:val="-4"/>
          <w:szCs w:val="21"/>
        </w:rPr>
        <w:t xml:space="preserve">), </w:t>
      </w:r>
      <w:r>
        <w:rPr>
          <w:rFonts w:hint="eastAsia" w:ascii="宋体" w:hAnsi="宋体"/>
          <w:spacing w:val="-4"/>
          <w:szCs w:val="21"/>
        </w:rPr>
        <w:t>甲方应尽量提供</w:t>
      </w:r>
      <w:r>
        <w:rPr>
          <w:rFonts w:hint="eastAsia" w:ascii="宋体" w:hAnsi="宋体"/>
          <w:szCs w:val="21"/>
        </w:rPr>
        <w:t>。</w:t>
      </w:r>
    </w:p>
    <w:p>
      <w:pPr>
        <w:tabs>
          <w:tab w:val="left" w:pos="9540"/>
        </w:tabs>
        <w:spacing w:line="420" w:lineRule="exact"/>
        <w:ind w:left="0" w:leftChars="0" w:firstLine="420" w:firstLineChars="200"/>
        <w:rPr>
          <w:rFonts w:ascii="宋体" w:hAnsi="宋体"/>
          <w:szCs w:val="21"/>
        </w:rPr>
      </w:pPr>
      <w:r>
        <w:rPr>
          <w:rFonts w:hint="eastAsia" w:ascii="宋体" w:hAnsi="宋体"/>
          <w:szCs w:val="21"/>
        </w:rPr>
        <w:t>⑥项目如进行二次装修时，甲方必须提前书面通知乙方。</w:t>
      </w:r>
    </w:p>
    <w:p>
      <w:pPr>
        <w:tabs>
          <w:tab w:val="left" w:pos="9540"/>
        </w:tabs>
        <w:spacing w:line="420" w:lineRule="exact"/>
        <w:ind w:left="0" w:leftChars="0" w:firstLine="420" w:firstLineChars="200"/>
        <w:rPr>
          <w:rFonts w:ascii="宋体" w:hAnsi="宋体"/>
          <w:szCs w:val="21"/>
        </w:rPr>
      </w:pPr>
      <w:r>
        <w:rPr>
          <w:rFonts w:hint="eastAsia" w:ascii="宋体" w:hAnsi="宋体"/>
          <w:szCs w:val="21"/>
        </w:rPr>
        <w:t>⑦甲方有权检查设备的保养情况，对不合格的保养项目提出整改要求。</w:t>
      </w:r>
    </w:p>
    <w:p>
      <w:pPr>
        <w:tabs>
          <w:tab w:val="left" w:pos="9540"/>
        </w:tabs>
        <w:spacing w:line="420" w:lineRule="exact"/>
        <w:ind w:left="0" w:leftChars="0" w:firstLine="420" w:firstLineChars="200"/>
        <w:rPr>
          <w:rFonts w:ascii="宋体" w:hAnsi="宋体"/>
          <w:szCs w:val="21"/>
        </w:rPr>
      </w:pPr>
      <w:r>
        <w:rPr>
          <w:rFonts w:hint="eastAsia" w:ascii="宋体" w:hAnsi="宋体"/>
          <w:szCs w:val="21"/>
        </w:rPr>
        <w:t>⑧项目内的所有消防设施的保管责任由甲方负责，甲方应保证项目内的消防系统及设施不被偷盗或人为破坏。</w:t>
      </w:r>
    </w:p>
    <w:p>
      <w:pPr>
        <w:tabs>
          <w:tab w:val="left" w:pos="9540"/>
        </w:tabs>
        <w:spacing w:line="420" w:lineRule="exact"/>
        <w:ind w:left="0" w:leftChars="0" w:firstLine="420" w:firstLineChars="200"/>
        <w:rPr>
          <w:rFonts w:ascii="宋体" w:hAnsi="宋体"/>
          <w:szCs w:val="21"/>
        </w:rPr>
      </w:pPr>
      <w:r>
        <w:rPr>
          <w:rFonts w:hint="eastAsia" w:ascii="宋体" w:hAnsi="宋体"/>
          <w:szCs w:val="21"/>
        </w:rPr>
        <w:t>⑨审核和批复乙方的工作计划和报告，按要求对乙方的工作质量进行考核和监督。</w:t>
      </w:r>
    </w:p>
    <w:p>
      <w:pPr>
        <w:tabs>
          <w:tab w:val="left" w:pos="9540"/>
        </w:tabs>
        <w:spacing w:line="420" w:lineRule="exact"/>
        <w:ind w:left="0" w:leftChars="0" w:firstLine="420" w:firstLineChars="200"/>
        <w:rPr>
          <w:rFonts w:ascii="宋体" w:hAnsi="宋体"/>
          <w:szCs w:val="21"/>
        </w:rPr>
      </w:pPr>
      <w:r>
        <w:rPr>
          <w:rFonts w:hint="eastAsia" w:ascii="宋体" w:hAnsi="宋体"/>
          <w:szCs w:val="21"/>
        </w:rPr>
        <w:t>⑩在紧急情况下，甲方有权利通知乙方后对故障设备进行处理。</w:t>
      </w:r>
    </w:p>
    <w:p>
      <w:pPr>
        <w:tabs>
          <w:tab w:val="left" w:pos="9540"/>
        </w:tabs>
        <w:spacing w:line="420" w:lineRule="exact"/>
        <w:ind w:left="0" w:leftChars="0" w:firstLine="420" w:firstLineChars="200"/>
        <w:rPr>
          <w:rFonts w:ascii="宋体" w:hAnsi="宋体"/>
          <w:szCs w:val="21"/>
        </w:rPr>
      </w:pPr>
      <w:r>
        <w:rPr>
          <w:rFonts w:hint="eastAsia" w:ascii="Malgun Gothic Semilight" w:hAnsi="Malgun Gothic Semilight" w:eastAsia="Malgun Gothic Semilight" w:cs="Malgun Gothic Semilight"/>
          <w:szCs w:val="21"/>
        </w:rPr>
        <w:t>⑪</w:t>
      </w:r>
      <w:r>
        <w:rPr>
          <w:rFonts w:hint="eastAsia" w:ascii="宋体" w:hAnsi="宋体"/>
          <w:szCs w:val="21"/>
        </w:rPr>
        <w:t>甲方指定其工作人员</w:t>
      </w:r>
      <w:r>
        <w:rPr>
          <w:rFonts w:hint="eastAsia" w:ascii="宋体" w:hAnsi="宋体"/>
          <w:color w:val="auto"/>
          <w:szCs w:val="21"/>
        </w:rPr>
        <w:t>（姓名：</w:t>
      </w:r>
      <w:r>
        <w:rPr>
          <w:rFonts w:hint="eastAsia" w:ascii="宋体" w:hAnsi="宋体"/>
          <w:color w:val="auto"/>
          <w:szCs w:val="21"/>
          <w:lang w:val="en-US" w:eastAsia="zh-CN"/>
        </w:rPr>
        <w:t>陈穗锋</w:t>
      </w:r>
      <w:r>
        <w:rPr>
          <w:rFonts w:hint="eastAsia" w:ascii="宋体" w:hAnsi="宋体"/>
          <w:color w:val="auto"/>
          <w:szCs w:val="21"/>
        </w:rPr>
        <w:t>，电话：</w:t>
      </w:r>
      <w:r>
        <w:rPr>
          <w:rFonts w:hint="eastAsia" w:ascii="宋体" w:hAnsi="宋体"/>
          <w:color w:val="auto"/>
          <w:szCs w:val="21"/>
          <w:lang w:val="en-US" w:eastAsia="zh-CN"/>
        </w:rPr>
        <w:t>13699728421</w:t>
      </w:r>
      <w:r>
        <w:rPr>
          <w:rFonts w:hint="eastAsia" w:ascii="宋体" w:hAnsi="宋体"/>
          <w:color w:val="auto"/>
          <w:szCs w:val="21"/>
        </w:rPr>
        <w:t>，职务：</w:t>
      </w:r>
      <w:r>
        <w:rPr>
          <w:rFonts w:hint="eastAsia" w:ascii="宋体" w:hAnsi="宋体"/>
          <w:color w:val="auto"/>
          <w:szCs w:val="21"/>
          <w:u w:val="single"/>
        </w:rPr>
        <w:t>项目</w:t>
      </w:r>
      <w:r>
        <w:rPr>
          <w:rFonts w:hint="eastAsia" w:ascii="宋体" w:hAnsi="宋体"/>
          <w:color w:val="auto"/>
          <w:szCs w:val="21"/>
          <w:u w:val="single"/>
          <w:lang w:val="en-US" w:eastAsia="zh-CN"/>
        </w:rPr>
        <w:t>经办</w:t>
      </w:r>
      <w:r>
        <w:rPr>
          <w:rFonts w:hint="eastAsia" w:ascii="宋体" w:hAnsi="宋体"/>
          <w:color w:val="auto"/>
          <w:szCs w:val="21"/>
          <w:u w:val="single"/>
        </w:rPr>
        <w:t>人</w:t>
      </w:r>
      <w:r>
        <w:rPr>
          <w:rFonts w:hint="eastAsia" w:ascii="宋体" w:hAnsi="宋体"/>
          <w:color w:val="auto"/>
          <w:szCs w:val="21"/>
        </w:rPr>
        <w:t>）</w:t>
      </w:r>
      <w:r>
        <w:rPr>
          <w:rFonts w:hint="eastAsia" w:ascii="宋体" w:hAnsi="宋体"/>
          <w:szCs w:val="21"/>
        </w:rPr>
        <w:t>与乙方进行日常消防维保工作对接。</w:t>
      </w:r>
    </w:p>
    <w:p>
      <w:pPr>
        <w:spacing w:line="420" w:lineRule="exact"/>
        <w:ind w:firstLine="420" w:firstLineChars="200"/>
        <w:rPr>
          <w:rFonts w:ascii="宋体" w:hAnsi="宋体"/>
          <w:szCs w:val="21"/>
        </w:rPr>
      </w:pPr>
      <w:r>
        <w:rPr>
          <w:rFonts w:hint="eastAsia" w:ascii="宋体" w:hAnsi="宋体"/>
          <w:szCs w:val="21"/>
        </w:rPr>
        <w:t>2、乙方责任</w:t>
      </w:r>
      <w:r>
        <w:rPr>
          <w:rFonts w:hint="eastAsia" w:ascii="宋体" w:hAnsi="宋体"/>
          <w:szCs w:val="21"/>
          <w:lang w:eastAsia="zh-CN"/>
        </w:rPr>
        <w:t>：</w:t>
      </w:r>
    </w:p>
    <w:p>
      <w:pPr>
        <w:tabs>
          <w:tab w:val="left" w:pos="362"/>
          <w:tab w:val="left" w:pos="9540"/>
        </w:tabs>
        <w:spacing w:line="420" w:lineRule="exact"/>
        <w:ind w:left="0" w:leftChars="0" w:firstLine="420" w:firstLineChars="200"/>
        <w:rPr>
          <w:szCs w:val="21"/>
        </w:rPr>
      </w:pPr>
      <w:r>
        <w:rPr>
          <w:rFonts w:hint="eastAsia"/>
          <w:szCs w:val="21"/>
        </w:rPr>
        <w:t>（1）乙方严格按照消防规范编制维护保养计划、维护保养标准，维护保养计划、维护标准须得到甲方确认、认可，乙方按计划派出专业技术人员对甲方的消防系统进行维护保养工作，日常性计划维护保养工作完成后，次月1</w:t>
      </w:r>
      <w:r>
        <w:rPr>
          <w:szCs w:val="21"/>
        </w:rPr>
        <w:t>5</w:t>
      </w:r>
      <w:r>
        <w:rPr>
          <w:rFonts w:hint="eastAsia"/>
          <w:szCs w:val="21"/>
        </w:rPr>
        <w:t>天内提交维护保养记录，维护保养记录须经甲方相关负责人确认、签名。</w:t>
      </w:r>
    </w:p>
    <w:p>
      <w:pPr>
        <w:tabs>
          <w:tab w:val="left" w:pos="362"/>
          <w:tab w:val="left" w:pos="9540"/>
        </w:tabs>
        <w:spacing w:line="420" w:lineRule="exact"/>
        <w:ind w:left="0" w:leftChars="0" w:firstLine="420" w:firstLineChars="200"/>
        <w:rPr>
          <w:szCs w:val="21"/>
        </w:rPr>
      </w:pPr>
      <w:r>
        <w:rPr>
          <w:rFonts w:hint="eastAsia"/>
          <w:szCs w:val="21"/>
        </w:rPr>
        <w:t>（2）乙方提供24小时维护保养服务，设立24小时应急电话。</w:t>
      </w:r>
    </w:p>
    <w:p>
      <w:pPr>
        <w:tabs>
          <w:tab w:val="left" w:pos="362"/>
          <w:tab w:val="left" w:pos="9540"/>
        </w:tabs>
        <w:spacing w:line="420" w:lineRule="exact"/>
        <w:ind w:left="0" w:leftChars="0" w:firstLine="420" w:firstLineChars="200"/>
        <w:rPr>
          <w:szCs w:val="21"/>
        </w:rPr>
      </w:pPr>
      <w:r>
        <w:rPr>
          <w:rFonts w:hint="eastAsia"/>
          <w:szCs w:val="21"/>
        </w:rPr>
        <w:t>乙方接到甲方的维护通知，应于工作时间内6小时内派技术人员到达现场进行处理，非工作时间的一般故障通知乙方技术人员，等待工作日现场处理，突发性故障在规定时间6小时内全力以赴尽快处理恢复正常，如故障在规定时间内不能处理，乙方应将预计完成时间告知甲方，并采取各种应急措施，保持系统正常运行。</w:t>
      </w:r>
    </w:p>
    <w:p>
      <w:pPr>
        <w:tabs>
          <w:tab w:val="left" w:pos="362"/>
          <w:tab w:val="left" w:pos="9540"/>
        </w:tabs>
        <w:spacing w:line="420" w:lineRule="exact"/>
        <w:ind w:left="0" w:leftChars="0" w:firstLine="420" w:firstLineChars="200"/>
        <w:rPr>
          <w:szCs w:val="21"/>
        </w:rPr>
      </w:pPr>
      <w:r>
        <w:rPr>
          <w:rFonts w:hint="eastAsia"/>
          <w:szCs w:val="21"/>
        </w:rPr>
        <w:t>（</w:t>
      </w:r>
      <w:r>
        <w:rPr>
          <w:szCs w:val="21"/>
        </w:rPr>
        <w:t>3</w:t>
      </w:r>
      <w:r>
        <w:rPr>
          <w:rFonts w:hint="eastAsia"/>
          <w:szCs w:val="21"/>
        </w:rPr>
        <w:t>）对于人为或不可力抗外界因素造成设备部件更换或批量易损、老化器件（如：消火栓箱门、应急照明与疏散指示装置等）更换，材料费由甲方承担，但该设备部件可由乙方协助购买，设备配件价格以当时市场价格为准（须经甲方确认）。</w:t>
      </w:r>
    </w:p>
    <w:p>
      <w:pPr>
        <w:tabs>
          <w:tab w:val="left" w:pos="362"/>
        </w:tabs>
        <w:spacing w:line="420" w:lineRule="exact"/>
        <w:ind w:left="0" w:leftChars="0" w:firstLine="420" w:firstLineChars="200"/>
        <w:rPr>
          <w:szCs w:val="21"/>
        </w:rPr>
      </w:pPr>
      <w:r>
        <w:rPr>
          <w:rFonts w:hint="eastAsia"/>
          <w:szCs w:val="21"/>
        </w:rPr>
        <w:t>（</w:t>
      </w:r>
      <w:r>
        <w:rPr>
          <w:szCs w:val="21"/>
        </w:rPr>
        <w:t>4</w:t>
      </w:r>
      <w:r>
        <w:rPr>
          <w:rFonts w:hint="eastAsia"/>
          <w:szCs w:val="21"/>
        </w:rPr>
        <w:t>）保证在任何情况下不损坏甲方及客户的任何设施，若发生并查证确属乙方原因造成的损坏，乙方应负责给予修复、更换和赔偿。</w:t>
      </w:r>
    </w:p>
    <w:p>
      <w:pPr>
        <w:tabs>
          <w:tab w:val="left" w:pos="362"/>
        </w:tabs>
        <w:spacing w:line="420" w:lineRule="exact"/>
        <w:ind w:left="0" w:leftChars="0" w:firstLine="420" w:firstLineChars="200"/>
        <w:rPr>
          <w:szCs w:val="21"/>
        </w:rPr>
      </w:pPr>
      <w:r>
        <w:rPr>
          <w:rFonts w:hint="eastAsia"/>
          <w:szCs w:val="21"/>
        </w:rPr>
        <w:t>（</w:t>
      </w:r>
      <w:r>
        <w:rPr>
          <w:szCs w:val="21"/>
        </w:rPr>
        <w:t>5</w:t>
      </w:r>
      <w:r>
        <w:rPr>
          <w:rFonts w:hint="eastAsia"/>
          <w:szCs w:val="21"/>
        </w:rPr>
        <w:t>）未经甲方同意，乙方不能把该工程转包给第三方。保持与甲方的紧密沟通。</w:t>
      </w:r>
    </w:p>
    <w:p>
      <w:pPr>
        <w:tabs>
          <w:tab w:val="left" w:pos="362"/>
        </w:tabs>
        <w:spacing w:line="420" w:lineRule="exact"/>
        <w:ind w:left="0" w:leftChars="0" w:firstLine="420" w:firstLineChars="200"/>
        <w:rPr>
          <w:szCs w:val="21"/>
        </w:rPr>
      </w:pPr>
      <w:r>
        <w:rPr>
          <w:rFonts w:hint="eastAsia"/>
          <w:szCs w:val="21"/>
        </w:rPr>
        <w:t>（</w:t>
      </w:r>
      <w:r>
        <w:rPr>
          <w:szCs w:val="21"/>
        </w:rPr>
        <w:t>6</w:t>
      </w:r>
      <w:r>
        <w:rPr>
          <w:rFonts w:hint="eastAsia"/>
          <w:szCs w:val="21"/>
        </w:rPr>
        <w:t>）维护保养期间，乙方应根据实际情况向甲方提出合理的整改建议及计划。</w:t>
      </w:r>
    </w:p>
    <w:p>
      <w:pPr>
        <w:tabs>
          <w:tab w:val="left" w:pos="362"/>
        </w:tabs>
        <w:spacing w:line="420" w:lineRule="exact"/>
        <w:ind w:left="0" w:leftChars="0" w:firstLine="420" w:firstLineChars="200"/>
        <w:rPr>
          <w:szCs w:val="21"/>
        </w:rPr>
      </w:pPr>
      <w:r>
        <w:rPr>
          <w:rFonts w:hint="eastAsia" w:ascii="宋体" w:hAnsi="宋体"/>
          <w:szCs w:val="21"/>
        </w:rPr>
        <w:t>（</w:t>
      </w:r>
      <w:r>
        <w:rPr>
          <w:rFonts w:ascii="宋体" w:hAnsi="宋体"/>
          <w:szCs w:val="21"/>
        </w:rPr>
        <w:t>7</w:t>
      </w:r>
      <w:r>
        <w:rPr>
          <w:rFonts w:hint="eastAsia" w:ascii="宋体" w:hAnsi="宋体"/>
          <w:szCs w:val="21"/>
        </w:rPr>
        <w:t>）维保过程中，若发现甲方消防系统存在不完善或隐患，乙方应向甲方提出合理的整改建议及计划</w:t>
      </w:r>
      <w:r>
        <w:rPr>
          <w:rFonts w:hint="eastAsia" w:ascii="宋体" w:hAnsi="宋体"/>
          <w:szCs w:val="21"/>
          <w:lang w:eastAsia="zh-CN"/>
        </w:rPr>
        <w:t>，</w:t>
      </w:r>
      <w:r>
        <w:rPr>
          <w:rFonts w:hint="eastAsia" w:ascii="宋体" w:hAnsi="宋体"/>
          <w:szCs w:val="21"/>
        </w:rPr>
        <w:t>并按甲方安排，全力协助甲方进行整改。因乙方原因造成甲方设备不能正常工作而导致的损失由乙方承担全部损失。</w:t>
      </w:r>
    </w:p>
    <w:p>
      <w:pPr>
        <w:tabs>
          <w:tab w:val="left" w:pos="362"/>
        </w:tabs>
        <w:spacing w:line="420" w:lineRule="exact"/>
        <w:ind w:left="0" w:leftChars="0" w:firstLine="420" w:firstLineChars="200"/>
        <w:rPr>
          <w:rFonts w:ascii="宋体" w:hAnsi="宋体"/>
          <w:szCs w:val="21"/>
        </w:rPr>
      </w:pPr>
      <w:r>
        <w:rPr>
          <w:rFonts w:hint="eastAsia" w:ascii="宋体" w:hAnsi="宋体"/>
          <w:szCs w:val="21"/>
        </w:rPr>
        <w:t>（</w:t>
      </w:r>
      <w:r>
        <w:rPr>
          <w:rFonts w:ascii="宋体" w:hAnsi="宋体"/>
          <w:szCs w:val="21"/>
        </w:rPr>
        <w:t>8</w:t>
      </w:r>
      <w:r>
        <w:rPr>
          <w:rFonts w:hint="eastAsia" w:ascii="宋体" w:hAnsi="宋体"/>
          <w:szCs w:val="21"/>
        </w:rPr>
        <w:t>）乙方提供维修材料必须符合相关消防法规规定质量要求，须提供相应产品质量保证书，不得低于原零配件材料质量、价格以当时市场价格为准。</w:t>
      </w:r>
    </w:p>
    <w:p>
      <w:pPr>
        <w:tabs>
          <w:tab w:val="left" w:pos="362"/>
        </w:tabs>
        <w:spacing w:line="420" w:lineRule="exact"/>
        <w:ind w:left="0" w:leftChars="0" w:firstLine="420" w:firstLineChars="200"/>
        <w:rPr>
          <w:rFonts w:ascii="宋体" w:hAnsi="宋体"/>
          <w:szCs w:val="21"/>
        </w:rPr>
      </w:pPr>
      <w:r>
        <w:rPr>
          <w:rFonts w:hint="eastAsia" w:ascii="宋体" w:hAnsi="宋体"/>
          <w:szCs w:val="21"/>
        </w:rPr>
        <w:t>（</w:t>
      </w:r>
      <w:r>
        <w:rPr>
          <w:rFonts w:ascii="宋体" w:hAnsi="宋体"/>
          <w:szCs w:val="21"/>
        </w:rPr>
        <w:t>9</w:t>
      </w:r>
      <w:r>
        <w:rPr>
          <w:rFonts w:hint="eastAsia" w:ascii="宋体" w:hAnsi="宋体"/>
          <w:szCs w:val="21"/>
        </w:rPr>
        <w:t>）当甲方需要进行消防演习时，乙方应紧密配合并提供相应的技术支持服务。</w:t>
      </w:r>
    </w:p>
    <w:p>
      <w:pPr>
        <w:tabs>
          <w:tab w:val="left" w:pos="362"/>
        </w:tabs>
        <w:spacing w:line="420" w:lineRule="exact"/>
        <w:ind w:left="0" w:leftChars="0" w:firstLine="420" w:firstLineChars="200"/>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）乙方每月派出</w:t>
      </w:r>
      <w:r>
        <w:rPr>
          <w:rFonts w:ascii="宋体" w:hAnsi="宋体"/>
          <w:szCs w:val="21"/>
        </w:rPr>
        <w:t>1</w:t>
      </w:r>
      <w:r>
        <w:rPr>
          <w:rFonts w:hint="eastAsia" w:ascii="宋体" w:hAnsi="宋体"/>
          <w:szCs w:val="21"/>
        </w:rPr>
        <w:t>名专业工作人员（行政班）在工作日驻场进行维护保养和故障维修工作，大范围维修时另行增加人员。</w:t>
      </w:r>
    </w:p>
    <w:p>
      <w:pPr>
        <w:tabs>
          <w:tab w:val="left" w:pos="362"/>
        </w:tabs>
        <w:spacing w:line="420" w:lineRule="exact"/>
        <w:ind w:left="0" w:leftChars="0" w:firstLine="420" w:firstLineChars="200"/>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）乙方指派</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为消防维保主要负责人。如乙方指定对接人员发生变更的，乙方应及时通知甲方。</w:t>
      </w:r>
    </w:p>
    <w:p>
      <w:pPr>
        <w:adjustRightInd w:val="0"/>
        <w:snapToGrid w:val="0"/>
        <w:spacing w:line="400" w:lineRule="exact"/>
        <w:rPr>
          <w:rFonts w:ascii="宋体" w:hAnsi="宋体"/>
          <w:b/>
          <w:szCs w:val="21"/>
        </w:rPr>
      </w:pPr>
      <w:r>
        <w:rPr>
          <w:rFonts w:hint="eastAsia" w:ascii="宋体" w:hAnsi="宋体"/>
          <w:b/>
          <w:szCs w:val="21"/>
        </w:rPr>
        <w:t>六、配件、材料供应</w:t>
      </w:r>
    </w:p>
    <w:p>
      <w:pPr>
        <w:tabs>
          <w:tab w:val="left" w:pos="362"/>
        </w:tabs>
        <w:spacing w:line="420" w:lineRule="exact"/>
        <w:ind w:left="0" w:leftChars="0" w:firstLine="420" w:firstLineChars="200"/>
        <w:rPr>
          <w:rFonts w:ascii="宋体" w:hAnsi="宋体"/>
          <w:szCs w:val="21"/>
        </w:rPr>
      </w:pPr>
      <w:r>
        <w:rPr>
          <w:rFonts w:hint="eastAsia" w:ascii="宋体" w:hAnsi="宋体"/>
          <w:szCs w:val="21"/>
        </w:rPr>
        <w:t>1、维保保养费包含日常维护中需要更换单项设备在¥</w:t>
      </w:r>
      <w:r>
        <w:rPr>
          <w:rFonts w:hint="eastAsia" w:ascii="宋体" w:hAnsi="宋体"/>
          <w:szCs w:val="21"/>
          <w:lang w:val="en-US" w:eastAsia="zh-CN"/>
        </w:rPr>
        <w:t>2</w:t>
      </w:r>
      <w:r>
        <w:rPr>
          <w:rFonts w:hint="eastAsia" w:ascii="宋体" w:hAnsi="宋体"/>
          <w:szCs w:val="21"/>
        </w:rPr>
        <w:t>00.00元以内（含¥</w:t>
      </w:r>
      <w:r>
        <w:rPr>
          <w:rFonts w:hint="eastAsia" w:ascii="宋体" w:hAnsi="宋体"/>
          <w:szCs w:val="21"/>
          <w:lang w:val="en-US" w:eastAsia="zh-CN"/>
        </w:rPr>
        <w:t>2</w:t>
      </w:r>
      <w:r>
        <w:rPr>
          <w:rFonts w:hint="eastAsia" w:ascii="宋体" w:hAnsi="宋体"/>
          <w:szCs w:val="21"/>
        </w:rPr>
        <w:t>00.00元）的设备费用由乙方承担。乙方承担更换设备的总费用累计不得超过</w:t>
      </w:r>
      <w:r>
        <w:rPr>
          <w:rFonts w:hint="eastAsia" w:ascii="宋体" w:hAnsi="宋体"/>
          <w:szCs w:val="21"/>
          <w:lang w:eastAsia="zh-CN"/>
        </w:rPr>
        <w:t>需求</w:t>
      </w:r>
      <w:r>
        <w:rPr>
          <w:rFonts w:hint="eastAsia" w:ascii="宋体" w:hAnsi="宋体"/>
          <w:szCs w:val="21"/>
        </w:rPr>
        <w:t>总额的5%，超出部分由甲方承担。超过¥</w:t>
      </w:r>
      <w:r>
        <w:rPr>
          <w:rFonts w:hint="eastAsia" w:ascii="宋体" w:hAnsi="宋体"/>
          <w:szCs w:val="21"/>
          <w:lang w:val="en-US" w:eastAsia="zh-CN"/>
        </w:rPr>
        <w:t>2</w:t>
      </w:r>
      <w:r>
        <w:rPr>
          <w:rFonts w:hint="eastAsia" w:ascii="宋体" w:hAnsi="宋体"/>
          <w:szCs w:val="21"/>
        </w:rPr>
        <w:t>00.00元以上（不含¥</w:t>
      </w:r>
      <w:r>
        <w:rPr>
          <w:rFonts w:hint="eastAsia" w:ascii="宋体" w:hAnsi="宋体"/>
          <w:szCs w:val="21"/>
          <w:lang w:val="en-US" w:eastAsia="zh-CN"/>
        </w:rPr>
        <w:t>2</w:t>
      </w:r>
      <w:r>
        <w:rPr>
          <w:rFonts w:hint="eastAsia" w:ascii="宋体" w:hAnsi="宋体"/>
          <w:szCs w:val="21"/>
        </w:rPr>
        <w:t>00.00元）的设备配件、材料费用由甲方承担，根据</w:t>
      </w:r>
      <w:r>
        <w:rPr>
          <w:rFonts w:hint="eastAsia" w:ascii="宋体" w:hAnsi="宋体"/>
          <w:szCs w:val="21"/>
          <w:lang w:eastAsia="zh-CN"/>
        </w:rPr>
        <w:t>需求</w:t>
      </w:r>
      <w:r>
        <w:rPr>
          <w:rFonts w:hint="eastAsia" w:ascii="宋体" w:hAnsi="宋体"/>
          <w:szCs w:val="21"/>
        </w:rPr>
        <w:t>约定相关零配件需由甲方提供的，乙方应同时提供市场优惠价格的零配件报价，甲方可选择自行采购，也可委托乙方采购，相关零配件由乙方负责免费安装调试；因甲方不同意更换或维修所造成的一切损失由甲方承担。</w:t>
      </w:r>
    </w:p>
    <w:p>
      <w:pPr>
        <w:tabs>
          <w:tab w:val="left" w:pos="362"/>
        </w:tabs>
        <w:spacing w:line="420" w:lineRule="exact"/>
        <w:ind w:left="0" w:leftChars="0" w:firstLine="420" w:firstLineChars="200"/>
        <w:rPr>
          <w:rFonts w:ascii="宋体" w:hAnsi="宋体"/>
          <w:szCs w:val="21"/>
        </w:rPr>
      </w:pPr>
      <w:r>
        <w:rPr>
          <w:rFonts w:hint="eastAsia" w:ascii="宋体" w:hAnsi="宋体"/>
          <w:szCs w:val="21"/>
        </w:rPr>
        <w:t>2、甲方如委托乙方代购配件，乙方应不高于市面正常销售价代购。</w:t>
      </w:r>
    </w:p>
    <w:p>
      <w:pPr>
        <w:tabs>
          <w:tab w:val="left" w:pos="362"/>
        </w:tabs>
        <w:spacing w:line="420" w:lineRule="exact"/>
        <w:ind w:left="0" w:leftChars="0" w:firstLine="420" w:firstLineChars="200"/>
        <w:rPr>
          <w:rFonts w:ascii="宋体" w:hAnsi="宋体"/>
          <w:szCs w:val="21"/>
        </w:rPr>
      </w:pPr>
      <w:r>
        <w:rPr>
          <w:rFonts w:hint="eastAsia" w:ascii="宋体" w:hAnsi="宋体"/>
          <w:szCs w:val="21"/>
        </w:rPr>
        <w:t>3、乙方提供的零配件及物资等均为原装零配件或甲方认可、符合国家标准的物资，否则由此导致设备出现质量问题的，概由乙方负责。</w:t>
      </w:r>
    </w:p>
    <w:p>
      <w:pPr>
        <w:tabs>
          <w:tab w:val="left" w:pos="362"/>
        </w:tabs>
        <w:spacing w:line="420" w:lineRule="exact"/>
        <w:ind w:left="0" w:leftChars="0" w:firstLine="420" w:firstLineChars="200"/>
        <w:rPr>
          <w:rFonts w:ascii="宋体" w:hAnsi="宋体"/>
          <w:szCs w:val="21"/>
        </w:rPr>
      </w:pPr>
      <w:r>
        <w:rPr>
          <w:rFonts w:hint="eastAsia" w:ascii="宋体" w:hAnsi="宋体"/>
          <w:szCs w:val="21"/>
        </w:rPr>
        <w:t>4、乙方须确保零配件及材料提供的及时性，因材料供应或由乙方提供的工具不能及时到位而影响了维修进度，责任由乙方承担。</w:t>
      </w:r>
    </w:p>
    <w:p>
      <w:pPr>
        <w:adjustRightInd w:val="0"/>
        <w:snapToGrid w:val="0"/>
        <w:spacing w:line="400" w:lineRule="exact"/>
        <w:rPr>
          <w:rFonts w:ascii="宋体" w:hAnsi="宋体"/>
          <w:b/>
          <w:szCs w:val="21"/>
        </w:rPr>
      </w:pPr>
      <w:r>
        <w:rPr>
          <w:rFonts w:hint="eastAsia" w:ascii="宋体" w:hAnsi="宋体"/>
          <w:b/>
          <w:szCs w:val="21"/>
        </w:rPr>
        <w:t>七、服务及保密承诺</w:t>
      </w:r>
    </w:p>
    <w:p>
      <w:pPr>
        <w:tabs>
          <w:tab w:val="left" w:pos="362"/>
          <w:tab w:val="left" w:pos="9540"/>
        </w:tabs>
        <w:spacing w:line="400" w:lineRule="exact"/>
        <w:ind w:left="0" w:leftChars="0" w:firstLine="420" w:firstLineChars="200"/>
        <w:rPr>
          <w:szCs w:val="21"/>
        </w:rPr>
      </w:pPr>
      <w:r>
        <w:rPr>
          <w:rFonts w:hint="eastAsia"/>
          <w:szCs w:val="21"/>
        </w:rPr>
        <w:t>①乙方必须遵守甲方的保密规则，不可将甲方的相关商业资料及信息外传和泄密，与甲方公司相关的资料需经甲方认可后，才可带离甲方公司，否则甲方有保留追究法律责任的权利。</w:t>
      </w:r>
    </w:p>
    <w:p>
      <w:pPr>
        <w:tabs>
          <w:tab w:val="left" w:pos="362"/>
          <w:tab w:val="left" w:pos="9540"/>
        </w:tabs>
        <w:spacing w:line="400" w:lineRule="exact"/>
        <w:ind w:left="0" w:leftChars="0" w:firstLine="420" w:firstLineChars="200"/>
        <w:rPr>
          <w:szCs w:val="21"/>
        </w:rPr>
      </w:pPr>
      <w:r>
        <w:rPr>
          <w:rFonts w:hint="eastAsia"/>
          <w:szCs w:val="21"/>
        </w:rPr>
        <w:t>②乙方必须为在现场进行维保工作的员工购买工伤保险、意外伤害保险、雇主责任险。违规操作导致的伤害乙方负全责。</w:t>
      </w:r>
    </w:p>
    <w:p>
      <w:pPr>
        <w:adjustRightInd w:val="0"/>
        <w:snapToGrid w:val="0"/>
        <w:spacing w:line="400" w:lineRule="exact"/>
        <w:rPr>
          <w:rFonts w:ascii="宋体" w:hAnsi="宋体"/>
          <w:b/>
          <w:szCs w:val="21"/>
        </w:rPr>
      </w:pPr>
      <w:r>
        <w:rPr>
          <w:rFonts w:hint="eastAsia" w:ascii="宋体" w:hAnsi="宋体"/>
          <w:b/>
          <w:szCs w:val="21"/>
        </w:rPr>
        <w:t>八、</w:t>
      </w:r>
      <w:commentRangeStart w:id="0"/>
      <w:r>
        <w:rPr>
          <w:rFonts w:hint="eastAsia" w:ascii="宋体" w:hAnsi="宋体"/>
          <w:b/>
          <w:szCs w:val="21"/>
        </w:rPr>
        <w:t>违约责任</w:t>
      </w:r>
      <w:commentRangeEnd w:id="0"/>
      <w:r>
        <w:commentReference w:id="0"/>
      </w:r>
      <w:r>
        <w:rPr>
          <w:rFonts w:hint="eastAsia" w:ascii="宋体" w:hAnsi="宋体"/>
          <w:b/>
          <w:szCs w:val="21"/>
        </w:rPr>
        <w:t>：</w:t>
      </w:r>
    </w:p>
    <w:p>
      <w:pPr>
        <w:adjustRightInd w:val="0"/>
        <w:snapToGrid w:val="0"/>
        <w:spacing w:line="400" w:lineRule="exact"/>
        <w:ind w:left="0" w:leftChars="0" w:firstLine="420" w:firstLineChars="200"/>
        <w:rPr>
          <w:rFonts w:hint="eastAsia"/>
          <w:szCs w:val="21"/>
        </w:rPr>
      </w:pPr>
      <w:r>
        <w:rPr>
          <w:rFonts w:hint="eastAsia"/>
          <w:szCs w:val="21"/>
          <w:lang w:val="en-US" w:eastAsia="zh-CN"/>
        </w:rPr>
        <w:t>①</w:t>
      </w:r>
      <w:r>
        <w:rPr>
          <w:rFonts w:hint="eastAsia"/>
          <w:szCs w:val="21"/>
        </w:rPr>
        <w:t>本</w:t>
      </w:r>
      <w:r>
        <w:rPr>
          <w:rFonts w:hint="eastAsia"/>
          <w:szCs w:val="21"/>
          <w:lang w:eastAsia="zh-CN"/>
        </w:rPr>
        <w:t>需求</w:t>
      </w:r>
      <w:r>
        <w:rPr>
          <w:rFonts w:hint="eastAsia"/>
          <w:szCs w:val="21"/>
        </w:rPr>
        <w:t>一经签定，甲乙双方均应认真自觉遵守，全面履行本</w:t>
      </w:r>
      <w:r>
        <w:rPr>
          <w:rFonts w:hint="eastAsia"/>
          <w:szCs w:val="21"/>
          <w:lang w:eastAsia="zh-CN"/>
        </w:rPr>
        <w:t>需求</w:t>
      </w:r>
      <w:r>
        <w:rPr>
          <w:rFonts w:hint="eastAsia"/>
          <w:szCs w:val="21"/>
        </w:rPr>
        <w:t>约定的内容</w:t>
      </w:r>
      <w:r>
        <w:rPr>
          <w:rFonts w:hint="eastAsia"/>
          <w:szCs w:val="21"/>
          <w:lang w:eastAsia="zh-CN"/>
        </w:rPr>
        <w:t>，</w:t>
      </w:r>
      <w:r>
        <w:rPr>
          <w:rFonts w:hint="eastAsia"/>
          <w:szCs w:val="21"/>
        </w:rPr>
        <w:t>不得擅自变更、终止或解除</w:t>
      </w:r>
      <w:r>
        <w:rPr>
          <w:rFonts w:hint="eastAsia"/>
          <w:szCs w:val="21"/>
          <w:lang w:eastAsia="zh-CN"/>
        </w:rPr>
        <w:t>需求</w:t>
      </w:r>
      <w:r>
        <w:rPr>
          <w:rFonts w:hint="eastAsia"/>
          <w:szCs w:val="21"/>
        </w:rPr>
        <w:t>。除本条另有约定外，如任何一方违反本</w:t>
      </w:r>
      <w:r>
        <w:rPr>
          <w:rFonts w:hint="eastAsia"/>
          <w:szCs w:val="21"/>
          <w:lang w:eastAsia="zh-CN"/>
        </w:rPr>
        <w:t>需求</w:t>
      </w:r>
      <w:r>
        <w:rPr>
          <w:rFonts w:hint="eastAsia"/>
          <w:szCs w:val="21"/>
        </w:rPr>
        <w:t>或其附属、补充条款约定的，应承担违约责任，违约方应按本</w:t>
      </w:r>
      <w:r>
        <w:rPr>
          <w:rFonts w:hint="eastAsia"/>
          <w:szCs w:val="21"/>
          <w:lang w:eastAsia="zh-CN"/>
        </w:rPr>
        <w:t>需求</w:t>
      </w:r>
      <w:r>
        <w:rPr>
          <w:rFonts w:hint="eastAsia"/>
          <w:szCs w:val="21"/>
        </w:rPr>
        <w:t>约定总费用的</w:t>
      </w:r>
      <w:r>
        <w:rPr>
          <w:rFonts w:hint="eastAsia"/>
          <w:szCs w:val="21"/>
          <w:lang w:val="en-US" w:eastAsia="zh-CN"/>
        </w:rPr>
        <w:t>10</w:t>
      </w:r>
      <w:r>
        <w:rPr>
          <w:rFonts w:hint="eastAsia"/>
          <w:szCs w:val="21"/>
        </w:rPr>
        <w:t>%向守约方支付违约金。</w:t>
      </w:r>
    </w:p>
    <w:p>
      <w:pPr>
        <w:adjustRightInd w:val="0"/>
        <w:snapToGrid w:val="0"/>
        <w:spacing w:line="400" w:lineRule="exact"/>
        <w:ind w:left="0" w:leftChars="0" w:firstLine="420" w:firstLineChars="200"/>
        <w:rPr>
          <w:rFonts w:hint="eastAsia"/>
          <w:szCs w:val="21"/>
        </w:rPr>
      </w:pPr>
      <w:r>
        <w:rPr>
          <w:rFonts w:hint="eastAsia"/>
          <w:szCs w:val="21"/>
          <w:lang w:val="en-US" w:eastAsia="zh-CN"/>
        </w:rPr>
        <w:t>②</w:t>
      </w:r>
      <w:r>
        <w:rPr>
          <w:rFonts w:hint="eastAsia"/>
          <w:szCs w:val="21"/>
        </w:rPr>
        <w:t>除非法律、法规规定或本协议约定，任何一方不得擅自解除协议。擅自解除协议者应向对方支付协议总价20％的违约金。</w:t>
      </w:r>
    </w:p>
    <w:p>
      <w:pPr>
        <w:adjustRightInd w:val="0"/>
        <w:snapToGrid w:val="0"/>
        <w:spacing w:line="400" w:lineRule="exact"/>
        <w:ind w:left="0" w:leftChars="0" w:firstLine="420" w:firstLineChars="200"/>
        <w:rPr>
          <w:rFonts w:hint="eastAsia"/>
          <w:szCs w:val="21"/>
        </w:rPr>
      </w:pPr>
      <w:r>
        <w:rPr>
          <w:rFonts w:hint="eastAsia"/>
          <w:szCs w:val="21"/>
          <w:lang w:val="en-US" w:eastAsia="zh-CN"/>
        </w:rPr>
        <w:t>③</w:t>
      </w:r>
      <w:r>
        <w:rPr>
          <w:rFonts w:hint="eastAsia"/>
          <w:szCs w:val="21"/>
        </w:rPr>
        <w:t>乙方进场后甲方</w:t>
      </w:r>
      <w:r>
        <w:rPr>
          <w:rFonts w:hint="eastAsia"/>
          <w:szCs w:val="21"/>
          <w:lang w:val="en-US" w:eastAsia="zh-CN"/>
        </w:rPr>
        <w:t>严重</w:t>
      </w:r>
      <w:r>
        <w:rPr>
          <w:rFonts w:hint="eastAsia"/>
          <w:szCs w:val="21"/>
        </w:rPr>
        <w:t>违约</w:t>
      </w:r>
      <w:r>
        <w:rPr>
          <w:rFonts w:hint="eastAsia"/>
          <w:szCs w:val="21"/>
          <w:lang w:eastAsia="zh-CN"/>
        </w:rPr>
        <w:t>，</w:t>
      </w:r>
      <w:r>
        <w:rPr>
          <w:rFonts w:hint="eastAsia"/>
          <w:szCs w:val="21"/>
          <w:lang w:val="en-US" w:eastAsia="zh-CN"/>
        </w:rPr>
        <w:t>乙方根据法律的规定或者本需求的约定行使单方解除权</w:t>
      </w:r>
      <w:r>
        <w:rPr>
          <w:rFonts w:hint="eastAsia"/>
          <w:szCs w:val="21"/>
        </w:rPr>
        <w:t>的，甲方应</w:t>
      </w:r>
      <w:r>
        <w:rPr>
          <w:rFonts w:hint="eastAsia"/>
          <w:szCs w:val="21"/>
          <w:lang w:val="en-US" w:eastAsia="zh-CN"/>
        </w:rPr>
        <w:t>按本需求约定总费用的</w:t>
      </w:r>
      <w:commentRangeStart w:id="1"/>
      <w:r>
        <w:rPr>
          <w:rFonts w:hint="eastAsia"/>
          <w:szCs w:val="21"/>
          <w:lang w:val="en-US" w:eastAsia="zh-CN"/>
        </w:rPr>
        <w:t>2</w:t>
      </w:r>
      <w:r>
        <w:rPr>
          <w:rFonts w:hint="eastAsia"/>
          <w:szCs w:val="21"/>
        </w:rPr>
        <w:t>0</w:t>
      </w:r>
      <w:commentRangeEnd w:id="1"/>
      <w:r>
        <w:commentReference w:id="1"/>
      </w:r>
      <w:r>
        <w:rPr>
          <w:rFonts w:hint="eastAsia"/>
          <w:szCs w:val="21"/>
        </w:rPr>
        <w:t>%</w:t>
      </w:r>
      <w:r>
        <w:rPr>
          <w:rFonts w:hint="eastAsia"/>
          <w:szCs w:val="21"/>
          <w:lang w:val="en-US" w:eastAsia="zh-CN"/>
        </w:rPr>
        <w:t>向乙方支付违约金</w:t>
      </w:r>
      <w:r>
        <w:rPr>
          <w:rFonts w:hint="eastAsia"/>
          <w:szCs w:val="21"/>
        </w:rPr>
        <w:t>违约金给乙方。属乙方</w:t>
      </w:r>
      <w:r>
        <w:rPr>
          <w:rFonts w:hint="eastAsia"/>
          <w:szCs w:val="21"/>
          <w:lang w:val="en-US" w:eastAsia="zh-CN"/>
        </w:rPr>
        <w:t>严重</w:t>
      </w:r>
      <w:r>
        <w:rPr>
          <w:rFonts w:hint="eastAsia"/>
          <w:szCs w:val="21"/>
        </w:rPr>
        <w:t>违约</w:t>
      </w:r>
      <w:r>
        <w:rPr>
          <w:rFonts w:hint="eastAsia"/>
          <w:szCs w:val="21"/>
          <w:lang w:val="en-US" w:eastAsia="zh-CN"/>
        </w:rPr>
        <w:t>，甲方根据法律的规定或者本需求的约定行使单方解除权</w:t>
      </w:r>
      <w:r>
        <w:rPr>
          <w:rFonts w:hint="eastAsia"/>
          <w:szCs w:val="21"/>
        </w:rPr>
        <w:t>的，乙方应</w:t>
      </w:r>
      <w:r>
        <w:rPr>
          <w:rFonts w:hint="eastAsia"/>
          <w:szCs w:val="21"/>
          <w:lang w:val="en-US" w:eastAsia="zh-CN"/>
        </w:rPr>
        <w:t>按本需求约定总费用</w:t>
      </w:r>
      <w:r>
        <w:rPr>
          <w:rFonts w:hint="eastAsia"/>
          <w:szCs w:val="21"/>
        </w:rPr>
        <w:t>的</w:t>
      </w:r>
      <w:r>
        <w:rPr>
          <w:rFonts w:hint="eastAsia"/>
          <w:szCs w:val="21"/>
          <w:lang w:val="en-US" w:eastAsia="zh-CN"/>
        </w:rPr>
        <w:t>2</w:t>
      </w:r>
      <w:commentRangeStart w:id="2"/>
      <w:r>
        <w:rPr>
          <w:rFonts w:hint="eastAsia"/>
          <w:szCs w:val="21"/>
        </w:rPr>
        <w:t>0</w:t>
      </w:r>
      <w:commentRangeEnd w:id="2"/>
      <w:r>
        <w:commentReference w:id="2"/>
      </w:r>
      <w:r>
        <w:rPr>
          <w:rFonts w:hint="eastAsia"/>
          <w:szCs w:val="21"/>
        </w:rPr>
        <w:t>%</w:t>
      </w:r>
      <w:r>
        <w:rPr>
          <w:rFonts w:hint="eastAsia"/>
          <w:szCs w:val="21"/>
          <w:lang w:val="en-US" w:eastAsia="zh-CN"/>
        </w:rPr>
        <w:t>向甲方支付</w:t>
      </w:r>
      <w:r>
        <w:rPr>
          <w:rFonts w:hint="eastAsia"/>
          <w:szCs w:val="21"/>
        </w:rPr>
        <w:t>违约金。</w:t>
      </w:r>
    </w:p>
    <w:p>
      <w:pPr>
        <w:adjustRightInd w:val="0"/>
        <w:snapToGrid w:val="0"/>
        <w:spacing w:line="400" w:lineRule="exact"/>
        <w:ind w:left="0" w:leftChars="0" w:firstLine="420" w:firstLineChars="200"/>
        <w:rPr>
          <w:rFonts w:hint="eastAsia"/>
          <w:szCs w:val="21"/>
        </w:rPr>
      </w:pPr>
      <w:r>
        <w:rPr>
          <w:rFonts w:hint="eastAsia"/>
          <w:szCs w:val="21"/>
          <w:lang w:val="en-US" w:eastAsia="zh-CN"/>
        </w:rPr>
        <w:t>④</w:t>
      </w:r>
      <w:r>
        <w:rPr>
          <w:rFonts w:hint="eastAsia"/>
          <w:szCs w:val="21"/>
        </w:rPr>
        <w:t>在本</w:t>
      </w:r>
      <w:r>
        <w:rPr>
          <w:rFonts w:hint="eastAsia"/>
          <w:szCs w:val="21"/>
          <w:lang w:eastAsia="zh-CN"/>
        </w:rPr>
        <w:t>需求</w:t>
      </w:r>
      <w:r>
        <w:rPr>
          <w:rFonts w:hint="eastAsia"/>
          <w:szCs w:val="21"/>
        </w:rPr>
        <w:t>履行过程中，任一方依照法律规定或者本</w:t>
      </w:r>
      <w:r>
        <w:rPr>
          <w:rFonts w:hint="eastAsia"/>
          <w:szCs w:val="21"/>
          <w:lang w:eastAsia="zh-CN"/>
        </w:rPr>
        <w:t>需求</w:t>
      </w:r>
      <w:r>
        <w:rPr>
          <w:rFonts w:hint="eastAsia"/>
          <w:szCs w:val="21"/>
        </w:rPr>
        <w:t>约定行使单方解除权的，自解除</w:t>
      </w:r>
      <w:r>
        <w:rPr>
          <w:rFonts w:hint="eastAsia"/>
          <w:szCs w:val="21"/>
          <w:lang w:eastAsia="zh-CN"/>
        </w:rPr>
        <w:t>需求</w:t>
      </w:r>
      <w:r>
        <w:rPr>
          <w:rFonts w:hint="eastAsia"/>
          <w:szCs w:val="21"/>
        </w:rPr>
        <w:t>的书面通知到达对方时，本</w:t>
      </w:r>
      <w:r>
        <w:rPr>
          <w:rFonts w:hint="eastAsia"/>
          <w:szCs w:val="21"/>
          <w:lang w:eastAsia="zh-CN"/>
        </w:rPr>
        <w:t>需求</w:t>
      </w:r>
      <w:r>
        <w:rPr>
          <w:rFonts w:hint="eastAsia"/>
          <w:szCs w:val="21"/>
        </w:rPr>
        <w:t>解除。</w:t>
      </w:r>
    </w:p>
    <w:p>
      <w:pPr>
        <w:adjustRightInd w:val="0"/>
        <w:snapToGrid w:val="0"/>
        <w:spacing w:line="400" w:lineRule="exact"/>
        <w:ind w:left="0" w:leftChars="0" w:firstLine="420" w:firstLineChars="200"/>
        <w:rPr>
          <w:szCs w:val="21"/>
        </w:rPr>
      </w:pPr>
      <w:r>
        <w:rPr>
          <w:rFonts w:hint="eastAsia"/>
          <w:szCs w:val="21"/>
          <w:lang w:val="en-US" w:eastAsia="zh-CN"/>
        </w:rPr>
        <w:t>⑤</w:t>
      </w:r>
      <w:r>
        <w:rPr>
          <w:rFonts w:hint="eastAsia"/>
          <w:szCs w:val="21"/>
        </w:rPr>
        <w:t>上述各项，如违约方支付的违约金不足以弥补守约方经济损失的，违约方须全额补足赔偿守约方因此遭受的经济损失。守约方的经济损失包括但不限于守约方遭受的直接经济损失，守约方为追究违约方违约责任、为维护自身合法权益或因履行本</w:t>
      </w:r>
      <w:r>
        <w:rPr>
          <w:rFonts w:hint="eastAsia"/>
          <w:szCs w:val="21"/>
          <w:lang w:eastAsia="zh-CN"/>
        </w:rPr>
        <w:t>需求</w:t>
      </w:r>
      <w:r>
        <w:rPr>
          <w:rFonts w:hint="eastAsia"/>
          <w:szCs w:val="21"/>
        </w:rPr>
        <w:t>被第三方追究法律责任而支付的诉讼费、律师费、诉讼担保费、保全费、执行费、公证费、鉴定费、交通费、差旅费等。</w:t>
      </w:r>
    </w:p>
    <w:p>
      <w:pPr>
        <w:pStyle w:val="86"/>
        <w:numPr>
          <w:ilvl w:val="0"/>
          <w:numId w:val="0"/>
        </w:numPr>
        <w:adjustRightInd w:val="0"/>
        <w:snapToGrid w:val="0"/>
        <w:spacing w:line="400" w:lineRule="exact"/>
        <w:ind w:left="450" w:hanging="450" w:firstLineChars="0"/>
        <w:rPr>
          <w:rFonts w:hint="default" w:ascii="宋体" w:hAnsi="宋体"/>
          <w:b/>
          <w:szCs w:val="21"/>
          <w:lang w:val="en-US"/>
        </w:rPr>
      </w:pPr>
      <w:r>
        <w:rPr>
          <w:rFonts w:hint="default" w:ascii="宋体" w:hAnsi="宋体" w:eastAsia="宋体" w:cs="Times New Roman"/>
          <w:b/>
          <w:kern w:val="2"/>
          <w:sz w:val="21"/>
          <w:szCs w:val="21"/>
          <w:lang w:val="en-US" w:eastAsia="zh-CN" w:bidi="ar-SA"/>
        </w:rPr>
        <w:t>九、</w:t>
      </w:r>
      <w:r>
        <w:rPr>
          <w:rFonts w:hint="eastAsia" w:ascii="宋体" w:hAnsi="宋体" w:eastAsia="宋体" w:cs="Times New Roman"/>
          <w:b/>
          <w:kern w:val="2"/>
          <w:sz w:val="21"/>
          <w:szCs w:val="21"/>
          <w:lang w:val="en-US" w:eastAsia="zh-CN" w:bidi="ar-SA"/>
        </w:rPr>
        <w:t>争议解决方式及法律适用</w:t>
      </w:r>
    </w:p>
    <w:p>
      <w:pPr>
        <w:pStyle w:val="86"/>
        <w:numPr>
          <w:ilvl w:val="0"/>
          <w:numId w:val="0"/>
        </w:numPr>
        <w:adjustRightInd w:val="0"/>
        <w:snapToGrid w:val="0"/>
        <w:spacing w:line="400" w:lineRule="exact"/>
        <w:ind w:left="0" w:leftChars="0" w:firstLine="420" w:firstLineChars="200"/>
        <w:rPr>
          <w:rFonts w:hint="eastAsia" w:ascii="宋体" w:hAnsi="宋体"/>
          <w:szCs w:val="21"/>
        </w:rPr>
      </w:pPr>
      <w:r>
        <w:rPr>
          <w:rFonts w:hint="eastAsia" w:ascii="宋体" w:hAnsi="宋体"/>
          <w:szCs w:val="21"/>
        </w:rPr>
        <w:t>①如双方在本</w:t>
      </w:r>
      <w:r>
        <w:rPr>
          <w:rFonts w:hint="eastAsia" w:ascii="宋体" w:hAnsi="宋体"/>
          <w:szCs w:val="21"/>
          <w:lang w:eastAsia="zh-CN"/>
        </w:rPr>
        <w:t>需求</w:t>
      </w:r>
      <w:r>
        <w:rPr>
          <w:rFonts w:hint="eastAsia" w:ascii="宋体" w:hAnsi="宋体"/>
          <w:szCs w:val="21"/>
        </w:rPr>
        <w:t>履行过程中就</w:t>
      </w:r>
      <w:r>
        <w:rPr>
          <w:rFonts w:hint="eastAsia" w:ascii="宋体" w:hAnsi="宋体"/>
          <w:szCs w:val="21"/>
          <w:lang w:eastAsia="zh-CN"/>
        </w:rPr>
        <w:t>需求</w:t>
      </w:r>
      <w:r>
        <w:rPr>
          <w:rFonts w:hint="eastAsia" w:ascii="宋体" w:hAnsi="宋体"/>
          <w:szCs w:val="21"/>
        </w:rPr>
        <w:t>内容或者其执行产生任何争议，首先由双方协商解决；如无法协商或经协商仍不能达成一致的，任一方均可向</w:t>
      </w:r>
      <w:r>
        <w:rPr>
          <w:rFonts w:hint="eastAsia" w:ascii="宋体" w:hAnsi="宋体"/>
          <w:szCs w:val="21"/>
          <w:lang w:val="en-US" w:eastAsia="zh-CN"/>
        </w:rPr>
        <w:t>甲方住所地有管辖权的</w:t>
      </w:r>
      <w:r>
        <w:rPr>
          <w:rFonts w:hint="eastAsia" w:ascii="宋体" w:hAnsi="宋体"/>
          <w:szCs w:val="21"/>
        </w:rPr>
        <w:t>人民法院提起诉讼。</w:t>
      </w:r>
    </w:p>
    <w:p>
      <w:pPr>
        <w:pStyle w:val="86"/>
        <w:numPr>
          <w:ilvl w:val="0"/>
          <w:numId w:val="0"/>
        </w:numPr>
        <w:adjustRightInd w:val="0"/>
        <w:snapToGrid w:val="0"/>
        <w:spacing w:line="400" w:lineRule="exact"/>
        <w:ind w:left="0" w:leftChars="0" w:firstLine="420" w:firstLineChars="200"/>
        <w:rPr>
          <w:rFonts w:hint="eastAsia" w:ascii="宋体" w:hAnsi="宋体"/>
          <w:szCs w:val="21"/>
        </w:rPr>
      </w:pPr>
      <w:r>
        <w:rPr>
          <w:rFonts w:hint="eastAsia" w:ascii="宋体" w:hAnsi="宋体"/>
          <w:szCs w:val="21"/>
          <w:lang w:val="en-US" w:eastAsia="zh-CN"/>
        </w:rPr>
        <w:t>②</w:t>
      </w:r>
      <w:r>
        <w:rPr>
          <w:rFonts w:hint="eastAsia" w:ascii="宋体" w:hAnsi="宋体"/>
          <w:szCs w:val="21"/>
        </w:rPr>
        <w:t>在发生争议期间，除有争议部分的事项外，</w:t>
      </w:r>
      <w:r>
        <w:rPr>
          <w:rFonts w:hint="eastAsia" w:ascii="宋体" w:hAnsi="宋体"/>
          <w:szCs w:val="21"/>
          <w:lang w:eastAsia="zh-CN"/>
        </w:rPr>
        <w:t>需求</w:t>
      </w:r>
      <w:r>
        <w:rPr>
          <w:rFonts w:hint="eastAsia" w:ascii="宋体" w:hAnsi="宋体"/>
          <w:szCs w:val="21"/>
        </w:rPr>
        <w:t>双方仍应继续履行本</w:t>
      </w:r>
      <w:r>
        <w:rPr>
          <w:rFonts w:hint="eastAsia" w:ascii="宋体" w:hAnsi="宋体"/>
          <w:szCs w:val="21"/>
          <w:lang w:eastAsia="zh-CN"/>
        </w:rPr>
        <w:t>需求</w:t>
      </w:r>
      <w:r>
        <w:rPr>
          <w:rFonts w:hint="eastAsia" w:ascii="宋体" w:hAnsi="宋体"/>
          <w:szCs w:val="21"/>
        </w:rPr>
        <w:t>不涉争议的其他条款。在生效判决作出之前，乙方有义务按照甲方要求继续履行本</w:t>
      </w:r>
      <w:r>
        <w:rPr>
          <w:rFonts w:hint="eastAsia" w:ascii="宋体" w:hAnsi="宋体"/>
          <w:szCs w:val="21"/>
          <w:lang w:eastAsia="zh-CN"/>
        </w:rPr>
        <w:t>需求</w:t>
      </w:r>
      <w:r>
        <w:rPr>
          <w:rFonts w:hint="eastAsia" w:ascii="宋体" w:hAnsi="宋体"/>
          <w:szCs w:val="21"/>
        </w:rPr>
        <w:t>。</w:t>
      </w:r>
    </w:p>
    <w:p>
      <w:pPr>
        <w:pStyle w:val="86"/>
        <w:numPr>
          <w:ilvl w:val="0"/>
          <w:numId w:val="0"/>
        </w:numPr>
        <w:adjustRightInd w:val="0"/>
        <w:snapToGrid w:val="0"/>
        <w:spacing w:line="400" w:lineRule="exact"/>
        <w:ind w:left="0" w:leftChars="0" w:firstLine="420" w:firstLineChars="200"/>
        <w:rPr>
          <w:rFonts w:hint="eastAsia" w:ascii="宋体" w:hAnsi="宋体"/>
          <w:szCs w:val="21"/>
        </w:rPr>
      </w:pPr>
      <w:r>
        <w:rPr>
          <w:rFonts w:hint="eastAsia" w:ascii="宋体" w:hAnsi="宋体"/>
          <w:szCs w:val="21"/>
          <w:lang w:val="en-US" w:eastAsia="zh-CN"/>
        </w:rPr>
        <w:t>③</w:t>
      </w:r>
      <w:r>
        <w:rPr>
          <w:rFonts w:hint="eastAsia" w:ascii="宋体" w:hAnsi="宋体"/>
          <w:szCs w:val="21"/>
        </w:rPr>
        <w:t>本</w:t>
      </w:r>
      <w:r>
        <w:rPr>
          <w:rFonts w:hint="eastAsia" w:ascii="宋体" w:hAnsi="宋体"/>
          <w:szCs w:val="21"/>
          <w:lang w:eastAsia="zh-CN"/>
        </w:rPr>
        <w:t>需求</w:t>
      </w:r>
      <w:r>
        <w:rPr>
          <w:rFonts w:hint="eastAsia" w:ascii="宋体" w:hAnsi="宋体"/>
          <w:szCs w:val="21"/>
        </w:rPr>
        <w:t>的订立、执行和解释及争议的解决均应适用中华人民共和国法律。</w:t>
      </w:r>
    </w:p>
    <w:p>
      <w:pPr>
        <w:pStyle w:val="86"/>
        <w:numPr>
          <w:ilvl w:val="0"/>
          <w:numId w:val="0"/>
        </w:numPr>
        <w:adjustRightInd w:val="0"/>
        <w:snapToGrid w:val="0"/>
        <w:spacing w:line="400" w:lineRule="exact"/>
        <w:ind w:left="450" w:hanging="450" w:firstLineChars="0"/>
        <w:rPr>
          <w:rFonts w:ascii="宋体" w:hAnsi="宋体"/>
          <w:b/>
          <w:szCs w:val="21"/>
        </w:rPr>
      </w:pPr>
      <w:r>
        <w:rPr>
          <w:rFonts w:hint="eastAsia" w:ascii="宋体" w:hAnsi="宋体" w:cs="Times New Roman"/>
          <w:b/>
          <w:kern w:val="2"/>
          <w:sz w:val="21"/>
          <w:szCs w:val="21"/>
          <w:lang w:val="en-US" w:eastAsia="zh-CN" w:bidi="ar-SA"/>
        </w:rPr>
        <w:t>十</w:t>
      </w:r>
      <w:r>
        <w:rPr>
          <w:rFonts w:hint="default" w:ascii="宋体" w:hAnsi="宋体" w:eastAsia="宋体" w:cs="Times New Roman"/>
          <w:b/>
          <w:kern w:val="2"/>
          <w:sz w:val="21"/>
          <w:szCs w:val="21"/>
          <w:lang w:val="en-US" w:eastAsia="zh-CN" w:bidi="ar-SA"/>
        </w:rPr>
        <w:t>、</w:t>
      </w:r>
      <w:r>
        <w:rPr>
          <w:rFonts w:hint="eastAsia" w:ascii="宋体" w:hAnsi="宋体"/>
          <w:b/>
          <w:szCs w:val="21"/>
        </w:rPr>
        <w:t>其他</w:t>
      </w:r>
    </w:p>
    <w:p>
      <w:pPr>
        <w:tabs>
          <w:tab w:val="left" w:pos="362"/>
          <w:tab w:val="left" w:pos="9540"/>
        </w:tabs>
        <w:spacing w:line="400" w:lineRule="exact"/>
        <w:ind w:left="0" w:leftChars="0" w:firstLine="420" w:firstLineChars="200"/>
        <w:rPr>
          <w:rFonts w:hint="eastAsia" w:ascii="宋体" w:hAnsi="宋体"/>
          <w:szCs w:val="21"/>
        </w:rPr>
      </w:pPr>
      <w:r>
        <w:rPr>
          <w:rFonts w:hint="eastAsia" w:ascii="宋体" w:hAnsi="宋体"/>
          <w:szCs w:val="21"/>
        </w:rPr>
        <w:t>①本</w:t>
      </w:r>
      <w:r>
        <w:rPr>
          <w:rFonts w:hint="eastAsia" w:ascii="宋体" w:hAnsi="宋体"/>
          <w:szCs w:val="21"/>
          <w:lang w:eastAsia="zh-CN"/>
        </w:rPr>
        <w:t>需求</w:t>
      </w:r>
      <w:r>
        <w:rPr>
          <w:rFonts w:hint="eastAsia" w:ascii="宋体" w:hAnsi="宋体"/>
          <w:szCs w:val="21"/>
        </w:rPr>
        <w:t>如有未尽事宜，由双方友好协商解决，并另行签订书面补充协议予以确定，本</w:t>
      </w:r>
      <w:r>
        <w:rPr>
          <w:rFonts w:hint="eastAsia" w:ascii="宋体" w:hAnsi="宋体"/>
          <w:szCs w:val="21"/>
          <w:lang w:eastAsia="zh-CN"/>
        </w:rPr>
        <w:t>需求</w:t>
      </w:r>
      <w:r>
        <w:rPr>
          <w:rFonts w:hint="eastAsia" w:ascii="宋体" w:hAnsi="宋体"/>
          <w:szCs w:val="21"/>
        </w:rPr>
        <w:t>的书面补充协议作为本</w:t>
      </w:r>
      <w:r>
        <w:rPr>
          <w:rFonts w:hint="eastAsia" w:ascii="宋体" w:hAnsi="宋体"/>
          <w:szCs w:val="21"/>
          <w:lang w:eastAsia="zh-CN"/>
        </w:rPr>
        <w:t>需求</w:t>
      </w:r>
      <w:r>
        <w:rPr>
          <w:rFonts w:hint="eastAsia" w:ascii="宋体" w:hAnsi="宋体"/>
          <w:szCs w:val="21"/>
        </w:rPr>
        <w:t>的有机组成部分，与本</w:t>
      </w:r>
      <w:r>
        <w:rPr>
          <w:rFonts w:hint="eastAsia" w:ascii="宋体" w:hAnsi="宋体"/>
          <w:szCs w:val="21"/>
          <w:lang w:eastAsia="zh-CN"/>
        </w:rPr>
        <w:t>需求</w:t>
      </w:r>
      <w:r>
        <w:rPr>
          <w:rFonts w:hint="eastAsia" w:ascii="宋体" w:hAnsi="宋体"/>
          <w:szCs w:val="21"/>
        </w:rPr>
        <w:t>具有同等法律效力，书面补充协议与本</w:t>
      </w:r>
      <w:r>
        <w:rPr>
          <w:rFonts w:hint="eastAsia" w:ascii="宋体" w:hAnsi="宋体"/>
          <w:szCs w:val="21"/>
          <w:lang w:eastAsia="zh-CN"/>
        </w:rPr>
        <w:t>需求</w:t>
      </w:r>
      <w:r>
        <w:rPr>
          <w:rFonts w:hint="eastAsia" w:ascii="宋体" w:hAnsi="宋体"/>
          <w:szCs w:val="21"/>
        </w:rPr>
        <w:t>就同一事项（或内容）约定不一致的，除双方另有约定外，以形成时间在后的约定为据。</w:t>
      </w:r>
    </w:p>
    <w:p>
      <w:pPr>
        <w:tabs>
          <w:tab w:val="left" w:pos="362"/>
          <w:tab w:val="left" w:pos="9540"/>
        </w:tabs>
        <w:spacing w:line="400" w:lineRule="exact"/>
        <w:ind w:left="0" w:leftChars="0" w:firstLine="420" w:firstLineChars="200"/>
        <w:rPr>
          <w:rFonts w:hint="eastAsia" w:ascii="宋体" w:hAnsi="宋体"/>
          <w:szCs w:val="21"/>
        </w:rPr>
      </w:pPr>
      <w:r>
        <w:rPr>
          <w:rFonts w:hint="eastAsia" w:ascii="宋体" w:hAnsi="宋体"/>
          <w:szCs w:val="21"/>
        </w:rPr>
        <w:t>②在执行本</w:t>
      </w:r>
      <w:r>
        <w:rPr>
          <w:rFonts w:hint="eastAsia" w:ascii="宋体" w:hAnsi="宋体"/>
          <w:szCs w:val="21"/>
          <w:lang w:eastAsia="zh-CN"/>
        </w:rPr>
        <w:t>需求</w:t>
      </w:r>
      <w:r>
        <w:rPr>
          <w:rFonts w:hint="eastAsia" w:ascii="宋体" w:hAnsi="宋体"/>
          <w:szCs w:val="21"/>
        </w:rPr>
        <w:t>的过程中，所有经甲乙双方签署确认的文件（包括但不限于会议纪要、补充协议、往来信函、传真等）即成为本</w:t>
      </w:r>
      <w:r>
        <w:rPr>
          <w:rFonts w:hint="eastAsia" w:ascii="宋体" w:hAnsi="宋体"/>
          <w:szCs w:val="21"/>
          <w:lang w:eastAsia="zh-CN"/>
        </w:rPr>
        <w:t>需求</w:t>
      </w:r>
      <w:r>
        <w:rPr>
          <w:rFonts w:hint="eastAsia" w:ascii="宋体" w:hAnsi="宋体"/>
          <w:szCs w:val="21"/>
        </w:rPr>
        <w:t>的有效组成部分，其生效日期为双方法定代表人或委托代理人签名或者加盖公章确认的日期。本</w:t>
      </w:r>
      <w:r>
        <w:rPr>
          <w:rFonts w:hint="eastAsia" w:ascii="宋体" w:hAnsi="宋体"/>
          <w:szCs w:val="21"/>
          <w:lang w:eastAsia="zh-CN"/>
        </w:rPr>
        <w:t>需求</w:t>
      </w:r>
      <w:r>
        <w:rPr>
          <w:rFonts w:hint="eastAsia" w:ascii="宋体" w:hAnsi="宋体"/>
          <w:szCs w:val="21"/>
        </w:rPr>
        <w:t>与前述文件之间内容应认为是互为补充和解释，但如有就同一事项（内容）约定存在互相矛盾之处，以形成时间在后的文件为准。</w:t>
      </w:r>
    </w:p>
    <w:p>
      <w:pPr>
        <w:tabs>
          <w:tab w:val="left" w:pos="362"/>
          <w:tab w:val="left" w:pos="9540"/>
        </w:tabs>
        <w:spacing w:line="400" w:lineRule="exact"/>
        <w:ind w:left="0" w:leftChars="0" w:firstLine="420" w:firstLineChars="200"/>
        <w:rPr>
          <w:rFonts w:ascii="宋体" w:hAnsi="宋体"/>
          <w:szCs w:val="21"/>
        </w:rPr>
      </w:pPr>
      <w:r>
        <w:rPr>
          <w:rFonts w:hint="eastAsia" w:ascii="宋体" w:hAnsi="宋体"/>
          <w:szCs w:val="21"/>
          <w:lang w:val="en-US" w:eastAsia="zh-CN"/>
        </w:rPr>
        <w:t>③</w:t>
      </w:r>
      <w:r>
        <w:rPr>
          <w:rFonts w:hint="eastAsia" w:ascii="宋体" w:hAnsi="宋体"/>
          <w:szCs w:val="21"/>
        </w:rPr>
        <w:t>本</w:t>
      </w:r>
      <w:r>
        <w:rPr>
          <w:rFonts w:hint="eastAsia" w:ascii="宋体" w:hAnsi="宋体"/>
          <w:szCs w:val="21"/>
          <w:lang w:eastAsia="zh-CN"/>
        </w:rPr>
        <w:t>需求</w:t>
      </w:r>
      <w:r>
        <w:rPr>
          <w:rFonts w:hint="eastAsia" w:ascii="宋体" w:hAnsi="宋体"/>
          <w:szCs w:val="21"/>
        </w:rPr>
        <w:t>自双方法定代表人或委托代理人签名或加盖公章之日起生效，履约完成结清款项后自动失效。如由委托代理人签署的，须提供授权委托书、法定代表人与委托代理人身份及工作证明材料作为本</w:t>
      </w:r>
      <w:r>
        <w:rPr>
          <w:rFonts w:hint="eastAsia" w:ascii="宋体" w:hAnsi="宋体"/>
          <w:szCs w:val="21"/>
          <w:lang w:eastAsia="zh-CN"/>
        </w:rPr>
        <w:t>需求</w:t>
      </w:r>
      <w:r>
        <w:rPr>
          <w:rFonts w:hint="eastAsia" w:ascii="宋体" w:hAnsi="宋体"/>
          <w:szCs w:val="21"/>
        </w:rPr>
        <w:t>的附件。</w:t>
      </w:r>
    </w:p>
    <w:p>
      <w:pPr>
        <w:pStyle w:val="86"/>
        <w:numPr>
          <w:ilvl w:val="0"/>
          <w:numId w:val="0"/>
        </w:numPr>
        <w:tabs>
          <w:tab w:val="left" w:pos="362"/>
          <w:tab w:val="left" w:pos="9540"/>
        </w:tabs>
        <w:spacing w:line="400" w:lineRule="exact"/>
        <w:ind w:left="0" w:leftChars="0" w:firstLine="420" w:firstLineChars="200"/>
        <w:rPr>
          <w:rFonts w:hint="eastAsia" w:ascii="宋体" w:hAnsi="宋体"/>
          <w:szCs w:val="21"/>
        </w:rPr>
      </w:pPr>
      <w:r>
        <w:rPr>
          <w:rFonts w:hint="eastAsia" w:ascii="宋体" w:hAnsi="宋体"/>
          <w:szCs w:val="21"/>
          <w:lang w:val="en-US" w:eastAsia="zh-CN"/>
        </w:rPr>
        <w:t>④</w:t>
      </w:r>
      <w:r>
        <w:rPr>
          <w:rFonts w:hint="eastAsia" w:ascii="宋体" w:hAnsi="宋体"/>
          <w:szCs w:val="21"/>
        </w:rPr>
        <w:t>本协议一式肆份，甲乙双方各</w:t>
      </w:r>
      <w:r>
        <w:rPr>
          <w:rFonts w:hint="eastAsia" w:ascii="宋体" w:hAnsi="宋体"/>
          <w:szCs w:val="21"/>
          <w:lang w:val="en-US" w:eastAsia="zh-CN"/>
        </w:rPr>
        <w:t>执</w:t>
      </w:r>
      <w:r>
        <w:rPr>
          <w:rFonts w:hint="eastAsia" w:ascii="宋体" w:hAnsi="宋体"/>
          <w:szCs w:val="21"/>
        </w:rPr>
        <w:t>贰份</w:t>
      </w:r>
      <w:r>
        <w:rPr>
          <w:rFonts w:hint="eastAsia" w:ascii="宋体" w:hAnsi="宋体"/>
          <w:szCs w:val="21"/>
          <w:lang w:eastAsia="zh-CN"/>
        </w:rPr>
        <w:t>，</w:t>
      </w:r>
      <w:r>
        <w:rPr>
          <w:rFonts w:hint="eastAsia" w:ascii="宋体" w:hAnsi="宋体"/>
          <w:szCs w:val="21"/>
          <w:lang w:val="en-US" w:eastAsia="zh-CN"/>
        </w:rPr>
        <w:t>均具有同等法律效力</w:t>
      </w:r>
      <w:r>
        <w:rPr>
          <w:rFonts w:hint="eastAsia" w:ascii="宋体" w:hAnsi="宋体"/>
          <w:szCs w:val="21"/>
        </w:rPr>
        <w:t>。</w:t>
      </w:r>
    </w:p>
    <w:p>
      <w:pPr>
        <w:pStyle w:val="86"/>
        <w:numPr>
          <w:ilvl w:val="0"/>
          <w:numId w:val="0"/>
        </w:numPr>
        <w:tabs>
          <w:tab w:val="left" w:pos="362"/>
          <w:tab w:val="left" w:pos="9540"/>
        </w:tabs>
        <w:spacing w:line="400" w:lineRule="exact"/>
        <w:ind w:left="0" w:leftChars="0" w:firstLine="420" w:firstLineChars="200"/>
        <w:rPr>
          <w:rFonts w:hint="eastAsia" w:ascii="宋体" w:hAnsi="宋体"/>
          <w:szCs w:val="21"/>
        </w:rPr>
      </w:pPr>
      <w:r>
        <w:rPr>
          <w:rFonts w:hint="eastAsia" w:ascii="宋体" w:hAnsi="宋体"/>
          <w:szCs w:val="21"/>
          <w:lang w:val="en-US" w:eastAsia="zh-CN"/>
        </w:rPr>
        <w:t>⑤</w:t>
      </w:r>
      <w:r>
        <w:rPr>
          <w:rFonts w:hint="eastAsia" w:ascii="宋体" w:hAnsi="宋体"/>
          <w:szCs w:val="21"/>
        </w:rPr>
        <w:t>本</w:t>
      </w:r>
      <w:r>
        <w:rPr>
          <w:rFonts w:hint="eastAsia" w:ascii="宋体" w:hAnsi="宋体"/>
          <w:szCs w:val="21"/>
          <w:lang w:eastAsia="zh-CN"/>
        </w:rPr>
        <w:t>需求</w:t>
      </w:r>
      <w:r>
        <w:rPr>
          <w:rFonts w:hint="eastAsia" w:ascii="宋体" w:hAnsi="宋体"/>
          <w:szCs w:val="21"/>
        </w:rPr>
        <w:t>订立地点：【</w:t>
      </w:r>
      <w:r>
        <w:rPr>
          <w:rFonts w:hint="eastAsia" w:ascii="宋体" w:hAnsi="宋体"/>
          <w:szCs w:val="21"/>
          <w:lang w:eastAsia="zh-CN"/>
        </w:rPr>
        <w:t>广州市天河区华农紫薇路</w:t>
      </w:r>
      <w:r>
        <w:rPr>
          <w:rFonts w:hint="eastAsia" w:ascii="宋体" w:hAnsi="宋体"/>
          <w:szCs w:val="21"/>
          <w:lang w:val="en-US" w:eastAsia="zh-CN"/>
        </w:rPr>
        <w:t>1号</w:t>
      </w:r>
      <w:r>
        <w:rPr>
          <w:rFonts w:hint="eastAsia" w:ascii="宋体" w:hAnsi="宋体"/>
          <w:szCs w:val="21"/>
        </w:rPr>
        <w:t>】。</w:t>
      </w:r>
    </w:p>
    <w:p>
      <w:pPr>
        <w:pStyle w:val="86"/>
        <w:numPr>
          <w:ilvl w:val="0"/>
          <w:numId w:val="0"/>
        </w:numPr>
        <w:tabs>
          <w:tab w:val="left" w:pos="362"/>
          <w:tab w:val="left" w:pos="9540"/>
        </w:tabs>
        <w:spacing w:line="400" w:lineRule="exact"/>
        <w:ind w:left="0" w:leftChars="0" w:firstLine="420" w:firstLineChars="200"/>
        <w:rPr>
          <w:rFonts w:hint="eastAsia" w:ascii="宋体" w:hAnsi="宋体"/>
          <w:szCs w:val="21"/>
        </w:rPr>
      </w:pPr>
      <w:r>
        <w:rPr>
          <w:rFonts w:hint="eastAsia" w:ascii="宋体" w:hAnsi="宋体"/>
          <w:szCs w:val="21"/>
          <w:lang w:val="en-US" w:eastAsia="zh-CN"/>
        </w:rPr>
        <w:t>⑥</w:t>
      </w:r>
      <w:r>
        <w:rPr>
          <w:rFonts w:hint="eastAsia" w:ascii="宋体" w:hAnsi="宋体"/>
          <w:szCs w:val="21"/>
        </w:rPr>
        <w:t>以下文件作为附件，是本</w:t>
      </w:r>
      <w:r>
        <w:rPr>
          <w:rFonts w:hint="eastAsia" w:ascii="宋体" w:hAnsi="宋体"/>
          <w:szCs w:val="21"/>
          <w:lang w:eastAsia="zh-CN"/>
        </w:rPr>
        <w:t>需求</w:t>
      </w:r>
      <w:r>
        <w:rPr>
          <w:rFonts w:hint="eastAsia" w:ascii="宋体" w:hAnsi="宋体"/>
          <w:szCs w:val="21"/>
        </w:rPr>
        <w:t>不可分割的有机组成部分，与本</w:t>
      </w:r>
      <w:r>
        <w:rPr>
          <w:rFonts w:hint="eastAsia" w:ascii="宋体" w:hAnsi="宋体"/>
          <w:szCs w:val="21"/>
          <w:lang w:eastAsia="zh-CN"/>
        </w:rPr>
        <w:t>需求</w:t>
      </w:r>
      <w:r>
        <w:rPr>
          <w:rFonts w:hint="eastAsia" w:ascii="宋体" w:hAnsi="宋体"/>
          <w:szCs w:val="21"/>
        </w:rPr>
        <w:t>具有同等的法律效力：</w:t>
      </w:r>
    </w:p>
    <w:p>
      <w:pPr>
        <w:numPr>
          <w:ilvl w:val="0"/>
          <w:numId w:val="0"/>
        </w:numPr>
        <w:tabs>
          <w:tab w:val="left" w:pos="362"/>
          <w:tab w:val="left" w:pos="9540"/>
        </w:tabs>
        <w:spacing w:line="400" w:lineRule="exact"/>
        <w:ind w:firstLine="440" w:firstLineChars="200"/>
        <w:rPr>
          <w:rFonts w:hint="eastAsia"/>
          <w:sz w:val="22"/>
          <w:szCs w:val="22"/>
          <w:lang w:eastAsia="zh-CN"/>
        </w:rPr>
      </w:pPr>
      <w:r>
        <w:rPr>
          <w:rFonts w:hint="eastAsia"/>
          <w:sz w:val="22"/>
          <w:szCs w:val="22"/>
          <w:lang w:val="en-US" w:eastAsia="zh-CN"/>
        </w:rPr>
        <w:t>附件一：</w:t>
      </w:r>
      <w:r>
        <w:rPr>
          <w:rFonts w:hint="eastAsia"/>
          <w:sz w:val="22"/>
          <w:szCs w:val="22"/>
          <w:lang w:eastAsia="zh-CN"/>
        </w:rPr>
        <w:t>《</w:t>
      </w:r>
      <w:r>
        <w:rPr>
          <w:rFonts w:hint="eastAsia"/>
          <w:sz w:val="22"/>
          <w:szCs w:val="22"/>
        </w:rPr>
        <w:t>常用部分材料费用清单</w:t>
      </w:r>
      <w:r>
        <w:rPr>
          <w:rFonts w:hint="eastAsia"/>
          <w:sz w:val="22"/>
          <w:szCs w:val="22"/>
          <w:lang w:eastAsia="zh-CN"/>
        </w:rPr>
        <w:t>》；</w:t>
      </w:r>
    </w:p>
    <w:p>
      <w:pPr>
        <w:numPr>
          <w:ilvl w:val="0"/>
          <w:numId w:val="0"/>
        </w:numPr>
        <w:tabs>
          <w:tab w:val="left" w:pos="362"/>
          <w:tab w:val="left" w:pos="9540"/>
        </w:tabs>
        <w:spacing w:line="400" w:lineRule="exact"/>
        <w:ind w:firstLine="440" w:firstLineChars="200"/>
        <w:rPr>
          <w:rFonts w:hint="eastAsia" w:eastAsia="宋体"/>
          <w:sz w:val="22"/>
          <w:szCs w:val="22"/>
          <w:lang w:eastAsia="zh-CN"/>
        </w:rPr>
      </w:pPr>
      <w:r>
        <w:rPr>
          <w:rFonts w:hint="eastAsia"/>
          <w:sz w:val="22"/>
          <w:szCs w:val="22"/>
          <w:lang w:val="en-US" w:eastAsia="zh-CN"/>
        </w:rPr>
        <w:t>附件二</w:t>
      </w:r>
      <w:r>
        <w:rPr>
          <w:rFonts w:hint="eastAsia"/>
          <w:sz w:val="22"/>
          <w:szCs w:val="22"/>
        </w:rPr>
        <w:t>《</w:t>
      </w:r>
      <w:r>
        <w:rPr>
          <w:rFonts w:hint="eastAsia"/>
          <w:sz w:val="22"/>
          <w:szCs w:val="22"/>
          <w:lang w:val="en-US" w:eastAsia="zh-CN"/>
        </w:rPr>
        <w:t>月</w:t>
      </w:r>
      <w:r>
        <w:rPr>
          <w:rFonts w:hint="eastAsia"/>
          <w:sz w:val="22"/>
          <w:szCs w:val="22"/>
        </w:rPr>
        <w:t>度智慧消防（报警）系统运维技术服务评分表》</w:t>
      </w:r>
      <w:r>
        <w:rPr>
          <w:rFonts w:hint="eastAsia"/>
          <w:sz w:val="22"/>
          <w:szCs w:val="22"/>
          <w:lang w:eastAsia="zh-CN"/>
        </w:rPr>
        <w:t>。</w:t>
      </w:r>
    </w:p>
    <w:p>
      <w:pPr>
        <w:tabs>
          <w:tab w:val="left" w:pos="362"/>
          <w:tab w:val="left" w:pos="9540"/>
        </w:tabs>
        <w:spacing w:line="400" w:lineRule="exact"/>
        <w:rPr>
          <w:rFonts w:hint="eastAsia"/>
          <w:sz w:val="22"/>
          <w:szCs w:val="22"/>
          <w:lang w:eastAsia="zh-CN"/>
        </w:rPr>
      </w:pPr>
      <w:r>
        <w:rPr>
          <w:rFonts w:hint="eastAsia"/>
          <w:sz w:val="22"/>
          <w:szCs w:val="22"/>
          <w:lang w:eastAsia="zh-CN"/>
        </w:rPr>
        <w:t>（</w:t>
      </w:r>
      <w:r>
        <w:rPr>
          <w:rFonts w:hint="eastAsia"/>
          <w:sz w:val="22"/>
          <w:szCs w:val="22"/>
          <w:lang w:val="en-US" w:eastAsia="zh-CN"/>
        </w:rPr>
        <w:t>以下部分无《</w:t>
      </w:r>
      <w:r>
        <w:rPr>
          <w:rFonts w:hint="eastAsia"/>
          <w:sz w:val="22"/>
          <w:szCs w:val="22"/>
        </w:rPr>
        <w:t>建筑消防（智慧消防）设施</w:t>
      </w:r>
      <w:r>
        <w:rPr>
          <w:rFonts w:hint="eastAsia"/>
          <w:sz w:val="22"/>
          <w:szCs w:val="22"/>
          <w:lang w:val="en-US" w:eastAsia="zh-CN"/>
        </w:rPr>
        <w:t>维护保养技术需求》正文内容，为签章处</w:t>
      </w:r>
      <w:r>
        <w:rPr>
          <w:rFonts w:hint="eastAsia"/>
          <w:sz w:val="22"/>
          <w:szCs w:val="22"/>
          <w:lang w:eastAsia="zh-CN"/>
        </w:rPr>
        <w:t>）</w:t>
      </w:r>
    </w:p>
    <w:p>
      <w:pPr>
        <w:tabs>
          <w:tab w:val="left" w:pos="362"/>
          <w:tab w:val="left" w:pos="9540"/>
        </w:tabs>
        <w:spacing w:line="400" w:lineRule="exact"/>
        <w:rPr>
          <w:rFonts w:hint="eastAsia"/>
          <w:sz w:val="22"/>
          <w:szCs w:val="22"/>
          <w:lang w:eastAsia="zh-CN"/>
        </w:rPr>
      </w:pPr>
    </w:p>
    <w:p>
      <w:pPr>
        <w:tabs>
          <w:tab w:val="left" w:pos="362"/>
          <w:tab w:val="left" w:pos="9540"/>
        </w:tabs>
        <w:spacing w:line="400" w:lineRule="exact"/>
        <w:rPr>
          <w:rFonts w:hint="eastAsia"/>
          <w:sz w:val="22"/>
          <w:szCs w:val="22"/>
          <w:lang w:eastAsia="zh-CN"/>
        </w:rPr>
        <w:sectPr>
          <w:headerReference r:id="rId6" w:type="first"/>
          <w:footerReference r:id="rId8" w:type="first"/>
          <w:headerReference r:id="rId5" w:type="default"/>
          <w:footerReference r:id="rId7" w:type="default"/>
          <w:type w:val="continuous"/>
          <w:pgSz w:w="11906" w:h="16838"/>
          <w:pgMar w:top="779" w:right="991" w:bottom="1440" w:left="851" w:header="851" w:footer="992" w:gutter="142"/>
          <w:cols w:space="720" w:num="1"/>
          <w:titlePg/>
          <w:docGrid w:type="lines" w:linePitch="312" w:charSpace="0"/>
        </w:sectPr>
      </w:pPr>
    </w:p>
    <w:p>
      <w:pPr>
        <w:tabs>
          <w:tab w:val="left" w:pos="362"/>
          <w:tab w:val="left" w:pos="4678"/>
        </w:tabs>
        <w:spacing w:line="440" w:lineRule="exact"/>
        <w:rPr>
          <w:rFonts w:hint="eastAsia" w:eastAsia="宋体"/>
          <w:szCs w:val="21"/>
          <w:lang w:eastAsia="zh-CN"/>
        </w:rPr>
      </w:pPr>
      <w:r>
        <w:rPr>
          <w:rFonts w:hint="eastAsia"/>
          <w:szCs w:val="21"/>
        </w:rPr>
        <w:t>甲方：（盖章）</w:t>
      </w:r>
      <w:r>
        <w:rPr>
          <w:rFonts w:hint="eastAsia"/>
          <w:szCs w:val="21"/>
          <w:lang w:eastAsia="zh-CN"/>
        </w:rPr>
        <w:t>：</w:t>
      </w:r>
    </w:p>
    <w:p>
      <w:pPr>
        <w:tabs>
          <w:tab w:val="left" w:pos="362"/>
          <w:tab w:val="left" w:pos="4678"/>
        </w:tabs>
        <w:spacing w:line="440" w:lineRule="exact"/>
        <w:ind w:left="527" w:leftChars="1" w:hanging="525" w:hangingChars="250"/>
        <w:rPr>
          <w:rFonts w:hint="default"/>
          <w:szCs w:val="21"/>
          <w:lang w:val="en-US" w:eastAsia="zh-CN"/>
        </w:rPr>
      </w:pPr>
      <w:r>
        <w:rPr>
          <w:rFonts w:hint="eastAsia"/>
          <w:szCs w:val="21"/>
          <w:lang w:val="en-US" w:eastAsia="zh-CN"/>
        </w:rPr>
        <w:t>法定代表人（签名）：</w:t>
      </w:r>
    </w:p>
    <w:p>
      <w:pPr>
        <w:tabs>
          <w:tab w:val="left" w:pos="362"/>
          <w:tab w:val="left" w:pos="4678"/>
        </w:tabs>
        <w:spacing w:line="440" w:lineRule="exact"/>
        <w:ind w:left="527" w:leftChars="1" w:hanging="525" w:hangingChars="250"/>
        <w:rPr>
          <w:rFonts w:hint="default" w:eastAsia="宋体"/>
          <w:szCs w:val="21"/>
          <w:lang w:val="en-US" w:eastAsia="zh-CN"/>
        </w:rPr>
      </w:pPr>
      <w:r>
        <w:rPr>
          <w:rFonts w:hint="eastAsia"/>
          <w:szCs w:val="21"/>
          <w:lang w:val="en-US" w:eastAsia="zh-CN"/>
        </w:rPr>
        <w:t>或委托代理人（签名）：</w:t>
      </w:r>
    </w:p>
    <w:p>
      <w:pPr>
        <w:tabs>
          <w:tab w:val="left" w:pos="362"/>
          <w:tab w:val="left" w:pos="4678"/>
        </w:tabs>
        <w:spacing w:line="440" w:lineRule="exact"/>
        <w:ind w:left="527" w:leftChars="1" w:hanging="525" w:hangingChars="250"/>
        <w:rPr>
          <w:rFonts w:hint="eastAsia" w:eastAsia="宋体"/>
          <w:szCs w:val="21"/>
          <w:lang w:val="en-US" w:eastAsia="zh-CN"/>
        </w:rPr>
      </w:pPr>
      <w:r>
        <w:rPr>
          <w:rFonts w:hint="eastAsia"/>
          <w:szCs w:val="21"/>
          <w:lang w:val="en-US" w:eastAsia="zh-CN"/>
        </w:rPr>
        <w:t>经办人：</w:t>
      </w:r>
    </w:p>
    <w:p>
      <w:pPr>
        <w:tabs>
          <w:tab w:val="left" w:pos="362"/>
          <w:tab w:val="left" w:pos="4678"/>
        </w:tabs>
        <w:spacing w:line="440" w:lineRule="exact"/>
        <w:ind w:left="527" w:leftChars="1" w:hanging="525" w:hangingChars="250"/>
        <w:rPr>
          <w:szCs w:val="21"/>
        </w:rPr>
      </w:pPr>
      <w:r>
        <w:rPr>
          <w:rFonts w:hint="eastAsia"/>
          <w:szCs w:val="21"/>
        </w:rPr>
        <w:t>签订日期：</w:t>
      </w:r>
    </w:p>
    <w:p>
      <w:pPr>
        <w:tabs>
          <w:tab w:val="left" w:pos="362"/>
          <w:tab w:val="left" w:pos="4678"/>
        </w:tabs>
        <w:spacing w:line="440" w:lineRule="exact"/>
        <w:rPr>
          <w:szCs w:val="21"/>
        </w:rPr>
      </w:pPr>
      <w:r>
        <w:rPr>
          <w:rFonts w:hint="eastAsia"/>
          <w:szCs w:val="21"/>
        </w:rPr>
        <w:t>乙方：（盖章）</w:t>
      </w:r>
    </w:p>
    <w:p>
      <w:pPr>
        <w:tabs>
          <w:tab w:val="left" w:pos="362"/>
          <w:tab w:val="left" w:pos="4678"/>
        </w:tabs>
        <w:spacing w:line="440" w:lineRule="exact"/>
        <w:ind w:left="527" w:leftChars="1" w:hanging="525" w:hangingChars="250"/>
        <w:rPr>
          <w:rFonts w:hint="default"/>
          <w:szCs w:val="21"/>
          <w:lang w:val="en-US" w:eastAsia="zh-CN"/>
        </w:rPr>
      </w:pPr>
      <w:r>
        <w:rPr>
          <w:rFonts w:hint="eastAsia"/>
          <w:szCs w:val="21"/>
          <w:lang w:val="en-US" w:eastAsia="zh-CN"/>
        </w:rPr>
        <w:t>法定代表人（签名）：</w:t>
      </w:r>
    </w:p>
    <w:p>
      <w:pPr>
        <w:tabs>
          <w:tab w:val="left" w:pos="362"/>
          <w:tab w:val="left" w:pos="4678"/>
        </w:tabs>
        <w:spacing w:line="440" w:lineRule="exact"/>
        <w:ind w:left="527" w:leftChars="1" w:hanging="525" w:hangingChars="250"/>
        <w:rPr>
          <w:rFonts w:hint="default" w:eastAsia="宋体"/>
          <w:szCs w:val="21"/>
          <w:lang w:val="en-US" w:eastAsia="zh-CN"/>
        </w:rPr>
      </w:pPr>
      <w:r>
        <w:rPr>
          <w:rFonts w:hint="eastAsia"/>
          <w:szCs w:val="21"/>
          <w:lang w:val="en-US" w:eastAsia="zh-CN"/>
        </w:rPr>
        <w:t>或</w:t>
      </w:r>
      <w:r>
        <w:commentReference w:id="3"/>
      </w:r>
      <w:r>
        <w:rPr>
          <w:rFonts w:hint="eastAsia"/>
          <w:szCs w:val="21"/>
          <w:lang w:val="en-US" w:eastAsia="zh-CN"/>
        </w:rPr>
        <w:t>委托代理人（签名）：</w:t>
      </w:r>
    </w:p>
    <w:p>
      <w:pPr>
        <w:tabs>
          <w:tab w:val="left" w:pos="362"/>
          <w:tab w:val="left" w:pos="4678"/>
        </w:tabs>
        <w:spacing w:line="440" w:lineRule="exact"/>
        <w:ind w:left="527" w:leftChars="1" w:hanging="525" w:hangingChars="250"/>
        <w:rPr>
          <w:rFonts w:hint="eastAsia" w:eastAsia="宋体"/>
          <w:szCs w:val="21"/>
          <w:lang w:val="en-US" w:eastAsia="zh-CN"/>
        </w:rPr>
      </w:pPr>
      <w:r>
        <w:rPr>
          <w:rFonts w:hint="eastAsia"/>
          <w:szCs w:val="21"/>
          <w:lang w:val="en-US" w:eastAsia="zh-CN"/>
        </w:rPr>
        <w:t>经办人：</w:t>
      </w:r>
    </w:p>
    <w:p>
      <w:pPr>
        <w:tabs>
          <w:tab w:val="left" w:pos="362"/>
          <w:tab w:val="left" w:pos="4678"/>
        </w:tabs>
        <w:spacing w:line="440" w:lineRule="exact"/>
        <w:ind w:left="527" w:leftChars="1" w:hanging="525" w:hangingChars="250"/>
        <w:rPr>
          <w:rFonts w:hint="eastAsia" w:eastAsia="宋体"/>
          <w:szCs w:val="21"/>
          <w:lang w:eastAsia="zh-CN"/>
        </w:rPr>
        <w:sectPr>
          <w:headerReference r:id="rId10" w:type="first"/>
          <w:footerReference r:id="rId12" w:type="first"/>
          <w:headerReference r:id="rId9" w:type="default"/>
          <w:footerReference r:id="rId11" w:type="default"/>
          <w:type w:val="continuous"/>
          <w:pgSz w:w="11906" w:h="16838"/>
          <w:pgMar w:top="779" w:right="991" w:bottom="1440" w:left="851" w:header="851" w:footer="992" w:gutter="142"/>
          <w:cols w:space="425" w:num="2"/>
          <w:titlePg/>
          <w:docGrid w:type="lines" w:linePitch="312" w:charSpace="0"/>
        </w:sectPr>
      </w:pPr>
      <w:r>
        <w:rPr>
          <w:rFonts w:hint="eastAsia"/>
          <w:szCs w:val="21"/>
        </w:rPr>
        <w:t>签订日期</w:t>
      </w:r>
      <w:r>
        <w:rPr>
          <w:rFonts w:hint="eastAsia"/>
          <w:szCs w:val="21"/>
          <w:lang w:eastAsia="zh-CN"/>
        </w:rPr>
        <w:t>：</w:t>
      </w:r>
    </w:p>
    <w:p>
      <w:pPr>
        <w:spacing w:line="360" w:lineRule="auto"/>
        <w:ind w:right="480"/>
        <w:rPr>
          <w:rFonts w:hint="eastAsia" w:hAnsi="宋体"/>
          <w:sz w:val="28"/>
          <w:szCs w:val="28"/>
        </w:rPr>
      </w:pPr>
    </w:p>
    <w:p>
      <w:pPr>
        <w:spacing w:line="360" w:lineRule="auto"/>
        <w:ind w:right="480"/>
        <w:rPr>
          <w:rFonts w:hint="eastAsia" w:hAnsi="宋体"/>
          <w:sz w:val="28"/>
          <w:szCs w:val="28"/>
        </w:rPr>
      </w:pPr>
    </w:p>
    <w:p>
      <w:pPr>
        <w:spacing w:line="240" w:lineRule="auto"/>
        <w:ind w:right="0"/>
        <w:rPr>
          <w:rFonts w:hint="eastAsia" w:hAnsi="宋体"/>
          <w:sz w:val="28"/>
          <w:szCs w:val="28"/>
        </w:rPr>
      </w:pPr>
      <w:r>
        <w:rPr>
          <w:rFonts w:hint="eastAsia" w:hAnsi="宋体"/>
          <w:sz w:val="28"/>
          <w:szCs w:val="28"/>
        </w:rPr>
        <w:br w:type="page"/>
      </w:r>
    </w:p>
    <w:p>
      <w:pPr>
        <w:spacing w:line="360" w:lineRule="auto"/>
        <w:ind w:right="480"/>
        <w:rPr>
          <w:rFonts w:ascii="宋体" w:hAnsi="宋体" w:cs="宋体"/>
          <w:sz w:val="28"/>
          <w:szCs w:val="28"/>
        </w:rPr>
      </w:pPr>
      <w:r>
        <w:rPr>
          <w:rFonts w:hint="eastAsia" w:hAnsi="宋体"/>
          <w:sz w:val="28"/>
          <w:szCs w:val="28"/>
        </w:rPr>
        <w:t>常用</w:t>
      </w:r>
      <w:r>
        <w:rPr>
          <w:rFonts w:hint="eastAsia" w:ascii="宋体" w:hAnsi="宋体" w:cs="宋体"/>
          <w:sz w:val="28"/>
          <w:szCs w:val="28"/>
        </w:rPr>
        <w:t>部分材料费用清单</w:t>
      </w:r>
    </w:p>
    <w:tbl>
      <w:tblPr>
        <w:tblStyle w:val="15"/>
        <w:tblW w:w="9228" w:type="dxa"/>
        <w:tblInd w:w="94" w:type="dxa"/>
        <w:tblLayout w:type="autofit"/>
        <w:tblCellMar>
          <w:top w:w="0" w:type="dxa"/>
          <w:left w:w="108" w:type="dxa"/>
          <w:bottom w:w="0" w:type="dxa"/>
          <w:right w:w="108" w:type="dxa"/>
        </w:tblCellMar>
      </w:tblPr>
      <w:tblGrid>
        <w:gridCol w:w="559"/>
        <w:gridCol w:w="3968"/>
        <w:gridCol w:w="558"/>
        <w:gridCol w:w="986"/>
        <w:gridCol w:w="3157"/>
      </w:tblGrid>
      <w:tr>
        <w:tblPrEx>
          <w:tblCellMar>
            <w:top w:w="0" w:type="dxa"/>
            <w:left w:w="108" w:type="dxa"/>
            <w:bottom w:w="0" w:type="dxa"/>
            <w:right w:w="108" w:type="dxa"/>
          </w:tblCellMar>
        </w:tblPrEx>
        <w:trPr>
          <w:trHeight w:val="285" w:hRule="atLeast"/>
        </w:trPr>
        <w:tc>
          <w:tcPr>
            <w:tcW w:w="9228" w:type="dxa"/>
            <w:gridSpan w:val="5"/>
            <w:tcBorders>
              <w:top w:val="nil"/>
              <w:left w:val="nil"/>
              <w:bottom w:val="nil"/>
              <w:right w:val="nil"/>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常用材料价格表</w:t>
            </w:r>
          </w:p>
        </w:tc>
      </w:tr>
      <w:tr>
        <w:tblPrEx>
          <w:tblCellMar>
            <w:top w:w="0" w:type="dxa"/>
            <w:left w:w="108" w:type="dxa"/>
            <w:bottom w:w="0" w:type="dxa"/>
            <w:right w:w="108" w:type="dxa"/>
          </w:tblCellMar>
        </w:tblPrEx>
        <w:trPr>
          <w:trHeight w:val="285" w:hRule="atLeast"/>
        </w:trPr>
        <w:tc>
          <w:tcPr>
            <w:tcW w:w="9228" w:type="dxa"/>
            <w:gridSpan w:val="5"/>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火灾自动报警系统</w:t>
            </w:r>
          </w:p>
        </w:tc>
      </w:tr>
      <w:tr>
        <w:tblPrEx>
          <w:tblCellMar>
            <w:top w:w="0" w:type="dxa"/>
            <w:left w:w="108" w:type="dxa"/>
            <w:bottom w:w="0" w:type="dxa"/>
            <w:right w:w="108" w:type="dxa"/>
          </w:tblCellMar>
        </w:tblPrEx>
        <w:trPr>
          <w:trHeight w:val="285" w:hRule="atLeast"/>
        </w:trPr>
        <w:tc>
          <w:tcPr>
            <w:tcW w:w="559"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序号</w:t>
            </w:r>
          </w:p>
        </w:tc>
        <w:tc>
          <w:tcPr>
            <w:tcW w:w="396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项目名称</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单位</w:t>
            </w:r>
          </w:p>
        </w:tc>
        <w:tc>
          <w:tcPr>
            <w:tcW w:w="986"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w:t>
            </w:r>
          </w:p>
        </w:tc>
        <w:tc>
          <w:tcPr>
            <w:tcW w:w="315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国产火灾探测器</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120.00</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国产消火栓按钮</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3</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国产手动报警按钮（带插孔电话）</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130.00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4</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国产输入模块</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5</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国产输出模块</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6</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国产输入输出模块</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7</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国产直线控制模块</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8</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国产消防广播</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9</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国产警铃</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100.00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10</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国产声光报警器（普通型）</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国产声光报警器（智能型）</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150.00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12</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国产插孔电话面板</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1000.00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13</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国产消防对讲电话分机</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300.00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14</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双绞线2X1.5</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15</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多芯护套控制线3x1.5</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16</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多芯护套控制线6x1.5</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19.20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17</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双绞屏蔽护套线2X1.5</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5.40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18</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镀锌线管φ20</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含配件</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19</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金属软管φ20</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20</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24V中间继电器</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24.00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国产火灾自动报警系统增容调试费</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点</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200.00 </w:t>
            </w:r>
          </w:p>
        </w:tc>
        <w:tc>
          <w:tcPr>
            <w:tcW w:w="315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最低增容收费1次2000元</w:t>
            </w:r>
          </w:p>
        </w:tc>
      </w:tr>
      <w:tr>
        <w:tblPrEx>
          <w:tblCellMar>
            <w:top w:w="0" w:type="dxa"/>
            <w:left w:w="108" w:type="dxa"/>
            <w:bottom w:w="0" w:type="dxa"/>
            <w:right w:w="108" w:type="dxa"/>
          </w:tblCellMar>
        </w:tblPrEx>
        <w:trPr>
          <w:trHeight w:val="285" w:hRule="atLeast"/>
        </w:trPr>
        <w:tc>
          <w:tcPr>
            <w:tcW w:w="9228" w:type="dxa"/>
            <w:gridSpan w:val="5"/>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水系统</w:t>
            </w:r>
          </w:p>
        </w:tc>
      </w:tr>
      <w:tr>
        <w:tblPrEx>
          <w:tblCellMar>
            <w:top w:w="0" w:type="dxa"/>
            <w:left w:w="108" w:type="dxa"/>
            <w:bottom w:w="0" w:type="dxa"/>
            <w:right w:w="108" w:type="dxa"/>
          </w:tblCellMar>
        </w:tblPrEx>
        <w:trPr>
          <w:trHeight w:val="285" w:hRule="atLeast"/>
        </w:trPr>
        <w:tc>
          <w:tcPr>
            <w:tcW w:w="559"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序号</w:t>
            </w:r>
          </w:p>
        </w:tc>
        <w:tc>
          <w:tcPr>
            <w:tcW w:w="396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项目名称</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单位</w:t>
            </w:r>
          </w:p>
        </w:tc>
        <w:tc>
          <w:tcPr>
            <w:tcW w:w="986"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w:t>
            </w:r>
          </w:p>
        </w:tc>
        <w:tc>
          <w:tcPr>
            <w:tcW w:w="315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DN25镀锌水管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珠江</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DN32镀锌水管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44.40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珠江</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3</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DN40镀锌水管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52.20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珠江</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4</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DN50镀锌水管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62.40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珠江</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5</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DN65镀锌水管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80.40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珠江</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6</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DN80镀锌水管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珠江</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7</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DN100镀锌水管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珠江</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8</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DN150镀锌水管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珠江</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9</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消火栓</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10</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水带</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条</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水枪</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支</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12</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消防卷盘软管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13</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小水枪头</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支</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single" w:color="auto" w:sz="4" w:space="0"/>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14</w:t>
            </w:r>
          </w:p>
        </w:tc>
        <w:tc>
          <w:tcPr>
            <w:tcW w:w="3968"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DN25铜闸阀</w:t>
            </w:r>
          </w:p>
        </w:tc>
        <w:tc>
          <w:tcPr>
            <w:tcW w:w="55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single" w:color="auto" w:sz="4" w:space="0"/>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45.00 </w:t>
            </w:r>
          </w:p>
        </w:tc>
        <w:tc>
          <w:tcPr>
            <w:tcW w:w="3157"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99" w:hRule="exact"/>
        </w:trPr>
        <w:tc>
          <w:tcPr>
            <w:tcW w:w="559" w:type="dxa"/>
            <w:tcBorders>
              <w:top w:val="single" w:color="auto" w:sz="4" w:space="0"/>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15</w:t>
            </w:r>
          </w:p>
        </w:tc>
        <w:tc>
          <w:tcPr>
            <w:tcW w:w="3968" w:type="dxa"/>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压力表1.6MPa</w:t>
            </w:r>
          </w:p>
        </w:tc>
        <w:tc>
          <w:tcPr>
            <w:tcW w:w="558"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single" w:color="auto" w:sz="4" w:space="0"/>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 </w:t>
            </w:r>
          </w:p>
        </w:tc>
        <w:tc>
          <w:tcPr>
            <w:tcW w:w="3157" w:type="dxa"/>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16</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缓冲管</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条</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17</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喷淋头</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18</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隐蔽式喷淋头</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19</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DN25弯头</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5.40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20</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DN25三通</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8.16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消火栓箱门板</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145.00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22</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DN25喉箍</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23</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大红油漆13kg</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桶</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240.00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24</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松节水6kg</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桶</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78.00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25</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油扫5寸</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把</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7.20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26</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小油漆桶</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29</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配合喷淋系统放水费用</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次</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1000.00 </w:t>
            </w:r>
          </w:p>
        </w:tc>
        <w:tc>
          <w:tcPr>
            <w:tcW w:w="3157" w:type="dxa"/>
            <w:tcBorders>
              <w:top w:val="nil"/>
              <w:left w:val="nil"/>
              <w:bottom w:val="single" w:color="auto" w:sz="4" w:space="0"/>
              <w:right w:val="single" w:color="auto" w:sz="4" w:space="0"/>
            </w:tcBorders>
            <w:noWrap/>
            <w:vAlign w:val="center"/>
          </w:tcPr>
          <w:p>
            <w:pPr>
              <w:widowControl/>
              <w:spacing w:line="280" w:lineRule="exact"/>
              <w:jc w:val="left"/>
              <w:rPr>
                <w:rFonts w:ascii="宋体" w:hAnsi="宋体" w:cs="宋体"/>
                <w:color w:val="000000"/>
                <w:spacing w:val="-8"/>
                <w:kern w:val="0"/>
                <w:sz w:val="18"/>
                <w:szCs w:val="18"/>
              </w:rPr>
            </w:pPr>
            <w:r>
              <w:rPr>
                <w:rFonts w:hint="eastAsia" w:ascii="宋体" w:hAnsi="宋体" w:cs="宋体"/>
                <w:color w:val="000000"/>
                <w:spacing w:val="-8"/>
                <w:kern w:val="0"/>
                <w:sz w:val="18"/>
                <w:szCs w:val="18"/>
              </w:rPr>
              <w:t>停水、恢复供水按1次计算（水费另计）</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30</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配合消火栓放水费用</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次</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2000.00 </w:t>
            </w:r>
          </w:p>
        </w:tc>
        <w:tc>
          <w:tcPr>
            <w:tcW w:w="3157" w:type="dxa"/>
            <w:tcBorders>
              <w:top w:val="nil"/>
              <w:left w:val="nil"/>
              <w:bottom w:val="single" w:color="auto" w:sz="4" w:space="0"/>
              <w:right w:val="single" w:color="auto" w:sz="4" w:space="0"/>
            </w:tcBorders>
            <w:noWrap/>
            <w:vAlign w:val="center"/>
          </w:tcPr>
          <w:p>
            <w:pPr>
              <w:widowControl/>
              <w:spacing w:line="280" w:lineRule="exact"/>
              <w:jc w:val="left"/>
              <w:rPr>
                <w:rFonts w:ascii="宋体" w:hAnsi="宋体" w:cs="宋体"/>
                <w:color w:val="000000"/>
                <w:spacing w:val="-8"/>
                <w:kern w:val="0"/>
                <w:sz w:val="18"/>
                <w:szCs w:val="18"/>
              </w:rPr>
            </w:pPr>
            <w:r>
              <w:rPr>
                <w:rFonts w:hint="eastAsia" w:ascii="宋体" w:hAnsi="宋体" w:cs="宋体"/>
                <w:color w:val="000000"/>
                <w:spacing w:val="-8"/>
                <w:kern w:val="0"/>
                <w:sz w:val="18"/>
                <w:szCs w:val="18"/>
              </w:rPr>
              <w:t>停水、恢复供水按1次计算（水费另计）</w:t>
            </w:r>
          </w:p>
        </w:tc>
      </w:tr>
      <w:tr>
        <w:tblPrEx>
          <w:tblCellMar>
            <w:top w:w="0" w:type="dxa"/>
            <w:left w:w="108" w:type="dxa"/>
            <w:bottom w:w="0" w:type="dxa"/>
            <w:right w:w="108" w:type="dxa"/>
          </w:tblCellMar>
        </w:tblPrEx>
        <w:trPr>
          <w:trHeight w:val="624" w:hRule="atLeast"/>
        </w:trPr>
        <w:tc>
          <w:tcPr>
            <w:tcW w:w="9228" w:type="dxa"/>
            <w:gridSpan w:val="5"/>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灭火器及防毒面具</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4KG干粉灭火器</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75.00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桂安</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防毒面具</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42.00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浙安</w:t>
            </w:r>
          </w:p>
        </w:tc>
      </w:tr>
      <w:tr>
        <w:tblPrEx>
          <w:tblCellMar>
            <w:top w:w="0" w:type="dxa"/>
            <w:left w:w="108" w:type="dxa"/>
            <w:bottom w:w="0" w:type="dxa"/>
            <w:right w:w="108" w:type="dxa"/>
          </w:tblCellMar>
        </w:tblPrEx>
        <w:trPr>
          <w:trHeight w:val="624" w:hRule="atLeast"/>
        </w:trPr>
        <w:tc>
          <w:tcPr>
            <w:tcW w:w="9228" w:type="dxa"/>
            <w:gridSpan w:val="5"/>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应急灯及疏散指示灯</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应急灯</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盏</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78.00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平安/桂安</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疏散指示灯</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盏</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78.00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平安/桂安</w:t>
            </w:r>
          </w:p>
        </w:tc>
      </w:tr>
      <w:tr>
        <w:tblPrEx>
          <w:tblCellMar>
            <w:top w:w="0" w:type="dxa"/>
            <w:left w:w="108" w:type="dxa"/>
            <w:bottom w:w="0" w:type="dxa"/>
            <w:right w:w="108" w:type="dxa"/>
          </w:tblCellMar>
        </w:tblPrEx>
        <w:trPr>
          <w:trHeight w:val="285" w:hRule="atLeast"/>
        </w:trPr>
        <w:tc>
          <w:tcPr>
            <w:tcW w:w="9228" w:type="dxa"/>
            <w:gridSpan w:val="5"/>
            <w:tcBorders>
              <w:top w:val="nil"/>
              <w:left w:val="nil"/>
              <w:bottom w:val="nil"/>
              <w:right w:val="nil"/>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常用材料价格表</w:t>
            </w:r>
          </w:p>
        </w:tc>
      </w:tr>
      <w:tr>
        <w:tblPrEx>
          <w:tblCellMar>
            <w:top w:w="0" w:type="dxa"/>
            <w:left w:w="108" w:type="dxa"/>
            <w:bottom w:w="0" w:type="dxa"/>
            <w:right w:w="108" w:type="dxa"/>
          </w:tblCellMar>
        </w:tblPrEx>
        <w:trPr>
          <w:trHeight w:val="285" w:hRule="atLeast"/>
        </w:trPr>
        <w:tc>
          <w:tcPr>
            <w:tcW w:w="9228" w:type="dxa"/>
            <w:gridSpan w:val="5"/>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火灾自动报警系统</w:t>
            </w:r>
          </w:p>
        </w:tc>
      </w:tr>
      <w:tr>
        <w:tblPrEx>
          <w:tblCellMar>
            <w:top w:w="0" w:type="dxa"/>
            <w:left w:w="108" w:type="dxa"/>
            <w:bottom w:w="0" w:type="dxa"/>
            <w:right w:w="108" w:type="dxa"/>
          </w:tblCellMar>
        </w:tblPrEx>
        <w:trPr>
          <w:trHeight w:val="285" w:hRule="atLeast"/>
        </w:trPr>
        <w:tc>
          <w:tcPr>
            <w:tcW w:w="559"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序号</w:t>
            </w:r>
          </w:p>
        </w:tc>
        <w:tc>
          <w:tcPr>
            <w:tcW w:w="396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项目名称</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单位</w:t>
            </w:r>
          </w:p>
        </w:tc>
        <w:tc>
          <w:tcPr>
            <w:tcW w:w="986"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单价</w:t>
            </w:r>
          </w:p>
        </w:tc>
        <w:tc>
          <w:tcPr>
            <w:tcW w:w="315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进口火灾探测器</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进口消火栓按钮</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3</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进口手动报警按钮（带插孔电话）</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4</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进口输入模块</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5</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进口输出模块</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6</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进口输入输出模块</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7</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进口直线控制模块</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8</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国产消防广播</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100.00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9</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进口警铃</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10</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进口声光报警器（普通型）</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1260.00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进口声光报警器（编码型）</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1380.00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12</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进口插孔电话面板</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680.00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13</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进口消防对讲电话分机</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1260.00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14</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双绞线2X1.5</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15</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多芯护套控制线3x1.5</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16</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多芯护套控制线6x1.5</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19.20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17</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双绞屏蔽护套线2X1.5</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5.40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18</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镀锌线管φ20</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含配件</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19</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金属软管φ20</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20</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24V中间继电器</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24.00 </w:t>
            </w:r>
          </w:p>
        </w:tc>
        <w:tc>
          <w:tcPr>
            <w:tcW w:w="3157"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21</w:t>
            </w:r>
          </w:p>
        </w:tc>
        <w:tc>
          <w:tcPr>
            <w:tcW w:w="396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进口火灾自动报警系统增容调试费</w:t>
            </w:r>
          </w:p>
        </w:tc>
        <w:tc>
          <w:tcPr>
            <w:tcW w:w="558"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点</w:t>
            </w:r>
          </w:p>
        </w:tc>
        <w:tc>
          <w:tcPr>
            <w:tcW w:w="986" w:type="dxa"/>
            <w:tcBorders>
              <w:top w:val="nil"/>
              <w:left w:val="nil"/>
              <w:bottom w:val="single" w:color="auto" w:sz="4" w:space="0"/>
              <w:right w:val="single" w:color="auto" w:sz="4" w:space="0"/>
            </w:tcBorders>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500.00 </w:t>
            </w:r>
          </w:p>
        </w:tc>
        <w:tc>
          <w:tcPr>
            <w:tcW w:w="315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最低增容收费1次6000元</w:t>
            </w:r>
          </w:p>
        </w:tc>
      </w:tr>
      <w:tr>
        <w:tblPrEx>
          <w:tblCellMar>
            <w:top w:w="0" w:type="dxa"/>
            <w:left w:w="108" w:type="dxa"/>
            <w:bottom w:w="0" w:type="dxa"/>
            <w:right w:w="108" w:type="dxa"/>
          </w:tblCellMar>
        </w:tblPrEx>
        <w:trPr>
          <w:trHeight w:val="285" w:hRule="atLeast"/>
        </w:trPr>
        <w:tc>
          <w:tcPr>
            <w:tcW w:w="9228" w:type="dxa"/>
            <w:gridSpan w:val="5"/>
            <w:tcBorders>
              <w:top w:val="nil"/>
              <w:left w:val="nil"/>
              <w:bottom w:val="nil"/>
              <w:right w:val="nil"/>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常用材料价格表</w:t>
            </w:r>
          </w:p>
        </w:tc>
      </w:tr>
      <w:tr>
        <w:tblPrEx>
          <w:tblCellMar>
            <w:top w:w="0" w:type="dxa"/>
            <w:left w:w="108" w:type="dxa"/>
            <w:bottom w:w="0" w:type="dxa"/>
            <w:right w:w="108" w:type="dxa"/>
          </w:tblCellMar>
        </w:tblPrEx>
        <w:trPr>
          <w:trHeight w:val="285" w:hRule="atLeast"/>
        </w:trPr>
        <w:tc>
          <w:tcPr>
            <w:tcW w:w="922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火灾自动报警系统</w:t>
            </w:r>
          </w:p>
        </w:tc>
      </w:tr>
      <w:tr>
        <w:tblPrEx>
          <w:tblCellMar>
            <w:top w:w="0" w:type="dxa"/>
            <w:left w:w="108" w:type="dxa"/>
            <w:bottom w:w="0" w:type="dxa"/>
            <w:right w:w="108" w:type="dxa"/>
          </w:tblCellMar>
        </w:tblPrEx>
        <w:trPr>
          <w:trHeight w:val="285"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序号</w:t>
            </w:r>
          </w:p>
        </w:tc>
        <w:tc>
          <w:tcPr>
            <w:tcW w:w="396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项目名称</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单位</w:t>
            </w:r>
          </w:p>
        </w:tc>
        <w:tc>
          <w:tcPr>
            <w:tcW w:w="98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w:t>
            </w:r>
          </w:p>
        </w:tc>
        <w:tc>
          <w:tcPr>
            <w:tcW w:w="31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国产火灾探测器</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国产消火栓按钮</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3</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国产手动报警按钮（带插孔电话）</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4</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国产输入模块</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5</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国产输出模块</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6</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国产输入输出模块</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7</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国产直线控制模块</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8</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国产消防广播</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100.00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9</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国产警铃</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10</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国产声光报警器（普通型）</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国产声光报警器（编码型）</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12</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国产插孔电话面板</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1000.00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13</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国产消防对讲电话分机</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140.00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14</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双绞线2X1.5</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15</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多芯护套控制线3x1.5</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16</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多芯护套控制线6x1.5</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19.20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17</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双绞屏蔽护套线2X1.5</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5.40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18</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镀锌线管φ20</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含配件</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19</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金属软管φ20</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20</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24V中间继电器</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24.00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国产火灾自动报警系统增容调试费</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点</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200.00 </w:t>
            </w:r>
          </w:p>
        </w:tc>
        <w:tc>
          <w:tcPr>
            <w:tcW w:w="31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最低增容收费1次2000元</w:t>
            </w:r>
          </w:p>
        </w:tc>
      </w:tr>
      <w:tr>
        <w:tblPrEx>
          <w:tblCellMar>
            <w:top w:w="0" w:type="dxa"/>
            <w:left w:w="108" w:type="dxa"/>
            <w:bottom w:w="0" w:type="dxa"/>
            <w:right w:w="108" w:type="dxa"/>
          </w:tblCellMar>
        </w:tblPrEx>
        <w:trPr>
          <w:trHeight w:val="285" w:hRule="atLeast"/>
        </w:trPr>
        <w:tc>
          <w:tcPr>
            <w:tcW w:w="922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水系统</w:t>
            </w:r>
          </w:p>
        </w:tc>
      </w:tr>
      <w:tr>
        <w:tblPrEx>
          <w:tblCellMar>
            <w:top w:w="0" w:type="dxa"/>
            <w:left w:w="108" w:type="dxa"/>
            <w:bottom w:w="0" w:type="dxa"/>
            <w:right w:w="108" w:type="dxa"/>
          </w:tblCellMar>
        </w:tblPrEx>
        <w:trPr>
          <w:trHeight w:val="285"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序号</w:t>
            </w:r>
          </w:p>
        </w:tc>
        <w:tc>
          <w:tcPr>
            <w:tcW w:w="396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项目名称</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单位</w:t>
            </w:r>
          </w:p>
        </w:tc>
        <w:tc>
          <w:tcPr>
            <w:tcW w:w="98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w:t>
            </w:r>
          </w:p>
        </w:tc>
        <w:tc>
          <w:tcPr>
            <w:tcW w:w="31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DN25镀锌水管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DN32镀锌水管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44.40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3</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DN40镀锌水管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52.20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4</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DN50镀锌水管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62.40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5</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DN65镀锌水管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80.40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6</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DN80镀锌水管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7</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DN100镀锌水管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8</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DN150镀锌水管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9</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消火栓</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10</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水带</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条</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水枪</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支</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12</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消防卷盘软管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13</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小水枪头</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支</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170" w:hRule="atLeast"/>
        </w:trPr>
        <w:tc>
          <w:tcPr>
            <w:tcW w:w="5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14</w:t>
            </w:r>
          </w:p>
        </w:tc>
        <w:tc>
          <w:tcPr>
            <w:tcW w:w="39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DN25铜闸阀</w:t>
            </w:r>
          </w:p>
        </w:tc>
        <w:tc>
          <w:tcPr>
            <w:tcW w:w="5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30.00 </w:t>
            </w:r>
          </w:p>
        </w:tc>
        <w:tc>
          <w:tcPr>
            <w:tcW w:w="315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15</w:t>
            </w:r>
          </w:p>
        </w:tc>
        <w:tc>
          <w:tcPr>
            <w:tcW w:w="3968"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压力表1.6MPa</w:t>
            </w:r>
          </w:p>
        </w:tc>
        <w:tc>
          <w:tcPr>
            <w:tcW w:w="5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 </w:t>
            </w:r>
          </w:p>
        </w:tc>
        <w:tc>
          <w:tcPr>
            <w:tcW w:w="3157"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16</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缓冲管</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条</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17</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喷淋头</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18</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隐蔽式喷淋头</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19</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DN25弯头</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5.40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20</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DN25三通</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8.16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消火栓箱门板</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145.00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22</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DN25喉箍</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23</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大红油漆13kg</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桶</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240.00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24</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松节水6kg</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桶</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78.00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25</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油扫5寸</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把</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7.20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26</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小油漆桶</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29</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配合喷淋系统放水费用</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次</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1000.00 </w:t>
            </w:r>
          </w:p>
        </w:tc>
        <w:tc>
          <w:tcPr>
            <w:tcW w:w="3157" w:type="dxa"/>
            <w:tcBorders>
              <w:top w:val="nil"/>
              <w:left w:val="nil"/>
              <w:bottom w:val="single" w:color="auto" w:sz="4" w:space="0"/>
              <w:right w:val="single" w:color="auto" w:sz="4" w:space="0"/>
            </w:tcBorders>
            <w:shd w:val="clear" w:color="auto" w:fill="auto"/>
            <w:noWrap/>
            <w:vAlign w:val="center"/>
          </w:tcPr>
          <w:p>
            <w:pPr>
              <w:widowControl/>
              <w:spacing w:line="280" w:lineRule="exact"/>
              <w:jc w:val="left"/>
              <w:rPr>
                <w:rFonts w:ascii="宋体" w:hAnsi="宋体" w:cs="宋体"/>
                <w:color w:val="000000"/>
                <w:spacing w:val="-8"/>
                <w:kern w:val="0"/>
                <w:sz w:val="18"/>
                <w:szCs w:val="18"/>
              </w:rPr>
            </w:pPr>
            <w:r>
              <w:rPr>
                <w:rFonts w:hint="eastAsia" w:ascii="宋体" w:hAnsi="宋体" w:cs="宋体"/>
                <w:color w:val="000000"/>
                <w:spacing w:val="-8"/>
                <w:kern w:val="0"/>
                <w:sz w:val="18"/>
                <w:szCs w:val="18"/>
              </w:rPr>
              <w:t>停水、恢复供水按1次计算（水费另计）</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30</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配合消火栓放水费用</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次</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2000.00 </w:t>
            </w:r>
          </w:p>
        </w:tc>
        <w:tc>
          <w:tcPr>
            <w:tcW w:w="3157" w:type="dxa"/>
            <w:tcBorders>
              <w:top w:val="nil"/>
              <w:left w:val="nil"/>
              <w:bottom w:val="single" w:color="auto" w:sz="4" w:space="0"/>
              <w:right w:val="single" w:color="auto" w:sz="4" w:space="0"/>
            </w:tcBorders>
            <w:shd w:val="clear" w:color="auto" w:fill="auto"/>
            <w:noWrap/>
            <w:vAlign w:val="center"/>
          </w:tcPr>
          <w:p>
            <w:pPr>
              <w:widowControl/>
              <w:spacing w:line="280" w:lineRule="exact"/>
              <w:jc w:val="left"/>
              <w:rPr>
                <w:rFonts w:ascii="宋体" w:hAnsi="宋体" w:cs="宋体"/>
                <w:color w:val="000000"/>
                <w:spacing w:val="-8"/>
                <w:kern w:val="0"/>
                <w:sz w:val="18"/>
                <w:szCs w:val="18"/>
              </w:rPr>
            </w:pPr>
            <w:r>
              <w:rPr>
                <w:rFonts w:hint="eastAsia" w:ascii="宋体" w:hAnsi="宋体" w:cs="宋体"/>
                <w:color w:val="000000"/>
                <w:spacing w:val="-8"/>
                <w:kern w:val="0"/>
                <w:sz w:val="18"/>
                <w:szCs w:val="18"/>
              </w:rPr>
              <w:t>停水、恢复供水按1次计算（水费另计）</w:t>
            </w:r>
          </w:p>
        </w:tc>
      </w:tr>
      <w:tr>
        <w:tblPrEx>
          <w:tblCellMar>
            <w:top w:w="0" w:type="dxa"/>
            <w:left w:w="108" w:type="dxa"/>
            <w:bottom w:w="0" w:type="dxa"/>
            <w:right w:w="108" w:type="dxa"/>
          </w:tblCellMar>
        </w:tblPrEx>
        <w:trPr>
          <w:trHeight w:val="624" w:hRule="atLeast"/>
        </w:trPr>
        <w:tc>
          <w:tcPr>
            <w:tcW w:w="922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灭火器及防毒面具</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4KG干粉灭火器</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75.00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防毒面具</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个</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42.00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624" w:hRule="atLeast"/>
        </w:trPr>
        <w:tc>
          <w:tcPr>
            <w:tcW w:w="922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应急灯及疏散指示灯</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应急灯</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盏</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78.00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疏散指示灯</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盏</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78.00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624" w:hRule="atLeast"/>
        </w:trPr>
        <w:tc>
          <w:tcPr>
            <w:tcW w:w="9228" w:type="dxa"/>
            <w:gridSpan w:val="5"/>
            <w:tcBorders>
              <w:top w:val="nil"/>
              <w:left w:val="nil"/>
              <w:bottom w:val="nil"/>
              <w:right w:val="nil"/>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常用材料价格表</w:t>
            </w:r>
          </w:p>
        </w:tc>
      </w:tr>
      <w:tr>
        <w:tblPrEx>
          <w:tblCellMar>
            <w:top w:w="0" w:type="dxa"/>
            <w:left w:w="108" w:type="dxa"/>
            <w:bottom w:w="0" w:type="dxa"/>
            <w:right w:w="108" w:type="dxa"/>
          </w:tblCellMar>
        </w:tblPrEx>
        <w:trPr>
          <w:trHeight w:val="624" w:hRule="atLeast"/>
        </w:trPr>
        <w:tc>
          <w:tcPr>
            <w:tcW w:w="922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火灾自动报警系统</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序号</w:t>
            </w:r>
          </w:p>
        </w:tc>
        <w:tc>
          <w:tcPr>
            <w:tcW w:w="396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项目名称</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单位</w:t>
            </w:r>
          </w:p>
        </w:tc>
        <w:tc>
          <w:tcPr>
            <w:tcW w:w="98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16"/>
                <w:szCs w:val="16"/>
              </w:rPr>
            </w:pPr>
            <w:r>
              <w:rPr>
                <w:rFonts w:hint="eastAsia" w:ascii="宋体" w:hAnsi="宋体" w:cs="宋体"/>
                <w:color w:val="000000"/>
                <w:kern w:val="0"/>
                <w:sz w:val="16"/>
                <w:szCs w:val="16"/>
              </w:rPr>
              <w:t>单价</w:t>
            </w:r>
          </w:p>
        </w:tc>
        <w:tc>
          <w:tcPr>
            <w:tcW w:w="31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进口火灾探测器</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进口消火栓按钮</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3</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进口手动报警按钮（带插孔电话）</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4</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进口输入模块</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5</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进口输出模块</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6</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进口输入输出模块</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7</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进口直线控制模块</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8</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国产消防广播</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100.00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9</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进口警铃</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10</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进口声光报警器（普通型）</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1260.00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进口声光报警器（编码型）</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1380.00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含编码</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12</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进口插孔电话面板</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680.00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13</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进口消防对讲电话分机</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1260.00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14</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双绞线2X1.5</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3.60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15</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多芯护套控制线3x1.5</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9.60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16</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多芯护套控制线6x1.5</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19.20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17</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双绞屏蔽护套线2X1.5</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5.40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18</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镀锌线管φ20</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bookmarkStart w:id="1" w:name="_GoBack"/>
            <w:bookmarkEnd w:id="1"/>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6.00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含配件</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19</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金属软管φ20</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米</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1.80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20</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24V中间继电器</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24.00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624" w:hRule="atLeast"/>
        </w:trPr>
        <w:tc>
          <w:tcPr>
            <w:tcW w:w="559"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21</w:t>
            </w:r>
          </w:p>
        </w:tc>
        <w:tc>
          <w:tcPr>
            <w:tcW w:w="39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进口火灾自动报警系统增容调试费</w:t>
            </w:r>
          </w:p>
        </w:tc>
        <w:tc>
          <w:tcPr>
            <w:tcW w:w="55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点</w:t>
            </w:r>
          </w:p>
        </w:tc>
        <w:tc>
          <w:tcPr>
            <w:tcW w:w="9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xml:space="preserve">500.00 </w:t>
            </w:r>
          </w:p>
        </w:tc>
        <w:tc>
          <w:tcPr>
            <w:tcW w:w="31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最低增容收费1次6000元</w:t>
            </w:r>
          </w:p>
        </w:tc>
      </w:tr>
    </w:tbl>
    <w:p>
      <w:pPr>
        <w:jc w:val="left"/>
        <w:rPr>
          <w:rFonts w:ascii="宋体" w:hAnsi="宋体"/>
          <w:sz w:val="24"/>
        </w:rPr>
      </w:pPr>
    </w:p>
    <w:p>
      <w:pPr>
        <w:widowControl/>
        <w:jc w:val="left"/>
        <w:rPr>
          <w:rFonts w:ascii="宋体" w:hAnsi="宋体"/>
          <w:sz w:val="24"/>
        </w:rPr>
      </w:pPr>
      <w:r>
        <w:rPr>
          <w:rFonts w:ascii="宋体" w:hAnsi="宋体"/>
          <w:sz w:val="24"/>
        </w:rPr>
        <w:br w:type="page"/>
      </w:r>
    </w:p>
    <w:p>
      <w:pPr>
        <w:jc w:val="left"/>
        <w:rPr>
          <w:sz w:val="24"/>
        </w:rPr>
      </w:pPr>
      <w:r>
        <w:rPr>
          <w:rFonts w:hint="eastAsia"/>
          <w:sz w:val="24"/>
        </w:rPr>
        <w:t>附件2、《月度智慧消防（报警）系统运维技术服务评分表》</w:t>
      </w:r>
    </w:p>
    <w:p>
      <w:pPr>
        <w:ind w:left="-703" w:leftChars="-335"/>
        <w:jc w:val="center"/>
        <w:rPr>
          <w:b/>
          <w:bCs/>
          <w:sz w:val="36"/>
        </w:rPr>
      </w:pPr>
      <w:r>
        <w:rPr>
          <w:rFonts w:hint="eastAsia"/>
          <w:b/>
          <w:bCs/>
          <w:sz w:val="36"/>
          <w:u w:val="single"/>
        </w:rPr>
        <w:t xml:space="preserve">        </w:t>
      </w:r>
      <w:r>
        <w:rPr>
          <w:rFonts w:hint="eastAsia"/>
          <w:b/>
          <w:bCs/>
          <w:sz w:val="36"/>
        </w:rPr>
        <w:t>年</w:t>
      </w:r>
      <w:r>
        <w:rPr>
          <w:rFonts w:hint="eastAsia"/>
          <w:b/>
          <w:bCs/>
          <w:sz w:val="36"/>
          <w:u w:val="single"/>
        </w:rPr>
        <w:t xml:space="preserve">     </w:t>
      </w:r>
      <w:r>
        <w:rPr>
          <w:rFonts w:hint="eastAsia"/>
          <w:b/>
          <w:bCs/>
          <w:sz w:val="36"/>
        </w:rPr>
        <w:t>月智慧消防（报警）系统</w:t>
      </w:r>
    </w:p>
    <w:p>
      <w:pPr>
        <w:jc w:val="center"/>
      </w:pPr>
      <w:r>
        <w:rPr>
          <w:rFonts w:hint="eastAsia"/>
          <w:b/>
          <w:bCs/>
          <w:sz w:val="36"/>
        </w:rPr>
        <w:t>运维技术服务评分表</w:t>
      </w:r>
    </w:p>
    <w:tbl>
      <w:tblPr>
        <w:tblStyle w:val="15"/>
        <w:tblW w:w="95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325"/>
        <w:gridCol w:w="4700"/>
        <w:gridCol w:w="940"/>
        <w:gridCol w:w="955"/>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Align w:val="center"/>
          </w:tcPr>
          <w:p>
            <w:pPr>
              <w:jc w:val="center"/>
            </w:pPr>
            <w:r>
              <w:rPr>
                <w:rFonts w:hint="eastAsia"/>
              </w:rPr>
              <w:t>设备</w:t>
            </w:r>
          </w:p>
        </w:tc>
        <w:tc>
          <w:tcPr>
            <w:tcW w:w="1325" w:type="dxa"/>
            <w:vAlign w:val="center"/>
          </w:tcPr>
          <w:p>
            <w:pPr>
              <w:jc w:val="center"/>
            </w:pPr>
            <w:r>
              <w:rPr>
                <w:rFonts w:hint="eastAsia"/>
              </w:rPr>
              <w:t>工作内容</w:t>
            </w:r>
          </w:p>
        </w:tc>
        <w:tc>
          <w:tcPr>
            <w:tcW w:w="4700" w:type="dxa"/>
            <w:vAlign w:val="center"/>
          </w:tcPr>
          <w:p>
            <w:pPr>
              <w:jc w:val="center"/>
            </w:pPr>
            <w:r>
              <w:rPr>
                <w:rFonts w:hint="eastAsia"/>
              </w:rPr>
              <w:t>工作要求</w:t>
            </w:r>
          </w:p>
        </w:tc>
        <w:tc>
          <w:tcPr>
            <w:tcW w:w="940" w:type="dxa"/>
          </w:tcPr>
          <w:p>
            <w:pPr>
              <w:jc w:val="center"/>
            </w:pPr>
            <w:r>
              <w:rPr>
                <w:rFonts w:hint="eastAsia"/>
              </w:rPr>
              <w:t>扣分标准</w:t>
            </w:r>
          </w:p>
        </w:tc>
        <w:tc>
          <w:tcPr>
            <w:tcW w:w="955" w:type="dxa"/>
          </w:tcPr>
          <w:p>
            <w:pPr>
              <w:jc w:val="center"/>
            </w:pPr>
            <w:r>
              <w:rPr>
                <w:rFonts w:hint="eastAsia"/>
              </w:rPr>
              <w:t>验收扣分情况</w:t>
            </w:r>
          </w:p>
        </w:tc>
        <w:tc>
          <w:tcPr>
            <w:tcW w:w="900"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restart"/>
            <w:vAlign w:val="center"/>
          </w:tcPr>
          <w:p>
            <w:r>
              <w:rPr>
                <w:rFonts w:hint="eastAsia"/>
              </w:rPr>
              <w:t>消防中心自动报警设备</w:t>
            </w:r>
          </w:p>
        </w:tc>
        <w:tc>
          <w:tcPr>
            <w:tcW w:w="1325" w:type="dxa"/>
            <w:vMerge w:val="restart"/>
            <w:vAlign w:val="center"/>
          </w:tcPr>
          <w:p>
            <w:r>
              <w:rPr>
                <w:rFonts w:hint="eastAsia"/>
              </w:rPr>
              <w:t>消防自动报警主机保养</w:t>
            </w:r>
          </w:p>
        </w:tc>
        <w:tc>
          <w:tcPr>
            <w:tcW w:w="4700" w:type="dxa"/>
            <w:vAlign w:val="center"/>
          </w:tcPr>
          <w:p>
            <w:r>
              <w:rPr>
                <w:rFonts w:hint="eastAsia"/>
              </w:rPr>
              <w:t>设备干净</w:t>
            </w:r>
          </w:p>
        </w:tc>
        <w:tc>
          <w:tcPr>
            <w:tcW w:w="940" w:type="dxa"/>
            <w:vAlign w:val="center"/>
          </w:tcPr>
          <w:p>
            <w:pPr>
              <w:jc w:val="center"/>
            </w:pPr>
            <w:r>
              <w:t>2</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各接线端子紧固</w:t>
            </w:r>
          </w:p>
        </w:tc>
        <w:tc>
          <w:tcPr>
            <w:tcW w:w="940" w:type="dxa"/>
            <w:vAlign w:val="center"/>
          </w:tcPr>
          <w:p>
            <w:pPr>
              <w:jc w:val="center"/>
            </w:pPr>
            <w:r>
              <w:t>2</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各项报警功能正常（包括烟感、温感、模块、闸阀、水流等的报警）</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各项显示控制功能正常，并能监控各种设备状态</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消防联动控制器保养</w:t>
            </w:r>
          </w:p>
        </w:tc>
        <w:tc>
          <w:tcPr>
            <w:tcW w:w="4700" w:type="dxa"/>
            <w:vAlign w:val="center"/>
          </w:tcPr>
          <w:p>
            <w:r>
              <w:rPr>
                <w:rFonts w:hint="eastAsia"/>
              </w:rPr>
              <w:t>设备干净</w:t>
            </w:r>
          </w:p>
        </w:tc>
        <w:tc>
          <w:tcPr>
            <w:tcW w:w="940" w:type="dxa"/>
            <w:vAlign w:val="center"/>
          </w:tcPr>
          <w:p>
            <w:pPr>
              <w:jc w:val="center"/>
            </w:pPr>
            <w:r>
              <w:t>2</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各接线端子紧固</w:t>
            </w:r>
          </w:p>
        </w:tc>
        <w:tc>
          <w:tcPr>
            <w:tcW w:w="940" w:type="dxa"/>
            <w:vAlign w:val="center"/>
          </w:tcPr>
          <w:p>
            <w:pPr>
              <w:jc w:val="center"/>
            </w:pPr>
            <w:r>
              <w:t>2</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能自动联动各相关设备（包括消喷泵、防排烟风机、防火卷帘、警铃、非消防电源、电梯、消防广播等的联动）</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能手动控制各相关设备</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消防广播设备保养</w:t>
            </w:r>
          </w:p>
        </w:tc>
        <w:tc>
          <w:tcPr>
            <w:tcW w:w="4700" w:type="dxa"/>
            <w:vAlign w:val="center"/>
          </w:tcPr>
          <w:p>
            <w:r>
              <w:rPr>
                <w:rFonts w:hint="eastAsia"/>
              </w:rPr>
              <w:t>设备干净</w:t>
            </w:r>
          </w:p>
        </w:tc>
        <w:tc>
          <w:tcPr>
            <w:tcW w:w="940" w:type="dxa"/>
            <w:vAlign w:val="center"/>
          </w:tcPr>
          <w:p>
            <w:pPr>
              <w:jc w:val="center"/>
            </w:pPr>
            <w:r>
              <w:t>2</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各控制及播放功能正常</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报警时广播系统自动投入</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广播麦克风功能正常</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消防电话控制主机保养</w:t>
            </w:r>
          </w:p>
        </w:tc>
        <w:tc>
          <w:tcPr>
            <w:tcW w:w="4700" w:type="dxa"/>
            <w:vAlign w:val="center"/>
          </w:tcPr>
          <w:p>
            <w:r>
              <w:rPr>
                <w:rFonts w:hint="eastAsia"/>
              </w:rPr>
              <w:t>设备干净</w:t>
            </w:r>
          </w:p>
        </w:tc>
        <w:tc>
          <w:tcPr>
            <w:tcW w:w="940" w:type="dxa"/>
            <w:vAlign w:val="center"/>
          </w:tcPr>
          <w:p>
            <w:pPr>
              <w:jc w:val="center"/>
            </w:pPr>
            <w:r>
              <w:t>2</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设备各项功能正常，话音清晰</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打印机保养</w:t>
            </w:r>
          </w:p>
        </w:tc>
        <w:tc>
          <w:tcPr>
            <w:tcW w:w="4700" w:type="dxa"/>
            <w:vAlign w:val="center"/>
          </w:tcPr>
          <w:p>
            <w:r>
              <w:rPr>
                <w:rFonts w:hint="eastAsia"/>
              </w:rPr>
              <w:t>能自动打印设备运行数据</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打印结果清晰</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中央控制电脑保养</w:t>
            </w:r>
          </w:p>
        </w:tc>
        <w:tc>
          <w:tcPr>
            <w:tcW w:w="4700" w:type="dxa"/>
            <w:vAlign w:val="center"/>
          </w:tcPr>
          <w:p>
            <w:r>
              <w:rPr>
                <w:rFonts w:hint="eastAsia"/>
              </w:rPr>
              <w:t>设备干净</w:t>
            </w:r>
          </w:p>
        </w:tc>
        <w:tc>
          <w:tcPr>
            <w:tcW w:w="940" w:type="dxa"/>
            <w:vAlign w:val="center"/>
          </w:tcPr>
          <w:p>
            <w:pPr>
              <w:jc w:val="center"/>
            </w:pPr>
            <w:r>
              <w:t>2</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各项控制及显示功能正常</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能准确反映各类设备状态及数据</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后备电源保养</w:t>
            </w:r>
          </w:p>
        </w:tc>
        <w:tc>
          <w:tcPr>
            <w:tcW w:w="4700" w:type="dxa"/>
            <w:vAlign w:val="center"/>
          </w:tcPr>
          <w:p>
            <w:r>
              <w:rPr>
                <w:rFonts w:hint="eastAsia"/>
              </w:rPr>
              <w:t>各后备电池处于正常的工作状态</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后备电池能自动充电</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后备电池在断交流电后能自动投入</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restart"/>
            <w:vAlign w:val="center"/>
          </w:tcPr>
          <w:p>
            <w:r>
              <w:rPr>
                <w:rFonts w:hint="eastAsia"/>
              </w:rPr>
              <w:t>消防气体自动灭火系</w:t>
            </w:r>
            <w:r>
              <w:t xml:space="preserve"> </w:t>
            </w:r>
            <w:r>
              <w:rPr>
                <w:rFonts w:hint="eastAsia"/>
              </w:rPr>
              <w:t>统</w:t>
            </w:r>
          </w:p>
        </w:tc>
        <w:tc>
          <w:tcPr>
            <w:tcW w:w="1325" w:type="dxa"/>
            <w:vMerge w:val="restart"/>
            <w:vAlign w:val="center"/>
          </w:tcPr>
          <w:p>
            <w:r>
              <w:rPr>
                <w:rFonts w:hint="eastAsia"/>
              </w:rPr>
              <w:t>气体报警机（控制器）保养</w:t>
            </w:r>
          </w:p>
        </w:tc>
        <w:tc>
          <w:tcPr>
            <w:tcW w:w="4700" w:type="dxa"/>
            <w:vAlign w:val="center"/>
          </w:tcPr>
          <w:p>
            <w:r>
              <w:rPr>
                <w:rFonts w:hint="eastAsia"/>
              </w:rPr>
              <w:t>设备干净</w:t>
            </w:r>
          </w:p>
        </w:tc>
        <w:tc>
          <w:tcPr>
            <w:tcW w:w="940" w:type="dxa"/>
            <w:vAlign w:val="center"/>
          </w:tcPr>
          <w:p>
            <w:pPr>
              <w:jc w:val="center"/>
            </w:pPr>
            <w:r>
              <w:t>2</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各报警、放气功能正常</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各接线端子紧固</w:t>
            </w:r>
          </w:p>
        </w:tc>
        <w:tc>
          <w:tcPr>
            <w:tcW w:w="940" w:type="dxa"/>
            <w:vAlign w:val="center"/>
          </w:tcPr>
          <w:p>
            <w:pPr>
              <w:jc w:val="center"/>
            </w:pPr>
            <w:r>
              <w:t>2</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气（钢）瓶、电动放气阀保养</w:t>
            </w:r>
          </w:p>
        </w:tc>
        <w:tc>
          <w:tcPr>
            <w:tcW w:w="4700" w:type="dxa"/>
            <w:vAlign w:val="center"/>
          </w:tcPr>
          <w:p>
            <w:r>
              <w:rPr>
                <w:rFonts w:hint="eastAsia"/>
              </w:rPr>
              <w:t>各气瓶保持正常状态</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电动放气阀保持正常状态</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restart"/>
            <w:vAlign w:val="center"/>
          </w:tcPr>
          <w:p>
            <w:r>
              <w:rPr>
                <w:rFonts w:hint="eastAsia"/>
              </w:rPr>
              <w:t>消防中心外围报警设备</w:t>
            </w:r>
          </w:p>
        </w:tc>
        <w:tc>
          <w:tcPr>
            <w:tcW w:w="1325" w:type="dxa"/>
            <w:vMerge w:val="restart"/>
            <w:vAlign w:val="center"/>
          </w:tcPr>
          <w:p>
            <w:r>
              <w:rPr>
                <w:rFonts w:hint="eastAsia"/>
              </w:rPr>
              <w:t>破玻（手报）报警器保养</w:t>
            </w:r>
          </w:p>
        </w:tc>
        <w:tc>
          <w:tcPr>
            <w:tcW w:w="4700" w:type="dxa"/>
            <w:vAlign w:val="center"/>
          </w:tcPr>
          <w:p>
            <w:r>
              <w:rPr>
                <w:rFonts w:hint="eastAsia"/>
              </w:rPr>
              <w:t>报警器无破损</w:t>
            </w:r>
          </w:p>
        </w:tc>
        <w:tc>
          <w:tcPr>
            <w:tcW w:w="940" w:type="dxa"/>
            <w:vAlign w:val="center"/>
          </w:tcPr>
          <w:p>
            <w:pPr>
              <w:jc w:val="center"/>
            </w:pPr>
            <w:r>
              <w:t>2</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能自动报警</w:t>
            </w:r>
          </w:p>
        </w:tc>
        <w:tc>
          <w:tcPr>
            <w:tcW w:w="940" w:type="dxa"/>
            <w:vAlign w:val="center"/>
          </w:tcPr>
          <w:p>
            <w:pPr>
              <w:jc w:val="center"/>
            </w:pPr>
            <w:r>
              <w:t>4</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温感、烟感保养</w:t>
            </w:r>
          </w:p>
        </w:tc>
        <w:tc>
          <w:tcPr>
            <w:tcW w:w="4700" w:type="dxa"/>
            <w:vAlign w:val="center"/>
          </w:tcPr>
          <w:p>
            <w:r>
              <w:rPr>
                <w:rFonts w:hint="eastAsia"/>
              </w:rPr>
              <w:t>各探头处于正常工作状态</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能及时反映报警状态及故障的状态</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输入（出）控制及显示模块保养</w:t>
            </w:r>
          </w:p>
        </w:tc>
        <w:tc>
          <w:tcPr>
            <w:tcW w:w="4700" w:type="dxa"/>
            <w:vAlign w:val="center"/>
          </w:tcPr>
          <w:p>
            <w:r>
              <w:rPr>
                <w:rFonts w:hint="eastAsia"/>
              </w:rPr>
              <w:t>模块接线端子紧固，器件无破损</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工作状态正常，能及时送出及反馈信号</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消防警铃（声光显示器）保养</w:t>
            </w:r>
          </w:p>
        </w:tc>
        <w:tc>
          <w:tcPr>
            <w:tcW w:w="4700" w:type="dxa"/>
            <w:vAlign w:val="center"/>
          </w:tcPr>
          <w:p>
            <w:r>
              <w:rPr>
                <w:rFonts w:hint="eastAsia"/>
              </w:rPr>
              <w:t>器件无破损，接线紧固</w:t>
            </w:r>
          </w:p>
        </w:tc>
        <w:tc>
          <w:tcPr>
            <w:tcW w:w="940" w:type="dxa"/>
            <w:vAlign w:val="center"/>
          </w:tcPr>
          <w:p>
            <w:pPr>
              <w:jc w:val="center"/>
            </w:pPr>
            <w:r>
              <w:t>2</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能及时发出报警声光信号</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水流指示/闸阀保养</w:t>
            </w:r>
          </w:p>
        </w:tc>
        <w:tc>
          <w:tcPr>
            <w:tcW w:w="4700" w:type="dxa"/>
            <w:vAlign w:val="center"/>
          </w:tcPr>
          <w:p>
            <w:r>
              <w:rPr>
                <w:rFonts w:hint="eastAsia"/>
              </w:rPr>
              <w:t>器件无破损，接线紧固</w:t>
            </w:r>
          </w:p>
        </w:tc>
        <w:tc>
          <w:tcPr>
            <w:tcW w:w="940" w:type="dxa"/>
            <w:vAlign w:val="center"/>
          </w:tcPr>
          <w:p>
            <w:pPr>
              <w:jc w:val="center"/>
            </w:pPr>
            <w:r>
              <w:t>2</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能及时反映管网水流状态及发出报警信号</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消防广播喇叭</w:t>
            </w:r>
          </w:p>
        </w:tc>
        <w:tc>
          <w:tcPr>
            <w:tcW w:w="4700" w:type="dxa"/>
            <w:vAlign w:val="center"/>
          </w:tcPr>
          <w:p>
            <w:r>
              <w:rPr>
                <w:rFonts w:hint="eastAsia"/>
              </w:rPr>
              <w:t>器件无破损，接线紧固</w:t>
            </w:r>
          </w:p>
        </w:tc>
        <w:tc>
          <w:tcPr>
            <w:tcW w:w="940" w:type="dxa"/>
            <w:vAlign w:val="center"/>
          </w:tcPr>
          <w:p>
            <w:pPr>
              <w:jc w:val="center"/>
            </w:pPr>
            <w:r>
              <w:t>2</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能正常播放消防广播消息</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防排烟、加压风机、排烟阀</w:t>
            </w:r>
          </w:p>
        </w:tc>
        <w:tc>
          <w:tcPr>
            <w:tcW w:w="4700" w:type="dxa"/>
            <w:vAlign w:val="center"/>
          </w:tcPr>
          <w:p>
            <w:r>
              <w:rPr>
                <w:rFonts w:hint="eastAsia"/>
              </w:rPr>
              <w:t>设备能接受联动信号并正常运行</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自动、手动运行状态正常</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restart"/>
            <w:vAlign w:val="center"/>
          </w:tcPr>
          <w:p>
            <w:r>
              <w:rPr>
                <w:rFonts w:hint="eastAsia"/>
              </w:rPr>
              <w:t>防火卷帘</w:t>
            </w:r>
          </w:p>
        </w:tc>
        <w:tc>
          <w:tcPr>
            <w:tcW w:w="4700" w:type="dxa"/>
            <w:vAlign w:val="center"/>
          </w:tcPr>
          <w:p>
            <w:r>
              <w:rPr>
                <w:rFonts w:hint="eastAsia"/>
              </w:rPr>
              <w:t>设备手动工作状态正常</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1325" w:type="dxa"/>
            <w:vMerge w:val="continue"/>
            <w:vAlign w:val="center"/>
          </w:tcPr>
          <w:p/>
        </w:tc>
        <w:tc>
          <w:tcPr>
            <w:tcW w:w="4700" w:type="dxa"/>
            <w:vAlign w:val="center"/>
          </w:tcPr>
          <w:p>
            <w:r>
              <w:rPr>
                <w:rFonts w:hint="eastAsia"/>
              </w:rPr>
              <w:t>报警时能接受联动信号正常运行</w:t>
            </w:r>
          </w:p>
        </w:tc>
        <w:tc>
          <w:tcPr>
            <w:tcW w:w="940" w:type="dxa"/>
            <w:vAlign w:val="center"/>
          </w:tcPr>
          <w:p>
            <w:pPr>
              <w:jc w:val="center"/>
            </w:pPr>
            <w:r>
              <w:t>5</w:t>
            </w:r>
          </w:p>
        </w:tc>
        <w:tc>
          <w:tcPr>
            <w:tcW w:w="955" w:type="dxa"/>
          </w:tc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restart"/>
            <w:vAlign w:val="center"/>
          </w:tcPr>
          <w:p>
            <w:pPr>
              <w:jc w:val="center"/>
            </w:pPr>
            <w:r>
              <w:rPr>
                <w:rFonts w:hint="eastAsia"/>
              </w:rPr>
              <w:t>消喷稳压水泵及管网设  备</w:t>
            </w:r>
          </w:p>
        </w:tc>
        <w:tc>
          <w:tcPr>
            <w:tcW w:w="1325" w:type="dxa"/>
            <w:vMerge w:val="restart"/>
            <w:vAlign w:val="center"/>
          </w:tcPr>
          <w:p>
            <w:pPr>
              <w:jc w:val="center"/>
            </w:pPr>
            <w:r>
              <w:rPr>
                <w:rFonts w:hint="eastAsia"/>
              </w:rPr>
              <w:t>水泵保养</w:t>
            </w:r>
          </w:p>
        </w:tc>
        <w:tc>
          <w:tcPr>
            <w:tcW w:w="4700" w:type="dxa"/>
            <w:vAlign w:val="center"/>
          </w:tcPr>
          <w:p>
            <w:pPr>
              <w:jc w:val="center"/>
            </w:pPr>
            <w:r>
              <w:rPr>
                <w:rFonts w:hint="eastAsia"/>
              </w:rPr>
              <w:t>能进行正常的手动控制并正常运行</w:t>
            </w:r>
          </w:p>
        </w:tc>
        <w:tc>
          <w:tcPr>
            <w:tcW w:w="940" w:type="dxa"/>
            <w:vAlign w:val="center"/>
          </w:tcPr>
          <w:p>
            <w:pPr>
              <w:jc w:val="center"/>
            </w:pPr>
            <w:r>
              <w:t>5</w:t>
            </w:r>
          </w:p>
        </w:tc>
        <w:tc>
          <w:tcPr>
            <w:tcW w:w="955" w:type="dxa"/>
            <w:vAlign w:val="center"/>
          </w:tcPr>
          <w:p>
            <w:pPr>
              <w:jc w:val="center"/>
            </w:pPr>
          </w:p>
        </w:tc>
        <w:tc>
          <w:tcPr>
            <w:tcW w:w="900"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pPr>
              <w:jc w:val="center"/>
            </w:pPr>
          </w:p>
        </w:tc>
        <w:tc>
          <w:tcPr>
            <w:tcW w:w="1325" w:type="dxa"/>
            <w:vMerge w:val="continue"/>
            <w:vAlign w:val="center"/>
          </w:tcPr>
          <w:p>
            <w:pPr>
              <w:jc w:val="center"/>
            </w:pPr>
          </w:p>
        </w:tc>
        <w:tc>
          <w:tcPr>
            <w:tcW w:w="4700" w:type="dxa"/>
            <w:vAlign w:val="center"/>
          </w:tcPr>
          <w:p>
            <w:pPr>
              <w:jc w:val="center"/>
            </w:pPr>
            <w:r>
              <w:rPr>
                <w:rFonts w:hint="eastAsia"/>
              </w:rPr>
              <w:t>能接受联动信号自动运行</w:t>
            </w:r>
          </w:p>
        </w:tc>
        <w:tc>
          <w:tcPr>
            <w:tcW w:w="940" w:type="dxa"/>
            <w:vAlign w:val="center"/>
          </w:tcPr>
          <w:p>
            <w:pPr>
              <w:jc w:val="center"/>
            </w:pPr>
            <w:r>
              <w:t>5</w:t>
            </w:r>
          </w:p>
        </w:tc>
        <w:tc>
          <w:tcPr>
            <w:tcW w:w="955" w:type="dxa"/>
            <w:vAlign w:val="center"/>
          </w:tcPr>
          <w:p>
            <w:pPr>
              <w:jc w:val="center"/>
            </w:pPr>
          </w:p>
        </w:tc>
        <w:tc>
          <w:tcPr>
            <w:tcW w:w="900"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pPr>
              <w:jc w:val="center"/>
            </w:pPr>
          </w:p>
        </w:tc>
        <w:tc>
          <w:tcPr>
            <w:tcW w:w="1325" w:type="dxa"/>
            <w:vMerge w:val="continue"/>
            <w:vAlign w:val="center"/>
          </w:tcPr>
          <w:p>
            <w:pPr>
              <w:jc w:val="center"/>
            </w:pPr>
          </w:p>
        </w:tc>
        <w:tc>
          <w:tcPr>
            <w:tcW w:w="4700" w:type="dxa"/>
            <w:vAlign w:val="center"/>
          </w:tcPr>
          <w:p>
            <w:pPr>
              <w:jc w:val="center"/>
            </w:pPr>
            <w:r>
              <w:rPr>
                <w:rFonts w:hint="eastAsia"/>
              </w:rPr>
              <w:t>设备运行无异常声响，无漏水现象</w:t>
            </w:r>
          </w:p>
        </w:tc>
        <w:tc>
          <w:tcPr>
            <w:tcW w:w="940" w:type="dxa"/>
            <w:vAlign w:val="center"/>
          </w:tcPr>
          <w:p>
            <w:pPr>
              <w:jc w:val="center"/>
            </w:pPr>
            <w:r>
              <w:t>5</w:t>
            </w:r>
          </w:p>
        </w:tc>
        <w:tc>
          <w:tcPr>
            <w:tcW w:w="955" w:type="dxa"/>
            <w:vAlign w:val="center"/>
          </w:tcPr>
          <w:p>
            <w:pPr>
              <w:jc w:val="center"/>
            </w:pPr>
          </w:p>
        </w:tc>
        <w:tc>
          <w:tcPr>
            <w:tcW w:w="900"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pPr>
              <w:jc w:val="center"/>
            </w:pPr>
          </w:p>
        </w:tc>
        <w:tc>
          <w:tcPr>
            <w:tcW w:w="1325" w:type="dxa"/>
            <w:vMerge w:val="restart"/>
            <w:vAlign w:val="center"/>
          </w:tcPr>
          <w:p>
            <w:pPr>
              <w:jc w:val="center"/>
            </w:pPr>
            <w:r>
              <w:rPr>
                <w:rFonts w:hint="eastAsia"/>
              </w:rPr>
              <w:t>管网及各阀门保养</w:t>
            </w:r>
          </w:p>
        </w:tc>
        <w:tc>
          <w:tcPr>
            <w:tcW w:w="4700" w:type="dxa"/>
            <w:vAlign w:val="center"/>
          </w:tcPr>
          <w:p>
            <w:pPr>
              <w:jc w:val="center"/>
            </w:pPr>
            <w:r>
              <w:rPr>
                <w:rFonts w:hint="eastAsia"/>
              </w:rPr>
              <w:t>管网无冒、漏、跑水现象</w:t>
            </w:r>
          </w:p>
        </w:tc>
        <w:tc>
          <w:tcPr>
            <w:tcW w:w="940" w:type="dxa"/>
            <w:vAlign w:val="center"/>
          </w:tcPr>
          <w:p>
            <w:pPr>
              <w:jc w:val="center"/>
            </w:pPr>
            <w:r>
              <w:t>5</w:t>
            </w:r>
          </w:p>
        </w:tc>
        <w:tc>
          <w:tcPr>
            <w:tcW w:w="955" w:type="dxa"/>
            <w:vAlign w:val="center"/>
          </w:tcPr>
          <w:p>
            <w:pPr>
              <w:jc w:val="center"/>
            </w:pPr>
          </w:p>
        </w:tc>
        <w:tc>
          <w:tcPr>
            <w:tcW w:w="900"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pPr>
              <w:jc w:val="center"/>
            </w:pPr>
          </w:p>
        </w:tc>
        <w:tc>
          <w:tcPr>
            <w:tcW w:w="1325" w:type="dxa"/>
            <w:vMerge w:val="continue"/>
            <w:vAlign w:val="center"/>
          </w:tcPr>
          <w:p>
            <w:pPr>
              <w:jc w:val="center"/>
            </w:pPr>
          </w:p>
        </w:tc>
        <w:tc>
          <w:tcPr>
            <w:tcW w:w="4700" w:type="dxa"/>
            <w:vAlign w:val="center"/>
          </w:tcPr>
          <w:p>
            <w:pPr>
              <w:jc w:val="center"/>
            </w:pPr>
            <w:r>
              <w:rPr>
                <w:rFonts w:hint="eastAsia"/>
              </w:rPr>
              <w:t>湿式报警阀工作正常，无漏水现象</w:t>
            </w:r>
          </w:p>
        </w:tc>
        <w:tc>
          <w:tcPr>
            <w:tcW w:w="940" w:type="dxa"/>
            <w:vAlign w:val="center"/>
          </w:tcPr>
          <w:p>
            <w:pPr>
              <w:jc w:val="center"/>
            </w:pPr>
            <w:r>
              <w:t>5</w:t>
            </w:r>
          </w:p>
        </w:tc>
        <w:tc>
          <w:tcPr>
            <w:tcW w:w="955" w:type="dxa"/>
            <w:vAlign w:val="center"/>
          </w:tcPr>
          <w:p>
            <w:pPr>
              <w:jc w:val="center"/>
            </w:pPr>
          </w:p>
        </w:tc>
        <w:tc>
          <w:tcPr>
            <w:tcW w:w="900"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pPr>
              <w:jc w:val="center"/>
            </w:pPr>
          </w:p>
        </w:tc>
        <w:tc>
          <w:tcPr>
            <w:tcW w:w="1325" w:type="dxa"/>
            <w:vMerge w:val="continue"/>
            <w:vAlign w:val="center"/>
          </w:tcPr>
          <w:p>
            <w:pPr>
              <w:jc w:val="center"/>
            </w:pPr>
          </w:p>
        </w:tc>
        <w:tc>
          <w:tcPr>
            <w:tcW w:w="4700" w:type="dxa"/>
            <w:vAlign w:val="center"/>
          </w:tcPr>
          <w:p>
            <w:pPr>
              <w:jc w:val="center"/>
            </w:pPr>
            <w:r>
              <w:rPr>
                <w:rFonts w:hint="eastAsia"/>
              </w:rPr>
              <w:t>各种阀门工作正常，无漏水现象</w:t>
            </w:r>
          </w:p>
        </w:tc>
        <w:tc>
          <w:tcPr>
            <w:tcW w:w="940" w:type="dxa"/>
            <w:vAlign w:val="center"/>
          </w:tcPr>
          <w:p>
            <w:pPr>
              <w:jc w:val="center"/>
            </w:pPr>
            <w:r>
              <w:t>5</w:t>
            </w:r>
          </w:p>
        </w:tc>
        <w:tc>
          <w:tcPr>
            <w:tcW w:w="955" w:type="dxa"/>
            <w:vAlign w:val="center"/>
          </w:tcPr>
          <w:p>
            <w:pPr>
              <w:jc w:val="center"/>
            </w:pPr>
          </w:p>
        </w:tc>
        <w:tc>
          <w:tcPr>
            <w:tcW w:w="900"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restart"/>
            <w:vAlign w:val="center"/>
          </w:tcPr>
          <w:p>
            <w:pPr>
              <w:jc w:val="center"/>
            </w:pPr>
            <w:r>
              <w:rPr>
                <w:rFonts w:hint="eastAsia"/>
                <w:lang w:eastAsia="zh-CN"/>
              </w:rPr>
              <w:t>需求</w:t>
            </w:r>
            <w:r>
              <w:rPr>
                <w:rFonts w:hint="eastAsia"/>
              </w:rPr>
              <w:t>执行情况</w:t>
            </w:r>
          </w:p>
        </w:tc>
        <w:tc>
          <w:tcPr>
            <w:tcW w:w="6025" w:type="dxa"/>
            <w:gridSpan w:val="2"/>
            <w:vAlign w:val="center"/>
          </w:tcPr>
          <w:p>
            <w:r>
              <w:rPr>
                <w:rFonts w:hint="eastAsia"/>
              </w:rPr>
              <w:t>未按</w:t>
            </w:r>
            <w:r>
              <w:rPr>
                <w:rFonts w:hint="eastAsia"/>
                <w:lang w:eastAsia="zh-CN"/>
              </w:rPr>
              <w:t>需求</w:t>
            </w:r>
            <w:r>
              <w:rPr>
                <w:rFonts w:hint="eastAsia"/>
              </w:rPr>
              <w:t>执行保养导致系统不能正常使用（故障超过</w:t>
            </w:r>
            <w:r>
              <w:t>3</w:t>
            </w:r>
            <w:r>
              <w:rPr>
                <w:rFonts w:hint="eastAsia"/>
              </w:rPr>
              <w:t>天以上）</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6025" w:type="dxa"/>
            <w:gridSpan w:val="2"/>
            <w:vAlign w:val="center"/>
          </w:tcPr>
          <w:p>
            <w:r>
              <w:rPr>
                <w:rFonts w:hint="eastAsia"/>
              </w:rPr>
              <w:t>保养质量不合格或达不到保养标准</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6025" w:type="dxa"/>
            <w:gridSpan w:val="2"/>
            <w:vAlign w:val="center"/>
          </w:tcPr>
          <w:p>
            <w:r>
              <w:rPr>
                <w:rFonts w:hint="eastAsia"/>
              </w:rPr>
              <w:t>乙方接保养通知</w:t>
            </w:r>
            <w:r>
              <w:t>3</w:t>
            </w:r>
            <w:r>
              <w:rPr>
                <w:rFonts w:hint="eastAsia"/>
              </w:rPr>
              <w:t>天内未到场或逾期</w:t>
            </w:r>
            <w:r>
              <w:t>3</w:t>
            </w:r>
            <w:r>
              <w:rPr>
                <w:rFonts w:hint="eastAsia"/>
              </w:rPr>
              <w:t>天未能排除故障</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6025" w:type="dxa"/>
            <w:gridSpan w:val="2"/>
            <w:vAlign w:val="center"/>
          </w:tcPr>
          <w:p>
            <w:r>
              <w:rPr>
                <w:rFonts w:hint="eastAsia"/>
              </w:rPr>
              <w:t>不听从管理中心工作安排（工作范围内）</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Merge w:val="continue"/>
            <w:vAlign w:val="center"/>
          </w:tcPr>
          <w:p/>
        </w:tc>
        <w:tc>
          <w:tcPr>
            <w:tcW w:w="6025" w:type="dxa"/>
            <w:gridSpan w:val="2"/>
            <w:vAlign w:val="center"/>
          </w:tcPr>
          <w:p>
            <w:r>
              <w:rPr>
                <w:rFonts w:hint="eastAsia"/>
              </w:rPr>
              <w:t>私自为住户提供特别服务（工作时间内）</w:t>
            </w:r>
          </w:p>
        </w:tc>
        <w:tc>
          <w:tcPr>
            <w:tcW w:w="940" w:type="dxa"/>
            <w:vAlign w:val="center"/>
          </w:tcPr>
          <w:p>
            <w:pPr>
              <w:jc w:val="center"/>
            </w:pPr>
            <w:r>
              <w:t>5</w:t>
            </w:r>
          </w:p>
        </w:tc>
        <w:tc>
          <w:tcPr>
            <w:tcW w:w="955" w:type="dxa"/>
            <w:vAlign w:val="center"/>
          </w:tcPr>
          <w:p>
            <w:pPr>
              <w:jc w:val="center"/>
            </w:pPr>
          </w:p>
        </w:tc>
        <w:tc>
          <w:tcPr>
            <w:tcW w:w="90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20" w:type="dxa"/>
            <w:vAlign w:val="center"/>
          </w:tcPr>
          <w:p>
            <w:pPr>
              <w:jc w:val="center"/>
            </w:pPr>
            <w:r>
              <w:rPr>
                <w:rFonts w:hint="eastAsia"/>
              </w:rPr>
              <w:t>分数 总计</w:t>
            </w:r>
          </w:p>
        </w:tc>
        <w:tc>
          <w:tcPr>
            <w:tcW w:w="6025" w:type="dxa"/>
            <w:gridSpan w:val="2"/>
            <w:vAlign w:val="center"/>
          </w:tcPr>
          <w:p/>
        </w:tc>
        <w:tc>
          <w:tcPr>
            <w:tcW w:w="940" w:type="dxa"/>
            <w:vAlign w:val="center"/>
          </w:tcPr>
          <w:p>
            <w:pPr>
              <w:jc w:val="center"/>
            </w:pPr>
          </w:p>
        </w:tc>
        <w:tc>
          <w:tcPr>
            <w:tcW w:w="955" w:type="dxa"/>
            <w:vAlign w:val="center"/>
          </w:tcPr>
          <w:p>
            <w:pPr>
              <w:jc w:val="center"/>
            </w:pPr>
          </w:p>
        </w:tc>
        <w:tc>
          <w:tcPr>
            <w:tcW w:w="900" w:type="dxa"/>
          </w:tcPr>
          <w:p/>
        </w:tc>
      </w:tr>
    </w:tbl>
    <w:p/>
    <w:p>
      <w:pPr>
        <w:rPr>
          <w:rFonts w:hint="default" w:eastAsia="宋体"/>
          <w:u w:val="single"/>
          <w:lang w:val="en-US" w:eastAsia="zh-CN"/>
        </w:rPr>
      </w:pPr>
      <w:r>
        <w:rPr>
          <w:rFonts w:hint="eastAsia"/>
        </w:rPr>
        <w:t>保养公司签名：</w:t>
      </w:r>
      <w:r>
        <w:rPr>
          <w:rFonts w:hint="eastAsia"/>
          <w:u w:val="single"/>
        </w:rPr>
        <w:t xml:space="preserve">                     </w:t>
      </w:r>
      <w:r>
        <w:rPr>
          <w:rFonts w:hint="eastAsia"/>
          <w:u w:val="single"/>
          <w:lang w:val="en-US" w:eastAsia="zh-CN"/>
        </w:rPr>
        <w:t xml:space="preserve">      </w:t>
      </w:r>
      <w:r>
        <w:rPr>
          <w:rFonts w:hint="eastAsia"/>
        </w:rPr>
        <w:t>管理处验收人签名：</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u w:val="single"/>
          <w:lang w:val="en-US" w:eastAsia="zh-CN"/>
        </w:rPr>
        <w:t xml:space="preserve">      </w:t>
      </w:r>
    </w:p>
    <w:p>
      <w:pPr>
        <w:ind w:firstLine="4200" w:firstLineChars="2000"/>
        <w:rPr>
          <w:u w:val="single"/>
        </w:rPr>
      </w:pPr>
    </w:p>
    <w:p>
      <w:pPr>
        <w:ind w:firstLine="5250" w:firstLineChars="2500"/>
        <w:rPr>
          <w:u w:val="single"/>
        </w:rPr>
      </w:pPr>
      <w:r>
        <w:rPr>
          <w:rFonts w:hint="eastAsia"/>
        </w:rPr>
        <w:t>日期：</w:t>
      </w:r>
      <w:r>
        <w:rPr>
          <w:rFonts w:hint="eastAsia"/>
          <w:u w:val="single"/>
        </w:rPr>
        <w:t xml:space="preserve">                                 </w:t>
      </w:r>
    </w:p>
    <w:p>
      <w:pPr>
        <w:widowControl/>
        <w:jc w:val="left"/>
        <w:rPr>
          <w:rFonts w:hint="eastAsia" w:ascii="宋体" w:hAnsi="宋体"/>
          <w:sz w:val="24"/>
        </w:rPr>
      </w:pPr>
    </w:p>
    <w:sectPr>
      <w:type w:val="continuous"/>
      <w:pgSz w:w="11906" w:h="16838"/>
      <w:pgMar w:top="779" w:right="991" w:bottom="1440" w:left="851" w:header="851" w:footer="992" w:gutter="142"/>
      <w:cols w:space="720" w:num="1"/>
      <w:titlePg/>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002" w:date="2024-11-01T15:10:19Z" w:initials="Z">
    <w:p w14:paraId="7FDBEBC9">
      <w:pPr>
        <w:pStyle w:val="2"/>
        <w:keepNext w:val="0"/>
        <w:keepLines w:val="0"/>
        <w:pageBreakBefore w:val="0"/>
        <w:widowControl w:val="0"/>
        <w:kinsoku/>
        <w:wordWrap/>
        <w:overflowPunct/>
        <w:topLinePunct w:val="0"/>
        <w:bidi w:val="0"/>
        <w:adjustRightInd/>
        <w:snapToGrid/>
        <w:ind w:firstLine="420" w:firstLineChars="200"/>
        <w:textAlignment w:val="auto"/>
        <w:rPr>
          <w:rFonts w:hint="eastAsia"/>
          <w:lang w:eastAsia="zh-CN"/>
        </w:rPr>
      </w:pPr>
      <w:r>
        <w:rPr>
          <w:rFonts w:hint="eastAsia"/>
          <w:lang w:eastAsia="zh-CN"/>
        </w:rPr>
        <w:t>《</w:t>
      </w:r>
      <w:r>
        <w:rPr>
          <w:rFonts w:hint="eastAsia"/>
          <w:lang w:val="en-US" w:eastAsia="zh-CN"/>
        </w:rPr>
        <w:t>中华人民共和国民法典</w:t>
      </w:r>
      <w:r>
        <w:rPr>
          <w:rFonts w:hint="eastAsia"/>
          <w:lang w:eastAsia="zh-CN"/>
        </w:rPr>
        <w:t>》第五百八十四条</w:t>
      </w:r>
      <w:r>
        <w:rPr>
          <w:rFonts w:hint="eastAsia"/>
          <w:lang w:val="en-US" w:eastAsia="zh-CN"/>
        </w:rPr>
        <w:t>规定：“</w:t>
      </w:r>
      <w:r>
        <w:rPr>
          <w:rFonts w:hint="eastAsia"/>
          <w:lang w:eastAsia="zh-CN"/>
        </w:rPr>
        <w:t>当事人一方不履行需求义务或者履行需求义务不符合约定，造成对方损失的，损失赔偿额应当相当于因违约所造成的损失，包括需求履行后可以获得的利益；但是，不得超过违约一方订立需求时预见到或者应当预见到的因违约可能造成的损失。”</w:t>
      </w:r>
    </w:p>
    <w:p w14:paraId="39CD2970">
      <w:pPr>
        <w:pStyle w:val="2"/>
        <w:keepNext w:val="0"/>
        <w:keepLines w:val="0"/>
        <w:pageBreakBefore w:val="0"/>
        <w:widowControl w:val="0"/>
        <w:kinsoku/>
        <w:wordWrap/>
        <w:overflowPunct/>
        <w:topLinePunct w:val="0"/>
        <w:bidi w:val="0"/>
        <w:adjustRightInd/>
        <w:snapToGrid/>
        <w:ind w:firstLine="420" w:firstLineChars="200"/>
        <w:textAlignment w:val="auto"/>
        <w:rPr>
          <w:rFonts w:hint="eastAsia"/>
          <w:lang w:val="en-US" w:eastAsia="zh-CN"/>
        </w:rPr>
      </w:pPr>
    </w:p>
    <w:p w14:paraId="D2BC0072">
      <w:pPr>
        <w:pStyle w:val="2"/>
        <w:keepNext w:val="0"/>
        <w:keepLines w:val="0"/>
        <w:pageBreakBefore w:val="0"/>
        <w:widowControl w:val="0"/>
        <w:kinsoku/>
        <w:wordWrap/>
        <w:overflowPunct/>
        <w:topLinePunct w:val="0"/>
        <w:bidi w:val="0"/>
        <w:adjustRightInd/>
        <w:snapToGrid/>
        <w:ind w:firstLine="420" w:firstLineChars="200"/>
        <w:textAlignment w:val="auto"/>
        <w:rPr>
          <w:rFonts w:hint="eastAsia"/>
          <w:lang w:val="en-US" w:eastAsia="zh-CN"/>
        </w:rPr>
      </w:pPr>
      <w:r>
        <w:rPr>
          <w:rFonts w:hint="eastAsia"/>
          <w:lang w:val="en-US" w:eastAsia="zh-CN"/>
        </w:rPr>
        <w:t>《最高人民法院关于适用&lt;中华人民共和国民法典&gt;需求编通则若干问题的解释》第六十五条第二款规定：“</w:t>
      </w:r>
      <w:r>
        <w:rPr>
          <w:rFonts w:ascii="微软雅黑" w:hAnsi="微软雅黑" w:eastAsia="微软雅黑" w:cs="微软雅黑"/>
          <w:i w:val="0"/>
          <w:iCs w:val="0"/>
          <w:caps w:val="0"/>
          <w:color w:val="E5202E"/>
          <w:spacing w:val="0"/>
          <w:sz w:val="19"/>
          <w:szCs w:val="19"/>
          <w:shd w:val="clear" w:fill="FFFFFF"/>
        </w:rPr>
        <w:t>约定的违约金超过造成损失的百分之三十的，人民法院一般可以认定为过分高于造成的损失</w:t>
      </w:r>
      <w:r>
        <w:rPr>
          <w:rFonts w:hint="eastAsia" w:ascii="微软雅黑" w:hAnsi="微软雅黑" w:eastAsia="微软雅黑" w:cs="微软雅黑"/>
          <w:i w:val="0"/>
          <w:iCs w:val="0"/>
          <w:caps w:val="0"/>
          <w:color w:val="232323"/>
          <w:spacing w:val="0"/>
          <w:sz w:val="19"/>
          <w:szCs w:val="19"/>
          <w:shd w:val="clear" w:fill="FFFFFF"/>
        </w:rPr>
        <w:t>。</w:t>
      </w:r>
      <w:r>
        <w:rPr>
          <w:rFonts w:hint="eastAsia"/>
          <w:lang w:val="en-US" w:eastAsia="zh-CN"/>
        </w:rPr>
        <w:t>”</w:t>
      </w:r>
    </w:p>
    <w:p w14:paraId="5F9F5C7E">
      <w:pPr>
        <w:pStyle w:val="2"/>
        <w:keepNext w:val="0"/>
        <w:keepLines w:val="0"/>
        <w:pageBreakBefore w:val="0"/>
        <w:widowControl w:val="0"/>
        <w:kinsoku/>
        <w:wordWrap/>
        <w:overflowPunct/>
        <w:topLinePunct w:val="0"/>
        <w:bidi w:val="0"/>
        <w:adjustRightInd/>
        <w:snapToGrid/>
        <w:ind w:firstLine="420" w:firstLineChars="200"/>
        <w:textAlignment w:val="auto"/>
        <w:rPr>
          <w:rFonts w:hint="eastAsia"/>
          <w:lang w:val="en-US" w:eastAsia="zh-CN"/>
        </w:rPr>
      </w:pPr>
    </w:p>
    <w:p w14:paraId="DB6F0169">
      <w:pPr>
        <w:pStyle w:val="2"/>
        <w:keepNext w:val="0"/>
        <w:keepLines w:val="0"/>
        <w:pageBreakBefore w:val="0"/>
        <w:widowControl w:val="0"/>
        <w:kinsoku/>
        <w:wordWrap/>
        <w:overflowPunct/>
        <w:topLinePunct w:val="0"/>
        <w:bidi w:val="0"/>
        <w:adjustRightInd/>
        <w:snapToGrid/>
        <w:ind w:firstLine="420" w:firstLineChars="200"/>
        <w:textAlignment w:val="auto"/>
        <w:rPr>
          <w:rFonts w:hint="default"/>
          <w:lang w:val="en-US" w:eastAsia="zh-CN"/>
        </w:rPr>
      </w:pPr>
      <w:r>
        <w:rPr>
          <w:rFonts w:hint="eastAsia"/>
          <w:lang w:val="en-US" w:eastAsia="zh-CN"/>
        </w:rPr>
        <w:t>实务中，通常需求中约定的违约金标准不超过需求金额的30%。</w:t>
      </w:r>
    </w:p>
  </w:comment>
  <w:comment w:id="1" w:author="002" w:date="2024-11-01T15:15:14Z" w:initials="Z">
    <w:p w14:paraId="7FF7F6DC">
      <w:pPr>
        <w:pStyle w:val="2"/>
        <w:rPr>
          <w:rFonts w:hint="default" w:eastAsia="宋体"/>
          <w:lang w:val="en-US" w:eastAsia="zh-CN"/>
        </w:rPr>
      </w:pPr>
      <w:r>
        <w:rPr>
          <w:rFonts w:hint="eastAsia"/>
          <w:lang w:val="en-US" w:eastAsia="zh-CN"/>
        </w:rPr>
        <w:t>本款约定的违约金标准约定过高，请修改违约金标准，否则，一旦涉诉，存在被法院裁判调整的风险。</w:t>
      </w:r>
    </w:p>
  </w:comment>
  <w:comment w:id="2" w:author="002" w:date="2024-11-01T15:15:27Z" w:initials="Z">
    <w:p w14:paraId="7FFED6DA">
      <w:pPr>
        <w:pStyle w:val="2"/>
      </w:pPr>
      <w:r>
        <w:rPr>
          <w:rFonts w:hint="eastAsia"/>
          <w:lang w:val="en-US" w:eastAsia="zh-CN"/>
        </w:rPr>
        <w:t>本款约定的违约金标准约定过高，请修改违约金标准，否则，一旦涉诉，存在被法院裁判调整的风险。</w:t>
      </w:r>
    </w:p>
  </w:comment>
  <w:comment w:id="3" w:author="002" w:date="2024-11-01T15:20:58Z" w:initials="Z">
    <w:p w14:paraId="79DD63D1">
      <w:pPr>
        <w:pStyle w:val="2"/>
        <w:rPr>
          <w:rFonts w:hint="eastAsia"/>
        </w:rPr>
      </w:pPr>
      <w:r>
        <w:rPr>
          <w:rFonts w:hint="eastAsia"/>
        </w:rPr>
        <w:t>建议由法定代表人签署。</w:t>
      </w:r>
    </w:p>
    <w:p w14:paraId="FDFFE530">
      <w:pPr>
        <w:pStyle w:val="2"/>
      </w:pPr>
      <w:r>
        <w:rPr>
          <w:rFonts w:hint="eastAsia"/>
        </w:rPr>
        <w:t>若由委托代理人签署的，须提供</w:t>
      </w:r>
      <w:r>
        <w:rPr>
          <w:rFonts w:hint="eastAsia" w:ascii="宋体" w:hAnsi="宋体" w:eastAsia="宋体"/>
          <w:sz w:val="28"/>
          <w:szCs w:val="28"/>
          <w:highlight w:val="none"/>
          <w:lang w:val="en-US" w:eastAsia="zh-CN"/>
        </w:rPr>
        <w:t>授权委托书、法定代表人与委托代理人身份及工作证明材料</w:t>
      </w:r>
      <w:r>
        <w:rPr>
          <w:rFonts w:hint="eastAsia"/>
        </w:rPr>
        <w:t>作为本</w:t>
      </w:r>
      <w:r>
        <w:rPr>
          <w:rFonts w:hint="eastAsia"/>
          <w:lang w:val="en-US" w:eastAsia="zh-CN"/>
        </w:rPr>
        <w:t>协议</w:t>
      </w:r>
      <w:r>
        <w:rPr>
          <w:rFonts w:hint="eastAsia"/>
        </w:rPr>
        <w:t>的附件，以免签订主体不适格导致本</w:t>
      </w:r>
      <w:r>
        <w:rPr>
          <w:rFonts w:hint="eastAsia"/>
          <w:lang w:val="en-US" w:eastAsia="zh-CN"/>
        </w:rPr>
        <w:t>协议</w:t>
      </w:r>
      <w:r>
        <w:rPr>
          <w:rFonts w:hint="eastAsia"/>
        </w:rPr>
        <w:t>无效的法律风险。</w:t>
      </w:r>
    </w:p>
    <w:p w14:paraId="71FDF7CD">
      <w:pPr>
        <w:pStyle w:val="2"/>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DB6F0169" w15:done="0"/>
  <w15:commentEx w15:paraId="7FF7F6DC" w15:done="0"/>
  <w15:commentEx w15:paraId="7FFED6DA" w15:done="0"/>
  <w15:commentEx w15:paraId="71FDF7C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ˎ̥">
    <w:altName w:val="华文中宋"/>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Cambria">
    <w:panose1 w:val="02040803050406030204"/>
    <w:charset w:val="00"/>
    <w:family w:val="roman"/>
    <w:pitch w:val="default"/>
    <w:sig w:usb0="E00006FF" w:usb1="4000045F" w:usb2="00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Malgun Gothic Semilight">
    <w:panose1 w:val="020B0503020000020004"/>
    <w:charset w:val="86"/>
    <w:family w:val="swiss"/>
    <w:pitch w:val="default"/>
    <w:sig w:usb0="9000002F" w:usb1="29D77CFB" w:usb2="00000012" w:usb3="00000000" w:csb0="0008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7885" cy="147955"/>
              <wp:effectExtent l="0" t="0" r="0" b="0"/>
              <wp:wrapNone/>
              <wp:docPr id="7" name="文本框 8"/>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7</w:t>
                          </w:r>
                          <w:r>
                            <w:rPr>
                              <w:rFonts w:hint="eastAsia"/>
                              <w:sz w:val="18"/>
                            </w:rPr>
                            <w:fldChar w:fldCharType="end"/>
                          </w:r>
                          <w:r>
                            <w:rPr>
                              <w:rFonts w:hint="eastAsia"/>
                              <w:sz w:val="18"/>
                            </w:rPr>
                            <w:t xml:space="preserve"> 页</w:t>
                          </w:r>
                        </w:p>
                      </w:txbxContent>
                    </wps:txbx>
                    <wps:bodyPr rot="0" vert="horz" wrap="none" lIns="0" tIns="0" rIns="0" bIns="0" anchor="t" anchorCtr="0" upright="1">
                      <a:spAutoFit/>
                    </wps:bodyPr>
                  </wps:wsp>
                </a:graphicData>
              </a:graphic>
            </wp:anchor>
          </w:drawing>
        </mc:Choice>
        <mc:Fallback>
          <w:pict>
            <v:shape id="文本框 8" o:spid="_x0000_s1026" o:spt="202" type="#_x0000_t202" style="position:absolute;left:0pt;margin-top:0pt;height:11.65pt;width:67.55pt;mso-position-horizontal:center;mso-position-horizontal-relative:margin;mso-wrap-style:none;z-index:251659264;mso-width-relative:page;mso-height-relative:page;" filled="f" stroked="f" coordsize="21600,21600" o:gfxdata="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DjQ3lE0gAAAAQB&#10;AAAPAAAAAAAAAAEAIAAAADgAAABkcnMvZG93bnJldi54bWxQSwECFAAUAAAACACHTuJAiWvEyAsC&#10;AAACBAAADgAAAAAAAAABACAAAAA3AQAAZHJzL2Uyb0RvYy54bWxQSwUGAAAAAAYABgBZAQAAtAUA&#10;AAAA&#10;">
              <v:fill on="f" focussize="0,0"/>
              <v:stroke on="f"/>
              <v:imagedata o:title=""/>
              <o:lock v:ext="edit" aspectratio="f"/>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7</w:t>
                    </w:r>
                    <w:r>
                      <w:rPr>
                        <w:rFonts w:hint="eastAsia"/>
                        <w:sz w:val="18"/>
                      </w:rPr>
                      <w:fldChar w:fldCharType="end"/>
                    </w:r>
                    <w:r>
                      <w:rPr>
                        <w:rFonts w:hint="eastAsia"/>
                        <w:sz w:val="18"/>
                      </w:rPr>
                      <w:t xml:space="preserve"> 页</w:t>
                    </w:r>
                  </w:p>
                </w:txbxContent>
              </v:textbox>
            </v:shape>
          </w:pict>
        </mc:Fallback>
      </mc:AlternateContent>
    </w:r>
    <w:r>
      <w:rPr>
        <w:rFonts w:hint="eastAsia" w:ascii="楷体_GB2312" w:hAnsi="宋体" w:eastAsia="楷体_GB2312" w:cs="宋体"/>
        <w:szCs w:val="21"/>
      </w:rPr>
      <w:t xml:space="preserve">                                                                    </w:t>
    </w: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5430"/>
      </w:tabs>
      <w:rPr>
        <w:rFonts w:ascii="宋体" w:hAnsi="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857885" cy="147955"/>
              <wp:effectExtent l="0" t="0" r="0" b="0"/>
              <wp:wrapNone/>
              <wp:docPr id="4" name="文本框 9"/>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7</w:t>
                          </w:r>
                          <w:r>
                            <w:rPr>
                              <w:rFonts w:hint="eastAsia"/>
                              <w:sz w:val="18"/>
                            </w:rPr>
                            <w:fldChar w:fldCharType="end"/>
                          </w:r>
                          <w:r>
                            <w:rPr>
                              <w:rFonts w:hint="eastAsia"/>
                              <w:sz w:val="18"/>
                            </w:rPr>
                            <w:t xml:space="preserve"> 页</w:t>
                          </w: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1.65pt;width:67.55pt;mso-position-horizontal:center;mso-position-horizontal-relative:margin;mso-wrap-style:none;z-index:251660288;mso-width-relative:page;mso-height-relative:page;" filled="f" stroked="f" coordsize="21600,21600" o:gfxdata="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DjQ3lE0gAAAAQB&#10;AAAPAAAAAAAAAAEAIAAAADgAAABkcnMvZG93bnJldi54bWxQSwECFAAUAAAACACHTuJA7D5cvAsC&#10;AAACBAAADgAAAAAAAAABACAAAAA3AQAAZHJzL2Uyb0RvYy54bWxQSwUGAAAAAAYABgBZAQAAtAUA&#10;AAAA&#10;">
              <v:fill on="f" focussize="0,0"/>
              <v:stroke on="f"/>
              <v:imagedata o:title=""/>
              <o:lock v:ext="edit" aspectratio="f"/>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7</w:t>
                    </w:r>
                    <w:r>
                      <w:rPr>
                        <w:rFonts w:hint="eastAsia"/>
                        <w:sz w:val="18"/>
                      </w:rPr>
                      <w:fldChar w:fldCharType="end"/>
                    </w:r>
                    <w:r>
                      <w:rPr>
                        <w:rFonts w:hint="eastAsia"/>
                        <w:sz w:val="1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7885" cy="147955"/>
              <wp:effectExtent l="0" t="0" r="0" b="0"/>
              <wp:wrapNone/>
              <wp:docPr id="2" name="文本框 8"/>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10</w:t>
                          </w:r>
                          <w:r>
                            <w:rPr>
                              <w:rFonts w:hint="eastAsia"/>
                              <w:sz w:val="18"/>
                            </w:rPr>
                            <w:fldChar w:fldCharType="end"/>
                          </w:r>
                          <w:r>
                            <w:rPr>
                              <w:rFonts w:hint="eastAsia"/>
                              <w:sz w:val="18"/>
                            </w:rPr>
                            <w:t xml:space="preserve"> 页</w:t>
                          </w:r>
                        </w:p>
                      </w:txbxContent>
                    </wps:txbx>
                    <wps:bodyPr rot="0" vert="horz" wrap="none" lIns="0" tIns="0" rIns="0" bIns="0" anchor="t" anchorCtr="0" upright="1">
                      <a:spAutoFit/>
                    </wps:bodyPr>
                  </wps:wsp>
                </a:graphicData>
              </a:graphic>
            </wp:anchor>
          </w:drawing>
        </mc:Choice>
        <mc:Fallback>
          <w:pict>
            <v:shape id="文本框 8" o:spid="_x0000_s1026" o:spt="202" type="#_x0000_t202" style="position:absolute;left:0pt;margin-top:0pt;height:11.65pt;width:67.55pt;mso-position-horizontal:center;mso-position-horizontal-relative:margin;mso-wrap-style:none;z-index:251659264;mso-width-relative:page;mso-height-relative:page;" filled="f" stroked="f" coordsize="21600,21600" o:gfxdata="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DjQ3lE0gAAAAQB&#10;AAAPAAAAAAAAAAEAIAAAADgAAABkcnMvZG93bnJldi54bWxQSwECFAAUAAAACACHTuJAndg+UgsC&#10;AAACBAAADgAAAAAAAAABACAAAAA3AQAAZHJzL2Uyb0RvYy54bWxQSwUGAAAAAAYABgBZAQAAtAUA&#10;AAAA&#10;">
              <v:fill on="f" focussize="0,0"/>
              <v:stroke on="f"/>
              <v:imagedata o:title=""/>
              <o:lock v:ext="edit" aspectratio="f"/>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10</w:t>
                    </w:r>
                    <w:r>
                      <w:rPr>
                        <w:rFonts w:hint="eastAsia"/>
                        <w:sz w:val="18"/>
                      </w:rPr>
                      <w:fldChar w:fldCharType="end"/>
                    </w:r>
                    <w:r>
                      <w:rPr>
                        <w:rFonts w:hint="eastAsia"/>
                        <w:sz w:val="18"/>
                      </w:rPr>
                      <w:t xml:space="preserve"> 页</w:t>
                    </w:r>
                  </w:p>
                </w:txbxContent>
              </v:textbox>
            </v:shape>
          </w:pict>
        </mc:Fallback>
      </mc:AlternateContent>
    </w:r>
    <w:r>
      <w:rPr>
        <w:rFonts w:hint="eastAsia" w:ascii="楷体_GB2312" w:hAnsi="宋体" w:eastAsia="楷体_GB2312" w:cs="宋体"/>
        <w:szCs w:val="21"/>
      </w:rPr>
      <w:t xml:space="preserve">                                                                    </w:t>
    </w: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5430"/>
      </w:tabs>
      <w:rPr>
        <w:rFonts w:ascii="宋体" w:hAnsi="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857885" cy="147955"/>
              <wp:effectExtent l="0" t="0" r="0" b="0"/>
              <wp:wrapNone/>
              <wp:docPr id="1" name="文本框 9"/>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11</w:t>
                          </w:r>
                          <w:r>
                            <w:rPr>
                              <w:rFonts w:hint="eastAsia"/>
                              <w:sz w:val="18"/>
                            </w:rPr>
                            <w:fldChar w:fldCharType="end"/>
                          </w:r>
                          <w:r>
                            <w:rPr>
                              <w:rFonts w:hint="eastAsia"/>
                              <w:sz w:val="18"/>
                            </w:rPr>
                            <w:t xml:space="preserve"> 页</w:t>
                          </w: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1.65pt;width:67.55pt;mso-position-horizontal:center;mso-position-horizontal-relative:margin;mso-wrap-style:none;z-index:251660288;mso-width-relative:page;mso-height-relative:page;" filled="f" stroked="f" coordsize="21600,21600" o:gfxdata="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BYAAABkcnMvUEsBAhQAFAAAAAgAh07iQONDeUTSAAAABAEA&#10;AA8AAAAAAAAAAQAgAAAAOAAAAGRycy9kb3ducmV2LnhtbFBLAQIUABQAAAAIAIdO4kD4jaYmCgIA&#10;AAIEAAAOAAAAAAAAAAEAIAAAADcBAABkcnMvZTJvRG9jLnhtbFBLBQYAAAAABgAGAFkBAACzBQAA&#10;AAA=&#10;">
              <v:fill on="f" focussize="0,0"/>
              <v:stroke on="f"/>
              <v:imagedata o:title=""/>
              <o:lock v:ext="edit" aspectratio="f"/>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11</w:t>
                    </w:r>
                    <w:r>
                      <w:rPr>
                        <w:rFonts w:hint="eastAsia"/>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single" w:color="auto" w:sz="6" w:space="0"/>
      </w:pBdr>
      <w:tabs>
        <w:tab w:val="left" w:pos="315"/>
        <w:tab w:val="right" w:pos="10630"/>
      </w:tabs>
      <w:jc w:val="left"/>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single" w:color="auto" w:sz="6" w:space="0"/>
      </w:pBdr>
      <w:tabs>
        <w:tab w:val="left" w:pos="315"/>
        <w:tab w:val="right" w:pos="10630"/>
      </w:tabs>
      <w:jc w:val="left"/>
    </w:pPr>
    <w:r>
      <w:tab/>
    </w:r>
    <w:r>
      <w:tab/>
    </w:r>
    <w:r>
      <w:tab/>
    </w:r>
    <w:r>
      <w:tab/>
    </w:r>
  </w:p>
  <w:p>
    <w:pPr>
      <w:pStyle w:val="11"/>
      <w:pBdr>
        <w:bottom w:val="single" w:color="auto" w:sz="6" w:space="0"/>
      </w:pBdr>
      <w:tabs>
        <w:tab w:val="left" w:pos="423"/>
      </w:tabs>
      <w:jc w:val="left"/>
      <w:rPr>
        <w:rFonts w:hint="eastAsia" w:eastAsia="宋体"/>
        <w:sz w:val="24"/>
        <w:szCs w:val="24"/>
        <w:lang w:eastAsia="zh-CN"/>
      </w:rPr>
    </w:pPr>
    <w:r>
      <w:rPr>
        <w:rFonts w:hint="eastAsia"/>
        <w:sz w:val="24"/>
        <w:szCs w:val="24"/>
        <w:lang w:eastAsia="zh-CN"/>
      </w:rPr>
      <w:tab/>
    </w:r>
    <w:r>
      <w:rPr>
        <w:rFonts w:hint="eastAsia"/>
        <w:sz w:val="24"/>
        <w:szCs w:val="24"/>
        <w:lang w:eastAsia="zh-CN"/>
      </w:rPr>
      <w:tab/>
    </w:r>
    <w:r>
      <w:rPr>
        <w:rFonts w:hint="eastAsia"/>
        <w:sz w:val="24"/>
        <w:szCs w:val="24"/>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single" w:color="auto" w:sz="6" w:space="0"/>
      </w:pBdr>
      <w:tabs>
        <w:tab w:val="left" w:pos="315"/>
        <w:tab w:val="right" w:pos="10630"/>
      </w:tabs>
      <w:jc w:val="left"/>
    </w:pPr>
    <w:r>
      <w:tab/>
    </w:r>
    <w:r>
      <w:tab/>
    </w:r>
    <w:r>
      <w:tab/>
    </w:r>
    <w:r>
      <w:tab/>
    </w:r>
  </w:p>
  <w:p>
    <w:pPr>
      <w:pStyle w:val="11"/>
      <w:pBdr>
        <w:bottom w:val="single" w:color="auto" w:sz="6" w:space="0"/>
      </w:pBdr>
      <w:jc w:val="right"/>
      <w:rPr>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single" w:color="auto" w:sz="6" w:space="0"/>
      </w:pBdr>
      <w:tabs>
        <w:tab w:val="left" w:pos="315"/>
        <w:tab w:val="right" w:pos="10630"/>
      </w:tabs>
      <w:jc w:val="left"/>
    </w:pPr>
    <w:r>
      <w:drawing>
        <wp:anchor distT="0" distB="0" distL="114300" distR="114300" simplePos="0" relativeHeight="251661312" behindDoc="0" locked="0" layoutInCell="1" allowOverlap="1">
          <wp:simplePos x="0" y="0"/>
          <wp:positionH relativeFrom="margin">
            <wp:align>left</wp:align>
          </wp:positionH>
          <wp:positionV relativeFrom="paragraph">
            <wp:posOffset>-259715</wp:posOffset>
          </wp:positionV>
          <wp:extent cx="751205" cy="751205"/>
          <wp:effectExtent l="0" t="0" r="0" b="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1032" cy="751032"/>
                  </a:xfrm>
                  <a:prstGeom prst="rect">
                    <a:avLst/>
                  </a:prstGeom>
                </pic:spPr>
              </pic:pic>
            </a:graphicData>
          </a:graphic>
        </wp:anchor>
      </w:drawing>
    </w:r>
    <w:r>
      <w:tab/>
    </w:r>
    <w:r>
      <w:tab/>
    </w:r>
    <w:r>
      <w:tab/>
    </w:r>
    <w:r>
      <w:tab/>
    </w:r>
  </w:p>
  <w:p>
    <w:pPr>
      <w:pStyle w:val="11"/>
      <w:pBdr>
        <w:bottom w:val="single" w:color="auto" w:sz="6" w:space="0"/>
      </w:pBdr>
      <w:jc w:val="right"/>
      <w:rPr>
        <w:sz w:val="24"/>
        <w:szCs w:val="24"/>
      </w:rPr>
    </w:pPr>
  </w:p>
  <w:p>
    <w:pPr>
      <w:pStyle w:val="11"/>
      <w:pBdr>
        <w:bottom w:val="single" w:color="auto" w:sz="6" w:space="0"/>
      </w:pBdr>
      <w:jc w:val="righ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广州广电</w:t>
    </w:r>
    <w:r>
      <w:rPr>
        <w:rFonts w:hint="eastAsia" w:asciiTheme="minorEastAsia" w:hAnsiTheme="minorEastAsia" w:eastAsiaTheme="minorEastAsia"/>
        <w:b/>
        <w:bCs/>
        <w:sz w:val="24"/>
        <w:szCs w:val="24"/>
        <w:lang w:val="en-US" w:eastAsia="zh-CN"/>
      </w:rPr>
      <w:t>信息</w:t>
    </w:r>
    <w:r>
      <w:rPr>
        <w:rFonts w:hint="eastAsia" w:asciiTheme="minorEastAsia" w:hAnsiTheme="minorEastAsia" w:eastAsiaTheme="minorEastAsia"/>
        <w:b/>
        <w:bCs/>
        <w:sz w:val="24"/>
        <w:szCs w:val="24"/>
      </w:rPr>
      <w:t>工程技术有限公司</w: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33"/>
      <w:suff w:val="nothing"/>
      <w:lvlText w:val="%1%2　"/>
      <w:lvlJc w:val="left"/>
      <w:pPr>
        <w:ind w:left="0" w:firstLine="0"/>
      </w:pPr>
      <w:rPr>
        <w:rFonts w:hint="eastAsia" w:ascii="黑体" w:hAnsi="Times New Roman" w:eastAsia="黑体"/>
        <w:b w:val="0"/>
        <w:i w:val="0"/>
        <w:sz w:val="21"/>
      </w:rPr>
    </w:lvl>
    <w:lvl w:ilvl="2" w:tentative="0">
      <w:start w:val="1"/>
      <w:numFmt w:val="decimal"/>
      <w:pStyle w:val="78"/>
      <w:suff w:val="nothing"/>
      <w:lvlText w:val="%1%2.%3　"/>
      <w:lvlJc w:val="left"/>
      <w:pPr>
        <w:ind w:left="162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900" w:firstLine="0"/>
      </w:pPr>
      <w:rPr>
        <w:rFonts w:hint="eastAsia" w:ascii="黑体" w:hAnsi="宋体" w:eastAsia="黑体"/>
      </w:rPr>
    </w:lvl>
    <w:lvl w:ilvl="5" w:tentative="0">
      <w:start w:val="1"/>
      <w:numFmt w:val="decimal"/>
      <w:suff w:val="nothing"/>
      <w:lvlText w:val="%1%2.%3.%4.%5.%6　"/>
      <w:lvlJc w:val="left"/>
      <w:pPr>
        <w:ind w:left="0" w:firstLine="0"/>
      </w:pPr>
      <w:rPr>
        <w:rFonts w:hint="eastAsia" w:ascii="宋体" w:hAnsi="宋体" w:eastAsia="宋体"/>
        <w:b w:val="0"/>
        <w:i w:val="0"/>
        <w:sz w:val="21"/>
      </w:rPr>
    </w:lvl>
    <w:lvl w:ilvl="6" w:tentative="0">
      <w:start w:val="1"/>
      <w:numFmt w:val="decimal"/>
      <w:suff w:val="nothing"/>
      <w:lvlText w:val="%1%2.%3.%4.%5.%6.%7　"/>
      <w:lvlJc w:val="left"/>
      <w:pPr>
        <w:ind w:left="0" w:firstLine="0"/>
      </w:pPr>
      <w:rPr>
        <w:rFonts w:hint="eastAsia" w:ascii="宋体" w:hAnsi="宋体" w:eastAsia="宋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002">
    <w15:presenceInfo w15:providerId="None" w15:userId="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g0MmY0OTQzZjk4NjE0YjBmZjI1NWM2MDViYTdmYzAifQ=="/>
  </w:docVars>
  <w:rsids>
    <w:rsidRoot w:val="00172A27"/>
    <w:rsid w:val="000101E8"/>
    <w:rsid w:val="0004458E"/>
    <w:rsid w:val="0006422F"/>
    <w:rsid w:val="00066559"/>
    <w:rsid w:val="00066E99"/>
    <w:rsid w:val="00070E4B"/>
    <w:rsid w:val="000828F7"/>
    <w:rsid w:val="00084911"/>
    <w:rsid w:val="00095577"/>
    <w:rsid w:val="000A16C8"/>
    <w:rsid w:val="000D6520"/>
    <w:rsid w:val="0011186F"/>
    <w:rsid w:val="00172A27"/>
    <w:rsid w:val="00174EB7"/>
    <w:rsid w:val="001961E3"/>
    <w:rsid w:val="001968A9"/>
    <w:rsid w:val="001C3D9E"/>
    <w:rsid w:val="001C5C17"/>
    <w:rsid w:val="00212D50"/>
    <w:rsid w:val="00261BF8"/>
    <w:rsid w:val="0026692B"/>
    <w:rsid w:val="00297D30"/>
    <w:rsid w:val="002A6CB0"/>
    <w:rsid w:val="002B1303"/>
    <w:rsid w:val="002B1D2A"/>
    <w:rsid w:val="002B43B4"/>
    <w:rsid w:val="002F7EB4"/>
    <w:rsid w:val="00326F35"/>
    <w:rsid w:val="00330A8C"/>
    <w:rsid w:val="0034745F"/>
    <w:rsid w:val="00350E60"/>
    <w:rsid w:val="003A1276"/>
    <w:rsid w:val="003A76B5"/>
    <w:rsid w:val="003B30A9"/>
    <w:rsid w:val="003C5D4F"/>
    <w:rsid w:val="0041756B"/>
    <w:rsid w:val="0044591B"/>
    <w:rsid w:val="004621A1"/>
    <w:rsid w:val="00481293"/>
    <w:rsid w:val="00483F00"/>
    <w:rsid w:val="004A0A2E"/>
    <w:rsid w:val="0052583A"/>
    <w:rsid w:val="00554B82"/>
    <w:rsid w:val="0056290F"/>
    <w:rsid w:val="00576DFE"/>
    <w:rsid w:val="00584F61"/>
    <w:rsid w:val="00587A27"/>
    <w:rsid w:val="005A2A28"/>
    <w:rsid w:val="005A3ACD"/>
    <w:rsid w:val="005B0751"/>
    <w:rsid w:val="006368BD"/>
    <w:rsid w:val="00666392"/>
    <w:rsid w:val="006A0D52"/>
    <w:rsid w:val="006B6195"/>
    <w:rsid w:val="006C5F39"/>
    <w:rsid w:val="006D5481"/>
    <w:rsid w:val="0070691F"/>
    <w:rsid w:val="0078179C"/>
    <w:rsid w:val="0079242E"/>
    <w:rsid w:val="007C6AD9"/>
    <w:rsid w:val="008018C9"/>
    <w:rsid w:val="00841513"/>
    <w:rsid w:val="00870759"/>
    <w:rsid w:val="00882737"/>
    <w:rsid w:val="008836B5"/>
    <w:rsid w:val="00896B2E"/>
    <w:rsid w:val="008D61DB"/>
    <w:rsid w:val="008E3249"/>
    <w:rsid w:val="009244CB"/>
    <w:rsid w:val="009318BF"/>
    <w:rsid w:val="0096075E"/>
    <w:rsid w:val="009D3C0A"/>
    <w:rsid w:val="009D47FD"/>
    <w:rsid w:val="009F0DA0"/>
    <w:rsid w:val="00A058A9"/>
    <w:rsid w:val="00A373B6"/>
    <w:rsid w:val="00A55607"/>
    <w:rsid w:val="00A57E73"/>
    <w:rsid w:val="00AA6375"/>
    <w:rsid w:val="00AB34B0"/>
    <w:rsid w:val="00AC744E"/>
    <w:rsid w:val="00BA7D9D"/>
    <w:rsid w:val="00BB1A65"/>
    <w:rsid w:val="00BC1CFB"/>
    <w:rsid w:val="00C00C18"/>
    <w:rsid w:val="00C10C00"/>
    <w:rsid w:val="00C365B8"/>
    <w:rsid w:val="00C97F5E"/>
    <w:rsid w:val="00CB3BAB"/>
    <w:rsid w:val="00CD39D2"/>
    <w:rsid w:val="00CE012E"/>
    <w:rsid w:val="00D04E54"/>
    <w:rsid w:val="00D12AFB"/>
    <w:rsid w:val="00D36CC1"/>
    <w:rsid w:val="00D74FBA"/>
    <w:rsid w:val="00D84BA6"/>
    <w:rsid w:val="00D936F8"/>
    <w:rsid w:val="00E20236"/>
    <w:rsid w:val="00E779AA"/>
    <w:rsid w:val="00E9751D"/>
    <w:rsid w:val="00EF4FEF"/>
    <w:rsid w:val="00F17DBF"/>
    <w:rsid w:val="00F21E14"/>
    <w:rsid w:val="00F258D5"/>
    <w:rsid w:val="011B6997"/>
    <w:rsid w:val="0156352C"/>
    <w:rsid w:val="02993573"/>
    <w:rsid w:val="03920A67"/>
    <w:rsid w:val="043E7A54"/>
    <w:rsid w:val="04535F77"/>
    <w:rsid w:val="05877F7F"/>
    <w:rsid w:val="059F75B2"/>
    <w:rsid w:val="05C221E4"/>
    <w:rsid w:val="05FF0251"/>
    <w:rsid w:val="073B27BF"/>
    <w:rsid w:val="07736608"/>
    <w:rsid w:val="07903587"/>
    <w:rsid w:val="07E04497"/>
    <w:rsid w:val="08055CAB"/>
    <w:rsid w:val="08475626"/>
    <w:rsid w:val="0A051F93"/>
    <w:rsid w:val="0A356C86"/>
    <w:rsid w:val="0A4F76B2"/>
    <w:rsid w:val="0A5F24FC"/>
    <w:rsid w:val="0B746474"/>
    <w:rsid w:val="0BDD0433"/>
    <w:rsid w:val="0BEC53ED"/>
    <w:rsid w:val="0CC83068"/>
    <w:rsid w:val="0D7F205C"/>
    <w:rsid w:val="0E8D03A6"/>
    <w:rsid w:val="0F3B0205"/>
    <w:rsid w:val="0F5512C6"/>
    <w:rsid w:val="0F8777AE"/>
    <w:rsid w:val="0F8F72C2"/>
    <w:rsid w:val="0FB974D2"/>
    <w:rsid w:val="12B74046"/>
    <w:rsid w:val="13D036B5"/>
    <w:rsid w:val="143E4A1F"/>
    <w:rsid w:val="14890D7B"/>
    <w:rsid w:val="15CB378E"/>
    <w:rsid w:val="161C2885"/>
    <w:rsid w:val="16307F93"/>
    <w:rsid w:val="177C4BFE"/>
    <w:rsid w:val="18DB4ACF"/>
    <w:rsid w:val="1A31705D"/>
    <w:rsid w:val="1AAC583C"/>
    <w:rsid w:val="1B25587A"/>
    <w:rsid w:val="1BA535D6"/>
    <w:rsid w:val="1BB24EF2"/>
    <w:rsid w:val="1C0B58BC"/>
    <w:rsid w:val="1DCA0A65"/>
    <w:rsid w:val="1EA85081"/>
    <w:rsid w:val="1F881244"/>
    <w:rsid w:val="1F923E71"/>
    <w:rsid w:val="2082252F"/>
    <w:rsid w:val="2154431C"/>
    <w:rsid w:val="21840145"/>
    <w:rsid w:val="22CF2B89"/>
    <w:rsid w:val="230B093F"/>
    <w:rsid w:val="237613B4"/>
    <w:rsid w:val="23B343B6"/>
    <w:rsid w:val="23CB2615"/>
    <w:rsid w:val="23F25658"/>
    <w:rsid w:val="24657E06"/>
    <w:rsid w:val="25A42208"/>
    <w:rsid w:val="25FE400E"/>
    <w:rsid w:val="263D161C"/>
    <w:rsid w:val="27441EF5"/>
    <w:rsid w:val="27916984"/>
    <w:rsid w:val="28021E62"/>
    <w:rsid w:val="28301DD3"/>
    <w:rsid w:val="285E1FA0"/>
    <w:rsid w:val="2A992557"/>
    <w:rsid w:val="2AA26D63"/>
    <w:rsid w:val="2BD44031"/>
    <w:rsid w:val="2BDD0222"/>
    <w:rsid w:val="2D3A16A4"/>
    <w:rsid w:val="2F9436F7"/>
    <w:rsid w:val="304F1CEE"/>
    <w:rsid w:val="30D00E13"/>
    <w:rsid w:val="32081D71"/>
    <w:rsid w:val="320D7387"/>
    <w:rsid w:val="328C4750"/>
    <w:rsid w:val="338C391E"/>
    <w:rsid w:val="33FC7260"/>
    <w:rsid w:val="34A57EAE"/>
    <w:rsid w:val="353F6F9A"/>
    <w:rsid w:val="3549462B"/>
    <w:rsid w:val="35585FE3"/>
    <w:rsid w:val="35C661CB"/>
    <w:rsid w:val="362F3416"/>
    <w:rsid w:val="363870C8"/>
    <w:rsid w:val="367B38AE"/>
    <w:rsid w:val="37E2698F"/>
    <w:rsid w:val="38080D1C"/>
    <w:rsid w:val="38AC5B4C"/>
    <w:rsid w:val="39FD010C"/>
    <w:rsid w:val="3A051118"/>
    <w:rsid w:val="3A2D3C9B"/>
    <w:rsid w:val="3A30455A"/>
    <w:rsid w:val="3ABB2076"/>
    <w:rsid w:val="3AD55DDD"/>
    <w:rsid w:val="3B7864C9"/>
    <w:rsid w:val="3C6421FC"/>
    <w:rsid w:val="3E2660BE"/>
    <w:rsid w:val="3E732EEC"/>
    <w:rsid w:val="3FA8439A"/>
    <w:rsid w:val="3FEE3613"/>
    <w:rsid w:val="3FF35E0E"/>
    <w:rsid w:val="405A34CC"/>
    <w:rsid w:val="40CB30CA"/>
    <w:rsid w:val="41FB45C5"/>
    <w:rsid w:val="431247FD"/>
    <w:rsid w:val="434C4787"/>
    <w:rsid w:val="44DB4071"/>
    <w:rsid w:val="44E12AFD"/>
    <w:rsid w:val="46FF778E"/>
    <w:rsid w:val="4AE5361D"/>
    <w:rsid w:val="4AEB2BDC"/>
    <w:rsid w:val="4BE56F53"/>
    <w:rsid w:val="4CA5733A"/>
    <w:rsid w:val="4ECA2430"/>
    <w:rsid w:val="4F687096"/>
    <w:rsid w:val="509F1C62"/>
    <w:rsid w:val="51B54715"/>
    <w:rsid w:val="523E73BD"/>
    <w:rsid w:val="54624EB9"/>
    <w:rsid w:val="54997A9D"/>
    <w:rsid w:val="54C1233E"/>
    <w:rsid w:val="553F72DC"/>
    <w:rsid w:val="56761DE9"/>
    <w:rsid w:val="56DC0F52"/>
    <w:rsid w:val="575CC98D"/>
    <w:rsid w:val="5A4F36D8"/>
    <w:rsid w:val="5B490B80"/>
    <w:rsid w:val="5B6401BD"/>
    <w:rsid w:val="5B751975"/>
    <w:rsid w:val="5CB14C2F"/>
    <w:rsid w:val="5E60779B"/>
    <w:rsid w:val="5ED11CD0"/>
    <w:rsid w:val="61405752"/>
    <w:rsid w:val="62300863"/>
    <w:rsid w:val="62D90A3C"/>
    <w:rsid w:val="6362613D"/>
    <w:rsid w:val="638E7A78"/>
    <w:rsid w:val="646028EB"/>
    <w:rsid w:val="650C5F11"/>
    <w:rsid w:val="6558033E"/>
    <w:rsid w:val="66235186"/>
    <w:rsid w:val="665724DD"/>
    <w:rsid w:val="68936D2B"/>
    <w:rsid w:val="689B1764"/>
    <w:rsid w:val="68C56BB8"/>
    <w:rsid w:val="68EE12BE"/>
    <w:rsid w:val="690B44E7"/>
    <w:rsid w:val="6A07766D"/>
    <w:rsid w:val="6A3273AF"/>
    <w:rsid w:val="6A5F3F1C"/>
    <w:rsid w:val="6AD31744"/>
    <w:rsid w:val="6B405AFC"/>
    <w:rsid w:val="6CA523C6"/>
    <w:rsid w:val="6D50630E"/>
    <w:rsid w:val="6E032E11"/>
    <w:rsid w:val="6F973D20"/>
    <w:rsid w:val="71F4319C"/>
    <w:rsid w:val="72005DF6"/>
    <w:rsid w:val="7201185E"/>
    <w:rsid w:val="72036860"/>
    <w:rsid w:val="72B4626E"/>
    <w:rsid w:val="72D51220"/>
    <w:rsid w:val="73532145"/>
    <w:rsid w:val="73B36314"/>
    <w:rsid w:val="75874327"/>
    <w:rsid w:val="779A2A38"/>
    <w:rsid w:val="77E52218"/>
    <w:rsid w:val="789C5435"/>
    <w:rsid w:val="78BD58E3"/>
    <w:rsid w:val="79262E21"/>
    <w:rsid w:val="7A935150"/>
    <w:rsid w:val="7ABD2CC5"/>
    <w:rsid w:val="7AE01602"/>
    <w:rsid w:val="7B7610C6"/>
    <w:rsid w:val="7E0B1F99"/>
    <w:rsid w:val="7E33504C"/>
    <w:rsid w:val="7E9A475C"/>
    <w:rsid w:val="7EA36676"/>
    <w:rsid w:val="EB7F4A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59"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87"/>
    <w:semiHidden/>
    <w:unhideWhenUsed/>
    <w:qFormat/>
    <w:uiPriority w:val="99"/>
    <w:pPr>
      <w:jc w:val="left"/>
    </w:pPr>
  </w:style>
  <w:style w:type="paragraph" w:styleId="3">
    <w:name w:val="Body Text"/>
    <w:basedOn w:val="1"/>
    <w:qFormat/>
    <w:uiPriority w:val="0"/>
    <w:pPr>
      <w:jc w:val="center"/>
    </w:pPr>
    <w:rPr>
      <w:sz w:val="84"/>
    </w:rPr>
  </w:style>
  <w:style w:type="paragraph" w:styleId="4">
    <w:name w:val="Body Text Indent"/>
    <w:basedOn w:val="1"/>
    <w:qFormat/>
    <w:uiPriority w:val="0"/>
    <w:pPr>
      <w:spacing w:line="460" w:lineRule="exact"/>
      <w:ind w:firstLine="638" w:firstLineChars="228"/>
    </w:pPr>
    <w:rPr>
      <w:sz w:val="28"/>
    </w:rPr>
  </w:style>
  <w:style w:type="paragraph" w:styleId="5">
    <w:name w:val="Block Text"/>
    <w:basedOn w:val="1"/>
    <w:qFormat/>
    <w:uiPriority w:val="0"/>
    <w:pPr>
      <w:spacing w:line="460" w:lineRule="exact"/>
      <w:ind w:left="249" w:right="249" w:firstLine="538" w:firstLineChars="192"/>
    </w:pPr>
    <w:rPr>
      <w:rFonts w:ascii="楷体_GB2312" w:eastAsia="楷体_GB2312"/>
      <w:sz w:val="28"/>
      <w:szCs w:val="21"/>
    </w:rPr>
  </w:style>
  <w:style w:type="paragraph" w:styleId="6">
    <w:name w:val="Plain Text"/>
    <w:qFormat/>
    <w:uiPriority w:val="0"/>
    <w:pPr>
      <w:spacing w:before="100" w:beforeAutospacing="1" w:after="100" w:afterAutospacing="1"/>
    </w:pPr>
    <w:rPr>
      <w:rFonts w:ascii="ˎ̥" w:hAnsi="ˎ̥" w:eastAsia="宋体" w:cs="Times New Roman"/>
      <w:sz w:val="18"/>
      <w:szCs w:val="18"/>
      <w:lang w:val="en-US" w:eastAsia="zh-CN" w:bidi="ar-SA"/>
    </w:rPr>
  </w:style>
  <w:style w:type="paragraph" w:styleId="7">
    <w:name w:val="Date"/>
    <w:basedOn w:val="1"/>
    <w:next w:val="1"/>
    <w:qFormat/>
    <w:uiPriority w:val="0"/>
    <w:pPr>
      <w:ind w:left="100" w:leftChars="2500"/>
    </w:pPr>
    <w:rPr>
      <w:b/>
      <w:bCs/>
      <w:sz w:val="28"/>
    </w:rPr>
  </w:style>
  <w:style w:type="paragraph" w:styleId="8">
    <w:name w:val="Body Text Indent 2"/>
    <w:basedOn w:val="1"/>
    <w:qFormat/>
    <w:uiPriority w:val="0"/>
    <w:pPr>
      <w:spacing w:line="280" w:lineRule="exact"/>
      <w:ind w:left="-67" w:leftChars="-32" w:firstLine="1"/>
      <w:jc w:val="center"/>
    </w:pPr>
    <w:rPr>
      <w:sz w:val="22"/>
    </w:rPr>
  </w:style>
  <w:style w:type="paragraph" w:styleId="9">
    <w:name w:val="Balloon Text"/>
    <w:basedOn w:val="1"/>
    <w:link w:val="21"/>
    <w:qFormat/>
    <w:uiPriority w:val="0"/>
    <w:rPr>
      <w:sz w:val="18"/>
      <w:szCs w:val="18"/>
    </w:rPr>
  </w:style>
  <w:style w:type="paragraph" w:styleId="10">
    <w:name w:val="footer"/>
    <w:basedOn w:val="1"/>
    <w:link w:val="22"/>
    <w:qFormat/>
    <w:uiPriority w:val="0"/>
    <w:pPr>
      <w:tabs>
        <w:tab w:val="center" w:pos="4153"/>
        <w:tab w:val="right" w:pos="8306"/>
      </w:tabs>
      <w:snapToGrid w:val="0"/>
      <w:jc w:val="left"/>
    </w:pPr>
    <w:rPr>
      <w:sz w:val="18"/>
      <w:szCs w:val="18"/>
    </w:rPr>
  </w:style>
  <w:style w:type="paragraph" w:styleId="11">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spacing w:line="280" w:lineRule="exact"/>
      <w:ind w:left="1" w:leftChars="-51" w:hanging="108" w:hangingChars="49"/>
      <w:jc w:val="center"/>
    </w:pPr>
    <w:rPr>
      <w:sz w:val="22"/>
    </w:rPr>
  </w:style>
  <w:style w:type="paragraph" w:styleId="13">
    <w:name w:val="Body Text 2"/>
    <w:basedOn w:val="1"/>
    <w:qFormat/>
    <w:uiPriority w:val="0"/>
    <w:pPr>
      <w:spacing w:line="280" w:lineRule="exact"/>
      <w:jc w:val="center"/>
    </w:pPr>
    <w:rPr>
      <w:sz w:val="22"/>
    </w:rPr>
  </w:style>
  <w:style w:type="paragraph" w:styleId="14">
    <w:name w:val="Title"/>
    <w:basedOn w:val="1"/>
    <w:next w:val="1"/>
    <w:link w:val="25"/>
    <w:qFormat/>
    <w:uiPriority w:val="0"/>
    <w:pPr>
      <w:spacing w:before="240" w:after="60"/>
      <w:jc w:val="center"/>
      <w:outlineLvl w:val="0"/>
    </w:pPr>
    <w:rPr>
      <w:rFonts w:ascii="Cambria" w:hAnsi="Cambria"/>
      <w:b/>
      <w:bCs/>
      <w:sz w:val="32"/>
      <w:szCs w:val="32"/>
    </w:rPr>
  </w:style>
  <w:style w:type="character" w:styleId="17">
    <w:name w:val="page number"/>
    <w:basedOn w:val="16"/>
    <w:qFormat/>
    <w:uiPriority w:val="0"/>
  </w:style>
  <w:style w:type="character" w:styleId="18">
    <w:name w:val="Emphasis"/>
    <w:qFormat/>
    <w:uiPriority w:val="0"/>
    <w:rPr>
      <w:color w:val="CC0000"/>
    </w:rPr>
  </w:style>
  <w:style w:type="character" w:styleId="19">
    <w:name w:val="Hyperlink"/>
    <w:qFormat/>
    <w:uiPriority w:val="0"/>
    <w:rPr>
      <w:color w:val="0000CC"/>
      <w:u w:val="single"/>
    </w:rPr>
  </w:style>
  <w:style w:type="character" w:customStyle="1" w:styleId="20">
    <w:name w:val="narend1"/>
    <w:qFormat/>
    <w:uiPriority w:val="0"/>
    <w:rPr>
      <w:color w:val="333333"/>
    </w:rPr>
  </w:style>
  <w:style w:type="character" w:customStyle="1" w:styleId="21">
    <w:name w:val="批注框文本 字符"/>
    <w:link w:val="9"/>
    <w:qFormat/>
    <w:uiPriority w:val="0"/>
    <w:rPr>
      <w:rFonts w:eastAsia="宋体"/>
      <w:kern w:val="2"/>
      <w:sz w:val="18"/>
      <w:szCs w:val="18"/>
      <w:lang w:val="en-US" w:eastAsia="zh-CN" w:bidi="ar-SA"/>
    </w:rPr>
  </w:style>
  <w:style w:type="character" w:customStyle="1" w:styleId="22">
    <w:name w:val="页脚 字符"/>
    <w:link w:val="10"/>
    <w:qFormat/>
    <w:uiPriority w:val="0"/>
    <w:rPr>
      <w:rFonts w:eastAsia="宋体"/>
      <w:kern w:val="2"/>
      <w:sz w:val="18"/>
      <w:szCs w:val="18"/>
      <w:lang w:val="en-US" w:eastAsia="zh-CN" w:bidi="ar-SA"/>
    </w:rPr>
  </w:style>
  <w:style w:type="character" w:customStyle="1" w:styleId="23">
    <w:name w:val="页眉 字符"/>
    <w:link w:val="11"/>
    <w:qFormat/>
    <w:uiPriority w:val="0"/>
    <w:rPr>
      <w:rFonts w:eastAsia="宋体"/>
      <w:kern w:val="2"/>
      <w:sz w:val="18"/>
      <w:szCs w:val="18"/>
      <w:lang w:val="en-US" w:eastAsia="zh-CN" w:bidi="ar-SA"/>
    </w:rPr>
  </w:style>
  <w:style w:type="character" w:customStyle="1" w:styleId="24">
    <w:name w:val="long_text"/>
    <w:basedOn w:val="16"/>
    <w:qFormat/>
    <w:uiPriority w:val="0"/>
  </w:style>
  <w:style w:type="character" w:customStyle="1" w:styleId="25">
    <w:name w:val="标题 字符"/>
    <w:link w:val="14"/>
    <w:qFormat/>
    <w:uiPriority w:val="0"/>
    <w:rPr>
      <w:rFonts w:ascii="Cambria" w:hAnsi="Cambria" w:eastAsia="宋体"/>
      <w:b/>
      <w:bCs/>
      <w:kern w:val="2"/>
      <w:sz w:val="32"/>
      <w:szCs w:val="32"/>
      <w:lang w:val="en-US" w:eastAsia="zh-CN" w:bidi="ar-SA"/>
    </w:rPr>
  </w:style>
  <w:style w:type="paragraph" w:customStyle="1" w:styleId="26">
    <w:name w:val="xl26"/>
    <w:basedOn w:val="27"/>
    <w:qFormat/>
    <w:uiPriority w:val="0"/>
    <w:pPr>
      <w:pBdr>
        <w:top w:val="single" w:color="auto" w:sz="4" w:space="0"/>
        <w:left w:val="single" w:color="auto" w:sz="4" w:space="0"/>
        <w:bottom w:val="single" w:color="auto" w:sz="4" w:space="0"/>
        <w:right w:val="single" w:color="auto" w:sz="4" w:space="0"/>
      </w:pBdr>
      <w:jc w:val="center"/>
      <w:textAlignment w:val="center"/>
    </w:pPr>
    <w:rPr>
      <w:rFonts w:ascii="宋体" w:hAnsi="宋体"/>
      <w:u w:val="single"/>
    </w:rPr>
  </w:style>
  <w:style w:type="paragraph" w:customStyle="1" w:styleId="27">
    <w:name w:val="style0"/>
    <w:basedOn w:val="1"/>
    <w:qFormat/>
    <w:uiPriority w:val="0"/>
    <w:pPr>
      <w:widowControl/>
      <w:spacing w:before="100" w:beforeAutospacing="1" w:after="100" w:afterAutospacing="1"/>
      <w:jc w:val="left"/>
      <w:textAlignment w:val="bottom"/>
    </w:pPr>
    <w:rPr>
      <w:kern w:val="0"/>
      <w:sz w:val="24"/>
    </w:rPr>
  </w:style>
  <w:style w:type="paragraph" w:customStyle="1" w:styleId="28">
    <w:name w:val="xl29"/>
    <w:basedOn w:val="1"/>
    <w:qFormat/>
    <w:uiPriority w:val="0"/>
    <w:pPr>
      <w:widowControl/>
      <w:spacing w:before="100" w:beforeAutospacing="1" w:after="100" w:afterAutospacing="1"/>
      <w:jc w:val="center"/>
    </w:pPr>
    <w:rPr>
      <w:rFonts w:ascii="宋体" w:hAnsi="宋体"/>
      <w:kern w:val="0"/>
      <w:sz w:val="24"/>
    </w:rPr>
  </w:style>
  <w:style w:type="paragraph" w:customStyle="1" w:styleId="29">
    <w:name w:val="font5"/>
    <w:basedOn w:val="1"/>
    <w:qFormat/>
    <w:uiPriority w:val="0"/>
    <w:pPr>
      <w:widowControl/>
      <w:spacing w:before="100" w:beforeAutospacing="1" w:after="100" w:afterAutospacing="1"/>
      <w:jc w:val="left"/>
    </w:pPr>
    <w:rPr>
      <w:kern w:val="0"/>
      <w:sz w:val="24"/>
    </w:rPr>
  </w:style>
  <w:style w:type="paragraph" w:customStyle="1" w:styleId="30">
    <w:name w:val="xl36"/>
    <w:basedOn w:val="27"/>
    <w:qFormat/>
    <w:uiPriority w:val="0"/>
    <w:pPr>
      <w:pBdr>
        <w:top w:val="single" w:color="auto" w:sz="4" w:space="0"/>
        <w:left w:val="single" w:color="auto" w:sz="4" w:space="0"/>
        <w:bottom w:val="single" w:color="auto" w:sz="4" w:space="0"/>
        <w:right w:val="single" w:color="auto" w:sz="4" w:space="0"/>
      </w:pBdr>
      <w:jc w:val="center"/>
      <w:textAlignment w:val="center"/>
    </w:pPr>
    <w:rPr>
      <w:rFonts w:ascii="宋体" w:hAnsi="宋体"/>
      <w:color w:val="0000FF"/>
    </w:rPr>
  </w:style>
  <w:style w:type="paragraph" w:customStyle="1" w:styleId="31">
    <w:name w:val="xl65"/>
    <w:basedOn w:val="27"/>
    <w:qFormat/>
    <w:uiPriority w:val="0"/>
    <w:pPr>
      <w:pBdr>
        <w:left w:val="single" w:color="auto" w:sz="4" w:space="0"/>
        <w:bottom w:val="single" w:color="auto" w:sz="4" w:space="0"/>
        <w:right w:val="single" w:color="auto" w:sz="4" w:space="0"/>
      </w:pBdr>
      <w:jc w:val="center"/>
      <w:textAlignment w:val="center"/>
    </w:pPr>
    <w:rPr>
      <w:rFonts w:ascii="宋体" w:hAnsi="宋体"/>
    </w:rPr>
  </w:style>
  <w:style w:type="paragraph" w:customStyle="1" w:styleId="32">
    <w:name w:val="三级条标题"/>
    <w:next w:val="1"/>
    <w:qFormat/>
    <w:uiPriority w:val="0"/>
    <w:pPr>
      <w:outlineLvl w:val="4"/>
    </w:pPr>
    <w:rPr>
      <w:rFonts w:ascii="Times New Roman" w:hAnsi="Times New Roman" w:eastAsia="宋体" w:cs="Times New Roman"/>
      <w:lang w:val="en-US" w:eastAsia="zh-CN" w:bidi="ar-SA"/>
    </w:rPr>
  </w:style>
  <w:style w:type="paragraph" w:customStyle="1" w:styleId="33">
    <w:name w:val="章标题"/>
    <w:next w:val="1"/>
    <w:qFormat/>
    <w:uiPriority w:val="0"/>
    <w:pPr>
      <w:numPr>
        <w:ilvl w:val="1"/>
        <w:numId w:val="1"/>
      </w:numPr>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34">
    <w:name w:val="正文缩进1"/>
    <w:basedOn w:val="1"/>
    <w:qFormat/>
    <w:uiPriority w:val="0"/>
    <w:pPr>
      <w:widowControl/>
      <w:ind w:firstLine="420"/>
      <w:jc w:val="left"/>
    </w:pPr>
    <w:rPr>
      <w:kern w:val="0"/>
      <w:sz w:val="20"/>
      <w:szCs w:val="20"/>
    </w:rPr>
  </w:style>
  <w:style w:type="paragraph" w:customStyle="1" w:styleId="35">
    <w:name w:val="font1"/>
    <w:basedOn w:val="1"/>
    <w:qFormat/>
    <w:uiPriority w:val="0"/>
    <w:pPr>
      <w:widowControl/>
      <w:spacing w:before="100" w:beforeAutospacing="1" w:after="100" w:afterAutospacing="1"/>
      <w:jc w:val="left"/>
    </w:pPr>
    <w:rPr>
      <w:kern w:val="0"/>
      <w:sz w:val="24"/>
    </w:rPr>
  </w:style>
  <w:style w:type="paragraph" w:customStyle="1" w:styleId="36">
    <w:name w:val="xl33"/>
    <w:basedOn w:val="27"/>
    <w:qFormat/>
    <w:uiPriority w:val="0"/>
    <w:pPr>
      <w:pBdr>
        <w:top w:val="single" w:color="auto" w:sz="4" w:space="0"/>
        <w:left w:val="single" w:color="auto" w:sz="4" w:space="0"/>
        <w:bottom w:val="single" w:color="auto" w:sz="4" w:space="0"/>
        <w:right w:val="single" w:color="auto" w:sz="4" w:space="0"/>
      </w:pBdr>
      <w:jc w:val="center"/>
      <w:textAlignment w:val="center"/>
    </w:pPr>
    <w:rPr>
      <w:rFonts w:ascii="宋体" w:hAnsi="宋体"/>
      <w:color w:val="0000FF"/>
    </w:rPr>
  </w:style>
  <w:style w:type="paragraph" w:customStyle="1" w:styleId="37">
    <w:name w:val="xl43"/>
    <w:basedOn w:val="27"/>
    <w:qFormat/>
    <w:uiPriority w:val="0"/>
    <w:pPr>
      <w:pBdr>
        <w:top w:val="single" w:color="auto" w:sz="4" w:space="0"/>
        <w:bottom w:val="single" w:color="auto" w:sz="4" w:space="0"/>
      </w:pBdr>
      <w:jc w:val="center"/>
      <w:textAlignment w:val="center"/>
    </w:pPr>
    <w:rPr>
      <w:rFonts w:ascii="宋体" w:hAnsi="宋体"/>
      <w:color w:val="FF0000"/>
    </w:rPr>
  </w:style>
  <w:style w:type="paragraph" w:customStyle="1" w:styleId="38">
    <w:name w:val="xl66"/>
    <w:basedOn w:val="27"/>
    <w:qFormat/>
    <w:uiPriority w:val="0"/>
    <w:pPr>
      <w:pBdr>
        <w:top w:val="single" w:color="auto" w:sz="4" w:space="0"/>
        <w:left w:val="single" w:color="auto" w:sz="4" w:space="0"/>
        <w:bottom w:val="single" w:color="auto" w:sz="4" w:space="0"/>
        <w:right w:val="single" w:color="auto" w:sz="4" w:space="0"/>
      </w:pBdr>
      <w:jc w:val="center"/>
      <w:textAlignment w:val="center"/>
    </w:pPr>
    <w:rPr>
      <w:rFonts w:ascii="宋体" w:hAnsi="宋体"/>
      <w:color w:val="0000FF"/>
      <w:u w:val="single"/>
    </w:rPr>
  </w:style>
  <w:style w:type="paragraph" w:customStyle="1" w:styleId="39">
    <w:name w:val="xl45"/>
    <w:basedOn w:val="27"/>
    <w:qFormat/>
    <w:uiPriority w:val="0"/>
    <w:pPr>
      <w:pBdr>
        <w:top w:val="single" w:color="auto" w:sz="4" w:space="0"/>
        <w:left w:val="single" w:color="auto" w:sz="4" w:space="0"/>
        <w:bottom w:val="single" w:color="auto" w:sz="4" w:space="0"/>
      </w:pBdr>
      <w:jc w:val="center"/>
      <w:textAlignment w:val="center"/>
    </w:pPr>
    <w:rPr>
      <w:rFonts w:ascii="宋体" w:hAnsi="宋体"/>
    </w:rPr>
  </w:style>
  <w:style w:type="paragraph" w:customStyle="1" w:styleId="40">
    <w:name w:val="xl31"/>
    <w:basedOn w:val="27"/>
    <w:qFormat/>
    <w:uiPriority w:val="0"/>
    <w:pPr>
      <w:pBdr>
        <w:top w:val="single" w:color="auto" w:sz="4" w:space="0"/>
        <w:left w:val="single" w:color="auto" w:sz="4" w:space="0"/>
        <w:bottom w:val="single" w:color="auto" w:sz="4" w:space="0"/>
        <w:right w:val="single" w:color="auto" w:sz="4" w:space="0"/>
      </w:pBdr>
      <w:jc w:val="center"/>
      <w:textAlignment w:val="center"/>
    </w:pPr>
    <w:rPr>
      <w:rFonts w:ascii="宋体" w:hAnsi="宋体"/>
      <w:u w:val="single"/>
    </w:rPr>
  </w:style>
  <w:style w:type="paragraph" w:customStyle="1" w:styleId="41">
    <w:name w:val="xl24"/>
    <w:basedOn w:val="27"/>
    <w:qFormat/>
    <w:uiPriority w:val="0"/>
    <w:pPr>
      <w:textAlignment w:val="auto"/>
    </w:pPr>
    <w:rPr>
      <w:rFonts w:ascii="宋体" w:hAnsi="宋体"/>
    </w:rPr>
  </w:style>
  <w:style w:type="paragraph" w:customStyle="1" w:styleId="42">
    <w:name w:val="xl60"/>
    <w:basedOn w:val="27"/>
    <w:qFormat/>
    <w:uiPriority w:val="0"/>
    <w:pPr>
      <w:pBdr>
        <w:top w:val="single" w:color="auto" w:sz="4" w:space="0"/>
        <w:left w:val="single" w:color="auto" w:sz="4" w:space="0"/>
        <w:bottom w:val="single" w:color="auto" w:sz="4" w:space="0"/>
        <w:right w:val="single" w:color="auto" w:sz="4" w:space="0"/>
      </w:pBdr>
      <w:jc w:val="center"/>
      <w:textAlignment w:val="center"/>
    </w:pPr>
    <w:rPr>
      <w:rFonts w:ascii="宋体" w:hAnsi="宋体"/>
    </w:rPr>
  </w:style>
  <w:style w:type="paragraph" w:customStyle="1" w:styleId="43">
    <w:name w:val="xl32"/>
    <w:basedOn w:val="27"/>
    <w:qFormat/>
    <w:uiPriority w:val="0"/>
    <w:pPr>
      <w:pBdr>
        <w:top w:val="single" w:color="auto" w:sz="4" w:space="0"/>
        <w:left w:val="single" w:color="auto" w:sz="4" w:space="0"/>
        <w:bottom w:val="single" w:color="auto" w:sz="4" w:space="0"/>
        <w:right w:val="single" w:color="auto" w:sz="4" w:space="0"/>
      </w:pBdr>
      <w:textAlignment w:val="center"/>
    </w:pPr>
    <w:rPr>
      <w:rFonts w:ascii="宋体" w:hAnsi="宋体"/>
    </w:rPr>
  </w:style>
  <w:style w:type="paragraph" w:customStyle="1" w:styleId="44">
    <w:name w:val="xl46"/>
    <w:basedOn w:val="27"/>
    <w:qFormat/>
    <w:uiPriority w:val="0"/>
    <w:pPr>
      <w:pBdr>
        <w:top w:val="single" w:color="auto" w:sz="4" w:space="0"/>
        <w:bottom w:val="single" w:color="auto" w:sz="4" w:space="0"/>
      </w:pBdr>
      <w:textAlignment w:val="center"/>
    </w:pPr>
    <w:rPr>
      <w:rFonts w:ascii="宋体" w:hAnsi="宋体"/>
    </w:rPr>
  </w:style>
  <w:style w:type="paragraph" w:customStyle="1" w:styleId="45">
    <w:name w:val="Char"/>
    <w:basedOn w:val="1"/>
    <w:qFormat/>
    <w:uiPriority w:val="0"/>
    <w:pPr>
      <w:tabs>
        <w:tab w:val="left" w:pos="360"/>
      </w:tabs>
    </w:pPr>
  </w:style>
  <w:style w:type="paragraph" w:customStyle="1" w:styleId="46">
    <w:name w:val="xl49"/>
    <w:basedOn w:val="27"/>
    <w:qFormat/>
    <w:uiPriority w:val="0"/>
    <w:pPr>
      <w:pBdr>
        <w:top w:val="single" w:color="auto" w:sz="4" w:space="0"/>
        <w:bottom w:val="single" w:color="auto" w:sz="4" w:space="0"/>
        <w:right w:val="single" w:color="auto" w:sz="4" w:space="0"/>
      </w:pBdr>
      <w:jc w:val="center"/>
      <w:textAlignment w:val="center"/>
    </w:pPr>
    <w:rPr>
      <w:rFonts w:ascii="宋体" w:hAnsi="宋体"/>
    </w:rPr>
  </w:style>
  <w:style w:type="paragraph" w:customStyle="1" w:styleId="47">
    <w:name w:val="xl52"/>
    <w:basedOn w:val="27"/>
    <w:qFormat/>
    <w:uiPriority w:val="0"/>
    <w:pPr>
      <w:pBdr>
        <w:top w:val="single" w:color="auto" w:sz="4" w:space="0"/>
        <w:left w:val="single" w:color="auto" w:sz="4" w:space="0"/>
        <w:right w:val="single" w:color="auto" w:sz="4" w:space="0"/>
      </w:pBdr>
      <w:jc w:val="center"/>
      <w:textAlignment w:val="center"/>
    </w:pPr>
    <w:rPr>
      <w:rFonts w:ascii="宋体" w:hAnsi="宋体"/>
    </w:rPr>
  </w:style>
  <w:style w:type="paragraph" w:customStyle="1" w:styleId="48">
    <w:name w:val="xl58"/>
    <w:basedOn w:val="27"/>
    <w:qFormat/>
    <w:uiPriority w:val="0"/>
    <w:pPr>
      <w:pBdr>
        <w:top w:val="single" w:color="auto" w:sz="4" w:space="0"/>
      </w:pBdr>
      <w:textAlignment w:val="center"/>
    </w:pPr>
    <w:rPr>
      <w:rFonts w:ascii="宋体" w:hAnsi="宋体"/>
    </w:rPr>
  </w:style>
  <w:style w:type="paragraph" w:customStyle="1" w:styleId="49">
    <w:name w:val="xl51"/>
    <w:basedOn w:val="27"/>
    <w:qFormat/>
    <w:uiPriority w:val="0"/>
    <w:pPr>
      <w:pBdr>
        <w:top w:val="single" w:color="auto" w:sz="4" w:space="0"/>
        <w:bottom w:val="single" w:color="auto" w:sz="4" w:space="0"/>
        <w:right w:val="single" w:color="auto" w:sz="4" w:space="0"/>
      </w:pBdr>
      <w:textAlignment w:val="center"/>
    </w:pPr>
    <w:rPr>
      <w:rFonts w:ascii="宋体" w:hAnsi="宋体"/>
    </w:rPr>
  </w:style>
  <w:style w:type="paragraph" w:customStyle="1" w:styleId="50">
    <w:name w:val="xl57"/>
    <w:basedOn w:val="27"/>
    <w:qFormat/>
    <w:uiPriority w:val="0"/>
    <w:pPr>
      <w:pBdr>
        <w:top w:val="single" w:color="auto" w:sz="4" w:space="0"/>
        <w:left w:val="single" w:color="auto" w:sz="4" w:space="0"/>
      </w:pBdr>
      <w:textAlignment w:val="center"/>
    </w:pPr>
    <w:rPr>
      <w:rFonts w:ascii="宋体" w:hAnsi="宋体"/>
    </w:rPr>
  </w:style>
  <w:style w:type="paragraph" w:customStyle="1" w:styleId="51">
    <w:name w:val="xl40"/>
    <w:basedOn w:val="27"/>
    <w:qFormat/>
    <w:uiPriority w:val="0"/>
    <w:pPr>
      <w:pBdr>
        <w:top w:val="single" w:color="auto" w:sz="4" w:space="0"/>
        <w:bottom w:val="single" w:color="auto" w:sz="4" w:space="0"/>
      </w:pBdr>
      <w:textAlignment w:val="center"/>
    </w:pPr>
    <w:rPr>
      <w:rFonts w:ascii="宋体" w:hAnsi="宋体"/>
    </w:rPr>
  </w:style>
  <w:style w:type="paragraph" w:customStyle="1" w:styleId="52">
    <w:name w:val="xl61"/>
    <w:basedOn w:val="27"/>
    <w:qFormat/>
    <w:uiPriority w:val="0"/>
    <w:pPr>
      <w:jc w:val="center"/>
      <w:textAlignment w:val="auto"/>
    </w:pPr>
    <w:rPr>
      <w:rFonts w:ascii="宋体" w:hAnsi="宋体"/>
    </w:rPr>
  </w:style>
  <w:style w:type="paragraph" w:customStyle="1" w:styleId="53">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
    <w:name w:val="xl55"/>
    <w:basedOn w:val="27"/>
    <w:qFormat/>
    <w:uiPriority w:val="0"/>
    <w:pPr>
      <w:pBdr>
        <w:top w:val="single" w:color="auto" w:sz="4" w:space="0"/>
        <w:left w:val="single" w:color="auto" w:sz="4" w:space="0"/>
        <w:bottom w:val="single" w:color="auto" w:sz="4" w:space="0"/>
        <w:right w:val="single" w:color="auto" w:sz="4" w:space="0"/>
      </w:pBdr>
      <w:textAlignment w:val="center"/>
    </w:pPr>
    <w:rPr>
      <w:rFonts w:ascii="宋体" w:hAnsi="宋体"/>
    </w:rPr>
  </w:style>
  <w:style w:type="paragraph" w:customStyle="1" w:styleId="55">
    <w:name w:val="xl25"/>
    <w:basedOn w:val="27"/>
    <w:qFormat/>
    <w:uiPriority w:val="0"/>
    <w:pPr>
      <w:pBdr>
        <w:top w:val="single" w:color="auto" w:sz="4" w:space="0"/>
        <w:left w:val="single" w:color="auto" w:sz="4" w:space="0"/>
        <w:bottom w:val="single" w:color="auto" w:sz="4" w:space="0"/>
        <w:right w:val="single" w:color="auto" w:sz="4" w:space="0"/>
      </w:pBdr>
      <w:jc w:val="center"/>
      <w:textAlignment w:val="center"/>
    </w:pPr>
    <w:rPr>
      <w:rFonts w:ascii="宋体" w:hAnsi="宋体"/>
    </w:rPr>
  </w:style>
  <w:style w:type="paragraph" w:customStyle="1" w:styleId="56">
    <w:name w:val="xl38"/>
    <w:basedOn w:val="27"/>
    <w:qFormat/>
    <w:uiPriority w:val="0"/>
    <w:pPr>
      <w:pBdr>
        <w:top w:val="single" w:color="auto" w:sz="4" w:space="0"/>
        <w:left w:val="single" w:color="auto" w:sz="4" w:space="0"/>
        <w:bottom w:val="single" w:color="auto" w:sz="4" w:space="0"/>
        <w:right w:val="single" w:color="auto" w:sz="4" w:space="0"/>
      </w:pBdr>
      <w:textAlignment w:val="center"/>
    </w:pPr>
    <w:rPr>
      <w:rFonts w:ascii="宋体" w:hAnsi="宋体"/>
    </w:rPr>
  </w:style>
  <w:style w:type="paragraph" w:customStyle="1" w:styleId="57">
    <w:name w:val="xl62"/>
    <w:basedOn w:val="27"/>
    <w:qFormat/>
    <w:uiPriority w:val="0"/>
    <w:pPr>
      <w:pBdr>
        <w:top w:val="single" w:color="auto" w:sz="4" w:space="0"/>
        <w:left w:val="single" w:color="auto" w:sz="4" w:space="0"/>
        <w:bottom w:val="single" w:color="auto" w:sz="4" w:space="0"/>
      </w:pBdr>
      <w:jc w:val="center"/>
      <w:textAlignment w:val="center"/>
    </w:pPr>
    <w:rPr>
      <w:rFonts w:ascii="宋体" w:hAnsi="宋体"/>
    </w:rPr>
  </w:style>
  <w:style w:type="paragraph" w:customStyle="1" w:styleId="58">
    <w:name w:val="xl30"/>
    <w:basedOn w:val="27"/>
    <w:qFormat/>
    <w:uiPriority w:val="0"/>
    <w:pPr>
      <w:textAlignment w:val="auto"/>
    </w:pPr>
    <w:rPr>
      <w:rFonts w:ascii="宋体" w:hAnsi="宋体"/>
      <w:sz w:val="22"/>
      <w:szCs w:val="22"/>
    </w:rPr>
  </w:style>
  <w:style w:type="paragraph" w:customStyle="1" w:styleId="59">
    <w:name w:val="p0"/>
    <w:basedOn w:val="1"/>
    <w:qFormat/>
    <w:uiPriority w:val="0"/>
    <w:pPr>
      <w:widowControl/>
    </w:pPr>
    <w:rPr>
      <w:kern w:val="0"/>
      <w:szCs w:val="21"/>
    </w:rPr>
  </w:style>
  <w:style w:type="paragraph" w:customStyle="1" w:styleId="60">
    <w:name w:val="font7"/>
    <w:basedOn w:val="1"/>
    <w:qFormat/>
    <w:uiPriority w:val="0"/>
    <w:pPr>
      <w:widowControl/>
      <w:spacing w:before="100" w:beforeAutospacing="1" w:after="100" w:afterAutospacing="1"/>
      <w:jc w:val="left"/>
    </w:pPr>
    <w:rPr>
      <w:color w:val="0000FF"/>
      <w:kern w:val="0"/>
      <w:sz w:val="24"/>
    </w:rPr>
  </w:style>
  <w:style w:type="paragraph" w:customStyle="1" w:styleId="61">
    <w:name w:val="xl37"/>
    <w:basedOn w:val="27"/>
    <w:qFormat/>
    <w:uiPriority w:val="0"/>
    <w:pPr>
      <w:pBdr>
        <w:top w:val="single" w:color="auto" w:sz="4" w:space="0"/>
        <w:left w:val="single" w:color="auto" w:sz="4" w:space="0"/>
        <w:bottom w:val="single" w:color="auto" w:sz="4" w:space="0"/>
        <w:right w:val="single" w:color="auto" w:sz="4" w:space="0"/>
      </w:pBdr>
      <w:textAlignment w:val="center"/>
    </w:pPr>
    <w:rPr>
      <w:rFonts w:ascii="宋体" w:hAnsi="宋体"/>
      <w:color w:val="0000FF"/>
    </w:rPr>
  </w:style>
  <w:style w:type="paragraph" w:customStyle="1" w:styleId="62">
    <w:name w:val="Char Char Char Char"/>
    <w:basedOn w:val="1"/>
    <w:qFormat/>
    <w:uiPriority w:val="0"/>
    <w:pPr>
      <w:widowControl/>
      <w:spacing w:after="160" w:line="240" w:lineRule="exact"/>
      <w:jc w:val="left"/>
    </w:pPr>
  </w:style>
  <w:style w:type="paragraph" w:customStyle="1" w:styleId="63">
    <w:name w:val="tgt2"/>
    <w:basedOn w:val="1"/>
    <w:qFormat/>
    <w:uiPriority w:val="0"/>
    <w:pPr>
      <w:widowControl/>
      <w:spacing w:after="107" w:line="360" w:lineRule="auto"/>
      <w:jc w:val="left"/>
    </w:pPr>
    <w:rPr>
      <w:rFonts w:ascii="宋体" w:hAnsi="宋体" w:cs="宋体"/>
      <w:b/>
      <w:bCs/>
      <w:kern w:val="0"/>
      <w:sz w:val="36"/>
      <w:szCs w:val="36"/>
    </w:rPr>
  </w:style>
  <w:style w:type="paragraph" w:customStyle="1" w:styleId="64">
    <w:name w:val="xl27"/>
    <w:basedOn w:val="27"/>
    <w:qFormat/>
    <w:uiPriority w:val="0"/>
    <w:pPr>
      <w:pBdr>
        <w:top w:val="single" w:color="auto" w:sz="4" w:space="0"/>
        <w:left w:val="single" w:color="auto" w:sz="4" w:space="0"/>
        <w:bottom w:val="single" w:color="auto" w:sz="4" w:space="0"/>
        <w:right w:val="single" w:color="auto" w:sz="4" w:space="0"/>
      </w:pBdr>
      <w:jc w:val="center"/>
      <w:textAlignment w:val="center"/>
    </w:pPr>
    <w:rPr>
      <w:rFonts w:ascii="宋体" w:hAnsi="宋体"/>
    </w:rPr>
  </w:style>
  <w:style w:type="paragraph" w:customStyle="1" w:styleId="65">
    <w:name w:val="font9"/>
    <w:basedOn w:val="1"/>
    <w:qFormat/>
    <w:uiPriority w:val="0"/>
    <w:pPr>
      <w:widowControl/>
      <w:spacing w:before="100" w:beforeAutospacing="1" w:after="100" w:afterAutospacing="1"/>
      <w:jc w:val="left"/>
    </w:pPr>
    <w:rPr>
      <w:kern w:val="0"/>
      <w:sz w:val="22"/>
      <w:szCs w:val="22"/>
    </w:rPr>
  </w:style>
  <w:style w:type="paragraph" w:customStyle="1" w:styleId="66">
    <w:name w:val="xl64"/>
    <w:basedOn w:val="27"/>
    <w:qFormat/>
    <w:uiPriority w:val="0"/>
    <w:pPr>
      <w:pBdr>
        <w:top w:val="single" w:color="auto" w:sz="4" w:space="0"/>
        <w:bottom w:val="single" w:color="auto" w:sz="4" w:space="0"/>
        <w:right w:val="single" w:color="auto" w:sz="4" w:space="0"/>
      </w:pBdr>
      <w:jc w:val="center"/>
      <w:textAlignment w:val="center"/>
    </w:pPr>
    <w:rPr>
      <w:rFonts w:ascii="宋体" w:hAnsi="宋体"/>
    </w:rPr>
  </w:style>
  <w:style w:type="paragraph" w:customStyle="1" w:styleId="67">
    <w:name w:val="xl47"/>
    <w:basedOn w:val="27"/>
    <w:qFormat/>
    <w:uiPriority w:val="0"/>
    <w:pPr>
      <w:pBdr>
        <w:top w:val="single" w:color="auto" w:sz="4" w:space="0"/>
        <w:bottom w:val="single" w:color="auto" w:sz="4" w:space="0"/>
        <w:right w:val="single" w:color="auto" w:sz="4" w:space="0"/>
      </w:pBdr>
      <w:textAlignment w:val="center"/>
    </w:pPr>
    <w:rPr>
      <w:rFonts w:ascii="宋体" w:hAnsi="宋体"/>
    </w:rPr>
  </w:style>
  <w:style w:type="paragraph" w:customStyle="1" w:styleId="68">
    <w:name w:val="xl54"/>
    <w:basedOn w:val="27"/>
    <w:qFormat/>
    <w:uiPriority w:val="0"/>
    <w:pPr>
      <w:pBdr>
        <w:top w:val="single" w:color="auto" w:sz="4" w:space="0"/>
        <w:left w:val="single" w:color="auto" w:sz="4" w:space="0"/>
        <w:bottom w:val="single" w:color="auto" w:sz="4" w:space="0"/>
      </w:pBdr>
      <w:textAlignment w:val="center"/>
    </w:pPr>
    <w:rPr>
      <w:rFonts w:ascii="宋体" w:hAnsi="宋体"/>
    </w:rPr>
  </w:style>
  <w:style w:type="paragraph" w:customStyle="1" w:styleId="69">
    <w:name w:val="xl35"/>
    <w:basedOn w:val="27"/>
    <w:qFormat/>
    <w:uiPriority w:val="0"/>
    <w:pPr>
      <w:pBdr>
        <w:top w:val="single" w:color="auto" w:sz="4" w:space="0"/>
        <w:left w:val="single" w:color="auto" w:sz="4" w:space="0"/>
        <w:right w:val="single" w:color="auto" w:sz="4" w:space="0"/>
      </w:pBdr>
      <w:textAlignment w:val="center"/>
    </w:pPr>
    <w:rPr>
      <w:rFonts w:ascii="宋体" w:hAnsi="宋体"/>
      <w:color w:val="0000FF"/>
    </w:rPr>
  </w:style>
  <w:style w:type="paragraph" w:customStyle="1" w:styleId="70">
    <w:name w:val="xl63"/>
    <w:basedOn w:val="27"/>
    <w:qFormat/>
    <w:uiPriority w:val="0"/>
    <w:pPr>
      <w:pBdr>
        <w:top w:val="single" w:color="auto" w:sz="4" w:space="0"/>
        <w:bottom w:val="single" w:color="auto" w:sz="4" w:space="0"/>
      </w:pBdr>
      <w:jc w:val="center"/>
      <w:textAlignment w:val="center"/>
    </w:pPr>
    <w:rPr>
      <w:rFonts w:ascii="宋体" w:hAnsi="宋体"/>
    </w:rPr>
  </w:style>
  <w:style w:type="paragraph" w:customStyle="1" w:styleId="71">
    <w:name w:val="xl34"/>
    <w:basedOn w:val="27"/>
    <w:qFormat/>
    <w:uiPriority w:val="0"/>
    <w:pPr>
      <w:pBdr>
        <w:top w:val="single" w:color="auto" w:sz="4" w:space="0"/>
        <w:left w:val="single" w:color="auto" w:sz="4" w:space="0"/>
        <w:bottom w:val="single" w:color="auto" w:sz="4" w:space="0"/>
        <w:right w:val="single" w:color="auto" w:sz="4" w:space="0"/>
      </w:pBdr>
      <w:textAlignment w:val="center"/>
    </w:pPr>
    <w:rPr>
      <w:rFonts w:ascii="宋体" w:hAnsi="宋体"/>
      <w:color w:val="0000FF"/>
    </w:rPr>
  </w:style>
  <w:style w:type="paragraph" w:customStyle="1" w:styleId="72">
    <w:name w:val="xl28"/>
    <w:basedOn w:val="27"/>
    <w:qFormat/>
    <w:uiPriority w:val="0"/>
    <w:pPr>
      <w:pBdr>
        <w:top w:val="single" w:color="auto" w:sz="4" w:space="0"/>
        <w:left w:val="single" w:color="auto" w:sz="4" w:space="0"/>
        <w:bottom w:val="single" w:color="auto" w:sz="4" w:space="0"/>
        <w:right w:val="single" w:color="auto" w:sz="4" w:space="0"/>
      </w:pBdr>
      <w:textAlignment w:val="center"/>
    </w:pPr>
    <w:rPr>
      <w:rFonts w:ascii="宋体" w:hAnsi="宋体"/>
    </w:rPr>
  </w:style>
  <w:style w:type="paragraph" w:customStyle="1" w:styleId="73">
    <w:name w:val="xl42"/>
    <w:basedOn w:val="27"/>
    <w:qFormat/>
    <w:uiPriority w:val="0"/>
    <w:pPr>
      <w:pBdr>
        <w:top w:val="single" w:color="auto" w:sz="4" w:space="0"/>
        <w:left w:val="single" w:color="auto" w:sz="4" w:space="0"/>
        <w:bottom w:val="single" w:color="auto" w:sz="4" w:space="0"/>
      </w:pBdr>
      <w:jc w:val="center"/>
      <w:textAlignment w:val="center"/>
    </w:pPr>
    <w:rPr>
      <w:rFonts w:ascii="宋体" w:hAnsi="宋体"/>
      <w:color w:val="FF0000"/>
    </w:rPr>
  </w:style>
  <w:style w:type="paragraph" w:customStyle="1" w:styleId="74">
    <w:name w:val="xl59"/>
    <w:basedOn w:val="27"/>
    <w:qFormat/>
    <w:uiPriority w:val="0"/>
    <w:pPr>
      <w:pBdr>
        <w:top w:val="single" w:color="auto" w:sz="4" w:space="0"/>
        <w:right w:val="single" w:color="auto" w:sz="4" w:space="0"/>
      </w:pBdr>
      <w:textAlignment w:val="center"/>
    </w:pPr>
    <w:rPr>
      <w:rFonts w:ascii="宋体" w:hAnsi="宋体"/>
    </w:rPr>
  </w:style>
  <w:style w:type="paragraph" w:customStyle="1" w:styleId="75">
    <w:name w:val="xl41"/>
    <w:basedOn w:val="27"/>
    <w:qFormat/>
    <w:uiPriority w:val="0"/>
    <w:pPr>
      <w:pBdr>
        <w:top w:val="single" w:color="auto" w:sz="4" w:space="0"/>
        <w:bottom w:val="single" w:color="auto" w:sz="4" w:space="0"/>
        <w:right w:val="single" w:color="auto" w:sz="4" w:space="0"/>
      </w:pBdr>
      <w:textAlignment w:val="center"/>
    </w:pPr>
    <w:rPr>
      <w:rFonts w:ascii="宋体" w:hAnsi="宋体"/>
    </w:rPr>
  </w:style>
  <w:style w:type="paragraph" w:customStyle="1" w:styleId="76">
    <w:name w:val="默认段落字体 Para Char"/>
    <w:basedOn w:val="1"/>
    <w:qFormat/>
    <w:uiPriority w:val="0"/>
    <w:rPr>
      <w:rFonts w:ascii="Tahoma" w:hAnsi="Tahoma"/>
      <w:sz w:val="24"/>
      <w:szCs w:val="20"/>
    </w:rPr>
  </w:style>
  <w:style w:type="paragraph" w:customStyle="1" w:styleId="77">
    <w:name w:val="xl53"/>
    <w:basedOn w:val="27"/>
    <w:qFormat/>
    <w:uiPriority w:val="0"/>
    <w:pPr>
      <w:pBdr>
        <w:top w:val="single" w:color="auto" w:sz="4" w:space="0"/>
        <w:left w:val="single" w:color="auto" w:sz="4" w:space="0"/>
        <w:right w:val="single" w:color="auto" w:sz="4" w:space="0"/>
      </w:pBdr>
      <w:textAlignment w:val="center"/>
    </w:pPr>
    <w:rPr>
      <w:rFonts w:ascii="宋体" w:hAnsi="宋体"/>
    </w:rPr>
  </w:style>
  <w:style w:type="paragraph" w:customStyle="1" w:styleId="78">
    <w:name w:val="一级条标题"/>
    <w:basedOn w:val="33"/>
    <w:next w:val="1"/>
    <w:qFormat/>
    <w:uiPriority w:val="0"/>
    <w:pPr>
      <w:numPr>
        <w:ilvl w:val="2"/>
      </w:numPr>
      <w:spacing w:before="0" w:beforeLines="0" w:after="0" w:afterLines="0"/>
      <w:outlineLvl w:val="2"/>
    </w:pPr>
  </w:style>
  <w:style w:type="paragraph" w:customStyle="1" w:styleId="79">
    <w:name w:val="二级条标题"/>
    <w:next w:val="1"/>
    <w:qFormat/>
    <w:uiPriority w:val="0"/>
    <w:pPr>
      <w:ind w:left="2700"/>
      <w:outlineLvl w:val="3"/>
    </w:pPr>
    <w:rPr>
      <w:rFonts w:ascii="Times New Roman" w:hAnsi="Times New Roman" w:eastAsia="宋体" w:cs="Times New Roman"/>
      <w:lang w:val="en-US" w:eastAsia="zh-CN" w:bidi="ar-SA"/>
    </w:rPr>
  </w:style>
  <w:style w:type="paragraph" w:customStyle="1" w:styleId="80">
    <w:name w:val="xl44"/>
    <w:basedOn w:val="27"/>
    <w:qFormat/>
    <w:uiPriority w:val="0"/>
    <w:pPr>
      <w:pBdr>
        <w:top w:val="single" w:color="auto" w:sz="4" w:space="0"/>
        <w:bottom w:val="single" w:color="auto" w:sz="4" w:space="0"/>
        <w:right w:val="single" w:color="auto" w:sz="4" w:space="0"/>
      </w:pBdr>
      <w:jc w:val="center"/>
      <w:textAlignment w:val="center"/>
    </w:pPr>
    <w:rPr>
      <w:rFonts w:ascii="宋体" w:hAnsi="宋体"/>
      <w:color w:val="FF0000"/>
    </w:rPr>
  </w:style>
  <w:style w:type="paragraph" w:customStyle="1" w:styleId="81">
    <w:name w:val="xl56"/>
    <w:basedOn w:val="27"/>
    <w:qFormat/>
    <w:uiPriority w:val="0"/>
    <w:pPr>
      <w:pBdr>
        <w:top w:val="single" w:color="auto" w:sz="4" w:space="0"/>
        <w:left w:val="single" w:color="auto" w:sz="4" w:space="0"/>
        <w:right w:val="single" w:color="auto" w:sz="4" w:space="0"/>
      </w:pBdr>
      <w:jc w:val="center"/>
      <w:textAlignment w:val="center"/>
    </w:pPr>
    <w:rPr>
      <w:rFonts w:ascii="宋体" w:hAnsi="宋体"/>
    </w:rPr>
  </w:style>
  <w:style w:type="paragraph" w:customStyle="1" w:styleId="82">
    <w:name w:val="xl39"/>
    <w:basedOn w:val="27"/>
    <w:qFormat/>
    <w:uiPriority w:val="0"/>
    <w:pPr>
      <w:pBdr>
        <w:top w:val="single" w:color="auto" w:sz="4" w:space="0"/>
        <w:left w:val="single" w:color="auto" w:sz="4" w:space="0"/>
        <w:bottom w:val="single" w:color="auto" w:sz="4" w:space="0"/>
      </w:pBdr>
      <w:textAlignment w:val="center"/>
    </w:pPr>
    <w:rPr>
      <w:rFonts w:ascii="宋体" w:hAnsi="宋体"/>
    </w:rPr>
  </w:style>
  <w:style w:type="paragraph" w:customStyle="1" w:styleId="83">
    <w:name w:val="_Style 57"/>
    <w:basedOn w:val="1"/>
    <w:qFormat/>
    <w:uiPriority w:val="0"/>
    <w:pPr>
      <w:spacing w:line="440" w:lineRule="exact"/>
      <w:ind w:firstLine="540"/>
    </w:pPr>
    <w:rPr>
      <w:rFonts w:ascii="宋体"/>
      <w:color w:val="000000"/>
      <w:sz w:val="24"/>
      <w:szCs w:val="20"/>
    </w:rPr>
  </w:style>
  <w:style w:type="paragraph" w:customStyle="1" w:styleId="84">
    <w:name w:val="xl50"/>
    <w:basedOn w:val="27"/>
    <w:qFormat/>
    <w:uiPriority w:val="0"/>
    <w:pPr>
      <w:pBdr>
        <w:top w:val="single" w:color="auto" w:sz="4" w:space="0"/>
        <w:bottom w:val="single" w:color="auto" w:sz="4" w:space="0"/>
      </w:pBdr>
      <w:textAlignment w:val="center"/>
    </w:pPr>
    <w:rPr>
      <w:rFonts w:ascii="宋体" w:hAnsi="宋体"/>
    </w:rPr>
  </w:style>
  <w:style w:type="paragraph" w:customStyle="1" w:styleId="85">
    <w:name w:val="xl48"/>
    <w:basedOn w:val="27"/>
    <w:qFormat/>
    <w:uiPriority w:val="0"/>
    <w:pPr>
      <w:pBdr>
        <w:top w:val="single" w:color="auto" w:sz="4" w:space="0"/>
        <w:bottom w:val="single" w:color="auto" w:sz="4" w:space="0"/>
      </w:pBdr>
      <w:jc w:val="center"/>
      <w:textAlignment w:val="center"/>
    </w:pPr>
    <w:rPr>
      <w:rFonts w:ascii="宋体" w:hAnsi="宋体"/>
    </w:rPr>
  </w:style>
  <w:style w:type="paragraph" w:styleId="86">
    <w:name w:val="List Paragraph"/>
    <w:basedOn w:val="1"/>
    <w:qFormat/>
    <w:uiPriority w:val="99"/>
    <w:pPr>
      <w:ind w:firstLine="420" w:firstLineChars="200"/>
    </w:pPr>
  </w:style>
  <w:style w:type="character" w:customStyle="1" w:styleId="87">
    <w:name w:val="批注文字 字符"/>
    <w:basedOn w:val="16"/>
    <w:link w:val="2"/>
    <w:semiHidden/>
    <w:qFormat/>
    <w:uiPriority w:val="99"/>
    <w:rPr>
      <w:kern w:val="2"/>
      <w:sz w:val="21"/>
      <w:szCs w:val="24"/>
    </w:rPr>
  </w:style>
  <w:style w:type="paragraph" w:styleId="88">
    <w:name w:val="No Spacing"/>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HY.STANDARD</Company>
  <Pages>12</Pages>
  <Words>4439</Words>
  <Characters>4604</Characters>
  <Lines>61</Lines>
  <Paragraphs>17</Paragraphs>
  <TotalTime>18</TotalTime>
  <ScaleCrop>false</ScaleCrop>
  <LinksUpToDate>false</LinksUpToDate>
  <CharactersWithSpaces>4755</CharactersWithSpaces>
  <Application>WPS Office_11.8.2.12344_F1E327BC-269C-435d-A152-05C5408002CA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2023-02-07T06:54:00Z</dcterms:created>
  <dc:creator>pan</dc:creator>
  <cp:lastModifiedBy>lenovo</cp:lastModifiedBy>
  <cp:lastPrinted>2022-02-21T03:49:00Z</cp:lastPrinted>
  <dcterms:modified xsi:type="dcterms:W3CDTF">2025-05-14T09:37:29Z</dcterms:modified>
  <dc:title>检测原始记录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2052-11.8.2.12344</vt:lpwstr>
  </property>
  <property fmtid="{D5CDD505-2E9C-101B-9397-08002B2CF9AE}" pid="3" name="ICV">
    <vt:lpwstr>4736E97A16849F7FD9F32368671AB577</vt:lpwstr>
  </property>
  <property fmtid="{D5CDD505-2E9C-101B-9397-08002B2CF9AE}" pid="4" name="KSOTemplateDocerSaveRecord">
    <vt:lpwstr>eyJoZGlkIjoiNGJmM2UzY2JjNWJhNDkyZjM4NjUzNGQ2MWZhYmZmN2IiLCJ1c2VySWQiOiIzMDQ0Njg0ODIifQ==</vt:lpwstr>
  </property>
</Properties>
</file>