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val="0"/>
          <w:bCs/>
          <w:kern w:val="0"/>
          <w:sz w:val="32"/>
          <w:szCs w:val="32"/>
        </w:rPr>
      </w:pPr>
      <w:r>
        <w:rPr>
          <w:rFonts w:hint="eastAsia" w:ascii="宋体" w:hAnsi="宋体" w:cs="宋体"/>
          <w:b w:val="0"/>
          <w:bCs/>
          <w:kern w:val="0"/>
          <w:sz w:val="32"/>
          <w:szCs w:val="32"/>
        </w:rPr>
        <w:t>朔州高速公路管理有限公司二广高速大新段路况提升工程施工监理</w:t>
      </w:r>
    </w:p>
    <w:p>
      <w:pPr>
        <w:spacing w:line="360" w:lineRule="auto"/>
        <w:jc w:val="center"/>
        <w:rPr>
          <w:b w:val="0"/>
          <w:bCs/>
          <w:sz w:val="24"/>
        </w:rPr>
      </w:pPr>
      <w:r>
        <w:rPr>
          <w:rFonts w:hint="eastAsia" w:ascii="宋体" w:hAnsi="宋体" w:cs="宋体"/>
          <w:b w:val="0"/>
          <w:bCs/>
          <w:kern w:val="0"/>
          <w:sz w:val="32"/>
          <w:szCs w:val="32"/>
          <w:lang w:val="en-US" w:eastAsia="zh-CN"/>
        </w:rPr>
        <w:t>二次</w:t>
      </w:r>
      <w:r>
        <w:rPr>
          <w:rFonts w:hint="eastAsia" w:ascii="宋体" w:hAnsi="宋体" w:cs="宋体"/>
          <w:b w:val="0"/>
          <w:bCs/>
          <w:kern w:val="0"/>
          <w:sz w:val="32"/>
          <w:szCs w:val="32"/>
        </w:rPr>
        <w:t>招标关键内容公开</w:t>
      </w:r>
      <w:bookmarkStart w:id="8" w:name="_GoBack"/>
      <w:bookmarkEnd w:id="8"/>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一</w:t>
      </w:r>
      <w:r>
        <w:rPr>
          <w:rFonts w:hint="eastAsia" w:ascii="宋体" w:hAnsi="宋体" w:eastAsia="宋体" w:cs="宋体"/>
          <w:b w:val="0"/>
          <w:bCs/>
          <w:color w:val="auto"/>
          <w:highlight w:val="none"/>
        </w:rPr>
        <w:t>、项目概况与招标范围</w:t>
      </w:r>
    </w:p>
    <w:p>
      <w:pPr>
        <w:keepNext w:val="0"/>
        <w:keepLines w:val="0"/>
        <w:pageBreakBefore w:val="0"/>
        <w:widowControl w:val="0"/>
        <w:kinsoku/>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sz w:val="24"/>
          <w:highlight w:val="none"/>
          <w:lang w:val="en-US" w:eastAsia="zh-CN"/>
        </w:rPr>
      </w:pPr>
      <w:r>
        <w:rPr>
          <w:rFonts w:hint="eastAsia" w:cs="Times New Roman"/>
          <w:b w:val="0"/>
          <w:bCs/>
          <w:color w:val="auto"/>
          <w:sz w:val="24"/>
          <w:highlight w:val="none"/>
          <w:lang w:val="en-US" w:eastAsia="zh-CN"/>
        </w:rPr>
        <w:t>1</w:t>
      </w:r>
      <w:r>
        <w:rPr>
          <w:rFonts w:hint="default" w:ascii="Times New Roman" w:hAnsi="Times New Roman" w:eastAsia="宋体" w:cs="Times New Roman"/>
          <w:b w:val="0"/>
          <w:bCs/>
          <w:color w:val="auto"/>
          <w:sz w:val="24"/>
          <w:highlight w:val="none"/>
        </w:rPr>
        <w:t>.1项目</w:t>
      </w:r>
      <w:r>
        <w:rPr>
          <w:rFonts w:hint="default" w:ascii="Times New Roman" w:hAnsi="Times New Roman" w:eastAsia="宋体" w:cs="Times New Roman"/>
          <w:b w:val="0"/>
          <w:bCs/>
          <w:color w:val="auto"/>
          <w:sz w:val="24"/>
          <w:highlight w:val="none"/>
          <w:lang w:val="en-US" w:eastAsia="zh-CN"/>
        </w:rPr>
        <w:t>规模</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en-US" w:eastAsia="zh-CN"/>
        </w:rPr>
        <w:t>G55二广高速大新段路线全长97.009公里，设置山阴、应县、怀仁互通8座，大运枢纽、朔州枢纽2座。其中水泥路面主线长51公里，沥青路面45.992公里。</w:t>
      </w:r>
    </w:p>
    <w:p>
      <w:pPr>
        <w:keepNext w:val="0"/>
        <w:keepLines w:val="0"/>
        <w:pageBreakBefore w:val="0"/>
        <w:widowControl w:val="0"/>
        <w:kinsoku/>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二广高速大新段</w:t>
      </w:r>
      <w:r>
        <w:rPr>
          <w:rFonts w:hint="default" w:ascii="Times New Roman" w:hAnsi="Times New Roman" w:eastAsia="宋体" w:cs="Times New Roman"/>
          <w:b w:val="0"/>
          <w:bCs/>
          <w:color w:val="auto"/>
          <w:sz w:val="24"/>
          <w:highlight w:val="none"/>
          <w:lang w:val="en-US" w:eastAsia="zh-CN"/>
        </w:rPr>
        <w:t>自</w:t>
      </w:r>
      <w:r>
        <w:rPr>
          <w:rFonts w:hint="default" w:ascii="Times New Roman" w:hAnsi="Times New Roman" w:eastAsia="宋体" w:cs="Times New Roman"/>
          <w:b w:val="0"/>
          <w:bCs/>
          <w:color w:val="auto"/>
          <w:sz w:val="24"/>
          <w:highlight w:val="none"/>
        </w:rPr>
        <w:t>2003年通车以来，随着交通量的快速增长，路面病害有逐年增大的趋势。为了保证高速运营安全，提升服务水平，满足中华人民共和国行业标准《公路养护技术标准》（JTG5110-2023）规定的“高速公路路面技术状况（PQ）≥90，优等路率保持在88%以上”的要求，急需开展专项路面养护工程（大桥及特大桥桥面除外），提升路况技术指标，整体提升路容路貌。</w:t>
      </w:r>
    </w:p>
    <w:p>
      <w:pPr>
        <w:keepNext w:val="0"/>
        <w:keepLines w:val="0"/>
        <w:pageBreakBefore w:val="0"/>
        <w:widowControl w:val="0"/>
        <w:kinsoku/>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sz w:val="24"/>
          <w:highlight w:val="none"/>
        </w:rPr>
      </w:pPr>
      <w:r>
        <w:rPr>
          <w:rFonts w:hint="eastAsia" w:cs="Times New Roman"/>
          <w:b w:val="0"/>
          <w:bCs/>
          <w:color w:val="auto"/>
          <w:sz w:val="24"/>
          <w:highlight w:val="none"/>
          <w:lang w:val="en-US" w:eastAsia="zh-CN"/>
        </w:rPr>
        <w:t>1</w:t>
      </w:r>
      <w:r>
        <w:rPr>
          <w:rFonts w:hint="default" w:ascii="Times New Roman" w:hAnsi="Times New Roman" w:eastAsia="宋体" w:cs="Times New Roman"/>
          <w:b w:val="0"/>
          <w:bCs/>
          <w:color w:val="auto"/>
          <w:sz w:val="24"/>
          <w:highlight w:val="none"/>
        </w:rPr>
        <w:t>.2</w:t>
      </w:r>
      <w:r>
        <w:rPr>
          <w:rFonts w:hint="default" w:ascii="Times New Roman" w:hAnsi="Times New Roman" w:eastAsia="宋体" w:cs="Times New Roman"/>
          <w:b w:val="0"/>
          <w:bCs/>
          <w:color w:val="auto"/>
          <w:sz w:val="24"/>
          <w:highlight w:val="none"/>
          <w:lang w:val="en-US" w:eastAsia="zh-CN"/>
        </w:rPr>
        <w:t>招标内容与范围：本招标项目划分为1个标段，本次招标为其中的：</w:t>
      </w:r>
    </w:p>
    <w:p>
      <w:pPr>
        <w:keepNext w:val="0"/>
        <w:keepLines w:val="0"/>
        <w:pageBreakBefore w:val="0"/>
        <w:widowControl w:val="0"/>
        <w:kinsoku/>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rPr>
        <w:t>001标段：二广高速大新段路况提升工程施工监理服务</w:t>
      </w:r>
      <w:r>
        <w:rPr>
          <w:rFonts w:hint="default" w:ascii="Times New Roman" w:hAnsi="Times New Roman" w:eastAsia="宋体" w:cs="Times New Roman"/>
          <w:b w:val="0"/>
          <w:bCs/>
          <w:color w:val="auto"/>
          <w:sz w:val="24"/>
          <w:highlight w:val="none"/>
          <w:lang w:eastAsia="zh-CN"/>
        </w:rPr>
        <w:t>。</w:t>
      </w:r>
    </w:p>
    <w:p>
      <w:pPr>
        <w:keepNext w:val="0"/>
        <w:keepLines w:val="0"/>
        <w:pageBreakBefore w:val="0"/>
        <w:widowControl w:val="0"/>
        <w:kinsoku/>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sz w:val="24"/>
          <w:highlight w:val="none"/>
        </w:rPr>
      </w:pPr>
      <w:r>
        <w:rPr>
          <w:rFonts w:hint="eastAsia" w:cs="Times New Roman"/>
          <w:b w:val="0"/>
          <w:bCs/>
          <w:color w:val="auto"/>
          <w:sz w:val="24"/>
          <w:highlight w:val="none"/>
          <w:lang w:val="en-US" w:eastAsia="zh-CN"/>
        </w:rPr>
        <w:t>1</w:t>
      </w:r>
      <w:r>
        <w:rPr>
          <w:rFonts w:hint="default" w:ascii="Times New Roman" w:hAnsi="Times New Roman" w:eastAsia="宋体" w:cs="Times New Roman"/>
          <w:b w:val="0"/>
          <w:bCs/>
          <w:color w:val="auto"/>
          <w:sz w:val="24"/>
          <w:highlight w:val="none"/>
        </w:rPr>
        <w:t>.3监理服务期</w:t>
      </w:r>
      <w:r>
        <w:rPr>
          <w:rFonts w:hint="default" w:ascii="Times New Roman" w:hAnsi="Times New Roman" w:eastAsia="宋体" w:cs="Times New Roman"/>
          <w:b w:val="0"/>
          <w:bCs/>
          <w:color w:val="auto"/>
          <w:sz w:val="24"/>
          <w:highlight w:val="none"/>
          <w:lang w:val="en-US" w:eastAsia="zh-CN"/>
        </w:rPr>
        <w:t>限</w:t>
      </w:r>
      <w:r>
        <w:rPr>
          <w:rFonts w:hint="default" w:ascii="Times New Roman" w:hAnsi="Times New Roman" w:eastAsia="宋体" w:cs="Times New Roman"/>
          <w:b w:val="0"/>
          <w:bCs/>
          <w:color w:val="auto"/>
          <w:sz w:val="24"/>
          <w:highlight w:val="none"/>
        </w:rPr>
        <w:t>：18</w:t>
      </w:r>
      <w:r>
        <w:rPr>
          <w:rFonts w:hint="default" w:ascii="Times New Roman" w:hAnsi="Times New Roman" w:eastAsia="宋体" w:cs="Times New Roman"/>
          <w:b w:val="0"/>
          <w:bCs/>
          <w:color w:val="auto"/>
          <w:sz w:val="24"/>
          <w:highlight w:val="none"/>
          <w:lang w:val="en-US" w:eastAsia="zh-CN"/>
        </w:rPr>
        <w:t>.5</w:t>
      </w:r>
      <w:r>
        <w:rPr>
          <w:rFonts w:hint="default" w:ascii="Times New Roman" w:hAnsi="Times New Roman" w:eastAsia="宋体" w:cs="Times New Roman"/>
          <w:b w:val="0"/>
          <w:bCs/>
          <w:color w:val="auto"/>
          <w:sz w:val="24"/>
          <w:highlight w:val="none"/>
        </w:rPr>
        <w:t>个月</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其中，施工准备阶段监理</w:t>
      </w:r>
      <w:r>
        <w:rPr>
          <w:rFonts w:hint="default" w:ascii="Times New Roman" w:hAnsi="Times New Roman" w:eastAsia="宋体" w:cs="Times New Roman"/>
          <w:b w:val="0"/>
          <w:bCs/>
          <w:color w:val="auto"/>
          <w:sz w:val="24"/>
          <w:highlight w:val="none"/>
          <w:lang w:val="en-US" w:eastAsia="zh-CN"/>
        </w:rPr>
        <w:t>0.5</w:t>
      </w:r>
      <w:r>
        <w:rPr>
          <w:rFonts w:hint="default" w:ascii="Times New Roman" w:hAnsi="Times New Roman" w:eastAsia="宋体" w:cs="Times New Roman"/>
          <w:b w:val="0"/>
          <w:bCs/>
          <w:color w:val="auto"/>
          <w:sz w:val="24"/>
          <w:highlight w:val="none"/>
        </w:rPr>
        <w:t>个月，施工阶段监理</w:t>
      </w:r>
      <w:r>
        <w:rPr>
          <w:rFonts w:hint="default" w:ascii="Times New Roman" w:hAnsi="Times New Roman" w:eastAsia="宋体" w:cs="Times New Roman"/>
          <w:b w:val="0"/>
          <w:bCs/>
          <w:color w:val="auto"/>
          <w:sz w:val="24"/>
          <w:highlight w:val="none"/>
          <w:lang w:val="en-US" w:eastAsia="zh-CN"/>
        </w:rPr>
        <w:t>6</w:t>
      </w:r>
      <w:r>
        <w:rPr>
          <w:rFonts w:hint="default" w:ascii="Times New Roman" w:hAnsi="Times New Roman" w:eastAsia="宋体" w:cs="Times New Roman"/>
          <w:b w:val="0"/>
          <w:bCs/>
          <w:color w:val="auto"/>
          <w:sz w:val="24"/>
          <w:highlight w:val="none"/>
        </w:rPr>
        <w:t>个月，缺陷责任期阶段监理12个月</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二</w:t>
      </w:r>
      <w:r>
        <w:rPr>
          <w:rFonts w:hint="eastAsia" w:ascii="宋体" w:hAnsi="宋体" w:eastAsia="宋体" w:cs="宋体"/>
          <w:b w:val="0"/>
          <w:bCs/>
          <w:color w:val="auto"/>
          <w:highlight w:val="none"/>
        </w:rPr>
        <w:t>、投标人资格要求</w:t>
      </w:r>
    </w:p>
    <w:p>
      <w:pPr>
        <w:keepNext w:val="0"/>
        <w:keepLines w:val="0"/>
        <w:pageBreakBefore w:val="0"/>
        <w:widowControl w:val="0"/>
        <w:kinsoku/>
        <w:topLinePunct w:val="0"/>
        <w:autoSpaceDE/>
        <w:autoSpaceDN/>
        <w:bidi w:val="0"/>
        <w:snapToGrid w:val="0"/>
        <w:spacing w:line="360" w:lineRule="auto"/>
        <w:ind w:firstLine="480" w:firstLineChars="200"/>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001标段：</w:t>
      </w:r>
    </w:p>
    <w:p>
      <w:pPr>
        <w:snapToGrid w:val="0"/>
        <w:spacing w:line="360" w:lineRule="auto"/>
        <w:ind w:firstLine="480" w:firstLineChars="200"/>
        <w:rPr>
          <w:rFonts w:hint="default" w:ascii="Times New Roman" w:hAnsi="Times New Roman" w:cs="Times New Roman"/>
          <w:b w:val="0"/>
          <w:bCs/>
          <w:color w:val="auto"/>
          <w:sz w:val="24"/>
          <w:highlight w:val="none"/>
          <w:lang w:val="en-US" w:eastAsia="zh-CN"/>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.1本次招标要求投标人在中华人民共和国境内依法登记注册，具有独立法人资格及有效的营业执照，同时满足下列资质及业绩要求，并在人员、信誉等方面具有相应的施工监理能力。</w:t>
      </w:r>
    </w:p>
    <w:p>
      <w:pPr>
        <w:snapToGrid w:val="0"/>
        <w:spacing w:line="360" w:lineRule="auto"/>
        <w:ind w:firstLine="480" w:firstLineChars="200"/>
        <w:rPr>
          <w:rFonts w:hint="default" w:ascii="Times New Roman" w:hAnsi="Times New Roman" w:cs="Times New Roman"/>
          <w:b w:val="0"/>
          <w:bCs/>
          <w:color w:val="auto"/>
          <w:sz w:val="24"/>
          <w:highlight w:val="none"/>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.1.1</w:t>
      </w:r>
      <w:r>
        <w:rPr>
          <w:rFonts w:hint="default" w:ascii="Times New Roman" w:hAnsi="Times New Roman" w:cs="Times New Roman"/>
          <w:b w:val="0"/>
          <w:bCs/>
          <w:color w:val="auto"/>
          <w:sz w:val="24"/>
          <w:highlight w:val="none"/>
        </w:rPr>
        <w:t>资质要求</w:t>
      </w:r>
    </w:p>
    <w:p>
      <w:pPr>
        <w:snapToGrid w:val="0"/>
        <w:spacing w:line="360" w:lineRule="auto"/>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投标人须具备交通运输部颁发的公路工程甲级监理资质。</w:t>
      </w:r>
    </w:p>
    <w:p>
      <w:pPr>
        <w:keepNext w:val="0"/>
        <w:keepLines w:val="0"/>
        <w:pageBreakBefore w:val="0"/>
        <w:widowControl w:val="0"/>
        <w:kinsoku/>
        <w:wordWrap w:val="0"/>
        <w:overflowPunct w:val="0"/>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投标人应进入交通运输部“</w:t>
      </w:r>
      <w:r>
        <w:rPr>
          <w:rFonts w:hint="default" w:ascii="Times New Roman" w:hAnsi="Times New Roman" w:cs="Times New Roman"/>
          <w:b w:val="0"/>
          <w:bCs/>
          <w:color w:val="auto"/>
          <w:sz w:val="24"/>
          <w:highlight w:val="none"/>
          <w:lang w:eastAsia="zh-CN"/>
        </w:rPr>
        <w:t>全国公路建设市场监督管理系统</w:t>
      </w:r>
      <w:r>
        <w:rPr>
          <w:rFonts w:hint="default" w:ascii="Times New Roman" w:hAnsi="Times New Roman" w:cs="Times New Roman"/>
          <w:b w:val="0"/>
          <w:bCs/>
          <w:color w:val="auto"/>
          <w:sz w:val="24"/>
          <w:highlight w:val="none"/>
        </w:rPr>
        <w:t>（https://hwdms.mot.gov.cn/）”中的公路工程施工监理资质企业名录，且投标人名称和资质与该名录中的相应企业名称和资质完全一致。</w:t>
      </w:r>
    </w:p>
    <w:p>
      <w:pPr>
        <w:snapToGrid w:val="0"/>
        <w:spacing w:line="360" w:lineRule="auto"/>
        <w:ind w:firstLine="480" w:firstLineChars="200"/>
        <w:rPr>
          <w:rFonts w:hint="default" w:ascii="Times New Roman" w:hAnsi="Times New Roman" w:eastAsia="宋体" w:cs="Times New Roman"/>
          <w:b w:val="0"/>
          <w:bCs/>
          <w:color w:val="auto"/>
          <w:sz w:val="24"/>
          <w:highlight w:val="none"/>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.1.2</w:t>
      </w:r>
      <w:r>
        <w:rPr>
          <w:rFonts w:hint="default" w:ascii="Times New Roman" w:hAnsi="Times New Roman" w:cs="Times New Roman"/>
          <w:b w:val="0"/>
          <w:bCs/>
          <w:color w:val="auto"/>
          <w:sz w:val="24"/>
          <w:highlight w:val="none"/>
        </w:rPr>
        <w:t>业绩</w:t>
      </w:r>
      <w:r>
        <w:rPr>
          <w:rFonts w:hint="default" w:ascii="Times New Roman" w:hAnsi="Times New Roman" w:eastAsia="宋体" w:cs="Times New Roman"/>
          <w:b w:val="0"/>
          <w:bCs/>
          <w:color w:val="auto"/>
          <w:sz w:val="24"/>
          <w:highlight w:val="none"/>
        </w:rPr>
        <w:t>要求</w:t>
      </w:r>
    </w:p>
    <w:p>
      <w:pPr>
        <w:snapToGrid w:val="0"/>
        <w:spacing w:line="360" w:lineRule="auto"/>
        <w:ind w:firstLine="480" w:firstLineChars="200"/>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rPr>
        <w:t>投标人近五年内(2019年</w:t>
      </w:r>
      <w:r>
        <w:rPr>
          <w:rFonts w:hint="default" w:ascii="Times New Roman" w:hAnsi="Times New Roman" w:eastAsia="宋体" w:cs="Times New Roman"/>
          <w:b w:val="0"/>
          <w:bCs/>
          <w:color w:val="auto"/>
          <w:sz w:val="24"/>
          <w:highlight w:val="none"/>
          <w:lang w:val="en-US" w:eastAsia="zh-CN"/>
        </w:rPr>
        <w:t>9</w:t>
      </w:r>
      <w:r>
        <w:rPr>
          <w:rFonts w:hint="default" w:ascii="Times New Roman" w:hAnsi="Times New Roman" w:eastAsia="宋体" w:cs="Times New Roman"/>
          <w:b w:val="0"/>
          <w:bCs/>
          <w:color w:val="auto"/>
          <w:sz w:val="24"/>
          <w:highlight w:val="none"/>
          <w:lang w:eastAsia="zh-CN"/>
        </w:rPr>
        <w:t>月1日</w:t>
      </w:r>
      <w:r>
        <w:rPr>
          <w:rFonts w:hint="default" w:ascii="Times New Roman" w:hAnsi="Times New Roman" w:eastAsia="宋体" w:cs="Times New Roman"/>
          <w:b w:val="0"/>
          <w:bCs/>
          <w:color w:val="auto"/>
          <w:sz w:val="24"/>
          <w:highlight w:val="none"/>
        </w:rPr>
        <w:t>至投标文件递交截止日，以</w:t>
      </w:r>
      <w:r>
        <w:rPr>
          <w:rFonts w:hint="default" w:ascii="Times New Roman" w:hAnsi="Times New Roman" w:eastAsia="宋体" w:cs="Times New Roman"/>
          <w:b w:val="0"/>
          <w:bCs/>
          <w:color w:val="auto"/>
          <w:sz w:val="24"/>
          <w:highlight w:val="none"/>
          <w:lang w:eastAsia="zh-CN"/>
        </w:rPr>
        <w:t>交（竣）工</w:t>
      </w:r>
      <w:r>
        <w:rPr>
          <w:rFonts w:hint="default" w:ascii="Times New Roman" w:hAnsi="Times New Roman" w:eastAsia="宋体" w:cs="Times New Roman"/>
          <w:b w:val="0"/>
          <w:bCs/>
          <w:color w:val="auto"/>
          <w:sz w:val="24"/>
          <w:highlight w:val="none"/>
        </w:rPr>
        <w:t>验收时间为准)至少独立完成过</w:t>
      </w:r>
      <w:r>
        <w:rPr>
          <w:rFonts w:hint="default" w:ascii="Times New Roman" w:hAnsi="Times New Roman" w:eastAsia="宋体"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rPr>
        <w:t>项高速公路养护工程施工监理业绩（</w:t>
      </w:r>
      <w:r>
        <w:rPr>
          <w:rFonts w:hint="default" w:ascii="Times New Roman" w:hAnsi="Times New Roman" w:eastAsia="宋体" w:cs="Times New Roman"/>
          <w:b w:val="0"/>
          <w:bCs/>
          <w:color w:val="auto"/>
          <w:sz w:val="24"/>
          <w:highlight w:val="none"/>
          <w:lang w:val="en-US" w:eastAsia="zh-CN"/>
        </w:rPr>
        <w:t>主要工程量</w:t>
      </w:r>
      <w:r>
        <w:rPr>
          <w:rFonts w:hint="default" w:ascii="Times New Roman" w:hAnsi="Times New Roman" w:eastAsia="宋体" w:cs="Times New Roman"/>
          <w:b w:val="0"/>
          <w:bCs/>
          <w:color w:val="auto"/>
          <w:sz w:val="24"/>
          <w:highlight w:val="none"/>
        </w:rPr>
        <w:t>须包含路面工程）</w:t>
      </w:r>
      <w:r>
        <w:rPr>
          <w:rFonts w:hint="default" w:ascii="Times New Roman" w:hAnsi="Times New Roman" w:eastAsia="宋体" w:cs="Times New Roman"/>
          <w:b w:val="0"/>
          <w:bCs/>
          <w:color w:val="auto"/>
          <w:sz w:val="24"/>
          <w:highlight w:val="none"/>
          <w:lang w:eastAsia="zh-CN"/>
        </w:rPr>
        <w:t>。</w:t>
      </w:r>
    </w:p>
    <w:p>
      <w:pPr>
        <w:snapToGrid w:val="0"/>
        <w:spacing w:line="360" w:lineRule="auto"/>
        <w:ind w:firstLine="480" w:firstLineChars="200"/>
        <w:rPr>
          <w:rFonts w:hint="default" w:ascii="Times New Roman" w:hAnsi="Times New Roman" w:cs="Times New Roman"/>
          <w:b w:val="0"/>
          <w:bCs/>
          <w:color w:val="auto"/>
          <w:sz w:val="24"/>
          <w:highlight w:val="none"/>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.1.3</w:t>
      </w:r>
      <w:r>
        <w:rPr>
          <w:rFonts w:hint="default" w:ascii="Times New Roman" w:hAnsi="Times New Roman" w:cs="Times New Roman"/>
          <w:b w:val="0"/>
          <w:bCs/>
          <w:color w:val="auto"/>
          <w:sz w:val="24"/>
          <w:highlight w:val="none"/>
        </w:rPr>
        <w:t>财务要求</w:t>
      </w:r>
    </w:p>
    <w:p>
      <w:pPr>
        <w:snapToGrid w:val="0"/>
        <w:spacing w:line="360" w:lineRule="auto"/>
        <w:ind w:firstLine="480" w:firstLineChars="200"/>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i w:val="0"/>
          <w:iCs w:val="0"/>
          <w:caps w:val="0"/>
          <w:color w:val="auto"/>
          <w:spacing w:val="0"/>
          <w:sz w:val="24"/>
          <w:szCs w:val="24"/>
          <w:highlight w:val="none"/>
          <w:shd w:val="clear" w:color="auto" w:fill="auto"/>
        </w:rPr>
        <w:t>投标人须提供具备审计资格的第三方出具的2023年度的审计报告且年度(年末）流动资产与流动负债的比率大于1</w:t>
      </w:r>
      <w:r>
        <w:rPr>
          <w:rFonts w:hint="default" w:ascii="Times New Roman" w:hAnsi="Times New Roman" w:eastAsia="宋体" w:cs="Times New Roman"/>
          <w:b w:val="0"/>
          <w:bCs/>
          <w:color w:val="auto"/>
          <w:sz w:val="24"/>
          <w:highlight w:val="none"/>
        </w:rPr>
        <w:t>。</w:t>
      </w:r>
    </w:p>
    <w:p>
      <w:pPr>
        <w:snapToGrid w:val="0"/>
        <w:spacing w:line="360" w:lineRule="auto"/>
        <w:ind w:firstLine="480" w:firstLineChars="200"/>
        <w:rPr>
          <w:rFonts w:hint="default" w:ascii="Times New Roman" w:hAnsi="Times New Roman" w:cs="Times New Roman"/>
          <w:b w:val="0"/>
          <w:bCs/>
          <w:color w:val="auto"/>
          <w:sz w:val="24"/>
          <w:highlight w:val="none"/>
          <w:lang w:val="en-US" w:eastAsia="zh-CN"/>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.1.4人员要求</w:t>
      </w:r>
    </w:p>
    <w:p>
      <w:pPr>
        <w:snapToGrid w:val="0"/>
        <w:spacing w:line="360" w:lineRule="auto"/>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拟任总监理工程师</w:t>
      </w:r>
      <w:r>
        <w:rPr>
          <w:rFonts w:hint="default" w:ascii="Times New Roman" w:hAnsi="Times New Roman" w:cs="Times New Roman"/>
          <w:b w:val="0"/>
          <w:bCs/>
          <w:color w:val="auto"/>
          <w:sz w:val="24"/>
          <w:highlight w:val="none"/>
          <w:lang w:val="en-US" w:eastAsia="zh-CN"/>
        </w:rPr>
        <w:t>1人，</w:t>
      </w:r>
      <w:r>
        <w:rPr>
          <w:rFonts w:hint="default" w:ascii="Times New Roman" w:hAnsi="Times New Roman" w:cs="Times New Roman"/>
          <w:b w:val="0"/>
          <w:bCs/>
          <w:color w:val="auto"/>
          <w:sz w:val="24"/>
          <w:highlight w:val="none"/>
        </w:rPr>
        <w:t>高级工程师</w:t>
      </w:r>
      <w:r>
        <w:rPr>
          <w:rFonts w:hint="default" w:ascii="Times New Roman" w:hAnsi="Times New Roman" w:cs="Times New Roman"/>
          <w:b w:val="0"/>
          <w:bCs/>
          <w:color w:val="auto"/>
          <w:sz w:val="24"/>
          <w:highlight w:val="none"/>
          <w:lang w:val="en-US" w:eastAsia="zh-CN"/>
        </w:rPr>
        <w:t>及</w:t>
      </w:r>
      <w:r>
        <w:rPr>
          <w:rFonts w:hint="default" w:ascii="Times New Roman" w:hAnsi="Times New Roman" w:cs="Times New Roman"/>
          <w:b w:val="0"/>
          <w:bCs/>
          <w:color w:val="auto"/>
          <w:sz w:val="24"/>
          <w:highlight w:val="none"/>
        </w:rPr>
        <w:t>以上职称（公路工程相关专业），须持有交通运输部颁发的监理工程师注册证书或公路工程监理工程师证书，且注册单位</w:t>
      </w:r>
      <w:r>
        <w:rPr>
          <w:rFonts w:hint="default" w:ascii="Times New Roman" w:hAnsi="Times New Roman" w:cs="Times New Roman"/>
          <w:b w:val="0"/>
          <w:bCs/>
          <w:color w:val="auto"/>
          <w:sz w:val="24"/>
          <w:highlight w:val="none"/>
          <w:lang w:val="en-US" w:eastAsia="zh-CN"/>
        </w:rPr>
        <w:t>必须</w:t>
      </w:r>
      <w:r>
        <w:rPr>
          <w:rFonts w:hint="default" w:ascii="Times New Roman" w:hAnsi="Times New Roman" w:cs="Times New Roman"/>
          <w:b w:val="0"/>
          <w:bCs/>
          <w:color w:val="auto"/>
          <w:sz w:val="24"/>
          <w:highlight w:val="none"/>
        </w:rPr>
        <w:t>与投标人名称一致，作为总监理工程师或副总监理工程师近五年内</w:t>
      </w:r>
      <w:r>
        <w:rPr>
          <w:rFonts w:hint="default" w:ascii="Times New Roman" w:hAnsi="Times New Roman" w:eastAsia="宋体" w:cs="Times New Roman"/>
          <w:b w:val="0"/>
          <w:bCs/>
          <w:color w:val="auto"/>
          <w:sz w:val="24"/>
          <w:highlight w:val="none"/>
        </w:rPr>
        <w:t>(2019年</w:t>
      </w:r>
      <w:r>
        <w:rPr>
          <w:rFonts w:hint="default" w:ascii="Times New Roman" w:hAnsi="Times New Roman" w:eastAsia="宋体" w:cs="Times New Roman"/>
          <w:b w:val="0"/>
          <w:bCs/>
          <w:color w:val="auto"/>
          <w:sz w:val="24"/>
          <w:highlight w:val="none"/>
          <w:lang w:val="en-US" w:eastAsia="zh-CN"/>
        </w:rPr>
        <w:t>9</w:t>
      </w:r>
      <w:r>
        <w:rPr>
          <w:rFonts w:hint="default" w:ascii="Times New Roman" w:hAnsi="Times New Roman" w:eastAsia="宋体" w:cs="Times New Roman"/>
          <w:b w:val="0"/>
          <w:bCs/>
          <w:color w:val="auto"/>
          <w:sz w:val="24"/>
          <w:highlight w:val="none"/>
          <w:lang w:eastAsia="zh-CN"/>
        </w:rPr>
        <w:t>月1日</w:t>
      </w:r>
      <w:r>
        <w:rPr>
          <w:rFonts w:hint="default" w:ascii="Times New Roman" w:hAnsi="Times New Roman" w:eastAsia="宋体" w:cs="Times New Roman"/>
          <w:b w:val="0"/>
          <w:bCs/>
          <w:color w:val="auto"/>
          <w:sz w:val="24"/>
          <w:highlight w:val="none"/>
        </w:rPr>
        <w:t>至投标文件递交截止日，以</w:t>
      </w:r>
      <w:r>
        <w:rPr>
          <w:rFonts w:hint="default" w:ascii="Times New Roman" w:hAnsi="Times New Roman" w:eastAsia="宋体" w:cs="Times New Roman"/>
          <w:b w:val="0"/>
          <w:bCs/>
          <w:color w:val="auto"/>
          <w:sz w:val="24"/>
          <w:highlight w:val="none"/>
          <w:lang w:eastAsia="zh-CN"/>
        </w:rPr>
        <w:t>交（竣）工</w:t>
      </w:r>
      <w:r>
        <w:rPr>
          <w:rFonts w:hint="default" w:ascii="Times New Roman" w:hAnsi="Times New Roman" w:eastAsia="宋体" w:cs="Times New Roman"/>
          <w:b w:val="0"/>
          <w:bCs/>
          <w:color w:val="auto"/>
          <w:sz w:val="24"/>
          <w:highlight w:val="none"/>
        </w:rPr>
        <w:t>验收时间为准</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cs="Times New Roman"/>
          <w:b w:val="0"/>
          <w:bCs/>
          <w:color w:val="auto"/>
          <w:sz w:val="24"/>
          <w:highlight w:val="none"/>
        </w:rPr>
        <w:t>至少完成过</w:t>
      </w:r>
      <w:r>
        <w:rPr>
          <w:rFonts w:hint="default" w:ascii="Times New Roman" w:hAnsi="Times New Roman" w:cs="Times New Roman"/>
          <w:b w:val="0"/>
          <w:bCs/>
          <w:color w:val="auto"/>
          <w:sz w:val="24"/>
          <w:highlight w:val="none"/>
          <w:lang w:val="en-US" w:eastAsia="zh-CN"/>
        </w:rPr>
        <w:t>1</w:t>
      </w:r>
      <w:r>
        <w:rPr>
          <w:rFonts w:hint="default" w:ascii="Times New Roman" w:hAnsi="Times New Roman" w:cs="Times New Roman"/>
          <w:b w:val="0"/>
          <w:bCs/>
          <w:color w:val="auto"/>
          <w:sz w:val="24"/>
          <w:highlight w:val="none"/>
        </w:rPr>
        <w:t>项高速公路养护工程施工监理业绩（</w:t>
      </w:r>
      <w:r>
        <w:rPr>
          <w:rFonts w:hint="default" w:ascii="Times New Roman" w:hAnsi="Times New Roman" w:cs="Times New Roman"/>
          <w:b w:val="0"/>
          <w:bCs/>
          <w:color w:val="auto"/>
          <w:sz w:val="24"/>
          <w:highlight w:val="none"/>
          <w:lang w:val="en-US" w:eastAsia="zh-CN"/>
        </w:rPr>
        <w:t>主要工程量</w:t>
      </w:r>
      <w:r>
        <w:rPr>
          <w:rFonts w:hint="default" w:ascii="Times New Roman" w:hAnsi="Times New Roman" w:cs="Times New Roman"/>
          <w:b w:val="0"/>
          <w:bCs/>
          <w:color w:val="auto"/>
          <w:sz w:val="24"/>
          <w:highlight w:val="none"/>
        </w:rPr>
        <w:t>须包含路面工程）。</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eastAsia"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lang w:val="en-US" w:eastAsia="zh-CN"/>
        </w:rPr>
        <w:t>.1.5信誉要求</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①凡被交通运输部或山西省交通运输厅取消或暂停工程投标资格的单位，在处罚期内无资格参与本项目的投标；</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②投标人未被责令停业，暂扣或吊销执照，或吊销资质证书；</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③投标人未进入清算程序，或被宣告破产，或其他丧失履约能力的情形；</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④投标人在国家企业信用信息公示系统（http://www.gsxt.gov.cn/）中未被列入严重违法失信企业名单（黑名单）信息；</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⑤投标人在“信用中国”网站（http://www.creditchina.gov.cn/）中未被列入严重失信主体名单；</w:t>
      </w:r>
    </w:p>
    <w:p>
      <w:pPr>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⑥投标人及其法定代表人、拟任总监理工程师近三年内（2021年9月1日至今）无行贿犯罪行为。</w:t>
      </w:r>
    </w:p>
    <w:p>
      <w:pPr>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⑦</w:t>
      </w:r>
      <w:r>
        <w:rPr>
          <w:rFonts w:hint="default" w:ascii="Times New Roman" w:hAnsi="Times New Roman" w:eastAsia="宋体" w:cs="Times New Roman"/>
          <w:b w:val="0"/>
          <w:bCs/>
          <w:color w:val="auto"/>
          <w:sz w:val="24"/>
          <w:highlight w:val="none"/>
        </w:rPr>
        <w:t>投标人</w:t>
      </w:r>
      <w:r>
        <w:rPr>
          <w:rFonts w:hint="default" w:ascii="Times New Roman" w:hAnsi="Times New Roman" w:eastAsia="宋体" w:cs="Times New Roman"/>
          <w:b w:val="0"/>
          <w:bCs/>
          <w:color w:val="auto"/>
          <w:sz w:val="24"/>
          <w:highlight w:val="none"/>
          <w:lang w:val="en-US" w:eastAsia="zh-CN"/>
        </w:rPr>
        <w:t>未被列入山西交通控股集团有限公司供应商黑名单且处于有效期内的情形。</w:t>
      </w:r>
    </w:p>
    <w:p>
      <w:pPr>
        <w:spacing w:line="360" w:lineRule="auto"/>
        <w:ind w:firstLine="480" w:firstLineChars="200"/>
        <w:rPr>
          <w:rFonts w:hint="default" w:ascii="Times New Roman" w:hAnsi="Times New Roman" w:eastAsia="宋体" w:cs="Times New Roman"/>
          <w:b w:val="0"/>
          <w:bCs/>
          <w:color w:val="auto"/>
          <w:sz w:val="24"/>
          <w:highlight w:val="none"/>
        </w:rPr>
      </w:pPr>
      <w:r>
        <w:rPr>
          <w:rFonts w:hint="eastAsia"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rPr>
        <w:t>与招标人存在利害关系可能影响招标公正性的单位，不得参加投标。投标人具有下列情况之一的，不得同时参与本项目的投标，否则相关投标均无效：</w:t>
      </w:r>
    </w:p>
    <w:p>
      <w:pPr>
        <w:spacing w:line="360" w:lineRule="auto"/>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①单位负责人为同一人或者存在控股、管理关系的不同单位；</w:t>
      </w:r>
    </w:p>
    <w:p>
      <w:pPr>
        <w:spacing w:line="360" w:lineRule="auto"/>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②具有投资参股关系的关联企业；</w:t>
      </w:r>
    </w:p>
    <w:p>
      <w:pPr>
        <w:spacing w:line="360" w:lineRule="auto"/>
        <w:ind w:firstLine="480" w:firstLineChars="200"/>
        <w:rPr>
          <w:rFonts w:hint="default" w:ascii="Times New Roman" w:hAnsi="Times New Roman" w:eastAsia="宋体" w:cs="Times New Roman"/>
          <w:b w:val="0"/>
          <w:bCs/>
          <w:color w:val="auto"/>
          <w:sz w:val="24"/>
          <w:highlight w:val="none"/>
        </w:rPr>
      </w:pPr>
      <w:r>
        <w:rPr>
          <w:rFonts w:hint="default" w:ascii="Times New Roman" w:hAnsi="Times New Roman" w:cs="Times New Roman"/>
          <w:b w:val="0"/>
          <w:bCs/>
          <w:color w:val="auto"/>
          <w:sz w:val="24"/>
          <w:highlight w:val="none"/>
        </w:rPr>
        <w:t>③董事、监事、总经理、副总经理和财务负责人相互兼职的关联企业。</w:t>
      </w:r>
    </w:p>
    <w:p>
      <w:pPr>
        <w:spacing w:line="360" w:lineRule="auto"/>
        <w:ind w:firstLine="480" w:firstLineChars="200"/>
        <w:rPr>
          <w:rFonts w:hint="eastAsia" w:ascii="Times New Roman" w:hAnsi="Times New Roman" w:eastAsia="宋体" w:cs="Times New Roman"/>
          <w:b w:val="0"/>
          <w:bCs/>
          <w:color w:val="auto"/>
          <w:sz w:val="24"/>
          <w:highlight w:val="none"/>
          <w:lang w:val="en-US" w:eastAsia="zh-CN"/>
        </w:rPr>
      </w:pPr>
      <w:r>
        <w:rPr>
          <w:rFonts w:hint="eastAsia"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en-US" w:eastAsia="zh-CN"/>
        </w:rPr>
        <w:t>3</w:t>
      </w:r>
      <w:r>
        <w:rPr>
          <w:rFonts w:hint="eastAsia" w:ascii="Times New Roman" w:hAnsi="Times New Roman" w:eastAsia="宋体" w:cs="Times New Roman"/>
          <w:b w:val="0"/>
          <w:bCs/>
          <w:color w:val="auto"/>
          <w:sz w:val="24"/>
          <w:highlight w:val="none"/>
          <w:lang w:val="en-US" w:eastAsia="zh-CN"/>
        </w:rPr>
        <w:t>本项目设计施工总承包的中标人（山西交科公路勘察设计院有限公司、阳泉太旧博特道路养护工程有限公司）以及与其存在第</w:t>
      </w:r>
      <w:r>
        <w:rPr>
          <w:rFonts w:hint="eastAsia" w:cs="Times New Roman"/>
          <w:b w:val="0"/>
          <w:bCs/>
          <w:color w:val="auto"/>
          <w:sz w:val="24"/>
          <w:highlight w:val="none"/>
          <w:lang w:val="en-US" w:eastAsia="zh-CN"/>
        </w:rPr>
        <w:t>2</w:t>
      </w:r>
      <w:r>
        <w:rPr>
          <w:rFonts w:hint="eastAsia" w:ascii="Times New Roman" w:hAnsi="Times New Roman" w:eastAsia="宋体" w:cs="Times New Roman"/>
          <w:b w:val="0"/>
          <w:bCs/>
          <w:color w:val="auto"/>
          <w:sz w:val="24"/>
          <w:highlight w:val="none"/>
          <w:lang w:val="en-US" w:eastAsia="zh-CN"/>
        </w:rPr>
        <w:t>.2款关联关系的单位不得参加投标。</w:t>
      </w:r>
    </w:p>
    <w:p>
      <w:pPr>
        <w:spacing w:line="360" w:lineRule="auto"/>
        <w:ind w:firstLine="480" w:firstLineChars="200"/>
        <w:rPr>
          <w:rFonts w:hint="default" w:ascii="Times New Roman" w:hAnsi="Times New Roman" w:cs="Times New Roman"/>
          <w:b w:val="0"/>
          <w:bCs/>
          <w:color w:val="auto"/>
          <w:sz w:val="24"/>
          <w:highlight w:val="none"/>
        </w:rPr>
      </w:pP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val="en-US" w:eastAsia="zh-CN"/>
        </w:rPr>
        <w:t>4</w:t>
      </w:r>
      <w:r>
        <w:rPr>
          <w:rFonts w:hint="default" w:ascii="Times New Roman" w:hAnsi="Times New Roman" w:cs="Times New Roman"/>
          <w:b w:val="0"/>
          <w:bCs/>
          <w:color w:val="auto"/>
          <w:sz w:val="24"/>
          <w:highlight w:val="none"/>
        </w:rPr>
        <w:t>本次招标不接受联合体投标。</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br w:type="page"/>
      </w:r>
      <w:r>
        <w:rPr>
          <w:rFonts w:hint="eastAsia" w:ascii="宋体" w:hAnsi="宋体" w:cs="宋体"/>
          <w:b w:val="0"/>
          <w:bCs/>
          <w:color w:val="auto"/>
          <w:sz w:val="24"/>
          <w:highlight w:val="none"/>
          <w:lang w:val="en-US" w:eastAsia="zh-CN"/>
        </w:rPr>
        <w:t>三</w:t>
      </w:r>
      <w:r>
        <w:rPr>
          <w:rFonts w:hint="eastAsia" w:ascii="宋体" w:hAnsi="宋体" w:cs="宋体"/>
          <w:b w:val="0"/>
          <w:bCs/>
          <w:color w:val="auto"/>
          <w:sz w:val="24"/>
          <w:highlight w:val="none"/>
        </w:rPr>
        <w:t>、评标办法（双信封综合评分法）</w:t>
      </w:r>
    </w:p>
    <w:p>
      <w:pPr>
        <w:pStyle w:val="3"/>
        <w:keepLines w:val="0"/>
        <w:bidi w:val="0"/>
        <w:spacing w:before="157" w:beforeLines="50" w:after="157" w:afterLines="50" w:line="240" w:lineRule="auto"/>
        <w:jc w:val="left"/>
        <w:rPr>
          <w:rFonts w:hint="eastAsia" w:ascii="宋体" w:hAnsi="宋体" w:eastAsia="宋体" w:cs="宋体"/>
          <w:b w:val="0"/>
          <w:bCs/>
          <w:sz w:val="24"/>
          <w:szCs w:val="24"/>
          <w:highlight w:val="none"/>
        </w:rPr>
      </w:pPr>
      <w:bookmarkStart w:id="0" w:name="_Toc8299"/>
      <w:bookmarkStart w:id="1" w:name="_Toc25471"/>
      <w:bookmarkStart w:id="2" w:name="_Toc19198053"/>
      <w:r>
        <w:rPr>
          <w:rFonts w:hint="eastAsia" w:ascii="宋体" w:hAnsi="宋体" w:eastAsia="宋体" w:cs="宋体"/>
          <w:b w:val="0"/>
          <w:bCs/>
          <w:sz w:val="24"/>
          <w:szCs w:val="24"/>
          <w:highlight w:val="none"/>
        </w:rPr>
        <w:t>评标办法前附表</w:t>
      </w:r>
      <w:bookmarkEnd w:id="0"/>
      <w:bookmarkEnd w:id="1"/>
      <w:bookmarkEnd w:id="2"/>
    </w:p>
    <w:tbl>
      <w:tblPr>
        <w:tblStyle w:val="15"/>
        <w:tblW w:w="97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9"/>
        <w:gridCol w:w="1283"/>
        <w:gridCol w:w="930"/>
        <w:gridCol w:w="1298"/>
        <w:gridCol w:w="619"/>
        <w:gridCol w:w="47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172" w:type="dxa"/>
            <w:gridSpan w:val="2"/>
            <w:tcBorders>
              <w:tl2br w:val="nil"/>
              <w:tr2bl w:val="nil"/>
            </w:tcBorders>
            <w:noWrap w:val="0"/>
            <w:vAlign w:val="center"/>
          </w:tcPr>
          <w:p>
            <w:pPr>
              <w:spacing w:line="0" w:lineRule="atLeas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条款号</w:t>
            </w:r>
          </w:p>
        </w:tc>
        <w:tc>
          <w:tcPr>
            <w:tcW w:w="7564" w:type="dxa"/>
            <w:gridSpan w:val="4"/>
            <w:tcBorders>
              <w:tl2br w:val="nil"/>
              <w:tr2bl w:val="nil"/>
            </w:tcBorders>
            <w:noWrap w:val="0"/>
            <w:vAlign w:val="center"/>
          </w:tcPr>
          <w:p>
            <w:pPr>
              <w:spacing w:line="0" w:lineRule="atLeas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评审因素与标准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780"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1</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评标方法</w:t>
            </w:r>
          </w:p>
        </w:tc>
        <w:tc>
          <w:tcPr>
            <w:tcW w:w="7564" w:type="dxa"/>
            <w:gridSpan w:val="4"/>
            <w:tcBorders>
              <w:tl2br w:val="nil"/>
              <w:tr2bl w:val="nil"/>
            </w:tcBorders>
            <w:noWrap w:val="0"/>
            <w:vAlign w:val="center"/>
          </w:tcPr>
          <w:p>
            <w:pPr>
              <w:spacing w:line="500" w:lineRule="exact"/>
              <w:ind w:left="100" w:firstLine="0" w:firstLineChars="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本次评标采用双信封综合评分法。评标委员会对满足招标文件实质性要求的投标文件，按照规定的评分标准进行打分，并按得分由高到低顺序推荐中标候选人。综合评分相等时，评标委员会依次按照以下优先顺序推荐1名中标候选人：</w:t>
            </w:r>
          </w:p>
          <w:p>
            <w:pPr>
              <w:spacing w:line="500" w:lineRule="exact"/>
              <w:ind w:left="100" w:firstLine="0" w:firstLineChars="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（1）评标价低的投标人优先；</w:t>
            </w:r>
          </w:p>
          <w:p>
            <w:pPr>
              <w:spacing w:line="500" w:lineRule="exact"/>
              <w:ind w:left="100" w:firstLine="0" w:firstLineChars="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（2）信用评价等级较高者优先(信用等级以山西省交通运输厅公布的最新年度信用等级结果为准)；</w:t>
            </w:r>
          </w:p>
          <w:p>
            <w:pPr>
              <w:spacing w:line="500" w:lineRule="exact"/>
              <w:ind w:left="100" w:firstLine="0" w:firstLineChars="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（3）商务和技术得分较高的投标人优先；</w:t>
            </w:r>
          </w:p>
          <w:p>
            <w:pPr>
              <w:spacing w:line="500" w:lineRule="exact"/>
              <w:ind w:left="100" w:firstLine="0" w:firstLineChars="0"/>
              <w:rPr>
                <w:rFonts w:hint="default" w:ascii="Times New Roman" w:hAnsi="Times New Roman" w:cs="Times New Roman"/>
                <w:b w:val="0"/>
                <w:bCs/>
                <w:color w:val="auto"/>
                <w:szCs w:val="21"/>
                <w:highlight w:val="none"/>
              </w:rPr>
            </w:pPr>
            <w:r>
              <w:rPr>
                <w:rFonts w:hint="default" w:ascii="Times New Roman" w:hAnsi="Times New Roman" w:eastAsia="宋体" w:cs="Times New Roman"/>
                <w:b w:val="0"/>
                <w:bCs/>
                <w:color w:val="auto"/>
                <w:szCs w:val="21"/>
                <w:highlight w:val="none"/>
                <w:lang w:val="zh-CN" w:bidi="ar"/>
              </w:rPr>
              <w:t>（4）按规定最终上传电子投标文件较早的投标人优先。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33"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2.1.1</w:t>
            </w:r>
          </w:p>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2.1.3</w:t>
            </w:r>
          </w:p>
        </w:tc>
        <w:tc>
          <w:tcPr>
            <w:tcW w:w="1283" w:type="dxa"/>
            <w:tcBorders>
              <w:tl2br w:val="nil"/>
              <w:tr2bl w:val="nil"/>
            </w:tcBorders>
            <w:noWrap w:val="0"/>
            <w:vAlign w:val="center"/>
          </w:tcPr>
          <w:p>
            <w:pPr>
              <w:spacing w:line="500" w:lineRule="exact"/>
              <w:ind w:left="113" w:right="113"/>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形式评审</w:t>
            </w:r>
          </w:p>
          <w:p>
            <w:pPr>
              <w:spacing w:line="500" w:lineRule="exact"/>
              <w:ind w:left="113" w:right="113"/>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与响应性</w:t>
            </w:r>
          </w:p>
          <w:p>
            <w:pPr>
              <w:spacing w:line="500" w:lineRule="exact"/>
              <w:ind w:left="113" w:right="113"/>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评审标准</w:t>
            </w:r>
          </w:p>
        </w:tc>
        <w:tc>
          <w:tcPr>
            <w:tcW w:w="7564" w:type="dxa"/>
            <w:gridSpan w:val="4"/>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第一个信封（商务及技术文件）评审标准：</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（1）投标文件按照招标文件规定的格式、内容填写，字迹</w:t>
            </w:r>
            <w:r>
              <w:rPr>
                <w:rFonts w:hint="default" w:ascii="Times New Roman" w:hAnsi="Times New Roman" w:cs="Times New Roman"/>
                <w:b w:val="0"/>
                <w:bCs/>
                <w:color w:val="auto"/>
                <w:szCs w:val="21"/>
                <w:highlight w:val="none"/>
                <w:lang w:eastAsia="zh-CN" w:bidi="ar"/>
              </w:rPr>
              <w:t>清晰可辨</w:t>
            </w:r>
            <w:r>
              <w:rPr>
                <w:rFonts w:hint="default" w:ascii="Times New Roman" w:hAnsi="Times New Roman" w:cs="Times New Roman"/>
                <w:b w:val="0"/>
                <w:bCs/>
                <w:color w:val="auto"/>
                <w:szCs w:val="21"/>
                <w:highlight w:val="none"/>
                <w:lang w:bidi="ar"/>
              </w:rPr>
              <w:t>：</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a.投标函按招标文件规定填报了相关内容；</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b.投标文件组成齐全完整，内容均按规定填写。</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（2）投标文件上法定代表人的电子签名、投标人单位的电子签章齐全，符合招标文件规定。</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（3）投标人按照招标文件的规定提供了投标保证金：</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a.投标保证金金额符合招标文件规定的金额，且投标保证金有效期不少于投标有效期；</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 xml:space="preserve">b.若投标保证金采用现金形式提交，投标人应在递交投标文件截止时间之前，将投标保证金由投标人的基本账户转入招标人指定账户； </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c.若投标保证金采用非现金交易担保方式提交，保函的格式、开具保函或保证保险的单位均满足招标文件要求，且在递交投标文件截止时间之前向招标人单独密封递交了保函或保证保险原件（电子保函或电子保证保险提供加盖单位公章的彩色影印件）。</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w:t>
            </w:r>
            <w:r>
              <w:rPr>
                <w:rFonts w:hint="default" w:ascii="Times New Roman" w:hAnsi="Times New Roman" w:cs="Times New Roman"/>
                <w:b w:val="0"/>
                <w:bCs/>
                <w:color w:val="auto"/>
                <w:szCs w:val="21"/>
                <w:highlight w:val="none"/>
                <w:lang w:val="en-US" w:eastAsia="zh-CN" w:bidi="ar"/>
              </w:rPr>
              <w:t>4</w:t>
            </w:r>
            <w:r>
              <w:rPr>
                <w:rFonts w:hint="default" w:ascii="Times New Roman" w:hAnsi="Times New Roman" w:cs="Times New Roman"/>
                <w:b w:val="0"/>
                <w:bCs/>
                <w:color w:val="auto"/>
                <w:szCs w:val="21"/>
                <w:highlight w:val="none"/>
                <w:lang w:val="zh-CN" w:bidi="ar"/>
              </w:rPr>
              <w:t>）提供了法定代表人身份证明。</w:t>
            </w:r>
          </w:p>
          <w:p>
            <w:pPr>
              <w:spacing w:line="500" w:lineRule="exact"/>
              <w:ind w:left="10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w:t>
            </w:r>
            <w:r>
              <w:rPr>
                <w:rFonts w:hint="default" w:ascii="Times New Roman" w:hAnsi="Times New Roman" w:eastAsia="宋体" w:cs="Times New Roman"/>
                <w:b w:val="0"/>
                <w:bCs/>
                <w:color w:val="auto"/>
                <w:szCs w:val="21"/>
                <w:highlight w:val="none"/>
                <w:lang w:val="zh-CN" w:eastAsia="zh-CN" w:bidi="ar"/>
              </w:rPr>
              <w:t>5</w:t>
            </w:r>
            <w:r>
              <w:rPr>
                <w:rFonts w:hint="default" w:ascii="Times New Roman" w:hAnsi="Times New Roman" w:eastAsia="宋体" w:cs="Times New Roman"/>
                <w:b w:val="0"/>
                <w:bCs/>
                <w:color w:val="auto"/>
                <w:szCs w:val="21"/>
                <w:highlight w:val="none"/>
                <w:lang w:val="zh-CN" w:bidi="ar"/>
              </w:rPr>
              <w:t>）同一投标人未提交两个以上不同的投标文件，但招标文件要求提交备选投标的除外。</w:t>
            </w:r>
          </w:p>
          <w:p>
            <w:pPr>
              <w:spacing w:line="500" w:lineRule="exact"/>
              <w:ind w:left="10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w:t>
            </w:r>
            <w:r>
              <w:rPr>
                <w:rFonts w:hint="default" w:ascii="Times New Roman" w:hAnsi="Times New Roman" w:eastAsia="宋体" w:cs="Times New Roman"/>
                <w:b w:val="0"/>
                <w:bCs/>
                <w:color w:val="auto"/>
                <w:szCs w:val="21"/>
                <w:highlight w:val="none"/>
                <w:lang w:val="en-US" w:eastAsia="zh-CN" w:bidi="ar"/>
              </w:rPr>
              <w:t>6</w:t>
            </w:r>
            <w:r>
              <w:rPr>
                <w:rFonts w:hint="default" w:ascii="Times New Roman" w:hAnsi="Times New Roman" w:eastAsia="宋体" w:cs="Times New Roman"/>
                <w:b w:val="0"/>
                <w:bCs/>
                <w:color w:val="auto"/>
                <w:szCs w:val="21"/>
                <w:highlight w:val="none"/>
                <w:lang w:val="zh-CN" w:bidi="ar"/>
              </w:rPr>
              <w:t>）投标人未以联合体形式投标且投标文件中未出现有关投标报价的内容。</w:t>
            </w:r>
          </w:p>
          <w:p>
            <w:pPr>
              <w:spacing w:line="500" w:lineRule="exact"/>
              <w:ind w:left="10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w:t>
            </w:r>
            <w:r>
              <w:rPr>
                <w:rFonts w:hint="default" w:ascii="Times New Roman" w:hAnsi="Times New Roman" w:eastAsia="宋体" w:cs="Times New Roman"/>
                <w:b w:val="0"/>
                <w:bCs/>
                <w:color w:val="auto"/>
                <w:szCs w:val="21"/>
                <w:highlight w:val="none"/>
                <w:lang w:val="en-US" w:eastAsia="zh-CN" w:bidi="ar"/>
              </w:rPr>
              <w:t>7</w:t>
            </w:r>
            <w:r>
              <w:rPr>
                <w:rFonts w:hint="default" w:ascii="Times New Roman" w:hAnsi="Times New Roman" w:eastAsia="宋体" w:cs="Times New Roman"/>
                <w:b w:val="0"/>
                <w:bCs/>
                <w:color w:val="auto"/>
                <w:szCs w:val="21"/>
                <w:highlight w:val="none"/>
                <w:lang w:val="zh-CN" w:eastAsia="zh-CN" w:bidi="ar"/>
              </w:rPr>
              <w:t>）</w:t>
            </w:r>
            <w:r>
              <w:rPr>
                <w:rFonts w:hint="default" w:ascii="Times New Roman" w:hAnsi="Times New Roman" w:eastAsia="宋体" w:cs="Times New Roman"/>
                <w:b w:val="0"/>
                <w:bCs/>
                <w:color w:val="auto"/>
                <w:szCs w:val="21"/>
                <w:highlight w:val="none"/>
                <w:lang w:val="zh-CN" w:bidi="ar"/>
              </w:rPr>
              <w:t>投标人未提交分包计划。</w:t>
            </w:r>
          </w:p>
          <w:p>
            <w:pPr>
              <w:spacing w:line="500" w:lineRule="exact"/>
              <w:ind w:left="100"/>
              <w:rPr>
                <w:rFonts w:hint="default" w:ascii="Times New Roman" w:hAnsi="Times New Roman" w:eastAsia="宋体" w:cs="Times New Roman"/>
                <w:b w:val="0"/>
                <w:bCs/>
                <w:color w:val="auto"/>
                <w:szCs w:val="21"/>
                <w:highlight w:val="none"/>
                <w:lang w:val="zh-CN" w:bidi="ar"/>
              </w:rPr>
            </w:pPr>
            <w:r>
              <w:rPr>
                <w:rFonts w:hint="default" w:ascii="Times New Roman" w:hAnsi="Times New Roman" w:eastAsia="宋体" w:cs="Times New Roman"/>
                <w:b w:val="0"/>
                <w:bCs/>
                <w:color w:val="auto"/>
                <w:szCs w:val="21"/>
                <w:highlight w:val="none"/>
                <w:lang w:val="zh-CN" w:bidi="ar"/>
              </w:rPr>
              <w:t>（</w:t>
            </w:r>
            <w:r>
              <w:rPr>
                <w:rFonts w:hint="default" w:ascii="Times New Roman" w:hAnsi="Times New Roman" w:eastAsia="宋体" w:cs="Times New Roman"/>
                <w:b w:val="0"/>
                <w:bCs/>
                <w:color w:val="auto"/>
                <w:szCs w:val="21"/>
                <w:highlight w:val="none"/>
                <w:lang w:val="en-US" w:eastAsia="zh-CN" w:bidi="ar"/>
              </w:rPr>
              <w:t>8</w:t>
            </w:r>
            <w:r>
              <w:rPr>
                <w:rFonts w:hint="default" w:ascii="Times New Roman" w:hAnsi="Times New Roman" w:eastAsia="宋体" w:cs="Times New Roman"/>
                <w:b w:val="0"/>
                <w:bCs/>
                <w:color w:val="auto"/>
                <w:szCs w:val="21"/>
                <w:highlight w:val="none"/>
                <w:lang w:val="zh-CN" w:bidi="ar"/>
              </w:rPr>
              <w:t>）投标文件载明的招标项目完成期限未超过招标文件规定的时限。</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w:t>
            </w:r>
            <w:r>
              <w:rPr>
                <w:rFonts w:hint="default" w:ascii="Times New Roman" w:hAnsi="Times New Roman" w:cs="Times New Roman"/>
                <w:b w:val="0"/>
                <w:bCs/>
                <w:color w:val="auto"/>
                <w:szCs w:val="21"/>
                <w:highlight w:val="none"/>
                <w:lang w:val="en-US" w:eastAsia="zh-CN" w:bidi="ar"/>
              </w:rPr>
              <w:t>9</w:t>
            </w:r>
            <w:r>
              <w:rPr>
                <w:rFonts w:hint="default" w:ascii="Times New Roman" w:hAnsi="Times New Roman" w:cs="Times New Roman"/>
                <w:b w:val="0"/>
                <w:bCs/>
                <w:color w:val="auto"/>
                <w:szCs w:val="21"/>
                <w:highlight w:val="none"/>
                <w:lang w:val="zh-CN" w:bidi="ar"/>
              </w:rPr>
              <w:t>）投标文件对招标文件的实质性要求和条件作出响应。</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val="zh-CN" w:bidi="ar"/>
              </w:rPr>
              <w:t>（</w:t>
            </w:r>
            <w:r>
              <w:rPr>
                <w:rFonts w:hint="default" w:ascii="Times New Roman" w:hAnsi="Times New Roman" w:cs="Times New Roman"/>
                <w:b w:val="0"/>
                <w:bCs/>
                <w:color w:val="auto"/>
                <w:szCs w:val="21"/>
                <w:highlight w:val="none"/>
                <w:lang w:val="en-US" w:eastAsia="zh-CN" w:bidi="ar"/>
              </w:rPr>
              <w:t>10</w:t>
            </w:r>
            <w:r>
              <w:rPr>
                <w:rFonts w:hint="default" w:ascii="Times New Roman" w:hAnsi="Times New Roman" w:cs="Times New Roman"/>
                <w:b w:val="0"/>
                <w:bCs/>
                <w:color w:val="auto"/>
                <w:szCs w:val="21"/>
                <w:highlight w:val="none"/>
                <w:lang w:val="zh-CN" w:bidi="ar"/>
              </w:rPr>
              <w:t>）权利义务符合招标文件规定：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val="zh-CN" w:bidi="ar"/>
              </w:rPr>
              <w:t>a.投标人应接受招标文件规定的风险划分原则，未提出新</w:t>
            </w:r>
            <w:r>
              <w:rPr>
                <w:rFonts w:hint="default" w:ascii="Times New Roman" w:hAnsi="Times New Roman" w:cs="Times New Roman"/>
                <w:b w:val="0"/>
                <w:bCs/>
                <w:color w:val="auto"/>
                <w:szCs w:val="21"/>
                <w:highlight w:val="none"/>
                <w:lang w:bidi="ar"/>
              </w:rPr>
              <w:t>的风险划分办法；</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b.投标人未增加发包人的责任范围，或减少投标人义务；</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c.投标人未提出不同的支付办法；</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d.投标人对合同纠纷、事故处理办法未提出异议；</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e.投标人在投标活动中无欺诈行为；</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f.投标人未对合同条款有重要保留。</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（11）投标人名称与营业执照、资质证书、银行基本账户开户许可证（或基本存款账户信息）一致，如单位名称有变更的，应提供变更记录或相关部门的合法批件影印件。</w:t>
            </w:r>
          </w:p>
          <w:p>
            <w:pPr>
              <w:spacing w:line="500" w:lineRule="exact"/>
              <w:ind w:left="100"/>
              <w:rPr>
                <w:rFonts w:hint="default" w:ascii="Times New Roman" w:hAnsi="Times New Roman" w:cs="Times New Roman"/>
                <w:b w:val="0"/>
                <w:bCs/>
                <w:color w:val="auto"/>
                <w:szCs w:val="21"/>
                <w:highlight w:val="none"/>
                <w:lang w:val="zh-CN" w:bidi="ar"/>
              </w:rPr>
            </w:pPr>
            <w:r>
              <w:rPr>
                <w:rFonts w:hint="default" w:ascii="Times New Roman" w:hAnsi="Times New Roman" w:cs="Times New Roman"/>
                <w:b w:val="0"/>
                <w:bCs/>
                <w:color w:val="auto"/>
                <w:szCs w:val="21"/>
                <w:highlight w:val="none"/>
                <w:lang w:bidi="ar"/>
              </w:rPr>
              <w:t>（1</w:t>
            </w:r>
            <w:r>
              <w:rPr>
                <w:rFonts w:hint="default" w:ascii="Times New Roman" w:hAnsi="Times New Roman" w:cs="Times New Roman"/>
                <w:b w:val="0"/>
                <w:bCs/>
                <w:color w:val="auto"/>
                <w:szCs w:val="21"/>
                <w:highlight w:val="none"/>
                <w:lang w:val="en-US" w:eastAsia="zh-CN" w:bidi="ar"/>
              </w:rPr>
              <w:t>2</w:t>
            </w:r>
            <w:r>
              <w:rPr>
                <w:rFonts w:hint="default" w:ascii="Times New Roman" w:hAnsi="Times New Roman" w:cs="Times New Roman"/>
                <w:b w:val="0"/>
                <w:bCs/>
                <w:color w:val="auto"/>
                <w:szCs w:val="21"/>
                <w:highlight w:val="none"/>
                <w:lang w:bidi="ar"/>
              </w:rPr>
              <w:t>）投标文件没有附有招标人不能接受的其它条件。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2.1.1</w:t>
            </w:r>
          </w:p>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2.1.3</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形式评审</w:t>
            </w:r>
          </w:p>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与响应性</w:t>
            </w:r>
          </w:p>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评审标准</w:t>
            </w:r>
          </w:p>
        </w:tc>
        <w:tc>
          <w:tcPr>
            <w:tcW w:w="7564" w:type="dxa"/>
            <w:gridSpan w:val="4"/>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第二个信封（报价文件）评审标准：</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（1）投标文件按照招标文件规定的格式、内容填写，字迹清晰可辨，内容齐全完整：</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a.投标函按照招标文件规定填报了项目名称、标段号、补遗书编号（如有）、投标价（包括大写金额和小写金额）；</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val="en-US" w:eastAsia="zh-CN" w:bidi="ar"/>
              </w:rPr>
              <w:t>b</w:t>
            </w:r>
            <w:r>
              <w:rPr>
                <w:rFonts w:hint="default" w:ascii="Times New Roman" w:hAnsi="Times New Roman" w:cs="Times New Roman"/>
                <w:b w:val="0"/>
                <w:bCs/>
                <w:color w:val="auto"/>
                <w:szCs w:val="21"/>
                <w:highlight w:val="none"/>
                <w:lang w:bidi="ar"/>
              </w:rPr>
              <w:t>.投标文件组成齐全完整，内容均按规定填写。</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（2）投标文件上法定代表人的电子签名、投标人单位的电子签章齐全，符合招标文件规定。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（3）投标报价未超过招标文件设定的最高投标限价或最终控制价上限。</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w:t>
            </w:r>
            <w:r>
              <w:rPr>
                <w:rFonts w:hint="default" w:ascii="Times New Roman" w:hAnsi="Times New Roman" w:cs="Times New Roman"/>
                <w:b w:val="0"/>
                <w:bCs/>
                <w:color w:val="auto"/>
                <w:szCs w:val="21"/>
                <w:highlight w:val="none"/>
                <w:lang w:val="en-US" w:eastAsia="zh-CN" w:bidi="ar"/>
              </w:rPr>
              <w:t>4</w:t>
            </w:r>
            <w:r>
              <w:rPr>
                <w:rFonts w:hint="default" w:ascii="Times New Roman" w:hAnsi="Times New Roman" w:cs="Times New Roman"/>
                <w:b w:val="0"/>
                <w:bCs/>
                <w:color w:val="auto"/>
                <w:szCs w:val="21"/>
                <w:highlight w:val="none"/>
                <w:lang w:bidi="ar"/>
              </w:rPr>
              <w:t>）缺陷责任期费用未低于总费用的</w:t>
            </w:r>
            <w:r>
              <w:rPr>
                <w:rFonts w:hint="default" w:ascii="Times New Roman" w:hAnsi="Times New Roman" w:cs="Times New Roman"/>
                <w:b w:val="0"/>
                <w:bCs/>
                <w:color w:val="auto"/>
                <w:szCs w:val="21"/>
                <w:highlight w:val="none"/>
                <w:lang w:val="en-US" w:eastAsia="zh-CN" w:bidi="ar"/>
              </w:rPr>
              <w:t>10</w:t>
            </w:r>
            <w:r>
              <w:rPr>
                <w:rFonts w:hint="default" w:ascii="Times New Roman" w:hAnsi="Times New Roman" w:cs="Times New Roman"/>
                <w:b w:val="0"/>
                <w:bCs/>
                <w:color w:val="auto"/>
                <w:szCs w:val="21"/>
                <w:highlight w:val="none"/>
                <w:lang w:bidi="ar"/>
              </w:rPr>
              <w:t>%。</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w:t>
            </w:r>
            <w:r>
              <w:rPr>
                <w:rFonts w:hint="default" w:ascii="Times New Roman" w:hAnsi="Times New Roman" w:cs="Times New Roman"/>
                <w:b w:val="0"/>
                <w:bCs/>
                <w:color w:val="auto"/>
                <w:szCs w:val="21"/>
                <w:highlight w:val="none"/>
                <w:lang w:val="en-US" w:eastAsia="zh-CN" w:bidi="ar"/>
              </w:rPr>
              <w:t>5</w:t>
            </w:r>
            <w:r>
              <w:rPr>
                <w:rFonts w:hint="default" w:ascii="Times New Roman" w:hAnsi="Times New Roman" w:cs="Times New Roman"/>
                <w:b w:val="0"/>
                <w:bCs/>
                <w:color w:val="auto"/>
                <w:szCs w:val="21"/>
                <w:highlight w:val="none"/>
                <w:lang w:bidi="ar"/>
              </w:rPr>
              <w:t>）投标报价中报价的大写金额能够确定具体数值。</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w:t>
            </w:r>
            <w:r>
              <w:rPr>
                <w:rFonts w:hint="default" w:ascii="Times New Roman" w:hAnsi="Times New Roman" w:cs="Times New Roman"/>
                <w:b w:val="0"/>
                <w:bCs/>
                <w:color w:val="auto"/>
                <w:szCs w:val="21"/>
                <w:highlight w:val="none"/>
                <w:lang w:val="en-US" w:eastAsia="zh-CN" w:bidi="ar"/>
              </w:rPr>
              <w:t>6</w:t>
            </w:r>
            <w:r>
              <w:rPr>
                <w:rFonts w:hint="default" w:ascii="Times New Roman" w:hAnsi="Times New Roman" w:cs="Times New Roman"/>
                <w:b w:val="0"/>
                <w:bCs/>
                <w:color w:val="auto"/>
                <w:szCs w:val="21"/>
                <w:highlight w:val="none"/>
                <w:lang w:bidi="ar"/>
              </w:rPr>
              <w:t>）同一投标人未提交两个以上不同的投标报价，但招标文件要求提交备选投标的除外。</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w:t>
            </w:r>
            <w:r>
              <w:rPr>
                <w:rFonts w:hint="default" w:ascii="Times New Roman" w:hAnsi="Times New Roman" w:cs="Times New Roman"/>
                <w:b w:val="0"/>
                <w:bCs/>
                <w:color w:val="auto"/>
                <w:szCs w:val="21"/>
                <w:highlight w:val="none"/>
                <w:lang w:val="en-US" w:eastAsia="zh-CN" w:bidi="ar"/>
              </w:rPr>
              <w:t>7</w:t>
            </w:r>
            <w:r>
              <w:rPr>
                <w:rFonts w:hint="default" w:ascii="Times New Roman" w:hAnsi="Times New Roman" w:cs="Times New Roman"/>
                <w:b w:val="0"/>
                <w:bCs/>
                <w:color w:val="auto"/>
                <w:szCs w:val="21"/>
                <w:highlight w:val="none"/>
                <w:lang w:bidi="ar"/>
              </w:rPr>
              <w:t>）投标文件未附有招标人不能接受的其他条件。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957"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2.1.2</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第一个信封资格评审标准</w:t>
            </w:r>
          </w:p>
        </w:tc>
        <w:tc>
          <w:tcPr>
            <w:tcW w:w="7564" w:type="dxa"/>
            <w:gridSpan w:val="4"/>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（1）投标人具备有效的企业法人营业执照、资质证书和银行基本账户开户许可证（或基本存款账户信息）。</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（2）投标人的资质等级符合招标文件附录1规定。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（3）投标人的财务符合招标文件附录2规定。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（4）投标人的类似项目业绩符合招标文件附录3规定。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（5）投标人的信誉符合招标文件附录4规定。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（6）投标人的总监理工程师资格、在岗情况符合招标文件附录5规定。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（7）投标人不存在第二章“投标人须知”第1.4.3项或第1.4.4项规定的任何一种情形。</w:t>
            </w:r>
          </w:p>
          <w:p>
            <w:pPr>
              <w:spacing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（8）投标人符合第二章“投标人须知”前附表第1.4.5项规定。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429"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2.2.1</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分值构成</w:t>
            </w:r>
          </w:p>
        </w:tc>
        <w:tc>
          <w:tcPr>
            <w:tcW w:w="7564" w:type="dxa"/>
            <w:gridSpan w:val="4"/>
            <w:tcBorders>
              <w:tl2br w:val="nil"/>
              <w:tr2bl w:val="nil"/>
            </w:tcBorders>
            <w:noWrap w:val="0"/>
            <w:vAlign w:val="center"/>
          </w:tcPr>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第一个信封（商务及技术文件）评分分值构成：</w:t>
            </w:r>
          </w:p>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技术建议书：10分</w:t>
            </w:r>
          </w:p>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主要人员：35分</w:t>
            </w:r>
          </w:p>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业绩：35分</w:t>
            </w:r>
          </w:p>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履约信誉：10分</w:t>
            </w:r>
          </w:p>
          <w:p>
            <w:pPr>
              <w:spacing w:line="500" w:lineRule="exact"/>
              <w:ind w:left="100" w:right="105" w:rightChars="5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第二个信封（报价文件）评分分值构成：</w:t>
            </w:r>
          </w:p>
          <w:p>
            <w:pPr>
              <w:spacing w:line="500" w:lineRule="exact"/>
              <w:ind w:left="100" w:right="105" w:rightChars="5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评标价：10分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213"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2.2.2</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评标基准价</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计算方法</w:t>
            </w:r>
          </w:p>
        </w:tc>
        <w:tc>
          <w:tcPr>
            <w:tcW w:w="7564" w:type="dxa"/>
            <w:gridSpan w:val="4"/>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评标基准价的计算：</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（1）评标价的确定：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有效评标价＝第二个信封开标现场未被宣布为无效投标的投标报价函文字报价出现第二章“投标人须知”第5.2.4项所规定情况的投标文件，应做投标无效处理，其投标报价视为无效报价，不参与任何计算。</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（2）确定最终控制价上限G2</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第二个信封开标现场随机抽取投标控制价上限的下浮系数X1。</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（X1为0.5%、1%、1.5%、2%、2.5%、3%六个数值中的一个）。</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最终控制价上限G2=G1×（1-X1）</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G1=各标段最高投标限价（含暂列金额）。</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如投标人评标价高于本标段的G2，则视其为超出招标人的支付能力，将不再参与后续任何计算，按投标无效处理。</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（3）确定理论成本价LC</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所有不高于G2的有效评标价的算术平均值的50%（当有效评标价有5个及以上时，应去掉其中的最高值和最低值）与G2的50%相加后，乘以成本价系数Z所得数值为该标段的理论成本价。</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LC=（0.5×G2+0.5×SP1）×0.85</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SP1——该标段所有不高于G2的有效评标价的算术平均值（当有效评标价有5个及以上时，应去掉其中的最高值和最低值）</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评标价低于理论成本价的，不再参与后续计算。</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（4）确定评标基准价JZ</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评标基准价＝［最终投标控制价上限×加权系数＋有效评标价算术平均值×（1-加权系数）］×评标基准价系数</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式中：加权系数（X2）应从0.3、0.35、0.4中选取，评标基准价系数（X3）应从0.96、0.97、0.98、0.99中选取，在开标现场随机抽取确定。</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有效评标价指介于理论成本价（含）与最终投标控制价上限（含）范围内的评标价。当有效评标价数量大于5时，应去掉其中的最高和最低值，再进行有效评标价算术平均值计算。</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上述相关系数（X1、X2、X3）在开标现场随机抽取。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2.2.3</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评标价的</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偏差率</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计算公式</w:t>
            </w:r>
          </w:p>
        </w:tc>
        <w:tc>
          <w:tcPr>
            <w:tcW w:w="7564" w:type="dxa"/>
            <w:gridSpan w:val="4"/>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偏差率=100%×（投标人评标价-评标基准价）/评标基准价</w:t>
            </w:r>
          </w:p>
          <w:p>
            <w:pPr>
              <w:spacing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“（投标人评标价-评标基准价）/评标基准价”保留至小数点后三位，小数点后第四位“四舍五入”。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2.2.4</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评标价</w:t>
            </w:r>
          </w:p>
        </w:tc>
        <w:tc>
          <w:tcPr>
            <w:tcW w:w="7564" w:type="dxa"/>
            <w:gridSpan w:val="4"/>
            <w:tcBorders>
              <w:tl2br w:val="nil"/>
              <w:tr2bl w:val="nil"/>
            </w:tcBorders>
            <w:noWrap w:val="0"/>
            <w:vAlign w:val="center"/>
          </w:tcPr>
          <w:p>
            <w:pPr>
              <w:pStyle w:val="11"/>
              <w:spacing w:before="0" w:beforeAutospacing="0" w:after="0" w:afterAutospacing="0" w:line="500" w:lineRule="exact"/>
              <w:ind w:left="100" w:right="105" w:rightChars="50"/>
              <w:jc w:val="both"/>
              <w:rPr>
                <w:rFonts w:hint="default" w:ascii="Times New Roman" w:hAnsi="Times New Roman" w:cs="Times New Roman"/>
                <w:b w:val="0"/>
                <w:bCs/>
                <w:color w:val="auto"/>
                <w:kern w:val="2"/>
                <w:sz w:val="21"/>
                <w:szCs w:val="21"/>
                <w:highlight w:val="none"/>
                <w:lang w:bidi="ar"/>
              </w:rPr>
            </w:pPr>
            <w:r>
              <w:rPr>
                <w:rFonts w:hint="default" w:ascii="Times New Roman" w:hAnsi="Times New Roman" w:cs="Times New Roman"/>
                <w:b w:val="0"/>
                <w:bCs/>
                <w:color w:val="auto"/>
                <w:kern w:val="2"/>
                <w:sz w:val="21"/>
                <w:szCs w:val="21"/>
                <w:highlight w:val="none"/>
                <w:lang w:bidi="ar"/>
              </w:rPr>
              <w:t>投标价得分计算公式:</w:t>
            </w:r>
          </w:p>
          <w:p>
            <w:pPr>
              <w:pStyle w:val="11"/>
              <w:spacing w:before="0" w:beforeAutospacing="0" w:after="0" w:afterAutospacing="0" w:line="500" w:lineRule="exact"/>
              <w:ind w:left="100" w:right="105" w:rightChars="50"/>
              <w:jc w:val="both"/>
              <w:rPr>
                <w:rFonts w:hint="default" w:ascii="Times New Roman" w:hAnsi="Times New Roman" w:cs="Times New Roman"/>
                <w:b w:val="0"/>
                <w:bCs/>
                <w:color w:val="auto"/>
                <w:kern w:val="2"/>
                <w:sz w:val="21"/>
                <w:szCs w:val="21"/>
                <w:highlight w:val="none"/>
                <w:lang w:bidi="ar"/>
              </w:rPr>
            </w:pPr>
            <w:r>
              <w:rPr>
                <w:rFonts w:hint="default" w:ascii="Times New Roman" w:hAnsi="Times New Roman" w:cs="Times New Roman"/>
                <w:b w:val="0"/>
                <w:bCs/>
                <w:color w:val="auto"/>
                <w:kern w:val="2"/>
                <w:sz w:val="21"/>
                <w:szCs w:val="21"/>
                <w:highlight w:val="none"/>
                <w:lang w:bidi="ar"/>
              </w:rPr>
              <w:t>（1）如果投标人的评标价＞评标基准价，则投标价得分=10%×（100-偏差率×100×E1）；</w:t>
            </w:r>
          </w:p>
          <w:p>
            <w:pPr>
              <w:pStyle w:val="11"/>
              <w:spacing w:before="0" w:beforeAutospacing="0" w:after="0" w:afterAutospacing="0" w:line="500" w:lineRule="exact"/>
              <w:ind w:left="100" w:right="105" w:rightChars="50"/>
              <w:jc w:val="both"/>
              <w:rPr>
                <w:rFonts w:hint="default" w:ascii="Times New Roman" w:hAnsi="Times New Roman" w:cs="Times New Roman"/>
                <w:b w:val="0"/>
                <w:bCs/>
                <w:color w:val="auto"/>
                <w:kern w:val="2"/>
                <w:sz w:val="21"/>
                <w:szCs w:val="21"/>
                <w:highlight w:val="none"/>
                <w:lang w:bidi="ar"/>
              </w:rPr>
            </w:pPr>
            <w:r>
              <w:rPr>
                <w:rFonts w:hint="default" w:ascii="Times New Roman" w:hAnsi="Times New Roman" w:cs="Times New Roman"/>
                <w:b w:val="0"/>
                <w:bCs/>
                <w:color w:val="auto"/>
                <w:kern w:val="2"/>
                <w:sz w:val="21"/>
                <w:szCs w:val="21"/>
                <w:highlight w:val="none"/>
                <w:lang w:bidi="ar"/>
              </w:rPr>
              <w:t>（2）如果投标人的评标价≤评标基准价，则投标价得分=10%×（100+偏差率×100×E2）。</w:t>
            </w:r>
          </w:p>
          <w:p>
            <w:pPr>
              <w:pStyle w:val="11"/>
              <w:spacing w:before="0" w:beforeAutospacing="0" w:after="0" w:afterAutospacing="0" w:line="500" w:lineRule="exact"/>
              <w:ind w:left="100" w:right="105" w:rightChars="50"/>
              <w:jc w:val="both"/>
              <w:rPr>
                <w:rFonts w:hint="default" w:ascii="Times New Roman" w:hAnsi="Times New Roman" w:cs="Times New Roman"/>
                <w:b w:val="0"/>
                <w:bCs/>
                <w:color w:val="auto"/>
                <w:kern w:val="2"/>
                <w:sz w:val="21"/>
                <w:szCs w:val="21"/>
                <w:highlight w:val="none"/>
                <w:lang w:bidi="ar"/>
              </w:rPr>
            </w:pPr>
            <w:r>
              <w:rPr>
                <w:rFonts w:hint="default" w:ascii="Times New Roman" w:hAnsi="Times New Roman" w:cs="Times New Roman"/>
                <w:b w:val="0"/>
                <w:bCs/>
                <w:color w:val="auto"/>
                <w:kern w:val="2"/>
                <w:sz w:val="21"/>
                <w:szCs w:val="21"/>
                <w:highlight w:val="none"/>
                <w:lang w:bidi="ar"/>
              </w:rPr>
              <w:t>其中：E1=1，E2=0.5。</w:t>
            </w:r>
          </w:p>
          <w:p>
            <w:pPr>
              <w:pStyle w:val="11"/>
              <w:spacing w:before="0" w:beforeAutospacing="0" w:after="0" w:afterAutospacing="0" w:line="500" w:lineRule="exact"/>
              <w:ind w:left="100" w:right="105" w:rightChars="50"/>
              <w:jc w:val="both"/>
              <w:rPr>
                <w:rFonts w:hint="default" w:ascii="Times New Roman" w:hAnsi="Times New Roman" w:cs="Times New Roman"/>
                <w:b w:val="0"/>
                <w:bCs/>
                <w:color w:val="auto"/>
                <w:kern w:val="2"/>
                <w:sz w:val="21"/>
                <w:szCs w:val="21"/>
                <w:highlight w:val="none"/>
                <w:lang w:bidi="ar"/>
              </w:rPr>
            </w:pPr>
            <w:r>
              <w:rPr>
                <w:rFonts w:hint="default" w:ascii="Times New Roman" w:hAnsi="Times New Roman" w:cs="Times New Roman"/>
                <w:b w:val="0"/>
                <w:bCs/>
                <w:color w:val="auto"/>
                <w:kern w:val="2"/>
                <w:sz w:val="21"/>
                <w:szCs w:val="21"/>
                <w:highlight w:val="none"/>
                <w:lang w:bidi="ar"/>
              </w:rPr>
              <w:t>评标价最高得分为10分，最低得分为0分。E1是评标价每高于评标基准价一个百分点的扣分值；E2是评标价每低于评标基准价一个百分点的扣分值。不足一个百分点按比例内插计算，</w:t>
            </w:r>
            <w:r>
              <w:rPr>
                <w:rFonts w:hint="default" w:ascii="Times New Roman" w:hAnsi="Times New Roman" w:cs="Times New Roman"/>
                <w:b w:val="0"/>
                <w:bCs/>
                <w:color w:val="auto"/>
                <w:kern w:val="2"/>
                <w:sz w:val="21"/>
                <w:szCs w:val="21"/>
                <w:highlight w:val="none"/>
                <w:lang w:bidi="ar"/>
              </w:rPr>
              <w:t>得分保留三位小数。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889"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条款号</w:t>
            </w:r>
          </w:p>
        </w:tc>
        <w:tc>
          <w:tcPr>
            <w:tcW w:w="1283" w:type="dxa"/>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评分因素</w:t>
            </w:r>
          </w:p>
        </w:tc>
        <w:tc>
          <w:tcPr>
            <w:tcW w:w="930"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评分因素权重分值</w:t>
            </w: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各评分因数细分项</w:t>
            </w:r>
          </w:p>
        </w:tc>
        <w:tc>
          <w:tcPr>
            <w:tcW w:w="619"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分值</w:t>
            </w:r>
          </w:p>
        </w:tc>
        <w:tc>
          <w:tcPr>
            <w:tcW w:w="4717"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889" w:type="dxa"/>
            <w:vMerge w:val="restar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2.2.4</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w:t>
            </w:r>
          </w:p>
        </w:tc>
        <w:tc>
          <w:tcPr>
            <w:tcW w:w="1283" w:type="dxa"/>
            <w:vMerge w:val="restar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技术建议书</w:t>
            </w:r>
          </w:p>
        </w:tc>
        <w:tc>
          <w:tcPr>
            <w:tcW w:w="930" w:type="dxa"/>
            <w:vMerge w:val="restart"/>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10分</w:t>
            </w: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监理大纲（或监理方案）</w:t>
            </w:r>
          </w:p>
        </w:tc>
        <w:tc>
          <w:tcPr>
            <w:tcW w:w="619" w:type="dxa"/>
            <w:tcBorders>
              <w:tl2br w:val="nil"/>
              <w:tr2bl w:val="nil"/>
            </w:tcBorders>
            <w:noWrap w:val="0"/>
            <w:vAlign w:val="center"/>
          </w:tcPr>
          <w:p>
            <w:pPr>
              <w:spacing w:line="500" w:lineRule="exact"/>
              <w:ind w:left="100"/>
              <w:jc w:val="center"/>
              <w:rPr>
                <w:rFonts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3分</w:t>
            </w:r>
          </w:p>
        </w:tc>
        <w:tc>
          <w:tcPr>
            <w:tcW w:w="4717" w:type="dxa"/>
            <w:tcBorders>
              <w:tl2br w:val="nil"/>
              <w:tr2bl w:val="nil"/>
            </w:tcBorders>
            <w:noWrap w:val="0"/>
            <w:vAlign w:val="center"/>
          </w:tcPr>
          <w:p>
            <w:pPr>
              <w:spacing w:line="500" w:lineRule="exact"/>
              <w:ind w:left="100"/>
              <w:jc w:val="left"/>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根据投标人的监理大纲（或监理方案）是否可行，能否从施工前监理准备、监理机构设置</w:t>
            </w:r>
            <w:r>
              <w:rPr>
                <w:rFonts w:hint="default" w:ascii="Times New Roman" w:hAnsi="Times New Roman" w:cs="Times New Roman"/>
                <w:b w:val="0"/>
                <w:bCs/>
                <w:color w:val="auto"/>
                <w:szCs w:val="21"/>
                <w:highlight w:val="none"/>
                <w:lang w:eastAsia="zh-CN" w:bidi="ar"/>
              </w:rPr>
              <w:t>、</w:t>
            </w:r>
            <w:r>
              <w:rPr>
                <w:rFonts w:hint="default" w:ascii="Times New Roman" w:hAnsi="Times New Roman" w:cs="Times New Roman"/>
                <w:b w:val="0"/>
                <w:bCs/>
                <w:color w:val="auto"/>
                <w:szCs w:val="21"/>
                <w:highlight w:val="none"/>
                <w:lang w:bidi="ar"/>
              </w:rPr>
              <w:t>施工阶段控制、交（竣）工阶段监理等方面进行充分考虑，监理程序是否完善。基本满足本项目要求的得1.8分，在此基础上视合理可行程度得1.8-3分。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889"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1283"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930" w:type="dxa"/>
            <w:vMerge w:val="continue"/>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监理措施</w:t>
            </w:r>
          </w:p>
        </w:tc>
        <w:tc>
          <w:tcPr>
            <w:tcW w:w="619" w:type="dxa"/>
            <w:tcBorders>
              <w:tl2br w:val="nil"/>
              <w:tr2bl w:val="nil"/>
            </w:tcBorders>
            <w:noWrap w:val="0"/>
            <w:vAlign w:val="center"/>
          </w:tcPr>
          <w:p>
            <w:pPr>
              <w:spacing w:line="500" w:lineRule="exact"/>
              <w:ind w:left="100"/>
              <w:jc w:val="center"/>
              <w:rPr>
                <w:rFonts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3分</w:t>
            </w:r>
          </w:p>
        </w:tc>
        <w:tc>
          <w:tcPr>
            <w:tcW w:w="4717" w:type="dxa"/>
            <w:tcBorders>
              <w:tl2br w:val="nil"/>
              <w:tr2bl w:val="nil"/>
            </w:tcBorders>
            <w:noWrap w:val="0"/>
            <w:vAlign w:val="center"/>
          </w:tcPr>
          <w:p>
            <w:pPr>
              <w:spacing w:line="500" w:lineRule="exact"/>
              <w:ind w:left="100"/>
              <w:jc w:val="left"/>
              <w:rPr>
                <w:rFonts w:hint="default" w:ascii="Times New Roman" w:hAnsi="Times New Roman" w:eastAsia="宋体" w:cs="Times New Roman"/>
                <w:b w:val="0"/>
                <w:bCs/>
                <w:color w:val="auto"/>
                <w:szCs w:val="21"/>
                <w:highlight w:val="none"/>
                <w:lang w:eastAsia="zh-CN" w:bidi="ar"/>
              </w:rPr>
            </w:pPr>
            <w:r>
              <w:rPr>
                <w:rFonts w:hint="default" w:ascii="Times New Roman" w:hAnsi="Times New Roman" w:cs="Times New Roman"/>
                <w:b w:val="0"/>
                <w:bCs/>
                <w:color w:val="auto"/>
                <w:szCs w:val="21"/>
                <w:highlight w:val="none"/>
                <w:lang w:bidi="ar"/>
              </w:rPr>
              <w:t>根据对本工程质量、安全、环保、费用、进度、合同等方面拟采取的监理防控措施可行性和有效性进行评定，基本合理可行的得</w:t>
            </w:r>
            <w:r>
              <w:rPr>
                <w:rFonts w:ascii="Times New Roman" w:hAnsi="Times New Roman" w:cs="Times New Roman"/>
                <w:b w:val="0"/>
                <w:bCs/>
                <w:color w:val="auto"/>
                <w:szCs w:val="21"/>
                <w:highlight w:val="none"/>
                <w:lang w:bidi="ar"/>
              </w:rPr>
              <w:t>1.8</w:t>
            </w:r>
            <w:r>
              <w:rPr>
                <w:rFonts w:hint="default" w:ascii="Times New Roman" w:hAnsi="Times New Roman" w:cs="Times New Roman"/>
                <w:b w:val="0"/>
                <w:bCs/>
                <w:color w:val="auto"/>
                <w:szCs w:val="21"/>
                <w:highlight w:val="none"/>
                <w:lang w:bidi="ar"/>
              </w:rPr>
              <w:t>分，在此基础上视合理可行和措施得力程度得</w:t>
            </w:r>
            <w:r>
              <w:rPr>
                <w:rFonts w:ascii="Times New Roman" w:hAnsi="Times New Roman" w:cs="Times New Roman"/>
                <w:b w:val="0"/>
                <w:bCs/>
                <w:color w:val="auto"/>
                <w:szCs w:val="21"/>
                <w:highlight w:val="none"/>
                <w:lang w:bidi="ar"/>
              </w:rPr>
              <w:t>1.8</w:t>
            </w:r>
            <w:r>
              <w:rPr>
                <w:rFonts w:hint="default" w:ascii="Times New Roman" w:hAnsi="Times New Roman" w:cs="Times New Roman"/>
                <w:b w:val="0"/>
                <w:bCs/>
                <w:color w:val="auto"/>
                <w:szCs w:val="21"/>
                <w:highlight w:val="none"/>
                <w:lang w:bidi="ar"/>
              </w:rPr>
              <w:t>-</w:t>
            </w:r>
            <w:r>
              <w:rPr>
                <w:rFonts w:ascii="Times New Roman" w:hAnsi="Times New Roman" w:cs="Times New Roman"/>
                <w:b w:val="0"/>
                <w:bCs/>
                <w:color w:val="auto"/>
                <w:szCs w:val="21"/>
                <w:highlight w:val="none"/>
                <w:lang w:bidi="ar"/>
              </w:rPr>
              <w:t>3</w:t>
            </w:r>
            <w:r>
              <w:rPr>
                <w:rFonts w:hint="default" w:ascii="Times New Roman" w:hAnsi="Times New Roman" w:cs="Times New Roman"/>
                <w:b w:val="0"/>
                <w:bCs/>
                <w:color w:val="auto"/>
                <w:szCs w:val="21"/>
                <w:highlight w:val="none"/>
                <w:lang w:bidi="ar"/>
              </w:rPr>
              <w:t>分</w:t>
            </w:r>
            <w:r>
              <w:rPr>
                <w:rFonts w:hint="default" w:ascii="Times New Roman" w:hAnsi="Times New Roman" w:cs="Times New Roman"/>
                <w:b w:val="0"/>
                <w:bCs/>
                <w:color w:val="auto"/>
                <w:szCs w:val="21"/>
                <w:highlight w:val="none"/>
                <w:lang w:eastAsia="zh-CN" w:bidi="ar"/>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9"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1283"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930" w:type="dxa"/>
            <w:vMerge w:val="continue"/>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对本工程重点、难点分析</w:t>
            </w:r>
          </w:p>
        </w:tc>
        <w:tc>
          <w:tcPr>
            <w:tcW w:w="619" w:type="dxa"/>
            <w:tcBorders>
              <w:tl2br w:val="nil"/>
              <w:tr2bl w:val="nil"/>
            </w:tcBorders>
            <w:noWrap w:val="0"/>
            <w:vAlign w:val="center"/>
          </w:tcPr>
          <w:p>
            <w:pPr>
              <w:spacing w:line="500" w:lineRule="exact"/>
              <w:ind w:left="100"/>
              <w:jc w:val="center"/>
              <w:rPr>
                <w:rFonts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2分</w:t>
            </w:r>
          </w:p>
        </w:tc>
        <w:tc>
          <w:tcPr>
            <w:tcW w:w="4717" w:type="dxa"/>
            <w:tcBorders>
              <w:tl2br w:val="nil"/>
              <w:tr2bl w:val="nil"/>
            </w:tcBorders>
            <w:noWrap w:val="0"/>
            <w:vAlign w:val="center"/>
          </w:tcPr>
          <w:p>
            <w:pPr>
              <w:spacing w:line="500" w:lineRule="exact"/>
              <w:ind w:left="100"/>
              <w:jc w:val="left"/>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对本工程重点、难点问题的把握程度基本准确，而且针对本项目应着重解决的重点、难点问题所提出的处理措施基本可行的，得</w:t>
            </w:r>
            <w:r>
              <w:rPr>
                <w:rFonts w:ascii="Times New Roman" w:hAnsi="Times New Roman" w:cs="Times New Roman"/>
                <w:b w:val="0"/>
                <w:bCs/>
                <w:color w:val="auto"/>
                <w:szCs w:val="21"/>
                <w:highlight w:val="none"/>
                <w:lang w:bidi="ar"/>
              </w:rPr>
              <w:t>1.2</w:t>
            </w:r>
            <w:r>
              <w:rPr>
                <w:rFonts w:hint="default" w:ascii="Times New Roman" w:hAnsi="Times New Roman" w:cs="Times New Roman"/>
                <w:b w:val="0"/>
                <w:bCs/>
                <w:color w:val="auto"/>
                <w:szCs w:val="21"/>
                <w:highlight w:val="none"/>
                <w:lang w:bidi="ar"/>
              </w:rPr>
              <w:t>分，在此基础上视其准确程度以及有效可行程度得1.2-</w:t>
            </w:r>
            <w:r>
              <w:rPr>
                <w:rFonts w:ascii="Times New Roman" w:hAnsi="Times New Roman" w:cs="Times New Roman"/>
                <w:b w:val="0"/>
                <w:bCs/>
                <w:color w:val="auto"/>
                <w:szCs w:val="21"/>
                <w:highlight w:val="none"/>
                <w:lang w:bidi="ar"/>
              </w:rPr>
              <w:t>2</w:t>
            </w:r>
            <w:r>
              <w:rPr>
                <w:rFonts w:hint="default" w:ascii="Times New Roman" w:hAnsi="Times New Roman" w:cs="Times New Roman"/>
                <w:b w:val="0"/>
                <w:bCs/>
                <w:color w:val="auto"/>
                <w:szCs w:val="21"/>
                <w:highlight w:val="none"/>
                <w:lang w:bidi="ar"/>
              </w:rPr>
              <w:t xml:space="preserve">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889"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1283" w:type="dxa"/>
            <w:vMerge w:val="continue"/>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p>
        </w:tc>
        <w:tc>
          <w:tcPr>
            <w:tcW w:w="930" w:type="dxa"/>
            <w:vMerge w:val="continue"/>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对本工程的建议</w:t>
            </w:r>
          </w:p>
        </w:tc>
        <w:tc>
          <w:tcPr>
            <w:tcW w:w="619" w:type="dxa"/>
            <w:tcBorders>
              <w:tl2br w:val="nil"/>
              <w:tr2bl w:val="nil"/>
            </w:tcBorders>
            <w:noWrap w:val="0"/>
            <w:vAlign w:val="center"/>
          </w:tcPr>
          <w:p>
            <w:pPr>
              <w:spacing w:line="500" w:lineRule="exact"/>
              <w:ind w:left="100"/>
              <w:jc w:val="center"/>
              <w:rPr>
                <w:rFonts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val="en-US" w:eastAsia="zh-CN" w:bidi="ar"/>
              </w:rPr>
              <w:t>2</w:t>
            </w:r>
            <w:r>
              <w:rPr>
                <w:rFonts w:hint="default" w:ascii="Times New Roman" w:hAnsi="Times New Roman" w:cs="Times New Roman"/>
                <w:b w:val="0"/>
                <w:bCs/>
                <w:color w:val="auto"/>
                <w:szCs w:val="21"/>
                <w:highlight w:val="none"/>
                <w:lang w:bidi="ar"/>
              </w:rPr>
              <w:t>分</w:t>
            </w:r>
          </w:p>
        </w:tc>
        <w:tc>
          <w:tcPr>
            <w:tcW w:w="4717" w:type="dxa"/>
            <w:tcBorders>
              <w:tl2br w:val="nil"/>
              <w:tr2bl w:val="nil"/>
            </w:tcBorders>
            <w:noWrap w:val="0"/>
            <w:vAlign w:val="center"/>
          </w:tcPr>
          <w:p>
            <w:pPr>
              <w:spacing w:line="500" w:lineRule="exact"/>
              <w:ind w:left="100"/>
              <w:jc w:val="left"/>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对投标人所提建议的合理可行性、可实施性、项目针对性进行评分，基本适合本项目的得</w:t>
            </w:r>
            <w:r>
              <w:rPr>
                <w:rFonts w:hint="default" w:ascii="Times New Roman" w:hAnsi="Times New Roman" w:cs="Times New Roman"/>
                <w:b w:val="0"/>
                <w:bCs/>
                <w:color w:val="auto"/>
                <w:szCs w:val="21"/>
                <w:highlight w:val="none"/>
                <w:lang w:val="en-US" w:eastAsia="zh-CN" w:bidi="ar"/>
              </w:rPr>
              <w:t>1</w:t>
            </w:r>
            <w:r>
              <w:rPr>
                <w:rFonts w:hint="default" w:ascii="Times New Roman" w:hAnsi="Times New Roman" w:cs="Times New Roman"/>
                <w:b w:val="0"/>
                <w:bCs/>
                <w:color w:val="auto"/>
                <w:szCs w:val="21"/>
                <w:highlight w:val="none"/>
                <w:lang w:bidi="ar"/>
              </w:rPr>
              <w:t>.</w:t>
            </w:r>
            <w:r>
              <w:rPr>
                <w:rFonts w:hint="default" w:ascii="Times New Roman" w:hAnsi="Times New Roman" w:cs="Times New Roman"/>
                <w:b w:val="0"/>
                <w:bCs/>
                <w:color w:val="auto"/>
                <w:szCs w:val="21"/>
                <w:highlight w:val="none"/>
                <w:lang w:val="en-US" w:eastAsia="zh-CN" w:bidi="ar"/>
              </w:rPr>
              <w:t>2</w:t>
            </w:r>
            <w:r>
              <w:rPr>
                <w:rFonts w:hint="default" w:ascii="Times New Roman" w:hAnsi="Times New Roman" w:cs="Times New Roman"/>
                <w:b w:val="0"/>
                <w:bCs/>
                <w:color w:val="auto"/>
                <w:szCs w:val="21"/>
                <w:highlight w:val="none"/>
                <w:lang w:bidi="ar"/>
              </w:rPr>
              <w:t xml:space="preserve">分，在此基础上视其建议可行性、可实施性、针对性得1.2-2分。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336" w:hRule="atLeast"/>
          <w:jc w:val="center"/>
        </w:trPr>
        <w:tc>
          <w:tcPr>
            <w:tcW w:w="889" w:type="dxa"/>
            <w:vMerge w:val="restar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bookmarkStart w:id="3" w:name="_Hlk132055966"/>
            <w:r>
              <w:rPr>
                <w:rFonts w:hint="default" w:ascii="Times New Roman" w:hAnsi="Times New Roman" w:cs="Times New Roman"/>
                <w:b w:val="0"/>
                <w:bCs/>
                <w:color w:val="auto"/>
                <w:szCs w:val="21"/>
                <w:highlight w:val="none"/>
                <w:lang w:bidi="ar"/>
              </w:rPr>
              <w:t>2.2.4</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w:t>
            </w:r>
          </w:p>
        </w:tc>
        <w:tc>
          <w:tcPr>
            <w:tcW w:w="1283" w:type="dxa"/>
            <w:vMerge w:val="restart"/>
            <w:tcBorders>
              <w:tl2br w:val="nil"/>
              <w:tr2bl w:val="nil"/>
            </w:tcBorders>
            <w:noWrap w:val="0"/>
            <w:vAlign w:val="center"/>
          </w:tcPr>
          <w:p>
            <w:pPr>
              <w:spacing w:line="500" w:lineRule="exact"/>
              <w:ind w:left="113" w:right="113"/>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主要人员</w:t>
            </w:r>
          </w:p>
        </w:tc>
        <w:tc>
          <w:tcPr>
            <w:tcW w:w="930" w:type="dxa"/>
            <w:vMerge w:val="restart"/>
            <w:tcBorders>
              <w:tl2br w:val="nil"/>
              <w:tr2bl w:val="nil"/>
            </w:tcBorders>
            <w:noWrap w:val="0"/>
            <w:vAlign w:val="center"/>
          </w:tcPr>
          <w:p>
            <w:pPr>
              <w:pStyle w:val="11"/>
              <w:spacing w:before="0" w:beforeAutospacing="0" w:after="0" w:afterAutospacing="0" w:line="500" w:lineRule="exact"/>
              <w:ind w:left="10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35分</w:t>
            </w:r>
          </w:p>
        </w:tc>
        <w:tc>
          <w:tcPr>
            <w:tcW w:w="6634" w:type="dxa"/>
            <w:gridSpan w:val="3"/>
            <w:tcBorders>
              <w:tl2br w:val="nil"/>
              <w:tr2bl w:val="nil"/>
            </w:tcBorders>
            <w:noWrap w:val="0"/>
            <w:vAlign w:val="center"/>
          </w:tcPr>
          <w:p>
            <w:pPr>
              <w:spacing w:line="500" w:lineRule="exact"/>
              <w:ind w:left="100" w:right="0" w:rightChars="0"/>
              <w:jc w:val="both"/>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满足资格审查条件（人员最低要求）得21分；</w:t>
            </w:r>
          </w:p>
          <w:p>
            <w:pPr>
              <w:spacing w:line="500" w:lineRule="exact"/>
              <w:ind w:left="100"/>
              <w:jc w:val="both"/>
              <w:rPr>
                <w:rFonts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lang w:bidi="ar"/>
              </w:rPr>
              <w:t>总监理工程师</w:t>
            </w:r>
            <w:r>
              <w:rPr>
                <w:rFonts w:hint="default" w:ascii="Times New Roman" w:hAnsi="Times New Roman" w:cs="Times New Roman"/>
                <w:b w:val="0"/>
                <w:bCs/>
                <w:color w:val="auto"/>
                <w:szCs w:val="21"/>
                <w:highlight w:val="none"/>
                <w:lang w:eastAsia="zh-CN" w:bidi="ar"/>
              </w:rPr>
              <w:t>：</w:t>
            </w:r>
            <w:r>
              <w:rPr>
                <w:rFonts w:hint="default" w:ascii="Times New Roman" w:hAnsi="Times New Roman" w:cs="Times New Roman"/>
                <w:b w:val="0"/>
                <w:bCs/>
                <w:color w:val="auto"/>
                <w:szCs w:val="21"/>
                <w:highlight w:val="none"/>
                <w:lang w:eastAsia="zh-CN"/>
              </w:rPr>
              <w:t>作为总监理工程师</w:t>
            </w:r>
            <w:r>
              <w:rPr>
                <w:rFonts w:hint="default" w:ascii="Times New Roman" w:hAnsi="Times New Roman" w:cs="Times New Roman"/>
                <w:b w:val="0"/>
                <w:bCs/>
                <w:color w:val="auto"/>
                <w:szCs w:val="21"/>
                <w:highlight w:val="none"/>
              </w:rPr>
              <w:t>每增加1项高速公路养护工程施工监理业绩加</w:t>
            </w:r>
            <w:r>
              <w:rPr>
                <w:rFonts w:hint="default" w:ascii="Times New Roman" w:hAnsi="Times New Roman" w:cs="Times New Roman"/>
                <w:b w:val="0"/>
                <w:bCs/>
                <w:color w:val="auto"/>
                <w:szCs w:val="21"/>
                <w:highlight w:val="none"/>
                <w:lang w:eastAsia="zh-CN"/>
              </w:rPr>
              <w:t>7</w:t>
            </w:r>
            <w:r>
              <w:rPr>
                <w:rFonts w:hint="default" w:ascii="Times New Roman" w:hAnsi="Times New Roman" w:cs="Times New Roman"/>
                <w:b w:val="0"/>
                <w:bCs/>
                <w:color w:val="auto"/>
                <w:szCs w:val="21"/>
                <w:highlight w:val="none"/>
              </w:rPr>
              <w:t>分，最高加</w:t>
            </w:r>
            <w:r>
              <w:rPr>
                <w:rFonts w:hint="default" w:ascii="Times New Roman" w:hAnsi="Times New Roman" w:cs="Times New Roman"/>
                <w:b w:val="0"/>
                <w:bCs/>
                <w:color w:val="auto"/>
                <w:szCs w:val="21"/>
                <w:highlight w:val="none"/>
                <w:lang w:eastAsia="zh-CN"/>
              </w:rPr>
              <w:t>1</w:t>
            </w:r>
            <w:r>
              <w:rPr>
                <w:rFonts w:hint="default" w:ascii="Times New Roman" w:hAnsi="Times New Roman" w:cs="Times New Roman"/>
                <w:b w:val="0"/>
                <w:bCs/>
                <w:color w:val="auto"/>
                <w:szCs w:val="21"/>
                <w:highlight w:val="none"/>
                <w:lang w:val="en-US" w:eastAsia="zh-CN"/>
              </w:rPr>
              <w:t>4</w:t>
            </w:r>
            <w:r>
              <w:rPr>
                <w:rFonts w:hint="default" w:ascii="Times New Roman" w:hAnsi="Times New Roman" w:cs="Times New Roman"/>
                <w:b w:val="0"/>
                <w:bCs/>
                <w:color w:val="auto"/>
                <w:szCs w:val="21"/>
                <w:highlight w:val="none"/>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36" w:hRule="atLeast"/>
          <w:jc w:val="center"/>
        </w:trPr>
        <w:tc>
          <w:tcPr>
            <w:tcW w:w="889" w:type="dxa"/>
            <w:vMerge w:val="restar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2.2.4</w:t>
            </w:r>
          </w:p>
          <w:p>
            <w:pPr>
              <w:spacing w:line="500" w:lineRule="exact"/>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（4）</w:t>
            </w:r>
          </w:p>
        </w:tc>
        <w:tc>
          <w:tcPr>
            <w:tcW w:w="1283" w:type="dxa"/>
            <w:vMerge w:val="restar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业绩与信誉</w:t>
            </w:r>
          </w:p>
        </w:tc>
        <w:tc>
          <w:tcPr>
            <w:tcW w:w="930" w:type="dxa"/>
            <w:vMerge w:val="restart"/>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45分</w:t>
            </w:r>
          </w:p>
        </w:tc>
        <w:tc>
          <w:tcPr>
            <w:tcW w:w="1298"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业绩</w:t>
            </w:r>
          </w:p>
        </w:tc>
        <w:tc>
          <w:tcPr>
            <w:tcW w:w="619" w:type="dxa"/>
            <w:tcBorders>
              <w:tl2br w:val="nil"/>
              <w:tr2bl w:val="nil"/>
            </w:tcBorders>
            <w:noWrap w:val="0"/>
            <w:vAlign w:val="center"/>
          </w:tcPr>
          <w:p>
            <w:pPr>
              <w:spacing w:line="500" w:lineRule="exact"/>
              <w:ind w:left="100"/>
              <w:jc w:val="center"/>
              <w:rPr>
                <w:rFonts w:hint="default" w:ascii="Times New Roman" w:hAnsi="Times New Roman" w:cs="Times New Roman"/>
                <w:b w:val="0"/>
                <w:bCs/>
                <w:color w:val="auto"/>
                <w:szCs w:val="21"/>
                <w:highlight w:val="none"/>
                <w:lang w:bidi="ar"/>
              </w:rPr>
            </w:pPr>
            <w:r>
              <w:rPr>
                <w:rFonts w:hint="default" w:ascii="Times New Roman" w:hAnsi="Times New Roman" w:cs="Times New Roman"/>
                <w:b w:val="0"/>
                <w:bCs/>
                <w:color w:val="auto"/>
                <w:szCs w:val="21"/>
                <w:highlight w:val="none"/>
                <w:lang w:bidi="ar"/>
              </w:rPr>
              <w:t>35分</w:t>
            </w:r>
          </w:p>
        </w:tc>
        <w:tc>
          <w:tcPr>
            <w:tcW w:w="4717" w:type="dxa"/>
            <w:tcBorders>
              <w:tl2br w:val="nil"/>
              <w:tr2bl w:val="nil"/>
            </w:tcBorders>
            <w:noWrap w:val="0"/>
            <w:vAlign w:val="center"/>
          </w:tcPr>
          <w:p>
            <w:pPr>
              <w:widowControl/>
              <w:spacing w:before="34" w:line="500" w:lineRule="exact"/>
              <w:ind w:left="1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满足资格审查条件（业绩最低要求）得2</w:t>
            </w:r>
            <w:r>
              <w:rPr>
                <w:rFonts w:hint="default" w:ascii="Times New Roman" w:hAnsi="Times New Roman" w:eastAsia="宋体" w:cs="Times New Roman"/>
                <w:b w:val="0"/>
                <w:bCs/>
                <w:color w:val="auto"/>
                <w:szCs w:val="21"/>
                <w:highlight w:val="none"/>
                <w:lang w:val="en-US" w:eastAsia="zh-CN"/>
              </w:rPr>
              <w:t>3</w:t>
            </w:r>
            <w:r>
              <w:rPr>
                <w:rFonts w:hint="default" w:ascii="Times New Roman" w:hAnsi="Times New Roman" w:eastAsia="宋体" w:cs="Times New Roman"/>
                <w:b w:val="0"/>
                <w:bCs/>
                <w:color w:val="auto"/>
                <w:szCs w:val="21"/>
                <w:highlight w:val="none"/>
              </w:rPr>
              <w:t>分；</w:t>
            </w:r>
          </w:p>
          <w:p>
            <w:pPr>
              <w:widowControl/>
              <w:spacing w:before="34" w:line="500" w:lineRule="exact"/>
              <w:ind w:left="100"/>
              <w:rPr>
                <w:rFonts w:hint="default" w:ascii="Times New Roman" w:hAnsi="Times New Roman" w:cs="Times New Roman"/>
                <w:b w:val="0"/>
                <w:bCs/>
                <w:color w:val="auto"/>
                <w:szCs w:val="21"/>
                <w:highlight w:val="none"/>
                <w:lang w:bidi="ar"/>
              </w:rPr>
            </w:pPr>
            <w:r>
              <w:rPr>
                <w:rFonts w:hint="default" w:ascii="Times New Roman" w:hAnsi="Times New Roman" w:eastAsia="宋体" w:cs="Times New Roman"/>
                <w:b w:val="0"/>
                <w:bCs/>
                <w:color w:val="auto"/>
                <w:szCs w:val="21"/>
                <w:highlight w:val="none"/>
              </w:rPr>
              <w:t>近五年（2019年</w:t>
            </w:r>
            <w:r>
              <w:rPr>
                <w:rFonts w:hint="default" w:ascii="Times New Roman" w:hAnsi="Times New Roman" w:eastAsia="宋体" w:cs="Times New Roman"/>
                <w:b w:val="0"/>
                <w:bCs/>
                <w:color w:val="auto"/>
                <w:szCs w:val="21"/>
                <w:highlight w:val="none"/>
                <w:lang w:eastAsia="zh-CN"/>
              </w:rPr>
              <w:t>9月1日</w:t>
            </w:r>
            <w:r>
              <w:rPr>
                <w:rFonts w:hint="default" w:ascii="Times New Roman" w:hAnsi="Times New Roman" w:eastAsia="宋体" w:cs="Times New Roman"/>
                <w:b w:val="0"/>
                <w:bCs/>
                <w:color w:val="auto"/>
                <w:szCs w:val="21"/>
                <w:highlight w:val="none"/>
              </w:rPr>
              <w:t>至投标文件递交截止日，以</w:t>
            </w:r>
            <w:r>
              <w:rPr>
                <w:rFonts w:hint="default" w:ascii="Times New Roman" w:hAnsi="Times New Roman" w:eastAsia="宋体" w:cs="Times New Roman"/>
                <w:b w:val="0"/>
                <w:bCs/>
                <w:color w:val="auto"/>
                <w:szCs w:val="21"/>
                <w:highlight w:val="none"/>
                <w:lang w:eastAsia="zh-CN"/>
              </w:rPr>
              <w:t>交（竣）工</w:t>
            </w:r>
            <w:r>
              <w:rPr>
                <w:rFonts w:hint="default" w:ascii="Times New Roman" w:hAnsi="Times New Roman" w:eastAsia="宋体" w:cs="Times New Roman"/>
                <w:b w:val="0"/>
                <w:bCs/>
                <w:color w:val="auto"/>
                <w:szCs w:val="21"/>
                <w:highlight w:val="none"/>
              </w:rPr>
              <w:t>验收时间为准）每增加1项高速公路养护工程施工监理业绩（</w:t>
            </w:r>
            <w:r>
              <w:rPr>
                <w:rFonts w:hint="default" w:ascii="Times New Roman" w:hAnsi="Times New Roman" w:eastAsia="宋体" w:cs="Times New Roman"/>
                <w:b w:val="0"/>
                <w:bCs/>
                <w:color w:val="auto"/>
                <w:szCs w:val="21"/>
                <w:highlight w:val="none"/>
                <w:lang w:val="en-US" w:eastAsia="zh-CN"/>
              </w:rPr>
              <w:t>主要工程量</w:t>
            </w:r>
            <w:r>
              <w:rPr>
                <w:rFonts w:hint="default" w:ascii="Times New Roman" w:hAnsi="Times New Roman" w:eastAsia="宋体" w:cs="Times New Roman"/>
                <w:b w:val="0"/>
                <w:bCs/>
                <w:color w:val="auto"/>
                <w:szCs w:val="21"/>
                <w:highlight w:val="none"/>
              </w:rPr>
              <w:t>须包含路面工程）加</w:t>
            </w:r>
            <w:r>
              <w:rPr>
                <w:rFonts w:hint="default" w:ascii="Times New Roman" w:hAnsi="Times New Roman" w:eastAsia="宋体" w:cs="Times New Roman"/>
                <w:b w:val="0"/>
                <w:bCs/>
                <w:color w:val="auto"/>
                <w:szCs w:val="21"/>
                <w:highlight w:val="none"/>
                <w:lang w:val="en-US" w:eastAsia="zh-CN"/>
              </w:rPr>
              <w:t>4</w:t>
            </w:r>
            <w:r>
              <w:rPr>
                <w:rFonts w:hint="default" w:ascii="Times New Roman" w:hAnsi="Times New Roman" w:eastAsia="宋体" w:cs="Times New Roman"/>
                <w:b w:val="0"/>
                <w:bCs/>
                <w:color w:val="auto"/>
                <w:szCs w:val="21"/>
                <w:highlight w:val="none"/>
              </w:rPr>
              <w:t>分，本项最高加1</w:t>
            </w:r>
            <w:r>
              <w:rPr>
                <w:rFonts w:hint="default" w:ascii="Times New Roman" w:hAnsi="Times New Roman" w:eastAsia="宋体" w:cs="Times New Roman"/>
                <w:b w:val="0"/>
                <w:bCs/>
                <w:color w:val="auto"/>
                <w:szCs w:val="21"/>
                <w:highlight w:val="none"/>
                <w:lang w:val="en-US" w:eastAsia="zh-CN"/>
              </w:rPr>
              <w:t>2</w:t>
            </w:r>
            <w:r>
              <w:rPr>
                <w:rFonts w:hint="default" w:ascii="Times New Roman" w:hAnsi="Times New Roman" w:eastAsia="宋体" w:cs="Times New Roman"/>
                <w:b w:val="0"/>
                <w:bCs/>
                <w:color w:val="auto"/>
                <w:szCs w:val="21"/>
                <w:highlight w:val="none"/>
              </w:rPr>
              <w:t>分。</w:t>
            </w:r>
          </w:p>
        </w:tc>
      </w:tr>
      <w:bookmarkEnd w:id="3"/>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297" w:hRule="atLeast"/>
          <w:jc w:val="center"/>
        </w:trPr>
        <w:tc>
          <w:tcPr>
            <w:tcW w:w="889" w:type="dxa"/>
            <w:vMerge w:val="continue"/>
            <w:tcBorders>
              <w:tl2br w:val="nil"/>
              <w:tr2bl w:val="nil"/>
            </w:tcBorders>
            <w:noWrap w:val="0"/>
            <w:vAlign w:val="center"/>
          </w:tcPr>
          <w:p>
            <w:pPr>
              <w:spacing w:line="500" w:lineRule="exact"/>
              <w:rPr>
                <w:rFonts w:hint="default" w:ascii="Times New Roman" w:hAnsi="Times New Roman" w:cs="Times New Roman"/>
                <w:b w:val="0"/>
                <w:bCs/>
                <w:color w:val="auto"/>
                <w:szCs w:val="21"/>
                <w:highlight w:val="none"/>
              </w:rPr>
            </w:pPr>
          </w:p>
        </w:tc>
        <w:tc>
          <w:tcPr>
            <w:tcW w:w="1283" w:type="dxa"/>
            <w:vMerge w:val="continue"/>
            <w:tcBorders>
              <w:tl2br w:val="nil"/>
              <w:tr2bl w:val="nil"/>
            </w:tcBorders>
            <w:noWrap w:val="0"/>
            <w:vAlign w:val="center"/>
          </w:tcPr>
          <w:p>
            <w:pPr>
              <w:spacing w:line="500" w:lineRule="exact"/>
              <w:rPr>
                <w:rFonts w:hint="default" w:ascii="Times New Roman" w:hAnsi="Times New Roman" w:cs="Times New Roman"/>
                <w:b w:val="0"/>
                <w:bCs/>
                <w:color w:val="auto"/>
                <w:szCs w:val="21"/>
                <w:highlight w:val="none"/>
              </w:rPr>
            </w:pPr>
          </w:p>
        </w:tc>
        <w:tc>
          <w:tcPr>
            <w:tcW w:w="930" w:type="dxa"/>
            <w:vMerge w:val="continue"/>
            <w:tcBorders>
              <w:tl2br w:val="nil"/>
              <w:tr2bl w:val="nil"/>
            </w:tcBorders>
            <w:noWrap w:val="0"/>
            <w:vAlign w:val="center"/>
          </w:tcPr>
          <w:p>
            <w:pPr>
              <w:spacing w:line="500" w:lineRule="exact"/>
              <w:ind w:left="100"/>
              <w:rPr>
                <w:rFonts w:hint="default" w:ascii="Times New Roman" w:hAnsi="Times New Roman" w:cs="Times New Roman"/>
                <w:b w:val="0"/>
                <w:bCs/>
                <w:color w:val="auto"/>
                <w:szCs w:val="21"/>
                <w:highlight w:val="none"/>
              </w:rPr>
            </w:pPr>
          </w:p>
        </w:tc>
        <w:tc>
          <w:tcPr>
            <w:tcW w:w="1298" w:type="dxa"/>
            <w:tcBorders>
              <w:tl2br w:val="nil"/>
              <w:tr2bl w:val="nil"/>
            </w:tcBorders>
            <w:noWrap w:val="0"/>
            <w:vAlign w:val="center"/>
          </w:tcPr>
          <w:p>
            <w:pPr>
              <w:widowControl/>
              <w:spacing w:before="34" w:line="500" w:lineRule="exact"/>
              <w:ind w:left="100"/>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信誉</w:t>
            </w:r>
          </w:p>
        </w:tc>
        <w:tc>
          <w:tcPr>
            <w:tcW w:w="619" w:type="dxa"/>
            <w:tcBorders>
              <w:tl2br w:val="nil"/>
              <w:tr2bl w:val="nil"/>
            </w:tcBorders>
            <w:noWrap w:val="0"/>
            <w:vAlign w:val="center"/>
          </w:tcPr>
          <w:p>
            <w:pPr>
              <w:widowControl/>
              <w:spacing w:before="34" w:line="500" w:lineRule="exact"/>
              <w:ind w:left="100"/>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10分</w:t>
            </w:r>
          </w:p>
        </w:tc>
        <w:tc>
          <w:tcPr>
            <w:tcW w:w="4717" w:type="dxa"/>
            <w:tcBorders>
              <w:tl2br w:val="nil"/>
              <w:tr2bl w:val="nil"/>
            </w:tcBorders>
            <w:noWrap w:val="0"/>
            <w:vAlign w:val="center"/>
          </w:tcPr>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（a）满足资格审查条件（信誉最低要求）得6分；</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（b）按照交通运输部或山西省交通运输厅公布的公路建设市场监理企业信用评价结果公告，对投标人近三年（按照网站公布的最新连续三年的监理企业信用评价计算）的信用等级评价进行评分，标准如下：</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（1）连续三年被交通运输部或山西省交通运输厅评为AA级，加4分；</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（2）连续两年被交通运输部或山西省交通运输厅评为AA级，加3分；</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（3）</w:t>
            </w:r>
            <w:r>
              <w:rPr>
                <w:rFonts w:hint="default" w:ascii="Times New Roman" w:hAnsi="Times New Roman" w:cs="Times New Roman"/>
                <w:b w:val="0"/>
                <w:bCs/>
                <w:color w:val="auto"/>
                <w:szCs w:val="21"/>
                <w:highlight w:val="none"/>
                <w:lang w:eastAsia="zh-CN"/>
              </w:rPr>
              <w:t>近</w:t>
            </w:r>
            <w:r>
              <w:rPr>
                <w:rFonts w:hint="default" w:ascii="Times New Roman" w:hAnsi="Times New Roman" w:cs="Times New Roman"/>
                <w:b w:val="0"/>
                <w:bCs/>
                <w:color w:val="auto"/>
                <w:szCs w:val="21"/>
                <w:highlight w:val="none"/>
              </w:rPr>
              <w:t>一年被交通运输部或山西省交通运输厅评为AA级，加2分。</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（4）连续三年被交通运输部或山西省交通运输厅评为A级，加1分；</w:t>
            </w:r>
          </w:p>
          <w:p>
            <w:pPr>
              <w:widowControl/>
              <w:spacing w:before="34" w:line="500" w:lineRule="exact"/>
              <w:ind w:left="100"/>
              <w:rPr>
                <w:rFonts w:hint="default" w:ascii="Times New Roman" w:hAnsi="Times New Roman" w:eastAsia="黑体" w:cs="Times New Roman"/>
                <w:b w:val="0"/>
                <w:bCs/>
                <w:color w:val="auto"/>
                <w:sz w:val="18"/>
                <w:szCs w:val="18"/>
                <w:highlight w:val="none"/>
              </w:rPr>
            </w:pPr>
            <w:r>
              <w:rPr>
                <w:rFonts w:hint="default" w:ascii="Times New Roman" w:hAnsi="Times New Roman" w:eastAsia="黑体" w:cs="Times New Roman"/>
                <w:b w:val="0"/>
                <w:bCs/>
                <w:color w:val="auto"/>
                <w:sz w:val="18"/>
                <w:szCs w:val="18"/>
                <w:highlight w:val="none"/>
              </w:rPr>
              <w:t>注：①信用评价优先以“山西省交通运输厅信用评价结果”为准，若在山西未有信用评价的，信用评价以“交通运输部信用评价结果公示”为准，若交通运输部也没有信用评价的按B级对待，不得分。</w:t>
            </w:r>
          </w:p>
          <w:p>
            <w:pPr>
              <w:widowControl/>
              <w:spacing w:before="34" w:line="500" w:lineRule="exact"/>
              <w:ind w:left="100"/>
              <w:rPr>
                <w:rFonts w:hint="default" w:ascii="Times New Roman" w:hAnsi="Times New Roman" w:eastAsia="黑体" w:cs="Times New Roman"/>
                <w:b w:val="0"/>
                <w:bCs/>
                <w:color w:val="auto"/>
                <w:sz w:val="18"/>
                <w:szCs w:val="18"/>
                <w:highlight w:val="none"/>
              </w:rPr>
            </w:pPr>
            <w:r>
              <w:rPr>
                <w:rFonts w:hint="default" w:ascii="Times New Roman" w:hAnsi="Times New Roman" w:eastAsia="黑体" w:cs="Times New Roman"/>
                <w:b w:val="0"/>
                <w:bCs/>
                <w:color w:val="auto"/>
                <w:sz w:val="18"/>
                <w:szCs w:val="18"/>
                <w:highlight w:val="none"/>
              </w:rPr>
              <w:t>②信用评价按同一交通运输主管部门的评价结果评分。</w:t>
            </w:r>
          </w:p>
          <w:p>
            <w:pPr>
              <w:widowControl/>
              <w:spacing w:before="34" w:line="500" w:lineRule="exact"/>
              <w:ind w:left="100"/>
              <w:rPr>
                <w:rFonts w:hint="default" w:ascii="Times New Roman" w:hAnsi="Times New Roman" w:cs="Times New Roman"/>
                <w:b w:val="0"/>
                <w:bCs/>
                <w:color w:val="auto"/>
                <w:szCs w:val="21"/>
                <w:highlight w:val="none"/>
              </w:rPr>
            </w:pPr>
            <w:r>
              <w:rPr>
                <w:rFonts w:hint="default" w:ascii="Times New Roman" w:hAnsi="Times New Roman" w:eastAsia="黑体" w:cs="Times New Roman"/>
                <w:b w:val="0"/>
                <w:bCs/>
                <w:color w:val="auto"/>
                <w:sz w:val="18"/>
                <w:szCs w:val="18"/>
                <w:highlight w:val="none"/>
              </w:rPr>
              <w:t>③三年内有山西省交通运输厅公布的公路建设市场监理信用评价的按山西省交通运输厅信用评价结果计算。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36" w:type="dxa"/>
            <w:gridSpan w:val="6"/>
            <w:tcBorders>
              <w:tl2br w:val="nil"/>
              <w:tr2bl w:val="nil"/>
            </w:tcBorders>
            <w:noWrap w:val="0"/>
            <w:vAlign w:val="center"/>
          </w:tcPr>
          <w:p>
            <w:pPr>
              <w:pStyle w:val="19"/>
              <w:shd w:val="clear" w:color="auto" w:fill="auto"/>
              <w:spacing w:line="360" w:lineRule="auto"/>
              <w:ind w:firstLine="420" w:firstLineChars="200"/>
              <w:jc w:val="left"/>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1.评标方法修改为</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3.评标程序修改为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 第一个信封初步评审</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通过第一个信封初步评审的投标人不足3个时，不再进行后续评审，招标人将重新组织招标。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3.2 第一个信封详细评审</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3.2.1评标委员会按本章第2.2款规定的量化因素和分值进行打分，并计算出各投标人的商务和技术得分。</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（1）按本章第2.2.4项（1）目规定的评审因素和分值对技术建议书部分计算出得分A；</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（2）按本章第2.2.4项（2）目规定的评审因素和分值对主要人员部分计算出得分B；</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（3）按本章第2.2.4项（4）目规定的评审因素和分值对其他因素计算出得分D。</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3.2.2 投标人的商务和技术得分分值计算保留小数点后两位，小数点后第三位“四舍五入”。</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3.2.3 投标人的商务和技术得分=A+B+D。</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评标委员会对通过初步评审商务文件和技术建议书进行评分。每个投标人商务文件和技术建议书各分项的得分为评标委员会全体成员的对应分项打分去掉一个最高分和一个最低分后的算术平均值（当评标委员会成员人数为5人时不去掉最高和最低分），得分四舍五入，保留两位小数。</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技术建议书得分一般不得低于其权重分值的60%，评标委员会成员对某一项评分因素的评分低于权重分值60%的，应在评标报告中作出说明。</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3.3第二个信封开标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3.4第二个信封初步评审</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3.4.1评标委员会依据本章第2.1.1项、第2.1.3项规定的评审标准对投标文件第二个信封（报价文件）进行初步评审。有一项不符合评审标准，评标委员会应否决其投标。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3.4.2投标报价有算术错误的，评标委员会按以下原则对投标报价进行修正，修正的价格经投标人书面确认后具有约束力。投标人不接受修正价格的，评标委员会应否决其投标。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（l）投标文件中的大写金额与小写金额不一致的，以大写金额为准；</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（2）总价金额与依据单价计算出的结果不一致的，以单价金额为准修正总价，但单价金额小数点有明显错误的除外；</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（3）当单价与数量相乘不等于合价时，以单价计算为准，如果单价有明显的小数点位置差错，应以标出的合价为准，同时对单价予以修正；</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（4）当各子目的合价累计不等于总价时，应以各子目合价累计数为准，修正总价。</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3.4.3修正后的最终投标报价若超过最高投标限价（如有），评标委员会应否决其投标。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3.4.4修正后的最终投标报价仅作为签订合同的一个依据，不参与评标价得分的计算。</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3.5第二个信封详细评审</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3.5.1评标委员会按本章第2.2.4项（3）目规定的评审因素和分值对评标价计算出得分C。评标价得分分值计算保留小数点后两位，小数点后第三位“四舍五入”。</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3.5.2投标人综合得分=投标人的商务和技术得分＋C。</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3.6投标文件相关信息的核查</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3.6.1在评标过程中，评标委员会应在相关网站对投标人的资质、业绩、主要人员（中心试验室主任除外）资历和目前在岗情况、信用等级等信息进行核实。若投标文件载明的信息与查询的信息不符，使得投标人的资格条件不符合招标文件规定的，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（1）有下列情形之一的，属于投标人相互串通投标：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a.投标人之间协商投标报价等投标文件的实质性内容；</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b.投标人之间约定中标人；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c.投标人之间约定部分投标人放弃投标或中标；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d.属于同一集团、协会、商会等组织成员的投标人按照该组织要求协同投标；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e.投标人之间为谋取中标或排斥特定投标人而采取的其他联合行动。</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rPr>
              <w:t>）有下列情形之一的，视为投标人相互串通投标：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a.不同投标人的投标文件由同一单位或个人编制；</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b.不同投标人委托同一单位或个人办理投标事宜；</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c.不同投标人的投标文件载明的项目管理成员为同</w:t>
            </w:r>
            <w:r>
              <w:rPr>
                <w:rFonts w:hint="default" w:ascii="Times New Roman" w:hAnsi="Times New Roman" w:cs="Times New Roman"/>
                <w:b w:val="0"/>
                <w:bCs/>
                <w:color w:val="auto"/>
                <w:sz w:val="21"/>
                <w:szCs w:val="21"/>
                <w:highlight w:val="none"/>
                <w:lang w:val="en-US" w:eastAsia="zh-CN"/>
              </w:rPr>
              <w:t>一</w:t>
            </w:r>
            <w:r>
              <w:rPr>
                <w:rFonts w:hint="default" w:ascii="Times New Roman" w:hAnsi="Times New Roman" w:eastAsia="宋体" w:cs="Times New Roman"/>
                <w:b w:val="0"/>
                <w:bCs/>
                <w:color w:val="auto"/>
                <w:sz w:val="21"/>
                <w:szCs w:val="21"/>
                <w:highlight w:val="none"/>
              </w:rPr>
              <w:t>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d.不同投标人的投标文件异常一致或投标报价呈规律性差异；</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e.不同投标人的投标文件相互混装；</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f.不同投标人的投标保证金从同一单位或个人的账户转出。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rPr>
              <w:t>）有下列情形之一的，属于招标人与投标人串通投标：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a.招标人在开标前开启投标文件并将有关信息泄露给其他投标人；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b.招标人直接或间接向投标人泄露标底、评标委员会成员等信息；</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c.招标人明示或暗示投标人压低或抬高投标报价；</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d.招标人授意投标人撤换、修改投标文件；</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e.招标人明示或暗示投标人为特定投标人中标提供方便；</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f.招标人与投标人为谋求特定投标人中标而采取的其他串通行为。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4</w:t>
            </w:r>
            <w:r>
              <w:rPr>
                <w:rFonts w:hint="default" w:ascii="Times New Roman" w:hAnsi="Times New Roman" w:eastAsia="宋体" w:cs="Times New Roman"/>
                <w:b w:val="0"/>
                <w:bCs/>
                <w:color w:val="auto"/>
                <w:sz w:val="21"/>
                <w:szCs w:val="21"/>
                <w:highlight w:val="none"/>
              </w:rPr>
              <w:t>）投标人有下列情形之一的，属于弄虚作假的行为：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a.使用通过受让或租借等方式获取的资格、资质证书投标；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b.使用伪造、变造的许可证件；</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c.提供虚假的业绩；</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d.提供虚假的项目负责人或主要技术人员简历、劳动关系证明；</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e.提供虚假的信用状况；</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f.其他弄虚作假的行为。</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（5）按照晋交建管发〔2023〕99号文规定，有下列情形之一的，视为投标人相互串通投标：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a.不同投标人投标文件投标报价、项目管理成员等实质性内容存在一致；</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b.电子投标文件记录的MAC地址相同，包含不同投标人在不同批次投标活动中信息相同情况；</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c.投标文件的下载、制作、记录、上传IP地址等信息出现任一相同情况；</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d.不同投标人的投标保证金来源为同一单位或者账户的；</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e.投标人之间相互约定给予未中标的投标人费用补偿的；</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f.不同投标人的CA数字证书混用的；</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g.其他法律法规规定被视为投标人相互串通投标的情形。</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3.7投标文件的澄清和说明</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3.7.2澄清和说明不得超出投标文件的范围或改变投标文件的实质性内容（算术性错误的修正除外）。投标人的书面澄清、说明属于投标文件的组成部分。</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3.7.3评标委员会不得暗示或诱导投标人作出澄清、说明，对投标人提交的澄清、说明有疑问的，可以要求投标人进一步澄清或说明，直至满足评标委员会的要求。</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3.7.4凡超出招标文件规定的或给委托人带来未曾要求的利益的变化、偏差或其他因素在评标时不予考虑。</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3.8不得否决投标的情形</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投标文件存在第二章“投标人须知”第1.12.3项所列情形的，均视为细微偏差，评标委员会不得否决投标人的投标，应按照第二章“投标人须知”第1.12.4项规定的原则处理。</w:t>
            </w:r>
          </w:p>
          <w:p>
            <w:pPr>
              <w:pStyle w:val="19"/>
              <w:shd w:val="clear" w:color="auto" w:fill="auto"/>
              <w:spacing w:line="360" w:lineRule="auto"/>
              <w:ind w:firstLine="420" w:firstLineChars="200"/>
              <w:jc w:val="left"/>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3.9评标结果</w:t>
            </w:r>
          </w:p>
          <w:p>
            <w:pPr>
              <w:pStyle w:val="19"/>
              <w:shd w:val="clear" w:color="auto" w:fill="auto"/>
              <w:spacing w:line="360" w:lineRule="auto"/>
              <w:ind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3.9.1 评标委员会根据投标人得分由高到低的顺序，推荐1名中标候选人。</w:t>
            </w:r>
          </w:p>
          <w:p>
            <w:pPr>
              <w:pStyle w:val="19"/>
              <w:bidi w:val="0"/>
              <w:spacing w:line="360" w:lineRule="auto"/>
              <w:ind w:left="0" w:right="0" w:firstLine="420" w:firstLineChars="200"/>
              <w:jc w:val="left"/>
              <w:rPr>
                <w:rFonts w:hint="default" w:ascii="Times New Roman" w:hAnsi="Times New Roman" w:cs="Times New Roman"/>
                <w:b w:val="0"/>
                <w:bCs/>
                <w:color w:val="auto"/>
                <w:sz w:val="21"/>
                <w:szCs w:val="21"/>
                <w:highlight w:val="none"/>
                <w:lang w:val="en-US" w:eastAsia="zh-CN"/>
              </w:rPr>
            </w:pPr>
            <w:r>
              <w:rPr>
                <w:rFonts w:ascii="Times New Roman" w:hAnsi="Times New Roman" w:cs="Times New Roman"/>
                <w:b w:val="0"/>
                <w:bCs/>
                <w:color w:val="auto"/>
                <w:sz w:val="21"/>
                <w:szCs w:val="21"/>
                <w:highlight w:val="none"/>
              </w:rPr>
              <w:t xml:space="preserve">3.9.2 </w:t>
            </w:r>
            <w:r>
              <w:rPr>
                <w:rFonts w:hint="default" w:ascii="Times New Roman" w:hAnsi="Times New Roman" w:cs="Times New Roman"/>
                <w:b w:val="0"/>
                <w:bCs/>
                <w:color w:val="auto"/>
                <w:sz w:val="21"/>
                <w:szCs w:val="21"/>
                <w:highlight w:val="none"/>
              </w:rPr>
              <w:t>参与本项目监理</w:t>
            </w:r>
            <w:r>
              <w:rPr>
                <w:rFonts w:hint="default" w:ascii="Times New Roman" w:hAnsi="Times New Roman" w:cs="Times New Roman"/>
                <w:b w:val="0"/>
                <w:bCs/>
                <w:color w:val="auto"/>
                <w:sz w:val="21"/>
                <w:szCs w:val="21"/>
                <w:highlight w:val="none"/>
                <w:lang w:eastAsia="zh-CN"/>
              </w:rPr>
              <w:t>招标的投标人</w:t>
            </w:r>
            <w:r>
              <w:rPr>
                <w:rFonts w:hint="default" w:ascii="Times New Roman" w:hAnsi="Times New Roman" w:cs="Times New Roman"/>
                <w:b w:val="0"/>
                <w:bCs/>
                <w:color w:val="auto"/>
                <w:sz w:val="21"/>
                <w:szCs w:val="21"/>
                <w:highlight w:val="none"/>
              </w:rPr>
              <w:t>与参与“</w:t>
            </w:r>
            <w:r>
              <w:rPr>
                <w:rFonts w:hint="default" w:ascii="Times New Roman" w:hAnsi="Times New Roman" w:cs="Times New Roman"/>
                <w:b w:val="0"/>
                <w:bCs/>
                <w:color w:val="auto"/>
                <w:sz w:val="21"/>
                <w:szCs w:val="21"/>
                <w:highlight w:val="none"/>
                <w:lang w:val="en-US" w:eastAsia="zh-CN"/>
              </w:rPr>
              <w:t>朔州高速公路管理有限公司二广高速大新段路况提升工程设计施工总承包</w:t>
            </w:r>
            <w:r>
              <w:rPr>
                <w:rFonts w:hint="default" w:ascii="Times New Roman" w:hAnsi="Times New Roman" w:cs="Times New Roman"/>
                <w:b w:val="0"/>
                <w:bCs/>
                <w:color w:val="auto"/>
                <w:sz w:val="21"/>
                <w:szCs w:val="21"/>
                <w:highlight w:val="none"/>
              </w:rPr>
              <w:t>”项目</w:t>
            </w:r>
            <w:r>
              <w:rPr>
                <w:rFonts w:hint="default" w:ascii="Times New Roman" w:hAnsi="Times New Roman" w:cs="Times New Roman"/>
                <w:b w:val="0"/>
                <w:bCs/>
                <w:color w:val="auto"/>
                <w:sz w:val="21"/>
                <w:szCs w:val="21"/>
                <w:highlight w:val="none"/>
                <w:lang w:eastAsia="zh-CN"/>
              </w:rPr>
              <w:t>的投标人</w:t>
            </w:r>
            <w:r>
              <w:rPr>
                <w:rFonts w:hint="default" w:ascii="Times New Roman" w:hAnsi="Times New Roman" w:cs="Times New Roman"/>
                <w:b w:val="0"/>
                <w:bCs/>
                <w:color w:val="auto"/>
                <w:sz w:val="21"/>
                <w:szCs w:val="21"/>
                <w:highlight w:val="none"/>
              </w:rPr>
              <w:t>存在关联关系的不得同时在监理项目和</w:t>
            </w:r>
            <w:r>
              <w:rPr>
                <w:rFonts w:hint="default" w:ascii="Times New Roman" w:hAnsi="Times New Roman" w:cs="Times New Roman"/>
                <w:b w:val="0"/>
                <w:bCs/>
                <w:color w:val="auto"/>
                <w:sz w:val="21"/>
                <w:szCs w:val="21"/>
                <w:highlight w:val="none"/>
                <w:lang w:val="en-US" w:eastAsia="zh-CN"/>
              </w:rPr>
              <w:t>设计施工总承包项目</w:t>
            </w:r>
            <w:r>
              <w:rPr>
                <w:rFonts w:hint="default" w:ascii="Times New Roman" w:hAnsi="Times New Roman" w:cs="Times New Roman"/>
                <w:b w:val="0"/>
                <w:bCs/>
                <w:color w:val="auto"/>
                <w:sz w:val="21"/>
                <w:szCs w:val="21"/>
                <w:highlight w:val="none"/>
              </w:rPr>
              <w:t>中标，如存在关联关系的投标人在监理项目和</w:t>
            </w:r>
            <w:r>
              <w:rPr>
                <w:rFonts w:hint="default" w:ascii="Times New Roman" w:hAnsi="Times New Roman" w:cs="Times New Roman"/>
                <w:b w:val="0"/>
                <w:bCs/>
                <w:color w:val="auto"/>
                <w:sz w:val="21"/>
                <w:szCs w:val="21"/>
                <w:highlight w:val="none"/>
                <w:lang w:val="en-US" w:eastAsia="zh-CN"/>
              </w:rPr>
              <w:t>设计施工总承包项目</w:t>
            </w:r>
            <w:r>
              <w:rPr>
                <w:rFonts w:hint="default" w:ascii="Times New Roman" w:hAnsi="Times New Roman" w:cs="Times New Roman"/>
                <w:b w:val="0"/>
                <w:bCs/>
                <w:color w:val="auto"/>
                <w:sz w:val="21"/>
                <w:szCs w:val="21"/>
                <w:highlight w:val="none"/>
              </w:rPr>
              <w:t>同时排名第一时，则取消监理项目投标人第一中标候选人的资格</w:t>
            </w:r>
            <w:r>
              <w:rPr>
                <w:rFonts w:hint="default" w:ascii="Times New Roman" w:hAnsi="Times New Roman" w:cs="Times New Roman"/>
                <w:b w:val="0"/>
                <w:bCs/>
                <w:color w:val="auto"/>
                <w:sz w:val="21"/>
                <w:szCs w:val="21"/>
                <w:highlight w:val="none"/>
                <w:lang w:eastAsia="zh-CN"/>
              </w:rPr>
              <w:t>，</w:t>
            </w:r>
            <w:r>
              <w:rPr>
                <w:rFonts w:hint="default" w:ascii="Times New Roman" w:hAnsi="Times New Roman" w:cs="Times New Roman"/>
                <w:b w:val="0"/>
                <w:bCs/>
                <w:color w:val="auto"/>
                <w:sz w:val="21"/>
                <w:szCs w:val="21"/>
                <w:highlight w:val="none"/>
                <w:lang w:val="en-US" w:eastAsia="zh-CN"/>
              </w:rPr>
              <w:t>中标候选人按照排名依次递补。</w:t>
            </w:r>
          </w:p>
          <w:p>
            <w:pPr>
              <w:pStyle w:val="19"/>
              <w:bidi w:val="0"/>
              <w:spacing w:line="360" w:lineRule="auto"/>
              <w:ind w:left="0" w:right="0" w:firstLine="420" w:firstLineChars="200"/>
              <w:jc w:val="left"/>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3.9.3 评标委员会完成评标后，应当向招标人提交书面评标报告并推荐中标候选人。</w:t>
            </w:r>
          </w:p>
        </w:tc>
      </w:tr>
    </w:tbl>
    <w:p>
      <w:pPr>
        <w:spacing w:line="420" w:lineRule="exact"/>
        <w:ind w:firstLine="412" w:firstLineChars="200"/>
        <w:jc w:val="left"/>
        <w:rPr>
          <w:rFonts w:hint="default" w:ascii="Times New Roman" w:hAnsi="Times New Roman" w:cs="Times New Roman"/>
          <w:b w:val="0"/>
          <w:bCs/>
          <w:color w:val="auto"/>
          <w:kern w:val="0"/>
          <w:sz w:val="24"/>
          <w:highlight w:val="none"/>
          <w:lang w:bidi="ar"/>
        </w:rPr>
      </w:pPr>
      <w:r>
        <w:rPr>
          <w:rFonts w:hint="eastAsia" w:ascii="宋体" w:hAnsi="宋体" w:eastAsia="宋体" w:cs="宋体"/>
          <w:b w:val="0"/>
          <w:bCs/>
          <w:spacing w:val="-2"/>
          <w:highlight w:val="none"/>
        </w:rPr>
        <w:br w:type="page"/>
      </w:r>
      <w:r>
        <w:rPr>
          <w:rFonts w:hint="default" w:ascii="Times New Roman" w:hAnsi="Times New Roman" w:cs="Times New Roman"/>
          <w:b w:val="0"/>
          <w:bCs/>
          <w:color w:val="auto"/>
          <w:kern w:val="0"/>
          <w:sz w:val="24"/>
          <w:highlight w:val="none"/>
          <w:lang w:bidi="ar"/>
        </w:rPr>
        <w:t>1.评标方法</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2.评审标准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2.1初步评审标准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2.1.1形式评审标准：见评标办法前附表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2.1.2资格评审标准：见评标办法前附表（适用于未进行资格预审的）。</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2.1.2资格评审标准：见资格预审文件第三章“资格审查办法 ”详细审查标准（适用于</w:t>
      </w:r>
      <w:r>
        <w:rPr>
          <w:rFonts w:hint="default" w:ascii="Times New Roman" w:hAnsi="Times New Roman" w:cs="Times New Roman"/>
          <w:b w:val="0"/>
          <w:bCs/>
          <w:color w:val="auto"/>
          <w:kern w:val="0"/>
          <w:sz w:val="24"/>
          <w:highlight w:val="none"/>
          <w:lang w:eastAsia="zh-CN" w:bidi="ar"/>
        </w:rPr>
        <w:t>已</w:t>
      </w:r>
      <w:r>
        <w:rPr>
          <w:rFonts w:hint="default" w:ascii="Times New Roman" w:hAnsi="Times New Roman" w:cs="Times New Roman"/>
          <w:b w:val="0"/>
          <w:bCs/>
          <w:color w:val="auto"/>
          <w:kern w:val="0"/>
          <w:sz w:val="24"/>
          <w:highlight w:val="none"/>
          <w:lang w:bidi="ar"/>
        </w:rPr>
        <w:t>进行资格预审的）。</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2.1.3响应性评审标准：见评标办法前附表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2.2分值构成与评分标准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2.2.1分值构成</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（1）技术建议书：见评标办法前附表；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（2）主要人员：见评标办法前附表；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（3）评标价：见评标办法前附表；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（4）其他评分因素：见评标办法前附表。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2.2.2评标基准价计算</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2.2.3评标价的偏差率计算</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评标价的偏差率算公式：见评标办法前附表。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2.2.4评分标准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（1）技术建议书评分标准：见评标办法前附表；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（2）主要人员评分标准：见评标办法前附表；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（3）评标价评分标准：见评标办法前附表；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（4）其他因素评分标准：见评标办法前附表。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3.评标程序</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3.1第一个信封初步评审</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3.2第一个信封详细评审</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3.2.1评标委员会按本章第2.2款规定的量化因素和分值进行打分，并计算出各投标人的商务和技术得分。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（l）按本章第2.2.4项（l）目规定的评审因素和分值对技术建议书部分计算出得分A;</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（2）按本章第2.2.4项（2）目规定的评审因素和分值对主要人员部分计算出得分B;</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（3）按本章第2.2.4项（4）目规定的评审因素和分值对其他部分计算出得分D。</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3.2.2投标人的商务和技术得分分值计算保留小数点后两位，小数点后第三位“四舍五入”。</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3.2.3投标人的商务和技术得分=A+B+D。</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3.3第二个信封开标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3.4第二个信封初步评审</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3.4.1评标委员会依据本章第2.1.1项、第2.1.3项规定的评审标准对投标文件第二个信封（报价文件）进行初步评审。有一项不符合评审标准，评标委员会应否决其投标。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3.4.2投标报价有算术错误的，评标委员会按以下原则对投标报价进行修正，修正的价格经投标人书面确认后具有约束力。投标人不接受修正价格的，评标委员会应否决其投标。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（l）投标文件中的大写金额与小写金额不一致的，以大写金额为准；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（2）总价金额与依据单价计算出的结果不一致的，以单价金额为准修正总价，但单价金额小数点有明显错误的除外；</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（3）当单价与数量相乘不等于合价时，以单价计算为准，如果单价有明显的小数点位置差错，应以标出的合价为准，同时对单价予以修正；</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（4）当各子目的合价累计不等于总价时，应以各子目合价累计数为准，修正总价。</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3.4.3修正后的最终投标报价若超过最高投标限价（如有），评标委员会应否决其投标。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3.4.4修正后的最终投标报价仅作为签订合同的一个依据，不参与评标价得分的计算。</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3.5第二个信封详细评审</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3.5.1评标委员会按本章第2.2.4项（3）目规定的评审因素和分值对评标价计算出得分C.。评标价得分分值计算保留小数点后两位，小数点后第三位“四舍五入”。</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3.5.2投标人综合得分=投标人的商务和技术得分＋C。</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3.6投标文件相关信息的核查</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3.6.1在评标过程中，评标委员会应查询交通运输主管部门“</w:t>
      </w:r>
      <w:r>
        <w:rPr>
          <w:rFonts w:hint="default" w:ascii="Times New Roman" w:hAnsi="Times New Roman" w:cs="Times New Roman"/>
          <w:b w:val="0"/>
          <w:bCs/>
          <w:color w:val="auto"/>
          <w:kern w:val="0"/>
          <w:sz w:val="24"/>
          <w:highlight w:val="none"/>
          <w:lang w:eastAsia="zh-CN" w:bidi="ar"/>
        </w:rPr>
        <w:t>全国公路建设市场监督管理系统</w:t>
      </w:r>
      <w:r>
        <w:rPr>
          <w:rFonts w:hint="default" w:ascii="Times New Roman" w:hAnsi="Times New Roman" w:cs="Times New Roman"/>
          <w:b w:val="0"/>
          <w:bCs/>
          <w:color w:val="auto"/>
          <w:kern w:val="0"/>
          <w:sz w:val="24"/>
          <w:highlight w:val="none"/>
          <w:lang w:bidi="ar"/>
        </w:rPr>
        <w:t>”，对投标人的资质、业绩、主要人员资历和目前在岗情况、信用等级等信息进行核实。若投标文件载明的信息与交通运输主管部门“</w:t>
      </w:r>
      <w:r>
        <w:rPr>
          <w:rFonts w:hint="default" w:ascii="Times New Roman" w:hAnsi="Times New Roman" w:cs="Times New Roman"/>
          <w:b w:val="0"/>
          <w:bCs/>
          <w:color w:val="auto"/>
          <w:kern w:val="0"/>
          <w:sz w:val="24"/>
          <w:highlight w:val="none"/>
          <w:lang w:eastAsia="zh-CN" w:bidi="ar"/>
        </w:rPr>
        <w:t>全国公路建设市场监督管理系统</w:t>
      </w:r>
      <w:r>
        <w:rPr>
          <w:rFonts w:hint="default" w:ascii="Times New Roman" w:hAnsi="Times New Roman" w:cs="Times New Roman"/>
          <w:b w:val="0"/>
          <w:bCs/>
          <w:color w:val="auto"/>
          <w:kern w:val="0"/>
          <w:sz w:val="24"/>
          <w:highlight w:val="none"/>
          <w:lang w:bidi="ar"/>
        </w:rPr>
        <w:t>”发布的信息不符，使得投标人的资格条件不符合招标文件规定的，评标委员会应否决其投标。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3.6.2评标委员会应对在评标过程中发现的投标人与投标人之间、投标人与招标人之间存在的串通投标的情形进行评审和认定。投标人存在串通投标、弄虚作假、行贿等违法行为的，评标委员会应否决其投标。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（1）有下列情形之一的，属于投标人相互串通投标：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a.投标人之间协商投标报价等投标文件的实质性内容；</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b.投标人之间约定中标人：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c.投标人之间约定部分投标人放弃投标或中标：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d.属于同一集团、协会、商会等组织成员的投标人按照该组织要求协同投标；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e.投标人之间为谋取中标或排斥特定投标人而采取的其他联合行动。</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(2）有下列情形之一的，视为投标人相互串通投标：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a.不同投标人的投标文件由同一单位或个人编制：</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b.不同投标人委托同一单位或个人办理投标事宜；</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c.不同投标人的投标文件载明的项目管理成员为同人；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d.不同投标人的投标文件异常一致或投标报价呈规律性差异：</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e.不同投标人的投标文件相互混装：</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f.不同投标人的投标保证金从同一单位或个人的账户转出。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(3）有下列情形之一的 ，属于招标人与投标人串通投标：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a.招标人在开标前开启投标文件并将有关信息泄露给其他投标人；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b.招标人直接或间接向投标人泄露标底、评标委员会成员等信息</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c.招标人明示或暗示投标人压低或抬高投标报价：</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d.招标人授意投标人撤换、修改投标文件；</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e.招标人明示或暗示投标人为特定投标人中标提供方便：</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f.招标人与投标人为谋求特定投标人中标而采取的其他串通行为。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(4）投标人有下列情形之一的，属于弄虚作假的行为：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a.使用通过受让或租借等方式获取的资格、资质证书投标：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b.使用伪造、变造的许可证件：</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c.提供虚假的业绩；</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d.提供虚假的项目负责人或主要技术人员简历、劳动关系证明；</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e.提供虚假的信用状况；</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f.其他弄虚作假的行为。</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3.7投标文件的澄清和说明</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3.7.2澄清和说明不得超出投标文件的范围或改变投标文件的实质性内容（算术性错误的修正除外）。投标人的书面澄清、说明属于投标文件的组成部分。</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3.7.3评标委员会不得暗示或诱导投标人作出澄清、说明，对投标人提交的澄清、</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说明有疑问的，可以要求投标人进一步澄清或说明，直至满足评标委员会的要求。</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3.7.4凡超出招标文件规定的或给委托人带来未曾要求的利益的变化、偏差或其他因素在评标时不予考虑。</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3.8不得否决投标的情形</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投标文件存在第二章“投标人须知”第1.12.3项所列情形的，均视为细微偏差，评标委员会不得否决投标人的投标，应按照第二章“投标人须知”第1.12.4项规定的原则处理。</w:t>
      </w:r>
    </w:p>
    <w:p>
      <w:pPr>
        <w:spacing w:line="420" w:lineRule="exact"/>
        <w:ind w:firstLine="504" w:firstLineChars="200"/>
        <w:jc w:val="left"/>
        <w:rPr>
          <w:rFonts w:hint="default" w:ascii="Times New Roman" w:hAnsi="Times New Roman" w:cs="Times New Roman"/>
          <w:b w:val="0"/>
          <w:bCs/>
          <w:color w:val="auto"/>
          <w:spacing w:val="6"/>
          <w:kern w:val="0"/>
          <w:sz w:val="24"/>
          <w:highlight w:val="none"/>
          <w:lang w:bidi="ar"/>
        </w:rPr>
      </w:pPr>
      <w:r>
        <w:rPr>
          <w:rFonts w:hint="default" w:ascii="Times New Roman" w:hAnsi="Times New Roman" w:cs="Times New Roman"/>
          <w:b w:val="0"/>
          <w:bCs/>
          <w:color w:val="auto"/>
          <w:spacing w:val="6"/>
          <w:kern w:val="0"/>
          <w:sz w:val="24"/>
          <w:highlight w:val="none"/>
          <w:lang w:bidi="ar"/>
        </w:rPr>
        <w:t>3.9评标结果</w:t>
      </w:r>
    </w:p>
    <w:p>
      <w:pPr>
        <w:spacing w:line="420" w:lineRule="exact"/>
        <w:ind w:firstLine="480" w:firstLineChars="200"/>
        <w:jc w:val="left"/>
        <w:rPr>
          <w:rFonts w:hint="default" w:ascii="Times New Roman" w:hAnsi="Times New Roman" w:cs="Times New Roman"/>
          <w:b w:val="0"/>
          <w:bCs/>
          <w:color w:val="auto"/>
          <w:kern w:val="0"/>
          <w:sz w:val="24"/>
          <w:highlight w:val="none"/>
          <w:lang w:bidi="ar"/>
        </w:rPr>
      </w:pPr>
      <w:r>
        <w:rPr>
          <w:rFonts w:hint="default" w:ascii="Times New Roman" w:hAnsi="Times New Roman" w:cs="Times New Roman"/>
          <w:b w:val="0"/>
          <w:bCs/>
          <w:color w:val="auto"/>
          <w:kern w:val="0"/>
          <w:sz w:val="24"/>
          <w:highlight w:val="none"/>
          <w:lang w:bidi="ar"/>
        </w:rPr>
        <w:t>3.9.1除第二章“投标人须知”前附表授权直接确定中标人外，评标委员会按照得分由高到低的顺序推荐中标候选人，并标明排序。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default" w:ascii="Times New Roman" w:hAnsi="Times New Roman" w:cs="Times New Roman"/>
          <w:b w:val="0"/>
          <w:bCs/>
          <w:color w:val="auto"/>
          <w:kern w:val="0"/>
          <w:sz w:val="24"/>
          <w:highlight w:val="none"/>
          <w:lang w:bidi="ar"/>
        </w:rPr>
        <w:t>3.9.2评标委员会完成评标后，应向招标人提交书面评标报告。</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br w:type="page"/>
      </w:r>
    </w:p>
    <w:p>
      <w:pPr>
        <w:keepNext w:val="0"/>
        <w:keepLines w:val="0"/>
        <w:pageBreakBefore w:val="0"/>
        <w:widowControl w:val="0"/>
        <w:tabs>
          <w:tab w:val="left" w:pos="6397"/>
        </w:tabs>
        <w:kinsoku/>
        <w:wordWrap/>
        <w:overflowPunct/>
        <w:topLinePunct w:val="0"/>
        <w:autoSpaceDE/>
        <w:autoSpaceDN/>
        <w:bidi w:val="0"/>
        <w:snapToGrid w:val="0"/>
        <w:spacing w:line="360" w:lineRule="auto"/>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四、其它需要公开的内容</w:t>
      </w:r>
    </w:p>
    <w:p>
      <w:pPr>
        <w:spacing w:before="120" w:beforeLines="50" w:line="500" w:lineRule="exact"/>
        <w:jc w:val="center"/>
        <w:rPr>
          <w:rFonts w:hint="default" w:ascii="Times New Roman" w:hAnsi="Times New Roman" w:cs="Times New Roman"/>
          <w:b w:val="0"/>
          <w:bCs/>
          <w:color w:val="auto"/>
          <w:highlight w:val="none"/>
        </w:rPr>
      </w:pPr>
      <w:bookmarkStart w:id="4" w:name="_Toc4178"/>
      <w:r>
        <w:rPr>
          <w:rFonts w:hint="default" w:ascii="Times New Roman" w:hAnsi="Times New Roman" w:cs="Times New Roman"/>
          <w:b w:val="0"/>
          <w:bCs/>
          <w:color w:val="auto"/>
          <w:sz w:val="32"/>
          <w:szCs w:val="32"/>
          <w:highlight w:val="none"/>
        </w:rPr>
        <w:t>附录1  资格审查条件（资质最低要求）</w:t>
      </w:r>
      <w:bookmarkEnd w:id="4"/>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87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exact"/>
          <w:jc w:val="center"/>
        </w:trPr>
        <w:tc>
          <w:tcPr>
            <w:tcW w:w="1007"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标段</w:t>
            </w:r>
          </w:p>
        </w:tc>
        <w:tc>
          <w:tcPr>
            <w:tcW w:w="8769"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基本资格要求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2" w:hRule="atLeast"/>
          <w:jc w:val="center"/>
        </w:trPr>
        <w:tc>
          <w:tcPr>
            <w:tcW w:w="1007" w:type="dxa"/>
            <w:tcBorders>
              <w:tl2br w:val="nil"/>
              <w:tr2bl w:val="nil"/>
            </w:tcBorders>
            <w:noWrap w:val="0"/>
            <w:vAlign w:val="center"/>
          </w:tcPr>
          <w:p>
            <w:pPr>
              <w:spacing w:line="500" w:lineRule="exact"/>
              <w:jc w:val="center"/>
              <w:rPr>
                <w:rFonts w:ascii="Times New Roman" w:hAnsi="Times New Roman" w:cs="Times New Roman"/>
                <w:b w:val="0"/>
                <w:bCs/>
                <w:color w:val="auto"/>
                <w:sz w:val="22"/>
                <w:szCs w:val="22"/>
                <w:highlight w:val="none"/>
              </w:rPr>
            </w:pPr>
            <w:r>
              <w:rPr>
                <w:rFonts w:hint="default" w:ascii="Times New Roman" w:hAnsi="Times New Roman" w:cs="Times New Roman"/>
                <w:b w:val="0"/>
                <w:bCs/>
                <w:color w:val="auto"/>
                <w:sz w:val="22"/>
                <w:szCs w:val="22"/>
                <w:highlight w:val="none"/>
              </w:rPr>
              <w:t>001</w:t>
            </w:r>
          </w:p>
        </w:tc>
        <w:tc>
          <w:tcPr>
            <w:tcW w:w="8769" w:type="dxa"/>
            <w:tcBorders>
              <w:tl2br w:val="nil"/>
              <w:tr2bl w:val="nil"/>
            </w:tcBorders>
            <w:noWrap w:val="0"/>
            <w:vAlign w:val="center"/>
          </w:tcPr>
          <w:p>
            <w:pPr>
              <w:pStyle w:val="19"/>
              <w:kinsoku w:val="0"/>
              <w:overflowPunct w:val="0"/>
              <w:spacing w:line="500" w:lineRule="exact"/>
              <w:rPr>
                <w:rFonts w:hint="default" w:ascii="Times New Roman" w:hAnsi="Times New Roman" w:cs="Times New Roman"/>
                <w:b w:val="0"/>
                <w:bCs/>
                <w:snapToGrid w:val="0"/>
                <w:color w:val="auto"/>
                <w:kern w:val="0"/>
                <w:sz w:val="21"/>
                <w:highlight w:val="none"/>
              </w:rPr>
            </w:pPr>
            <w:r>
              <w:rPr>
                <w:rFonts w:hint="default" w:ascii="Times New Roman" w:hAnsi="Times New Roman" w:cs="Times New Roman"/>
                <w:b w:val="0"/>
                <w:bCs/>
                <w:snapToGrid w:val="0"/>
                <w:color w:val="auto"/>
                <w:kern w:val="0"/>
                <w:sz w:val="21"/>
                <w:highlight w:val="none"/>
              </w:rPr>
              <w:t>投标人须具备交通运输部颁发的公路工程甲级监理资质。</w:t>
            </w:r>
          </w:p>
          <w:p>
            <w:pPr>
              <w:pStyle w:val="19"/>
              <w:kinsoku w:val="0"/>
              <w:overflowPunct w:val="0"/>
              <w:spacing w:line="500" w:lineRule="exact"/>
              <w:rPr>
                <w:rFonts w:ascii="Times New Roman" w:hAnsi="Times New Roman" w:cs="Times New Roman"/>
                <w:b w:val="0"/>
                <w:bCs/>
                <w:snapToGrid w:val="0"/>
                <w:color w:val="auto"/>
                <w:kern w:val="0"/>
                <w:sz w:val="21"/>
                <w:highlight w:val="none"/>
              </w:rPr>
            </w:pPr>
            <w:r>
              <w:rPr>
                <w:rFonts w:hint="default" w:ascii="Times New Roman" w:hAnsi="Times New Roman" w:cs="Times New Roman"/>
                <w:b w:val="0"/>
                <w:bCs/>
                <w:snapToGrid w:val="0"/>
                <w:color w:val="auto"/>
                <w:kern w:val="0"/>
                <w:sz w:val="21"/>
                <w:highlight w:val="none"/>
              </w:rPr>
              <w:t>投标人应进入交通运输部“</w:t>
            </w:r>
            <w:r>
              <w:rPr>
                <w:rFonts w:hint="default" w:ascii="Times New Roman" w:hAnsi="Times New Roman" w:cs="Times New Roman"/>
                <w:b w:val="0"/>
                <w:bCs/>
                <w:snapToGrid w:val="0"/>
                <w:color w:val="auto"/>
                <w:kern w:val="0"/>
                <w:sz w:val="21"/>
                <w:highlight w:val="none"/>
                <w:lang w:eastAsia="zh-CN"/>
              </w:rPr>
              <w:t>全国公路建设市场监督管理系统</w:t>
            </w:r>
            <w:r>
              <w:rPr>
                <w:rFonts w:hint="default" w:ascii="Times New Roman" w:hAnsi="Times New Roman" w:cs="Times New Roman"/>
                <w:b w:val="0"/>
                <w:bCs/>
                <w:snapToGrid w:val="0"/>
                <w:color w:val="auto"/>
                <w:kern w:val="0"/>
                <w:sz w:val="21"/>
                <w:highlight w:val="none"/>
              </w:rPr>
              <w:t>（https://hwdms.mot.gov.cn/）”中的公路工程施工监理资质企业名录，且投标人名称和资质与该名录中的相应企业名称和资质完全一致。</w:t>
            </w:r>
          </w:p>
        </w:tc>
      </w:tr>
    </w:tbl>
    <w:p>
      <w:pPr>
        <w:spacing w:line="500" w:lineRule="exact"/>
        <w:rPr>
          <w:rFonts w:hint="default" w:ascii="Times New Roman" w:hAnsi="Times New Roman" w:cs="Times New Roman"/>
          <w:b w:val="0"/>
          <w:bCs/>
          <w:color w:val="auto"/>
          <w:sz w:val="32"/>
          <w:szCs w:val="32"/>
          <w:highlight w:val="none"/>
        </w:rPr>
      </w:pPr>
      <w:bookmarkStart w:id="5" w:name="_Toc31828"/>
    </w:p>
    <w:p>
      <w:pPr>
        <w:spacing w:line="500" w:lineRule="exact"/>
        <w:jc w:val="center"/>
        <w:rPr>
          <w:rFonts w:hint="default" w:ascii="Times New Roman" w:hAnsi="Times New Roman" w:cs="Times New Roman"/>
          <w:b w:val="0"/>
          <w:bCs/>
          <w:color w:val="auto"/>
          <w:sz w:val="32"/>
          <w:szCs w:val="32"/>
          <w:highlight w:val="none"/>
        </w:rPr>
      </w:pPr>
    </w:p>
    <w:p>
      <w:pPr>
        <w:spacing w:line="500" w:lineRule="exact"/>
        <w:jc w:val="center"/>
        <w:rPr>
          <w:rFonts w:hint="default" w:ascii="Times New Roman" w:hAnsi="Times New Roman" w:cs="Times New Roman"/>
          <w:b w:val="0"/>
          <w:bCs/>
          <w:color w:val="auto"/>
          <w:sz w:val="32"/>
          <w:szCs w:val="32"/>
          <w:highlight w:val="none"/>
        </w:rPr>
      </w:pPr>
      <w:r>
        <w:rPr>
          <w:rFonts w:hint="default" w:ascii="Times New Roman" w:hAnsi="Times New Roman" w:cs="Times New Roman"/>
          <w:b w:val="0"/>
          <w:bCs/>
          <w:color w:val="auto"/>
          <w:sz w:val="32"/>
          <w:szCs w:val="32"/>
          <w:highlight w:val="none"/>
        </w:rPr>
        <w:t>附录2  资格审查条件（财务最低要求）</w:t>
      </w:r>
      <w:bookmarkEnd w:id="5"/>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873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6" w:hRule="exact"/>
          <w:jc w:val="center"/>
        </w:trPr>
        <w:tc>
          <w:tcPr>
            <w:tcW w:w="1007"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标段</w:t>
            </w:r>
          </w:p>
        </w:tc>
        <w:tc>
          <w:tcPr>
            <w:tcW w:w="8733"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基本资格要求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90" w:hRule="atLeast"/>
          <w:jc w:val="center"/>
        </w:trPr>
        <w:tc>
          <w:tcPr>
            <w:tcW w:w="1007" w:type="dxa"/>
            <w:tcBorders>
              <w:tl2br w:val="nil"/>
              <w:tr2bl w:val="nil"/>
            </w:tcBorders>
            <w:noWrap w:val="0"/>
            <w:vAlign w:val="center"/>
          </w:tcPr>
          <w:p>
            <w:pPr>
              <w:spacing w:line="500" w:lineRule="exact"/>
              <w:jc w:val="center"/>
              <w:rPr>
                <w:rFonts w:ascii="Times New Roman" w:hAnsi="Times New Roman" w:cs="Times New Roman"/>
                <w:b w:val="0"/>
                <w:bCs/>
                <w:color w:val="auto"/>
                <w:sz w:val="22"/>
                <w:szCs w:val="22"/>
                <w:highlight w:val="none"/>
              </w:rPr>
            </w:pPr>
            <w:r>
              <w:rPr>
                <w:rFonts w:hint="default" w:ascii="Times New Roman" w:hAnsi="Times New Roman" w:cs="Times New Roman"/>
                <w:b w:val="0"/>
                <w:bCs/>
                <w:color w:val="auto"/>
                <w:sz w:val="22"/>
                <w:szCs w:val="22"/>
                <w:highlight w:val="none"/>
              </w:rPr>
              <w:t>001</w:t>
            </w:r>
          </w:p>
        </w:tc>
        <w:tc>
          <w:tcPr>
            <w:tcW w:w="8733" w:type="dxa"/>
            <w:tcBorders>
              <w:tl2br w:val="nil"/>
              <w:tr2bl w:val="nil"/>
            </w:tcBorders>
            <w:noWrap w:val="0"/>
            <w:vAlign w:val="center"/>
          </w:tcPr>
          <w:p>
            <w:pPr>
              <w:pStyle w:val="19"/>
              <w:kinsoku w:val="0"/>
              <w:overflowPunct w:val="0"/>
              <w:spacing w:line="500" w:lineRule="exact"/>
              <w:rPr>
                <w:rFonts w:ascii="Times New Roman" w:hAnsi="Times New Roman" w:cs="Times New Roman"/>
                <w:b w:val="0"/>
                <w:bCs/>
                <w:color w:val="auto"/>
                <w:sz w:val="22"/>
                <w:szCs w:val="28"/>
                <w:highlight w:val="none"/>
              </w:rPr>
            </w:pPr>
            <w:r>
              <w:rPr>
                <w:rFonts w:hint="default" w:ascii="Times New Roman" w:hAnsi="Times New Roman" w:eastAsia="宋体" w:cs="Times New Roman"/>
                <w:b w:val="0"/>
                <w:bCs/>
                <w:snapToGrid w:val="0"/>
                <w:color w:val="auto"/>
                <w:kern w:val="0"/>
                <w:sz w:val="21"/>
                <w:highlight w:val="none"/>
              </w:rPr>
              <w:t>投标人须提供具备审计资格的第三方出具的2023年度的审计报告且年度(年末）流动资产与流动负债的比率大于1。</w:t>
            </w:r>
          </w:p>
        </w:tc>
      </w:tr>
    </w:tbl>
    <w:p>
      <w:pPr>
        <w:spacing w:line="500" w:lineRule="exact"/>
        <w:rPr>
          <w:rFonts w:hint="default" w:ascii="Times New Roman" w:hAnsi="Times New Roman" w:cs="Times New Roman"/>
          <w:b w:val="0"/>
          <w:bCs/>
          <w:color w:val="auto"/>
          <w:sz w:val="32"/>
          <w:szCs w:val="32"/>
          <w:highlight w:val="none"/>
        </w:rPr>
      </w:pPr>
      <w:bookmarkStart w:id="6" w:name="_Toc4833"/>
    </w:p>
    <w:p>
      <w:pPr>
        <w:pStyle w:val="9"/>
        <w:spacing w:line="500" w:lineRule="exact"/>
        <w:jc w:val="center"/>
        <w:rPr>
          <w:rFonts w:hint="default" w:ascii="Times New Roman" w:hAnsi="Times New Roman" w:cs="Times New Roman"/>
          <w:b w:val="0"/>
          <w:bCs/>
          <w:color w:val="auto"/>
          <w:sz w:val="30"/>
          <w:szCs w:val="30"/>
          <w:highlight w:val="none"/>
        </w:rPr>
      </w:pPr>
    </w:p>
    <w:p>
      <w:pPr>
        <w:pStyle w:val="9"/>
        <w:spacing w:line="500" w:lineRule="exact"/>
        <w:jc w:val="center"/>
        <w:rPr>
          <w:rFonts w:hint="default" w:ascii="Times New Roman" w:hAnsi="Times New Roman" w:cs="Times New Roman"/>
          <w:b w:val="0"/>
          <w:bCs/>
          <w:color w:val="auto"/>
          <w:sz w:val="30"/>
          <w:szCs w:val="30"/>
          <w:highlight w:val="none"/>
        </w:rPr>
      </w:pPr>
      <w:r>
        <w:rPr>
          <w:rFonts w:hint="default" w:ascii="Times New Roman" w:hAnsi="Times New Roman" w:cs="Times New Roman"/>
          <w:b w:val="0"/>
          <w:bCs/>
          <w:color w:val="auto"/>
          <w:sz w:val="30"/>
          <w:szCs w:val="30"/>
          <w:highlight w:val="none"/>
        </w:rPr>
        <w:t>附录3  资格审查条件（业绩最低要求）</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87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2" w:hRule="exact"/>
          <w:jc w:val="center"/>
        </w:trPr>
        <w:tc>
          <w:tcPr>
            <w:tcW w:w="1008"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标段</w:t>
            </w:r>
          </w:p>
        </w:tc>
        <w:tc>
          <w:tcPr>
            <w:tcW w:w="8751"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基本资格要求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24" w:hRule="atLeast"/>
          <w:jc w:val="center"/>
        </w:trPr>
        <w:tc>
          <w:tcPr>
            <w:tcW w:w="1008" w:type="dxa"/>
            <w:tcBorders>
              <w:tl2br w:val="nil"/>
              <w:tr2bl w:val="nil"/>
            </w:tcBorders>
            <w:noWrap w:val="0"/>
            <w:vAlign w:val="center"/>
          </w:tcPr>
          <w:p>
            <w:pPr>
              <w:spacing w:line="500" w:lineRule="exact"/>
              <w:jc w:val="center"/>
              <w:rPr>
                <w:rFonts w:ascii="Times New Roman" w:hAnsi="Times New Roman" w:cs="Times New Roman"/>
                <w:b w:val="0"/>
                <w:bCs/>
                <w:color w:val="auto"/>
                <w:sz w:val="22"/>
                <w:szCs w:val="22"/>
                <w:highlight w:val="none"/>
              </w:rPr>
            </w:pPr>
            <w:r>
              <w:rPr>
                <w:rFonts w:hint="default" w:ascii="Times New Roman" w:hAnsi="Times New Roman" w:cs="Times New Roman"/>
                <w:b w:val="0"/>
                <w:bCs/>
                <w:color w:val="auto"/>
                <w:sz w:val="22"/>
                <w:szCs w:val="22"/>
                <w:highlight w:val="none"/>
              </w:rPr>
              <w:t>001</w:t>
            </w:r>
          </w:p>
        </w:tc>
        <w:tc>
          <w:tcPr>
            <w:tcW w:w="8751" w:type="dxa"/>
            <w:tcBorders>
              <w:tl2br w:val="nil"/>
              <w:tr2bl w:val="nil"/>
            </w:tcBorders>
            <w:noWrap w:val="0"/>
            <w:vAlign w:val="center"/>
          </w:tcPr>
          <w:p>
            <w:pPr>
              <w:pStyle w:val="19"/>
              <w:kinsoku w:val="0"/>
              <w:overflowPunct w:val="0"/>
              <w:spacing w:line="500" w:lineRule="exact"/>
              <w:jc w:val="left"/>
              <w:rPr>
                <w:rFonts w:hint="default" w:ascii="Times New Roman" w:hAnsi="Times New Roman" w:cs="Times New Roman"/>
                <w:b w:val="0"/>
                <w:bCs/>
                <w:color w:val="auto"/>
                <w:sz w:val="22"/>
                <w:szCs w:val="28"/>
                <w:highlight w:val="none"/>
              </w:rPr>
            </w:pPr>
            <w:r>
              <w:rPr>
                <w:rFonts w:hint="default" w:ascii="Times New Roman" w:hAnsi="Times New Roman" w:eastAsia="宋体" w:cs="Times New Roman"/>
                <w:b w:val="0"/>
                <w:bCs/>
                <w:snapToGrid w:val="0"/>
                <w:color w:val="auto"/>
                <w:kern w:val="0"/>
                <w:sz w:val="21"/>
                <w:highlight w:val="none"/>
              </w:rPr>
              <w:t>投标人近五年内(2019年</w:t>
            </w:r>
            <w:r>
              <w:rPr>
                <w:rFonts w:hint="default" w:ascii="Times New Roman" w:hAnsi="Times New Roman" w:eastAsia="宋体" w:cs="Times New Roman"/>
                <w:b w:val="0"/>
                <w:bCs/>
                <w:snapToGrid w:val="0"/>
                <w:color w:val="auto"/>
                <w:kern w:val="0"/>
                <w:sz w:val="21"/>
                <w:highlight w:val="none"/>
                <w:lang w:val="en-US" w:eastAsia="zh-CN"/>
              </w:rPr>
              <w:t>9</w:t>
            </w:r>
            <w:r>
              <w:rPr>
                <w:rFonts w:hint="default" w:ascii="Times New Roman" w:hAnsi="Times New Roman" w:eastAsia="宋体" w:cs="Times New Roman"/>
                <w:b w:val="0"/>
                <w:bCs/>
                <w:snapToGrid w:val="0"/>
                <w:color w:val="auto"/>
                <w:kern w:val="0"/>
                <w:sz w:val="21"/>
                <w:highlight w:val="none"/>
                <w:lang w:eastAsia="zh-CN"/>
              </w:rPr>
              <w:t>月1日</w:t>
            </w:r>
            <w:r>
              <w:rPr>
                <w:rFonts w:hint="default" w:ascii="Times New Roman" w:hAnsi="Times New Roman" w:eastAsia="宋体" w:cs="Times New Roman"/>
                <w:b w:val="0"/>
                <w:bCs/>
                <w:snapToGrid w:val="0"/>
                <w:color w:val="auto"/>
                <w:kern w:val="0"/>
                <w:sz w:val="21"/>
                <w:highlight w:val="none"/>
              </w:rPr>
              <w:t>至投标文件递交截止日，以</w:t>
            </w:r>
            <w:r>
              <w:rPr>
                <w:rFonts w:hint="default" w:ascii="Times New Roman" w:hAnsi="Times New Roman" w:eastAsia="宋体" w:cs="Times New Roman"/>
                <w:b w:val="0"/>
                <w:bCs/>
                <w:snapToGrid w:val="0"/>
                <w:color w:val="auto"/>
                <w:kern w:val="0"/>
                <w:sz w:val="21"/>
                <w:highlight w:val="none"/>
                <w:lang w:eastAsia="zh-CN"/>
              </w:rPr>
              <w:t>交（竣）工</w:t>
            </w:r>
            <w:r>
              <w:rPr>
                <w:rFonts w:hint="default" w:ascii="Times New Roman" w:hAnsi="Times New Roman" w:eastAsia="宋体" w:cs="Times New Roman"/>
                <w:b w:val="0"/>
                <w:bCs/>
                <w:snapToGrid w:val="0"/>
                <w:color w:val="auto"/>
                <w:kern w:val="0"/>
                <w:sz w:val="21"/>
                <w:highlight w:val="none"/>
              </w:rPr>
              <w:t>验收时间为准)至少独立完成过</w:t>
            </w:r>
            <w:r>
              <w:rPr>
                <w:rFonts w:hint="default" w:ascii="Times New Roman" w:hAnsi="Times New Roman" w:eastAsia="宋体" w:cs="Times New Roman"/>
                <w:b w:val="0"/>
                <w:bCs/>
                <w:snapToGrid w:val="0"/>
                <w:color w:val="auto"/>
                <w:kern w:val="0"/>
                <w:sz w:val="21"/>
                <w:highlight w:val="none"/>
                <w:lang w:val="en-US" w:eastAsia="zh-CN"/>
              </w:rPr>
              <w:t>2</w:t>
            </w:r>
            <w:r>
              <w:rPr>
                <w:rFonts w:hint="default" w:ascii="Times New Roman" w:hAnsi="Times New Roman" w:eastAsia="宋体" w:cs="Times New Roman"/>
                <w:b w:val="0"/>
                <w:bCs/>
                <w:snapToGrid w:val="0"/>
                <w:color w:val="auto"/>
                <w:kern w:val="0"/>
                <w:sz w:val="21"/>
                <w:highlight w:val="none"/>
              </w:rPr>
              <w:t>项高速公路养护工程施工监理业绩（</w:t>
            </w:r>
            <w:r>
              <w:rPr>
                <w:rFonts w:hint="default" w:ascii="Times New Roman" w:hAnsi="Times New Roman" w:eastAsia="宋体" w:cs="Times New Roman"/>
                <w:b w:val="0"/>
                <w:bCs/>
                <w:snapToGrid w:val="0"/>
                <w:color w:val="auto"/>
                <w:kern w:val="0"/>
                <w:sz w:val="21"/>
                <w:highlight w:val="none"/>
                <w:lang w:val="en-US" w:eastAsia="zh-CN"/>
              </w:rPr>
              <w:t>主要工程量</w:t>
            </w:r>
            <w:r>
              <w:rPr>
                <w:rFonts w:hint="default" w:ascii="Times New Roman" w:hAnsi="Times New Roman" w:eastAsia="宋体" w:cs="Times New Roman"/>
                <w:b w:val="0"/>
                <w:bCs/>
                <w:snapToGrid w:val="0"/>
                <w:color w:val="auto"/>
                <w:kern w:val="0"/>
                <w:sz w:val="21"/>
                <w:highlight w:val="none"/>
              </w:rPr>
              <w:t>须包含路面工程）</w:t>
            </w:r>
            <w:r>
              <w:rPr>
                <w:rFonts w:hint="default" w:ascii="Times New Roman" w:hAnsi="Times New Roman" w:eastAsia="宋体" w:cs="Times New Roman"/>
                <w:b w:val="0"/>
                <w:bCs/>
                <w:snapToGrid w:val="0"/>
                <w:color w:val="auto"/>
                <w:kern w:val="0"/>
                <w:sz w:val="21"/>
                <w:highlight w:val="none"/>
                <w:lang w:eastAsia="zh-CN"/>
              </w:rPr>
              <w:t>。</w:t>
            </w:r>
          </w:p>
        </w:tc>
      </w:tr>
    </w:tbl>
    <w:p>
      <w:pPr>
        <w:spacing w:line="500" w:lineRule="exact"/>
        <w:ind w:left="559" w:leftChars="95" w:hanging="360" w:hangingChars="200"/>
        <w:rPr>
          <w:rFonts w:hint="eastAsia" w:ascii="黑体" w:hAnsi="黑体" w:eastAsia="黑体" w:cs="黑体"/>
          <w:b w:val="0"/>
          <w:bCs/>
          <w:color w:val="auto"/>
          <w:sz w:val="18"/>
          <w:szCs w:val="18"/>
          <w:highlight w:val="none"/>
          <w:lang w:bidi="ar"/>
        </w:rPr>
      </w:pPr>
      <w:r>
        <w:rPr>
          <w:rFonts w:hint="eastAsia" w:ascii="黑体" w:hAnsi="黑体" w:eastAsia="黑体" w:cs="黑体"/>
          <w:b w:val="0"/>
          <w:bCs/>
          <w:color w:val="auto"/>
          <w:sz w:val="18"/>
          <w:szCs w:val="18"/>
          <w:highlight w:val="none"/>
          <w:lang w:bidi="ar"/>
        </w:rPr>
        <w:t>注：如近年来，投标人法人机构发生合法变更或重组或法人名称变更时，应提供相关部门的合法批件或其他相关证明材料来证明其所附业绩的继承性。</w:t>
      </w:r>
    </w:p>
    <w:p>
      <w:pPr>
        <w:spacing w:line="500" w:lineRule="exact"/>
        <w:jc w:val="center"/>
        <w:rPr>
          <w:rFonts w:hint="default" w:ascii="Times New Roman" w:hAnsi="Times New Roman" w:cs="Times New Roman"/>
          <w:b w:val="0"/>
          <w:bCs/>
          <w:color w:val="auto"/>
          <w:sz w:val="32"/>
          <w:szCs w:val="32"/>
          <w:highlight w:val="none"/>
        </w:rPr>
      </w:pPr>
      <w:r>
        <w:rPr>
          <w:rFonts w:hint="default" w:ascii="Times New Roman" w:hAnsi="Times New Roman" w:cs="Times New Roman"/>
          <w:b w:val="0"/>
          <w:bCs/>
          <w:color w:val="auto"/>
          <w:sz w:val="32"/>
          <w:szCs w:val="32"/>
          <w:highlight w:val="none"/>
        </w:rPr>
        <w:br w:type="page"/>
      </w:r>
      <w:r>
        <w:rPr>
          <w:rFonts w:hint="default" w:ascii="Times New Roman" w:hAnsi="Times New Roman" w:cs="Times New Roman"/>
          <w:b w:val="0"/>
          <w:bCs/>
          <w:color w:val="auto"/>
          <w:sz w:val="32"/>
          <w:szCs w:val="32"/>
          <w:highlight w:val="none"/>
        </w:rPr>
        <w:t>附录4  资格审查条件（信誉最低要求）</w:t>
      </w:r>
      <w:bookmarkEnd w:id="6"/>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86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exact"/>
          <w:jc w:val="center"/>
        </w:trPr>
        <w:tc>
          <w:tcPr>
            <w:tcW w:w="1007"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标段</w:t>
            </w:r>
          </w:p>
        </w:tc>
        <w:tc>
          <w:tcPr>
            <w:tcW w:w="8680" w:type="dxa"/>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基本资格要求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1" w:hRule="atLeast"/>
          <w:jc w:val="center"/>
        </w:trPr>
        <w:tc>
          <w:tcPr>
            <w:tcW w:w="1007" w:type="dxa"/>
            <w:tcBorders>
              <w:tl2br w:val="nil"/>
              <w:tr2bl w:val="nil"/>
            </w:tcBorders>
            <w:noWrap w:val="0"/>
            <w:vAlign w:val="center"/>
          </w:tcPr>
          <w:p>
            <w:pPr>
              <w:spacing w:line="500" w:lineRule="exact"/>
              <w:jc w:val="center"/>
              <w:rPr>
                <w:rFonts w:ascii="Times New Roman" w:hAnsi="Times New Roman" w:cs="Times New Roman"/>
                <w:b w:val="0"/>
                <w:bCs/>
                <w:color w:val="auto"/>
                <w:sz w:val="22"/>
                <w:szCs w:val="22"/>
                <w:highlight w:val="none"/>
              </w:rPr>
            </w:pPr>
            <w:r>
              <w:rPr>
                <w:rFonts w:hint="default" w:ascii="Times New Roman" w:hAnsi="Times New Roman" w:cs="Times New Roman"/>
                <w:b w:val="0"/>
                <w:bCs/>
                <w:color w:val="auto"/>
                <w:sz w:val="22"/>
                <w:szCs w:val="22"/>
                <w:highlight w:val="none"/>
              </w:rPr>
              <w:t>001</w:t>
            </w:r>
          </w:p>
        </w:tc>
        <w:tc>
          <w:tcPr>
            <w:tcW w:w="8680" w:type="dxa"/>
            <w:tcBorders>
              <w:tl2br w:val="nil"/>
              <w:tr2bl w:val="nil"/>
            </w:tcBorders>
            <w:noWrap w:val="0"/>
            <w:vAlign w:val="center"/>
          </w:tcPr>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①凡被交通运输部或山西省交通运输厅取消或暂停工程投标资格的单位，在处罚期内无资格参与本项目的投标；</w:t>
            </w:r>
          </w:p>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②投标人未被责令停业，暂扣或吊销执照，或吊销资质证书；</w:t>
            </w:r>
          </w:p>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③投标人未进入清算程序，或被宣告破产，或其他丧失履约能力的情形；</w:t>
            </w:r>
          </w:p>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④投标人在国家企业信用信息公示系统（http://www.gsxt.gov.cn/）中未被列入严重违法失信企业名单（黑名单）信息；</w:t>
            </w:r>
          </w:p>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⑤投标人在“信用中国”网站（http://www.creditchina.gov.cn/）中未被列入严重失信主体名单；</w:t>
            </w:r>
          </w:p>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⑥投标人及其法定代表人、拟任总监理工程师近三年内（2021年9月1日至今）无行贿犯罪行为。</w:t>
            </w:r>
          </w:p>
          <w:p>
            <w:pPr>
              <w:widowControl/>
              <w:spacing w:line="360" w:lineRule="auto"/>
              <w:rPr>
                <w:rFonts w:ascii="Times New Roman" w:hAnsi="Times New Roman" w:cs="Times New Roman"/>
                <w:b w:val="0"/>
                <w:bCs/>
                <w:color w:val="auto"/>
                <w:sz w:val="22"/>
                <w:szCs w:val="28"/>
                <w:highlight w:val="none"/>
              </w:rPr>
            </w:pPr>
            <w:r>
              <w:rPr>
                <w:rFonts w:hint="default" w:ascii="Times New Roman" w:hAnsi="Times New Roman" w:eastAsia="宋体" w:cs="Times New Roman"/>
                <w:b w:val="0"/>
                <w:bCs/>
                <w:snapToGrid w:val="0"/>
                <w:color w:val="auto"/>
                <w:kern w:val="0"/>
                <w:sz w:val="21"/>
                <w:szCs w:val="24"/>
                <w:highlight w:val="none"/>
                <w:lang w:val="en-US" w:eastAsia="zh-CN" w:bidi="ar-SA"/>
              </w:rPr>
              <w:t>⑦投标人未被列入山西交通控股集团有限公司供应商黑名单且处于有效期内的情形。</w:t>
            </w:r>
          </w:p>
        </w:tc>
      </w:tr>
    </w:tbl>
    <w:p>
      <w:pPr>
        <w:spacing w:line="500" w:lineRule="exact"/>
        <w:rPr>
          <w:rFonts w:hint="default" w:ascii="Times New Roman" w:hAnsi="Times New Roman" w:cs="Times New Roman"/>
          <w:b w:val="0"/>
          <w:bCs/>
          <w:color w:val="auto"/>
          <w:sz w:val="32"/>
          <w:szCs w:val="32"/>
          <w:highlight w:val="none"/>
        </w:rPr>
      </w:pPr>
      <w:bookmarkStart w:id="7" w:name="_Toc23161"/>
    </w:p>
    <w:p>
      <w:pPr>
        <w:pStyle w:val="9"/>
        <w:rPr>
          <w:rFonts w:hint="default" w:ascii="Times New Roman" w:hAnsi="Times New Roman" w:cs="Times New Roman"/>
          <w:b w:val="0"/>
          <w:bCs/>
          <w:color w:val="auto"/>
          <w:highlight w:val="none"/>
        </w:rPr>
      </w:pPr>
    </w:p>
    <w:p>
      <w:pPr>
        <w:spacing w:line="500" w:lineRule="exact"/>
        <w:jc w:val="center"/>
        <w:rPr>
          <w:rFonts w:hint="default" w:ascii="Times New Roman" w:hAnsi="Times New Roman" w:cs="Times New Roman"/>
          <w:b w:val="0"/>
          <w:bCs/>
          <w:color w:val="auto"/>
          <w:sz w:val="32"/>
          <w:szCs w:val="32"/>
          <w:highlight w:val="none"/>
        </w:rPr>
      </w:pPr>
      <w:r>
        <w:rPr>
          <w:rFonts w:hint="default" w:ascii="Times New Roman" w:hAnsi="Times New Roman" w:cs="Times New Roman"/>
          <w:b w:val="0"/>
          <w:bCs/>
          <w:color w:val="auto"/>
          <w:sz w:val="32"/>
          <w:szCs w:val="32"/>
          <w:highlight w:val="none"/>
        </w:rPr>
        <w:t>附录5  资格审查条件（总监理工程师最低要求）</w:t>
      </w:r>
      <w:bookmarkEnd w:id="7"/>
    </w:p>
    <w:tbl>
      <w:tblPr>
        <w:tblStyle w:val="15"/>
        <w:tblW w:w="492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906"/>
        <w:gridCol w:w="837"/>
        <w:gridCol w:w="5512"/>
        <w:gridCol w:w="17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398" w:type="pct"/>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标段</w:t>
            </w:r>
          </w:p>
        </w:tc>
        <w:tc>
          <w:tcPr>
            <w:tcW w:w="462" w:type="pct"/>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人员</w:t>
            </w:r>
          </w:p>
        </w:tc>
        <w:tc>
          <w:tcPr>
            <w:tcW w:w="427" w:type="pct"/>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数量</w:t>
            </w:r>
          </w:p>
        </w:tc>
        <w:tc>
          <w:tcPr>
            <w:tcW w:w="2812" w:type="pct"/>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基本资格要求</w:t>
            </w:r>
          </w:p>
        </w:tc>
        <w:tc>
          <w:tcPr>
            <w:tcW w:w="899" w:type="pct"/>
            <w:tcBorders>
              <w:tl2br w:val="nil"/>
              <w:tr2bl w:val="nil"/>
            </w:tcBorders>
            <w:noWrap w:val="0"/>
            <w:vAlign w:val="center"/>
          </w:tcPr>
          <w:p>
            <w:pPr>
              <w:spacing w:line="500" w:lineRule="exact"/>
              <w:jc w:val="center"/>
              <w:rPr>
                <w:rFonts w:hint="default" w:ascii="Times New Roman" w:hAnsi="Times New Roman" w:cs="Times New Roman"/>
                <w:b w:val="0"/>
                <w:bCs/>
                <w:snapToGrid w:val="0"/>
                <w:color w:val="auto"/>
                <w:kern w:val="0"/>
                <w:sz w:val="22"/>
                <w:szCs w:val="22"/>
                <w:highlight w:val="none"/>
              </w:rPr>
            </w:pPr>
            <w:r>
              <w:rPr>
                <w:rFonts w:hint="default" w:ascii="Times New Roman" w:hAnsi="Times New Roman" w:cs="Times New Roman"/>
                <w:b w:val="0"/>
                <w:bCs/>
                <w:snapToGrid w:val="0"/>
                <w:color w:val="auto"/>
                <w:kern w:val="0"/>
                <w:sz w:val="22"/>
                <w:szCs w:val="22"/>
                <w:highlight w:val="none"/>
              </w:rPr>
              <w:t>在岗要求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29" w:hRule="atLeast"/>
          <w:jc w:val="center"/>
        </w:trPr>
        <w:tc>
          <w:tcPr>
            <w:tcW w:w="398" w:type="pct"/>
            <w:tcBorders>
              <w:tl2br w:val="nil"/>
              <w:tr2bl w:val="nil"/>
            </w:tcBorders>
            <w:noWrap w:val="0"/>
            <w:vAlign w:val="center"/>
          </w:tcPr>
          <w:p>
            <w:pPr>
              <w:spacing w:line="500" w:lineRule="exact"/>
              <w:jc w:val="center"/>
              <w:rPr>
                <w:rFonts w:ascii="Times New Roman" w:hAnsi="Times New Roman" w:cs="Times New Roman"/>
                <w:b w:val="0"/>
                <w:bCs/>
                <w:color w:val="auto"/>
                <w:szCs w:val="21"/>
                <w:highlight w:val="none"/>
              </w:rPr>
            </w:pPr>
            <w:r>
              <w:rPr>
                <w:rFonts w:hint="default" w:ascii="Times New Roman" w:hAnsi="Times New Roman" w:cs="Times New Roman"/>
                <w:b w:val="0"/>
                <w:bCs/>
                <w:color w:val="auto"/>
                <w:sz w:val="22"/>
                <w:szCs w:val="22"/>
                <w:highlight w:val="none"/>
              </w:rPr>
              <w:t>001</w:t>
            </w:r>
          </w:p>
        </w:tc>
        <w:tc>
          <w:tcPr>
            <w:tcW w:w="462" w:type="pc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总监理</w:t>
            </w:r>
          </w:p>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工程师</w:t>
            </w:r>
          </w:p>
        </w:tc>
        <w:tc>
          <w:tcPr>
            <w:tcW w:w="427" w:type="pct"/>
            <w:tcBorders>
              <w:tl2br w:val="nil"/>
              <w:tr2bl w:val="nil"/>
            </w:tcBorders>
            <w:noWrap w:val="0"/>
            <w:vAlign w:val="center"/>
          </w:tcPr>
          <w:p>
            <w:pPr>
              <w:spacing w:line="500" w:lineRule="exact"/>
              <w:jc w:val="center"/>
              <w:rPr>
                <w:rFonts w:hint="default" w:ascii="Times New Roman" w:hAnsi="Times New Roman" w:cs="Times New Roman"/>
                <w:b w:val="0"/>
                <w:bCs/>
                <w:color w:val="auto"/>
                <w:szCs w:val="21"/>
                <w:highlight w:val="none"/>
              </w:rPr>
            </w:pPr>
            <w:r>
              <w:rPr>
                <w:rFonts w:hint="default" w:ascii="Times New Roman" w:hAnsi="Times New Roman" w:cs="Times New Roman"/>
                <w:b w:val="0"/>
                <w:bCs/>
                <w:color w:val="auto"/>
                <w:szCs w:val="21"/>
                <w:highlight w:val="none"/>
              </w:rPr>
              <w:t>1</w:t>
            </w:r>
          </w:p>
        </w:tc>
        <w:tc>
          <w:tcPr>
            <w:tcW w:w="2812" w:type="pct"/>
            <w:tcBorders>
              <w:tl2br w:val="nil"/>
              <w:tr2bl w:val="nil"/>
            </w:tcBorders>
            <w:noWrap w:val="0"/>
            <w:vAlign w:val="center"/>
          </w:tcPr>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拟任总监理工程师1人，高级工程师及以上职称（公路工程相关专业），须持有交通运输部颁发的监理工程师注册证书或公路工程监理工程师证书，且注册单位必须与投标人名称一致，作为总监理工程师或副总监理工程师近五年内(2019年9月1日至投标文件递交截止日，以交（竣）工验收时间为准）至少完成过1项高速公路养护工程施工监理业绩（主要工程量须包含路面工程）。</w:t>
            </w:r>
          </w:p>
        </w:tc>
        <w:tc>
          <w:tcPr>
            <w:tcW w:w="899" w:type="pct"/>
            <w:tcBorders>
              <w:tl2br w:val="nil"/>
              <w:tr2bl w:val="nil"/>
            </w:tcBorders>
            <w:noWrap w:val="0"/>
            <w:vAlign w:val="center"/>
          </w:tcPr>
          <w:p>
            <w:pPr>
              <w:widowControl/>
              <w:spacing w:line="360" w:lineRule="auto"/>
              <w:rPr>
                <w:rFonts w:hint="default" w:ascii="Times New Roman" w:hAnsi="Times New Roman" w:eastAsia="宋体" w:cs="Times New Roman"/>
                <w:b w:val="0"/>
                <w:bCs/>
                <w:snapToGrid w:val="0"/>
                <w:color w:val="auto"/>
                <w:kern w:val="0"/>
                <w:sz w:val="21"/>
                <w:szCs w:val="24"/>
                <w:highlight w:val="none"/>
                <w:lang w:val="en-US" w:eastAsia="zh-CN" w:bidi="ar-SA"/>
              </w:rPr>
            </w:pPr>
            <w:r>
              <w:rPr>
                <w:rFonts w:hint="default" w:ascii="Times New Roman" w:hAnsi="Times New Roman" w:eastAsia="宋体" w:cs="Times New Roman"/>
                <w:b w:val="0"/>
                <w:bCs/>
                <w:snapToGrid w:val="0"/>
                <w:color w:val="auto"/>
                <w:kern w:val="0"/>
                <w:sz w:val="21"/>
                <w:szCs w:val="24"/>
                <w:highlight w:val="none"/>
                <w:lang w:val="en-US" w:eastAsia="zh-CN" w:bidi="ar-SA"/>
              </w:rPr>
              <w:t>无在岗项目（指目前未在其他项目上任职或虽在其他项目上任职但须提供业主出具的项目完工可撤离证明材料。）</w:t>
            </w:r>
          </w:p>
        </w:tc>
      </w:tr>
    </w:tbl>
    <w:p>
      <w:pPr>
        <w:spacing w:line="0" w:lineRule="atLeast"/>
        <w:rPr>
          <w:rFonts w:hint="default" w:ascii="Times New Roman" w:hAnsi="Times New Roman" w:cs="Times New Roman"/>
          <w:b w:val="0"/>
          <w:bCs/>
          <w:color w:val="auto"/>
          <w:sz w:val="24"/>
          <w:highlight w:val="none"/>
        </w:rPr>
      </w:pPr>
    </w:p>
    <w:p>
      <w:pPr>
        <w:rPr>
          <w:b w:val="0"/>
          <w:bCs/>
        </w:rPr>
      </w:pP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000000" w:sz="0" w:space="0"/>
        <w:left w:val="none" w:color="auto" w:sz="0" w:space="4"/>
        <w:bottom w:val="none" w:color="auto" w:sz="0" w:space="1"/>
        <w:right w:val="none" w:color="auto" w:sz="0" w:space="4"/>
        <w:between w:val="none" w:color="auto" w:sz="0" w:space="0"/>
      </w:pBdr>
      <w:snapToGrid w:val="0"/>
      <w:jc w:val="center"/>
      <w:rPr>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2RiZWI4ZjkxZjRkYzk5YTU1ZTZmYmFhZTA5ZDAifQ=="/>
    <w:docVar w:name="KSO_WPS_MARK_KEY" w:val="69dfa486-fb2b-4e41-9549-ac90c6a4cc98"/>
  </w:docVars>
  <w:rsids>
    <w:rsidRoot w:val="3C922D9F"/>
    <w:rsid w:val="00AB7A64"/>
    <w:rsid w:val="010A29DC"/>
    <w:rsid w:val="01270996"/>
    <w:rsid w:val="01A9669A"/>
    <w:rsid w:val="01B446F6"/>
    <w:rsid w:val="02117D9A"/>
    <w:rsid w:val="022B0E5C"/>
    <w:rsid w:val="02B524D4"/>
    <w:rsid w:val="0497676C"/>
    <w:rsid w:val="04FA03E7"/>
    <w:rsid w:val="05C546D0"/>
    <w:rsid w:val="05E275A9"/>
    <w:rsid w:val="06EF05F5"/>
    <w:rsid w:val="070F5669"/>
    <w:rsid w:val="078A2181"/>
    <w:rsid w:val="07D4164E"/>
    <w:rsid w:val="07E850FA"/>
    <w:rsid w:val="07F46356"/>
    <w:rsid w:val="08B2267B"/>
    <w:rsid w:val="08D22029"/>
    <w:rsid w:val="099F0A11"/>
    <w:rsid w:val="09EA5159"/>
    <w:rsid w:val="0B1306DF"/>
    <w:rsid w:val="0BEB6F66"/>
    <w:rsid w:val="0DA44F52"/>
    <w:rsid w:val="0EB43F87"/>
    <w:rsid w:val="0F407486"/>
    <w:rsid w:val="0F7A0D2D"/>
    <w:rsid w:val="10A962DF"/>
    <w:rsid w:val="11C10E95"/>
    <w:rsid w:val="11FE3E97"/>
    <w:rsid w:val="12282CC2"/>
    <w:rsid w:val="12660AAE"/>
    <w:rsid w:val="14BE790E"/>
    <w:rsid w:val="16E118C9"/>
    <w:rsid w:val="171B2DF6"/>
    <w:rsid w:val="1737248A"/>
    <w:rsid w:val="18291542"/>
    <w:rsid w:val="184E0FA9"/>
    <w:rsid w:val="18A94431"/>
    <w:rsid w:val="18FA2EDF"/>
    <w:rsid w:val="19741FFC"/>
    <w:rsid w:val="19786BDA"/>
    <w:rsid w:val="197B2C64"/>
    <w:rsid w:val="19A30E80"/>
    <w:rsid w:val="19CB1950"/>
    <w:rsid w:val="1A3F504D"/>
    <w:rsid w:val="1B590390"/>
    <w:rsid w:val="1B7236D4"/>
    <w:rsid w:val="1C1442B7"/>
    <w:rsid w:val="1C9378D2"/>
    <w:rsid w:val="1D303373"/>
    <w:rsid w:val="1DB93368"/>
    <w:rsid w:val="1DBE272D"/>
    <w:rsid w:val="1DFF240A"/>
    <w:rsid w:val="1F1D16D5"/>
    <w:rsid w:val="205770C6"/>
    <w:rsid w:val="20886DC6"/>
    <w:rsid w:val="2208041A"/>
    <w:rsid w:val="22810759"/>
    <w:rsid w:val="22D20500"/>
    <w:rsid w:val="237176C2"/>
    <w:rsid w:val="2378337E"/>
    <w:rsid w:val="238E0DF3"/>
    <w:rsid w:val="24AD52A9"/>
    <w:rsid w:val="261F3F85"/>
    <w:rsid w:val="264A51F7"/>
    <w:rsid w:val="280520F8"/>
    <w:rsid w:val="282967F7"/>
    <w:rsid w:val="2CE64684"/>
    <w:rsid w:val="2D3B5B48"/>
    <w:rsid w:val="2E422F06"/>
    <w:rsid w:val="2EC35DF5"/>
    <w:rsid w:val="300971A7"/>
    <w:rsid w:val="310151E4"/>
    <w:rsid w:val="31472DE0"/>
    <w:rsid w:val="31A33CBC"/>
    <w:rsid w:val="3220530C"/>
    <w:rsid w:val="33735ECA"/>
    <w:rsid w:val="33AB50A9"/>
    <w:rsid w:val="341F3253"/>
    <w:rsid w:val="3461229E"/>
    <w:rsid w:val="346516FC"/>
    <w:rsid w:val="348222AE"/>
    <w:rsid w:val="34CC3529"/>
    <w:rsid w:val="35845BB2"/>
    <w:rsid w:val="3599176E"/>
    <w:rsid w:val="364517E5"/>
    <w:rsid w:val="38EC0DA1"/>
    <w:rsid w:val="3B854432"/>
    <w:rsid w:val="3BA77D5D"/>
    <w:rsid w:val="3C922D9F"/>
    <w:rsid w:val="3CA52FDE"/>
    <w:rsid w:val="3DEC0798"/>
    <w:rsid w:val="3F4D34B9"/>
    <w:rsid w:val="424D5C63"/>
    <w:rsid w:val="432509D4"/>
    <w:rsid w:val="432D7889"/>
    <w:rsid w:val="43562BAD"/>
    <w:rsid w:val="441F267B"/>
    <w:rsid w:val="455530C7"/>
    <w:rsid w:val="45BB39DF"/>
    <w:rsid w:val="45E05087"/>
    <w:rsid w:val="467B6B5D"/>
    <w:rsid w:val="46B02CAB"/>
    <w:rsid w:val="478B4B7E"/>
    <w:rsid w:val="48735C6B"/>
    <w:rsid w:val="488937B4"/>
    <w:rsid w:val="48F54C88"/>
    <w:rsid w:val="48FF5824"/>
    <w:rsid w:val="494D658F"/>
    <w:rsid w:val="49763F01"/>
    <w:rsid w:val="49983FDE"/>
    <w:rsid w:val="4A1B3BDA"/>
    <w:rsid w:val="4A7933B4"/>
    <w:rsid w:val="4B257098"/>
    <w:rsid w:val="4B8464B4"/>
    <w:rsid w:val="4C3438B2"/>
    <w:rsid w:val="4C9269AF"/>
    <w:rsid w:val="4CA30BBC"/>
    <w:rsid w:val="4CA961D2"/>
    <w:rsid w:val="4CE52E40"/>
    <w:rsid w:val="4D5A74CD"/>
    <w:rsid w:val="4E7A385E"/>
    <w:rsid w:val="4EE17CDB"/>
    <w:rsid w:val="4F5D32A4"/>
    <w:rsid w:val="4FA15887"/>
    <w:rsid w:val="4FA66CFD"/>
    <w:rsid w:val="4FD0741E"/>
    <w:rsid w:val="50243DC2"/>
    <w:rsid w:val="505C7A00"/>
    <w:rsid w:val="5076286F"/>
    <w:rsid w:val="507D077F"/>
    <w:rsid w:val="510936E3"/>
    <w:rsid w:val="53E02D1B"/>
    <w:rsid w:val="54D2203E"/>
    <w:rsid w:val="56073F6A"/>
    <w:rsid w:val="56FA587C"/>
    <w:rsid w:val="56FE620B"/>
    <w:rsid w:val="57711FE2"/>
    <w:rsid w:val="58137F7D"/>
    <w:rsid w:val="586C4558"/>
    <w:rsid w:val="592E180D"/>
    <w:rsid w:val="5AB82A46"/>
    <w:rsid w:val="5B0A1BCA"/>
    <w:rsid w:val="5B0D3DD0"/>
    <w:rsid w:val="5B24736C"/>
    <w:rsid w:val="5BA82F01"/>
    <w:rsid w:val="5BD60666"/>
    <w:rsid w:val="5C0E6052"/>
    <w:rsid w:val="5D427E87"/>
    <w:rsid w:val="5D8A795A"/>
    <w:rsid w:val="5DF55817"/>
    <w:rsid w:val="606A5C7B"/>
    <w:rsid w:val="60CB56A9"/>
    <w:rsid w:val="60CC64DC"/>
    <w:rsid w:val="60DE7264"/>
    <w:rsid w:val="61300818"/>
    <w:rsid w:val="624A3B5C"/>
    <w:rsid w:val="626377A1"/>
    <w:rsid w:val="62A6057B"/>
    <w:rsid w:val="63A23524"/>
    <w:rsid w:val="63CF464D"/>
    <w:rsid w:val="645B3DFE"/>
    <w:rsid w:val="65B5753E"/>
    <w:rsid w:val="660D1128"/>
    <w:rsid w:val="668651A9"/>
    <w:rsid w:val="671D7E04"/>
    <w:rsid w:val="67BA708E"/>
    <w:rsid w:val="67BC7BF4"/>
    <w:rsid w:val="6874548F"/>
    <w:rsid w:val="68917735"/>
    <w:rsid w:val="68B02870"/>
    <w:rsid w:val="6919162A"/>
    <w:rsid w:val="695D5F23"/>
    <w:rsid w:val="6A7E5EDE"/>
    <w:rsid w:val="6C5F0204"/>
    <w:rsid w:val="6C7A503E"/>
    <w:rsid w:val="6CD429A0"/>
    <w:rsid w:val="6D57537F"/>
    <w:rsid w:val="6D6E6A0A"/>
    <w:rsid w:val="6DAD2431"/>
    <w:rsid w:val="6F141745"/>
    <w:rsid w:val="6F2B6AC3"/>
    <w:rsid w:val="6F773AB6"/>
    <w:rsid w:val="70052E31"/>
    <w:rsid w:val="703241C1"/>
    <w:rsid w:val="70AE0489"/>
    <w:rsid w:val="70F03B20"/>
    <w:rsid w:val="72C552A4"/>
    <w:rsid w:val="7434641A"/>
    <w:rsid w:val="749A44CF"/>
    <w:rsid w:val="74AF5AA0"/>
    <w:rsid w:val="74CC0400"/>
    <w:rsid w:val="74DB2995"/>
    <w:rsid w:val="750000AA"/>
    <w:rsid w:val="75A650F5"/>
    <w:rsid w:val="75C576E0"/>
    <w:rsid w:val="75D91027"/>
    <w:rsid w:val="760342F6"/>
    <w:rsid w:val="76D65930"/>
    <w:rsid w:val="78EE303B"/>
    <w:rsid w:val="79A436FA"/>
    <w:rsid w:val="79AC4E0B"/>
    <w:rsid w:val="7A2D1C6B"/>
    <w:rsid w:val="7A3C2EED"/>
    <w:rsid w:val="7A431165"/>
    <w:rsid w:val="7AF83CFD"/>
    <w:rsid w:val="7B166879"/>
    <w:rsid w:val="7B2A40D3"/>
    <w:rsid w:val="7B476A33"/>
    <w:rsid w:val="7BF501D2"/>
    <w:rsid w:val="7C78619A"/>
    <w:rsid w:val="7E5F4093"/>
    <w:rsid w:val="7F3217A8"/>
    <w:rsid w:val="7FA63C10"/>
    <w:rsid w:val="7FE72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adjustRightInd w:val="0"/>
      <w:snapToGrid w:val="0"/>
      <w:spacing w:before="120" w:after="120"/>
      <w:jc w:val="center"/>
      <w:outlineLvl w:val="0"/>
    </w:pPr>
    <w:rPr>
      <w:rFonts w:eastAsia="黑体"/>
      <w:kern w:val="44"/>
      <w:sz w:val="72"/>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99"/>
    <w:pPr>
      <w:keepNext/>
      <w:keepLines/>
      <w:spacing w:before="260" w:after="260" w:line="416" w:lineRule="auto"/>
      <w:outlineLvl w:val="2"/>
    </w:pPr>
    <w:rPr>
      <w:b/>
      <w:bCs/>
      <w:sz w:val="32"/>
      <w:szCs w:val="32"/>
    </w:rPr>
  </w:style>
  <w:style w:type="paragraph" w:styleId="6">
    <w:name w:val="heading 5"/>
    <w:basedOn w:val="1"/>
    <w:next w:val="1"/>
    <w:qFormat/>
    <w:uiPriority w:val="99"/>
    <w:pPr>
      <w:keepNext/>
      <w:adjustRightInd w:val="0"/>
      <w:spacing w:line="420" w:lineRule="atLeast"/>
      <w:jc w:val="right"/>
      <w:textAlignment w:val="baseline"/>
      <w:outlineLvl w:val="4"/>
    </w:pPr>
    <w:rPr>
      <w:i/>
      <w:kern w:val="0"/>
      <w:szCs w:val="20"/>
      <w:lang w:val="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7">
    <w:name w:val="table of authorities"/>
    <w:basedOn w:val="1"/>
    <w:next w:val="1"/>
    <w:qFormat/>
    <w:uiPriority w:val="0"/>
    <w:pPr>
      <w:ind w:left="420" w:leftChars="200"/>
    </w:pPr>
  </w:style>
  <w:style w:type="paragraph" w:styleId="8">
    <w:name w:val="Body Text 3"/>
    <w:basedOn w:val="1"/>
    <w:qFormat/>
    <w:uiPriority w:val="0"/>
    <w:pPr>
      <w:spacing w:after="120"/>
    </w:pPr>
    <w:rPr>
      <w:sz w:val="16"/>
      <w:szCs w:val="16"/>
    </w:rPr>
  </w:style>
  <w:style w:type="paragraph" w:styleId="9">
    <w:name w:val="Body Text"/>
    <w:basedOn w:val="1"/>
    <w:qFormat/>
    <w:uiPriority w:val="0"/>
    <w:pPr>
      <w:spacing w:after="120" w:afterLines="0"/>
    </w:pPr>
  </w:style>
  <w:style w:type="paragraph" w:styleId="10">
    <w:name w:val="footer"/>
    <w:basedOn w:val="1"/>
    <w:next w:val="11"/>
    <w:qFormat/>
    <w:uiPriority w:val="0"/>
    <w:pPr>
      <w:tabs>
        <w:tab w:val="center" w:pos="4153"/>
        <w:tab w:val="right" w:pos="8306"/>
      </w:tabs>
    </w:pPr>
    <w:rPr>
      <w:sz w:val="18"/>
      <w:szCs w:val="18"/>
    </w:rPr>
  </w:style>
  <w:style w:type="paragraph" w:styleId="11">
    <w:name w:val="Normal (Web)"/>
    <w:basedOn w:val="1"/>
    <w:next w:val="1"/>
    <w:qFormat/>
    <w:uiPriority w:val="0"/>
    <w:pPr>
      <w:widowControl/>
      <w:spacing w:before="100" w:beforeLines="0" w:beforeAutospacing="1" w:after="100" w:afterLines="0" w:afterAutospacing="1"/>
      <w:jc w:val="left"/>
    </w:pPr>
    <w:rPr>
      <w:rFonts w:ascii="宋体" w:hAnsi="宋体" w:cs="Arial"/>
      <w:color w:val="0000FF"/>
      <w:kern w:val="0"/>
      <w:sz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adjustRightInd w:val="0"/>
      <w:snapToGrid w:val="0"/>
      <w:spacing w:line="420" w:lineRule="atLeast"/>
      <w:ind w:firstLine="454"/>
      <w:jc w:val="left"/>
      <w:textAlignment w:val="baseline"/>
    </w:pPr>
    <w:rPr>
      <w:kern w:val="0"/>
      <w:sz w:val="18"/>
      <w:szCs w:val="20"/>
      <w:lang w:val="zh-CN"/>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6">
    <w:name w:val="Table Grid"/>
    <w:basedOn w:val="1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otnote reference"/>
    <w:basedOn w:val="17"/>
    <w:qFormat/>
    <w:uiPriority w:val="0"/>
    <w:rPr>
      <w:vertAlign w:val="superscript"/>
    </w:rPr>
  </w:style>
  <w:style w:type="paragraph" w:customStyle="1" w:styleId="19">
    <w:name w:val="Table Paragraph"/>
    <w:basedOn w:val="1"/>
    <w:unhideWhenUsed/>
    <w:qFormat/>
    <w:uiPriority w:val="1"/>
    <w:pPr>
      <w:spacing w:beforeLines="0" w:afterLines="0"/>
    </w:pPr>
    <w:rPr>
      <w:rFonts w:hint="default"/>
      <w:sz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Body Text 21"/>
    <w:basedOn w:val="1"/>
    <w:qFormat/>
    <w:uiPriority w:val="0"/>
    <w:pPr>
      <w:widowControl w:val="0"/>
      <w:kinsoku/>
      <w:autoSpaceDE/>
      <w:autoSpaceDN/>
      <w:adjustRightInd/>
      <w:snapToGrid/>
      <w:spacing w:line="480" w:lineRule="auto"/>
      <w:jc w:val="both"/>
      <w:textAlignment w:val="auto"/>
    </w:pPr>
    <w:rPr>
      <w:rFonts w:ascii="Times New Roman" w:hAnsi="Times New Roman" w:eastAsia="宋体" w:cs="Times New Roman"/>
      <w:snapToGrid/>
      <w:color w:val="auto"/>
      <w:kern w:val="2"/>
      <w:sz w:val="20"/>
      <w:szCs w:val="24"/>
    </w:rPr>
  </w:style>
  <w:style w:type="paragraph" w:customStyle="1" w:styleId="22">
    <w:name w:val="第一章-2级"/>
    <w:basedOn w:val="2"/>
    <w:qFormat/>
    <w:uiPriority w:val="99"/>
    <w:rPr>
      <w:sz w:val="36"/>
    </w:rPr>
  </w:style>
  <w:style w:type="paragraph" w:customStyle="1" w:styleId="23">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character" w:customStyle="1" w:styleId="24">
    <w:name w:val="font161"/>
    <w:qFormat/>
    <w:uiPriority w:val="99"/>
    <w:rPr>
      <w:b/>
      <w:bCs/>
      <w:sz w:val="32"/>
      <w:szCs w:val="32"/>
    </w:rPr>
  </w:style>
  <w:style w:type="paragraph" w:customStyle="1" w:styleId="2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12443</Words>
  <Characters>13268</Characters>
  <Lines>0</Lines>
  <Paragraphs>0</Paragraphs>
  <TotalTime>1</TotalTime>
  <ScaleCrop>false</ScaleCrop>
  <LinksUpToDate>false</LinksUpToDate>
  <CharactersWithSpaces>13311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2020-04-07T08:37:00Z</dcterms:created>
  <dc:creator>廖梓佑</dc:creator>
  <cp:lastModifiedBy>王慧</cp:lastModifiedBy>
  <cp:lastPrinted>2023-11-08T07:41:00Z</cp:lastPrinted>
  <dcterms:modified xsi:type="dcterms:W3CDTF">2024-10-23T08:35:56Z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50EABDE802FB4B49B6F740930F654D71_12</vt:lpwstr>
  </property>
</Properties>
</file>