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448DE8">
      <w:pPr>
        <w:keepNext/>
        <w:keepLines/>
        <w:tabs>
          <w:tab w:val="left" w:pos="0"/>
          <w:tab w:val="left" w:pos="420"/>
          <w:tab w:val="center" w:pos="4153"/>
        </w:tabs>
        <w:autoSpaceDE w:val="0"/>
        <w:autoSpaceDN w:val="0"/>
        <w:adjustRightInd w:val="0"/>
        <w:spacing w:line="360" w:lineRule="auto"/>
        <w:jc w:val="center"/>
        <w:outlineLvl w:val="0"/>
        <w:rPr>
          <w:rFonts w:hint="eastAsia" w:ascii="仿宋" w:hAnsi="仿宋" w:eastAsia="仿宋" w:cs="仿宋"/>
          <w:bCs/>
          <w:kern w:val="44"/>
          <w:sz w:val="44"/>
          <w:szCs w:val="44"/>
        </w:rPr>
      </w:pPr>
      <w:r>
        <w:rPr>
          <w:rFonts w:hint="eastAsia" w:ascii="仿宋" w:hAnsi="仿宋" w:eastAsia="仿宋" w:cs="仿宋"/>
          <w:bCs/>
          <w:kern w:val="44"/>
          <w:sz w:val="44"/>
          <w:szCs w:val="44"/>
        </w:rPr>
        <w:t>采办计划公告</w:t>
      </w:r>
    </w:p>
    <w:p w14:paraId="5BE7DB85">
      <w:pPr>
        <w:spacing w:line="360" w:lineRule="auto"/>
        <w:rPr>
          <w:rFonts w:hint="eastAsia" w:ascii="仿宋" w:hAnsi="仿宋" w:eastAsia="仿宋" w:cs="仿宋"/>
          <w:bCs/>
          <w:sz w:val="32"/>
        </w:rPr>
      </w:pPr>
    </w:p>
    <w:p w14:paraId="35B1762B">
      <w:pPr>
        <w:tabs>
          <w:tab w:val="left" w:pos="993"/>
          <w:tab w:val="left" w:pos="1134"/>
          <w:tab w:val="left" w:pos="1418"/>
        </w:tabs>
        <w:spacing w:line="360" w:lineRule="auto"/>
        <w:ind w:firstLine="640" w:firstLineChars="200"/>
        <w:rPr>
          <w:rFonts w:hint="eastAsia" w:ascii="仿宋" w:hAnsi="仿宋" w:eastAsia="仿宋" w:cs="仿宋"/>
          <w:bCs/>
          <w:sz w:val="32"/>
          <w:szCs w:val="32"/>
        </w:rPr>
      </w:pPr>
      <w:r>
        <w:rPr>
          <w:rFonts w:hint="eastAsia" w:ascii="仿宋" w:hAnsi="仿宋" w:eastAsia="仿宋" w:cs="仿宋"/>
          <w:bCs/>
          <w:sz w:val="32"/>
          <w:szCs w:val="32"/>
        </w:rPr>
        <w:t>为便于卖方及时了解项目采办信息，现将</w:t>
      </w:r>
      <w:r>
        <w:rPr>
          <w:rFonts w:hint="eastAsia" w:ascii="仿宋" w:hAnsi="仿宋" w:eastAsia="仿宋" w:cs="仿宋"/>
          <w:bCs/>
          <w:sz w:val="32"/>
          <w:szCs w:val="32"/>
          <w:u w:val="single"/>
        </w:rPr>
        <w:t>（清洁能源公司半固态磷酸铁锂电池UPS系统购置项目-UPS主机等采购）</w:t>
      </w:r>
      <w:r>
        <w:rPr>
          <w:rFonts w:hint="eastAsia" w:ascii="仿宋" w:hAnsi="仿宋" w:eastAsia="仿宋" w:cs="仿宋"/>
          <w:bCs/>
          <w:sz w:val="32"/>
          <w:szCs w:val="32"/>
        </w:rPr>
        <w:t>的采办计划公开如下：</w:t>
      </w:r>
    </w:p>
    <w:tbl>
      <w:tblPr>
        <w:tblStyle w:val="31"/>
        <w:tblW w:w="507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
        <w:gridCol w:w="1297"/>
        <w:gridCol w:w="1081"/>
        <w:gridCol w:w="5593"/>
      </w:tblGrid>
      <w:tr w14:paraId="081C5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 w:type="pct"/>
            <w:vAlign w:val="center"/>
          </w:tcPr>
          <w:p w14:paraId="4C13ED02">
            <w:pPr>
              <w:jc w:val="center"/>
              <w:rPr>
                <w:rFonts w:hint="eastAsia" w:ascii="仿宋" w:hAnsi="仿宋" w:eastAsia="仿宋" w:cs="仿宋"/>
                <w:bCs/>
                <w:kern w:val="0"/>
                <w:szCs w:val="21"/>
              </w:rPr>
            </w:pPr>
            <w:r>
              <w:rPr>
                <w:rFonts w:hint="eastAsia" w:ascii="仿宋" w:hAnsi="仿宋" w:eastAsia="仿宋" w:cs="仿宋"/>
                <w:bCs/>
                <w:kern w:val="0"/>
                <w:szCs w:val="21"/>
              </w:rPr>
              <w:t>采办包</w:t>
            </w:r>
          </w:p>
          <w:p w14:paraId="01F8A9DB">
            <w:pPr>
              <w:jc w:val="center"/>
              <w:rPr>
                <w:rFonts w:hint="eastAsia" w:ascii="仿宋" w:hAnsi="仿宋" w:eastAsia="仿宋" w:cs="仿宋"/>
                <w:bCs/>
                <w:kern w:val="0"/>
                <w:szCs w:val="21"/>
              </w:rPr>
            </w:pPr>
            <w:r>
              <w:rPr>
                <w:rFonts w:hint="eastAsia" w:ascii="仿宋" w:hAnsi="仿宋" w:eastAsia="仿宋" w:cs="仿宋"/>
                <w:bCs/>
                <w:kern w:val="0"/>
                <w:szCs w:val="21"/>
              </w:rPr>
              <w:t>名称</w:t>
            </w:r>
          </w:p>
        </w:tc>
        <w:tc>
          <w:tcPr>
            <w:tcW w:w="749" w:type="pct"/>
            <w:vAlign w:val="center"/>
          </w:tcPr>
          <w:p w14:paraId="18379EEB">
            <w:pPr>
              <w:jc w:val="center"/>
              <w:rPr>
                <w:rFonts w:hint="eastAsia" w:ascii="仿宋" w:hAnsi="仿宋" w:eastAsia="仿宋" w:cs="仿宋"/>
                <w:bCs/>
                <w:kern w:val="0"/>
                <w:szCs w:val="21"/>
              </w:rPr>
            </w:pPr>
            <w:r>
              <w:rPr>
                <w:rFonts w:hint="eastAsia" w:ascii="仿宋" w:hAnsi="仿宋" w:eastAsia="仿宋" w:cs="仿宋"/>
                <w:bCs/>
                <w:kern w:val="0"/>
                <w:szCs w:val="21"/>
              </w:rPr>
              <w:t>采购范围与主要技术指标</w:t>
            </w:r>
          </w:p>
        </w:tc>
        <w:tc>
          <w:tcPr>
            <w:tcW w:w="624" w:type="pct"/>
            <w:vAlign w:val="center"/>
          </w:tcPr>
          <w:p w14:paraId="64B438DD">
            <w:pPr>
              <w:jc w:val="center"/>
              <w:rPr>
                <w:rFonts w:hint="eastAsia" w:ascii="仿宋" w:hAnsi="仿宋" w:eastAsia="仿宋" w:cs="仿宋"/>
                <w:bCs/>
                <w:kern w:val="0"/>
                <w:szCs w:val="21"/>
              </w:rPr>
            </w:pPr>
            <w:r>
              <w:rPr>
                <w:rFonts w:hint="eastAsia" w:ascii="仿宋" w:hAnsi="仿宋" w:eastAsia="仿宋" w:cs="仿宋"/>
                <w:bCs/>
                <w:kern w:val="0"/>
                <w:szCs w:val="21"/>
              </w:rPr>
              <w:t>内容</w:t>
            </w:r>
          </w:p>
        </w:tc>
        <w:tc>
          <w:tcPr>
            <w:tcW w:w="3229" w:type="pct"/>
            <w:vAlign w:val="center"/>
          </w:tcPr>
          <w:p w14:paraId="405CECED">
            <w:pPr>
              <w:jc w:val="center"/>
              <w:rPr>
                <w:rFonts w:hint="eastAsia" w:ascii="仿宋" w:hAnsi="仿宋" w:eastAsia="仿宋" w:cs="仿宋"/>
                <w:bCs/>
                <w:kern w:val="0"/>
                <w:szCs w:val="21"/>
              </w:rPr>
            </w:pPr>
            <w:r>
              <w:rPr>
                <w:rFonts w:hint="eastAsia" w:ascii="仿宋" w:hAnsi="仿宋" w:eastAsia="仿宋" w:cs="仿宋"/>
                <w:bCs/>
                <w:kern w:val="0"/>
                <w:szCs w:val="21"/>
              </w:rPr>
              <w:t>基本要求</w:t>
            </w:r>
          </w:p>
        </w:tc>
      </w:tr>
      <w:tr w14:paraId="0BEE7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96" w:type="pct"/>
            <w:vMerge w:val="restart"/>
            <w:vAlign w:val="center"/>
          </w:tcPr>
          <w:p w14:paraId="096E2616">
            <w:pPr>
              <w:rPr>
                <w:rFonts w:hint="eastAsia" w:ascii="仿宋" w:hAnsi="仿宋" w:eastAsia="仿宋" w:cs="仿宋"/>
                <w:bCs/>
                <w:kern w:val="0"/>
                <w:szCs w:val="21"/>
                <w:u w:val="single"/>
              </w:rPr>
            </w:pPr>
            <w:r>
              <w:rPr>
                <w:rFonts w:hint="eastAsia" w:ascii="仿宋" w:hAnsi="仿宋" w:eastAsia="仿宋" w:cs="仿宋"/>
                <w:bCs/>
                <w:kern w:val="0"/>
                <w:szCs w:val="21"/>
                <w:u w:val="single"/>
              </w:rPr>
              <w:t>清洁能源公司半固态磷酸铁锂电池UPS系统购置项目-UPS主机等采购</w:t>
            </w:r>
          </w:p>
        </w:tc>
        <w:tc>
          <w:tcPr>
            <w:tcW w:w="749" w:type="pct"/>
            <w:vMerge w:val="restart"/>
            <w:vAlign w:val="center"/>
          </w:tcPr>
          <w:p w14:paraId="59DDB8B6">
            <w:pPr>
              <w:widowControl/>
              <w:jc w:val="left"/>
              <w:rPr>
                <w:rFonts w:hint="eastAsia" w:ascii="仿宋" w:hAnsi="仿宋" w:eastAsia="仿宋" w:cs="仿宋"/>
                <w:bCs/>
                <w:szCs w:val="21"/>
                <w:lang w:bidi="ar"/>
              </w:rPr>
            </w:pPr>
            <w:r>
              <w:rPr>
                <w:rFonts w:hint="eastAsia" w:ascii="仿宋" w:hAnsi="仿宋" w:eastAsia="仿宋" w:cs="仿宋"/>
                <w:bCs/>
                <w:szCs w:val="21"/>
              </w:rPr>
              <w:t>应答人需提供符合技术要求的设备</w:t>
            </w:r>
            <w:r>
              <w:rPr>
                <w:rFonts w:hint="eastAsia" w:ascii="仿宋" w:hAnsi="仿宋" w:eastAsia="仿宋" w:cs="仿宋"/>
                <w:bCs/>
                <w:szCs w:val="21"/>
                <w:lang w:bidi="ar"/>
              </w:rPr>
              <w:t>。</w:t>
            </w:r>
          </w:p>
          <w:p w14:paraId="7213F4BF">
            <w:pPr>
              <w:widowControl/>
              <w:jc w:val="left"/>
              <w:rPr>
                <w:rFonts w:hint="eastAsia" w:ascii="仿宋" w:hAnsi="仿宋" w:eastAsia="仿宋" w:cs="仿宋"/>
                <w:bCs/>
                <w:szCs w:val="21"/>
              </w:rPr>
            </w:pPr>
            <w:r>
              <w:rPr>
                <w:rFonts w:hint="eastAsia" w:ascii="仿宋" w:hAnsi="仿宋" w:eastAsia="仿宋" w:cs="仿宋"/>
                <w:bCs/>
                <w:szCs w:val="21"/>
              </w:rPr>
              <w:t>预计发标时间2025年12月。</w:t>
            </w:r>
          </w:p>
          <w:p w14:paraId="5E6F847F">
            <w:pPr>
              <w:pStyle w:val="7"/>
              <w:ind w:firstLine="0" w:firstLineChars="0"/>
              <w:rPr>
                <w:rFonts w:hint="eastAsia" w:ascii="仿宋" w:hAnsi="仿宋" w:eastAsia="仿宋" w:cs="仿宋"/>
                <w:bCs/>
                <w:szCs w:val="21"/>
              </w:rPr>
            </w:pPr>
            <w:r>
              <w:rPr>
                <w:rFonts w:hint="eastAsia" w:ascii="仿宋" w:hAnsi="仿宋" w:eastAsia="仿宋" w:cs="仿宋"/>
                <w:bCs/>
                <w:szCs w:val="21"/>
              </w:rPr>
              <w:t>产品清单、技术要求详见附件。</w:t>
            </w:r>
          </w:p>
        </w:tc>
        <w:tc>
          <w:tcPr>
            <w:tcW w:w="624" w:type="pct"/>
            <w:vAlign w:val="center"/>
          </w:tcPr>
          <w:p w14:paraId="505F74DE">
            <w:pPr>
              <w:pStyle w:val="67"/>
              <w:jc w:val="center"/>
              <w:rPr>
                <w:rFonts w:hint="eastAsia" w:ascii="仿宋" w:hAnsi="仿宋" w:eastAsia="仿宋" w:cs="仿宋"/>
                <w:bCs/>
                <w:kern w:val="2"/>
                <w:sz w:val="21"/>
                <w:szCs w:val="21"/>
                <w:lang w:eastAsia="zh-CN"/>
              </w:rPr>
            </w:pPr>
            <w:r>
              <w:rPr>
                <w:rFonts w:hint="eastAsia" w:ascii="仿宋" w:hAnsi="仿宋" w:eastAsia="仿宋" w:cs="仿宋"/>
                <w:bCs/>
                <w:sz w:val="21"/>
                <w:szCs w:val="21"/>
                <w:lang w:eastAsia="zh-CN"/>
              </w:rPr>
              <w:t>★营业执照</w:t>
            </w:r>
          </w:p>
        </w:tc>
        <w:tc>
          <w:tcPr>
            <w:tcW w:w="3229" w:type="pct"/>
            <w:vAlign w:val="center"/>
          </w:tcPr>
          <w:p w14:paraId="38EF74C5">
            <w:pPr>
              <w:pStyle w:val="67"/>
              <w:jc w:val="both"/>
              <w:rPr>
                <w:rFonts w:hint="eastAsia" w:ascii="仿宋" w:hAnsi="仿宋" w:eastAsia="仿宋" w:cs="仿宋"/>
                <w:bCs/>
                <w:sz w:val="21"/>
                <w:szCs w:val="21"/>
                <w:u w:val="single"/>
                <w:lang w:eastAsia="zh-CN"/>
              </w:rPr>
            </w:pPr>
            <w:r>
              <w:rPr>
                <w:rFonts w:hint="eastAsia" w:ascii="仿宋" w:hAnsi="仿宋" w:eastAsia="仿宋" w:cs="仿宋"/>
                <w:bCs/>
                <w:sz w:val="21"/>
                <w:szCs w:val="21"/>
                <w:lang w:eastAsia="zh-CN"/>
              </w:rPr>
              <w:t>应答人具有合法有效的企业法人营业执照、税务登记证及组织机构代码证或证照合一的营业执照，投标时需提供原件扫描件（原件备查）。 应答人为事业单位的，应具有合法有效的事业单位法人证书，投标时需提供原件扫描件（原件备查）。应答人为分公司的，应具有合法有效的营业执照和上级法人单位授权书，分公司与上级法人单位只可一家参与投标，同时参与投标的，投标均无效。</w:t>
            </w:r>
          </w:p>
        </w:tc>
      </w:tr>
      <w:tr w14:paraId="1D082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396" w:type="pct"/>
            <w:vMerge w:val="continue"/>
            <w:vAlign w:val="center"/>
          </w:tcPr>
          <w:p w14:paraId="4BB8CBF0">
            <w:pPr>
              <w:rPr>
                <w:rFonts w:hint="eastAsia" w:ascii="仿宋" w:hAnsi="仿宋" w:eastAsia="仿宋" w:cs="仿宋"/>
                <w:bCs/>
                <w:szCs w:val="21"/>
                <w:u w:val="single"/>
              </w:rPr>
            </w:pPr>
          </w:p>
        </w:tc>
        <w:tc>
          <w:tcPr>
            <w:tcW w:w="749" w:type="pct"/>
            <w:vMerge w:val="continue"/>
            <w:vAlign w:val="center"/>
          </w:tcPr>
          <w:p w14:paraId="340A3E0D">
            <w:pPr>
              <w:rPr>
                <w:rFonts w:hint="eastAsia" w:ascii="仿宋" w:hAnsi="仿宋" w:eastAsia="仿宋" w:cs="仿宋"/>
                <w:bCs/>
                <w:szCs w:val="21"/>
                <w:u w:val="single"/>
              </w:rPr>
            </w:pPr>
          </w:p>
        </w:tc>
        <w:tc>
          <w:tcPr>
            <w:tcW w:w="624" w:type="pct"/>
            <w:vAlign w:val="center"/>
          </w:tcPr>
          <w:p w14:paraId="35609F7B">
            <w:pPr>
              <w:pStyle w:val="67"/>
              <w:jc w:val="center"/>
              <w:rPr>
                <w:rFonts w:hint="eastAsia" w:ascii="仿宋" w:hAnsi="仿宋" w:eastAsia="仿宋" w:cs="仿宋"/>
                <w:bCs/>
                <w:sz w:val="21"/>
                <w:szCs w:val="21"/>
                <w:lang w:eastAsia="zh-CN"/>
              </w:rPr>
            </w:pPr>
            <w:r>
              <w:rPr>
                <w:rFonts w:hint="eastAsia" w:ascii="仿宋" w:hAnsi="仿宋" w:eastAsia="仿宋" w:cs="仿宋"/>
                <w:bCs/>
                <w:sz w:val="21"/>
                <w:szCs w:val="21"/>
                <w:lang w:eastAsia="zh-CN"/>
              </w:rPr>
              <w:t>★信誉要求</w:t>
            </w:r>
          </w:p>
        </w:tc>
        <w:tc>
          <w:tcPr>
            <w:tcW w:w="3229" w:type="pct"/>
            <w:vAlign w:val="center"/>
          </w:tcPr>
          <w:p w14:paraId="742572C2">
            <w:pPr>
              <w:pStyle w:val="67"/>
              <w:jc w:val="both"/>
              <w:rPr>
                <w:rFonts w:hint="eastAsia" w:ascii="仿宋" w:hAnsi="仿宋" w:eastAsia="仿宋" w:cs="仿宋"/>
                <w:bCs/>
                <w:sz w:val="21"/>
                <w:szCs w:val="21"/>
                <w:lang w:eastAsia="zh-CN"/>
              </w:rPr>
            </w:pPr>
            <w:r>
              <w:rPr>
                <w:rFonts w:hint="eastAsia" w:ascii="仿宋" w:hAnsi="仿宋" w:eastAsia="仿宋" w:cs="仿宋"/>
                <w:bCs/>
                <w:sz w:val="21"/>
                <w:szCs w:val="21"/>
                <w:lang w:eastAsia="zh-CN"/>
              </w:rPr>
              <w:t>1.应答人不得是最高人民法院在“信用中国”网站（www.creditchina.gov.cn）或</w:t>
            </w:r>
          </w:p>
          <w:p w14:paraId="4B0C065A">
            <w:pPr>
              <w:pStyle w:val="67"/>
              <w:jc w:val="both"/>
              <w:rPr>
                <w:rFonts w:hint="eastAsia" w:ascii="仿宋" w:hAnsi="仿宋" w:eastAsia="仿宋" w:cs="仿宋"/>
                <w:bCs/>
                <w:sz w:val="21"/>
                <w:szCs w:val="21"/>
                <w:lang w:eastAsia="zh-CN"/>
              </w:rPr>
            </w:pPr>
            <w:r>
              <w:rPr>
                <w:rFonts w:hint="eastAsia" w:ascii="仿宋" w:hAnsi="仿宋" w:eastAsia="仿宋" w:cs="仿宋"/>
                <w:bCs/>
                <w:sz w:val="21"/>
                <w:szCs w:val="21"/>
                <w:lang w:eastAsia="zh-CN"/>
              </w:rPr>
              <w:t>“中国执行信息公开网”（http://zxgk.court.gov.cn/）列入失信被执行人名单；</w:t>
            </w:r>
          </w:p>
          <w:p w14:paraId="47C698E2">
            <w:pPr>
              <w:pStyle w:val="67"/>
              <w:jc w:val="both"/>
              <w:rPr>
                <w:rFonts w:hint="eastAsia" w:ascii="仿宋" w:hAnsi="仿宋" w:eastAsia="仿宋" w:cs="仿宋"/>
                <w:bCs/>
                <w:sz w:val="21"/>
                <w:szCs w:val="21"/>
                <w:lang w:eastAsia="zh-CN"/>
              </w:rPr>
            </w:pPr>
            <w:r>
              <w:rPr>
                <w:rFonts w:hint="eastAsia" w:ascii="仿宋" w:hAnsi="仿宋" w:eastAsia="仿宋" w:cs="仿宋"/>
                <w:bCs/>
                <w:sz w:val="21"/>
                <w:szCs w:val="21"/>
                <w:lang w:eastAsia="zh-CN"/>
              </w:rPr>
              <w:t>2.近3年（2022年1月1日-报价截止日前）内应答人或其法定代表人、拟委任的项目负责人不得有行贿犯罪行为，查询网站为“中国裁判文书网”http://wenshu.court.gov.cn）；</w:t>
            </w:r>
          </w:p>
          <w:p w14:paraId="6D6A9B43">
            <w:pPr>
              <w:pStyle w:val="67"/>
              <w:jc w:val="both"/>
              <w:rPr>
                <w:rFonts w:hint="eastAsia" w:ascii="仿宋" w:hAnsi="仿宋" w:eastAsia="仿宋" w:cs="仿宋"/>
                <w:bCs/>
                <w:sz w:val="21"/>
                <w:szCs w:val="21"/>
                <w:lang w:eastAsia="zh-CN"/>
              </w:rPr>
            </w:pPr>
            <w:r>
              <w:rPr>
                <w:rFonts w:hint="eastAsia" w:ascii="仿宋" w:hAnsi="仿宋" w:eastAsia="仿宋" w:cs="仿宋"/>
                <w:bCs/>
                <w:sz w:val="21"/>
                <w:szCs w:val="21"/>
                <w:lang w:eastAsia="zh-CN"/>
              </w:rPr>
              <w:t>3.应答人不得被工商行政管理机关在全国企业信用信息公示系统（http://www.gsxt.gov.cn）中列入严重违法失信企业名单。事业单位、大学除外。</w:t>
            </w:r>
          </w:p>
          <w:p w14:paraId="30C33703">
            <w:pPr>
              <w:pStyle w:val="67"/>
              <w:jc w:val="both"/>
              <w:rPr>
                <w:rFonts w:hint="eastAsia" w:ascii="仿宋" w:hAnsi="仿宋" w:eastAsia="仿宋" w:cs="仿宋"/>
                <w:bCs/>
                <w:sz w:val="21"/>
                <w:szCs w:val="21"/>
                <w:lang w:eastAsia="zh-CN"/>
              </w:rPr>
            </w:pPr>
            <w:r>
              <w:rPr>
                <w:rFonts w:hint="eastAsia" w:ascii="仿宋" w:hAnsi="仿宋" w:eastAsia="仿宋" w:cs="仿宋"/>
                <w:bCs/>
                <w:sz w:val="21"/>
                <w:szCs w:val="21"/>
                <w:lang w:eastAsia="zh-CN"/>
              </w:rPr>
              <w:t>4.应答人与本采购项目其他应答人不得存在控股关系或管理关系、单位负责人为同一人的情形。在非公开采购项目中，严禁存在控股关系或管理关系、单位负责人为同一人、同一自然人同时持有两家公司非公开上市股份的情形。</w:t>
            </w:r>
          </w:p>
          <w:p w14:paraId="0461F579">
            <w:pPr>
              <w:pStyle w:val="67"/>
              <w:jc w:val="both"/>
              <w:rPr>
                <w:rFonts w:hint="eastAsia" w:ascii="仿宋" w:hAnsi="仿宋" w:eastAsia="仿宋" w:cs="仿宋"/>
                <w:bCs/>
                <w:sz w:val="21"/>
                <w:szCs w:val="21"/>
                <w:lang w:eastAsia="zh-CN"/>
              </w:rPr>
            </w:pPr>
            <w:r>
              <w:rPr>
                <w:rFonts w:hint="eastAsia" w:ascii="仿宋" w:hAnsi="仿宋" w:eastAsia="仿宋" w:cs="仿宋"/>
                <w:bCs/>
                <w:sz w:val="21"/>
                <w:szCs w:val="21"/>
                <w:lang w:eastAsia="zh-CN"/>
              </w:rPr>
              <w:t>5.应答人应在应答文件中提供其公司章程或其他能够体现出资人、股东信息的法定文件，作为评标/评审时的依据。</w:t>
            </w:r>
          </w:p>
          <w:p w14:paraId="6B499A04">
            <w:pPr>
              <w:pStyle w:val="67"/>
              <w:jc w:val="both"/>
              <w:rPr>
                <w:rFonts w:hint="eastAsia" w:ascii="仿宋" w:hAnsi="仿宋" w:eastAsia="仿宋" w:cs="仿宋"/>
                <w:bCs/>
                <w:sz w:val="21"/>
                <w:szCs w:val="21"/>
                <w:lang w:eastAsia="zh-CN"/>
              </w:rPr>
            </w:pPr>
            <w:r>
              <w:rPr>
                <w:rFonts w:hint="eastAsia" w:ascii="仿宋" w:hAnsi="仿宋" w:eastAsia="仿宋" w:cs="仿宋"/>
                <w:bCs/>
                <w:sz w:val="21"/>
                <w:szCs w:val="21"/>
                <w:lang w:eastAsia="zh-CN"/>
              </w:rPr>
              <w:t>6.应答人承诺：中国海油在职员工（不含正式派出的）未有在应答人单位担任股东、法人代表、董事、监事和其他任职人员的情形。</w:t>
            </w:r>
          </w:p>
          <w:p w14:paraId="0E23650A">
            <w:pPr>
              <w:pStyle w:val="67"/>
              <w:jc w:val="both"/>
              <w:rPr>
                <w:rFonts w:hint="eastAsia" w:ascii="仿宋" w:hAnsi="仿宋" w:eastAsia="仿宋" w:cs="仿宋"/>
                <w:bCs/>
                <w:sz w:val="21"/>
                <w:szCs w:val="21"/>
                <w:lang w:eastAsia="zh-CN"/>
              </w:rPr>
            </w:pPr>
            <w:r>
              <w:rPr>
                <w:rFonts w:hint="eastAsia" w:ascii="仿宋" w:hAnsi="仿宋" w:eastAsia="仿宋" w:cs="仿宋"/>
                <w:bCs/>
                <w:color w:val="C00000"/>
                <w:kern w:val="2"/>
                <w:sz w:val="21"/>
                <w:szCs w:val="21"/>
                <w:lang w:eastAsia="zh-CN"/>
              </w:rPr>
              <w:t>上述要求应答人投标时应提供卖方承诺书。</w:t>
            </w:r>
          </w:p>
        </w:tc>
      </w:tr>
      <w:tr w14:paraId="37F99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396" w:type="pct"/>
            <w:vMerge w:val="continue"/>
            <w:vAlign w:val="center"/>
          </w:tcPr>
          <w:p w14:paraId="1FF8A30E">
            <w:pPr>
              <w:pStyle w:val="9"/>
              <w:rPr>
                <w:rFonts w:hint="eastAsia" w:ascii="仿宋" w:hAnsi="仿宋" w:eastAsia="仿宋" w:cs="仿宋"/>
                <w:bCs/>
                <w:i w:val="0"/>
                <w:iCs w:val="0"/>
                <w:sz w:val="21"/>
                <w:szCs w:val="21"/>
              </w:rPr>
            </w:pPr>
          </w:p>
        </w:tc>
        <w:tc>
          <w:tcPr>
            <w:tcW w:w="749" w:type="pct"/>
            <w:vMerge w:val="continue"/>
            <w:vAlign w:val="center"/>
          </w:tcPr>
          <w:p w14:paraId="2B7BECFD">
            <w:pPr>
              <w:rPr>
                <w:rFonts w:hint="eastAsia" w:ascii="仿宋" w:hAnsi="仿宋" w:eastAsia="仿宋" w:cs="仿宋"/>
                <w:bCs/>
                <w:kern w:val="0"/>
                <w:szCs w:val="21"/>
                <w:u w:val="single"/>
              </w:rPr>
            </w:pPr>
          </w:p>
        </w:tc>
        <w:tc>
          <w:tcPr>
            <w:tcW w:w="624" w:type="pct"/>
            <w:vAlign w:val="center"/>
          </w:tcPr>
          <w:p w14:paraId="7F0C7A3F">
            <w:pPr>
              <w:pStyle w:val="67"/>
              <w:jc w:val="center"/>
              <w:rPr>
                <w:rFonts w:hint="eastAsia" w:ascii="仿宋" w:hAnsi="仿宋" w:eastAsia="仿宋" w:cs="仿宋"/>
                <w:bCs/>
                <w:kern w:val="2"/>
                <w:sz w:val="21"/>
                <w:szCs w:val="21"/>
                <w:lang w:eastAsia="zh-CN"/>
              </w:rPr>
            </w:pPr>
            <w:r>
              <w:rPr>
                <w:rFonts w:hint="eastAsia" w:ascii="仿宋" w:hAnsi="仿宋" w:eastAsia="仿宋" w:cs="仿宋"/>
                <w:bCs/>
                <w:sz w:val="21"/>
                <w:szCs w:val="21"/>
                <w:lang w:eastAsia="zh-CN"/>
              </w:rPr>
              <w:t>★应答人或应答人所提供的第三方不得存在的其他情形</w:t>
            </w:r>
          </w:p>
        </w:tc>
        <w:tc>
          <w:tcPr>
            <w:tcW w:w="3229" w:type="pct"/>
            <w:vAlign w:val="center"/>
          </w:tcPr>
          <w:p w14:paraId="2B18F623">
            <w:pPr>
              <w:pStyle w:val="67"/>
              <w:jc w:val="both"/>
              <w:rPr>
                <w:rFonts w:hint="eastAsia" w:ascii="仿宋" w:hAnsi="仿宋" w:eastAsia="仿宋" w:cs="仿宋"/>
                <w:bCs/>
                <w:sz w:val="21"/>
                <w:szCs w:val="21"/>
                <w:lang w:eastAsia="zh-CN"/>
              </w:rPr>
            </w:pPr>
            <w:r>
              <w:rPr>
                <w:rFonts w:hint="eastAsia" w:ascii="仿宋" w:hAnsi="仿宋" w:eastAsia="仿宋" w:cs="仿宋"/>
                <w:bCs/>
                <w:sz w:val="21"/>
                <w:szCs w:val="21"/>
                <w:lang w:eastAsia="zh-CN"/>
              </w:rPr>
              <w:t>1.被中国海洋石油集团有限公司在集团范围内进行风险提示，且在中国海洋石油集团有限公司《中国海油供应链数字化平台》中被采购冻结，进入调查程序的；</w:t>
            </w:r>
          </w:p>
          <w:p w14:paraId="56D7D527">
            <w:pPr>
              <w:pStyle w:val="67"/>
              <w:jc w:val="both"/>
              <w:rPr>
                <w:rFonts w:hint="eastAsia" w:ascii="仿宋" w:hAnsi="仿宋" w:eastAsia="仿宋" w:cs="仿宋"/>
                <w:bCs/>
                <w:sz w:val="21"/>
                <w:szCs w:val="21"/>
                <w:lang w:eastAsia="zh-CN"/>
              </w:rPr>
            </w:pPr>
            <w:r>
              <w:rPr>
                <w:rFonts w:hint="eastAsia" w:ascii="仿宋" w:hAnsi="仿宋" w:eastAsia="仿宋" w:cs="仿宋"/>
                <w:bCs/>
                <w:sz w:val="21"/>
                <w:szCs w:val="21"/>
                <w:lang w:eastAsia="zh-CN"/>
              </w:rPr>
              <w:t>2.被中国海洋石油集团有限公司处以“取消投标资格”及以上处罚，且仍在处罚期内或处罚期满但在系统中的卖方档案中的“档案状态”为“采购冻结”、“业务状态”为“冻结”的；</w:t>
            </w:r>
          </w:p>
          <w:p w14:paraId="215AD17D">
            <w:pPr>
              <w:pStyle w:val="67"/>
              <w:jc w:val="both"/>
              <w:rPr>
                <w:rFonts w:hint="eastAsia" w:ascii="仿宋" w:hAnsi="仿宋" w:eastAsia="仿宋" w:cs="仿宋"/>
                <w:bCs/>
                <w:kern w:val="2"/>
                <w:sz w:val="21"/>
                <w:szCs w:val="21"/>
                <w:lang w:eastAsia="zh-CN"/>
              </w:rPr>
            </w:pPr>
            <w:r>
              <w:rPr>
                <w:rFonts w:hint="eastAsia" w:ascii="仿宋" w:hAnsi="仿宋" w:eastAsia="仿宋" w:cs="仿宋"/>
                <w:bCs/>
                <w:sz w:val="21"/>
                <w:szCs w:val="21"/>
                <w:lang w:eastAsia="zh-CN"/>
              </w:rPr>
              <w:t>3.被采购人所属单位处以“取消投标资格”及以上处罚，且仍在处罚期内或处罚期满但在系统中的卖方档案中的“业务状态”为冻结的；</w:t>
            </w:r>
          </w:p>
        </w:tc>
      </w:tr>
      <w:tr w14:paraId="15BD3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396" w:type="pct"/>
            <w:vMerge w:val="continue"/>
            <w:vAlign w:val="center"/>
          </w:tcPr>
          <w:p w14:paraId="4861CFC4">
            <w:pPr>
              <w:pStyle w:val="9"/>
              <w:rPr>
                <w:rFonts w:hint="eastAsia" w:ascii="仿宋" w:hAnsi="仿宋" w:eastAsia="仿宋" w:cs="仿宋"/>
                <w:bCs/>
                <w:i w:val="0"/>
                <w:iCs w:val="0"/>
                <w:sz w:val="21"/>
                <w:szCs w:val="21"/>
              </w:rPr>
            </w:pPr>
          </w:p>
        </w:tc>
        <w:tc>
          <w:tcPr>
            <w:tcW w:w="749" w:type="pct"/>
            <w:vMerge w:val="continue"/>
            <w:vAlign w:val="center"/>
          </w:tcPr>
          <w:p w14:paraId="061707F4">
            <w:pPr>
              <w:rPr>
                <w:rFonts w:hint="eastAsia" w:ascii="仿宋" w:hAnsi="仿宋" w:eastAsia="仿宋" w:cs="仿宋"/>
                <w:bCs/>
                <w:kern w:val="0"/>
                <w:szCs w:val="21"/>
                <w:u w:val="single"/>
              </w:rPr>
            </w:pPr>
          </w:p>
        </w:tc>
        <w:tc>
          <w:tcPr>
            <w:tcW w:w="624" w:type="pct"/>
            <w:vAlign w:val="center"/>
          </w:tcPr>
          <w:p w14:paraId="578BC3CB">
            <w:pPr>
              <w:pStyle w:val="67"/>
              <w:jc w:val="center"/>
              <w:rPr>
                <w:rFonts w:hint="eastAsia" w:ascii="仿宋" w:hAnsi="仿宋" w:eastAsia="仿宋" w:cs="仿宋"/>
                <w:bCs/>
                <w:sz w:val="21"/>
                <w:szCs w:val="21"/>
                <w:lang w:eastAsia="zh-CN"/>
              </w:rPr>
            </w:pPr>
            <w:r>
              <w:rPr>
                <w:rFonts w:hint="eastAsia" w:ascii="仿宋" w:hAnsi="仿宋" w:eastAsia="仿宋" w:cs="仿宋"/>
                <w:bCs/>
                <w:sz w:val="21"/>
                <w:szCs w:val="21"/>
                <w:lang w:eastAsia="zh-CN"/>
              </w:rPr>
              <w:t>★应答人属性</w:t>
            </w:r>
          </w:p>
        </w:tc>
        <w:tc>
          <w:tcPr>
            <w:tcW w:w="3229" w:type="pct"/>
            <w:vAlign w:val="center"/>
          </w:tcPr>
          <w:p w14:paraId="4E289870">
            <w:pPr>
              <w:pStyle w:val="67"/>
              <w:jc w:val="both"/>
              <w:rPr>
                <w:rFonts w:hint="eastAsia" w:ascii="仿宋" w:hAnsi="仿宋" w:eastAsia="仿宋" w:cs="仿宋"/>
                <w:bCs/>
                <w:sz w:val="21"/>
                <w:szCs w:val="21"/>
                <w:lang w:eastAsia="zh-CN"/>
              </w:rPr>
            </w:pPr>
            <w:r>
              <w:rPr>
                <w:rFonts w:hint="eastAsia" w:ascii="仿宋" w:hAnsi="仿宋" w:eastAsia="仿宋" w:cs="仿宋"/>
                <w:bCs/>
                <w:sz w:val="21"/>
                <w:szCs w:val="21"/>
                <w:lang w:eastAsia="zh-CN"/>
              </w:rPr>
              <w:t>本项目仅允许所投货物的</w:t>
            </w:r>
            <w:r>
              <w:rPr>
                <w:rFonts w:hint="eastAsia" w:ascii="仿宋" w:hAnsi="仿宋" w:eastAsia="仿宋" w:cs="仿宋"/>
                <w:bCs/>
                <w:sz w:val="21"/>
                <w:szCs w:val="21"/>
                <w:highlight w:val="cyan"/>
                <w:lang w:eastAsia="zh-CN"/>
              </w:rPr>
              <w:t>制造商</w:t>
            </w:r>
            <w:r>
              <w:rPr>
                <w:rFonts w:hint="eastAsia" w:ascii="仿宋" w:hAnsi="仿宋" w:eastAsia="仿宋" w:cs="仿宋"/>
                <w:bCs/>
                <w:sz w:val="21"/>
                <w:szCs w:val="21"/>
                <w:lang w:eastAsia="zh-CN"/>
              </w:rPr>
              <w:t>参与。</w:t>
            </w:r>
          </w:p>
          <w:p w14:paraId="0A98EE1E">
            <w:pPr>
              <w:pStyle w:val="67"/>
              <w:jc w:val="both"/>
              <w:rPr>
                <w:rFonts w:hint="eastAsia" w:ascii="仿宋" w:hAnsi="仿宋" w:eastAsia="仿宋" w:cs="仿宋"/>
                <w:bCs/>
                <w:sz w:val="21"/>
                <w:szCs w:val="21"/>
                <w:highlight w:val="cyan"/>
                <w:lang w:eastAsia="zh-CN"/>
              </w:rPr>
            </w:pPr>
            <w:r>
              <w:rPr>
                <w:rFonts w:hint="eastAsia" w:ascii="仿宋" w:hAnsi="仿宋" w:eastAsia="仿宋" w:cs="仿宋"/>
                <w:bCs/>
                <w:sz w:val="21"/>
                <w:szCs w:val="21"/>
                <w:lang w:eastAsia="zh-CN"/>
              </w:rPr>
              <w:t>应答人投标时须提供《制造商承诺书》原件扫描件。</w:t>
            </w:r>
          </w:p>
        </w:tc>
      </w:tr>
      <w:tr w14:paraId="1F48A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396" w:type="pct"/>
            <w:vMerge w:val="continue"/>
            <w:vAlign w:val="center"/>
          </w:tcPr>
          <w:p w14:paraId="187E4941">
            <w:pPr>
              <w:pStyle w:val="9"/>
              <w:rPr>
                <w:rFonts w:hint="eastAsia" w:ascii="仿宋" w:hAnsi="仿宋" w:eastAsia="仿宋" w:cs="仿宋"/>
                <w:bCs/>
                <w:i w:val="0"/>
                <w:iCs w:val="0"/>
                <w:sz w:val="21"/>
                <w:szCs w:val="21"/>
              </w:rPr>
            </w:pPr>
          </w:p>
        </w:tc>
        <w:tc>
          <w:tcPr>
            <w:tcW w:w="749" w:type="pct"/>
            <w:vMerge w:val="continue"/>
            <w:vAlign w:val="center"/>
          </w:tcPr>
          <w:p w14:paraId="0435734A">
            <w:pPr>
              <w:rPr>
                <w:rFonts w:hint="eastAsia" w:ascii="仿宋" w:hAnsi="仿宋" w:eastAsia="仿宋" w:cs="仿宋"/>
                <w:bCs/>
                <w:kern w:val="0"/>
                <w:szCs w:val="21"/>
                <w:u w:val="single"/>
              </w:rPr>
            </w:pPr>
          </w:p>
        </w:tc>
        <w:tc>
          <w:tcPr>
            <w:tcW w:w="624" w:type="pct"/>
            <w:vAlign w:val="center"/>
          </w:tcPr>
          <w:p w14:paraId="5691607C">
            <w:pPr>
              <w:pStyle w:val="67"/>
              <w:jc w:val="both"/>
              <w:rPr>
                <w:rFonts w:hint="eastAsia" w:ascii="仿宋" w:hAnsi="仿宋" w:eastAsia="仿宋" w:cs="仿宋"/>
                <w:bCs/>
                <w:kern w:val="2"/>
                <w:sz w:val="21"/>
                <w:szCs w:val="21"/>
                <w:lang w:eastAsia="zh-CN"/>
              </w:rPr>
            </w:pPr>
            <w:r>
              <w:rPr>
                <w:rFonts w:hint="eastAsia" w:ascii="仿宋" w:hAnsi="仿宋" w:eastAsia="仿宋" w:cs="仿宋"/>
                <w:bCs/>
                <w:sz w:val="21"/>
                <w:szCs w:val="21"/>
                <w:lang w:eastAsia="zh-CN"/>
              </w:rPr>
              <w:t>★</w:t>
            </w:r>
            <w:r>
              <w:rPr>
                <w:rFonts w:hint="eastAsia" w:ascii="仿宋" w:hAnsi="仿宋" w:eastAsia="仿宋" w:cs="仿宋"/>
                <w:bCs/>
                <w:kern w:val="2"/>
                <w:sz w:val="21"/>
                <w:szCs w:val="21"/>
                <w:lang w:eastAsia="zh-CN"/>
              </w:rPr>
              <w:t>业绩要求</w:t>
            </w:r>
          </w:p>
        </w:tc>
        <w:tc>
          <w:tcPr>
            <w:tcW w:w="3229" w:type="pct"/>
            <w:vAlign w:val="center"/>
          </w:tcPr>
          <w:p w14:paraId="05C44C8C">
            <w:pPr>
              <w:pStyle w:val="41"/>
              <w:rPr>
                <w:rFonts w:hint="eastAsia" w:ascii="仿宋" w:hAnsi="仿宋" w:eastAsia="仿宋" w:cs="仿宋"/>
                <w:bCs/>
              </w:rPr>
            </w:pPr>
            <w:r>
              <w:rPr>
                <w:rFonts w:hint="eastAsia" w:ascii="仿宋" w:hAnsi="仿宋" w:eastAsia="仿宋" w:cs="仿宋"/>
                <w:bCs/>
              </w:rPr>
              <w:t>1）2022年1月1日至应答截止日（以合同签署时间为准），应答人应提交至少1个合同的UPS主机产品的已完成的供货业绩。</w:t>
            </w:r>
          </w:p>
          <w:p w14:paraId="58B62C82">
            <w:pPr>
              <w:pStyle w:val="41"/>
              <w:rPr>
                <w:rFonts w:hint="eastAsia" w:ascii="仿宋" w:hAnsi="仿宋" w:eastAsia="仿宋" w:cs="仿宋"/>
                <w:bCs/>
              </w:rPr>
            </w:pPr>
            <w:r>
              <w:rPr>
                <w:rFonts w:hint="eastAsia" w:ascii="仿宋" w:hAnsi="仿宋" w:eastAsia="仿宋" w:cs="仿宋"/>
                <w:bCs/>
              </w:rPr>
              <w:t>2）应答人须按规定格式提交业绩，并提交相关业绩证明文件。业绩证明文件必须至少体现以下内容：①业绩合同复印件，包括：合同首页、合同签署时间、合同签署页（应有双方签字或盖章）、供货内容等内容；②合同所对应的结算全额发票。（备注：上述两项资料都需要提供，否则可能影响评审结果）</w:t>
            </w:r>
          </w:p>
          <w:p w14:paraId="5CD34B23">
            <w:pPr>
              <w:pStyle w:val="41"/>
              <w:rPr>
                <w:rFonts w:hint="eastAsia" w:ascii="仿宋" w:hAnsi="仿宋" w:eastAsia="仿宋" w:cs="仿宋"/>
                <w:bCs/>
              </w:rPr>
            </w:pPr>
            <w:r>
              <w:rPr>
                <w:rFonts w:hint="eastAsia" w:ascii="仿宋" w:hAnsi="仿宋" w:eastAsia="仿宋" w:cs="仿宋"/>
                <w:bCs/>
              </w:rPr>
              <w:t>3）若业绩合同为框架协议，还应至少提供1项完成订单，要求订单编号或者内容要与框架协议相关联，并提供相应的发票。同一个年协合同提供1项及以上订单的均算为1个有效业绩。</w:t>
            </w:r>
          </w:p>
          <w:p w14:paraId="46600420">
            <w:pPr>
              <w:pStyle w:val="41"/>
              <w:rPr>
                <w:rFonts w:hint="eastAsia" w:ascii="仿宋" w:hAnsi="仿宋" w:eastAsia="仿宋" w:cs="仿宋"/>
                <w:bCs/>
              </w:rPr>
            </w:pPr>
            <w:r>
              <w:rPr>
                <w:rFonts w:hint="eastAsia" w:ascii="仿宋" w:hAnsi="仿宋" w:eastAsia="仿宋" w:cs="仿宋"/>
                <w:bCs/>
              </w:rPr>
              <w:t>4）没有提供业绩证明文件或部分业绩证明文件，均视为未响应。应答人所提供的业绩须为合格且有效的业绩，全部发票不得出现因质量等问题导致的退票、作废、红冲等情况。评审时评委通过网上查询发票真伪，如查询发票出现退票、作废、红冲等情况，都将直接评审为不合格。</w:t>
            </w:r>
          </w:p>
        </w:tc>
      </w:tr>
      <w:tr w14:paraId="71059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396" w:type="pct"/>
            <w:vMerge w:val="continue"/>
            <w:vAlign w:val="center"/>
          </w:tcPr>
          <w:p w14:paraId="0240DF2F">
            <w:pPr>
              <w:pStyle w:val="9"/>
              <w:rPr>
                <w:rFonts w:hint="eastAsia" w:ascii="仿宋" w:hAnsi="仿宋" w:eastAsia="仿宋" w:cs="仿宋"/>
                <w:bCs/>
                <w:i w:val="0"/>
                <w:iCs w:val="0"/>
                <w:sz w:val="21"/>
                <w:szCs w:val="21"/>
              </w:rPr>
            </w:pPr>
          </w:p>
        </w:tc>
        <w:tc>
          <w:tcPr>
            <w:tcW w:w="749" w:type="pct"/>
            <w:vMerge w:val="continue"/>
            <w:vAlign w:val="center"/>
          </w:tcPr>
          <w:p w14:paraId="07E31CC3">
            <w:pPr>
              <w:rPr>
                <w:rFonts w:hint="eastAsia" w:ascii="仿宋" w:hAnsi="仿宋" w:eastAsia="仿宋" w:cs="仿宋"/>
                <w:bCs/>
                <w:kern w:val="0"/>
                <w:szCs w:val="21"/>
                <w:u w:val="single"/>
              </w:rPr>
            </w:pPr>
          </w:p>
        </w:tc>
        <w:tc>
          <w:tcPr>
            <w:tcW w:w="624" w:type="pct"/>
            <w:vAlign w:val="center"/>
          </w:tcPr>
          <w:p w14:paraId="2B6701A1">
            <w:pPr>
              <w:pStyle w:val="67"/>
              <w:jc w:val="both"/>
              <w:rPr>
                <w:rFonts w:hint="eastAsia" w:ascii="仿宋" w:hAnsi="仿宋" w:eastAsia="仿宋" w:cs="仿宋"/>
                <w:bCs/>
                <w:kern w:val="2"/>
                <w:sz w:val="21"/>
                <w:szCs w:val="21"/>
                <w:lang w:eastAsia="zh-CN"/>
              </w:rPr>
            </w:pPr>
            <w:r>
              <w:rPr>
                <w:rFonts w:hint="eastAsia" w:ascii="仿宋" w:hAnsi="仿宋" w:eastAsia="仿宋" w:cs="仿宋"/>
                <w:bCs/>
                <w:kern w:val="2"/>
                <w:sz w:val="21"/>
                <w:szCs w:val="21"/>
                <w:lang w:eastAsia="zh-CN"/>
              </w:rPr>
              <w:t>★付款条款</w:t>
            </w:r>
          </w:p>
        </w:tc>
        <w:tc>
          <w:tcPr>
            <w:tcW w:w="3229" w:type="pct"/>
            <w:vAlign w:val="center"/>
          </w:tcPr>
          <w:p w14:paraId="074A6441">
            <w:pPr>
              <w:pStyle w:val="25"/>
              <w:spacing w:before="0" w:beforeAutospacing="0" w:after="0" w:afterAutospacing="0"/>
              <w:rPr>
                <w:rFonts w:hint="eastAsia" w:ascii="仿宋" w:hAnsi="仿宋" w:eastAsia="仿宋" w:cs="仿宋"/>
                <w:bCs/>
                <w:sz w:val="21"/>
                <w:szCs w:val="21"/>
              </w:rPr>
            </w:pPr>
            <w:r>
              <w:rPr>
                <w:rFonts w:ascii="仿宋" w:hAnsi="仿宋" w:eastAsia="仿宋" w:cs="仿宋"/>
                <w:bCs/>
                <w:sz w:val="21"/>
                <w:szCs w:val="21"/>
              </w:rPr>
              <w:t>1）付款方式：银行电汇。</w:t>
            </w:r>
          </w:p>
          <w:p w14:paraId="0B4DB819">
            <w:pPr>
              <w:pStyle w:val="25"/>
              <w:spacing w:before="0" w:beforeAutospacing="0" w:after="0" w:afterAutospacing="0"/>
              <w:rPr>
                <w:rFonts w:hint="eastAsia" w:ascii="仿宋" w:hAnsi="仿宋" w:eastAsia="仿宋" w:cs="仿宋"/>
                <w:bCs/>
              </w:rPr>
            </w:pPr>
            <w:r>
              <w:rPr>
                <w:rFonts w:ascii="仿宋" w:hAnsi="仿宋" w:eastAsia="仿宋" w:cs="仿宋"/>
                <w:bCs/>
                <w:sz w:val="21"/>
                <w:szCs w:val="21"/>
              </w:rPr>
              <w:t>2）付款周期要求：卖方在合同规定的期限内将货物运至交货地点且经过调试运行经买方验收合格后，向买方提供有效增值税专用发票及相关支持文件</w:t>
            </w:r>
            <w:r>
              <w:rPr>
                <w:rFonts w:hint="eastAsia" w:ascii="仿宋" w:hAnsi="仿宋" w:eastAsia="仿宋" w:cs="仿宋"/>
                <w:bCs/>
                <w:sz w:val="21"/>
                <w:szCs w:val="21"/>
                <w:lang w:eastAsia="zh-CN"/>
              </w:rPr>
              <w:t>（</w:t>
            </w:r>
            <w:r>
              <w:rPr>
                <w:rFonts w:hint="eastAsia" w:ascii="仿宋" w:hAnsi="仿宋" w:eastAsia="仿宋" w:cs="仿宋"/>
                <w:bCs/>
                <w:sz w:val="21"/>
                <w:szCs w:val="21"/>
                <w:lang w:val="en-US" w:eastAsia="zh-CN"/>
              </w:rPr>
              <w:t>至少应包括验收报告</w:t>
            </w:r>
            <w:r>
              <w:rPr>
                <w:rFonts w:hint="eastAsia" w:ascii="仿宋" w:hAnsi="仿宋" w:eastAsia="仿宋" w:cs="仿宋"/>
                <w:bCs/>
                <w:sz w:val="21"/>
                <w:szCs w:val="21"/>
                <w:lang w:eastAsia="zh-CN"/>
              </w:rPr>
              <w:t>）</w:t>
            </w:r>
            <w:r>
              <w:rPr>
                <w:rFonts w:ascii="仿宋" w:hAnsi="仿宋" w:eastAsia="仿宋" w:cs="仿宋"/>
                <w:bCs/>
                <w:sz w:val="21"/>
                <w:szCs w:val="21"/>
              </w:rPr>
              <w:t>，买方于45日内支付合同全部货款的97%。合同总价的3%作为质保金。质保期结束且买方已收到买方签发的最终验收</w:t>
            </w:r>
            <w:r>
              <w:rPr>
                <w:rFonts w:hint="eastAsia" w:ascii="仿宋" w:hAnsi="仿宋" w:eastAsia="仿宋" w:cs="仿宋"/>
                <w:bCs/>
                <w:sz w:val="21"/>
                <w:szCs w:val="21"/>
                <w:lang w:val="en-US" w:eastAsia="zh-CN"/>
              </w:rPr>
              <w:t>的验收报告</w:t>
            </w:r>
            <w:r>
              <w:rPr>
                <w:rFonts w:ascii="仿宋" w:hAnsi="仿宋" w:eastAsia="仿宋" w:cs="仿宋"/>
                <w:bCs/>
                <w:sz w:val="21"/>
                <w:szCs w:val="21"/>
              </w:rPr>
              <w:t>及卖方开具的</w:t>
            </w:r>
            <w:r>
              <w:rPr>
                <w:rFonts w:hint="eastAsia" w:ascii="仿宋" w:hAnsi="仿宋" w:eastAsia="仿宋" w:cs="仿宋"/>
                <w:bCs/>
                <w:sz w:val="21"/>
                <w:szCs w:val="21"/>
                <w:lang w:val="en-US" w:eastAsia="zh-CN"/>
              </w:rPr>
              <w:t>合同总价的3%的</w:t>
            </w:r>
            <w:r>
              <w:rPr>
                <w:rFonts w:ascii="仿宋" w:hAnsi="仿宋" w:eastAsia="仿宋" w:cs="仿宋"/>
                <w:bCs/>
                <w:sz w:val="21"/>
                <w:szCs w:val="21"/>
              </w:rPr>
              <w:t>收据45日内，买方向卖方支付该质保金。如付款到期日为非工作日，则付款到期日顺延至下一个工作日。</w:t>
            </w:r>
          </w:p>
        </w:tc>
      </w:tr>
      <w:tr w14:paraId="7B233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396" w:type="pct"/>
            <w:vMerge w:val="continue"/>
            <w:vAlign w:val="center"/>
          </w:tcPr>
          <w:p w14:paraId="1AAFD245">
            <w:pPr>
              <w:pStyle w:val="9"/>
              <w:rPr>
                <w:rFonts w:hint="eastAsia" w:ascii="仿宋" w:hAnsi="仿宋" w:eastAsia="仿宋" w:cs="仿宋"/>
                <w:bCs/>
                <w:i w:val="0"/>
                <w:iCs w:val="0"/>
                <w:sz w:val="21"/>
                <w:szCs w:val="21"/>
              </w:rPr>
            </w:pPr>
          </w:p>
        </w:tc>
        <w:tc>
          <w:tcPr>
            <w:tcW w:w="749" w:type="pct"/>
            <w:vMerge w:val="continue"/>
            <w:vAlign w:val="center"/>
          </w:tcPr>
          <w:p w14:paraId="01C2B1A8">
            <w:pPr>
              <w:rPr>
                <w:rFonts w:hint="eastAsia" w:ascii="仿宋" w:hAnsi="仿宋" w:eastAsia="仿宋" w:cs="仿宋"/>
                <w:bCs/>
                <w:kern w:val="0"/>
                <w:szCs w:val="21"/>
                <w:u w:val="single"/>
              </w:rPr>
            </w:pPr>
          </w:p>
        </w:tc>
        <w:tc>
          <w:tcPr>
            <w:tcW w:w="624" w:type="pct"/>
            <w:vAlign w:val="center"/>
          </w:tcPr>
          <w:p w14:paraId="020D27B4">
            <w:pPr>
              <w:pStyle w:val="67"/>
              <w:jc w:val="both"/>
              <w:rPr>
                <w:rFonts w:hint="eastAsia" w:ascii="仿宋" w:hAnsi="仿宋" w:eastAsia="仿宋" w:cs="仿宋"/>
                <w:bCs/>
                <w:kern w:val="2"/>
                <w:sz w:val="21"/>
                <w:szCs w:val="21"/>
                <w:lang w:eastAsia="zh-CN"/>
              </w:rPr>
            </w:pPr>
            <w:r>
              <w:rPr>
                <w:rFonts w:hint="eastAsia" w:ascii="仿宋" w:hAnsi="仿宋" w:eastAsia="仿宋" w:cs="仿宋"/>
                <w:bCs/>
                <w:kern w:val="2"/>
                <w:sz w:val="21"/>
                <w:szCs w:val="21"/>
                <w:lang w:eastAsia="zh-CN"/>
              </w:rPr>
              <w:t>★交货地点</w:t>
            </w:r>
          </w:p>
        </w:tc>
        <w:tc>
          <w:tcPr>
            <w:tcW w:w="3229" w:type="pct"/>
            <w:vAlign w:val="center"/>
          </w:tcPr>
          <w:p w14:paraId="7498C926">
            <w:pPr>
              <w:pStyle w:val="67"/>
              <w:jc w:val="both"/>
              <w:rPr>
                <w:rFonts w:hint="eastAsia" w:ascii="仿宋" w:hAnsi="仿宋" w:eastAsia="仿宋" w:cs="仿宋"/>
                <w:bCs/>
                <w:sz w:val="21"/>
                <w:szCs w:val="21"/>
                <w:lang w:eastAsia="zh-CN"/>
              </w:rPr>
            </w:pPr>
            <w:r>
              <w:rPr>
                <w:rFonts w:ascii="仿宋" w:hAnsi="仿宋" w:eastAsia="仿宋" w:cs="仿宋"/>
                <w:bCs/>
                <w:sz w:val="21"/>
                <w:szCs w:val="21"/>
                <w:lang w:eastAsia="zh-CN"/>
              </w:rPr>
              <w:t>天津市滨海新区石油新村路与石油南路南100米</w:t>
            </w:r>
          </w:p>
        </w:tc>
      </w:tr>
      <w:tr w14:paraId="65E00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396" w:type="pct"/>
            <w:vMerge w:val="continue"/>
            <w:vAlign w:val="center"/>
          </w:tcPr>
          <w:p w14:paraId="6E4C592C">
            <w:pPr>
              <w:pStyle w:val="9"/>
              <w:rPr>
                <w:rFonts w:hint="eastAsia" w:ascii="仿宋" w:hAnsi="仿宋" w:eastAsia="仿宋" w:cs="仿宋"/>
                <w:bCs/>
                <w:i w:val="0"/>
                <w:iCs w:val="0"/>
                <w:sz w:val="21"/>
                <w:szCs w:val="21"/>
              </w:rPr>
            </w:pPr>
          </w:p>
        </w:tc>
        <w:tc>
          <w:tcPr>
            <w:tcW w:w="749" w:type="pct"/>
            <w:vMerge w:val="continue"/>
            <w:vAlign w:val="center"/>
          </w:tcPr>
          <w:p w14:paraId="59925A69">
            <w:pPr>
              <w:rPr>
                <w:rFonts w:hint="eastAsia" w:ascii="仿宋" w:hAnsi="仿宋" w:eastAsia="仿宋" w:cs="仿宋"/>
                <w:bCs/>
                <w:kern w:val="0"/>
                <w:szCs w:val="21"/>
                <w:u w:val="single"/>
              </w:rPr>
            </w:pPr>
          </w:p>
        </w:tc>
        <w:tc>
          <w:tcPr>
            <w:tcW w:w="624" w:type="pct"/>
            <w:vAlign w:val="center"/>
          </w:tcPr>
          <w:p w14:paraId="676B8930">
            <w:pPr>
              <w:widowControl/>
              <w:ind w:right="11"/>
              <w:jc w:val="center"/>
              <w:rPr>
                <w:rFonts w:hint="eastAsia" w:ascii="仿宋" w:hAnsi="仿宋" w:eastAsia="仿宋" w:cs="仿宋"/>
                <w:bCs/>
                <w:szCs w:val="21"/>
              </w:rPr>
            </w:pPr>
            <w:r>
              <w:rPr>
                <w:rFonts w:hint="eastAsia" w:ascii="仿宋" w:hAnsi="仿宋" w:eastAsia="仿宋" w:cs="仿宋"/>
                <w:bCs/>
                <w:szCs w:val="21"/>
              </w:rPr>
              <w:t>★</w:t>
            </w:r>
            <w:r>
              <w:rPr>
                <w:rFonts w:hint="eastAsia" w:ascii="仿宋" w:hAnsi="仿宋" w:eastAsia="仿宋" w:cs="仿宋"/>
                <w:bCs/>
                <w:kern w:val="0"/>
                <w:szCs w:val="21"/>
              </w:rPr>
              <w:t>交货期</w:t>
            </w:r>
          </w:p>
        </w:tc>
        <w:tc>
          <w:tcPr>
            <w:tcW w:w="3229" w:type="pct"/>
            <w:vAlign w:val="center"/>
          </w:tcPr>
          <w:p w14:paraId="533C90A9">
            <w:pPr>
              <w:pStyle w:val="8"/>
              <w:rPr>
                <w:rFonts w:hint="eastAsia" w:ascii="仿宋" w:hAnsi="仿宋" w:eastAsia="仿宋" w:cs="仿宋"/>
                <w:bCs/>
                <w:kern w:val="0"/>
                <w:szCs w:val="21"/>
              </w:rPr>
            </w:pPr>
            <w:r>
              <w:rPr>
                <w:rFonts w:hint="eastAsia"/>
              </w:rPr>
              <w:t>合同签订后，接买方通知之日起60日内交货</w:t>
            </w:r>
          </w:p>
        </w:tc>
      </w:tr>
      <w:tr w14:paraId="07D38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396" w:type="pct"/>
            <w:vMerge w:val="continue"/>
            <w:vAlign w:val="center"/>
          </w:tcPr>
          <w:p w14:paraId="49A11EDE">
            <w:pPr>
              <w:pStyle w:val="9"/>
              <w:rPr>
                <w:rFonts w:hint="eastAsia" w:ascii="仿宋" w:hAnsi="仿宋" w:eastAsia="仿宋" w:cs="仿宋"/>
                <w:bCs/>
                <w:i w:val="0"/>
                <w:iCs w:val="0"/>
                <w:sz w:val="21"/>
                <w:szCs w:val="21"/>
              </w:rPr>
            </w:pPr>
            <w:r>
              <w:rPr>
                <w:rFonts w:hint="eastAsia" w:ascii="仿宋" w:hAnsi="仿宋" w:eastAsia="仿宋" w:cs="仿宋"/>
                <w:bCs/>
                <w:i w:val="0"/>
                <w:iCs w:val="0"/>
                <w:sz w:val="21"/>
                <w:szCs w:val="21"/>
              </w:rPr>
              <w:t>质保期</w:t>
            </w:r>
          </w:p>
        </w:tc>
        <w:tc>
          <w:tcPr>
            <w:tcW w:w="749" w:type="pct"/>
            <w:vMerge w:val="continue"/>
            <w:vAlign w:val="center"/>
          </w:tcPr>
          <w:p w14:paraId="6AB2320B">
            <w:pPr>
              <w:rPr>
                <w:rFonts w:hint="eastAsia" w:ascii="仿宋" w:hAnsi="仿宋" w:eastAsia="仿宋" w:cs="仿宋"/>
                <w:bCs/>
                <w:kern w:val="0"/>
                <w:szCs w:val="21"/>
                <w:u w:val="single"/>
              </w:rPr>
            </w:pPr>
          </w:p>
        </w:tc>
        <w:tc>
          <w:tcPr>
            <w:tcW w:w="624" w:type="pct"/>
            <w:vAlign w:val="center"/>
          </w:tcPr>
          <w:p w14:paraId="06F5BA05">
            <w:pPr>
              <w:widowControl/>
              <w:ind w:right="11"/>
              <w:jc w:val="center"/>
              <w:rPr>
                <w:rFonts w:hint="eastAsia" w:ascii="仿宋" w:hAnsi="仿宋" w:eastAsia="仿宋" w:cs="仿宋"/>
                <w:bCs/>
                <w:szCs w:val="21"/>
              </w:rPr>
            </w:pPr>
            <w:r>
              <w:rPr>
                <w:rFonts w:hint="eastAsia" w:ascii="仿宋" w:hAnsi="仿宋" w:eastAsia="仿宋" w:cs="仿宋"/>
                <w:bCs/>
                <w:szCs w:val="21"/>
              </w:rPr>
              <w:t>★质量保证</w:t>
            </w:r>
          </w:p>
        </w:tc>
        <w:tc>
          <w:tcPr>
            <w:tcW w:w="3229" w:type="pct"/>
            <w:vAlign w:val="center"/>
          </w:tcPr>
          <w:p w14:paraId="725A8FC7">
            <w:pPr>
              <w:rPr>
                <w:rFonts w:hint="eastAsia" w:ascii="仿宋" w:hAnsi="仿宋" w:eastAsia="仿宋" w:cs="仿宋"/>
                <w:bCs/>
                <w:kern w:val="0"/>
                <w:szCs w:val="21"/>
              </w:rPr>
            </w:pPr>
            <w:r>
              <w:rPr>
                <w:rFonts w:hint="eastAsia" w:ascii="仿宋" w:hAnsi="仿宋" w:eastAsia="仿宋" w:cs="仿宋"/>
                <w:bCs/>
                <w:kern w:val="0"/>
                <w:szCs w:val="21"/>
              </w:rPr>
              <w:t>1. 质保金：质保金比例为合同金额的3%。</w:t>
            </w:r>
          </w:p>
          <w:p w14:paraId="7A84E461">
            <w:pPr>
              <w:rPr>
                <w:rFonts w:hint="eastAsia" w:ascii="仿宋" w:hAnsi="仿宋" w:eastAsia="仿宋" w:cs="仿宋"/>
                <w:bCs/>
                <w:kern w:val="0"/>
                <w:szCs w:val="21"/>
              </w:rPr>
            </w:pPr>
            <w:r>
              <w:rPr>
                <w:rFonts w:hint="eastAsia" w:ascii="仿宋" w:hAnsi="仿宋" w:eastAsia="仿宋" w:cs="仿宋"/>
                <w:bCs/>
                <w:kern w:val="0"/>
                <w:szCs w:val="21"/>
              </w:rPr>
              <w:t>2. 质保期：合同货物的质保期为自货物调试验收合格之日起12个月。</w:t>
            </w:r>
          </w:p>
        </w:tc>
      </w:tr>
      <w:tr w14:paraId="753E8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396" w:type="pct"/>
            <w:vMerge w:val="continue"/>
            <w:vAlign w:val="center"/>
          </w:tcPr>
          <w:p w14:paraId="74157C11">
            <w:pPr>
              <w:rPr>
                <w:rFonts w:hint="eastAsia" w:ascii="仿宋" w:hAnsi="仿宋" w:eastAsia="仿宋" w:cs="仿宋"/>
                <w:bCs/>
                <w:szCs w:val="21"/>
                <w:u w:val="single"/>
              </w:rPr>
            </w:pPr>
          </w:p>
        </w:tc>
        <w:tc>
          <w:tcPr>
            <w:tcW w:w="749" w:type="pct"/>
            <w:vMerge w:val="continue"/>
            <w:vAlign w:val="center"/>
          </w:tcPr>
          <w:p w14:paraId="04C10F2E">
            <w:pPr>
              <w:rPr>
                <w:rFonts w:hint="eastAsia" w:ascii="仿宋" w:hAnsi="仿宋" w:eastAsia="仿宋" w:cs="仿宋"/>
                <w:bCs/>
                <w:kern w:val="0"/>
                <w:szCs w:val="21"/>
                <w:u w:val="single"/>
              </w:rPr>
            </w:pPr>
          </w:p>
        </w:tc>
        <w:tc>
          <w:tcPr>
            <w:tcW w:w="624" w:type="pct"/>
            <w:vAlign w:val="center"/>
          </w:tcPr>
          <w:p w14:paraId="797F9E66">
            <w:pPr>
              <w:pStyle w:val="67"/>
              <w:jc w:val="center"/>
              <w:rPr>
                <w:rFonts w:hint="eastAsia" w:ascii="仿宋" w:hAnsi="仿宋" w:eastAsia="仿宋" w:cs="仿宋"/>
                <w:bCs/>
                <w:sz w:val="21"/>
                <w:szCs w:val="21"/>
                <w:lang w:eastAsia="zh-CN"/>
              </w:rPr>
            </w:pPr>
            <w:r>
              <w:rPr>
                <w:rFonts w:hint="eastAsia" w:ascii="仿宋" w:hAnsi="仿宋" w:eastAsia="仿宋" w:cs="仿宋"/>
                <w:bCs/>
                <w:sz w:val="21"/>
                <w:szCs w:val="21"/>
                <w:lang w:eastAsia="zh-CN"/>
              </w:rPr>
              <w:t>技术指标</w:t>
            </w:r>
          </w:p>
        </w:tc>
        <w:tc>
          <w:tcPr>
            <w:tcW w:w="3229" w:type="pct"/>
            <w:vAlign w:val="center"/>
          </w:tcPr>
          <w:p w14:paraId="7D5D0FD6">
            <w:pPr>
              <w:pStyle w:val="67"/>
              <w:jc w:val="both"/>
              <w:rPr>
                <w:rFonts w:hint="eastAsia" w:ascii="仿宋" w:hAnsi="仿宋" w:eastAsia="仿宋" w:cs="仿宋"/>
                <w:bCs/>
                <w:sz w:val="21"/>
                <w:szCs w:val="21"/>
                <w:lang w:eastAsia="zh-CN"/>
              </w:rPr>
            </w:pPr>
            <w:r>
              <w:rPr>
                <w:rFonts w:hint="eastAsia" w:ascii="仿宋" w:hAnsi="仿宋" w:eastAsia="仿宋" w:cs="仿宋"/>
                <w:bCs/>
                <w:sz w:val="21"/>
                <w:szCs w:val="21"/>
                <w:lang w:eastAsia="zh-CN"/>
              </w:rPr>
              <w:t>应答人承诺满足全部技术要求。</w:t>
            </w:r>
          </w:p>
        </w:tc>
      </w:tr>
    </w:tbl>
    <w:p w14:paraId="792AF5D9">
      <w:pPr>
        <w:tabs>
          <w:tab w:val="left" w:pos="993"/>
          <w:tab w:val="left" w:pos="1134"/>
          <w:tab w:val="left" w:pos="1418"/>
        </w:tabs>
        <w:spacing w:line="360" w:lineRule="auto"/>
        <w:ind w:firstLine="640" w:firstLineChars="200"/>
        <w:rPr>
          <w:rFonts w:hint="eastAsia" w:ascii="仿宋" w:hAnsi="仿宋" w:eastAsia="仿宋" w:cs="仿宋"/>
          <w:bCs/>
          <w:sz w:val="32"/>
          <w:szCs w:val="32"/>
        </w:rPr>
      </w:pPr>
      <w:r>
        <w:rPr>
          <w:rFonts w:hint="eastAsia" w:ascii="仿宋" w:hAnsi="仿宋" w:eastAsia="仿宋" w:cs="仿宋"/>
          <w:bCs/>
          <w:sz w:val="32"/>
          <w:szCs w:val="32"/>
        </w:rPr>
        <w:t>本次公开的采办计划是本项目采办工作的初步安排，实际采购应以相关采购公告和采购文件为准，所有提供和反馈的信息只作为项目采办参考。</w:t>
      </w:r>
    </w:p>
    <w:p w14:paraId="2DF78EB8">
      <w:pPr>
        <w:tabs>
          <w:tab w:val="left" w:pos="993"/>
          <w:tab w:val="left" w:pos="1134"/>
          <w:tab w:val="left" w:pos="1418"/>
        </w:tabs>
        <w:spacing w:line="360" w:lineRule="auto"/>
        <w:ind w:firstLine="640" w:firstLineChars="200"/>
        <w:rPr>
          <w:rFonts w:hint="eastAsia" w:ascii="仿宋" w:hAnsi="仿宋" w:eastAsia="仿宋" w:cs="仿宋"/>
          <w:bCs/>
          <w:sz w:val="32"/>
          <w:szCs w:val="32"/>
        </w:rPr>
      </w:pPr>
      <w:r>
        <w:rPr>
          <w:rFonts w:hint="eastAsia" w:ascii="仿宋" w:hAnsi="仿宋" w:eastAsia="仿宋" w:cs="仿宋"/>
          <w:bCs/>
          <w:sz w:val="32"/>
          <w:szCs w:val="32"/>
        </w:rPr>
        <w:t>本次公告有效期是（2025年</w:t>
      </w:r>
      <w:r>
        <w:rPr>
          <w:rFonts w:hint="eastAsia" w:ascii="仿宋" w:hAnsi="仿宋" w:eastAsia="仿宋" w:cs="仿宋"/>
          <w:bCs/>
          <w:sz w:val="32"/>
          <w:szCs w:val="32"/>
          <w:lang w:val="en-US" w:eastAsia="zh-CN"/>
        </w:rPr>
        <w:t>12</w:t>
      </w:r>
      <w:r>
        <w:rPr>
          <w:rFonts w:hint="eastAsia" w:ascii="仿宋" w:hAnsi="仿宋" w:eastAsia="仿宋" w:cs="仿宋"/>
          <w:bCs/>
          <w:sz w:val="32"/>
          <w:szCs w:val="32"/>
        </w:rPr>
        <w:t>月</w:t>
      </w:r>
      <w:r>
        <w:rPr>
          <w:rFonts w:hint="eastAsia" w:ascii="仿宋" w:hAnsi="仿宋" w:eastAsia="仿宋" w:cs="仿宋"/>
          <w:bCs/>
          <w:sz w:val="32"/>
          <w:szCs w:val="32"/>
          <w:lang w:val="en-US" w:eastAsia="zh-CN"/>
        </w:rPr>
        <w:t>05</w:t>
      </w:r>
      <w:r>
        <w:rPr>
          <w:rFonts w:hint="eastAsia" w:ascii="仿宋" w:hAnsi="仿宋" w:eastAsia="仿宋" w:cs="仿宋"/>
          <w:bCs/>
          <w:sz w:val="32"/>
          <w:szCs w:val="32"/>
        </w:rPr>
        <w:t>日）至（2025年12月</w:t>
      </w:r>
      <w:r>
        <w:rPr>
          <w:rFonts w:hint="eastAsia" w:ascii="仿宋" w:hAnsi="仿宋" w:eastAsia="仿宋" w:cs="仿宋"/>
          <w:bCs/>
          <w:sz w:val="32"/>
          <w:szCs w:val="32"/>
          <w:lang w:val="en-US" w:eastAsia="zh-CN"/>
        </w:rPr>
        <w:t>12</w:t>
      </w:r>
      <w:r>
        <w:rPr>
          <w:rFonts w:hint="eastAsia" w:ascii="仿宋" w:hAnsi="仿宋" w:eastAsia="仿宋" w:cs="仿宋"/>
          <w:bCs/>
          <w:sz w:val="32"/>
          <w:szCs w:val="32"/>
        </w:rPr>
        <w:t>日）止。在此期间，有意参与某采办包的系统用户可在集团公司采办系统中提交反馈材料（</w:t>
      </w:r>
      <w:r>
        <w:rPr>
          <w:rFonts w:hint="eastAsia" w:ascii="仿宋" w:hAnsi="仿宋" w:eastAsia="仿宋" w:cs="仿宋"/>
          <w:bCs/>
          <w:sz w:val="32"/>
          <w:szCs w:val="32"/>
          <w:highlight w:val="yellow"/>
        </w:rPr>
        <w:t>是否具有参与意向？技术指标、资质要求等是否有修改建议？是否满足商务要求和技术指标？</w:t>
      </w:r>
      <w:r>
        <w:rPr>
          <w:rFonts w:hint="eastAsia" w:ascii="仿宋" w:hAnsi="仿宋" w:eastAsia="仿宋" w:cs="仿宋"/>
          <w:bCs/>
          <w:sz w:val="24"/>
        </w:rPr>
        <w:t>）</w:t>
      </w:r>
      <w:r>
        <w:rPr>
          <w:rFonts w:hint="eastAsia" w:ascii="仿宋" w:hAnsi="仿宋" w:eastAsia="仿宋" w:cs="仿宋"/>
          <w:bCs/>
          <w:sz w:val="32"/>
          <w:szCs w:val="32"/>
        </w:rPr>
        <w:t>。</w:t>
      </w:r>
    </w:p>
    <w:p w14:paraId="7045401E">
      <w:pPr>
        <w:tabs>
          <w:tab w:val="left" w:pos="993"/>
          <w:tab w:val="left" w:pos="1134"/>
          <w:tab w:val="left" w:pos="1418"/>
        </w:tabs>
        <w:spacing w:line="360" w:lineRule="auto"/>
        <w:rPr>
          <w:rFonts w:hint="eastAsia" w:ascii="仿宋" w:hAnsi="仿宋" w:eastAsia="仿宋" w:cs="仿宋"/>
          <w:bCs/>
          <w:sz w:val="28"/>
          <w:szCs w:val="28"/>
        </w:rPr>
      </w:pPr>
      <w:r>
        <w:rPr>
          <w:rFonts w:hint="eastAsia" w:ascii="仿宋" w:hAnsi="仿宋" w:eastAsia="仿宋" w:cs="仿宋"/>
          <w:bCs/>
          <w:sz w:val="28"/>
          <w:szCs w:val="28"/>
        </w:rPr>
        <w:t>如对上述公开内容真实、有效性存疑，请拨打社会监督电话：022-25802262，其他事项不受理。</w:t>
      </w:r>
    </w:p>
    <w:p w14:paraId="7E710D68">
      <w:pPr>
        <w:tabs>
          <w:tab w:val="left" w:pos="993"/>
          <w:tab w:val="left" w:pos="1134"/>
          <w:tab w:val="left" w:pos="1418"/>
        </w:tabs>
        <w:spacing w:line="360" w:lineRule="auto"/>
        <w:ind w:right="320" w:firstLine="960" w:firstLineChars="300"/>
        <w:jc w:val="right"/>
        <w:rPr>
          <w:rFonts w:hint="eastAsia" w:ascii="仿宋" w:hAnsi="仿宋" w:eastAsia="仿宋" w:cs="仿宋"/>
          <w:bCs/>
          <w:sz w:val="32"/>
          <w:szCs w:val="32"/>
        </w:rPr>
      </w:pPr>
      <w:r>
        <w:rPr>
          <w:rFonts w:hint="eastAsia" w:ascii="仿宋" w:hAnsi="仿宋" w:eastAsia="仿宋" w:cs="仿宋"/>
          <w:bCs/>
          <w:sz w:val="32"/>
          <w:szCs w:val="32"/>
        </w:rPr>
        <w:t>海油发展采办共享中心</w:t>
      </w:r>
    </w:p>
    <w:p w14:paraId="2FF8AF86">
      <w:pPr>
        <w:tabs>
          <w:tab w:val="left" w:pos="993"/>
          <w:tab w:val="left" w:pos="1134"/>
          <w:tab w:val="left" w:pos="1418"/>
        </w:tabs>
        <w:spacing w:line="360" w:lineRule="auto"/>
        <w:ind w:right="480" w:firstLine="960" w:firstLineChars="300"/>
        <w:jc w:val="right"/>
        <w:rPr>
          <w:rFonts w:hint="eastAsia" w:ascii="仿宋" w:hAnsi="仿宋" w:eastAsia="仿宋" w:cs="仿宋"/>
          <w:bCs/>
          <w:sz w:val="32"/>
          <w:szCs w:val="32"/>
        </w:rPr>
      </w:pPr>
      <w:r>
        <w:rPr>
          <w:rFonts w:hint="eastAsia" w:ascii="仿宋" w:hAnsi="仿宋" w:eastAsia="仿宋" w:cs="仿宋"/>
          <w:bCs/>
          <w:sz w:val="32"/>
          <w:szCs w:val="32"/>
        </w:rPr>
        <w:t>2025年</w:t>
      </w:r>
      <w:r>
        <w:rPr>
          <w:rFonts w:hint="eastAsia" w:ascii="仿宋" w:hAnsi="仿宋" w:eastAsia="仿宋" w:cs="仿宋"/>
          <w:bCs/>
          <w:sz w:val="32"/>
          <w:szCs w:val="32"/>
          <w:lang w:val="en-US" w:eastAsia="zh-CN"/>
        </w:rPr>
        <w:t>12</w:t>
      </w:r>
      <w:r>
        <w:rPr>
          <w:rFonts w:hint="eastAsia" w:ascii="仿宋" w:hAnsi="仿宋" w:eastAsia="仿宋" w:cs="仿宋"/>
          <w:bCs/>
          <w:sz w:val="32"/>
          <w:szCs w:val="32"/>
        </w:rPr>
        <w:t>月</w:t>
      </w:r>
      <w:r>
        <w:rPr>
          <w:rFonts w:hint="eastAsia" w:ascii="仿宋" w:hAnsi="仿宋" w:eastAsia="仿宋" w:cs="仿宋"/>
          <w:bCs/>
          <w:sz w:val="32"/>
          <w:szCs w:val="32"/>
          <w:lang w:val="en-US" w:eastAsia="zh-CN"/>
        </w:rPr>
        <w:t>05</w:t>
      </w:r>
      <w:r>
        <w:rPr>
          <w:rFonts w:hint="eastAsia" w:ascii="仿宋" w:hAnsi="仿宋" w:eastAsia="仿宋" w:cs="仿宋"/>
          <w:bCs/>
          <w:sz w:val="32"/>
          <w:szCs w:val="32"/>
        </w:rPr>
        <w:t xml:space="preserve">日  </w:t>
      </w:r>
    </w:p>
    <w:p w14:paraId="3A4FC96B">
      <w:pPr>
        <w:pStyle w:val="7"/>
        <w:spacing w:line="360" w:lineRule="auto"/>
        <w:ind w:firstLine="0" w:firstLineChars="0"/>
        <w:rPr>
          <w:rFonts w:hint="eastAsia" w:ascii="仿宋" w:hAnsi="仿宋" w:eastAsia="仿宋" w:cs="仿宋"/>
          <w:bCs/>
        </w:rPr>
      </w:pPr>
    </w:p>
    <w:p w14:paraId="4F7EDAA4">
      <w:pPr>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联系单位：中海油能源发展股份有限公司采办共享中心</w:t>
      </w:r>
    </w:p>
    <w:p w14:paraId="6F524007">
      <w:pPr>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联系人：杨怡倩</w:t>
      </w:r>
    </w:p>
    <w:p w14:paraId="66815780">
      <w:pPr>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联系电话：022-25800638</w:t>
      </w:r>
    </w:p>
    <w:p w14:paraId="585B0C6E">
      <w:pPr>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邮  箱：yangyq26@cnooc.com.cn</w:t>
      </w:r>
    </w:p>
    <w:p w14:paraId="749967F2">
      <w:pPr>
        <w:pStyle w:val="7"/>
        <w:spacing w:line="360" w:lineRule="auto"/>
        <w:ind w:firstLine="0" w:firstLineChars="0"/>
        <w:jc w:val="center"/>
        <w:rPr>
          <w:rFonts w:hint="eastAsia" w:ascii="仿宋" w:hAnsi="仿宋" w:eastAsia="仿宋" w:cs="仿宋"/>
          <w:bCs/>
          <w:sz w:val="32"/>
          <w:szCs w:val="32"/>
        </w:rPr>
        <w:sectPr>
          <w:footerReference r:id="rId3" w:type="default"/>
          <w:pgSz w:w="11906" w:h="16838"/>
          <w:pgMar w:top="1440" w:right="1800" w:bottom="1440" w:left="1800" w:header="851" w:footer="992" w:gutter="0"/>
          <w:cols w:space="425" w:num="1"/>
          <w:docGrid w:type="lines" w:linePitch="312" w:charSpace="0"/>
        </w:sectPr>
      </w:pPr>
    </w:p>
    <w:p w14:paraId="55813576">
      <w:pPr>
        <w:pStyle w:val="7"/>
        <w:spacing w:line="360" w:lineRule="auto"/>
        <w:ind w:firstLine="0" w:firstLineChars="0"/>
        <w:jc w:val="center"/>
        <w:rPr>
          <w:rFonts w:hint="eastAsia" w:ascii="微软雅黑" w:hAnsi="微软雅黑" w:eastAsia="微软雅黑" w:cs="微软雅黑"/>
          <w:b/>
          <w:spacing w:val="2"/>
          <w:w w:val="99"/>
          <w:sz w:val="44"/>
          <w:szCs w:val="44"/>
        </w:rPr>
      </w:pPr>
      <w:r>
        <w:rPr>
          <w:rFonts w:hint="eastAsia" w:ascii="微软雅黑" w:hAnsi="微软雅黑" w:eastAsia="微软雅黑" w:cs="微软雅黑"/>
          <w:b/>
          <w:sz w:val="32"/>
          <w:szCs w:val="32"/>
        </w:rPr>
        <w:t>采购技术要求</w:t>
      </w:r>
    </w:p>
    <w:p w14:paraId="697ECC24">
      <w:pPr>
        <w:numPr>
          <w:ilvl w:val="0"/>
          <w:numId w:val="4"/>
        </w:numPr>
        <w:autoSpaceDE w:val="0"/>
        <w:autoSpaceDN w:val="0"/>
        <w:adjustRightInd w:val="0"/>
        <w:spacing w:before="120" w:after="120"/>
        <w:outlineLvl w:val="0"/>
        <w:rPr>
          <w:rFonts w:hint="eastAsia" w:ascii="微软雅黑" w:hAnsi="微软雅黑" w:eastAsia="微软雅黑" w:cs="Times New Roman"/>
          <w:bCs/>
          <w:sz w:val="32"/>
          <w:szCs w:val="32"/>
        </w:rPr>
      </w:pPr>
      <w:r>
        <w:rPr>
          <w:rFonts w:hint="eastAsia" w:ascii="微软雅黑" w:hAnsi="微软雅黑" w:eastAsia="微软雅黑" w:cs="Times New Roman"/>
          <w:bCs/>
          <w:sz w:val="32"/>
          <w:szCs w:val="32"/>
        </w:rPr>
        <w:t>项目概况及总体要求</w:t>
      </w:r>
    </w:p>
    <w:p w14:paraId="144B5CCC">
      <w:pPr>
        <w:ind w:left="420" w:firstLine="630" w:firstLineChars="300"/>
        <w:rPr>
          <w:rFonts w:hint="eastAsia" w:ascii="微软雅黑" w:hAnsi="微软雅黑" w:eastAsia="微软雅黑" w:cs="Times New Roman"/>
          <w:color w:val="000000"/>
          <w:szCs w:val="21"/>
        </w:rPr>
      </w:pPr>
      <w:bookmarkStart w:id="0" w:name="_Toc13249325"/>
      <w:bookmarkStart w:id="1" w:name="_Toc13248928"/>
      <w:r>
        <w:rPr>
          <w:rFonts w:hint="eastAsia" w:ascii="微软雅黑" w:hAnsi="微软雅黑" w:eastAsia="微软雅黑" w:cs="Times New Roman"/>
          <w:color w:val="000000"/>
          <w:szCs w:val="21"/>
        </w:rPr>
        <w:t>东沽园区日常运营中，保障关键负荷（园区智慧管理监控系统、核心办公系统）的连续不间断供电是非常有必要的。当市电发生中断或异常时，UPS可实现无缝切换，由内置的储能系统为零中断负载提供纯净、稳定的电力，确保关键业务不受任何影响。在极端情况（如电网检修、自然灾害）下，该系统可作为园区的能源孤岛，独立为核心区域供电。</w:t>
      </w:r>
    </w:p>
    <w:p w14:paraId="7F1E73F5">
      <w:pPr>
        <w:ind w:left="420" w:firstLine="630" w:firstLineChars="300"/>
        <w:rPr>
          <w:rFonts w:hint="eastAsia" w:ascii="微软雅黑" w:hAnsi="微软雅黑" w:eastAsia="微软雅黑" w:cs="Times New Roman"/>
          <w:color w:val="000000"/>
          <w:szCs w:val="21"/>
        </w:rPr>
      </w:pPr>
      <w:r>
        <w:rPr>
          <w:rFonts w:hint="eastAsia" w:ascii="微软雅黑" w:hAnsi="微软雅黑" w:eastAsia="微软雅黑" w:cs="Times New Roman"/>
          <w:color w:val="000000"/>
          <w:szCs w:val="21"/>
        </w:rPr>
        <w:t>本项目需建设一套40KVA的高可靠性UPS供电系统，采用1+1冗余系统配置，即两台UPS主机并联运行，确保在主机故障时能够无缝切换，保证电力供应不断，为关键负载提供不间断电力保障。旨在打造东沽园区内部的高可靠的电力保障核心，著提升园区在复杂电网环境下的能源韧性。</w:t>
      </w:r>
    </w:p>
    <w:p w14:paraId="2A6B2EA3">
      <w:pPr>
        <w:ind w:left="420" w:firstLine="630" w:firstLineChars="300"/>
        <w:rPr>
          <w:rFonts w:hint="eastAsia" w:ascii="微软雅黑" w:hAnsi="微软雅黑" w:eastAsia="微软雅黑" w:cs="Times New Roman"/>
          <w:color w:val="000000"/>
          <w:szCs w:val="21"/>
        </w:rPr>
      </w:pPr>
      <w:r>
        <w:rPr>
          <w:rFonts w:hint="eastAsia" w:ascii="微软雅黑" w:hAnsi="微软雅黑" w:eastAsia="微软雅黑" w:cs="Times New Roman"/>
          <w:color w:val="000000"/>
          <w:szCs w:val="21"/>
        </w:rPr>
        <w:t>标准应用情况概述：</w:t>
      </w:r>
      <w:bookmarkStart w:id="2" w:name="OLE_LINK67"/>
    </w:p>
    <w:p w14:paraId="5C1A4790">
      <w:pPr>
        <w:ind w:left="420" w:firstLine="630" w:firstLineChars="300"/>
        <w:rPr>
          <w:rFonts w:hint="eastAsia" w:ascii="微软雅黑" w:hAnsi="微软雅黑" w:eastAsia="微软雅黑" w:cs="Times New Roman"/>
          <w:color w:val="000000"/>
          <w:szCs w:val="21"/>
        </w:rPr>
      </w:pPr>
      <w:r>
        <w:rPr>
          <w:rFonts w:hint="eastAsia" w:ascii="微软雅黑" w:hAnsi="微软雅黑" w:eastAsia="微软雅黑" w:cs="Times New Roman"/>
          <w:color w:val="000000"/>
          <w:szCs w:val="21"/>
        </w:rPr>
        <w:t>引用GB/T 7260.3-2024 《不间断电源设备(UPS)第3部分:确定性能的方法和试验要求》（全部引用）；</w:t>
      </w:r>
      <w:bookmarkEnd w:id="2"/>
      <w:r>
        <w:rPr>
          <w:rFonts w:hint="eastAsia" w:ascii="微软雅黑" w:hAnsi="微软雅黑" w:eastAsia="微软雅黑" w:cs="Times New Roman"/>
          <w:color w:val="000000"/>
          <w:szCs w:val="21"/>
        </w:rPr>
        <w:t>引用GBT19826-《电力工程直流电源设备通用技术及安全要求》（有补充引用）；引用</w:t>
      </w:r>
      <w:r>
        <w:rPr>
          <w:rFonts w:ascii="微软雅黑" w:hAnsi="微软雅黑" w:eastAsia="微软雅黑" w:cs="Times New Roman"/>
          <w:color w:val="000000"/>
          <w:szCs w:val="21"/>
        </w:rPr>
        <w:t>GB/T 6995.</w:t>
      </w:r>
      <w:r>
        <w:rPr>
          <w:rFonts w:hint="eastAsia" w:ascii="微软雅黑" w:hAnsi="微软雅黑" w:eastAsia="微软雅黑" w:cs="Times New Roman"/>
          <w:color w:val="000000"/>
          <w:szCs w:val="21"/>
        </w:rPr>
        <w:t>5</w:t>
      </w:r>
      <w:r>
        <w:rPr>
          <w:rFonts w:ascii="微软雅黑" w:hAnsi="微软雅黑" w:eastAsia="微软雅黑" w:cs="Times New Roman"/>
          <w:color w:val="000000"/>
          <w:szCs w:val="21"/>
        </w:rPr>
        <w:t>-2008</w:t>
      </w:r>
      <w:r>
        <w:rPr>
          <w:rFonts w:hint="eastAsia" w:ascii="微软雅黑" w:hAnsi="微软雅黑" w:eastAsia="微软雅黑" w:cs="Times New Roman"/>
          <w:color w:val="000000"/>
          <w:szCs w:val="21"/>
        </w:rPr>
        <w:t>《</w:t>
      </w:r>
      <w:r>
        <w:fldChar w:fldCharType="begin"/>
      </w:r>
      <w:r>
        <w:instrText xml:space="preserve"> HYPERLINK "http://www.spsp.gov.cn/page/CN/2008/GBT%206995.5-2008.shtml" \t "_blank" </w:instrText>
      </w:r>
      <w:r>
        <w:fldChar w:fldCharType="separate"/>
      </w:r>
      <w:r>
        <w:rPr>
          <w:rFonts w:ascii="微软雅黑" w:hAnsi="微软雅黑" w:eastAsia="微软雅黑" w:cs="Times New Roman"/>
          <w:color w:val="000000"/>
          <w:szCs w:val="21"/>
        </w:rPr>
        <w:t>电线电缆识别标志方法 第5部分:电力电缆绝缘线芯识别标志</w:t>
      </w:r>
      <w:r>
        <w:rPr>
          <w:rFonts w:ascii="微软雅黑" w:hAnsi="微软雅黑" w:eastAsia="微软雅黑" w:cs="Times New Roman"/>
          <w:color w:val="000000"/>
          <w:szCs w:val="21"/>
        </w:rPr>
        <w:fldChar w:fldCharType="end"/>
      </w:r>
      <w:r>
        <w:rPr>
          <w:rFonts w:hint="eastAsia" w:ascii="微软雅黑" w:hAnsi="微软雅黑" w:eastAsia="微软雅黑" w:cs="Times New Roman"/>
          <w:color w:val="000000"/>
          <w:szCs w:val="21"/>
        </w:rPr>
        <w:t>》（有补充引用）；引用</w:t>
      </w:r>
      <w:r>
        <w:rPr>
          <w:rFonts w:ascii="微软雅黑" w:hAnsi="微软雅黑" w:eastAsia="微软雅黑" w:cs="Times New Roman"/>
          <w:color w:val="000000"/>
          <w:szCs w:val="21"/>
        </w:rPr>
        <w:t xml:space="preserve">IEEE 1115-2000， </w:t>
      </w:r>
      <w:r>
        <w:rPr>
          <w:rFonts w:hint="eastAsia" w:ascii="微软雅黑" w:hAnsi="微软雅黑" w:eastAsia="微软雅黑" w:cs="Times New Roman"/>
          <w:color w:val="000000"/>
          <w:szCs w:val="21"/>
        </w:rPr>
        <w:t>IEC国际行业镍镉电池容量计算指导（有补充引用）</w:t>
      </w:r>
      <w:bookmarkStart w:id="3" w:name="OLE_LINK61"/>
      <w:r>
        <w:rPr>
          <w:rFonts w:hint="eastAsia" w:ascii="微软雅黑" w:hAnsi="微软雅黑" w:eastAsia="微软雅黑" w:cs="Times New Roman"/>
          <w:color w:val="000000"/>
          <w:szCs w:val="21"/>
        </w:rPr>
        <w:t>；引用</w:t>
      </w:r>
      <w:bookmarkEnd w:id="3"/>
      <w:r>
        <w:rPr>
          <w:rFonts w:hint="eastAsia" w:ascii="微软雅黑" w:hAnsi="微软雅黑" w:eastAsia="微软雅黑" w:cs="Times New Roman"/>
          <w:color w:val="000000"/>
          <w:szCs w:val="21"/>
        </w:rPr>
        <w:t>国际标准IEC60623：2017 《</w:t>
      </w:r>
      <w:r>
        <w:rPr>
          <w:rFonts w:ascii="微软雅黑" w:hAnsi="微软雅黑" w:eastAsia="微软雅黑" w:cs="Times New Roman"/>
          <w:color w:val="000000"/>
          <w:szCs w:val="21"/>
        </w:rPr>
        <w:t>有碱性或其他非酸性电解质的</w:t>
      </w:r>
      <w:r>
        <w:rPr>
          <w:rFonts w:hint="eastAsia" w:ascii="微软雅黑" w:hAnsi="微软雅黑" w:eastAsia="微软雅黑" w:cs="Times New Roman"/>
          <w:color w:val="000000"/>
          <w:szCs w:val="21"/>
        </w:rPr>
        <w:t>二次蓄电池》，</w:t>
      </w:r>
      <w:r>
        <w:rPr>
          <w:rFonts w:ascii="微软雅黑" w:hAnsi="微软雅黑" w:eastAsia="微软雅黑" w:cs="Times New Roman"/>
          <w:color w:val="000000"/>
          <w:szCs w:val="21"/>
        </w:rPr>
        <w:t>IEC技术委员会</w:t>
      </w:r>
      <w:r>
        <w:rPr>
          <w:rFonts w:hint="eastAsia" w:ascii="微软雅黑" w:hAnsi="微软雅黑" w:eastAsia="微软雅黑" w:cs="Times New Roman"/>
          <w:color w:val="000000"/>
          <w:szCs w:val="21"/>
        </w:rPr>
        <w:t>要求</w:t>
      </w:r>
      <w:bookmarkStart w:id="4" w:name="OLE_LINK60"/>
      <w:r>
        <w:rPr>
          <w:rFonts w:hint="eastAsia" w:ascii="微软雅黑" w:hAnsi="微软雅黑" w:eastAsia="微软雅黑" w:cs="Times New Roman"/>
          <w:color w:val="000000"/>
          <w:szCs w:val="21"/>
        </w:rPr>
        <w:t>（有补充引用）</w:t>
      </w:r>
      <w:bookmarkEnd w:id="4"/>
    </w:p>
    <w:p w14:paraId="55FB858F">
      <w:pPr>
        <w:numPr>
          <w:ilvl w:val="0"/>
          <w:numId w:val="5"/>
        </w:numPr>
        <w:autoSpaceDE w:val="0"/>
        <w:autoSpaceDN w:val="0"/>
        <w:adjustRightInd w:val="0"/>
        <w:spacing w:before="120" w:after="120"/>
        <w:outlineLvl w:val="0"/>
        <w:rPr>
          <w:rFonts w:hint="eastAsia" w:ascii="微软雅黑" w:hAnsi="微软雅黑" w:eastAsia="微软雅黑" w:cs="Times New Roman"/>
          <w:bCs/>
          <w:sz w:val="32"/>
          <w:szCs w:val="32"/>
        </w:rPr>
      </w:pPr>
      <w:r>
        <w:rPr>
          <w:rFonts w:hint="eastAsia" w:ascii="微软雅黑" w:hAnsi="微软雅黑" w:eastAsia="微软雅黑" w:cs="Times New Roman"/>
          <w:bCs/>
          <w:sz w:val="32"/>
          <w:szCs w:val="32"/>
        </w:rPr>
        <w:t>需求一览表</w:t>
      </w:r>
      <w:bookmarkEnd w:id="0"/>
      <w:bookmarkEnd w:id="1"/>
    </w:p>
    <w:tbl>
      <w:tblPr>
        <w:tblStyle w:val="31"/>
        <w:tblW w:w="105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6"/>
        <w:gridCol w:w="1229"/>
        <w:gridCol w:w="1124"/>
        <w:gridCol w:w="3076"/>
        <w:gridCol w:w="851"/>
        <w:gridCol w:w="851"/>
        <w:gridCol w:w="916"/>
        <w:gridCol w:w="1173"/>
        <w:gridCol w:w="720"/>
      </w:tblGrid>
      <w:tr w14:paraId="637D0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vAlign w:val="center"/>
          </w:tcPr>
          <w:p w14:paraId="24064BBB">
            <w:pPr>
              <w:adjustRightInd w:val="0"/>
              <w:snapToGrid w:val="0"/>
              <w:jc w:val="center"/>
              <w:outlineLvl w:val="1"/>
              <w:rPr>
                <w:rFonts w:hint="eastAsia" w:ascii="微软雅黑" w:hAnsi="微软雅黑" w:eastAsia="微软雅黑" w:cs="Times New Roman"/>
                <w:szCs w:val="21"/>
              </w:rPr>
            </w:pPr>
            <w:r>
              <w:rPr>
                <w:rFonts w:ascii="微软雅黑" w:hAnsi="微软雅黑" w:eastAsia="微软雅黑" w:cs="Times New Roman"/>
                <w:szCs w:val="21"/>
              </w:rPr>
              <w:t>序号</w:t>
            </w:r>
          </w:p>
        </w:tc>
        <w:tc>
          <w:tcPr>
            <w:tcW w:w="1229" w:type="dxa"/>
            <w:vAlign w:val="center"/>
          </w:tcPr>
          <w:p w14:paraId="7BA6B59E">
            <w:pPr>
              <w:adjustRightInd w:val="0"/>
              <w:snapToGrid w:val="0"/>
              <w:jc w:val="center"/>
              <w:outlineLvl w:val="1"/>
              <w:rPr>
                <w:rFonts w:hint="eastAsia" w:ascii="微软雅黑" w:hAnsi="微软雅黑" w:eastAsia="微软雅黑" w:cs="Times New Roman"/>
                <w:szCs w:val="21"/>
              </w:rPr>
            </w:pPr>
            <w:r>
              <w:rPr>
                <w:rFonts w:hint="eastAsia" w:ascii="微软雅黑" w:hAnsi="微软雅黑" w:eastAsia="微软雅黑" w:cs="Times New Roman"/>
                <w:szCs w:val="21"/>
              </w:rPr>
              <w:t>物料编码</w:t>
            </w:r>
          </w:p>
        </w:tc>
        <w:tc>
          <w:tcPr>
            <w:tcW w:w="1124" w:type="dxa"/>
            <w:vAlign w:val="center"/>
          </w:tcPr>
          <w:p w14:paraId="4FA01150">
            <w:pPr>
              <w:adjustRightInd w:val="0"/>
              <w:snapToGrid w:val="0"/>
              <w:jc w:val="center"/>
              <w:outlineLvl w:val="1"/>
              <w:rPr>
                <w:rFonts w:hint="eastAsia" w:ascii="微软雅黑" w:hAnsi="微软雅黑" w:eastAsia="微软雅黑" w:cs="Times New Roman"/>
                <w:szCs w:val="21"/>
              </w:rPr>
            </w:pPr>
            <w:r>
              <w:rPr>
                <w:rFonts w:hint="eastAsia" w:ascii="微软雅黑" w:hAnsi="微软雅黑" w:eastAsia="微软雅黑" w:cs="Times New Roman"/>
                <w:szCs w:val="21"/>
              </w:rPr>
              <w:t>物资</w:t>
            </w:r>
            <w:r>
              <w:rPr>
                <w:rFonts w:ascii="微软雅黑" w:hAnsi="微软雅黑" w:eastAsia="微软雅黑" w:cs="Times New Roman"/>
                <w:szCs w:val="21"/>
              </w:rPr>
              <w:t>名称</w:t>
            </w:r>
          </w:p>
        </w:tc>
        <w:tc>
          <w:tcPr>
            <w:tcW w:w="3076" w:type="dxa"/>
            <w:vAlign w:val="center"/>
          </w:tcPr>
          <w:p w14:paraId="44995468">
            <w:pPr>
              <w:adjustRightInd w:val="0"/>
              <w:snapToGrid w:val="0"/>
              <w:jc w:val="center"/>
              <w:outlineLvl w:val="1"/>
              <w:rPr>
                <w:rFonts w:hint="eastAsia" w:ascii="微软雅黑" w:hAnsi="微软雅黑" w:eastAsia="微软雅黑" w:cs="Times New Roman"/>
                <w:szCs w:val="21"/>
              </w:rPr>
            </w:pPr>
            <w:r>
              <w:rPr>
                <w:rFonts w:ascii="微软雅黑" w:hAnsi="微软雅黑" w:eastAsia="微软雅黑" w:cs="Times New Roman"/>
                <w:szCs w:val="21"/>
              </w:rPr>
              <w:t>规格型号</w:t>
            </w:r>
          </w:p>
        </w:tc>
        <w:tc>
          <w:tcPr>
            <w:tcW w:w="851" w:type="dxa"/>
            <w:vAlign w:val="center"/>
          </w:tcPr>
          <w:p w14:paraId="318C85B9">
            <w:pPr>
              <w:adjustRightInd w:val="0"/>
              <w:snapToGrid w:val="0"/>
              <w:jc w:val="center"/>
              <w:outlineLvl w:val="1"/>
              <w:rPr>
                <w:rFonts w:hint="eastAsia" w:ascii="微软雅黑" w:hAnsi="微软雅黑" w:eastAsia="微软雅黑" w:cs="Times New Roman"/>
                <w:szCs w:val="21"/>
              </w:rPr>
            </w:pPr>
            <w:r>
              <w:rPr>
                <w:rFonts w:ascii="微软雅黑" w:hAnsi="微软雅黑" w:eastAsia="微软雅黑" w:cs="Times New Roman"/>
                <w:szCs w:val="21"/>
              </w:rPr>
              <w:t>数量</w:t>
            </w:r>
          </w:p>
        </w:tc>
        <w:tc>
          <w:tcPr>
            <w:tcW w:w="851" w:type="dxa"/>
            <w:vAlign w:val="center"/>
          </w:tcPr>
          <w:p w14:paraId="1019792B">
            <w:pPr>
              <w:adjustRightInd w:val="0"/>
              <w:snapToGrid w:val="0"/>
              <w:jc w:val="center"/>
              <w:outlineLvl w:val="1"/>
              <w:rPr>
                <w:rFonts w:hint="eastAsia" w:ascii="微软雅黑" w:hAnsi="微软雅黑" w:eastAsia="微软雅黑" w:cs="Times New Roman"/>
                <w:szCs w:val="21"/>
              </w:rPr>
            </w:pPr>
            <w:r>
              <w:rPr>
                <w:rFonts w:ascii="微软雅黑" w:hAnsi="微软雅黑" w:eastAsia="微软雅黑" w:cs="Times New Roman"/>
                <w:szCs w:val="21"/>
              </w:rPr>
              <w:t>单位</w:t>
            </w:r>
          </w:p>
        </w:tc>
        <w:tc>
          <w:tcPr>
            <w:tcW w:w="916" w:type="dxa"/>
            <w:vAlign w:val="center"/>
          </w:tcPr>
          <w:p w14:paraId="4DCFC906">
            <w:pPr>
              <w:adjustRightInd w:val="0"/>
              <w:snapToGrid w:val="0"/>
              <w:jc w:val="center"/>
              <w:outlineLvl w:val="1"/>
              <w:rPr>
                <w:rFonts w:hint="eastAsia" w:ascii="微软雅黑" w:hAnsi="微软雅黑" w:eastAsia="微软雅黑" w:cs="Times New Roman"/>
                <w:szCs w:val="21"/>
              </w:rPr>
            </w:pPr>
            <w:r>
              <w:rPr>
                <w:rFonts w:ascii="微软雅黑" w:hAnsi="微软雅黑" w:eastAsia="微软雅黑" w:cs="Times New Roman"/>
                <w:szCs w:val="21"/>
              </w:rPr>
              <w:t>交货期</w:t>
            </w:r>
          </w:p>
        </w:tc>
        <w:tc>
          <w:tcPr>
            <w:tcW w:w="1173" w:type="dxa"/>
            <w:vAlign w:val="center"/>
          </w:tcPr>
          <w:p w14:paraId="2F764FAE">
            <w:pPr>
              <w:adjustRightInd w:val="0"/>
              <w:snapToGrid w:val="0"/>
              <w:jc w:val="center"/>
              <w:outlineLvl w:val="1"/>
              <w:rPr>
                <w:rFonts w:hint="eastAsia" w:ascii="微软雅黑" w:hAnsi="微软雅黑" w:eastAsia="微软雅黑" w:cs="Times New Roman"/>
                <w:szCs w:val="21"/>
              </w:rPr>
            </w:pPr>
            <w:r>
              <w:rPr>
                <w:rFonts w:ascii="微软雅黑" w:hAnsi="微软雅黑" w:eastAsia="微软雅黑" w:cs="Times New Roman"/>
                <w:szCs w:val="21"/>
              </w:rPr>
              <w:t>交货地点</w:t>
            </w:r>
          </w:p>
        </w:tc>
        <w:tc>
          <w:tcPr>
            <w:tcW w:w="720" w:type="dxa"/>
            <w:vAlign w:val="center"/>
          </w:tcPr>
          <w:p w14:paraId="55D0BFE5">
            <w:pPr>
              <w:adjustRightInd w:val="0"/>
              <w:snapToGrid w:val="0"/>
              <w:jc w:val="center"/>
              <w:outlineLvl w:val="1"/>
              <w:rPr>
                <w:rFonts w:hint="eastAsia" w:ascii="微软雅黑" w:hAnsi="微软雅黑" w:eastAsia="微软雅黑" w:cs="Times New Roman"/>
                <w:szCs w:val="21"/>
              </w:rPr>
            </w:pPr>
            <w:r>
              <w:rPr>
                <w:rFonts w:hint="eastAsia" w:ascii="微软雅黑" w:hAnsi="微软雅黑" w:eastAsia="微软雅黑" w:cs="Times New Roman"/>
                <w:szCs w:val="21"/>
              </w:rPr>
              <w:t>备注</w:t>
            </w:r>
          </w:p>
        </w:tc>
      </w:tr>
      <w:tr w14:paraId="13263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vAlign w:val="center"/>
          </w:tcPr>
          <w:p w14:paraId="04B655B2">
            <w:pPr>
              <w:spacing w:line="479" w:lineRule="exact"/>
              <w:jc w:val="center"/>
              <w:outlineLvl w:val="1"/>
              <w:rPr>
                <w:rFonts w:hint="eastAsia" w:ascii="微软雅黑" w:hAnsi="微软雅黑" w:eastAsia="微软雅黑" w:cs="微软雅黑"/>
                <w:color w:val="000000"/>
                <w:spacing w:val="2"/>
                <w:szCs w:val="21"/>
                <w:lang w:bidi="ar"/>
              </w:rPr>
            </w:pPr>
            <w:r>
              <w:rPr>
                <w:rFonts w:hint="eastAsia" w:ascii="微软雅黑" w:hAnsi="微软雅黑" w:eastAsia="微软雅黑" w:cs="微软雅黑"/>
                <w:color w:val="000000"/>
                <w:spacing w:val="2"/>
                <w:szCs w:val="21"/>
                <w:lang w:bidi="ar"/>
              </w:rPr>
              <w:t>1</w:t>
            </w:r>
          </w:p>
        </w:tc>
        <w:tc>
          <w:tcPr>
            <w:tcW w:w="1229" w:type="dxa"/>
            <w:vAlign w:val="center"/>
          </w:tcPr>
          <w:p w14:paraId="10CBBDA8">
            <w:pPr>
              <w:widowControl/>
              <w:jc w:val="center"/>
              <w:textAlignment w:val="center"/>
              <w:rPr>
                <w:rFonts w:hint="eastAsia" w:ascii="微软雅黑" w:hAnsi="微软雅黑" w:eastAsia="微软雅黑" w:cs="微软雅黑"/>
                <w:color w:val="000000"/>
                <w:kern w:val="0"/>
                <w:szCs w:val="21"/>
                <w:lang w:bidi="ar"/>
              </w:rPr>
            </w:pPr>
            <w:r>
              <w:rPr>
                <w:rFonts w:ascii="微软雅黑" w:hAnsi="微软雅黑" w:eastAsia="微软雅黑" w:cs="微软雅黑"/>
                <w:color w:val="000000"/>
                <w:kern w:val="0"/>
                <w:szCs w:val="21"/>
                <w:lang w:bidi="ar"/>
              </w:rPr>
              <w:t>85159216</w:t>
            </w:r>
          </w:p>
        </w:tc>
        <w:tc>
          <w:tcPr>
            <w:tcW w:w="1124" w:type="dxa"/>
            <w:vAlign w:val="center"/>
          </w:tcPr>
          <w:p w14:paraId="2A5672BF">
            <w:pPr>
              <w:widowControl/>
              <w:jc w:val="center"/>
              <w:textAlignment w:val="center"/>
              <w:rPr>
                <w:rFonts w:hint="eastAsia" w:ascii="微软雅黑" w:hAnsi="微软雅黑" w:eastAsia="微软雅黑" w:cs="微软雅黑"/>
                <w:kern w:val="0"/>
                <w:szCs w:val="21"/>
                <w:lang w:bidi="ar"/>
              </w:rPr>
            </w:pPr>
            <w:r>
              <w:rPr>
                <w:rFonts w:hint="eastAsia" w:ascii="微软雅黑" w:hAnsi="微软雅黑" w:eastAsia="微软雅黑" w:cs="微软雅黑"/>
                <w:kern w:val="0"/>
                <w:szCs w:val="21"/>
                <w:lang w:bidi="ar"/>
              </w:rPr>
              <w:t>UPS主机</w:t>
            </w:r>
          </w:p>
        </w:tc>
        <w:tc>
          <w:tcPr>
            <w:tcW w:w="3076" w:type="dxa"/>
          </w:tcPr>
          <w:p w14:paraId="6D613113">
            <w:pPr>
              <w:widowControl/>
              <w:jc w:val="center"/>
              <w:textAlignment w:val="center"/>
              <w:rPr>
                <w:rFonts w:hint="eastAsia" w:ascii="微软雅黑" w:hAnsi="微软雅黑" w:eastAsia="微软雅黑" w:cs="微软雅黑"/>
                <w:kern w:val="0"/>
                <w:szCs w:val="21"/>
                <w:lang w:bidi="ar"/>
              </w:rPr>
            </w:pPr>
            <w:r>
              <w:rPr>
                <w:rFonts w:hint="eastAsia" w:ascii="微软雅黑" w:hAnsi="微软雅黑" w:eastAsia="微软雅黑" w:cs="微软雅黑"/>
                <w:kern w:val="0"/>
                <w:szCs w:val="21"/>
                <w:lang w:bidi="ar"/>
              </w:rPr>
              <w:t>UPS主机\380V\217.8～222.2V\220V\50Hz\IP23\40kVA\锂离子电池\1h\1组</w:t>
            </w:r>
          </w:p>
        </w:tc>
        <w:tc>
          <w:tcPr>
            <w:tcW w:w="851" w:type="dxa"/>
            <w:vAlign w:val="center"/>
          </w:tcPr>
          <w:p w14:paraId="29D1FE2C">
            <w:pPr>
              <w:widowControl/>
              <w:jc w:val="center"/>
              <w:textAlignment w:val="center"/>
              <w:rPr>
                <w:rFonts w:hint="eastAsia" w:ascii="微软雅黑" w:hAnsi="微软雅黑" w:eastAsia="微软雅黑" w:cs="Times New Roman"/>
                <w:color w:val="000000"/>
                <w:kern w:val="0"/>
                <w:szCs w:val="21"/>
              </w:rPr>
            </w:pPr>
            <w:r>
              <w:rPr>
                <w:rFonts w:hint="eastAsia" w:ascii="微软雅黑" w:hAnsi="微软雅黑" w:eastAsia="微软雅黑" w:cs="微软雅黑"/>
                <w:color w:val="000000"/>
                <w:kern w:val="0"/>
                <w:szCs w:val="21"/>
                <w:lang w:bidi="ar"/>
              </w:rPr>
              <w:t>2</w:t>
            </w:r>
          </w:p>
        </w:tc>
        <w:tc>
          <w:tcPr>
            <w:tcW w:w="851" w:type="dxa"/>
            <w:vAlign w:val="center"/>
          </w:tcPr>
          <w:p w14:paraId="30D3276D">
            <w:pPr>
              <w:widowControl/>
              <w:jc w:val="center"/>
              <w:textAlignment w:val="center"/>
              <w:rPr>
                <w:rFonts w:hint="eastAsia" w:ascii="微软雅黑" w:hAnsi="微软雅黑" w:eastAsia="微软雅黑" w:cs="微软雅黑"/>
                <w:kern w:val="0"/>
                <w:szCs w:val="21"/>
                <w:lang w:bidi="ar"/>
              </w:rPr>
            </w:pPr>
            <w:r>
              <w:rPr>
                <w:rFonts w:hint="eastAsia" w:ascii="微软雅黑" w:hAnsi="微软雅黑" w:eastAsia="微软雅黑" w:cs="微软雅黑"/>
                <w:kern w:val="0"/>
                <w:szCs w:val="21"/>
                <w:lang w:bidi="ar"/>
              </w:rPr>
              <w:t>套</w:t>
            </w:r>
          </w:p>
        </w:tc>
        <w:tc>
          <w:tcPr>
            <w:tcW w:w="916" w:type="dxa"/>
            <w:vMerge w:val="restart"/>
            <w:vAlign w:val="center"/>
          </w:tcPr>
          <w:p w14:paraId="7715EAD2">
            <w:pPr>
              <w:spacing w:line="479" w:lineRule="exact"/>
              <w:jc w:val="center"/>
              <w:outlineLvl w:val="1"/>
              <w:rPr>
                <w:rFonts w:hint="eastAsia" w:ascii="微软雅黑" w:hAnsi="微软雅黑" w:eastAsia="微软雅黑" w:cs="Times New Roman"/>
                <w:szCs w:val="21"/>
              </w:rPr>
            </w:pPr>
            <w:r>
              <w:rPr>
                <w:rFonts w:hint="eastAsia" w:ascii="微软雅黑" w:hAnsi="微软雅黑" w:eastAsia="微软雅黑" w:cs="微软雅黑"/>
                <w:szCs w:val="21"/>
                <w:lang w:bidi="ar"/>
              </w:rPr>
              <w:t>合同签订后60天内（具体供货日期以招标方通知为准）</w:t>
            </w:r>
          </w:p>
        </w:tc>
        <w:tc>
          <w:tcPr>
            <w:tcW w:w="1173" w:type="dxa"/>
            <w:vMerge w:val="restart"/>
            <w:vAlign w:val="center"/>
          </w:tcPr>
          <w:p w14:paraId="5580C055">
            <w:pPr>
              <w:spacing w:line="479" w:lineRule="exact"/>
              <w:jc w:val="center"/>
              <w:outlineLvl w:val="1"/>
              <w:rPr>
                <w:rFonts w:hint="eastAsia" w:ascii="微软雅黑" w:hAnsi="微软雅黑" w:eastAsia="微软雅黑" w:cs="Times New Roman"/>
                <w:szCs w:val="21"/>
              </w:rPr>
            </w:pPr>
            <w:r>
              <w:rPr>
                <w:rFonts w:hint="eastAsia" w:ascii="微软雅黑" w:hAnsi="微软雅黑" w:eastAsia="微软雅黑" w:cs="微软雅黑"/>
                <w:szCs w:val="21"/>
                <w:lang w:bidi="ar"/>
              </w:rPr>
              <w:t>天津市滨海新区石油新村路与石油南路南100米</w:t>
            </w:r>
          </w:p>
        </w:tc>
        <w:tc>
          <w:tcPr>
            <w:tcW w:w="720" w:type="dxa"/>
            <w:vMerge w:val="restart"/>
            <w:vAlign w:val="center"/>
          </w:tcPr>
          <w:p w14:paraId="35EC235C">
            <w:pPr>
              <w:spacing w:line="479" w:lineRule="exact"/>
              <w:jc w:val="center"/>
              <w:outlineLvl w:val="1"/>
              <w:rPr>
                <w:rFonts w:ascii="Times New Roman" w:hAnsi="Times New Roman" w:eastAsia="微软雅黑" w:cs="Times New Roman"/>
                <w:szCs w:val="21"/>
                <w:shd w:val="clear" w:color="auto" w:fill="FFFFFF"/>
              </w:rPr>
            </w:pPr>
          </w:p>
        </w:tc>
      </w:tr>
      <w:tr w14:paraId="1B22D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vAlign w:val="center"/>
          </w:tcPr>
          <w:p w14:paraId="0145FC11">
            <w:pPr>
              <w:spacing w:line="479" w:lineRule="exact"/>
              <w:jc w:val="center"/>
              <w:outlineLvl w:val="1"/>
              <w:rPr>
                <w:rFonts w:hint="eastAsia" w:ascii="微软雅黑" w:hAnsi="微软雅黑" w:eastAsia="微软雅黑" w:cs="微软雅黑"/>
                <w:color w:val="000000"/>
                <w:spacing w:val="2"/>
                <w:szCs w:val="21"/>
                <w:lang w:bidi="ar"/>
              </w:rPr>
            </w:pPr>
            <w:r>
              <w:rPr>
                <w:rFonts w:hint="eastAsia" w:ascii="微软雅黑" w:hAnsi="微软雅黑" w:eastAsia="微软雅黑" w:cs="微软雅黑"/>
                <w:color w:val="000000"/>
                <w:spacing w:val="2"/>
                <w:szCs w:val="21"/>
                <w:lang w:bidi="ar"/>
              </w:rPr>
              <w:t>2</w:t>
            </w:r>
          </w:p>
        </w:tc>
        <w:tc>
          <w:tcPr>
            <w:tcW w:w="1229" w:type="dxa"/>
            <w:vAlign w:val="center"/>
          </w:tcPr>
          <w:p w14:paraId="2A9D54F6">
            <w:pPr>
              <w:widowControl/>
              <w:jc w:val="center"/>
              <w:textAlignment w:val="center"/>
              <w:rPr>
                <w:rFonts w:hint="eastAsia" w:ascii="微软雅黑" w:hAnsi="微软雅黑" w:eastAsia="微软雅黑" w:cs="微软雅黑"/>
                <w:color w:val="000000"/>
                <w:kern w:val="0"/>
                <w:szCs w:val="21"/>
                <w:lang w:bidi="ar"/>
              </w:rPr>
            </w:pPr>
            <w:r>
              <w:rPr>
                <w:rFonts w:ascii="微软雅黑" w:hAnsi="微软雅黑" w:eastAsia="微软雅黑" w:cs="微软雅黑"/>
                <w:color w:val="000000"/>
                <w:kern w:val="0"/>
                <w:szCs w:val="21"/>
                <w:lang w:bidi="ar"/>
              </w:rPr>
              <w:t>8515921</w:t>
            </w:r>
            <w:r>
              <w:rPr>
                <w:rFonts w:hint="eastAsia" w:ascii="微软雅黑" w:hAnsi="微软雅黑" w:eastAsia="微软雅黑" w:cs="微软雅黑"/>
                <w:color w:val="000000"/>
                <w:kern w:val="0"/>
                <w:szCs w:val="21"/>
                <w:lang w:bidi="ar"/>
              </w:rPr>
              <w:t>7</w:t>
            </w:r>
          </w:p>
        </w:tc>
        <w:tc>
          <w:tcPr>
            <w:tcW w:w="1124" w:type="dxa"/>
            <w:vAlign w:val="center"/>
          </w:tcPr>
          <w:p w14:paraId="5E83C378">
            <w:pPr>
              <w:widowControl/>
              <w:jc w:val="center"/>
              <w:textAlignment w:val="center"/>
              <w:rPr>
                <w:rFonts w:hint="eastAsia" w:ascii="微软雅黑" w:hAnsi="微软雅黑" w:eastAsia="微软雅黑" w:cs="微软雅黑"/>
                <w:kern w:val="0"/>
                <w:szCs w:val="21"/>
                <w:lang w:bidi="ar"/>
              </w:rPr>
            </w:pPr>
            <w:r>
              <w:rPr>
                <w:rFonts w:hint="eastAsia" w:ascii="微软雅黑" w:hAnsi="微软雅黑" w:eastAsia="微软雅黑" w:cs="微软雅黑"/>
                <w:kern w:val="0"/>
                <w:szCs w:val="21"/>
                <w:lang w:bidi="ar"/>
              </w:rPr>
              <w:t>UPS旁路柜</w:t>
            </w:r>
          </w:p>
        </w:tc>
        <w:tc>
          <w:tcPr>
            <w:tcW w:w="3076" w:type="dxa"/>
          </w:tcPr>
          <w:p w14:paraId="232C9A76">
            <w:pPr>
              <w:widowControl/>
              <w:jc w:val="center"/>
              <w:textAlignment w:val="center"/>
              <w:rPr>
                <w:rFonts w:hint="eastAsia" w:ascii="微软雅黑" w:hAnsi="微软雅黑" w:eastAsia="微软雅黑" w:cs="微软雅黑"/>
                <w:kern w:val="0"/>
                <w:szCs w:val="21"/>
                <w:lang w:bidi="ar"/>
              </w:rPr>
            </w:pPr>
            <w:r>
              <w:rPr>
                <w:rFonts w:hint="eastAsia" w:ascii="微软雅黑" w:hAnsi="微软雅黑" w:eastAsia="微软雅黑" w:cs="微软雅黑"/>
                <w:kern w:val="0"/>
                <w:szCs w:val="21"/>
                <w:lang w:bidi="ar"/>
              </w:rPr>
              <w:t>旁路柜\220V\180A\IP23\非防爆\800mm×800mm×1800mm\冷轧板</w:t>
            </w:r>
          </w:p>
        </w:tc>
        <w:tc>
          <w:tcPr>
            <w:tcW w:w="851" w:type="dxa"/>
            <w:vAlign w:val="center"/>
          </w:tcPr>
          <w:p w14:paraId="0BBE6B80">
            <w:pPr>
              <w:widowControl/>
              <w:jc w:val="center"/>
              <w:textAlignment w:val="center"/>
              <w:rPr>
                <w:rFonts w:hint="eastAsia" w:ascii="微软雅黑" w:hAnsi="微软雅黑" w:eastAsia="微软雅黑" w:cs="Times New Roman"/>
                <w:color w:val="000000"/>
                <w:kern w:val="0"/>
                <w:szCs w:val="21"/>
              </w:rPr>
            </w:pPr>
            <w:r>
              <w:rPr>
                <w:rFonts w:hint="eastAsia" w:ascii="微软雅黑" w:hAnsi="微软雅黑" w:eastAsia="微软雅黑" w:cs="微软雅黑"/>
                <w:color w:val="000000"/>
                <w:kern w:val="0"/>
                <w:szCs w:val="21"/>
                <w:lang w:bidi="ar"/>
              </w:rPr>
              <w:t>1</w:t>
            </w:r>
          </w:p>
        </w:tc>
        <w:tc>
          <w:tcPr>
            <w:tcW w:w="851" w:type="dxa"/>
            <w:vAlign w:val="center"/>
          </w:tcPr>
          <w:p w14:paraId="32C3BB37">
            <w:pPr>
              <w:widowControl/>
              <w:jc w:val="center"/>
              <w:textAlignment w:val="center"/>
              <w:rPr>
                <w:rFonts w:hint="eastAsia" w:ascii="微软雅黑" w:hAnsi="微软雅黑" w:eastAsia="微软雅黑" w:cs="微软雅黑"/>
                <w:kern w:val="0"/>
                <w:szCs w:val="21"/>
                <w:lang w:bidi="ar"/>
              </w:rPr>
            </w:pPr>
            <w:r>
              <w:rPr>
                <w:rFonts w:hint="eastAsia" w:ascii="微软雅黑" w:hAnsi="微软雅黑" w:eastAsia="微软雅黑" w:cs="微软雅黑"/>
                <w:kern w:val="0"/>
                <w:szCs w:val="21"/>
                <w:lang w:bidi="ar"/>
              </w:rPr>
              <w:t>套</w:t>
            </w:r>
          </w:p>
        </w:tc>
        <w:tc>
          <w:tcPr>
            <w:tcW w:w="916" w:type="dxa"/>
            <w:vMerge w:val="continue"/>
            <w:vAlign w:val="center"/>
          </w:tcPr>
          <w:p w14:paraId="468176A8">
            <w:pPr>
              <w:spacing w:line="479" w:lineRule="exact"/>
              <w:jc w:val="center"/>
              <w:outlineLvl w:val="1"/>
              <w:rPr>
                <w:rFonts w:hint="eastAsia" w:ascii="微软雅黑" w:hAnsi="微软雅黑" w:eastAsia="微软雅黑" w:cs="Times New Roman"/>
                <w:szCs w:val="21"/>
              </w:rPr>
            </w:pPr>
          </w:p>
        </w:tc>
        <w:tc>
          <w:tcPr>
            <w:tcW w:w="1173" w:type="dxa"/>
            <w:vMerge w:val="continue"/>
            <w:vAlign w:val="center"/>
          </w:tcPr>
          <w:p w14:paraId="32F2974C">
            <w:pPr>
              <w:spacing w:line="479" w:lineRule="exact"/>
              <w:jc w:val="center"/>
              <w:outlineLvl w:val="1"/>
              <w:rPr>
                <w:rFonts w:hint="eastAsia" w:ascii="微软雅黑" w:hAnsi="微软雅黑" w:eastAsia="微软雅黑" w:cs="Times New Roman"/>
                <w:szCs w:val="21"/>
              </w:rPr>
            </w:pPr>
          </w:p>
        </w:tc>
        <w:tc>
          <w:tcPr>
            <w:tcW w:w="720" w:type="dxa"/>
            <w:vMerge w:val="continue"/>
            <w:vAlign w:val="center"/>
          </w:tcPr>
          <w:p w14:paraId="053EB508">
            <w:pPr>
              <w:spacing w:line="479" w:lineRule="exact"/>
              <w:jc w:val="center"/>
              <w:outlineLvl w:val="1"/>
              <w:rPr>
                <w:rFonts w:ascii="Times New Roman" w:hAnsi="Times New Roman" w:eastAsia="微软雅黑" w:cs="Times New Roman"/>
                <w:szCs w:val="21"/>
                <w:shd w:val="clear" w:color="auto" w:fill="FFFFFF"/>
              </w:rPr>
            </w:pPr>
          </w:p>
        </w:tc>
      </w:tr>
    </w:tbl>
    <w:p w14:paraId="3D3DB702">
      <w:pPr>
        <w:autoSpaceDE w:val="0"/>
        <w:autoSpaceDN w:val="0"/>
        <w:adjustRightInd w:val="0"/>
        <w:spacing w:before="120" w:after="120"/>
        <w:outlineLvl w:val="0"/>
        <w:rPr>
          <w:rFonts w:hint="eastAsia" w:ascii="微软雅黑" w:hAnsi="微软雅黑" w:eastAsia="微软雅黑" w:cs="Times New Roman"/>
          <w:bCs/>
          <w:sz w:val="32"/>
          <w:szCs w:val="32"/>
        </w:rPr>
      </w:pPr>
      <w:bookmarkStart w:id="5" w:name="_Toc13249326"/>
      <w:bookmarkStart w:id="6" w:name="_Toc13248929"/>
      <w:r>
        <w:rPr>
          <w:rFonts w:hint="eastAsia" w:ascii="微软雅黑" w:hAnsi="微软雅黑" w:eastAsia="微软雅黑" w:cs="Times New Roman"/>
          <w:bCs/>
          <w:sz w:val="32"/>
          <w:szCs w:val="32"/>
        </w:rPr>
        <w:t>三、执行标准/规范</w:t>
      </w:r>
    </w:p>
    <w:p w14:paraId="38566C07">
      <w:pPr>
        <w:autoSpaceDE w:val="0"/>
        <w:autoSpaceDN w:val="0"/>
        <w:adjustRightInd w:val="0"/>
        <w:snapToGrid w:val="0"/>
        <w:spacing w:line="360" w:lineRule="auto"/>
        <w:ind w:firstLine="420" w:firstLineChars="200"/>
        <w:rPr>
          <w:rFonts w:hint="eastAsia" w:ascii="微软雅黑" w:hAnsi="微软雅黑" w:eastAsia="微软雅黑" w:cs="Times New Roman"/>
          <w:szCs w:val="21"/>
        </w:rPr>
      </w:pPr>
      <w:r>
        <w:rPr>
          <w:rFonts w:hint="eastAsia" w:ascii="微软雅黑" w:hAnsi="微软雅黑" w:eastAsia="微软雅黑" w:cs="Times New Roman"/>
          <w:szCs w:val="21"/>
        </w:rPr>
        <w:t>下列标准规范对于本文件的应用是必不可少的，本次采购主要引用的采购标准如下，当标准规范与技术文件相冲突时，应按照文件优先级执行：在寻源和合同的执行过程中，如果技术文件和各类标准等文件之间出现矛盾，卖方应在交货之前向买方提出澄清申请。文件的优先执行顺序由高到低为：</w:t>
      </w:r>
    </w:p>
    <w:p w14:paraId="1C6D76F2">
      <w:pPr>
        <w:numPr>
          <w:ilvl w:val="0"/>
          <w:numId w:val="6"/>
        </w:numPr>
        <w:autoSpaceDE w:val="0"/>
        <w:autoSpaceDN w:val="0"/>
        <w:adjustRightInd w:val="0"/>
        <w:snapToGrid w:val="0"/>
        <w:spacing w:line="360" w:lineRule="auto"/>
        <w:ind w:left="0" w:firstLine="420" w:firstLineChars="200"/>
        <w:rPr>
          <w:rFonts w:hint="eastAsia" w:ascii="微软雅黑" w:hAnsi="微软雅黑" w:eastAsia="微软雅黑" w:cs="Times New Roman"/>
          <w:szCs w:val="21"/>
        </w:rPr>
      </w:pPr>
      <w:r>
        <w:rPr>
          <w:rFonts w:hint="eastAsia" w:ascii="微软雅黑" w:hAnsi="微软雅黑" w:eastAsia="微软雅黑" w:cs="Times New Roman"/>
          <w:szCs w:val="21"/>
        </w:rPr>
        <w:t>中华人民共和国强制执行的国家法律、法规和标准</w:t>
      </w:r>
    </w:p>
    <w:p w14:paraId="1C262B01">
      <w:pPr>
        <w:numPr>
          <w:ilvl w:val="0"/>
          <w:numId w:val="6"/>
        </w:numPr>
        <w:autoSpaceDE w:val="0"/>
        <w:autoSpaceDN w:val="0"/>
        <w:adjustRightInd w:val="0"/>
        <w:snapToGrid w:val="0"/>
        <w:spacing w:line="360" w:lineRule="auto"/>
        <w:ind w:left="0" w:firstLine="420" w:firstLineChars="200"/>
        <w:rPr>
          <w:rFonts w:hint="eastAsia" w:ascii="微软雅黑" w:hAnsi="微软雅黑" w:eastAsia="微软雅黑" w:cs="Times New Roman"/>
          <w:szCs w:val="21"/>
        </w:rPr>
      </w:pPr>
      <w:r>
        <w:rPr>
          <w:rFonts w:hint="eastAsia" w:ascii="微软雅黑" w:hAnsi="微软雅黑" w:eastAsia="微软雅黑" w:cs="Times New Roman"/>
          <w:szCs w:val="21"/>
        </w:rPr>
        <w:t>中国海油集团公司强制执行的行业标准</w:t>
      </w:r>
    </w:p>
    <w:p w14:paraId="17C91084">
      <w:pPr>
        <w:numPr>
          <w:ilvl w:val="0"/>
          <w:numId w:val="6"/>
        </w:numPr>
        <w:autoSpaceDE w:val="0"/>
        <w:autoSpaceDN w:val="0"/>
        <w:adjustRightInd w:val="0"/>
        <w:snapToGrid w:val="0"/>
        <w:spacing w:line="360" w:lineRule="auto"/>
        <w:ind w:left="0" w:firstLine="420" w:firstLineChars="200"/>
        <w:rPr>
          <w:rFonts w:hint="eastAsia" w:ascii="微软雅黑" w:hAnsi="微软雅黑" w:eastAsia="微软雅黑" w:cs="Times New Roman"/>
          <w:szCs w:val="21"/>
        </w:rPr>
      </w:pPr>
      <w:r>
        <w:rPr>
          <w:rFonts w:hint="eastAsia" w:ascii="微软雅黑" w:hAnsi="微软雅黑" w:eastAsia="微软雅黑" w:cs="Times New Roman"/>
          <w:szCs w:val="21"/>
        </w:rPr>
        <w:t>项目所在地强制执行标准</w:t>
      </w:r>
    </w:p>
    <w:p w14:paraId="621DFD92">
      <w:pPr>
        <w:numPr>
          <w:ilvl w:val="0"/>
          <w:numId w:val="6"/>
        </w:numPr>
        <w:autoSpaceDE w:val="0"/>
        <w:autoSpaceDN w:val="0"/>
        <w:adjustRightInd w:val="0"/>
        <w:snapToGrid w:val="0"/>
        <w:spacing w:line="360" w:lineRule="auto"/>
        <w:ind w:left="0" w:firstLine="420" w:firstLineChars="200"/>
        <w:rPr>
          <w:rFonts w:hint="eastAsia" w:ascii="微软雅黑" w:hAnsi="微软雅黑" w:eastAsia="微软雅黑" w:cs="Times New Roman"/>
          <w:szCs w:val="21"/>
        </w:rPr>
      </w:pPr>
      <w:r>
        <w:rPr>
          <w:rFonts w:hint="eastAsia" w:ascii="微软雅黑" w:hAnsi="微软雅黑" w:eastAsia="微软雅黑" w:cs="Times New Roman"/>
          <w:szCs w:val="21"/>
        </w:rPr>
        <w:t>本技术文件所附文件</w:t>
      </w:r>
    </w:p>
    <w:p w14:paraId="36C31417">
      <w:pPr>
        <w:numPr>
          <w:ilvl w:val="0"/>
          <w:numId w:val="6"/>
        </w:numPr>
        <w:autoSpaceDE w:val="0"/>
        <w:autoSpaceDN w:val="0"/>
        <w:adjustRightInd w:val="0"/>
        <w:snapToGrid w:val="0"/>
        <w:spacing w:line="360" w:lineRule="auto"/>
        <w:ind w:left="0" w:firstLine="420" w:firstLineChars="200"/>
        <w:rPr>
          <w:rFonts w:hint="eastAsia" w:ascii="微软雅黑" w:hAnsi="微软雅黑" w:eastAsia="微软雅黑" w:cs="Times New Roman"/>
          <w:szCs w:val="21"/>
        </w:rPr>
      </w:pPr>
      <w:r>
        <w:rPr>
          <w:rFonts w:hint="eastAsia" w:ascii="微软雅黑" w:hAnsi="微软雅黑" w:eastAsia="微软雅黑" w:cs="Times New Roman"/>
          <w:szCs w:val="21"/>
        </w:rPr>
        <w:t>非强制执行的行业标准</w:t>
      </w:r>
    </w:p>
    <w:p w14:paraId="63816EEB">
      <w:pPr>
        <w:numPr>
          <w:ilvl w:val="0"/>
          <w:numId w:val="6"/>
        </w:numPr>
        <w:autoSpaceDE w:val="0"/>
        <w:autoSpaceDN w:val="0"/>
        <w:adjustRightInd w:val="0"/>
        <w:snapToGrid w:val="0"/>
        <w:spacing w:line="360" w:lineRule="auto"/>
        <w:ind w:left="0" w:firstLine="420" w:firstLineChars="200"/>
        <w:rPr>
          <w:rFonts w:hint="eastAsia" w:ascii="微软雅黑" w:hAnsi="微软雅黑" w:eastAsia="微软雅黑" w:cs="Times New Roman"/>
          <w:szCs w:val="21"/>
        </w:rPr>
      </w:pPr>
      <w:r>
        <w:rPr>
          <w:rFonts w:hint="eastAsia" w:ascii="微软雅黑" w:hAnsi="微软雅黑" w:eastAsia="微软雅黑" w:cs="Times New Roman"/>
          <w:szCs w:val="21"/>
        </w:rPr>
        <w:t>非强制执行的国家标准</w:t>
      </w:r>
    </w:p>
    <w:p w14:paraId="18D42006">
      <w:pPr>
        <w:numPr>
          <w:ilvl w:val="0"/>
          <w:numId w:val="6"/>
        </w:numPr>
        <w:autoSpaceDE w:val="0"/>
        <w:autoSpaceDN w:val="0"/>
        <w:adjustRightInd w:val="0"/>
        <w:snapToGrid w:val="0"/>
        <w:spacing w:line="360" w:lineRule="auto"/>
        <w:ind w:left="0" w:firstLine="420" w:firstLineChars="200"/>
        <w:rPr>
          <w:rFonts w:hint="eastAsia" w:ascii="微软雅黑" w:hAnsi="微软雅黑" w:eastAsia="微软雅黑" w:cs="Times New Roman"/>
          <w:szCs w:val="21"/>
        </w:rPr>
      </w:pPr>
      <w:r>
        <w:rPr>
          <w:rFonts w:hint="eastAsia" w:ascii="微软雅黑" w:hAnsi="微软雅黑" w:eastAsia="微软雅黑" w:cs="Times New Roman"/>
          <w:szCs w:val="21"/>
        </w:rPr>
        <w:t>通用的国际标准</w:t>
      </w:r>
    </w:p>
    <w:p w14:paraId="7704E513">
      <w:pPr>
        <w:wordWrap w:val="0"/>
        <w:adjustRightInd w:val="0"/>
        <w:snapToGrid w:val="0"/>
        <w:spacing w:line="360" w:lineRule="auto"/>
        <w:ind w:firstLine="199" w:firstLineChars="95"/>
        <w:rPr>
          <w:rFonts w:hint="eastAsia" w:ascii="微软雅黑" w:hAnsi="微软雅黑" w:eastAsia="微软雅黑" w:cs="Times New Roman"/>
          <w:szCs w:val="21"/>
        </w:rPr>
      </w:pPr>
      <w:r>
        <w:rPr>
          <w:rFonts w:hint="eastAsia" w:ascii="微软雅黑" w:hAnsi="微软雅黑" w:eastAsia="微软雅黑" w:cs="Times New Roman"/>
          <w:szCs w:val="21"/>
        </w:rPr>
        <w:t>本项目执行标准/规范详见技术要求各设备引用标准：</w:t>
      </w:r>
    </w:p>
    <w:p w14:paraId="51136749">
      <w:pPr>
        <w:numPr>
          <w:ilvl w:val="0"/>
          <w:numId w:val="7"/>
        </w:numPr>
        <w:wordWrap w:val="0"/>
        <w:adjustRightInd w:val="0"/>
        <w:snapToGrid w:val="0"/>
        <w:spacing w:line="360" w:lineRule="auto"/>
        <w:rPr>
          <w:rFonts w:hint="eastAsia" w:ascii="微软雅黑" w:hAnsi="微软雅黑" w:eastAsia="微软雅黑" w:cs="Times New Roman"/>
          <w:szCs w:val="21"/>
        </w:rPr>
      </w:pPr>
      <w:r>
        <w:rPr>
          <w:rFonts w:hint="eastAsia" w:ascii="微软雅黑" w:hAnsi="微软雅黑" w:eastAsia="微软雅黑" w:cs="Times New Roman"/>
          <w:szCs w:val="21"/>
        </w:rPr>
        <w:t xml:space="preserve">GB/T7260.1-2023《不间断电源设备（UPS）第一部分：安全要求》  </w:t>
      </w:r>
    </w:p>
    <w:p w14:paraId="5F2E3E19">
      <w:pPr>
        <w:numPr>
          <w:ilvl w:val="0"/>
          <w:numId w:val="7"/>
        </w:numPr>
        <w:wordWrap w:val="0"/>
        <w:adjustRightInd w:val="0"/>
        <w:snapToGrid w:val="0"/>
        <w:spacing w:line="360" w:lineRule="auto"/>
        <w:rPr>
          <w:rFonts w:hint="eastAsia" w:ascii="微软雅黑" w:hAnsi="微软雅黑" w:eastAsia="微软雅黑" w:cs="Times New Roman"/>
          <w:szCs w:val="21"/>
        </w:rPr>
      </w:pPr>
      <w:r>
        <w:rPr>
          <w:rFonts w:hint="eastAsia" w:ascii="微软雅黑" w:hAnsi="微软雅黑" w:eastAsia="微软雅黑" w:cs="Times New Roman"/>
          <w:szCs w:val="21"/>
        </w:rPr>
        <w:t>YD/T1095-2018《通信用交流不间断电源（UPS）》</w:t>
      </w:r>
    </w:p>
    <w:p w14:paraId="62A8795E">
      <w:pPr>
        <w:numPr>
          <w:ilvl w:val="0"/>
          <w:numId w:val="7"/>
        </w:numPr>
        <w:wordWrap w:val="0"/>
        <w:adjustRightInd w:val="0"/>
        <w:snapToGrid w:val="0"/>
        <w:spacing w:line="360" w:lineRule="auto"/>
        <w:rPr>
          <w:rFonts w:hint="eastAsia" w:ascii="微软雅黑" w:hAnsi="微软雅黑" w:eastAsia="微软雅黑" w:cs="Times New Roman"/>
          <w:szCs w:val="21"/>
        </w:rPr>
      </w:pPr>
      <w:r>
        <w:rPr>
          <w:rFonts w:hint="eastAsia" w:ascii="微软雅黑" w:hAnsi="微软雅黑" w:eastAsia="微软雅黑" w:cs="Times New Roman"/>
          <w:szCs w:val="21"/>
        </w:rPr>
        <w:t>GB 7260.2-2009 《不间断电源设备(UPS)第2部分:电磁兼容性(EMC)要求》</w:t>
      </w:r>
    </w:p>
    <w:p w14:paraId="3F41CED1">
      <w:pPr>
        <w:numPr>
          <w:ilvl w:val="0"/>
          <w:numId w:val="7"/>
        </w:numPr>
        <w:wordWrap w:val="0"/>
        <w:adjustRightInd w:val="0"/>
        <w:snapToGrid w:val="0"/>
        <w:spacing w:line="360" w:lineRule="auto"/>
        <w:rPr>
          <w:rFonts w:hint="eastAsia" w:ascii="微软雅黑" w:hAnsi="微软雅黑" w:eastAsia="微软雅黑" w:cs="Times New Roman"/>
          <w:szCs w:val="21"/>
        </w:rPr>
      </w:pPr>
      <w:r>
        <w:rPr>
          <w:rFonts w:hint="eastAsia" w:ascii="微软雅黑" w:hAnsi="微软雅黑" w:eastAsia="微软雅黑" w:cs="Times New Roman"/>
          <w:szCs w:val="21"/>
        </w:rPr>
        <w:t>GB/T 7260.3-2024 《不间断电源设备(UPS)第3部分:确定性能的方法和试验要求》</w:t>
      </w:r>
    </w:p>
    <w:p w14:paraId="7D40056C">
      <w:pPr>
        <w:numPr>
          <w:ilvl w:val="0"/>
          <w:numId w:val="7"/>
        </w:numPr>
        <w:wordWrap w:val="0"/>
        <w:adjustRightInd w:val="0"/>
        <w:snapToGrid w:val="0"/>
        <w:spacing w:line="360" w:lineRule="auto"/>
        <w:rPr>
          <w:rFonts w:hint="eastAsia" w:ascii="微软雅黑" w:hAnsi="微软雅黑" w:eastAsia="微软雅黑" w:cs="Times New Roman"/>
          <w:szCs w:val="21"/>
        </w:rPr>
      </w:pPr>
      <w:r>
        <w:rPr>
          <w:rFonts w:hint="eastAsia" w:ascii="微软雅黑" w:hAnsi="微软雅黑" w:eastAsia="微软雅黑" w:cs="Times New Roman"/>
          <w:szCs w:val="21"/>
        </w:rPr>
        <w:t>GB/T19826-《电力工程直流电源设备通用技术及安全要求》</w:t>
      </w:r>
    </w:p>
    <w:p w14:paraId="6B855299">
      <w:pPr>
        <w:numPr>
          <w:ilvl w:val="0"/>
          <w:numId w:val="7"/>
        </w:numPr>
        <w:wordWrap w:val="0"/>
        <w:adjustRightInd w:val="0"/>
        <w:snapToGrid w:val="0"/>
        <w:spacing w:line="360" w:lineRule="auto"/>
        <w:rPr>
          <w:rFonts w:hint="eastAsia" w:ascii="微软雅黑" w:hAnsi="微软雅黑" w:eastAsia="微软雅黑" w:cs="Times New Roman"/>
          <w:szCs w:val="21"/>
        </w:rPr>
      </w:pPr>
      <w:r>
        <w:rPr>
          <w:rFonts w:ascii="微软雅黑" w:hAnsi="微软雅黑" w:eastAsia="微软雅黑" w:cs="Times New Roman"/>
          <w:szCs w:val="21"/>
        </w:rPr>
        <w:t>GB/T 6995.</w:t>
      </w:r>
      <w:r>
        <w:rPr>
          <w:rFonts w:hint="eastAsia" w:ascii="微软雅黑" w:hAnsi="微软雅黑" w:eastAsia="微软雅黑" w:cs="Times New Roman"/>
          <w:szCs w:val="21"/>
        </w:rPr>
        <w:t>5</w:t>
      </w:r>
      <w:r>
        <w:rPr>
          <w:rFonts w:ascii="微软雅黑" w:hAnsi="微软雅黑" w:eastAsia="微软雅黑" w:cs="Times New Roman"/>
          <w:szCs w:val="21"/>
        </w:rPr>
        <w:t>-2008</w:t>
      </w:r>
      <w:r>
        <w:rPr>
          <w:rFonts w:hint="eastAsia" w:ascii="微软雅黑" w:hAnsi="微软雅黑" w:eastAsia="微软雅黑" w:cs="Times New Roman"/>
          <w:szCs w:val="21"/>
        </w:rPr>
        <w:t>《</w:t>
      </w:r>
      <w:r>
        <w:fldChar w:fldCharType="begin"/>
      </w:r>
      <w:r>
        <w:instrText xml:space="preserve"> HYPERLINK "http://www.spsp.gov.cn/page/CN/2008/GBT%206995.5-2008.shtml" \t "_blank" </w:instrText>
      </w:r>
      <w:r>
        <w:fldChar w:fldCharType="separate"/>
      </w:r>
      <w:r>
        <w:rPr>
          <w:rFonts w:ascii="微软雅黑" w:hAnsi="微软雅黑" w:eastAsia="微软雅黑" w:cs="Times New Roman"/>
          <w:szCs w:val="21"/>
        </w:rPr>
        <w:t>电线电缆识别标志方法 第5部分:电力电缆绝缘线芯识别标志</w:t>
      </w:r>
      <w:r>
        <w:rPr>
          <w:rFonts w:ascii="微软雅黑" w:hAnsi="微软雅黑" w:eastAsia="微软雅黑" w:cs="Times New Roman"/>
          <w:szCs w:val="21"/>
        </w:rPr>
        <w:fldChar w:fldCharType="end"/>
      </w:r>
      <w:r>
        <w:rPr>
          <w:rFonts w:hint="eastAsia" w:ascii="微软雅黑" w:hAnsi="微软雅黑" w:eastAsia="微软雅黑" w:cs="Times New Roman"/>
          <w:szCs w:val="21"/>
        </w:rPr>
        <w:t>》</w:t>
      </w:r>
    </w:p>
    <w:p w14:paraId="30844893">
      <w:pPr>
        <w:numPr>
          <w:ilvl w:val="0"/>
          <w:numId w:val="7"/>
        </w:numPr>
        <w:wordWrap w:val="0"/>
        <w:adjustRightInd w:val="0"/>
        <w:snapToGrid w:val="0"/>
        <w:spacing w:line="360" w:lineRule="auto"/>
        <w:rPr>
          <w:rFonts w:hint="eastAsia" w:ascii="微软雅黑" w:hAnsi="微软雅黑" w:eastAsia="微软雅黑" w:cs="Times New Roman"/>
          <w:szCs w:val="21"/>
        </w:rPr>
      </w:pPr>
      <w:r>
        <w:rPr>
          <w:rFonts w:ascii="微软雅黑" w:hAnsi="微软雅黑" w:eastAsia="微软雅黑" w:cs="Times New Roman"/>
          <w:szCs w:val="21"/>
        </w:rPr>
        <w:t>IEEE 1115-2000</w:t>
      </w:r>
      <w:r>
        <w:rPr>
          <w:rFonts w:hint="eastAsia" w:ascii="微软雅黑" w:hAnsi="微软雅黑" w:eastAsia="微软雅黑" w:cs="Times New Roman"/>
          <w:szCs w:val="21"/>
        </w:rPr>
        <w:t>《IEC国际行业镍镉电池容量计算指导》</w:t>
      </w:r>
    </w:p>
    <w:p w14:paraId="767DFE27">
      <w:pPr>
        <w:numPr>
          <w:ilvl w:val="0"/>
          <w:numId w:val="7"/>
        </w:numPr>
        <w:wordWrap w:val="0"/>
        <w:adjustRightInd w:val="0"/>
        <w:snapToGrid w:val="0"/>
        <w:spacing w:line="360" w:lineRule="auto"/>
        <w:rPr>
          <w:rFonts w:hint="eastAsia" w:ascii="微软雅黑" w:hAnsi="微软雅黑" w:eastAsia="微软雅黑" w:cs="Times New Roman"/>
          <w:szCs w:val="21"/>
        </w:rPr>
      </w:pPr>
      <w:r>
        <w:rPr>
          <w:rFonts w:hint="eastAsia" w:ascii="微软雅黑" w:hAnsi="微软雅黑" w:eastAsia="微软雅黑" w:cs="Times New Roman"/>
          <w:szCs w:val="21"/>
        </w:rPr>
        <w:t>IEC60623：2017 《</w:t>
      </w:r>
      <w:r>
        <w:rPr>
          <w:rFonts w:ascii="微软雅黑" w:hAnsi="微软雅黑" w:eastAsia="微软雅黑" w:cs="Times New Roman"/>
          <w:szCs w:val="21"/>
        </w:rPr>
        <w:t>有碱性或其他非酸性电解质的</w:t>
      </w:r>
      <w:r>
        <w:rPr>
          <w:rFonts w:hint="eastAsia" w:ascii="微软雅黑" w:hAnsi="微软雅黑" w:eastAsia="微软雅黑" w:cs="Times New Roman"/>
          <w:szCs w:val="21"/>
        </w:rPr>
        <w:t>二次蓄电池》</w:t>
      </w:r>
    </w:p>
    <w:p w14:paraId="65105E07">
      <w:pPr>
        <w:numPr>
          <w:ilvl w:val="0"/>
          <w:numId w:val="7"/>
        </w:numPr>
        <w:wordWrap w:val="0"/>
        <w:adjustRightInd w:val="0"/>
        <w:snapToGrid w:val="0"/>
        <w:spacing w:line="360" w:lineRule="auto"/>
        <w:rPr>
          <w:rFonts w:hint="eastAsia" w:ascii="微软雅黑" w:hAnsi="微软雅黑" w:eastAsia="微软雅黑" w:cs="Times New Roman"/>
          <w:szCs w:val="21"/>
        </w:rPr>
      </w:pPr>
      <w:r>
        <w:rPr>
          <w:rFonts w:hint="eastAsia" w:ascii="微软雅黑" w:hAnsi="微软雅黑" w:eastAsia="微软雅黑" w:cs="Times New Roman"/>
          <w:szCs w:val="21"/>
        </w:rPr>
        <w:t>GB 44240-2024 电能存储系统用锂蓄电池和电池组安全要求</w:t>
      </w:r>
    </w:p>
    <w:p w14:paraId="69106385">
      <w:pPr>
        <w:numPr>
          <w:ilvl w:val="0"/>
          <w:numId w:val="7"/>
        </w:numPr>
        <w:wordWrap w:val="0"/>
        <w:adjustRightInd w:val="0"/>
        <w:snapToGrid w:val="0"/>
        <w:spacing w:line="360" w:lineRule="auto"/>
        <w:rPr>
          <w:rFonts w:hint="eastAsia" w:ascii="微软雅黑" w:hAnsi="微软雅黑" w:eastAsia="微软雅黑" w:cs="Times New Roman"/>
          <w:szCs w:val="21"/>
        </w:rPr>
      </w:pPr>
      <w:r>
        <w:rPr>
          <w:rFonts w:hint="eastAsia" w:ascii="微软雅黑" w:hAnsi="微软雅黑" w:eastAsia="微软雅黑" w:cs="Times New Roman"/>
          <w:szCs w:val="21"/>
        </w:rPr>
        <w:t>通信终端产品绿色包装规范  GB/T 30963-2014</w:t>
      </w:r>
    </w:p>
    <w:p w14:paraId="780F3321">
      <w:pPr>
        <w:autoSpaceDE w:val="0"/>
        <w:autoSpaceDN w:val="0"/>
        <w:adjustRightInd w:val="0"/>
        <w:spacing w:before="120" w:after="120"/>
        <w:outlineLvl w:val="0"/>
        <w:rPr>
          <w:rFonts w:hint="eastAsia" w:ascii="微软雅黑" w:hAnsi="微软雅黑" w:eastAsia="微软雅黑" w:cs="Times New Roman"/>
          <w:bCs/>
          <w:sz w:val="32"/>
          <w:szCs w:val="32"/>
        </w:rPr>
      </w:pPr>
      <w:r>
        <w:rPr>
          <w:rFonts w:hint="eastAsia" w:ascii="微软雅黑" w:hAnsi="微软雅黑" w:eastAsia="微软雅黑" w:cs="Times New Roman"/>
          <w:bCs/>
          <w:sz w:val="32"/>
          <w:szCs w:val="32"/>
        </w:rPr>
        <w:t>四、使用条件</w:t>
      </w:r>
    </w:p>
    <w:p w14:paraId="3DB008B3">
      <w:pPr>
        <w:spacing w:line="257" w:lineRule="auto"/>
        <w:ind w:right="122" w:firstLine="199" w:firstLineChars="95"/>
        <w:rPr>
          <w:rFonts w:hint="eastAsia" w:ascii="微软雅黑" w:hAnsi="微软雅黑" w:eastAsia="微软雅黑" w:cs="Times New Roman"/>
          <w:szCs w:val="21"/>
        </w:rPr>
      </w:pPr>
      <w:bookmarkStart w:id="7" w:name="_Hlk214528578"/>
      <w:r>
        <w:rPr>
          <w:rFonts w:hint="eastAsia" w:ascii="微软雅黑" w:hAnsi="微软雅黑" w:eastAsia="微软雅黑" w:cs="Times New Roman"/>
          <w:szCs w:val="21"/>
        </w:rPr>
        <w:t>1. 设计要求：详见技术要求。</w:t>
      </w:r>
    </w:p>
    <w:p w14:paraId="4EDD01B8">
      <w:pPr>
        <w:spacing w:line="360" w:lineRule="auto"/>
        <w:ind w:firstLine="199" w:firstLineChars="95"/>
        <w:rPr>
          <w:rFonts w:ascii="Times New Roman" w:hAnsi="Times New Roman" w:eastAsia="微软雅黑" w:cs="Times New Roman"/>
          <w:szCs w:val="21"/>
        </w:rPr>
      </w:pPr>
      <w:r>
        <w:rPr>
          <w:rFonts w:hint="eastAsia" w:ascii="微软雅黑" w:hAnsi="微软雅黑" w:eastAsia="微软雅黑" w:cs="Times New Roman"/>
          <w:szCs w:val="21"/>
        </w:rPr>
        <w:t>2. 到货/安装或使用地点：</w:t>
      </w:r>
      <w:r>
        <w:rPr>
          <w:rFonts w:hint="eastAsia" w:ascii="微软雅黑" w:hAnsi="微软雅黑" w:eastAsia="微软雅黑" w:cs="微软雅黑"/>
          <w:szCs w:val="21"/>
          <w:lang w:bidi="ar"/>
        </w:rPr>
        <w:t>天津市滨海新区石油新村路与石油南路南100米</w:t>
      </w:r>
      <w:r>
        <w:rPr>
          <w:rFonts w:hint="eastAsia" w:ascii="Times New Roman" w:hAnsi="Times New Roman" w:eastAsia="微软雅黑" w:cs="Times New Roman"/>
          <w:szCs w:val="21"/>
        </w:rPr>
        <w:t>。</w:t>
      </w:r>
    </w:p>
    <w:bookmarkEnd w:id="7"/>
    <w:p w14:paraId="5904B7C2">
      <w:pPr>
        <w:autoSpaceDE w:val="0"/>
        <w:autoSpaceDN w:val="0"/>
        <w:adjustRightInd w:val="0"/>
        <w:spacing w:before="120" w:after="120"/>
        <w:outlineLvl w:val="0"/>
        <w:rPr>
          <w:rFonts w:hint="eastAsia" w:ascii="微软雅黑" w:hAnsi="微软雅黑" w:eastAsia="微软雅黑" w:cs="Times New Roman"/>
          <w:bCs/>
          <w:sz w:val="32"/>
          <w:szCs w:val="32"/>
        </w:rPr>
      </w:pPr>
      <w:r>
        <w:rPr>
          <w:rFonts w:hint="eastAsia" w:ascii="微软雅黑" w:hAnsi="微软雅黑" w:eastAsia="微软雅黑" w:cs="Times New Roman"/>
          <w:bCs/>
          <w:sz w:val="32"/>
          <w:szCs w:val="32"/>
        </w:rPr>
        <w:t>五、技术要求</w:t>
      </w:r>
    </w:p>
    <w:p w14:paraId="080BF1D0">
      <w:pPr>
        <w:spacing w:line="360" w:lineRule="auto"/>
        <w:rPr>
          <w:rFonts w:hint="eastAsia" w:ascii="微软雅黑" w:hAnsi="微软雅黑" w:eastAsia="微软雅黑" w:cs="微软雅黑"/>
          <w:szCs w:val="21"/>
        </w:rPr>
      </w:pPr>
      <w:r>
        <w:rPr>
          <w:rFonts w:hint="eastAsia" w:ascii="微软雅黑" w:hAnsi="微软雅黑" w:eastAsia="微软雅黑" w:cs="微软雅黑"/>
          <w:szCs w:val="21"/>
        </w:rPr>
        <w:t>1. 总则</w:t>
      </w:r>
    </w:p>
    <w:p w14:paraId="15BD7529">
      <w:pPr>
        <w:numPr>
          <w:ilvl w:val="0"/>
          <w:numId w:val="8"/>
        </w:numPr>
        <w:ind w:firstLine="420" w:firstLineChars="200"/>
        <w:jc w:val="left"/>
        <w:rPr>
          <w:rFonts w:hint="eastAsia" w:ascii="微软雅黑" w:hAnsi="微软雅黑" w:eastAsia="微软雅黑" w:cs="微软雅黑"/>
          <w:szCs w:val="21"/>
          <w:highlight w:val="yellow"/>
        </w:rPr>
      </w:pPr>
      <w:r>
        <w:rPr>
          <w:rFonts w:hint="eastAsia" w:ascii="微软雅黑" w:hAnsi="微软雅黑" w:eastAsia="微软雅黑" w:cs="微软雅黑"/>
          <w:kern w:val="0"/>
          <w:szCs w:val="21"/>
        </w:rPr>
        <w:t>★投标人承诺在交货时提供产品的泰尔或船级社等第三方相关认证证书或检验报告，以及UPS系统取船级社认证时需配合第三方船级社在进行产品认证时所需的相关资料（至少应包括）：产品技术规格书、电池计算书、设计图纸、原材料及零部件清单、制造工艺文件、试验大纲、安全报告等技术资料，需要配合进行厂审和现场检验。</w:t>
      </w:r>
      <w:r>
        <w:rPr>
          <w:rFonts w:hint="eastAsia" w:ascii="微软雅黑" w:hAnsi="微软雅黑" w:eastAsia="微软雅黑" w:cs="微软雅黑"/>
          <w:szCs w:val="21"/>
          <w:highlight w:val="yellow"/>
        </w:rPr>
        <w:t>中国海洋石油作业安全办公室（</w:t>
      </w:r>
      <w:r>
        <w:rPr>
          <w:rFonts w:ascii="微软雅黑" w:hAnsi="微软雅黑" w:eastAsia="微软雅黑" w:cs="微软雅黑"/>
          <w:szCs w:val="21"/>
          <w:highlight w:val="yellow"/>
        </w:rPr>
        <w:t>COOOSO)</w:t>
      </w:r>
      <w:r>
        <w:rPr>
          <w:rFonts w:hint="eastAsia" w:ascii="微软雅黑" w:hAnsi="微软雅黑" w:eastAsia="微软雅黑" w:cs="微软雅黑"/>
          <w:szCs w:val="21"/>
          <w:highlight w:val="yellow"/>
        </w:rPr>
        <w:t>认可的第三方检验机构如下：美国船级社（</w:t>
      </w:r>
      <w:r>
        <w:rPr>
          <w:rFonts w:ascii="微软雅黑" w:hAnsi="微软雅黑" w:eastAsia="微软雅黑" w:cs="微软雅黑"/>
          <w:szCs w:val="21"/>
          <w:highlight w:val="yellow"/>
        </w:rPr>
        <w:t>ABS)/</w:t>
      </w:r>
      <w:r>
        <w:rPr>
          <w:rFonts w:hint="eastAsia" w:ascii="微软雅黑" w:hAnsi="微软雅黑" w:eastAsia="微软雅黑" w:cs="微软雅黑"/>
          <w:szCs w:val="21"/>
          <w:highlight w:val="yellow"/>
        </w:rPr>
        <w:t>中国船级社（</w:t>
      </w:r>
      <w:r>
        <w:rPr>
          <w:rFonts w:ascii="微软雅黑" w:hAnsi="微软雅黑" w:eastAsia="微软雅黑" w:cs="微软雅黑"/>
          <w:szCs w:val="21"/>
          <w:highlight w:val="yellow"/>
        </w:rPr>
        <w:t>CCS)/</w:t>
      </w:r>
      <w:r>
        <w:rPr>
          <w:rFonts w:hint="eastAsia" w:ascii="微软雅黑" w:hAnsi="微软雅黑" w:eastAsia="微软雅黑" w:cs="微软雅黑"/>
          <w:szCs w:val="21"/>
          <w:highlight w:val="yellow"/>
        </w:rPr>
        <w:t>挪威船级社（</w:t>
      </w:r>
      <w:r>
        <w:rPr>
          <w:rFonts w:ascii="微软雅黑" w:hAnsi="微软雅黑" w:eastAsia="微软雅黑" w:cs="微软雅黑"/>
          <w:szCs w:val="21"/>
          <w:highlight w:val="yellow"/>
        </w:rPr>
        <w:t>DNV)/</w:t>
      </w:r>
      <w:r>
        <w:rPr>
          <w:rFonts w:hint="eastAsia" w:ascii="微软雅黑" w:hAnsi="微软雅黑" w:eastAsia="微软雅黑" w:cs="微软雅黑"/>
          <w:szCs w:val="21"/>
          <w:highlight w:val="yellow"/>
        </w:rPr>
        <w:t>法国船级社（</w:t>
      </w:r>
      <w:r>
        <w:rPr>
          <w:rFonts w:ascii="微软雅黑" w:hAnsi="微软雅黑" w:eastAsia="微软雅黑" w:cs="微软雅黑"/>
          <w:szCs w:val="21"/>
          <w:highlight w:val="yellow"/>
        </w:rPr>
        <w:t>BV)</w:t>
      </w:r>
      <w:r>
        <w:rPr>
          <w:rFonts w:hint="eastAsia" w:ascii="微软雅黑" w:hAnsi="微软雅黑" w:eastAsia="微软雅黑" w:cs="微软雅黑"/>
          <w:szCs w:val="21"/>
          <w:highlight w:val="yellow"/>
        </w:rPr>
        <w:t>。</w:t>
      </w:r>
    </w:p>
    <w:p w14:paraId="5071E255">
      <w:pPr>
        <w:numPr>
          <w:ilvl w:val="0"/>
          <w:numId w:val="8"/>
        </w:numPr>
        <w:ind w:firstLine="420" w:firstLineChars="200"/>
        <w:jc w:val="left"/>
        <w:rPr>
          <w:rFonts w:hint="eastAsia" w:ascii="微软雅黑" w:hAnsi="微软雅黑" w:eastAsia="微软雅黑" w:cs="微软雅黑"/>
          <w:kern w:val="0"/>
          <w:szCs w:val="21"/>
        </w:rPr>
      </w:pPr>
    </w:p>
    <w:p w14:paraId="36C74CB6">
      <w:pPr>
        <w:spacing w:line="360" w:lineRule="auto"/>
        <w:rPr>
          <w:rFonts w:hint="eastAsia" w:ascii="微软雅黑" w:hAnsi="微软雅黑" w:eastAsia="微软雅黑" w:cs="微软雅黑"/>
          <w:szCs w:val="21"/>
        </w:rPr>
      </w:pPr>
      <w:r>
        <w:rPr>
          <w:rFonts w:hint="eastAsia" w:ascii="微软雅黑" w:hAnsi="微软雅黑" w:eastAsia="微软雅黑" w:cs="微软雅黑"/>
          <w:szCs w:val="21"/>
        </w:rPr>
        <w:t>2.技术要求</w:t>
      </w:r>
    </w:p>
    <w:p w14:paraId="0965BEFE">
      <w:pPr>
        <w:spacing w:line="360" w:lineRule="auto"/>
        <w:ind w:firstLine="420" w:firstLineChars="200"/>
        <w:rPr>
          <w:rFonts w:hint="eastAsia" w:ascii="微软雅黑" w:hAnsi="微软雅黑" w:eastAsia="微软雅黑" w:cs="微软雅黑"/>
          <w:szCs w:val="21"/>
        </w:rPr>
      </w:pPr>
      <w:bookmarkStart w:id="8" w:name="_Toc21704_WPSOffice_Level2"/>
      <w:r>
        <w:rPr>
          <w:rFonts w:hint="eastAsia" w:ascii="微软雅黑" w:hAnsi="微软雅黑" w:eastAsia="微软雅黑" w:cs="微软雅黑"/>
          <w:szCs w:val="21"/>
        </w:rPr>
        <w:t>2.1</w:t>
      </w:r>
      <w:bookmarkEnd w:id="8"/>
      <w:r>
        <w:rPr>
          <w:rFonts w:hint="eastAsia" w:ascii="微软雅黑" w:hAnsi="微软雅黑" w:eastAsia="微软雅黑" w:cs="微软雅黑"/>
          <w:szCs w:val="21"/>
        </w:rPr>
        <w:t>一般要求</w:t>
      </w:r>
    </w:p>
    <w:p w14:paraId="50E2460B">
      <w:pPr>
        <w:spacing w:line="360" w:lineRule="auto"/>
        <w:ind w:firstLine="420" w:firstLineChars="200"/>
        <w:rPr>
          <w:rFonts w:hint="eastAsia" w:ascii="微软雅黑" w:hAnsi="微软雅黑" w:eastAsia="微软雅黑" w:cs="微软雅黑"/>
          <w:szCs w:val="21"/>
        </w:rPr>
      </w:pPr>
      <w:r>
        <w:rPr>
          <w:rFonts w:hint="eastAsia" w:ascii="微软雅黑" w:hAnsi="微软雅黑" w:eastAsia="微软雅黑" w:cs="微软雅黑"/>
          <w:szCs w:val="21"/>
        </w:rPr>
        <w:t>本款规定了合同的供货范围，供货方保证提供的材料为全新的、先进的、成熟的、完整的、安全可靠的，且技术经济性能符合本技术要求书的要求。</w:t>
      </w:r>
    </w:p>
    <w:p w14:paraId="5A0D5D51">
      <w:pPr>
        <w:spacing w:line="360" w:lineRule="auto"/>
        <w:ind w:firstLine="420" w:firstLineChars="200"/>
        <w:rPr>
          <w:rFonts w:hint="eastAsia" w:ascii="微软雅黑" w:hAnsi="微软雅黑" w:eastAsia="微软雅黑" w:cs="微软雅黑"/>
          <w:szCs w:val="21"/>
        </w:rPr>
      </w:pPr>
      <w:r>
        <w:rPr>
          <w:rFonts w:hint="eastAsia" w:ascii="微软雅黑" w:hAnsi="微软雅黑" w:eastAsia="微软雅黑" w:cs="微软雅黑"/>
          <w:szCs w:val="21"/>
        </w:rPr>
        <w:t>供应商交货时需提供材料中应包含附属配套材料/设备模块清单、主要材料的出厂检测报告或合格证，清单中依次说明名称、规格、型号、数量、产地、生产厂家等内容。</w:t>
      </w:r>
    </w:p>
    <w:p w14:paraId="1590591E">
      <w:pPr>
        <w:spacing w:line="360" w:lineRule="auto"/>
        <w:ind w:firstLine="420" w:firstLineChars="200"/>
        <w:rPr>
          <w:rFonts w:hint="eastAsia" w:ascii="微软雅黑" w:hAnsi="微软雅黑" w:eastAsia="微软雅黑" w:cs="微软雅黑"/>
          <w:szCs w:val="21"/>
        </w:rPr>
      </w:pPr>
      <w:r>
        <w:rPr>
          <w:rFonts w:hint="eastAsia" w:ascii="微软雅黑" w:hAnsi="微软雅黑" w:eastAsia="微软雅黑" w:cs="微软雅黑"/>
          <w:szCs w:val="21"/>
        </w:rPr>
        <w:t>2.2 UPS主机技术要求</w:t>
      </w:r>
    </w:p>
    <w:p w14:paraId="10081CB5">
      <w:pPr>
        <w:spacing w:line="360" w:lineRule="auto"/>
        <w:ind w:firstLine="420" w:firstLineChars="200"/>
        <w:rPr>
          <w:rFonts w:hint="eastAsia" w:ascii="微软雅黑" w:hAnsi="微软雅黑" w:eastAsia="微软雅黑" w:cs="宋体"/>
          <w:szCs w:val="21"/>
          <w:highlight w:val="yellow"/>
        </w:rPr>
      </w:pPr>
      <w:bookmarkStart w:id="9" w:name="OLE_LINK4"/>
      <w:bookmarkStart w:id="10" w:name="OLE_LINK2"/>
      <w:r>
        <w:rPr>
          <w:rFonts w:hint="eastAsia" w:ascii="微软雅黑" w:hAnsi="微软雅黑" w:eastAsia="微软雅黑" w:cs="宋体"/>
          <w:szCs w:val="21"/>
          <w:highlight w:val="yellow"/>
        </w:rPr>
        <w:t>【本设备有补充引用</w:t>
      </w:r>
      <w:bookmarkEnd w:id="9"/>
      <w:r>
        <w:rPr>
          <w:rFonts w:hint="eastAsia" w:ascii="微软雅黑" w:hAnsi="微软雅黑" w:eastAsia="微软雅黑" w:cs="宋体"/>
          <w:szCs w:val="21"/>
          <w:highlight w:val="yellow"/>
        </w:rPr>
        <w:t>GB/T 7260.3-2024 《不间断电源设备(UPS)第3部分:确定性能的方法和试验要求》中3.1.1不间断电源设备， 3.1.35并联冗余，3.2.13运行模式，4.1.1海拔， 4.1.2 使用的环境温度， 4.1.3 相对湿度，2.2.2 正常使用条件 ，有补充引用</w:t>
      </w:r>
      <w:r>
        <w:rPr>
          <w:rFonts w:ascii="微软雅黑" w:hAnsi="微软雅黑" w:eastAsia="微软雅黑" w:cs="宋体"/>
          <w:szCs w:val="21"/>
          <w:highlight w:val="yellow"/>
        </w:rPr>
        <w:t>GB/T 6995.</w:t>
      </w:r>
      <w:r>
        <w:rPr>
          <w:rFonts w:hint="eastAsia" w:ascii="微软雅黑" w:hAnsi="微软雅黑" w:eastAsia="微软雅黑" w:cs="宋体"/>
          <w:szCs w:val="21"/>
          <w:highlight w:val="yellow"/>
        </w:rPr>
        <w:t>5</w:t>
      </w:r>
      <w:r>
        <w:rPr>
          <w:rFonts w:ascii="微软雅黑" w:hAnsi="微软雅黑" w:eastAsia="微软雅黑" w:cs="宋体"/>
          <w:szCs w:val="21"/>
          <w:highlight w:val="yellow"/>
        </w:rPr>
        <w:t>-2008</w:t>
      </w:r>
      <w:r>
        <w:fldChar w:fldCharType="begin"/>
      </w:r>
      <w:r>
        <w:instrText xml:space="preserve"> HYPERLINK "http://www.spsp.gov.cn/page/CN/2008/GBT%206995.5-2008.shtml" \t "_blank" </w:instrText>
      </w:r>
      <w:r>
        <w:fldChar w:fldCharType="separate"/>
      </w:r>
      <w:r>
        <w:rPr>
          <w:rFonts w:ascii="微软雅黑" w:hAnsi="微软雅黑" w:eastAsia="微软雅黑" w:cs="Times New Roman"/>
          <w:szCs w:val="21"/>
          <w:highlight w:val="yellow"/>
        </w:rPr>
        <w:t>电线电缆识别标志方法 第5部分:电力电缆绝缘线芯识别标志</w:t>
      </w:r>
      <w:r>
        <w:rPr>
          <w:rFonts w:ascii="微软雅黑" w:hAnsi="微软雅黑" w:eastAsia="微软雅黑" w:cs="Times New Roman"/>
          <w:szCs w:val="21"/>
          <w:highlight w:val="yellow"/>
        </w:rPr>
        <w:fldChar w:fldCharType="end"/>
      </w:r>
      <w:r>
        <w:rPr>
          <w:rFonts w:hint="eastAsia" w:ascii="微软雅黑" w:hAnsi="微软雅黑" w:eastAsia="微软雅黑" w:cs="宋体"/>
          <w:szCs w:val="21"/>
          <w:highlight w:val="yellow"/>
        </w:rPr>
        <w:t>】</w:t>
      </w:r>
    </w:p>
    <w:p w14:paraId="5A259437">
      <w:pPr>
        <w:spacing w:line="360" w:lineRule="auto"/>
        <w:ind w:firstLine="420" w:firstLineChars="200"/>
        <w:rPr>
          <w:rFonts w:hint="eastAsia" w:ascii="微软雅黑" w:hAnsi="微软雅黑" w:eastAsia="微软雅黑" w:cs="宋体"/>
          <w:szCs w:val="21"/>
          <w:highlight w:val="yellow"/>
        </w:rPr>
      </w:pPr>
      <w:r>
        <w:rPr>
          <w:rFonts w:ascii="微软雅黑" w:hAnsi="微软雅黑" w:eastAsia="微软雅黑" w:cs="宋体"/>
          <w:szCs w:val="21"/>
          <w:highlight w:val="yellow"/>
        </w:rPr>
        <w:t>以下为引用标准中所列重要参数，纳入评议范围:</w:t>
      </w:r>
    </w:p>
    <w:bookmarkEnd w:id="10"/>
    <w:p w14:paraId="1250E36E">
      <w:pPr>
        <w:numPr>
          <w:ilvl w:val="0"/>
          <w:numId w:val="9"/>
        </w:numPr>
        <w:spacing w:line="360" w:lineRule="auto"/>
        <w:jc w:val="left"/>
        <w:rPr>
          <w:rFonts w:hint="eastAsia" w:ascii="微软雅黑" w:hAnsi="微软雅黑" w:eastAsia="微软雅黑" w:cs="宋体"/>
          <w:kern w:val="0"/>
          <w:szCs w:val="21"/>
          <w:highlight w:val="yellow"/>
        </w:rPr>
      </w:pPr>
      <w:r>
        <w:rPr>
          <w:rFonts w:hint="eastAsia" w:ascii="微软雅黑" w:hAnsi="微软雅黑" w:eastAsia="微软雅黑" w:cs="宋体"/>
          <w:kern w:val="0"/>
          <w:szCs w:val="21"/>
          <w:highlight w:val="yellow"/>
        </w:rPr>
        <w:t>不间断电源设备(UPS)：</w:t>
      </w:r>
      <w:r>
        <w:rPr>
          <w:rFonts w:hint="eastAsia" w:ascii="微软雅黑" w:hAnsi="微软雅黑" w:eastAsia="微软雅黑" w:cs="宋体"/>
          <w:kern w:val="0"/>
          <w:sz w:val="22"/>
          <w:highlight w:val="yellow"/>
        </w:rPr>
        <w:t>变流器、开关和储能装置(如蓄电池)组合构成的，在输入电源故障时，用以维持负载电力连续性的电源设备。</w:t>
      </w:r>
    </w:p>
    <w:p w14:paraId="68E5D184">
      <w:pPr>
        <w:numPr>
          <w:ilvl w:val="0"/>
          <w:numId w:val="9"/>
        </w:numPr>
        <w:spacing w:line="360" w:lineRule="auto"/>
        <w:jc w:val="left"/>
        <w:rPr>
          <w:rFonts w:hint="eastAsia" w:ascii="微软雅黑" w:hAnsi="微软雅黑" w:eastAsia="微软雅黑" w:cs="宋体"/>
          <w:kern w:val="0"/>
          <w:szCs w:val="21"/>
          <w:highlight w:val="yellow"/>
        </w:rPr>
      </w:pPr>
      <w:r>
        <w:rPr>
          <w:rFonts w:hint="eastAsia" w:ascii="微软雅黑" w:hAnsi="微软雅黑" w:eastAsia="微软雅黑" w:cs="Times New Roman"/>
          <w:kern w:val="0"/>
          <w:sz w:val="22"/>
          <w:highlight w:val="yellow"/>
        </w:rPr>
        <w:t>★</w:t>
      </w:r>
      <w:r>
        <w:rPr>
          <w:rFonts w:hint="eastAsia" w:ascii="微软雅黑" w:hAnsi="微软雅黑" w:eastAsia="微软雅黑" w:cs="宋体"/>
          <w:kern w:val="0"/>
          <w:szCs w:val="21"/>
          <w:highlight w:val="yellow"/>
        </w:rPr>
        <w:t>并联冗余UPS：</w:t>
      </w:r>
      <w:r>
        <w:rPr>
          <w:rFonts w:hint="eastAsia" w:ascii="微软雅黑" w:hAnsi="微软雅黑" w:eastAsia="微软雅黑" w:cs="宋体"/>
          <w:kern w:val="0"/>
          <w:sz w:val="22"/>
          <w:highlight w:val="yellow"/>
        </w:rPr>
        <w:t>用几个并联 UPS单元来分担负载的不间断电源设备，当一个或几个UPS单元故障时，其余的 UPS可以胜任地承载全部负载。</w:t>
      </w:r>
    </w:p>
    <w:p w14:paraId="759FE337">
      <w:pPr>
        <w:numPr>
          <w:ilvl w:val="0"/>
          <w:numId w:val="9"/>
        </w:numPr>
        <w:spacing w:line="360" w:lineRule="auto"/>
        <w:jc w:val="left"/>
        <w:rPr>
          <w:rFonts w:hint="eastAsia" w:ascii="微软雅黑" w:hAnsi="微软雅黑" w:eastAsia="微软雅黑" w:cs="宋体"/>
          <w:kern w:val="0"/>
          <w:szCs w:val="21"/>
          <w:highlight w:val="yellow"/>
        </w:rPr>
      </w:pPr>
      <w:r>
        <w:rPr>
          <w:rFonts w:hint="eastAsia" w:ascii="微软雅黑" w:hAnsi="微软雅黑" w:eastAsia="微软雅黑" w:cs="宋体"/>
          <w:kern w:val="0"/>
          <w:szCs w:val="21"/>
          <w:highlight w:val="yellow"/>
        </w:rPr>
        <w:t>UPS 的正常运行方式，UPS在下列情况下供电时，最终达到的稳定运行状态:</w:t>
      </w:r>
    </w:p>
    <w:p w14:paraId="495AE8C3">
      <w:pPr>
        <w:numPr>
          <w:ilvl w:val="0"/>
          <w:numId w:val="10"/>
        </w:numPr>
        <w:spacing w:line="360" w:lineRule="auto"/>
        <w:ind w:firstLine="420" w:firstLineChars="200"/>
        <w:rPr>
          <w:rFonts w:hint="eastAsia" w:ascii="微软雅黑" w:hAnsi="微软雅黑" w:eastAsia="微软雅黑" w:cs="宋体"/>
          <w:szCs w:val="21"/>
          <w:highlight w:val="yellow"/>
        </w:rPr>
      </w:pPr>
      <w:r>
        <w:rPr>
          <w:rFonts w:hint="eastAsia" w:ascii="微软雅黑" w:hAnsi="微软雅黑" w:eastAsia="微软雅黑" w:cs="宋体"/>
          <w:szCs w:val="21"/>
          <w:highlight w:val="yellow"/>
        </w:rPr>
        <w:t>主电源存在，并处于给定允差之内;</w:t>
      </w:r>
    </w:p>
    <w:p w14:paraId="0B05EB64">
      <w:pPr>
        <w:numPr>
          <w:ilvl w:val="0"/>
          <w:numId w:val="10"/>
        </w:numPr>
        <w:spacing w:line="360" w:lineRule="auto"/>
        <w:ind w:firstLine="420" w:firstLineChars="200"/>
        <w:rPr>
          <w:rFonts w:hint="eastAsia" w:ascii="微软雅黑" w:hAnsi="微软雅黑" w:eastAsia="微软雅黑" w:cs="宋体"/>
          <w:szCs w:val="21"/>
          <w:highlight w:val="yellow"/>
        </w:rPr>
      </w:pPr>
      <w:r>
        <w:rPr>
          <w:rFonts w:hint="eastAsia" w:ascii="微软雅黑" w:hAnsi="微软雅黑" w:eastAsia="微软雅黑" w:cs="宋体"/>
          <w:szCs w:val="21"/>
          <w:highlight w:val="yellow"/>
        </w:rPr>
        <w:t>蓄电池已充好电，或者在给定的能量恢复时间内已再充电;</w:t>
      </w:r>
    </w:p>
    <w:p w14:paraId="0743BB8F">
      <w:pPr>
        <w:numPr>
          <w:ilvl w:val="0"/>
          <w:numId w:val="10"/>
        </w:numPr>
        <w:spacing w:line="360" w:lineRule="auto"/>
        <w:ind w:firstLine="420" w:firstLineChars="200"/>
        <w:rPr>
          <w:rFonts w:hint="eastAsia" w:ascii="微软雅黑" w:hAnsi="微软雅黑" w:eastAsia="微软雅黑" w:cs="宋体"/>
          <w:szCs w:val="21"/>
          <w:highlight w:val="yellow"/>
        </w:rPr>
      </w:pPr>
      <w:r>
        <w:rPr>
          <w:rFonts w:hint="eastAsia" w:ascii="微软雅黑" w:hAnsi="微软雅黑" w:eastAsia="微软雅黑" w:cs="宋体"/>
          <w:szCs w:val="21"/>
          <w:highlight w:val="yellow"/>
        </w:rPr>
        <w:t>连续运行或可能连续运行，</w:t>
      </w:r>
    </w:p>
    <w:p w14:paraId="08E57526">
      <w:pPr>
        <w:numPr>
          <w:ilvl w:val="0"/>
          <w:numId w:val="10"/>
        </w:numPr>
        <w:spacing w:line="360" w:lineRule="auto"/>
        <w:ind w:firstLine="420" w:firstLineChars="200"/>
        <w:rPr>
          <w:rFonts w:hint="eastAsia" w:ascii="微软雅黑" w:hAnsi="微软雅黑" w:eastAsia="微软雅黑" w:cs="宋体"/>
          <w:szCs w:val="21"/>
          <w:highlight w:val="yellow"/>
        </w:rPr>
      </w:pPr>
      <w:r>
        <w:rPr>
          <w:rFonts w:hint="eastAsia" w:ascii="微软雅黑" w:hAnsi="微软雅黑" w:eastAsia="微软雅黑" w:cs="宋体"/>
          <w:szCs w:val="21"/>
          <w:highlight w:val="yellow"/>
        </w:rPr>
        <w:t>锁相有效(如有锁相);</w:t>
      </w:r>
    </w:p>
    <w:p w14:paraId="17ED6DE7">
      <w:pPr>
        <w:numPr>
          <w:ilvl w:val="0"/>
          <w:numId w:val="10"/>
        </w:numPr>
        <w:spacing w:line="360" w:lineRule="auto"/>
        <w:ind w:firstLine="420" w:firstLineChars="200"/>
        <w:rPr>
          <w:rFonts w:hint="eastAsia" w:ascii="微软雅黑" w:hAnsi="微软雅黑" w:eastAsia="微软雅黑" w:cs="宋体"/>
          <w:szCs w:val="21"/>
          <w:highlight w:val="yellow"/>
        </w:rPr>
      </w:pPr>
      <w:r>
        <w:rPr>
          <w:rFonts w:hint="eastAsia" w:ascii="微软雅黑" w:hAnsi="微软雅黑" w:eastAsia="微软雅黑" w:cs="宋体"/>
          <w:szCs w:val="21"/>
          <w:highlight w:val="yellow"/>
        </w:rPr>
        <w:t>负载在给定范围之内;</w:t>
      </w:r>
    </w:p>
    <w:p w14:paraId="4D645174">
      <w:pPr>
        <w:numPr>
          <w:ilvl w:val="0"/>
          <w:numId w:val="10"/>
        </w:numPr>
        <w:spacing w:line="360" w:lineRule="auto"/>
        <w:ind w:firstLine="420" w:firstLineChars="200"/>
        <w:rPr>
          <w:rFonts w:hint="eastAsia" w:ascii="微软雅黑" w:hAnsi="微软雅黑" w:eastAsia="微软雅黑" w:cs="宋体"/>
          <w:szCs w:val="21"/>
          <w:highlight w:val="yellow"/>
        </w:rPr>
      </w:pPr>
      <w:r>
        <w:rPr>
          <w:rFonts w:hint="eastAsia" w:ascii="微软雅黑" w:hAnsi="微软雅黑" w:eastAsia="微软雅黑" w:cs="宋体"/>
          <w:szCs w:val="21"/>
          <w:highlight w:val="yellow"/>
        </w:rPr>
        <w:t>输出电压在给定允差内;</w:t>
      </w:r>
    </w:p>
    <w:p w14:paraId="53C40559">
      <w:pPr>
        <w:numPr>
          <w:ilvl w:val="0"/>
          <w:numId w:val="10"/>
        </w:numPr>
        <w:spacing w:line="360" w:lineRule="auto"/>
        <w:ind w:firstLine="420" w:firstLineChars="200"/>
        <w:rPr>
          <w:rFonts w:hint="eastAsia" w:ascii="微软雅黑" w:hAnsi="微软雅黑" w:eastAsia="微软雅黑" w:cs="宋体"/>
          <w:szCs w:val="21"/>
          <w:highlight w:val="yellow"/>
        </w:rPr>
      </w:pPr>
      <w:r>
        <w:rPr>
          <w:rFonts w:hint="eastAsia" w:ascii="微软雅黑" w:hAnsi="微软雅黑" w:eastAsia="微软雅黑" w:cs="宋体"/>
          <w:szCs w:val="21"/>
          <w:highlight w:val="yellow"/>
        </w:rPr>
        <w:t>在使用UPS开关的地方，旁路有效并在规定的允差之内，</w:t>
      </w:r>
    </w:p>
    <w:p w14:paraId="2390281D">
      <w:pPr>
        <w:numPr>
          <w:ilvl w:val="0"/>
          <w:numId w:val="9"/>
        </w:numPr>
        <w:spacing w:line="360" w:lineRule="auto"/>
        <w:jc w:val="left"/>
        <w:rPr>
          <w:rFonts w:hint="eastAsia" w:ascii="微软雅黑" w:hAnsi="微软雅黑" w:eastAsia="微软雅黑" w:cs="宋体"/>
          <w:kern w:val="0"/>
          <w:szCs w:val="21"/>
          <w:highlight w:val="yellow"/>
        </w:rPr>
      </w:pPr>
      <w:r>
        <w:rPr>
          <w:rFonts w:hint="eastAsia" w:ascii="微软雅黑" w:hAnsi="微软雅黑" w:eastAsia="微软雅黑" w:cs="宋体"/>
          <w:kern w:val="0"/>
          <w:szCs w:val="21"/>
          <w:highlight w:val="yellow"/>
        </w:rPr>
        <w:t>UPS的储能供电运行方式，UPS在下列供电情况下运行:</w:t>
      </w:r>
    </w:p>
    <w:p w14:paraId="17942EDA">
      <w:pPr>
        <w:numPr>
          <w:ilvl w:val="0"/>
          <w:numId w:val="11"/>
        </w:numPr>
        <w:spacing w:line="360" w:lineRule="auto"/>
        <w:ind w:firstLine="420" w:firstLineChars="200"/>
        <w:rPr>
          <w:rFonts w:hint="eastAsia" w:ascii="微软雅黑" w:hAnsi="微软雅黑" w:eastAsia="微软雅黑" w:cs="宋体"/>
          <w:szCs w:val="21"/>
          <w:highlight w:val="yellow"/>
        </w:rPr>
      </w:pPr>
      <w:r>
        <w:rPr>
          <w:rFonts w:hint="eastAsia" w:ascii="微软雅黑" w:hAnsi="微软雅黑" w:eastAsia="微软雅黑" w:cs="宋体"/>
          <w:szCs w:val="21"/>
          <w:highlight w:val="yellow"/>
        </w:rPr>
        <w:t>主电源中断或超出给定的允差;</w:t>
      </w:r>
    </w:p>
    <w:p w14:paraId="241B2D05">
      <w:pPr>
        <w:numPr>
          <w:ilvl w:val="0"/>
          <w:numId w:val="11"/>
        </w:numPr>
        <w:spacing w:line="360" w:lineRule="auto"/>
        <w:ind w:firstLine="420" w:firstLineChars="200"/>
        <w:rPr>
          <w:rFonts w:hint="eastAsia" w:ascii="微软雅黑" w:hAnsi="微软雅黑" w:eastAsia="微软雅黑" w:cs="宋体"/>
          <w:szCs w:val="21"/>
          <w:highlight w:val="yellow"/>
        </w:rPr>
      </w:pPr>
      <w:r>
        <w:rPr>
          <w:rFonts w:hint="eastAsia" w:ascii="微软雅黑" w:hAnsi="微软雅黑" w:eastAsia="微软雅黑" w:cs="宋体"/>
          <w:szCs w:val="21"/>
          <w:highlight w:val="yellow"/>
        </w:rPr>
        <w:t>直流储能系统开始消耗;</w:t>
      </w:r>
    </w:p>
    <w:p w14:paraId="64B83CDD">
      <w:pPr>
        <w:numPr>
          <w:ilvl w:val="0"/>
          <w:numId w:val="11"/>
        </w:numPr>
        <w:spacing w:line="360" w:lineRule="auto"/>
        <w:ind w:firstLine="420" w:firstLineChars="200"/>
        <w:rPr>
          <w:rFonts w:hint="eastAsia" w:ascii="微软雅黑" w:hAnsi="微软雅黑" w:eastAsia="微软雅黑" w:cs="宋体"/>
          <w:szCs w:val="21"/>
          <w:highlight w:val="yellow"/>
        </w:rPr>
      </w:pPr>
      <w:r>
        <w:rPr>
          <w:rFonts w:hint="eastAsia" w:ascii="微软雅黑" w:hAnsi="微软雅黑" w:eastAsia="微软雅黑" w:cs="宋体"/>
          <w:szCs w:val="21"/>
          <w:highlight w:val="yellow"/>
        </w:rPr>
        <w:t>负载在给定范围内;</w:t>
      </w:r>
    </w:p>
    <w:p w14:paraId="20193F41">
      <w:pPr>
        <w:numPr>
          <w:ilvl w:val="0"/>
          <w:numId w:val="11"/>
        </w:numPr>
        <w:spacing w:line="360" w:lineRule="auto"/>
        <w:ind w:firstLine="420" w:firstLineChars="200"/>
        <w:rPr>
          <w:rFonts w:hint="eastAsia" w:ascii="微软雅黑" w:hAnsi="微软雅黑" w:eastAsia="微软雅黑" w:cs="宋体"/>
          <w:szCs w:val="21"/>
          <w:highlight w:val="yellow"/>
        </w:rPr>
      </w:pPr>
      <w:r>
        <w:rPr>
          <w:rFonts w:hint="eastAsia" w:ascii="微软雅黑" w:hAnsi="微软雅黑" w:eastAsia="微软雅黑" w:cs="宋体"/>
          <w:szCs w:val="21"/>
          <w:highlight w:val="yellow"/>
        </w:rPr>
        <w:t>输出电压在给定允差之内;</w:t>
      </w:r>
    </w:p>
    <w:p w14:paraId="5541612F">
      <w:pPr>
        <w:numPr>
          <w:ilvl w:val="0"/>
          <w:numId w:val="9"/>
        </w:numPr>
        <w:spacing w:line="360" w:lineRule="auto"/>
        <w:jc w:val="left"/>
        <w:rPr>
          <w:rFonts w:hint="eastAsia" w:ascii="微软雅黑" w:hAnsi="微软雅黑" w:eastAsia="微软雅黑" w:cs="宋体"/>
          <w:kern w:val="0"/>
          <w:szCs w:val="21"/>
          <w:highlight w:val="yellow"/>
        </w:rPr>
      </w:pPr>
      <w:r>
        <w:rPr>
          <w:rFonts w:hint="eastAsia" w:ascii="微软雅黑" w:hAnsi="微软雅黑" w:eastAsia="微软雅黑" w:cs="宋体"/>
          <w:kern w:val="0"/>
          <w:szCs w:val="21"/>
          <w:highlight w:val="yellow"/>
        </w:rPr>
        <w:t>UPS的旁路运行方式：UPS由旁路向负载供电的运行状态。</w:t>
      </w:r>
    </w:p>
    <w:p w14:paraId="493413B0">
      <w:pPr>
        <w:numPr>
          <w:ilvl w:val="0"/>
          <w:numId w:val="9"/>
        </w:numPr>
        <w:spacing w:line="360" w:lineRule="auto"/>
        <w:jc w:val="left"/>
        <w:rPr>
          <w:rFonts w:hint="eastAsia" w:ascii="微软雅黑" w:hAnsi="微软雅黑" w:eastAsia="微软雅黑" w:cs="宋体"/>
          <w:kern w:val="0"/>
          <w:szCs w:val="21"/>
          <w:highlight w:val="yellow"/>
        </w:rPr>
      </w:pPr>
      <w:r>
        <w:rPr>
          <w:rFonts w:hint="eastAsia" w:ascii="微软雅黑" w:hAnsi="微软雅黑" w:eastAsia="微软雅黑" w:cs="宋体"/>
          <w:kern w:val="0"/>
          <w:szCs w:val="21"/>
          <w:highlight w:val="yellow"/>
        </w:rPr>
        <w:t>UPS的双变：任何 UPS运行时，负载电力的连续性均用逆变器保持，在正常运行方式下使用直流环节的能量，在蓄电池供电方式运行下使用储能系统的能量。此时其输出电压和频率与输入电压和频率的状况无关。</w:t>
      </w:r>
    </w:p>
    <w:p w14:paraId="496703A7">
      <w:pPr>
        <w:numPr>
          <w:ilvl w:val="0"/>
          <w:numId w:val="9"/>
        </w:numPr>
        <w:spacing w:line="360" w:lineRule="auto"/>
        <w:jc w:val="left"/>
        <w:rPr>
          <w:rFonts w:hint="eastAsia" w:ascii="微软雅黑" w:hAnsi="微软雅黑" w:eastAsia="微软雅黑" w:cs="宋体"/>
          <w:kern w:val="0"/>
          <w:szCs w:val="21"/>
          <w:highlight w:val="yellow"/>
        </w:rPr>
      </w:pPr>
      <w:r>
        <w:rPr>
          <w:rFonts w:hint="eastAsia" w:ascii="微软雅黑" w:hAnsi="微软雅黑" w:eastAsia="微软雅黑" w:cs="宋体"/>
          <w:kern w:val="0"/>
          <w:szCs w:val="21"/>
          <w:highlight w:val="yellow"/>
        </w:rPr>
        <w:t>海拔：符合本部分的UPS应能在额定条件下，在海拔1000m及以下的高度运行注:设备在海拔超过1000m时，制造厂商可依据表1给出的导则，说明降额使用的要求。</w:t>
      </w:r>
    </w:p>
    <w:p w14:paraId="07A83BB5">
      <w:pPr>
        <w:tabs>
          <w:tab w:val="center" w:pos="4153"/>
          <w:tab w:val="right" w:pos="8306"/>
        </w:tabs>
        <w:snapToGrid w:val="0"/>
        <w:spacing w:line="360" w:lineRule="auto"/>
        <w:rPr>
          <w:rFonts w:hint="eastAsia" w:ascii="微软雅黑" w:hAnsi="微软雅黑" w:eastAsia="微软雅黑" w:cs="Times New Roman"/>
          <w:szCs w:val="21"/>
          <w:highlight w:val="yellow"/>
        </w:rPr>
      </w:pPr>
      <w:r>
        <w:rPr>
          <w:rFonts w:ascii="微软雅黑" w:hAnsi="微软雅黑" w:eastAsia="微软雅黑" w:cs="Times New Roman"/>
          <w:szCs w:val="21"/>
          <w:highlight w:val="yellow"/>
        </w:rPr>
        <w:drawing>
          <wp:inline distT="0" distB="0" distL="0" distR="0">
            <wp:extent cx="5337175" cy="2645410"/>
            <wp:effectExtent l="0" t="0" r="15875" b="2540"/>
            <wp:docPr id="69781785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7817859" name="图片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5337175" cy="2645410"/>
                    </a:xfrm>
                    <a:prstGeom prst="rect">
                      <a:avLst/>
                    </a:prstGeom>
                    <a:noFill/>
                    <a:ln>
                      <a:noFill/>
                    </a:ln>
                  </pic:spPr>
                </pic:pic>
              </a:graphicData>
            </a:graphic>
          </wp:inline>
        </w:drawing>
      </w:r>
    </w:p>
    <w:p w14:paraId="73FFDF4A">
      <w:pPr>
        <w:numPr>
          <w:ilvl w:val="0"/>
          <w:numId w:val="9"/>
        </w:numPr>
        <w:spacing w:line="360" w:lineRule="auto"/>
        <w:jc w:val="left"/>
        <w:rPr>
          <w:rFonts w:hint="eastAsia" w:ascii="微软雅黑" w:hAnsi="微软雅黑" w:eastAsia="微软雅黑" w:cs="宋体"/>
          <w:kern w:val="0"/>
          <w:szCs w:val="21"/>
          <w:highlight w:val="yellow"/>
        </w:rPr>
      </w:pPr>
      <w:r>
        <w:rPr>
          <w:rFonts w:hint="eastAsia" w:ascii="微软雅黑" w:hAnsi="微软雅黑" w:eastAsia="微软雅黑" w:cs="宋体"/>
          <w:kern w:val="0"/>
          <w:szCs w:val="21"/>
          <w:highlight w:val="yellow"/>
        </w:rPr>
        <w:t>使用的环境温度：符合本部分的 UPS，在额定条件下运行的最小温度范围为0℃~+40℃，室内办公室运行的环境混度范围为十10℃~+35℃。</w:t>
      </w:r>
    </w:p>
    <w:p w14:paraId="65728864">
      <w:pPr>
        <w:numPr>
          <w:ilvl w:val="0"/>
          <w:numId w:val="9"/>
        </w:numPr>
        <w:spacing w:line="360" w:lineRule="auto"/>
        <w:jc w:val="left"/>
        <w:rPr>
          <w:rFonts w:hint="eastAsia" w:ascii="微软雅黑" w:hAnsi="微软雅黑" w:eastAsia="微软雅黑" w:cs="宋体"/>
          <w:kern w:val="0"/>
          <w:szCs w:val="21"/>
          <w:highlight w:val="yellow"/>
        </w:rPr>
      </w:pPr>
      <w:r>
        <w:rPr>
          <w:rFonts w:hint="eastAsia" w:ascii="微软雅黑" w:hAnsi="微软雅黑" w:eastAsia="微软雅黑" w:cs="宋体"/>
          <w:kern w:val="0"/>
          <w:szCs w:val="21"/>
          <w:highlight w:val="yellow"/>
        </w:rPr>
        <w:t>相对湿度：符合本部分的UPS应按环境最小相对湿度范围20%~90%(无凝露)设计。</w:t>
      </w:r>
    </w:p>
    <w:p w14:paraId="6EC8BFA8">
      <w:pPr>
        <w:numPr>
          <w:ilvl w:val="0"/>
          <w:numId w:val="9"/>
        </w:numPr>
        <w:spacing w:line="360" w:lineRule="auto"/>
        <w:jc w:val="left"/>
        <w:rPr>
          <w:rFonts w:hint="eastAsia" w:ascii="微软雅黑" w:hAnsi="微软雅黑" w:eastAsia="微软雅黑" w:cs="宋体"/>
          <w:kern w:val="0"/>
          <w:szCs w:val="21"/>
          <w:highlight w:val="yellow"/>
        </w:rPr>
      </w:pPr>
      <w:r>
        <w:rPr>
          <w:rFonts w:hint="eastAsia" w:ascii="微软雅黑" w:hAnsi="微软雅黑" w:eastAsia="微软雅黑" w:cs="宋体"/>
          <w:kern w:val="0"/>
          <w:szCs w:val="21"/>
          <w:highlight w:val="yellow"/>
        </w:rPr>
        <w:t>储存环境和运输条件：若制造厂商的说明书没有给出其他条件，符合本部分的UPS设备应能在本条规定的条件下实施非运行储存。</w:t>
      </w:r>
    </w:p>
    <w:p w14:paraId="544D09BE">
      <w:pPr>
        <w:numPr>
          <w:ilvl w:val="0"/>
          <w:numId w:val="9"/>
        </w:numPr>
        <w:spacing w:line="360" w:lineRule="auto"/>
        <w:jc w:val="left"/>
        <w:rPr>
          <w:rFonts w:hint="eastAsia" w:ascii="微软雅黑" w:hAnsi="微软雅黑" w:eastAsia="微软雅黑" w:cs="宋体"/>
          <w:kern w:val="0"/>
          <w:szCs w:val="21"/>
          <w:highlight w:val="yellow"/>
        </w:rPr>
      </w:pPr>
      <w:r>
        <w:rPr>
          <w:rFonts w:hint="eastAsia" w:ascii="微软雅黑" w:hAnsi="微软雅黑" w:eastAsia="微软雅黑" w:cs="宋体"/>
          <w:kern w:val="0"/>
          <w:szCs w:val="21"/>
          <w:highlight w:val="yellow"/>
        </w:rPr>
        <w:t xml:space="preserve">★正常使用条件：与公用低压供电电源兼容，或者没有其他规定，符合本部分的设备，在连接到下列条件的输入电源时，应能以正常运行方式工作: </w:t>
      </w:r>
    </w:p>
    <w:p w14:paraId="17DCFA08">
      <w:pPr>
        <w:spacing w:line="360" w:lineRule="auto"/>
        <w:ind w:firstLine="420" w:firstLineChars="200"/>
        <w:rPr>
          <w:rFonts w:hint="eastAsia" w:ascii="微软雅黑" w:hAnsi="微软雅黑" w:eastAsia="微软雅黑" w:cs="宋体"/>
          <w:szCs w:val="21"/>
          <w:highlight w:val="yellow"/>
        </w:rPr>
      </w:pPr>
      <w:r>
        <w:rPr>
          <w:rFonts w:hint="eastAsia" w:ascii="微软雅黑" w:hAnsi="微软雅黑" w:eastAsia="微软雅黑" w:cs="宋体"/>
          <w:szCs w:val="21"/>
          <w:highlight w:val="yellow"/>
        </w:rPr>
        <w:t>a)输入电压变化:额定标称电压的士10%;</w:t>
      </w:r>
    </w:p>
    <w:p w14:paraId="06292189">
      <w:pPr>
        <w:spacing w:line="360" w:lineRule="auto"/>
        <w:ind w:firstLine="420" w:firstLineChars="200"/>
        <w:rPr>
          <w:rFonts w:hint="eastAsia" w:ascii="微软雅黑" w:hAnsi="微软雅黑" w:eastAsia="微软雅黑" w:cs="宋体"/>
          <w:szCs w:val="21"/>
          <w:highlight w:val="yellow"/>
        </w:rPr>
      </w:pPr>
      <w:r>
        <w:rPr>
          <w:rFonts w:hint="eastAsia" w:ascii="微软雅黑" w:hAnsi="微软雅黑" w:eastAsia="微软雅黑" w:cs="宋体"/>
          <w:szCs w:val="21"/>
          <w:highlight w:val="yellow"/>
        </w:rPr>
        <w:t>b)输入频率变化:额定标称频率的士2%;</w:t>
      </w:r>
    </w:p>
    <w:p w14:paraId="0A29CEBD">
      <w:pPr>
        <w:spacing w:line="360" w:lineRule="auto"/>
        <w:ind w:firstLine="420" w:firstLineChars="200"/>
        <w:rPr>
          <w:rFonts w:hint="eastAsia" w:ascii="微软雅黑" w:hAnsi="微软雅黑" w:eastAsia="微软雅黑" w:cs="宋体"/>
          <w:szCs w:val="21"/>
          <w:highlight w:val="yellow"/>
        </w:rPr>
      </w:pPr>
      <w:r>
        <w:rPr>
          <w:rFonts w:hint="eastAsia" w:ascii="微软雅黑" w:hAnsi="微软雅黑" w:eastAsia="微软雅黑" w:cs="宋体"/>
          <w:szCs w:val="21"/>
          <w:highlight w:val="yellow"/>
        </w:rPr>
        <w:t>c)三相输入时，负序对正序分量之比应不超过5%(见GB/T3859.1)</w:t>
      </w:r>
    </w:p>
    <w:p w14:paraId="126D9A02">
      <w:pPr>
        <w:spacing w:line="360" w:lineRule="auto"/>
        <w:ind w:firstLine="420" w:firstLineChars="200"/>
        <w:rPr>
          <w:rFonts w:hint="eastAsia" w:ascii="微软雅黑" w:hAnsi="微软雅黑" w:eastAsia="微软雅黑" w:cs="宋体"/>
          <w:szCs w:val="21"/>
          <w:highlight w:val="yellow"/>
        </w:rPr>
      </w:pPr>
      <w:r>
        <w:rPr>
          <w:rFonts w:hint="eastAsia" w:ascii="微软雅黑" w:hAnsi="微软雅黑" w:eastAsia="微软雅黑" w:cs="宋体"/>
          <w:szCs w:val="21"/>
          <w:highlight w:val="yellow"/>
        </w:rPr>
        <w:t>d)输入电压总畸变因数 D≤0.08，各次谐波电压的最高含量列于表2(取自用于公用低压电网的GB/T 18039.3)，最高到40次谐波。</w:t>
      </w:r>
    </w:p>
    <w:p w14:paraId="4FB40FD2">
      <w:pPr>
        <w:spacing w:line="360" w:lineRule="auto"/>
        <w:ind w:firstLine="420" w:firstLineChars="200"/>
        <w:jc w:val="left"/>
        <w:rPr>
          <w:rFonts w:hint="eastAsia" w:ascii="微软雅黑" w:hAnsi="微软雅黑" w:eastAsia="微软雅黑" w:cs="宋体"/>
          <w:kern w:val="0"/>
          <w:szCs w:val="21"/>
          <w:highlight w:val="yellow"/>
        </w:rPr>
      </w:pPr>
      <w:r>
        <w:rPr>
          <w:rFonts w:hint="eastAsia" w:ascii="微软雅黑" w:hAnsi="微软雅黑" w:eastAsia="微软雅黑" w:cs="宋体"/>
          <w:kern w:val="0"/>
          <w:szCs w:val="21"/>
          <w:highlight w:val="yellow"/>
        </w:rPr>
        <w:t>【本设备部分引用《不间断电源系统（UPS） 第1部分：安全要求》GB/T 7260.1-2023中4.3.104 储能装置的保护】</w:t>
      </w:r>
    </w:p>
    <w:p w14:paraId="3E0D2F27">
      <w:pPr>
        <w:spacing w:line="360" w:lineRule="auto"/>
        <w:ind w:firstLine="420" w:firstLineChars="200"/>
        <w:jc w:val="left"/>
        <w:rPr>
          <w:rFonts w:hint="eastAsia" w:ascii="微软雅黑" w:hAnsi="微软雅黑" w:eastAsia="微软雅黑" w:cs="宋体"/>
          <w:kern w:val="0"/>
          <w:szCs w:val="21"/>
          <w:highlight w:val="yellow"/>
        </w:rPr>
      </w:pPr>
      <w:r>
        <w:rPr>
          <w:rFonts w:hint="eastAsia" w:ascii="微软雅黑" w:hAnsi="微软雅黑" w:eastAsia="微软雅黑" w:cs="宋体"/>
          <w:kern w:val="0"/>
          <w:szCs w:val="21"/>
          <w:highlight w:val="yellow"/>
        </w:rPr>
        <w:t>★储能装置无论在UPS 单元内部(一体式)或外部都应被保护，以免受故障电流和过电流的危害。 符合4.101.2的过电流保护装置应位于储能装置附近，且以下要求适用：</w:t>
      </w:r>
    </w:p>
    <w:p w14:paraId="7FB9AA0A">
      <w:pPr>
        <w:spacing w:line="360" w:lineRule="auto"/>
        <w:ind w:firstLine="420" w:firstLineChars="200"/>
        <w:jc w:val="left"/>
        <w:rPr>
          <w:rFonts w:hint="eastAsia" w:ascii="微软雅黑" w:hAnsi="微软雅黑" w:eastAsia="微软雅黑" w:cs="宋体"/>
          <w:kern w:val="0"/>
          <w:szCs w:val="21"/>
          <w:highlight w:val="yellow"/>
        </w:rPr>
      </w:pPr>
      <w:r>
        <w:rPr>
          <w:rFonts w:hint="eastAsia" w:ascii="微软雅黑" w:hAnsi="微软雅黑" w:eastAsia="微软雅黑" w:cs="宋体"/>
          <w:kern w:val="0"/>
          <w:szCs w:val="21"/>
          <w:highlight w:val="yellow"/>
        </w:rPr>
        <w:t>a）为了切断储能装置提供的故障电流，过电流保护装置应：</w:t>
      </w:r>
    </w:p>
    <w:p w14:paraId="64CA86C8">
      <w:pPr>
        <w:spacing w:line="360" w:lineRule="auto"/>
        <w:ind w:firstLine="420" w:firstLineChars="200"/>
        <w:jc w:val="left"/>
        <w:rPr>
          <w:rFonts w:hint="eastAsia" w:ascii="微软雅黑" w:hAnsi="微软雅黑" w:eastAsia="微软雅黑" w:cs="宋体"/>
          <w:kern w:val="0"/>
          <w:szCs w:val="21"/>
          <w:highlight w:val="yellow"/>
        </w:rPr>
      </w:pPr>
      <w:r>
        <w:rPr>
          <w:rFonts w:hint="eastAsia" w:ascii="微软雅黑" w:hAnsi="微软雅黑" w:eastAsia="微软雅黑" w:cs="宋体"/>
          <w:kern w:val="0"/>
          <w:szCs w:val="21"/>
          <w:highlight w:val="yellow"/>
        </w:rPr>
        <w:t xml:space="preserve">——不使动作电流大于可能出现的故障电流； </w:t>
      </w:r>
    </w:p>
    <w:p w14:paraId="15D98B34">
      <w:pPr>
        <w:spacing w:line="360" w:lineRule="auto"/>
        <w:ind w:firstLine="420" w:firstLineChars="200"/>
        <w:jc w:val="left"/>
        <w:rPr>
          <w:rFonts w:hint="eastAsia" w:ascii="微软雅黑" w:hAnsi="微软雅黑" w:eastAsia="微软雅黑" w:cs="宋体"/>
          <w:kern w:val="0"/>
          <w:szCs w:val="21"/>
          <w:highlight w:val="yellow"/>
        </w:rPr>
      </w:pPr>
      <w:r>
        <w:rPr>
          <w:rFonts w:hint="eastAsia" w:ascii="微软雅黑" w:hAnsi="微软雅黑" w:eastAsia="微软雅黑" w:cs="宋体"/>
          <w:kern w:val="0"/>
          <w:szCs w:val="21"/>
          <w:highlight w:val="yellow"/>
        </w:rPr>
        <w:t>——具备分断可能出现的最大故障电流的额定分断能力。</w:t>
      </w:r>
    </w:p>
    <w:p w14:paraId="688A755F">
      <w:pPr>
        <w:spacing w:line="360" w:lineRule="auto"/>
        <w:ind w:firstLine="420" w:firstLineChars="200"/>
        <w:jc w:val="left"/>
        <w:rPr>
          <w:rFonts w:hint="eastAsia" w:ascii="微软雅黑" w:hAnsi="微软雅黑" w:eastAsia="微软雅黑" w:cs="宋体"/>
          <w:kern w:val="0"/>
          <w:szCs w:val="21"/>
          <w:highlight w:val="yellow"/>
        </w:rPr>
      </w:pPr>
      <w:r>
        <w:rPr>
          <w:rFonts w:hint="eastAsia" w:ascii="微软雅黑" w:hAnsi="微软雅黑" w:eastAsia="微软雅黑" w:cs="宋体"/>
          <w:kern w:val="0"/>
          <w:szCs w:val="21"/>
          <w:highlight w:val="yellow"/>
        </w:rPr>
        <w:t>b）连接储能装置、过电流保护装置和UPS 单元的电缆应额定为支持：</w:t>
      </w:r>
    </w:p>
    <w:p w14:paraId="02BD94B2">
      <w:pPr>
        <w:spacing w:line="360" w:lineRule="auto"/>
        <w:ind w:firstLine="420" w:firstLineChars="200"/>
        <w:jc w:val="left"/>
        <w:rPr>
          <w:rFonts w:hint="eastAsia" w:ascii="微软雅黑" w:hAnsi="微软雅黑" w:eastAsia="微软雅黑" w:cs="宋体"/>
          <w:kern w:val="0"/>
          <w:szCs w:val="21"/>
          <w:highlight w:val="yellow"/>
        </w:rPr>
      </w:pPr>
      <w:r>
        <w:rPr>
          <w:rFonts w:hint="eastAsia" w:ascii="微软雅黑" w:hAnsi="微软雅黑" w:eastAsia="微软雅黑" w:cs="宋体"/>
          <w:kern w:val="0"/>
          <w:szCs w:val="21"/>
          <w:highlight w:val="yellow"/>
        </w:rPr>
        <w:t xml:space="preserve"> —— UPS 在储能供电模式下所需的最大电流； </w:t>
      </w:r>
    </w:p>
    <w:p w14:paraId="3D06DDB6">
      <w:pPr>
        <w:spacing w:line="360" w:lineRule="auto"/>
        <w:ind w:firstLine="420" w:firstLineChars="200"/>
        <w:jc w:val="left"/>
        <w:rPr>
          <w:rFonts w:hint="eastAsia" w:ascii="微软雅黑" w:hAnsi="微软雅黑" w:eastAsia="微软雅黑" w:cs="宋体"/>
          <w:kern w:val="0"/>
          <w:szCs w:val="21"/>
          <w:highlight w:val="yellow"/>
        </w:rPr>
      </w:pPr>
      <w:r>
        <w:rPr>
          <w:rFonts w:hint="eastAsia" w:ascii="微软雅黑" w:hAnsi="微软雅黑" w:eastAsia="微软雅黑" w:cs="宋体"/>
          <w:kern w:val="0"/>
          <w:szCs w:val="21"/>
          <w:highlight w:val="yellow"/>
        </w:rPr>
        <w:t>——可能出现的最大故障电流。</w:t>
      </w:r>
    </w:p>
    <w:p w14:paraId="5F394D6A">
      <w:pPr>
        <w:spacing w:line="360" w:lineRule="auto"/>
        <w:ind w:firstLine="420" w:firstLineChars="200"/>
        <w:jc w:val="left"/>
        <w:rPr>
          <w:rFonts w:hint="eastAsia" w:ascii="微软雅黑" w:hAnsi="微软雅黑" w:eastAsia="微软雅黑" w:cs="宋体"/>
          <w:kern w:val="0"/>
          <w:szCs w:val="21"/>
          <w:highlight w:val="yellow"/>
        </w:rPr>
      </w:pPr>
      <w:r>
        <w:rPr>
          <w:rFonts w:hint="eastAsia" w:ascii="微软雅黑" w:hAnsi="微软雅黑" w:eastAsia="微软雅黑" w:cs="宋体"/>
          <w:kern w:val="0"/>
          <w:szCs w:val="21"/>
          <w:highlight w:val="yellow"/>
        </w:rPr>
        <w:t xml:space="preserve"> 应在充满电的储能装置的输出端测量可能出现的最大故障电流。 </w:t>
      </w:r>
    </w:p>
    <w:p w14:paraId="74B6B09D">
      <w:pPr>
        <w:spacing w:line="360" w:lineRule="auto"/>
        <w:ind w:firstLine="420" w:firstLineChars="200"/>
        <w:jc w:val="left"/>
        <w:rPr>
          <w:rFonts w:hint="eastAsia" w:ascii="微软雅黑" w:hAnsi="微软雅黑" w:eastAsia="微软雅黑" w:cs="宋体"/>
          <w:kern w:val="0"/>
          <w:szCs w:val="21"/>
          <w:highlight w:val="yellow"/>
        </w:rPr>
      </w:pPr>
      <w:r>
        <w:rPr>
          <w:rFonts w:hint="eastAsia" w:ascii="微软雅黑" w:hAnsi="微软雅黑" w:eastAsia="微软雅黑" w:cs="宋体"/>
          <w:kern w:val="0"/>
          <w:szCs w:val="21"/>
          <w:highlight w:val="yellow"/>
        </w:rPr>
        <w:t>在考虑要支持的储能装置(或一系列储能装置)时，通过检查提供的(或规定用于安装的)保护装置 和电缆的特性，验证是否符合上述列项a) 和列项b) 的要求。</w:t>
      </w:r>
    </w:p>
    <w:p w14:paraId="15638F52">
      <w:pPr>
        <w:spacing w:line="360" w:lineRule="auto"/>
        <w:ind w:firstLine="420" w:firstLineChars="200"/>
        <w:jc w:val="left"/>
        <w:rPr>
          <w:rFonts w:hint="eastAsia" w:ascii="微软雅黑" w:hAnsi="微软雅黑" w:eastAsia="微软雅黑" w:cs="宋体"/>
          <w:kern w:val="0"/>
          <w:szCs w:val="21"/>
          <w:highlight w:val="yellow"/>
        </w:rPr>
      </w:pPr>
      <w:r>
        <w:rPr>
          <w:rFonts w:hint="eastAsia" w:ascii="微软雅黑" w:hAnsi="微软雅黑" w:eastAsia="微软雅黑" w:cs="宋体"/>
          <w:kern w:val="0"/>
          <w:szCs w:val="21"/>
          <w:highlight w:val="yellow"/>
        </w:rPr>
        <w:t>【本设备部分引用《通信交流不间断电源（UPS）》GB/T 1905-2018中4.3.14 市电电池转换时间】</w:t>
      </w:r>
    </w:p>
    <w:p w14:paraId="4BBD14C3">
      <w:pPr>
        <w:spacing w:line="360" w:lineRule="auto"/>
        <w:ind w:firstLine="420" w:firstLineChars="200"/>
        <w:jc w:val="left"/>
        <w:rPr>
          <w:rFonts w:hint="eastAsia" w:ascii="微软雅黑" w:hAnsi="微软雅黑" w:eastAsia="微软雅黑" w:cs="宋体"/>
          <w:kern w:val="0"/>
          <w:szCs w:val="21"/>
          <w:highlight w:val="yellow"/>
        </w:rPr>
      </w:pPr>
      <w:r>
        <w:rPr>
          <w:rFonts w:hint="eastAsia" w:ascii="微软雅黑" w:hAnsi="微软雅黑" w:eastAsia="微软雅黑" w:cs="宋体"/>
          <w:kern w:val="0"/>
          <w:szCs w:val="21"/>
          <w:highlight w:val="yellow"/>
        </w:rPr>
        <w:t>市电电池转换时间应为0ms</w:t>
      </w:r>
    </w:p>
    <w:p w14:paraId="5B882103">
      <w:pPr>
        <w:spacing w:line="360" w:lineRule="auto"/>
        <w:ind w:firstLine="420" w:firstLineChars="200"/>
        <w:rPr>
          <w:rFonts w:hint="eastAsia" w:ascii="微软雅黑" w:hAnsi="微软雅黑" w:eastAsia="微软雅黑" w:cs="宋体"/>
          <w:szCs w:val="21"/>
        </w:rPr>
      </w:pPr>
      <w:r>
        <w:rPr>
          <w:rFonts w:ascii="微软雅黑" w:hAnsi="微软雅黑" w:eastAsia="微软雅黑" w:cs="宋体"/>
          <w:szCs w:val="21"/>
        </w:rPr>
        <w:t>【下述要求为对上述标准中参数的补充优化】</w:t>
      </w:r>
    </w:p>
    <w:p w14:paraId="44ED4233">
      <w:pPr>
        <w:spacing w:line="360" w:lineRule="auto"/>
        <w:ind w:firstLine="420" w:firstLineChars="200"/>
        <w:jc w:val="left"/>
        <w:rPr>
          <w:rFonts w:hint="eastAsia" w:ascii="微软雅黑" w:hAnsi="微软雅黑" w:eastAsia="微软雅黑" w:cs="微软雅黑"/>
          <w:kern w:val="0"/>
          <w:szCs w:val="21"/>
        </w:rPr>
      </w:pPr>
      <w:r>
        <w:rPr>
          <w:rFonts w:hint="eastAsia" w:ascii="微软雅黑" w:hAnsi="微软雅黑" w:eastAsia="微软雅黑" w:cs="微软雅黑"/>
          <w:kern w:val="0"/>
          <w:szCs w:val="21"/>
        </w:rPr>
        <w:t>1）</w:t>
      </w:r>
      <w:r>
        <w:rPr>
          <w:rFonts w:hint="eastAsia" w:ascii="Calibri" w:hAnsi="Calibri" w:eastAsia="宋体" w:cs="Times New Roman"/>
          <w:kern w:val="0"/>
          <w:sz w:val="28"/>
          <w:szCs w:val="28"/>
        </w:rPr>
        <w:t>★</w:t>
      </w:r>
      <w:r>
        <w:rPr>
          <w:rFonts w:hint="eastAsia" w:ascii="微软雅黑" w:hAnsi="微软雅黑" w:eastAsia="微软雅黑" w:cs="微软雅黑"/>
          <w:kern w:val="0"/>
          <w:szCs w:val="21"/>
        </w:rPr>
        <w:t xml:space="preserve">UPS功率：40KVA；三相五线（3Φ+N+PE）；12脉冲在线双变换式，可控硅整流技术方式；标配内置输入、输出隔离变压器；切换时间：0 ms；要求具备1+1并机（冗余）连接，最大可并机台数≥3台； </w:t>
      </w:r>
    </w:p>
    <w:p w14:paraId="2767CA58">
      <w:pPr>
        <w:spacing w:line="360" w:lineRule="auto"/>
        <w:ind w:firstLine="420" w:firstLineChars="200"/>
        <w:jc w:val="left"/>
        <w:rPr>
          <w:rFonts w:hint="eastAsia" w:ascii="微软雅黑" w:hAnsi="微软雅黑" w:eastAsia="微软雅黑" w:cs="微软雅黑"/>
          <w:kern w:val="0"/>
          <w:szCs w:val="21"/>
        </w:rPr>
      </w:pPr>
      <w:r>
        <w:rPr>
          <w:rFonts w:hint="eastAsia" w:ascii="微软雅黑" w:hAnsi="微软雅黑" w:eastAsia="微软雅黑" w:cs="微软雅黑"/>
          <w:kern w:val="0"/>
          <w:szCs w:val="21"/>
        </w:rPr>
        <w:t>2）</w:t>
      </w:r>
      <w:r>
        <w:rPr>
          <w:rFonts w:hint="eastAsia" w:ascii="Calibri" w:hAnsi="Calibri" w:eastAsia="宋体" w:cs="Times New Roman"/>
          <w:kern w:val="0"/>
          <w:sz w:val="28"/>
          <w:szCs w:val="28"/>
        </w:rPr>
        <w:t>★</w:t>
      </w:r>
      <w:r>
        <w:rPr>
          <w:rFonts w:hint="eastAsia" w:ascii="微软雅黑" w:hAnsi="微软雅黑" w:eastAsia="微软雅黑" w:cs="微软雅黑"/>
          <w:kern w:val="0"/>
          <w:szCs w:val="21"/>
        </w:rPr>
        <w:t xml:space="preserve">UPS后备电池电压：为3.2V × 72节组成230.4V系统;                                           </w:t>
      </w:r>
    </w:p>
    <w:p w14:paraId="1397459D">
      <w:pPr>
        <w:spacing w:line="360" w:lineRule="auto"/>
        <w:ind w:firstLine="420" w:firstLineChars="200"/>
        <w:jc w:val="left"/>
        <w:rPr>
          <w:rFonts w:hint="eastAsia" w:ascii="微软雅黑" w:hAnsi="微软雅黑" w:eastAsia="微软雅黑" w:cs="微软雅黑"/>
          <w:kern w:val="0"/>
          <w:szCs w:val="21"/>
        </w:rPr>
      </w:pPr>
      <w:r>
        <w:rPr>
          <w:rFonts w:hint="eastAsia" w:ascii="微软雅黑" w:hAnsi="微软雅黑" w:eastAsia="微软雅黑" w:cs="微软雅黑"/>
          <w:kern w:val="0"/>
          <w:szCs w:val="21"/>
        </w:rPr>
        <w:t xml:space="preserve">3) 输入功率因数：≥0.82； </w:t>
      </w:r>
    </w:p>
    <w:p w14:paraId="2B2478D9">
      <w:pPr>
        <w:spacing w:line="360" w:lineRule="auto"/>
        <w:ind w:firstLine="420" w:firstLineChars="200"/>
        <w:jc w:val="left"/>
        <w:rPr>
          <w:rFonts w:hint="eastAsia" w:ascii="微软雅黑" w:hAnsi="微软雅黑" w:eastAsia="微软雅黑" w:cs="微软雅黑"/>
          <w:kern w:val="0"/>
          <w:szCs w:val="21"/>
        </w:rPr>
      </w:pPr>
      <w:r>
        <w:rPr>
          <w:rFonts w:hint="eastAsia" w:ascii="微软雅黑" w:hAnsi="微软雅黑" w:eastAsia="微软雅黑" w:cs="微软雅黑"/>
          <w:kern w:val="0"/>
          <w:szCs w:val="21"/>
        </w:rPr>
        <w:t>4）输入电流谐波：≤12%</w:t>
      </w:r>
    </w:p>
    <w:p w14:paraId="7474EEDC">
      <w:pPr>
        <w:spacing w:line="360" w:lineRule="auto"/>
        <w:ind w:firstLine="420" w:firstLineChars="200"/>
        <w:jc w:val="left"/>
        <w:rPr>
          <w:rFonts w:hint="eastAsia" w:ascii="微软雅黑" w:hAnsi="微软雅黑" w:eastAsia="微软雅黑" w:cs="微软雅黑"/>
          <w:kern w:val="0"/>
          <w:szCs w:val="21"/>
        </w:rPr>
      </w:pPr>
      <w:r>
        <w:rPr>
          <w:rFonts w:hint="eastAsia" w:ascii="微软雅黑" w:hAnsi="微软雅黑" w:eastAsia="微软雅黑" w:cs="微软雅黑"/>
          <w:kern w:val="0"/>
          <w:szCs w:val="21"/>
        </w:rPr>
        <w:t xml:space="preserve">5）输入额定电压：380Vac/400Vac/415Vac                                </w:t>
      </w:r>
    </w:p>
    <w:p w14:paraId="3B0C99DC">
      <w:pPr>
        <w:spacing w:line="360" w:lineRule="auto"/>
        <w:ind w:firstLine="420" w:firstLineChars="200"/>
        <w:jc w:val="left"/>
        <w:rPr>
          <w:rFonts w:hint="eastAsia" w:ascii="微软雅黑" w:hAnsi="微软雅黑" w:eastAsia="微软雅黑" w:cs="微软雅黑"/>
          <w:kern w:val="0"/>
          <w:szCs w:val="21"/>
        </w:rPr>
      </w:pPr>
      <w:r>
        <w:rPr>
          <w:rFonts w:hint="eastAsia" w:ascii="微软雅黑" w:hAnsi="微软雅黑" w:eastAsia="微软雅黑" w:cs="微软雅黑"/>
          <w:kern w:val="0"/>
          <w:szCs w:val="21"/>
        </w:rPr>
        <w:t xml:space="preserve">6) 输入电压可变范围：304~485Vac (不降额)；165~280Vac ( 40%~100%负载之间线性降额)；                           </w:t>
      </w:r>
    </w:p>
    <w:p w14:paraId="5636D1F8">
      <w:pPr>
        <w:spacing w:line="360" w:lineRule="auto"/>
        <w:ind w:firstLine="420" w:firstLineChars="200"/>
        <w:jc w:val="left"/>
        <w:rPr>
          <w:rFonts w:hint="eastAsia" w:ascii="微软雅黑" w:hAnsi="微软雅黑" w:eastAsia="微软雅黑" w:cs="微软雅黑"/>
          <w:kern w:val="0"/>
          <w:szCs w:val="21"/>
        </w:rPr>
      </w:pPr>
      <w:r>
        <w:rPr>
          <w:rFonts w:hint="eastAsia" w:ascii="微软雅黑" w:hAnsi="微软雅黑" w:eastAsia="微软雅黑" w:cs="微软雅黑"/>
          <w:kern w:val="0"/>
          <w:szCs w:val="21"/>
        </w:rPr>
        <w:t xml:space="preserve">7) 输入频率变化范围：45~66Hz；      </w:t>
      </w:r>
    </w:p>
    <w:p w14:paraId="4A1C7854">
      <w:pPr>
        <w:spacing w:line="360" w:lineRule="auto"/>
        <w:ind w:firstLine="420" w:firstLineChars="200"/>
        <w:jc w:val="left"/>
        <w:rPr>
          <w:rFonts w:hint="eastAsia" w:ascii="微软雅黑" w:hAnsi="微软雅黑" w:eastAsia="微软雅黑" w:cs="微软雅黑"/>
          <w:kern w:val="0"/>
          <w:szCs w:val="21"/>
        </w:rPr>
      </w:pPr>
      <w:r>
        <w:rPr>
          <w:rFonts w:hint="eastAsia" w:ascii="微软雅黑" w:hAnsi="微软雅黑" w:eastAsia="微软雅黑" w:cs="微软雅黑"/>
          <w:kern w:val="0"/>
          <w:szCs w:val="21"/>
        </w:rPr>
        <w:t>8）输出额定电压：</w:t>
      </w:r>
      <w:r>
        <w:rPr>
          <w:rFonts w:ascii="微软雅黑" w:hAnsi="微软雅黑" w:eastAsia="微软雅黑" w:cs="微软雅黑"/>
          <w:kern w:val="0"/>
          <w:szCs w:val="21"/>
        </w:rPr>
        <w:t>220Vac/230Vac/240Vac</w:t>
      </w:r>
    </w:p>
    <w:p w14:paraId="624C2D4F">
      <w:pPr>
        <w:spacing w:line="360" w:lineRule="auto"/>
        <w:ind w:firstLine="420" w:firstLineChars="200"/>
        <w:jc w:val="left"/>
        <w:rPr>
          <w:rFonts w:hint="eastAsia" w:ascii="微软雅黑" w:hAnsi="微软雅黑" w:eastAsia="微软雅黑" w:cs="微软雅黑"/>
          <w:kern w:val="0"/>
          <w:szCs w:val="21"/>
        </w:rPr>
      </w:pPr>
      <w:r>
        <w:rPr>
          <w:rFonts w:hint="eastAsia" w:ascii="微软雅黑" w:hAnsi="微软雅黑" w:eastAsia="微软雅黑" w:cs="微软雅黑"/>
          <w:kern w:val="0"/>
          <w:szCs w:val="21"/>
        </w:rPr>
        <w:t>9）输出电压稳压精度：±1%；</w:t>
      </w:r>
    </w:p>
    <w:p w14:paraId="45B5822B">
      <w:pPr>
        <w:spacing w:line="360" w:lineRule="auto"/>
        <w:ind w:firstLine="420" w:firstLineChars="200"/>
        <w:jc w:val="left"/>
        <w:rPr>
          <w:rFonts w:hint="eastAsia" w:ascii="微软雅黑" w:hAnsi="微软雅黑" w:eastAsia="微软雅黑" w:cs="微软雅黑"/>
          <w:kern w:val="0"/>
          <w:szCs w:val="21"/>
        </w:rPr>
      </w:pPr>
      <w:r>
        <w:rPr>
          <w:rFonts w:hint="eastAsia" w:ascii="微软雅黑" w:hAnsi="微软雅黑" w:eastAsia="微软雅黑" w:cs="微软雅黑"/>
          <w:kern w:val="0"/>
          <w:szCs w:val="21"/>
        </w:rPr>
        <w:t>10）输出频率精度：50Hz/60Hz±0.05%   ；</w:t>
      </w:r>
    </w:p>
    <w:p w14:paraId="29F47353">
      <w:pPr>
        <w:spacing w:line="360" w:lineRule="auto"/>
        <w:ind w:firstLine="420" w:firstLineChars="200"/>
        <w:jc w:val="left"/>
        <w:rPr>
          <w:rFonts w:hint="eastAsia" w:ascii="微软雅黑" w:hAnsi="微软雅黑" w:eastAsia="微软雅黑" w:cs="微软雅黑"/>
          <w:kern w:val="0"/>
          <w:szCs w:val="21"/>
        </w:rPr>
      </w:pPr>
      <w:r>
        <w:rPr>
          <w:rFonts w:hint="eastAsia" w:ascii="微软雅黑" w:hAnsi="微软雅黑" w:eastAsia="微软雅黑" w:cs="微软雅黑"/>
          <w:kern w:val="0"/>
          <w:szCs w:val="21"/>
        </w:rPr>
        <w:t xml:space="preserve">11）输出功率因数：0.8；    </w:t>
      </w:r>
    </w:p>
    <w:p w14:paraId="4390CB46">
      <w:pPr>
        <w:spacing w:line="360" w:lineRule="auto"/>
        <w:ind w:firstLine="420" w:firstLineChars="200"/>
        <w:jc w:val="left"/>
        <w:rPr>
          <w:rFonts w:hint="eastAsia" w:ascii="微软雅黑" w:hAnsi="微软雅黑" w:eastAsia="微软雅黑" w:cs="微软雅黑"/>
          <w:kern w:val="0"/>
          <w:szCs w:val="21"/>
        </w:rPr>
      </w:pPr>
      <w:r>
        <w:rPr>
          <w:rFonts w:hint="eastAsia" w:ascii="微软雅黑" w:hAnsi="微软雅黑" w:eastAsia="微软雅黑" w:cs="微软雅黑"/>
          <w:kern w:val="0"/>
          <w:szCs w:val="21"/>
        </w:rPr>
        <w:t xml:space="preserve">12）输出电流峰值系数：3:1              </w:t>
      </w:r>
    </w:p>
    <w:p w14:paraId="5F66BF44">
      <w:pPr>
        <w:spacing w:line="360" w:lineRule="auto"/>
        <w:ind w:firstLine="420" w:firstLineChars="200"/>
        <w:jc w:val="left"/>
        <w:rPr>
          <w:rFonts w:hint="eastAsia" w:ascii="微软雅黑" w:hAnsi="微软雅黑" w:eastAsia="微软雅黑" w:cs="微软雅黑"/>
          <w:kern w:val="0"/>
          <w:szCs w:val="21"/>
        </w:rPr>
      </w:pPr>
      <w:r>
        <w:rPr>
          <w:rFonts w:hint="eastAsia" w:ascii="微软雅黑" w:hAnsi="微软雅黑" w:eastAsia="微软雅黑" w:cs="微软雅黑"/>
          <w:kern w:val="0"/>
          <w:szCs w:val="21"/>
        </w:rPr>
        <w:t>13）</w:t>
      </w:r>
      <w:bookmarkStart w:id="11" w:name="_Hlk214460829"/>
      <w:r>
        <w:rPr>
          <w:rFonts w:hint="eastAsia" w:ascii="微软雅黑" w:hAnsi="微软雅黑" w:eastAsia="微软雅黑" w:cs="微软雅黑"/>
          <w:kern w:val="0"/>
          <w:szCs w:val="21"/>
        </w:rPr>
        <w:t>过载能力:105%＜负载≤110%，长期运行；110%＜负载≤125%，10分钟后转旁路；125%＜负载≤150%，1分钟后转旁路；负载＞150%，0.2秒后转旁路</w:t>
      </w:r>
      <w:bookmarkEnd w:id="11"/>
      <w:r>
        <w:rPr>
          <w:rFonts w:hint="eastAsia" w:ascii="微软雅黑" w:hAnsi="微软雅黑" w:eastAsia="微软雅黑" w:cs="微软雅黑"/>
          <w:kern w:val="0"/>
          <w:szCs w:val="21"/>
        </w:rPr>
        <w:t xml:space="preserve">；                                   </w:t>
      </w:r>
    </w:p>
    <w:p w14:paraId="7ECDAF30">
      <w:pPr>
        <w:spacing w:line="360" w:lineRule="auto"/>
        <w:ind w:firstLine="420" w:firstLineChars="200"/>
        <w:jc w:val="left"/>
        <w:rPr>
          <w:rFonts w:hint="eastAsia" w:ascii="微软雅黑" w:hAnsi="微软雅黑" w:eastAsia="微软雅黑" w:cs="微软雅黑"/>
          <w:kern w:val="0"/>
          <w:szCs w:val="21"/>
        </w:rPr>
      </w:pPr>
      <w:r>
        <w:rPr>
          <w:rFonts w:hint="eastAsia" w:ascii="微软雅黑" w:hAnsi="微软雅黑" w:eastAsia="微软雅黑" w:cs="微软雅黑"/>
          <w:kern w:val="0"/>
          <w:szCs w:val="21"/>
        </w:rPr>
        <w:t>14）系统效率：</w:t>
      </w:r>
      <w:r>
        <w:rPr>
          <w:rFonts w:hint="eastAsia" w:ascii="微软雅黑" w:hAnsi="微软雅黑" w:eastAsia="微软雅黑" w:cs="微软雅黑"/>
          <w:color w:val="000000"/>
          <w:kern w:val="0"/>
          <w:szCs w:val="21"/>
        </w:rPr>
        <w:t>≥85%；</w:t>
      </w:r>
      <w:r>
        <w:rPr>
          <w:rFonts w:hint="eastAsia" w:ascii="微软雅黑" w:hAnsi="微软雅黑" w:eastAsia="微软雅黑" w:cs="微软雅黑"/>
          <w:kern w:val="0"/>
          <w:szCs w:val="21"/>
        </w:rPr>
        <w:t xml:space="preserve">   </w:t>
      </w:r>
    </w:p>
    <w:p w14:paraId="40AA3245">
      <w:pPr>
        <w:spacing w:line="360" w:lineRule="auto"/>
        <w:ind w:firstLine="420" w:firstLineChars="200"/>
        <w:jc w:val="left"/>
        <w:rPr>
          <w:rFonts w:hint="eastAsia" w:ascii="微软雅黑" w:hAnsi="微软雅黑" w:eastAsia="微软雅黑" w:cs="微软雅黑"/>
          <w:kern w:val="0"/>
          <w:szCs w:val="21"/>
        </w:rPr>
      </w:pPr>
      <w:r>
        <w:rPr>
          <w:rFonts w:hint="eastAsia" w:ascii="微软雅黑" w:hAnsi="微软雅黑" w:eastAsia="微软雅黑" w:cs="微软雅黑"/>
          <w:kern w:val="0"/>
          <w:szCs w:val="21"/>
        </w:rPr>
        <w:t xml:space="preserve">15）防护等级：≥IP23；                                     </w:t>
      </w:r>
    </w:p>
    <w:p w14:paraId="14DEF526">
      <w:pPr>
        <w:spacing w:line="360" w:lineRule="auto"/>
        <w:ind w:firstLine="420" w:firstLineChars="200"/>
        <w:jc w:val="left"/>
        <w:rPr>
          <w:rFonts w:hint="eastAsia" w:ascii="微软雅黑" w:hAnsi="微软雅黑" w:eastAsia="微软雅黑" w:cs="微软雅黑"/>
          <w:kern w:val="0"/>
          <w:szCs w:val="21"/>
        </w:rPr>
      </w:pPr>
      <w:r>
        <w:rPr>
          <w:rFonts w:hint="eastAsia" w:ascii="微软雅黑" w:hAnsi="微软雅黑" w:eastAsia="微软雅黑" w:cs="微软雅黑"/>
          <w:kern w:val="0"/>
          <w:szCs w:val="21"/>
        </w:rPr>
        <w:t xml:space="preserve">16）噪声：≤65dB(距离设备1米处)；                      </w:t>
      </w:r>
    </w:p>
    <w:p w14:paraId="0303E811">
      <w:pPr>
        <w:spacing w:line="360" w:lineRule="auto"/>
        <w:ind w:firstLine="420" w:firstLineChars="200"/>
        <w:jc w:val="left"/>
        <w:rPr>
          <w:rFonts w:hint="eastAsia" w:ascii="微软雅黑" w:hAnsi="微软雅黑" w:eastAsia="微软雅黑" w:cs="微软雅黑"/>
          <w:kern w:val="0"/>
          <w:szCs w:val="21"/>
        </w:rPr>
      </w:pPr>
      <w:r>
        <w:rPr>
          <w:rFonts w:hint="eastAsia" w:ascii="微软雅黑" w:hAnsi="微软雅黑" w:eastAsia="微软雅黑" w:cs="微软雅黑"/>
          <w:kern w:val="0"/>
          <w:szCs w:val="21"/>
        </w:rPr>
        <w:t>17）</w:t>
      </w:r>
      <w:r>
        <w:rPr>
          <w:rFonts w:hint="eastAsia" w:ascii="Calibri" w:hAnsi="Calibri" w:eastAsia="宋体" w:cs="Times New Roman"/>
          <w:kern w:val="0"/>
          <w:sz w:val="28"/>
          <w:szCs w:val="28"/>
        </w:rPr>
        <w:t>★</w:t>
      </w:r>
      <w:r>
        <w:rPr>
          <w:rFonts w:hint="eastAsia" w:ascii="微软雅黑" w:hAnsi="微软雅黑" w:eastAsia="微软雅黑" w:cs="微软雅黑"/>
          <w:kern w:val="0"/>
          <w:szCs w:val="21"/>
        </w:rPr>
        <w:t>每台UPS具有独立的控制系统和7英寸中文及以上大屏幕LCD显示屏，便于使用及维修。具备智能监控接口，可传送工作状态及事故报警信号。提供中文后台监控软件；</w:t>
      </w:r>
    </w:p>
    <w:p w14:paraId="7DFAA98C">
      <w:pPr>
        <w:spacing w:line="360" w:lineRule="auto"/>
        <w:ind w:firstLine="420" w:firstLineChars="200"/>
        <w:jc w:val="left"/>
        <w:rPr>
          <w:rFonts w:hint="eastAsia" w:ascii="微软雅黑" w:hAnsi="微软雅黑" w:eastAsia="微软雅黑" w:cs="微软雅黑"/>
          <w:kern w:val="0"/>
          <w:szCs w:val="21"/>
        </w:rPr>
      </w:pPr>
      <w:r>
        <w:rPr>
          <w:rFonts w:hint="eastAsia" w:ascii="微软雅黑" w:hAnsi="微软雅黑" w:eastAsia="微软雅黑" w:cs="微软雅黑"/>
          <w:kern w:val="0"/>
          <w:szCs w:val="21"/>
        </w:rPr>
        <w:t>18）每台UPS自带静态旁路和市电维修旁路；</w:t>
      </w:r>
    </w:p>
    <w:p w14:paraId="188F423B">
      <w:pPr>
        <w:spacing w:line="360" w:lineRule="auto"/>
        <w:ind w:firstLine="420" w:firstLineChars="200"/>
        <w:jc w:val="left"/>
        <w:rPr>
          <w:rFonts w:hint="eastAsia" w:ascii="微软雅黑" w:hAnsi="微软雅黑" w:eastAsia="微软雅黑" w:cs="微软雅黑"/>
          <w:kern w:val="0"/>
          <w:szCs w:val="21"/>
        </w:rPr>
      </w:pPr>
      <w:r>
        <w:rPr>
          <w:rFonts w:hint="eastAsia" w:ascii="微软雅黑" w:hAnsi="微软雅黑" w:eastAsia="微软雅黑" w:cs="微软雅黑"/>
          <w:kern w:val="0"/>
          <w:szCs w:val="21"/>
        </w:rPr>
        <w:t>19）保护功能：输出短路保护、输出过载保护、过温保护、电池低压保护、输出过欠压保护、风扇故障保护等；</w:t>
      </w:r>
    </w:p>
    <w:p w14:paraId="5CDBE078">
      <w:pPr>
        <w:spacing w:line="360" w:lineRule="auto"/>
        <w:ind w:firstLine="420" w:firstLineChars="200"/>
        <w:jc w:val="left"/>
        <w:rPr>
          <w:rFonts w:hint="eastAsia" w:ascii="微软雅黑" w:hAnsi="微软雅黑" w:eastAsia="微软雅黑" w:cs="微软雅黑"/>
          <w:kern w:val="0"/>
          <w:szCs w:val="21"/>
        </w:rPr>
      </w:pPr>
      <w:r>
        <w:rPr>
          <w:rFonts w:hint="eastAsia" w:ascii="微软雅黑" w:hAnsi="微软雅黑" w:eastAsia="微软雅黑" w:cs="微软雅黑"/>
          <w:kern w:val="0"/>
          <w:szCs w:val="21"/>
        </w:rPr>
        <w:t>20）通信接口：标配：RS232、RS485通讯接口（以太网接口）、电池温度补偿接口、两路输出干接点；选配：LBS组件、干接点组件、以太网卡、电池温度传感器、SNMP组件等。</w:t>
      </w:r>
    </w:p>
    <w:p w14:paraId="7FD3BB3A">
      <w:pPr>
        <w:spacing w:line="360" w:lineRule="auto"/>
        <w:ind w:firstLine="420" w:firstLineChars="200"/>
        <w:jc w:val="left"/>
        <w:rPr>
          <w:rFonts w:hint="eastAsia" w:ascii="微软雅黑" w:hAnsi="微软雅黑" w:eastAsia="微软雅黑" w:cs="微软雅黑"/>
          <w:kern w:val="0"/>
          <w:szCs w:val="21"/>
        </w:rPr>
      </w:pPr>
      <w:r>
        <w:rPr>
          <w:rFonts w:hint="eastAsia" w:ascii="微软雅黑" w:hAnsi="微软雅黑" w:eastAsia="微软雅黑" w:cs="微软雅黑"/>
          <w:kern w:val="0"/>
          <w:szCs w:val="21"/>
        </w:rPr>
        <w:t>22）</w:t>
      </w:r>
      <w:r>
        <w:rPr>
          <w:rFonts w:hint="eastAsia" w:ascii="Calibri" w:hAnsi="Calibri" w:eastAsia="宋体" w:cs="Times New Roman"/>
          <w:kern w:val="0"/>
          <w:sz w:val="28"/>
          <w:szCs w:val="28"/>
        </w:rPr>
        <w:t>★</w:t>
      </w:r>
      <w:r>
        <w:rPr>
          <w:rFonts w:hint="eastAsia" w:ascii="微软雅黑" w:hAnsi="微软雅黑" w:eastAsia="微软雅黑" w:cs="微软雅黑"/>
          <w:kern w:val="0"/>
          <w:szCs w:val="21"/>
        </w:rPr>
        <w:t>投标需提供产品的泰尔或船级社等第三方相关认证证书或检验报告等资料验证并且甲方有权要求厂验或到货现场测试相应招标指标。</w:t>
      </w:r>
    </w:p>
    <w:p w14:paraId="6C31E073">
      <w:pPr>
        <w:spacing w:line="360" w:lineRule="auto"/>
        <w:ind w:firstLine="420" w:firstLineChars="200"/>
        <w:jc w:val="left"/>
        <w:rPr>
          <w:rFonts w:hint="eastAsia" w:ascii="微软雅黑" w:hAnsi="微软雅黑" w:eastAsia="微软雅黑" w:cs="微软雅黑"/>
          <w:kern w:val="0"/>
          <w:szCs w:val="21"/>
        </w:rPr>
      </w:pPr>
      <w:r>
        <w:rPr>
          <w:rFonts w:hint="eastAsia" w:ascii="微软雅黑" w:hAnsi="微软雅黑" w:eastAsia="微软雅黑" w:cs="微软雅黑"/>
          <w:kern w:val="0"/>
          <w:szCs w:val="21"/>
        </w:rPr>
        <w:t>23) 中标方提供本次UPS主机安装调试及安装所需的底座和辅材，满足承重要求。</w:t>
      </w:r>
    </w:p>
    <w:p w14:paraId="354F8328">
      <w:pPr>
        <w:spacing w:line="360" w:lineRule="auto"/>
        <w:ind w:firstLine="440" w:firstLineChars="200"/>
        <w:rPr>
          <w:rFonts w:hint="eastAsia" w:ascii="微软雅黑" w:hAnsi="微软雅黑" w:eastAsia="微软雅黑" w:cs="微软雅黑"/>
          <w:sz w:val="22"/>
        </w:rPr>
      </w:pPr>
      <w:r>
        <w:rPr>
          <w:rFonts w:hint="eastAsia" w:ascii="微软雅黑" w:hAnsi="微软雅黑" w:eastAsia="微软雅黑" w:cs="微软雅黑"/>
          <w:sz w:val="22"/>
        </w:rPr>
        <w:t>2.3</w:t>
      </w:r>
      <w:r>
        <w:rPr>
          <w:rFonts w:hint="eastAsia" w:ascii="Calibri" w:hAnsi="Calibri" w:eastAsia="宋体" w:cs="Times New Roman"/>
          <w:sz w:val="28"/>
          <w:szCs w:val="28"/>
        </w:rPr>
        <w:t>★</w:t>
      </w:r>
      <w:r>
        <w:rPr>
          <w:rFonts w:hint="eastAsia" w:ascii="微软雅黑" w:hAnsi="微软雅黑" w:eastAsia="微软雅黑" w:cs="微软雅黑"/>
          <w:sz w:val="22"/>
        </w:rPr>
        <w:t>旁路柜技术要求</w:t>
      </w:r>
    </w:p>
    <w:p w14:paraId="33AA9860">
      <w:pPr>
        <w:spacing w:line="360" w:lineRule="auto"/>
        <w:ind w:firstLine="420" w:firstLineChars="200"/>
        <w:rPr>
          <w:rFonts w:hint="eastAsia" w:ascii="微软雅黑" w:hAnsi="微软雅黑" w:eastAsia="微软雅黑" w:cs="宋体"/>
          <w:szCs w:val="21"/>
          <w:highlight w:val="yellow"/>
        </w:rPr>
      </w:pPr>
      <w:r>
        <w:rPr>
          <w:rFonts w:hint="eastAsia" w:ascii="微软雅黑" w:hAnsi="微软雅黑" w:eastAsia="微软雅黑" w:cs="宋体"/>
          <w:szCs w:val="21"/>
          <w:highlight w:val="yellow"/>
        </w:rPr>
        <w:t>【本设备有补充引用《GBT19826-电力工程直流电源设备通用技术及安全要求》</w:t>
      </w:r>
      <w:r>
        <w:rPr>
          <w:rFonts w:ascii="微软雅黑" w:hAnsi="微软雅黑" w:eastAsia="微软雅黑" w:cs="宋体"/>
          <w:szCs w:val="21"/>
          <w:highlight w:val="yellow"/>
        </w:rPr>
        <w:t>5.2.2.11</w:t>
      </w:r>
      <w:r>
        <w:rPr>
          <w:rFonts w:hint="eastAsia" w:ascii="微软雅黑" w:hAnsi="微软雅黑" w:eastAsia="微软雅黑" w:cs="宋体"/>
          <w:szCs w:val="21"/>
          <w:highlight w:val="yellow"/>
        </w:rPr>
        <w:t>交流旁路输入要求，5.2.2.11.1 交流旁路输入隔离变压器，5.2.2.11.2 交流旁路输入稳压器，5.2.2.11.3交流旁路输入过载能力，5.3.6耐湿热性能，5.3.7 产品防护等级】</w:t>
      </w:r>
    </w:p>
    <w:p w14:paraId="0F3782D8">
      <w:pPr>
        <w:spacing w:line="360" w:lineRule="auto"/>
        <w:ind w:firstLine="420" w:firstLineChars="200"/>
        <w:rPr>
          <w:rFonts w:hint="eastAsia" w:ascii="微软雅黑" w:hAnsi="微软雅黑" w:eastAsia="微软雅黑" w:cs="宋体"/>
          <w:szCs w:val="21"/>
        </w:rPr>
      </w:pPr>
      <w:r>
        <w:rPr>
          <w:rFonts w:hint="eastAsia" w:ascii="微软雅黑" w:hAnsi="微软雅黑" w:eastAsia="微软雅黑" w:cs="宋体"/>
          <w:szCs w:val="21"/>
        </w:rPr>
        <w:t>以下为引用标准中所列重要参数，纳入评议范围:</w:t>
      </w:r>
    </w:p>
    <w:p w14:paraId="0010230B">
      <w:pPr>
        <w:numPr>
          <w:ilvl w:val="1"/>
          <w:numId w:val="12"/>
        </w:numPr>
        <w:spacing w:line="360" w:lineRule="auto"/>
        <w:rPr>
          <w:rFonts w:hint="eastAsia" w:ascii="微软雅黑" w:hAnsi="微软雅黑" w:eastAsia="微软雅黑" w:cs="微软雅黑"/>
          <w:szCs w:val="21"/>
        </w:rPr>
      </w:pPr>
      <w:r>
        <w:rPr>
          <w:rFonts w:hint="eastAsia" w:ascii="微软雅黑" w:hAnsi="微软雅黑" w:eastAsia="微软雅黑" w:cs="微软雅黑"/>
          <w:szCs w:val="21"/>
        </w:rPr>
        <w:t>输入电压：额定电压：380VAc，三相三线；</w:t>
      </w:r>
    </w:p>
    <w:p w14:paraId="1045CA54">
      <w:pPr>
        <w:numPr>
          <w:ilvl w:val="1"/>
          <w:numId w:val="12"/>
        </w:numPr>
        <w:spacing w:line="360" w:lineRule="auto"/>
        <w:rPr>
          <w:rFonts w:hint="eastAsia" w:ascii="微软雅黑" w:hAnsi="微软雅黑" w:eastAsia="微软雅黑" w:cs="微软雅黑"/>
          <w:szCs w:val="21"/>
        </w:rPr>
      </w:pPr>
      <w:r>
        <w:rPr>
          <w:rFonts w:hint="eastAsia" w:ascii="微软雅黑" w:hAnsi="微软雅黑" w:eastAsia="微软雅黑" w:cs="微软雅黑"/>
          <w:szCs w:val="21"/>
        </w:rPr>
        <w:t>输入频率：50Hz；</w:t>
      </w:r>
    </w:p>
    <w:p w14:paraId="2C9B78D3">
      <w:pPr>
        <w:numPr>
          <w:ilvl w:val="1"/>
          <w:numId w:val="12"/>
        </w:numPr>
        <w:spacing w:line="360" w:lineRule="auto"/>
        <w:rPr>
          <w:rFonts w:hint="eastAsia" w:ascii="微软雅黑" w:hAnsi="微软雅黑" w:eastAsia="微软雅黑" w:cs="微软雅黑"/>
          <w:szCs w:val="21"/>
        </w:rPr>
      </w:pPr>
      <w:r>
        <w:rPr>
          <w:rFonts w:hint="eastAsia" w:ascii="微软雅黑" w:hAnsi="微软雅黑" w:eastAsia="微软雅黑" w:cs="微软雅黑"/>
          <w:szCs w:val="21"/>
        </w:rPr>
        <w:t>输出电压：220VAc；</w:t>
      </w:r>
    </w:p>
    <w:p w14:paraId="0A0BFEE9">
      <w:pPr>
        <w:numPr>
          <w:ilvl w:val="1"/>
          <w:numId w:val="12"/>
        </w:numPr>
        <w:spacing w:line="360" w:lineRule="auto"/>
        <w:rPr>
          <w:rFonts w:hint="eastAsia" w:ascii="微软雅黑" w:hAnsi="微软雅黑" w:eastAsia="微软雅黑" w:cs="微软雅黑"/>
          <w:szCs w:val="21"/>
        </w:rPr>
      </w:pPr>
      <w:r>
        <w:rPr>
          <w:rFonts w:hint="eastAsia" w:ascii="微软雅黑" w:hAnsi="微软雅黑" w:eastAsia="微软雅黑" w:cs="微软雅黑"/>
          <w:szCs w:val="21"/>
        </w:rPr>
        <w:t>开关采用断路器，每条回路额定电流63A，回路不低于10 路；配置干式变压器：380/220V（绝缘等级：F 级，温升等级：B 级）</w:t>
      </w:r>
    </w:p>
    <w:p w14:paraId="3C7EBC07">
      <w:pPr>
        <w:numPr>
          <w:ilvl w:val="1"/>
          <w:numId w:val="12"/>
        </w:numPr>
        <w:spacing w:line="360" w:lineRule="auto"/>
        <w:rPr>
          <w:rFonts w:hint="eastAsia" w:ascii="微软雅黑" w:hAnsi="微软雅黑" w:eastAsia="微软雅黑" w:cs="微软雅黑"/>
          <w:szCs w:val="21"/>
        </w:rPr>
      </w:pPr>
      <w:r>
        <w:rPr>
          <w:rFonts w:hint="eastAsia" w:ascii="微软雅黑" w:hAnsi="微软雅黑" w:eastAsia="微软雅黑" w:cs="微软雅黑"/>
          <w:szCs w:val="21"/>
        </w:rPr>
        <w:t>内置隔离变压器绕组；</w:t>
      </w:r>
    </w:p>
    <w:p w14:paraId="3423156B">
      <w:pPr>
        <w:numPr>
          <w:ilvl w:val="1"/>
          <w:numId w:val="12"/>
        </w:numPr>
        <w:spacing w:line="360" w:lineRule="auto"/>
        <w:rPr>
          <w:rFonts w:hint="eastAsia" w:ascii="微软雅黑" w:hAnsi="微软雅黑" w:eastAsia="微软雅黑" w:cs="微软雅黑"/>
          <w:szCs w:val="21"/>
        </w:rPr>
      </w:pPr>
      <w:r>
        <w:rPr>
          <w:rFonts w:hint="eastAsia" w:ascii="微软雅黑" w:hAnsi="微软雅黑" w:eastAsia="微软雅黑" w:cs="微软雅黑"/>
          <w:szCs w:val="21"/>
        </w:rPr>
        <w:t>内置调压器，电压补偿范围-15%-+15%；</w:t>
      </w:r>
    </w:p>
    <w:p w14:paraId="168266C6">
      <w:pPr>
        <w:numPr>
          <w:ilvl w:val="1"/>
          <w:numId w:val="12"/>
        </w:numPr>
        <w:spacing w:line="360" w:lineRule="auto"/>
        <w:rPr>
          <w:rFonts w:hint="eastAsia" w:ascii="微软雅黑" w:hAnsi="微软雅黑" w:eastAsia="微软雅黑" w:cs="微软雅黑"/>
          <w:szCs w:val="21"/>
        </w:rPr>
      </w:pPr>
      <w:r>
        <w:rPr>
          <w:rFonts w:hint="eastAsia" w:ascii="微软雅黑" w:hAnsi="微软雅黑" w:eastAsia="微软雅黑" w:cs="微软雅黑"/>
          <w:szCs w:val="21"/>
        </w:rPr>
        <w:t>调压器线圈需经过真空浸漆；</w:t>
      </w:r>
    </w:p>
    <w:p w14:paraId="2081DFFF">
      <w:pPr>
        <w:numPr>
          <w:ilvl w:val="1"/>
          <w:numId w:val="12"/>
        </w:numPr>
        <w:spacing w:line="360" w:lineRule="auto"/>
        <w:rPr>
          <w:rFonts w:hint="eastAsia" w:ascii="微软雅黑" w:hAnsi="微软雅黑" w:eastAsia="微软雅黑" w:cs="微软雅黑"/>
          <w:szCs w:val="21"/>
        </w:rPr>
      </w:pPr>
      <w:r>
        <w:rPr>
          <w:rFonts w:hint="eastAsia" w:ascii="微软雅黑" w:hAnsi="微软雅黑" w:eastAsia="微软雅黑" w:cs="微软雅黑"/>
          <w:szCs w:val="21"/>
        </w:rPr>
        <w:t>防护等级：IP23</w:t>
      </w:r>
    </w:p>
    <w:p w14:paraId="56332C5F">
      <w:pPr>
        <w:autoSpaceDE w:val="0"/>
        <w:autoSpaceDN w:val="0"/>
        <w:adjustRightInd w:val="0"/>
        <w:spacing w:before="120" w:after="120"/>
        <w:outlineLvl w:val="0"/>
        <w:rPr>
          <w:rFonts w:hint="eastAsia" w:ascii="微软雅黑" w:hAnsi="微软雅黑" w:eastAsia="微软雅黑" w:cs="Times New Roman"/>
          <w:bCs/>
          <w:sz w:val="32"/>
          <w:szCs w:val="32"/>
        </w:rPr>
      </w:pPr>
      <w:r>
        <w:rPr>
          <w:rFonts w:hint="eastAsia" w:ascii="微软雅黑" w:hAnsi="微软雅黑" w:eastAsia="微软雅黑" w:cs="Times New Roman"/>
          <w:bCs/>
          <w:sz w:val="32"/>
          <w:szCs w:val="32"/>
        </w:rPr>
        <w:t>六、检测和试验</w:t>
      </w:r>
    </w:p>
    <w:p w14:paraId="27050CFF">
      <w:pPr>
        <w:autoSpaceDE w:val="0"/>
        <w:autoSpaceDN w:val="0"/>
        <w:adjustRightInd w:val="0"/>
        <w:spacing w:before="120" w:after="120"/>
        <w:outlineLvl w:val="0"/>
        <w:rPr>
          <w:rFonts w:hint="eastAsia" w:ascii="微软雅黑" w:hAnsi="微软雅黑" w:eastAsia="微软雅黑" w:cs="微软雅黑"/>
          <w:szCs w:val="21"/>
        </w:rPr>
      </w:pPr>
      <w:r>
        <w:rPr>
          <w:rFonts w:hint="eastAsia" w:ascii="微软雅黑" w:hAnsi="微软雅黑" w:eastAsia="微软雅黑" w:cs="微软雅黑"/>
          <w:szCs w:val="21"/>
        </w:rPr>
        <w:t>设备出厂功能试验报告，出厂合格证。</w:t>
      </w:r>
    </w:p>
    <w:p w14:paraId="2E9CD7FA">
      <w:pPr>
        <w:autoSpaceDE w:val="0"/>
        <w:autoSpaceDN w:val="0"/>
        <w:adjustRightInd w:val="0"/>
        <w:spacing w:before="120" w:after="120"/>
        <w:outlineLvl w:val="0"/>
        <w:rPr>
          <w:rFonts w:hint="eastAsia" w:ascii="微软雅黑" w:hAnsi="微软雅黑" w:eastAsia="微软雅黑" w:cs="Times New Roman"/>
          <w:bCs/>
          <w:sz w:val="32"/>
          <w:szCs w:val="32"/>
        </w:rPr>
      </w:pPr>
      <w:r>
        <w:rPr>
          <w:rFonts w:hint="eastAsia" w:ascii="微软雅黑" w:hAnsi="微软雅黑" w:eastAsia="微软雅黑" w:cs="Times New Roman"/>
          <w:bCs/>
          <w:sz w:val="32"/>
          <w:szCs w:val="32"/>
        </w:rPr>
        <w:t>七、标识、包装、运输和存储</w:t>
      </w:r>
    </w:p>
    <w:p w14:paraId="3E878F06">
      <w:pPr>
        <w:spacing w:line="360" w:lineRule="auto"/>
        <w:ind w:firstLine="420" w:firstLineChars="200"/>
        <w:rPr>
          <w:rFonts w:hint="eastAsia" w:ascii="微软雅黑" w:hAnsi="微软雅黑" w:eastAsia="微软雅黑" w:cs="微软雅黑"/>
          <w:szCs w:val="21"/>
        </w:rPr>
      </w:pPr>
      <w:r>
        <w:rPr>
          <w:rFonts w:hint="eastAsia" w:ascii="微软雅黑" w:hAnsi="微软雅黑" w:eastAsia="微软雅黑" w:cs="微软雅黑"/>
          <w:szCs w:val="21"/>
        </w:rPr>
        <w:t>1. 产品包装</w:t>
      </w:r>
    </w:p>
    <w:p w14:paraId="75CCD732">
      <w:pPr>
        <w:spacing w:line="360" w:lineRule="auto"/>
        <w:ind w:firstLine="420" w:firstLineChars="200"/>
        <w:rPr>
          <w:rFonts w:hint="eastAsia" w:ascii="微软雅黑" w:hAnsi="微软雅黑" w:eastAsia="微软雅黑" w:cs="微软雅黑"/>
          <w:szCs w:val="21"/>
        </w:rPr>
      </w:pPr>
      <w:r>
        <w:rPr>
          <w:rFonts w:hint="eastAsia" w:ascii="微软雅黑" w:hAnsi="微软雅黑" w:eastAsia="微软雅黑" w:cs="微软雅黑"/>
          <w:szCs w:val="21"/>
        </w:rPr>
        <w:t xml:space="preserve">供应商交付的所有货物应符合通用的包装储运指示标志的规定，并具有适合长途运输、多次搬运和装卸的坚固包装。包装应保证在运输、装卸过程中完好无损，并有防雨、减振、防冲击的措施。包装应按材料特点，按需要分别加上防潮、防霉、防锈、防腐蚀的保护措施，以保证货物在没有任何损坏和腐蚀的情况下安全运抵现场。产品包装前，供应商负责检查清理，不留异物，并保证零部件齐全。 </w:t>
      </w:r>
    </w:p>
    <w:p w14:paraId="06F7494A">
      <w:pPr>
        <w:spacing w:line="360" w:lineRule="auto"/>
        <w:ind w:firstLine="420" w:firstLineChars="200"/>
        <w:rPr>
          <w:rFonts w:hint="eastAsia" w:ascii="微软雅黑" w:hAnsi="微软雅黑" w:eastAsia="微软雅黑" w:cs="微软雅黑"/>
          <w:szCs w:val="21"/>
        </w:rPr>
      </w:pPr>
      <w:bookmarkStart w:id="12" w:name="_Toc466899872"/>
      <w:bookmarkStart w:id="13" w:name="_Toc421021950"/>
      <w:bookmarkStart w:id="14" w:name="_Toc466900162"/>
      <w:r>
        <w:rPr>
          <w:rFonts w:hint="eastAsia" w:ascii="微软雅黑" w:hAnsi="微软雅黑" w:eastAsia="微软雅黑" w:cs="微软雅黑"/>
          <w:szCs w:val="21"/>
        </w:rPr>
        <w:t>1.1散装部件</w:t>
      </w:r>
      <w:bookmarkEnd w:id="12"/>
      <w:bookmarkEnd w:id="13"/>
      <w:bookmarkEnd w:id="14"/>
    </w:p>
    <w:p w14:paraId="361D9E08">
      <w:pPr>
        <w:spacing w:line="360" w:lineRule="auto"/>
        <w:ind w:firstLine="420" w:firstLineChars="200"/>
        <w:rPr>
          <w:rFonts w:hint="eastAsia" w:ascii="微软雅黑" w:hAnsi="微软雅黑" w:eastAsia="微软雅黑" w:cs="微软雅黑"/>
          <w:szCs w:val="21"/>
        </w:rPr>
      </w:pPr>
      <w:r>
        <w:rPr>
          <w:rFonts w:hint="eastAsia" w:ascii="微软雅黑" w:hAnsi="微软雅黑" w:eastAsia="微软雅黑" w:cs="微软雅黑"/>
          <w:szCs w:val="21"/>
        </w:rPr>
        <w:t>供应商对包装箱内的各散装部件的部件号、零件号应标记清楚。</w:t>
      </w:r>
    </w:p>
    <w:p w14:paraId="68B57C01">
      <w:pPr>
        <w:spacing w:line="360" w:lineRule="auto"/>
        <w:ind w:firstLine="420" w:firstLineChars="200"/>
        <w:rPr>
          <w:rFonts w:hint="eastAsia" w:ascii="微软雅黑" w:hAnsi="微软雅黑" w:eastAsia="微软雅黑" w:cs="微软雅黑"/>
          <w:szCs w:val="21"/>
        </w:rPr>
      </w:pPr>
      <w:bookmarkStart w:id="15" w:name="_Toc421021951"/>
      <w:bookmarkStart w:id="16" w:name="_Toc466899873"/>
      <w:bookmarkStart w:id="17" w:name="_Toc466900163"/>
      <w:r>
        <w:rPr>
          <w:rFonts w:hint="eastAsia" w:ascii="微软雅黑" w:hAnsi="微软雅黑" w:eastAsia="微软雅黑" w:cs="微软雅黑"/>
          <w:szCs w:val="21"/>
        </w:rPr>
        <w:t>1.2包装箱</w:t>
      </w:r>
      <w:bookmarkEnd w:id="15"/>
      <w:bookmarkEnd w:id="16"/>
      <w:bookmarkEnd w:id="17"/>
    </w:p>
    <w:p w14:paraId="6A7B0C01">
      <w:pPr>
        <w:spacing w:line="360" w:lineRule="auto"/>
        <w:ind w:firstLine="420" w:firstLineChars="200"/>
        <w:rPr>
          <w:rFonts w:hint="eastAsia" w:ascii="微软雅黑" w:hAnsi="微软雅黑" w:eastAsia="微软雅黑" w:cs="微软雅黑"/>
          <w:szCs w:val="21"/>
        </w:rPr>
      </w:pPr>
      <w:r>
        <w:rPr>
          <w:rFonts w:hint="eastAsia" w:ascii="微软雅黑" w:hAnsi="微软雅黑" w:eastAsia="微软雅黑" w:cs="微软雅黑"/>
          <w:szCs w:val="21"/>
        </w:rPr>
        <w:t>供应商应使用安全可靠的包装箱以保证运输过程的安全和方便现场拆装，同时外包装需要使用拉伸膜进行缠绕或其他措施进行防雨处理。应在每件包装箱的两个侧面上，采用不褪色的工艺以明显易见的中文印刷标签，标示以下内容：</w:t>
      </w:r>
    </w:p>
    <w:p w14:paraId="2998AF97">
      <w:pPr>
        <w:numPr>
          <w:ilvl w:val="0"/>
          <w:numId w:val="13"/>
        </w:numPr>
        <w:spacing w:line="360" w:lineRule="auto"/>
        <w:ind w:left="0" w:firstLine="420" w:firstLineChars="200"/>
        <w:rPr>
          <w:rFonts w:hint="eastAsia" w:ascii="微软雅黑" w:hAnsi="微软雅黑" w:eastAsia="微软雅黑" w:cs="微软雅黑"/>
          <w:szCs w:val="21"/>
        </w:rPr>
      </w:pPr>
      <w:r>
        <w:rPr>
          <w:rFonts w:hint="eastAsia" w:ascii="微软雅黑" w:hAnsi="微软雅黑" w:eastAsia="微软雅黑" w:cs="微软雅黑"/>
          <w:szCs w:val="21"/>
        </w:rPr>
        <w:t>收货单位名称；</w:t>
      </w:r>
    </w:p>
    <w:p w14:paraId="418DB06C">
      <w:pPr>
        <w:numPr>
          <w:ilvl w:val="0"/>
          <w:numId w:val="13"/>
        </w:numPr>
        <w:spacing w:line="360" w:lineRule="auto"/>
        <w:ind w:left="0" w:firstLine="420" w:firstLineChars="200"/>
        <w:rPr>
          <w:rFonts w:hint="eastAsia" w:ascii="微软雅黑" w:hAnsi="微软雅黑" w:eastAsia="微软雅黑" w:cs="微软雅黑"/>
          <w:szCs w:val="21"/>
        </w:rPr>
      </w:pPr>
      <w:r>
        <w:rPr>
          <w:rFonts w:hint="eastAsia" w:ascii="微软雅黑" w:hAnsi="微软雅黑" w:eastAsia="微软雅黑" w:cs="微软雅黑"/>
          <w:szCs w:val="21"/>
        </w:rPr>
        <w:t>发货单位名称；</w:t>
      </w:r>
    </w:p>
    <w:p w14:paraId="5F88170D">
      <w:pPr>
        <w:numPr>
          <w:ilvl w:val="0"/>
          <w:numId w:val="13"/>
        </w:numPr>
        <w:spacing w:line="360" w:lineRule="auto"/>
        <w:ind w:left="0" w:firstLine="420" w:firstLineChars="200"/>
        <w:rPr>
          <w:rFonts w:hint="eastAsia" w:ascii="微软雅黑" w:hAnsi="微软雅黑" w:eastAsia="微软雅黑" w:cs="微软雅黑"/>
          <w:szCs w:val="21"/>
        </w:rPr>
      </w:pPr>
      <w:r>
        <w:rPr>
          <w:rFonts w:hint="eastAsia" w:ascii="微软雅黑" w:hAnsi="微软雅黑" w:eastAsia="微软雅黑" w:cs="微软雅黑"/>
          <w:szCs w:val="21"/>
        </w:rPr>
        <w:t>材料名称或代号；</w:t>
      </w:r>
    </w:p>
    <w:p w14:paraId="4802F130">
      <w:pPr>
        <w:numPr>
          <w:ilvl w:val="0"/>
          <w:numId w:val="13"/>
        </w:numPr>
        <w:spacing w:line="360" w:lineRule="auto"/>
        <w:ind w:left="0" w:firstLine="420" w:firstLineChars="200"/>
        <w:rPr>
          <w:rFonts w:hint="eastAsia" w:ascii="微软雅黑" w:hAnsi="微软雅黑" w:eastAsia="微软雅黑" w:cs="微软雅黑"/>
          <w:szCs w:val="21"/>
        </w:rPr>
      </w:pPr>
      <w:r>
        <w:rPr>
          <w:rFonts w:hint="eastAsia" w:ascii="微软雅黑" w:hAnsi="微软雅黑" w:eastAsia="微软雅黑" w:cs="微软雅黑"/>
          <w:szCs w:val="21"/>
        </w:rPr>
        <w:t>箱号；</w:t>
      </w:r>
    </w:p>
    <w:p w14:paraId="0A586D79">
      <w:pPr>
        <w:numPr>
          <w:ilvl w:val="0"/>
          <w:numId w:val="13"/>
        </w:numPr>
        <w:spacing w:line="360" w:lineRule="auto"/>
        <w:ind w:left="0" w:firstLine="420" w:firstLineChars="200"/>
        <w:rPr>
          <w:rFonts w:hint="eastAsia" w:ascii="微软雅黑" w:hAnsi="微软雅黑" w:eastAsia="微软雅黑" w:cs="微软雅黑"/>
          <w:szCs w:val="21"/>
        </w:rPr>
      </w:pPr>
      <w:r>
        <w:rPr>
          <w:rFonts w:hint="eastAsia" w:ascii="微软雅黑" w:hAnsi="微软雅黑" w:eastAsia="微软雅黑" w:cs="微软雅黑"/>
          <w:szCs w:val="21"/>
        </w:rPr>
        <w:t>毛重/净重（公斤）；</w:t>
      </w:r>
    </w:p>
    <w:p w14:paraId="418CD66E">
      <w:pPr>
        <w:numPr>
          <w:ilvl w:val="0"/>
          <w:numId w:val="13"/>
        </w:numPr>
        <w:spacing w:line="360" w:lineRule="auto"/>
        <w:ind w:left="0" w:firstLine="420" w:firstLineChars="200"/>
        <w:rPr>
          <w:rFonts w:hint="eastAsia" w:ascii="微软雅黑" w:hAnsi="微软雅黑" w:eastAsia="微软雅黑" w:cs="微软雅黑"/>
          <w:szCs w:val="21"/>
        </w:rPr>
      </w:pPr>
      <w:r>
        <w:rPr>
          <w:rFonts w:hint="eastAsia" w:ascii="微软雅黑" w:hAnsi="微软雅黑" w:eastAsia="微软雅黑" w:cs="微软雅黑"/>
          <w:szCs w:val="21"/>
        </w:rPr>
        <w:t>体积（长×宽×高，以毫米表示）。</w:t>
      </w:r>
    </w:p>
    <w:p w14:paraId="2CB785B5">
      <w:pPr>
        <w:spacing w:line="360" w:lineRule="auto"/>
        <w:ind w:firstLine="420" w:firstLineChars="200"/>
        <w:rPr>
          <w:rFonts w:hint="eastAsia" w:ascii="微软雅黑" w:hAnsi="微软雅黑" w:eastAsia="微软雅黑" w:cs="微软雅黑"/>
          <w:szCs w:val="21"/>
        </w:rPr>
      </w:pPr>
      <w:r>
        <w:rPr>
          <w:rFonts w:hint="eastAsia" w:ascii="微软雅黑" w:hAnsi="微软雅黑" w:eastAsia="微软雅黑" w:cs="微软雅黑"/>
          <w:szCs w:val="21"/>
        </w:rPr>
        <w:t>按照货物特点，装卸和运输上的不同要求，包装箱上应明显地印有“轻放”、“勿倒置”和“防雨”等字样。</w:t>
      </w:r>
    </w:p>
    <w:p w14:paraId="0EE33C64">
      <w:pPr>
        <w:spacing w:line="360" w:lineRule="auto"/>
        <w:ind w:firstLine="420" w:firstLineChars="200"/>
        <w:rPr>
          <w:rFonts w:hint="eastAsia" w:ascii="微软雅黑" w:hAnsi="微软雅黑" w:eastAsia="微软雅黑" w:cs="微软雅黑"/>
          <w:szCs w:val="21"/>
        </w:rPr>
      </w:pPr>
      <w:bookmarkStart w:id="18" w:name="_Toc421021953"/>
      <w:bookmarkStart w:id="19" w:name="_Toc466899875"/>
      <w:bookmarkStart w:id="20" w:name="_Toc466900165"/>
      <w:r>
        <w:rPr>
          <w:rFonts w:hint="eastAsia" w:ascii="微软雅黑" w:hAnsi="微软雅黑" w:eastAsia="微软雅黑" w:cs="微软雅黑"/>
          <w:szCs w:val="21"/>
        </w:rPr>
        <w:t>1.3装箱单</w:t>
      </w:r>
      <w:bookmarkEnd w:id="18"/>
      <w:bookmarkEnd w:id="19"/>
      <w:bookmarkEnd w:id="20"/>
    </w:p>
    <w:p w14:paraId="2CEEBB14">
      <w:pPr>
        <w:spacing w:line="360" w:lineRule="auto"/>
        <w:ind w:firstLine="420" w:firstLineChars="200"/>
        <w:rPr>
          <w:rFonts w:hint="eastAsia" w:ascii="微软雅黑" w:hAnsi="微软雅黑" w:eastAsia="微软雅黑" w:cs="微软雅黑"/>
          <w:szCs w:val="21"/>
        </w:rPr>
      </w:pPr>
      <w:r>
        <w:rPr>
          <w:rFonts w:hint="eastAsia" w:ascii="微软雅黑" w:hAnsi="微软雅黑" w:eastAsia="微软雅黑" w:cs="微软雅黑"/>
          <w:szCs w:val="21"/>
        </w:rPr>
        <w:t>每件包装箱内，应附有包括分件名称、数量的详细装箱单、合格证。外购件包装箱内应有产品出厂质量合格证明书一份。</w:t>
      </w:r>
    </w:p>
    <w:p w14:paraId="7E7E18DB">
      <w:pPr>
        <w:spacing w:line="360" w:lineRule="auto"/>
        <w:ind w:firstLine="420" w:firstLineChars="200"/>
        <w:rPr>
          <w:rFonts w:hint="eastAsia" w:ascii="微软雅黑" w:hAnsi="微软雅黑" w:eastAsia="微软雅黑" w:cs="微软雅黑"/>
          <w:szCs w:val="21"/>
        </w:rPr>
      </w:pPr>
      <w:bookmarkStart w:id="21" w:name="_Toc421021954"/>
      <w:bookmarkStart w:id="22" w:name="_Toc466900166"/>
      <w:bookmarkStart w:id="23" w:name="_Toc466899876"/>
      <w:r>
        <w:rPr>
          <w:rFonts w:hint="eastAsia" w:ascii="微软雅黑" w:hAnsi="微软雅黑" w:eastAsia="微软雅黑" w:cs="微软雅黑"/>
          <w:szCs w:val="21"/>
        </w:rPr>
        <w:t>1.4零星部件</w:t>
      </w:r>
      <w:bookmarkEnd w:id="21"/>
      <w:bookmarkEnd w:id="22"/>
      <w:bookmarkEnd w:id="23"/>
    </w:p>
    <w:p w14:paraId="033C6442">
      <w:pPr>
        <w:spacing w:line="360" w:lineRule="auto"/>
        <w:ind w:firstLine="420" w:firstLineChars="200"/>
        <w:rPr>
          <w:rFonts w:hint="eastAsia" w:ascii="微软雅黑" w:hAnsi="微软雅黑" w:eastAsia="微软雅黑" w:cs="微软雅黑"/>
          <w:szCs w:val="21"/>
        </w:rPr>
      </w:pPr>
      <w:r>
        <w:rPr>
          <w:rFonts w:hint="eastAsia" w:ascii="微软雅黑" w:hAnsi="微软雅黑" w:eastAsia="微软雅黑" w:cs="微软雅黑"/>
          <w:szCs w:val="21"/>
        </w:rPr>
        <w:t>各种松散零星部件应采用好的包装方式，装入尺寸适当的箱内。</w:t>
      </w:r>
    </w:p>
    <w:p w14:paraId="7781F854">
      <w:pPr>
        <w:spacing w:line="360" w:lineRule="auto"/>
        <w:ind w:firstLine="420" w:firstLineChars="200"/>
        <w:rPr>
          <w:rFonts w:hint="eastAsia" w:ascii="微软雅黑" w:hAnsi="微软雅黑" w:eastAsia="微软雅黑" w:cs="微软雅黑"/>
          <w:szCs w:val="21"/>
        </w:rPr>
      </w:pPr>
      <w:bookmarkStart w:id="24" w:name="_Toc466900167"/>
      <w:bookmarkStart w:id="25" w:name="_Toc466899877"/>
      <w:bookmarkStart w:id="26" w:name="_Toc421021956"/>
      <w:r>
        <w:rPr>
          <w:rFonts w:hint="eastAsia" w:ascii="微软雅黑" w:hAnsi="微软雅黑" w:eastAsia="微软雅黑" w:cs="微软雅黑"/>
          <w:szCs w:val="21"/>
        </w:rPr>
        <w:t>1.5加工面</w:t>
      </w:r>
      <w:bookmarkEnd w:id="24"/>
      <w:bookmarkEnd w:id="25"/>
      <w:bookmarkEnd w:id="26"/>
    </w:p>
    <w:p w14:paraId="3737D4CC">
      <w:pPr>
        <w:spacing w:line="360" w:lineRule="auto"/>
        <w:ind w:firstLine="420" w:firstLineChars="200"/>
        <w:rPr>
          <w:rFonts w:hint="eastAsia" w:ascii="微软雅黑" w:hAnsi="微软雅黑" w:eastAsia="微软雅黑" w:cs="微软雅黑"/>
          <w:szCs w:val="21"/>
        </w:rPr>
      </w:pPr>
      <w:r>
        <w:rPr>
          <w:rFonts w:hint="eastAsia" w:ascii="微软雅黑" w:hAnsi="微软雅黑" w:eastAsia="微软雅黑" w:cs="微软雅黑"/>
          <w:szCs w:val="21"/>
        </w:rPr>
        <w:t>对于需要精确装配的明亮洁净加工面的货物，加工面应采用优良、耐久的保护层（不得使用油漆）以防止在使用前发生锈蚀和损坏。</w:t>
      </w:r>
    </w:p>
    <w:p w14:paraId="3AD58EF0">
      <w:pPr>
        <w:spacing w:line="360" w:lineRule="auto"/>
        <w:rPr>
          <w:rFonts w:hint="eastAsia" w:ascii="微软雅黑" w:hAnsi="微软雅黑" w:eastAsia="微软雅黑" w:cs="微软雅黑"/>
          <w:szCs w:val="21"/>
        </w:rPr>
      </w:pPr>
      <w:r>
        <w:rPr>
          <w:rFonts w:hint="eastAsia" w:ascii="微软雅黑" w:hAnsi="微软雅黑" w:eastAsia="微软雅黑" w:cs="微软雅黑"/>
          <w:szCs w:val="21"/>
        </w:rPr>
        <w:t>2. 产品运输</w:t>
      </w:r>
    </w:p>
    <w:p w14:paraId="6B26FBC9">
      <w:pPr>
        <w:spacing w:line="360" w:lineRule="auto"/>
        <w:ind w:firstLine="420" w:firstLineChars="200"/>
        <w:rPr>
          <w:rFonts w:hint="eastAsia" w:ascii="微软雅黑" w:hAnsi="微软雅黑" w:eastAsia="微软雅黑" w:cs="微软雅黑"/>
          <w:szCs w:val="21"/>
        </w:rPr>
      </w:pPr>
      <w:r>
        <w:rPr>
          <w:rFonts w:hint="eastAsia" w:ascii="微软雅黑" w:hAnsi="微软雅黑" w:eastAsia="微软雅黑" w:cs="微软雅黑"/>
          <w:szCs w:val="21"/>
        </w:rPr>
        <w:t>产品运输方式：</w:t>
      </w:r>
      <w:r>
        <w:rPr>
          <w:rFonts w:ascii="微软雅黑" w:hAnsi="微软雅黑" w:eastAsia="微软雅黑" w:cs="微软雅黑"/>
          <w:szCs w:val="21"/>
        </w:rPr>
        <w:t>运输方式由卖方选择</w:t>
      </w:r>
      <w:r>
        <w:rPr>
          <w:rFonts w:hint="eastAsia" w:ascii="微软雅黑" w:hAnsi="微软雅黑" w:eastAsia="微软雅黑" w:cs="微软雅黑"/>
          <w:szCs w:val="21"/>
        </w:rPr>
        <w:t>。</w:t>
      </w:r>
    </w:p>
    <w:p w14:paraId="7F38A28A">
      <w:pPr>
        <w:spacing w:line="360" w:lineRule="auto"/>
        <w:ind w:firstLine="420" w:firstLineChars="200"/>
        <w:rPr>
          <w:rFonts w:hint="eastAsia" w:ascii="Microsoft YaHei UI" w:hAnsi="Microsoft YaHei UI" w:eastAsia="Microsoft YaHei UI" w:cs="Times New Roman"/>
          <w:szCs w:val="21"/>
        </w:rPr>
      </w:pPr>
      <w:r>
        <w:rPr>
          <w:rFonts w:hint="eastAsia" w:ascii="微软雅黑" w:hAnsi="微软雅黑" w:eastAsia="微软雅黑" w:cs="微软雅黑"/>
          <w:szCs w:val="21"/>
        </w:rPr>
        <w:t>运输要求：供应商应做好防护措施，保障在运输过程中材料完整性，并按要求送达到并卸货到指定位置。</w:t>
      </w:r>
    </w:p>
    <w:p w14:paraId="6369D63A">
      <w:pPr>
        <w:spacing w:line="360" w:lineRule="auto"/>
        <w:rPr>
          <w:rFonts w:hint="eastAsia" w:ascii="微软雅黑" w:hAnsi="微软雅黑" w:eastAsia="微软雅黑" w:cs="微软雅黑"/>
          <w:szCs w:val="21"/>
        </w:rPr>
      </w:pPr>
      <w:r>
        <w:rPr>
          <w:rFonts w:hint="eastAsia" w:ascii="微软雅黑" w:hAnsi="微软雅黑" w:eastAsia="微软雅黑" w:cs="微软雅黑"/>
          <w:szCs w:val="21"/>
        </w:rPr>
        <w:t>3. 产品存储</w:t>
      </w:r>
    </w:p>
    <w:p w14:paraId="046E37BD">
      <w:pPr>
        <w:spacing w:line="360" w:lineRule="auto"/>
        <w:ind w:firstLine="420" w:firstLineChars="200"/>
        <w:rPr>
          <w:rFonts w:hint="eastAsia" w:ascii="微软雅黑" w:hAnsi="微软雅黑" w:eastAsia="微软雅黑" w:cs="微软雅黑"/>
          <w:szCs w:val="21"/>
        </w:rPr>
      </w:pPr>
      <w:r>
        <w:rPr>
          <w:rFonts w:hint="eastAsia" w:ascii="微软雅黑" w:hAnsi="微软雅黑" w:eastAsia="微软雅黑" w:cs="微软雅黑"/>
          <w:szCs w:val="21"/>
        </w:rPr>
        <w:t>产品存储要防潮、防水、防湿，保障产品完整。</w:t>
      </w:r>
    </w:p>
    <w:p w14:paraId="624674A0">
      <w:pPr>
        <w:numPr>
          <w:ilvl w:val="0"/>
          <w:numId w:val="14"/>
        </w:numPr>
        <w:autoSpaceDE w:val="0"/>
        <w:autoSpaceDN w:val="0"/>
        <w:adjustRightInd w:val="0"/>
        <w:spacing w:before="120" w:after="120"/>
        <w:outlineLvl w:val="0"/>
        <w:rPr>
          <w:rFonts w:hint="eastAsia" w:ascii="微软雅黑" w:hAnsi="微软雅黑" w:eastAsia="微软雅黑" w:cs="Times New Roman"/>
          <w:bCs/>
          <w:sz w:val="32"/>
          <w:szCs w:val="32"/>
        </w:rPr>
      </w:pPr>
      <w:r>
        <w:rPr>
          <w:rFonts w:hint="eastAsia" w:ascii="微软雅黑" w:hAnsi="微软雅黑" w:eastAsia="微软雅黑" w:cs="Times New Roman"/>
          <w:bCs/>
          <w:sz w:val="32"/>
          <w:szCs w:val="32"/>
        </w:rPr>
        <w:t>技术文件</w:t>
      </w:r>
    </w:p>
    <w:p w14:paraId="13030E3A">
      <w:pPr>
        <w:spacing w:line="360" w:lineRule="auto"/>
        <w:ind w:firstLine="420" w:firstLineChars="200"/>
        <w:rPr>
          <w:rFonts w:hint="eastAsia" w:ascii="微软雅黑" w:hAnsi="微软雅黑" w:eastAsia="微软雅黑" w:cs="微软雅黑"/>
          <w:szCs w:val="21"/>
        </w:rPr>
      </w:pPr>
      <w:r>
        <w:rPr>
          <w:rFonts w:hint="eastAsia" w:ascii="微软雅黑" w:hAnsi="微软雅黑" w:eastAsia="微软雅黑" w:cs="微软雅黑"/>
          <w:szCs w:val="21"/>
        </w:rPr>
        <w:t>1.投标技术文件要求</w:t>
      </w:r>
    </w:p>
    <w:p w14:paraId="3F315485">
      <w:pPr>
        <w:spacing w:line="360" w:lineRule="auto"/>
        <w:ind w:firstLine="420" w:firstLineChars="200"/>
        <w:rPr>
          <w:rFonts w:hint="eastAsia" w:ascii="微软雅黑" w:hAnsi="微软雅黑" w:eastAsia="微软雅黑" w:cs="微软雅黑"/>
          <w:szCs w:val="21"/>
        </w:rPr>
      </w:pPr>
      <w:r>
        <w:rPr>
          <w:rFonts w:hint="eastAsia" w:ascii="微软雅黑" w:hAnsi="微软雅黑" w:eastAsia="微软雅黑" w:cs="微软雅黑"/>
          <w:szCs w:val="21"/>
        </w:rPr>
        <w:t>卖方应基于买方的文件中建议提供合适的设备，所有的偏差和修改应以书面形式发给买方，在买方答复后方可进行生产。</w:t>
      </w:r>
    </w:p>
    <w:p w14:paraId="310EBE9C">
      <w:pPr>
        <w:spacing w:line="360" w:lineRule="auto"/>
        <w:ind w:firstLine="420" w:firstLineChars="200"/>
        <w:rPr>
          <w:rFonts w:hint="eastAsia" w:ascii="微软雅黑" w:hAnsi="微软雅黑" w:eastAsia="微软雅黑" w:cs="微软雅黑"/>
          <w:szCs w:val="21"/>
        </w:rPr>
      </w:pPr>
      <w:r>
        <w:rPr>
          <w:rFonts w:hint="eastAsia" w:ascii="微软雅黑" w:hAnsi="微软雅黑" w:eastAsia="微软雅黑" w:cs="微软雅黑"/>
          <w:szCs w:val="21"/>
        </w:rPr>
        <w:t>2.产品技术文件要求</w:t>
      </w:r>
    </w:p>
    <w:p w14:paraId="239FA15C">
      <w:pPr>
        <w:spacing w:line="360" w:lineRule="auto"/>
        <w:ind w:firstLine="420" w:firstLineChars="200"/>
        <w:rPr>
          <w:rFonts w:hint="eastAsia" w:ascii="微软雅黑" w:hAnsi="微软雅黑" w:eastAsia="微软雅黑" w:cs="微软雅黑"/>
          <w:szCs w:val="21"/>
        </w:rPr>
      </w:pPr>
      <w:r>
        <w:rPr>
          <w:rFonts w:hint="eastAsia" w:ascii="微软雅黑" w:hAnsi="微软雅黑" w:eastAsia="微软雅黑" w:cs="微软雅黑"/>
          <w:szCs w:val="21"/>
        </w:rPr>
        <w:t>投标书的技术部分应至少包括下列内容作为最低要求：</w:t>
      </w:r>
    </w:p>
    <w:p w14:paraId="2D2F49BA">
      <w:pPr>
        <w:pStyle w:val="53"/>
        <w:numPr>
          <w:ilvl w:val="0"/>
          <w:numId w:val="15"/>
        </w:numPr>
        <w:spacing w:line="360" w:lineRule="auto"/>
        <w:ind w:firstLineChars="0"/>
        <w:rPr>
          <w:rFonts w:hint="eastAsia" w:ascii="微软雅黑" w:hAnsi="微软雅黑" w:eastAsia="微软雅黑" w:cs="微软雅黑"/>
          <w:szCs w:val="21"/>
        </w:rPr>
      </w:pPr>
      <w:r>
        <w:rPr>
          <w:rFonts w:hint="eastAsia" w:ascii="微软雅黑" w:hAnsi="微软雅黑" w:eastAsia="微软雅黑" w:cs="微软雅黑"/>
          <w:szCs w:val="21"/>
        </w:rPr>
        <w:t>卖方</w:t>
      </w:r>
      <w:r>
        <w:rPr>
          <w:rFonts w:hint="eastAsia" w:ascii="微软雅黑" w:hAnsi="微软雅黑" w:eastAsia="微软雅黑" w:cs="微软雅黑"/>
          <w:szCs w:val="21"/>
        </w:rPr>
        <w:t>中标后需</w:t>
      </w:r>
      <w:r>
        <w:rPr>
          <w:rFonts w:hint="eastAsia" w:ascii="微软雅黑" w:hAnsi="微软雅黑" w:eastAsia="微软雅黑" w:cs="微软雅黑"/>
          <w:szCs w:val="21"/>
        </w:rPr>
        <w:t>提供详细的供货资料。包括名称，</w:t>
      </w:r>
      <w:r>
        <w:rPr>
          <w:rFonts w:hint="eastAsia" w:ascii="微软雅黑" w:hAnsi="微软雅黑" w:eastAsia="微软雅黑" w:cs="微软雅黑"/>
          <w:szCs w:val="21"/>
        </w:rPr>
        <w:t>规格、型号、</w:t>
      </w:r>
      <w:r>
        <w:rPr>
          <w:rFonts w:hint="eastAsia" w:ascii="微软雅黑" w:hAnsi="微软雅黑" w:eastAsia="微软雅黑" w:cs="微软雅黑"/>
          <w:szCs w:val="21"/>
        </w:rPr>
        <w:t>数量</w:t>
      </w:r>
      <w:r>
        <w:rPr>
          <w:rFonts w:hint="eastAsia" w:ascii="微软雅黑" w:hAnsi="微软雅黑" w:eastAsia="微软雅黑" w:cs="微软雅黑"/>
          <w:szCs w:val="21"/>
        </w:rPr>
        <w:t>和尺寸</w:t>
      </w:r>
      <w:r>
        <w:rPr>
          <w:rFonts w:hint="eastAsia" w:ascii="微软雅黑" w:hAnsi="微软雅黑" w:eastAsia="微软雅黑" w:cs="微软雅黑"/>
          <w:szCs w:val="21"/>
        </w:rPr>
        <w:t>等并简要说明每个部分。</w:t>
      </w:r>
    </w:p>
    <w:p w14:paraId="1A52D52E">
      <w:pPr>
        <w:spacing w:line="360" w:lineRule="auto"/>
        <w:ind w:firstLine="420" w:firstLineChars="200"/>
        <w:rPr>
          <w:rFonts w:hint="eastAsia" w:ascii="微软雅黑" w:hAnsi="微软雅黑" w:eastAsia="微软雅黑" w:cs="微软雅黑"/>
          <w:szCs w:val="21"/>
        </w:rPr>
      </w:pPr>
      <w:r>
        <w:rPr>
          <w:rFonts w:hint="eastAsia" w:ascii="微软雅黑" w:hAnsi="微软雅黑" w:eastAsia="微软雅黑" w:cs="微软雅黑"/>
          <w:szCs w:val="21"/>
        </w:rPr>
        <w:t>③由泰尔或船级社等第三方相关认证的证书或检验报告，以及出厂产品合格证书。</w:t>
      </w:r>
    </w:p>
    <w:p w14:paraId="456F59A7">
      <w:pPr>
        <w:spacing w:line="360" w:lineRule="auto"/>
        <w:ind w:firstLine="420" w:firstLineChars="200"/>
        <w:rPr>
          <w:rFonts w:hint="eastAsia" w:ascii="微软雅黑" w:hAnsi="微软雅黑" w:eastAsia="微软雅黑" w:cs="微软雅黑"/>
          <w:szCs w:val="21"/>
        </w:rPr>
      </w:pPr>
      <w:r>
        <w:rPr>
          <w:rFonts w:hint="eastAsia" w:ascii="微软雅黑" w:hAnsi="微软雅黑" w:eastAsia="微软雅黑" w:cs="微软雅黑"/>
          <w:szCs w:val="21"/>
        </w:rPr>
        <w:t>3.主要技术要求。</w:t>
      </w:r>
    </w:p>
    <w:p w14:paraId="545B6F43">
      <w:pPr>
        <w:spacing w:line="360" w:lineRule="auto"/>
        <w:ind w:firstLine="420" w:firstLineChars="200"/>
        <w:rPr>
          <w:rFonts w:hint="eastAsia" w:ascii="微软雅黑" w:hAnsi="微软雅黑" w:eastAsia="微软雅黑" w:cs="微软雅黑"/>
          <w:szCs w:val="21"/>
        </w:rPr>
      </w:pPr>
      <w:r>
        <w:rPr>
          <w:rFonts w:hint="eastAsia" w:ascii="微软雅黑" w:hAnsi="微软雅黑" w:eastAsia="微软雅黑" w:cs="微软雅黑"/>
          <w:szCs w:val="21"/>
        </w:rPr>
        <w:t>①卖方中标后供货前应列出所有与询价文件的偏差和意见，无论任何条款都要给买方提供书面文件以及支持的标准和规范。</w:t>
      </w:r>
    </w:p>
    <w:p w14:paraId="607EA57C">
      <w:pPr>
        <w:pStyle w:val="53"/>
        <w:numPr>
          <w:ilvl w:val="0"/>
          <w:numId w:val="15"/>
        </w:numPr>
        <w:spacing w:line="360" w:lineRule="auto"/>
        <w:ind w:firstLineChars="0"/>
        <w:rPr>
          <w:rFonts w:hint="eastAsia" w:ascii="微软雅黑" w:hAnsi="微软雅黑" w:eastAsia="微软雅黑" w:cs="微软雅黑"/>
          <w:szCs w:val="21"/>
        </w:rPr>
      </w:pPr>
      <w:r>
        <w:rPr>
          <w:rFonts w:hint="eastAsia" w:ascii="微软雅黑" w:hAnsi="微软雅黑" w:eastAsia="微软雅黑" w:cs="微软雅黑"/>
          <w:szCs w:val="21"/>
        </w:rPr>
        <w:t>卖方中标后供货前</w:t>
      </w:r>
      <w:r>
        <w:rPr>
          <w:rFonts w:hint="eastAsia" w:ascii="微软雅黑" w:hAnsi="微软雅黑" w:eastAsia="微软雅黑" w:cs="微软雅黑"/>
          <w:szCs w:val="21"/>
        </w:rPr>
        <w:t>提供设备单元/总体设备部件尺寸。</w:t>
      </w:r>
    </w:p>
    <w:p w14:paraId="42E9FE89">
      <w:pPr>
        <w:pStyle w:val="53"/>
        <w:numPr>
          <w:ilvl w:val="0"/>
          <w:numId w:val="15"/>
        </w:numPr>
        <w:spacing w:line="360" w:lineRule="auto"/>
        <w:ind w:firstLineChars="0"/>
        <w:rPr>
          <w:rFonts w:hint="eastAsia" w:ascii="微软雅黑" w:hAnsi="微软雅黑" w:eastAsia="微软雅黑" w:cs="微软雅黑"/>
          <w:szCs w:val="21"/>
        </w:rPr>
      </w:pPr>
      <w:r>
        <w:rPr>
          <w:rFonts w:hint="eastAsia" w:ascii="微软雅黑" w:hAnsi="微软雅黑" w:eastAsia="微软雅黑" w:cs="微软雅黑"/>
          <w:szCs w:val="21"/>
        </w:rPr>
        <w:t>卖方中标后供货前</w:t>
      </w:r>
      <w:r>
        <w:rPr>
          <w:rFonts w:hint="eastAsia" w:ascii="微软雅黑" w:hAnsi="微软雅黑" w:eastAsia="微软雅黑" w:cs="微软雅黑"/>
          <w:szCs w:val="21"/>
        </w:rPr>
        <w:t>提供单元/总体设备重量。</w:t>
      </w:r>
    </w:p>
    <w:p w14:paraId="60C8844C">
      <w:pPr>
        <w:numPr>
          <w:ilvl w:val="0"/>
          <w:numId w:val="14"/>
        </w:numPr>
        <w:autoSpaceDE w:val="0"/>
        <w:autoSpaceDN w:val="0"/>
        <w:adjustRightInd w:val="0"/>
        <w:spacing w:before="120" w:after="120"/>
        <w:outlineLvl w:val="0"/>
        <w:rPr>
          <w:rFonts w:hint="eastAsia" w:ascii="微软雅黑" w:hAnsi="微软雅黑" w:eastAsia="微软雅黑" w:cs="Times New Roman"/>
          <w:bCs/>
          <w:sz w:val="32"/>
          <w:szCs w:val="32"/>
        </w:rPr>
      </w:pPr>
      <w:bookmarkStart w:id="27" w:name="_Hlk214486185"/>
      <w:r>
        <w:rPr>
          <w:rFonts w:hint="eastAsia" w:ascii="微软雅黑" w:hAnsi="微软雅黑" w:eastAsia="微软雅黑" w:cs="Times New Roman"/>
          <w:bCs/>
          <w:sz w:val="32"/>
          <w:szCs w:val="32"/>
        </w:rPr>
        <w:t>工作进度、监造和现场验收</w:t>
      </w:r>
    </w:p>
    <w:p w14:paraId="4D2C7A5F">
      <w:pPr>
        <w:spacing w:line="257" w:lineRule="auto"/>
        <w:ind w:right="122"/>
        <w:rPr>
          <w:rFonts w:hint="eastAsia" w:ascii="微软雅黑" w:hAnsi="微软雅黑" w:eastAsia="微软雅黑" w:cs="Times New Roman"/>
          <w:szCs w:val="21"/>
        </w:rPr>
      </w:pPr>
      <w:r>
        <w:rPr>
          <w:rFonts w:hint="eastAsia" w:ascii="微软雅黑" w:hAnsi="微软雅黑" w:eastAsia="微软雅黑" w:cs="Times New Roman"/>
          <w:szCs w:val="21"/>
        </w:rPr>
        <w:t>1. 供货要求</w:t>
      </w:r>
    </w:p>
    <w:p w14:paraId="57E75258">
      <w:pPr>
        <w:numPr>
          <w:ilvl w:val="0"/>
          <w:numId w:val="13"/>
        </w:numPr>
        <w:spacing w:line="360" w:lineRule="auto"/>
        <w:ind w:left="0" w:firstLine="420"/>
        <w:rPr>
          <w:rFonts w:hint="eastAsia" w:ascii="微软雅黑" w:hAnsi="微软雅黑" w:eastAsia="微软雅黑" w:cs="微软雅黑"/>
          <w:szCs w:val="21"/>
        </w:rPr>
      </w:pPr>
      <w:r>
        <w:rPr>
          <w:rFonts w:hint="eastAsia" w:ascii="微软雅黑" w:hAnsi="微软雅黑" w:eastAsia="微软雅黑" w:cs="微软雅黑"/>
          <w:szCs w:val="21"/>
        </w:rPr>
        <w:t>本款规定了合同的供货范围，供应商保证提供的材料为全新的、先进的、成熟的、完整的和安全可靠的，且技术经济性能符合本技术要求书的要求。</w:t>
      </w:r>
    </w:p>
    <w:p w14:paraId="3268145E">
      <w:pPr>
        <w:numPr>
          <w:ilvl w:val="0"/>
          <w:numId w:val="13"/>
        </w:numPr>
        <w:spacing w:line="360" w:lineRule="auto"/>
        <w:ind w:left="0" w:firstLine="420"/>
        <w:rPr>
          <w:rFonts w:hint="eastAsia" w:ascii="微软雅黑" w:hAnsi="微软雅黑" w:eastAsia="微软雅黑" w:cs="微软雅黑"/>
          <w:szCs w:val="21"/>
        </w:rPr>
      </w:pPr>
      <w:r>
        <w:rPr>
          <w:rFonts w:hint="eastAsia" w:ascii="微软雅黑" w:hAnsi="微软雅黑" w:eastAsia="微软雅黑" w:cs="微软雅黑"/>
          <w:szCs w:val="21"/>
        </w:rPr>
        <w:t>供应商在供货时提供详细的供货清单、主要材料的出厂检测报告或合格证，清单中至少应包括依次说明各材料名称、规格、型号、数量、产地、生产厂家内容。</w:t>
      </w:r>
    </w:p>
    <w:p w14:paraId="5FF51C27">
      <w:pPr>
        <w:numPr>
          <w:ilvl w:val="0"/>
          <w:numId w:val="13"/>
        </w:numPr>
        <w:spacing w:line="360" w:lineRule="auto"/>
        <w:ind w:left="0" w:firstLine="420"/>
        <w:rPr>
          <w:rFonts w:hint="eastAsia" w:ascii="微软雅黑" w:hAnsi="微软雅黑" w:eastAsia="微软雅黑" w:cs="微软雅黑"/>
          <w:szCs w:val="21"/>
        </w:rPr>
      </w:pPr>
      <w:r>
        <w:rPr>
          <w:rFonts w:hint="eastAsia" w:ascii="微软雅黑" w:hAnsi="微软雅黑" w:eastAsia="微软雅黑" w:cs="微软雅黑"/>
          <w:szCs w:val="21"/>
        </w:rPr>
        <w:t>在质保期内，材料因任何质量问题而造成不能正常使用的，供应商应无偿更换。</w:t>
      </w:r>
    </w:p>
    <w:p w14:paraId="4D555EA7">
      <w:pPr>
        <w:spacing w:line="257" w:lineRule="auto"/>
        <w:ind w:right="122"/>
        <w:rPr>
          <w:rFonts w:hint="eastAsia" w:ascii="微软雅黑" w:hAnsi="微软雅黑" w:eastAsia="微软雅黑" w:cs="Times New Roman"/>
          <w:szCs w:val="21"/>
        </w:rPr>
      </w:pPr>
      <w:bookmarkStart w:id="28" w:name="_Toc10750_WPSOffice_Level1"/>
      <w:r>
        <w:rPr>
          <w:rFonts w:hint="eastAsia" w:ascii="微软雅黑" w:hAnsi="微软雅黑" w:eastAsia="微软雅黑" w:cs="Times New Roman"/>
          <w:szCs w:val="21"/>
        </w:rPr>
        <w:t>2. 检验与验收</w:t>
      </w:r>
      <w:bookmarkEnd w:id="28"/>
    </w:p>
    <w:p w14:paraId="19E0530D">
      <w:pPr>
        <w:spacing w:line="257" w:lineRule="auto"/>
        <w:ind w:right="122" w:firstLine="420" w:firstLineChars="200"/>
        <w:rPr>
          <w:rFonts w:hint="eastAsia" w:ascii="微软雅黑" w:hAnsi="微软雅黑" w:eastAsia="微软雅黑" w:cs="Times New Roman"/>
          <w:szCs w:val="21"/>
        </w:rPr>
      </w:pPr>
      <w:bookmarkStart w:id="29" w:name="bookmark28"/>
      <w:bookmarkEnd w:id="29"/>
      <w:bookmarkStart w:id="30" w:name="_Toc14469_WPSOffice_Level2"/>
      <w:r>
        <w:rPr>
          <w:rFonts w:hint="eastAsia" w:ascii="微软雅黑" w:hAnsi="微软雅黑" w:eastAsia="微软雅黑" w:cs="Times New Roman"/>
          <w:szCs w:val="21"/>
        </w:rPr>
        <w:t>2.1一般要求</w:t>
      </w:r>
      <w:bookmarkEnd w:id="30"/>
    </w:p>
    <w:p w14:paraId="5218D9FA">
      <w:pPr>
        <w:spacing w:line="257" w:lineRule="auto"/>
        <w:ind w:right="122" w:firstLine="420" w:firstLineChars="200"/>
        <w:rPr>
          <w:rFonts w:hint="eastAsia" w:ascii="微软雅黑" w:hAnsi="微软雅黑" w:eastAsia="微软雅黑" w:cs="Times New Roman"/>
          <w:szCs w:val="21"/>
        </w:rPr>
      </w:pPr>
      <w:r>
        <w:rPr>
          <w:rFonts w:hint="eastAsia" w:ascii="微软雅黑" w:hAnsi="微软雅黑" w:eastAsia="微软雅黑" w:cs="Times New Roman"/>
          <w:szCs w:val="21"/>
        </w:rPr>
        <w:t>（1）供应商应满足本技术要求书所提的技术要求。</w:t>
      </w:r>
    </w:p>
    <w:p w14:paraId="4A126A92">
      <w:pPr>
        <w:spacing w:line="257" w:lineRule="auto"/>
        <w:ind w:right="122" w:firstLine="420" w:firstLineChars="200"/>
        <w:rPr>
          <w:rFonts w:hint="eastAsia" w:ascii="微软雅黑" w:hAnsi="微软雅黑" w:eastAsia="微软雅黑" w:cs="Times New Roman"/>
          <w:szCs w:val="21"/>
        </w:rPr>
      </w:pPr>
      <w:r>
        <w:rPr>
          <w:rFonts w:hint="eastAsia" w:ascii="微软雅黑" w:hAnsi="微软雅黑" w:eastAsia="微软雅黑" w:cs="Times New Roman"/>
          <w:szCs w:val="21"/>
        </w:rPr>
        <w:t>（2）供应商保证所供材料是技术先进、成熟可靠的全新产品。图纸优化、材料选择方面应准确无误，加工工艺无任何缺陷和差错。</w:t>
      </w:r>
    </w:p>
    <w:p w14:paraId="6A46761F">
      <w:pPr>
        <w:spacing w:line="257" w:lineRule="auto"/>
        <w:ind w:right="122" w:firstLine="420" w:firstLineChars="200"/>
        <w:rPr>
          <w:rFonts w:hint="eastAsia" w:ascii="微软雅黑" w:hAnsi="微软雅黑" w:eastAsia="微软雅黑" w:cs="Times New Roman"/>
          <w:szCs w:val="21"/>
        </w:rPr>
      </w:pPr>
      <w:r>
        <w:rPr>
          <w:rFonts w:hint="eastAsia" w:ascii="微软雅黑" w:hAnsi="微软雅黑" w:eastAsia="微软雅黑" w:cs="Times New Roman"/>
          <w:szCs w:val="21"/>
        </w:rPr>
        <w:t>（3）供应商应具备有效方法，控制所有关键元器件/材料、外协、外购件的质量和服务，使其符合本</w:t>
      </w:r>
      <w:r>
        <w:rPr>
          <w:rFonts w:hint="eastAsia" w:ascii="微软雅黑" w:hAnsi="微软雅黑" w:eastAsia="微软雅黑" w:cs="微软雅黑"/>
          <w:szCs w:val="21"/>
        </w:rPr>
        <w:t>技术要求书</w:t>
      </w:r>
      <w:r>
        <w:rPr>
          <w:rFonts w:hint="eastAsia" w:ascii="微软雅黑" w:hAnsi="微软雅黑" w:eastAsia="微软雅黑" w:cs="Times New Roman"/>
          <w:szCs w:val="21"/>
        </w:rPr>
        <w:t>的要求。</w:t>
      </w:r>
    </w:p>
    <w:p w14:paraId="30EF5C53">
      <w:pPr>
        <w:spacing w:line="257" w:lineRule="auto"/>
        <w:ind w:right="122" w:firstLine="420" w:firstLineChars="200"/>
        <w:rPr>
          <w:rFonts w:hint="eastAsia" w:ascii="微软雅黑" w:hAnsi="微软雅黑" w:eastAsia="微软雅黑" w:cs="Times New Roman"/>
          <w:szCs w:val="21"/>
        </w:rPr>
      </w:pPr>
      <w:bookmarkStart w:id="31" w:name="bookmark29"/>
      <w:bookmarkEnd w:id="31"/>
      <w:bookmarkStart w:id="32" w:name="bookmark31"/>
      <w:bookmarkEnd w:id="32"/>
      <w:bookmarkStart w:id="33" w:name="_Toc25453_WPSOffice_Level2"/>
      <w:r>
        <w:rPr>
          <w:rFonts w:hint="eastAsia" w:ascii="微软雅黑" w:hAnsi="微软雅黑" w:eastAsia="微软雅黑" w:cs="Times New Roman"/>
          <w:szCs w:val="21"/>
        </w:rPr>
        <w:t>2.2现场验收</w:t>
      </w:r>
      <w:bookmarkEnd w:id="33"/>
    </w:p>
    <w:p w14:paraId="72F713A4">
      <w:pPr>
        <w:spacing w:line="257" w:lineRule="auto"/>
        <w:ind w:right="122" w:firstLine="420" w:firstLineChars="200"/>
        <w:rPr>
          <w:rFonts w:hint="eastAsia" w:ascii="微软雅黑" w:hAnsi="微软雅黑" w:eastAsia="微软雅黑" w:cs="Times New Roman"/>
          <w:szCs w:val="21"/>
        </w:rPr>
      </w:pPr>
      <w:bookmarkStart w:id="34" w:name="bookmark32"/>
      <w:bookmarkEnd w:id="34"/>
      <w:r>
        <w:rPr>
          <w:rFonts w:hint="eastAsia" w:ascii="微软雅黑" w:hAnsi="微软雅黑" w:eastAsia="微软雅黑" w:cs="Times New Roman"/>
          <w:szCs w:val="21"/>
        </w:rPr>
        <w:t>设备到达安装现场后，买方应按照开箱检验方法，对照装箱清单逐件清点，进行数量、规格和尺寸进行检查和验收。装箱必须按照买方提供的分类标准进行分类。</w:t>
      </w:r>
    </w:p>
    <w:p w14:paraId="0817D555">
      <w:pPr>
        <w:spacing w:line="257" w:lineRule="auto"/>
        <w:ind w:right="122" w:firstLine="420" w:firstLineChars="200"/>
        <w:rPr>
          <w:rFonts w:hint="eastAsia" w:ascii="微软雅黑" w:hAnsi="微软雅黑" w:eastAsia="微软雅黑" w:cs="Times New Roman"/>
          <w:szCs w:val="21"/>
        </w:rPr>
      </w:pPr>
      <w:r>
        <w:rPr>
          <w:rFonts w:hint="eastAsia" w:ascii="微软雅黑" w:hAnsi="微软雅黑" w:eastAsia="微软雅黑" w:cs="Times New Roman"/>
          <w:szCs w:val="21"/>
        </w:rPr>
        <w:t>现场验收的标准和方法：</w:t>
      </w:r>
    </w:p>
    <w:p w14:paraId="1EEB7FEB">
      <w:pPr>
        <w:spacing w:line="257" w:lineRule="auto"/>
        <w:ind w:right="122" w:firstLine="420" w:firstLineChars="200"/>
        <w:rPr>
          <w:rFonts w:hint="eastAsia" w:ascii="微软雅黑" w:hAnsi="微软雅黑" w:eastAsia="微软雅黑" w:cs="Times New Roman"/>
          <w:szCs w:val="21"/>
        </w:rPr>
      </w:pPr>
      <w:r>
        <w:rPr>
          <w:rFonts w:hint="eastAsia" w:ascii="微软雅黑" w:hAnsi="微软雅黑" w:eastAsia="微软雅黑" w:cs="Times New Roman"/>
          <w:szCs w:val="21"/>
        </w:rPr>
        <w:t>1）现场验收试验应在所有设备安装调试完毕，且设备准备投入试运行时进行。</w:t>
      </w:r>
    </w:p>
    <w:p w14:paraId="736347C7">
      <w:pPr>
        <w:spacing w:line="257" w:lineRule="auto"/>
        <w:ind w:right="122" w:firstLine="420" w:firstLineChars="200"/>
        <w:rPr>
          <w:rFonts w:hint="eastAsia" w:ascii="微软雅黑" w:hAnsi="微软雅黑" w:eastAsia="微软雅黑" w:cs="Times New Roman"/>
          <w:szCs w:val="21"/>
        </w:rPr>
      </w:pPr>
      <w:r>
        <w:rPr>
          <w:rFonts w:hint="eastAsia" w:ascii="微软雅黑" w:hAnsi="微软雅黑" w:eastAsia="微软雅黑" w:cs="Times New Roman"/>
          <w:szCs w:val="21"/>
        </w:rPr>
        <w:t>2）现场验收试验应在工厂系统试验完全完成的基础上进行。</w:t>
      </w:r>
    </w:p>
    <w:p w14:paraId="61ECF2B7">
      <w:pPr>
        <w:spacing w:line="257" w:lineRule="auto"/>
        <w:ind w:right="122" w:firstLine="420" w:firstLineChars="200"/>
        <w:rPr>
          <w:rFonts w:hint="eastAsia" w:ascii="微软雅黑" w:hAnsi="微软雅黑" w:eastAsia="微软雅黑" w:cs="Times New Roman"/>
          <w:szCs w:val="21"/>
        </w:rPr>
      </w:pPr>
      <w:r>
        <w:rPr>
          <w:rFonts w:hint="eastAsia" w:ascii="微软雅黑" w:hAnsi="微软雅黑" w:eastAsia="微软雅黑" w:cs="Times New Roman"/>
          <w:szCs w:val="21"/>
        </w:rPr>
        <w:t>3）在验收试验开始前两周应提供买方认可的现场验收大纲。</w:t>
      </w:r>
    </w:p>
    <w:bookmarkEnd w:id="27"/>
    <w:p w14:paraId="6D49D703">
      <w:pPr>
        <w:autoSpaceDE w:val="0"/>
        <w:autoSpaceDN w:val="0"/>
        <w:adjustRightInd w:val="0"/>
        <w:spacing w:before="120" w:after="120"/>
        <w:outlineLvl w:val="0"/>
        <w:rPr>
          <w:rFonts w:hint="eastAsia" w:ascii="微软雅黑" w:hAnsi="微软雅黑" w:eastAsia="微软雅黑" w:cs="Times New Roman"/>
          <w:bCs/>
          <w:sz w:val="32"/>
          <w:szCs w:val="32"/>
        </w:rPr>
      </w:pPr>
      <w:r>
        <w:rPr>
          <w:rFonts w:hint="eastAsia" w:ascii="微软雅黑" w:hAnsi="微软雅黑" w:eastAsia="微软雅黑" w:cs="Times New Roman"/>
          <w:bCs/>
          <w:sz w:val="32"/>
          <w:szCs w:val="32"/>
        </w:rPr>
        <w:t>十、技术服务与售后服务</w:t>
      </w:r>
    </w:p>
    <w:p w14:paraId="0A18021A">
      <w:pPr>
        <w:spacing w:line="257" w:lineRule="auto"/>
        <w:ind w:right="122"/>
        <w:rPr>
          <w:rFonts w:hint="eastAsia" w:ascii="微软雅黑" w:hAnsi="微软雅黑" w:eastAsia="微软雅黑" w:cs="Times New Roman"/>
          <w:szCs w:val="21"/>
        </w:rPr>
      </w:pPr>
      <w:bookmarkStart w:id="35" w:name="_Toc24223_WPSOffice_Level2"/>
      <w:bookmarkStart w:id="36" w:name="_Toc466900218"/>
      <w:r>
        <w:rPr>
          <w:rFonts w:hint="eastAsia" w:ascii="微软雅黑" w:hAnsi="微软雅黑" w:eastAsia="微软雅黑" w:cs="Times New Roman"/>
          <w:szCs w:val="21"/>
        </w:rPr>
        <w:t>1. 现场服务</w:t>
      </w:r>
      <w:bookmarkEnd w:id="35"/>
      <w:bookmarkEnd w:id="36"/>
    </w:p>
    <w:p w14:paraId="1B7BA26D">
      <w:pPr>
        <w:numPr>
          <w:ilvl w:val="0"/>
          <w:numId w:val="13"/>
        </w:numPr>
        <w:spacing w:line="360" w:lineRule="auto"/>
        <w:ind w:left="0" w:firstLine="420"/>
        <w:rPr>
          <w:rFonts w:hint="eastAsia" w:ascii="微软雅黑" w:hAnsi="微软雅黑" w:eastAsia="微软雅黑" w:cs="Times New Roman"/>
          <w:szCs w:val="21"/>
        </w:rPr>
      </w:pPr>
      <w:r>
        <w:rPr>
          <w:rFonts w:hint="eastAsia" w:ascii="微软雅黑" w:hAnsi="微软雅黑" w:eastAsia="微软雅黑" w:cs="Times New Roman"/>
          <w:szCs w:val="21"/>
        </w:rPr>
        <w:t>投标方现场服务人员的目的是使所供材料安全、正常组装并使用。</w:t>
      </w:r>
      <w:r>
        <w:rPr>
          <w:rFonts w:hint="eastAsia" w:ascii="微软雅黑" w:hAnsi="微软雅黑" w:eastAsia="微软雅黑" w:cs="微软雅黑"/>
          <w:szCs w:val="21"/>
        </w:rPr>
        <w:t>如有必要，需赴供货地点配合完成原材料的组装指导，以确保提高的装置满足使用要求。</w:t>
      </w:r>
      <w:r>
        <w:rPr>
          <w:rFonts w:hint="eastAsia" w:ascii="微软雅黑" w:hAnsi="微软雅黑" w:eastAsia="微软雅黑" w:cs="Times New Roman"/>
          <w:szCs w:val="21"/>
        </w:rPr>
        <w:t>供应商现场服务人员具有下列资质：</w:t>
      </w:r>
    </w:p>
    <w:p w14:paraId="68853745">
      <w:pPr>
        <w:numPr>
          <w:ilvl w:val="0"/>
          <w:numId w:val="13"/>
        </w:numPr>
        <w:spacing w:line="360" w:lineRule="auto"/>
        <w:ind w:left="0" w:firstLine="420"/>
        <w:rPr>
          <w:rFonts w:hint="eastAsia" w:ascii="微软雅黑" w:hAnsi="微软雅黑" w:eastAsia="微软雅黑" w:cs="微软雅黑"/>
          <w:szCs w:val="21"/>
        </w:rPr>
      </w:pPr>
      <w:r>
        <w:rPr>
          <w:rFonts w:hint="eastAsia" w:ascii="微软雅黑" w:hAnsi="微软雅黑" w:eastAsia="微软雅黑" w:cs="微软雅黑"/>
          <w:szCs w:val="21"/>
        </w:rPr>
        <w:t>遵守法纪，遵守现场的各项规章和制度；</w:t>
      </w:r>
    </w:p>
    <w:p w14:paraId="3C4DE77E">
      <w:pPr>
        <w:numPr>
          <w:ilvl w:val="0"/>
          <w:numId w:val="13"/>
        </w:numPr>
        <w:spacing w:line="360" w:lineRule="auto"/>
        <w:ind w:left="0" w:firstLine="420"/>
        <w:rPr>
          <w:rFonts w:hint="eastAsia" w:ascii="微软雅黑" w:hAnsi="微软雅黑" w:eastAsia="微软雅黑" w:cs="微软雅黑"/>
          <w:szCs w:val="21"/>
        </w:rPr>
      </w:pPr>
      <w:r>
        <w:rPr>
          <w:rFonts w:hint="eastAsia" w:ascii="微软雅黑" w:hAnsi="微软雅黑" w:eastAsia="微软雅黑" w:cs="微软雅黑"/>
          <w:szCs w:val="21"/>
        </w:rPr>
        <w:t>有较强的责任感和事业心，按时到位；</w:t>
      </w:r>
    </w:p>
    <w:p w14:paraId="498F0DD6">
      <w:pPr>
        <w:numPr>
          <w:ilvl w:val="0"/>
          <w:numId w:val="13"/>
        </w:numPr>
        <w:spacing w:line="360" w:lineRule="auto"/>
        <w:ind w:left="0" w:firstLine="420"/>
        <w:rPr>
          <w:rFonts w:hint="eastAsia" w:ascii="微软雅黑" w:hAnsi="微软雅黑" w:eastAsia="微软雅黑" w:cs="微软雅黑"/>
          <w:szCs w:val="21"/>
        </w:rPr>
      </w:pPr>
      <w:r>
        <w:rPr>
          <w:rFonts w:hint="eastAsia" w:ascii="微软雅黑" w:hAnsi="微软雅黑" w:eastAsia="微软雅黑" w:cs="微软雅黑"/>
          <w:szCs w:val="21"/>
        </w:rPr>
        <w:t>身体健康，适应现场工作的条件。</w:t>
      </w:r>
    </w:p>
    <w:p w14:paraId="090DFD50">
      <w:pPr>
        <w:spacing w:line="257" w:lineRule="auto"/>
        <w:ind w:right="122"/>
        <w:rPr>
          <w:rFonts w:hint="eastAsia" w:ascii="微软雅黑" w:hAnsi="微软雅黑" w:eastAsia="微软雅黑" w:cs="Times New Roman"/>
          <w:szCs w:val="21"/>
        </w:rPr>
      </w:pPr>
      <w:r>
        <w:rPr>
          <w:rFonts w:hint="eastAsia" w:ascii="微软雅黑" w:hAnsi="微软雅黑" w:eastAsia="微软雅黑" w:cs="Times New Roman"/>
          <w:szCs w:val="21"/>
        </w:rPr>
        <w:t>2. UPS安装调试：</w:t>
      </w:r>
    </w:p>
    <w:p w14:paraId="4BCAA4DB">
      <w:pPr>
        <w:numPr>
          <w:ilvl w:val="0"/>
          <w:numId w:val="16"/>
        </w:numPr>
        <w:spacing w:line="257" w:lineRule="auto"/>
        <w:ind w:right="122" w:firstLine="200"/>
        <w:rPr>
          <w:rFonts w:hint="eastAsia" w:ascii="微软雅黑" w:hAnsi="微软雅黑" w:eastAsia="微软雅黑" w:cs="Times New Roman"/>
          <w:szCs w:val="21"/>
        </w:rPr>
      </w:pPr>
      <w:r>
        <w:rPr>
          <w:rFonts w:hint="eastAsia" w:ascii="微软雅黑" w:hAnsi="微软雅黑" w:eastAsia="微软雅黑" w:cs="Times New Roman"/>
          <w:szCs w:val="21"/>
        </w:rPr>
        <w:t>配置UPS主机安装所需底座及辅材，满足主机承重要求。</w:t>
      </w:r>
    </w:p>
    <w:p w14:paraId="25F7400D">
      <w:pPr>
        <w:numPr>
          <w:ilvl w:val="0"/>
          <w:numId w:val="16"/>
        </w:numPr>
        <w:spacing w:line="257" w:lineRule="auto"/>
        <w:ind w:right="122" w:firstLine="200"/>
        <w:rPr>
          <w:rFonts w:hint="eastAsia" w:ascii="微软雅黑" w:hAnsi="微软雅黑" w:eastAsia="微软雅黑" w:cs="Times New Roman"/>
          <w:szCs w:val="21"/>
        </w:rPr>
      </w:pPr>
      <w:r>
        <w:rPr>
          <w:rFonts w:hint="eastAsia" w:ascii="微软雅黑" w:hAnsi="微软雅黑" w:eastAsia="微软雅黑" w:cs="Times New Roman"/>
          <w:szCs w:val="21"/>
        </w:rPr>
        <w:t>40KVA UPS设备的安装应严格遵循设备安装手册和相关国家标准规范（如GB 50174-2017《数据中心设计规范》和GB/T7260.1-2023《不间断电源设备（UPS）第一部分：安全要求》等）进行施工。</w:t>
      </w:r>
    </w:p>
    <w:p w14:paraId="1B23E958">
      <w:pPr>
        <w:numPr>
          <w:ilvl w:val="0"/>
          <w:numId w:val="16"/>
        </w:numPr>
        <w:spacing w:line="257" w:lineRule="auto"/>
        <w:ind w:right="122" w:firstLine="200"/>
        <w:rPr>
          <w:rFonts w:hint="eastAsia" w:ascii="微软雅黑" w:hAnsi="微软雅黑" w:eastAsia="微软雅黑" w:cs="Times New Roman"/>
          <w:szCs w:val="21"/>
        </w:rPr>
      </w:pPr>
      <w:r>
        <w:rPr>
          <w:rFonts w:hint="eastAsia" w:ascii="微软雅黑" w:hAnsi="微软雅黑" w:eastAsia="微软雅黑" w:cs="Times New Roman"/>
          <w:szCs w:val="21"/>
        </w:rPr>
        <w:t>合理规划UPS主机、电池组及配电柜的安装位置，确保设备布局符合电气间整体规划，便于操作、维护和散热。</w:t>
      </w:r>
    </w:p>
    <w:p w14:paraId="40E3F353">
      <w:pPr>
        <w:numPr>
          <w:ilvl w:val="0"/>
          <w:numId w:val="16"/>
        </w:numPr>
        <w:spacing w:line="257" w:lineRule="auto"/>
        <w:ind w:right="122" w:firstLine="200"/>
        <w:rPr>
          <w:rFonts w:hint="eastAsia" w:ascii="微软雅黑" w:hAnsi="微软雅黑" w:eastAsia="微软雅黑" w:cs="Times New Roman"/>
          <w:szCs w:val="21"/>
        </w:rPr>
      </w:pPr>
      <w:r>
        <w:rPr>
          <w:rFonts w:hint="eastAsia" w:ascii="微软雅黑" w:hAnsi="微软雅黑" w:eastAsia="微软雅黑" w:cs="Times New Roman"/>
          <w:szCs w:val="21"/>
        </w:rPr>
        <w:t>正确连接UPS设备的市电输入、输出线路及连接电池组，电缆规格应满足设备负载电流要求，连接牢固、接触良好，并做好接地处理，接地电阻应符合相关标准。</w:t>
      </w:r>
    </w:p>
    <w:p w14:paraId="57E9316A">
      <w:pPr>
        <w:numPr>
          <w:ilvl w:val="0"/>
          <w:numId w:val="16"/>
        </w:numPr>
        <w:spacing w:line="257" w:lineRule="auto"/>
        <w:ind w:right="122" w:firstLine="200"/>
        <w:rPr>
          <w:rFonts w:hint="eastAsia" w:ascii="微软雅黑" w:hAnsi="微软雅黑" w:eastAsia="微软雅黑" w:cs="Times New Roman"/>
          <w:szCs w:val="21"/>
        </w:rPr>
      </w:pPr>
      <w:r>
        <w:rPr>
          <w:rFonts w:hint="eastAsia" w:ascii="微软雅黑" w:hAnsi="微软雅黑" w:eastAsia="微软雅黑" w:cs="Times New Roman"/>
          <w:szCs w:val="21"/>
        </w:rPr>
        <w:t>安装完成后，双方对</w:t>
      </w:r>
      <w:bookmarkStart w:id="42" w:name="_GoBack"/>
      <w:bookmarkEnd w:id="42"/>
      <w:r>
        <w:rPr>
          <w:rFonts w:hint="eastAsia" w:ascii="微软雅黑" w:hAnsi="微软雅黑" w:eastAsia="微软雅黑" w:cs="Times New Roman"/>
          <w:szCs w:val="21"/>
        </w:rPr>
        <w:t>新UPS设备进行全面的检查，确认接线无误、设备固定牢固。</w:t>
      </w:r>
    </w:p>
    <w:p w14:paraId="3C11CC2F">
      <w:pPr>
        <w:numPr>
          <w:ilvl w:val="0"/>
          <w:numId w:val="16"/>
        </w:numPr>
        <w:spacing w:line="257" w:lineRule="auto"/>
        <w:ind w:right="122" w:firstLine="200"/>
        <w:rPr>
          <w:rFonts w:hint="eastAsia" w:ascii="微软雅黑" w:hAnsi="微软雅黑" w:eastAsia="微软雅黑" w:cs="Times New Roman"/>
          <w:szCs w:val="21"/>
        </w:rPr>
      </w:pPr>
      <w:r>
        <w:rPr>
          <w:rFonts w:hint="eastAsia" w:ascii="微软雅黑" w:hAnsi="微软雅黑" w:eastAsia="微软雅黑" w:cs="Times New Roman"/>
          <w:szCs w:val="21"/>
        </w:rPr>
        <w:t>双方按照调试流程逐步启动UPS设备，进行系统自检、参数设置和功能测试，包括市电模式、电池模式、旁路模式的切换测试，以及过载、短路、过压、欠压等保护功能测试。</w:t>
      </w:r>
    </w:p>
    <w:p w14:paraId="7FBEC71F">
      <w:pPr>
        <w:numPr>
          <w:ilvl w:val="0"/>
          <w:numId w:val="16"/>
        </w:numPr>
        <w:spacing w:line="257" w:lineRule="auto"/>
        <w:ind w:right="122" w:firstLine="200"/>
        <w:rPr>
          <w:rFonts w:hint="eastAsia" w:ascii="微软雅黑" w:hAnsi="微软雅黑" w:eastAsia="微软雅黑" w:cs="Times New Roman"/>
          <w:szCs w:val="21"/>
        </w:rPr>
      </w:pPr>
      <w:r>
        <w:rPr>
          <w:rFonts w:hint="eastAsia" w:ascii="微软雅黑" w:hAnsi="微软雅黑" w:eastAsia="微软雅黑" w:cs="Times New Roman"/>
          <w:szCs w:val="21"/>
        </w:rPr>
        <w:t>双方对UPS电池组进行充放电测试，检查电池性能是否正常，记录电池电压、电流、容量等参数，确保电池组能够满足UPS在断电情况下的续航要求。</w:t>
      </w:r>
    </w:p>
    <w:p w14:paraId="14EE56D2">
      <w:pPr>
        <w:numPr>
          <w:ilvl w:val="0"/>
          <w:numId w:val="16"/>
        </w:numPr>
        <w:spacing w:line="257" w:lineRule="auto"/>
        <w:ind w:right="122" w:firstLine="200"/>
        <w:rPr>
          <w:rFonts w:hint="eastAsia" w:ascii="Microsoft YaHei UI" w:hAnsi="Microsoft YaHei UI" w:eastAsia="Microsoft YaHei UI" w:cs="Times New Roman"/>
          <w:szCs w:val="21"/>
        </w:rPr>
      </w:pPr>
      <w:r>
        <w:rPr>
          <w:rFonts w:hint="eastAsia" w:ascii="微软雅黑" w:hAnsi="微软雅黑" w:eastAsia="微软雅黑" w:cs="Times New Roman"/>
          <w:szCs w:val="21"/>
        </w:rPr>
        <w:t>双方测试UPS输出电压、频率、波形等指标，确保其符合负载设备的用电要求，并对UPS的监控功能进行调试，实现远程监控和告警功能</w:t>
      </w:r>
      <w:r>
        <w:rPr>
          <w:rFonts w:hint="eastAsia" w:ascii="Microsoft YaHei UI" w:hAnsi="Microsoft YaHei UI" w:eastAsia="Microsoft YaHei UI" w:cs="Times New Roman"/>
          <w:szCs w:val="21"/>
        </w:rPr>
        <w:t>。</w:t>
      </w:r>
    </w:p>
    <w:p w14:paraId="7BF8DBA4">
      <w:pPr>
        <w:spacing w:line="257" w:lineRule="auto"/>
        <w:ind w:right="122"/>
        <w:rPr>
          <w:rFonts w:hint="eastAsia" w:ascii="微软雅黑" w:hAnsi="微软雅黑" w:eastAsia="微软雅黑" w:cs="Times New Roman"/>
          <w:szCs w:val="21"/>
        </w:rPr>
      </w:pPr>
      <w:bookmarkStart w:id="37" w:name="_Toc14229_WPSOffice_Level2"/>
      <w:bookmarkStart w:id="38" w:name="_Toc466900221"/>
      <w:r>
        <w:rPr>
          <w:rFonts w:hint="eastAsia" w:ascii="微软雅黑" w:hAnsi="微软雅黑" w:eastAsia="微软雅黑" w:cs="Times New Roman"/>
          <w:szCs w:val="21"/>
        </w:rPr>
        <w:t>3. 售后服务要求</w:t>
      </w:r>
      <w:bookmarkEnd w:id="37"/>
      <w:bookmarkEnd w:id="38"/>
    </w:p>
    <w:p w14:paraId="0E32465A">
      <w:pPr>
        <w:spacing w:line="257" w:lineRule="auto"/>
        <w:ind w:right="122" w:firstLine="420" w:firstLineChars="200"/>
        <w:rPr>
          <w:rFonts w:hint="eastAsia" w:ascii="微软雅黑" w:hAnsi="微软雅黑" w:eastAsia="微软雅黑" w:cs="Times New Roman"/>
          <w:szCs w:val="21"/>
        </w:rPr>
      </w:pPr>
      <w:r>
        <w:rPr>
          <w:rFonts w:hint="eastAsia" w:ascii="微软雅黑" w:hAnsi="微软雅黑" w:eastAsia="微软雅黑" w:cs="Times New Roman"/>
          <w:szCs w:val="21"/>
        </w:rPr>
        <w:t>供应商须积极响应解决相应问题，如有需要需及时更换满足要求的全新货物。</w:t>
      </w:r>
    </w:p>
    <w:p w14:paraId="7E92E111">
      <w:pPr>
        <w:spacing w:line="257" w:lineRule="auto"/>
        <w:ind w:right="122"/>
        <w:rPr>
          <w:rFonts w:hint="eastAsia" w:ascii="微软雅黑" w:hAnsi="微软雅黑" w:eastAsia="微软雅黑" w:cs="Times New Roman"/>
          <w:szCs w:val="21"/>
        </w:rPr>
      </w:pPr>
      <w:r>
        <w:rPr>
          <w:rFonts w:hint="eastAsia" w:ascii="微软雅黑" w:hAnsi="微软雅黑" w:eastAsia="微软雅黑" w:cs="Times New Roman"/>
          <w:szCs w:val="21"/>
        </w:rPr>
        <w:t>4. 保密要求</w:t>
      </w:r>
    </w:p>
    <w:p w14:paraId="2EC109A4">
      <w:pPr>
        <w:spacing w:line="257" w:lineRule="auto"/>
        <w:ind w:right="122" w:firstLine="420" w:firstLineChars="200"/>
        <w:rPr>
          <w:rFonts w:hint="eastAsia" w:ascii="微软雅黑" w:hAnsi="微软雅黑" w:eastAsia="微软雅黑" w:cs="Times New Roman"/>
          <w:szCs w:val="21"/>
        </w:rPr>
      </w:pPr>
      <w:r>
        <w:rPr>
          <w:rFonts w:hint="eastAsia" w:ascii="微软雅黑" w:hAnsi="微软雅黑" w:eastAsia="微软雅黑" w:cs="Times New Roman"/>
          <w:szCs w:val="21"/>
        </w:rPr>
        <w:t>供应商须对商业和技术等秘密保密，否则应承担相应的法律责任，具体要求以合同内容为准。</w:t>
      </w:r>
    </w:p>
    <w:p w14:paraId="3D10D143">
      <w:pPr>
        <w:autoSpaceDE w:val="0"/>
        <w:autoSpaceDN w:val="0"/>
        <w:adjustRightInd w:val="0"/>
        <w:spacing w:before="120" w:after="120"/>
        <w:outlineLvl w:val="0"/>
        <w:rPr>
          <w:rFonts w:hint="eastAsia" w:ascii="微软雅黑" w:hAnsi="微软雅黑" w:eastAsia="微软雅黑" w:cs="Times New Roman"/>
          <w:bCs/>
          <w:sz w:val="32"/>
          <w:szCs w:val="32"/>
        </w:rPr>
      </w:pPr>
      <w:r>
        <w:rPr>
          <w:rFonts w:hint="eastAsia" w:ascii="微软雅黑" w:hAnsi="微软雅黑" w:eastAsia="微软雅黑" w:cs="Times New Roman"/>
          <w:bCs/>
          <w:sz w:val="32"/>
          <w:szCs w:val="32"/>
        </w:rPr>
        <w:t>十一、质量保证</w:t>
      </w:r>
    </w:p>
    <w:bookmarkEnd w:id="5"/>
    <w:bookmarkEnd w:id="6"/>
    <w:p w14:paraId="1F358641">
      <w:pPr>
        <w:spacing w:line="257" w:lineRule="auto"/>
        <w:ind w:right="122"/>
        <w:rPr>
          <w:rFonts w:hint="eastAsia" w:ascii="微软雅黑" w:hAnsi="微软雅黑" w:eastAsia="微软雅黑" w:cs="Times New Roman"/>
          <w:szCs w:val="21"/>
        </w:rPr>
      </w:pPr>
      <w:bookmarkStart w:id="39" w:name="_Toc13248931"/>
      <w:bookmarkStart w:id="40" w:name="_Toc13249328"/>
      <w:r>
        <w:rPr>
          <w:rFonts w:hint="eastAsia" w:ascii="微软雅黑" w:hAnsi="微软雅黑" w:eastAsia="微软雅黑" w:cs="Times New Roman"/>
          <w:szCs w:val="21"/>
        </w:rPr>
        <w:t>1. 质保金要求：质保金比例为合同金额的3%。</w:t>
      </w:r>
    </w:p>
    <w:p w14:paraId="30E6E3B6">
      <w:pPr>
        <w:spacing w:line="257" w:lineRule="auto"/>
        <w:ind w:right="122"/>
        <w:rPr>
          <w:rFonts w:hint="eastAsia" w:ascii="微软雅黑" w:hAnsi="微软雅黑" w:eastAsia="微软雅黑" w:cs="Times New Roman"/>
          <w:szCs w:val="21"/>
        </w:rPr>
      </w:pPr>
      <w:r>
        <w:rPr>
          <w:rFonts w:hint="eastAsia" w:ascii="微软雅黑" w:hAnsi="微软雅黑" w:eastAsia="微软雅黑" w:cs="Times New Roman"/>
          <w:szCs w:val="21"/>
        </w:rPr>
        <w:t>2. 质保</w:t>
      </w:r>
    </w:p>
    <w:p w14:paraId="6E0B3580">
      <w:pPr>
        <w:spacing w:line="257" w:lineRule="auto"/>
        <w:ind w:right="122" w:firstLine="420" w:firstLineChars="200"/>
        <w:rPr>
          <w:rFonts w:hint="eastAsia" w:ascii="微软雅黑" w:hAnsi="微软雅黑" w:eastAsia="微软雅黑" w:cs="Times New Roman"/>
          <w:szCs w:val="21"/>
        </w:rPr>
      </w:pPr>
      <w:r>
        <w:rPr>
          <w:rFonts w:hint="eastAsia" w:ascii="微软雅黑" w:hAnsi="微软雅黑" w:eastAsia="微软雅黑" w:cs="Times New Roman"/>
          <w:szCs w:val="21"/>
        </w:rPr>
        <w:t>合同货物的质保期为自货物调试验收合格之日起12个月。</w:t>
      </w:r>
    </w:p>
    <w:p w14:paraId="7EB345F7">
      <w:pPr>
        <w:ind w:firstLine="420" w:firstLineChars="200"/>
        <w:rPr>
          <w:rFonts w:hint="eastAsia" w:ascii="微软雅黑" w:hAnsi="微软雅黑" w:eastAsia="微软雅黑" w:cs="Times New Roman"/>
          <w:szCs w:val="21"/>
          <w:lang w:val="en-GB"/>
        </w:rPr>
      </w:pPr>
      <w:r>
        <w:rPr>
          <w:rFonts w:hint="eastAsia" w:ascii="微软雅黑" w:hAnsi="微软雅黑" w:eastAsia="微软雅黑" w:cs="Times New Roman"/>
          <w:szCs w:val="21"/>
          <w:lang w:val="en-GB"/>
        </w:rPr>
        <w:t>质量保证期内，由于</w:t>
      </w:r>
      <w:r>
        <w:rPr>
          <w:rFonts w:hint="eastAsia" w:ascii="微软雅黑" w:hAnsi="微软雅黑" w:eastAsia="微软雅黑" w:cs="Times New Roman"/>
          <w:szCs w:val="21"/>
        </w:rPr>
        <w:t>投标方</w:t>
      </w:r>
      <w:r>
        <w:rPr>
          <w:rFonts w:hint="eastAsia" w:ascii="微软雅黑" w:hAnsi="微软雅黑" w:eastAsia="微软雅黑" w:cs="Times New Roman"/>
          <w:szCs w:val="21"/>
          <w:lang w:val="en-GB"/>
        </w:rPr>
        <w:t>性能或质量不达标致使设备不能正常运行给招标方造成损失的，由供应商负责免费维修并赔偿因此导致的损失。供应商从其它工厂采购的设备所发生的一切质量问题由供应商负责。</w:t>
      </w:r>
    </w:p>
    <w:p w14:paraId="764A187D">
      <w:pPr>
        <w:spacing w:line="257" w:lineRule="auto"/>
        <w:ind w:right="122" w:firstLine="420" w:firstLineChars="200"/>
        <w:rPr>
          <w:rFonts w:hint="eastAsia" w:ascii="微软雅黑" w:hAnsi="微软雅黑" w:eastAsia="微软雅黑" w:cs="Times New Roman"/>
          <w:szCs w:val="21"/>
        </w:rPr>
      </w:pPr>
      <w:r>
        <w:rPr>
          <w:rFonts w:hint="eastAsia" w:ascii="微软雅黑" w:hAnsi="微软雅黑" w:eastAsia="微软雅黑" w:cs="Times New Roman"/>
          <w:szCs w:val="21"/>
        </w:rPr>
        <w:t>若发现供应商货物不符合技术协议或相关国家、行业安全或性能标准要求（技术协议要求如与相关国家、行业安全和性能标准要求不一致时，按较高标准执行），可以要求供应商退货或整改，供应商必须无条件退货或按要求整改。</w:t>
      </w:r>
    </w:p>
    <w:p w14:paraId="3E73C078">
      <w:pPr>
        <w:spacing w:line="257" w:lineRule="auto"/>
        <w:ind w:right="122" w:firstLine="420" w:firstLineChars="200"/>
        <w:rPr>
          <w:rFonts w:hint="eastAsia" w:ascii="微软雅黑" w:hAnsi="微软雅黑" w:eastAsia="微软雅黑" w:cs="Times New Roman"/>
          <w:szCs w:val="21"/>
        </w:rPr>
      </w:pPr>
      <w:r>
        <w:rPr>
          <w:rFonts w:hint="eastAsia" w:ascii="微软雅黑" w:hAnsi="微软雅黑" w:eastAsia="微软雅黑" w:cs="Times New Roman"/>
          <w:szCs w:val="21"/>
        </w:rPr>
        <w:t>供应商需详细说明质量保证期内的服务计划及质量保证期后的服务计划。</w:t>
      </w:r>
    </w:p>
    <w:p w14:paraId="2D2CB9F3">
      <w:pPr>
        <w:spacing w:line="257" w:lineRule="auto"/>
        <w:ind w:right="122"/>
        <w:rPr>
          <w:rFonts w:hint="eastAsia" w:ascii="微软雅黑" w:hAnsi="微软雅黑" w:eastAsia="微软雅黑" w:cs="Times New Roman"/>
          <w:szCs w:val="21"/>
        </w:rPr>
      </w:pPr>
      <w:r>
        <w:rPr>
          <w:rFonts w:hint="eastAsia" w:ascii="微软雅黑" w:hAnsi="微软雅黑" w:eastAsia="微软雅黑" w:cs="Times New Roman"/>
          <w:szCs w:val="21"/>
        </w:rPr>
        <w:t>3. 考核、罚则、赔偿等特殊要求</w:t>
      </w:r>
    </w:p>
    <w:p w14:paraId="2271A162">
      <w:pPr>
        <w:spacing w:line="257" w:lineRule="auto"/>
        <w:ind w:right="122" w:firstLine="420" w:firstLineChars="200"/>
        <w:rPr>
          <w:rFonts w:hint="eastAsia" w:ascii="微软雅黑" w:hAnsi="微软雅黑" w:eastAsia="微软雅黑" w:cs="Times New Roman"/>
          <w:bCs/>
          <w:sz w:val="32"/>
          <w:szCs w:val="32"/>
        </w:rPr>
      </w:pPr>
      <w:r>
        <w:rPr>
          <w:rFonts w:hint="eastAsia" w:ascii="微软雅黑" w:hAnsi="微软雅黑" w:eastAsia="微软雅黑" w:cs="Times New Roman"/>
          <w:szCs w:val="21"/>
        </w:rPr>
        <w:t>若供应商提供的到场货物验收不合格，有权要求供应商无偿对货物进行修复或者更换，直至验收合格，并该过程中发生的所有费用（不限于货物修复、更换和其他损失等）由供应商承担。</w:t>
      </w:r>
    </w:p>
    <w:p w14:paraId="6A9B6783">
      <w:pPr>
        <w:autoSpaceDE w:val="0"/>
        <w:autoSpaceDN w:val="0"/>
        <w:adjustRightInd w:val="0"/>
        <w:spacing w:before="120" w:after="120"/>
        <w:outlineLvl w:val="0"/>
        <w:rPr>
          <w:rFonts w:hint="eastAsia" w:ascii="微软雅黑" w:hAnsi="微软雅黑" w:eastAsia="微软雅黑" w:cs="Times New Roman"/>
          <w:bCs/>
          <w:sz w:val="32"/>
          <w:szCs w:val="32"/>
        </w:rPr>
      </w:pPr>
      <w:r>
        <w:rPr>
          <w:rFonts w:hint="eastAsia" w:ascii="微软雅黑" w:hAnsi="微软雅黑" w:eastAsia="微软雅黑" w:cs="Times New Roman"/>
          <w:bCs/>
          <w:sz w:val="32"/>
          <w:szCs w:val="32"/>
        </w:rPr>
        <w:t>十二</w:t>
      </w:r>
      <w:r>
        <w:rPr>
          <w:rFonts w:ascii="微软雅黑" w:hAnsi="微软雅黑" w:eastAsia="微软雅黑" w:cs="Times New Roman"/>
          <w:bCs/>
          <w:sz w:val="32"/>
          <w:szCs w:val="32"/>
        </w:rPr>
        <w:t>、</w:t>
      </w:r>
      <w:r>
        <w:rPr>
          <w:rFonts w:hint="eastAsia" w:ascii="微软雅黑" w:hAnsi="微软雅黑" w:eastAsia="微软雅黑" w:cs="Times New Roman"/>
          <w:bCs/>
          <w:sz w:val="32"/>
          <w:szCs w:val="32"/>
        </w:rPr>
        <w:t>其他</w:t>
      </w:r>
      <w:r>
        <w:rPr>
          <w:rFonts w:ascii="微软雅黑" w:hAnsi="微软雅黑" w:eastAsia="微软雅黑" w:cs="Times New Roman"/>
          <w:bCs/>
          <w:sz w:val="32"/>
          <w:szCs w:val="32"/>
        </w:rPr>
        <w:t>要求</w:t>
      </w:r>
      <w:bookmarkEnd w:id="39"/>
      <w:bookmarkEnd w:id="40"/>
    </w:p>
    <w:p w14:paraId="4469C133">
      <w:pPr>
        <w:numPr>
          <w:ilvl w:val="1"/>
          <w:numId w:val="17"/>
        </w:numPr>
        <w:tabs>
          <w:tab w:val="left" w:pos="0"/>
        </w:tabs>
        <w:autoSpaceDE w:val="0"/>
        <w:autoSpaceDN w:val="0"/>
        <w:adjustRightInd w:val="0"/>
        <w:rPr>
          <w:rFonts w:hint="eastAsia" w:ascii="微软雅黑" w:hAnsi="微软雅黑" w:eastAsia="微软雅黑" w:cs="Times New Roman"/>
          <w:bCs/>
          <w:szCs w:val="21"/>
          <w:lang w:val="en-GB"/>
        </w:rPr>
      </w:pPr>
      <w:bookmarkStart w:id="41" w:name="_Hlk214486246"/>
      <w:r>
        <w:rPr>
          <w:rFonts w:hint="eastAsia" w:ascii="微软雅黑" w:hAnsi="微软雅黑" w:eastAsia="微软雅黑" w:cs="Times New Roman"/>
          <w:bCs/>
          <w:szCs w:val="21"/>
          <w:lang w:val="en-GB"/>
        </w:rPr>
        <w:t>技术联系人：唐明图 13649753870</w:t>
      </w:r>
    </w:p>
    <w:p w14:paraId="07CE40AF">
      <w:pPr>
        <w:numPr>
          <w:ilvl w:val="1"/>
          <w:numId w:val="17"/>
        </w:numPr>
        <w:tabs>
          <w:tab w:val="left" w:pos="0"/>
        </w:tabs>
        <w:autoSpaceDE w:val="0"/>
        <w:autoSpaceDN w:val="0"/>
        <w:adjustRightInd w:val="0"/>
        <w:outlineLvl w:val="1"/>
        <w:rPr>
          <w:rFonts w:hint="eastAsia" w:ascii="微软雅黑" w:hAnsi="微软雅黑" w:eastAsia="微软雅黑" w:cs="Times New Roman"/>
          <w:bCs/>
          <w:szCs w:val="21"/>
          <w:lang w:val="en-GB"/>
        </w:rPr>
      </w:pPr>
      <w:r>
        <w:rPr>
          <w:rFonts w:hint="eastAsia" w:ascii="微软雅黑" w:hAnsi="微软雅黑" w:eastAsia="微软雅黑" w:cs="Times New Roman"/>
          <w:bCs/>
          <w:szCs w:val="21"/>
          <w:lang w:val="en-GB"/>
        </w:rPr>
        <w:t>其他特殊要求：无。</w:t>
      </w:r>
    </w:p>
    <w:bookmarkEnd w:id="41"/>
    <w:p w14:paraId="1A4D469B">
      <w:pPr>
        <w:spacing w:line="257" w:lineRule="auto"/>
        <w:ind w:right="122"/>
        <w:rPr>
          <w:rFonts w:hint="eastAsia" w:ascii="微软雅黑" w:hAnsi="微软雅黑" w:eastAsia="微软雅黑" w:cs="Times New Roman"/>
          <w:szCs w:val="21"/>
        </w:rPr>
      </w:pPr>
    </w:p>
    <w:p w14:paraId="075DF9B1">
      <w:pPr>
        <w:autoSpaceDE w:val="0"/>
        <w:autoSpaceDN w:val="0"/>
        <w:adjustRightInd w:val="0"/>
        <w:spacing w:before="120" w:after="120" w:line="360" w:lineRule="auto"/>
        <w:outlineLvl w:val="0"/>
        <w:rPr>
          <w:rFonts w:ascii="宋体" w:hAnsi="Calibri" w:eastAsia="宋体" w:cs="宋体"/>
          <w:color w:val="000000"/>
          <w:szCs w:val="24"/>
        </w:rPr>
      </w:pPr>
    </w:p>
    <w:p w14:paraId="763767D4">
      <w:pPr>
        <w:rPr>
          <w:rFonts w:hint="eastAsia" w:ascii="等线" w:hAnsi="等线" w:eastAsia="等线"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汉仪中黑简">
    <w:altName w:val="黑体"/>
    <w:panose1 w:val="00000000000000000000"/>
    <w:charset w:val="86"/>
    <w:family w:val="swiss"/>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EDC105">
    <w:pPr>
      <w:pStyle w:val="2"/>
      <w:jc w:val="center"/>
      <w:rPr>
        <w:rFonts w:hint="eastAsia" w:ascii="宋体" w:hAnsi="宋体"/>
      </w:rPr>
    </w:pPr>
    <w:r>
      <w:rPr>
        <w:rFonts w:ascii="宋体" w:hAnsi="宋体"/>
      </w:rPr>
      <w:fldChar w:fldCharType="begin"/>
    </w:r>
    <w:r>
      <w:rPr>
        <w:rFonts w:ascii="宋体" w:hAnsi="宋体"/>
      </w:rPr>
      <w:instrText xml:space="preserve"> PAGE   \* MERGEFORMAT </w:instrText>
    </w:r>
    <w:r>
      <w:rPr>
        <w:rFonts w:ascii="宋体" w:hAnsi="宋体"/>
      </w:rPr>
      <w:fldChar w:fldCharType="separate"/>
    </w:r>
    <w:r>
      <w:rPr>
        <w:rFonts w:ascii="宋体" w:hAnsi="宋体"/>
        <w:lang w:val="zh-CN"/>
      </w:rPr>
      <w:t>1</w:t>
    </w:r>
    <w:r>
      <w:rPr>
        <w:rFonts w:ascii="宋体" w:hAnsi="宋体"/>
      </w:rPr>
      <w:fldChar w:fldCharType="end"/>
    </w:r>
  </w:p>
  <w:p w14:paraId="66CA8876">
    <w:pPr>
      <w:pStyle w:val="2"/>
      <w:rPr>
        <w:rFonts w:hint="eastAsia"/>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F47E6D"/>
    <w:multiLevelType w:val="singleLevel"/>
    <w:tmpl w:val="96F47E6D"/>
    <w:lvl w:ilvl="0" w:tentative="0">
      <w:start w:val="1"/>
      <w:numFmt w:val="decimal"/>
      <w:pStyle w:val="52"/>
      <w:suff w:val="nothing"/>
      <w:lvlText w:val="%1）"/>
      <w:lvlJc w:val="left"/>
      <w:pPr>
        <w:ind w:left="1260" w:firstLine="0"/>
      </w:pPr>
    </w:lvl>
  </w:abstractNum>
  <w:abstractNum w:abstractNumId="1">
    <w:nsid w:val="01792586"/>
    <w:multiLevelType w:val="singleLevel"/>
    <w:tmpl w:val="01792586"/>
    <w:lvl w:ilvl="0" w:tentative="0">
      <w:start w:val="1"/>
      <w:numFmt w:val="bullet"/>
      <w:lvlText w:val=""/>
      <w:lvlJc w:val="left"/>
      <w:pPr>
        <w:ind w:left="420" w:hanging="420"/>
      </w:pPr>
      <w:rPr>
        <w:rFonts w:hint="default" w:ascii="Wingdings" w:hAnsi="Wingdings"/>
      </w:rPr>
    </w:lvl>
  </w:abstractNum>
  <w:abstractNum w:abstractNumId="2">
    <w:nsid w:val="09171EE7"/>
    <w:multiLevelType w:val="singleLevel"/>
    <w:tmpl w:val="09171EE7"/>
    <w:lvl w:ilvl="0" w:tentative="0">
      <w:start w:val="1"/>
      <w:numFmt w:val="lowerLetter"/>
      <w:lvlText w:val="%1）"/>
      <w:lvlJc w:val="left"/>
      <w:pPr>
        <w:tabs>
          <w:tab w:val="left" w:pos="420"/>
        </w:tabs>
        <w:ind w:left="425" w:hanging="425"/>
      </w:pPr>
      <w:rPr>
        <w:rFonts w:hint="default"/>
      </w:rPr>
    </w:lvl>
  </w:abstractNum>
  <w:abstractNum w:abstractNumId="3">
    <w:nsid w:val="0B6542FA"/>
    <w:multiLevelType w:val="multilevel"/>
    <w:tmpl w:val="0B6542FA"/>
    <w:lvl w:ilvl="0" w:tentative="0">
      <w:start w:val="8"/>
      <w:numFmt w:val="japaneseCounting"/>
      <w:lvlText w:val="%1、"/>
      <w:lvlJc w:val="left"/>
      <w:pPr>
        <w:ind w:left="630" w:hanging="63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0E0C1AE"/>
    <w:multiLevelType w:val="singleLevel"/>
    <w:tmpl w:val="10E0C1AE"/>
    <w:lvl w:ilvl="0" w:tentative="0">
      <w:start w:val="2"/>
      <w:numFmt w:val="chineseCounting"/>
      <w:suff w:val="nothing"/>
      <w:lvlText w:val="%1、"/>
      <w:lvlJc w:val="left"/>
      <w:rPr>
        <w:rFonts w:hint="eastAsia"/>
      </w:rPr>
    </w:lvl>
  </w:abstractNum>
  <w:abstractNum w:abstractNumId="5">
    <w:nsid w:val="2075ADC0"/>
    <w:multiLevelType w:val="singleLevel"/>
    <w:tmpl w:val="2075ADC0"/>
    <w:lvl w:ilvl="0" w:tentative="0">
      <w:start w:val="1"/>
      <w:numFmt w:val="lowerLetter"/>
      <w:lvlText w:val="%1）"/>
      <w:lvlJc w:val="left"/>
      <w:pPr>
        <w:tabs>
          <w:tab w:val="left" w:pos="420"/>
        </w:tabs>
        <w:ind w:left="425" w:hanging="425"/>
      </w:pPr>
      <w:rPr>
        <w:rFonts w:hint="default"/>
      </w:rPr>
    </w:lvl>
  </w:abstractNum>
  <w:abstractNum w:abstractNumId="6">
    <w:nsid w:val="21515FF6"/>
    <w:multiLevelType w:val="multilevel"/>
    <w:tmpl w:val="21515FF6"/>
    <w:lvl w:ilvl="0" w:tentative="0">
      <w:start w:val="1"/>
      <w:numFmt w:val="decimal"/>
      <w:suff w:val="space"/>
      <w:lvlText w:val="%1 "/>
      <w:lvlJc w:val="left"/>
      <w:pPr>
        <w:ind w:left="0" w:firstLine="0"/>
      </w:pPr>
      <w:rPr>
        <w:rFonts w:hint="default" w:ascii="Times New Roman" w:hAnsi="Times New Roman" w:eastAsia="宋体"/>
        <w:b/>
        <w:i w:val="0"/>
        <w:sz w:val="32"/>
      </w:rPr>
    </w:lvl>
    <w:lvl w:ilvl="1" w:tentative="0">
      <w:start w:val="1"/>
      <w:numFmt w:val="decimal"/>
      <w:suff w:val="space"/>
      <w:lvlText w:val="%1.%2 "/>
      <w:lvlJc w:val="left"/>
      <w:pPr>
        <w:ind w:left="0" w:firstLine="170"/>
      </w:pPr>
      <w:rPr>
        <w:rFonts w:hint="default" w:ascii="Times New Roman" w:hAnsi="Times New Roman" w:eastAsia="宋体"/>
        <w:b/>
        <w:i w:val="0"/>
        <w:sz w:val="30"/>
      </w:rPr>
    </w:lvl>
    <w:lvl w:ilvl="2" w:tentative="0">
      <w:start w:val="1"/>
      <w:numFmt w:val="decimal"/>
      <w:suff w:val="space"/>
      <w:lvlText w:val="%1.%2.%3 "/>
      <w:lvlJc w:val="left"/>
      <w:pPr>
        <w:ind w:left="0" w:firstLine="340"/>
      </w:pPr>
      <w:rPr>
        <w:rFonts w:hint="default" w:ascii="Times New Roman" w:hAnsi="Times New Roman" w:eastAsia="宋体"/>
        <w:b w:val="0"/>
        <w:i w:val="0"/>
        <w:sz w:val="28"/>
      </w:rPr>
    </w:lvl>
    <w:lvl w:ilvl="3" w:tentative="0">
      <w:start w:val="1"/>
      <w:numFmt w:val="decimal"/>
      <w:suff w:val="space"/>
      <w:lvlText w:val="%1.%2.%3.%4"/>
      <w:lvlJc w:val="left"/>
      <w:pPr>
        <w:ind w:left="0" w:firstLine="510"/>
      </w:pPr>
      <w:rPr>
        <w:rFonts w:hint="default" w:ascii="Times New Roman" w:hAnsi="Times New Roman" w:eastAsia="宋体"/>
        <w:b w:val="0"/>
        <w:i w:val="0"/>
        <w:sz w:val="24"/>
      </w:rPr>
    </w:lvl>
    <w:lvl w:ilvl="4" w:tentative="0">
      <w:start w:val="1"/>
      <w:numFmt w:val="decimal"/>
      <w:suff w:val="space"/>
      <w:lvlText w:val="(%5)"/>
      <w:lvlJc w:val="left"/>
      <w:pPr>
        <w:ind w:left="0" w:firstLine="567"/>
      </w:pPr>
      <w:rPr>
        <w:rFonts w:hint="default" w:ascii="Times New Roman" w:hAnsi="Times New Roman" w:eastAsia="宋体"/>
        <w:b w:val="0"/>
        <w:i w:val="0"/>
        <w:sz w:val="28"/>
      </w:rPr>
    </w:lvl>
    <w:lvl w:ilvl="5" w:tentative="0">
      <w:start w:val="1"/>
      <w:numFmt w:val="decimal"/>
      <w:lvlRestart w:val="4"/>
      <w:pStyle w:val="85"/>
      <w:suff w:val="space"/>
      <w:lvlText w:val="%6)"/>
      <w:lvlJc w:val="left"/>
      <w:pPr>
        <w:ind w:left="284" w:firstLine="396"/>
      </w:pPr>
      <w:rPr>
        <w:rFonts w:hint="default" w:ascii="Times New Roman" w:hAnsi="Times New Roman" w:eastAsia="宋体"/>
        <w:b w:val="0"/>
        <w:i w:val="0"/>
        <w:sz w:val="28"/>
        <w:lang w:val="en-US"/>
      </w:rPr>
    </w:lvl>
    <w:lvl w:ilvl="6" w:tentative="0">
      <w:start w:val="1"/>
      <w:numFmt w:val="upperRoman"/>
      <w:suff w:val="space"/>
      <w:lvlText w:val="%7"/>
      <w:lvlJc w:val="left"/>
      <w:pPr>
        <w:ind w:left="0" w:firstLine="1021"/>
      </w:pPr>
      <w:rPr>
        <w:rFonts w:hint="default" w:ascii="Times New Roman" w:hAnsi="Times New Roman" w:eastAsia="宋体"/>
        <w:b w:val="0"/>
        <w:i w:val="0"/>
        <w:sz w:val="28"/>
      </w:rPr>
    </w:lvl>
    <w:lvl w:ilvl="7" w:tentative="0">
      <w:start w:val="1"/>
      <w:numFmt w:val="decimal"/>
      <w:lvlRestart w:val="2"/>
      <w:suff w:val="space"/>
      <w:lvlText w:val="图%1.%2-%8 "/>
      <w:lvlJc w:val="left"/>
      <w:pPr>
        <w:ind w:left="0" w:firstLine="0"/>
      </w:pPr>
      <w:rPr>
        <w:rFonts w:hint="eastAsia"/>
      </w:rPr>
    </w:lvl>
    <w:lvl w:ilvl="8" w:tentative="0">
      <w:start w:val="1"/>
      <w:numFmt w:val="decimal"/>
      <w:lvlRestart w:val="2"/>
      <w:suff w:val="space"/>
      <w:lvlText w:val="表%1.%2-%9 "/>
      <w:lvlJc w:val="left"/>
      <w:pPr>
        <w:ind w:left="0" w:firstLine="0"/>
      </w:pPr>
      <w:rPr>
        <w:rFonts w:hint="eastAsia"/>
      </w:rPr>
    </w:lvl>
  </w:abstractNum>
  <w:abstractNum w:abstractNumId="7">
    <w:nsid w:val="27506271"/>
    <w:multiLevelType w:val="multilevel"/>
    <w:tmpl w:val="27506271"/>
    <w:lvl w:ilvl="0" w:tentative="0">
      <w:start w:val="1"/>
      <w:numFmt w:val="japaneseCounting"/>
      <w:lvlText w:val="%1、"/>
      <w:lvlJc w:val="left"/>
      <w:pPr>
        <w:ind w:left="640" w:hanging="64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8">
    <w:nsid w:val="2CA91866"/>
    <w:multiLevelType w:val="multilevel"/>
    <w:tmpl w:val="2CA91866"/>
    <w:lvl w:ilvl="0" w:tentative="0">
      <w:start w:val="1"/>
      <w:numFmt w:val="chineseCounting"/>
      <w:suff w:val="nothing"/>
      <w:lvlText w:val="%1、"/>
      <w:lvlJc w:val="left"/>
      <w:pPr>
        <w:tabs>
          <w:tab w:val="left" w:pos="0"/>
        </w:tabs>
        <w:ind w:left="0" w:firstLine="0"/>
      </w:pPr>
      <w:rPr>
        <w:rFonts w:hint="eastAsia"/>
      </w:rPr>
    </w:lvl>
    <w:lvl w:ilvl="1" w:tentative="0">
      <w:start w:val="1"/>
      <w:numFmt w:val="decimal"/>
      <w:lvlText w:val="%2．"/>
      <w:lvlJc w:val="left"/>
      <w:pPr>
        <w:tabs>
          <w:tab w:val="left" w:pos="420"/>
        </w:tabs>
        <w:ind w:left="420" w:hanging="420"/>
      </w:pPr>
      <w:rPr>
        <w:rFonts w:hint="eastAsia"/>
      </w:rPr>
    </w:lvl>
    <w:lvl w:ilvl="2" w:tentative="0">
      <w:start w:val="1"/>
      <w:numFmt w:val="decimal"/>
      <w:lvlText w:val="(%3)"/>
      <w:lvlJc w:val="left"/>
      <w:pPr>
        <w:tabs>
          <w:tab w:val="left" w:pos="839"/>
        </w:tabs>
        <w:ind w:left="839" w:hanging="419"/>
      </w:pPr>
      <w:rPr>
        <w:rFonts w:hint="eastAsia" w:ascii="微软雅黑" w:hAnsi="微软雅黑" w:eastAsia="微软雅黑" w:cs="宋体"/>
        <w:sz w:val="21"/>
      </w:rPr>
    </w:lvl>
    <w:lvl w:ilvl="3" w:tentative="0">
      <w:start w:val="1"/>
      <w:numFmt w:val="decimal"/>
      <w:lvlText w:val="%4)"/>
      <w:lvlJc w:val="left"/>
      <w:pPr>
        <w:tabs>
          <w:tab w:val="left" w:pos="1259"/>
        </w:tabs>
        <w:ind w:left="1259" w:hanging="420"/>
      </w:pPr>
      <w:rPr>
        <w:rFonts w:hint="eastAsia" w:ascii="微软雅黑" w:hAnsi="微软雅黑" w:eastAsia="微软雅黑" w:cs="宋体"/>
        <w:sz w:val="21"/>
      </w:rPr>
    </w:lvl>
    <w:lvl w:ilvl="4" w:tentative="0">
      <w:start w:val="1"/>
      <w:numFmt w:val="decimal"/>
      <w:suff w:val="nothing"/>
      <w:lvlText w:val="%5）"/>
      <w:lvlJc w:val="left"/>
      <w:pPr>
        <w:ind w:left="0" w:firstLine="402"/>
      </w:pPr>
      <w:rPr>
        <w:rFonts w:hint="eastAsia"/>
      </w:rPr>
    </w:lvl>
    <w:lvl w:ilvl="5" w:tentative="0">
      <w:start w:val="1"/>
      <w:numFmt w:val="low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9">
    <w:nsid w:val="358B3FF8"/>
    <w:multiLevelType w:val="singleLevel"/>
    <w:tmpl w:val="358B3FF8"/>
    <w:lvl w:ilvl="0" w:tentative="0">
      <w:start w:val="1"/>
      <w:numFmt w:val="bullet"/>
      <w:suff w:val="space"/>
      <w:lvlText w:val=""/>
      <w:lvlJc w:val="left"/>
      <w:pPr>
        <w:ind w:left="420" w:hanging="420"/>
      </w:pPr>
      <w:rPr>
        <w:rFonts w:hint="default" w:ascii="Wingdings" w:hAnsi="Wingdings"/>
      </w:rPr>
    </w:lvl>
  </w:abstractNum>
  <w:abstractNum w:abstractNumId="10">
    <w:nsid w:val="39425B73"/>
    <w:multiLevelType w:val="multilevel"/>
    <w:tmpl w:val="39425B73"/>
    <w:lvl w:ilvl="0" w:tentative="0">
      <w:start w:val="1"/>
      <w:numFmt w:val="decimal"/>
      <w:lvlText w:val="%1)"/>
      <w:lvlJc w:val="left"/>
      <w:pPr>
        <w:ind w:left="440" w:hanging="440"/>
      </w:pPr>
    </w:lvl>
    <w:lvl w:ilvl="1" w:tentative="0">
      <w:start w:val="1"/>
      <w:numFmt w:val="decimal"/>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1">
    <w:nsid w:val="3DC022FC"/>
    <w:multiLevelType w:val="multilevel"/>
    <w:tmpl w:val="3DC022FC"/>
    <w:lvl w:ilvl="0" w:tentative="0">
      <w:start w:val="1"/>
      <w:numFmt w:val="decimal"/>
      <w:lvlText w:val="%1)"/>
      <w:lvlJc w:val="left"/>
      <w:pPr>
        <w:ind w:left="860" w:hanging="440"/>
      </w:p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12">
    <w:nsid w:val="3FC236F0"/>
    <w:multiLevelType w:val="multilevel"/>
    <w:tmpl w:val="3FC236F0"/>
    <w:lvl w:ilvl="0" w:tentative="0">
      <w:start w:val="1"/>
      <w:numFmt w:val="chineseCountingThousand"/>
      <w:pStyle w:val="87"/>
      <w:suff w:val="nothing"/>
      <w:lvlText w:val="%1、"/>
      <w:lvlJc w:val="left"/>
      <w:pPr>
        <w:ind w:left="0" w:firstLine="0"/>
      </w:pPr>
      <w:rPr>
        <w:rFonts w:hint="eastAsia"/>
      </w:rPr>
    </w:lvl>
    <w:lvl w:ilvl="1" w:tentative="0">
      <w:start w:val="1"/>
      <w:numFmt w:val="decimal"/>
      <w:pStyle w:val="86"/>
      <w:suff w:val="nothing"/>
      <w:lvlText w:val="%2、"/>
      <w:lvlJc w:val="left"/>
      <w:pPr>
        <w:ind w:left="0" w:firstLine="284"/>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3">
    <w:nsid w:val="4D30DEFC"/>
    <w:multiLevelType w:val="singleLevel"/>
    <w:tmpl w:val="4D30DEFC"/>
    <w:lvl w:ilvl="0" w:tentative="0">
      <w:start w:val="1"/>
      <w:numFmt w:val="decimal"/>
      <w:lvlText w:val="%1)"/>
      <w:lvlJc w:val="left"/>
      <w:pPr>
        <w:ind w:left="425" w:hanging="425"/>
      </w:pPr>
      <w:rPr>
        <w:rFonts w:hint="default"/>
      </w:rPr>
    </w:lvl>
  </w:abstractNum>
  <w:abstractNum w:abstractNumId="14">
    <w:nsid w:val="55195E09"/>
    <w:multiLevelType w:val="multilevel"/>
    <w:tmpl w:val="55195E09"/>
    <w:lvl w:ilvl="0" w:tentative="0">
      <w:start w:val="1"/>
      <w:numFmt w:val="decimal"/>
      <w:lvlText w:val="%1)"/>
      <w:lvlJc w:val="left"/>
      <w:pPr>
        <w:ind w:left="859" w:hanging="440"/>
      </w:pPr>
    </w:lvl>
    <w:lvl w:ilvl="1" w:tentative="0">
      <w:start w:val="1"/>
      <w:numFmt w:val="lowerLetter"/>
      <w:lvlText w:val="%2)"/>
      <w:lvlJc w:val="left"/>
      <w:pPr>
        <w:ind w:left="1299" w:hanging="440"/>
      </w:pPr>
    </w:lvl>
    <w:lvl w:ilvl="2" w:tentative="0">
      <w:start w:val="1"/>
      <w:numFmt w:val="lowerRoman"/>
      <w:lvlText w:val="%3."/>
      <w:lvlJc w:val="right"/>
      <w:pPr>
        <w:ind w:left="1739" w:hanging="440"/>
      </w:pPr>
    </w:lvl>
    <w:lvl w:ilvl="3" w:tentative="0">
      <w:start w:val="1"/>
      <w:numFmt w:val="decimal"/>
      <w:lvlText w:val="%4."/>
      <w:lvlJc w:val="left"/>
      <w:pPr>
        <w:ind w:left="2179" w:hanging="440"/>
      </w:pPr>
    </w:lvl>
    <w:lvl w:ilvl="4" w:tentative="0">
      <w:start w:val="1"/>
      <w:numFmt w:val="lowerLetter"/>
      <w:lvlText w:val="%5)"/>
      <w:lvlJc w:val="left"/>
      <w:pPr>
        <w:ind w:left="2619" w:hanging="440"/>
      </w:pPr>
    </w:lvl>
    <w:lvl w:ilvl="5" w:tentative="0">
      <w:start w:val="1"/>
      <w:numFmt w:val="lowerRoman"/>
      <w:lvlText w:val="%6."/>
      <w:lvlJc w:val="right"/>
      <w:pPr>
        <w:ind w:left="3059" w:hanging="440"/>
      </w:pPr>
    </w:lvl>
    <w:lvl w:ilvl="6" w:tentative="0">
      <w:start w:val="1"/>
      <w:numFmt w:val="decimal"/>
      <w:lvlText w:val="%7."/>
      <w:lvlJc w:val="left"/>
      <w:pPr>
        <w:ind w:left="3499" w:hanging="440"/>
      </w:pPr>
    </w:lvl>
    <w:lvl w:ilvl="7" w:tentative="0">
      <w:start w:val="1"/>
      <w:numFmt w:val="lowerLetter"/>
      <w:lvlText w:val="%8)"/>
      <w:lvlJc w:val="left"/>
      <w:pPr>
        <w:ind w:left="3939" w:hanging="440"/>
      </w:pPr>
    </w:lvl>
    <w:lvl w:ilvl="8" w:tentative="0">
      <w:start w:val="1"/>
      <w:numFmt w:val="lowerRoman"/>
      <w:lvlText w:val="%9."/>
      <w:lvlJc w:val="right"/>
      <w:pPr>
        <w:ind w:left="4379" w:hanging="440"/>
      </w:pPr>
    </w:lvl>
  </w:abstractNum>
  <w:abstractNum w:abstractNumId="15">
    <w:nsid w:val="65C16E1A"/>
    <w:multiLevelType w:val="multilevel"/>
    <w:tmpl w:val="65C16E1A"/>
    <w:lvl w:ilvl="0" w:tentative="0">
      <w:start w:val="1"/>
      <w:numFmt w:val="decimalEnclosedCircle"/>
      <w:lvlText w:val="%1"/>
      <w:lvlJc w:val="left"/>
      <w:pPr>
        <w:ind w:left="780" w:hanging="360"/>
      </w:pPr>
      <w:rPr>
        <w:rFonts w:hint="default"/>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16">
    <w:nsid w:val="6A21EAA6"/>
    <w:multiLevelType w:val="singleLevel"/>
    <w:tmpl w:val="6A21EAA6"/>
    <w:lvl w:ilvl="0" w:tentative="0">
      <w:start w:val="1"/>
      <w:numFmt w:val="bullet"/>
      <w:lvlText w:val=""/>
      <w:lvlJc w:val="left"/>
      <w:pPr>
        <w:ind w:left="420" w:hanging="420"/>
      </w:pPr>
      <w:rPr>
        <w:rFonts w:hint="default" w:ascii="Wingdings" w:hAnsi="Wingdings"/>
      </w:rPr>
    </w:lvl>
  </w:abstractNum>
  <w:num w:numId="1">
    <w:abstractNumId w:val="0"/>
  </w:num>
  <w:num w:numId="2">
    <w:abstractNumId w:val="6"/>
  </w:num>
  <w:num w:numId="3">
    <w:abstractNumId w:val="12"/>
  </w:num>
  <w:num w:numId="4">
    <w:abstractNumId w:val="7"/>
  </w:num>
  <w:num w:numId="5">
    <w:abstractNumId w:val="4"/>
  </w:num>
  <w:num w:numId="6">
    <w:abstractNumId w:val="16"/>
  </w:num>
  <w:num w:numId="7">
    <w:abstractNumId w:val="14"/>
  </w:num>
  <w:num w:numId="8">
    <w:abstractNumId w:val="1"/>
  </w:num>
  <w:num w:numId="9">
    <w:abstractNumId w:val="13"/>
  </w:num>
  <w:num w:numId="10">
    <w:abstractNumId w:val="2"/>
  </w:num>
  <w:num w:numId="11">
    <w:abstractNumId w:val="5"/>
  </w:num>
  <w:num w:numId="12">
    <w:abstractNumId w:val="10"/>
  </w:num>
  <w:num w:numId="13">
    <w:abstractNumId w:val="9"/>
  </w:num>
  <w:num w:numId="14">
    <w:abstractNumId w:val="3"/>
  </w:num>
  <w:num w:numId="15">
    <w:abstractNumId w:val="15"/>
  </w:num>
  <w:num w:numId="16">
    <w:abstractNumId w:val="11"/>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EyZDMxNWRkYmY5MjE3NjUxYTk3ZDA1NDUyNmVkYWEifQ=="/>
    <w:docVar w:name="KSO_WPS_MARK_KEY" w:val="626b000c-91d6-418c-ad3f-e8df6972405c"/>
  </w:docVars>
  <w:rsids>
    <w:rsidRoot w:val="00172A27"/>
    <w:rsid w:val="00172A27"/>
    <w:rsid w:val="002203D8"/>
    <w:rsid w:val="002E3C4A"/>
    <w:rsid w:val="004029A6"/>
    <w:rsid w:val="005B3316"/>
    <w:rsid w:val="005B5344"/>
    <w:rsid w:val="006E49D2"/>
    <w:rsid w:val="00782B8F"/>
    <w:rsid w:val="007A3406"/>
    <w:rsid w:val="009A2DFE"/>
    <w:rsid w:val="00A74A64"/>
    <w:rsid w:val="00AE20AB"/>
    <w:rsid w:val="00AF3EC7"/>
    <w:rsid w:val="00B9516D"/>
    <w:rsid w:val="00BA78E6"/>
    <w:rsid w:val="00BC74C1"/>
    <w:rsid w:val="00C0371C"/>
    <w:rsid w:val="00DF68A5"/>
    <w:rsid w:val="00E120B6"/>
    <w:rsid w:val="00E8674D"/>
    <w:rsid w:val="00ED277A"/>
    <w:rsid w:val="01590644"/>
    <w:rsid w:val="01BE0A00"/>
    <w:rsid w:val="01F96A5D"/>
    <w:rsid w:val="01FC167F"/>
    <w:rsid w:val="01FD58CF"/>
    <w:rsid w:val="0247798F"/>
    <w:rsid w:val="02777CE9"/>
    <w:rsid w:val="02990F13"/>
    <w:rsid w:val="031D5301"/>
    <w:rsid w:val="032F27C8"/>
    <w:rsid w:val="032F4BDD"/>
    <w:rsid w:val="03746ED0"/>
    <w:rsid w:val="039E03B2"/>
    <w:rsid w:val="040E687F"/>
    <w:rsid w:val="042250E6"/>
    <w:rsid w:val="04AD1FF9"/>
    <w:rsid w:val="0510286A"/>
    <w:rsid w:val="05464A4A"/>
    <w:rsid w:val="05526865"/>
    <w:rsid w:val="05555D0C"/>
    <w:rsid w:val="05695F04"/>
    <w:rsid w:val="05804B80"/>
    <w:rsid w:val="0582590F"/>
    <w:rsid w:val="05A02C7F"/>
    <w:rsid w:val="05A23598"/>
    <w:rsid w:val="05AC4EF2"/>
    <w:rsid w:val="0631733C"/>
    <w:rsid w:val="06362943"/>
    <w:rsid w:val="064E26E4"/>
    <w:rsid w:val="0764375A"/>
    <w:rsid w:val="07C60C4D"/>
    <w:rsid w:val="07D2100C"/>
    <w:rsid w:val="07E43F6E"/>
    <w:rsid w:val="082422EC"/>
    <w:rsid w:val="082F4AD6"/>
    <w:rsid w:val="08571291"/>
    <w:rsid w:val="08C07E24"/>
    <w:rsid w:val="08CB13AF"/>
    <w:rsid w:val="08CE57F6"/>
    <w:rsid w:val="090E06B6"/>
    <w:rsid w:val="091F19D7"/>
    <w:rsid w:val="092114B8"/>
    <w:rsid w:val="096613F7"/>
    <w:rsid w:val="0A19461A"/>
    <w:rsid w:val="0A1A102C"/>
    <w:rsid w:val="0A2B546F"/>
    <w:rsid w:val="0A3267B3"/>
    <w:rsid w:val="0B591760"/>
    <w:rsid w:val="0BC74C1C"/>
    <w:rsid w:val="0BCA28CE"/>
    <w:rsid w:val="0BD27F4F"/>
    <w:rsid w:val="0BD95ABD"/>
    <w:rsid w:val="0C310D05"/>
    <w:rsid w:val="0C323D10"/>
    <w:rsid w:val="0C3E43F1"/>
    <w:rsid w:val="0CCA7E39"/>
    <w:rsid w:val="0CE444BD"/>
    <w:rsid w:val="0D1168B6"/>
    <w:rsid w:val="0D8942C1"/>
    <w:rsid w:val="0DD237BC"/>
    <w:rsid w:val="0DD24882"/>
    <w:rsid w:val="0E3045C0"/>
    <w:rsid w:val="0E665A59"/>
    <w:rsid w:val="0E845DBA"/>
    <w:rsid w:val="0EB569CC"/>
    <w:rsid w:val="0F1262C1"/>
    <w:rsid w:val="0F444C5C"/>
    <w:rsid w:val="0F634E4C"/>
    <w:rsid w:val="0F6B03CA"/>
    <w:rsid w:val="104C2755"/>
    <w:rsid w:val="10653BD9"/>
    <w:rsid w:val="10ED3E88"/>
    <w:rsid w:val="11536FE1"/>
    <w:rsid w:val="115455FC"/>
    <w:rsid w:val="1187581C"/>
    <w:rsid w:val="11911E1D"/>
    <w:rsid w:val="119C72C9"/>
    <w:rsid w:val="11A453AD"/>
    <w:rsid w:val="11C36474"/>
    <w:rsid w:val="122214CC"/>
    <w:rsid w:val="122F263C"/>
    <w:rsid w:val="12437483"/>
    <w:rsid w:val="12712F64"/>
    <w:rsid w:val="128819B3"/>
    <w:rsid w:val="12BD714C"/>
    <w:rsid w:val="12D048DF"/>
    <w:rsid w:val="12DC06CC"/>
    <w:rsid w:val="12E73814"/>
    <w:rsid w:val="12F72209"/>
    <w:rsid w:val="13103353"/>
    <w:rsid w:val="13506D8E"/>
    <w:rsid w:val="135B79C6"/>
    <w:rsid w:val="13CD3A1D"/>
    <w:rsid w:val="14022D23"/>
    <w:rsid w:val="140668A9"/>
    <w:rsid w:val="141966BD"/>
    <w:rsid w:val="14304F85"/>
    <w:rsid w:val="14763F1F"/>
    <w:rsid w:val="14C4192D"/>
    <w:rsid w:val="14ED7F17"/>
    <w:rsid w:val="14F95270"/>
    <w:rsid w:val="155A7A15"/>
    <w:rsid w:val="15D94D11"/>
    <w:rsid w:val="15F427C2"/>
    <w:rsid w:val="161D026C"/>
    <w:rsid w:val="16795AE4"/>
    <w:rsid w:val="176C28B9"/>
    <w:rsid w:val="17797876"/>
    <w:rsid w:val="17B67874"/>
    <w:rsid w:val="17CB05F3"/>
    <w:rsid w:val="181B10F2"/>
    <w:rsid w:val="188E2652"/>
    <w:rsid w:val="18997E67"/>
    <w:rsid w:val="18FF67E4"/>
    <w:rsid w:val="1956151F"/>
    <w:rsid w:val="198F5502"/>
    <w:rsid w:val="199D4CC2"/>
    <w:rsid w:val="19F2719F"/>
    <w:rsid w:val="19F90C0A"/>
    <w:rsid w:val="1A2527EA"/>
    <w:rsid w:val="1A990F27"/>
    <w:rsid w:val="1AE37D0C"/>
    <w:rsid w:val="1B084769"/>
    <w:rsid w:val="1B3D2723"/>
    <w:rsid w:val="1B472BAA"/>
    <w:rsid w:val="1B4D21E9"/>
    <w:rsid w:val="1B4D3BD8"/>
    <w:rsid w:val="1B5703BF"/>
    <w:rsid w:val="1B921B23"/>
    <w:rsid w:val="1C186B24"/>
    <w:rsid w:val="1C2042F6"/>
    <w:rsid w:val="1C21158C"/>
    <w:rsid w:val="1C620D7A"/>
    <w:rsid w:val="1C7D00AF"/>
    <w:rsid w:val="1C9E11C0"/>
    <w:rsid w:val="1CA0746D"/>
    <w:rsid w:val="1CAD4DFB"/>
    <w:rsid w:val="1CB11B21"/>
    <w:rsid w:val="1CC37110"/>
    <w:rsid w:val="1CFC1185"/>
    <w:rsid w:val="1D367AD4"/>
    <w:rsid w:val="1D533395"/>
    <w:rsid w:val="1D646278"/>
    <w:rsid w:val="1DD92CD8"/>
    <w:rsid w:val="1E4C424B"/>
    <w:rsid w:val="1E6C23C4"/>
    <w:rsid w:val="1E90281C"/>
    <w:rsid w:val="1EC770D3"/>
    <w:rsid w:val="1EDC1BDC"/>
    <w:rsid w:val="1F0B237A"/>
    <w:rsid w:val="1F15397D"/>
    <w:rsid w:val="1F23368D"/>
    <w:rsid w:val="1F9B5B41"/>
    <w:rsid w:val="1FB157AE"/>
    <w:rsid w:val="20240259"/>
    <w:rsid w:val="20633C30"/>
    <w:rsid w:val="20CD54E6"/>
    <w:rsid w:val="20F1259A"/>
    <w:rsid w:val="21200A1F"/>
    <w:rsid w:val="21327CCE"/>
    <w:rsid w:val="2139298F"/>
    <w:rsid w:val="213C247B"/>
    <w:rsid w:val="215D0466"/>
    <w:rsid w:val="21800B85"/>
    <w:rsid w:val="219C66C5"/>
    <w:rsid w:val="21D451B5"/>
    <w:rsid w:val="221A66BC"/>
    <w:rsid w:val="2224247D"/>
    <w:rsid w:val="2247408B"/>
    <w:rsid w:val="22627B26"/>
    <w:rsid w:val="22B20BE0"/>
    <w:rsid w:val="22D02C93"/>
    <w:rsid w:val="22E713D0"/>
    <w:rsid w:val="230D245F"/>
    <w:rsid w:val="23190A27"/>
    <w:rsid w:val="2375726A"/>
    <w:rsid w:val="23E25D15"/>
    <w:rsid w:val="24103F52"/>
    <w:rsid w:val="24191E59"/>
    <w:rsid w:val="24672014"/>
    <w:rsid w:val="24BB782F"/>
    <w:rsid w:val="251726C0"/>
    <w:rsid w:val="253819CC"/>
    <w:rsid w:val="253A2E6E"/>
    <w:rsid w:val="26390E36"/>
    <w:rsid w:val="263E274C"/>
    <w:rsid w:val="265846CD"/>
    <w:rsid w:val="269D13F1"/>
    <w:rsid w:val="26D505AD"/>
    <w:rsid w:val="26D70189"/>
    <w:rsid w:val="272661A6"/>
    <w:rsid w:val="276E5BF7"/>
    <w:rsid w:val="27853AD9"/>
    <w:rsid w:val="27C2658B"/>
    <w:rsid w:val="27D6443D"/>
    <w:rsid w:val="28002D30"/>
    <w:rsid w:val="288E3ABD"/>
    <w:rsid w:val="28AA2846"/>
    <w:rsid w:val="28AA5255"/>
    <w:rsid w:val="28C4368D"/>
    <w:rsid w:val="28E51215"/>
    <w:rsid w:val="29181A5B"/>
    <w:rsid w:val="29206D97"/>
    <w:rsid w:val="296D0386"/>
    <w:rsid w:val="298823EF"/>
    <w:rsid w:val="29A63188"/>
    <w:rsid w:val="29CA2FB4"/>
    <w:rsid w:val="2A3510C4"/>
    <w:rsid w:val="2A3A29E2"/>
    <w:rsid w:val="2A3F4E5B"/>
    <w:rsid w:val="2A5B25FF"/>
    <w:rsid w:val="2A5E6086"/>
    <w:rsid w:val="2A9A338E"/>
    <w:rsid w:val="2AA0198F"/>
    <w:rsid w:val="2AA31D6D"/>
    <w:rsid w:val="2AA7019B"/>
    <w:rsid w:val="2AAF4C01"/>
    <w:rsid w:val="2ACC6AFD"/>
    <w:rsid w:val="2AEF2A80"/>
    <w:rsid w:val="2AF53154"/>
    <w:rsid w:val="2B201BC8"/>
    <w:rsid w:val="2B7B1535"/>
    <w:rsid w:val="2BA240E7"/>
    <w:rsid w:val="2BBB344E"/>
    <w:rsid w:val="2BC24A30"/>
    <w:rsid w:val="2BC43184"/>
    <w:rsid w:val="2BE802B7"/>
    <w:rsid w:val="2BF1676E"/>
    <w:rsid w:val="2C021C70"/>
    <w:rsid w:val="2C1C04F8"/>
    <w:rsid w:val="2C6820E3"/>
    <w:rsid w:val="2C6D0CF3"/>
    <w:rsid w:val="2CA66CB8"/>
    <w:rsid w:val="2CB600BF"/>
    <w:rsid w:val="2CD10A17"/>
    <w:rsid w:val="2CD44D39"/>
    <w:rsid w:val="2CE22EB0"/>
    <w:rsid w:val="2D7F054D"/>
    <w:rsid w:val="2DA04568"/>
    <w:rsid w:val="2DB35913"/>
    <w:rsid w:val="2DBC502E"/>
    <w:rsid w:val="2E357A8A"/>
    <w:rsid w:val="2E9B12B3"/>
    <w:rsid w:val="2EA33601"/>
    <w:rsid w:val="2EC96F73"/>
    <w:rsid w:val="2EE54BFF"/>
    <w:rsid w:val="2F1D26DB"/>
    <w:rsid w:val="2FC40004"/>
    <w:rsid w:val="2FDB060F"/>
    <w:rsid w:val="2FEC412C"/>
    <w:rsid w:val="2FFB6945"/>
    <w:rsid w:val="30045057"/>
    <w:rsid w:val="305F4D87"/>
    <w:rsid w:val="306627F7"/>
    <w:rsid w:val="30792A97"/>
    <w:rsid w:val="309C64CF"/>
    <w:rsid w:val="30CA4C74"/>
    <w:rsid w:val="31013C75"/>
    <w:rsid w:val="313666CD"/>
    <w:rsid w:val="318C6D9C"/>
    <w:rsid w:val="319D7376"/>
    <w:rsid w:val="32ED0D1D"/>
    <w:rsid w:val="32FB0722"/>
    <w:rsid w:val="334B2535"/>
    <w:rsid w:val="33990BDA"/>
    <w:rsid w:val="33A07A40"/>
    <w:rsid w:val="343E0E46"/>
    <w:rsid w:val="34B62B3E"/>
    <w:rsid w:val="34C449CC"/>
    <w:rsid w:val="35266539"/>
    <w:rsid w:val="358C3937"/>
    <w:rsid w:val="36026FCB"/>
    <w:rsid w:val="362A66C9"/>
    <w:rsid w:val="36331F78"/>
    <w:rsid w:val="366B5AAD"/>
    <w:rsid w:val="3696201C"/>
    <w:rsid w:val="36B26280"/>
    <w:rsid w:val="36FB7A6C"/>
    <w:rsid w:val="371F3F9D"/>
    <w:rsid w:val="37954DEB"/>
    <w:rsid w:val="37A86D73"/>
    <w:rsid w:val="381D3DAE"/>
    <w:rsid w:val="382E35A1"/>
    <w:rsid w:val="386A3121"/>
    <w:rsid w:val="388B3C27"/>
    <w:rsid w:val="38BC19A2"/>
    <w:rsid w:val="38FE452C"/>
    <w:rsid w:val="390F2CCA"/>
    <w:rsid w:val="39456083"/>
    <w:rsid w:val="39545A9D"/>
    <w:rsid w:val="396D5E04"/>
    <w:rsid w:val="39DA4378"/>
    <w:rsid w:val="3A010638"/>
    <w:rsid w:val="3A0B2023"/>
    <w:rsid w:val="3A914378"/>
    <w:rsid w:val="3AE10055"/>
    <w:rsid w:val="3AF215C1"/>
    <w:rsid w:val="3B0E64D5"/>
    <w:rsid w:val="3B1B55C8"/>
    <w:rsid w:val="3B7404A8"/>
    <w:rsid w:val="3BB60406"/>
    <w:rsid w:val="3C88273C"/>
    <w:rsid w:val="3C8F6D64"/>
    <w:rsid w:val="3CB13B21"/>
    <w:rsid w:val="3D0D1D6A"/>
    <w:rsid w:val="3D6D763F"/>
    <w:rsid w:val="3D73018F"/>
    <w:rsid w:val="3D7A2966"/>
    <w:rsid w:val="3E5F4E13"/>
    <w:rsid w:val="3E6C2464"/>
    <w:rsid w:val="3EE76508"/>
    <w:rsid w:val="3F5D51DD"/>
    <w:rsid w:val="3F641C60"/>
    <w:rsid w:val="3F931699"/>
    <w:rsid w:val="3FAD111B"/>
    <w:rsid w:val="40061A82"/>
    <w:rsid w:val="40380B9A"/>
    <w:rsid w:val="40393626"/>
    <w:rsid w:val="405D143B"/>
    <w:rsid w:val="406C7AD3"/>
    <w:rsid w:val="40A41AA4"/>
    <w:rsid w:val="40AA0465"/>
    <w:rsid w:val="40D26169"/>
    <w:rsid w:val="40FC0C2D"/>
    <w:rsid w:val="411A4DFB"/>
    <w:rsid w:val="41756AD3"/>
    <w:rsid w:val="428B4BBB"/>
    <w:rsid w:val="429B14B6"/>
    <w:rsid w:val="42BA5938"/>
    <w:rsid w:val="42FA5B06"/>
    <w:rsid w:val="433F136A"/>
    <w:rsid w:val="43913EB8"/>
    <w:rsid w:val="43B13522"/>
    <w:rsid w:val="442510D9"/>
    <w:rsid w:val="44C33AFB"/>
    <w:rsid w:val="4532178C"/>
    <w:rsid w:val="456033DF"/>
    <w:rsid w:val="45904B5D"/>
    <w:rsid w:val="45AF2857"/>
    <w:rsid w:val="46386069"/>
    <w:rsid w:val="46B14F20"/>
    <w:rsid w:val="47183FC1"/>
    <w:rsid w:val="480004B0"/>
    <w:rsid w:val="484D7885"/>
    <w:rsid w:val="487775AC"/>
    <w:rsid w:val="48812F16"/>
    <w:rsid w:val="48823F01"/>
    <w:rsid w:val="48F873C3"/>
    <w:rsid w:val="49201970"/>
    <w:rsid w:val="49310464"/>
    <w:rsid w:val="49C05F20"/>
    <w:rsid w:val="4A1E2D41"/>
    <w:rsid w:val="4A331FCD"/>
    <w:rsid w:val="4A7E07F1"/>
    <w:rsid w:val="4A9D3779"/>
    <w:rsid w:val="4ABB7BFC"/>
    <w:rsid w:val="4B2C6678"/>
    <w:rsid w:val="4B921785"/>
    <w:rsid w:val="4BA06C91"/>
    <w:rsid w:val="4BDB2C74"/>
    <w:rsid w:val="4C067957"/>
    <w:rsid w:val="4C28087F"/>
    <w:rsid w:val="4CC4537B"/>
    <w:rsid w:val="4CFB40DB"/>
    <w:rsid w:val="4D6E633C"/>
    <w:rsid w:val="4D9D315A"/>
    <w:rsid w:val="4DB44265"/>
    <w:rsid w:val="4DCC7F3C"/>
    <w:rsid w:val="4DFC22CC"/>
    <w:rsid w:val="4E2349B9"/>
    <w:rsid w:val="4E314357"/>
    <w:rsid w:val="4E9F4124"/>
    <w:rsid w:val="4EE6167D"/>
    <w:rsid w:val="4F0D7FC7"/>
    <w:rsid w:val="4F8B506E"/>
    <w:rsid w:val="4FDC4A30"/>
    <w:rsid w:val="4FF32DD2"/>
    <w:rsid w:val="503651B1"/>
    <w:rsid w:val="50477F86"/>
    <w:rsid w:val="51523EF4"/>
    <w:rsid w:val="51844B18"/>
    <w:rsid w:val="51894111"/>
    <w:rsid w:val="519138A0"/>
    <w:rsid w:val="51CF4BAD"/>
    <w:rsid w:val="51FF1E56"/>
    <w:rsid w:val="52090D6A"/>
    <w:rsid w:val="522378D0"/>
    <w:rsid w:val="528A75FC"/>
    <w:rsid w:val="53277E8E"/>
    <w:rsid w:val="53325680"/>
    <w:rsid w:val="5356565E"/>
    <w:rsid w:val="53B434DF"/>
    <w:rsid w:val="53EB0AFA"/>
    <w:rsid w:val="54370568"/>
    <w:rsid w:val="54595953"/>
    <w:rsid w:val="54641104"/>
    <w:rsid w:val="546A36E5"/>
    <w:rsid w:val="5510379B"/>
    <w:rsid w:val="5543698A"/>
    <w:rsid w:val="554E20B0"/>
    <w:rsid w:val="55787BFB"/>
    <w:rsid w:val="55E37967"/>
    <w:rsid w:val="5607361B"/>
    <w:rsid w:val="5681344D"/>
    <w:rsid w:val="56BB1D59"/>
    <w:rsid w:val="56F5557E"/>
    <w:rsid w:val="57171972"/>
    <w:rsid w:val="57694DDC"/>
    <w:rsid w:val="57756BEE"/>
    <w:rsid w:val="578A0125"/>
    <w:rsid w:val="578E448A"/>
    <w:rsid w:val="57BA117B"/>
    <w:rsid w:val="57F66D28"/>
    <w:rsid w:val="581A249A"/>
    <w:rsid w:val="584B73B8"/>
    <w:rsid w:val="586603FD"/>
    <w:rsid w:val="58690E3A"/>
    <w:rsid w:val="586C49A2"/>
    <w:rsid w:val="58935D25"/>
    <w:rsid w:val="58AB1420"/>
    <w:rsid w:val="58BF61AD"/>
    <w:rsid w:val="590454E8"/>
    <w:rsid w:val="590644F1"/>
    <w:rsid w:val="593B41F0"/>
    <w:rsid w:val="59754F6E"/>
    <w:rsid w:val="597A60BC"/>
    <w:rsid w:val="59D20B07"/>
    <w:rsid w:val="59D525E5"/>
    <w:rsid w:val="59EF3319"/>
    <w:rsid w:val="5A1A68F7"/>
    <w:rsid w:val="5A3E691C"/>
    <w:rsid w:val="5A454DCA"/>
    <w:rsid w:val="5A942A23"/>
    <w:rsid w:val="5A9E141F"/>
    <w:rsid w:val="5AF97267"/>
    <w:rsid w:val="5B040CCF"/>
    <w:rsid w:val="5B386B34"/>
    <w:rsid w:val="5B4560D2"/>
    <w:rsid w:val="5BB5269E"/>
    <w:rsid w:val="5BC52951"/>
    <w:rsid w:val="5C1F013A"/>
    <w:rsid w:val="5C835F64"/>
    <w:rsid w:val="5C863E44"/>
    <w:rsid w:val="5CB0721C"/>
    <w:rsid w:val="5CB163A0"/>
    <w:rsid w:val="5CED7874"/>
    <w:rsid w:val="5D693741"/>
    <w:rsid w:val="5DB37248"/>
    <w:rsid w:val="5E4E3611"/>
    <w:rsid w:val="5E6B1047"/>
    <w:rsid w:val="5E700472"/>
    <w:rsid w:val="5E7B6C91"/>
    <w:rsid w:val="5E9541AB"/>
    <w:rsid w:val="5EB47F13"/>
    <w:rsid w:val="5EE31B38"/>
    <w:rsid w:val="5EE73DC1"/>
    <w:rsid w:val="5F2E777B"/>
    <w:rsid w:val="5F42525F"/>
    <w:rsid w:val="5F8B483D"/>
    <w:rsid w:val="5FBAF611"/>
    <w:rsid w:val="5FC12651"/>
    <w:rsid w:val="5FE27904"/>
    <w:rsid w:val="5FF13292"/>
    <w:rsid w:val="600E19F6"/>
    <w:rsid w:val="603305BF"/>
    <w:rsid w:val="608A6ADA"/>
    <w:rsid w:val="60C458D1"/>
    <w:rsid w:val="60E872AD"/>
    <w:rsid w:val="6111333C"/>
    <w:rsid w:val="6198099F"/>
    <w:rsid w:val="61D80623"/>
    <w:rsid w:val="621F4FCF"/>
    <w:rsid w:val="623E6D6A"/>
    <w:rsid w:val="62457930"/>
    <w:rsid w:val="624C1ED5"/>
    <w:rsid w:val="62A6790D"/>
    <w:rsid w:val="63602833"/>
    <w:rsid w:val="636FA373"/>
    <w:rsid w:val="63E632D3"/>
    <w:rsid w:val="641C68CD"/>
    <w:rsid w:val="64A4332E"/>
    <w:rsid w:val="64CF6907"/>
    <w:rsid w:val="64E314B4"/>
    <w:rsid w:val="6544632F"/>
    <w:rsid w:val="662A0BAB"/>
    <w:rsid w:val="6645502F"/>
    <w:rsid w:val="668A626C"/>
    <w:rsid w:val="66BA5C6A"/>
    <w:rsid w:val="66EE43AA"/>
    <w:rsid w:val="673952E9"/>
    <w:rsid w:val="67456726"/>
    <w:rsid w:val="674C1FB7"/>
    <w:rsid w:val="67D411DD"/>
    <w:rsid w:val="67E46B88"/>
    <w:rsid w:val="68FC644B"/>
    <w:rsid w:val="690F65FC"/>
    <w:rsid w:val="69323326"/>
    <w:rsid w:val="69734B37"/>
    <w:rsid w:val="69916EAC"/>
    <w:rsid w:val="69FF3460"/>
    <w:rsid w:val="6A116713"/>
    <w:rsid w:val="6A2D34E9"/>
    <w:rsid w:val="6A4E2493"/>
    <w:rsid w:val="6A691D13"/>
    <w:rsid w:val="6A803748"/>
    <w:rsid w:val="6A835456"/>
    <w:rsid w:val="6A8D1BF0"/>
    <w:rsid w:val="6A9F48FD"/>
    <w:rsid w:val="6AB85E9E"/>
    <w:rsid w:val="6B776B5F"/>
    <w:rsid w:val="6BE70117"/>
    <w:rsid w:val="6C01543E"/>
    <w:rsid w:val="6C0E2C44"/>
    <w:rsid w:val="6C5E76C9"/>
    <w:rsid w:val="6C6B632E"/>
    <w:rsid w:val="6CDB76EC"/>
    <w:rsid w:val="6D033967"/>
    <w:rsid w:val="6D417704"/>
    <w:rsid w:val="6D751183"/>
    <w:rsid w:val="6DAF6C5B"/>
    <w:rsid w:val="6DE8785D"/>
    <w:rsid w:val="6E2935DE"/>
    <w:rsid w:val="6E620C7E"/>
    <w:rsid w:val="6E8A6D42"/>
    <w:rsid w:val="6F135576"/>
    <w:rsid w:val="6F3A5653"/>
    <w:rsid w:val="6F722BE7"/>
    <w:rsid w:val="6FC412DB"/>
    <w:rsid w:val="700860D1"/>
    <w:rsid w:val="7013255F"/>
    <w:rsid w:val="70616C6C"/>
    <w:rsid w:val="70710D94"/>
    <w:rsid w:val="70A36810"/>
    <w:rsid w:val="70BC1904"/>
    <w:rsid w:val="70D8212E"/>
    <w:rsid w:val="70EA50C5"/>
    <w:rsid w:val="70FF25FB"/>
    <w:rsid w:val="71582CB1"/>
    <w:rsid w:val="71D310CC"/>
    <w:rsid w:val="724C7A91"/>
    <w:rsid w:val="728359ED"/>
    <w:rsid w:val="72D57FDE"/>
    <w:rsid w:val="72F87DFF"/>
    <w:rsid w:val="72F93C2B"/>
    <w:rsid w:val="73054CC1"/>
    <w:rsid w:val="73355CF9"/>
    <w:rsid w:val="735529E3"/>
    <w:rsid w:val="73820F20"/>
    <w:rsid w:val="73A431FC"/>
    <w:rsid w:val="73E56A5C"/>
    <w:rsid w:val="74434753"/>
    <w:rsid w:val="744359CE"/>
    <w:rsid w:val="74B3733F"/>
    <w:rsid w:val="74CD172F"/>
    <w:rsid w:val="74DC6FD1"/>
    <w:rsid w:val="74FE7739"/>
    <w:rsid w:val="752023CB"/>
    <w:rsid w:val="758B155C"/>
    <w:rsid w:val="759B75F6"/>
    <w:rsid w:val="75C47B27"/>
    <w:rsid w:val="75CB1FD1"/>
    <w:rsid w:val="75D44E5F"/>
    <w:rsid w:val="75F2660E"/>
    <w:rsid w:val="76B76E79"/>
    <w:rsid w:val="76C279CC"/>
    <w:rsid w:val="76CE135F"/>
    <w:rsid w:val="771755DA"/>
    <w:rsid w:val="771F6FFD"/>
    <w:rsid w:val="773F40B1"/>
    <w:rsid w:val="77B72A76"/>
    <w:rsid w:val="77BF4251"/>
    <w:rsid w:val="78175013"/>
    <w:rsid w:val="78520417"/>
    <w:rsid w:val="78FA0730"/>
    <w:rsid w:val="790A686A"/>
    <w:rsid w:val="790F5CC2"/>
    <w:rsid w:val="791F05A9"/>
    <w:rsid w:val="791F49FB"/>
    <w:rsid w:val="7952348A"/>
    <w:rsid w:val="79FE61B3"/>
    <w:rsid w:val="7A5B4C39"/>
    <w:rsid w:val="7A92014C"/>
    <w:rsid w:val="7ACCBB7D"/>
    <w:rsid w:val="7AEB7969"/>
    <w:rsid w:val="7AFA6C7E"/>
    <w:rsid w:val="7B1A0118"/>
    <w:rsid w:val="7B9D02A6"/>
    <w:rsid w:val="7BE505D2"/>
    <w:rsid w:val="7C086208"/>
    <w:rsid w:val="7C36640B"/>
    <w:rsid w:val="7C526ABA"/>
    <w:rsid w:val="7C6F5444"/>
    <w:rsid w:val="7C7D0588"/>
    <w:rsid w:val="7C8E7766"/>
    <w:rsid w:val="7CD4481A"/>
    <w:rsid w:val="7CDA0B8E"/>
    <w:rsid w:val="7CF6115B"/>
    <w:rsid w:val="7D3C4DCA"/>
    <w:rsid w:val="7D644506"/>
    <w:rsid w:val="7D907744"/>
    <w:rsid w:val="7DEC4C8A"/>
    <w:rsid w:val="7E556893"/>
    <w:rsid w:val="7E5A7425"/>
    <w:rsid w:val="7E641D50"/>
    <w:rsid w:val="7E687CC8"/>
    <w:rsid w:val="7E6F0E77"/>
    <w:rsid w:val="7E700211"/>
    <w:rsid w:val="7E9D7B39"/>
    <w:rsid w:val="7EB947DA"/>
    <w:rsid w:val="7ED865E4"/>
    <w:rsid w:val="7EEF0115"/>
    <w:rsid w:val="7EFA7108"/>
    <w:rsid w:val="7F1F6C83"/>
    <w:rsid w:val="7F2A25AD"/>
    <w:rsid w:val="7F6977E5"/>
    <w:rsid w:val="7FD26D3E"/>
    <w:rsid w:val="7FE75876"/>
    <w:rsid w:val="7FECF48D"/>
    <w:rsid w:val="BEFF01FC"/>
    <w:rsid w:val="DEFB0FFD"/>
    <w:rsid w:val="FBB2FF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39" w:semiHidden="0" w:name="toc 2"/>
    <w:lsdException w:qFormat="1" w:unhideWhenUsed="0" w:uiPriority="39" w:semiHidden="0" w:name="toc 3"/>
    <w:lsdException w:uiPriority="39" w:name="toc 4"/>
    <w:lsdException w:uiPriority="39" w:name="toc 5"/>
    <w:lsdException w:qFormat="1" w:unhideWhenUsed="0" w:uiPriority="9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semiHidden="0" w:name="Default Paragraph Font"/>
    <w:lsdException w:qFormat="1" w:unhideWhenUsed="0" w:uiPriority="1"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name="Body Text First Indent 2"/>
    <w:lsdException w:uiPriority="99" w:name="Note Heading"/>
    <w:lsdException w:qFormat="1" w:unhideWhenUsed="0" w:uiPriority="0" w:semiHidden="0" w:name="Body Text 2"/>
    <w:lsdException w:uiPriority="99" w:name="Body Text 3"/>
    <w:lsdException w:qFormat="1" w:unhideWhenUsed="0" w:uiPriority="99" w:semiHidden="0" w:name="Body Text Indent 2"/>
    <w:lsdException w:qFormat="1" w:unhideWhenUsed="0" w:uiPriority="99" w:semiHidden="0" w:name="Body Text Indent 3"/>
    <w:lsdException w:qFormat="1" w:unhideWhenUsed="0" w:uiPriority="0" w:semiHidden="0"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rFonts w:ascii="Calibri" w:hAnsi="Calibri" w:eastAsia="宋体" w:cs="Times New Roman"/>
      <w:b/>
      <w:bCs/>
      <w:kern w:val="44"/>
      <w:sz w:val="44"/>
      <w:szCs w:val="44"/>
    </w:rPr>
  </w:style>
  <w:style w:type="paragraph" w:styleId="4">
    <w:name w:val="heading 2"/>
    <w:basedOn w:val="1"/>
    <w:next w:val="1"/>
    <w:qFormat/>
    <w:uiPriority w:val="1"/>
    <w:pPr>
      <w:spacing w:line="479" w:lineRule="exact"/>
      <w:jc w:val="left"/>
      <w:outlineLvl w:val="1"/>
    </w:pPr>
    <w:rPr>
      <w:rFonts w:ascii="Microsoft YaHei UI" w:hAnsi="Microsoft YaHei UI" w:eastAsia="Microsoft YaHei UI"/>
      <w:spacing w:val="2"/>
      <w:kern w:val="0"/>
      <w:sz w:val="32"/>
      <w:szCs w:val="32"/>
    </w:rPr>
  </w:style>
  <w:style w:type="paragraph" w:styleId="5">
    <w:name w:val="heading 3"/>
    <w:basedOn w:val="1"/>
    <w:next w:val="1"/>
    <w:qFormat/>
    <w:uiPriority w:val="9"/>
    <w:pPr>
      <w:keepNext/>
      <w:keepLines/>
      <w:spacing w:before="200" w:after="200" w:line="360" w:lineRule="auto"/>
      <w:outlineLvl w:val="2"/>
    </w:pPr>
    <w:rPr>
      <w:rFonts w:ascii="Calibri" w:eastAsia="宋体" w:cs="Times New Roman" w:hAnsiTheme="majorHAnsi"/>
      <w:b/>
      <w:color w:val="000000"/>
      <w:szCs w:val="20"/>
    </w:rPr>
  </w:style>
  <w:style w:type="paragraph" w:styleId="6">
    <w:name w:val="heading 4"/>
    <w:basedOn w:val="1"/>
    <w:next w:val="1"/>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32">
    <w:name w:val="Default Paragraph Font"/>
    <w:unhideWhenUsed/>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55"/>
    <w:unhideWhenUsed/>
    <w:qFormat/>
    <w:uiPriority w:val="99"/>
    <w:pPr>
      <w:tabs>
        <w:tab w:val="center" w:pos="4153"/>
        <w:tab w:val="right" w:pos="8306"/>
      </w:tabs>
      <w:snapToGrid w:val="0"/>
      <w:jc w:val="left"/>
    </w:pPr>
    <w:rPr>
      <w:sz w:val="18"/>
      <w:szCs w:val="18"/>
    </w:rPr>
  </w:style>
  <w:style w:type="paragraph" w:styleId="7">
    <w:name w:val="Normal Indent"/>
    <w:basedOn w:val="1"/>
    <w:next w:val="1"/>
    <w:unhideWhenUsed/>
    <w:qFormat/>
    <w:uiPriority w:val="0"/>
    <w:pPr>
      <w:ind w:firstLine="420" w:firstLineChars="200"/>
    </w:pPr>
  </w:style>
  <w:style w:type="paragraph" w:styleId="8">
    <w:name w:val="annotation text"/>
    <w:basedOn w:val="1"/>
    <w:link w:val="99"/>
    <w:unhideWhenUsed/>
    <w:qFormat/>
    <w:uiPriority w:val="0"/>
  </w:style>
  <w:style w:type="paragraph" w:styleId="9">
    <w:name w:val="Body Text"/>
    <w:basedOn w:val="1"/>
    <w:next w:val="1"/>
    <w:qFormat/>
    <w:uiPriority w:val="1"/>
    <w:pPr>
      <w:widowControl/>
      <w:overflowPunct w:val="0"/>
      <w:autoSpaceDE w:val="0"/>
      <w:autoSpaceDN w:val="0"/>
      <w:adjustRightInd w:val="0"/>
      <w:jc w:val="left"/>
      <w:textAlignment w:val="baseline"/>
    </w:pPr>
    <w:rPr>
      <w:rFonts w:ascii="楷体" w:eastAsia="楷体"/>
      <w:i/>
      <w:iCs/>
      <w:kern w:val="0"/>
      <w:sz w:val="20"/>
      <w:szCs w:val="20"/>
    </w:rPr>
  </w:style>
  <w:style w:type="paragraph" w:styleId="10">
    <w:name w:val="Body Text Indent"/>
    <w:basedOn w:val="1"/>
    <w:next w:val="11"/>
    <w:unhideWhenUsed/>
    <w:qFormat/>
    <w:uiPriority w:val="0"/>
    <w:pPr>
      <w:spacing w:after="120"/>
      <w:ind w:left="420" w:leftChars="200"/>
    </w:pPr>
  </w:style>
  <w:style w:type="paragraph" w:styleId="11">
    <w:name w:val="envelope return"/>
    <w:basedOn w:val="1"/>
    <w:qFormat/>
    <w:uiPriority w:val="0"/>
    <w:pPr>
      <w:snapToGrid w:val="0"/>
    </w:pPr>
    <w:rPr>
      <w:rFonts w:ascii="Arial" w:hAnsi="Arial" w:eastAsia="等线" w:cs="等线"/>
    </w:rPr>
  </w:style>
  <w:style w:type="paragraph" w:styleId="12">
    <w:name w:val="List 2"/>
    <w:basedOn w:val="1"/>
    <w:unhideWhenUsed/>
    <w:qFormat/>
    <w:uiPriority w:val="99"/>
    <w:pPr>
      <w:ind w:left="100" w:leftChars="200" w:hanging="200" w:hangingChars="200"/>
      <w:contextualSpacing/>
    </w:pPr>
  </w:style>
  <w:style w:type="paragraph" w:styleId="13">
    <w:name w:val="Block Text"/>
    <w:basedOn w:val="1"/>
    <w:qFormat/>
    <w:uiPriority w:val="0"/>
    <w:pPr>
      <w:ind w:left="855" w:leftChars="407" w:right="-514" w:rightChars="-245" w:firstLine="300" w:firstLineChars="100"/>
    </w:pPr>
    <w:rPr>
      <w:sz w:val="30"/>
    </w:rPr>
  </w:style>
  <w:style w:type="paragraph" w:styleId="14">
    <w:name w:val="toc 3"/>
    <w:basedOn w:val="1"/>
    <w:next w:val="1"/>
    <w:qFormat/>
    <w:uiPriority w:val="39"/>
    <w:pPr>
      <w:widowControl/>
      <w:spacing w:after="100" w:line="259" w:lineRule="auto"/>
      <w:outlineLvl w:val="0"/>
    </w:pPr>
    <w:rPr>
      <w:rFonts w:ascii="微软雅黑" w:hAnsi="微软雅黑" w:eastAsia="微软雅黑" w:cs="微软雅黑"/>
      <w:sz w:val="32"/>
      <w:szCs w:val="32"/>
    </w:rPr>
  </w:style>
  <w:style w:type="paragraph" w:styleId="15">
    <w:name w:val="Plain Text"/>
    <w:basedOn w:val="1"/>
    <w:qFormat/>
    <w:uiPriority w:val="0"/>
    <w:rPr>
      <w:rFonts w:ascii="宋体" w:hAnsi="Courier New"/>
      <w:szCs w:val="20"/>
    </w:rPr>
  </w:style>
  <w:style w:type="paragraph" w:styleId="16">
    <w:name w:val="Body Text Indent 2"/>
    <w:basedOn w:val="1"/>
    <w:qFormat/>
    <w:uiPriority w:val="99"/>
    <w:pPr>
      <w:spacing w:line="420" w:lineRule="atLeast"/>
      <w:ind w:firstLine="480" w:firstLineChars="200"/>
      <w:jc w:val="left"/>
    </w:pPr>
    <w:rPr>
      <w:color w:val="FF0000"/>
      <w:sz w:val="24"/>
    </w:rPr>
  </w:style>
  <w:style w:type="paragraph" w:styleId="17">
    <w:name w:val="Balloon Text"/>
    <w:basedOn w:val="1"/>
    <w:unhideWhenUsed/>
    <w:qFormat/>
    <w:uiPriority w:val="0"/>
    <w:rPr>
      <w:sz w:val="18"/>
      <w:szCs w:val="18"/>
    </w:rPr>
  </w:style>
  <w:style w:type="paragraph" w:styleId="18">
    <w:name w:val="header"/>
    <w:basedOn w:val="1"/>
    <w:link w:val="54"/>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List"/>
    <w:basedOn w:val="1"/>
    <w:qFormat/>
    <w:uiPriority w:val="0"/>
    <w:pPr>
      <w:ind w:left="200" w:hanging="200" w:hangingChars="200"/>
    </w:pPr>
  </w:style>
  <w:style w:type="paragraph" w:styleId="20">
    <w:name w:val="toc 6"/>
    <w:basedOn w:val="1"/>
    <w:next w:val="1"/>
    <w:semiHidden/>
    <w:qFormat/>
    <w:uiPriority w:val="99"/>
    <w:pPr>
      <w:ind w:left="1200"/>
    </w:pPr>
    <w:rPr>
      <w:rFonts w:ascii="Calibri" w:hAnsi="Calibri"/>
      <w:sz w:val="18"/>
      <w:szCs w:val="18"/>
    </w:rPr>
  </w:style>
  <w:style w:type="paragraph" w:styleId="21">
    <w:name w:val="Body Text Indent 3"/>
    <w:basedOn w:val="1"/>
    <w:qFormat/>
    <w:uiPriority w:val="99"/>
    <w:pPr>
      <w:spacing w:after="120"/>
      <w:ind w:left="420" w:leftChars="200"/>
    </w:pPr>
    <w:rPr>
      <w:sz w:val="16"/>
      <w:szCs w:val="16"/>
    </w:rPr>
  </w:style>
  <w:style w:type="paragraph" w:styleId="22">
    <w:name w:val="table of figures"/>
    <w:basedOn w:val="1"/>
    <w:next w:val="1"/>
    <w:qFormat/>
    <w:uiPriority w:val="0"/>
    <w:pPr>
      <w:ind w:left="200" w:leftChars="200" w:hanging="200" w:hangingChars="200"/>
    </w:pPr>
  </w:style>
  <w:style w:type="paragraph" w:styleId="23">
    <w:name w:val="toc 2"/>
    <w:basedOn w:val="1"/>
    <w:next w:val="1"/>
    <w:qFormat/>
    <w:uiPriority w:val="39"/>
    <w:pPr>
      <w:widowControl/>
      <w:overflowPunct w:val="0"/>
      <w:autoSpaceDE w:val="0"/>
      <w:autoSpaceDN w:val="0"/>
      <w:adjustRightInd w:val="0"/>
      <w:ind w:left="200"/>
      <w:jc w:val="left"/>
      <w:textAlignment w:val="baseline"/>
    </w:pPr>
    <w:rPr>
      <w:smallCaps/>
      <w:kern w:val="0"/>
      <w:sz w:val="20"/>
      <w:szCs w:val="20"/>
      <w:lang w:eastAsia="en-US"/>
    </w:rPr>
  </w:style>
  <w:style w:type="paragraph" w:styleId="24">
    <w:name w:val="Body Text 2"/>
    <w:qFormat/>
    <w:uiPriority w:val="0"/>
    <w:pPr>
      <w:widowControl w:val="0"/>
      <w:spacing w:line="520" w:lineRule="exact"/>
      <w:ind w:firstLine="554" w:firstLineChars="200"/>
      <w:jc w:val="center"/>
      <w:outlineLvl w:val="0"/>
    </w:pPr>
    <w:rPr>
      <w:rFonts w:ascii="仿宋_GB2312" w:hAnsiTheme="minorHAnsi" w:eastAsiaTheme="minorEastAsia" w:cstheme="minorBidi"/>
      <w:kern w:val="2"/>
      <w:sz w:val="30"/>
      <w:lang w:val="en-US" w:eastAsia="zh-CN" w:bidi="ar-SA"/>
    </w:rPr>
  </w:style>
  <w:style w:type="paragraph" w:styleId="25">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paragraph" w:styleId="26">
    <w:name w:val="Title"/>
    <w:basedOn w:val="1"/>
    <w:next w:val="1"/>
    <w:qFormat/>
    <w:uiPriority w:val="0"/>
    <w:pPr>
      <w:spacing w:before="240" w:after="60"/>
      <w:jc w:val="center"/>
      <w:outlineLvl w:val="0"/>
    </w:pPr>
    <w:rPr>
      <w:rFonts w:ascii="Arial" w:hAnsi="Arial" w:eastAsia="楷体_GB2312"/>
      <w:b/>
      <w:bCs/>
      <w:sz w:val="32"/>
      <w:szCs w:val="32"/>
    </w:rPr>
  </w:style>
  <w:style w:type="paragraph" w:styleId="27">
    <w:name w:val="annotation subject"/>
    <w:basedOn w:val="8"/>
    <w:next w:val="8"/>
    <w:link w:val="100"/>
    <w:unhideWhenUsed/>
    <w:qFormat/>
    <w:uiPriority w:val="0"/>
    <w:pPr>
      <w:jc w:val="left"/>
    </w:pPr>
    <w:rPr>
      <w:b/>
      <w:bCs/>
    </w:rPr>
  </w:style>
  <w:style w:type="paragraph" w:styleId="28">
    <w:name w:val="Body Text First Indent"/>
    <w:basedOn w:val="9"/>
    <w:unhideWhenUsed/>
    <w:qFormat/>
    <w:uiPriority w:val="99"/>
    <w:pPr>
      <w:ind w:firstLine="567"/>
    </w:pPr>
  </w:style>
  <w:style w:type="paragraph" w:styleId="29">
    <w:name w:val="Body Text First Indent 2"/>
    <w:basedOn w:val="10"/>
    <w:next w:val="1"/>
    <w:semiHidden/>
    <w:unhideWhenUsed/>
    <w:qFormat/>
    <w:uiPriority w:val="99"/>
    <w:pPr>
      <w:ind w:firstLine="420" w:firstLineChars="200"/>
    </w:pPr>
  </w:style>
  <w:style w:type="table" w:styleId="31">
    <w:name w:val="Table Grid"/>
    <w:basedOn w:val="30"/>
    <w:qFormat/>
    <w:uiPriority w:val="0"/>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basedOn w:val="32"/>
    <w:qFormat/>
    <w:uiPriority w:val="22"/>
    <w:rPr>
      <w:b/>
    </w:rPr>
  </w:style>
  <w:style w:type="character" w:styleId="34">
    <w:name w:val="page number"/>
    <w:basedOn w:val="32"/>
    <w:qFormat/>
    <w:uiPriority w:val="0"/>
    <w:rPr>
      <w:sz w:val="20"/>
    </w:rPr>
  </w:style>
  <w:style w:type="character" w:styleId="35">
    <w:name w:val="Hyperlink"/>
    <w:basedOn w:val="32"/>
    <w:unhideWhenUsed/>
    <w:qFormat/>
    <w:uiPriority w:val="99"/>
    <w:rPr>
      <w:color w:val="0563C1" w:themeColor="hyperlink"/>
      <w:u w:val="single"/>
      <w14:textFill>
        <w14:solidFill>
          <w14:schemeClr w14:val="hlink"/>
        </w14:solidFill>
      </w14:textFill>
    </w:rPr>
  </w:style>
  <w:style w:type="character" w:styleId="36">
    <w:name w:val="annotation reference"/>
    <w:basedOn w:val="32"/>
    <w:semiHidden/>
    <w:unhideWhenUsed/>
    <w:uiPriority w:val="99"/>
    <w:rPr>
      <w:sz w:val="21"/>
      <w:szCs w:val="21"/>
    </w:rPr>
  </w:style>
  <w:style w:type="paragraph" w:customStyle="1" w:styleId="37">
    <w:name w:val="引言二级条标题"/>
    <w:basedOn w:val="38"/>
    <w:next w:val="39"/>
    <w:qFormat/>
    <w:uiPriority w:val="99"/>
    <w:pPr>
      <w:tabs>
        <w:tab w:val="left" w:pos="1140"/>
      </w:tabs>
    </w:pPr>
  </w:style>
  <w:style w:type="paragraph" w:customStyle="1" w:styleId="38">
    <w:name w:val="引言一级条标题"/>
    <w:basedOn w:val="1"/>
    <w:next w:val="39"/>
    <w:qFormat/>
    <w:uiPriority w:val="99"/>
    <w:pPr>
      <w:widowControl/>
      <w:tabs>
        <w:tab w:val="left" w:pos="1140"/>
      </w:tabs>
    </w:pPr>
    <w:rPr>
      <w:rFonts w:eastAsia="黑体"/>
      <w:b/>
      <w:bCs/>
      <w:szCs w:val="21"/>
    </w:rPr>
  </w:style>
  <w:style w:type="paragraph" w:customStyle="1" w:styleId="39">
    <w:name w:val="段"/>
    <w:qFormat/>
    <w:uiPriority w:val="0"/>
    <w:pPr>
      <w:ind w:firstLine="200" w:firstLineChars="200"/>
      <w:jc w:val="both"/>
    </w:pPr>
    <w:rPr>
      <w:rFonts w:ascii="宋体" w:hAnsi="Times New Roman" w:eastAsia="宋体" w:cs="Times New Roman"/>
      <w:sz w:val="21"/>
      <w:lang w:val="en-US" w:eastAsia="zh-CN" w:bidi="ar-SA"/>
    </w:rPr>
  </w:style>
  <w:style w:type="paragraph" w:customStyle="1" w:styleId="40">
    <w:name w:val="正文（文本）"/>
    <w:next w:val="20"/>
    <w:qFormat/>
    <w:uiPriority w:val="0"/>
    <w:pPr>
      <w:widowControl w:val="0"/>
      <w:snapToGrid w:val="0"/>
      <w:spacing w:beforeLines="20" w:line="360" w:lineRule="auto"/>
      <w:jc w:val="center"/>
    </w:pPr>
    <w:rPr>
      <w:rFonts w:ascii="Times New Roman" w:hAnsi="宋体" w:eastAsia="宋体" w:cs="Times New Roman"/>
      <w:kern w:val="2"/>
      <w:sz w:val="28"/>
      <w:szCs w:val="28"/>
      <w:lang w:val="en-US" w:eastAsia="zh-CN" w:bidi="ar-SA"/>
    </w:rPr>
  </w:style>
  <w:style w:type="paragraph" w:customStyle="1" w:styleId="41">
    <w:name w:val="书目1"/>
    <w:basedOn w:val="1"/>
    <w:next w:val="1"/>
    <w:unhideWhenUsed/>
    <w:qFormat/>
    <w:uiPriority w:val="37"/>
  </w:style>
  <w:style w:type="paragraph" w:customStyle="1" w:styleId="42">
    <w:name w:val="默认段落字体 Para Char"/>
    <w:basedOn w:val="43"/>
    <w:next w:val="43"/>
    <w:qFormat/>
    <w:uiPriority w:val="0"/>
    <w:pPr>
      <w:widowControl w:val="0"/>
      <w:spacing w:before="80" w:after="80" w:line="360" w:lineRule="auto"/>
      <w:jc w:val="both"/>
    </w:pPr>
    <w:rPr>
      <w:rFonts w:ascii="Calibri" w:hAnsi="Calibri"/>
      <w:kern w:val="2"/>
      <w:szCs w:val="20"/>
    </w:rPr>
  </w:style>
  <w:style w:type="paragraph" w:customStyle="1" w:styleId="43">
    <w:name w:val="Normal_1"/>
    <w:next w:val="42"/>
    <w:qFormat/>
    <w:uiPriority w:val="0"/>
    <w:rPr>
      <w:rFonts w:ascii="Times New Roman" w:hAnsi="Times New Roman" w:eastAsia="Times New Roman" w:cs="Times New Roman"/>
      <w:sz w:val="24"/>
      <w:szCs w:val="24"/>
      <w:lang w:val="en-US" w:eastAsia="zh-CN" w:bidi="ar-SA"/>
    </w:rPr>
  </w:style>
  <w:style w:type="paragraph" w:customStyle="1" w:styleId="44">
    <w:name w:val="Default"/>
    <w:basedOn w:val="45"/>
    <w:next w:val="49"/>
    <w:qFormat/>
    <w:uiPriority w:val="0"/>
    <w:pPr>
      <w:autoSpaceDE w:val="0"/>
      <w:autoSpaceDN w:val="0"/>
      <w:adjustRightInd w:val="0"/>
    </w:pPr>
    <w:rPr>
      <w:rFonts w:ascii="宋体" w:cs="宋体" w:hAnsiTheme="minorHAnsi"/>
      <w:color w:val="000000"/>
      <w:sz w:val="24"/>
      <w:szCs w:val="24"/>
    </w:rPr>
  </w:style>
  <w:style w:type="paragraph" w:customStyle="1" w:styleId="45">
    <w:name w:val="正文_0"/>
    <w:next w:val="46"/>
    <w:qFormat/>
    <w:uiPriority w:val="0"/>
    <w:pPr>
      <w:widowControl w:val="0"/>
      <w:jc w:val="both"/>
    </w:pPr>
    <w:rPr>
      <w:rFonts w:ascii="Calibri" w:hAnsi="Calibri" w:eastAsia="宋体" w:cs="Times New Roman"/>
      <w:kern w:val="2"/>
      <w:sz w:val="21"/>
      <w:szCs w:val="22"/>
      <w:lang w:val="en-US" w:eastAsia="zh-CN" w:bidi="ar-SA"/>
    </w:rPr>
  </w:style>
  <w:style w:type="paragraph" w:customStyle="1" w:styleId="46">
    <w:name w:val="正文首行缩进 21"/>
    <w:basedOn w:val="47"/>
    <w:unhideWhenUsed/>
    <w:qFormat/>
    <w:uiPriority w:val="99"/>
    <w:pPr>
      <w:ind w:firstLine="420" w:firstLineChars="200"/>
    </w:pPr>
  </w:style>
  <w:style w:type="paragraph" w:customStyle="1" w:styleId="47">
    <w:name w:val="正文文本缩进1"/>
    <w:basedOn w:val="45"/>
    <w:next w:val="48"/>
    <w:unhideWhenUsed/>
    <w:qFormat/>
    <w:uiPriority w:val="0"/>
    <w:pPr>
      <w:spacing w:after="120"/>
      <w:ind w:left="420" w:leftChars="200"/>
    </w:pPr>
  </w:style>
  <w:style w:type="paragraph" w:customStyle="1" w:styleId="48">
    <w:name w:val="寄信人地址1"/>
    <w:basedOn w:val="45"/>
    <w:qFormat/>
    <w:uiPriority w:val="0"/>
    <w:pPr>
      <w:snapToGrid w:val="0"/>
    </w:pPr>
    <w:rPr>
      <w:rFonts w:ascii="Arial" w:hAnsi="Arial" w:eastAsia="等线" w:cs="等线"/>
    </w:rPr>
  </w:style>
  <w:style w:type="paragraph" w:customStyle="1" w:styleId="49">
    <w:name w:val="大标题"/>
    <w:basedOn w:val="1"/>
    <w:next w:val="29"/>
    <w:qFormat/>
    <w:uiPriority w:val="0"/>
    <w:pPr>
      <w:jc w:val="center"/>
    </w:pPr>
    <w:rPr>
      <w:rFonts w:ascii="Arial" w:hAnsi="Arial"/>
      <w:b/>
      <w:sz w:val="28"/>
    </w:rPr>
  </w:style>
  <w:style w:type="paragraph" w:customStyle="1" w:styleId="50">
    <w:name w:val="标题 1_0"/>
    <w:basedOn w:val="45"/>
    <w:next w:val="45"/>
    <w:qFormat/>
    <w:uiPriority w:val="0"/>
    <w:pPr>
      <w:keepNext/>
      <w:widowControl/>
      <w:overflowPunct w:val="0"/>
      <w:autoSpaceDE w:val="0"/>
      <w:autoSpaceDN w:val="0"/>
      <w:adjustRightInd w:val="0"/>
      <w:spacing w:before="240" w:after="60"/>
      <w:jc w:val="left"/>
      <w:textAlignment w:val="baseline"/>
      <w:outlineLvl w:val="0"/>
    </w:pPr>
    <w:rPr>
      <w:rFonts w:ascii="Arial" w:hAnsi="Arial"/>
      <w:b/>
      <w:kern w:val="28"/>
      <w:sz w:val="28"/>
      <w:szCs w:val="20"/>
      <w:lang w:eastAsia="en-US"/>
    </w:rPr>
  </w:style>
  <w:style w:type="paragraph" w:customStyle="1" w:styleId="51">
    <w:name w:val="正文缩进1"/>
    <w:basedOn w:val="45"/>
    <w:unhideWhenUsed/>
    <w:qFormat/>
    <w:uiPriority w:val="99"/>
    <w:pPr>
      <w:ind w:firstLine="420" w:firstLineChars="200"/>
    </w:pPr>
    <w:rPr>
      <w:rFonts w:ascii="Arial" w:hAnsi="Arial" w:eastAsia="微软雅黑"/>
    </w:rPr>
  </w:style>
  <w:style w:type="paragraph" w:customStyle="1" w:styleId="52">
    <w:name w:val="样式1"/>
    <w:basedOn w:val="53"/>
    <w:qFormat/>
    <w:uiPriority w:val="0"/>
    <w:pPr>
      <w:numPr>
        <w:ilvl w:val="0"/>
        <w:numId w:val="1"/>
      </w:numPr>
      <w:ind w:firstLine="420"/>
    </w:pPr>
    <w:rPr>
      <w:rFonts w:hint="eastAsia" w:ascii="宋体" w:hAnsi="宋体" w:eastAsia="宋体" w:cs="Times New Roman"/>
      <w:szCs w:val="21"/>
    </w:rPr>
  </w:style>
  <w:style w:type="paragraph" w:styleId="53">
    <w:name w:val="List Paragraph"/>
    <w:basedOn w:val="1"/>
    <w:next w:val="4"/>
    <w:qFormat/>
    <w:uiPriority w:val="0"/>
    <w:pPr>
      <w:ind w:firstLine="420" w:firstLineChars="200"/>
    </w:pPr>
  </w:style>
  <w:style w:type="character" w:customStyle="1" w:styleId="54">
    <w:name w:val="页眉 字符"/>
    <w:basedOn w:val="32"/>
    <w:link w:val="18"/>
    <w:qFormat/>
    <w:uiPriority w:val="99"/>
    <w:rPr>
      <w:sz w:val="18"/>
      <w:szCs w:val="18"/>
    </w:rPr>
  </w:style>
  <w:style w:type="character" w:customStyle="1" w:styleId="55">
    <w:name w:val="页脚 字符"/>
    <w:basedOn w:val="32"/>
    <w:link w:val="2"/>
    <w:qFormat/>
    <w:uiPriority w:val="99"/>
    <w:rPr>
      <w:sz w:val="18"/>
      <w:szCs w:val="18"/>
    </w:rPr>
  </w:style>
  <w:style w:type="paragraph" w:customStyle="1" w:styleId="56">
    <w:name w:val="列出段落1"/>
    <w:basedOn w:val="1"/>
    <w:qFormat/>
    <w:uiPriority w:val="34"/>
    <w:pPr>
      <w:ind w:firstLine="420" w:firstLineChars="200"/>
    </w:pPr>
    <w:rPr>
      <w:rFonts w:ascii="Calibri" w:hAnsi="Calibri" w:eastAsia="宋体" w:cs="Times New Roman"/>
    </w:rPr>
  </w:style>
  <w:style w:type="character" w:customStyle="1" w:styleId="57">
    <w:name w:val="font121"/>
    <w:basedOn w:val="32"/>
    <w:qFormat/>
    <w:uiPriority w:val="0"/>
    <w:rPr>
      <w:rFonts w:hint="eastAsia" w:ascii="宋体" w:hAnsi="宋体" w:eastAsia="宋体" w:cs="宋体"/>
      <w:color w:val="000000"/>
      <w:sz w:val="18"/>
      <w:szCs w:val="18"/>
      <w:u w:val="none"/>
    </w:rPr>
  </w:style>
  <w:style w:type="character" w:customStyle="1" w:styleId="58">
    <w:name w:val="font161"/>
    <w:basedOn w:val="32"/>
    <w:qFormat/>
    <w:uiPriority w:val="0"/>
    <w:rPr>
      <w:rFonts w:hint="eastAsia" w:ascii="宋体" w:hAnsi="宋体" w:eastAsia="宋体" w:cs="宋体"/>
      <w:color w:val="000000"/>
      <w:sz w:val="18"/>
      <w:szCs w:val="18"/>
      <w:u w:val="none"/>
    </w:rPr>
  </w:style>
  <w:style w:type="character" w:customStyle="1" w:styleId="59">
    <w:name w:val="font112"/>
    <w:basedOn w:val="32"/>
    <w:qFormat/>
    <w:uiPriority w:val="0"/>
    <w:rPr>
      <w:rFonts w:hint="eastAsia" w:ascii="宋体" w:hAnsi="宋体" w:eastAsia="宋体" w:cs="宋体"/>
      <w:color w:val="000000"/>
      <w:sz w:val="18"/>
      <w:szCs w:val="18"/>
      <w:u w:val="none"/>
    </w:rPr>
  </w:style>
  <w:style w:type="character" w:customStyle="1" w:styleId="60">
    <w:name w:val="font171"/>
    <w:basedOn w:val="32"/>
    <w:qFormat/>
    <w:uiPriority w:val="0"/>
    <w:rPr>
      <w:rFonts w:hint="eastAsia" w:ascii="宋体" w:hAnsi="宋体" w:eastAsia="宋体" w:cs="宋体"/>
      <w:color w:val="000000"/>
      <w:sz w:val="18"/>
      <w:szCs w:val="18"/>
      <w:u w:val="none"/>
    </w:rPr>
  </w:style>
  <w:style w:type="character" w:customStyle="1" w:styleId="61">
    <w:name w:val="font21"/>
    <w:basedOn w:val="32"/>
    <w:qFormat/>
    <w:uiPriority w:val="0"/>
    <w:rPr>
      <w:rFonts w:hint="eastAsia" w:ascii="宋体" w:hAnsi="宋体" w:eastAsia="宋体" w:cs="宋体"/>
      <w:color w:val="000000"/>
      <w:sz w:val="18"/>
      <w:szCs w:val="18"/>
      <w:u w:val="none"/>
    </w:rPr>
  </w:style>
  <w:style w:type="character" w:customStyle="1" w:styleId="62">
    <w:name w:val="font31"/>
    <w:basedOn w:val="32"/>
    <w:qFormat/>
    <w:uiPriority w:val="0"/>
    <w:rPr>
      <w:rFonts w:hint="eastAsia" w:ascii="宋体" w:hAnsi="宋体" w:eastAsia="宋体" w:cs="宋体"/>
      <w:color w:val="000000"/>
      <w:sz w:val="18"/>
      <w:szCs w:val="18"/>
      <w:u w:val="none"/>
    </w:rPr>
  </w:style>
  <w:style w:type="character" w:customStyle="1" w:styleId="63">
    <w:name w:val="font151"/>
    <w:basedOn w:val="32"/>
    <w:qFormat/>
    <w:uiPriority w:val="0"/>
    <w:rPr>
      <w:rFonts w:hint="default" w:ascii="Times New Roman" w:hAnsi="Times New Roman" w:cs="Times New Roman"/>
      <w:color w:val="000000"/>
      <w:sz w:val="18"/>
      <w:szCs w:val="18"/>
      <w:u w:val="none"/>
    </w:rPr>
  </w:style>
  <w:style w:type="character" w:customStyle="1" w:styleId="64">
    <w:name w:val="font01"/>
    <w:basedOn w:val="32"/>
    <w:qFormat/>
    <w:uiPriority w:val="0"/>
    <w:rPr>
      <w:rFonts w:ascii="Tahoma" w:hAnsi="Tahoma" w:eastAsia="Tahoma" w:cs="Tahoma"/>
      <w:color w:val="000000"/>
      <w:sz w:val="18"/>
      <w:szCs w:val="18"/>
      <w:u w:val="none"/>
    </w:rPr>
  </w:style>
  <w:style w:type="character" w:customStyle="1" w:styleId="65">
    <w:name w:val="font191"/>
    <w:basedOn w:val="32"/>
    <w:qFormat/>
    <w:uiPriority w:val="0"/>
    <w:rPr>
      <w:rFonts w:ascii="Arial" w:hAnsi="Arial" w:cs="Arial"/>
      <w:color w:val="333333"/>
      <w:sz w:val="18"/>
      <w:szCs w:val="18"/>
      <w:u w:val="none"/>
    </w:rPr>
  </w:style>
  <w:style w:type="character" w:customStyle="1" w:styleId="66">
    <w:name w:val="font201"/>
    <w:basedOn w:val="32"/>
    <w:qFormat/>
    <w:uiPriority w:val="0"/>
    <w:rPr>
      <w:rFonts w:hint="eastAsia" w:ascii="宋体" w:hAnsi="宋体" w:eastAsia="宋体" w:cs="宋体"/>
      <w:color w:val="333333"/>
      <w:sz w:val="18"/>
      <w:szCs w:val="18"/>
      <w:u w:val="none"/>
    </w:rPr>
  </w:style>
  <w:style w:type="paragraph" w:customStyle="1" w:styleId="67">
    <w:name w:val="Table Paragraph"/>
    <w:basedOn w:val="1"/>
    <w:qFormat/>
    <w:uiPriority w:val="0"/>
    <w:pPr>
      <w:jc w:val="left"/>
    </w:pPr>
    <w:rPr>
      <w:kern w:val="0"/>
      <w:sz w:val="22"/>
      <w:lang w:eastAsia="en-US"/>
    </w:rPr>
  </w:style>
  <w:style w:type="table" w:customStyle="1" w:styleId="68">
    <w:name w:val="Table Normal"/>
    <w:semiHidden/>
    <w:unhideWhenUsed/>
    <w:qFormat/>
    <w:uiPriority w:val="2"/>
    <w:pPr>
      <w:widowControl w:val="0"/>
    </w:pPr>
    <w:rPr>
      <w:sz w:val="22"/>
      <w:lang w:eastAsia="en-US"/>
    </w:rPr>
    <w:tblPr>
      <w:tblCellMar>
        <w:top w:w="0" w:type="dxa"/>
        <w:left w:w="0" w:type="dxa"/>
        <w:bottom w:w="0" w:type="dxa"/>
        <w:right w:w="0" w:type="dxa"/>
      </w:tblCellMar>
    </w:tblPr>
  </w:style>
  <w:style w:type="character" w:customStyle="1" w:styleId="69">
    <w:name w:val="font41"/>
    <w:basedOn w:val="32"/>
    <w:qFormat/>
    <w:uiPriority w:val="0"/>
    <w:rPr>
      <w:rFonts w:hint="eastAsia" w:ascii="宋体" w:hAnsi="宋体" w:eastAsia="宋体" w:cs="宋体"/>
      <w:color w:val="000000"/>
      <w:sz w:val="21"/>
      <w:szCs w:val="21"/>
      <w:u w:val="none"/>
    </w:rPr>
  </w:style>
  <w:style w:type="paragraph" w:customStyle="1" w:styleId="70">
    <w:name w:val="p15"/>
    <w:basedOn w:val="1"/>
    <w:qFormat/>
    <w:uiPriority w:val="0"/>
    <w:pPr>
      <w:widowControl/>
      <w:ind w:firstLine="420"/>
    </w:pPr>
    <w:rPr>
      <w:rFonts w:ascii="楷体_GB2312" w:hAnsi="宋体" w:eastAsia="楷体_GB2312" w:cs="宋体"/>
      <w:kern w:val="0"/>
      <w:szCs w:val="21"/>
    </w:rPr>
  </w:style>
  <w:style w:type="paragraph" w:customStyle="1" w:styleId="71">
    <w:name w:val="Normal_0"/>
    <w:next w:val="42"/>
    <w:qFormat/>
    <w:uiPriority w:val="0"/>
    <w:rPr>
      <w:rFonts w:ascii="Times New Roman" w:hAnsi="Times New Roman" w:eastAsia="Times New Roman" w:cs="Times New Roman"/>
      <w:sz w:val="24"/>
      <w:szCs w:val="24"/>
      <w:lang w:val="en-US" w:eastAsia="zh-CN" w:bidi="ar-SA"/>
    </w:rPr>
  </w:style>
  <w:style w:type="paragraph" w:customStyle="1" w:styleId="72">
    <w:name w:val="临时2级"/>
    <w:basedOn w:val="4"/>
    <w:qFormat/>
    <w:uiPriority w:val="0"/>
    <w:pPr>
      <w:spacing w:line="360" w:lineRule="auto"/>
      <w:jc w:val="both"/>
    </w:pPr>
    <w:rPr>
      <w:rFonts w:ascii="宋体" w:hAnsi="宋体" w:eastAsia="宋体" w:cs="Times New Roman"/>
      <w:bCs/>
      <w:spacing w:val="0"/>
      <w:kern w:val="2"/>
      <w:sz w:val="24"/>
      <w:szCs w:val="24"/>
    </w:rPr>
  </w:style>
  <w:style w:type="paragraph" w:customStyle="1" w:styleId="73">
    <w:name w:val="临时4级"/>
    <w:basedOn w:val="6"/>
    <w:qFormat/>
    <w:uiPriority w:val="0"/>
    <w:pPr>
      <w:keepNext w:val="0"/>
      <w:keepLines w:val="0"/>
      <w:spacing w:before="0" w:after="0" w:line="360" w:lineRule="auto"/>
    </w:pPr>
    <w:rPr>
      <w:rFonts w:ascii="宋体" w:hAnsi="宋体" w:eastAsia="宋体" w:cs="Times New Roman"/>
      <w:b w:val="0"/>
      <w:sz w:val="24"/>
    </w:rPr>
  </w:style>
  <w:style w:type="paragraph" w:customStyle="1" w:styleId="74">
    <w:name w:val="zw1"/>
    <w:basedOn w:val="1"/>
    <w:qFormat/>
    <w:uiPriority w:val="0"/>
    <w:pPr>
      <w:widowControl/>
      <w:spacing w:before="120" w:line="360" w:lineRule="auto"/>
      <w:ind w:left="127" w:leftChars="127" w:firstLine="200" w:firstLineChars="200"/>
    </w:pPr>
    <w:rPr>
      <w:rFonts w:ascii="Arial" w:hAnsi="Arial" w:cs="Arial"/>
      <w:sz w:val="24"/>
    </w:rPr>
  </w:style>
  <w:style w:type="paragraph" w:customStyle="1" w:styleId="75">
    <w:name w:val="临时正文"/>
    <w:basedOn w:val="76"/>
    <w:qFormat/>
    <w:uiPriority w:val="0"/>
    <w:pPr>
      <w:spacing w:line="360" w:lineRule="auto"/>
      <w:ind w:firstLine="480"/>
    </w:pPr>
    <w:rPr>
      <w:bCs/>
      <w:kern w:val="21"/>
      <w:sz w:val="24"/>
      <w:szCs w:val="24"/>
    </w:rPr>
  </w:style>
  <w:style w:type="paragraph" w:customStyle="1" w:styleId="76">
    <w:name w:val="正文格式"/>
    <w:basedOn w:val="1"/>
    <w:qFormat/>
    <w:uiPriority w:val="0"/>
    <w:pPr>
      <w:topLinePunct/>
      <w:ind w:firstLine="420" w:firstLineChars="200"/>
    </w:pPr>
    <w:rPr>
      <w:rFonts w:ascii="宋体" w:hAnsi="宋体"/>
      <w:szCs w:val="20"/>
    </w:rPr>
  </w:style>
  <w:style w:type="paragraph" w:customStyle="1" w:styleId="77">
    <w:name w:val="正文楷体缩进"/>
    <w:basedOn w:val="1"/>
    <w:qFormat/>
    <w:uiPriority w:val="0"/>
    <w:pPr>
      <w:spacing w:line="360" w:lineRule="auto"/>
      <w:ind w:firstLine="560" w:firstLineChars="200"/>
    </w:pPr>
    <w:rPr>
      <w:rFonts w:eastAsia="楷体_GB2312"/>
      <w:sz w:val="28"/>
      <w:szCs w:val="28"/>
    </w:rPr>
  </w:style>
  <w:style w:type="paragraph" w:customStyle="1" w:styleId="78">
    <w:name w:val="Other|1"/>
    <w:basedOn w:val="1"/>
    <w:qFormat/>
    <w:uiPriority w:val="0"/>
    <w:pPr>
      <w:spacing w:after="100" w:line="288" w:lineRule="auto"/>
      <w:ind w:firstLine="40"/>
    </w:pPr>
  </w:style>
  <w:style w:type="paragraph" w:customStyle="1" w:styleId="79">
    <w:name w:val="表头"/>
    <w:basedOn w:val="1"/>
    <w:qFormat/>
    <w:uiPriority w:val="0"/>
    <w:pPr>
      <w:topLinePunct/>
      <w:spacing w:before="160" w:after="60"/>
      <w:jc w:val="center"/>
    </w:pPr>
    <w:rPr>
      <w:rFonts w:ascii="Times New Roman" w:hAnsi="Times New Roman" w:eastAsia="黑体" w:cs="Times New Roman"/>
      <w:szCs w:val="21"/>
    </w:rPr>
  </w:style>
  <w:style w:type="paragraph" w:customStyle="1" w:styleId="80">
    <w:name w:val="正文表标题"/>
    <w:next w:val="39"/>
    <w:qFormat/>
    <w:uiPriority w:val="0"/>
    <w:pPr>
      <w:jc w:val="center"/>
    </w:pPr>
    <w:rPr>
      <w:rFonts w:ascii="黑体" w:hAnsi="Times New Roman" w:eastAsia="黑体" w:cs="Times New Roman"/>
      <w:sz w:val="21"/>
      <w:lang w:val="en-US" w:eastAsia="zh-CN" w:bidi="ar-SA"/>
    </w:rPr>
  </w:style>
  <w:style w:type="paragraph" w:customStyle="1" w:styleId="81">
    <w:name w:val="样式2"/>
    <w:basedOn w:val="52"/>
    <w:qFormat/>
    <w:uiPriority w:val="0"/>
    <w:rPr>
      <w:rFonts w:ascii="Times New Roman" w:hAnsi="Times New Roman"/>
      <w:sz w:val="28"/>
      <w:szCs w:val="24"/>
    </w:rPr>
  </w:style>
  <w:style w:type="paragraph" w:customStyle="1" w:styleId="82">
    <w:name w:val="批注框文本1"/>
    <w:basedOn w:val="1"/>
    <w:qFormat/>
    <w:uiPriority w:val="0"/>
    <w:rPr>
      <w:rFonts w:ascii="Times New Roman" w:hAnsi="Times New Roman" w:eastAsia="宋体" w:cs="Times New Roman"/>
      <w:sz w:val="18"/>
      <w:szCs w:val="20"/>
    </w:rPr>
  </w:style>
  <w:style w:type="paragraph" w:customStyle="1" w:styleId="83">
    <w:name w:val="注："/>
    <w:next w:val="39"/>
    <w:qFormat/>
    <w:uiPriority w:val="0"/>
    <w:pPr>
      <w:widowControl w:val="0"/>
      <w:tabs>
        <w:tab w:val="left" w:pos="780"/>
      </w:tabs>
      <w:autoSpaceDE w:val="0"/>
      <w:autoSpaceDN w:val="0"/>
      <w:ind w:left="780" w:hanging="360"/>
      <w:jc w:val="both"/>
    </w:pPr>
    <w:rPr>
      <w:rFonts w:ascii="宋体" w:hAnsi="Times New Roman" w:eastAsia="宋体" w:cs="Times New Roman"/>
      <w:sz w:val="18"/>
      <w:lang w:val="en-US" w:eastAsia="zh-CN" w:bidi="ar-SA"/>
    </w:rPr>
  </w:style>
  <w:style w:type="paragraph" w:customStyle="1" w:styleId="84">
    <w:name w:val="正文-1"/>
    <w:basedOn w:val="1"/>
    <w:qFormat/>
    <w:uiPriority w:val="0"/>
    <w:pPr>
      <w:spacing w:before="163" w:after="163"/>
      <w:ind w:firstLine="480"/>
    </w:pPr>
  </w:style>
  <w:style w:type="paragraph" w:customStyle="1" w:styleId="85">
    <w:name w:val="标题-6"/>
    <w:basedOn w:val="1"/>
    <w:qFormat/>
    <w:uiPriority w:val="0"/>
    <w:pPr>
      <w:numPr>
        <w:ilvl w:val="5"/>
        <w:numId w:val="2"/>
      </w:numPr>
      <w:spacing w:before="120" w:after="120"/>
      <w:ind w:firstLine="0"/>
    </w:pPr>
  </w:style>
  <w:style w:type="paragraph" w:customStyle="1" w:styleId="86">
    <w:name w:val="标题-2"/>
    <w:basedOn w:val="87"/>
    <w:qFormat/>
    <w:uiPriority w:val="0"/>
    <w:pPr>
      <w:numPr>
        <w:ilvl w:val="1"/>
      </w:numPr>
      <w:adjustRightInd w:val="0"/>
      <w:snapToGrid w:val="0"/>
      <w:spacing w:before="50" w:beforeLines="50" w:after="50" w:afterLines="50" w:line="360" w:lineRule="auto"/>
    </w:pPr>
    <w:rPr>
      <w:b w:val="0"/>
    </w:rPr>
  </w:style>
  <w:style w:type="paragraph" w:customStyle="1" w:styleId="87">
    <w:name w:val="标题-1"/>
    <w:basedOn w:val="1"/>
    <w:qFormat/>
    <w:uiPriority w:val="0"/>
    <w:pPr>
      <w:widowControl/>
      <w:numPr>
        <w:ilvl w:val="0"/>
        <w:numId w:val="3"/>
      </w:numPr>
      <w:jc w:val="left"/>
    </w:pPr>
    <w:rPr>
      <w:b/>
      <w:sz w:val="28"/>
      <w:szCs w:val="28"/>
    </w:rPr>
  </w:style>
  <w:style w:type="paragraph" w:customStyle="1" w:styleId="88">
    <w:name w:val="Pa12"/>
    <w:basedOn w:val="44"/>
    <w:next w:val="44"/>
    <w:qFormat/>
    <w:uiPriority w:val="99"/>
    <w:pPr>
      <w:spacing w:line="241" w:lineRule="atLeast"/>
    </w:pPr>
    <w:rPr>
      <w:rFonts w:ascii="汉仪中黑简" w:hAnsi="Times New Roman" w:eastAsia="汉仪中黑简" w:cs="Times New Roman"/>
      <w:color w:val="auto"/>
    </w:rPr>
  </w:style>
  <w:style w:type="character" w:customStyle="1" w:styleId="89">
    <w:name w:val="A8"/>
    <w:qFormat/>
    <w:uiPriority w:val="99"/>
    <w:rPr>
      <w:rFonts w:cs="汉仪中黑简"/>
      <w:color w:val="000000"/>
      <w:sz w:val="18"/>
      <w:szCs w:val="18"/>
    </w:rPr>
  </w:style>
  <w:style w:type="paragraph" w:customStyle="1" w:styleId="90">
    <w:name w:val="Pa3"/>
    <w:basedOn w:val="44"/>
    <w:next w:val="44"/>
    <w:qFormat/>
    <w:uiPriority w:val="99"/>
    <w:pPr>
      <w:spacing w:line="241" w:lineRule="atLeast"/>
    </w:pPr>
    <w:rPr>
      <w:rFonts w:ascii="汉仪中黑简" w:hAnsi="Times New Roman" w:eastAsia="汉仪中黑简" w:cs="Times New Roman"/>
      <w:color w:val="auto"/>
    </w:rPr>
  </w:style>
  <w:style w:type="paragraph" w:customStyle="1" w:styleId="91">
    <w:name w:val="Pa16"/>
    <w:basedOn w:val="44"/>
    <w:next w:val="44"/>
    <w:qFormat/>
    <w:uiPriority w:val="99"/>
    <w:pPr>
      <w:spacing w:line="241" w:lineRule="atLeast"/>
    </w:pPr>
    <w:rPr>
      <w:rFonts w:ascii="汉仪中黑简" w:hAnsi="Times New Roman" w:eastAsia="汉仪中黑简" w:cs="Times New Roman"/>
      <w:color w:val="auto"/>
    </w:rPr>
  </w:style>
  <w:style w:type="paragraph" w:customStyle="1" w:styleId="92">
    <w:name w:val="Pa17"/>
    <w:basedOn w:val="44"/>
    <w:next w:val="44"/>
    <w:qFormat/>
    <w:uiPriority w:val="99"/>
    <w:pPr>
      <w:spacing w:line="241" w:lineRule="atLeast"/>
    </w:pPr>
    <w:rPr>
      <w:rFonts w:ascii="汉仪中黑简" w:hAnsi="Times New Roman" w:eastAsia="汉仪中黑简" w:cs="Times New Roman"/>
      <w:color w:val="auto"/>
    </w:rPr>
  </w:style>
  <w:style w:type="paragraph" w:customStyle="1" w:styleId="93">
    <w:name w:val="Table Text"/>
    <w:basedOn w:val="1"/>
    <w:semiHidden/>
    <w:qFormat/>
    <w:uiPriority w:val="0"/>
    <w:rPr>
      <w:rFonts w:ascii="宋体" w:hAnsi="宋体" w:eastAsia="宋体" w:cs="宋体"/>
      <w:sz w:val="22"/>
      <w:lang w:eastAsia="en-US"/>
    </w:rPr>
  </w:style>
  <w:style w:type="table" w:customStyle="1" w:styleId="94">
    <w:name w:val="TableGrid"/>
    <w:qFormat/>
    <w:uiPriority w:val="0"/>
    <w:tblPr>
      <w:tblCellMar>
        <w:top w:w="0" w:type="dxa"/>
        <w:left w:w="0" w:type="dxa"/>
        <w:bottom w:w="0" w:type="dxa"/>
        <w:right w:w="0" w:type="dxa"/>
      </w:tblCellMar>
    </w:tblPr>
  </w:style>
  <w:style w:type="paragraph" w:customStyle="1" w:styleId="95">
    <w:name w:val="正文_1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6">
    <w:name w:val="正文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97">
    <w:name w:val="List2"/>
    <w:basedOn w:val="1"/>
    <w:qFormat/>
    <w:uiPriority w:val="0"/>
    <w:pPr>
      <w:ind w:left="840" w:hanging="420"/>
      <w:textAlignment w:val="baseline"/>
    </w:pPr>
    <w:rPr>
      <w:rFonts w:ascii="Calibri" w:hAnsi="Calibri"/>
    </w:rPr>
  </w:style>
  <w:style w:type="paragraph" w:customStyle="1" w:styleId="98">
    <w:name w:val="Revision"/>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99">
    <w:name w:val="批注文字 字符"/>
    <w:basedOn w:val="32"/>
    <w:link w:val="8"/>
    <w:qFormat/>
    <w:uiPriority w:val="0"/>
    <w:rPr>
      <w:rFonts w:asciiTheme="minorHAnsi" w:hAnsiTheme="minorHAnsi" w:eastAsiaTheme="minorEastAsia" w:cstheme="minorBidi"/>
      <w:kern w:val="2"/>
      <w:sz w:val="21"/>
      <w:szCs w:val="22"/>
    </w:rPr>
  </w:style>
  <w:style w:type="character" w:customStyle="1" w:styleId="100">
    <w:name w:val="批注主题 字符"/>
    <w:basedOn w:val="99"/>
    <w:link w:val="27"/>
    <w:uiPriority w:val="0"/>
    <w:rPr>
      <w:rFonts w:asciiTheme="minorHAnsi" w:hAnsiTheme="minorHAnsi" w:eastAsiaTheme="minorEastAsia" w:cstheme="minorBidi"/>
      <w:b/>
      <w:bCs/>
      <w:kern w:val="2"/>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5671</Words>
  <Characters>6654</Characters>
  <Lines>74</Lines>
  <Paragraphs>20</Paragraphs>
  <TotalTime>16</TotalTime>
  <ScaleCrop>false</ScaleCrop>
  <LinksUpToDate>false</LinksUpToDate>
  <CharactersWithSpaces>6965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2021-04-30T19:47:00Z</dcterms:created>
  <dc:creator>季云峰/采办项目组/集团公司机关</dc:creator>
  <cp:lastModifiedBy>溏心荷包蛋</cp:lastModifiedBy>
  <dcterms:modified xsi:type="dcterms:W3CDTF">2025-12-04T15:55:44Z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FA5301E075EF434BAC1EFBB3902DB338</vt:lpwstr>
  </property>
  <property fmtid="{D5CDD505-2E9C-101B-9397-08002B2CF9AE}" pid="4" name="KSOTemplateDocerSaveRecord">
    <vt:lpwstr>eyJoZGlkIjoiYmEyZDMxNWRkYmY5MjE3NjUxYTk3ZDA1NDUyNmVkYWEiLCJ1c2VySWQiOiIyMzYxOTgzMDkifQ==</vt:lpwstr>
  </property>
</Properties>
</file>