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AD50">
      <w:pPr>
        <w:pStyle w:val="5"/>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lang w:eastAsia="zh-CN"/>
        </w:rPr>
        <w:t>仁怀市2025年本级第四批财政衔接推进乡村振兴补助资金项目合马镇农村公路提升改造项目（</w:t>
      </w:r>
      <w:r>
        <w:rPr>
          <w:rFonts w:hint="eastAsia" w:ascii="仿宋" w:hAnsi="仿宋" w:eastAsia="仿宋" w:cs="仿宋"/>
          <w:color w:val="auto"/>
          <w:sz w:val="28"/>
          <w:szCs w:val="28"/>
          <w:shd w:val="clear" w:color="auto" w:fill="FFFFFF"/>
          <w:lang w:val="en-US" w:eastAsia="zh-CN"/>
        </w:rPr>
        <w:t>二次招标</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需求公示</w:t>
      </w:r>
    </w:p>
    <w:p w14:paraId="4A538244">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仁怀市2025年本级第四批财政衔接推进乡村振兴补助资金项目合马镇农村公路提升改造项目（</w:t>
      </w:r>
      <w:r>
        <w:rPr>
          <w:rFonts w:hint="eastAsia" w:ascii="仿宋" w:hAnsi="仿宋" w:eastAsia="仿宋" w:cs="仿宋"/>
          <w:color w:val="auto"/>
          <w:sz w:val="24"/>
          <w:szCs w:val="24"/>
          <w:shd w:val="clear" w:color="auto" w:fill="FFFFFF"/>
          <w:lang w:val="en-US" w:eastAsia="zh-CN"/>
        </w:rPr>
        <w:t>二次招标</w:t>
      </w:r>
      <w:r>
        <w:rPr>
          <w:rFonts w:hint="eastAsia" w:ascii="仿宋" w:hAnsi="仿宋" w:eastAsia="仿宋" w:cs="仿宋"/>
          <w:color w:val="auto"/>
          <w:sz w:val="24"/>
          <w:szCs w:val="24"/>
          <w:shd w:val="clear" w:color="auto" w:fill="FFFFFF"/>
          <w:lang w:eastAsia="zh-CN"/>
        </w:rPr>
        <w:t>）</w:t>
      </w:r>
    </w:p>
    <w:p w14:paraId="40131F59">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70</w:t>
      </w:r>
      <w:r>
        <w:rPr>
          <w:rFonts w:hint="eastAsia" w:ascii="仿宋" w:hAnsi="仿宋" w:eastAsia="仿宋" w:cs="仿宋"/>
          <w:color w:val="auto"/>
          <w:sz w:val="24"/>
          <w:szCs w:val="24"/>
          <w:shd w:val="clear" w:color="auto" w:fill="FFFFFF"/>
          <w:lang w:eastAsia="zh-CN"/>
        </w:rPr>
        <w:t>号</w:t>
      </w:r>
    </w:p>
    <w:p w14:paraId="31BFA85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shd w:val="clear" w:color="auto" w:fill="FFFFFF"/>
        </w:rPr>
        <w:t>公示期限（不少于2个工作日）:</w:t>
      </w:r>
      <w:r>
        <w:rPr>
          <w:rFonts w:hint="eastAsia" w:ascii="仿宋" w:hAnsi="仿宋" w:eastAsia="仿宋" w:cs="仿宋"/>
          <w:color w:val="auto"/>
          <w:sz w:val="24"/>
          <w:szCs w:val="24"/>
          <w:highlight w:val="none"/>
          <w:shd w:val="clear" w:color="auto" w:fill="FFFFFF"/>
        </w:rPr>
        <w:t> 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08</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21</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08</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25</w:t>
      </w:r>
    </w:p>
    <w:p w14:paraId="41E8B24D">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 xml:space="preserve">686000.00元   </w:t>
      </w:r>
    </w:p>
    <w:p w14:paraId="034FAE6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val="en-US" w:eastAsia="zh-CN"/>
        </w:rPr>
        <w:t xml:space="preserve"> 686000.00元 </w:t>
      </w:r>
    </w:p>
    <w:p w14:paraId="65982D2D">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6、采购</w:t>
      </w:r>
      <w:r>
        <w:rPr>
          <w:rFonts w:hint="eastAsia" w:ascii="仿宋" w:hAnsi="仿宋" w:eastAsia="仿宋" w:cs="仿宋"/>
          <w:color w:val="000000" w:themeColor="text1"/>
          <w:sz w:val="24"/>
          <w:szCs w:val="24"/>
          <w:shd w:val="clear" w:color="auto" w:fill="FFFFFF"/>
          <w14:textFill>
            <w14:solidFill>
              <w14:schemeClr w14:val="tx1"/>
            </w14:solidFill>
          </w14:textFill>
        </w:rPr>
        <w:t>预算确定依据</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仁怀市政府采购计划书[2025]2840号</w:t>
      </w:r>
    </w:p>
    <w:p w14:paraId="0C4489E2">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7、采购人名称:</w:t>
      </w:r>
      <w:r>
        <w:rPr>
          <w:rFonts w:hint="eastAsia" w:ascii="仿宋" w:hAnsi="仿宋" w:eastAsia="仿宋" w:cs="仿宋"/>
          <w:color w:val="auto"/>
          <w:sz w:val="24"/>
          <w:szCs w:val="24"/>
          <w:shd w:val="clear" w:color="auto" w:fill="FFFFFF"/>
          <w:lang w:val="en-US" w:eastAsia="zh-CN"/>
        </w:rPr>
        <w:t>仁怀市合马镇人民政府</w:t>
      </w:r>
    </w:p>
    <w:p w14:paraId="2627A79C">
      <w:pPr>
        <w:widowControl/>
        <w:numPr>
          <w:ilvl w:val="0"/>
          <w:numId w:val="0"/>
        </w:numPr>
        <w:spacing w:before="120" w:after="120" w:line="300" w:lineRule="atLeast"/>
        <w:ind w:left="-360" w:leftChars="0"/>
        <w:jc w:val="left"/>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项目联系人:</w:t>
      </w:r>
      <w:r>
        <w:rPr>
          <w:rFonts w:hint="eastAsia" w:ascii="仿宋" w:hAnsi="仿宋" w:eastAsia="仿宋" w:cs="仿宋"/>
          <w:color w:val="auto"/>
          <w:sz w:val="24"/>
          <w:szCs w:val="24"/>
          <w:highlight w:val="none"/>
          <w:shd w:val="clear" w:color="auto" w:fill="FFFFFF"/>
          <w:lang w:val="en-US" w:eastAsia="zh-CN"/>
        </w:rPr>
        <w:t>胡主任</w:t>
      </w:r>
    </w:p>
    <w:p w14:paraId="744C87BF">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联系电话:18984297924</w:t>
      </w:r>
      <w:bookmarkStart w:id="0" w:name="_GoBack"/>
      <w:bookmarkEnd w:id="0"/>
    </w:p>
    <w:p w14:paraId="332017D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346D422C">
      <w:pPr>
        <w:widowControl/>
        <w:numPr>
          <w:ilvl w:val="0"/>
          <w:numId w:val="0"/>
        </w:numPr>
        <w:spacing w:before="120" w:after="120" w:line="300" w:lineRule="atLeast"/>
        <w:ind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p>
    <w:p w14:paraId="2290A3EA">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p>
    <w:p w14:paraId="198690FA">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62A7ED90">
      <w:pPr>
        <w:widowControl/>
        <w:shd w:val="clear" w:color="auto" w:fill="FFFFFF"/>
        <w:ind w:firstLine="420"/>
        <w:jc w:val="left"/>
        <w:rPr>
          <w:rFonts w:hint="eastAsia" w:ascii="仿宋" w:hAnsi="仿宋" w:eastAsia="仿宋" w:cs="仿宋"/>
          <w:color w:val="auto"/>
          <w:sz w:val="24"/>
          <w:szCs w:val="24"/>
        </w:rPr>
      </w:pPr>
    </w:p>
    <w:p w14:paraId="2195C6AE">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val="en-US" w:eastAsia="zh-CN"/>
        </w:rPr>
        <w:t>采购内容</w:t>
      </w:r>
      <w:r>
        <w:rPr>
          <w:rFonts w:hint="eastAsia" w:ascii="仿宋" w:hAnsi="仿宋" w:eastAsia="仿宋" w:cs="仿宋"/>
          <w:color w:val="auto"/>
          <w:sz w:val="24"/>
          <w:szCs w:val="24"/>
          <w:shd w:val="clear" w:color="auto" w:fill="FFFFFF"/>
        </w:rPr>
        <w:t>、商务要求、评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5CCC6F13">
      <w:pPr>
        <w:rPr>
          <w:rFonts w:hint="eastAsia" w:ascii="仿宋" w:hAnsi="仿宋" w:eastAsia="仿宋" w:cs="仿宋"/>
        </w:rPr>
      </w:pPr>
    </w:p>
    <w:p w14:paraId="2B6BFC46">
      <w:pPr>
        <w:rPr>
          <w:rFonts w:hint="eastAsia" w:ascii="仿宋" w:hAnsi="仿宋" w:eastAsia="仿宋" w:cs="仿宋"/>
        </w:rPr>
      </w:pPr>
    </w:p>
    <w:p w14:paraId="66CE24E0">
      <w:pPr>
        <w:rPr>
          <w:rFonts w:hint="eastAsia" w:ascii="仿宋" w:hAnsi="仿宋" w:eastAsia="仿宋" w:cs="仿宋"/>
        </w:rPr>
      </w:pPr>
    </w:p>
    <w:p w14:paraId="38CBF4F7">
      <w:pPr>
        <w:rPr>
          <w:rFonts w:hint="eastAsia" w:ascii="仿宋" w:hAnsi="仿宋" w:eastAsia="仿宋" w:cs="仿宋"/>
        </w:rPr>
      </w:pPr>
    </w:p>
    <w:p w14:paraId="2AD7C989">
      <w:pPr>
        <w:rPr>
          <w:rFonts w:hint="eastAsia" w:ascii="仿宋" w:hAnsi="仿宋" w:eastAsia="仿宋" w:cs="仿宋"/>
        </w:rPr>
      </w:pPr>
    </w:p>
    <w:p w14:paraId="6B13B939">
      <w:pPr>
        <w:rPr>
          <w:rFonts w:hint="eastAsia" w:ascii="仿宋" w:hAnsi="仿宋" w:eastAsia="仿宋" w:cs="仿宋"/>
        </w:rPr>
      </w:pPr>
    </w:p>
    <w:p w14:paraId="112F4D89">
      <w:pPr>
        <w:rPr>
          <w:rFonts w:hint="eastAsia" w:ascii="仿宋" w:hAnsi="仿宋" w:eastAsia="仿宋" w:cs="仿宋"/>
        </w:rPr>
      </w:pPr>
    </w:p>
    <w:p w14:paraId="3FD40A88">
      <w:pPr>
        <w:rPr>
          <w:rFonts w:hint="eastAsia" w:ascii="仿宋" w:hAnsi="仿宋" w:eastAsia="仿宋" w:cs="仿宋"/>
        </w:rPr>
      </w:pPr>
    </w:p>
    <w:p w14:paraId="1360429C">
      <w:pPr>
        <w:rPr>
          <w:rFonts w:hint="eastAsia" w:ascii="仿宋" w:hAnsi="仿宋" w:eastAsia="仿宋" w:cs="仿宋"/>
        </w:rPr>
      </w:pPr>
    </w:p>
    <w:p w14:paraId="7D09DF4F">
      <w:pPr>
        <w:pStyle w:val="24"/>
        <w:rPr>
          <w:rFonts w:hint="eastAsia" w:ascii="仿宋" w:hAnsi="仿宋" w:eastAsia="仿宋" w:cs="仿宋"/>
        </w:rPr>
      </w:pPr>
    </w:p>
    <w:p w14:paraId="3972ECE6">
      <w:pPr>
        <w:rPr>
          <w:rFonts w:hint="eastAsia" w:ascii="仿宋" w:hAnsi="仿宋" w:eastAsia="仿宋" w:cs="仿宋"/>
        </w:rPr>
      </w:pPr>
    </w:p>
    <w:p w14:paraId="75B7C929">
      <w:pPr>
        <w:rPr>
          <w:rFonts w:hint="eastAsia" w:ascii="仿宋" w:hAnsi="仿宋" w:eastAsia="仿宋" w:cs="仿宋"/>
        </w:rPr>
      </w:pPr>
    </w:p>
    <w:p w14:paraId="14E0F98F">
      <w:pPr>
        <w:jc w:val="both"/>
        <w:rPr>
          <w:rFonts w:hint="eastAsia" w:ascii="仿宋" w:hAnsi="仿宋" w:eastAsia="仿宋" w:cs="仿宋"/>
          <w:b/>
          <w:bCs/>
          <w:color w:val="auto"/>
          <w:sz w:val="36"/>
          <w:szCs w:val="36"/>
          <w:lang w:eastAsia="zh-CN"/>
        </w:rPr>
      </w:pPr>
    </w:p>
    <w:p w14:paraId="67E6E4BE">
      <w:pPr>
        <w:jc w:val="center"/>
        <w:rPr>
          <w:rFonts w:hint="eastAsia" w:ascii="仿宋" w:hAnsi="仿宋" w:eastAsia="仿宋" w:cs="仿宋"/>
          <w:b/>
          <w:bCs/>
          <w:color w:val="auto"/>
          <w:sz w:val="36"/>
          <w:szCs w:val="36"/>
          <w:lang w:eastAsia="zh-CN"/>
        </w:rPr>
      </w:pPr>
    </w:p>
    <w:p w14:paraId="692475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0CCBA740">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2CB09A65">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（1）具有独立承担民事责任的能力：</w:t>
      </w:r>
      <w:r>
        <w:rPr>
          <w:rFonts w:hint="eastAsia" w:ascii="仿宋" w:hAnsi="仿宋" w:eastAsia="仿宋" w:cs="仿宋"/>
          <w:color w:val="000000"/>
          <w:sz w:val="24"/>
          <w:szCs w:val="24"/>
          <w:u w:val="single"/>
        </w:rPr>
        <w:t>提供法人或其他组织的营业执照等证明文件，或自然人身份证明；</w:t>
      </w:r>
    </w:p>
    <w:p w14:paraId="2F6D98F0">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信誉和健全的财务会计制度：</w:t>
      </w:r>
      <w:r>
        <w:rPr>
          <w:rFonts w:hint="eastAsia" w:ascii="仿宋" w:hAnsi="仿宋" w:eastAsia="仿宋" w:cs="仿宋"/>
          <w:color w:val="auto"/>
          <w:sz w:val="24"/>
          <w:szCs w:val="24"/>
          <w:u w:val="single"/>
        </w:rPr>
        <w:t>提供</w:t>
      </w:r>
      <w:r>
        <w:rPr>
          <w:rFonts w:hint="eastAsia" w:ascii="仿宋" w:hAnsi="仿宋" w:eastAsia="仿宋" w:cs="仿宋"/>
          <w:color w:val="auto"/>
          <w:sz w:val="24"/>
          <w:szCs w:val="24"/>
          <w:u w:val="single"/>
          <w:lang w:val="en-US" w:eastAsia="zh-CN"/>
        </w:rPr>
        <w:t>2023年或</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000000"/>
          <w:sz w:val="24"/>
          <w:szCs w:val="24"/>
          <w:u w:val="single"/>
        </w:rPr>
        <w:t>；</w:t>
      </w:r>
    </w:p>
    <w:p w14:paraId="74ADAAAD">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（3）具有履行合同所必需的设备和专业技术能力：</w:t>
      </w:r>
      <w:r>
        <w:rPr>
          <w:rFonts w:hint="eastAsia" w:ascii="仿宋" w:hAnsi="仿宋" w:eastAsia="仿宋" w:cs="仿宋"/>
          <w:color w:val="000000"/>
          <w:sz w:val="24"/>
          <w:szCs w:val="24"/>
          <w:u w:val="single"/>
        </w:rPr>
        <w:t>提供具有履行合同所必需的设备和专业技术能力的相关资料</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提供承诺函、格式自拟</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w:t>
      </w:r>
    </w:p>
    <w:p w14:paraId="49FD40CC">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（4）有依法缴纳税收和社会保障资金的良好记录：</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p>
    <w:p w14:paraId="75D2A4F8">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（5）参加政府采购活动前三年内，在经营活动中没有重大违法记录：</w:t>
      </w:r>
      <w:r>
        <w:rPr>
          <w:rFonts w:hint="eastAsia" w:ascii="仿宋" w:hAnsi="仿宋" w:eastAsia="仿宋" w:cs="仿宋"/>
          <w:color w:val="000000"/>
          <w:sz w:val="24"/>
          <w:szCs w:val="24"/>
          <w:u w:val="single"/>
        </w:rPr>
        <w:t>提供参加政府采购活动前3年内在经营活动中没有重大违法记录的书面声明；</w:t>
      </w:r>
    </w:p>
    <w:p w14:paraId="43C7DE55">
      <w:pPr>
        <w:ind w:firstLine="480"/>
        <w:rPr>
          <w:rFonts w:hint="eastAsia" w:ascii="仿宋" w:hAnsi="仿宋" w:eastAsia="仿宋" w:cs="仿宋"/>
          <w:b w:val="0"/>
          <w:bCs/>
          <w:color w:val="000000"/>
          <w:sz w:val="24"/>
          <w:szCs w:val="24"/>
          <w:u w:val="single"/>
          <w:lang w:eastAsia="zh-CN"/>
        </w:rPr>
      </w:pPr>
      <w:r>
        <w:rPr>
          <w:rFonts w:hint="eastAsia" w:ascii="仿宋" w:hAnsi="仿宋" w:eastAsia="仿宋" w:cs="仿宋"/>
          <w:color w:val="000000"/>
          <w:sz w:val="24"/>
          <w:szCs w:val="24"/>
        </w:rPr>
        <w:t>（6）法律、行政法规规定的其他条件：投标人不得为“信用中国”网站中列入失信被执行人和重大税收违法案件当事人名单的投标人，</w:t>
      </w:r>
      <w:r>
        <w:rPr>
          <w:rFonts w:hint="eastAsia" w:ascii="仿宋" w:hAnsi="仿宋" w:eastAsia="仿宋" w:cs="仿宋"/>
          <w:color w:val="000000"/>
          <w:sz w:val="24"/>
          <w:szCs w:val="24"/>
          <w:lang w:val="en-US" w:eastAsia="zh-CN"/>
        </w:rPr>
        <w:t>不得为“中国执行信息公开网”</w:t>
      </w:r>
      <w:r>
        <w:rPr>
          <w:rFonts w:hint="eastAsia" w:ascii="仿宋" w:hAnsi="仿宋" w:eastAsia="仿宋" w:cs="仿宋"/>
          <w:color w:val="000000"/>
          <w:sz w:val="24"/>
          <w:szCs w:val="24"/>
        </w:rPr>
        <w:t>失信被执行人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000000"/>
          <w:sz w:val="24"/>
          <w:szCs w:val="24"/>
          <w:u w:val="single"/>
        </w:rPr>
        <w:t>1.提供承诺函（格式自拟），成交后，如经核查承诺内容不属实，取消成交资格。</w:t>
      </w:r>
    </w:p>
    <w:p w14:paraId="3897E539">
      <w:pPr>
        <w:ind w:firstLine="480"/>
        <w:rPr>
          <w:rFonts w:hint="eastAsia" w:ascii="仿宋" w:hAnsi="仿宋" w:eastAsia="仿宋" w:cs="仿宋"/>
          <w:strike w:val="0"/>
          <w:dstrike w:val="0"/>
          <w:color w:val="000000"/>
          <w:sz w:val="24"/>
          <w:szCs w:val="24"/>
        </w:rPr>
      </w:pPr>
      <w:r>
        <w:rPr>
          <w:rFonts w:hint="eastAsia" w:ascii="仿宋" w:hAnsi="仿宋" w:eastAsia="仿宋" w:cs="仿宋"/>
          <w:strike w:val="0"/>
          <w:dstrike w:val="0"/>
          <w:color w:val="auto"/>
          <w:sz w:val="24"/>
          <w:szCs w:val="32"/>
        </w:rPr>
        <w:t>2.落实政府采购政策需满足的资格要求：</w:t>
      </w:r>
      <w:r>
        <w:rPr>
          <w:rFonts w:hint="eastAsia" w:ascii="仿宋" w:hAnsi="仿宋" w:eastAsia="仿宋" w:cs="仿宋"/>
          <w:strike w:val="0"/>
          <w:dstrike w:val="0"/>
          <w:color w:val="auto"/>
          <w:sz w:val="24"/>
          <w:szCs w:val="24"/>
        </w:rPr>
        <w:t>（1）</w:t>
      </w:r>
      <w:r>
        <w:rPr>
          <w:rFonts w:hint="eastAsia" w:ascii="仿宋" w:hAnsi="仿宋" w:eastAsia="仿宋" w:cs="仿宋"/>
          <w:strike w:val="0"/>
          <w:dstrike w:val="0"/>
          <w:color w:val="auto"/>
          <w:sz w:val="24"/>
          <w:szCs w:val="24"/>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2</w:t>
      </w:r>
      <w:r>
        <w:rPr>
          <w:rFonts w:hint="eastAsia" w:ascii="仿宋" w:hAnsi="仿宋" w:eastAsia="仿宋" w:cs="仿宋"/>
          <w:strike w:val="0"/>
          <w:dstrike w:val="0"/>
          <w:color w:val="auto"/>
          <w:sz w:val="24"/>
          <w:szCs w:val="24"/>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sz w:val="24"/>
          <w:szCs w:val="24"/>
          <w:u w:val="single"/>
          <w:lang w:val="en-US" w:eastAsia="zh-CN"/>
        </w:rPr>
        <w:t>采购项目中标企业为小微企业（享受小微企业政策的）的，该项目不收取履约保证金。</w:t>
      </w:r>
    </w:p>
    <w:p w14:paraId="72C14119">
      <w:pPr>
        <w:pStyle w:val="4"/>
        <w:pageBreakBefore w:val="0"/>
        <w:widowControl w:val="0"/>
        <w:kinsoku/>
        <w:wordWrap/>
        <w:overflowPunct/>
        <w:topLinePunct w:val="0"/>
        <w:bidi w:val="0"/>
        <w:snapToGrid/>
        <w:spacing w:line="360" w:lineRule="auto"/>
        <w:jc w:val="both"/>
        <w:textAlignment w:val="auto"/>
        <w:rPr>
          <w:rFonts w:hint="eastAsia" w:ascii="仿宋" w:hAnsi="仿宋" w:eastAsia="仿宋"/>
          <w:color w:val="auto"/>
          <w:sz w:val="24"/>
          <w:szCs w:val="24"/>
        </w:rPr>
      </w:pPr>
      <w:r>
        <w:rPr>
          <w:rFonts w:hint="eastAsia" w:ascii="仿宋" w:hAnsi="仿宋" w:eastAsia="仿宋"/>
          <w:color w:val="auto"/>
          <w:sz w:val="24"/>
          <w:szCs w:val="24"/>
        </w:rPr>
        <w:t>3.本项目的特定资格要求：</w:t>
      </w:r>
      <w:r>
        <w:rPr>
          <w:rFonts w:hint="eastAsia" w:ascii="仿宋" w:hAnsi="仿宋" w:eastAsia="仿宋" w:cs="仿宋"/>
          <w:b/>
          <w:bCs/>
          <w:color w:val="000000"/>
          <w:sz w:val="24"/>
          <w:szCs w:val="24"/>
          <w:u w:val="single"/>
          <w:lang w:val="en-US" w:eastAsia="zh-CN"/>
        </w:rPr>
        <w:t>须具备建设行政主管部门核发的公路工程或市政公用工程施工总承包叁级及以上资质，</w:t>
      </w:r>
      <w:r>
        <w:rPr>
          <w:rFonts w:hint="eastAsia" w:ascii="仿宋" w:hAnsi="仿宋" w:eastAsia="仿宋" w:cs="仿宋"/>
          <w:b/>
          <w:bCs/>
          <w:color w:val="000000"/>
          <w:sz w:val="24"/>
          <w:szCs w:val="24"/>
          <w:u w:val="single"/>
        </w:rPr>
        <w:t>以及有效安全生产许可证</w:t>
      </w:r>
      <w:r>
        <w:rPr>
          <w:rFonts w:hint="eastAsia" w:ascii="仿宋" w:hAnsi="仿宋" w:eastAsia="仿宋" w:cs="仿宋"/>
          <w:b/>
          <w:bCs/>
          <w:color w:val="000000"/>
          <w:sz w:val="24"/>
          <w:szCs w:val="24"/>
          <w:u w:val="single"/>
          <w:lang w:eastAsia="zh-CN"/>
        </w:rPr>
        <w:t>。</w:t>
      </w:r>
    </w:p>
    <w:p w14:paraId="79415520">
      <w:pPr>
        <w:pStyle w:val="10"/>
        <w:ind w:left="0" w:leftChars="0" w:firstLine="0" w:firstLineChars="0"/>
        <w:jc w:val="both"/>
        <w:rPr>
          <w:rFonts w:hint="eastAsia" w:ascii="仿宋" w:hAnsi="仿宋" w:eastAsia="仿宋" w:cs="仿宋"/>
          <w:b/>
          <w:bCs/>
          <w:sz w:val="36"/>
          <w:szCs w:val="36"/>
          <w:lang w:val="en-US" w:eastAsia="zh-CN"/>
        </w:rPr>
      </w:pPr>
    </w:p>
    <w:p w14:paraId="424FA752">
      <w:pPr>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 xml:space="preserve"> </w:t>
      </w:r>
    </w:p>
    <w:p w14:paraId="520F6F68">
      <w:pPr>
        <w:jc w:val="center"/>
        <w:rPr>
          <w:rFonts w:hint="eastAsia" w:ascii="仿宋" w:hAnsi="仿宋" w:eastAsia="仿宋" w:cs="仿宋"/>
          <w:b/>
          <w:bCs/>
          <w:color w:val="auto"/>
          <w:sz w:val="36"/>
          <w:szCs w:val="36"/>
          <w:shd w:val="clear" w:color="auto" w:fill="FFFFFF"/>
        </w:rPr>
      </w:pPr>
    </w:p>
    <w:p w14:paraId="363C19FB">
      <w:pPr>
        <w:jc w:val="center"/>
        <w:rPr>
          <w:rFonts w:hint="eastAsia" w:ascii="仿宋" w:hAnsi="仿宋" w:eastAsia="仿宋" w:cs="仿宋"/>
          <w:b/>
          <w:bCs/>
          <w:color w:val="auto"/>
          <w:sz w:val="36"/>
          <w:szCs w:val="36"/>
          <w:shd w:val="clear" w:color="auto" w:fill="FFFFFF"/>
          <w:lang w:eastAsia="zh-CN"/>
        </w:rPr>
      </w:pPr>
      <w:r>
        <w:rPr>
          <w:rFonts w:hint="eastAsia" w:ascii="仿宋" w:hAnsi="仿宋" w:eastAsia="仿宋" w:cs="仿宋"/>
          <w:b/>
          <w:bCs/>
          <w:color w:val="auto"/>
          <w:sz w:val="36"/>
          <w:szCs w:val="36"/>
          <w:shd w:val="clear" w:color="auto" w:fill="FFFFFF"/>
        </w:rPr>
        <w:t>采购</w:t>
      </w:r>
      <w:r>
        <w:rPr>
          <w:rFonts w:hint="eastAsia" w:ascii="仿宋" w:hAnsi="仿宋" w:eastAsia="仿宋" w:cs="仿宋"/>
          <w:b/>
          <w:bCs/>
          <w:color w:val="auto"/>
          <w:sz w:val="36"/>
          <w:szCs w:val="36"/>
          <w:shd w:val="clear" w:color="auto" w:fill="FFFFFF"/>
          <w:lang w:val="en-US" w:eastAsia="zh-CN"/>
        </w:rPr>
        <w:t>需求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5506"/>
      </w:tblGrid>
      <w:tr w14:paraId="0A0B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16" w:type="dxa"/>
            <w:noWrap w:val="0"/>
            <w:vAlign w:val="top"/>
          </w:tcPr>
          <w:p w14:paraId="4554BD3B">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项目名称</w:t>
            </w:r>
          </w:p>
        </w:tc>
        <w:tc>
          <w:tcPr>
            <w:tcW w:w="5506" w:type="dxa"/>
            <w:noWrap w:val="0"/>
            <w:vAlign w:val="top"/>
          </w:tcPr>
          <w:p w14:paraId="40B4745D">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zh-CN"/>
              </w:rPr>
              <w:t>采购</w:t>
            </w:r>
            <w:r>
              <w:rPr>
                <w:rFonts w:hint="eastAsia" w:ascii="仿宋" w:hAnsi="仿宋" w:eastAsia="仿宋" w:cs="仿宋"/>
                <w:color w:val="auto"/>
                <w:sz w:val="22"/>
                <w:szCs w:val="22"/>
                <w:lang w:val="en-US" w:eastAsia="zh-CN"/>
              </w:rPr>
              <w:t>内容</w:t>
            </w:r>
          </w:p>
        </w:tc>
      </w:tr>
      <w:tr w14:paraId="7B4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3016" w:type="dxa"/>
            <w:noWrap w:val="0"/>
            <w:vAlign w:val="top"/>
          </w:tcPr>
          <w:p w14:paraId="7D0647DD">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仁怀市2025年本级第四批财政衔接推进乡村振兴补助资金项目合马镇农村公路提升改造项目</w:t>
            </w:r>
            <w:r>
              <w:rPr>
                <w:rFonts w:hint="eastAsia" w:ascii="仿宋" w:hAnsi="仿宋" w:eastAsia="仿宋" w:cs="仿宋"/>
                <w:color w:val="auto"/>
                <w:kern w:val="0"/>
                <w:sz w:val="24"/>
                <w:szCs w:val="24"/>
                <w:lang w:val="en-US" w:eastAsia="zh-CN" w:bidi="ar-SA"/>
              </w:rPr>
              <w:t>（二次招标）</w:t>
            </w:r>
          </w:p>
        </w:tc>
        <w:tc>
          <w:tcPr>
            <w:tcW w:w="5506" w:type="dxa"/>
            <w:noWrap w:val="0"/>
            <w:vAlign w:val="center"/>
          </w:tcPr>
          <w:p w14:paraId="0A123101">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以竞争性磋商文件为准</w:t>
            </w:r>
          </w:p>
          <w:p w14:paraId="5A41F2B5">
            <w:pPr>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kern w:val="0"/>
                <w:sz w:val="24"/>
                <w:szCs w:val="24"/>
                <w:lang w:val="en-US" w:eastAsia="zh-CN" w:bidi="ar-SA"/>
              </w:rPr>
            </w:pPr>
          </w:p>
        </w:tc>
      </w:tr>
    </w:tbl>
    <w:p w14:paraId="7E93FE76">
      <w:pPr>
        <w:jc w:val="center"/>
        <w:rPr>
          <w:rFonts w:hint="eastAsia" w:ascii="Times New Roman" w:hAnsi="Times New Roman" w:cs="Times New Roman"/>
          <w:b/>
          <w:bCs/>
          <w:color w:val="auto"/>
          <w:sz w:val="28"/>
          <w:szCs w:val="28"/>
          <w:lang w:val="en-US" w:eastAsia="zh-CN"/>
        </w:rPr>
      </w:pPr>
    </w:p>
    <w:p w14:paraId="4231DF98">
      <w:pPr>
        <w:jc w:val="center"/>
        <w:rPr>
          <w:rFonts w:hint="default" w:ascii="Times New Roman" w:hAnsi="Times New Roman" w:cs="Times New Roman"/>
          <w:b/>
          <w:bCs/>
          <w:color w:val="auto"/>
          <w:sz w:val="28"/>
          <w:szCs w:val="28"/>
          <w:lang w:val="en-US" w:eastAsia="zh-CN"/>
        </w:rPr>
      </w:pPr>
    </w:p>
    <w:p w14:paraId="7FE06DE1">
      <w:pPr>
        <w:jc w:val="both"/>
        <w:rPr>
          <w:rFonts w:hint="eastAsia" w:ascii="仿宋" w:hAnsi="仿宋" w:eastAsia="仿宋" w:cs="仿宋"/>
          <w:b/>
          <w:bCs/>
          <w:color w:val="auto"/>
          <w:sz w:val="36"/>
          <w:szCs w:val="36"/>
          <w:shd w:val="clear" w:color="auto" w:fill="FFFFFF"/>
        </w:rPr>
      </w:pPr>
    </w:p>
    <w:p w14:paraId="70560ED1">
      <w:pP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br w:type="page"/>
      </w:r>
    </w:p>
    <w:p w14:paraId="73ECDD35">
      <w:pPr>
        <w:jc w:val="center"/>
        <w:rPr>
          <w:rFonts w:hint="eastAsia" w:ascii="仿宋" w:hAnsi="仿宋" w:eastAsia="仿宋" w:cs="仿宋"/>
          <w:color w:val="auto"/>
          <w:highlight w:val="none"/>
        </w:rPr>
      </w:pPr>
      <w:r>
        <w:rPr>
          <w:rFonts w:hint="eastAsia" w:ascii="仿宋" w:hAnsi="仿宋" w:eastAsia="仿宋" w:cs="仿宋"/>
          <w:b/>
          <w:bCs/>
          <w:color w:val="auto"/>
          <w:sz w:val="36"/>
          <w:szCs w:val="36"/>
          <w:shd w:val="clear" w:color="auto" w:fill="FFFFFF"/>
        </w:rPr>
        <w:t>商务要求</w:t>
      </w:r>
    </w:p>
    <w:p w14:paraId="0B966D76">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一、</w:t>
      </w:r>
      <w:r>
        <w:rPr>
          <w:rStyle w:val="18"/>
          <w:rFonts w:hint="eastAsia" w:ascii="仿宋" w:hAnsi="仿宋" w:eastAsia="仿宋" w:cs="仿宋"/>
          <w:color w:val="auto"/>
          <w:lang w:eastAsia="zh-CN"/>
        </w:rPr>
        <w:t>工期及建设地点</w:t>
      </w:r>
    </w:p>
    <w:p w14:paraId="7E62BCF5">
      <w:pPr>
        <w:spacing w:before="240" w:beforeLines="100" w:after="120" w:afterLines="50"/>
        <w:ind w:firstLine="480"/>
        <w:rPr>
          <w:rFonts w:hint="default" w:ascii="仿宋" w:hAnsi="仿宋" w:eastAsia="仿宋" w:cs="仿宋"/>
          <w:b w:val="0"/>
          <w:bCs w:val="0"/>
          <w:color w:val="auto"/>
          <w:sz w:val="24"/>
          <w:szCs w:val="32"/>
          <w:highlight w:val="none"/>
          <w:lang w:val="en-US" w:eastAsia="zh-CN"/>
        </w:rPr>
      </w:pPr>
      <w:r>
        <w:rPr>
          <w:rFonts w:hint="eastAsia" w:ascii="仿宋" w:hAnsi="仿宋" w:eastAsia="仿宋" w:cs="仿宋"/>
          <w:color w:val="auto"/>
          <w:highlight w:val="none"/>
          <w:lang w:eastAsia="zh-CN"/>
        </w:rPr>
        <w:t>工期：</w:t>
      </w:r>
      <w:r>
        <w:rPr>
          <w:rFonts w:hint="eastAsia" w:ascii="仿宋" w:hAnsi="仿宋" w:eastAsia="仿宋" w:cs="仿宋"/>
          <w:color w:val="auto"/>
          <w:highlight w:val="none"/>
          <w:lang w:val="en-US" w:eastAsia="zh-CN"/>
        </w:rPr>
        <w:t>90日历天</w:t>
      </w:r>
    </w:p>
    <w:p w14:paraId="1E78DA4D">
      <w:pPr>
        <w:ind w:firstLine="480"/>
        <w:rPr>
          <w:rFonts w:hint="eastAsia" w:ascii="仿宋" w:hAnsi="仿宋" w:eastAsia="仿宋" w:cs="仿宋"/>
          <w:color w:val="auto"/>
        </w:rPr>
      </w:pPr>
      <w:r>
        <w:rPr>
          <w:rFonts w:hint="eastAsia" w:ascii="仿宋" w:hAnsi="仿宋" w:eastAsia="仿宋" w:cs="仿宋"/>
          <w:b w:val="0"/>
          <w:bCs w:val="0"/>
          <w:color w:val="auto"/>
          <w:sz w:val="24"/>
          <w:szCs w:val="32"/>
          <w:lang w:eastAsia="zh-CN"/>
        </w:rPr>
        <w:t>建设地点：</w:t>
      </w:r>
      <w:r>
        <w:rPr>
          <w:rFonts w:hint="eastAsia" w:ascii="仿宋" w:hAnsi="仿宋" w:eastAsia="仿宋" w:cs="仿宋"/>
          <w:b w:val="0"/>
          <w:bCs w:val="0"/>
          <w:color w:val="auto"/>
          <w:sz w:val="24"/>
          <w:szCs w:val="32"/>
          <w:lang w:val="en-US" w:eastAsia="zh-CN"/>
        </w:rPr>
        <w:t>采购人指定地点</w:t>
      </w:r>
    </w:p>
    <w:p w14:paraId="103CA379">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二、验收标准、规范</w:t>
      </w:r>
    </w:p>
    <w:p w14:paraId="4BB5A596">
      <w:pPr>
        <w:ind w:firstLine="480"/>
        <w:rPr>
          <w:rFonts w:hint="eastAsia" w:ascii="仿宋" w:hAnsi="仿宋" w:eastAsia="仿宋" w:cs="仿宋"/>
          <w:color w:val="auto"/>
          <w:lang w:eastAsia="zh-CN"/>
        </w:rPr>
      </w:pPr>
      <w:r>
        <w:rPr>
          <w:rFonts w:hint="eastAsia" w:ascii="仿宋" w:hAnsi="仿宋" w:eastAsia="仿宋" w:cs="仿宋"/>
          <w:color w:val="auto"/>
          <w:lang w:eastAsia="zh-CN"/>
        </w:rPr>
        <w:t>工程质量：符合国家现行有关施工质量验收规范合格标准；</w:t>
      </w:r>
    </w:p>
    <w:p w14:paraId="601E420D">
      <w:pPr>
        <w:ind w:firstLine="480"/>
        <w:rPr>
          <w:rFonts w:hint="eastAsia" w:ascii="仿宋" w:hAnsi="仿宋" w:eastAsia="仿宋" w:cs="仿宋"/>
          <w:color w:val="auto"/>
          <w:lang w:eastAsia="zh-CN"/>
        </w:rPr>
      </w:pPr>
      <w:r>
        <w:rPr>
          <w:rFonts w:hint="eastAsia" w:ascii="仿宋" w:hAnsi="仿宋" w:eastAsia="仿宋" w:cs="仿宋"/>
          <w:color w:val="auto"/>
          <w:lang w:eastAsia="zh-CN"/>
        </w:rPr>
        <w:t>施工安全文明标准化：满足有关规范标准要求。</w:t>
      </w:r>
    </w:p>
    <w:p w14:paraId="01DF39B5">
      <w:pPr>
        <w:ind w:firstLine="480"/>
        <w:rPr>
          <w:rFonts w:hint="eastAsia" w:ascii="仿宋" w:hAnsi="仿宋" w:eastAsia="仿宋" w:cs="仿宋"/>
          <w:color w:val="auto"/>
        </w:rPr>
      </w:pPr>
      <w:r>
        <w:rPr>
          <w:rFonts w:hint="eastAsia" w:ascii="仿宋" w:hAnsi="仿宋" w:eastAsia="仿宋" w:cs="仿宋"/>
          <w:color w:val="auto"/>
          <w:lang w:eastAsia="zh-CN"/>
        </w:rPr>
        <w:t>材料要求：投标人在本工程中用的所有材料都必须符合设计和业主要求，材料的各项物理性能和化学成分均应符合国家相应规范及标准。</w:t>
      </w:r>
    </w:p>
    <w:p w14:paraId="7B02F17C">
      <w:pPr>
        <w:numPr>
          <w:ilvl w:val="0"/>
          <w:numId w:val="0"/>
        </w:numPr>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三、招标范围</w:t>
      </w:r>
    </w:p>
    <w:p w14:paraId="7CDA56E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strike/>
          <w:dstrike w:val="0"/>
          <w:color w:val="auto"/>
          <w:szCs w:val="21"/>
        </w:rPr>
        <w:t>施工图纸和相应</w:t>
      </w:r>
      <w:r>
        <w:rPr>
          <w:rFonts w:hint="eastAsia" w:ascii="仿宋" w:hAnsi="仿宋" w:eastAsia="仿宋" w:cs="仿宋"/>
          <w:color w:val="auto"/>
          <w:szCs w:val="21"/>
        </w:rPr>
        <w:t>工程量清单所表达的范围</w:t>
      </w:r>
      <w:r>
        <w:rPr>
          <w:rFonts w:hint="eastAsia" w:ascii="仿宋" w:hAnsi="仿宋" w:eastAsia="仿宋" w:cs="仿宋"/>
          <w:color w:val="auto"/>
          <w:szCs w:val="21"/>
          <w:lang w:eastAsia="zh-CN"/>
        </w:rPr>
        <w:t>。</w:t>
      </w:r>
    </w:p>
    <w:p w14:paraId="6EAE420C">
      <w:pPr>
        <w:keepNext w:val="0"/>
        <w:keepLines w:val="0"/>
        <w:pageBreakBefore w:val="0"/>
        <w:widowControl w:val="0"/>
        <w:numPr>
          <w:ilvl w:val="0"/>
          <w:numId w:val="0"/>
        </w:numPr>
        <w:kinsoku/>
        <w:wordWrap/>
        <w:overflowPunct/>
        <w:topLinePunct w:val="0"/>
        <w:autoSpaceDE/>
        <w:autoSpaceDN/>
        <w:bidi w:val="0"/>
        <w:adjustRightInd/>
        <w:snapToGrid/>
        <w:textAlignment w:val="auto"/>
        <w:rPr>
          <w:rStyle w:val="18"/>
          <w:rFonts w:hint="eastAsia" w:ascii="仿宋" w:hAnsi="仿宋" w:eastAsia="仿宋" w:cs="仿宋"/>
          <w:color w:val="auto"/>
          <w:lang w:val="en-US" w:eastAsia="zh-CN"/>
        </w:rPr>
      </w:pPr>
      <w:r>
        <w:rPr>
          <w:rStyle w:val="18"/>
          <w:rFonts w:hint="eastAsia" w:ascii="仿宋" w:hAnsi="仿宋" w:eastAsia="仿宋" w:cs="仿宋"/>
          <w:bCs/>
          <w:color w:val="auto"/>
          <w:lang w:val="en-US" w:eastAsia="zh-CN"/>
        </w:rPr>
        <w:t>四、项目管理机构</w:t>
      </w:r>
    </w:p>
    <w:p w14:paraId="238529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1</w:t>
      </w:r>
      <w:r>
        <w:rPr>
          <w:rFonts w:hint="eastAsia" w:ascii="仿宋" w:hAnsi="仿宋" w:eastAsia="仿宋" w:cs="仿宋"/>
          <w:color w:val="auto"/>
          <w:u w:val="none"/>
          <w:lang w:eastAsia="zh-CN"/>
        </w:rPr>
        <w:t>）项目经理系已在投标人单位注册和在职人员，并具备</w:t>
      </w:r>
      <w:r>
        <w:rPr>
          <w:rFonts w:hint="eastAsia" w:ascii="仿宋" w:hAnsi="仿宋" w:eastAsia="仿宋" w:cs="仿宋"/>
          <w:b/>
          <w:bCs/>
          <w:i w:val="0"/>
          <w:iCs w:val="0"/>
          <w:color w:val="auto"/>
          <w:sz w:val="24"/>
          <w:szCs w:val="24"/>
          <w:u w:val="single"/>
          <w:lang w:val="en-US" w:eastAsia="zh-CN"/>
        </w:rPr>
        <w:t>公路工程专业</w:t>
      </w:r>
      <w:r>
        <w:rPr>
          <w:rFonts w:hint="eastAsia" w:ascii="仿宋" w:hAnsi="仿宋" w:eastAsia="仿宋" w:cs="仿宋"/>
          <w:b/>
          <w:bCs/>
          <w:color w:val="000000"/>
          <w:sz w:val="24"/>
          <w:szCs w:val="24"/>
          <w:u w:val="single"/>
          <w:lang w:val="en-US" w:eastAsia="zh-CN"/>
        </w:rPr>
        <w:t>或市政公用工程专业</w:t>
      </w:r>
      <w:r>
        <w:rPr>
          <w:rFonts w:hint="eastAsia" w:ascii="仿宋" w:hAnsi="仿宋" w:eastAsia="仿宋" w:cs="仿宋"/>
          <w:b/>
          <w:bCs/>
          <w:i w:val="0"/>
          <w:iCs w:val="0"/>
          <w:color w:val="auto"/>
          <w:sz w:val="24"/>
          <w:szCs w:val="24"/>
          <w:u w:val="single"/>
          <w:lang w:val="en-US" w:eastAsia="zh-CN"/>
        </w:rPr>
        <w:t>贰级</w:t>
      </w:r>
      <w:r>
        <w:rPr>
          <w:rFonts w:hint="eastAsia" w:ascii="仿宋" w:hAnsi="仿宋" w:eastAsia="仿宋" w:cs="仿宋"/>
          <w:color w:val="auto"/>
          <w:sz w:val="24"/>
          <w:szCs w:val="24"/>
          <w:u w:val="none"/>
          <w:lang w:val="en-US" w:eastAsia="zh-CN"/>
        </w:rPr>
        <w:t>（含以上级）注册建造师</w:t>
      </w:r>
      <w:r>
        <w:rPr>
          <w:rFonts w:hint="eastAsia" w:ascii="仿宋" w:hAnsi="仿宋" w:eastAsia="仿宋" w:cs="仿宋"/>
          <w:color w:val="auto"/>
          <w:sz w:val="24"/>
          <w:szCs w:val="24"/>
          <w:u w:val="none"/>
          <w:lang w:eastAsia="zh-CN"/>
        </w:rPr>
        <w:t>，具</w:t>
      </w:r>
      <w:r>
        <w:rPr>
          <w:rFonts w:hint="eastAsia" w:ascii="仿宋" w:hAnsi="仿宋" w:eastAsia="仿宋" w:cs="仿宋"/>
          <w:color w:val="auto"/>
          <w:u w:val="none"/>
          <w:lang w:eastAsia="zh-CN"/>
        </w:rPr>
        <w:t>备有效的安全生产考核合格证书（B类），且未担任其他在建建设工程项目的项目经理。项目负责人（项目经理）应附注册证、资格证、职称证（若有）、安全生产考核合格证（B类）、养老保险复印件或扫描件。</w:t>
      </w:r>
    </w:p>
    <w:p w14:paraId="6A5B68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2</w:t>
      </w:r>
      <w:r>
        <w:rPr>
          <w:rFonts w:hint="eastAsia" w:ascii="仿宋" w:hAnsi="仿宋" w:eastAsia="仿宋" w:cs="仿宋"/>
          <w:color w:val="auto"/>
          <w:u w:val="none"/>
          <w:lang w:eastAsia="zh-CN"/>
        </w:rPr>
        <w:t>）主要管理人员（至少各一人）：</w:t>
      </w:r>
      <w:r>
        <w:rPr>
          <w:rFonts w:hint="eastAsia" w:ascii="仿宋" w:hAnsi="仿宋" w:eastAsia="仿宋" w:cs="仿宋"/>
          <w:b/>
          <w:bCs/>
          <w:color w:val="auto"/>
          <w:u w:val="single"/>
          <w:lang w:eastAsia="zh-CN"/>
        </w:rPr>
        <w:t>技术负责人、施工员、质量员、安全员、材料员、资料员</w:t>
      </w:r>
      <w:r>
        <w:rPr>
          <w:rFonts w:hint="eastAsia" w:ascii="仿宋" w:hAnsi="仿宋" w:eastAsia="仿宋" w:cs="仿宋"/>
          <w:color w:val="auto"/>
          <w:u w:val="none"/>
          <w:lang w:eastAsia="zh-CN"/>
        </w:rPr>
        <w:t>，主要管理人员应附养老保险复印件或扫描件，技术负责人、施工员、质量员、材料员、资料员附岗位证复印件或扫描件，安全员附安全生产考核合格证（C类）复印件或扫描件。</w:t>
      </w:r>
    </w:p>
    <w:p w14:paraId="6AC72AD6">
      <w:pPr>
        <w:numPr>
          <w:ilvl w:val="0"/>
          <w:numId w:val="0"/>
        </w:numPr>
        <w:ind w:leftChars="0" w:firstLine="422" w:firstLineChars="200"/>
        <w:rPr>
          <w:rStyle w:val="18"/>
          <w:rFonts w:hint="eastAsia" w:ascii="仿宋" w:hAnsi="仿宋" w:eastAsia="仿宋" w:cs="仿宋"/>
          <w:color w:val="auto"/>
          <w:lang w:eastAsia="zh-CN"/>
        </w:rPr>
      </w:pPr>
      <w:r>
        <w:rPr>
          <w:rFonts w:hint="eastAsia" w:ascii="仿宋" w:hAnsi="仿宋" w:eastAsia="仿宋" w:cs="仿宋"/>
          <w:b/>
          <w:bCs/>
          <w:color w:val="auto"/>
          <w:u w:val="none"/>
          <w:lang w:eastAsia="zh-CN"/>
        </w:rPr>
        <w:t>注：</w:t>
      </w:r>
      <w:r>
        <w:rPr>
          <w:rFonts w:hint="eastAsia" w:ascii="仿宋" w:hAnsi="仿宋" w:eastAsia="仿宋" w:cs="仿宋"/>
          <w:color w:val="auto"/>
          <w:u w:val="none"/>
          <w:lang w:eastAsia="zh-CN"/>
        </w:rPr>
        <w:t>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0FDCE585">
      <w:pPr>
        <w:numPr>
          <w:ilvl w:val="0"/>
          <w:numId w:val="0"/>
        </w:numPr>
        <w:ind w:leftChars="0"/>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五、现场踏勘</w:t>
      </w:r>
    </w:p>
    <w:p w14:paraId="77BAB5DE">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Style w:val="18"/>
          <w:rFonts w:hint="eastAsia" w:ascii="仿宋" w:hAnsi="仿宋" w:eastAsia="仿宋" w:cs="仿宋"/>
          <w:color w:val="auto"/>
          <w:lang w:eastAsia="zh-CN"/>
        </w:rPr>
      </w:pPr>
      <w:r>
        <w:rPr>
          <w:rFonts w:hint="eastAsia" w:ascii="仿宋" w:hAnsi="仿宋" w:eastAsia="仿宋" w:cs="仿宋"/>
          <w:color w:val="auto"/>
          <w:lang w:eastAsia="zh-CN"/>
        </w:rPr>
        <w:t>施工方自行提前踏勘施工地点，熟悉现场施工条件，未自行踏勘施工现场的视为对施工现场条件了解，不得对采购人提出其他异议。</w:t>
      </w:r>
    </w:p>
    <w:p w14:paraId="7FEB1FBB">
      <w:pPr>
        <w:ind w:firstLine="0" w:firstLineChars="0"/>
        <w:rPr>
          <w:rStyle w:val="18"/>
          <w:rFonts w:hint="eastAsia" w:ascii="仿宋" w:hAnsi="仿宋" w:eastAsia="仿宋" w:cs="仿宋"/>
          <w:color w:val="auto"/>
        </w:rPr>
      </w:pPr>
      <w:r>
        <w:rPr>
          <w:rStyle w:val="18"/>
          <w:rFonts w:hint="eastAsia" w:ascii="仿宋" w:hAnsi="仿宋" w:eastAsia="仿宋" w:cs="仿宋"/>
          <w:color w:val="auto"/>
          <w:lang w:eastAsia="zh-CN"/>
        </w:rPr>
        <w:t>六</w:t>
      </w:r>
      <w:r>
        <w:rPr>
          <w:rStyle w:val="18"/>
          <w:rFonts w:hint="eastAsia" w:ascii="仿宋" w:hAnsi="仿宋" w:eastAsia="仿宋" w:cs="仿宋"/>
          <w:color w:val="auto"/>
        </w:rPr>
        <w:t>、投标有效期</w:t>
      </w:r>
    </w:p>
    <w:p w14:paraId="1A8BF0FD">
      <w:pPr>
        <w:ind w:firstLine="480"/>
        <w:rPr>
          <w:rStyle w:val="18"/>
          <w:rFonts w:hint="eastAsia" w:ascii="仿宋" w:hAnsi="仿宋" w:eastAsia="仿宋" w:cs="仿宋"/>
          <w:strike/>
          <w:dstrike w:val="0"/>
          <w:color w:val="auto"/>
          <w:lang w:eastAsia="zh-CN"/>
        </w:rPr>
      </w:pPr>
      <w:r>
        <w:rPr>
          <w:rFonts w:hint="eastAsia" w:ascii="仿宋" w:hAnsi="仿宋" w:eastAsia="仿宋" w:cs="仿宋"/>
          <w:color w:val="auto"/>
        </w:rPr>
        <w:t>投标人的投标从开标之日起</w:t>
      </w:r>
      <w:r>
        <w:rPr>
          <w:rFonts w:hint="eastAsia" w:ascii="仿宋" w:hAnsi="仿宋" w:eastAsia="仿宋" w:cs="仿宋"/>
          <w:color w:val="auto"/>
          <w:lang w:val="en-US" w:eastAsia="zh-CN"/>
        </w:rPr>
        <w:t>60</w:t>
      </w:r>
      <w:r>
        <w:rPr>
          <w:rFonts w:hint="eastAsia" w:ascii="仿宋" w:hAnsi="仿宋" w:eastAsia="仿宋" w:cs="仿宋"/>
          <w:color w:val="auto"/>
        </w:rPr>
        <w:t>个日历</w:t>
      </w:r>
      <w:r>
        <w:rPr>
          <w:rFonts w:hint="eastAsia" w:ascii="仿宋" w:hAnsi="仿宋" w:eastAsia="仿宋" w:cs="仿宋"/>
          <w:color w:val="auto"/>
          <w:lang w:val="en-US" w:eastAsia="zh-CN"/>
        </w:rPr>
        <w:t>天</w:t>
      </w:r>
      <w:r>
        <w:rPr>
          <w:rFonts w:hint="eastAsia" w:ascii="仿宋" w:hAnsi="仿宋" w:eastAsia="仿宋" w:cs="仿宋"/>
          <w:color w:val="auto"/>
        </w:rPr>
        <w:t>内为投标有效期，在此期间，投标人不得以任何借口撤销自己的投</w:t>
      </w:r>
      <w:r>
        <w:rPr>
          <w:rFonts w:hint="eastAsia" w:ascii="仿宋" w:hAnsi="仿宋" w:eastAsia="仿宋" w:cs="仿宋"/>
          <w:strike w:val="0"/>
          <w:dstrike w:val="0"/>
          <w:color w:val="auto"/>
        </w:rPr>
        <w:t>标，</w:t>
      </w:r>
      <w:r>
        <w:rPr>
          <w:rFonts w:hint="eastAsia" w:ascii="仿宋" w:hAnsi="仿宋" w:eastAsia="仿宋" w:cs="仿宋"/>
          <w:strike/>
          <w:dstrike w:val="0"/>
          <w:color w:val="auto"/>
        </w:rPr>
        <w:t>否则将不退还其所交纳的投标保证金。</w:t>
      </w:r>
    </w:p>
    <w:p w14:paraId="3504CE74">
      <w:pPr>
        <w:ind w:left="0" w:leftChars="0" w:firstLine="0" w:firstLineChars="0"/>
        <w:rPr>
          <w:rFonts w:hint="eastAsia" w:ascii="仿宋" w:hAnsi="仿宋" w:eastAsia="仿宋" w:cs="仿宋"/>
          <w:color w:val="auto"/>
          <w:lang w:val="en-US" w:eastAsia="zh-CN"/>
        </w:rPr>
      </w:pPr>
      <w:r>
        <w:rPr>
          <w:rStyle w:val="18"/>
          <w:rFonts w:hint="eastAsia" w:ascii="仿宋" w:hAnsi="仿宋" w:eastAsia="仿宋" w:cs="仿宋"/>
          <w:color w:val="auto"/>
          <w:lang w:eastAsia="zh-CN"/>
        </w:rPr>
        <w:t>七、</w:t>
      </w:r>
      <w:r>
        <w:rPr>
          <w:rFonts w:hint="eastAsia" w:ascii="仿宋" w:hAnsi="仿宋" w:eastAsia="仿宋" w:cs="仿宋"/>
          <w:color w:val="auto"/>
          <w:lang w:val="en-US" w:eastAsia="zh-CN"/>
        </w:rPr>
        <w:t>投标人不得存在下列情形之一：</w:t>
      </w:r>
    </w:p>
    <w:p w14:paraId="6E9C9B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（1）为招标人不具有独立法人资格的附属机构（单位）； </w:t>
      </w:r>
    </w:p>
    <w:p w14:paraId="5EEAC23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（2）为本项目前期准备提供设计或咨询服务的； </w:t>
      </w:r>
    </w:p>
    <w:p w14:paraId="62C1625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（3）为本项目的监理人；</w:t>
      </w:r>
    </w:p>
    <w:p w14:paraId="619E41F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（4）为本项目的代建人； </w:t>
      </w:r>
    </w:p>
    <w:p w14:paraId="0B9AAC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（5）为本项目提供招标代理服务的； </w:t>
      </w:r>
    </w:p>
    <w:p w14:paraId="4C7DAD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（6）与本项目的监理人或代建人或招标代理机构同为一个法定代表人的；</w:t>
      </w:r>
    </w:p>
    <w:p w14:paraId="4250DCA1">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（7）与本项目的监理人或代建人或招标代理机构相互控股或参股的；</w:t>
      </w:r>
    </w:p>
    <w:p w14:paraId="0D5AF4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（8）与本项目的监理人或代建人或招标代理机构相互任职或工作的；</w:t>
      </w:r>
    </w:p>
    <w:p w14:paraId="755F60C6">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（9）被责令停业的； </w:t>
      </w:r>
    </w:p>
    <w:p w14:paraId="0B5175D5">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（10）被暂停或取消投标资格的； </w:t>
      </w:r>
    </w:p>
    <w:p w14:paraId="53E929A0">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（11）财产被接管或冻结的；</w:t>
      </w:r>
    </w:p>
    <w:p w14:paraId="5B4FC832">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（12）在最近三年内有骗取中标或严重违约或重大工程质量问题的。</w:t>
      </w:r>
    </w:p>
    <w:p w14:paraId="2A9D820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（13）单位负责人为同一人或者存在控股、管理关系的不同单位，不得同时参加本项目投标。</w:t>
      </w:r>
    </w:p>
    <w:p w14:paraId="55604CDC">
      <w:pPr>
        <w:ind w:left="0" w:leftChars="0" w:firstLine="0" w:firstLineChars="0"/>
        <w:rPr>
          <w:rFonts w:hint="eastAsia" w:ascii="仿宋" w:hAnsi="仿宋" w:eastAsia="仿宋" w:cs="仿宋"/>
          <w:color w:val="auto"/>
          <w:lang w:eastAsia="zh-CN"/>
        </w:rPr>
      </w:pPr>
      <w:r>
        <w:rPr>
          <w:rStyle w:val="18"/>
          <w:rFonts w:hint="eastAsia" w:ascii="仿宋" w:hAnsi="仿宋" w:eastAsia="仿宋" w:cs="仿宋"/>
          <w:color w:val="auto"/>
          <w:lang w:eastAsia="zh-CN"/>
        </w:rPr>
        <w:t>八</w:t>
      </w:r>
      <w:r>
        <w:rPr>
          <w:rStyle w:val="18"/>
          <w:rFonts w:hint="eastAsia" w:ascii="仿宋" w:hAnsi="仿宋" w:eastAsia="仿宋" w:cs="仿宋"/>
          <w:color w:val="auto"/>
        </w:rPr>
        <w:t>、</w:t>
      </w:r>
      <w:r>
        <w:rPr>
          <w:rStyle w:val="18"/>
          <w:rFonts w:hint="eastAsia" w:ascii="仿宋" w:hAnsi="仿宋" w:eastAsia="仿宋" w:cs="仿宋"/>
          <w:color w:val="auto"/>
          <w:lang w:eastAsia="zh-CN"/>
        </w:rPr>
        <w:t>其他</w:t>
      </w:r>
    </w:p>
    <w:p w14:paraId="0EE64D8F">
      <w:pPr>
        <w:ind w:firstLine="480"/>
        <w:rPr>
          <w:rFonts w:hint="eastAsia" w:ascii="仿宋" w:hAnsi="仿宋" w:eastAsia="仿宋" w:cs="仿宋"/>
          <w:color w:val="auto"/>
          <w:lang w:val="en-US" w:eastAsia="zh-CN"/>
        </w:rPr>
      </w:pPr>
      <w:r>
        <w:rPr>
          <w:rFonts w:hint="eastAsia" w:ascii="仿宋" w:hAnsi="仿宋" w:eastAsia="仿宋" w:cs="仿宋"/>
          <w:color w:val="auto"/>
          <w:lang w:val="en-US" w:eastAsia="zh-CN"/>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35102D82">
      <w:pPr>
        <w:ind w:firstLine="480"/>
        <w:rPr>
          <w:rFonts w:hint="eastAsia" w:ascii="仿宋" w:hAnsi="仿宋" w:eastAsia="仿宋" w:cs="仿宋"/>
          <w:color w:val="auto"/>
          <w:lang w:val="en-US" w:eastAsia="zh-CN"/>
        </w:rPr>
      </w:pPr>
      <w:r>
        <w:rPr>
          <w:rFonts w:hint="eastAsia" w:ascii="仿宋" w:hAnsi="仿宋" w:eastAsia="仿宋" w:cs="仿宋"/>
          <w:b w:val="0"/>
          <w:bCs w:val="0"/>
          <w:color w:val="auto"/>
          <w:lang w:val="en-US" w:eastAsia="zh-CN"/>
        </w:rPr>
        <w:t>2、（1）投标报价采用的币种为人民币；（2）投标报价为在投标人在本招标文件规定工期内完成本招标文件所列招标范围内工程所需各项费用的总和。（3）各投标单位根据招标人提供的</w:t>
      </w:r>
      <w:r>
        <w:rPr>
          <w:rFonts w:hint="eastAsia" w:ascii="仿宋" w:hAnsi="仿宋" w:eastAsia="仿宋" w:cs="仿宋"/>
          <w:b w:val="0"/>
          <w:bCs w:val="0"/>
          <w:strike/>
          <w:dstrike w:val="0"/>
          <w:color w:val="auto"/>
          <w:lang w:val="en-US" w:eastAsia="zh-CN"/>
        </w:rPr>
        <w:t>施工图纸</w:t>
      </w:r>
      <w:r>
        <w:rPr>
          <w:rFonts w:hint="eastAsia" w:ascii="仿宋" w:hAnsi="仿宋" w:eastAsia="仿宋" w:cs="仿宋"/>
          <w:b w:val="0"/>
          <w:bCs w:val="0"/>
          <w:color w:val="auto"/>
          <w:lang w:val="en-US" w:eastAsia="zh-CN"/>
        </w:rPr>
        <w:t>、现场踏勘情况、答疑文件及其相关配套文件并结合企业管理水平及本招标工程项目所在地市场价格行情进行报价。</w:t>
      </w:r>
    </w:p>
    <w:p w14:paraId="5771F252">
      <w:pPr>
        <w:keepNext w:val="0"/>
        <w:keepLines w:val="0"/>
        <w:widowControl/>
        <w:suppressLineNumbers w:val="0"/>
        <w:jc w:val="both"/>
      </w:pPr>
    </w:p>
    <w:p w14:paraId="6523E0D1">
      <w:pPr>
        <w:pStyle w:val="50"/>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51078C7A">
      <w:pPr>
        <w:pStyle w:val="24"/>
        <w:keepNext w:val="0"/>
        <w:keepLines w:val="0"/>
        <w:pageBreakBefore w:val="0"/>
        <w:widowControl w:val="0"/>
        <w:kinsoku/>
        <w:wordWrap/>
        <w:overflowPunct/>
        <w:topLinePunct w:val="0"/>
        <w:bidi w:val="0"/>
        <w:adjustRightInd w:val="0"/>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u w:val="none"/>
          <w:shd w:val="clear" w:color="auto" w:fill="auto"/>
          <w:lang w:val="en-US" w:eastAsia="zh-CN" w:bidi="ar-SA"/>
        </w:rPr>
        <w:t>注：清单和内容以最终发稿版的竞争性磋商文件为准。</w:t>
      </w:r>
    </w:p>
    <w:p w14:paraId="6691376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color w:val="auto"/>
          <w:highlight w:val="none"/>
        </w:rPr>
        <w:br w:type="page"/>
      </w:r>
    </w:p>
    <w:p w14:paraId="18F3597B">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190B49FA">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445F483B">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19A6E6BE">
      <w:pPr>
        <w:pStyle w:val="24"/>
        <w:rPr>
          <w:rFonts w:hint="eastAsia" w:ascii="仿宋" w:hAnsi="仿宋" w:eastAsia="仿宋" w:cs="仿宋"/>
          <w:lang w:eastAsia="zh-CN"/>
        </w:rPr>
      </w:pPr>
    </w:p>
    <w:p w14:paraId="6071C115">
      <w:pP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注：最终以竞争性磋商文件内容为准</w:t>
      </w:r>
    </w:p>
    <w:p w14:paraId="5656D9BF"/>
    <w:p w14:paraId="4FA3EAF5"/>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E457">
    <w:pPr>
      <w:pStyle w:val="7"/>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96228">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596228">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D600E"/>
    <w:multiLevelType w:val="singleLevel"/>
    <w:tmpl w:val="F24D6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6F0225E6"/>
    <w:rsid w:val="00273D9B"/>
    <w:rsid w:val="06000F90"/>
    <w:rsid w:val="062F07EF"/>
    <w:rsid w:val="0E8841E4"/>
    <w:rsid w:val="10C557F9"/>
    <w:rsid w:val="12E96401"/>
    <w:rsid w:val="13251FF4"/>
    <w:rsid w:val="13FB7F63"/>
    <w:rsid w:val="155D63B6"/>
    <w:rsid w:val="17504E27"/>
    <w:rsid w:val="18820D00"/>
    <w:rsid w:val="19033B41"/>
    <w:rsid w:val="191939E2"/>
    <w:rsid w:val="1AA83FE3"/>
    <w:rsid w:val="1E861122"/>
    <w:rsid w:val="2808218F"/>
    <w:rsid w:val="2ED51684"/>
    <w:rsid w:val="2F236368"/>
    <w:rsid w:val="31576DCA"/>
    <w:rsid w:val="31603071"/>
    <w:rsid w:val="31A240E4"/>
    <w:rsid w:val="3546486F"/>
    <w:rsid w:val="359A164F"/>
    <w:rsid w:val="372106C1"/>
    <w:rsid w:val="374D6BA3"/>
    <w:rsid w:val="38DA611A"/>
    <w:rsid w:val="3E006C1A"/>
    <w:rsid w:val="422B389D"/>
    <w:rsid w:val="439B17FA"/>
    <w:rsid w:val="44326D7B"/>
    <w:rsid w:val="4A275EBA"/>
    <w:rsid w:val="4AC50577"/>
    <w:rsid w:val="4D0E564C"/>
    <w:rsid w:val="4F0C2238"/>
    <w:rsid w:val="4FD613E0"/>
    <w:rsid w:val="510038AC"/>
    <w:rsid w:val="520B256C"/>
    <w:rsid w:val="5E0116BC"/>
    <w:rsid w:val="63CA1D68"/>
    <w:rsid w:val="650F4939"/>
    <w:rsid w:val="69EA5946"/>
    <w:rsid w:val="6CF47761"/>
    <w:rsid w:val="6D625637"/>
    <w:rsid w:val="6D914F2F"/>
    <w:rsid w:val="6F0225E6"/>
    <w:rsid w:val="718B4707"/>
    <w:rsid w:val="73347519"/>
    <w:rsid w:val="744359CE"/>
    <w:rsid w:val="76887F15"/>
    <w:rsid w:val="77D811D1"/>
    <w:rsid w:val="7C2A6D2E"/>
    <w:rsid w:val="7ECC0EA4"/>
    <w:rsid w:val="7F7C3AB4"/>
    <w:rsid w:val="7F9B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ind w:left="120"/>
      <w:outlineLvl w:val="0"/>
    </w:pPr>
    <w:rPr>
      <w:b/>
      <w:bCs/>
      <w:szCs w:val="21"/>
    </w:rPr>
  </w:style>
  <w:style w:type="paragraph" w:styleId="4">
    <w:name w:val="heading 2"/>
    <w:basedOn w:val="1"/>
    <w:next w:val="1"/>
    <w:autoRedefine/>
    <w:qFormat/>
    <w:uiPriority w:val="0"/>
    <w:pPr>
      <w:keepNext/>
      <w:keepLines/>
      <w:jc w:val="center"/>
      <w:outlineLvl w:val="1"/>
    </w:pPr>
    <w:rPr>
      <w:rFonts w:ascii="Cambria" w:hAnsi="Cambria" w:eastAsia="方正小标宋简体" w:cs="Times New Roman"/>
      <w:bCs/>
      <w:sz w:val="28"/>
      <w:szCs w:val="32"/>
    </w:rPr>
  </w:style>
  <w:style w:type="paragraph" w:styleId="5">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6">
    <w:name w:val="table of authorities"/>
    <w:basedOn w:val="1"/>
    <w:next w:val="1"/>
    <w:qFormat/>
    <w:uiPriority w:val="0"/>
    <w:pPr>
      <w:ind w:left="420" w:leftChars="200"/>
    </w:pPr>
    <w:rPr>
      <w:rFonts w:ascii="Times New Roman" w:hAnsi="Times New Roman"/>
    </w:rPr>
  </w:style>
  <w:style w:type="paragraph" w:styleId="7">
    <w:name w:val="Body Text"/>
    <w:basedOn w:val="1"/>
    <w:autoRedefine/>
    <w:qFormat/>
    <w:uiPriority w:val="1"/>
    <w:rPr>
      <w:sz w:val="24"/>
      <w:szCs w:val="24"/>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Plain Text"/>
    <w:basedOn w:val="1"/>
    <w:qFormat/>
    <w:uiPriority w:val="0"/>
    <w:rPr>
      <w:rFonts w:ascii="宋体" w:hAnsi="Courier New"/>
      <w:szCs w:val="20"/>
    </w:rPr>
  </w:style>
  <w:style w:type="paragraph" w:styleId="10">
    <w:name w:val="Body Text Indent 2"/>
    <w:basedOn w:val="1"/>
    <w:autoRedefine/>
    <w:qFormat/>
    <w:uiPriority w:val="0"/>
    <w:pPr>
      <w:spacing w:line="400" w:lineRule="exact"/>
      <w:ind w:left="425"/>
    </w:pPr>
    <w:rPr>
      <w:rFonts w:ascii="Times New Roman" w:hAnsi="Times New Roman" w:eastAsia="宋体" w:cs="Times New Roman"/>
      <w:color w:val="000000"/>
      <w:sz w:val="24"/>
      <w:szCs w:val="20"/>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8"/>
    <w:unhideWhenUsed/>
    <w:qFormat/>
    <w:uiPriority w:val="0"/>
    <w:pPr>
      <w:widowControl w:val="0"/>
      <w:spacing w:line="380" w:lineRule="exact"/>
      <w:ind w:firstLine="560"/>
      <w:jc w:val="both"/>
    </w:pPr>
    <w:rPr>
      <w:rFonts w:ascii="Calibri" w:hAnsi="Calibri" w:eastAsia="方正书宋简体"/>
      <w:color w:val="FF0000"/>
      <w:sz w:val="28"/>
      <w:lang w:val="en-US" w:eastAsia="zh-CN" w:bidi="ar-SA"/>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22"/>
    <w:rPr>
      <w:rFonts w:eastAsia="黑体"/>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yperlink"/>
    <w:basedOn w:val="17"/>
    <w:qFormat/>
    <w:uiPriority w:val="0"/>
    <w:rPr>
      <w:color w:val="333333"/>
      <w:u w:val="none"/>
    </w:rPr>
  </w:style>
  <w:style w:type="character" w:styleId="23">
    <w:name w:val="HTML Code"/>
    <w:basedOn w:val="17"/>
    <w:qFormat/>
    <w:uiPriority w:val="0"/>
    <w:rPr>
      <w:rFonts w:ascii="Courier New" w:hAnsi="Courier New"/>
      <w:sz w:val="20"/>
      <w:bdr w:val="single" w:color="EEEEEE" w:sz="6" w:space="0"/>
    </w:rPr>
  </w:style>
  <w:style w:type="paragraph" w:customStyle="1" w:styleId="24">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5">
    <w:name w:val="font131"/>
    <w:basedOn w:val="17"/>
    <w:autoRedefine/>
    <w:qFormat/>
    <w:uiPriority w:val="0"/>
    <w:rPr>
      <w:rFonts w:hint="eastAsia" w:ascii="宋体" w:hAnsi="宋体" w:eastAsia="宋体" w:cs="宋体"/>
      <w:color w:val="000000"/>
      <w:sz w:val="16"/>
      <w:szCs w:val="16"/>
      <w:u w:val="none"/>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font31"/>
    <w:basedOn w:val="17"/>
    <w:autoRedefine/>
    <w:qFormat/>
    <w:uiPriority w:val="0"/>
    <w:rPr>
      <w:rFonts w:hint="default" w:ascii="MingLiU" w:hAnsi="MingLiU" w:eastAsia="MingLiU" w:cs="MingLiU"/>
      <w:color w:val="000000"/>
      <w:sz w:val="18"/>
      <w:szCs w:val="18"/>
      <w:u w:val="none"/>
    </w:rPr>
  </w:style>
  <w:style w:type="character" w:customStyle="1" w:styleId="28">
    <w:name w:val="font41"/>
    <w:basedOn w:val="17"/>
    <w:qFormat/>
    <w:uiPriority w:val="0"/>
    <w:rPr>
      <w:rFonts w:hint="eastAsia" w:ascii="宋体" w:hAnsi="宋体" w:eastAsia="宋体" w:cs="宋体"/>
      <w:color w:val="000000"/>
      <w:sz w:val="24"/>
      <w:szCs w:val="24"/>
      <w:u w:val="none"/>
    </w:rPr>
  </w:style>
  <w:style w:type="character" w:customStyle="1" w:styleId="29">
    <w:name w:val="font71"/>
    <w:basedOn w:val="17"/>
    <w:qFormat/>
    <w:uiPriority w:val="0"/>
    <w:rPr>
      <w:rFonts w:hint="default" w:ascii="仿宋_GB2312" w:eastAsia="仿宋_GB2312" w:cs="仿宋_GB2312"/>
      <w:color w:val="000000"/>
      <w:sz w:val="22"/>
      <w:szCs w:val="22"/>
      <w:u w:val="none"/>
    </w:rPr>
  </w:style>
  <w:style w:type="character" w:customStyle="1" w:styleId="30">
    <w:name w:val="font81"/>
    <w:basedOn w:val="17"/>
    <w:qFormat/>
    <w:uiPriority w:val="0"/>
    <w:rPr>
      <w:rFonts w:ascii="Arial" w:hAnsi="Arial" w:cs="Arial"/>
      <w:color w:val="000000"/>
      <w:sz w:val="22"/>
      <w:szCs w:val="22"/>
      <w:u w:val="none"/>
    </w:rPr>
  </w:style>
  <w:style w:type="character" w:customStyle="1" w:styleId="31">
    <w:name w:val="layui-laypage-curr"/>
    <w:basedOn w:val="17"/>
    <w:qFormat/>
    <w:uiPriority w:val="0"/>
  </w:style>
  <w:style w:type="character" w:customStyle="1" w:styleId="32">
    <w:name w:val="name"/>
    <w:basedOn w:val="17"/>
    <w:qFormat/>
    <w:uiPriority w:val="0"/>
    <w:rPr>
      <w:color w:val="222222"/>
      <w:sz w:val="27"/>
      <w:szCs w:val="27"/>
    </w:rPr>
  </w:style>
  <w:style w:type="character" w:customStyle="1" w:styleId="33">
    <w:name w:val="name1"/>
    <w:basedOn w:val="17"/>
    <w:qFormat/>
    <w:uiPriority w:val="0"/>
    <w:rPr>
      <w:b/>
      <w:bCs/>
      <w:color w:val="046CCD"/>
    </w:rPr>
  </w:style>
  <w:style w:type="character" w:customStyle="1" w:styleId="34">
    <w:name w:val="times"/>
    <w:basedOn w:val="17"/>
    <w:qFormat/>
    <w:uiPriority w:val="0"/>
    <w:rPr>
      <w:color w:val="222222"/>
      <w:sz w:val="21"/>
      <w:szCs w:val="21"/>
    </w:rPr>
  </w:style>
  <w:style w:type="character" w:customStyle="1" w:styleId="35">
    <w:name w:val="medfont2"/>
    <w:basedOn w:val="17"/>
    <w:qFormat/>
    <w:uiPriority w:val="0"/>
  </w:style>
  <w:style w:type="character" w:customStyle="1" w:styleId="36">
    <w:name w:val="hover15"/>
    <w:basedOn w:val="17"/>
    <w:qFormat/>
    <w:uiPriority w:val="0"/>
    <w:rPr>
      <w:color w:val="5FB878"/>
    </w:rPr>
  </w:style>
  <w:style w:type="character" w:customStyle="1" w:styleId="37">
    <w:name w:val="hover16"/>
    <w:basedOn w:val="17"/>
    <w:qFormat/>
    <w:uiPriority w:val="0"/>
    <w:rPr>
      <w:color w:val="5FB878"/>
    </w:rPr>
  </w:style>
  <w:style w:type="character" w:customStyle="1" w:styleId="38">
    <w:name w:val="hover17"/>
    <w:basedOn w:val="17"/>
    <w:qFormat/>
    <w:uiPriority w:val="0"/>
    <w:rPr>
      <w:color w:val="FFFFFF"/>
    </w:rPr>
  </w:style>
  <w:style w:type="character" w:customStyle="1" w:styleId="39">
    <w:name w:val="layui-laydate-preview"/>
    <w:basedOn w:val="17"/>
    <w:qFormat/>
    <w:uiPriority w:val="0"/>
  </w:style>
  <w:style w:type="character" w:customStyle="1" w:styleId="40">
    <w:name w:val="layui-this4"/>
    <w:basedOn w:val="17"/>
    <w:qFormat/>
    <w:uiPriority w:val="0"/>
    <w:rPr>
      <w:bdr w:val="single" w:color="EEEEEE" w:sz="6" w:space="0"/>
      <w:shd w:val="clear" w:fill="FFFFFF"/>
    </w:rPr>
  </w:style>
  <w:style w:type="character" w:customStyle="1" w:styleId="41">
    <w:name w:val="first-child"/>
    <w:basedOn w:val="17"/>
    <w:qFormat/>
    <w:uiPriority w:val="0"/>
  </w:style>
  <w:style w:type="character" w:customStyle="1" w:styleId="42">
    <w:name w:val="smallfont2"/>
    <w:basedOn w:val="17"/>
    <w:qFormat/>
    <w:uiPriority w:val="0"/>
  </w:style>
  <w:style w:type="character" w:customStyle="1" w:styleId="43">
    <w:name w:val="largefont"/>
    <w:basedOn w:val="17"/>
    <w:qFormat/>
    <w:uiPriority w:val="0"/>
  </w:style>
  <w:style w:type="character" w:customStyle="1" w:styleId="44">
    <w:name w:val="zh"/>
    <w:basedOn w:val="17"/>
    <w:qFormat/>
    <w:uiPriority w:val="0"/>
  </w:style>
  <w:style w:type="character" w:customStyle="1" w:styleId="45">
    <w:name w:val="before"/>
    <w:basedOn w:val="17"/>
    <w:qFormat/>
    <w:uiPriority w:val="0"/>
  </w:style>
  <w:style w:type="character" w:customStyle="1" w:styleId="46">
    <w:name w:val="hover"/>
    <w:basedOn w:val="17"/>
    <w:qFormat/>
    <w:uiPriority w:val="0"/>
    <w:rPr>
      <w:color w:val="5FB878"/>
    </w:rPr>
  </w:style>
  <w:style w:type="character" w:customStyle="1" w:styleId="47">
    <w:name w:val="hover1"/>
    <w:basedOn w:val="17"/>
    <w:qFormat/>
    <w:uiPriority w:val="0"/>
    <w:rPr>
      <w:color w:val="FFFFFF"/>
    </w:rPr>
  </w:style>
  <w:style w:type="character" w:customStyle="1" w:styleId="48">
    <w:name w:val="hover2"/>
    <w:basedOn w:val="17"/>
    <w:qFormat/>
    <w:uiPriority w:val="0"/>
    <w:rPr>
      <w:color w:val="5FB878"/>
    </w:rPr>
  </w:style>
  <w:style w:type="character" w:customStyle="1" w:styleId="49">
    <w:name w:val="medfont"/>
    <w:basedOn w:val="17"/>
    <w:qFormat/>
    <w:uiPriority w:val="0"/>
  </w:style>
  <w:style w:type="paragraph" w:customStyle="1" w:styleId="50">
    <w:name w:val="Body text|2"/>
    <w:basedOn w:val="1"/>
    <w:autoRedefine/>
    <w:qFormat/>
    <w:uiPriority w:val="0"/>
    <w:pPr>
      <w:spacing w:line="413" w:lineRule="auto"/>
      <w:ind w:firstLine="400"/>
    </w:pPr>
    <w:rPr>
      <w:lang w:val="zh-TW" w:eastAsia="zh-TW" w:bidi="zh-TW"/>
    </w:rPr>
  </w:style>
  <w:style w:type="character" w:customStyle="1" w:styleId="51">
    <w:name w:val="smallfont"/>
    <w:basedOn w:val="17"/>
    <w:qFormat/>
    <w:uiPriority w:val="0"/>
  </w:style>
  <w:style w:type="character" w:customStyle="1" w:styleId="52">
    <w:name w:val="layui-this"/>
    <w:basedOn w:val="17"/>
    <w:qFormat/>
    <w:uiPriority w:val="0"/>
    <w:rPr>
      <w:bdr w:val="single" w:color="EEEEEE" w:sz="6" w:space="0"/>
      <w:shd w:val="clear" w:fill="FFFFFF"/>
    </w:rPr>
  </w:style>
  <w:style w:type="character" w:customStyle="1" w:styleId="53">
    <w:name w:val="largefont2"/>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2962</Words>
  <Characters>3086</Characters>
  <Lines>0</Lines>
  <Paragraphs>0</Paragraphs>
  <TotalTime>1</TotalTime>
  <ScaleCrop>false</ScaleCrop>
  <LinksUpToDate>false</LinksUpToDate>
  <CharactersWithSpaces>3120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杨  非</dc:creator>
  <cp:lastModifiedBy>Administrator</cp:lastModifiedBy>
  <dcterms:modified xsi:type="dcterms:W3CDTF">2025-08-21T04:13:40Z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DE2D4D61F9604FBF86402EC851753C93_13</vt:lpwstr>
  </property>
  <property fmtid="{D5CDD505-2E9C-101B-9397-08002B2CF9AE}" pid="4" name="KSOTemplateDocerSaveRecord">
    <vt:lpwstr>eyJoZGlkIjoiNjJmNGViZWQwMjJlOGYzZDQ2NmM0MTJmMmY3YThjNjUiLCJ1c2VySWQiOiIzODQ4NDcyMTQifQ==</vt:lpwstr>
  </property>
</Properties>
</file>