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rFonts w:hint="eastAsia" w:ascii="宋体" w:hAnsi="宋体" w:cs="宋体"/>
          <w:b/>
          <w:color w:val="auto"/>
          <w:sz w:val="52"/>
          <w:highlight w:val="none"/>
        </w:rPr>
      </w:pPr>
      <w:bookmarkStart w:id="0" w:name="_Toc154922225"/>
      <w:bookmarkStart w:id="1" w:name="_Toc154921241"/>
    </w:p>
    <w:p>
      <w:pPr>
        <w:spacing w:line="300" w:lineRule="auto"/>
        <w:jc w:val="center"/>
        <w:rPr>
          <w:rFonts w:hint="eastAsia" w:ascii="宋体" w:hAnsi="宋体" w:cs="宋体"/>
          <w:b/>
          <w:color w:val="auto"/>
          <w:sz w:val="52"/>
          <w:highlight w:val="none"/>
        </w:rPr>
      </w:pPr>
      <w:r>
        <w:rPr>
          <w:rFonts w:hint="eastAsia" w:ascii="宋体" w:hAnsi="宋体" w:cs="宋体"/>
          <w:b/>
          <w:color w:val="auto"/>
          <w:sz w:val="48"/>
          <w:szCs w:val="48"/>
          <w:highlight w:val="none"/>
          <w:lang w:eastAsia="zh-CN"/>
        </w:rPr>
        <w:t>广州浪奇化工厂地块二(A)及广州浪奇化工厂地块二(B)土壤污染修复工程监理</w:t>
      </w:r>
    </w:p>
    <w:p>
      <w:pPr>
        <w:spacing w:line="360" w:lineRule="auto"/>
        <w:rPr>
          <w:rFonts w:hint="eastAsia" w:ascii="宋体" w:hAnsi="宋体"/>
          <w:color w:val="auto"/>
          <w:highlight w:val="none"/>
        </w:rPr>
      </w:pPr>
    </w:p>
    <w:p>
      <w:pPr>
        <w:spacing w:line="360" w:lineRule="auto"/>
        <w:jc w:val="right"/>
        <w:rPr>
          <w:rFonts w:hint="eastAsia" w:ascii="宋体" w:hAnsi="宋体"/>
          <w:color w:val="auto"/>
          <w:highlight w:val="none"/>
        </w:rPr>
      </w:pP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highlight w:val="none"/>
        </w:rPr>
      </w:pPr>
    </w:p>
    <w:p>
      <w:pPr>
        <w:spacing w:line="300" w:lineRule="auto"/>
        <w:jc w:val="center"/>
        <w:rPr>
          <w:rFonts w:ascii="宋体" w:hAnsi="宋体" w:cs="宋体"/>
          <w:b/>
          <w:color w:val="auto"/>
          <w:spacing w:val="26"/>
          <w:sz w:val="110"/>
          <w:highlight w:val="none"/>
        </w:rPr>
      </w:pPr>
      <w:r>
        <w:rPr>
          <w:rFonts w:hint="eastAsia" w:ascii="宋体" w:hAnsi="宋体" w:cs="宋体"/>
          <w:b/>
          <w:color w:val="auto"/>
          <w:spacing w:val="26"/>
          <w:sz w:val="110"/>
          <w:highlight w:val="none"/>
        </w:rPr>
        <w:t>招标文件</w:t>
      </w: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ind w:firstLine="945"/>
        <w:rPr>
          <w:rFonts w:hint="eastAsia" w:ascii="宋体" w:hAnsi="宋体" w:cs="宋体"/>
          <w:color w:val="auto"/>
          <w:sz w:val="30"/>
          <w:highlight w:val="none"/>
        </w:rPr>
      </w:pPr>
    </w:p>
    <w:p>
      <w:pPr>
        <w:spacing w:line="360" w:lineRule="auto"/>
        <w:ind w:firstLine="945"/>
        <w:rPr>
          <w:rFonts w:hint="eastAsia" w:ascii="宋体" w:hAnsi="宋体" w:cs="宋体"/>
          <w:color w:val="auto"/>
          <w:sz w:val="30"/>
          <w:highlight w:val="none"/>
        </w:rPr>
      </w:pPr>
    </w:p>
    <w:p>
      <w:pPr>
        <w:spacing w:line="360" w:lineRule="auto"/>
        <w:ind w:firstLine="945"/>
        <w:rPr>
          <w:rFonts w:hint="eastAsia" w:ascii="宋体" w:hAnsi="宋体" w:cs="宋体"/>
          <w:color w:val="auto"/>
          <w:sz w:val="30"/>
          <w:highlight w:val="none"/>
          <w:u w:val="single"/>
        </w:rPr>
      </w:pPr>
      <w:r>
        <w:rPr>
          <w:rFonts w:hint="eastAsia" w:ascii="宋体" w:hAnsi="宋体" w:cs="宋体"/>
          <w:color w:val="auto"/>
          <w:sz w:val="30"/>
          <w:highlight w:val="none"/>
        </w:rPr>
        <w:t>招   标   人：</w:t>
      </w:r>
      <w:r>
        <w:rPr>
          <w:rFonts w:hint="eastAsia" w:ascii="宋体" w:hAnsi="宋体" w:eastAsia="宋体" w:cs="宋体"/>
          <w:color w:val="auto"/>
          <w:sz w:val="30"/>
          <w:highlight w:val="none"/>
          <w:u w:val="single"/>
          <w:lang w:val="en-US" w:eastAsia="zh-CN"/>
        </w:rPr>
        <w:t>广州璟逸房地产开发有限公司</w:t>
      </w:r>
    </w:p>
    <w:p>
      <w:pPr>
        <w:spacing w:line="360" w:lineRule="auto"/>
        <w:ind w:firstLine="945"/>
        <w:rPr>
          <w:rFonts w:hint="eastAsia" w:ascii="宋体" w:hAnsi="宋体" w:cs="宋体"/>
          <w:color w:val="auto"/>
          <w:sz w:val="30"/>
          <w:highlight w:val="none"/>
          <w:u w:val="single"/>
        </w:rPr>
      </w:pPr>
      <w:r>
        <w:rPr>
          <w:rFonts w:hint="eastAsia" w:ascii="宋体" w:hAnsi="宋体" w:cs="宋体"/>
          <w:color w:val="auto"/>
          <w:sz w:val="30"/>
          <w:highlight w:val="none"/>
        </w:rPr>
        <w:t>招标代理机构：</w:t>
      </w:r>
      <w:r>
        <w:rPr>
          <w:rFonts w:hint="eastAsia" w:ascii="宋体" w:hAnsi="宋体" w:cs="宋体"/>
          <w:color w:val="auto"/>
          <w:sz w:val="30"/>
          <w:highlight w:val="none"/>
          <w:u w:val="single"/>
        </w:rPr>
        <w:t>广州市嘉悦技术咨询有限公司</w:t>
      </w:r>
    </w:p>
    <w:p>
      <w:pPr>
        <w:spacing w:line="360" w:lineRule="auto"/>
        <w:ind w:firstLine="945"/>
        <w:jc w:val="left"/>
        <w:rPr>
          <w:rFonts w:hint="eastAsia" w:ascii="宋体" w:hAnsi="宋体"/>
          <w:b/>
          <w:color w:val="auto"/>
          <w:sz w:val="28"/>
          <w:szCs w:val="28"/>
          <w:highlight w:val="none"/>
        </w:rPr>
      </w:pPr>
      <w:r>
        <w:rPr>
          <w:rFonts w:hint="eastAsia" w:ascii="宋体" w:hAnsi="宋体" w:cs="宋体"/>
          <w:color w:val="auto"/>
          <w:sz w:val="32"/>
          <w:highlight w:val="none"/>
        </w:rPr>
        <w:t>日       期：</w:t>
      </w:r>
      <w:r>
        <w:rPr>
          <w:rFonts w:hint="eastAsia" w:ascii="宋体" w:hAnsi="宋体" w:cs="宋体"/>
          <w:color w:val="auto"/>
          <w:sz w:val="32"/>
          <w:highlight w:val="none"/>
          <w:u w:val="single"/>
        </w:rPr>
        <w:t>2025年</w:t>
      </w:r>
      <w:r>
        <w:rPr>
          <w:rFonts w:hint="eastAsia" w:ascii="宋体" w:hAnsi="宋体" w:cs="宋体"/>
          <w:color w:val="auto"/>
          <w:sz w:val="32"/>
          <w:highlight w:val="none"/>
          <w:u w:val="single"/>
          <w:lang w:val="en-US" w:eastAsia="zh-CN"/>
        </w:rPr>
        <w:t>12</w:t>
      </w:r>
      <w:r>
        <w:rPr>
          <w:rFonts w:hint="eastAsia" w:ascii="宋体" w:hAnsi="宋体" w:cs="宋体"/>
          <w:color w:val="auto"/>
          <w:sz w:val="32"/>
          <w:highlight w:val="none"/>
          <w:u w:val="single"/>
        </w:rPr>
        <w:t>月</w:t>
      </w:r>
    </w:p>
    <w:p>
      <w:pPr>
        <w:pStyle w:val="13"/>
        <w:rPr>
          <w:rFonts w:hint="eastAsia"/>
          <w:color w:val="auto"/>
          <w:highlight w:val="none"/>
        </w:rPr>
        <w:sectPr>
          <w:pgSz w:w="12240" w:h="15840"/>
          <w:pgMar w:top="1417" w:right="1701" w:bottom="1134" w:left="1701" w:header="850" w:footer="850" w:gutter="0"/>
          <w:pgNumType w:start="1"/>
          <w:cols w:space="720" w:num="1"/>
          <w:docGrid w:linePitch="285" w:charSpace="0"/>
        </w:sectPr>
      </w:pPr>
    </w:p>
    <w:p>
      <w:pPr>
        <w:pStyle w:val="13"/>
        <w:rPr>
          <w:color w:val="auto"/>
          <w:highlight w:val="none"/>
        </w:rPr>
      </w:pPr>
    </w:p>
    <w:p>
      <w:pPr>
        <w:spacing w:line="360" w:lineRule="auto"/>
        <w:jc w:val="center"/>
        <w:rPr>
          <w:rFonts w:ascii="宋体" w:hAnsi="宋体"/>
          <w:color w:val="auto"/>
          <w:sz w:val="52"/>
          <w:highlight w:val="none"/>
        </w:rPr>
      </w:pPr>
      <w:r>
        <w:rPr>
          <w:rFonts w:hint="eastAsia" w:ascii="宋体" w:hAnsi="宋体"/>
          <w:color w:val="auto"/>
          <w:sz w:val="52"/>
          <w:highlight w:val="none"/>
        </w:rPr>
        <w:t>重要提示</w:t>
      </w:r>
    </w:p>
    <w:p>
      <w:pPr>
        <w:spacing w:line="360" w:lineRule="auto"/>
        <w:ind w:firstLine="537" w:firstLineChars="224"/>
        <w:jc w:val="center"/>
        <w:rPr>
          <w:rFonts w:ascii="宋体" w:hAnsi="宋体"/>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本项目实施电子招投标，投标人应先认真阅读《建设工程全流程电子化项目操作指南》。</w:t>
      </w:r>
    </w:p>
    <w:p>
      <w:pPr>
        <w:spacing w:line="360" w:lineRule="auto"/>
        <w:ind w:firstLine="480" w:firstLineChars="200"/>
        <w:rPr>
          <w:rFonts w:ascii="宋体" w:hAnsi="宋体"/>
          <w:color w:val="auto"/>
          <w:sz w:val="24"/>
          <w:highlight w:val="none"/>
        </w:rPr>
      </w:pPr>
    </w:p>
    <w:bookmarkEnd w:id="0"/>
    <w:bookmarkEnd w:id="1"/>
    <w:p>
      <w:pPr>
        <w:pStyle w:val="114"/>
        <w:keepNext w:val="0"/>
        <w:keepLines w:val="0"/>
        <w:widowControl w:val="0"/>
        <w:jc w:val="center"/>
        <w:rPr>
          <w:rFonts w:ascii="宋体" w:hAnsi="宋体"/>
          <w:b w:val="0"/>
          <w:color w:val="auto"/>
          <w:highlight w:val="none"/>
          <w:lang w:val="zh-CN"/>
        </w:rPr>
      </w:pPr>
    </w:p>
    <w:p>
      <w:pPr>
        <w:pStyle w:val="31"/>
        <w:tabs>
          <w:tab w:val="right" w:leader="dot" w:pos="9112"/>
        </w:tabs>
        <w:rPr>
          <w:rFonts w:ascii="宋体" w:hAnsi="宋体"/>
          <w:color w:val="auto"/>
          <w:highlight w:val="none"/>
        </w:rPr>
      </w:pPr>
      <w:r>
        <w:rPr>
          <w:rFonts w:ascii="宋体" w:hAnsi="宋体"/>
          <w:b/>
          <w:color w:val="auto"/>
          <w:highlight w:val="none"/>
          <w:lang w:val="zh-CN"/>
        </w:rPr>
        <w:br w:type="page"/>
      </w: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p>
    <w:p>
      <w:pPr>
        <w:spacing w:line="360" w:lineRule="auto"/>
        <w:jc w:val="center"/>
        <w:rPr>
          <w:rFonts w:hint="eastAsia" w:ascii="宋体" w:hAnsi="宋体"/>
          <w:color w:val="auto"/>
          <w:sz w:val="52"/>
          <w:highlight w:val="none"/>
        </w:rPr>
      </w:pPr>
      <w:r>
        <w:rPr>
          <w:rFonts w:hint="eastAsia" w:ascii="宋体" w:hAnsi="宋体"/>
          <w:color w:val="auto"/>
          <w:sz w:val="52"/>
          <w:highlight w:val="none"/>
        </w:rPr>
        <w:t>目 录</w:t>
      </w:r>
    </w:p>
    <w:p>
      <w:pPr>
        <w:pStyle w:val="134"/>
        <w:tabs>
          <w:tab w:val="right" w:leader="dot" w:pos="9122"/>
        </w:tabs>
        <w:spacing w:line="540" w:lineRule="exact"/>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"1-1"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"_Toc18929" </w:instrText>
      </w:r>
      <w:r>
        <w:rPr>
          <w:color w:val="auto"/>
          <w:highlight w:val="none"/>
        </w:rPr>
        <w:fldChar w:fldCharType="separate"/>
      </w:r>
      <w:r>
        <w:rPr>
          <w:rFonts w:ascii="宋体" w:hAnsi="宋体"/>
          <w:color w:val="auto"/>
          <w:sz w:val="28"/>
          <w:szCs w:val="28"/>
          <w:highlight w:val="none"/>
        </w:rPr>
        <w:t>第一卷</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_Toc18929 \h </w:instrText>
      </w:r>
      <w:r>
        <w:rPr>
          <w:rFonts w:ascii="宋体" w:hAnsi="宋体"/>
          <w:color w:val="auto"/>
          <w:sz w:val="28"/>
          <w:szCs w:val="28"/>
          <w:highlight w:val="none"/>
        </w:rPr>
        <w:fldChar w:fldCharType="separate"/>
      </w:r>
      <w:r>
        <w:rPr>
          <w:rFonts w:ascii="宋体" w:hAnsi="宋体"/>
          <w:color w:val="auto"/>
          <w:sz w:val="28"/>
          <w:szCs w:val="28"/>
          <w:highlight w:val="none"/>
        </w:rPr>
        <w:t>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134"/>
        <w:tabs>
          <w:tab w:val="right" w:leader="dot" w:pos="9122"/>
        </w:tabs>
        <w:spacing w:line="540" w:lineRule="exact"/>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"_Toc5927" </w:instrText>
      </w:r>
      <w:r>
        <w:rPr>
          <w:color w:val="auto"/>
          <w:highlight w:val="none"/>
        </w:rPr>
        <w:fldChar w:fldCharType="separate"/>
      </w:r>
      <w:r>
        <w:rPr>
          <w:rFonts w:ascii="宋体" w:hAnsi="宋体"/>
          <w:color w:val="auto"/>
          <w:sz w:val="28"/>
          <w:szCs w:val="28"/>
          <w:highlight w:val="none"/>
        </w:rPr>
        <w:t>第一章</w:t>
      </w:r>
      <w:r>
        <w:rPr>
          <w:rFonts w:hint="eastAsia" w:ascii="宋体" w:hAnsi="宋体"/>
          <w:color w:val="auto"/>
          <w:sz w:val="28"/>
          <w:szCs w:val="28"/>
          <w:highlight w:val="none"/>
        </w:rPr>
        <w:t xml:space="preserve"> </w:t>
      </w:r>
      <w:r>
        <w:rPr>
          <w:rFonts w:ascii="宋体" w:hAnsi="宋体"/>
          <w:color w:val="auto"/>
          <w:sz w:val="28"/>
          <w:szCs w:val="28"/>
          <w:highlight w:val="none"/>
        </w:rPr>
        <w:t>招标公告</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w:t>
      </w:r>
    </w:p>
    <w:p>
      <w:pPr>
        <w:pStyle w:val="134"/>
        <w:tabs>
          <w:tab w:val="right" w:leader="dot" w:pos="9122"/>
        </w:tabs>
        <w:spacing w:line="540" w:lineRule="exact"/>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"_Toc2644" </w:instrText>
      </w:r>
      <w:r>
        <w:rPr>
          <w:color w:val="auto"/>
          <w:highlight w:val="none"/>
        </w:rPr>
        <w:fldChar w:fldCharType="separate"/>
      </w:r>
      <w:r>
        <w:rPr>
          <w:rFonts w:hint="eastAsia" w:ascii="宋体" w:hAnsi="宋体"/>
          <w:color w:val="auto"/>
          <w:sz w:val="28"/>
          <w:szCs w:val="28"/>
          <w:highlight w:val="none"/>
        </w:rPr>
        <w:t>第二章 投标人须知</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5</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"_Toc6395" </w:instrText>
      </w:r>
      <w:r>
        <w:rPr>
          <w:color w:val="auto"/>
          <w:highlight w:val="none"/>
        </w:rPr>
        <w:fldChar w:fldCharType="separate"/>
      </w:r>
      <w:r>
        <w:rPr>
          <w:rFonts w:hint="eastAsia" w:ascii="宋体" w:hAnsi="宋体"/>
          <w:color w:val="auto"/>
          <w:sz w:val="28"/>
          <w:szCs w:val="28"/>
          <w:highlight w:val="none"/>
        </w:rPr>
        <w:t>第三章 评标办法（“评定分离”定标办法）</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27</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"_Toc15726" </w:instrText>
      </w:r>
      <w:r>
        <w:rPr>
          <w:color w:val="auto"/>
          <w:highlight w:val="none"/>
        </w:rPr>
        <w:fldChar w:fldCharType="separate"/>
      </w:r>
      <w:r>
        <w:rPr>
          <w:rFonts w:hint="eastAsia" w:ascii="宋体" w:hAnsi="宋体"/>
          <w:color w:val="auto"/>
          <w:sz w:val="28"/>
          <w:szCs w:val="28"/>
          <w:highlight w:val="none"/>
        </w:rPr>
        <w:t>第四章 合同条款及格式</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40</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"_Toc1039" </w:instrText>
      </w:r>
      <w:r>
        <w:rPr>
          <w:color w:val="auto"/>
          <w:highlight w:val="none"/>
        </w:rPr>
        <w:fldChar w:fldCharType="separate"/>
      </w:r>
      <w:r>
        <w:rPr>
          <w:rFonts w:hint="eastAsia" w:ascii="宋体" w:hAnsi="宋体"/>
          <w:color w:val="auto"/>
          <w:sz w:val="28"/>
          <w:szCs w:val="28"/>
          <w:highlight w:val="none"/>
        </w:rPr>
        <w:t>第二卷</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41</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"_Toc25775" </w:instrText>
      </w:r>
      <w:r>
        <w:rPr>
          <w:color w:val="auto"/>
          <w:highlight w:val="none"/>
        </w:rPr>
        <w:fldChar w:fldCharType="separate"/>
      </w:r>
      <w:r>
        <w:rPr>
          <w:rFonts w:hint="eastAsia" w:ascii="宋体" w:hAnsi="宋体"/>
          <w:color w:val="auto"/>
          <w:sz w:val="28"/>
          <w:szCs w:val="28"/>
          <w:highlight w:val="none"/>
        </w:rPr>
        <w:t>第五章 委托人要求</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41</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"_Toc29685" </w:instrText>
      </w:r>
      <w:r>
        <w:rPr>
          <w:color w:val="auto"/>
          <w:highlight w:val="none"/>
        </w:rPr>
        <w:fldChar w:fldCharType="separate"/>
      </w:r>
      <w:r>
        <w:rPr>
          <w:rFonts w:hint="eastAsia" w:ascii="宋体" w:hAnsi="宋体"/>
          <w:color w:val="auto"/>
          <w:sz w:val="28"/>
          <w:szCs w:val="28"/>
          <w:highlight w:val="none"/>
        </w:rPr>
        <w:t>第三卷</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42</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"_Toc1700" </w:instrText>
      </w:r>
      <w:r>
        <w:rPr>
          <w:color w:val="auto"/>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rPr>
        <w:t xml:space="preserve"> </w:t>
      </w:r>
      <w:r>
        <w:rPr>
          <w:rFonts w:ascii="宋体" w:hAnsi="宋体"/>
          <w:color w:val="auto"/>
          <w:sz w:val="28"/>
          <w:szCs w:val="28"/>
          <w:highlight w:val="none"/>
        </w:rPr>
        <w:t>投标文件格式</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42</w:t>
      </w:r>
    </w:p>
    <w:p>
      <w:pPr>
        <w:pStyle w:val="134"/>
        <w:tabs>
          <w:tab w:val="right" w:leader="dot" w:pos="9122"/>
        </w:tabs>
        <w:spacing w:line="540" w:lineRule="exact"/>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"_Toc19391" </w:instrText>
      </w:r>
      <w:r>
        <w:rPr>
          <w:color w:val="auto"/>
          <w:highlight w:val="none"/>
        </w:rPr>
        <w:fldChar w:fldCharType="separate"/>
      </w:r>
      <w:r>
        <w:rPr>
          <w:rFonts w:hint="eastAsia" w:ascii="宋体" w:hAnsi="宋体"/>
          <w:color w:val="auto"/>
          <w:sz w:val="28"/>
          <w:szCs w:val="28"/>
          <w:highlight w:val="none"/>
        </w:rPr>
        <w:t>第七章 否决性条款汇总</w:t>
      </w:r>
      <w:r>
        <w:rPr>
          <w:rFonts w:ascii="宋体" w:hAnsi="宋体"/>
          <w:color w:val="auto"/>
          <w:sz w:val="28"/>
          <w:szCs w:val="28"/>
          <w:highlight w:val="none"/>
        </w:rPr>
        <w:tab/>
      </w:r>
      <w:r>
        <w:rPr>
          <w:rFonts w:ascii="宋体" w:hAnsi="宋体"/>
          <w:color w:val="auto"/>
          <w:sz w:val="28"/>
          <w:szCs w:val="28"/>
          <w:highlight w:val="none"/>
        </w:rPr>
        <w:fldChar w:fldCharType="end"/>
      </w:r>
      <w:r>
        <w:rPr>
          <w:rFonts w:hint="eastAsia" w:ascii="宋体" w:hAnsi="宋体"/>
          <w:color w:val="auto"/>
          <w:sz w:val="28"/>
          <w:szCs w:val="28"/>
          <w:highlight w:val="none"/>
        </w:rPr>
        <w:t>57</w:t>
      </w:r>
    </w:p>
    <w:p>
      <w:pPr>
        <w:pStyle w:val="134"/>
        <w:tabs>
          <w:tab w:val="right" w:leader="dot" w:pos="9122"/>
        </w:tabs>
        <w:spacing w:line="540" w:lineRule="exact"/>
        <w:rPr>
          <w:rFonts w:ascii="宋体" w:hAnsi="宋体"/>
          <w:color w:val="auto"/>
          <w:highlight w:val="none"/>
        </w:rPr>
      </w:pPr>
      <w:r>
        <w:rPr>
          <w:rFonts w:ascii="宋体" w:hAnsi="宋体"/>
          <w:color w:val="auto"/>
          <w:sz w:val="28"/>
          <w:szCs w:val="28"/>
          <w:highlight w:val="none"/>
        </w:rPr>
        <w:fldChar w:fldCharType="end"/>
      </w:r>
      <w:r>
        <w:rPr>
          <w:rFonts w:ascii="宋体" w:hAnsi="宋体"/>
          <w:color w:val="auto"/>
          <w:highlight w:val="none"/>
        </w:rPr>
        <w:fldChar w:fldCharType="end"/>
      </w:r>
      <w:bookmarkStart w:id="2" w:name="_Toc49509952"/>
    </w:p>
    <w:p>
      <w:pPr>
        <w:pStyle w:val="2"/>
        <w:spacing w:line="240" w:lineRule="auto"/>
        <w:jc w:val="center"/>
        <w:rPr>
          <w:rFonts w:ascii="宋体" w:hAnsi="宋体"/>
          <w:color w:val="auto"/>
          <w:highlight w:val="none"/>
        </w:rPr>
      </w:pPr>
      <w:bookmarkStart w:id="3" w:name="_Toc18929"/>
      <w:r>
        <w:rPr>
          <w:rFonts w:ascii="宋体" w:hAnsi="宋体"/>
          <w:color w:val="auto"/>
          <w:highlight w:val="none"/>
        </w:rPr>
        <w:br w:type="page"/>
      </w:r>
      <w:r>
        <w:rPr>
          <w:rFonts w:ascii="宋体" w:hAnsi="宋体"/>
          <w:color w:val="auto"/>
          <w:highlight w:val="none"/>
        </w:rPr>
        <w:t>第一卷</w:t>
      </w:r>
      <w:bookmarkEnd w:id="2"/>
      <w:bookmarkEnd w:id="3"/>
      <w:bookmarkStart w:id="4" w:name="_Toc49509954"/>
      <w:bookmarkStart w:id="5" w:name="_Toc5927"/>
    </w:p>
    <w:p>
      <w:pPr>
        <w:pStyle w:val="2"/>
        <w:spacing w:line="240" w:lineRule="auto"/>
        <w:jc w:val="center"/>
        <w:rPr>
          <w:rFonts w:ascii="宋体" w:hAnsi="宋体"/>
          <w:color w:val="auto"/>
          <w:highlight w:val="none"/>
        </w:rPr>
      </w:pPr>
      <w:r>
        <w:rPr>
          <w:rFonts w:ascii="宋体" w:hAnsi="宋体"/>
          <w:color w:val="auto"/>
          <w:highlight w:val="none"/>
        </w:rPr>
        <w:t>第一章</w:t>
      </w:r>
      <w:r>
        <w:rPr>
          <w:rFonts w:hint="eastAsia" w:ascii="宋体" w:hAnsi="宋体"/>
          <w:color w:val="auto"/>
          <w:highlight w:val="none"/>
        </w:rPr>
        <w:t xml:space="preserve"> </w:t>
      </w:r>
      <w:r>
        <w:rPr>
          <w:rFonts w:ascii="宋体" w:hAnsi="宋体"/>
          <w:color w:val="auto"/>
          <w:highlight w:val="none"/>
        </w:rPr>
        <w:t>招标公告</w:t>
      </w:r>
      <w:bookmarkEnd w:id="4"/>
      <w:bookmarkEnd w:id="5"/>
    </w:p>
    <w:p>
      <w:pPr>
        <w:spacing w:line="400" w:lineRule="exact"/>
        <w:jc w:val="center"/>
        <w:rPr>
          <w:rFonts w:ascii="宋体" w:hAnsi="宋体"/>
          <w:color w:val="auto"/>
          <w:sz w:val="28"/>
          <w:szCs w:val="28"/>
          <w:highlight w:val="none"/>
        </w:rPr>
      </w:pPr>
      <w:bookmarkStart w:id="6" w:name="_Toc384308200"/>
      <w:bookmarkStart w:id="7" w:name="_Toc361508575"/>
      <w:r>
        <w:rPr>
          <w:rFonts w:hint="eastAsia" w:ascii="宋体" w:hAnsi="宋体"/>
          <w:color w:val="auto"/>
          <w:sz w:val="28"/>
          <w:szCs w:val="28"/>
          <w:highlight w:val="none"/>
        </w:rPr>
        <w:t>（另册）</w:t>
      </w:r>
    </w:p>
    <w:p>
      <w:pPr>
        <w:spacing w:line="360" w:lineRule="auto"/>
        <w:jc w:val="center"/>
        <w:rPr>
          <w:rFonts w:ascii="宋体" w:hAnsi="宋体"/>
          <w:color w:val="auto"/>
          <w:highlight w:val="none"/>
        </w:rPr>
      </w:pPr>
      <w:r>
        <w:rPr>
          <w:rFonts w:ascii="宋体" w:hAnsi="宋体"/>
          <w:color w:val="auto"/>
          <w:highlight w:val="none"/>
        </w:rPr>
        <w:br w:type="page"/>
      </w:r>
      <w:bookmarkEnd w:id="6"/>
      <w:bookmarkEnd w:id="7"/>
      <w:bookmarkStart w:id="8" w:name="_Toc2644"/>
      <w:bookmarkStart w:id="9" w:name="_Toc49509963"/>
      <w:r>
        <w:rPr>
          <w:rFonts w:hint="eastAsia" w:ascii="宋体" w:hAnsi="宋体"/>
          <w:b/>
          <w:bCs/>
          <w:color w:val="auto"/>
          <w:sz w:val="44"/>
          <w:szCs w:val="44"/>
          <w:highlight w:val="none"/>
        </w:rPr>
        <w:t>第二章 投标人须知</w:t>
      </w:r>
      <w:bookmarkEnd w:id="8"/>
      <w:bookmarkEnd w:id="9"/>
    </w:p>
    <w:p>
      <w:pPr>
        <w:pStyle w:val="3"/>
        <w:spacing w:line="240" w:lineRule="auto"/>
        <w:jc w:val="center"/>
        <w:rPr>
          <w:rFonts w:ascii="宋体" w:hAnsi="宋体" w:eastAsia="宋体"/>
          <w:color w:val="auto"/>
          <w:highlight w:val="none"/>
        </w:rPr>
      </w:pPr>
      <w:bookmarkStart w:id="10" w:name="_Toc49509964"/>
      <w:r>
        <w:rPr>
          <w:rFonts w:hint="eastAsia" w:ascii="宋体" w:hAnsi="宋体" w:eastAsia="宋体"/>
          <w:color w:val="auto"/>
          <w:highlight w:val="none"/>
        </w:rPr>
        <w:t>投标人须知前附表</w:t>
      </w:r>
      <w:bookmarkEnd w:id="10"/>
    </w:p>
    <w:tbl>
      <w:tblPr>
        <w:tblStyle w:val="46"/>
        <w:tblW w:w="9322" w:type="dxa"/>
        <w:tblInd w:w="0" w:type="dxa"/>
        <w:tblLayout w:type="fixed"/>
        <w:tblCellMar>
          <w:top w:w="0" w:type="dxa"/>
          <w:left w:w="108" w:type="dxa"/>
          <w:bottom w:w="0" w:type="dxa"/>
          <w:right w:w="108" w:type="dxa"/>
        </w:tblCellMar>
      </w:tblPr>
      <w:tblGrid>
        <w:gridCol w:w="1165"/>
        <w:gridCol w:w="2292"/>
        <w:gridCol w:w="5865"/>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条款号</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条款名称</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招标人</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eastAsia="宋体" w:cs="宋体"/>
                <w:color w:val="auto"/>
                <w:sz w:val="21"/>
                <w:szCs w:val="21"/>
                <w:highlight w:val="none"/>
                <w:u w:val="single"/>
                <w:lang w:val="en-US" w:eastAsia="zh-CN"/>
              </w:rPr>
              <w:t>广州璟逸房地产开发有限公司</w:t>
            </w:r>
          </w:p>
          <w:p>
            <w:pPr>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eastAsia="宋体" w:cs="宋体"/>
                <w:color w:val="auto"/>
                <w:sz w:val="21"/>
                <w:szCs w:val="21"/>
                <w:highlight w:val="none"/>
                <w:u w:val="single"/>
                <w:lang w:val="en-US" w:eastAsia="zh-CN"/>
              </w:rPr>
              <w:t>广州市天河区车陂路586号B106房</w:t>
            </w:r>
          </w:p>
          <w:p>
            <w:pPr>
              <w:rPr>
                <w:rFonts w:hint="eastAsia" w:ascii="宋体" w:hAnsi="宋体" w:cs="宋体"/>
                <w:color w:val="auto"/>
                <w:szCs w:val="21"/>
                <w:highlight w:val="none"/>
                <w:u w:val="single"/>
              </w:rPr>
            </w:pPr>
            <w:r>
              <w:rPr>
                <w:rFonts w:hint="eastAsia" w:ascii="宋体" w:hAnsi="宋体" w:cs="宋体"/>
                <w:color w:val="auto"/>
                <w:szCs w:val="21"/>
                <w:highlight w:val="none"/>
              </w:rPr>
              <w:t>联 系 人：</w:t>
            </w:r>
            <w:r>
              <w:rPr>
                <w:rFonts w:hint="eastAsia" w:ascii="宋体" w:hAnsi="宋体" w:eastAsia="宋体" w:cs="宋体"/>
                <w:color w:val="auto"/>
                <w:sz w:val="21"/>
                <w:szCs w:val="21"/>
                <w:highlight w:val="none"/>
                <w:u w:val="single"/>
                <w:lang w:val="en-US" w:eastAsia="zh-CN"/>
              </w:rPr>
              <w:t>丘工、周</w:t>
            </w:r>
            <w:r>
              <w:rPr>
                <w:rFonts w:hint="eastAsia" w:ascii="宋体" w:hAnsi="宋体" w:eastAsia="宋体" w:cs="宋体"/>
                <w:color w:val="auto"/>
                <w:sz w:val="21"/>
                <w:szCs w:val="21"/>
                <w:highlight w:val="none"/>
                <w:u w:val="single"/>
              </w:rPr>
              <w:t>工</w:t>
            </w:r>
          </w:p>
          <w:p>
            <w:pPr>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eastAsia="宋体" w:cs="宋体"/>
                <w:color w:val="auto"/>
                <w:sz w:val="21"/>
                <w:szCs w:val="21"/>
                <w:highlight w:val="none"/>
                <w:u w:val="single"/>
              </w:rPr>
              <w:t>020-</w:t>
            </w:r>
            <w:r>
              <w:rPr>
                <w:rFonts w:hint="eastAsia" w:ascii="宋体" w:hAnsi="宋体" w:eastAsia="宋体" w:cs="宋体"/>
                <w:color w:val="auto"/>
                <w:sz w:val="21"/>
                <w:szCs w:val="21"/>
                <w:highlight w:val="none"/>
                <w:u w:val="single"/>
                <w:lang w:val="en-US" w:eastAsia="zh-CN"/>
              </w:rPr>
              <w:t>32689223</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招标代理机构</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广州市嘉悦技术咨询有限公司</w:t>
            </w:r>
          </w:p>
          <w:p>
            <w:pPr>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广州市天河区天河北路620号1504房</w:t>
            </w:r>
          </w:p>
          <w:p>
            <w:pPr>
              <w:rPr>
                <w:rFonts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黄工、吴工</w:t>
            </w:r>
          </w:p>
          <w:p>
            <w:pPr>
              <w:rPr>
                <w:rFonts w:ascii="宋体" w:hAnsi="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020-87070809</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1.1.4</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u w:val="single"/>
              </w:rPr>
            </w:pPr>
            <w:r>
              <w:rPr>
                <w:rFonts w:hint="eastAsia" w:ascii="宋体" w:hAnsi="宋体"/>
                <w:color w:val="auto"/>
                <w:szCs w:val="21"/>
                <w:highlight w:val="none"/>
                <w:u w:val="single"/>
              </w:rPr>
              <w:t>招标项目名称</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lang w:eastAsia="zh-CN"/>
              </w:rPr>
              <w:t>广州浪奇化工厂地块二(A)及广州浪奇化工厂地块二(B)土壤污染修复工程监理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1.1.5</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项目建设地点</w:t>
            </w:r>
          </w:p>
        </w:tc>
        <w:tc>
          <w:tcPr>
            <w:tcW w:w="58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u w:val="single"/>
              </w:rPr>
            </w:pPr>
            <w:r>
              <w:rPr>
                <w:rFonts w:hint="eastAsia" w:ascii="宋体" w:hAnsi="宋体"/>
                <w:color w:val="auto"/>
                <w:szCs w:val="21"/>
                <w:highlight w:val="none"/>
                <w:u w:val="single"/>
              </w:rPr>
              <w:t>详见招标公</w:t>
            </w:r>
            <w:r>
              <w:rPr>
                <w:rFonts w:hint="eastAsia" w:ascii="宋体" w:hAnsi="宋体" w:cs="宋体"/>
                <w:color w:val="auto"/>
                <w:szCs w:val="21"/>
                <w:highlight w:val="none"/>
                <w:u w:val="single"/>
              </w:rPr>
              <w:t>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1.1.6</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项目建设规模</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CellMar>
            <w:top w:w="0" w:type="dxa"/>
            <w:left w:w="108" w:type="dxa"/>
            <w:bottom w:w="0" w:type="dxa"/>
            <w:right w:w="108" w:type="dxa"/>
          </w:tblCellMar>
        </w:tblPrEx>
        <w:trPr>
          <w:trHeight w:val="84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1.1.7</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w:t>
            </w:r>
            <w:r>
              <w:rPr>
                <w:rFonts w:hint="eastAsia" w:ascii="宋体" w:hAnsi="宋体" w:cs="宋体"/>
                <w:color w:val="auto"/>
                <w:szCs w:val="21"/>
                <w:highlight w:val="none"/>
                <w:u w:val="single"/>
                <w:lang w:val="en-US" w:eastAsia="zh-CN"/>
              </w:rPr>
              <w:t>以监理单位签发开工令为准。</w:t>
            </w:r>
          </w:p>
          <w:p>
            <w:pPr>
              <w:rPr>
                <w:rFonts w:ascii="宋体" w:hAnsi="宋体"/>
                <w:color w:val="auto"/>
                <w:szCs w:val="21"/>
                <w:highlight w:val="none"/>
                <w:u w:val="single"/>
              </w:rPr>
            </w:pPr>
            <w:r>
              <w:rPr>
                <w:rFonts w:hint="eastAsia" w:ascii="宋体" w:hAnsi="宋体" w:cs="宋体"/>
                <w:color w:val="auto"/>
                <w:szCs w:val="21"/>
                <w:highlight w:val="none"/>
              </w:rPr>
              <w:t>建设周期：</w:t>
            </w:r>
            <w:r>
              <w:rPr>
                <w:rFonts w:hint="eastAsia" w:ascii="宋体" w:hAnsi="宋体" w:cs="宋体"/>
                <w:color w:val="auto"/>
                <w:szCs w:val="21"/>
                <w:highlight w:val="none"/>
                <w:u w:val="single"/>
                <w:lang w:val="en-US" w:eastAsia="zh-CN"/>
              </w:rPr>
              <w:t>施工合同工期259日历天</w:t>
            </w: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1.1.8</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建筑安装工程费</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1.2.1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资金来源及比例</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 xml:space="preserve">企业自筹，比例100%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1.2.2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资金落实情况</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资金已落实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招标范围</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监理服务期限</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详见招标公告</w:t>
            </w:r>
          </w:p>
        </w:tc>
      </w:tr>
      <w:tr>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1.3.3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u w:val="single"/>
                <w:lang w:eastAsia="zh-CN"/>
              </w:rPr>
            </w:pPr>
            <w:r>
              <w:rPr>
                <w:rFonts w:ascii="宋体" w:hAnsi="宋体" w:eastAsia="宋体" w:cs="宋体"/>
                <w:color w:val="auto"/>
                <w:sz w:val="21"/>
                <w:szCs w:val="21"/>
                <w:highlight w:val="none"/>
              </w:rPr>
              <w:t>治理与修复工程实施过程中不对周边环境造成不良影响及不产生二次污染，污染土壤修复均达到《土壤环境质量建设用地土壤污染风险管控标准（试行）》（GB36600-2018）第一类用地筛选值和管制值，通过生态环境主管部门组织的修复效果评估专家评审会验收，取得验收合格批复文件，项目地块移出广东省建设用地土壤污染风险管控和修复名录。</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1.4.1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spacing w:before="120"/>
              <w:rPr>
                <w:rFonts w:hint="eastAsia"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pPr>
              <w:snapToGrid w:val="0"/>
              <w:rPr>
                <w:rFonts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pPr>
              <w:snapToGrid w:val="0"/>
              <w:rPr>
                <w:rFonts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w:t>
            </w:r>
          </w:p>
          <w:p>
            <w:pPr>
              <w:snapToGrid w:val="0"/>
              <w:rPr>
                <w:rFonts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pPr>
              <w:snapToGrid w:val="0"/>
              <w:ind w:right="106"/>
              <w:jc w:val="left"/>
              <w:rPr>
                <w:rFonts w:hint="eastAsia"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pPr>
              <w:snapToGrid w:val="0"/>
              <w:ind w:right="106"/>
              <w:rPr>
                <w:rFonts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pPr>
              <w:tabs>
                <w:tab w:val="right" w:pos="6060"/>
              </w:tabs>
              <w:snapToGrid w:val="0"/>
              <w:rPr>
                <w:rFonts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1.4.2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是否接受联合体投标</w:t>
            </w:r>
          </w:p>
        </w:tc>
        <w:tc>
          <w:tcPr>
            <w:tcW w:w="5865"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color w:val="auto"/>
                <w:szCs w:val="21"/>
                <w:highlight w:val="none"/>
              </w:rPr>
            </w:pPr>
            <w:r>
              <w:rPr>
                <w:rFonts w:hint="eastAsia" w:ascii="宋体" w:hAnsi="宋体"/>
                <w:color w:val="auto"/>
                <w:szCs w:val="21"/>
                <w:highlight w:val="none"/>
              </w:rPr>
              <w:t>■不</w:t>
            </w:r>
            <w:r>
              <w:rPr>
                <w:rFonts w:ascii="宋体" w:hAnsi="宋体"/>
                <w:color w:val="auto"/>
                <w:szCs w:val="21"/>
                <w:highlight w:val="none"/>
              </w:rPr>
              <w:t>接受</w:t>
            </w:r>
          </w:p>
          <w:p>
            <w:pPr>
              <w:rPr>
                <w:rFonts w:ascii="宋体" w:hAnsi="宋体"/>
                <w:color w:val="auto"/>
                <w:szCs w:val="21"/>
                <w:highlight w:val="none"/>
              </w:rPr>
            </w:pPr>
            <w:r>
              <w:rPr>
                <w:rFonts w:hint="eastAsia" w:hAnsi="宋体"/>
                <w:color w:val="auto"/>
                <w:szCs w:val="21"/>
                <w:highlight w:val="none"/>
              </w:rPr>
              <w:t>□</w:t>
            </w:r>
            <w:r>
              <w:rPr>
                <w:rFonts w:ascii="宋体" w:hAnsi="宋体"/>
                <w:color w:val="auto"/>
                <w:szCs w:val="21"/>
                <w:highlight w:val="none"/>
              </w:rPr>
              <w:t>接受</w:t>
            </w:r>
            <w:r>
              <w:rPr>
                <w:rFonts w:hint="eastAsia" w:ascii="宋体" w:hAnsi="宋体"/>
                <w:color w:val="auto"/>
                <w:szCs w:val="21"/>
                <w:highlight w:val="none"/>
              </w:rPr>
              <w:t>，应满足下列要求：</w:t>
            </w:r>
            <w:r>
              <w:rPr>
                <w:rFonts w:hAnsi="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1.4.3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u w:val="single"/>
              </w:rPr>
            </w:pPr>
            <w:r>
              <w:rPr>
                <w:rFonts w:hint="eastAsia" w:ascii="宋体" w:hAnsi="宋体"/>
                <w:color w:val="auto"/>
                <w:szCs w:val="21"/>
                <w:highlight w:val="none"/>
              </w:rPr>
              <w:t>见招标文件第二章“投标人须知”第1.4.3条。</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1.9.1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踏勘现场</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■不组织</w:t>
            </w:r>
          </w:p>
          <w:p>
            <w:pPr>
              <w:pStyle w:val="18"/>
              <w:topLinePunct/>
              <w:rPr>
                <w:rFonts w:hAnsi="宋体"/>
                <w:color w:val="auto"/>
                <w:sz w:val="21"/>
                <w:szCs w:val="21"/>
                <w:highlight w:val="none"/>
                <w:u w:val="single"/>
              </w:rPr>
            </w:pPr>
            <w:r>
              <w:rPr>
                <w:rFonts w:hint="eastAsia" w:hAnsi="宋体"/>
                <w:color w:val="auto"/>
                <w:sz w:val="21"/>
                <w:szCs w:val="21"/>
                <w:highlight w:val="none"/>
                <w:u w:val="single"/>
              </w:rPr>
              <w:t>补充说明如下：</w:t>
            </w:r>
          </w:p>
          <w:p>
            <w:pPr>
              <w:pStyle w:val="18"/>
              <w:topLinePunct/>
              <w:rPr>
                <w:rFonts w:hAnsi="宋体"/>
                <w:color w:val="auto"/>
                <w:sz w:val="21"/>
                <w:szCs w:val="21"/>
                <w:highlight w:val="none"/>
                <w:u w:val="single"/>
              </w:rPr>
            </w:pPr>
            <w:r>
              <w:rPr>
                <w:rFonts w:hint="eastAsia" w:hAnsi="宋体"/>
                <w:color w:val="auto"/>
                <w:sz w:val="21"/>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18"/>
              <w:topLinePunct/>
              <w:rPr>
                <w:rFonts w:hAnsi="宋体"/>
                <w:color w:val="auto"/>
                <w:sz w:val="21"/>
                <w:szCs w:val="21"/>
                <w:highlight w:val="none"/>
                <w:u w:val="single"/>
              </w:rPr>
            </w:pPr>
            <w:r>
              <w:rPr>
                <w:rFonts w:hint="eastAsia" w:hAnsi="宋体"/>
                <w:color w:val="auto"/>
                <w:sz w:val="21"/>
                <w:szCs w:val="21"/>
                <w:highlight w:val="none"/>
                <w:u w:val="single"/>
              </w:rPr>
              <w:t>（</w:t>
            </w:r>
            <w:r>
              <w:rPr>
                <w:rFonts w:hAnsi="宋体"/>
                <w:color w:val="auto"/>
                <w:sz w:val="21"/>
                <w:szCs w:val="21"/>
                <w:highlight w:val="none"/>
                <w:u w:val="single"/>
              </w:rPr>
              <w:t>2</w:t>
            </w:r>
            <w:r>
              <w:rPr>
                <w:rFonts w:hint="eastAsia" w:hAnsi="宋体"/>
                <w:color w:val="auto"/>
                <w:sz w:val="21"/>
                <w:szCs w:val="21"/>
                <w:highlight w:val="none"/>
                <w:u w:val="single"/>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8"/>
              <w:topLinePunct/>
              <w:rPr>
                <w:rFonts w:hAnsi="宋体"/>
                <w:color w:val="auto"/>
                <w:sz w:val="21"/>
                <w:szCs w:val="21"/>
                <w:highlight w:val="none"/>
                <w:u w:val="single"/>
              </w:rPr>
            </w:pPr>
            <w:r>
              <w:rPr>
                <w:rFonts w:hint="eastAsia" w:hAnsi="宋体"/>
                <w:color w:val="auto"/>
                <w:sz w:val="21"/>
                <w:szCs w:val="21"/>
                <w:highlight w:val="none"/>
                <w:u w:val="single"/>
              </w:rPr>
              <w:t>（</w:t>
            </w:r>
            <w:r>
              <w:rPr>
                <w:rFonts w:hAnsi="宋体"/>
                <w:color w:val="auto"/>
                <w:sz w:val="21"/>
                <w:szCs w:val="21"/>
                <w:highlight w:val="none"/>
                <w:u w:val="single"/>
              </w:rPr>
              <w:t>3</w:t>
            </w:r>
            <w:r>
              <w:rPr>
                <w:rFonts w:hint="eastAsia" w:hAnsi="宋体"/>
                <w:color w:val="auto"/>
                <w:sz w:val="21"/>
                <w:szCs w:val="21"/>
                <w:highlight w:val="none"/>
                <w:u w:val="single"/>
              </w:rPr>
              <w:t>）在现场考察中由招标人提供的资料和数据，只是为了使投标人能够利用招标人现有的资料。招标人对投标人由此而作出的推论、解释和结论概不负责。</w:t>
            </w:r>
          </w:p>
          <w:p>
            <w:pPr>
              <w:pStyle w:val="18"/>
              <w:topLinePunct/>
              <w:rPr>
                <w:rFonts w:hAnsi="宋体"/>
                <w:color w:val="auto"/>
                <w:sz w:val="21"/>
                <w:szCs w:val="21"/>
                <w:highlight w:val="none"/>
              </w:rPr>
            </w:pPr>
            <w:r>
              <w:rPr>
                <w:rFonts w:hint="eastAsia" w:hAnsi="宋体"/>
                <w:color w:val="auto"/>
                <w:sz w:val="21"/>
                <w:szCs w:val="21"/>
                <w:highlight w:val="none"/>
              </w:rPr>
              <w:t>□组织，踏勘时间：/</w:t>
            </w:r>
          </w:p>
          <w:p>
            <w:pPr>
              <w:pStyle w:val="18"/>
              <w:topLinePunct/>
              <w:ind w:firstLine="840" w:firstLineChars="400"/>
              <w:rPr>
                <w:rFonts w:hAnsi="宋体"/>
                <w:color w:val="auto"/>
                <w:sz w:val="21"/>
                <w:szCs w:val="21"/>
                <w:highlight w:val="none"/>
              </w:rPr>
            </w:pPr>
            <w:r>
              <w:rPr>
                <w:rFonts w:hint="eastAsia" w:hAnsi="宋体"/>
                <w:color w:val="auto"/>
                <w:sz w:val="21"/>
                <w:szCs w:val="21"/>
                <w:highlight w:val="none"/>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1.10.1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投标预备会</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■不召开</w:t>
            </w:r>
          </w:p>
          <w:p>
            <w:pPr>
              <w:rPr>
                <w:rFonts w:ascii="宋体" w:hAnsi="宋体"/>
                <w:color w:val="auto"/>
                <w:szCs w:val="21"/>
                <w:highlight w:val="none"/>
              </w:rPr>
            </w:pPr>
            <w:r>
              <w:rPr>
                <w:rFonts w:hint="eastAsia" w:ascii="宋体" w:hAnsi="宋体"/>
                <w:color w:val="auto"/>
                <w:szCs w:val="21"/>
                <w:highlight w:val="none"/>
              </w:rPr>
              <w:t>□召开，召开时间：/</w:t>
            </w:r>
          </w:p>
          <w:p>
            <w:pPr>
              <w:ind w:firstLine="840" w:firstLineChars="400"/>
              <w:rPr>
                <w:rFonts w:ascii="宋体" w:hAnsi="宋体"/>
                <w:color w:val="auto"/>
                <w:szCs w:val="21"/>
                <w:highlight w:val="none"/>
              </w:rPr>
            </w:pPr>
            <w:r>
              <w:rPr>
                <w:rFonts w:hint="eastAsia" w:ascii="宋体" w:hAnsi="宋体"/>
                <w:color w:val="auto"/>
                <w:szCs w:val="21"/>
                <w:highlight w:val="none"/>
              </w:rPr>
              <w:t>召开地点：/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1.10.2</w:t>
            </w:r>
          </w:p>
        </w:tc>
        <w:tc>
          <w:tcPr>
            <w:tcW w:w="2292"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292" w:type="dxa"/>
            <w:vMerge w:val="continue"/>
            <w:tcBorders>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1.10.3</w:t>
            </w:r>
          </w:p>
        </w:tc>
        <w:tc>
          <w:tcPr>
            <w:tcW w:w="2292" w:type="dxa"/>
            <w:tcBorders>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rPr>
              <w:t>网站“招标答疑”专区发布，一经在发布，视作已发放给所有投标人。</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1.12.1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实质性要求和条件</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1.12.3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偏差</w:t>
            </w:r>
          </w:p>
        </w:tc>
        <w:tc>
          <w:tcPr>
            <w:tcW w:w="58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不允许</w:t>
            </w:r>
          </w:p>
          <w:p>
            <w:pPr>
              <w:pStyle w:val="18"/>
              <w:topLinePunct/>
              <w:rPr>
                <w:rFonts w:hAnsi="宋体"/>
                <w:color w:val="auto"/>
                <w:sz w:val="21"/>
                <w:szCs w:val="21"/>
                <w:highlight w:val="none"/>
              </w:rPr>
            </w:pPr>
            <w:r>
              <w:rPr>
                <w:rFonts w:hAnsi="宋体"/>
                <w:color w:val="auto"/>
                <w:sz w:val="21"/>
                <w:szCs w:val="21"/>
                <w:highlight w:val="none"/>
              </w:rPr>
              <w:t>□允许，偏差范围：</w:t>
            </w:r>
            <w:r>
              <w:rPr>
                <w:rFonts w:hint="eastAsia" w:hAnsi="宋体"/>
                <w:color w:val="auto"/>
                <w:sz w:val="21"/>
                <w:szCs w:val="21"/>
                <w:highlight w:val="none"/>
              </w:rPr>
              <w:t>/</w:t>
            </w:r>
          </w:p>
          <w:p>
            <w:pPr>
              <w:pStyle w:val="18"/>
              <w:topLinePunct/>
              <w:ind w:firstLine="840" w:firstLineChars="400"/>
              <w:rPr>
                <w:rFonts w:hAnsi="宋体"/>
                <w:color w:val="auto"/>
                <w:sz w:val="21"/>
                <w:szCs w:val="21"/>
                <w:highlight w:val="none"/>
              </w:rPr>
            </w:pPr>
            <w:r>
              <w:rPr>
                <w:rFonts w:hAnsi="宋体"/>
                <w:color w:val="auto"/>
                <w:sz w:val="21"/>
                <w:szCs w:val="21"/>
                <w:highlight w:val="none"/>
              </w:rPr>
              <w:t>偏差幅度：</w:t>
            </w:r>
            <w:r>
              <w:rPr>
                <w:rFonts w:hint="eastAsia" w:hAnsi="宋体"/>
                <w:color w:val="auto"/>
                <w:sz w:val="21"/>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答疑纪要（如有）、澄清文件（如有）等。</w:t>
            </w:r>
          </w:p>
        </w:tc>
      </w:tr>
      <w:tr>
        <w:tblPrEx>
          <w:tblCellMar>
            <w:top w:w="0" w:type="dxa"/>
            <w:left w:w="108" w:type="dxa"/>
            <w:bottom w:w="0" w:type="dxa"/>
            <w:right w:w="108" w:type="dxa"/>
          </w:tblCellMar>
        </w:tblPrEx>
        <w:trPr>
          <w:trHeight w:val="435" w:hRule="atLeast"/>
        </w:trPr>
        <w:tc>
          <w:tcPr>
            <w:tcW w:w="1165"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2.2.1</w:t>
            </w:r>
          </w:p>
        </w:tc>
        <w:tc>
          <w:tcPr>
            <w:tcW w:w="2292"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tblPrEx>
          <w:tblCellMar>
            <w:top w:w="0" w:type="dxa"/>
            <w:left w:w="108" w:type="dxa"/>
            <w:bottom w:w="0" w:type="dxa"/>
            <w:right w:w="108" w:type="dxa"/>
          </w:tblCellMar>
        </w:tblPrEx>
        <w:trPr>
          <w:trHeight w:val="435" w:hRule="atLeast"/>
        </w:trPr>
        <w:tc>
          <w:tcPr>
            <w:tcW w:w="1165"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2292"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ind w:right="174" w:rightChars="83"/>
              <w:rPr>
                <w:rFonts w:ascii="宋体" w:hAnsi="宋体" w:cs="宋体"/>
                <w:color w:val="auto"/>
                <w:kern w:val="0"/>
                <w:szCs w:val="21"/>
                <w:highlight w:val="none"/>
                <w:u w:val="single"/>
              </w:rPr>
            </w:pPr>
            <w:r>
              <w:rPr>
                <w:rFonts w:hint="eastAsia" w:ascii="宋体" w:hAnsi="宋体"/>
                <w:color w:val="auto"/>
                <w:szCs w:val="21"/>
                <w:highlight w:val="none"/>
                <w:u w:val="singl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pPr>
              <w:snapToGrid w:val="0"/>
              <w:ind w:right="174" w:rightChars="83" w:firstLine="630" w:firstLineChars="3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pPr>
              <w:snapToGrid w:val="0"/>
              <w:ind w:right="174" w:rightChars="83" w:firstLine="630" w:firstLineChars="3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pPr>
              <w:snapToGrid w:val="0"/>
              <w:ind w:right="174" w:rightChars="83" w:firstLine="630" w:firstLineChars="300"/>
              <w:rPr>
                <w:rFonts w:hint="eastAsia" w:ascii="宋体" w:hAnsi="宋体"/>
                <w:color w:val="auto"/>
                <w:szCs w:val="21"/>
                <w:highlight w:val="non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在递交投标文件截止时间15天前；在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网站通过项目答疑专区网上公开发布。</w:t>
            </w:r>
          </w:p>
        </w:tc>
      </w:tr>
      <w:tr>
        <w:tblPrEx>
          <w:tblCellMar>
            <w:top w:w="0" w:type="dxa"/>
            <w:left w:w="108" w:type="dxa"/>
            <w:bottom w:w="0" w:type="dxa"/>
            <w:right w:w="108" w:type="dxa"/>
          </w:tblCellMar>
        </w:tblPrEx>
        <w:trPr>
          <w:trHeight w:val="8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2.2.3</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2.3.1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90"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2.3.2</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tblPrEx>
          <w:tblCellMar>
            <w:top w:w="0" w:type="dxa"/>
            <w:left w:w="108" w:type="dxa"/>
            <w:bottom w:w="0" w:type="dxa"/>
            <w:right w:w="108" w:type="dxa"/>
          </w:tblCellMar>
        </w:tblPrEx>
        <w:trPr>
          <w:trHeight w:val="890"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3.1.1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3.2.1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按国家税务机关的规定执行。</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3.2.3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报价方式</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投标人自行报价，按“%”填报费率，投标报价金额=投标报价计算基数×费率</w:t>
            </w:r>
            <w:r>
              <w:rPr>
                <w:rFonts w:hint="eastAsia" w:ascii="宋体" w:hAnsi="宋体"/>
                <w:color w:val="auto"/>
                <w:szCs w:val="21"/>
                <w:highlight w:val="none"/>
                <w:u w:val="single"/>
                <w:lang w:val="en-US" w:eastAsia="zh-CN"/>
              </w:rPr>
              <w:t>。计算基数为环境修复工程费用，</w:t>
            </w:r>
            <w:r>
              <w:rPr>
                <w:rFonts w:hint="eastAsia" w:ascii="宋体" w:hAnsi="宋体"/>
                <w:color w:val="auto"/>
                <w:szCs w:val="21"/>
                <w:highlight w:val="none"/>
                <w:u w:val="single"/>
              </w:rPr>
              <w:t>暂估金额</w:t>
            </w:r>
            <w:r>
              <w:rPr>
                <w:rFonts w:hint="eastAsia" w:ascii="宋体" w:hAnsi="宋体"/>
                <w:color w:val="auto"/>
                <w:szCs w:val="21"/>
                <w:highlight w:val="none"/>
                <w:u w:val="single"/>
                <w:lang w:val="en-US" w:eastAsia="zh-CN"/>
              </w:rPr>
              <w:t>为120000000.00元</w:t>
            </w:r>
            <w:r>
              <w:rPr>
                <w:rFonts w:hint="eastAsia" w:ascii="宋体" w:hAnsi="宋体"/>
                <w:color w:val="auto"/>
                <w:szCs w:val="21"/>
                <w:highlight w:val="none"/>
                <w:u w:val="single"/>
              </w:rPr>
              <w:t>，最终</w:t>
            </w:r>
            <w:r>
              <w:rPr>
                <w:rFonts w:hint="eastAsia" w:ascii="宋体" w:hAnsi="宋体"/>
                <w:color w:val="auto"/>
                <w:szCs w:val="21"/>
                <w:highlight w:val="none"/>
                <w:u w:val="single"/>
                <w:lang w:val="en-US" w:eastAsia="zh-CN"/>
              </w:rPr>
              <w:t>结算</w:t>
            </w:r>
            <w:r>
              <w:rPr>
                <w:rFonts w:hint="eastAsia" w:ascii="宋体" w:hAnsi="宋体"/>
                <w:color w:val="auto"/>
                <w:szCs w:val="21"/>
                <w:highlight w:val="none"/>
                <w:u w:val="single"/>
              </w:rPr>
              <w:t>基数以环境修复工程经政府部门最终审定结算金额为准。</w:t>
            </w:r>
            <w:r>
              <w:rPr>
                <w:rFonts w:hint="eastAsia" w:ascii="宋体" w:hAnsi="宋体"/>
                <w:color w:val="auto"/>
                <w:szCs w:val="21"/>
                <w:highlight w:val="none"/>
                <w:u w:val="single"/>
                <w:lang w:val="en-US" w:eastAsia="zh-CN"/>
              </w:rPr>
              <w:t>报价、费率</w:t>
            </w:r>
            <w:r>
              <w:rPr>
                <w:rFonts w:hint="eastAsia" w:ascii="宋体" w:hAnsi="宋体"/>
                <w:color w:val="auto"/>
                <w:szCs w:val="21"/>
                <w:highlight w:val="none"/>
                <w:u w:val="single"/>
              </w:rPr>
              <w:t>小数点后保留两位小数，第三位小数四舍五入</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投标报价超过本项目最高投标限价的投标文件将被拒绝。</w:t>
            </w:r>
          </w:p>
          <w:p>
            <w:pPr>
              <w:ind w:firstLine="422" w:firstLineChars="200"/>
              <w:rPr>
                <w:rFonts w:hint="eastAsia" w:ascii="宋体" w:hAnsi="宋体"/>
                <w:color w:val="auto"/>
                <w:szCs w:val="21"/>
                <w:highlight w:val="none"/>
                <w:u w:val="single"/>
              </w:rPr>
            </w:pPr>
            <w:r>
              <w:rPr>
                <w:rFonts w:hint="eastAsia" w:ascii="宋体" w:hAnsi="宋体"/>
                <w:b/>
                <w:bCs/>
                <w:color w:val="auto"/>
                <w:szCs w:val="21"/>
                <w:highlight w:val="none"/>
                <w:u w:val="single"/>
              </w:rPr>
              <w:t>对低于成本警戒价</w:t>
            </w:r>
            <w:r>
              <w:rPr>
                <w:rFonts w:hint="eastAsia" w:ascii="宋体" w:hAnsi="宋体"/>
                <w:b/>
                <w:bCs/>
                <w:color w:val="auto"/>
                <w:szCs w:val="21"/>
                <w:highlight w:val="none"/>
                <w:u w:val="single"/>
                <w:lang w:val="en-US" w:eastAsia="zh-CN"/>
              </w:rPr>
              <w:t>397.44万</w:t>
            </w:r>
            <w:r>
              <w:rPr>
                <w:rFonts w:hint="eastAsia" w:ascii="宋体" w:hAnsi="宋体"/>
                <w:b/>
                <w:bCs/>
                <w:color w:val="auto"/>
                <w:szCs w:val="21"/>
                <w:highlight w:val="none"/>
                <w:u w:val="single"/>
              </w:rPr>
              <w:t>元(</w:t>
            </w:r>
            <w:r>
              <w:rPr>
                <w:rFonts w:hint="eastAsia" w:ascii="宋体" w:hAnsi="宋体"/>
                <w:b/>
                <w:bCs/>
                <w:color w:val="auto"/>
                <w:szCs w:val="21"/>
                <w:highlight w:val="none"/>
                <w:u w:val="single"/>
                <w:lang w:val="en-US" w:eastAsia="zh-CN"/>
              </w:rPr>
              <w:t>最高投标限价的9</w:t>
            </w:r>
            <w:r>
              <w:rPr>
                <w:rFonts w:hint="eastAsia" w:ascii="宋体" w:hAnsi="宋体"/>
                <w:b/>
                <w:bCs/>
                <w:color w:val="auto"/>
                <w:szCs w:val="21"/>
                <w:highlight w:val="none"/>
                <w:u w:val="single"/>
              </w:rPr>
              <w:t>0%)的投标报价，投标人必须提供详细的成本分析及承诺供评标委员会评审，由评标委员会判定其是否低于企业自身成本。在评标过程中，评标委员会发现投标人的报价明显低于其他投标报价或者低于成本警</w:t>
            </w:r>
            <w:r>
              <w:rPr>
                <w:rFonts w:hint="eastAsia" w:ascii="宋体" w:hAnsi="宋体"/>
                <w:b/>
                <w:bCs/>
                <w:color w:val="auto"/>
                <w:szCs w:val="21"/>
                <w:highlight w:val="none"/>
                <w:u w:val="single"/>
                <w:lang w:val="en-US" w:eastAsia="zh-CN"/>
              </w:rPr>
              <w:t>戒</w:t>
            </w:r>
            <w:r>
              <w:rPr>
                <w:rFonts w:hint="eastAsia" w:ascii="宋体" w:hAnsi="宋体"/>
                <w:b/>
                <w:bCs/>
                <w:color w:val="auto"/>
                <w:szCs w:val="21"/>
                <w:highlight w:val="none"/>
                <w:u w:val="singl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3.2.4</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最高投标限价</w:t>
            </w:r>
          </w:p>
        </w:tc>
        <w:tc>
          <w:tcPr>
            <w:tcW w:w="5865" w:type="dxa"/>
            <w:tcBorders>
              <w:top w:val="single" w:color="auto" w:sz="4" w:space="0"/>
              <w:left w:val="single" w:color="auto" w:sz="4" w:space="0"/>
              <w:bottom w:val="single" w:color="auto" w:sz="4" w:space="0"/>
              <w:right w:val="single" w:color="auto" w:sz="4" w:space="0"/>
            </w:tcBorders>
            <w:vAlign w:val="center"/>
          </w:tcPr>
          <w:p>
            <w:pPr>
              <w:pStyle w:val="82"/>
              <w:rPr>
                <w:rFonts w:ascii="宋体" w:hAnsi="宋体"/>
                <w:color w:val="auto"/>
                <w:szCs w:val="21"/>
                <w:highlight w:val="none"/>
              </w:rPr>
            </w:pPr>
            <w:r>
              <w:rPr>
                <w:rFonts w:ascii="宋体" w:hAnsi="宋体"/>
                <w:color w:val="auto"/>
                <w:szCs w:val="21"/>
                <w:highlight w:val="none"/>
              </w:rPr>
              <w:t>□无</w:t>
            </w:r>
          </w:p>
          <w:p>
            <w:pPr>
              <w:pStyle w:val="8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有，</w:t>
            </w:r>
            <w:r>
              <w:rPr>
                <w:rFonts w:hint="eastAsia" w:ascii="宋体" w:hAnsi="宋体" w:cs="宋体"/>
                <w:bCs/>
                <w:color w:val="auto"/>
                <w:sz w:val="21"/>
                <w:szCs w:val="21"/>
                <w:highlight w:val="none"/>
              </w:rPr>
              <w:t>人民币</w:t>
            </w:r>
            <w:r>
              <w:rPr>
                <w:rFonts w:hint="eastAsia" w:ascii="宋体" w:hAnsi="宋体" w:cs="宋体"/>
                <w:bCs/>
                <w:color w:val="auto"/>
                <w:szCs w:val="21"/>
                <w:highlight w:val="none"/>
                <w:u w:val="single"/>
                <w:lang w:val="en-US" w:eastAsia="zh-CN"/>
              </w:rPr>
              <w:t>441</w:t>
            </w:r>
            <w:r>
              <w:rPr>
                <w:rFonts w:hint="eastAsia" w:ascii="宋体" w:hAnsi="宋体" w:cs="宋体"/>
                <w:bCs/>
                <w:color w:val="auto"/>
                <w:szCs w:val="21"/>
                <w:highlight w:val="none"/>
                <w:u w:val="single"/>
              </w:rPr>
              <w:t>.6</w:t>
            </w:r>
            <w:r>
              <w:rPr>
                <w:rFonts w:hint="eastAsia" w:ascii="宋体" w:hAnsi="宋体" w:cs="宋体"/>
                <w:bCs/>
                <w:color w:val="auto"/>
                <w:sz w:val="21"/>
                <w:szCs w:val="21"/>
                <w:highlight w:val="none"/>
              </w:rPr>
              <w:t>万元</w:t>
            </w:r>
            <w:r>
              <w:rPr>
                <w:rFonts w:hint="eastAsia" w:ascii="宋体" w:hAnsi="宋体" w:cs="宋体"/>
                <w:bCs/>
                <w:color w:val="auto"/>
                <w:sz w:val="21"/>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3.2.5</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586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各投标单位在最高投标限价内根据企业自身实力进行报价（以元为单位，保留两位小数，第三位小数四舍五入）,投标报价超过最高投标限价的投标文件将被否决其投标。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pStyle w:val="82"/>
              <w:rPr>
                <w:rFonts w:hint="default" w:ascii="宋体" w:hAnsi="宋体" w:eastAsia="宋体"/>
                <w:color w:val="auto"/>
                <w:szCs w:val="21"/>
                <w:highlight w:val="none"/>
                <w:lang w:val="en-US" w:eastAsia="zh-CN"/>
              </w:rPr>
            </w:pPr>
            <w:r>
              <w:rPr>
                <w:rFonts w:hint="eastAsia" w:ascii="宋体" w:hAnsi="宋体" w:cs="宋体"/>
                <w:color w:val="auto"/>
                <w:szCs w:val="21"/>
                <w:highlight w:val="none"/>
                <w:u w:val="single"/>
              </w:rPr>
              <w:t>投标人必须详细审阅全部招标文件，充分考虑职责和义务</w:t>
            </w:r>
            <w:r>
              <w:rPr>
                <w:rFonts w:ascii="宋体" w:hAnsi="宋体" w:cs="宋体"/>
                <w:color w:val="auto"/>
                <w:szCs w:val="21"/>
                <w:highlight w:val="none"/>
                <w:u w:val="single"/>
              </w:rPr>
              <w:t>,全面地理解招标文件对投标报价的要求,并按招标人提出的条件及内容进行报价。</w:t>
            </w:r>
            <w:r>
              <w:rPr>
                <w:rFonts w:hint="eastAsia" w:ascii="宋体" w:hAnsi="宋体" w:cs="宋体"/>
                <w:color w:val="auto"/>
                <w:szCs w:val="21"/>
                <w:highlight w:val="none"/>
                <w:u w:val="single"/>
                <w:lang w:val="en-US" w:eastAsia="zh-CN"/>
              </w:rPr>
              <w:t>结算方式以监理合同约定为准。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3.3.1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投标有效期</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bookmarkStart w:id="11" w:name="_Toc369531512"/>
            <w:bookmarkStart w:id="12" w:name="_Toc1789"/>
            <w:bookmarkStart w:id="13" w:name="_Toc352691470"/>
            <w:bookmarkStart w:id="14" w:name="_Toc361508582"/>
            <w:bookmarkStart w:id="15" w:name="_Toc300834946"/>
            <w:bookmarkStart w:id="16" w:name="_Toc384308207"/>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日历天（从投标截止之日算起）。如出现异议或投诉，则投标有效期自动延长至异议或投诉处理结束，确定中标人并发放中标通知书为止。</w:t>
            </w:r>
          </w:p>
        </w:tc>
      </w:tr>
      <w:bookmarkEnd w:id="11"/>
      <w:bookmarkEnd w:id="12"/>
      <w:bookmarkEnd w:id="13"/>
      <w:bookmarkEnd w:id="14"/>
      <w:bookmarkEnd w:id="15"/>
      <w:bookmarkEnd w:id="16"/>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3.4.1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投标保证金</w:t>
            </w:r>
          </w:p>
        </w:tc>
        <w:tc>
          <w:tcPr>
            <w:tcW w:w="5865" w:type="dxa"/>
            <w:tcBorders>
              <w:top w:val="single" w:color="auto" w:sz="4" w:space="0"/>
              <w:left w:val="single" w:color="auto" w:sz="4" w:space="0"/>
              <w:bottom w:val="single" w:color="auto" w:sz="4" w:space="0"/>
              <w:right w:val="single" w:color="auto" w:sz="4" w:space="0"/>
            </w:tcBorders>
            <w:vAlign w:val="center"/>
          </w:tcPr>
          <w:p>
            <w:pPr>
              <w:ind w:left="36" w:leftChars="17" w:right="36" w:rightChars="17"/>
              <w:rPr>
                <w:rFonts w:ascii="宋体" w:hAnsi="宋体"/>
                <w:color w:val="auto"/>
                <w:szCs w:val="21"/>
                <w:highlight w:val="none"/>
              </w:rPr>
            </w:pPr>
            <w:r>
              <w:rPr>
                <w:rFonts w:hint="eastAsia" w:ascii="宋体" w:hAnsi="宋体"/>
                <w:color w:val="auto"/>
                <w:szCs w:val="21"/>
                <w:highlight w:val="none"/>
              </w:rPr>
              <w:t>是否</w:t>
            </w:r>
            <w:r>
              <w:rPr>
                <w:rFonts w:hint="eastAsia" w:ascii="宋体" w:hAnsi="宋体"/>
                <w:color w:val="auto"/>
                <w:spacing w:val="-2"/>
                <w:szCs w:val="21"/>
                <w:highlight w:val="none"/>
              </w:rPr>
              <w:t>要</w:t>
            </w:r>
            <w:r>
              <w:rPr>
                <w:rFonts w:hint="eastAsia" w:ascii="宋体" w:hAnsi="宋体"/>
                <w:color w:val="auto"/>
                <w:szCs w:val="21"/>
                <w:highlight w:val="none"/>
              </w:rPr>
              <w:t>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人</w:t>
            </w:r>
            <w:r>
              <w:rPr>
                <w:rFonts w:hint="eastAsia" w:ascii="宋体" w:hAnsi="宋体"/>
                <w:color w:val="auto"/>
                <w:szCs w:val="21"/>
                <w:highlight w:val="none"/>
              </w:rPr>
              <w:t>递</w:t>
            </w:r>
            <w:r>
              <w:rPr>
                <w:rFonts w:hint="eastAsia" w:ascii="宋体" w:hAnsi="宋体"/>
                <w:color w:val="auto"/>
                <w:spacing w:val="-2"/>
                <w:szCs w:val="21"/>
                <w:highlight w:val="none"/>
              </w:rPr>
              <w:t>交</w:t>
            </w:r>
            <w:r>
              <w:rPr>
                <w:rFonts w:hint="eastAsia" w:ascii="宋体" w:hAnsi="宋体"/>
                <w:color w:val="auto"/>
                <w:szCs w:val="21"/>
                <w:highlight w:val="none"/>
              </w:rPr>
              <w:t>投</w:t>
            </w:r>
            <w:r>
              <w:rPr>
                <w:rFonts w:hint="eastAsia" w:ascii="宋体" w:hAnsi="宋体"/>
                <w:color w:val="auto"/>
                <w:spacing w:val="-2"/>
                <w:szCs w:val="21"/>
                <w:highlight w:val="none"/>
              </w:rPr>
              <w:t>标</w:t>
            </w:r>
            <w:r>
              <w:rPr>
                <w:rFonts w:hint="eastAsia" w:ascii="宋体" w:hAnsi="宋体"/>
                <w:color w:val="auto"/>
                <w:szCs w:val="21"/>
                <w:highlight w:val="none"/>
              </w:rPr>
              <w:t>保证</w:t>
            </w:r>
            <w:r>
              <w:rPr>
                <w:rFonts w:hint="eastAsia" w:ascii="宋体" w:hAnsi="宋体"/>
                <w:color w:val="auto"/>
                <w:spacing w:val="-2"/>
                <w:szCs w:val="21"/>
                <w:highlight w:val="none"/>
              </w:rPr>
              <w:t>金</w:t>
            </w:r>
            <w:r>
              <w:rPr>
                <w:rFonts w:hint="eastAsia" w:ascii="宋体" w:hAnsi="宋体"/>
                <w:color w:val="auto"/>
                <w:szCs w:val="21"/>
                <w:highlight w:val="none"/>
              </w:rPr>
              <w:t>：</w:t>
            </w:r>
          </w:p>
          <w:p>
            <w:pPr>
              <w:ind w:left="36" w:leftChars="17" w:right="36" w:rightChars="17"/>
              <w:rPr>
                <w:rFonts w:ascii="宋体" w:hAnsi="宋体" w:cs="宋体"/>
                <w:bCs/>
                <w:color w:val="auto"/>
                <w:szCs w:val="21"/>
                <w:highlight w:val="none"/>
                <w:u w:val="single"/>
              </w:rPr>
            </w:pPr>
            <w:r>
              <w:rPr>
                <w:rFonts w:hint="eastAsia" w:ascii="宋体" w:hAnsi="宋体"/>
                <w:color w:val="auto"/>
                <w:spacing w:val="-1"/>
                <w:szCs w:val="21"/>
                <w:highlight w:val="none"/>
              </w:rPr>
              <w:t>□</w:t>
            </w:r>
            <w:r>
              <w:rPr>
                <w:rFonts w:hint="eastAsia" w:ascii="宋体" w:hAnsi="宋体"/>
                <w:color w:val="auto"/>
                <w:szCs w:val="21"/>
                <w:highlight w:val="none"/>
              </w:rPr>
              <w:t>要求，</w:t>
            </w:r>
            <w:r>
              <w:rPr>
                <w:rFonts w:hint="eastAsia" w:ascii="宋体" w:hAnsi="宋体"/>
                <w:color w:val="auto"/>
                <w:spacing w:val="-2"/>
                <w:szCs w:val="21"/>
                <w:highlight w:val="none"/>
              </w:rPr>
              <w:t>投</w:t>
            </w:r>
            <w:r>
              <w:rPr>
                <w:rFonts w:hint="eastAsia" w:ascii="宋体" w:hAnsi="宋体"/>
                <w:color w:val="auto"/>
                <w:szCs w:val="21"/>
                <w:highlight w:val="none"/>
              </w:rPr>
              <w:t>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形</w:t>
            </w:r>
            <w:r>
              <w:rPr>
                <w:rFonts w:hint="eastAsia" w:ascii="宋体" w:hAnsi="宋体"/>
                <w:color w:val="auto"/>
                <w:szCs w:val="21"/>
                <w:highlight w:val="none"/>
              </w:rPr>
              <w:t>式：</w:t>
            </w:r>
          </w:p>
          <w:p>
            <w:pPr>
              <w:ind w:left="36" w:leftChars="17" w:right="36" w:rightChars="17"/>
              <w:rPr>
                <w:rFonts w:hint="eastAsia" w:ascii="宋体" w:hAnsi="宋体"/>
                <w:b/>
                <w:color w:val="auto"/>
                <w:szCs w:val="21"/>
                <w:highlight w:val="none"/>
                <w:u w:val="single"/>
              </w:rPr>
            </w:pPr>
            <w:r>
              <w:rPr>
                <w:rFonts w:hint="eastAsia" w:ascii="宋体" w:hAnsi="宋体"/>
                <w:color w:val="auto"/>
                <w:szCs w:val="21"/>
                <w:highlight w:val="none"/>
              </w:rPr>
              <w:t>投标</w:t>
            </w:r>
            <w:r>
              <w:rPr>
                <w:rFonts w:hint="eastAsia" w:ascii="宋体" w:hAnsi="宋体"/>
                <w:color w:val="auto"/>
                <w:spacing w:val="-2"/>
                <w:szCs w:val="21"/>
                <w:highlight w:val="none"/>
              </w:rPr>
              <w:t>保</w:t>
            </w:r>
            <w:r>
              <w:rPr>
                <w:rFonts w:hint="eastAsia" w:ascii="宋体" w:hAnsi="宋体"/>
                <w:color w:val="auto"/>
                <w:szCs w:val="21"/>
                <w:highlight w:val="none"/>
              </w:rPr>
              <w:t>证</w:t>
            </w:r>
            <w:r>
              <w:rPr>
                <w:rFonts w:hint="eastAsia" w:ascii="宋体" w:hAnsi="宋体"/>
                <w:color w:val="auto"/>
                <w:spacing w:val="-2"/>
                <w:szCs w:val="21"/>
                <w:highlight w:val="none"/>
              </w:rPr>
              <w:t>金</w:t>
            </w:r>
            <w:r>
              <w:rPr>
                <w:rFonts w:hint="eastAsia" w:ascii="宋体" w:hAnsi="宋体"/>
                <w:color w:val="auto"/>
                <w:szCs w:val="21"/>
                <w:highlight w:val="none"/>
              </w:rPr>
              <w:t>的</w:t>
            </w:r>
            <w:r>
              <w:rPr>
                <w:rFonts w:hint="eastAsia" w:ascii="宋体" w:hAnsi="宋体"/>
                <w:color w:val="auto"/>
                <w:spacing w:val="-2"/>
                <w:szCs w:val="21"/>
                <w:highlight w:val="none"/>
              </w:rPr>
              <w:t>金</w:t>
            </w:r>
            <w:r>
              <w:rPr>
                <w:rFonts w:hint="eastAsia" w:ascii="宋体" w:hAnsi="宋体"/>
                <w:color w:val="auto"/>
                <w:szCs w:val="21"/>
                <w:highlight w:val="none"/>
              </w:rPr>
              <w:t>额：/</w:t>
            </w:r>
          </w:p>
          <w:p>
            <w:pPr>
              <w:pStyle w:val="18"/>
              <w:topLinePunct/>
              <w:snapToGrid w:val="0"/>
              <w:rPr>
                <w:rFonts w:hint="eastAsia" w:hAnsi="宋体" w:cs="宋体"/>
                <w:color w:val="auto"/>
                <w:sz w:val="21"/>
                <w:szCs w:val="21"/>
                <w:highlight w:val="none"/>
              </w:rPr>
            </w:pPr>
            <w:r>
              <w:rPr>
                <w:rFonts w:hint="eastAsia" w:hAnsi="宋体"/>
                <w:color w:val="auto"/>
                <w:sz w:val="21"/>
                <w:szCs w:val="21"/>
                <w:highlight w:val="none"/>
              </w:rPr>
              <w:t>■不要求</w:t>
            </w:r>
          </w:p>
        </w:tc>
      </w:tr>
      <w:tr>
        <w:tblPrEx>
          <w:tblCellMar>
            <w:top w:w="0" w:type="dxa"/>
            <w:left w:w="108" w:type="dxa"/>
            <w:bottom w:w="0" w:type="dxa"/>
            <w:right w:w="108" w:type="dxa"/>
          </w:tblCellMar>
        </w:tblPrEx>
        <w:trPr>
          <w:trHeight w:val="57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3.4.4</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其他可以不予退还投标保证金的情形</w:t>
            </w:r>
          </w:p>
        </w:tc>
        <w:tc>
          <w:tcPr>
            <w:tcW w:w="586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Cs w:val="21"/>
                <w:highlight w:val="none"/>
              </w:rPr>
            </w:pPr>
            <w:r>
              <w:rPr>
                <w:rFonts w:hint="eastAsia" w:ascii="宋体" w:hAnsi="宋体" w:cs="宋体"/>
                <w:color w:val="auto"/>
                <w:highlight w:val="none"/>
              </w:rPr>
              <w:t>/</w:t>
            </w:r>
          </w:p>
        </w:tc>
      </w:tr>
      <w:tr>
        <w:tblPrEx>
          <w:tblCellMar>
            <w:top w:w="0" w:type="dxa"/>
            <w:left w:w="108" w:type="dxa"/>
            <w:bottom w:w="0" w:type="dxa"/>
            <w:right w:w="108" w:type="dxa"/>
          </w:tblCellMar>
        </w:tblPrEx>
        <w:trPr>
          <w:trHeight w:val="67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3.5</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资格审查资料的特殊要求</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无</w:t>
            </w:r>
          </w:p>
          <w:p>
            <w:pPr>
              <w:pStyle w:val="18"/>
              <w:topLinePunct/>
              <w:rPr>
                <w:rFonts w:hint="eastAsia" w:hAnsi="宋体" w:eastAsia="宋体"/>
                <w:color w:val="auto"/>
                <w:sz w:val="21"/>
                <w:szCs w:val="21"/>
                <w:highlight w:val="none"/>
                <w:lang w:val="en-US" w:eastAsia="zh-CN"/>
              </w:rPr>
            </w:pPr>
            <w:r>
              <w:rPr>
                <w:rFonts w:ascii="宋体" w:hAnsi="宋体"/>
                <w:color w:val="auto"/>
                <w:szCs w:val="21"/>
                <w:highlight w:val="none"/>
              </w:rPr>
              <w:t>□</w:t>
            </w:r>
            <w:r>
              <w:rPr>
                <w:rFonts w:hAnsi="宋体"/>
                <w:color w:val="auto"/>
                <w:sz w:val="21"/>
                <w:szCs w:val="21"/>
                <w:highlight w:val="none"/>
              </w:rPr>
              <w:t>有，具体要求：</w:t>
            </w:r>
            <w:r>
              <w:rPr>
                <w:rFonts w:hint="eastAsia" w:hAnsi="宋体"/>
                <w:color w:val="auto"/>
                <w:sz w:val="21"/>
                <w:szCs w:val="21"/>
                <w:highlight w:val="none"/>
                <w:lang w:val="en-US" w:eastAsia="zh-CN"/>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3.5.2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近年财务状况的年份要求</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3.5.3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近年完成的类似项目情况</w:t>
            </w:r>
            <w:r>
              <w:rPr>
                <w:rFonts w:hint="eastAsia" w:ascii="宋体" w:hAnsi="宋体"/>
                <w:color w:val="auto"/>
                <w:szCs w:val="21"/>
                <w:highlight w:val="none"/>
              </w:rPr>
              <w:t>的</w:t>
            </w:r>
            <w:r>
              <w:rPr>
                <w:rFonts w:ascii="宋体" w:hAnsi="宋体"/>
                <w:color w:val="auto"/>
                <w:szCs w:val="21"/>
                <w:highlight w:val="none"/>
              </w:rPr>
              <w:t>时间要求</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color w:val="auto"/>
                <w:highlight w:val="none"/>
              </w:rPr>
              <w:t>/</w:t>
            </w:r>
          </w:p>
        </w:tc>
      </w:tr>
      <w:tr>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3.5.5</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近年发生的诉讼及仲裁情况的时间要求</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3.6.1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是否允许递交备选投标方案</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不允许</w:t>
            </w:r>
          </w:p>
          <w:p>
            <w:pPr>
              <w:rPr>
                <w:rFonts w:ascii="宋体" w:hAnsi="宋体"/>
                <w:color w:val="auto"/>
                <w:szCs w:val="21"/>
                <w:highlight w:val="none"/>
              </w:rPr>
            </w:pPr>
            <w:r>
              <w:rPr>
                <w:rFonts w:ascii="宋体" w:hAnsi="宋体"/>
                <w:color w:val="auto"/>
                <w:szCs w:val="21"/>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5865"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u w:val="single"/>
              </w:rPr>
            </w:pPr>
            <w:r>
              <w:rPr>
                <w:rFonts w:hint="eastAsia" w:ascii="宋体" w:hAnsi="宋体"/>
                <w:color w:val="auto"/>
                <w:szCs w:val="21"/>
                <w:highlight w:val="none"/>
                <w:u w:val="single"/>
              </w:rPr>
              <w:t>证书证件需为清晰扫描件，并采用单位数字证书，按照招标文件要求在相应位置用单位数字证书加盖电子印章。</w:t>
            </w:r>
          </w:p>
        </w:tc>
      </w:tr>
      <w:t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3.7.3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5865" w:type="dxa"/>
            <w:tcBorders>
              <w:top w:val="single" w:color="auto" w:sz="4" w:space="0"/>
              <w:left w:val="single" w:color="auto" w:sz="4" w:space="0"/>
              <w:bottom w:val="single" w:color="auto" w:sz="4" w:space="0"/>
              <w:right w:val="single" w:color="auto" w:sz="4" w:space="0"/>
            </w:tcBorders>
          </w:tcPr>
          <w:p>
            <w:pPr>
              <w:jc w:val="left"/>
              <w:rPr>
                <w:rFonts w:hint="eastAsia" w:ascii="宋体" w:hAnsi="宋体"/>
                <w:b/>
                <w:color w:val="auto"/>
                <w:szCs w:val="21"/>
                <w:highlight w:val="none"/>
                <w:u w:val="single"/>
              </w:rPr>
            </w:pPr>
            <w:r>
              <w:rPr>
                <w:rFonts w:hint="eastAsia" w:ascii="宋体" w:hAnsi="宋体"/>
                <w:color w:val="auto"/>
                <w:szCs w:val="21"/>
                <w:highlight w:val="none"/>
              </w:rPr>
              <w:t>投标文件全部采用电子文档，投标文件所附证书证件均为原件彩色扫描件，并采用单位数字证书，按招标文件要求在相应位置加盖电子印章。投标文件中需个人签字或盖章的，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olor w:val="auto"/>
                <w:szCs w:val="21"/>
                <w:highlight w:val="none"/>
              </w:rPr>
              <w:t>。</w:t>
            </w:r>
          </w:p>
          <w:p>
            <w:pPr>
              <w:jc w:val="left"/>
              <w:rPr>
                <w:rFonts w:ascii="宋体" w:hAnsi="宋体"/>
                <w:color w:val="auto"/>
                <w:szCs w:val="21"/>
                <w:highlight w:val="none"/>
                <w:u w:val="single"/>
              </w:rPr>
            </w:pPr>
            <w:r>
              <w:rPr>
                <w:rFonts w:hint="eastAsia" w:ascii="宋体" w:hAnsi="宋体"/>
                <w:color w:val="auto"/>
                <w:szCs w:val="21"/>
                <w:highlight w:val="none"/>
              </w:rPr>
              <w:t>具体操作详见</w:t>
            </w:r>
            <w:r>
              <w:rPr>
                <w:rFonts w:hint="eastAsia" w:ascii="Times New Roman" w:hAnsi="宋体"/>
                <w:color w:val="auto"/>
                <w:szCs w:val="21"/>
                <w:highlight w:val="none"/>
                <w:u w:val="single"/>
              </w:rPr>
              <w:t>广州交易集团有限公司（广州公共资源交易中心）网站最新发布的操作指引。</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4.1.1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58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网上递交的电子投标文件须进行加密。具体操作详见</w:t>
            </w:r>
            <w:r>
              <w:rPr>
                <w:rFonts w:hint="eastAsia" w:ascii="Times New Roman" w:hAnsi="宋体"/>
                <w:color w:val="auto"/>
                <w:szCs w:val="21"/>
                <w:highlight w:val="none"/>
                <w:u w:val="single"/>
              </w:rPr>
              <w:t>广州交易集团有限公司（广州公共资源交易中心）网站最新发布的操作指引。</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4.1.2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封套上应载明的信息</w:t>
            </w:r>
          </w:p>
          <w:p>
            <w:pPr>
              <w:jc w:val="center"/>
              <w:rPr>
                <w:rFonts w:ascii="宋体" w:hAnsi="宋体"/>
                <w:color w:val="auto"/>
                <w:szCs w:val="21"/>
                <w:highlight w:val="none"/>
                <w:shd w:val="clear" w:color="FFFFFF" w:fill="D9D9D9"/>
              </w:rPr>
            </w:pPr>
            <w:r>
              <w:rPr>
                <w:rFonts w:hint="eastAsia" w:ascii="宋体" w:hAnsi="宋体"/>
                <w:color w:val="auto"/>
                <w:szCs w:val="21"/>
                <w:highlight w:val="none"/>
              </w:rPr>
              <w:t>（适用于提交备用光盘的情况）</w:t>
            </w:r>
          </w:p>
        </w:tc>
        <w:tc>
          <w:tcPr>
            <w:tcW w:w="5865" w:type="dxa"/>
            <w:tcBorders>
              <w:top w:val="single" w:color="auto" w:sz="4" w:space="0"/>
              <w:left w:val="single" w:color="auto" w:sz="4" w:space="0"/>
              <w:bottom w:val="single" w:color="auto" w:sz="4" w:space="0"/>
              <w:right w:val="single" w:color="auto" w:sz="4" w:space="0"/>
            </w:tcBorders>
            <w:vAlign w:val="center"/>
          </w:tcPr>
          <w:p>
            <w:pPr>
              <w:topLinePunct/>
              <w:snapToGrid w:val="0"/>
              <w:ind w:right="174" w:rightChars="83"/>
              <w:rPr>
                <w:rFonts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pPr>
              <w:rPr>
                <w:rFonts w:hint="eastAsia" w:ascii="宋体" w:hAnsi="宋体"/>
                <w:color w:val="auto"/>
                <w:szCs w:val="21"/>
                <w:highlight w:val="none"/>
                <w:u w:val="single"/>
              </w:rPr>
            </w:pPr>
            <w:r>
              <w:rPr>
                <w:rFonts w:hint="eastAsia" w:ascii="宋体" w:hAnsi="宋体"/>
                <w:color w:val="auto"/>
                <w:szCs w:val="21"/>
                <w:highlight w:val="none"/>
              </w:rPr>
              <w:t>招标人名称：</w:t>
            </w:r>
            <w:r>
              <w:rPr>
                <w:rFonts w:hint="eastAsia" w:ascii="宋体" w:hAnsi="宋体" w:eastAsia="宋体" w:cs="宋体"/>
                <w:color w:val="auto"/>
                <w:sz w:val="21"/>
                <w:szCs w:val="21"/>
                <w:highlight w:val="none"/>
                <w:u w:val="single"/>
                <w:lang w:val="en-US" w:eastAsia="zh-CN"/>
              </w:rPr>
              <w:t>广州璟逸房地产开发有限公司</w:t>
            </w:r>
          </w:p>
          <w:p>
            <w:pPr>
              <w:rPr>
                <w:rFonts w:ascii="宋体" w:hAnsi="宋体"/>
                <w:color w:val="auto"/>
                <w:szCs w:val="21"/>
                <w:highlight w:val="none"/>
              </w:rPr>
            </w:pPr>
            <w:r>
              <w:rPr>
                <w:rFonts w:hint="eastAsia" w:ascii="宋体" w:hAnsi="宋体" w:cs="宋体"/>
                <w:color w:val="auto"/>
                <w:szCs w:val="21"/>
                <w:highlight w:val="none"/>
                <w:u w:val="single"/>
                <w:lang w:eastAsia="zh-CN"/>
              </w:rPr>
              <w:t>广州浪奇化工厂地块二(A)及广州浪奇化工厂地块二(B)土壤污染修复工程监理</w:t>
            </w:r>
            <w:r>
              <w:rPr>
                <w:rFonts w:hint="eastAsia" w:ascii="宋体" w:hAnsi="宋体"/>
                <w:color w:val="auto"/>
                <w:szCs w:val="21"/>
                <w:highlight w:val="none"/>
              </w:rPr>
              <w:t>投标文件备用光盘</w:t>
            </w:r>
          </w:p>
          <w:p>
            <w:pPr>
              <w:pStyle w:val="18"/>
              <w:topLinePunct/>
              <w:rPr>
                <w:rFonts w:hAnsi="宋体"/>
                <w:color w:val="auto"/>
                <w:sz w:val="21"/>
                <w:szCs w:val="21"/>
                <w:highlight w:val="none"/>
              </w:rPr>
            </w:pPr>
            <w:r>
              <w:rPr>
                <w:rFonts w:hint="eastAsia" w:hAnsi="宋体"/>
                <w:color w:val="auto"/>
                <w:sz w:val="21"/>
                <w:szCs w:val="21"/>
                <w:highlight w:val="none"/>
              </w:rPr>
              <w:t>招标项目编号：</w:t>
            </w:r>
            <w:r>
              <w:rPr>
                <w:rFonts w:hAnsi="宋体"/>
                <w:color w:val="auto"/>
                <w:sz w:val="21"/>
                <w:szCs w:val="21"/>
                <w:highlight w:val="none"/>
                <w:u w:val="single"/>
              </w:rPr>
              <w:t xml:space="preserve">             </w:t>
            </w:r>
          </w:p>
          <w:p>
            <w:pPr>
              <w:pStyle w:val="18"/>
              <w:topLinePunct/>
              <w:rPr>
                <w:rFonts w:hAnsi="宋体"/>
                <w:color w:val="auto"/>
                <w:sz w:val="21"/>
                <w:szCs w:val="21"/>
                <w:highlight w:val="none"/>
              </w:rPr>
            </w:pPr>
            <w:r>
              <w:rPr>
                <w:rFonts w:hint="eastAsia" w:hAnsi="宋体"/>
                <w:color w:val="auto"/>
                <w:sz w:val="21"/>
                <w:szCs w:val="21"/>
                <w:highlight w:val="none"/>
              </w:rPr>
              <w:t>在</w:t>
            </w:r>
            <w:r>
              <w:rPr>
                <w:rFonts w:hAnsi="宋体"/>
                <w:color w:val="auto"/>
                <w:sz w:val="21"/>
                <w:szCs w:val="21"/>
                <w:highlight w:val="none"/>
                <w:u w:val="single"/>
              </w:rPr>
              <w:t xml:space="preserve">    </w:t>
            </w:r>
            <w:r>
              <w:rPr>
                <w:rFonts w:hint="eastAsia" w:hAnsi="宋体"/>
                <w:color w:val="auto"/>
                <w:sz w:val="21"/>
                <w:szCs w:val="21"/>
                <w:highlight w:val="none"/>
              </w:rPr>
              <w:t>年</w:t>
            </w:r>
            <w:r>
              <w:rPr>
                <w:rFonts w:hAnsi="宋体"/>
                <w:color w:val="auto"/>
                <w:sz w:val="21"/>
                <w:szCs w:val="21"/>
                <w:highlight w:val="none"/>
                <w:u w:val="single"/>
              </w:rPr>
              <w:t xml:space="preserve">    </w:t>
            </w:r>
            <w:r>
              <w:rPr>
                <w:rFonts w:hint="eastAsia" w:hAnsi="宋体"/>
                <w:color w:val="auto"/>
                <w:sz w:val="21"/>
                <w:szCs w:val="21"/>
                <w:highlight w:val="none"/>
              </w:rPr>
              <w:t>月</w:t>
            </w:r>
            <w:r>
              <w:rPr>
                <w:rFonts w:hAnsi="宋体"/>
                <w:color w:val="auto"/>
                <w:sz w:val="21"/>
                <w:szCs w:val="21"/>
                <w:highlight w:val="none"/>
                <w:u w:val="single"/>
              </w:rPr>
              <w:t xml:space="preserve">    </w:t>
            </w:r>
            <w:r>
              <w:rPr>
                <w:rFonts w:hint="eastAsia" w:hAnsi="宋体"/>
                <w:color w:val="auto"/>
                <w:sz w:val="21"/>
                <w:szCs w:val="21"/>
                <w:highlight w:val="none"/>
              </w:rPr>
              <w:t>日</w:t>
            </w:r>
            <w:r>
              <w:rPr>
                <w:rFonts w:hAnsi="宋体"/>
                <w:color w:val="auto"/>
                <w:sz w:val="21"/>
                <w:szCs w:val="21"/>
                <w:highlight w:val="none"/>
                <w:u w:val="single"/>
              </w:rPr>
              <w:t xml:space="preserve">    </w:t>
            </w:r>
            <w:r>
              <w:rPr>
                <w:rFonts w:hint="eastAsia" w:hAnsi="宋体"/>
                <w:color w:val="auto"/>
                <w:sz w:val="21"/>
                <w:szCs w:val="21"/>
                <w:highlight w:val="none"/>
              </w:rPr>
              <w:t>时</w:t>
            </w:r>
            <w:r>
              <w:rPr>
                <w:rFonts w:hAnsi="宋体"/>
                <w:color w:val="auto"/>
                <w:sz w:val="21"/>
                <w:szCs w:val="21"/>
                <w:highlight w:val="none"/>
                <w:u w:val="single"/>
              </w:rPr>
              <w:t xml:space="preserve">    </w:t>
            </w:r>
            <w:r>
              <w:rPr>
                <w:rFonts w:hint="eastAsia" w:hAnsi="宋体"/>
                <w:color w:val="auto"/>
                <w:sz w:val="21"/>
                <w:szCs w:val="21"/>
                <w:highlight w:val="none"/>
              </w:rPr>
              <w:t>分前不得开启（填入开标时间）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4.2.1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投标截止时间</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详见招标公告</w:t>
            </w: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2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2.地点：</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rPr>
              <w:t xml:space="preserve">网站。 </w:t>
            </w:r>
          </w:p>
          <w:p>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3.上述时间及地点是否有改变， 请密切留意招标答疑纪要的相关信息。</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4.2.3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否</w:t>
            </w:r>
          </w:p>
          <w:p>
            <w:pPr>
              <w:pStyle w:val="18"/>
              <w:topLinePunct/>
              <w:rPr>
                <w:rFonts w:hint="eastAsia"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是，退还时间：</w:t>
            </w:r>
            <w:r>
              <w:rPr>
                <w:rFonts w:hint="eastAsia" w:hAnsi="宋体"/>
                <w:color w:val="auto"/>
                <w:sz w:val="21"/>
                <w:szCs w:val="21"/>
                <w:highlight w:val="none"/>
              </w:rPr>
              <w:t>/</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开标时间和地点</w:t>
            </w:r>
          </w:p>
        </w:tc>
        <w:tc>
          <w:tcPr>
            <w:tcW w:w="58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rPr>
                <w:rFonts w:ascii="宋体" w:hAnsi="宋体"/>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电子招投标开标程序</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pPr>
              <w:snapToGrid w:val="0"/>
              <w:rPr>
                <w:rFonts w:ascii="宋体" w:hAnsi="宋体"/>
                <w:color w:val="auto"/>
                <w:szCs w:val="21"/>
                <w:highlight w:val="none"/>
                <w:u w:val="single"/>
              </w:rPr>
            </w:pPr>
            <w:r>
              <w:rPr>
                <w:rFonts w:hint="eastAsia" w:ascii="宋体" w:hAnsi="宋体"/>
                <w:color w:val="auto"/>
                <w:szCs w:val="21"/>
                <w:highlight w:val="none"/>
                <w:u w:val="single"/>
              </w:rPr>
              <w:t>（1）宣布开标纪律；</w:t>
            </w:r>
          </w:p>
          <w:p>
            <w:pPr>
              <w:snapToGrid w:val="0"/>
              <w:rPr>
                <w:rFonts w:ascii="宋体" w:hAnsi="宋体"/>
                <w:color w:val="auto"/>
                <w:szCs w:val="21"/>
                <w:highlight w:val="none"/>
                <w:u w:val="single"/>
              </w:rPr>
            </w:pPr>
            <w:r>
              <w:rPr>
                <w:rFonts w:hint="eastAsia" w:ascii="宋体" w:hAnsi="宋体"/>
                <w:color w:val="auto"/>
                <w:szCs w:val="21"/>
                <w:highlight w:val="none"/>
                <w:u w:val="single"/>
              </w:rPr>
              <w:t>（2）投标人通过电子招标投标交易平台对已递交的电子投标文件进行解密；</w:t>
            </w:r>
          </w:p>
          <w:p>
            <w:pPr>
              <w:snapToGrid w:val="0"/>
              <w:rPr>
                <w:rFonts w:ascii="宋体" w:hAnsi="宋体"/>
                <w:color w:val="auto"/>
                <w:szCs w:val="21"/>
                <w:highlight w:val="none"/>
                <w:u w:val="single"/>
              </w:rPr>
            </w:pPr>
            <w:r>
              <w:rPr>
                <w:rFonts w:hint="eastAsia" w:ascii="宋体" w:hAnsi="宋体"/>
                <w:color w:val="auto"/>
                <w:szCs w:val="21"/>
                <w:highlight w:val="none"/>
                <w:u w:val="single"/>
              </w:rPr>
              <w:t>（3）投标人完成解密后，再由招标人或招标代理机构进行解密；</w:t>
            </w:r>
          </w:p>
          <w:p>
            <w:pPr>
              <w:snapToGrid w:val="0"/>
              <w:rPr>
                <w:rFonts w:ascii="宋体" w:hAnsi="宋体"/>
                <w:color w:val="auto"/>
                <w:szCs w:val="21"/>
                <w:highlight w:val="none"/>
                <w:u w:val="single"/>
              </w:rPr>
            </w:pPr>
            <w:r>
              <w:rPr>
                <w:rFonts w:hint="eastAsia" w:ascii="宋体" w:hAnsi="宋体"/>
                <w:color w:val="auto"/>
                <w:szCs w:val="21"/>
                <w:highlight w:val="none"/>
                <w:u w:val="single"/>
              </w:rPr>
              <w:t>（4）解密完成后，公布招标项目名称、投标人名称、投标报价、监理服务期限及其他内容，并记录在案；</w:t>
            </w:r>
          </w:p>
          <w:p>
            <w:pPr>
              <w:snapToGrid w:val="0"/>
              <w:rPr>
                <w:rFonts w:ascii="宋体" w:hAnsi="宋体"/>
                <w:color w:val="auto"/>
                <w:szCs w:val="21"/>
                <w:highlight w:val="none"/>
                <w:u w:val="single"/>
              </w:rPr>
            </w:pPr>
            <w:r>
              <w:rPr>
                <w:rFonts w:hint="eastAsia" w:ascii="宋体" w:hAnsi="宋体"/>
                <w:color w:val="auto"/>
                <w:szCs w:val="21"/>
                <w:highlight w:val="none"/>
                <w:u w:val="single"/>
              </w:rPr>
              <w:t>（5）投标人代表、招标人代表、监标人、记录人等有关人员在开标记录上签字确认；若有关人员不签字的，不影响开标程序；</w:t>
            </w:r>
          </w:p>
          <w:p>
            <w:pPr>
              <w:rPr>
                <w:rFonts w:hint="eastAsia" w:ascii="宋体" w:hAnsi="宋体"/>
                <w:color w:val="auto"/>
                <w:szCs w:val="21"/>
                <w:highlight w:val="none"/>
                <w:u w:val="single"/>
              </w:rPr>
            </w:pPr>
            <w:r>
              <w:rPr>
                <w:rFonts w:hint="eastAsia" w:ascii="宋体" w:hAnsi="宋体"/>
                <w:color w:val="auto"/>
                <w:szCs w:val="21"/>
                <w:highlight w:val="none"/>
                <w:u w:val="single"/>
              </w:rPr>
              <w:t>（6）开标结束。</w:t>
            </w:r>
          </w:p>
          <w:p>
            <w:pPr>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rPr>
              <w:t>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w:t>
            </w:r>
            <w:r>
              <w:rPr>
                <w:rFonts w:hint="eastAsia" w:ascii="宋体" w:hAnsi="宋体"/>
                <w:b/>
                <w:color w:val="auto"/>
                <w:szCs w:val="21"/>
                <w:highlight w:val="none"/>
                <w:u w:val="single"/>
              </w:rPr>
              <w:t>一小时内</w:t>
            </w:r>
            <w:r>
              <w:rPr>
                <w:rFonts w:hint="eastAsia" w:ascii="宋体" w:hAnsi="宋体"/>
                <w:color w:val="auto"/>
                <w:szCs w:val="21"/>
                <w:highlight w:val="none"/>
              </w:rPr>
              <w:t>解密的且未提交备用光盘（或U盘）的，视为撤销其投标文件。</w:t>
            </w:r>
          </w:p>
          <w:p>
            <w:pPr>
              <w:rPr>
                <w:rFonts w:hint="eastAsia" w:ascii="宋体" w:hAnsi="宋体"/>
                <w:bCs/>
                <w:color w:val="auto"/>
                <w:szCs w:val="21"/>
                <w:highlight w:val="none"/>
                <w:u w:val="single"/>
              </w:rPr>
            </w:pPr>
            <w:r>
              <w:rPr>
                <w:rFonts w:hint="eastAsia" w:ascii="宋体" w:hAnsi="宋体"/>
                <w:bCs/>
                <w:color w:val="auto"/>
                <w:szCs w:val="21"/>
                <w:highlight w:val="none"/>
                <w:u w:val="single"/>
              </w:rPr>
              <w:t>5.2.3开标时，出现下列情形之一的，不参与资格审查和评标：</w:t>
            </w:r>
          </w:p>
          <w:p>
            <w:pPr>
              <w:rPr>
                <w:rFonts w:hint="eastAsia" w:ascii="宋体" w:hAnsi="宋体"/>
                <w:bCs/>
                <w:color w:val="auto"/>
                <w:szCs w:val="21"/>
                <w:highlight w:val="none"/>
                <w:u w:val="single"/>
              </w:rPr>
            </w:pPr>
            <w:r>
              <w:rPr>
                <w:rFonts w:hint="eastAsia" w:ascii="宋体" w:hAnsi="宋体"/>
                <w:bCs/>
                <w:color w:val="auto"/>
                <w:szCs w:val="21"/>
                <w:highlight w:val="none"/>
                <w:u w:val="single"/>
              </w:rPr>
              <w:t>（1）未成功递交投标文件的。</w:t>
            </w:r>
          </w:p>
          <w:p>
            <w:pPr>
              <w:rPr>
                <w:rFonts w:hint="eastAsia" w:ascii="宋体" w:hAnsi="宋体"/>
                <w:bCs/>
                <w:color w:val="auto"/>
                <w:szCs w:val="21"/>
                <w:highlight w:val="none"/>
                <w:u w:val="single"/>
              </w:rPr>
            </w:pPr>
            <w:r>
              <w:rPr>
                <w:rFonts w:hint="eastAsia" w:ascii="宋体" w:hAnsi="宋体"/>
                <w:bCs/>
                <w:color w:val="auto"/>
                <w:szCs w:val="21"/>
                <w:highlight w:val="none"/>
                <w:u w:val="single"/>
              </w:rPr>
              <w:t>（2）因投标人原因造成投标文件未解密的。</w:t>
            </w:r>
          </w:p>
          <w:p>
            <w:pPr>
              <w:rPr>
                <w:rFonts w:ascii="宋体" w:hAnsi="宋体"/>
                <w:color w:val="auto"/>
                <w:szCs w:val="21"/>
                <w:highlight w:val="none"/>
              </w:rPr>
            </w:pPr>
            <w:r>
              <w:rPr>
                <w:rFonts w:hint="eastAsia" w:ascii="宋体" w:hAnsi="宋体"/>
                <w:bCs/>
                <w:color w:val="auto"/>
                <w:szCs w:val="21"/>
                <w:highlight w:val="none"/>
                <w:u w:val="single"/>
              </w:rPr>
              <w:t>5.2.4开标时，两个（含两个）以上的投标人加密打包投标文件电脑机器特征码一致的，不参与下一程序，并由评标委员会否决其投标。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6.1.1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kern w:val="0"/>
                <w:szCs w:val="21"/>
                <w:highlight w:val="none"/>
                <w:u w:val="single"/>
              </w:rPr>
              <w:t>由招标人依法组建。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6.3.2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中标候选人公示媒介及期限</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kern w:val="0"/>
                <w:szCs w:val="21"/>
                <w:highlight w:val="none"/>
                <w:u w:val="single"/>
              </w:rPr>
              <w:t>广州交易集团有限公司（广州公共资源交易中心）网站、中国招标投标公共服务平台、广东省招标投标监管网及广州国企阳光采购信息发布平台。</w:t>
            </w:r>
          </w:p>
          <w:p>
            <w:pPr>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 xml:space="preserve"> 3 </w:t>
            </w:r>
            <w:r>
              <w:rPr>
                <w:rFonts w:hint="eastAsia" w:ascii="宋体" w:hAnsi="宋体"/>
                <w:color w:val="auto"/>
                <w:szCs w:val="21"/>
                <w:highlight w:val="none"/>
              </w:rPr>
              <w:t>日，公示结束日为工作日。</w:t>
            </w:r>
          </w:p>
        </w:tc>
      </w:tr>
      <w:tr>
        <w:tblPrEx>
          <w:tblCellMar>
            <w:top w:w="0" w:type="dxa"/>
            <w:left w:w="108" w:type="dxa"/>
            <w:bottom w:w="0" w:type="dxa"/>
            <w:right w:w="108" w:type="dxa"/>
          </w:tblCellMar>
        </w:tblPrEx>
        <w:trPr>
          <w:trHeight w:val="404"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7.4</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定标</w:t>
            </w:r>
          </w:p>
        </w:tc>
        <w:tc>
          <w:tcPr>
            <w:tcW w:w="58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u w:val="single"/>
              </w:rPr>
            </w:pPr>
            <w:r>
              <w:rPr>
                <w:rFonts w:hint="eastAsia" w:ascii="宋体" w:hAnsi="宋体" w:cs="宋体"/>
                <w:color w:val="auto"/>
                <w:szCs w:val="21"/>
                <w:highlight w:val="none"/>
                <w:u w:val="single"/>
              </w:rPr>
              <w:t>（1）定标工作由招标人依法组建的定标委员会负责。</w:t>
            </w:r>
          </w:p>
          <w:p>
            <w:pPr>
              <w:snapToGrid w:val="0"/>
              <w:rPr>
                <w:rFonts w:ascii="宋体" w:hAnsi="宋体"/>
                <w:color w:val="auto"/>
                <w:szCs w:val="21"/>
                <w:highlight w:val="none"/>
                <w:u w:val="single"/>
              </w:rPr>
            </w:pPr>
            <w:r>
              <w:rPr>
                <w:rFonts w:hint="eastAsia" w:ascii="宋体" w:hAnsi="宋体" w:cs="宋体"/>
                <w:color w:val="auto"/>
                <w:szCs w:val="21"/>
                <w:highlight w:val="none"/>
                <w:u w:val="single"/>
              </w:rPr>
              <w:t>（2）定标委员会按照第三章评标办法（“评定分离”定标办法）规定的定标方法、标准和程序，在评标委员会向招标人推荐的合格的中标候选人中，采用直接票决定标法“记名投票+撰写评语”方式确定中标人。</w:t>
            </w:r>
          </w:p>
          <w:p>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（3）招标人应当在定标工作完成后的3日内公示中标结果。公示内容包括：定标时间、所有合格的中标候选人的评审结果或票数及理由、中标人等内容。</w:t>
            </w:r>
          </w:p>
          <w:p>
            <w:pPr>
              <w:rPr>
                <w:rFonts w:ascii="宋体" w:hAnsi="宋体"/>
                <w:color w:val="auto"/>
                <w:szCs w:val="21"/>
                <w:highlight w:val="none"/>
              </w:rPr>
            </w:pPr>
            <w:r>
              <w:rPr>
                <w:rFonts w:hint="eastAsia" w:ascii="宋体" w:hAnsi="宋体" w:cs="宋体"/>
                <w:color w:val="auto"/>
                <w:szCs w:val="21"/>
                <w:highlight w:val="none"/>
                <w:u w:val="single"/>
              </w:rPr>
              <w:t>（4）定标后出现中标人不符合法定情形的，招标人可从其他合格的中标候选人中采用原定标办法，由原定标委员会确定中标人，也可以重新招标。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7.6.1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履约保证金</w:t>
            </w:r>
          </w:p>
        </w:tc>
        <w:tc>
          <w:tcPr>
            <w:tcW w:w="5865" w:type="dxa"/>
            <w:tcBorders>
              <w:top w:val="single" w:color="auto" w:sz="4" w:space="0"/>
              <w:left w:val="single" w:color="auto" w:sz="4" w:space="0"/>
              <w:bottom w:val="single" w:color="auto" w:sz="4" w:space="0"/>
              <w:right w:val="single" w:color="auto" w:sz="4" w:space="0"/>
            </w:tcBorders>
            <w:vAlign w:val="center"/>
          </w:tcPr>
          <w:p>
            <w:pPr>
              <w:pStyle w:val="18"/>
              <w:topLinePunct/>
              <w:rPr>
                <w:rFonts w:hAnsi="宋体"/>
                <w:color w:val="auto"/>
                <w:sz w:val="21"/>
                <w:szCs w:val="21"/>
                <w:highlight w:val="none"/>
              </w:rPr>
            </w:pPr>
            <w:r>
              <w:rPr>
                <w:rFonts w:hAnsi="宋体"/>
                <w:color w:val="auto"/>
                <w:sz w:val="21"/>
                <w:szCs w:val="21"/>
                <w:highlight w:val="none"/>
              </w:rPr>
              <w:t>是否要求中标人提交履约保证金：</w:t>
            </w:r>
          </w:p>
          <w:p>
            <w:pPr>
              <w:pStyle w:val="18"/>
              <w:topLinePunct/>
              <w:rPr>
                <w:rFonts w:hint="eastAsia" w:hAnsi="宋体" w:eastAsia="宋体"/>
                <w:color w:val="auto"/>
                <w:sz w:val="21"/>
                <w:szCs w:val="21"/>
                <w:highlight w:val="none"/>
                <w:lang w:eastAsia="zh-CN"/>
              </w:rPr>
            </w:pPr>
            <w:r>
              <w:rPr>
                <w:rFonts w:hAnsi="宋体"/>
                <w:color w:val="auto"/>
                <w:szCs w:val="21"/>
                <w:highlight w:val="none"/>
              </w:rPr>
              <w:t>□</w:t>
            </w:r>
            <w:r>
              <w:rPr>
                <w:rFonts w:hAnsi="宋体"/>
                <w:color w:val="auto"/>
                <w:sz w:val="21"/>
                <w:szCs w:val="21"/>
                <w:highlight w:val="none"/>
              </w:rPr>
              <w:t>要求</w:t>
            </w:r>
            <w:r>
              <w:rPr>
                <w:rFonts w:hint="eastAsia" w:hAnsi="宋体"/>
                <w:color w:val="auto"/>
                <w:sz w:val="21"/>
                <w:szCs w:val="21"/>
                <w:highlight w:val="none"/>
              </w:rPr>
              <w:t>，</w:t>
            </w:r>
            <w:r>
              <w:rPr>
                <w:rFonts w:hAnsi="宋体"/>
                <w:color w:val="auto"/>
                <w:sz w:val="21"/>
                <w:szCs w:val="21"/>
                <w:highlight w:val="none"/>
              </w:rPr>
              <w:t>履约保证金的形式：</w:t>
            </w:r>
            <w:r>
              <w:rPr>
                <w:rFonts w:hint="eastAsia" w:hAnsi="宋体"/>
                <w:color w:val="auto"/>
                <w:sz w:val="21"/>
                <w:szCs w:val="21"/>
                <w:highlight w:val="none"/>
                <w:u w:val="single"/>
                <w:lang w:val="en-US" w:eastAsia="zh-CN"/>
              </w:rPr>
              <w:t>/</w:t>
            </w:r>
          </w:p>
          <w:p>
            <w:pPr>
              <w:ind w:firstLine="840" w:firstLineChars="400"/>
              <w:rPr>
                <w:rFonts w:hint="eastAsia" w:ascii="宋体" w:hAnsi="宋体" w:eastAsia="宋体"/>
                <w:color w:val="auto"/>
                <w:szCs w:val="21"/>
                <w:highlight w:val="none"/>
                <w:lang w:eastAsia="zh-CN"/>
              </w:rPr>
            </w:pPr>
            <w:r>
              <w:rPr>
                <w:rFonts w:ascii="宋体" w:hAnsi="宋体"/>
                <w:color w:val="auto"/>
                <w:szCs w:val="21"/>
                <w:highlight w:val="none"/>
              </w:rPr>
              <w:t>履约保证金的金额：</w:t>
            </w:r>
            <w:r>
              <w:rPr>
                <w:rFonts w:hint="eastAsia" w:ascii="宋体" w:hAnsi="宋体"/>
                <w:color w:val="auto"/>
                <w:szCs w:val="21"/>
                <w:highlight w:val="none"/>
                <w:u w:val="single"/>
                <w:lang w:val="en-US" w:eastAsia="zh-CN"/>
              </w:rPr>
              <w:t>/</w:t>
            </w:r>
          </w:p>
          <w:p>
            <w:pPr>
              <w:pStyle w:val="18"/>
              <w:topLinePunct/>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不要求</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9</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是否采用电子招标投标</w:t>
            </w:r>
          </w:p>
        </w:tc>
        <w:tc>
          <w:tcPr>
            <w:tcW w:w="58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□否</w:t>
            </w:r>
          </w:p>
          <w:p>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是，具体要求：</w:t>
            </w:r>
          </w:p>
          <w:p>
            <w:pPr>
              <w:jc w:val="left"/>
              <w:rPr>
                <w:rFonts w:ascii="宋体" w:hAnsi="宋体"/>
                <w:color w:val="auto"/>
                <w:szCs w:val="21"/>
                <w:highlight w:val="none"/>
              </w:rPr>
            </w:pPr>
            <w:r>
              <w:rPr>
                <w:rFonts w:hint="eastAsia" w:ascii="宋体" w:hAnsi="宋体"/>
                <w:color w:val="auto"/>
                <w:szCs w:val="21"/>
                <w:highlight w:val="none"/>
              </w:rPr>
              <w:t>（1）具体操作详见广州交易集团有限公司（广州公共资源交易中心）网站发布的《建设工程全流程电子化项目操作指南》。</w:t>
            </w:r>
          </w:p>
          <w:p>
            <w:pPr>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现场提交投标文件</w:t>
            </w:r>
            <w:r>
              <w:rPr>
                <w:rFonts w:hint="eastAsia" w:ascii="宋体" w:hAnsi="宋体"/>
                <w:color w:val="auto"/>
                <w:szCs w:val="21"/>
                <w:highlight w:val="none"/>
              </w:rPr>
              <w:t>光</w:t>
            </w:r>
            <w:r>
              <w:rPr>
                <w:rFonts w:ascii="宋体" w:hAnsi="宋体"/>
                <w:color w:val="auto"/>
                <w:szCs w:val="21"/>
                <w:highlight w:val="none"/>
              </w:rPr>
              <w:t>盘（或U盘）备用</w:t>
            </w:r>
          </w:p>
          <w:p>
            <w:pPr>
              <w:jc w:val="left"/>
              <w:rPr>
                <w:rFonts w:ascii="宋体" w:hAnsi="宋体"/>
                <w:color w:val="auto"/>
                <w:szCs w:val="21"/>
                <w:highlight w:val="none"/>
              </w:rPr>
            </w:pPr>
            <w:r>
              <w:rPr>
                <w:rFonts w:hint="eastAsia" w:ascii="宋体" w:hAnsi="宋体"/>
                <w:color w:val="auto"/>
                <w:szCs w:val="21"/>
                <w:highlight w:val="none"/>
              </w:rPr>
              <w:t>投标人将按《建设工程全流程电子化项目操作指南》的操作方法制作的非加密的电子投标文件刻入光盘</w:t>
            </w:r>
            <w:r>
              <w:rPr>
                <w:rFonts w:ascii="宋体" w:hAnsi="宋体"/>
                <w:color w:val="auto"/>
                <w:szCs w:val="21"/>
                <w:highlight w:val="none"/>
              </w:rPr>
              <w:t>或U盘</w:t>
            </w:r>
            <w:r>
              <w:rPr>
                <w:rFonts w:hint="eastAsia" w:ascii="宋体" w:hAnsi="宋体"/>
                <w:color w:val="auto"/>
                <w:szCs w:val="21"/>
                <w:highlight w:val="none"/>
              </w:rPr>
              <w:t>（1份），在规定的时间、地点</w:t>
            </w:r>
            <w:r>
              <w:rPr>
                <w:rFonts w:hint="eastAsia" w:ascii="宋体" w:hAnsi="宋体" w:cs="宋体"/>
                <w:b/>
                <w:color w:val="auto"/>
                <w:szCs w:val="21"/>
                <w:highlight w:val="none"/>
                <w:u w:val="single"/>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w:t>
            </w:r>
            <w:r>
              <w:rPr>
                <w:rFonts w:ascii="宋体" w:hAnsi="宋体"/>
                <w:color w:val="auto"/>
                <w:szCs w:val="21"/>
                <w:highlight w:val="none"/>
              </w:rPr>
              <w:t>或U盘</w:t>
            </w:r>
            <w:r>
              <w:rPr>
                <w:rFonts w:hint="eastAsia" w:ascii="宋体" w:hAnsi="宋体"/>
                <w:color w:val="auto"/>
                <w:szCs w:val="21"/>
                <w:highlight w:val="none"/>
              </w:rPr>
              <w:t>密封在密封袋中，并在封口处加盖投标人单位公章。密封袋上应写明的内容见投标人须知前附表要求4.1.2。递交的投标文件光盘</w:t>
            </w:r>
            <w:r>
              <w:rPr>
                <w:rFonts w:ascii="宋体" w:hAnsi="宋体"/>
                <w:color w:val="auto"/>
                <w:szCs w:val="21"/>
                <w:highlight w:val="none"/>
              </w:rPr>
              <w:t>或U盘</w:t>
            </w:r>
            <w:r>
              <w:rPr>
                <w:rFonts w:hint="eastAsia" w:ascii="宋体" w:hAnsi="宋体"/>
                <w:color w:val="auto"/>
                <w:szCs w:val="21"/>
                <w:highlight w:val="none"/>
              </w:rPr>
              <w:t>不得加密。投标文件光盘</w:t>
            </w:r>
            <w:r>
              <w:rPr>
                <w:rFonts w:ascii="宋体" w:hAnsi="宋体"/>
                <w:color w:val="auto"/>
                <w:szCs w:val="21"/>
                <w:highlight w:val="none"/>
              </w:rPr>
              <w:t>或U盘</w:t>
            </w:r>
            <w:r>
              <w:rPr>
                <w:rFonts w:hint="eastAsia" w:ascii="宋体" w:hAnsi="宋体"/>
                <w:color w:val="auto"/>
                <w:szCs w:val="21"/>
                <w:highlight w:val="none"/>
              </w:rPr>
              <w:t>无法读取或导入的，则视为未提交备用投标文件光盘。如果投标人没有按规定通过交易平台网上递交电子投标文件的，不再接受提交的光盘。</w:t>
            </w:r>
          </w:p>
          <w:p>
            <w:pPr>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补救方案</w:t>
            </w:r>
          </w:p>
          <w:p>
            <w:pPr>
              <w:jc w:val="left"/>
              <w:rPr>
                <w:rFonts w:ascii="宋体" w:hAnsi="宋体"/>
                <w:color w:val="auto"/>
                <w:szCs w:val="21"/>
                <w:highlight w:val="none"/>
              </w:rPr>
            </w:pPr>
            <w:r>
              <w:rPr>
                <w:rFonts w:ascii="宋体" w:hAnsi="宋体"/>
                <w:color w:val="auto"/>
                <w:szCs w:val="21"/>
                <w:highlight w:val="none"/>
              </w:rPr>
              <w:t>①投标文件解密失败的补救方案：</w:t>
            </w:r>
          </w:p>
          <w:p>
            <w:pPr>
              <w:jc w:val="left"/>
              <w:rPr>
                <w:rFonts w:ascii="宋体" w:hAnsi="宋体"/>
                <w:color w:val="auto"/>
                <w:szCs w:val="21"/>
                <w:highlight w:val="none"/>
              </w:rPr>
            </w:pPr>
            <w:r>
              <w:rPr>
                <w:rFonts w:ascii="宋体" w:hAnsi="宋体"/>
                <w:color w:val="auto"/>
                <w:szCs w:val="21"/>
                <w:highlight w:val="none"/>
              </w:rPr>
              <w:t>在规定时间内，因投标人之外原因导致的电子投标文件解密失败，在开标现场读取</w:t>
            </w:r>
            <w:r>
              <w:rPr>
                <w:rFonts w:hint="eastAsia" w:ascii="宋体" w:hAnsi="宋体"/>
                <w:color w:val="auto"/>
                <w:szCs w:val="21"/>
                <w:highlight w:val="none"/>
              </w:rPr>
              <w:t>光盘</w:t>
            </w:r>
            <w:r>
              <w:rPr>
                <w:rFonts w:ascii="宋体" w:hAnsi="宋体"/>
                <w:color w:val="auto"/>
                <w:szCs w:val="21"/>
                <w:highlight w:val="none"/>
              </w:rPr>
              <w:t>或U盘内容，继续开标程序。评标委员会对其投标文件的评审以</w:t>
            </w:r>
            <w:r>
              <w:rPr>
                <w:rFonts w:hint="eastAsia" w:ascii="宋体" w:hAnsi="宋体"/>
                <w:color w:val="auto"/>
                <w:szCs w:val="21"/>
                <w:highlight w:val="none"/>
              </w:rPr>
              <w:t>光盘</w:t>
            </w:r>
            <w:r>
              <w:rPr>
                <w:rFonts w:ascii="宋体" w:hAnsi="宋体"/>
                <w:color w:val="auto"/>
                <w:szCs w:val="21"/>
                <w:highlight w:val="none"/>
              </w:rPr>
              <w:t>或U盘内容为准。</w:t>
            </w:r>
          </w:p>
          <w:p>
            <w:pPr>
              <w:jc w:val="left"/>
              <w:rPr>
                <w:rFonts w:hint="eastAsia" w:ascii="宋体" w:hAnsi="宋体"/>
                <w:color w:val="auto"/>
                <w:szCs w:val="21"/>
                <w:highlight w:val="none"/>
              </w:rPr>
            </w:pPr>
            <w:r>
              <w:rPr>
                <w:rFonts w:ascii="宋体" w:hAnsi="宋体"/>
                <w:color w:val="auto"/>
                <w:szCs w:val="21"/>
                <w:highlight w:val="none"/>
              </w:rPr>
              <w:t>②评标时突发情况的补救方案</w:t>
            </w:r>
            <w:r>
              <w:rPr>
                <w:rFonts w:hint="eastAsia" w:ascii="宋体" w:hAnsi="宋体"/>
                <w:color w:val="auto"/>
                <w:szCs w:val="21"/>
                <w:highlight w:val="none"/>
              </w:rPr>
              <w:t>：</w:t>
            </w:r>
          </w:p>
          <w:p>
            <w:pPr>
              <w:jc w:val="left"/>
              <w:rPr>
                <w:rFonts w:ascii="宋体" w:hAnsi="宋体"/>
                <w:color w:val="auto"/>
                <w:szCs w:val="21"/>
                <w:highlight w:val="none"/>
              </w:rPr>
            </w:pPr>
            <w:r>
              <w:rPr>
                <w:rFonts w:ascii="宋体" w:hAnsi="宋体"/>
                <w:color w:val="auto"/>
                <w:szCs w:val="21"/>
                <w:highlight w:val="none"/>
              </w:rPr>
              <w:t>若遇不可抗力发生（如：网络瘫痪、服务器损坏、交易系统故障短期无法恢复等因素），由评标委员会开启现场递交的全部投标文件</w:t>
            </w:r>
            <w:r>
              <w:rPr>
                <w:rFonts w:hint="eastAsia" w:ascii="宋体" w:hAnsi="宋体"/>
                <w:color w:val="auto"/>
                <w:szCs w:val="21"/>
                <w:highlight w:val="none"/>
              </w:rPr>
              <w:t>光盘</w:t>
            </w:r>
            <w:r>
              <w:rPr>
                <w:rFonts w:ascii="宋体" w:hAnsi="宋体"/>
                <w:color w:val="auto"/>
                <w:szCs w:val="21"/>
                <w:highlight w:val="none"/>
              </w:rPr>
              <w:t>或U盘，并按</w:t>
            </w:r>
            <w:r>
              <w:rPr>
                <w:rFonts w:hint="eastAsia" w:ascii="宋体" w:hAnsi="宋体"/>
                <w:color w:val="auto"/>
                <w:szCs w:val="21"/>
                <w:highlight w:val="none"/>
              </w:rPr>
              <w:t>光盘</w:t>
            </w:r>
            <w:r>
              <w:rPr>
                <w:rFonts w:ascii="宋体" w:hAnsi="宋体"/>
                <w:color w:val="auto"/>
                <w:szCs w:val="21"/>
                <w:highlight w:val="none"/>
              </w:rPr>
              <w:t>或U盘内容进行评审。</w:t>
            </w:r>
          </w:p>
          <w:p>
            <w:pPr>
              <w:rPr>
                <w:rFonts w:ascii="宋体" w:hAnsi="宋体"/>
                <w:color w:val="auto"/>
                <w:szCs w:val="21"/>
                <w:highlight w:val="none"/>
              </w:rPr>
            </w:pPr>
            <w:r>
              <w:rPr>
                <w:rFonts w:ascii="宋体" w:hAnsi="宋体"/>
                <w:color w:val="auto"/>
                <w:szCs w:val="21"/>
                <w:highlight w:val="none"/>
              </w:rPr>
              <w:t>③除发生上述情况外，开标</w:t>
            </w:r>
            <w:r>
              <w:rPr>
                <w:rFonts w:hint="eastAsia" w:ascii="宋体" w:hAnsi="宋体"/>
                <w:color w:val="auto"/>
                <w:szCs w:val="21"/>
                <w:highlight w:val="none"/>
              </w:rPr>
              <w:t>、</w:t>
            </w:r>
            <w:r>
              <w:rPr>
                <w:rFonts w:ascii="宋体" w:hAnsi="宋体"/>
                <w:color w:val="auto"/>
                <w:szCs w:val="21"/>
                <w:highlight w:val="none"/>
              </w:rPr>
              <w:t>评标</w:t>
            </w:r>
            <w:r>
              <w:rPr>
                <w:rFonts w:hint="eastAsia" w:ascii="宋体" w:hAnsi="宋体"/>
                <w:color w:val="auto"/>
                <w:szCs w:val="21"/>
                <w:highlight w:val="none"/>
              </w:rPr>
              <w:t>、</w:t>
            </w:r>
            <w:r>
              <w:rPr>
                <w:rFonts w:ascii="宋体" w:hAnsi="宋体"/>
                <w:color w:val="auto"/>
                <w:szCs w:val="21"/>
                <w:highlight w:val="none"/>
              </w:rPr>
              <w:t>定标均以投标人通过交易平台网上递交的电子投标文件为准。</w:t>
            </w:r>
          </w:p>
        </w:tc>
      </w:tr>
      <w:tr>
        <w:tblPrEx>
          <w:tblCellMar>
            <w:top w:w="0" w:type="dxa"/>
            <w:left w:w="108" w:type="dxa"/>
            <w:bottom w:w="0" w:type="dxa"/>
            <w:right w:w="108" w:type="dxa"/>
          </w:tblCellMar>
        </w:tblPrEx>
        <w:trPr>
          <w:trHeight w:val="372"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需要补充的其他内容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10.1</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特别提示</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w:t>
            </w:r>
          </w:p>
          <w:p>
            <w:pPr>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pPr>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rPr>
                <w:rFonts w:hint="eastAsia" w:ascii="宋体" w:hAnsi="宋体"/>
                <w:color w:val="auto"/>
                <w:szCs w:val="21"/>
                <w:highlight w:val="none"/>
              </w:rPr>
            </w:pPr>
            <w:r>
              <w:rPr>
                <w:rFonts w:hint="eastAsia" w:ascii="宋体" w:hAnsi="宋体"/>
                <w:color w:val="auto"/>
                <w:szCs w:val="21"/>
                <w:highlight w:val="none"/>
              </w:rPr>
              <w:t>（3）存在围标或串标情形的；</w:t>
            </w:r>
          </w:p>
          <w:p>
            <w:pPr>
              <w:rPr>
                <w:rFonts w:hint="eastAsia" w:ascii="宋体" w:hAnsi="宋体"/>
                <w:color w:val="auto"/>
                <w:szCs w:val="21"/>
                <w:highlight w:val="none"/>
              </w:rPr>
            </w:pPr>
            <w:r>
              <w:rPr>
                <w:rFonts w:hint="eastAsia" w:ascii="宋体" w:hAnsi="宋体"/>
                <w:color w:val="auto"/>
                <w:szCs w:val="21"/>
                <w:highlight w:val="none"/>
              </w:rPr>
              <w:t>（4）在投标文件中提供虚假材料的；</w:t>
            </w:r>
          </w:p>
          <w:p>
            <w:pPr>
              <w:rPr>
                <w:rFonts w:hint="eastAsia" w:ascii="宋体" w:hAnsi="宋体"/>
                <w:color w:val="auto"/>
                <w:szCs w:val="21"/>
                <w:highlight w:val="none"/>
              </w:rPr>
            </w:pPr>
            <w:r>
              <w:rPr>
                <w:rFonts w:hint="eastAsia" w:ascii="宋体" w:hAnsi="宋体"/>
                <w:color w:val="auto"/>
                <w:szCs w:val="21"/>
                <w:highlight w:val="none"/>
              </w:rPr>
              <w:t>（5）存在行贿情形的；</w:t>
            </w:r>
          </w:p>
          <w:p>
            <w:pPr>
              <w:rPr>
                <w:rFonts w:hint="eastAsia" w:ascii="宋体" w:hAnsi="宋体"/>
                <w:color w:val="auto"/>
                <w:szCs w:val="21"/>
                <w:highlight w:val="none"/>
              </w:rPr>
            </w:pPr>
            <w:r>
              <w:rPr>
                <w:rFonts w:hint="eastAsia" w:ascii="宋体" w:hAnsi="宋体"/>
                <w:color w:val="auto"/>
                <w:szCs w:val="21"/>
                <w:highlight w:val="none"/>
              </w:rPr>
              <w:t>（6）拖欠农民工工资的；</w:t>
            </w:r>
          </w:p>
          <w:p>
            <w:pPr>
              <w:rPr>
                <w:rFonts w:hint="eastAsia" w:ascii="宋体" w:hAnsi="宋体"/>
                <w:color w:val="auto"/>
                <w:szCs w:val="21"/>
                <w:highlight w:val="none"/>
              </w:rPr>
            </w:pPr>
            <w:r>
              <w:rPr>
                <w:rFonts w:hint="eastAsia" w:ascii="宋体" w:hAnsi="宋体"/>
                <w:color w:val="auto"/>
                <w:szCs w:val="21"/>
                <w:highlight w:val="none"/>
              </w:rPr>
              <w:t>（7）为招标人提供监理服务过程中存在因过错行为被生效法律文书认定承担违约或侵权责任的；</w:t>
            </w:r>
          </w:p>
          <w:p>
            <w:pPr>
              <w:rPr>
                <w:rFonts w:hint="eastAsia" w:ascii="宋体" w:hAnsi="宋体"/>
                <w:color w:val="auto"/>
                <w:szCs w:val="21"/>
                <w:highlight w:val="none"/>
              </w:rPr>
            </w:pPr>
            <w:r>
              <w:rPr>
                <w:rFonts w:hint="eastAsia" w:ascii="宋体" w:hAnsi="宋体"/>
                <w:color w:val="auto"/>
                <w:szCs w:val="21"/>
                <w:highlight w:val="none"/>
              </w:rPr>
              <w:t>（8）违反监理合同约定自行调换或未按照招标人要求及时更换项目总监的；</w:t>
            </w:r>
          </w:p>
          <w:p>
            <w:pPr>
              <w:rPr>
                <w:rFonts w:hint="eastAsia" w:ascii="宋体" w:hAnsi="宋体"/>
                <w:color w:val="auto"/>
                <w:szCs w:val="21"/>
                <w:highlight w:val="none"/>
              </w:rPr>
            </w:pPr>
            <w:r>
              <w:rPr>
                <w:rFonts w:hint="eastAsia" w:ascii="宋体" w:hAnsi="宋体"/>
                <w:color w:val="auto"/>
                <w:szCs w:val="21"/>
                <w:highlight w:val="none"/>
              </w:rPr>
              <w:t>（9）委派的项目总监已在其他在建项目中任职且任职数量不符合相关规定并拒绝更换的。</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招标失败的情形</w:t>
            </w:r>
          </w:p>
        </w:tc>
        <w:tc>
          <w:tcPr>
            <w:tcW w:w="5865"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olor w:val="auto"/>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时为招标失败。招标人分析招标失败原因，修正招标方案，重新组织招标。</w:t>
            </w:r>
          </w:p>
        </w:tc>
      </w:tr>
      <w:tr>
        <w:tblPrEx>
          <w:tblCellMar>
            <w:top w:w="0" w:type="dxa"/>
            <w:left w:w="108" w:type="dxa"/>
            <w:bottom w:w="0" w:type="dxa"/>
            <w:right w:w="108" w:type="dxa"/>
          </w:tblCellMar>
        </w:tblPrEx>
        <w:trPr>
          <w:trHeight w:val="589"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2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其他</w:t>
            </w:r>
          </w:p>
        </w:tc>
        <w:tc>
          <w:tcPr>
            <w:tcW w:w="5865" w:type="dxa"/>
            <w:tcBorders>
              <w:top w:val="single" w:color="auto" w:sz="4" w:space="0"/>
              <w:left w:val="single" w:color="auto" w:sz="4" w:space="0"/>
              <w:bottom w:val="single" w:color="auto" w:sz="4" w:space="0"/>
              <w:right w:val="single" w:color="auto" w:sz="4" w:space="0"/>
            </w:tcBorders>
            <w:vAlign w:val="center"/>
          </w:tcPr>
          <w:p>
            <w:pPr>
              <w:ind w:left="1"/>
              <w:rPr>
                <w:rFonts w:hint="eastAsia"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u w:val="single"/>
              </w:rPr>
              <w:t>在产生中标候选人后，招标人将中标候选人的投标文件初步评审部分的电子版（涉及商业秘密的内容除外）在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olor w:val="auto"/>
                <w:szCs w:val="21"/>
                <w:highlight w:val="none"/>
                <w:u w:val="single"/>
              </w:rPr>
              <w:t>网站公开。</w:t>
            </w:r>
            <w:r>
              <w:rPr>
                <w:rFonts w:hint="eastAsia" w:ascii="宋体" w:hAnsi="宋体"/>
                <w:color w:val="auto"/>
                <w:highlight w:val="none"/>
              </w:rPr>
              <w:t>招标人或招标代理在公示前应对中标候选人提交的电子文件内容进行核对，确定电子文件内容是否与中标候选人提交的电子投标文件内容一致。若电子文件内容与中标候选人提交的电子投标文件内容不一致或不完整的，中标候选人应补充或修改电子文件后公开。</w:t>
            </w:r>
          </w:p>
          <w:p>
            <w:pPr>
              <w:ind w:left="1"/>
              <w:rPr>
                <w:rFonts w:hint="eastAsia" w:ascii="宋体" w:hAnsi="宋体"/>
                <w:color w:val="auto"/>
                <w:highlight w:val="none"/>
              </w:rPr>
            </w:pPr>
            <w:r>
              <w:rPr>
                <w:rFonts w:hint="eastAsia" w:ascii="宋体" w:hAnsi="宋体"/>
                <w:color w:val="auto"/>
                <w:highlight w:val="none"/>
              </w:rPr>
              <w:t>2.招标人根据评标委员会递交的评标报告，最终依法审定中标人。但在签订合同前的任何时候，评委、招标人以及其他人员发现投标人在招标过程有弄虚作假、虚报资料情况的，一经查实，立即取消其中标人资格。</w:t>
            </w:r>
          </w:p>
          <w:p>
            <w:pPr>
              <w:ind w:left="1"/>
              <w:rPr>
                <w:rFonts w:hint="eastAsia" w:ascii="宋体" w:hAnsi="宋体"/>
                <w:color w:val="auto"/>
                <w:highlight w:val="none"/>
              </w:rPr>
            </w:pPr>
            <w:r>
              <w:rPr>
                <w:rFonts w:hint="eastAsia" w:ascii="宋体" w:hAnsi="宋体"/>
                <w:color w:val="auto"/>
                <w:highlight w:val="none"/>
              </w:rPr>
              <w:t>3.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pPr>
              <w:ind w:left="1"/>
              <w:rPr>
                <w:rFonts w:hint="eastAsia" w:ascii="宋体" w:hAnsi="宋体"/>
                <w:color w:val="auto"/>
                <w:highlight w:val="none"/>
              </w:rPr>
            </w:pPr>
            <w:r>
              <w:rPr>
                <w:rFonts w:hint="eastAsia" w:ascii="宋体" w:hAnsi="宋体"/>
                <w:color w:val="auto"/>
                <w:highlight w:val="none"/>
              </w:rPr>
              <w:t>4.</w:t>
            </w:r>
            <w:r>
              <w:rPr>
                <w:rFonts w:hint="eastAsia" w:ascii="宋体" w:hAnsi="宋体"/>
                <w:color w:val="auto"/>
                <w:szCs w:val="21"/>
                <w:highlight w:val="none"/>
              </w:rPr>
              <w:t>中标结果公示结束后</w:t>
            </w:r>
            <w:r>
              <w:rPr>
                <w:rFonts w:ascii="宋体" w:hAnsi="宋体"/>
                <w:color w:val="auto"/>
                <w:szCs w:val="21"/>
                <w:highlight w:val="none"/>
              </w:rPr>
              <w:t>5个工作日内，</w:t>
            </w:r>
            <w:r>
              <w:rPr>
                <w:rFonts w:hint="eastAsia" w:ascii="宋体" w:hAnsi="宋体"/>
                <w:color w:val="auto"/>
                <w:highlight w:val="none"/>
              </w:rPr>
              <w:t>中标人须向招标人（招标代理机构）提供与递交的电子投标文件内容一致的纸质投标文件三套及电子文件二套（电子文件介质使用CD-R光盘，所有电子文件不能采用压缩加密处理）。</w:t>
            </w:r>
          </w:p>
          <w:p>
            <w:pPr>
              <w:pStyle w:val="13"/>
              <w:ind w:firstLine="0"/>
              <w:rPr>
                <w:color w:val="auto"/>
                <w:highlight w:val="none"/>
              </w:rPr>
            </w:pPr>
            <w:r>
              <w:rPr>
                <w:rFonts w:hint="eastAsia" w:ascii="宋体" w:hAnsi="宋体"/>
                <w:color w:val="auto"/>
                <w:highlight w:val="none"/>
              </w:rPr>
              <w:t>5.</w:t>
            </w:r>
            <w:r>
              <w:rPr>
                <w:rFonts w:ascii="宋体" w:hAnsi="宋体"/>
                <w:color w:val="auto"/>
                <w:szCs w:val="21"/>
                <w:highlight w:val="none"/>
                <w:u w:val="single"/>
              </w:rPr>
              <w:t>中标人按《广州市发展改革委转发省发展改革委关于规范公共资源交易服务收费及有关问题的通知》（穗发改〔2017〕811号）文件的规定，向</w:t>
            </w:r>
            <w:r>
              <w:rPr>
                <w:rFonts w:hint="eastAsia" w:ascii="宋体" w:hAnsi="宋体"/>
                <w:color w:val="auto"/>
                <w:szCs w:val="21"/>
                <w:highlight w:val="none"/>
                <w:u w:val="single"/>
              </w:rPr>
              <w:t>广州交易集团有限公司（广州公共资源交易中心）缴纳</w:t>
            </w:r>
            <w:r>
              <w:rPr>
                <w:rFonts w:ascii="宋体" w:hAnsi="宋体"/>
                <w:color w:val="auto"/>
                <w:szCs w:val="21"/>
                <w:highlight w:val="none"/>
                <w:u w:val="single"/>
              </w:rPr>
              <w:t>交易服务费，其费用包含在中标人投标报价中，招标人不另行支付。</w:t>
            </w:r>
          </w:p>
        </w:tc>
      </w:tr>
    </w:tbl>
    <w:p>
      <w:pPr>
        <w:widowControl/>
        <w:jc w:val="left"/>
        <w:rPr>
          <w:rFonts w:ascii="宋体" w:hAnsi="宋体"/>
          <w:color w:val="auto"/>
          <w:highlight w:val="none"/>
        </w:rPr>
      </w:pPr>
      <w:r>
        <w:rPr>
          <w:rFonts w:ascii="宋体" w:hAnsi="宋体"/>
          <w:color w:val="auto"/>
          <w:highlight w:val="none"/>
        </w:rPr>
        <w:br w:type="page"/>
      </w:r>
      <w:bookmarkStart w:id="17" w:name="_Toc49509965"/>
      <w:r>
        <w:rPr>
          <w:rFonts w:ascii="宋体" w:hAnsi="宋体"/>
          <w:b/>
          <w:bCs/>
          <w:color w:val="auto"/>
          <w:sz w:val="32"/>
          <w:szCs w:val="32"/>
          <w:highlight w:val="none"/>
        </w:rPr>
        <w:t xml:space="preserve">1. </w:t>
      </w:r>
      <w:r>
        <w:rPr>
          <w:rFonts w:hint="eastAsia" w:ascii="宋体" w:hAnsi="宋体"/>
          <w:b/>
          <w:bCs/>
          <w:color w:val="auto"/>
          <w:sz w:val="32"/>
          <w:szCs w:val="32"/>
          <w:highlight w:val="none"/>
        </w:rPr>
        <w:t>总则</w:t>
      </w:r>
      <w:bookmarkEnd w:id="17"/>
    </w:p>
    <w:p>
      <w:pPr>
        <w:pStyle w:val="4"/>
        <w:spacing w:line="240" w:lineRule="auto"/>
        <w:ind w:firstLine="137"/>
        <w:rPr>
          <w:rFonts w:ascii="宋体" w:hAnsi="宋体" w:eastAsia="宋体"/>
          <w:color w:val="auto"/>
          <w:highlight w:val="none"/>
        </w:rPr>
      </w:pPr>
      <w:bookmarkStart w:id="18" w:name="_Toc49509966"/>
      <w:bookmarkStart w:id="19" w:name="_Toc49506132"/>
      <w:r>
        <w:rPr>
          <w:rFonts w:ascii="宋体" w:hAnsi="宋体" w:eastAsia="宋体"/>
          <w:color w:val="auto"/>
          <w:highlight w:val="none"/>
        </w:rPr>
        <w:t xml:space="preserve">1.1 </w:t>
      </w:r>
      <w:r>
        <w:rPr>
          <w:rFonts w:hint="eastAsia" w:ascii="宋体" w:hAnsi="宋体" w:eastAsia="宋体"/>
          <w:color w:val="auto"/>
          <w:highlight w:val="none"/>
        </w:rPr>
        <w:t>招标项目概况</w:t>
      </w:r>
      <w:bookmarkEnd w:id="18"/>
      <w:bookmarkEnd w:id="19"/>
    </w:p>
    <w:p>
      <w:pPr>
        <w:spacing w:line="400" w:lineRule="exact"/>
        <w:ind w:firstLine="420" w:firstLineChars="200"/>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根据《中华人民共和国招标投标法》、《中华人民共和国招标投标法实施条例》等有关法律、法规和规章的规定，本招标项目已具备招标条件，现对</w:t>
      </w:r>
      <w:r>
        <w:rPr>
          <w:rFonts w:hint="eastAsia" w:ascii="宋体" w:hAnsi="宋体"/>
          <w:color w:val="auto"/>
          <w:highlight w:val="none"/>
          <w:u w:val="single"/>
        </w:rPr>
        <w:t>监理</w:t>
      </w:r>
      <w:r>
        <w:rPr>
          <w:rFonts w:hint="eastAsia" w:ascii="宋体" w:hAnsi="宋体"/>
          <w:color w:val="auto"/>
          <w:highlight w:val="none"/>
        </w:rPr>
        <w:t>进行招标。</w:t>
      </w:r>
    </w:p>
    <w:p>
      <w:pPr>
        <w:spacing w:line="400" w:lineRule="exact"/>
        <w:ind w:firstLine="420" w:firstLineChars="200"/>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招标人：见投标人须知前附表。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招标代理机构：见投标人须知前附表。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招标项目名称：见投标人须知前附表。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1.1.5项目建设地点：见投标人须知前附表。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1.1.6 项目建设规模：见投标人须知前附表。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 xml:space="preserve">1.1.7 </w:t>
      </w:r>
      <w:r>
        <w:rPr>
          <w:rFonts w:hint="eastAsia" w:ascii="宋体" w:hAnsi="宋体"/>
          <w:color w:val="auto"/>
          <w:highlight w:val="none"/>
        </w:rPr>
        <w:t>工程项目施工预计开工日期和建设周期：见投标人须知前附表。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 xml:space="preserve">1.1.8 </w:t>
      </w:r>
      <w:r>
        <w:rPr>
          <w:rFonts w:hint="eastAsia" w:ascii="宋体" w:hAnsi="宋体"/>
          <w:color w:val="auto"/>
          <w:highlight w:val="none"/>
        </w:rPr>
        <w:t>建筑安装工程费</w:t>
      </w:r>
      <w:r>
        <w:rPr>
          <w:rFonts w:ascii="宋体" w:hAnsi="宋体"/>
          <w:color w:val="auto"/>
          <w:highlight w:val="none"/>
        </w:rPr>
        <w:t>/</w:t>
      </w:r>
      <w:r>
        <w:rPr>
          <w:rFonts w:hint="eastAsia" w:ascii="宋体" w:hAnsi="宋体"/>
          <w:color w:val="auto"/>
          <w:highlight w:val="none"/>
        </w:rPr>
        <w:t>工程概算：见投标人须知前附表。</w:t>
      </w:r>
    </w:p>
    <w:p>
      <w:pPr>
        <w:pStyle w:val="4"/>
        <w:spacing w:line="240" w:lineRule="auto"/>
        <w:ind w:firstLine="137"/>
        <w:rPr>
          <w:rFonts w:ascii="宋体" w:hAnsi="宋体" w:eastAsia="宋体"/>
          <w:color w:val="auto"/>
          <w:highlight w:val="none"/>
        </w:rPr>
      </w:pPr>
      <w:bookmarkStart w:id="20" w:name="_Toc49506133"/>
      <w:bookmarkStart w:id="21" w:name="_Toc49509967"/>
      <w:r>
        <w:rPr>
          <w:rFonts w:ascii="宋体" w:hAnsi="宋体" w:eastAsia="宋体"/>
          <w:color w:val="auto"/>
          <w:highlight w:val="none"/>
        </w:rPr>
        <w:t xml:space="preserve">1.2 </w:t>
      </w:r>
      <w:r>
        <w:rPr>
          <w:rFonts w:hint="eastAsia" w:ascii="宋体" w:hAnsi="宋体" w:eastAsia="宋体"/>
          <w:color w:val="auto"/>
          <w:highlight w:val="none"/>
        </w:rPr>
        <w:t>招标项目的资金来源和落实情况</w:t>
      </w:r>
      <w:bookmarkEnd w:id="20"/>
      <w:bookmarkEnd w:id="21"/>
    </w:p>
    <w:p>
      <w:pPr>
        <w:spacing w:line="400" w:lineRule="exact"/>
        <w:ind w:firstLine="420" w:firstLineChars="200"/>
        <w:rPr>
          <w:rFonts w:ascii="宋体" w:hAnsi="宋体"/>
          <w:color w:val="auto"/>
          <w:highlight w:val="none"/>
        </w:rPr>
      </w:pPr>
      <w:r>
        <w:rPr>
          <w:rFonts w:ascii="宋体" w:hAnsi="宋体"/>
          <w:color w:val="auto"/>
          <w:highlight w:val="none"/>
        </w:rPr>
        <w:t>1.2.1</w:t>
      </w:r>
      <w:r>
        <w:rPr>
          <w:rFonts w:hint="eastAsia" w:ascii="宋体" w:hAnsi="宋体"/>
          <w:color w:val="auto"/>
          <w:highlight w:val="none"/>
        </w:rPr>
        <w:t>资金来源及比例：见投标人须知前附表。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1.2.2</w:t>
      </w:r>
      <w:r>
        <w:rPr>
          <w:rFonts w:hint="eastAsia" w:ascii="宋体" w:hAnsi="宋体"/>
          <w:color w:val="auto"/>
          <w:highlight w:val="none"/>
        </w:rPr>
        <w:t>资金落实情况：见投标人须知前附表。</w:t>
      </w:r>
    </w:p>
    <w:p>
      <w:pPr>
        <w:pStyle w:val="4"/>
        <w:spacing w:line="240" w:lineRule="auto"/>
        <w:ind w:firstLine="137"/>
        <w:rPr>
          <w:rFonts w:ascii="宋体" w:hAnsi="宋体" w:eastAsia="宋体"/>
          <w:color w:val="auto"/>
          <w:highlight w:val="none"/>
        </w:rPr>
      </w:pPr>
      <w:bookmarkStart w:id="22" w:name="_Toc49506134"/>
      <w:bookmarkStart w:id="23" w:name="_Toc49509968"/>
      <w:r>
        <w:rPr>
          <w:rFonts w:ascii="宋体" w:hAnsi="宋体" w:eastAsia="宋体"/>
          <w:color w:val="auto"/>
          <w:highlight w:val="none"/>
        </w:rPr>
        <w:t>1.3</w:t>
      </w:r>
      <w:r>
        <w:rPr>
          <w:rFonts w:hint="eastAsia" w:ascii="宋体" w:hAnsi="宋体" w:eastAsia="宋体"/>
          <w:color w:val="auto"/>
          <w:highlight w:val="none"/>
        </w:rPr>
        <w:t>招标范围、监理服务期限和质量标准</w:t>
      </w:r>
      <w:bookmarkEnd w:id="22"/>
      <w:bookmarkEnd w:id="23"/>
    </w:p>
    <w:p>
      <w:pPr>
        <w:spacing w:line="400" w:lineRule="exact"/>
        <w:ind w:firstLine="420" w:firstLineChars="200"/>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招标范围：见投标人须知前附表。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1.3.2</w:t>
      </w:r>
      <w:r>
        <w:rPr>
          <w:rFonts w:hint="eastAsia" w:ascii="宋体" w:hAnsi="宋体"/>
          <w:color w:val="auto"/>
          <w:highlight w:val="none"/>
        </w:rPr>
        <w:t>监理服务期限：见投标人须知前附表。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 xml:space="preserve">1.3.3 </w:t>
      </w:r>
      <w:r>
        <w:rPr>
          <w:rFonts w:hint="eastAsia" w:ascii="宋体" w:hAnsi="宋体"/>
          <w:color w:val="auto"/>
          <w:highlight w:val="none"/>
        </w:rPr>
        <w:t>质量标准：见投标人须知前附表。</w:t>
      </w:r>
    </w:p>
    <w:p>
      <w:pPr>
        <w:pStyle w:val="4"/>
        <w:spacing w:line="240" w:lineRule="auto"/>
        <w:ind w:firstLine="137"/>
        <w:rPr>
          <w:rFonts w:ascii="宋体" w:hAnsi="宋体" w:eastAsia="宋体"/>
          <w:color w:val="auto"/>
          <w:highlight w:val="none"/>
        </w:rPr>
      </w:pPr>
      <w:bookmarkStart w:id="24" w:name="_Toc49506135"/>
      <w:bookmarkStart w:id="25" w:name="_Toc49509969"/>
      <w:r>
        <w:rPr>
          <w:rFonts w:ascii="宋体" w:hAnsi="宋体" w:eastAsia="宋体"/>
          <w:color w:val="auto"/>
          <w:highlight w:val="none"/>
        </w:rPr>
        <w:t>1.4</w:t>
      </w:r>
      <w:r>
        <w:rPr>
          <w:rFonts w:hint="eastAsia" w:ascii="宋体" w:hAnsi="宋体" w:eastAsia="宋体"/>
          <w:color w:val="auto"/>
          <w:highlight w:val="none"/>
        </w:rPr>
        <w:t>投标人资格要求</w:t>
      </w:r>
      <w:bookmarkEnd w:id="24"/>
      <w:bookmarkEnd w:id="25"/>
    </w:p>
    <w:p>
      <w:pPr>
        <w:spacing w:line="400" w:lineRule="exact"/>
        <w:ind w:firstLine="420" w:firstLineChars="200"/>
        <w:rPr>
          <w:rFonts w:ascii="宋体" w:hAnsi="宋体"/>
          <w:color w:val="auto"/>
          <w:highlight w:val="none"/>
        </w:rPr>
      </w:pPr>
      <w:r>
        <w:rPr>
          <w:rFonts w:ascii="宋体" w:hAnsi="宋体"/>
          <w:color w:val="auto"/>
          <w:highlight w:val="none"/>
        </w:rPr>
        <w:t xml:space="preserve">1.4.1 </w:t>
      </w:r>
      <w:r>
        <w:rPr>
          <w:rFonts w:hint="eastAsia" w:ascii="宋体" w:hAnsi="宋体"/>
          <w:color w:val="auto"/>
          <w:highlight w:val="none"/>
        </w:rPr>
        <w:t>投标人应具备承担本招标项目资质条件、能力和信誉</w:t>
      </w:r>
      <w:r>
        <w:rPr>
          <w:rFonts w:ascii="宋体" w:hAnsi="宋体"/>
          <w:color w:val="auto"/>
          <w:highlight w:val="none"/>
        </w:rPr>
        <w:t>：</w:t>
      </w:r>
    </w:p>
    <w:p>
      <w:pPr>
        <w:spacing w:line="400" w:lineRule="exact"/>
        <w:ind w:firstLine="315" w:firstLineChars="15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）资质要求：见投标人须知前附表；</w:t>
      </w:r>
    </w:p>
    <w:p>
      <w:pPr>
        <w:spacing w:line="400" w:lineRule="exact"/>
        <w:ind w:firstLine="315" w:firstLineChars="15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w:t>
      </w:r>
      <w:r>
        <w:rPr>
          <w:rFonts w:ascii="宋体" w:hAnsi="宋体"/>
          <w:color w:val="auto"/>
          <w:highlight w:val="none"/>
        </w:rPr>
        <w:t>财务</w:t>
      </w:r>
      <w:r>
        <w:rPr>
          <w:rFonts w:hint="eastAsia" w:ascii="宋体" w:hAnsi="宋体"/>
          <w:color w:val="auto"/>
          <w:highlight w:val="none"/>
        </w:rPr>
        <w:t>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（3）业绩要求：见投标人须知前附表；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（4）信誉要求：见投标人须知前附表；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（5）总监理工程师的资格要求：具体要求见投标人须知前附表；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（6）其他主要人员要求：见投标人须知前附表；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（7）试验检测仪器设备要求：见投标人须知前附表；</w:t>
      </w:r>
    </w:p>
    <w:p>
      <w:pPr>
        <w:spacing w:line="400" w:lineRule="exact"/>
        <w:ind w:firstLine="315" w:firstLineChars="150"/>
        <w:rPr>
          <w:rFonts w:ascii="宋体" w:hAnsi="宋体"/>
          <w:color w:val="auto"/>
          <w:highlight w:val="none"/>
        </w:rPr>
      </w:pPr>
      <w:r>
        <w:rPr>
          <w:rFonts w:ascii="宋体" w:hAnsi="宋体"/>
          <w:color w:val="auto"/>
          <w:highlight w:val="none"/>
        </w:rPr>
        <w:t>（8）其他要求：见投标人须知前附表。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需要提交的相关证明材料见本章第3.5款的规定。</w:t>
      </w:r>
    </w:p>
    <w:p>
      <w:pPr>
        <w:spacing w:line="400" w:lineRule="exact"/>
        <w:ind w:firstLine="420" w:firstLineChars="200"/>
        <w:rPr>
          <w:rFonts w:ascii="宋体" w:hAnsi="宋体"/>
          <w:strike/>
          <w:color w:val="auto"/>
          <w:highlight w:val="none"/>
        </w:rPr>
      </w:pPr>
      <w:r>
        <w:rPr>
          <w:rFonts w:ascii="宋体" w:hAnsi="宋体"/>
          <w:strike/>
          <w:color w:val="auto"/>
          <w:highlight w:val="none"/>
        </w:rPr>
        <w:t>1.4.2投标人须知前附表规定接受联合体投标的，</w:t>
      </w:r>
      <w:r>
        <w:rPr>
          <w:rFonts w:hint="eastAsia" w:ascii="宋体" w:hAnsi="宋体"/>
          <w:strike/>
          <w:color w:val="auto"/>
          <w:highlight w:val="none"/>
        </w:rPr>
        <w:t>联合体除应符合本章第</w:t>
      </w:r>
      <w:r>
        <w:rPr>
          <w:rFonts w:ascii="宋体" w:hAnsi="宋体"/>
          <w:strike/>
          <w:color w:val="auto"/>
          <w:highlight w:val="none"/>
        </w:rPr>
        <w:t>1.4.1</w:t>
      </w:r>
      <w:r>
        <w:rPr>
          <w:rFonts w:hint="eastAsia" w:ascii="宋体" w:hAnsi="宋体"/>
          <w:strike/>
          <w:color w:val="auto"/>
          <w:highlight w:val="none"/>
        </w:rPr>
        <w:t>项和投标人须知前附表的要求外，还应遵守以下规定：</w:t>
      </w:r>
    </w:p>
    <w:p>
      <w:pPr>
        <w:spacing w:line="400" w:lineRule="exact"/>
        <w:ind w:firstLine="315" w:firstLineChars="150"/>
        <w:rPr>
          <w:rFonts w:ascii="宋体" w:hAnsi="宋体"/>
          <w:strike/>
          <w:color w:val="auto"/>
          <w:highlight w:val="none"/>
        </w:rPr>
      </w:pPr>
      <w:r>
        <w:rPr>
          <w:rFonts w:ascii="宋体" w:hAnsi="宋体"/>
          <w:strike/>
          <w:color w:val="auto"/>
          <w:highlight w:val="none"/>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宋体" w:hAnsi="宋体"/>
          <w:strike/>
          <w:color w:val="auto"/>
          <w:highlight w:val="none"/>
        </w:rPr>
      </w:pPr>
      <w:r>
        <w:rPr>
          <w:rFonts w:ascii="宋体" w:hAnsi="宋体"/>
          <w:strike/>
          <w:color w:val="auto"/>
          <w:highlight w:val="none"/>
        </w:rPr>
        <w:t>（2）由同一专业的单位组成的联合体，按照资质等级较低的单位确定资质等级；</w:t>
      </w:r>
    </w:p>
    <w:p>
      <w:pPr>
        <w:spacing w:line="400" w:lineRule="exact"/>
        <w:ind w:firstLine="315" w:firstLineChars="150"/>
        <w:rPr>
          <w:rFonts w:ascii="宋体" w:hAnsi="宋体"/>
          <w:strike/>
          <w:color w:val="auto"/>
          <w:highlight w:val="none"/>
        </w:rPr>
      </w:pPr>
      <w:r>
        <w:rPr>
          <w:rFonts w:ascii="宋体" w:hAnsi="宋体"/>
          <w:strike/>
          <w:color w:val="auto"/>
          <w:highlight w:val="none"/>
        </w:rPr>
        <w:t>（3）联合体各方不得再以自己名义单独或参加其他联合体在本招标项目中投标，否则各相关投标均无效。</w:t>
      </w:r>
    </w:p>
    <w:p>
      <w:pPr>
        <w:spacing w:line="400" w:lineRule="exact"/>
        <w:ind w:firstLine="420" w:firstLineChars="200"/>
        <w:rPr>
          <w:rFonts w:ascii="宋体" w:hAnsi="宋体"/>
          <w:color w:val="auto"/>
          <w:highlight w:val="none"/>
        </w:rPr>
      </w:pPr>
      <w:r>
        <w:rPr>
          <w:rFonts w:ascii="宋体" w:hAnsi="宋体"/>
          <w:color w:val="auto"/>
          <w:highlight w:val="none"/>
        </w:rPr>
        <w:t>1.4.3</w:t>
      </w:r>
      <w:r>
        <w:rPr>
          <w:rFonts w:hint="eastAsia" w:ascii="宋体" w:hAnsi="宋体"/>
          <w:color w:val="auto"/>
          <w:highlight w:val="none"/>
        </w:rPr>
        <w:t>投标人不得存在下列情形之一：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r>
        <w:rPr>
          <w:rFonts w:hint="eastAsia" w:ascii="宋体" w:hAnsi="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（11）被责令停产停业、暂扣或者吊销许可证、暂扣或者吊销执照</w:t>
      </w:r>
      <w:r>
        <w:rPr>
          <w:rFonts w:hint="eastAsia" w:ascii="宋体" w:hAnsi="宋体"/>
          <w:color w:val="auto"/>
          <w:szCs w:val="21"/>
          <w:highlight w:val="none"/>
          <w:u w:val="single"/>
        </w:rPr>
        <w:t>（本项事实应当以根据《中华人民共和国行政处罚法》依法作出并已经生效的行政处罚决定为认定依据）</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（13）在最近三年内发生重大监理质量问题（以相关行业主管部门的行政处罚决定或司法机关出具的有关法律文书为准；</w:t>
      </w:r>
      <w:r>
        <w:rPr>
          <w:rFonts w:hint="eastAsia" w:ascii="宋体" w:hAnsi="宋体"/>
          <w:color w:val="auto"/>
          <w:szCs w:val="21"/>
          <w:highlight w:val="none"/>
          <w:u w:val="single"/>
        </w:rPr>
        <w:t>“最近三年”是指从202</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年1月1日</w:t>
      </w:r>
      <w:r>
        <w:rPr>
          <w:rFonts w:ascii="宋体" w:hAnsi="宋体"/>
          <w:color w:val="auto"/>
          <w:szCs w:val="21"/>
          <w:highlight w:val="none"/>
          <w:u w:val="single"/>
        </w:rPr>
        <w:t>至</w:t>
      </w:r>
      <w:r>
        <w:rPr>
          <w:rFonts w:hint="eastAsia" w:ascii="宋体" w:hAnsi="宋体"/>
          <w:color w:val="auto"/>
          <w:szCs w:val="21"/>
          <w:highlight w:val="none"/>
          <w:u w:val="single"/>
        </w:rPr>
        <w:t>投标截止时间止，以相关行业主管部门、司法机关出具的生效文件的落款时间起计算）；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（14）法律法规或投标人须知前附表规定的其他情形。</w:t>
      </w:r>
    </w:p>
    <w:p>
      <w:pPr>
        <w:pStyle w:val="4"/>
        <w:spacing w:line="240" w:lineRule="auto"/>
        <w:ind w:firstLine="137"/>
        <w:rPr>
          <w:rFonts w:ascii="宋体" w:hAnsi="宋体" w:eastAsia="宋体"/>
          <w:color w:val="auto"/>
          <w:highlight w:val="none"/>
        </w:rPr>
      </w:pPr>
      <w:bookmarkStart w:id="26" w:name="_Toc49509970"/>
      <w:bookmarkStart w:id="27" w:name="_Toc49506136"/>
      <w:r>
        <w:rPr>
          <w:rFonts w:ascii="宋体" w:hAnsi="宋体" w:eastAsia="宋体"/>
          <w:color w:val="auto"/>
          <w:highlight w:val="none"/>
        </w:rPr>
        <w:t xml:space="preserve">1.5 </w:t>
      </w:r>
      <w:r>
        <w:rPr>
          <w:rFonts w:hint="eastAsia" w:ascii="宋体" w:hAnsi="宋体" w:eastAsia="宋体"/>
          <w:color w:val="auto"/>
          <w:highlight w:val="none"/>
        </w:rPr>
        <w:t>费用承担</w:t>
      </w:r>
      <w:bookmarkEnd w:id="26"/>
      <w:bookmarkEnd w:id="27"/>
    </w:p>
    <w:p>
      <w:pPr>
        <w:spacing w:line="400" w:lineRule="exact"/>
        <w:ind w:firstLine="420" w:firstLineChars="200"/>
        <w:rPr>
          <w:rFonts w:ascii="宋体" w:hAnsi="宋体"/>
          <w:color w:val="auto"/>
          <w:highlight w:val="none"/>
        </w:rPr>
      </w:pPr>
      <w:r>
        <w:rPr>
          <w:rFonts w:ascii="宋体" w:hAnsi="宋体"/>
          <w:color w:val="auto"/>
          <w:highlight w:val="none"/>
        </w:rPr>
        <w:t>投标人准备和参加投标活动发生的费用自理。</w:t>
      </w:r>
    </w:p>
    <w:p>
      <w:pPr>
        <w:pStyle w:val="4"/>
        <w:spacing w:line="240" w:lineRule="auto"/>
        <w:ind w:firstLine="137"/>
        <w:rPr>
          <w:rFonts w:ascii="宋体" w:hAnsi="宋体" w:eastAsia="宋体"/>
          <w:color w:val="auto"/>
          <w:highlight w:val="none"/>
        </w:rPr>
      </w:pPr>
      <w:bookmarkStart w:id="28" w:name="_Toc49506137"/>
      <w:bookmarkStart w:id="29" w:name="_Toc49509971"/>
      <w:r>
        <w:rPr>
          <w:rFonts w:ascii="宋体" w:hAnsi="宋体" w:eastAsia="宋体"/>
          <w:color w:val="auto"/>
          <w:highlight w:val="none"/>
        </w:rPr>
        <w:t>1.6</w:t>
      </w:r>
      <w:r>
        <w:rPr>
          <w:rFonts w:hint="eastAsia" w:ascii="宋体" w:hAnsi="宋体" w:eastAsia="宋体"/>
          <w:color w:val="auto"/>
          <w:highlight w:val="none"/>
        </w:rPr>
        <w:t>保密</w:t>
      </w:r>
      <w:bookmarkEnd w:id="28"/>
      <w:bookmarkEnd w:id="29"/>
    </w:p>
    <w:p>
      <w:pPr>
        <w:spacing w:line="400" w:lineRule="exact"/>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w:t>
      </w:r>
      <w:bookmarkStart w:id="30" w:name="_Toc369531519"/>
      <w:bookmarkStart w:id="31" w:name="_Toc384308214"/>
      <w:bookmarkStart w:id="32" w:name="_Toc5326"/>
      <w:bookmarkStart w:id="33" w:name="_Toc352691477"/>
      <w:bookmarkStart w:id="34" w:name="_Toc361508589"/>
      <w:r>
        <w:rPr>
          <w:rFonts w:hint="eastAsia" w:ascii="宋体" w:hAnsi="宋体"/>
          <w:color w:val="auto"/>
          <w:highlight w:val="none"/>
        </w:rPr>
        <w:t>的商业和技术等秘密保密</w:t>
      </w:r>
      <w:bookmarkEnd w:id="30"/>
      <w:bookmarkEnd w:id="31"/>
      <w:bookmarkEnd w:id="32"/>
      <w:bookmarkEnd w:id="33"/>
      <w:bookmarkEnd w:id="34"/>
      <w:r>
        <w:rPr>
          <w:rFonts w:hint="eastAsia" w:ascii="宋体" w:hAnsi="宋体"/>
          <w:color w:val="auto"/>
          <w:highlight w:val="none"/>
        </w:rPr>
        <w:t>，否则应承担相应的法律责任。</w:t>
      </w:r>
    </w:p>
    <w:p>
      <w:pPr>
        <w:pStyle w:val="4"/>
        <w:spacing w:line="240" w:lineRule="auto"/>
        <w:ind w:firstLine="137"/>
        <w:rPr>
          <w:rFonts w:ascii="宋体" w:hAnsi="宋体" w:eastAsia="宋体"/>
          <w:color w:val="auto"/>
          <w:highlight w:val="none"/>
        </w:rPr>
      </w:pPr>
      <w:bookmarkStart w:id="35" w:name="_Toc49509972"/>
      <w:bookmarkStart w:id="36" w:name="_Toc49506138"/>
      <w:r>
        <w:rPr>
          <w:rFonts w:ascii="宋体" w:hAnsi="宋体" w:eastAsia="宋体"/>
          <w:color w:val="auto"/>
          <w:highlight w:val="none"/>
        </w:rPr>
        <w:t>1.7</w:t>
      </w:r>
      <w:r>
        <w:rPr>
          <w:rFonts w:hint="eastAsia" w:ascii="宋体" w:hAnsi="宋体" w:eastAsia="宋体"/>
          <w:color w:val="auto"/>
          <w:highlight w:val="none"/>
        </w:rPr>
        <w:t>语言文字</w:t>
      </w:r>
      <w:bookmarkEnd w:id="35"/>
      <w:bookmarkEnd w:id="36"/>
    </w:p>
    <w:p>
      <w:pPr>
        <w:spacing w:line="400" w:lineRule="exact"/>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pPr>
        <w:pStyle w:val="4"/>
        <w:spacing w:line="240" w:lineRule="auto"/>
        <w:ind w:firstLine="137"/>
        <w:rPr>
          <w:rFonts w:ascii="宋体" w:hAnsi="宋体" w:eastAsia="宋体"/>
          <w:color w:val="auto"/>
          <w:highlight w:val="none"/>
        </w:rPr>
      </w:pPr>
      <w:bookmarkStart w:id="37" w:name="_Toc49509973"/>
      <w:bookmarkStart w:id="38" w:name="_Toc49506139"/>
      <w:r>
        <w:rPr>
          <w:rFonts w:ascii="宋体" w:hAnsi="宋体" w:eastAsia="宋体"/>
          <w:color w:val="auto"/>
          <w:highlight w:val="none"/>
        </w:rPr>
        <w:t>1.8</w:t>
      </w:r>
      <w:r>
        <w:rPr>
          <w:rFonts w:hint="eastAsia" w:ascii="宋体" w:hAnsi="宋体" w:eastAsia="宋体"/>
          <w:color w:val="auto"/>
          <w:highlight w:val="none"/>
        </w:rPr>
        <w:t>计量单位</w:t>
      </w:r>
      <w:bookmarkEnd w:id="37"/>
      <w:bookmarkEnd w:id="38"/>
    </w:p>
    <w:p>
      <w:pPr>
        <w:spacing w:line="400" w:lineRule="exact"/>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pPr>
        <w:pStyle w:val="4"/>
        <w:spacing w:line="240" w:lineRule="auto"/>
        <w:ind w:firstLine="137"/>
        <w:rPr>
          <w:rFonts w:ascii="宋体" w:hAnsi="宋体" w:eastAsia="宋体"/>
          <w:color w:val="auto"/>
          <w:highlight w:val="none"/>
        </w:rPr>
      </w:pPr>
      <w:bookmarkStart w:id="39" w:name="_Toc370676289"/>
      <w:bookmarkStart w:id="40" w:name="_Toc361508594"/>
      <w:bookmarkStart w:id="41" w:name="_Toc247527563"/>
      <w:bookmarkStart w:id="42" w:name="_Toc300834959"/>
      <w:bookmarkStart w:id="43" w:name="_Toc391393967"/>
      <w:bookmarkStart w:id="44" w:name="_Toc144974507"/>
      <w:bookmarkStart w:id="45" w:name="_Toc49509974"/>
      <w:bookmarkStart w:id="46" w:name="_Toc482188480"/>
      <w:bookmarkStart w:id="47" w:name="_Toc49506140"/>
      <w:bookmarkStart w:id="48" w:name="_Toc384308219"/>
      <w:bookmarkStart w:id="49" w:name="_Toc152045539"/>
      <w:bookmarkStart w:id="50" w:name="_Toc152042315"/>
      <w:bookmarkStart w:id="51" w:name="_Toc247513962"/>
      <w:r>
        <w:rPr>
          <w:rFonts w:ascii="宋体" w:hAnsi="宋体" w:eastAsia="宋体"/>
          <w:color w:val="auto"/>
          <w:highlight w:val="none"/>
        </w:rPr>
        <w:t xml:space="preserve">1.9 </w:t>
      </w:r>
      <w:r>
        <w:rPr>
          <w:rFonts w:hint="eastAsia" w:ascii="宋体" w:hAnsi="宋体" w:eastAsia="宋体"/>
          <w:color w:val="auto"/>
          <w:highlight w:val="none"/>
        </w:rPr>
        <w:t>踏勘现场</w:t>
      </w:r>
      <w:bookmarkEnd w:id="39"/>
      <w:bookmarkEnd w:id="40"/>
      <w:bookmarkEnd w:id="41"/>
      <w:bookmarkEnd w:id="42"/>
      <w:bookmarkEnd w:id="43"/>
      <w:bookmarkEnd w:id="44"/>
      <w:bookmarkEnd w:id="45"/>
      <w:bookmarkEnd w:id="46"/>
      <w:bookmarkEnd w:id="47"/>
      <w:bookmarkEnd w:id="48"/>
      <w:bookmarkEnd w:id="49"/>
      <w:bookmarkEnd w:id="50"/>
      <w:bookmarkEnd w:id="51"/>
    </w:p>
    <w:p>
      <w:pPr>
        <w:spacing w:line="400" w:lineRule="exact"/>
        <w:ind w:firstLine="420" w:firstLineChars="200"/>
        <w:rPr>
          <w:rFonts w:ascii="宋体" w:hAnsi="宋体"/>
          <w:color w:val="auto"/>
          <w:highlight w:val="none"/>
        </w:rPr>
      </w:pPr>
      <w:r>
        <w:rPr>
          <w:rFonts w:ascii="宋体" w:hAnsi="宋体"/>
          <w:color w:val="auto"/>
          <w:highlight w:val="none"/>
        </w:rPr>
        <w:t xml:space="preserve">1.9.1 </w:t>
      </w:r>
      <w:r>
        <w:rPr>
          <w:rFonts w:hint="eastAsia" w:ascii="宋体" w:hAnsi="宋体"/>
          <w:color w:val="auto"/>
          <w:highlight w:val="none"/>
        </w:rPr>
        <w:t>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宋体" w:hAnsi="宋体"/>
          <w:color w:val="auto"/>
          <w:highlight w:val="none"/>
        </w:rPr>
      </w:pPr>
      <w:r>
        <w:rPr>
          <w:rFonts w:ascii="宋体" w:hAnsi="宋体"/>
          <w:color w:val="auto"/>
          <w:highlight w:val="none"/>
        </w:rPr>
        <w:t xml:space="preserve">1.9.2 </w:t>
      </w:r>
      <w:r>
        <w:rPr>
          <w:rFonts w:hint="eastAsia" w:ascii="宋体" w:hAnsi="宋体"/>
          <w:color w:val="auto"/>
          <w:highlight w:val="none"/>
        </w:rPr>
        <w:t>投标人踏勘现场发生的费用自理。</w:t>
      </w:r>
    </w:p>
    <w:p>
      <w:pPr>
        <w:spacing w:line="400" w:lineRule="exact"/>
        <w:ind w:firstLine="420" w:firstLineChars="200"/>
        <w:rPr>
          <w:rFonts w:ascii="宋体" w:hAnsi="宋体"/>
          <w:color w:val="auto"/>
          <w:highlight w:val="none"/>
        </w:rPr>
      </w:pPr>
      <w:r>
        <w:rPr>
          <w:rFonts w:ascii="宋体" w:hAnsi="宋体"/>
          <w:color w:val="auto"/>
          <w:highlight w:val="none"/>
        </w:rPr>
        <w:t xml:space="preserve">1.9.3 </w:t>
      </w:r>
      <w:r>
        <w:rPr>
          <w:rFonts w:hint="eastAsia" w:ascii="宋体" w:hAnsi="宋体"/>
          <w:color w:val="auto"/>
          <w:highlight w:val="none"/>
        </w:rPr>
        <w:t>除招标人的原因外，投标人自行负责在踏勘现场中所发生的人员伤亡和财产损失。</w:t>
      </w:r>
    </w:p>
    <w:p>
      <w:pPr>
        <w:spacing w:line="400" w:lineRule="exact"/>
        <w:ind w:firstLine="420" w:firstLineChars="200"/>
        <w:rPr>
          <w:rFonts w:ascii="宋体" w:hAnsi="宋体"/>
          <w:color w:val="auto"/>
          <w:highlight w:val="none"/>
        </w:rPr>
      </w:pPr>
      <w:r>
        <w:rPr>
          <w:rFonts w:ascii="宋体" w:hAnsi="宋体"/>
          <w:color w:val="auto"/>
          <w:highlight w:val="none"/>
        </w:rPr>
        <w:t xml:space="preserve">1.9.4 </w:t>
      </w:r>
      <w:r>
        <w:rPr>
          <w:rFonts w:hint="eastAsia" w:ascii="宋体" w:hAnsi="宋体"/>
          <w:color w:val="auto"/>
          <w:highlight w:val="none"/>
        </w:rPr>
        <w:t>招标人在踏勘现场中介绍的工程场地和相关的周边环境情况，供投标人在编制投标文件时参考，招标人不对投标人据此作出的判断和决策负责。</w:t>
      </w:r>
    </w:p>
    <w:p>
      <w:pPr>
        <w:pStyle w:val="4"/>
        <w:spacing w:line="240" w:lineRule="auto"/>
        <w:ind w:firstLine="137"/>
        <w:rPr>
          <w:rFonts w:ascii="宋体" w:hAnsi="宋体" w:eastAsia="宋体"/>
          <w:color w:val="auto"/>
          <w:highlight w:val="none"/>
        </w:rPr>
      </w:pPr>
      <w:bookmarkStart w:id="52" w:name="_Toc49509975"/>
      <w:bookmarkStart w:id="53" w:name="_Toc49506141"/>
      <w:r>
        <w:rPr>
          <w:rFonts w:ascii="宋体" w:hAnsi="宋体" w:eastAsia="宋体"/>
          <w:color w:val="auto"/>
          <w:highlight w:val="none"/>
        </w:rPr>
        <w:t>1.10</w:t>
      </w:r>
      <w:r>
        <w:rPr>
          <w:rFonts w:hint="eastAsia" w:ascii="宋体" w:hAnsi="宋体" w:eastAsia="宋体"/>
          <w:color w:val="auto"/>
          <w:highlight w:val="none"/>
        </w:rPr>
        <w:t>投标预备会</w:t>
      </w:r>
      <w:bookmarkEnd w:id="52"/>
      <w:bookmarkEnd w:id="53"/>
    </w:p>
    <w:p>
      <w:pPr>
        <w:spacing w:line="400" w:lineRule="exact"/>
        <w:ind w:firstLine="420" w:firstLineChars="200"/>
        <w:rPr>
          <w:rFonts w:ascii="宋体" w:hAnsi="宋体"/>
          <w:color w:val="auto"/>
          <w:highlight w:val="none"/>
        </w:rPr>
      </w:pPr>
      <w:r>
        <w:rPr>
          <w:rFonts w:ascii="宋体" w:hAnsi="宋体"/>
          <w:color w:val="auto"/>
          <w:highlight w:val="none"/>
        </w:rPr>
        <w:t xml:space="preserve">1.10.1 </w:t>
      </w:r>
      <w:r>
        <w:rPr>
          <w:rFonts w:hint="eastAsia" w:ascii="宋体" w:hAnsi="宋体"/>
          <w:color w:val="auto"/>
          <w:highlight w:val="none"/>
        </w:rPr>
        <w:t>投标人须知前附表规定召开投标预备会的，招标人按投标人须知前附表规定的时间和地点召开投标预备会，澄清投标人提出的问题。</w:t>
      </w:r>
    </w:p>
    <w:p>
      <w:pPr>
        <w:spacing w:line="400" w:lineRule="exact"/>
        <w:ind w:firstLine="420" w:firstLineChars="200"/>
        <w:rPr>
          <w:rFonts w:ascii="宋体" w:hAnsi="宋体"/>
          <w:color w:val="auto"/>
          <w:highlight w:val="none"/>
        </w:rPr>
      </w:pPr>
      <w:r>
        <w:rPr>
          <w:rFonts w:ascii="宋体" w:hAnsi="宋体"/>
          <w:color w:val="auto"/>
          <w:highlight w:val="none"/>
        </w:rPr>
        <w:t xml:space="preserve">1.10.2 </w:t>
      </w:r>
      <w:r>
        <w:rPr>
          <w:rFonts w:hint="eastAsia" w:ascii="宋体" w:hAnsi="宋体"/>
          <w:color w:val="auto"/>
          <w:highlight w:val="none"/>
        </w:rPr>
        <w:t>投标人应按投标人须知前附表规定的时间和形式将提出的问题送达招标人，以便招标人在会议期间澄清。</w:t>
      </w:r>
    </w:p>
    <w:p>
      <w:pPr>
        <w:spacing w:line="400" w:lineRule="exact"/>
        <w:ind w:firstLine="420" w:firstLineChars="200"/>
        <w:rPr>
          <w:rFonts w:ascii="宋体" w:hAnsi="宋体"/>
          <w:color w:val="auto"/>
          <w:highlight w:val="none"/>
        </w:rPr>
      </w:pPr>
      <w:r>
        <w:rPr>
          <w:rFonts w:ascii="宋体" w:hAnsi="宋体"/>
          <w:color w:val="auto"/>
          <w:highlight w:val="none"/>
        </w:rPr>
        <w:t xml:space="preserve">1.10.3 </w:t>
      </w:r>
      <w:r>
        <w:rPr>
          <w:rFonts w:hint="eastAsia" w:ascii="宋体" w:hAnsi="宋体"/>
          <w:color w:val="auto"/>
          <w:highlight w:val="none"/>
        </w:rPr>
        <w:t>投标预备会后，招标人将对投标人所提问题的澄清，以投标人须知前附表规定的形式通知所有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的投标人。该澄清内容为招标文件的组成部分。</w:t>
      </w:r>
    </w:p>
    <w:p>
      <w:pPr>
        <w:pStyle w:val="4"/>
        <w:spacing w:line="240" w:lineRule="auto"/>
        <w:ind w:firstLine="137"/>
        <w:rPr>
          <w:rFonts w:ascii="宋体" w:hAnsi="宋体" w:eastAsia="宋体"/>
          <w:color w:val="auto"/>
          <w:highlight w:val="none"/>
        </w:rPr>
      </w:pPr>
      <w:bookmarkStart w:id="54" w:name="_Toc49509976"/>
      <w:bookmarkStart w:id="55" w:name="_Toc49506142"/>
      <w:r>
        <w:rPr>
          <w:rFonts w:ascii="宋体" w:hAnsi="宋体" w:eastAsia="宋体"/>
          <w:color w:val="auto"/>
          <w:highlight w:val="none"/>
        </w:rPr>
        <w:t xml:space="preserve">1.11 </w:t>
      </w:r>
      <w:r>
        <w:rPr>
          <w:rFonts w:hint="eastAsia" w:ascii="宋体" w:hAnsi="宋体" w:eastAsia="宋体"/>
          <w:color w:val="auto"/>
          <w:highlight w:val="none"/>
        </w:rPr>
        <w:t>分包</w:t>
      </w:r>
      <w:bookmarkEnd w:id="54"/>
      <w:bookmarkEnd w:id="55"/>
    </w:p>
    <w:p>
      <w:pPr>
        <w:spacing w:line="400" w:lineRule="exact"/>
        <w:ind w:firstLine="420" w:firstLineChars="200"/>
        <w:rPr>
          <w:rFonts w:ascii="宋体" w:hAnsi="宋体"/>
          <w:color w:val="auto"/>
          <w:highlight w:val="none"/>
        </w:rPr>
      </w:pPr>
      <w:r>
        <w:rPr>
          <w:rFonts w:hint="eastAsia" w:ascii="宋体" w:hAnsi="宋体"/>
          <w:color w:val="auto"/>
          <w:highlight w:val="none"/>
        </w:rPr>
        <w:t>本项目严禁分包。</w:t>
      </w:r>
    </w:p>
    <w:p>
      <w:pPr>
        <w:pStyle w:val="4"/>
        <w:spacing w:line="240" w:lineRule="auto"/>
        <w:ind w:firstLine="137"/>
        <w:rPr>
          <w:rFonts w:ascii="宋体" w:hAnsi="宋体" w:eastAsia="宋体"/>
          <w:color w:val="auto"/>
          <w:highlight w:val="none"/>
        </w:rPr>
      </w:pPr>
      <w:bookmarkStart w:id="56" w:name="_Toc49509977"/>
      <w:bookmarkStart w:id="57" w:name="_Toc49506143"/>
      <w:r>
        <w:rPr>
          <w:rFonts w:ascii="宋体" w:hAnsi="宋体" w:eastAsia="宋体"/>
          <w:color w:val="auto"/>
          <w:highlight w:val="none"/>
        </w:rPr>
        <w:t>1.12</w:t>
      </w:r>
      <w:r>
        <w:rPr>
          <w:rFonts w:hint="eastAsia" w:ascii="宋体" w:hAnsi="宋体" w:eastAsia="宋体"/>
          <w:color w:val="auto"/>
          <w:highlight w:val="none"/>
        </w:rPr>
        <w:t>响应和偏差</w:t>
      </w:r>
      <w:bookmarkEnd w:id="56"/>
      <w:bookmarkEnd w:id="57"/>
    </w:p>
    <w:p>
      <w:pPr>
        <w:spacing w:line="400" w:lineRule="exact"/>
        <w:ind w:firstLine="420" w:firstLineChars="200"/>
        <w:rPr>
          <w:rFonts w:ascii="宋体" w:hAnsi="宋体"/>
          <w:color w:val="auto"/>
          <w:highlight w:val="none"/>
        </w:rPr>
      </w:pPr>
      <w:r>
        <w:rPr>
          <w:rFonts w:ascii="宋体" w:hAnsi="宋体"/>
          <w:color w:val="auto"/>
          <w:highlight w:val="none"/>
        </w:rPr>
        <w:t>1.12.1</w:t>
      </w:r>
      <w:r>
        <w:rPr>
          <w:rFonts w:hint="eastAsia" w:ascii="宋体" w:hAnsi="宋体"/>
          <w:color w:val="auto"/>
          <w:highlight w:val="none"/>
        </w:rPr>
        <w:t>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 xml:space="preserve">1.12.2 </w:t>
      </w:r>
      <w:r>
        <w:rPr>
          <w:rFonts w:ascii="宋体" w:hAnsi="宋体"/>
          <w:color w:val="auto"/>
          <w:szCs w:val="21"/>
          <w:highlight w:val="none"/>
        </w:rPr>
        <w:t>投标人应根据招标文件的要求提供</w:t>
      </w:r>
      <w:r>
        <w:rPr>
          <w:rFonts w:ascii="宋体" w:hAnsi="宋体"/>
          <w:color w:val="auto"/>
          <w:highlight w:val="none"/>
        </w:rPr>
        <w:t>投标</w:t>
      </w:r>
      <w:r>
        <w:rPr>
          <w:rFonts w:hint="eastAsia" w:ascii="宋体" w:hAnsi="宋体"/>
          <w:color w:val="auto"/>
          <w:highlight w:val="none"/>
        </w:rPr>
        <w:t>监理方案大纲</w:t>
      </w:r>
      <w:r>
        <w:rPr>
          <w:rFonts w:ascii="宋体" w:hAnsi="宋体"/>
          <w:color w:val="auto"/>
          <w:highlight w:val="none"/>
        </w:rPr>
        <w:t>等内容以对招标文件作出响应。</w:t>
      </w:r>
    </w:p>
    <w:p>
      <w:pPr>
        <w:spacing w:line="400" w:lineRule="exact"/>
        <w:ind w:firstLine="435"/>
        <w:rPr>
          <w:rFonts w:ascii="宋体" w:hAnsi="宋体"/>
          <w:color w:val="auto"/>
          <w:highlight w:val="none"/>
        </w:rPr>
      </w:pPr>
      <w:r>
        <w:rPr>
          <w:rFonts w:ascii="宋体" w:hAnsi="宋体"/>
          <w:color w:val="auto"/>
          <w:highlight w:val="none"/>
        </w:rPr>
        <w:t>1.12.3投标人须知前附表允许投标文件偏离招标文件某些要求的，偏差应当符合招标文件规定的偏差范围和幅度。</w:t>
      </w:r>
    </w:p>
    <w:p>
      <w:pPr>
        <w:pStyle w:val="3"/>
        <w:rPr>
          <w:rFonts w:ascii="宋体" w:hAnsi="宋体" w:eastAsia="宋体"/>
          <w:color w:val="auto"/>
          <w:highlight w:val="none"/>
        </w:rPr>
      </w:pPr>
      <w:bookmarkStart w:id="58" w:name="_Toc49509978"/>
      <w:r>
        <w:rPr>
          <w:rFonts w:ascii="宋体" w:hAnsi="宋体" w:eastAsia="宋体"/>
          <w:color w:val="auto"/>
          <w:highlight w:val="none"/>
        </w:rPr>
        <w:t xml:space="preserve">2. </w:t>
      </w:r>
      <w:r>
        <w:rPr>
          <w:rFonts w:hint="eastAsia" w:ascii="宋体" w:hAnsi="宋体" w:eastAsia="宋体"/>
          <w:color w:val="auto"/>
          <w:highlight w:val="none"/>
        </w:rPr>
        <w:t>招标文件</w:t>
      </w:r>
      <w:bookmarkEnd w:id="58"/>
    </w:p>
    <w:p>
      <w:pPr>
        <w:pStyle w:val="4"/>
        <w:spacing w:line="240" w:lineRule="auto"/>
        <w:ind w:firstLine="137"/>
        <w:rPr>
          <w:rFonts w:ascii="宋体" w:hAnsi="宋体" w:eastAsia="宋体"/>
          <w:color w:val="auto"/>
          <w:highlight w:val="none"/>
        </w:rPr>
      </w:pPr>
      <w:bookmarkStart w:id="59" w:name="_Toc49509979"/>
      <w:bookmarkStart w:id="60" w:name="_Toc49506145"/>
      <w:r>
        <w:rPr>
          <w:rFonts w:ascii="宋体" w:hAnsi="宋体" w:eastAsia="宋体"/>
          <w:color w:val="auto"/>
          <w:highlight w:val="none"/>
        </w:rPr>
        <w:t xml:space="preserve">2.1 </w:t>
      </w:r>
      <w:r>
        <w:rPr>
          <w:rFonts w:hint="eastAsia" w:ascii="宋体" w:hAnsi="宋体" w:eastAsia="宋体"/>
          <w:color w:val="auto"/>
          <w:highlight w:val="none"/>
        </w:rPr>
        <w:t>招标文件的组成</w:t>
      </w:r>
      <w:bookmarkEnd w:id="59"/>
      <w:bookmarkEnd w:id="60"/>
    </w:p>
    <w:p>
      <w:pPr>
        <w:spacing w:line="400" w:lineRule="exact"/>
        <w:ind w:firstLine="359" w:firstLineChars="171"/>
        <w:rPr>
          <w:rFonts w:ascii="宋体" w:hAnsi="宋体"/>
          <w:color w:val="auto"/>
          <w:highlight w:val="none"/>
        </w:rPr>
      </w:pPr>
      <w:r>
        <w:rPr>
          <w:rFonts w:hint="eastAsia" w:ascii="宋体" w:hAnsi="宋体"/>
          <w:color w:val="auto"/>
          <w:highlight w:val="none"/>
        </w:rPr>
        <w:t>本招标文件包括：</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）招标公告</w:t>
      </w:r>
      <w:r>
        <w:rPr>
          <w:rFonts w:hint="eastAsia" w:ascii="宋体" w:hAnsi="宋体"/>
          <w:strike/>
          <w:color w:val="auto"/>
          <w:highlight w:val="none"/>
        </w:rPr>
        <w:t>（或投标邀请书）</w:t>
      </w:r>
      <w:r>
        <w:rPr>
          <w:rFonts w:hint="eastAsia" w:ascii="宋体" w:hAnsi="宋体"/>
          <w:color w:val="auto"/>
          <w:highlight w:val="none"/>
        </w:rPr>
        <w:t>；</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）投标人须知；</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）评标办法</w:t>
      </w:r>
      <w:r>
        <w:rPr>
          <w:rFonts w:hint="eastAsia" w:ascii="宋体" w:hAnsi="宋体"/>
          <w:color w:val="auto"/>
          <w:highlight w:val="none"/>
          <w:u w:val="single"/>
        </w:rPr>
        <w:t>（“评定分离”定标办法）</w:t>
      </w:r>
      <w:r>
        <w:rPr>
          <w:rFonts w:hint="eastAsia" w:ascii="宋体" w:hAnsi="宋体"/>
          <w:color w:val="auto"/>
          <w:highlight w:val="none"/>
        </w:rPr>
        <w:t>；</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）合同条款及格式；</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）委托人要求；</w:t>
      </w:r>
    </w:p>
    <w:p>
      <w:pPr>
        <w:spacing w:line="400" w:lineRule="exact"/>
        <w:ind w:firstLine="359" w:firstLineChars="171"/>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）投标文件格式；</w:t>
      </w:r>
    </w:p>
    <w:p>
      <w:pPr>
        <w:spacing w:line="400" w:lineRule="exact"/>
        <w:ind w:firstLine="359" w:firstLineChars="171"/>
        <w:rPr>
          <w:rFonts w:hint="eastAsia" w:ascii="宋体" w:hAnsi="宋体"/>
          <w:color w:val="auto"/>
          <w:highlight w:val="none"/>
          <w:u w:val="singl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w:t>
      </w:r>
      <w:r>
        <w:rPr>
          <w:rFonts w:hint="eastAsia" w:ascii="宋体" w:hAnsi="宋体"/>
          <w:color w:val="auto"/>
          <w:highlight w:val="none"/>
          <w:u w:val="single"/>
        </w:rPr>
        <w:t>否决性条款汇总；</w:t>
      </w:r>
    </w:p>
    <w:p>
      <w:pPr>
        <w:spacing w:line="400" w:lineRule="exact"/>
        <w:ind w:firstLine="359" w:firstLineChars="171"/>
        <w:rPr>
          <w:rFonts w:hint="eastAsia" w:ascii="宋体" w:hAnsi="宋体"/>
          <w:color w:val="auto"/>
          <w:highlight w:val="none"/>
          <w:u w:val="single"/>
        </w:rPr>
      </w:pPr>
      <w:r>
        <w:rPr>
          <w:rFonts w:hint="eastAsia" w:ascii="宋体" w:hAnsi="宋体"/>
          <w:color w:val="auto"/>
          <w:highlight w:val="none"/>
          <w:u w:val="single"/>
        </w:rPr>
        <w:t>（8）投标人须知前附表规定的其他资料。</w:t>
      </w:r>
    </w:p>
    <w:p>
      <w:pPr>
        <w:spacing w:line="400" w:lineRule="exact"/>
        <w:ind w:firstLine="420" w:firstLineChars="200"/>
        <w:rPr>
          <w:rFonts w:ascii="宋体" w:hAnsi="宋体"/>
          <w:color w:val="auto"/>
          <w:highlight w:val="none"/>
        </w:rPr>
      </w:pPr>
      <w:r>
        <w:rPr>
          <w:rFonts w:hint="eastAsia" w:ascii="宋体" w:hAnsi="宋体"/>
          <w:color w:val="auto"/>
          <w:highlight w:val="none"/>
        </w:rPr>
        <w:t>根据本章第</w:t>
      </w:r>
      <w:r>
        <w:rPr>
          <w:rFonts w:ascii="宋体" w:hAnsi="宋体"/>
          <w:color w:val="auto"/>
          <w:highlight w:val="none"/>
        </w:rPr>
        <w:t>1.10</w:t>
      </w:r>
      <w:r>
        <w:rPr>
          <w:rFonts w:hint="eastAsia" w:ascii="宋体" w:hAnsi="宋体"/>
          <w:color w:val="auto"/>
          <w:highlight w:val="none"/>
        </w:rPr>
        <w:t>款、第</w:t>
      </w:r>
      <w:r>
        <w:rPr>
          <w:rFonts w:ascii="宋体" w:hAnsi="宋体"/>
          <w:color w:val="auto"/>
          <w:highlight w:val="none"/>
        </w:rPr>
        <w:t>2.2</w:t>
      </w:r>
      <w:r>
        <w:rPr>
          <w:rFonts w:hint="eastAsia" w:ascii="宋体" w:hAnsi="宋体"/>
          <w:color w:val="auto"/>
          <w:highlight w:val="none"/>
        </w:rPr>
        <w:t>款和第</w:t>
      </w:r>
      <w:r>
        <w:rPr>
          <w:rFonts w:ascii="宋体" w:hAnsi="宋体"/>
          <w:color w:val="auto"/>
          <w:highlight w:val="none"/>
        </w:rPr>
        <w:t>2.3</w:t>
      </w:r>
      <w:r>
        <w:rPr>
          <w:rFonts w:hint="eastAsia" w:ascii="宋体" w:hAnsi="宋体"/>
          <w:color w:val="auto"/>
          <w:highlight w:val="none"/>
        </w:rPr>
        <w:t>款对招标文件所作的澄清、修改，构成招标文件的组成部分。</w:t>
      </w:r>
    </w:p>
    <w:p>
      <w:pPr>
        <w:pStyle w:val="4"/>
        <w:spacing w:line="240" w:lineRule="auto"/>
        <w:ind w:firstLine="137"/>
        <w:rPr>
          <w:rFonts w:ascii="宋体" w:hAnsi="宋体" w:eastAsia="宋体"/>
          <w:color w:val="auto"/>
          <w:highlight w:val="none"/>
        </w:rPr>
      </w:pPr>
      <w:bookmarkStart w:id="61" w:name="_Toc49509980"/>
      <w:bookmarkStart w:id="62" w:name="_Toc49506146"/>
      <w:r>
        <w:rPr>
          <w:rFonts w:ascii="宋体" w:hAnsi="宋体" w:eastAsia="宋体"/>
          <w:color w:val="auto"/>
          <w:highlight w:val="none"/>
        </w:rPr>
        <w:t xml:space="preserve">2.2 </w:t>
      </w:r>
      <w:r>
        <w:rPr>
          <w:rFonts w:hint="eastAsia" w:ascii="宋体" w:hAnsi="宋体" w:eastAsia="宋体"/>
          <w:color w:val="auto"/>
          <w:highlight w:val="none"/>
        </w:rPr>
        <w:t>招标文件的澄清</w:t>
      </w:r>
      <w:bookmarkEnd w:id="61"/>
      <w:bookmarkEnd w:id="62"/>
    </w:p>
    <w:p>
      <w:pPr>
        <w:spacing w:line="400" w:lineRule="exact"/>
        <w:ind w:firstLine="420" w:firstLineChars="200"/>
        <w:rPr>
          <w:rFonts w:ascii="宋体" w:hAnsi="宋体"/>
          <w:color w:val="auto"/>
          <w:highlight w:val="none"/>
        </w:rPr>
      </w:pPr>
      <w:r>
        <w:rPr>
          <w:rFonts w:ascii="宋体" w:hAnsi="宋体"/>
          <w:color w:val="auto"/>
          <w:highlight w:val="none"/>
        </w:rPr>
        <w:t>2.2.1</w:t>
      </w:r>
      <w:r>
        <w:rPr>
          <w:rFonts w:hint="eastAsia" w:ascii="宋体" w:hAnsi="宋体"/>
          <w:color w:val="auto"/>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宋体" w:hAnsi="宋体"/>
          <w:color w:val="auto"/>
          <w:highlight w:val="none"/>
        </w:rPr>
      </w:pPr>
      <w:r>
        <w:rPr>
          <w:rFonts w:ascii="宋体" w:hAnsi="宋体"/>
          <w:color w:val="auto"/>
          <w:highlight w:val="none"/>
        </w:rPr>
        <w:t>2.2.2</w:t>
      </w:r>
      <w:r>
        <w:rPr>
          <w:rFonts w:hint="eastAsia" w:ascii="宋体" w:hAnsi="宋体"/>
          <w:color w:val="auto"/>
          <w:highlight w:val="none"/>
        </w:rPr>
        <w:t>招标文件的澄清以投标人须知前附表规定的形式发给所有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的投标人，但不指明澄清问题的来源。澄清发出的时间距本章第</w:t>
      </w:r>
      <w:r>
        <w:rPr>
          <w:rFonts w:ascii="宋体" w:hAnsi="宋体"/>
          <w:color w:val="auto"/>
          <w:highlight w:val="none"/>
        </w:rPr>
        <w:t>4.2.1</w:t>
      </w:r>
      <w:r>
        <w:rPr>
          <w:rFonts w:hint="eastAsia" w:ascii="宋体" w:hAnsi="宋体"/>
          <w:color w:val="auto"/>
          <w:highlight w:val="none"/>
        </w:rPr>
        <w:t>项规定的投标截止时间不足</w:t>
      </w:r>
      <w:r>
        <w:rPr>
          <w:rFonts w:ascii="宋体" w:hAnsi="宋体"/>
          <w:color w:val="auto"/>
          <w:highlight w:val="none"/>
        </w:rPr>
        <w:t>15</w:t>
      </w:r>
      <w:r>
        <w:rPr>
          <w:rFonts w:hint="eastAsia" w:ascii="宋体" w:hAnsi="宋体"/>
          <w:color w:val="auto"/>
          <w:highlight w:val="none"/>
        </w:rPr>
        <w:t>日的，并且澄清内容可能影响投标文件编制的，将相应延长投标截止时间。</w:t>
      </w:r>
    </w:p>
    <w:p>
      <w:pPr>
        <w:spacing w:line="400" w:lineRule="exact"/>
        <w:ind w:firstLine="420" w:firstLineChars="200"/>
        <w:rPr>
          <w:rFonts w:ascii="宋体" w:hAnsi="宋体"/>
          <w:color w:val="auto"/>
          <w:highlight w:val="none"/>
        </w:rPr>
      </w:pPr>
      <w:r>
        <w:rPr>
          <w:rFonts w:ascii="宋体" w:hAnsi="宋体"/>
          <w:color w:val="auto"/>
          <w:highlight w:val="none"/>
        </w:rPr>
        <w:t>2.2.3</w:t>
      </w:r>
      <w:r>
        <w:rPr>
          <w:rFonts w:hint="eastAsia" w:ascii="宋体" w:hAnsi="宋体"/>
          <w:color w:val="auto"/>
          <w:highlight w:val="none"/>
        </w:rPr>
        <w:t>投标人在收到澄清后，应按投标人须知前附表规定的时间和形式通知招标人，确认已收到该澄清。</w:t>
      </w:r>
    </w:p>
    <w:p>
      <w:pPr>
        <w:spacing w:line="400" w:lineRule="exact"/>
        <w:ind w:firstLine="420" w:firstLineChars="200"/>
        <w:rPr>
          <w:rFonts w:ascii="宋体" w:hAnsi="宋体"/>
          <w:color w:val="auto"/>
          <w:highlight w:val="none"/>
        </w:rPr>
      </w:pPr>
      <w:r>
        <w:rPr>
          <w:rFonts w:ascii="宋体" w:hAnsi="宋体"/>
          <w:color w:val="auto"/>
          <w:highlight w:val="none"/>
        </w:rPr>
        <w:t>2.2.4</w:t>
      </w:r>
      <w:r>
        <w:rPr>
          <w:rFonts w:hint="eastAsia" w:ascii="宋体" w:hAnsi="宋体"/>
          <w:color w:val="auto"/>
          <w:highlight w:val="none"/>
        </w:rPr>
        <w:t>除非招标人认为确有必要答复，否则，招标人有权拒绝回复投标人在本章第</w:t>
      </w:r>
      <w:r>
        <w:rPr>
          <w:rFonts w:ascii="宋体" w:hAnsi="宋体"/>
          <w:color w:val="auto"/>
          <w:highlight w:val="none"/>
        </w:rPr>
        <w:t>2.2.1</w:t>
      </w:r>
      <w:r>
        <w:rPr>
          <w:rFonts w:hint="eastAsia" w:ascii="宋体" w:hAnsi="宋体"/>
          <w:color w:val="auto"/>
          <w:highlight w:val="none"/>
        </w:rPr>
        <w:t>项规定的时间后的任何澄清要求。</w:t>
      </w:r>
    </w:p>
    <w:p>
      <w:pPr>
        <w:pStyle w:val="4"/>
        <w:spacing w:line="240" w:lineRule="auto"/>
        <w:ind w:firstLine="137"/>
        <w:rPr>
          <w:rFonts w:ascii="宋体" w:hAnsi="宋体" w:eastAsia="宋体"/>
          <w:color w:val="auto"/>
          <w:highlight w:val="none"/>
        </w:rPr>
      </w:pPr>
      <w:bookmarkStart w:id="63" w:name="_Toc49509981"/>
      <w:bookmarkStart w:id="64" w:name="_Toc49506147"/>
      <w:bookmarkStart w:id="65" w:name="_Toc352691479"/>
      <w:r>
        <w:rPr>
          <w:rFonts w:ascii="宋体" w:hAnsi="宋体" w:eastAsia="宋体"/>
          <w:color w:val="auto"/>
          <w:highlight w:val="none"/>
        </w:rPr>
        <w:t xml:space="preserve">2.3 </w:t>
      </w:r>
      <w:r>
        <w:rPr>
          <w:rFonts w:hint="eastAsia" w:ascii="宋体" w:hAnsi="宋体" w:eastAsia="宋体"/>
          <w:color w:val="auto"/>
          <w:highlight w:val="none"/>
        </w:rPr>
        <w:t>招标文件的修</w:t>
      </w:r>
      <w:bookmarkStart w:id="66" w:name="_Toc16514"/>
      <w:bookmarkStart w:id="67" w:name="_Toc369531521"/>
      <w:r>
        <w:rPr>
          <w:rFonts w:hint="eastAsia" w:ascii="宋体" w:hAnsi="宋体" w:eastAsia="宋体"/>
          <w:color w:val="auto"/>
          <w:highlight w:val="none"/>
        </w:rPr>
        <w:t>改</w:t>
      </w:r>
      <w:bookmarkEnd w:id="63"/>
      <w:bookmarkEnd w:id="64"/>
    </w:p>
    <w:p>
      <w:pPr>
        <w:spacing w:line="400" w:lineRule="exact"/>
        <w:ind w:firstLine="420" w:firstLineChars="200"/>
        <w:rPr>
          <w:rFonts w:ascii="宋体" w:hAnsi="宋体"/>
          <w:color w:val="auto"/>
          <w:highlight w:val="none"/>
        </w:rPr>
      </w:pPr>
      <w:r>
        <w:rPr>
          <w:rFonts w:ascii="宋体" w:hAnsi="宋体"/>
          <w:color w:val="auto"/>
          <w:highlight w:val="none"/>
        </w:rPr>
        <w:t>2.3.1</w:t>
      </w:r>
      <w:r>
        <w:rPr>
          <w:rFonts w:hint="eastAsia" w:ascii="宋体" w:hAnsi="宋体"/>
          <w:color w:val="auto"/>
          <w:highlight w:val="none"/>
        </w:rPr>
        <w:t>招标人以投标人须知前附表规定的形式修改招标文件，并通知所有</w:t>
      </w:r>
      <w:r>
        <w:rPr>
          <w:rFonts w:hint="eastAsia" w:ascii="宋体" w:hAnsi="宋体"/>
          <w:color w:val="auto"/>
          <w:highlight w:val="none"/>
          <w:u w:val="single"/>
          <w:lang w:val="en-US" w:eastAsia="zh-CN"/>
        </w:rPr>
        <w:t>投标登记</w:t>
      </w:r>
      <w:r>
        <w:rPr>
          <w:rFonts w:hint="eastAsia" w:ascii="宋体" w:hAnsi="宋体"/>
          <w:color w:val="auto"/>
          <w:highlight w:val="none"/>
        </w:rPr>
        <w:t>的投标人。修改招标文件的时间距本章第</w:t>
      </w:r>
      <w:r>
        <w:rPr>
          <w:rFonts w:ascii="宋体" w:hAnsi="宋体"/>
          <w:color w:val="auto"/>
          <w:highlight w:val="none"/>
        </w:rPr>
        <w:t>4.2.1</w:t>
      </w:r>
      <w:r>
        <w:rPr>
          <w:rFonts w:hint="eastAsia" w:ascii="宋体" w:hAnsi="宋体"/>
          <w:color w:val="auto"/>
          <w:highlight w:val="none"/>
        </w:rPr>
        <w:t>项规定的投标截止时间不足</w:t>
      </w:r>
      <w:r>
        <w:rPr>
          <w:rFonts w:ascii="宋体" w:hAnsi="宋体"/>
          <w:color w:val="auto"/>
          <w:highlight w:val="none"/>
        </w:rPr>
        <w:t>15</w:t>
      </w:r>
      <w:r>
        <w:rPr>
          <w:rFonts w:hint="eastAsia" w:ascii="宋体" w:hAnsi="宋体"/>
          <w:color w:val="auto"/>
          <w:highlight w:val="none"/>
        </w:rPr>
        <w:t>日的，并且修改内容可能影响投标文件编制的，将相应延长投标截止时间。</w:t>
      </w:r>
    </w:p>
    <w:bookmarkEnd w:id="65"/>
    <w:bookmarkEnd w:id="66"/>
    <w:bookmarkEnd w:id="67"/>
    <w:p>
      <w:pPr>
        <w:spacing w:line="400" w:lineRule="exact"/>
        <w:ind w:firstLine="420" w:firstLineChars="200"/>
        <w:rPr>
          <w:rFonts w:ascii="宋体" w:hAnsi="宋体"/>
          <w:color w:val="auto"/>
          <w:highlight w:val="none"/>
        </w:rPr>
      </w:pPr>
      <w:r>
        <w:rPr>
          <w:rFonts w:ascii="宋体" w:hAnsi="宋体"/>
          <w:color w:val="auto"/>
          <w:highlight w:val="none"/>
        </w:rPr>
        <w:t>2.3.2</w:t>
      </w:r>
      <w:r>
        <w:rPr>
          <w:rFonts w:hint="eastAsia" w:ascii="宋体" w:hAnsi="宋体"/>
          <w:color w:val="auto"/>
          <w:highlight w:val="none"/>
        </w:rPr>
        <w:t>投标人收到修改内容</w:t>
      </w:r>
      <w:bookmarkStart w:id="68" w:name="_Toc300834958"/>
      <w:bookmarkStart w:id="69" w:name="_Toc352691482"/>
      <w:bookmarkStart w:id="70" w:name="_Toc152045538"/>
      <w:bookmarkStart w:id="71" w:name="_Toc384308218"/>
      <w:bookmarkStart w:id="72" w:name="_Toc144974506"/>
      <w:bookmarkStart w:id="73" w:name="_Toc247513961"/>
      <w:bookmarkStart w:id="74" w:name="_Toc369531524"/>
      <w:bookmarkStart w:id="75" w:name="_Toc152042314"/>
      <w:bookmarkStart w:id="76" w:name="_Toc24632"/>
      <w:bookmarkStart w:id="77" w:name="_Toc247527562"/>
      <w:bookmarkStart w:id="78" w:name="_Toc361508593"/>
      <w:r>
        <w:rPr>
          <w:rFonts w:hint="eastAsia" w:ascii="宋体" w:hAnsi="宋体"/>
          <w:color w:val="auto"/>
          <w:highlight w:val="none"/>
        </w:rPr>
        <w:t>后，</w:t>
      </w:r>
      <w:bookmarkEnd w:id="68"/>
      <w:bookmarkEnd w:id="69"/>
      <w:bookmarkEnd w:id="70"/>
      <w:bookmarkEnd w:id="71"/>
      <w:bookmarkEnd w:id="72"/>
      <w:bookmarkEnd w:id="73"/>
      <w:bookmarkEnd w:id="74"/>
      <w:bookmarkEnd w:id="75"/>
      <w:bookmarkEnd w:id="76"/>
      <w:bookmarkEnd w:id="77"/>
      <w:bookmarkEnd w:id="78"/>
      <w:bookmarkStart w:id="79" w:name="_Toc247527564"/>
      <w:bookmarkStart w:id="80" w:name="_Toc300834960"/>
      <w:bookmarkStart w:id="81" w:name="_Toc352691484"/>
      <w:bookmarkStart w:id="82" w:name="_Toc247513963"/>
      <w:bookmarkStart w:id="83" w:name="_Toc384308220"/>
      <w:bookmarkStart w:id="84" w:name="_Toc361508595"/>
      <w:bookmarkStart w:id="85" w:name="_Toc369531526"/>
      <w:bookmarkStart w:id="86" w:name="_Toc16623"/>
      <w:bookmarkStart w:id="87" w:name="_Toc144974508"/>
      <w:bookmarkStart w:id="88" w:name="_Toc152045540"/>
      <w:bookmarkStart w:id="89" w:name="_Toc152042316"/>
      <w:r>
        <w:rPr>
          <w:rFonts w:hint="eastAsia" w:ascii="宋体" w:hAnsi="宋体"/>
          <w:color w:val="auto"/>
          <w:highlight w:val="none"/>
        </w:rPr>
        <w:t>应按投标人须知前附表规定的时间和形式通知招标人，确认已收到该修改。</w:t>
      </w:r>
    </w:p>
    <w:p>
      <w:pPr>
        <w:pStyle w:val="4"/>
        <w:spacing w:line="240" w:lineRule="auto"/>
        <w:ind w:firstLine="137"/>
        <w:rPr>
          <w:rFonts w:ascii="宋体" w:hAnsi="宋体" w:eastAsia="宋体"/>
          <w:color w:val="auto"/>
          <w:highlight w:val="none"/>
        </w:rPr>
      </w:pPr>
      <w:bookmarkStart w:id="90" w:name="_Toc49506148"/>
      <w:bookmarkStart w:id="91" w:name="_Toc49509982"/>
      <w:r>
        <w:rPr>
          <w:rFonts w:ascii="宋体" w:hAnsi="宋体" w:eastAsia="宋体"/>
          <w:color w:val="auto"/>
          <w:highlight w:val="none"/>
        </w:rPr>
        <w:t>2.</w:t>
      </w:r>
      <w:bookmarkEnd w:id="79"/>
      <w:bookmarkEnd w:id="80"/>
      <w:bookmarkEnd w:id="81"/>
      <w:bookmarkEnd w:id="82"/>
      <w:bookmarkEnd w:id="83"/>
      <w:bookmarkEnd w:id="84"/>
      <w:bookmarkEnd w:id="85"/>
      <w:bookmarkEnd w:id="86"/>
      <w:bookmarkEnd w:id="87"/>
      <w:bookmarkEnd w:id="88"/>
      <w:bookmarkEnd w:id="89"/>
      <w:r>
        <w:rPr>
          <w:rFonts w:ascii="宋体" w:hAnsi="宋体" w:eastAsia="宋体"/>
          <w:color w:val="auto"/>
          <w:highlight w:val="none"/>
        </w:rPr>
        <w:t xml:space="preserve">4 </w:t>
      </w:r>
      <w:r>
        <w:rPr>
          <w:rFonts w:hint="eastAsia" w:ascii="宋体" w:hAnsi="宋体" w:eastAsia="宋体"/>
          <w:color w:val="auto"/>
          <w:highlight w:val="none"/>
        </w:rPr>
        <w:t>招标文件的异议</w:t>
      </w:r>
      <w:bookmarkEnd w:id="90"/>
      <w:bookmarkEnd w:id="91"/>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w:t>
      </w:r>
      <w:r>
        <w:rPr>
          <w:rFonts w:ascii="宋体" w:hAnsi="宋体"/>
          <w:color w:val="auto"/>
          <w:highlight w:val="none"/>
        </w:rPr>
        <w:t>10</w:t>
      </w:r>
      <w:r>
        <w:rPr>
          <w:rFonts w:hint="eastAsia" w:ascii="宋体" w:hAnsi="宋体"/>
          <w:color w:val="auto"/>
          <w:highlight w:val="none"/>
        </w:rPr>
        <w:t>日前以书面形式提出。招标人将在收到异议之日起</w:t>
      </w:r>
      <w:r>
        <w:rPr>
          <w:rFonts w:ascii="宋体" w:hAnsi="宋体"/>
          <w:color w:val="auto"/>
          <w:highlight w:val="none"/>
        </w:rPr>
        <w:t>3</w:t>
      </w:r>
      <w:r>
        <w:rPr>
          <w:rFonts w:hint="eastAsia" w:ascii="宋体" w:hAnsi="宋体"/>
          <w:color w:val="auto"/>
          <w:highlight w:val="none"/>
        </w:rPr>
        <w:t>日内作出答复；作出答复前，将暂停招标投标活动。</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rPr>
          <w:rFonts w:ascii="宋体" w:hAnsi="宋体" w:eastAsia="宋体"/>
          <w:color w:val="auto"/>
          <w:highlight w:val="none"/>
        </w:rPr>
      </w:pPr>
      <w:bookmarkStart w:id="92" w:name="_Toc49509983"/>
      <w:r>
        <w:rPr>
          <w:rFonts w:ascii="宋体" w:hAnsi="宋体" w:eastAsia="宋体"/>
          <w:color w:val="auto"/>
          <w:highlight w:val="none"/>
        </w:rPr>
        <w:t xml:space="preserve">3. </w:t>
      </w:r>
      <w:r>
        <w:rPr>
          <w:rFonts w:hint="eastAsia" w:ascii="宋体" w:hAnsi="宋体" w:eastAsia="宋体"/>
          <w:color w:val="auto"/>
          <w:highlight w:val="none"/>
        </w:rPr>
        <w:t>投标文件</w:t>
      </w:r>
      <w:bookmarkEnd w:id="92"/>
    </w:p>
    <w:p>
      <w:pPr>
        <w:pStyle w:val="4"/>
        <w:spacing w:line="240" w:lineRule="auto"/>
        <w:ind w:firstLine="137"/>
        <w:rPr>
          <w:rFonts w:ascii="宋体" w:hAnsi="宋体" w:eastAsia="宋体"/>
          <w:color w:val="auto"/>
          <w:highlight w:val="none"/>
        </w:rPr>
      </w:pPr>
      <w:bookmarkStart w:id="93" w:name="_Toc49506150"/>
      <w:bookmarkStart w:id="94" w:name="_Toc49509984"/>
      <w:r>
        <w:rPr>
          <w:rFonts w:ascii="宋体" w:hAnsi="宋体" w:eastAsia="宋体"/>
          <w:color w:val="auto"/>
          <w:highlight w:val="none"/>
        </w:rPr>
        <w:t xml:space="preserve">3.1 </w:t>
      </w:r>
      <w:r>
        <w:rPr>
          <w:rFonts w:hint="eastAsia" w:ascii="宋体" w:hAnsi="宋体" w:eastAsia="宋体"/>
          <w:color w:val="auto"/>
          <w:highlight w:val="none"/>
        </w:rPr>
        <w:t>投标文件的组成</w:t>
      </w:r>
      <w:bookmarkEnd w:id="93"/>
      <w:bookmarkEnd w:id="94"/>
    </w:p>
    <w:p>
      <w:pPr>
        <w:spacing w:line="360" w:lineRule="auto"/>
        <w:ind w:firstLine="420" w:firstLineChars="200"/>
        <w:rPr>
          <w:rFonts w:ascii="宋体" w:hAnsi="宋体"/>
          <w:color w:val="auto"/>
          <w:highlight w:val="none"/>
        </w:rPr>
      </w:pPr>
      <w:r>
        <w:rPr>
          <w:rFonts w:ascii="宋体" w:hAnsi="宋体"/>
          <w:color w:val="auto"/>
          <w:highlight w:val="none"/>
        </w:rPr>
        <w:t>3.1.1投标文件应</w:t>
      </w:r>
      <w:r>
        <w:rPr>
          <w:rFonts w:hint="eastAsia" w:ascii="宋体" w:hAnsi="宋体"/>
          <w:color w:val="auto"/>
          <w:highlight w:val="none"/>
        </w:rPr>
        <w:t>包括下列内容：</w:t>
      </w:r>
    </w:p>
    <w:p>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（1）投标函及投标函附录；</w:t>
      </w:r>
    </w:p>
    <w:p>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（2）法定代表人身份证明或授权委托书；</w:t>
      </w:r>
    </w:p>
    <w:p>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r>
        <w:rPr>
          <w:rFonts w:hint="eastAsia" w:ascii="宋体" w:hAnsi="宋体"/>
          <w:strike/>
          <w:color w:val="auto"/>
          <w:kern w:val="0"/>
          <w:szCs w:val="24"/>
          <w:highlight w:val="none"/>
        </w:rPr>
        <w:t>；</w:t>
      </w:r>
    </w:p>
    <w:p>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（5）监理报酬清单；</w:t>
      </w:r>
    </w:p>
    <w:p>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（6）资格审查资料；</w:t>
      </w:r>
    </w:p>
    <w:p>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（7）监理大纲；</w:t>
      </w:r>
    </w:p>
    <w:p>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（8）投标人须知前附表规定的其他资料。</w:t>
      </w:r>
    </w:p>
    <w:p>
      <w:pPr>
        <w:spacing w:line="400" w:lineRule="exact"/>
        <w:ind w:firstLine="420" w:firstLineChars="200"/>
        <w:rPr>
          <w:rFonts w:ascii="宋体" w:hAnsi="宋体"/>
          <w:color w:val="auto"/>
          <w:highlight w:val="none"/>
        </w:rPr>
      </w:pPr>
      <w:r>
        <w:rPr>
          <w:rFonts w:ascii="宋体" w:hAnsi="宋体"/>
          <w:color w:val="auto"/>
          <w:highlight w:val="none"/>
        </w:rPr>
        <w:t>投标人在评标过程中作出的符合法律法规和招标文件规定的澄清确认，构成投标文件的组成部分。</w:t>
      </w:r>
    </w:p>
    <w:p>
      <w:pPr>
        <w:spacing w:line="400" w:lineRule="exact"/>
        <w:ind w:firstLine="359" w:firstLineChars="171"/>
        <w:rPr>
          <w:rFonts w:ascii="宋体" w:hAnsi="宋体"/>
          <w:strike/>
          <w:color w:val="auto"/>
          <w:highlight w:val="none"/>
        </w:rPr>
      </w:pPr>
      <w:r>
        <w:rPr>
          <w:rFonts w:ascii="宋体" w:hAnsi="宋体"/>
          <w:strike/>
          <w:color w:val="auto"/>
          <w:highlight w:val="none"/>
        </w:rPr>
        <w:t>3.1.2投标人须知前附表规定不接受联合体投标的，或投标人没有组成联合体的，投标文件不包括本章第3.1.1（3）目所指的联合体协议书。</w:t>
      </w:r>
    </w:p>
    <w:p>
      <w:pPr>
        <w:spacing w:line="400" w:lineRule="exact"/>
        <w:ind w:firstLine="359" w:firstLineChars="171"/>
        <w:rPr>
          <w:rFonts w:ascii="宋体" w:hAnsi="宋体"/>
          <w:color w:val="auto"/>
          <w:highlight w:val="none"/>
        </w:rPr>
      </w:pPr>
      <w:r>
        <w:rPr>
          <w:rFonts w:ascii="宋体" w:hAnsi="宋体"/>
          <w:strike/>
          <w:color w:val="auto"/>
          <w:highlight w:val="none"/>
        </w:rPr>
        <w:t>3.1.3投标人须知前附表未要求提交投标保证金的，投标文件不包括本章第3.1.1（4）目所指的投标保证金。</w:t>
      </w:r>
    </w:p>
    <w:p>
      <w:pPr>
        <w:pStyle w:val="4"/>
        <w:spacing w:line="240" w:lineRule="auto"/>
        <w:ind w:firstLine="137"/>
        <w:rPr>
          <w:rFonts w:ascii="宋体" w:hAnsi="宋体" w:eastAsia="宋体"/>
          <w:color w:val="auto"/>
          <w:highlight w:val="none"/>
        </w:rPr>
      </w:pPr>
      <w:bookmarkStart w:id="95" w:name="_Toc49506151"/>
      <w:bookmarkStart w:id="96" w:name="_Toc49509985"/>
      <w:r>
        <w:rPr>
          <w:rFonts w:ascii="宋体" w:hAnsi="宋体" w:eastAsia="宋体"/>
          <w:color w:val="auto"/>
          <w:highlight w:val="none"/>
        </w:rPr>
        <w:t xml:space="preserve">3.2 </w:t>
      </w:r>
      <w:r>
        <w:rPr>
          <w:rFonts w:hint="eastAsia" w:ascii="宋体" w:hAnsi="宋体" w:eastAsia="宋体"/>
          <w:color w:val="auto"/>
          <w:highlight w:val="none"/>
        </w:rPr>
        <w:t>投标报价</w:t>
      </w:r>
      <w:bookmarkEnd w:id="95"/>
      <w:bookmarkEnd w:id="96"/>
    </w:p>
    <w:p>
      <w:pPr>
        <w:spacing w:line="400" w:lineRule="exact"/>
        <w:ind w:firstLine="420" w:firstLineChars="200"/>
        <w:rPr>
          <w:rFonts w:ascii="宋体" w:hAnsi="宋体"/>
          <w:color w:val="auto"/>
          <w:highlight w:val="none"/>
        </w:rPr>
      </w:pPr>
      <w:r>
        <w:rPr>
          <w:rFonts w:ascii="宋体" w:hAnsi="宋体"/>
          <w:color w:val="auto"/>
          <w:highlight w:val="none"/>
        </w:rPr>
        <w:t>3.2.1投标报价应包括国家规定的增值税税金，除投标人须知前附表另有规定外，增值税税金按一般计税方法计算。投标人应按第六章“投标文件格式”的要求在投标函中进行报价并填写报酬清单。</w:t>
      </w:r>
    </w:p>
    <w:p>
      <w:pPr>
        <w:spacing w:line="400" w:lineRule="exact"/>
        <w:ind w:firstLine="420" w:firstLineChars="200"/>
        <w:rPr>
          <w:rFonts w:ascii="宋体" w:hAnsi="宋体"/>
          <w:color w:val="auto"/>
          <w:highlight w:val="none"/>
        </w:rPr>
      </w:pPr>
      <w:r>
        <w:rPr>
          <w:rFonts w:ascii="宋体" w:hAnsi="宋体"/>
          <w:color w:val="auto"/>
          <w:highlight w:val="none"/>
        </w:rPr>
        <w:t>3.2.2投标人应充分了解该项目的总体情况以及影响投标报价的其他要素。</w:t>
      </w:r>
    </w:p>
    <w:p>
      <w:pPr>
        <w:spacing w:line="400" w:lineRule="exact"/>
        <w:ind w:firstLine="420" w:firstLineChars="200"/>
        <w:rPr>
          <w:rFonts w:ascii="宋体" w:hAnsi="宋体"/>
          <w:color w:val="auto"/>
          <w:highlight w:val="none"/>
        </w:rPr>
      </w:pPr>
      <w:r>
        <w:rPr>
          <w:rFonts w:ascii="宋体" w:hAnsi="宋体"/>
          <w:color w:val="auto"/>
          <w:highlight w:val="none"/>
        </w:rPr>
        <w:t>3.2.3</w:t>
      </w:r>
      <w:bookmarkStart w:id="97" w:name="_Toc384308224"/>
      <w:bookmarkEnd w:id="97"/>
      <w:bookmarkStart w:id="98" w:name="_Toc152042319"/>
      <w:bookmarkEnd w:id="98"/>
      <w:bookmarkStart w:id="99" w:name="_Toc152045543"/>
      <w:bookmarkEnd w:id="99"/>
      <w:bookmarkStart w:id="100" w:name="_Toc247527568"/>
      <w:bookmarkEnd w:id="100"/>
      <w:bookmarkStart w:id="101" w:name="_Toc300834964"/>
      <w:bookmarkEnd w:id="101"/>
      <w:bookmarkStart w:id="102" w:name="_Toc369531530"/>
      <w:bookmarkEnd w:id="102"/>
      <w:bookmarkStart w:id="103" w:name="_Toc144974511"/>
      <w:bookmarkEnd w:id="103"/>
      <w:bookmarkStart w:id="104" w:name="_Toc352691487"/>
      <w:bookmarkEnd w:id="104"/>
      <w:bookmarkStart w:id="105" w:name="_Toc361508599"/>
      <w:bookmarkEnd w:id="105"/>
      <w:bookmarkStart w:id="106" w:name="_Toc247513967"/>
      <w:bookmarkEnd w:id="106"/>
      <w:bookmarkStart w:id="107" w:name="_Toc15242"/>
      <w:bookmarkEnd w:id="107"/>
      <w:r>
        <w:rPr>
          <w:rFonts w:hint="eastAsia" w:ascii="宋体" w:hAnsi="宋体"/>
          <w:color w:val="auto"/>
          <w:highlight w:val="none"/>
        </w:rPr>
        <w:t>本项目的报价方式见投标人须知前附表。</w:t>
      </w:r>
      <w:r>
        <w:rPr>
          <w:rFonts w:ascii="宋体" w:hAnsi="宋体"/>
          <w:color w:val="auto"/>
          <w:highlight w:val="none"/>
        </w:rPr>
        <w:t>投标人在投标截止时间前修改投标函中的投标报价总额，应同时修改投标文件“</w:t>
      </w:r>
      <w:r>
        <w:rPr>
          <w:rFonts w:hint="eastAsia" w:ascii="宋体" w:hAnsi="宋体"/>
          <w:color w:val="auto"/>
          <w:highlight w:val="none"/>
        </w:rPr>
        <w:t>投标报价表</w:t>
      </w:r>
      <w:r>
        <w:rPr>
          <w:rFonts w:ascii="宋体" w:hAnsi="宋体"/>
          <w:color w:val="auto"/>
          <w:highlight w:val="none"/>
        </w:rPr>
        <w:t>”中的相应报价。此修改须符合本章第4.3款的有关要求。</w:t>
      </w:r>
    </w:p>
    <w:p>
      <w:pPr>
        <w:spacing w:line="400" w:lineRule="exact"/>
        <w:ind w:firstLine="420" w:firstLineChars="200"/>
        <w:rPr>
          <w:rFonts w:ascii="宋体" w:hAnsi="宋体"/>
          <w:color w:val="auto"/>
          <w:highlight w:val="none"/>
        </w:rPr>
      </w:pPr>
      <w:r>
        <w:rPr>
          <w:rFonts w:ascii="宋体" w:hAnsi="宋体"/>
          <w:color w:val="auto"/>
          <w:highlight w:val="none"/>
        </w:rPr>
        <w:t>3.2.4招标人设有最高投标限价的，投标人的投标报价不得超过最高投标限价，最高投标限价在投标</w:t>
      </w:r>
      <w:bookmarkStart w:id="108" w:name="_Toc361508600"/>
      <w:bookmarkStart w:id="109" w:name="_Toc352691488"/>
      <w:bookmarkStart w:id="110" w:name="_Toc247513968"/>
      <w:bookmarkStart w:id="111" w:name="_Toc384308225"/>
      <w:bookmarkStart w:id="112" w:name="_Toc152045544"/>
      <w:bookmarkStart w:id="113" w:name="_Toc369531531"/>
      <w:bookmarkStart w:id="114" w:name="_Toc152042320"/>
      <w:bookmarkStart w:id="115" w:name="_Toc10429"/>
      <w:bookmarkStart w:id="116" w:name="_Toc300834965"/>
      <w:bookmarkStart w:id="117" w:name="_Toc247527569"/>
      <w:bookmarkStart w:id="118" w:name="_Toc144974512"/>
      <w:r>
        <w:rPr>
          <w:rFonts w:ascii="宋体" w:hAnsi="宋体"/>
          <w:color w:val="auto"/>
          <w:highlight w:val="none"/>
        </w:rPr>
        <w:t>人须知前附表中载明。</w:t>
      </w:r>
      <w:bookmarkEnd w:id="108"/>
      <w:bookmarkEnd w:id="109"/>
      <w:bookmarkEnd w:id="110"/>
      <w:bookmarkEnd w:id="111"/>
      <w:bookmarkEnd w:id="112"/>
      <w:bookmarkEnd w:id="113"/>
      <w:bookmarkEnd w:id="114"/>
      <w:bookmarkEnd w:id="115"/>
      <w:bookmarkEnd w:id="116"/>
      <w:bookmarkEnd w:id="117"/>
      <w:bookmarkEnd w:id="118"/>
    </w:p>
    <w:p>
      <w:pPr>
        <w:spacing w:line="400" w:lineRule="exact"/>
        <w:ind w:firstLine="420" w:firstLineChars="200"/>
        <w:rPr>
          <w:rFonts w:ascii="宋体" w:hAnsi="宋体"/>
          <w:color w:val="auto"/>
          <w:highlight w:val="none"/>
        </w:rPr>
      </w:pPr>
      <w:r>
        <w:rPr>
          <w:rFonts w:ascii="宋体" w:hAnsi="宋体"/>
          <w:color w:val="auto"/>
          <w:highlight w:val="none"/>
        </w:rPr>
        <w:t xml:space="preserve">3.2.5 </w:t>
      </w:r>
      <w:r>
        <w:rPr>
          <w:rFonts w:hint="eastAsia" w:ascii="宋体" w:hAnsi="宋体"/>
          <w:color w:val="auto"/>
          <w:highlight w:val="none"/>
        </w:rPr>
        <w:t>投标报价的其他要求见投标人须知前附表。</w:t>
      </w:r>
    </w:p>
    <w:p>
      <w:pPr>
        <w:pStyle w:val="4"/>
        <w:spacing w:line="240" w:lineRule="auto"/>
        <w:ind w:firstLine="137"/>
        <w:rPr>
          <w:rFonts w:ascii="宋体" w:hAnsi="宋体" w:eastAsia="宋体"/>
          <w:color w:val="auto"/>
          <w:highlight w:val="none"/>
        </w:rPr>
      </w:pPr>
      <w:bookmarkStart w:id="119" w:name="_Toc49506152"/>
      <w:bookmarkStart w:id="120" w:name="_Toc49509986"/>
      <w:r>
        <w:rPr>
          <w:rFonts w:ascii="宋体" w:hAnsi="宋体" w:eastAsia="宋体"/>
          <w:color w:val="auto"/>
          <w:highlight w:val="none"/>
        </w:rPr>
        <w:t xml:space="preserve">3.3 </w:t>
      </w:r>
      <w:r>
        <w:rPr>
          <w:rFonts w:hint="eastAsia" w:ascii="宋体" w:hAnsi="宋体" w:eastAsia="宋体"/>
          <w:color w:val="auto"/>
          <w:highlight w:val="none"/>
        </w:rPr>
        <w:t>投标有效期</w:t>
      </w:r>
      <w:bookmarkEnd w:id="119"/>
      <w:bookmarkEnd w:id="120"/>
    </w:p>
    <w:p>
      <w:pPr>
        <w:spacing w:line="400" w:lineRule="exact"/>
        <w:ind w:firstLine="420" w:firstLineChars="200"/>
        <w:rPr>
          <w:rFonts w:ascii="宋体" w:hAnsi="宋体"/>
          <w:color w:val="auto"/>
          <w:highlight w:val="none"/>
        </w:rPr>
      </w:pPr>
      <w:r>
        <w:rPr>
          <w:rFonts w:ascii="宋体" w:hAnsi="宋体"/>
          <w:color w:val="auto"/>
          <w:highlight w:val="none"/>
        </w:rPr>
        <w:t>3.3.1</w:t>
      </w:r>
      <w:r>
        <w:rPr>
          <w:rFonts w:hint="eastAsia" w:ascii="宋体" w:hAnsi="宋体"/>
          <w:color w:val="auto"/>
          <w:highlight w:val="none"/>
        </w:rPr>
        <w:t>除</w:t>
      </w:r>
      <w:r>
        <w:rPr>
          <w:rFonts w:ascii="宋体" w:hAnsi="宋体"/>
          <w:color w:val="auto"/>
          <w:highlight w:val="none"/>
        </w:rPr>
        <w:t>投标人须知前附表另有规定外，投标有效期为</w:t>
      </w:r>
      <w:r>
        <w:rPr>
          <w:rFonts w:hint="eastAsia" w:ascii="宋体" w:hAnsi="宋体"/>
          <w:color w:val="auto"/>
          <w:highlight w:val="none"/>
        </w:rPr>
        <w:t>90</w:t>
      </w:r>
      <w:r>
        <w:rPr>
          <w:rFonts w:ascii="宋体" w:hAnsi="宋体"/>
          <w:color w:val="auto"/>
          <w:highlight w:val="none"/>
        </w:rPr>
        <w:t>天</w:t>
      </w:r>
      <w:r>
        <w:rPr>
          <w:rFonts w:hint="eastAsia" w:ascii="宋体" w:hAnsi="宋体"/>
          <w:color w:val="auto"/>
          <w:highlight w:val="none"/>
        </w:rPr>
        <w:t>。</w:t>
      </w:r>
    </w:p>
    <w:p>
      <w:pPr>
        <w:spacing w:line="400" w:lineRule="exact"/>
        <w:ind w:firstLine="420" w:firstLineChars="200"/>
        <w:rPr>
          <w:rFonts w:ascii="宋体" w:hAnsi="宋体"/>
          <w:color w:val="auto"/>
          <w:highlight w:val="none"/>
        </w:rPr>
      </w:pPr>
      <w:r>
        <w:rPr>
          <w:rFonts w:ascii="宋体" w:hAnsi="宋体"/>
          <w:color w:val="auto"/>
          <w:highlight w:val="none"/>
        </w:rPr>
        <w:t>3.3.2</w:t>
      </w:r>
      <w:r>
        <w:rPr>
          <w:rFonts w:hint="eastAsia" w:ascii="宋体" w:hAnsi="宋体"/>
          <w:color w:val="auto"/>
          <w:highlight w:val="none"/>
        </w:rPr>
        <w:t>在投标有效期内，投标人撤销投标文件的，应承担招标文件和法律规定的责任。</w:t>
      </w:r>
    </w:p>
    <w:p>
      <w:pPr>
        <w:spacing w:line="400" w:lineRule="exact"/>
        <w:ind w:firstLine="420" w:firstLineChars="200"/>
        <w:rPr>
          <w:rFonts w:ascii="宋体" w:hAnsi="宋体"/>
          <w:color w:val="auto"/>
          <w:highlight w:val="none"/>
        </w:rPr>
      </w:pPr>
      <w:r>
        <w:rPr>
          <w:rFonts w:ascii="宋体" w:hAnsi="宋体"/>
          <w:color w:val="auto"/>
          <w:highlight w:val="none"/>
        </w:rPr>
        <w:t>3.3.3</w:t>
      </w:r>
      <w:r>
        <w:rPr>
          <w:rFonts w:hint="eastAsia" w:ascii="宋体" w:hAnsi="宋体"/>
          <w:color w:val="auto"/>
          <w:highlight w:val="none"/>
        </w:rPr>
        <w:t>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w:t>
      </w:r>
      <w:r>
        <w:rPr>
          <w:rFonts w:ascii="宋体" w:hAnsi="宋体"/>
          <w:strike/>
          <w:color w:val="auto"/>
          <w:highlight w:val="none"/>
        </w:rPr>
        <w:t>人有权收回其投标保证金及以现金或者支票形式递交的投标保证金的银行同期存款利息</w:t>
      </w:r>
      <w:r>
        <w:rPr>
          <w:rFonts w:ascii="宋体" w:hAnsi="宋体"/>
          <w:color w:val="auto"/>
          <w:highlight w:val="none"/>
        </w:rPr>
        <w:t>。</w:t>
      </w:r>
    </w:p>
    <w:p>
      <w:pPr>
        <w:pStyle w:val="4"/>
        <w:spacing w:line="240" w:lineRule="auto"/>
        <w:ind w:firstLine="137"/>
        <w:rPr>
          <w:rFonts w:ascii="宋体" w:hAnsi="宋体" w:eastAsia="宋体"/>
          <w:color w:val="auto"/>
          <w:highlight w:val="none"/>
        </w:rPr>
      </w:pPr>
      <w:bookmarkStart w:id="121" w:name="_Toc49506153"/>
      <w:bookmarkStart w:id="122" w:name="_Toc49509987"/>
      <w:r>
        <w:rPr>
          <w:rFonts w:ascii="宋体" w:hAnsi="宋体" w:eastAsia="宋体"/>
          <w:color w:val="auto"/>
          <w:highlight w:val="none"/>
        </w:rPr>
        <w:t xml:space="preserve">3.4 </w:t>
      </w:r>
      <w:r>
        <w:rPr>
          <w:rFonts w:hint="eastAsia" w:ascii="宋体" w:hAnsi="宋体" w:eastAsia="宋体"/>
          <w:color w:val="auto"/>
          <w:highlight w:val="none"/>
        </w:rPr>
        <w:t>投标保证金</w:t>
      </w:r>
      <w:bookmarkEnd w:id="121"/>
      <w:bookmarkEnd w:id="122"/>
      <w:r>
        <w:rPr>
          <w:rFonts w:hint="eastAsia" w:ascii="宋体" w:hAnsi="宋体" w:eastAsia="宋体" w:cs="宋体"/>
          <w:b/>
          <w:color w:val="auto"/>
          <w:szCs w:val="28"/>
          <w:highlight w:val="none"/>
          <w:u w:val="single"/>
        </w:rPr>
        <w:t>（本项目不要求递交投标保证金）</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3.4.3 招标人最迟将在与中标人签订合同后5日内，向未中标的投标人和中标人退还投标保证金。</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3.4.4 有下列情形之一的，投标保证金将不予退还：</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（1）投标人在投标有效期内撤销投标文件；</w:t>
      </w:r>
    </w:p>
    <w:p>
      <w:pPr>
        <w:spacing w:line="400" w:lineRule="exact"/>
        <w:ind w:firstLine="315" w:firstLineChars="150"/>
        <w:rPr>
          <w:rFonts w:hint="eastAsia" w:ascii="宋体" w:hAnsi="宋体"/>
          <w:strike/>
          <w:color w:val="auto"/>
          <w:highlight w:val="none"/>
        </w:rPr>
      </w:pPr>
      <w:r>
        <w:rPr>
          <w:rFonts w:hint="eastAsia" w:ascii="宋体" w:hAnsi="宋体"/>
          <w:strike/>
          <w:color w:val="auto"/>
          <w:highlight w:val="none"/>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宋体" w:hAnsi="宋体"/>
          <w:color w:val="auto"/>
          <w:highlight w:val="none"/>
        </w:rPr>
      </w:pPr>
      <w:r>
        <w:rPr>
          <w:rFonts w:hint="eastAsia" w:ascii="宋体" w:hAnsi="宋体"/>
          <w:strike/>
          <w:color w:val="auto"/>
          <w:highlight w:val="none"/>
        </w:rPr>
        <w:t>（3）发生投标人须知前附表规定的其他可以不予退还投标保证金的情形。</w:t>
      </w:r>
    </w:p>
    <w:p>
      <w:pPr>
        <w:pStyle w:val="4"/>
        <w:spacing w:line="240" w:lineRule="auto"/>
        <w:ind w:firstLine="137"/>
        <w:rPr>
          <w:rFonts w:ascii="宋体" w:hAnsi="宋体" w:eastAsia="宋体"/>
          <w:color w:val="auto"/>
          <w:highlight w:val="none"/>
        </w:rPr>
      </w:pPr>
      <w:bookmarkStart w:id="123" w:name="_Toc49509988"/>
      <w:bookmarkStart w:id="124" w:name="_Toc49506154"/>
      <w:r>
        <w:rPr>
          <w:rFonts w:ascii="宋体" w:hAnsi="宋体" w:eastAsia="宋体"/>
          <w:color w:val="auto"/>
          <w:highlight w:val="none"/>
        </w:rPr>
        <w:t xml:space="preserve">3.5 </w:t>
      </w:r>
      <w:r>
        <w:rPr>
          <w:rFonts w:hint="eastAsia" w:ascii="宋体" w:hAnsi="宋体" w:eastAsia="宋体"/>
          <w:color w:val="auto"/>
          <w:highlight w:val="none"/>
        </w:rPr>
        <w:t>资格审查资料（适用于未进行资格预审的）</w:t>
      </w:r>
      <w:bookmarkEnd w:id="123"/>
      <w:bookmarkEnd w:id="124"/>
    </w:p>
    <w:p>
      <w:pPr>
        <w:spacing w:line="400" w:lineRule="exact"/>
        <w:ind w:firstLine="420" w:firstLineChars="200"/>
        <w:rPr>
          <w:rFonts w:ascii="宋体" w:hAnsi="宋体"/>
          <w:color w:val="auto"/>
          <w:highlight w:val="none"/>
        </w:rPr>
      </w:pPr>
      <w:r>
        <w:rPr>
          <w:rFonts w:ascii="宋体" w:hAnsi="宋体"/>
          <w:color w:val="auto"/>
          <w:highlight w:val="none"/>
        </w:rPr>
        <w:t>除投标人须知前附表另有规定外，投标人应按下列规定提供资格审查资料，以证明其满足本章第1.4款规定的</w:t>
      </w:r>
      <w:r>
        <w:rPr>
          <w:rFonts w:hint="eastAsia" w:ascii="宋体" w:hAnsi="宋体"/>
          <w:color w:val="auto"/>
          <w:highlight w:val="none"/>
        </w:rPr>
        <w:t>资质、财务、业绩、信誉等要求。</w:t>
      </w:r>
    </w:p>
    <w:p>
      <w:pPr>
        <w:spacing w:line="400" w:lineRule="exact"/>
        <w:ind w:firstLine="420" w:firstLineChars="200"/>
        <w:rPr>
          <w:rFonts w:ascii="宋体" w:hAnsi="宋体"/>
          <w:color w:val="auto"/>
          <w:highlight w:val="none"/>
        </w:rPr>
      </w:pPr>
      <w:r>
        <w:rPr>
          <w:rFonts w:hint="eastAsia" w:ascii="宋体" w:hAnsi="宋体"/>
          <w:color w:val="auto"/>
          <w:highlight w:val="none"/>
        </w:rPr>
        <w:t>3.5.1 “投标人基本情况表”应附投标人</w:t>
      </w:r>
      <w:r>
        <w:rPr>
          <w:rFonts w:hint="eastAsia" w:ascii="宋体" w:hAnsi="宋体"/>
          <w:color w:val="auto"/>
          <w:highlight w:val="none"/>
          <w:u w:val="single"/>
        </w:rPr>
        <w:t>营业执照、资质证书</w:t>
      </w:r>
      <w:r>
        <w:rPr>
          <w:rFonts w:hint="eastAsia" w:ascii="宋体" w:hAnsi="宋体"/>
          <w:color w:val="auto"/>
          <w:highlight w:val="none"/>
        </w:rPr>
        <w:t>等材料。</w:t>
      </w:r>
    </w:p>
    <w:p>
      <w:pPr>
        <w:spacing w:line="400" w:lineRule="exact"/>
        <w:ind w:firstLine="420" w:firstLineChars="200"/>
        <w:rPr>
          <w:rFonts w:ascii="宋体" w:hAnsi="宋体"/>
          <w:color w:val="auto"/>
          <w:highlight w:val="none"/>
        </w:rPr>
      </w:pPr>
      <w:r>
        <w:rPr>
          <w:rFonts w:hint="eastAsia" w:ascii="宋体" w:hAnsi="宋体"/>
          <w:color w:val="auto"/>
          <w:highlight w:val="none"/>
        </w:rPr>
        <w:t>3.5.2 按招标公告要求提供总监理工程师相关证明资料。</w:t>
      </w:r>
    </w:p>
    <w:p>
      <w:pPr>
        <w:spacing w:line="400" w:lineRule="exact"/>
        <w:ind w:firstLine="420" w:firstLineChars="200"/>
        <w:rPr>
          <w:rFonts w:ascii="宋体" w:hAnsi="宋体"/>
          <w:color w:val="auto"/>
          <w:highlight w:val="none"/>
        </w:rPr>
      </w:pPr>
      <w:r>
        <w:rPr>
          <w:rFonts w:hint="eastAsia" w:ascii="宋体" w:hAnsi="宋体"/>
          <w:color w:val="auto"/>
          <w:highlight w:val="none"/>
        </w:rPr>
        <w:t>3.5.3按照招标文件的附件内容签署盖章的投标人声明（原件扫描件）。</w:t>
      </w:r>
    </w:p>
    <w:p>
      <w:pPr>
        <w:spacing w:line="400" w:lineRule="exact"/>
        <w:ind w:firstLine="420" w:firstLineChars="200"/>
        <w:rPr>
          <w:rFonts w:ascii="宋体" w:hAnsi="宋体"/>
          <w:color w:val="auto"/>
          <w:highlight w:val="none"/>
        </w:rPr>
      </w:pPr>
      <w:r>
        <w:rPr>
          <w:rFonts w:hint="eastAsia" w:ascii="宋体" w:hAnsi="宋体"/>
          <w:color w:val="auto"/>
          <w:highlight w:val="none"/>
        </w:rPr>
        <w:t>3.5.4投标人认为需要提交的其他资料。</w:t>
      </w:r>
    </w:p>
    <w:p>
      <w:pPr>
        <w:spacing w:line="400" w:lineRule="exact"/>
        <w:ind w:firstLine="420" w:firstLineChars="200"/>
        <w:rPr>
          <w:rFonts w:ascii="宋体" w:hAnsi="宋体"/>
          <w:color w:val="auto"/>
          <w:highlight w:val="none"/>
        </w:rPr>
      </w:pPr>
      <w:r>
        <w:rPr>
          <w:rFonts w:hint="eastAsia" w:ascii="宋体" w:hAnsi="宋体"/>
          <w:color w:val="auto"/>
          <w:highlight w:val="none"/>
        </w:rPr>
        <w:t>3.5.5 投标人须知前附表规定不接受联合体投标。</w:t>
      </w:r>
    </w:p>
    <w:p>
      <w:pPr>
        <w:pStyle w:val="4"/>
        <w:spacing w:line="240" w:lineRule="auto"/>
        <w:ind w:firstLine="137"/>
        <w:rPr>
          <w:rFonts w:ascii="宋体" w:hAnsi="宋体" w:eastAsia="宋体"/>
          <w:color w:val="auto"/>
          <w:highlight w:val="none"/>
        </w:rPr>
      </w:pPr>
      <w:bookmarkStart w:id="125" w:name="_Toc49506155"/>
      <w:bookmarkStart w:id="126" w:name="_Toc49509989"/>
      <w:r>
        <w:rPr>
          <w:rFonts w:ascii="宋体" w:hAnsi="宋体" w:eastAsia="宋体"/>
          <w:color w:val="auto"/>
          <w:highlight w:val="none"/>
        </w:rPr>
        <w:t xml:space="preserve">3.6 </w:t>
      </w:r>
      <w:r>
        <w:rPr>
          <w:rFonts w:hint="eastAsia" w:ascii="宋体" w:hAnsi="宋体" w:eastAsia="宋体"/>
          <w:color w:val="auto"/>
          <w:highlight w:val="none"/>
        </w:rPr>
        <w:t>备选投标方案</w:t>
      </w:r>
      <w:bookmarkEnd w:id="125"/>
      <w:bookmarkEnd w:id="126"/>
    </w:p>
    <w:p>
      <w:pPr>
        <w:spacing w:line="400" w:lineRule="exact"/>
        <w:ind w:firstLine="420" w:firstLineChars="200"/>
        <w:rPr>
          <w:rFonts w:ascii="宋体" w:hAnsi="宋体"/>
          <w:color w:val="auto"/>
          <w:highlight w:val="none"/>
        </w:rPr>
      </w:pPr>
      <w:r>
        <w:rPr>
          <w:rFonts w:ascii="宋体" w:hAnsi="宋体"/>
          <w:color w:val="auto"/>
          <w:highlight w:val="none"/>
        </w:rPr>
        <w:t>3.6.1</w:t>
      </w:r>
      <w:r>
        <w:rPr>
          <w:rFonts w:hint="eastAsia" w:ascii="宋体" w:hAnsi="宋体"/>
          <w:color w:val="auto"/>
          <w:highlight w:val="none"/>
        </w:rPr>
        <w:t>除投标人须知前附表规定允许外，投标人不得递交备选投标方案，否则其投标将被否决。</w:t>
      </w:r>
    </w:p>
    <w:p>
      <w:pPr>
        <w:spacing w:line="400" w:lineRule="exact"/>
        <w:ind w:firstLine="420" w:firstLineChars="200"/>
        <w:rPr>
          <w:rFonts w:ascii="宋体" w:hAnsi="宋体"/>
          <w:color w:val="auto"/>
          <w:highlight w:val="none"/>
        </w:rPr>
      </w:pPr>
      <w:r>
        <w:rPr>
          <w:rFonts w:ascii="宋体" w:hAnsi="宋体"/>
          <w:color w:val="auto"/>
          <w:highlight w:val="none"/>
        </w:rPr>
        <w:t>3.6.2</w:t>
      </w:r>
      <w:r>
        <w:rPr>
          <w:rFonts w:hint="eastAsia" w:ascii="宋体" w:hAnsi="宋体"/>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宋体" w:hAnsi="宋体"/>
          <w:color w:val="auto"/>
          <w:highlight w:val="none"/>
        </w:rPr>
      </w:pPr>
      <w:r>
        <w:rPr>
          <w:rFonts w:ascii="宋体" w:hAnsi="宋体"/>
          <w:color w:val="auto"/>
          <w:highlight w:val="none"/>
        </w:rPr>
        <w:t>3.6.3</w:t>
      </w:r>
      <w:r>
        <w:rPr>
          <w:rFonts w:hint="eastAsia" w:ascii="宋体" w:hAnsi="宋体"/>
          <w:color w:val="auto"/>
          <w:highlight w:val="none"/>
        </w:rPr>
        <w:t>投标人提供两个或两个以上投标报价，或者在投标文件中提供一个报价，但同时提供两个或两个以上</w:t>
      </w:r>
      <w:bookmarkStart w:id="127" w:name="_Toc352691495"/>
      <w:bookmarkStart w:id="128" w:name="_Toc152045550"/>
      <w:bookmarkStart w:id="129" w:name="_Toc300834971"/>
      <w:bookmarkStart w:id="130" w:name="_Toc152042326"/>
      <w:bookmarkStart w:id="131" w:name="_Toc361508607"/>
      <w:bookmarkStart w:id="132" w:name="_Toc369531538"/>
      <w:bookmarkStart w:id="133" w:name="_Toc144974518"/>
      <w:bookmarkStart w:id="134" w:name="_Toc384308232"/>
      <w:bookmarkStart w:id="135" w:name="_Toc29902"/>
      <w:bookmarkStart w:id="136" w:name="_Toc247527575"/>
      <w:bookmarkStart w:id="137" w:name="_Toc247513974"/>
      <w:r>
        <w:rPr>
          <w:rFonts w:hint="eastAsia" w:ascii="宋体" w:hAnsi="宋体"/>
          <w:color w:val="auto"/>
          <w:highlight w:val="none"/>
        </w:rPr>
        <w:t>监理</w:t>
      </w:r>
      <w:r>
        <w:rPr>
          <w:rFonts w:ascii="宋体" w:hAnsi="宋体"/>
          <w:color w:val="auto"/>
          <w:highlight w:val="none"/>
        </w:rPr>
        <w:t>方案的</w:t>
      </w:r>
      <w:bookmarkEnd w:id="127"/>
      <w:bookmarkEnd w:id="128"/>
      <w:bookmarkEnd w:id="129"/>
      <w:bookmarkEnd w:id="130"/>
      <w:bookmarkEnd w:id="131"/>
      <w:bookmarkEnd w:id="132"/>
      <w:bookmarkEnd w:id="133"/>
      <w:bookmarkEnd w:id="134"/>
      <w:bookmarkEnd w:id="135"/>
      <w:bookmarkEnd w:id="136"/>
      <w:bookmarkEnd w:id="137"/>
      <w:r>
        <w:rPr>
          <w:rFonts w:ascii="宋体" w:hAnsi="宋体"/>
          <w:color w:val="auto"/>
          <w:highlight w:val="none"/>
        </w:rPr>
        <w:t>，</w:t>
      </w:r>
      <w:r>
        <w:rPr>
          <w:rFonts w:hint="eastAsia" w:ascii="宋体" w:hAnsi="宋体"/>
          <w:color w:val="auto"/>
          <w:highlight w:val="none"/>
        </w:rPr>
        <w:t>视为提供备选方案。</w:t>
      </w:r>
    </w:p>
    <w:p>
      <w:pPr>
        <w:pStyle w:val="4"/>
        <w:spacing w:line="240" w:lineRule="auto"/>
        <w:ind w:firstLine="137"/>
        <w:rPr>
          <w:rFonts w:ascii="宋体" w:hAnsi="宋体" w:eastAsia="宋体"/>
          <w:color w:val="auto"/>
          <w:highlight w:val="none"/>
        </w:rPr>
      </w:pPr>
      <w:bookmarkStart w:id="138" w:name="_Toc49506156"/>
      <w:bookmarkStart w:id="139" w:name="_Toc49509990"/>
      <w:r>
        <w:rPr>
          <w:rFonts w:ascii="宋体" w:hAnsi="宋体" w:eastAsia="宋体"/>
          <w:color w:val="auto"/>
          <w:highlight w:val="none"/>
        </w:rPr>
        <w:t xml:space="preserve">3.7 </w:t>
      </w:r>
      <w:r>
        <w:rPr>
          <w:rFonts w:hint="eastAsia" w:ascii="宋体" w:hAnsi="宋体" w:eastAsia="宋体"/>
          <w:color w:val="auto"/>
          <w:highlight w:val="none"/>
        </w:rPr>
        <w:t>投标文件的编制</w:t>
      </w:r>
      <w:bookmarkEnd w:id="138"/>
      <w:bookmarkEnd w:id="139"/>
    </w:p>
    <w:p>
      <w:pPr>
        <w:spacing w:line="400" w:lineRule="exact"/>
        <w:ind w:firstLine="420" w:firstLineChars="200"/>
        <w:rPr>
          <w:rFonts w:ascii="宋体" w:hAnsi="宋体"/>
          <w:color w:val="auto"/>
          <w:highlight w:val="none"/>
        </w:rPr>
      </w:pPr>
      <w:r>
        <w:rPr>
          <w:rFonts w:ascii="宋体" w:hAnsi="宋体"/>
          <w:color w:val="auto"/>
          <w:highlight w:val="none"/>
        </w:rPr>
        <w:t>3.7.1</w:t>
      </w:r>
      <w:r>
        <w:rPr>
          <w:rFonts w:hint="eastAsia" w:ascii="宋体" w:hAnsi="宋体"/>
          <w:color w:val="auto"/>
          <w:highlight w:val="none"/>
        </w:rPr>
        <w:t>投标文件应按第六章</w:t>
      </w:r>
      <w:r>
        <w:rPr>
          <w:rFonts w:ascii="宋体" w:hAnsi="宋体"/>
          <w:color w:val="auto"/>
          <w:highlight w:val="none"/>
        </w:rPr>
        <w:t>“</w:t>
      </w:r>
      <w:r>
        <w:rPr>
          <w:rFonts w:hint="eastAsia" w:ascii="宋体" w:hAnsi="宋体"/>
          <w:color w:val="auto"/>
          <w:highlight w:val="none"/>
        </w:rPr>
        <w:t>投标文件格式</w:t>
      </w:r>
      <w:r>
        <w:rPr>
          <w:rFonts w:ascii="宋体" w:hAnsi="宋体"/>
          <w:color w:val="auto"/>
          <w:highlight w:val="none"/>
        </w:rPr>
        <w:t>”</w:t>
      </w:r>
      <w:r>
        <w:rPr>
          <w:rFonts w:hint="eastAsia" w:ascii="宋体" w:hAnsi="宋体"/>
          <w:color w:val="auto"/>
          <w:highlight w:val="none"/>
        </w:rPr>
        <w:t>进行编写，如有必要，可以增加附页，作为投标文件的组成部分。</w:t>
      </w:r>
      <w:r>
        <w:rPr>
          <w:rFonts w:ascii="宋体" w:hAnsi="宋体"/>
          <w:color w:val="auto"/>
          <w:highlight w:val="none"/>
        </w:rPr>
        <w:t>其中，投标函附录在满足招标文件实质性要求的基础上，可以提出比招标文件要求更有利于招标人的承诺。</w:t>
      </w:r>
    </w:p>
    <w:p>
      <w:pPr>
        <w:spacing w:line="400" w:lineRule="exact"/>
        <w:ind w:firstLine="420" w:firstLineChars="200"/>
        <w:rPr>
          <w:rFonts w:ascii="宋体" w:hAnsi="宋体"/>
          <w:color w:val="auto"/>
          <w:highlight w:val="none"/>
        </w:rPr>
      </w:pPr>
      <w:r>
        <w:rPr>
          <w:rFonts w:ascii="宋体" w:hAnsi="宋体"/>
          <w:color w:val="auto"/>
          <w:highlight w:val="none"/>
        </w:rPr>
        <w:t>3.7.2</w:t>
      </w:r>
      <w:r>
        <w:rPr>
          <w:rFonts w:hint="eastAsia" w:ascii="宋体" w:hAnsi="宋体"/>
          <w:color w:val="auto"/>
          <w:highlight w:val="none"/>
        </w:rPr>
        <w:t>投标文件应当对招标文件有关服务期限、投标有效期、委托人要求、招标范围等实质性内容作出响应。</w:t>
      </w:r>
    </w:p>
    <w:p>
      <w:pPr>
        <w:spacing w:line="400" w:lineRule="exact"/>
        <w:ind w:firstLine="420" w:firstLineChars="200"/>
        <w:rPr>
          <w:rFonts w:ascii="宋体" w:hAnsi="宋体"/>
          <w:color w:val="auto"/>
          <w:highlight w:val="none"/>
        </w:rPr>
      </w:pPr>
      <w:r>
        <w:rPr>
          <w:rFonts w:ascii="宋体" w:hAnsi="宋体"/>
          <w:color w:val="auto"/>
          <w:highlight w:val="none"/>
        </w:rPr>
        <w:t>3.7.3</w:t>
      </w:r>
      <w:r>
        <w:rPr>
          <w:rFonts w:hint="eastAsia" w:ascii="宋体" w:hAnsi="宋体"/>
          <w:color w:val="auto"/>
          <w:highlight w:val="none"/>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pPr>
        <w:pStyle w:val="3"/>
        <w:rPr>
          <w:rFonts w:ascii="宋体" w:hAnsi="宋体" w:eastAsia="宋体"/>
          <w:color w:val="auto"/>
          <w:highlight w:val="none"/>
        </w:rPr>
      </w:pPr>
      <w:bookmarkStart w:id="140" w:name="_Toc49509991"/>
      <w:r>
        <w:rPr>
          <w:rFonts w:ascii="宋体" w:hAnsi="宋体" w:eastAsia="宋体"/>
          <w:color w:val="auto"/>
          <w:highlight w:val="none"/>
        </w:rPr>
        <w:t xml:space="preserve">4. </w:t>
      </w:r>
      <w:r>
        <w:rPr>
          <w:rFonts w:hint="eastAsia" w:ascii="宋体" w:hAnsi="宋体" w:eastAsia="宋体"/>
          <w:color w:val="auto"/>
          <w:highlight w:val="none"/>
        </w:rPr>
        <w:t>投标</w:t>
      </w:r>
      <w:bookmarkEnd w:id="140"/>
    </w:p>
    <w:p>
      <w:pPr>
        <w:pStyle w:val="4"/>
        <w:spacing w:line="240" w:lineRule="auto"/>
        <w:ind w:firstLine="137"/>
        <w:rPr>
          <w:rFonts w:ascii="宋体" w:hAnsi="宋体" w:eastAsia="宋体"/>
          <w:color w:val="auto"/>
          <w:highlight w:val="none"/>
        </w:rPr>
      </w:pPr>
      <w:bookmarkStart w:id="141" w:name="_Toc49509992"/>
      <w:bookmarkStart w:id="142" w:name="_Toc49506158"/>
      <w:r>
        <w:rPr>
          <w:rFonts w:ascii="宋体" w:hAnsi="宋体" w:eastAsia="宋体"/>
          <w:color w:val="auto"/>
          <w:highlight w:val="none"/>
        </w:rPr>
        <w:t xml:space="preserve">4.1 </w:t>
      </w:r>
      <w:r>
        <w:rPr>
          <w:rFonts w:hint="eastAsia" w:ascii="宋体" w:hAnsi="宋体" w:eastAsia="宋体"/>
          <w:color w:val="auto"/>
          <w:highlight w:val="none"/>
        </w:rPr>
        <w:t>投标文件的密封和标记</w:t>
      </w:r>
      <w:bookmarkEnd w:id="141"/>
      <w:bookmarkEnd w:id="142"/>
    </w:p>
    <w:p>
      <w:pPr>
        <w:spacing w:line="400" w:lineRule="exact"/>
        <w:ind w:firstLine="420" w:firstLineChars="200"/>
        <w:rPr>
          <w:rFonts w:ascii="宋体" w:hAnsi="宋体"/>
          <w:color w:val="auto"/>
          <w:highlight w:val="none"/>
        </w:rPr>
      </w:pPr>
      <w:r>
        <w:rPr>
          <w:rFonts w:ascii="宋体" w:hAnsi="宋体"/>
          <w:color w:val="auto"/>
          <w:highlight w:val="none"/>
        </w:rPr>
        <w:t>4.1.1</w:t>
      </w:r>
      <w:r>
        <w:rPr>
          <w:rFonts w:hint="eastAsia" w:ascii="宋体" w:hAnsi="宋体"/>
          <w:color w:val="auto"/>
          <w:highlight w:val="none"/>
        </w:rPr>
        <w:t>投标人应当按照招标文件和电子招标投标交易平台的要求加密投标文件，具体要求见投标人须知前附表。</w:t>
      </w:r>
    </w:p>
    <w:p>
      <w:pPr>
        <w:spacing w:line="400" w:lineRule="exact"/>
        <w:ind w:firstLine="420" w:firstLineChars="200"/>
        <w:rPr>
          <w:rFonts w:ascii="宋体" w:hAnsi="宋体"/>
          <w:color w:val="auto"/>
          <w:highlight w:val="none"/>
        </w:rPr>
      </w:pPr>
      <w:r>
        <w:rPr>
          <w:rFonts w:hint="eastAsia" w:ascii="宋体" w:hAnsi="宋体"/>
          <w:color w:val="auto"/>
          <w:highlight w:val="none"/>
        </w:rPr>
        <w:t>4.</w:t>
      </w:r>
      <w:r>
        <w:rPr>
          <w:rFonts w:ascii="宋体" w:hAnsi="宋体"/>
          <w:color w:val="auto"/>
          <w:highlight w:val="none"/>
        </w:rPr>
        <w:t>1.2</w:t>
      </w:r>
      <w:r>
        <w:rPr>
          <w:rFonts w:hint="eastAsia" w:ascii="宋体" w:hAnsi="宋体"/>
          <w:color w:val="auto"/>
          <w:highlight w:val="none"/>
        </w:rPr>
        <w:t>网上递交的电子投标文件须进行加密。</w:t>
      </w:r>
    </w:p>
    <w:p>
      <w:pPr>
        <w:spacing w:line="400" w:lineRule="exact"/>
        <w:ind w:firstLine="420" w:firstLineChars="200"/>
        <w:rPr>
          <w:rFonts w:ascii="宋体" w:hAnsi="宋体"/>
          <w:color w:val="auto"/>
          <w:highlight w:val="none"/>
        </w:rPr>
      </w:pPr>
      <w:r>
        <w:rPr>
          <w:rFonts w:ascii="宋体" w:hAnsi="宋体"/>
          <w:color w:val="auto"/>
          <w:highlight w:val="none"/>
        </w:rPr>
        <w:t>4.1.3</w:t>
      </w:r>
      <w:r>
        <w:rPr>
          <w:rFonts w:hint="eastAsia" w:ascii="宋体" w:hAnsi="宋体"/>
          <w:color w:val="auto"/>
          <w:highlight w:val="none"/>
        </w:rPr>
        <w:t>投标文件封套上应写明的内容见投标人须知前附表。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4.1.4</w:t>
      </w:r>
      <w:r>
        <w:rPr>
          <w:rFonts w:hint="eastAsia" w:ascii="宋体" w:hAnsi="宋体"/>
          <w:color w:val="auto"/>
          <w:highlight w:val="none"/>
        </w:rPr>
        <w:t>未按本章第</w:t>
      </w:r>
      <w:r>
        <w:rPr>
          <w:rFonts w:ascii="宋体" w:hAnsi="宋体"/>
          <w:color w:val="auto"/>
          <w:highlight w:val="none"/>
        </w:rPr>
        <w:t>4.1.1</w:t>
      </w:r>
      <w:r>
        <w:rPr>
          <w:rFonts w:hint="eastAsia" w:ascii="宋体" w:hAnsi="宋体"/>
          <w:color w:val="auto"/>
          <w:highlight w:val="none"/>
        </w:rPr>
        <w:t>项要求密封的投标文件，招标人将予以拒收。</w:t>
      </w:r>
    </w:p>
    <w:p>
      <w:pPr>
        <w:pStyle w:val="4"/>
        <w:spacing w:line="240" w:lineRule="auto"/>
        <w:ind w:firstLine="137"/>
        <w:rPr>
          <w:rFonts w:ascii="宋体" w:hAnsi="宋体" w:eastAsia="宋体"/>
          <w:color w:val="auto"/>
          <w:highlight w:val="none"/>
        </w:rPr>
      </w:pPr>
      <w:bookmarkStart w:id="143" w:name="_Toc49509993"/>
      <w:bookmarkStart w:id="144" w:name="_Toc49506159"/>
      <w:r>
        <w:rPr>
          <w:rFonts w:ascii="宋体" w:hAnsi="宋体" w:eastAsia="宋体"/>
          <w:color w:val="auto"/>
          <w:highlight w:val="none"/>
        </w:rPr>
        <w:t xml:space="preserve">4.2 </w:t>
      </w:r>
      <w:r>
        <w:rPr>
          <w:rFonts w:hint="eastAsia" w:ascii="宋体" w:hAnsi="宋体" w:eastAsia="宋体"/>
          <w:color w:val="auto"/>
          <w:highlight w:val="none"/>
        </w:rPr>
        <w:t>投标文件的递交</w:t>
      </w:r>
      <w:bookmarkEnd w:id="143"/>
      <w:bookmarkEnd w:id="144"/>
    </w:p>
    <w:p>
      <w:pPr>
        <w:spacing w:line="400" w:lineRule="exact"/>
        <w:ind w:firstLine="420" w:firstLineChars="200"/>
        <w:rPr>
          <w:rFonts w:ascii="宋体" w:hAnsi="宋体"/>
          <w:color w:val="auto"/>
          <w:highlight w:val="none"/>
        </w:rPr>
      </w:pPr>
      <w:r>
        <w:rPr>
          <w:rFonts w:ascii="宋体" w:hAnsi="宋体"/>
          <w:color w:val="auto"/>
          <w:highlight w:val="none"/>
        </w:rPr>
        <w:t>4.2.1</w:t>
      </w:r>
      <w:r>
        <w:rPr>
          <w:rFonts w:hint="eastAsia" w:ascii="宋体" w:hAnsi="宋体"/>
          <w:color w:val="auto"/>
          <w:highlight w:val="none"/>
        </w:rPr>
        <w:t>投标人应在投标人须知前附表规定的投标截止时间前递交投标文件。</w:t>
      </w:r>
    </w:p>
    <w:p>
      <w:pPr>
        <w:spacing w:line="400" w:lineRule="exact"/>
        <w:ind w:firstLine="420" w:firstLineChars="200"/>
        <w:rPr>
          <w:rFonts w:ascii="宋体" w:hAnsi="宋体"/>
          <w:color w:val="auto"/>
          <w:highlight w:val="none"/>
        </w:rPr>
      </w:pPr>
      <w:r>
        <w:rPr>
          <w:rFonts w:ascii="宋体" w:hAnsi="宋体"/>
          <w:color w:val="auto"/>
          <w:highlight w:val="none"/>
        </w:rPr>
        <w:t>4.2.2</w:t>
      </w:r>
      <w:r>
        <w:rPr>
          <w:rFonts w:hint="eastAsia" w:ascii="宋体" w:hAnsi="宋体"/>
          <w:color w:val="auto"/>
          <w:highlight w:val="none"/>
        </w:rPr>
        <w:t>投标人通过下载招标文件的电子招标投标交易平台递交电子投标文件。</w:t>
      </w:r>
    </w:p>
    <w:p>
      <w:pPr>
        <w:spacing w:line="400" w:lineRule="exact"/>
        <w:ind w:firstLine="420" w:firstLineChars="200"/>
        <w:rPr>
          <w:rFonts w:ascii="宋体" w:hAnsi="宋体"/>
          <w:color w:val="auto"/>
          <w:highlight w:val="none"/>
        </w:rPr>
      </w:pPr>
      <w:r>
        <w:rPr>
          <w:rFonts w:ascii="宋体" w:hAnsi="宋体"/>
          <w:color w:val="auto"/>
          <w:highlight w:val="none"/>
        </w:rPr>
        <w:t>4.2.3</w:t>
      </w:r>
      <w:r>
        <w:rPr>
          <w:rFonts w:hint="eastAsia" w:ascii="宋体" w:hAnsi="宋体"/>
          <w:color w:val="auto"/>
          <w:highlight w:val="none"/>
        </w:rPr>
        <w:t>除投标人须知前附表另有规定外，投标人所递交的投标文件不予退还。</w:t>
      </w:r>
    </w:p>
    <w:p>
      <w:pPr>
        <w:spacing w:line="400" w:lineRule="exact"/>
        <w:ind w:firstLine="420" w:firstLineChars="200"/>
        <w:rPr>
          <w:rFonts w:ascii="宋体" w:hAnsi="宋体"/>
          <w:color w:val="auto"/>
          <w:highlight w:val="none"/>
        </w:rPr>
      </w:pPr>
      <w:r>
        <w:rPr>
          <w:rFonts w:ascii="宋体" w:hAnsi="宋体"/>
          <w:color w:val="auto"/>
          <w:highlight w:val="none"/>
        </w:rPr>
        <w:t>4.2.4</w:t>
      </w:r>
      <w:r>
        <w:rPr>
          <w:rFonts w:hint="eastAsia" w:ascii="宋体" w:hAnsi="宋体"/>
          <w:color w:val="auto"/>
          <w:highlight w:val="none"/>
        </w:rPr>
        <w:t>投标人</w:t>
      </w:r>
      <w:r>
        <w:rPr>
          <w:rFonts w:ascii="宋体" w:hAnsi="宋体"/>
          <w:color w:val="auto"/>
          <w:highlight w:val="none"/>
        </w:rPr>
        <w:t>完成电子投标文件上传后，</w:t>
      </w:r>
      <w:r>
        <w:rPr>
          <w:rFonts w:hint="eastAsia" w:ascii="宋体" w:hAnsi="宋体"/>
          <w:color w:val="auto"/>
          <w:highlight w:val="none"/>
        </w:rPr>
        <w:t>电子招标投标交易平台即时向投标人发出递交回执通知</w:t>
      </w:r>
      <w:r>
        <w:rPr>
          <w:rFonts w:ascii="宋体" w:hAnsi="宋体"/>
          <w:color w:val="auto"/>
          <w:highlight w:val="none"/>
        </w:rPr>
        <w:t>。递交时间以递交回执通知载明的传输完成时间为准。</w:t>
      </w:r>
    </w:p>
    <w:p>
      <w:pPr>
        <w:spacing w:line="400" w:lineRule="exact"/>
        <w:ind w:firstLine="420" w:firstLineChars="200"/>
        <w:jc w:val="left"/>
        <w:rPr>
          <w:rFonts w:ascii="宋体" w:hAnsi="宋体"/>
          <w:color w:val="auto"/>
          <w:highlight w:val="none"/>
        </w:rPr>
      </w:pPr>
      <w:r>
        <w:rPr>
          <w:rFonts w:ascii="宋体" w:hAnsi="宋体"/>
          <w:color w:val="auto"/>
          <w:highlight w:val="none"/>
        </w:rPr>
        <w:t>4.2.5逾期送达的投标文件，电子招标投标交易平台将予以拒收。</w:t>
      </w:r>
    </w:p>
    <w:p>
      <w:pPr>
        <w:pStyle w:val="4"/>
        <w:spacing w:line="240" w:lineRule="auto"/>
        <w:ind w:firstLine="137"/>
        <w:rPr>
          <w:rFonts w:ascii="宋体" w:hAnsi="宋体" w:eastAsia="宋体"/>
          <w:color w:val="auto"/>
          <w:highlight w:val="none"/>
        </w:rPr>
      </w:pPr>
      <w:bookmarkStart w:id="145" w:name="_Toc49506160"/>
      <w:bookmarkStart w:id="146" w:name="_Toc49509994"/>
      <w:r>
        <w:rPr>
          <w:rFonts w:ascii="宋体" w:hAnsi="宋体" w:eastAsia="宋体"/>
          <w:color w:val="auto"/>
          <w:highlight w:val="none"/>
        </w:rPr>
        <w:t xml:space="preserve">4.3 </w:t>
      </w:r>
      <w:r>
        <w:rPr>
          <w:rFonts w:hint="eastAsia" w:ascii="宋体" w:hAnsi="宋体" w:eastAsia="宋体"/>
          <w:color w:val="auto"/>
          <w:highlight w:val="none"/>
        </w:rPr>
        <w:t>投标文件的修改与撤回</w:t>
      </w:r>
      <w:bookmarkEnd w:id="145"/>
      <w:bookmarkEnd w:id="146"/>
    </w:p>
    <w:p>
      <w:pPr>
        <w:spacing w:line="400" w:lineRule="exact"/>
        <w:ind w:firstLine="420" w:firstLineChars="200"/>
        <w:rPr>
          <w:rFonts w:ascii="宋体" w:hAnsi="宋体"/>
          <w:color w:val="auto"/>
          <w:highlight w:val="none"/>
        </w:rPr>
      </w:pPr>
      <w:r>
        <w:rPr>
          <w:rFonts w:ascii="宋体" w:hAnsi="宋体"/>
          <w:color w:val="auto"/>
          <w:highlight w:val="none"/>
        </w:rPr>
        <w:t>4.3.1</w:t>
      </w:r>
      <w:r>
        <w:rPr>
          <w:rFonts w:hint="eastAsia" w:ascii="宋体" w:hAnsi="宋体"/>
          <w:color w:val="auto"/>
          <w:highlight w:val="none"/>
        </w:rPr>
        <w:t>在本章第</w:t>
      </w:r>
      <w:r>
        <w:rPr>
          <w:rFonts w:ascii="宋体" w:hAnsi="宋体"/>
          <w:color w:val="auto"/>
          <w:highlight w:val="none"/>
        </w:rPr>
        <w:t>4.2.1</w:t>
      </w:r>
      <w:r>
        <w:rPr>
          <w:rFonts w:hint="eastAsia" w:ascii="宋体" w:hAnsi="宋体"/>
          <w:color w:val="auto"/>
          <w:highlight w:val="none"/>
        </w:rPr>
        <w:t>项规定的投标截止时间前，投标人可以修改或撤回已递交的投标文件，但应以书面形式通知招标人。</w:t>
      </w:r>
    </w:p>
    <w:p>
      <w:pPr>
        <w:spacing w:line="400" w:lineRule="exact"/>
        <w:ind w:firstLine="420" w:firstLineChars="200"/>
        <w:rPr>
          <w:rFonts w:ascii="宋体" w:hAnsi="宋体"/>
          <w:color w:val="auto"/>
          <w:highlight w:val="none"/>
        </w:rPr>
      </w:pPr>
      <w:r>
        <w:rPr>
          <w:rFonts w:ascii="宋体" w:hAnsi="宋体"/>
          <w:color w:val="auto"/>
          <w:highlight w:val="none"/>
        </w:rPr>
        <w:t>4.3.2</w:t>
      </w:r>
      <w:r>
        <w:rPr>
          <w:rFonts w:hint="eastAsia" w:ascii="宋体" w:hAnsi="宋体"/>
          <w:color w:val="auto"/>
          <w:highlight w:val="none"/>
        </w:rPr>
        <w:t>投标人修改或撤回已递交投标文件的通知，应按照本章第</w:t>
      </w:r>
      <w:r>
        <w:rPr>
          <w:rFonts w:ascii="宋体" w:hAnsi="宋体"/>
          <w:color w:val="auto"/>
          <w:highlight w:val="none"/>
        </w:rPr>
        <w:t>3.7.3</w:t>
      </w:r>
      <w:r>
        <w:rPr>
          <w:rFonts w:hint="eastAsia" w:ascii="宋体" w:hAnsi="宋体"/>
          <w:color w:val="auto"/>
          <w:highlight w:val="none"/>
        </w:rPr>
        <w:t>（</w:t>
      </w:r>
      <w:r>
        <w:rPr>
          <w:rFonts w:ascii="宋体" w:hAnsi="宋体"/>
          <w:color w:val="auto"/>
          <w:highlight w:val="none"/>
        </w:rPr>
        <w:t>B</w:t>
      </w:r>
      <w:r>
        <w:rPr>
          <w:rFonts w:hint="eastAsia" w:ascii="宋体" w:hAnsi="宋体"/>
          <w:color w:val="auto"/>
          <w:highlight w:val="none"/>
        </w:rPr>
        <w:t>）项的要求加盖电子印章。电子招标投标交易平台收到通知后，即时向投标人发出确认回执通知。</w:t>
      </w:r>
    </w:p>
    <w:p>
      <w:pPr>
        <w:spacing w:line="400" w:lineRule="exact"/>
        <w:ind w:firstLine="420" w:firstLineChars="200"/>
        <w:rPr>
          <w:rFonts w:ascii="宋体" w:hAnsi="宋体"/>
          <w:color w:val="auto"/>
          <w:highlight w:val="none"/>
        </w:rPr>
      </w:pPr>
      <w:r>
        <w:rPr>
          <w:rFonts w:ascii="宋体" w:hAnsi="宋体"/>
          <w:strike/>
          <w:color w:val="auto"/>
          <w:highlight w:val="none"/>
        </w:rPr>
        <w:t>4.3.3</w:t>
      </w:r>
      <w:r>
        <w:rPr>
          <w:rFonts w:hint="eastAsia" w:ascii="宋体" w:hAnsi="宋体"/>
          <w:strike/>
          <w:color w:val="auto"/>
          <w:highlight w:val="none"/>
        </w:rPr>
        <w:t>投标人撤回投标文件的，招标人自收到投标人书面撤回通知之日起</w:t>
      </w:r>
      <w:r>
        <w:rPr>
          <w:rFonts w:ascii="宋体" w:hAnsi="宋体"/>
          <w:strike/>
          <w:color w:val="auto"/>
          <w:highlight w:val="none"/>
        </w:rPr>
        <w:t>5</w:t>
      </w:r>
      <w:r>
        <w:rPr>
          <w:rFonts w:hint="eastAsia" w:ascii="宋体" w:hAnsi="宋体"/>
          <w:strike/>
          <w:color w:val="auto"/>
          <w:highlight w:val="none"/>
        </w:rPr>
        <w:t>日内退还已收取的投标保证金。</w:t>
      </w:r>
    </w:p>
    <w:p>
      <w:pPr>
        <w:spacing w:line="400" w:lineRule="exact"/>
        <w:ind w:firstLine="420" w:firstLineChars="200"/>
        <w:rPr>
          <w:rFonts w:ascii="宋体" w:hAnsi="宋体"/>
          <w:color w:val="auto"/>
          <w:highlight w:val="none"/>
        </w:rPr>
      </w:pPr>
      <w:r>
        <w:rPr>
          <w:rFonts w:ascii="宋体" w:hAnsi="宋体"/>
          <w:color w:val="auto"/>
          <w:highlight w:val="none"/>
        </w:rPr>
        <w:t>4.3.</w:t>
      </w:r>
      <w:bookmarkStart w:id="147" w:name="_Toc247527578"/>
      <w:bookmarkStart w:id="148" w:name="_Toc144974521"/>
      <w:bookmarkStart w:id="149" w:name="_Toc247513977"/>
      <w:bookmarkStart w:id="150" w:name="_Toc369531541"/>
      <w:bookmarkStart w:id="151" w:name="_Toc152042329"/>
      <w:bookmarkStart w:id="152" w:name="_Toc19203"/>
      <w:bookmarkStart w:id="153" w:name="_Toc352691497"/>
      <w:bookmarkStart w:id="154" w:name="_Toc361508610"/>
      <w:bookmarkStart w:id="155" w:name="_Toc300834974"/>
      <w:bookmarkStart w:id="156" w:name="_Toc384308235"/>
      <w:bookmarkStart w:id="157" w:name="_Toc152045553"/>
      <w:r>
        <w:rPr>
          <w:rFonts w:ascii="宋体" w:hAnsi="宋体"/>
          <w:color w:val="auto"/>
          <w:highlight w:val="none"/>
        </w:rPr>
        <w:t>4</w:t>
      </w:r>
      <w:r>
        <w:rPr>
          <w:rFonts w:hint="eastAsia" w:ascii="宋体" w:hAnsi="宋体"/>
          <w:color w:val="auto"/>
          <w:highlight w:val="none"/>
        </w:rPr>
        <w:t>修改的内容为投标</w:t>
      </w:r>
      <w:bookmarkEnd w:id="147"/>
      <w:bookmarkEnd w:id="148"/>
      <w:bookmarkEnd w:id="149"/>
      <w:bookmarkEnd w:id="150"/>
      <w:bookmarkEnd w:id="151"/>
      <w:bookmarkEnd w:id="152"/>
      <w:bookmarkEnd w:id="153"/>
      <w:bookmarkEnd w:id="154"/>
      <w:bookmarkEnd w:id="155"/>
      <w:bookmarkEnd w:id="156"/>
      <w:bookmarkEnd w:id="157"/>
      <w:r>
        <w:rPr>
          <w:rFonts w:hint="eastAsia" w:ascii="宋体" w:hAnsi="宋体"/>
          <w:color w:val="auto"/>
          <w:highlight w:val="none"/>
        </w:rPr>
        <w:t>文件的组成部分。修改的投标文件应按照本章第</w:t>
      </w:r>
      <w:r>
        <w:rPr>
          <w:rFonts w:ascii="宋体" w:hAnsi="宋体"/>
          <w:color w:val="auto"/>
          <w:highlight w:val="none"/>
        </w:rPr>
        <w:t>3</w:t>
      </w:r>
      <w:r>
        <w:rPr>
          <w:rFonts w:hint="eastAsia" w:ascii="宋体" w:hAnsi="宋体"/>
          <w:color w:val="auto"/>
          <w:highlight w:val="none"/>
        </w:rPr>
        <w:t>条、第</w:t>
      </w:r>
      <w:r>
        <w:rPr>
          <w:rFonts w:ascii="宋体" w:hAnsi="宋体"/>
          <w:color w:val="auto"/>
          <w:highlight w:val="none"/>
        </w:rPr>
        <w:t>4</w:t>
      </w:r>
      <w:r>
        <w:rPr>
          <w:rFonts w:hint="eastAsia" w:ascii="宋体" w:hAnsi="宋体"/>
          <w:color w:val="auto"/>
          <w:highlight w:val="none"/>
        </w:rPr>
        <w:t>条的规定进行编制、密封、标记和递交，并标明</w:t>
      </w:r>
      <w:r>
        <w:rPr>
          <w:rFonts w:ascii="宋体" w:hAnsi="宋体"/>
          <w:color w:val="auto"/>
          <w:highlight w:val="none"/>
        </w:rPr>
        <w:t>“</w:t>
      </w:r>
      <w:r>
        <w:rPr>
          <w:rFonts w:hint="eastAsia" w:ascii="宋体" w:hAnsi="宋体"/>
          <w:color w:val="auto"/>
          <w:highlight w:val="none"/>
        </w:rPr>
        <w:t>修改</w:t>
      </w:r>
      <w:r>
        <w:rPr>
          <w:rFonts w:ascii="宋体" w:hAnsi="宋体"/>
          <w:color w:val="auto"/>
          <w:highlight w:val="none"/>
        </w:rPr>
        <w:t>”</w:t>
      </w:r>
      <w:r>
        <w:rPr>
          <w:rFonts w:hint="eastAsia" w:ascii="宋体" w:hAnsi="宋体"/>
          <w:color w:val="auto"/>
          <w:highlight w:val="none"/>
        </w:rPr>
        <w:t>字样。</w:t>
      </w:r>
    </w:p>
    <w:p>
      <w:pPr>
        <w:pStyle w:val="3"/>
        <w:rPr>
          <w:rFonts w:ascii="宋体" w:hAnsi="宋体" w:eastAsia="宋体"/>
          <w:color w:val="auto"/>
          <w:highlight w:val="none"/>
        </w:rPr>
      </w:pPr>
      <w:bookmarkStart w:id="158" w:name="_Toc49509995"/>
      <w:r>
        <w:rPr>
          <w:rFonts w:ascii="宋体" w:hAnsi="宋体" w:eastAsia="宋体"/>
          <w:color w:val="auto"/>
          <w:highlight w:val="none"/>
        </w:rPr>
        <w:t xml:space="preserve">5. </w:t>
      </w:r>
      <w:r>
        <w:rPr>
          <w:rFonts w:hint="eastAsia" w:ascii="宋体" w:hAnsi="宋体" w:eastAsia="宋体"/>
          <w:color w:val="auto"/>
          <w:highlight w:val="none"/>
        </w:rPr>
        <w:t>开标</w:t>
      </w:r>
      <w:bookmarkEnd w:id="158"/>
    </w:p>
    <w:p>
      <w:pPr>
        <w:pStyle w:val="4"/>
        <w:spacing w:line="240" w:lineRule="auto"/>
        <w:ind w:firstLine="137"/>
        <w:rPr>
          <w:rFonts w:ascii="宋体" w:hAnsi="宋体" w:eastAsia="宋体"/>
          <w:color w:val="auto"/>
          <w:highlight w:val="none"/>
        </w:rPr>
      </w:pPr>
      <w:bookmarkStart w:id="159" w:name="_Toc49506162"/>
      <w:bookmarkStart w:id="160" w:name="_Toc49509996"/>
      <w:r>
        <w:rPr>
          <w:rFonts w:ascii="宋体" w:hAnsi="宋体" w:eastAsia="宋体"/>
          <w:color w:val="auto"/>
          <w:highlight w:val="none"/>
        </w:rPr>
        <w:t xml:space="preserve">5.1 </w:t>
      </w:r>
      <w:r>
        <w:rPr>
          <w:rFonts w:hint="eastAsia" w:ascii="宋体" w:hAnsi="宋体" w:eastAsia="宋体"/>
          <w:color w:val="auto"/>
          <w:highlight w:val="none"/>
        </w:rPr>
        <w:t>开标时间和地点</w:t>
      </w:r>
      <w:bookmarkEnd w:id="159"/>
      <w:bookmarkEnd w:id="160"/>
    </w:p>
    <w:p>
      <w:pPr>
        <w:spacing w:line="400" w:lineRule="exact"/>
        <w:ind w:firstLine="420" w:firstLineChars="200"/>
        <w:rPr>
          <w:rFonts w:ascii="宋体" w:hAnsi="宋体"/>
          <w:color w:val="auto"/>
          <w:highlight w:val="none"/>
        </w:rPr>
      </w:pPr>
      <w:r>
        <w:rPr>
          <w:rFonts w:hint="eastAsia" w:ascii="宋体" w:hAnsi="宋体"/>
          <w:color w:val="auto"/>
          <w:highlight w:val="none"/>
        </w:rPr>
        <w:t>招标人在本章第</w:t>
      </w:r>
      <w:r>
        <w:rPr>
          <w:rFonts w:ascii="宋体" w:hAnsi="宋体"/>
          <w:color w:val="auto"/>
          <w:highlight w:val="none"/>
        </w:rPr>
        <w:t>4.2.1</w:t>
      </w:r>
      <w:r>
        <w:rPr>
          <w:rFonts w:hint="eastAsia" w:ascii="宋体" w:hAnsi="宋体"/>
          <w:color w:val="auto"/>
          <w:highlight w:val="none"/>
        </w:rPr>
        <w:t>项规定的投标截止时间（开标时间）</w:t>
      </w:r>
      <w:r>
        <w:rPr>
          <w:rFonts w:ascii="宋体" w:hAnsi="宋体"/>
          <w:color w:val="auto"/>
          <w:highlight w:val="none"/>
        </w:rPr>
        <w:t>,</w:t>
      </w:r>
      <w:r>
        <w:rPr>
          <w:rFonts w:hint="eastAsia" w:ascii="宋体" w:hAnsi="宋体"/>
          <w:color w:val="auto"/>
          <w:highlight w:val="none"/>
        </w:rPr>
        <w:t>通过电子招标投标交易平台公开开标，所有投标人的法定代表人或其委托代理人应当准时参加。</w:t>
      </w:r>
    </w:p>
    <w:p>
      <w:pPr>
        <w:pStyle w:val="4"/>
        <w:spacing w:line="240" w:lineRule="auto"/>
        <w:ind w:firstLine="137"/>
        <w:rPr>
          <w:rFonts w:ascii="宋体" w:hAnsi="宋体" w:eastAsia="宋体"/>
          <w:color w:val="auto"/>
          <w:highlight w:val="none"/>
        </w:rPr>
      </w:pPr>
      <w:bookmarkStart w:id="161" w:name="_Toc49509997"/>
      <w:bookmarkStart w:id="162" w:name="_Toc49506163"/>
      <w:r>
        <w:rPr>
          <w:rFonts w:ascii="宋体" w:hAnsi="宋体" w:eastAsia="宋体"/>
          <w:color w:val="auto"/>
          <w:highlight w:val="none"/>
        </w:rPr>
        <w:t xml:space="preserve">5.2 </w:t>
      </w:r>
      <w:r>
        <w:rPr>
          <w:rFonts w:hint="eastAsia" w:ascii="宋体" w:hAnsi="宋体" w:eastAsia="宋体"/>
          <w:color w:val="auto"/>
          <w:highlight w:val="none"/>
        </w:rPr>
        <w:t>开标程序</w:t>
      </w:r>
      <w:bookmarkEnd w:id="161"/>
      <w:bookmarkEnd w:id="162"/>
    </w:p>
    <w:p>
      <w:pPr>
        <w:spacing w:line="400" w:lineRule="exact"/>
        <w:ind w:firstLine="420" w:firstLineChars="200"/>
        <w:rPr>
          <w:rFonts w:ascii="宋体" w:hAnsi="宋体"/>
          <w:color w:val="auto"/>
          <w:highlight w:val="none"/>
        </w:rPr>
      </w:pPr>
      <w:r>
        <w:rPr>
          <w:rFonts w:ascii="宋体" w:hAnsi="宋体"/>
          <w:color w:val="auto"/>
          <w:szCs w:val="21"/>
          <w:highlight w:val="none"/>
          <w:u w:val="single"/>
        </w:rPr>
        <w:t>5.2.1</w:t>
      </w:r>
      <w:r>
        <w:rPr>
          <w:rFonts w:hint="eastAsia" w:ascii="宋体" w:hAnsi="宋体"/>
          <w:color w:val="auto"/>
          <w:highlight w:val="none"/>
        </w:rPr>
        <w:t>主持人按下列程序进行开标：</w:t>
      </w:r>
    </w:p>
    <w:p>
      <w:pPr>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）宣布开标纪律；</w:t>
      </w:r>
    </w:p>
    <w:p>
      <w:pPr>
        <w:snapToGrid w:val="0"/>
        <w:ind w:firstLine="420" w:firstLineChars="200"/>
        <w:rPr>
          <w:rFonts w:ascii="宋体" w:hAnsi="宋体"/>
          <w:color w:val="auto"/>
          <w:szCs w:val="21"/>
          <w:highlight w:val="none"/>
          <w:u w:val="single"/>
        </w:rPr>
      </w:pPr>
      <w:r>
        <w:rPr>
          <w:rFonts w:hint="eastAsia" w:ascii="宋体" w:hAnsi="宋体"/>
          <w:color w:val="auto"/>
          <w:szCs w:val="21"/>
          <w:highlight w:val="none"/>
          <w:u w:val="single"/>
        </w:rPr>
        <w:t>（2）投标人通过电子招标投标交易平台对已递交的电子投标文件进行解密；</w:t>
      </w:r>
    </w:p>
    <w:p>
      <w:pPr>
        <w:snapToGrid w:val="0"/>
        <w:ind w:firstLine="420" w:firstLineChars="200"/>
        <w:rPr>
          <w:rFonts w:ascii="宋体" w:hAnsi="宋体"/>
          <w:color w:val="auto"/>
          <w:szCs w:val="21"/>
          <w:highlight w:val="none"/>
          <w:u w:val="single"/>
        </w:rPr>
      </w:pPr>
      <w:r>
        <w:rPr>
          <w:rFonts w:hint="eastAsia" w:ascii="宋体" w:hAnsi="宋体"/>
          <w:color w:val="auto"/>
          <w:szCs w:val="21"/>
          <w:highlight w:val="none"/>
          <w:u w:val="single"/>
        </w:rPr>
        <w:t>（3）投标人完成解密后，再由招标人或招标代理机构进行解密；</w:t>
      </w:r>
    </w:p>
    <w:p>
      <w:pPr>
        <w:snapToGrid w:val="0"/>
        <w:ind w:firstLine="420" w:firstLineChars="200"/>
        <w:rPr>
          <w:rFonts w:ascii="宋体" w:hAnsi="宋体"/>
          <w:color w:val="auto"/>
          <w:szCs w:val="21"/>
          <w:highlight w:val="none"/>
          <w:u w:val="single"/>
        </w:rPr>
      </w:pPr>
      <w:r>
        <w:rPr>
          <w:rFonts w:hint="eastAsia" w:ascii="宋体" w:hAnsi="宋体"/>
          <w:color w:val="auto"/>
          <w:szCs w:val="21"/>
          <w:highlight w:val="none"/>
          <w:u w:val="single"/>
        </w:rPr>
        <w:t>（4）解密完成后，公布招标项目名称、投标人名称、投标报价、监理服务期限及其他内容，并记录在案；</w:t>
      </w:r>
    </w:p>
    <w:p>
      <w:pPr>
        <w:snapToGrid w:val="0"/>
        <w:ind w:firstLine="420" w:firstLineChars="200"/>
        <w:rPr>
          <w:rFonts w:ascii="宋体" w:hAnsi="宋体"/>
          <w:color w:val="auto"/>
          <w:szCs w:val="21"/>
          <w:highlight w:val="none"/>
          <w:u w:val="single"/>
        </w:rPr>
      </w:pPr>
      <w:r>
        <w:rPr>
          <w:rFonts w:hint="eastAsia" w:ascii="宋体" w:hAnsi="宋体"/>
          <w:color w:val="auto"/>
          <w:szCs w:val="21"/>
          <w:highlight w:val="none"/>
          <w:u w:val="single"/>
        </w:rPr>
        <w:t>（5）投标人代表、招标人代表、监标人、记录人等有关人员在开标记录上签字确认；若有关人员不签字的，不影响开标程序；</w:t>
      </w:r>
    </w:p>
    <w:p>
      <w:pPr>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）开标结束。</w:t>
      </w:r>
    </w:p>
    <w:p>
      <w:pPr>
        <w:ind w:firstLine="420" w:firstLineChars="200"/>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w:t>
      </w:r>
      <w:r>
        <w:rPr>
          <w:rFonts w:hint="eastAsia" w:ascii="宋体" w:hAnsi="宋体"/>
          <w:b/>
          <w:color w:val="auto"/>
          <w:szCs w:val="21"/>
          <w:highlight w:val="none"/>
          <w:u w:val="single"/>
        </w:rPr>
        <w:t>一小时内</w:t>
      </w:r>
      <w:r>
        <w:rPr>
          <w:rFonts w:hint="eastAsia" w:ascii="宋体" w:hAnsi="宋体"/>
          <w:color w:val="auto"/>
          <w:szCs w:val="21"/>
          <w:highlight w:val="none"/>
          <w:u w:val="single"/>
        </w:rPr>
        <w:t>解密的且未提交备用光盘（或U盘）的，视为撤销其投标文件。</w:t>
      </w:r>
    </w:p>
    <w:p>
      <w:pPr>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5.2.3开标时，出现下列情形之一的，不参与资格审查和评标：</w:t>
      </w:r>
    </w:p>
    <w:p>
      <w:pPr>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（1）未成功递交投标文件的。</w:t>
      </w:r>
    </w:p>
    <w:p>
      <w:pPr>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（2）因投标人原因造成投标文件未解密的。</w:t>
      </w:r>
    </w:p>
    <w:p>
      <w:pPr>
        <w:ind w:firstLine="420" w:firstLineChars="200"/>
        <w:rPr>
          <w:rFonts w:ascii="宋体" w:hAnsi="宋体"/>
          <w:color w:val="auto"/>
          <w:highlight w:val="none"/>
        </w:rPr>
      </w:pPr>
      <w:r>
        <w:rPr>
          <w:rFonts w:hint="eastAsia" w:ascii="宋体" w:hAnsi="宋体"/>
          <w:bCs/>
          <w:color w:val="auto"/>
          <w:szCs w:val="21"/>
          <w:highlight w:val="none"/>
          <w:u w:val="single"/>
        </w:rPr>
        <w:t>5.2.4开标时，两个（含两个）以上的投标人加密打包投标文件电脑机器特征码一致的，不参与下一程序，并由评标委员会否决其投标。</w:t>
      </w:r>
      <w:bookmarkStart w:id="163" w:name="_Toc49509998"/>
      <w:bookmarkStart w:id="164" w:name="_Toc49506164"/>
    </w:p>
    <w:p>
      <w:pPr>
        <w:pStyle w:val="4"/>
        <w:spacing w:line="240" w:lineRule="auto"/>
        <w:ind w:firstLine="137"/>
        <w:rPr>
          <w:rFonts w:ascii="宋体" w:hAnsi="宋体" w:eastAsia="宋体"/>
          <w:color w:val="auto"/>
          <w:highlight w:val="none"/>
        </w:rPr>
      </w:pPr>
      <w:r>
        <w:rPr>
          <w:rFonts w:ascii="宋体" w:hAnsi="宋体" w:eastAsia="宋体"/>
          <w:color w:val="auto"/>
          <w:highlight w:val="none"/>
        </w:rPr>
        <w:t xml:space="preserve">5.3 </w:t>
      </w:r>
      <w:r>
        <w:rPr>
          <w:rFonts w:hint="eastAsia" w:ascii="宋体" w:hAnsi="宋体" w:eastAsia="宋体"/>
          <w:color w:val="auto"/>
          <w:highlight w:val="none"/>
        </w:rPr>
        <w:t>开标异议</w:t>
      </w:r>
      <w:bookmarkEnd w:id="163"/>
      <w:bookmarkEnd w:id="164"/>
    </w:p>
    <w:p>
      <w:pPr>
        <w:spacing w:line="400" w:lineRule="exact"/>
        <w:ind w:firstLine="359" w:firstLineChars="171"/>
        <w:rPr>
          <w:rFonts w:ascii="宋体" w:hAnsi="宋体"/>
          <w:color w:val="auto"/>
          <w:highlight w:val="none"/>
        </w:rPr>
      </w:pPr>
      <w:r>
        <w:rPr>
          <w:rFonts w:hint="eastAsia" w:ascii="宋体" w:hAnsi="宋体"/>
          <w:color w:val="auto"/>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3"/>
        <w:rPr>
          <w:rFonts w:ascii="宋体" w:hAnsi="宋体" w:eastAsia="宋体"/>
          <w:color w:val="auto"/>
          <w:highlight w:val="none"/>
        </w:rPr>
      </w:pPr>
      <w:bookmarkStart w:id="165" w:name="_Toc49509999"/>
      <w:r>
        <w:rPr>
          <w:rFonts w:ascii="宋体" w:hAnsi="宋体" w:eastAsia="宋体"/>
          <w:color w:val="auto"/>
          <w:highlight w:val="none"/>
        </w:rPr>
        <w:t xml:space="preserve">6. </w:t>
      </w:r>
      <w:r>
        <w:rPr>
          <w:rFonts w:hint="eastAsia" w:ascii="宋体" w:hAnsi="宋体" w:eastAsia="宋体"/>
          <w:color w:val="auto"/>
          <w:highlight w:val="none"/>
        </w:rPr>
        <w:t>评标</w:t>
      </w:r>
      <w:bookmarkEnd w:id="165"/>
    </w:p>
    <w:p>
      <w:pPr>
        <w:pStyle w:val="4"/>
        <w:spacing w:line="240" w:lineRule="auto"/>
        <w:ind w:firstLine="137"/>
        <w:rPr>
          <w:rFonts w:ascii="宋体" w:hAnsi="宋体" w:eastAsia="宋体"/>
          <w:color w:val="auto"/>
          <w:highlight w:val="none"/>
        </w:rPr>
      </w:pPr>
      <w:bookmarkStart w:id="166" w:name="_Toc49510000"/>
      <w:bookmarkStart w:id="167" w:name="_Toc49506166"/>
      <w:r>
        <w:rPr>
          <w:rFonts w:ascii="宋体" w:hAnsi="宋体" w:eastAsia="宋体"/>
          <w:color w:val="auto"/>
          <w:highlight w:val="none"/>
        </w:rPr>
        <w:t xml:space="preserve">6.1 </w:t>
      </w:r>
      <w:r>
        <w:rPr>
          <w:rFonts w:hint="eastAsia" w:ascii="宋体" w:hAnsi="宋体" w:eastAsia="宋体"/>
          <w:color w:val="auto"/>
          <w:highlight w:val="none"/>
        </w:rPr>
        <w:t>评标委员会</w:t>
      </w:r>
      <w:bookmarkEnd w:id="166"/>
      <w:bookmarkEnd w:id="167"/>
    </w:p>
    <w:p>
      <w:pPr>
        <w:spacing w:line="400" w:lineRule="exact"/>
        <w:ind w:firstLine="420" w:firstLineChars="200"/>
        <w:rPr>
          <w:rFonts w:ascii="宋体" w:hAnsi="宋体"/>
          <w:color w:val="auto"/>
          <w:highlight w:val="none"/>
        </w:rPr>
      </w:pPr>
      <w:r>
        <w:rPr>
          <w:rFonts w:ascii="宋体" w:hAnsi="宋体"/>
          <w:color w:val="auto"/>
          <w:highlight w:val="none"/>
        </w:rPr>
        <w:t>6.1.1</w:t>
      </w:r>
      <w:r>
        <w:rPr>
          <w:rFonts w:hint="eastAsia" w:ascii="宋体" w:hAnsi="宋体"/>
          <w:color w:val="auto"/>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宋体" w:hAnsi="宋体"/>
          <w:color w:val="auto"/>
          <w:highlight w:val="none"/>
        </w:rPr>
      </w:pPr>
      <w:r>
        <w:rPr>
          <w:rFonts w:ascii="宋体" w:hAnsi="宋体"/>
          <w:color w:val="auto"/>
          <w:highlight w:val="none"/>
        </w:rPr>
        <w:t>6.1.2</w:t>
      </w:r>
      <w:r>
        <w:rPr>
          <w:rFonts w:hint="eastAsia" w:ascii="宋体" w:hAnsi="宋体"/>
          <w:color w:val="auto"/>
          <w:highlight w:val="none"/>
        </w:rPr>
        <w:t>评标委员会成员有下列情形之一的，应当回避：</w:t>
      </w:r>
    </w:p>
    <w:p>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）投标人或投标人主要负责人的近亲属；</w:t>
      </w:r>
    </w:p>
    <w:p>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）项目主管部门或者行政监督部门的人员；</w:t>
      </w:r>
    </w:p>
    <w:p>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）与投标人有经济利益关系，可能影响对投标公正评审的；</w:t>
      </w:r>
    </w:p>
    <w:p>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）曾因在招标、评</w:t>
      </w:r>
      <w:bookmarkStart w:id="168" w:name="_Toc247527580"/>
      <w:bookmarkStart w:id="169" w:name="_Toc369531543"/>
      <w:bookmarkStart w:id="170" w:name="_Toc352691499"/>
      <w:bookmarkStart w:id="171" w:name="_Toc300834976"/>
      <w:bookmarkStart w:id="172" w:name="_Toc361508612"/>
      <w:bookmarkStart w:id="173" w:name="_Toc144974523"/>
      <w:bookmarkStart w:id="174" w:name="_Toc384308237"/>
      <w:bookmarkStart w:id="175" w:name="_Toc6230"/>
      <w:bookmarkStart w:id="176" w:name="_Toc152045555"/>
      <w:bookmarkStart w:id="177" w:name="_Toc247513979"/>
      <w:bookmarkStart w:id="178" w:name="_Toc152042331"/>
      <w:r>
        <w:rPr>
          <w:rFonts w:hint="eastAsia" w:ascii="宋体" w:hAnsi="宋体"/>
          <w:color w:val="auto"/>
          <w:highlight w:val="none"/>
        </w:rPr>
        <w:t>标以及其他</w:t>
      </w:r>
      <w:bookmarkEnd w:id="168"/>
      <w:bookmarkEnd w:id="169"/>
      <w:bookmarkEnd w:id="170"/>
      <w:bookmarkEnd w:id="171"/>
      <w:bookmarkEnd w:id="172"/>
      <w:bookmarkEnd w:id="173"/>
      <w:bookmarkEnd w:id="174"/>
      <w:bookmarkEnd w:id="175"/>
      <w:bookmarkEnd w:id="176"/>
      <w:bookmarkEnd w:id="177"/>
      <w:bookmarkEnd w:id="178"/>
      <w:r>
        <w:rPr>
          <w:rFonts w:hint="eastAsia" w:ascii="宋体" w:hAnsi="宋体"/>
          <w:color w:val="auto"/>
          <w:highlight w:val="none"/>
        </w:rPr>
        <w:t>与</w:t>
      </w:r>
      <w:bookmarkStart w:id="179" w:name="_Toc384308238"/>
      <w:bookmarkStart w:id="180" w:name="_Toc369531544"/>
      <w:bookmarkStart w:id="181" w:name="_Toc247527581"/>
      <w:bookmarkStart w:id="182" w:name="_Toc152042332"/>
      <w:bookmarkStart w:id="183" w:name="_Toc144974524"/>
      <w:bookmarkStart w:id="184" w:name="_Toc352691500"/>
      <w:bookmarkStart w:id="185" w:name="_Toc17703"/>
      <w:bookmarkStart w:id="186" w:name="_Toc152045556"/>
      <w:bookmarkStart w:id="187" w:name="_Toc300834977"/>
      <w:bookmarkStart w:id="188" w:name="_Toc247513980"/>
      <w:bookmarkStart w:id="189" w:name="_Toc361508613"/>
      <w:r>
        <w:rPr>
          <w:rFonts w:hint="eastAsia" w:ascii="宋体" w:hAnsi="宋体"/>
          <w:color w:val="auto"/>
          <w:highlight w:val="none"/>
        </w:rPr>
        <w:t>招标投标有关活动中从事违法行</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color w:val="auto"/>
          <w:highlight w:val="none"/>
        </w:rPr>
        <w:t>为而受过行政处罚或刑事处罚的；</w:t>
      </w:r>
    </w:p>
    <w:p>
      <w:pPr>
        <w:spacing w:line="400" w:lineRule="exact"/>
        <w:ind w:firstLine="718" w:firstLineChars="342"/>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）与投标人有其他利害关系。</w:t>
      </w:r>
    </w:p>
    <w:p>
      <w:pPr>
        <w:spacing w:line="400" w:lineRule="exact"/>
        <w:ind w:firstLine="420" w:firstLineChars="200"/>
        <w:rPr>
          <w:rFonts w:ascii="宋体" w:hAnsi="宋体"/>
          <w:color w:val="auto"/>
          <w:highlight w:val="none"/>
        </w:rPr>
      </w:pPr>
      <w:r>
        <w:rPr>
          <w:rFonts w:ascii="宋体" w:hAnsi="宋体"/>
          <w:color w:val="auto"/>
          <w:highlight w:val="none"/>
        </w:rPr>
        <w:t>6.1.3</w:t>
      </w:r>
      <w:r>
        <w:rPr>
          <w:rFonts w:hint="eastAsia" w:ascii="宋体" w:hAnsi="宋体"/>
          <w:color w:val="auto"/>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4"/>
        <w:spacing w:line="240" w:lineRule="auto"/>
        <w:ind w:firstLine="137"/>
        <w:rPr>
          <w:rFonts w:ascii="宋体" w:hAnsi="宋体" w:eastAsia="宋体"/>
          <w:color w:val="auto"/>
          <w:highlight w:val="none"/>
        </w:rPr>
      </w:pPr>
      <w:bookmarkStart w:id="190" w:name="_Toc49510001"/>
      <w:bookmarkStart w:id="191" w:name="_Toc49506167"/>
      <w:r>
        <w:rPr>
          <w:rFonts w:ascii="宋体" w:hAnsi="宋体" w:eastAsia="宋体"/>
          <w:color w:val="auto"/>
          <w:highlight w:val="none"/>
        </w:rPr>
        <w:t xml:space="preserve">6.2 </w:t>
      </w:r>
      <w:r>
        <w:rPr>
          <w:rFonts w:hint="eastAsia" w:ascii="宋体" w:hAnsi="宋体" w:eastAsia="宋体"/>
          <w:color w:val="auto"/>
          <w:highlight w:val="none"/>
        </w:rPr>
        <w:t>评标原则</w:t>
      </w:r>
      <w:bookmarkEnd w:id="190"/>
      <w:bookmarkEnd w:id="191"/>
    </w:p>
    <w:p>
      <w:pPr>
        <w:spacing w:line="400" w:lineRule="exact"/>
        <w:ind w:firstLine="420" w:firstLineChars="200"/>
        <w:rPr>
          <w:rFonts w:ascii="宋体" w:hAnsi="宋体"/>
          <w:color w:val="auto"/>
          <w:highlight w:val="none"/>
        </w:rPr>
      </w:pPr>
      <w:r>
        <w:rPr>
          <w:rFonts w:hint="eastAsia" w:ascii="宋体" w:hAnsi="宋体"/>
          <w:color w:val="auto"/>
          <w:highlight w:val="none"/>
        </w:rPr>
        <w:t>评标活动遵循公平、公正、科学和择优的原</w:t>
      </w:r>
      <w:bookmarkStart w:id="192" w:name="_Toc144974525"/>
      <w:bookmarkStart w:id="193" w:name="_Toc247513981"/>
      <w:bookmarkStart w:id="194" w:name="_Toc361508614"/>
      <w:bookmarkStart w:id="195" w:name="_Toc300834978"/>
      <w:bookmarkStart w:id="196" w:name="_Toc152045557"/>
      <w:bookmarkStart w:id="197" w:name="_Toc152042333"/>
      <w:bookmarkStart w:id="198" w:name="_Toc352691501"/>
      <w:bookmarkStart w:id="199" w:name="_Toc247527582"/>
      <w:bookmarkStart w:id="200" w:name="_Toc369531545"/>
      <w:bookmarkStart w:id="201" w:name="_Toc18949"/>
      <w:bookmarkStart w:id="202" w:name="_Toc384308239"/>
      <w:r>
        <w:rPr>
          <w:rFonts w:hint="eastAsia" w:ascii="宋体" w:hAnsi="宋体"/>
          <w:color w:val="auto"/>
          <w:highlight w:val="none"/>
        </w:rPr>
        <w:t>则。</w:t>
      </w:r>
    </w:p>
    <w:p>
      <w:pPr>
        <w:pStyle w:val="4"/>
        <w:spacing w:line="240" w:lineRule="auto"/>
        <w:ind w:firstLine="137"/>
        <w:rPr>
          <w:rFonts w:ascii="宋体" w:hAnsi="宋体" w:eastAsia="宋体"/>
          <w:color w:val="auto"/>
          <w:highlight w:val="none"/>
        </w:rPr>
      </w:pPr>
      <w:bookmarkStart w:id="203" w:name="_Toc49510002"/>
      <w:bookmarkStart w:id="204" w:name="_Toc49506168"/>
      <w:r>
        <w:rPr>
          <w:rFonts w:ascii="宋体" w:hAnsi="宋体" w:eastAsia="宋体"/>
          <w:color w:val="auto"/>
          <w:highlight w:val="none"/>
        </w:rPr>
        <w:t xml:space="preserve">6.3 </w:t>
      </w:r>
      <w:r>
        <w:rPr>
          <w:rFonts w:hint="eastAsia" w:ascii="宋体" w:hAnsi="宋体" w:eastAsia="宋体"/>
          <w:color w:val="auto"/>
          <w:highlight w:val="none"/>
        </w:rPr>
        <w:t>评标</w:t>
      </w:r>
      <w:bookmarkEnd w:id="203"/>
      <w:bookmarkEnd w:id="204"/>
    </w:p>
    <w:p>
      <w:pPr>
        <w:spacing w:line="400" w:lineRule="exact"/>
        <w:ind w:firstLine="420" w:firstLineChars="200"/>
        <w:rPr>
          <w:rFonts w:ascii="宋体" w:hAnsi="宋体"/>
          <w:color w:val="auto"/>
          <w:highlight w:val="none"/>
        </w:rPr>
      </w:pPr>
      <w:r>
        <w:rPr>
          <w:rFonts w:ascii="宋体" w:hAnsi="宋体"/>
          <w:color w:val="auto"/>
          <w:highlight w:val="none"/>
        </w:rPr>
        <w:t>6</w:t>
      </w:r>
      <w:bookmarkEnd w:id="192"/>
      <w:bookmarkEnd w:id="193"/>
      <w:bookmarkEnd w:id="194"/>
      <w:bookmarkEnd w:id="195"/>
      <w:bookmarkEnd w:id="196"/>
      <w:bookmarkEnd w:id="197"/>
      <w:bookmarkEnd w:id="198"/>
      <w:bookmarkEnd w:id="199"/>
      <w:bookmarkEnd w:id="200"/>
      <w:bookmarkEnd w:id="201"/>
      <w:bookmarkEnd w:id="202"/>
      <w:r>
        <w:rPr>
          <w:rFonts w:ascii="宋体" w:hAnsi="宋体"/>
          <w:color w:val="auto"/>
          <w:highlight w:val="none"/>
        </w:rPr>
        <w:t>.3.1</w:t>
      </w:r>
      <w:r>
        <w:rPr>
          <w:rFonts w:hint="eastAsia" w:ascii="宋体" w:hAnsi="宋体"/>
          <w:color w:val="auto"/>
          <w:highlight w:val="none"/>
        </w:rPr>
        <w:t>评标委员会按照第三章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规定的方法、评审因素、标准和程序对投标文件进行评审。第三章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没有规定的方法、评审因素和标准，不作为评标依据。</w:t>
      </w:r>
    </w:p>
    <w:p>
      <w:pPr>
        <w:spacing w:line="400" w:lineRule="exact"/>
        <w:ind w:firstLine="420" w:firstLineChars="200"/>
        <w:rPr>
          <w:rFonts w:ascii="宋体" w:hAnsi="宋体"/>
          <w:color w:val="auto"/>
          <w:highlight w:val="none"/>
        </w:rPr>
      </w:pPr>
      <w:r>
        <w:rPr>
          <w:rFonts w:ascii="宋体" w:hAnsi="宋体"/>
          <w:color w:val="auto"/>
          <w:highlight w:val="none"/>
        </w:rPr>
        <w:t>6.3.2</w:t>
      </w:r>
      <w:r>
        <w:rPr>
          <w:rFonts w:hint="eastAsia" w:ascii="宋体" w:hAnsi="宋体"/>
          <w:color w:val="auto"/>
          <w:highlight w:val="none"/>
        </w:rPr>
        <w:t>评标完成后，评标委员会应当向招标人提交书面评标报告和中标候选人名单。</w:t>
      </w:r>
    </w:p>
    <w:p>
      <w:pPr>
        <w:pStyle w:val="3"/>
        <w:rPr>
          <w:rFonts w:ascii="宋体" w:hAnsi="宋体" w:eastAsia="宋体"/>
          <w:color w:val="auto"/>
          <w:highlight w:val="none"/>
        </w:rPr>
      </w:pPr>
      <w:bookmarkStart w:id="205" w:name="_Toc49510004"/>
      <w:r>
        <w:rPr>
          <w:rFonts w:ascii="宋体" w:hAnsi="宋体" w:eastAsia="宋体"/>
          <w:color w:val="auto"/>
          <w:highlight w:val="none"/>
        </w:rPr>
        <w:t xml:space="preserve">7. </w:t>
      </w:r>
      <w:r>
        <w:rPr>
          <w:rFonts w:hint="eastAsia" w:ascii="宋体" w:hAnsi="宋体" w:eastAsia="宋体"/>
          <w:color w:val="auto"/>
          <w:highlight w:val="none"/>
        </w:rPr>
        <w:t>合同授予</w:t>
      </w:r>
      <w:bookmarkEnd w:id="205"/>
    </w:p>
    <w:p>
      <w:pPr>
        <w:pStyle w:val="4"/>
        <w:spacing w:line="240" w:lineRule="auto"/>
        <w:ind w:firstLine="137"/>
        <w:rPr>
          <w:rFonts w:ascii="宋体" w:hAnsi="宋体" w:eastAsia="宋体"/>
          <w:color w:val="auto"/>
          <w:highlight w:val="none"/>
        </w:rPr>
      </w:pPr>
      <w:bookmarkStart w:id="206" w:name="_Toc49510005"/>
      <w:bookmarkStart w:id="207" w:name="_Toc49506170"/>
      <w:r>
        <w:rPr>
          <w:rFonts w:ascii="宋体" w:hAnsi="宋体" w:eastAsia="宋体"/>
          <w:color w:val="auto"/>
          <w:highlight w:val="none"/>
        </w:rPr>
        <w:t xml:space="preserve">7.1 </w:t>
      </w:r>
      <w:r>
        <w:rPr>
          <w:rFonts w:hint="eastAsia" w:ascii="宋体" w:hAnsi="宋体" w:eastAsia="宋体"/>
          <w:color w:val="auto"/>
          <w:highlight w:val="none"/>
        </w:rPr>
        <w:t>中标候选人公示</w:t>
      </w:r>
      <w:bookmarkEnd w:id="206"/>
      <w:bookmarkEnd w:id="207"/>
    </w:p>
    <w:p>
      <w:pPr>
        <w:spacing w:line="400" w:lineRule="exact"/>
        <w:ind w:firstLine="420" w:firstLineChars="200"/>
        <w:rPr>
          <w:rFonts w:ascii="宋体" w:hAnsi="宋体"/>
          <w:color w:val="auto"/>
          <w:highlight w:val="none"/>
        </w:rPr>
      </w:pPr>
      <w:r>
        <w:rPr>
          <w:rFonts w:hint="eastAsia" w:ascii="宋体" w:hAnsi="宋体"/>
          <w:color w:val="auto"/>
          <w:highlight w:val="none"/>
        </w:rPr>
        <w:t>招标人在</w:t>
      </w:r>
      <w:r>
        <w:rPr>
          <w:rFonts w:ascii="宋体" w:hAnsi="宋体"/>
          <w:color w:val="auto"/>
          <w:highlight w:val="none"/>
        </w:rPr>
        <w:t>收到评标报告</w:t>
      </w:r>
      <w:r>
        <w:rPr>
          <w:rFonts w:hint="eastAsia" w:ascii="宋体" w:hAnsi="宋体"/>
          <w:color w:val="auto"/>
          <w:highlight w:val="none"/>
        </w:rPr>
        <w:t>之日起</w:t>
      </w:r>
      <w:r>
        <w:rPr>
          <w:rFonts w:ascii="宋体" w:hAnsi="宋体"/>
          <w:color w:val="auto"/>
          <w:highlight w:val="none"/>
        </w:rPr>
        <w:t>3</w:t>
      </w:r>
      <w:r>
        <w:rPr>
          <w:rFonts w:hint="eastAsia" w:ascii="宋体" w:hAnsi="宋体"/>
          <w:color w:val="auto"/>
          <w:highlight w:val="none"/>
        </w:rPr>
        <w:t>日内，按照投标人须知前附表规定的公示媒介和期限公示中标候选人，公示期不得少于</w:t>
      </w:r>
      <w:r>
        <w:rPr>
          <w:rFonts w:ascii="宋体" w:hAnsi="宋体"/>
          <w:color w:val="auto"/>
          <w:highlight w:val="none"/>
        </w:rPr>
        <w:t>3</w:t>
      </w:r>
      <w:r>
        <w:rPr>
          <w:rFonts w:hint="eastAsia" w:ascii="宋体" w:hAnsi="宋体"/>
          <w:color w:val="auto"/>
          <w:highlight w:val="none"/>
        </w:rPr>
        <w:t>天。</w:t>
      </w:r>
    </w:p>
    <w:p>
      <w:pPr>
        <w:pStyle w:val="4"/>
        <w:spacing w:line="240" w:lineRule="auto"/>
        <w:ind w:firstLine="137"/>
        <w:rPr>
          <w:rFonts w:ascii="宋体" w:hAnsi="宋体" w:eastAsia="宋体"/>
          <w:color w:val="auto"/>
          <w:highlight w:val="none"/>
        </w:rPr>
      </w:pPr>
      <w:bookmarkStart w:id="208" w:name="_Toc49510006"/>
      <w:bookmarkStart w:id="209" w:name="_Toc49506171"/>
      <w:r>
        <w:rPr>
          <w:rFonts w:ascii="宋体" w:hAnsi="宋体" w:eastAsia="宋体"/>
          <w:color w:val="auto"/>
          <w:highlight w:val="none"/>
        </w:rPr>
        <w:t xml:space="preserve">7.2 </w:t>
      </w:r>
      <w:r>
        <w:rPr>
          <w:rFonts w:hint="eastAsia" w:ascii="宋体" w:hAnsi="宋体" w:eastAsia="宋体"/>
          <w:color w:val="auto"/>
          <w:highlight w:val="none"/>
        </w:rPr>
        <w:t>评标结果异议</w:t>
      </w:r>
      <w:bookmarkEnd w:id="208"/>
      <w:bookmarkEnd w:id="209"/>
    </w:p>
    <w:p>
      <w:pPr>
        <w:spacing w:line="400" w:lineRule="exact"/>
        <w:ind w:firstLine="420" w:firstLineChars="200"/>
        <w:rPr>
          <w:rFonts w:ascii="宋体" w:hAnsi="宋体"/>
          <w:color w:val="auto"/>
          <w:highlight w:val="none"/>
        </w:rPr>
      </w:pPr>
      <w:r>
        <w:rPr>
          <w:rFonts w:hint="eastAsia" w:ascii="宋体" w:hAnsi="宋体"/>
          <w:color w:val="auto"/>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pPr>
        <w:pStyle w:val="4"/>
        <w:spacing w:line="240" w:lineRule="auto"/>
        <w:ind w:firstLine="137"/>
        <w:rPr>
          <w:rFonts w:ascii="宋体" w:hAnsi="宋体" w:eastAsia="宋体"/>
          <w:color w:val="auto"/>
          <w:highlight w:val="none"/>
        </w:rPr>
      </w:pPr>
      <w:bookmarkStart w:id="210" w:name="_Toc49510007"/>
      <w:bookmarkStart w:id="211" w:name="_Toc49506172"/>
      <w:r>
        <w:rPr>
          <w:rFonts w:ascii="宋体" w:hAnsi="宋体" w:eastAsia="宋体"/>
          <w:color w:val="auto"/>
          <w:highlight w:val="none"/>
        </w:rPr>
        <w:t xml:space="preserve">7.3 </w:t>
      </w:r>
      <w:r>
        <w:rPr>
          <w:rFonts w:hint="eastAsia" w:ascii="宋体" w:hAnsi="宋体" w:eastAsia="宋体"/>
          <w:color w:val="auto"/>
          <w:highlight w:val="none"/>
        </w:rPr>
        <w:t>中标候选人履约能力审查</w:t>
      </w:r>
      <w:bookmarkEnd w:id="210"/>
      <w:bookmarkEnd w:id="211"/>
    </w:p>
    <w:p>
      <w:pPr>
        <w:spacing w:line="400" w:lineRule="exact"/>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line="240" w:lineRule="auto"/>
        <w:ind w:firstLine="137"/>
        <w:rPr>
          <w:rFonts w:ascii="宋体" w:hAnsi="宋体" w:eastAsia="宋体"/>
          <w:color w:val="auto"/>
          <w:highlight w:val="none"/>
        </w:rPr>
      </w:pPr>
      <w:bookmarkStart w:id="212" w:name="_Toc49506173"/>
      <w:bookmarkStart w:id="213" w:name="_Toc49510008"/>
      <w:r>
        <w:rPr>
          <w:rFonts w:ascii="宋体" w:hAnsi="宋体" w:eastAsia="宋体"/>
          <w:color w:val="auto"/>
          <w:highlight w:val="none"/>
        </w:rPr>
        <w:t xml:space="preserve">7.4 </w:t>
      </w:r>
      <w:r>
        <w:rPr>
          <w:rFonts w:hint="eastAsia" w:ascii="宋体" w:hAnsi="宋体" w:eastAsia="宋体"/>
          <w:color w:val="auto"/>
          <w:highlight w:val="none"/>
        </w:rPr>
        <w:t>定标</w:t>
      </w:r>
      <w:bookmarkEnd w:id="212"/>
      <w:bookmarkEnd w:id="213"/>
    </w:p>
    <w:p>
      <w:pPr>
        <w:spacing w:line="420" w:lineRule="exact"/>
        <w:ind w:firstLine="420" w:firstLineChars="200"/>
        <w:rPr>
          <w:rFonts w:ascii="宋体" w:hAnsi="宋体"/>
          <w:color w:val="auto"/>
          <w:highlight w:val="none"/>
          <w:u w:val="single"/>
        </w:rPr>
      </w:pPr>
      <w:r>
        <w:rPr>
          <w:rFonts w:hint="eastAsia" w:ascii="宋体" w:hAnsi="宋体"/>
          <w:color w:val="auto"/>
          <w:szCs w:val="24"/>
          <w:highlight w:val="none"/>
          <w:u w:val="single"/>
        </w:rPr>
        <w:t>定标委员会</w:t>
      </w:r>
      <w:r>
        <w:rPr>
          <w:rFonts w:hint="eastAsia" w:ascii="宋体" w:hAnsi="宋体"/>
          <w:color w:val="auto"/>
          <w:highlight w:val="none"/>
          <w:u w:val="single"/>
        </w:rPr>
        <w:t>按照投标人须知前附表的规定依法确定中标人。</w:t>
      </w:r>
    </w:p>
    <w:p>
      <w:pPr>
        <w:pStyle w:val="4"/>
        <w:spacing w:line="240" w:lineRule="auto"/>
        <w:ind w:firstLine="137"/>
        <w:rPr>
          <w:rFonts w:ascii="宋体" w:hAnsi="宋体" w:eastAsia="宋体"/>
          <w:color w:val="auto"/>
          <w:highlight w:val="none"/>
        </w:rPr>
      </w:pPr>
      <w:bookmarkStart w:id="214" w:name="_Toc49510009"/>
      <w:bookmarkStart w:id="215" w:name="_Toc49506174"/>
      <w:r>
        <w:rPr>
          <w:rFonts w:ascii="宋体" w:hAnsi="宋体" w:eastAsia="宋体"/>
          <w:color w:val="auto"/>
          <w:highlight w:val="none"/>
        </w:rPr>
        <w:t xml:space="preserve">7.5 </w:t>
      </w:r>
      <w:r>
        <w:rPr>
          <w:rFonts w:hint="eastAsia" w:ascii="宋体" w:hAnsi="宋体" w:eastAsia="宋体"/>
          <w:color w:val="auto"/>
          <w:highlight w:val="none"/>
        </w:rPr>
        <w:t>中标通知</w:t>
      </w:r>
      <w:bookmarkEnd w:id="214"/>
      <w:bookmarkEnd w:id="215"/>
    </w:p>
    <w:p>
      <w:pPr>
        <w:spacing w:line="400" w:lineRule="exact"/>
        <w:ind w:firstLine="420" w:firstLineChars="200"/>
        <w:rPr>
          <w:rFonts w:ascii="宋体" w:hAnsi="宋体"/>
          <w:color w:val="auto"/>
          <w:highlight w:val="none"/>
        </w:rPr>
      </w:pPr>
      <w:r>
        <w:rPr>
          <w:rFonts w:hint="eastAsia" w:ascii="宋体" w:hAnsi="宋体"/>
          <w:color w:val="auto"/>
          <w:highlight w:val="none"/>
        </w:rPr>
        <w:t>在本章第</w:t>
      </w:r>
      <w:r>
        <w:rPr>
          <w:rFonts w:ascii="宋体" w:hAnsi="宋体"/>
          <w:color w:val="auto"/>
          <w:highlight w:val="none"/>
        </w:rPr>
        <w:t>3.3</w:t>
      </w:r>
      <w:r>
        <w:rPr>
          <w:rFonts w:hint="eastAsia" w:ascii="宋体" w:hAnsi="宋体"/>
          <w:color w:val="auto"/>
          <w:highlight w:val="none"/>
        </w:rPr>
        <w:t>款规定的投标有效期内，招标人以书面形式向中标人发出中标</w:t>
      </w:r>
      <w:bookmarkStart w:id="216" w:name="_Toc361508619"/>
      <w:bookmarkStart w:id="217" w:name="_Toc384308244"/>
      <w:bookmarkStart w:id="218" w:name="_Toc5668"/>
      <w:bookmarkStart w:id="219" w:name="_Toc352691506"/>
      <w:bookmarkStart w:id="220" w:name="_Toc300834983"/>
      <w:bookmarkStart w:id="221" w:name="_Toc369531550"/>
      <w:r>
        <w:rPr>
          <w:rFonts w:hint="eastAsia" w:ascii="宋体" w:hAnsi="宋体"/>
          <w:color w:val="auto"/>
          <w:highlight w:val="none"/>
        </w:rPr>
        <w:t>通知书，同时将中</w:t>
      </w:r>
      <w:bookmarkEnd w:id="216"/>
      <w:bookmarkEnd w:id="217"/>
      <w:bookmarkEnd w:id="218"/>
      <w:bookmarkEnd w:id="219"/>
      <w:bookmarkEnd w:id="220"/>
      <w:bookmarkEnd w:id="221"/>
      <w:r>
        <w:rPr>
          <w:rFonts w:hint="eastAsia" w:ascii="宋体" w:hAnsi="宋体"/>
          <w:color w:val="auto"/>
          <w:highlight w:val="none"/>
        </w:rPr>
        <w:t>标结果通知未中标的投标人。</w:t>
      </w:r>
    </w:p>
    <w:p>
      <w:pPr>
        <w:pStyle w:val="4"/>
        <w:spacing w:line="240" w:lineRule="auto"/>
        <w:ind w:firstLine="137"/>
        <w:rPr>
          <w:rFonts w:ascii="宋体" w:hAnsi="宋体" w:eastAsia="宋体"/>
          <w:color w:val="auto"/>
          <w:highlight w:val="none"/>
        </w:rPr>
      </w:pPr>
      <w:bookmarkStart w:id="222" w:name="_Toc49510010"/>
      <w:bookmarkStart w:id="223" w:name="_Toc49506175"/>
      <w:r>
        <w:rPr>
          <w:rFonts w:ascii="宋体" w:hAnsi="宋体" w:eastAsia="宋体"/>
          <w:color w:val="auto"/>
          <w:highlight w:val="none"/>
        </w:rPr>
        <w:t xml:space="preserve">7.6 </w:t>
      </w:r>
      <w:r>
        <w:rPr>
          <w:rFonts w:hint="eastAsia" w:ascii="宋体" w:hAnsi="宋体" w:eastAsia="宋体"/>
          <w:color w:val="auto"/>
          <w:highlight w:val="none"/>
        </w:rPr>
        <w:t>履约保证金</w:t>
      </w:r>
      <w:bookmarkEnd w:id="222"/>
      <w:bookmarkEnd w:id="223"/>
      <w:r>
        <w:rPr>
          <w:rFonts w:hint="eastAsia" w:ascii="宋体" w:hAnsi="宋体" w:eastAsia="宋体" w:cs="宋体"/>
          <w:b/>
          <w:color w:val="auto"/>
          <w:szCs w:val="28"/>
          <w:highlight w:val="none"/>
          <w:u w:val="single"/>
        </w:rPr>
        <w:t>（本项目不要求递交</w:t>
      </w:r>
      <w:r>
        <w:rPr>
          <w:rFonts w:hint="eastAsia" w:ascii="宋体" w:hAnsi="宋体" w:eastAsia="宋体" w:cs="宋体"/>
          <w:b/>
          <w:color w:val="auto"/>
          <w:szCs w:val="28"/>
          <w:highlight w:val="none"/>
          <w:u w:val="single"/>
          <w:lang w:val="en-US" w:eastAsia="zh-CN"/>
        </w:rPr>
        <w:t>履约</w:t>
      </w:r>
      <w:r>
        <w:rPr>
          <w:rFonts w:hint="eastAsia" w:ascii="宋体" w:hAnsi="宋体" w:eastAsia="宋体" w:cs="宋体"/>
          <w:b/>
          <w:color w:val="auto"/>
          <w:szCs w:val="28"/>
          <w:highlight w:val="none"/>
          <w:u w:val="single"/>
        </w:rPr>
        <w:t>保证金）</w:t>
      </w:r>
    </w:p>
    <w:p>
      <w:pPr>
        <w:spacing w:line="400" w:lineRule="exact"/>
        <w:ind w:firstLine="420" w:firstLineChars="200"/>
        <w:rPr>
          <w:rFonts w:ascii="宋体" w:hAnsi="宋体"/>
          <w:strike/>
          <w:color w:val="auto"/>
          <w:highlight w:val="none"/>
        </w:rPr>
      </w:pPr>
      <w:r>
        <w:rPr>
          <w:rFonts w:ascii="宋体" w:hAnsi="宋体"/>
          <w:strike/>
          <w:color w:val="auto"/>
          <w:highlight w:val="none"/>
        </w:rPr>
        <w:t>7.6.1</w:t>
      </w:r>
      <w:r>
        <w:rPr>
          <w:rFonts w:hint="eastAsia" w:ascii="宋体" w:hAnsi="宋体"/>
          <w:strike/>
          <w:color w:val="auto"/>
          <w:highlight w:val="none"/>
        </w:rPr>
        <w:t>在签订合同前，中标人应按投标人须知前附表规定的形式、金额和招标文件第四章</w:t>
      </w:r>
      <w:r>
        <w:rPr>
          <w:rFonts w:ascii="宋体" w:hAnsi="宋体"/>
          <w:strike/>
          <w:color w:val="auto"/>
          <w:highlight w:val="none"/>
        </w:rPr>
        <w:t>“</w:t>
      </w:r>
      <w:r>
        <w:rPr>
          <w:rFonts w:hint="eastAsia" w:ascii="宋体" w:hAnsi="宋体"/>
          <w:strike/>
          <w:color w:val="auto"/>
          <w:highlight w:val="none"/>
        </w:rPr>
        <w:t>合同条款及格式</w:t>
      </w:r>
      <w:r>
        <w:rPr>
          <w:rFonts w:ascii="宋体" w:hAnsi="宋体"/>
          <w:strike/>
          <w:color w:val="auto"/>
          <w:highlight w:val="none"/>
        </w:rPr>
        <w:t>”</w:t>
      </w:r>
      <w:r>
        <w:rPr>
          <w:rFonts w:hint="eastAsia" w:ascii="宋体" w:hAnsi="宋体"/>
          <w:strike/>
          <w:color w:val="auto"/>
          <w:highlight w:val="none"/>
        </w:rPr>
        <w:t>规定的或者事先经过招标人书面认可的履约保证金格式向招标人提交履约保证金。除投标人须知前附表另有规定外，履约保证金为中标合同金额的</w:t>
      </w:r>
      <w:r>
        <w:rPr>
          <w:rFonts w:ascii="宋体" w:hAnsi="宋体"/>
          <w:strike/>
          <w:color w:val="auto"/>
          <w:highlight w:val="none"/>
        </w:rPr>
        <w:t>10%</w:t>
      </w:r>
      <w:r>
        <w:rPr>
          <w:rFonts w:hint="eastAsia" w:ascii="宋体" w:hAnsi="宋体"/>
          <w:strike/>
          <w:color w:val="auto"/>
          <w:highlight w:val="none"/>
        </w:rPr>
        <w:t>。联合体中标的，其履约保证金以联合体各方或者联合体中牵头人的名义提交。</w:t>
      </w:r>
    </w:p>
    <w:p>
      <w:pPr>
        <w:spacing w:line="400" w:lineRule="exact"/>
        <w:ind w:firstLine="420" w:firstLineChars="200"/>
        <w:rPr>
          <w:rFonts w:ascii="宋体" w:hAnsi="宋体"/>
          <w:strike/>
          <w:color w:val="auto"/>
          <w:highlight w:val="none"/>
        </w:rPr>
      </w:pPr>
      <w:r>
        <w:rPr>
          <w:rFonts w:ascii="宋体" w:hAnsi="宋体"/>
          <w:strike/>
          <w:color w:val="auto"/>
          <w:highlight w:val="none"/>
        </w:rPr>
        <w:t>7.6.2</w:t>
      </w:r>
      <w:r>
        <w:rPr>
          <w:rFonts w:hint="eastAsia" w:ascii="宋体" w:hAnsi="宋体"/>
          <w:strike/>
          <w:color w:val="auto"/>
          <w:highlight w:val="none"/>
        </w:rPr>
        <w:t>中标人不能按本章第</w:t>
      </w:r>
      <w:r>
        <w:rPr>
          <w:rFonts w:ascii="宋体" w:hAnsi="宋体"/>
          <w:strike/>
          <w:color w:val="auto"/>
          <w:highlight w:val="none"/>
        </w:rPr>
        <w:t>7.6.1</w:t>
      </w:r>
      <w:r>
        <w:rPr>
          <w:rFonts w:hint="eastAsia" w:ascii="宋体" w:hAnsi="宋体"/>
          <w:strike/>
          <w:color w:val="auto"/>
          <w:highlight w:val="none"/>
        </w:rPr>
        <w:t>项要求提交履约保证金的，视为放弃中标，其投标保证金不予退还，给招标人造成的损失超过投标保证金数额的，中标人还应当对超过部分予以赔偿。</w:t>
      </w:r>
    </w:p>
    <w:p>
      <w:pPr>
        <w:pStyle w:val="4"/>
        <w:spacing w:line="240" w:lineRule="auto"/>
        <w:ind w:firstLine="137"/>
        <w:rPr>
          <w:rFonts w:ascii="宋体" w:hAnsi="宋体" w:eastAsia="宋体"/>
          <w:color w:val="auto"/>
          <w:highlight w:val="none"/>
        </w:rPr>
      </w:pPr>
      <w:bookmarkStart w:id="224" w:name="_Toc49510011"/>
      <w:bookmarkStart w:id="225" w:name="_Toc49506176"/>
      <w:r>
        <w:rPr>
          <w:rFonts w:ascii="宋体" w:hAnsi="宋体" w:eastAsia="宋体"/>
          <w:color w:val="auto"/>
          <w:highlight w:val="none"/>
        </w:rPr>
        <w:t xml:space="preserve">7.7 </w:t>
      </w:r>
      <w:r>
        <w:rPr>
          <w:rFonts w:hint="eastAsia" w:ascii="宋体" w:hAnsi="宋体" w:eastAsia="宋体"/>
          <w:color w:val="auto"/>
          <w:highlight w:val="none"/>
        </w:rPr>
        <w:t>签订合同</w:t>
      </w:r>
      <w:bookmarkEnd w:id="224"/>
      <w:bookmarkEnd w:id="225"/>
    </w:p>
    <w:p>
      <w:pPr>
        <w:spacing w:line="400" w:lineRule="exact"/>
        <w:ind w:firstLine="420" w:firstLineChars="200"/>
        <w:rPr>
          <w:rFonts w:ascii="宋体" w:hAnsi="宋体"/>
          <w:color w:val="auto"/>
          <w:highlight w:val="none"/>
        </w:rPr>
      </w:pPr>
      <w:r>
        <w:rPr>
          <w:rFonts w:ascii="宋体" w:hAnsi="宋体"/>
          <w:color w:val="auto"/>
          <w:highlight w:val="none"/>
        </w:rPr>
        <w:t>7.7.1</w:t>
      </w:r>
      <w:r>
        <w:rPr>
          <w:rFonts w:hint="eastAsia" w:ascii="宋体" w:hAnsi="宋体"/>
          <w:color w:val="auto"/>
          <w:highlight w:val="none"/>
        </w:rPr>
        <w:t>招标人和中标人应当在中标通知书发出之日起</w:t>
      </w:r>
      <w:r>
        <w:rPr>
          <w:rFonts w:ascii="宋体" w:hAnsi="宋体"/>
          <w:color w:val="auto"/>
          <w:highlight w:val="none"/>
        </w:rPr>
        <w:t>30</w:t>
      </w:r>
      <w:r>
        <w:rPr>
          <w:rFonts w:hint="eastAsia" w:ascii="宋体" w:hAnsi="宋体"/>
          <w:color w:val="auto"/>
          <w:highlight w:val="none"/>
        </w:rPr>
        <w:t>日内，根据招标文件和中标人的投标文件订立书面合同。中标人</w:t>
      </w:r>
      <w:r>
        <w:rPr>
          <w:rFonts w:ascii="宋体" w:hAnsi="宋体"/>
          <w:color w:val="auto"/>
          <w:highlight w:val="none"/>
        </w:rPr>
        <w:t>无正当理由</w:t>
      </w:r>
      <w:r>
        <w:rPr>
          <w:rFonts w:hint="eastAsia" w:ascii="宋体" w:hAnsi="宋体"/>
          <w:color w:val="auto"/>
          <w:highlight w:val="none"/>
        </w:rPr>
        <w:t>拒签</w:t>
      </w:r>
      <w:r>
        <w:rPr>
          <w:rFonts w:ascii="宋体" w:hAnsi="宋体"/>
          <w:color w:val="auto"/>
          <w:highlight w:val="none"/>
        </w:rPr>
        <w:t>合同，在签订合同时向招标人提出附加条件，</w:t>
      </w:r>
      <w:r>
        <w:rPr>
          <w:rFonts w:ascii="宋体" w:hAnsi="宋体"/>
          <w:strike/>
          <w:color w:val="auto"/>
          <w:highlight w:val="none"/>
        </w:rPr>
        <w:t>或者不按照招标文件要求提交履约保证金的</w:t>
      </w:r>
      <w:r>
        <w:rPr>
          <w:rFonts w:hint="eastAsia" w:ascii="宋体" w:hAnsi="宋体"/>
          <w:strike/>
          <w:color w:val="auto"/>
          <w:highlight w:val="none"/>
        </w:rPr>
        <w:t>，</w:t>
      </w:r>
      <w:r>
        <w:rPr>
          <w:rFonts w:hint="eastAsia" w:ascii="宋体" w:hAnsi="宋体"/>
          <w:color w:val="auto"/>
          <w:highlight w:val="none"/>
        </w:rPr>
        <w:t>招标人有权取消其中标资格</w:t>
      </w:r>
      <w:r>
        <w:rPr>
          <w:rFonts w:hint="eastAsia" w:ascii="宋体" w:hAnsi="宋体"/>
          <w:strike/>
          <w:color w:val="auto"/>
          <w:highlight w:val="none"/>
        </w:rPr>
        <w:t>，其投标保证金不予退还</w:t>
      </w:r>
      <w:r>
        <w:rPr>
          <w:rFonts w:hint="eastAsia" w:ascii="宋体" w:hAnsi="宋体"/>
          <w:color w:val="auto"/>
          <w:highlight w:val="none"/>
        </w:rPr>
        <w:t>；给招标人造成的损失</w:t>
      </w:r>
      <w:r>
        <w:rPr>
          <w:rFonts w:hint="eastAsia" w:ascii="宋体" w:hAnsi="宋体"/>
          <w:strike/>
          <w:color w:val="auto"/>
          <w:highlight w:val="none"/>
        </w:rPr>
        <w:t>超过投标保证金数额</w:t>
      </w:r>
      <w:r>
        <w:rPr>
          <w:rFonts w:hint="eastAsia" w:ascii="宋体" w:hAnsi="宋体"/>
          <w:color w:val="auto"/>
          <w:highlight w:val="none"/>
        </w:rPr>
        <w:t>的，中标人还应当</w:t>
      </w:r>
      <w:r>
        <w:rPr>
          <w:rFonts w:hint="eastAsia" w:ascii="宋体" w:hAnsi="宋体"/>
          <w:strike/>
          <w:color w:val="auto"/>
          <w:highlight w:val="none"/>
        </w:rPr>
        <w:t>对超过部分</w:t>
      </w:r>
      <w:r>
        <w:rPr>
          <w:rFonts w:hint="eastAsia" w:ascii="宋体" w:hAnsi="宋体"/>
          <w:color w:val="auto"/>
          <w:highlight w:val="none"/>
        </w:rPr>
        <w:t>予以赔偿。</w:t>
      </w:r>
    </w:p>
    <w:p>
      <w:pPr>
        <w:spacing w:line="400" w:lineRule="exact"/>
        <w:ind w:firstLine="420" w:firstLineChars="200"/>
        <w:rPr>
          <w:rFonts w:ascii="宋体" w:hAnsi="宋体"/>
          <w:color w:val="auto"/>
          <w:highlight w:val="none"/>
        </w:rPr>
      </w:pPr>
      <w:r>
        <w:rPr>
          <w:rFonts w:ascii="宋体" w:hAnsi="宋体"/>
          <w:color w:val="auto"/>
          <w:highlight w:val="none"/>
        </w:rPr>
        <w:t>7.7.2</w:t>
      </w:r>
      <w:r>
        <w:rPr>
          <w:rFonts w:hint="eastAsia" w:ascii="宋体" w:hAnsi="宋体"/>
          <w:color w:val="auto"/>
          <w:highlight w:val="none"/>
        </w:rPr>
        <w:t>发出中标通知书后，招标人无正当理由拒签合同，或者</w:t>
      </w:r>
      <w:r>
        <w:rPr>
          <w:rFonts w:ascii="宋体" w:hAnsi="宋体"/>
          <w:color w:val="auto"/>
          <w:highlight w:val="none"/>
        </w:rPr>
        <w:t>在签订合同时</w:t>
      </w:r>
      <w:r>
        <w:rPr>
          <w:rFonts w:hint="eastAsia" w:ascii="宋体" w:hAnsi="宋体"/>
          <w:color w:val="auto"/>
          <w:highlight w:val="none"/>
        </w:rPr>
        <w:t>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pPr>
        <w:spacing w:line="400" w:lineRule="exact"/>
        <w:ind w:firstLine="420" w:firstLineChars="200"/>
        <w:rPr>
          <w:rFonts w:ascii="宋体" w:hAnsi="宋体"/>
          <w:color w:val="auto"/>
          <w:highlight w:val="none"/>
        </w:rPr>
      </w:pPr>
      <w:r>
        <w:rPr>
          <w:rFonts w:ascii="宋体" w:hAnsi="宋体"/>
          <w:strike/>
          <w:color w:val="auto"/>
          <w:highlight w:val="none"/>
        </w:rPr>
        <w:t>7.7.3</w:t>
      </w:r>
      <w:r>
        <w:rPr>
          <w:rFonts w:hint="eastAsia" w:ascii="宋体" w:hAnsi="宋体"/>
          <w:strike/>
          <w:color w:val="auto"/>
          <w:highlight w:val="none"/>
        </w:rPr>
        <w:t>联合体中标的，联合体各方应当共同与招标人签订合同，就中标项目向招标人承担连带责任。</w:t>
      </w:r>
    </w:p>
    <w:p>
      <w:pPr>
        <w:pStyle w:val="3"/>
        <w:rPr>
          <w:rFonts w:ascii="宋体" w:hAnsi="宋体" w:eastAsia="宋体"/>
          <w:color w:val="auto"/>
          <w:highlight w:val="none"/>
        </w:rPr>
      </w:pPr>
      <w:bookmarkStart w:id="226" w:name="_Toc384308252"/>
      <w:bookmarkStart w:id="227" w:name="_Toc24067"/>
      <w:bookmarkStart w:id="228" w:name="_Toc361508627"/>
      <w:bookmarkStart w:id="229" w:name="_Toc49510012"/>
      <w:bookmarkStart w:id="230" w:name="_Toc247527593"/>
      <w:bookmarkStart w:id="231" w:name="_Toc144974536"/>
      <w:bookmarkStart w:id="232" w:name="_Toc247513992"/>
      <w:bookmarkStart w:id="233" w:name="_Toc152042344"/>
      <w:bookmarkStart w:id="234" w:name="_Toc152045568"/>
      <w:bookmarkStart w:id="235" w:name="_Toc300834991"/>
      <w:r>
        <w:rPr>
          <w:rFonts w:ascii="宋体" w:hAnsi="宋体" w:eastAsia="宋体"/>
          <w:color w:val="auto"/>
          <w:highlight w:val="none"/>
        </w:rPr>
        <w:t>8.</w:t>
      </w:r>
      <w:bookmarkEnd w:id="226"/>
      <w:bookmarkEnd w:id="227"/>
      <w:bookmarkEnd w:id="228"/>
      <w:r>
        <w:rPr>
          <w:rFonts w:hint="eastAsia" w:ascii="宋体" w:hAnsi="宋体" w:eastAsia="宋体"/>
          <w:color w:val="auto"/>
          <w:highlight w:val="none"/>
        </w:rPr>
        <w:t>纪律和监督</w:t>
      </w:r>
      <w:bookmarkEnd w:id="229"/>
    </w:p>
    <w:p>
      <w:pPr>
        <w:pStyle w:val="4"/>
        <w:spacing w:line="240" w:lineRule="auto"/>
        <w:ind w:firstLine="137"/>
        <w:rPr>
          <w:rFonts w:ascii="宋体" w:hAnsi="宋体" w:eastAsia="宋体"/>
          <w:color w:val="auto"/>
          <w:highlight w:val="none"/>
        </w:rPr>
      </w:pPr>
      <w:bookmarkStart w:id="236" w:name="_Toc49510013"/>
      <w:bookmarkStart w:id="237" w:name="_Toc49506178"/>
      <w:r>
        <w:rPr>
          <w:rFonts w:ascii="宋体" w:hAnsi="宋体" w:eastAsia="宋体"/>
          <w:color w:val="auto"/>
          <w:highlight w:val="none"/>
        </w:rPr>
        <w:t xml:space="preserve">8.1 </w:t>
      </w:r>
      <w:r>
        <w:rPr>
          <w:rFonts w:hint="eastAsia" w:ascii="宋体" w:hAnsi="宋体" w:eastAsia="宋体"/>
          <w:color w:val="auto"/>
          <w:highlight w:val="none"/>
        </w:rPr>
        <w:t>对招标人的纪律要求</w:t>
      </w:r>
      <w:bookmarkEnd w:id="236"/>
      <w:bookmarkEnd w:id="237"/>
    </w:p>
    <w:p>
      <w:pPr>
        <w:spacing w:line="400" w:lineRule="exact"/>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pPr>
        <w:pStyle w:val="4"/>
        <w:spacing w:line="240" w:lineRule="auto"/>
        <w:ind w:firstLine="137"/>
        <w:rPr>
          <w:rFonts w:ascii="宋体" w:hAnsi="宋体" w:eastAsia="宋体"/>
          <w:color w:val="auto"/>
          <w:highlight w:val="none"/>
        </w:rPr>
      </w:pPr>
      <w:bookmarkStart w:id="238" w:name="_Toc49506179"/>
      <w:bookmarkStart w:id="239" w:name="_Toc49510014"/>
      <w:r>
        <w:rPr>
          <w:rFonts w:ascii="宋体" w:hAnsi="宋体" w:eastAsia="宋体"/>
          <w:color w:val="auto"/>
          <w:highlight w:val="none"/>
        </w:rPr>
        <w:t xml:space="preserve">8.2 </w:t>
      </w:r>
      <w:r>
        <w:rPr>
          <w:rFonts w:hint="eastAsia" w:ascii="宋体" w:hAnsi="宋体" w:eastAsia="宋体"/>
          <w:color w:val="auto"/>
          <w:highlight w:val="none"/>
        </w:rPr>
        <w:t>对投标人的纪律要求</w:t>
      </w:r>
      <w:bookmarkEnd w:id="238"/>
      <w:bookmarkEnd w:id="239"/>
    </w:p>
    <w:p>
      <w:pPr>
        <w:spacing w:line="400" w:lineRule="exact"/>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line="240" w:lineRule="auto"/>
        <w:ind w:firstLine="137"/>
        <w:rPr>
          <w:rFonts w:ascii="宋体" w:hAnsi="宋体" w:eastAsia="宋体"/>
          <w:color w:val="auto"/>
          <w:highlight w:val="none"/>
        </w:rPr>
      </w:pPr>
      <w:bookmarkStart w:id="240" w:name="_Toc49506180"/>
      <w:bookmarkStart w:id="241" w:name="_Toc49510015"/>
      <w:r>
        <w:rPr>
          <w:rFonts w:ascii="宋体" w:hAnsi="宋体" w:eastAsia="宋体"/>
          <w:color w:val="auto"/>
          <w:highlight w:val="none"/>
        </w:rPr>
        <w:t xml:space="preserve">8.3 </w:t>
      </w:r>
      <w:r>
        <w:rPr>
          <w:rFonts w:hint="eastAsia" w:ascii="宋体" w:hAnsi="宋体" w:eastAsia="宋体"/>
          <w:color w:val="auto"/>
          <w:highlight w:val="none"/>
        </w:rPr>
        <w:t>对评标委员会成员的纪律要求</w:t>
      </w:r>
      <w:bookmarkEnd w:id="240"/>
      <w:bookmarkEnd w:id="241"/>
    </w:p>
    <w:p>
      <w:pPr>
        <w:spacing w:line="400" w:lineRule="exact"/>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42" w:name="_Toc384308253"/>
      <w:bookmarkStart w:id="243" w:name="_Toc369531559"/>
      <w:bookmarkStart w:id="244" w:name="_Toc13644"/>
      <w:bookmarkStart w:id="245" w:name="_Toc361508628"/>
      <w:bookmarkStart w:id="246" w:name="_Toc352691515"/>
      <w:r>
        <w:rPr>
          <w:rFonts w:hint="eastAsia" w:ascii="宋体" w:hAnsi="宋体"/>
          <w:color w:val="auto"/>
          <w:highlight w:val="none"/>
        </w:rPr>
        <w:t>和比较、中标候选人</w:t>
      </w:r>
      <w:bookmarkEnd w:id="230"/>
      <w:bookmarkEnd w:id="231"/>
      <w:bookmarkEnd w:id="232"/>
      <w:bookmarkEnd w:id="233"/>
      <w:bookmarkEnd w:id="234"/>
      <w:bookmarkEnd w:id="235"/>
      <w:bookmarkEnd w:id="242"/>
      <w:bookmarkEnd w:id="243"/>
      <w:bookmarkEnd w:id="244"/>
      <w:bookmarkEnd w:id="245"/>
      <w:bookmarkEnd w:id="246"/>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w:t>
      </w:r>
      <w:r>
        <w:rPr>
          <w:rFonts w:ascii="宋体" w:hAnsi="宋体"/>
          <w:color w:val="auto"/>
          <w:highlight w:val="none"/>
        </w:rPr>
        <w:t>评标办法（</w:t>
      </w:r>
      <w:r>
        <w:rPr>
          <w:rFonts w:hint="eastAsia" w:ascii="宋体" w:hAnsi="宋体"/>
          <w:color w:val="auto"/>
          <w:highlight w:val="none"/>
        </w:rPr>
        <w:t>“</w:t>
      </w:r>
      <w:r>
        <w:rPr>
          <w:rFonts w:ascii="宋体" w:hAnsi="宋体"/>
          <w:color w:val="auto"/>
          <w:highlight w:val="none"/>
        </w:rPr>
        <w:t>评定分离</w:t>
      </w:r>
      <w:r>
        <w:rPr>
          <w:rFonts w:hint="eastAsia" w:ascii="宋体" w:hAnsi="宋体"/>
          <w:color w:val="auto"/>
          <w:highlight w:val="none"/>
        </w:rPr>
        <w:t>”</w:t>
      </w:r>
      <w:r>
        <w:rPr>
          <w:rFonts w:ascii="宋体" w:hAnsi="宋体"/>
          <w:color w:val="auto"/>
          <w:highlight w:val="none"/>
        </w:rPr>
        <w:t>定标办法）</w:t>
      </w:r>
      <w:r>
        <w:rPr>
          <w:rFonts w:hint="eastAsia" w:ascii="宋体" w:hAnsi="宋体"/>
          <w:color w:val="auto"/>
          <w:highlight w:val="none"/>
        </w:rPr>
        <w:t>没有规定的评审因素和标准进行评标。</w:t>
      </w:r>
    </w:p>
    <w:p>
      <w:pPr>
        <w:pStyle w:val="4"/>
        <w:spacing w:line="240" w:lineRule="auto"/>
        <w:ind w:firstLine="137"/>
        <w:rPr>
          <w:rFonts w:ascii="宋体" w:hAnsi="宋体" w:eastAsia="宋体"/>
          <w:color w:val="auto"/>
          <w:highlight w:val="none"/>
        </w:rPr>
      </w:pPr>
      <w:bookmarkStart w:id="247" w:name="_Toc49506181"/>
      <w:bookmarkStart w:id="248" w:name="_Toc49510016"/>
      <w:r>
        <w:rPr>
          <w:rFonts w:ascii="宋体" w:hAnsi="宋体" w:eastAsia="宋体"/>
          <w:color w:val="auto"/>
          <w:highlight w:val="none"/>
        </w:rPr>
        <w:t xml:space="preserve">8.4 </w:t>
      </w:r>
      <w:r>
        <w:rPr>
          <w:rFonts w:hint="eastAsia" w:ascii="宋体" w:hAnsi="宋体" w:eastAsia="宋体"/>
          <w:color w:val="auto"/>
          <w:highlight w:val="none"/>
        </w:rPr>
        <w:t>对与评标活动有关的工作人员的纪律要求</w:t>
      </w:r>
      <w:bookmarkEnd w:id="247"/>
      <w:bookmarkEnd w:id="248"/>
    </w:p>
    <w:p>
      <w:pPr>
        <w:spacing w:line="400" w:lineRule="exact"/>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49" w:name="_Toc152045569"/>
      <w:bookmarkStart w:id="250" w:name="_Toc247527594"/>
      <w:bookmarkStart w:id="251" w:name="_Toc144974537"/>
      <w:bookmarkStart w:id="252" w:name="_Toc300834992"/>
      <w:bookmarkStart w:id="253" w:name="_Toc384308254"/>
      <w:bookmarkStart w:id="254" w:name="_Toc247513993"/>
      <w:bookmarkStart w:id="255" w:name="_Toc352691516"/>
      <w:bookmarkStart w:id="256" w:name="_Toc152042345"/>
      <w:bookmarkStart w:id="257" w:name="_Toc19429"/>
      <w:bookmarkStart w:id="258" w:name="_Toc361508629"/>
      <w:bookmarkStart w:id="259" w:name="_Toc369531560"/>
      <w:r>
        <w:rPr>
          <w:rFonts w:hint="eastAsia" w:ascii="宋体" w:hAnsi="宋体"/>
          <w:color w:val="auto"/>
          <w:highlight w:val="none"/>
        </w:rPr>
        <w:t>的评审和比较、中标</w:t>
      </w:r>
      <w:bookmarkEnd w:id="249"/>
      <w:bookmarkEnd w:id="250"/>
      <w:bookmarkEnd w:id="251"/>
      <w:bookmarkEnd w:id="252"/>
      <w:bookmarkEnd w:id="253"/>
      <w:bookmarkEnd w:id="254"/>
      <w:bookmarkEnd w:id="255"/>
      <w:bookmarkEnd w:id="256"/>
      <w:bookmarkEnd w:id="257"/>
      <w:bookmarkEnd w:id="258"/>
      <w:bookmarkEnd w:id="259"/>
      <w:r>
        <w:rPr>
          <w:rFonts w:hint="eastAsia" w:ascii="宋体" w:hAnsi="宋体"/>
          <w:color w:val="auto"/>
          <w:highlight w:val="none"/>
        </w:rPr>
        <w:t>候选人的推荐情况以及评标有关的其他情况。在评标活动中，与评标活动有关的工作人员不得擅离职守，影响评标程序正常进行。</w:t>
      </w:r>
    </w:p>
    <w:p>
      <w:pPr>
        <w:pStyle w:val="4"/>
        <w:spacing w:line="240" w:lineRule="auto"/>
        <w:ind w:firstLine="137"/>
        <w:rPr>
          <w:rFonts w:ascii="宋体" w:hAnsi="宋体" w:eastAsia="宋体"/>
          <w:color w:val="auto"/>
          <w:highlight w:val="none"/>
        </w:rPr>
      </w:pPr>
      <w:bookmarkStart w:id="260" w:name="_Toc49510017"/>
      <w:bookmarkStart w:id="261" w:name="_Toc49506182"/>
      <w:r>
        <w:rPr>
          <w:rFonts w:ascii="宋体" w:hAnsi="宋体" w:eastAsia="宋体"/>
          <w:color w:val="auto"/>
          <w:highlight w:val="none"/>
        </w:rPr>
        <w:t xml:space="preserve">8.5 </w:t>
      </w:r>
      <w:r>
        <w:rPr>
          <w:rFonts w:hint="eastAsia" w:ascii="宋体" w:hAnsi="宋体" w:eastAsia="宋体"/>
          <w:color w:val="auto"/>
          <w:highlight w:val="none"/>
        </w:rPr>
        <w:t>投诉</w:t>
      </w:r>
      <w:bookmarkEnd w:id="260"/>
      <w:bookmarkEnd w:id="261"/>
    </w:p>
    <w:p>
      <w:pPr>
        <w:spacing w:line="400" w:lineRule="exact"/>
        <w:ind w:firstLine="420" w:firstLineChars="200"/>
        <w:rPr>
          <w:rFonts w:ascii="宋体" w:hAnsi="宋体"/>
          <w:color w:val="auto"/>
          <w:highlight w:val="none"/>
        </w:rPr>
      </w:pPr>
      <w:r>
        <w:rPr>
          <w:rFonts w:ascii="宋体" w:hAnsi="宋体"/>
          <w:color w:val="auto"/>
          <w:highlight w:val="none"/>
        </w:rPr>
        <w:t>8.5.1</w:t>
      </w:r>
      <w:r>
        <w:rPr>
          <w:rFonts w:hint="eastAsia" w:ascii="宋体" w:hAnsi="宋体"/>
          <w:color w:val="auto"/>
          <w:highlight w:val="none"/>
        </w:rPr>
        <w:t>投标人或者其他利害关系人认为招标投标活动不符合法律、行政法规规定的，可以自知道或者应当知道之日起</w:t>
      </w:r>
      <w:r>
        <w:rPr>
          <w:rFonts w:ascii="宋体" w:hAnsi="宋体"/>
          <w:color w:val="auto"/>
          <w:highlight w:val="none"/>
        </w:rPr>
        <w:t>10</w:t>
      </w:r>
      <w:r>
        <w:rPr>
          <w:rFonts w:hint="eastAsia" w:ascii="宋体" w:hAnsi="宋体"/>
          <w:color w:val="auto"/>
          <w:highlight w:val="none"/>
        </w:rPr>
        <w:t>日内向有关行政监督部门投诉。投诉应当有明确的请求和必要的证明材料。</w:t>
      </w:r>
    </w:p>
    <w:p>
      <w:pPr>
        <w:spacing w:line="400" w:lineRule="exact"/>
        <w:ind w:firstLine="420" w:firstLineChars="200"/>
        <w:rPr>
          <w:rFonts w:ascii="宋体" w:hAnsi="宋体"/>
          <w:color w:val="auto"/>
          <w:highlight w:val="none"/>
        </w:rPr>
      </w:pPr>
      <w:r>
        <w:rPr>
          <w:rFonts w:ascii="宋体" w:hAnsi="宋体"/>
          <w:color w:val="auto"/>
          <w:highlight w:val="none"/>
        </w:rPr>
        <w:t xml:space="preserve">8.5.2 </w:t>
      </w:r>
      <w:r>
        <w:rPr>
          <w:rFonts w:hint="eastAsia" w:ascii="宋体" w:hAnsi="宋体"/>
          <w:color w:val="auto"/>
          <w:highlight w:val="none"/>
        </w:rPr>
        <w:t>投标人或者其他利害关系人对招标文件、开标和评标结果提出投诉的，应当按照投标人须知第</w:t>
      </w:r>
      <w:r>
        <w:rPr>
          <w:rFonts w:ascii="宋体" w:hAnsi="宋体"/>
          <w:color w:val="auto"/>
          <w:highlight w:val="none"/>
        </w:rPr>
        <w:t>2.4</w:t>
      </w:r>
      <w:r>
        <w:rPr>
          <w:rFonts w:hint="eastAsia" w:ascii="宋体" w:hAnsi="宋体"/>
          <w:color w:val="auto"/>
          <w:highlight w:val="none"/>
        </w:rPr>
        <w:t>款、第</w:t>
      </w:r>
      <w:r>
        <w:rPr>
          <w:rFonts w:ascii="宋体" w:hAnsi="宋体"/>
          <w:color w:val="auto"/>
          <w:highlight w:val="none"/>
        </w:rPr>
        <w:t>5.3</w:t>
      </w:r>
      <w:r>
        <w:rPr>
          <w:rFonts w:hint="eastAsia" w:ascii="宋体" w:hAnsi="宋体"/>
          <w:color w:val="auto"/>
          <w:highlight w:val="none"/>
        </w:rPr>
        <w:t>款和第</w:t>
      </w:r>
      <w:r>
        <w:rPr>
          <w:rFonts w:ascii="宋体" w:hAnsi="宋体"/>
          <w:color w:val="auto"/>
          <w:highlight w:val="none"/>
        </w:rPr>
        <w:t>7.2</w:t>
      </w:r>
      <w:r>
        <w:rPr>
          <w:rFonts w:hint="eastAsia" w:ascii="宋体" w:hAnsi="宋体"/>
          <w:color w:val="auto"/>
          <w:highlight w:val="none"/>
        </w:rPr>
        <w:t>款的规定先向招标人提出异议。异议答复期间</w:t>
      </w:r>
      <w:bookmarkStart w:id="262" w:name="_Toc369531561"/>
      <w:bookmarkStart w:id="263" w:name="_Toc384308255"/>
      <w:bookmarkStart w:id="264" w:name="_Toc152042346"/>
      <w:bookmarkStart w:id="265" w:name="_Toc12776"/>
      <w:bookmarkStart w:id="266" w:name="_Toc152045570"/>
      <w:bookmarkStart w:id="267" w:name="_Toc300834993"/>
      <w:bookmarkStart w:id="268" w:name="_Toc247527595"/>
      <w:bookmarkStart w:id="269" w:name="_Toc247513994"/>
      <w:bookmarkStart w:id="270" w:name="_Toc352691517"/>
      <w:bookmarkStart w:id="271" w:name="_Toc361508630"/>
      <w:bookmarkStart w:id="272" w:name="_Toc144974538"/>
      <w:r>
        <w:rPr>
          <w:rFonts w:hint="eastAsia" w:ascii="宋体" w:hAnsi="宋体"/>
          <w:color w:val="auto"/>
          <w:highlight w:val="none"/>
        </w:rPr>
        <w:t>不计算在第</w:t>
      </w:r>
      <w:r>
        <w:rPr>
          <w:rFonts w:ascii="宋体" w:hAnsi="宋体"/>
          <w:color w:val="auto"/>
          <w:highlight w:val="none"/>
        </w:rPr>
        <w:t>8.5.</w:t>
      </w:r>
      <w:bookmarkEnd w:id="262"/>
      <w:bookmarkEnd w:id="263"/>
      <w:bookmarkEnd w:id="264"/>
      <w:bookmarkEnd w:id="265"/>
      <w:bookmarkEnd w:id="266"/>
      <w:bookmarkEnd w:id="267"/>
      <w:bookmarkEnd w:id="268"/>
      <w:bookmarkEnd w:id="269"/>
      <w:bookmarkEnd w:id="270"/>
      <w:bookmarkEnd w:id="271"/>
      <w:bookmarkEnd w:id="272"/>
      <w:r>
        <w:rPr>
          <w:rFonts w:ascii="宋体" w:hAnsi="宋体"/>
          <w:color w:val="auto"/>
          <w:highlight w:val="none"/>
        </w:rPr>
        <w:t>1</w:t>
      </w:r>
      <w:r>
        <w:rPr>
          <w:rFonts w:hint="eastAsia" w:ascii="宋体" w:hAnsi="宋体"/>
          <w:color w:val="auto"/>
          <w:highlight w:val="none"/>
        </w:rPr>
        <w:t>项规定的期限内。</w:t>
      </w:r>
    </w:p>
    <w:p>
      <w:pPr>
        <w:pStyle w:val="3"/>
        <w:spacing w:line="240" w:lineRule="auto"/>
        <w:rPr>
          <w:rFonts w:ascii="宋体" w:hAnsi="宋体" w:eastAsia="宋体"/>
          <w:color w:val="auto"/>
          <w:highlight w:val="none"/>
        </w:rPr>
      </w:pPr>
      <w:bookmarkStart w:id="273" w:name="_Toc49510018"/>
      <w:bookmarkStart w:id="274" w:name="_Toc477134992"/>
      <w:r>
        <w:rPr>
          <w:rFonts w:ascii="宋体" w:hAnsi="宋体" w:eastAsia="宋体"/>
          <w:color w:val="auto"/>
          <w:highlight w:val="none"/>
        </w:rPr>
        <w:t>9. 是否采用电子招标投标</w:t>
      </w:r>
      <w:bookmarkEnd w:id="273"/>
      <w:bookmarkEnd w:id="274"/>
    </w:p>
    <w:p>
      <w:pPr>
        <w:spacing w:line="400" w:lineRule="exact"/>
        <w:ind w:firstLine="420" w:firstLineChars="200"/>
        <w:rPr>
          <w:rFonts w:ascii="宋体" w:hAnsi="宋体"/>
          <w:color w:val="auto"/>
          <w:highlight w:val="none"/>
        </w:rPr>
      </w:pPr>
      <w:r>
        <w:rPr>
          <w:rFonts w:hint="eastAsia" w:ascii="宋体" w:hAnsi="宋体"/>
          <w:color w:val="auto"/>
          <w:highlight w:val="none"/>
        </w:rPr>
        <w:t>本招标项目是否采用电子招标投标方式，</w:t>
      </w:r>
      <w:r>
        <w:rPr>
          <w:rFonts w:ascii="宋体" w:hAnsi="宋体"/>
          <w:color w:val="auto"/>
          <w:highlight w:val="none"/>
        </w:rPr>
        <w:t>见投标人须知前附表。</w:t>
      </w:r>
    </w:p>
    <w:p>
      <w:pPr>
        <w:pStyle w:val="3"/>
        <w:spacing w:line="240" w:lineRule="auto"/>
        <w:rPr>
          <w:rFonts w:ascii="宋体" w:hAnsi="宋体" w:eastAsia="宋体"/>
          <w:color w:val="auto"/>
          <w:highlight w:val="none"/>
        </w:rPr>
      </w:pPr>
      <w:bookmarkStart w:id="275" w:name="_Toc49510019"/>
      <w:r>
        <w:rPr>
          <w:rFonts w:ascii="宋体" w:hAnsi="宋体" w:eastAsia="宋体"/>
          <w:color w:val="auto"/>
          <w:highlight w:val="none"/>
        </w:rPr>
        <w:t xml:space="preserve">10. </w:t>
      </w:r>
      <w:r>
        <w:rPr>
          <w:rFonts w:hint="eastAsia" w:ascii="宋体" w:hAnsi="宋体" w:eastAsia="宋体"/>
          <w:color w:val="auto"/>
          <w:highlight w:val="none"/>
        </w:rPr>
        <w:t>需要补充的其他内容</w:t>
      </w:r>
      <w:bookmarkEnd w:id="275"/>
    </w:p>
    <w:p>
      <w:pPr>
        <w:spacing w:line="400" w:lineRule="exact"/>
        <w:ind w:firstLine="420" w:firstLineChars="200"/>
        <w:rPr>
          <w:rFonts w:ascii="宋体" w:hAnsi="宋体"/>
          <w:color w:val="auto"/>
          <w:highlight w:val="none"/>
        </w:rPr>
      </w:pPr>
      <w:r>
        <w:rPr>
          <w:rFonts w:hint="eastAsia" w:ascii="宋体" w:hAnsi="宋体"/>
          <w:color w:val="auto"/>
          <w:highlight w:val="none"/>
        </w:rPr>
        <w:t>需要补充的其他内容：见投标人须知前附表。</w:t>
      </w:r>
    </w:p>
    <w:p>
      <w:pPr>
        <w:jc w:val="left"/>
        <w:rPr>
          <w:rFonts w:ascii="宋体" w:hAnsi="宋体"/>
          <w:color w:val="auto"/>
          <w:sz w:val="28"/>
          <w:highlight w:val="none"/>
        </w:rPr>
      </w:pPr>
      <w:r>
        <w:rPr>
          <w:rFonts w:hint="eastAsia" w:ascii="宋体" w:hAnsi="宋体"/>
          <w:color w:val="auto"/>
          <w:highlight w:val="none"/>
        </w:rPr>
        <w:br w:type="page"/>
      </w:r>
      <w:r>
        <w:rPr>
          <w:rFonts w:ascii="宋体" w:hAnsi="宋体"/>
          <w:color w:val="auto"/>
          <w:position w:val="-4"/>
          <w:sz w:val="28"/>
          <w:highlight w:val="none"/>
        </w:rPr>
        <w:t>附件</w:t>
      </w:r>
      <w:r>
        <w:rPr>
          <w:rFonts w:hint="eastAsia" w:ascii="宋体" w:hAnsi="宋体"/>
          <w:color w:val="auto"/>
          <w:position w:val="-4"/>
          <w:sz w:val="28"/>
          <w:highlight w:val="none"/>
        </w:rPr>
        <w:t>一</w:t>
      </w:r>
      <w:r>
        <w:rPr>
          <w:rFonts w:ascii="宋体" w:hAnsi="宋体"/>
          <w:color w:val="auto"/>
          <w:spacing w:val="-3"/>
          <w:position w:val="-4"/>
          <w:sz w:val="28"/>
          <w:highlight w:val="none"/>
        </w:rPr>
        <w:t>：</w:t>
      </w:r>
      <w:r>
        <w:rPr>
          <w:rFonts w:ascii="宋体" w:hAnsi="宋体"/>
          <w:color w:val="auto"/>
          <w:position w:val="-4"/>
          <w:sz w:val="28"/>
          <w:highlight w:val="none"/>
        </w:rPr>
        <w:t>开标</w:t>
      </w:r>
      <w:r>
        <w:rPr>
          <w:rFonts w:ascii="宋体" w:hAnsi="宋体"/>
          <w:color w:val="auto"/>
          <w:spacing w:val="-3"/>
          <w:position w:val="-4"/>
          <w:sz w:val="28"/>
          <w:highlight w:val="none"/>
        </w:rPr>
        <w:t>记录</w:t>
      </w:r>
      <w:r>
        <w:rPr>
          <w:rFonts w:ascii="宋体" w:hAnsi="宋体"/>
          <w:color w:val="auto"/>
          <w:position w:val="-4"/>
          <w:sz w:val="28"/>
          <w:highlight w:val="none"/>
        </w:rPr>
        <w:t>表</w:t>
      </w:r>
    </w:p>
    <w:p>
      <w:pPr>
        <w:spacing w:line="200" w:lineRule="exact"/>
        <w:jc w:val="left"/>
        <w:rPr>
          <w:rFonts w:ascii="宋体" w:hAnsi="宋体"/>
          <w:color w:val="auto"/>
          <w:sz w:val="20"/>
          <w:highlight w:val="none"/>
        </w:rPr>
      </w:pPr>
    </w:p>
    <w:p>
      <w:pPr>
        <w:spacing w:before="12" w:line="200" w:lineRule="exact"/>
        <w:jc w:val="left"/>
        <w:rPr>
          <w:rFonts w:ascii="宋体" w:hAnsi="宋体"/>
          <w:color w:val="auto"/>
          <w:sz w:val="20"/>
          <w:highlight w:val="none"/>
        </w:rPr>
      </w:pPr>
    </w:p>
    <w:p>
      <w:pPr>
        <w:spacing w:line="373" w:lineRule="exact"/>
        <w:ind w:left="3799" w:right="3400"/>
        <w:jc w:val="center"/>
        <w:rPr>
          <w:rFonts w:ascii="宋体" w:hAnsi="宋体"/>
          <w:color w:val="auto"/>
          <w:sz w:val="28"/>
          <w:highlight w:val="none"/>
        </w:rPr>
      </w:pPr>
      <w:r>
        <w:rPr>
          <w:rFonts w:ascii="宋体" w:hAnsi="宋体"/>
          <w:color w:val="auto"/>
          <w:sz w:val="28"/>
          <w:highlight w:val="none"/>
        </w:rPr>
        <w:t>开标记</w:t>
      </w:r>
      <w:r>
        <w:rPr>
          <w:rFonts w:ascii="宋体" w:hAnsi="宋体"/>
          <w:color w:val="auto"/>
          <w:spacing w:val="-3"/>
          <w:sz w:val="28"/>
          <w:highlight w:val="none"/>
        </w:rPr>
        <w:t>录</w:t>
      </w:r>
      <w:r>
        <w:rPr>
          <w:rFonts w:ascii="宋体" w:hAnsi="宋体"/>
          <w:color w:val="auto"/>
          <w:sz w:val="28"/>
          <w:highlight w:val="none"/>
        </w:rPr>
        <w:t>表</w:t>
      </w:r>
    </w:p>
    <w:p>
      <w:pPr>
        <w:spacing w:before="7" w:line="140" w:lineRule="exact"/>
        <w:jc w:val="left"/>
        <w:rPr>
          <w:rFonts w:ascii="宋体" w:hAnsi="宋体"/>
          <w:color w:val="auto"/>
          <w:sz w:val="14"/>
          <w:highlight w:val="none"/>
        </w:rPr>
      </w:pPr>
    </w:p>
    <w:p>
      <w:pPr>
        <w:tabs>
          <w:tab w:val="left" w:pos="3600"/>
          <w:tab w:val="left" w:pos="4760"/>
          <w:tab w:val="left" w:pos="5920"/>
          <w:tab w:val="left" w:pos="7060"/>
          <w:tab w:val="left" w:pos="8220"/>
        </w:tabs>
        <w:spacing w:line="337" w:lineRule="exact"/>
        <w:ind w:right="-20"/>
        <w:jc w:val="left"/>
        <w:rPr>
          <w:rFonts w:ascii="宋体" w:hAnsi="宋体"/>
          <w:color w:val="auto"/>
          <w:position w:val="-4"/>
          <w:highlight w:val="none"/>
        </w:rPr>
      </w:pPr>
      <w:r>
        <w:rPr>
          <w:rFonts w:ascii="宋体" w:hAnsi="宋体"/>
          <w:color w:val="auto"/>
          <w:position w:val="-4"/>
          <w:highlight w:val="none"/>
        </w:rPr>
        <w:t>开标</w:t>
      </w:r>
      <w:r>
        <w:rPr>
          <w:rFonts w:ascii="宋体" w:hAnsi="宋体"/>
          <w:color w:val="auto"/>
          <w:spacing w:val="-2"/>
          <w:position w:val="-4"/>
          <w:highlight w:val="none"/>
        </w:rPr>
        <w:t>时</w:t>
      </w:r>
      <w:r>
        <w:rPr>
          <w:rFonts w:ascii="宋体" w:hAnsi="宋体"/>
          <w:color w:val="auto"/>
          <w:position w:val="-4"/>
          <w:highlight w:val="none"/>
        </w:rPr>
        <w:t>间</w:t>
      </w:r>
      <w:r>
        <w:rPr>
          <w:rFonts w:ascii="宋体" w:hAnsi="宋体"/>
          <w:color w:val="auto"/>
          <w:spacing w:val="-2"/>
          <w:position w:val="-4"/>
          <w:highlight w:val="none"/>
        </w:rPr>
        <w:t>：</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年</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月</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日</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时</w:t>
      </w:r>
      <w:r>
        <w:rPr>
          <w:rFonts w:ascii="宋体" w:hAnsi="宋体"/>
          <w:color w:val="auto"/>
          <w:position w:val="-4"/>
          <w:highlight w:val="none"/>
          <w:u w:val="single"/>
        </w:rPr>
        <w:t xml:space="preserve"> </w:t>
      </w:r>
      <w:r>
        <w:rPr>
          <w:rFonts w:ascii="宋体" w:hAnsi="宋体"/>
          <w:color w:val="auto"/>
          <w:spacing w:val="1"/>
          <w:position w:val="-4"/>
          <w:highlight w:val="none"/>
          <w:u w:val="single"/>
        </w:rPr>
        <w:t xml:space="preserve"> </w:t>
      </w:r>
      <w:r>
        <w:rPr>
          <w:rFonts w:ascii="宋体" w:hAnsi="宋体"/>
          <w:color w:val="auto"/>
          <w:position w:val="-4"/>
          <w:highlight w:val="none"/>
        </w:rPr>
        <w:t>分</w:t>
      </w:r>
    </w:p>
    <w:p>
      <w:pPr>
        <w:tabs>
          <w:tab w:val="left" w:pos="3600"/>
          <w:tab w:val="left" w:pos="4760"/>
          <w:tab w:val="left" w:pos="5920"/>
          <w:tab w:val="left" w:pos="7060"/>
          <w:tab w:val="left" w:pos="8220"/>
        </w:tabs>
        <w:spacing w:line="337" w:lineRule="exact"/>
        <w:ind w:right="-20"/>
        <w:jc w:val="left"/>
        <w:rPr>
          <w:rFonts w:ascii="宋体" w:hAnsi="宋体"/>
          <w:color w:val="auto"/>
          <w:position w:val="-4"/>
          <w:highlight w:val="none"/>
        </w:rPr>
      </w:pPr>
      <w:r>
        <w:rPr>
          <w:rFonts w:hint="eastAsia" w:ascii="宋体" w:hAnsi="宋体"/>
          <w:color w:val="auto"/>
          <w:position w:val="-4"/>
          <w:highlight w:val="none"/>
        </w:rPr>
        <w:t>项目名称：</w:t>
      </w:r>
    </w:p>
    <w:tbl>
      <w:tblPr>
        <w:tblStyle w:val="46"/>
        <w:tblW w:w="0" w:type="auto"/>
        <w:jc w:val="center"/>
        <w:tblLayout w:type="fixed"/>
        <w:tblCellMar>
          <w:top w:w="0" w:type="dxa"/>
          <w:left w:w="108" w:type="dxa"/>
          <w:bottom w:w="0" w:type="dxa"/>
          <w:right w:w="108" w:type="dxa"/>
        </w:tblCellMar>
      </w:tblPr>
      <w:tblGrid>
        <w:gridCol w:w="1195"/>
        <w:gridCol w:w="1260"/>
        <w:gridCol w:w="973"/>
        <w:gridCol w:w="10"/>
        <w:gridCol w:w="841"/>
        <w:gridCol w:w="10"/>
        <w:gridCol w:w="839"/>
        <w:gridCol w:w="10"/>
        <w:gridCol w:w="1124"/>
        <w:gridCol w:w="10"/>
        <w:gridCol w:w="1121"/>
        <w:gridCol w:w="10"/>
        <w:gridCol w:w="695"/>
        <w:gridCol w:w="10"/>
        <w:gridCol w:w="1135"/>
        <w:gridCol w:w="10"/>
      </w:tblGrid>
      <w:tr>
        <w:tblPrEx>
          <w:tblCellMar>
            <w:top w:w="0" w:type="dxa"/>
            <w:left w:w="108" w:type="dxa"/>
            <w:bottom w:w="0" w:type="dxa"/>
            <w:right w:w="108" w:type="dxa"/>
          </w:tblCellMar>
        </w:tblPrEx>
        <w:trPr>
          <w:trHeight w:val="850"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投标人</w:t>
            </w: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ind w:right="-13" w:rightChars="-6"/>
              <w:jc w:val="center"/>
              <w:rPr>
                <w:rFonts w:ascii="宋体" w:hAnsi="宋体"/>
                <w:color w:val="auto"/>
                <w:highlight w:val="none"/>
              </w:rPr>
            </w:pPr>
            <w:r>
              <w:rPr>
                <w:rFonts w:hint="eastAsia" w:ascii="宋体" w:hAnsi="宋体"/>
                <w:color w:val="auto"/>
                <w:highlight w:val="none"/>
              </w:rPr>
              <w:t>投标报价（元）</w:t>
            </w: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总监理工程师</w:t>
            </w: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监理服务期限</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投标文件递交情况</w:t>
            </w: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投标文件解密情况</w:t>
            </w: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备注</w:t>
            </w: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olor w:val="auto"/>
                <w:highlight w:val="none"/>
              </w:rPr>
            </w:pPr>
            <w:r>
              <w:rPr>
                <w:rFonts w:hint="eastAsia" w:ascii="宋体" w:hAnsi="宋体"/>
                <w:color w:val="auto"/>
                <w:highlight w:val="none"/>
              </w:rPr>
              <w:t>投标人</w:t>
            </w:r>
          </w:p>
          <w:p>
            <w:pPr>
              <w:spacing w:line="276" w:lineRule="auto"/>
              <w:jc w:val="center"/>
              <w:rPr>
                <w:rFonts w:ascii="宋体" w:hAnsi="宋体"/>
                <w:color w:val="auto"/>
                <w:highlight w:val="none"/>
              </w:rPr>
            </w:pPr>
            <w:r>
              <w:rPr>
                <w:rFonts w:hint="eastAsia" w:ascii="宋体" w:hAnsi="宋体"/>
                <w:color w:val="auto"/>
                <w:highlight w:val="none"/>
              </w:rPr>
              <w:t>代表签名</w:t>
            </w: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trHeight w:val="502" w:hRule="atLeast"/>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983"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gridAfter w:val="1"/>
          <w:wAfter w:w="10" w:type="dxa"/>
          <w:jc w:val="center"/>
        </w:trPr>
        <w:tc>
          <w:tcPr>
            <w:tcW w:w="245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rPr>
                <w:rFonts w:hint="eastAsia" w:ascii="宋体" w:hAnsi="宋体"/>
                <w:color w:val="auto"/>
                <w:highlight w:val="none"/>
              </w:rPr>
            </w:pPr>
            <w:r>
              <w:rPr>
                <w:rFonts w:hint="eastAsia" w:ascii="宋体" w:hAnsi="宋体"/>
                <w:color w:val="auto"/>
                <w:highlight w:val="none"/>
              </w:rPr>
              <w:t>最高投标限价：</w:t>
            </w:r>
          </w:p>
        </w:tc>
        <w:tc>
          <w:tcPr>
            <w:tcW w:w="973"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849"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31"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70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c>
          <w:tcPr>
            <w:tcW w:w="1145"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宋体" w:hAnsi="宋体"/>
                <w:color w:val="auto"/>
                <w:highlight w:val="none"/>
              </w:rPr>
            </w:pPr>
          </w:p>
        </w:tc>
      </w:tr>
    </w:tbl>
    <w:p>
      <w:pPr>
        <w:pStyle w:val="13"/>
        <w:ind w:firstLine="0"/>
        <w:rPr>
          <w:color w:val="auto"/>
          <w:highlight w:val="none"/>
        </w:rPr>
      </w:pPr>
    </w:p>
    <w:p>
      <w:pPr>
        <w:tabs>
          <w:tab w:val="left" w:pos="2200"/>
          <w:tab w:val="left" w:pos="3040"/>
          <w:tab w:val="left" w:pos="4620"/>
          <w:tab w:val="left" w:pos="5360"/>
          <w:tab w:val="left" w:pos="6940"/>
        </w:tabs>
        <w:spacing w:line="271" w:lineRule="exact"/>
        <w:ind w:left="220" w:right="-20"/>
        <w:jc w:val="left"/>
        <w:rPr>
          <w:rFonts w:ascii="宋体" w:hAnsi="宋体"/>
          <w:color w:val="auto"/>
          <w:highlight w:val="none"/>
        </w:rPr>
      </w:pPr>
      <w:r>
        <w:rPr>
          <w:rFonts w:ascii="宋体" w:hAnsi="宋体"/>
          <w:color w:val="auto"/>
          <w:position w:val="-2"/>
          <w:highlight w:val="none"/>
        </w:rPr>
        <w:t>招标</w:t>
      </w:r>
      <w:r>
        <w:rPr>
          <w:rFonts w:ascii="宋体" w:hAnsi="宋体"/>
          <w:color w:val="auto"/>
          <w:spacing w:val="-2"/>
          <w:position w:val="-2"/>
          <w:highlight w:val="none"/>
        </w:rPr>
        <w:t>人</w:t>
      </w:r>
      <w:r>
        <w:rPr>
          <w:rFonts w:ascii="宋体" w:hAnsi="宋体"/>
          <w:color w:val="auto"/>
          <w:position w:val="-2"/>
          <w:highlight w:val="none"/>
        </w:rPr>
        <w:t>代</w:t>
      </w:r>
      <w:r>
        <w:rPr>
          <w:rFonts w:ascii="宋体" w:hAnsi="宋体"/>
          <w:color w:val="auto"/>
          <w:spacing w:val="-2"/>
          <w:position w:val="-2"/>
          <w:highlight w:val="none"/>
        </w:rPr>
        <w:t>表</w:t>
      </w:r>
      <w:r>
        <w:rPr>
          <w:rFonts w:ascii="宋体" w:hAnsi="宋体"/>
          <w:color w:val="auto"/>
          <w:position w:val="-2"/>
          <w:highlight w:val="none"/>
        </w:rPr>
        <w:t>：</w:t>
      </w:r>
      <w:r>
        <w:rPr>
          <w:rFonts w:hint="eastAsia" w:ascii="宋体" w:hAnsi="宋体"/>
          <w:color w:val="auto"/>
          <w:position w:val="-2"/>
          <w:highlight w:val="none"/>
        </w:rPr>
        <w:t xml:space="preserve">  </w:t>
      </w:r>
      <w:r>
        <w:rPr>
          <w:rFonts w:ascii="宋体" w:hAnsi="宋体"/>
          <w:color w:val="auto"/>
          <w:spacing w:val="-2"/>
          <w:position w:val="-2"/>
          <w:highlight w:val="none"/>
        </w:rPr>
        <w:t>记</w:t>
      </w:r>
      <w:r>
        <w:rPr>
          <w:rFonts w:ascii="宋体" w:hAnsi="宋体"/>
          <w:color w:val="auto"/>
          <w:position w:val="-2"/>
          <w:highlight w:val="none"/>
        </w:rPr>
        <w:t>录</w:t>
      </w:r>
      <w:r>
        <w:rPr>
          <w:rFonts w:ascii="宋体" w:hAnsi="宋体"/>
          <w:color w:val="auto"/>
          <w:spacing w:val="-2"/>
          <w:position w:val="-2"/>
          <w:highlight w:val="none"/>
        </w:rPr>
        <w:t>人</w:t>
      </w:r>
      <w:r>
        <w:rPr>
          <w:rFonts w:ascii="宋体" w:hAnsi="宋体"/>
          <w:color w:val="auto"/>
          <w:position w:val="-2"/>
          <w:highlight w:val="none"/>
        </w:rPr>
        <w:t>：</w:t>
      </w:r>
      <w:r>
        <w:rPr>
          <w:rFonts w:hint="eastAsia" w:ascii="宋体" w:hAnsi="宋体"/>
          <w:color w:val="auto"/>
          <w:w w:val="201"/>
          <w:position w:val="-2"/>
          <w:highlight w:val="none"/>
        </w:rPr>
        <w:t xml:space="preserve"> </w:t>
      </w:r>
      <w:r>
        <w:rPr>
          <w:rFonts w:ascii="宋体" w:hAnsi="宋体"/>
          <w:color w:val="auto"/>
          <w:spacing w:val="-2"/>
          <w:position w:val="-2"/>
          <w:highlight w:val="none"/>
        </w:rPr>
        <w:t>监</w:t>
      </w:r>
      <w:r>
        <w:rPr>
          <w:rFonts w:ascii="宋体" w:hAnsi="宋体"/>
          <w:color w:val="auto"/>
          <w:position w:val="-2"/>
          <w:highlight w:val="none"/>
        </w:rPr>
        <w:t>标</w:t>
      </w:r>
      <w:r>
        <w:rPr>
          <w:rFonts w:ascii="宋体" w:hAnsi="宋体"/>
          <w:color w:val="auto"/>
          <w:spacing w:val="-2"/>
          <w:position w:val="-2"/>
          <w:highlight w:val="none"/>
        </w:rPr>
        <w:t>人</w:t>
      </w:r>
      <w:r>
        <w:rPr>
          <w:rFonts w:ascii="宋体" w:hAnsi="宋体"/>
          <w:color w:val="auto"/>
          <w:position w:val="-2"/>
          <w:highlight w:val="none"/>
        </w:rPr>
        <w:t>：</w:t>
      </w:r>
    </w:p>
    <w:p>
      <w:pPr>
        <w:spacing w:line="150" w:lineRule="exact"/>
        <w:jc w:val="left"/>
        <w:rPr>
          <w:rFonts w:ascii="宋体" w:hAnsi="宋体"/>
          <w:color w:val="auto"/>
          <w:sz w:val="15"/>
          <w:highlight w:val="none"/>
        </w:rPr>
      </w:pPr>
    </w:p>
    <w:p>
      <w:pPr>
        <w:spacing w:line="200" w:lineRule="exact"/>
        <w:jc w:val="left"/>
        <w:rPr>
          <w:rFonts w:ascii="宋体" w:hAnsi="宋体"/>
          <w:color w:val="auto"/>
          <w:sz w:val="20"/>
          <w:highlight w:val="none"/>
        </w:rPr>
      </w:pPr>
    </w:p>
    <w:p>
      <w:pPr>
        <w:tabs>
          <w:tab w:val="left" w:pos="720"/>
          <w:tab w:val="left" w:pos="1680"/>
          <w:tab w:val="left" w:pos="2620"/>
        </w:tabs>
        <w:spacing w:line="295" w:lineRule="exact"/>
        <w:ind w:right="96"/>
        <w:jc w:val="right"/>
        <w:rPr>
          <w:rFonts w:ascii="宋体" w:hAnsi="宋体"/>
          <w:color w:val="auto"/>
          <w:highlight w:val="none"/>
        </w:rPr>
      </w:pPr>
      <w:r>
        <w:rPr>
          <w:rFonts w:hint="eastAsia" w:ascii="宋体" w:hAnsi="宋体"/>
          <w:color w:val="auto"/>
          <w:w w:val="201"/>
          <w:position w:val="-1"/>
          <w:highlight w:val="none"/>
          <w:u w:val="single"/>
        </w:rPr>
        <w:t xml:space="preserve"> </w:t>
      </w:r>
      <w:r>
        <w:rPr>
          <w:rFonts w:ascii="宋体" w:hAnsi="宋体"/>
          <w:color w:val="auto"/>
          <w:position w:val="-1"/>
          <w:highlight w:val="none"/>
        </w:rPr>
        <w:t>年</w:t>
      </w:r>
      <w:r>
        <w:rPr>
          <w:rFonts w:hint="eastAsia" w:ascii="宋体" w:hAnsi="宋体"/>
          <w:color w:val="auto"/>
          <w:position w:val="-1"/>
          <w:highlight w:val="none"/>
          <w:u w:val="single"/>
        </w:rPr>
        <w:t xml:space="preserve"> </w:t>
      </w:r>
      <w:r>
        <w:rPr>
          <w:rFonts w:ascii="宋体" w:hAnsi="宋体"/>
          <w:color w:val="auto"/>
          <w:spacing w:val="-2"/>
          <w:position w:val="-1"/>
          <w:highlight w:val="none"/>
        </w:rPr>
        <w:t>月</w:t>
      </w:r>
      <w:r>
        <w:rPr>
          <w:rFonts w:hint="eastAsia" w:ascii="宋体" w:hAnsi="宋体"/>
          <w:color w:val="auto"/>
          <w:position w:val="-1"/>
          <w:highlight w:val="none"/>
          <w:u w:val="single"/>
        </w:rPr>
        <w:t xml:space="preserve"> </w:t>
      </w:r>
      <w:r>
        <w:rPr>
          <w:rFonts w:ascii="宋体" w:hAnsi="宋体"/>
          <w:color w:val="auto"/>
          <w:position w:val="-1"/>
          <w:highlight w:val="none"/>
        </w:rPr>
        <w:t>日</w:t>
      </w:r>
    </w:p>
    <w:p>
      <w:pPr>
        <w:spacing w:line="373" w:lineRule="exact"/>
        <w:ind w:left="14" w:right="40" w:hanging="14" w:hangingChars="5"/>
        <w:rPr>
          <w:rFonts w:hint="eastAsia" w:ascii="宋体" w:hAnsi="宋体"/>
          <w:color w:val="auto"/>
          <w:sz w:val="28"/>
          <w:highlight w:val="none"/>
        </w:rPr>
      </w:pPr>
    </w:p>
    <w:p>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pPr>
        <w:spacing w:line="383" w:lineRule="exact"/>
        <w:ind w:right="-20"/>
        <w:jc w:val="left"/>
        <w:rPr>
          <w:rFonts w:ascii="宋体" w:hAnsi="宋体"/>
          <w:color w:val="auto"/>
          <w:sz w:val="28"/>
          <w:highlight w:val="none"/>
        </w:rPr>
      </w:pPr>
      <w:r>
        <w:rPr>
          <w:rFonts w:hint="eastAsia" w:ascii="宋体" w:hAnsi="宋体" w:cs="宋体"/>
          <w:color w:val="auto"/>
          <w:highlight w:val="none"/>
        </w:rPr>
        <w:br w:type="page"/>
      </w:r>
      <w:r>
        <w:rPr>
          <w:rFonts w:ascii="宋体" w:hAnsi="宋体"/>
          <w:color w:val="auto"/>
          <w:position w:val="-4"/>
          <w:sz w:val="28"/>
          <w:highlight w:val="none"/>
        </w:rPr>
        <w:t>附件二</w:t>
      </w:r>
      <w:r>
        <w:rPr>
          <w:rFonts w:ascii="宋体" w:hAnsi="宋体"/>
          <w:color w:val="auto"/>
          <w:spacing w:val="-3"/>
          <w:position w:val="-4"/>
          <w:sz w:val="28"/>
          <w:highlight w:val="none"/>
        </w:rPr>
        <w:t>：</w:t>
      </w:r>
      <w:r>
        <w:rPr>
          <w:rFonts w:ascii="宋体" w:hAnsi="宋体"/>
          <w:color w:val="auto"/>
          <w:position w:val="-4"/>
          <w:sz w:val="28"/>
          <w:highlight w:val="none"/>
        </w:rPr>
        <w:t>问题</w:t>
      </w:r>
      <w:r>
        <w:rPr>
          <w:rFonts w:ascii="宋体" w:hAnsi="宋体"/>
          <w:color w:val="auto"/>
          <w:spacing w:val="-3"/>
          <w:position w:val="-4"/>
          <w:sz w:val="28"/>
          <w:highlight w:val="none"/>
        </w:rPr>
        <w:t>澄清</w:t>
      </w:r>
      <w:r>
        <w:rPr>
          <w:rFonts w:ascii="宋体" w:hAnsi="宋体"/>
          <w:color w:val="auto"/>
          <w:position w:val="-4"/>
          <w:sz w:val="28"/>
          <w:highlight w:val="none"/>
        </w:rPr>
        <w:t>通知</w:t>
      </w:r>
    </w:p>
    <w:p>
      <w:pPr>
        <w:spacing w:line="200" w:lineRule="exact"/>
        <w:jc w:val="left"/>
        <w:rPr>
          <w:rFonts w:ascii="宋体" w:hAnsi="宋体"/>
          <w:color w:val="auto"/>
          <w:sz w:val="20"/>
          <w:highlight w:val="none"/>
        </w:rPr>
      </w:pPr>
    </w:p>
    <w:p>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pPr>
        <w:spacing w:line="383" w:lineRule="exact"/>
        <w:ind w:left="237" w:right="-20"/>
        <w:jc w:val="left"/>
        <w:rPr>
          <w:rFonts w:ascii="宋体" w:hAnsi="宋体"/>
          <w:color w:val="auto"/>
          <w:position w:val="-4"/>
          <w:sz w:val="28"/>
          <w:highlight w:val="none"/>
        </w:rPr>
      </w:pPr>
    </w:p>
    <w:p>
      <w:pPr>
        <w:spacing w:line="383" w:lineRule="exact"/>
        <w:ind w:left="237" w:right="-20"/>
        <w:jc w:val="left"/>
        <w:rPr>
          <w:rFonts w:ascii="宋体" w:hAnsi="宋体"/>
          <w:color w:val="auto"/>
          <w:position w:val="-4"/>
          <w:sz w:val="28"/>
          <w:highlight w:val="none"/>
        </w:rPr>
      </w:pPr>
    </w:p>
    <w:p>
      <w:pPr>
        <w:spacing w:line="383" w:lineRule="exact"/>
        <w:ind w:right="-20"/>
        <w:jc w:val="left"/>
        <w:rPr>
          <w:rFonts w:ascii="宋体" w:hAnsi="宋体"/>
          <w:color w:val="auto"/>
          <w:sz w:val="17"/>
          <w:highlight w:val="none"/>
        </w:rPr>
      </w:pPr>
      <w:r>
        <w:rPr>
          <w:rFonts w:ascii="宋体" w:hAnsi="宋体"/>
          <w:color w:val="auto"/>
          <w:position w:val="-4"/>
          <w:sz w:val="28"/>
          <w:highlight w:val="none"/>
        </w:rPr>
        <w:t>附件三</w:t>
      </w:r>
      <w:r>
        <w:rPr>
          <w:rFonts w:ascii="宋体" w:hAnsi="宋体"/>
          <w:color w:val="auto"/>
          <w:spacing w:val="-3"/>
          <w:position w:val="-4"/>
          <w:sz w:val="28"/>
          <w:highlight w:val="none"/>
        </w:rPr>
        <w:t>：</w:t>
      </w:r>
      <w:r>
        <w:rPr>
          <w:rFonts w:ascii="宋体" w:hAnsi="宋体"/>
          <w:color w:val="auto"/>
          <w:position w:val="-4"/>
          <w:sz w:val="28"/>
          <w:highlight w:val="none"/>
        </w:rPr>
        <w:t>问题</w:t>
      </w:r>
      <w:r>
        <w:rPr>
          <w:rFonts w:ascii="宋体" w:hAnsi="宋体"/>
          <w:color w:val="auto"/>
          <w:spacing w:val="-3"/>
          <w:position w:val="-4"/>
          <w:sz w:val="28"/>
          <w:highlight w:val="none"/>
        </w:rPr>
        <w:t>的澄</w:t>
      </w:r>
      <w:r>
        <w:rPr>
          <w:rFonts w:ascii="宋体" w:hAnsi="宋体"/>
          <w:color w:val="auto"/>
          <w:position w:val="-4"/>
          <w:sz w:val="28"/>
          <w:highlight w:val="none"/>
        </w:rPr>
        <w:t>清</w:t>
      </w:r>
    </w:p>
    <w:p>
      <w:pPr>
        <w:spacing w:line="200" w:lineRule="exact"/>
        <w:jc w:val="left"/>
        <w:rPr>
          <w:rFonts w:ascii="宋体" w:hAnsi="宋体"/>
          <w:color w:val="auto"/>
          <w:sz w:val="20"/>
          <w:highlight w:val="none"/>
        </w:rPr>
      </w:pPr>
    </w:p>
    <w:p>
      <w:pPr>
        <w:spacing w:line="373" w:lineRule="exact"/>
        <w:ind w:right="40"/>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pPr>
        <w:spacing w:line="383" w:lineRule="exact"/>
        <w:ind w:left="237" w:right="-20"/>
        <w:jc w:val="left"/>
        <w:rPr>
          <w:rFonts w:ascii="宋体" w:hAnsi="宋体"/>
          <w:color w:val="auto"/>
          <w:position w:val="-4"/>
          <w:sz w:val="28"/>
          <w:highlight w:val="none"/>
        </w:rPr>
      </w:pPr>
      <w:bookmarkStart w:id="276" w:name="_Toc27507"/>
      <w:bookmarkStart w:id="277" w:name="_Toc51179204"/>
      <w:bookmarkStart w:id="278" w:name="_Toc51593457"/>
      <w:bookmarkStart w:id="279" w:name="_Toc529459327"/>
      <w:bookmarkStart w:id="280" w:name="_Toc536455247"/>
      <w:bookmarkStart w:id="281" w:name="_Toc525218682"/>
    </w:p>
    <w:p>
      <w:pPr>
        <w:spacing w:line="383" w:lineRule="exact"/>
        <w:ind w:left="237" w:right="-20"/>
        <w:jc w:val="left"/>
        <w:rPr>
          <w:rFonts w:ascii="宋体" w:hAnsi="宋体"/>
          <w:color w:val="auto"/>
          <w:position w:val="-4"/>
          <w:sz w:val="28"/>
          <w:highlight w:val="none"/>
        </w:rPr>
      </w:pPr>
    </w:p>
    <w:p>
      <w:pPr>
        <w:spacing w:line="383" w:lineRule="exact"/>
        <w:ind w:right="-20"/>
        <w:jc w:val="left"/>
        <w:rPr>
          <w:rFonts w:ascii="宋体" w:hAnsi="宋体"/>
          <w:color w:val="auto"/>
          <w:position w:val="-4"/>
          <w:sz w:val="28"/>
          <w:highlight w:val="none"/>
        </w:rPr>
      </w:pPr>
      <w:r>
        <w:rPr>
          <w:rFonts w:ascii="宋体" w:hAnsi="宋体"/>
          <w:color w:val="auto"/>
          <w:position w:val="-4"/>
          <w:sz w:val="28"/>
          <w:highlight w:val="none"/>
        </w:rPr>
        <w:t>附件四：中标通知书</w:t>
      </w:r>
      <w:bookmarkEnd w:id="276"/>
      <w:bookmarkEnd w:id="277"/>
      <w:bookmarkEnd w:id="278"/>
      <w:bookmarkEnd w:id="279"/>
      <w:bookmarkEnd w:id="280"/>
      <w:bookmarkEnd w:id="281"/>
    </w:p>
    <w:p>
      <w:pPr>
        <w:spacing w:line="200" w:lineRule="exact"/>
        <w:jc w:val="left"/>
        <w:rPr>
          <w:rFonts w:ascii="宋体" w:hAnsi="宋体"/>
          <w:color w:val="auto"/>
          <w:sz w:val="20"/>
          <w:highlight w:val="none"/>
        </w:rPr>
      </w:pPr>
    </w:p>
    <w:p>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pPr>
        <w:spacing w:line="373" w:lineRule="exact"/>
        <w:ind w:left="3578" w:right="40" w:hanging="3578" w:hangingChars="1278"/>
        <w:jc w:val="center"/>
        <w:rPr>
          <w:rFonts w:ascii="宋体" w:hAnsi="宋体"/>
          <w:color w:val="auto"/>
          <w:sz w:val="28"/>
          <w:highlight w:val="none"/>
        </w:rPr>
      </w:pPr>
    </w:p>
    <w:p>
      <w:pPr>
        <w:spacing w:line="383" w:lineRule="exact"/>
        <w:ind w:left="237" w:right="-20"/>
        <w:jc w:val="left"/>
        <w:rPr>
          <w:rFonts w:ascii="宋体" w:hAnsi="宋体"/>
          <w:color w:val="auto"/>
          <w:position w:val="-4"/>
          <w:sz w:val="28"/>
          <w:highlight w:val="none"/>
        </w:rPr>
      </w:pPr>
      <w:bookmarkStart w:id="282" w:name="_Toc492300625"/>
      <w:bookmarkStart w:id="283" w:name="_Toc492300624"/>
      <w:bookmarkStart w:id="284" w:name="_Toc529196580"/>
      <w:bookmarkStart w:id="285" w:name="_Toc530470628"/>
      <w:bookmarkStart w:id="286" w:name="_Toc535938719"/>
      <w:bookmarkStart w:id="287" w:name="_Toc6395"/>
      <w:bookmarkStart w:id="288" w:name="_Toc49510020"/>
    </w:p>
    <w:p>
      <w:pPr>
        <w:spacing w:after="240"/>
        <w:rPr>
          <w:rFonts w:ascii="宋体" w:hAnsi="宋体"/>
          <w:color w:val="auto"/>
          <w:position w:val="-4"/>
          <w:sz w:val="28"/>
          <w:highlight w:val="none"/>
        </w:rPr>
      </w:pPr>
      <w:r>
        <w:rPr>
          <w:rFonts w:ascii="宋体" w:hAnsi="宋体"/>
          <w:color w:val="auto"/>
          <w:position w:val="-4"/>
          <w:sz w:val="28"/>
          <w:highlight w:val="none"/>
        </w:rPr>
        <w:t>附件五：</w:t>
      </w:r>
      <w:bookmarkEnd w:id="282"/>
      <w:r>
        <w:rPr>
          <w:rFonts w:ascii="宋体" w:hAnsi="宋体"/>
          <w:color w:val="auto"/>
          <w:position w:val="-4"/>
          <w:sz w:val="28"/>
          <w:highlight w:val="none"/>
        </w:rPr>
        <w:t>中标结果通知书</w:t>
      </w:r>
      <w:bookmarkEnd w:id="283"/>
    </w:p>
    <w:p>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bookmarkEnd w:id="284"/>
    <w:bookmarkEnd w:id="285"/>
    <w:bookmarkEnd w:id="286"/>
    <w:p>
      <w:pPr>
        <w:spacing w:line="383" w:lineRule="exact"/>
        <w:ind w:left="237" w:right="-20"/>
        <w:jc w:val="left"/>
        <w:rPr>
          <w:rFonts w:ascii="宋体" w:hAnsi="宋体"/>
          <w:color w:val="auto"/>
          <w:position w:val="-4"/>
          <w:sz w:val="28"/>
          <w:highlight w:val="none"/>
        </w:rPr>
      </w:pPr>
    </w:p>
    <w:p>
      <w:pPr>
        <w:spacing w:line="383" w:lineRule="exact"/>
        <w:ind w:left="237" w:right="-20"/>
        <w:jc w:val="left"/>
        <w:rPr>
          <w:rFonts w:ascii="宋体" w:hAnsi="宋体"/>
          <w:color w:val="auto"/>
          <w:position w:val="-4"/>
          <w:sz w:val="28"/>
          <w:highlight w:val="none"/>
        </w:rPr>
      </w:pPr>
    </w:p>
    <w:p>
      <w:pPr>
        <w:rPr>
          <w:rFonts w:ascii="宋体" w:hAnsi="宋体"/>
          <w:color w:val="auto"/>
          <w:position w:val="-4"/>
          <w:sz w:val="28"/>
          <w:highlight w:val="none"/>
        </w:rPr>
      </w:pPr>
      <w:r>
        <w:rPr>
          <w:rFonts w:ascii="宋体" w:hAnsi="宋体"/>
          <w:color w:val="auto"/>
          <w:position w:val="-4"/>
          <w:sz w:val="28"/>
          <w:highlight w:val="none"/>
        </w:rPr>
        <w:t>附件六：确认通知</w:t>
      </w:r>
    </w:p>
    <w:p>
      <w:pPr>
        <w:spacing w:line="200" w:lineRule="exact"/>
        <w:jc w:val="left"/>
        <w:rPr>
          <w:rFonts w:ascii="宋体" w:hAnsi="宋体"/>
          <w:color w:val="auto"/>
          <w:sz w:val="20"/>
          <w:highlight w:val="none"/>
        </w:rPr>
      </w:pPr>
    </w:p>
    <w:p>
      <w:pPr>
        <w:spacing w:line="373" w:lineRule="exact"/>
        <w:ind w:left="14" w:right="40" w:hanging="14" w:hangingChars="5"/>
        <w:rPr>
          <w:rFonts w:hint="eastAsia" w:ascii="宋体" w:hAnsi="宋体"/>
          <w:color w:val="auto"/>
          <w:sz w:val="28"/>
          <w:highlight w:val="none"/>
        </w:rPr>
      </w:pPr>
      <w:r>
        <w:rPr>
          <w:rFonts w:hint="eastAsia" w:ascii="宋体" w:hAnsi="宋体"/>
          <w:color w:val="auto"/>
          <w:sz w:val="28"/>
          <w:highlight w:val="none"/>
        </w:rPr>
        <w:t>注：以广州交易集团有限公司（广州公共资源交易中心）格式为准。</w:t>
      </w:r>
    </w:p>
    <w:p>
      <w:pPr>
        <w:rPr>
          <w:rFonts w:ascii="宋体" w:hAnsi="宋体"/>
          <w:color w:val="auto"/>
          <w:highlight w:val="none"/>
        </w:rPr>
      </w:pPr>
    </w:p>
    <w:p>
      <w:pPr>
        <w:pStyle w:val="2"/>
        <w:spacing w:line="240" w:lineRule="auto"/>
        <w:jc w:val="center"/>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第三章 评标办法（“评定分离”定标办法）</w:t>
      </w:r>
      <w:bookmarkEnd w:id="287"/>
      <w:bookmarkEnd w:id="288"/>
    </w:p>
    <w:p>
      <w:pPr>
        <w:pStyle w:val="3"/>
        <w:spacing w:line="240" w:lineRule="auto"/>
        <w:jc w:val="center"/>
        <w:rPr>
          <w:rFonts w:hint="eastAsia" w:ascii="宋体" w:hAnsi="宋体" w:eastAsia="宋体"/>
          <w:color w:val="auto"/>
          <w:highlight w:val="none"/>
        </w:rPr>
      </w:pPr>
      <w:bookmarkStart w:id="289" w:name="_Toc49510021"/>
      <w:r>
        <w:rPr>
          <w:rFonts w:hint="eastAsia" w:ascii="宋体" w:hAnsi="宋体" w:eastAsia="宋体"/>
          <w:color w:val="auto"/>
          <w:highlight w:val="none"/>
        </w:rPr>
        <w:t>评标办法前附表</w:t>
      </w:r>
      <w:bookmarkEnd w:id="289"/>
    </w:p>
    <w:tbl>
      <w:tblPr>
        <w:tblStyle w:val="46"/>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158"/>
        <w:gridCol w:w="1772"/>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 w:val="24"/>
                <w:szCs w:val="24"/>
                <w:highlight w:val="none"/>
              </w:rPr>
            </w:pPr>
            <w:r>
              <w:rPr>
                <w:rFonts w:hint="eastAsia" w:ascii="宋体" w:hAnsi="宋体" w:cs="宋体"/>
                <w:b/>
                <w:color w:val="auto"/>
                <w:kern w:val="0"/>
                <w:sz w:val="24"/>
                <w:szCs w:val="24"/>
                <w:highlight w:val="none"/>
              </w:rPr>
              <w:t>条款号</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 w:val="24"/>
                <w:szCs w:val="24"/>
                <w:highlight w:val="none"/>
              </w:rPr>
            </w:pPr>
            <w:r>
              <w:rPr>
                <w:rFonts w:hint="eastAsia" w:ascii="宋体" w:hAnsi="宋体" w:cs="宋体"/>
                <w:b/>
                <w:color w:val="auto"/>
                <w:kern w:val="0"/>
                <w:sz w:val="24"/>
                <w:szCs w:val="24"/>
                <w:highlight w:val="none"/>
              </w:rPr>
              <w:t>评审因素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 w:val="24"/>
                <w:szCs w:val="24"/>
                <w:highlight w:val="none"/>
              </w:rPr>
            </w:pPr>
            <w:r>
              <w:rPr>
                <w:rFonts w:hint="eastAsia" w:ascii="宋体" w:hAnsi="宋体" w:cs="宋体"/>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评标方法</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中标候选人排序方法</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color w:val="auto"/>
                <w:szCs w:val="21"/>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形式评审标准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投标人名称</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both"/>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与营业执照、资质证书一致</w:t>
            </w:r>
            <w:r>
              <w:rPr>
                <w:rFonts w:hint="eastAsia" w:ascii="宋体" w:hAnsi="宋体" w:cs="宋体"/>
                <w:color w:val="auto"/>
                <w:kern w:val="0"/>
                <w:szCs w:val="21"/>
                <w:highlight w:val="none"/>
                <w:lang w:eastAsia="zh-CN"/>
              </w:rPr>
              <w:t>；</w:t>
            </w:r>
            <w:r>
              <w:rPr>
                <w:rFonts w:hint="eastAsia" w:ascii="宋体" w:hAnsi="宋体" w:eastAsia="宋体" w:cs="宋体"/>
                <w:color w:val="auto"/>
                <w:sz w:val="21"/>
                <w:szCs w:val="21"/>
                <w:highlight w:val="none"/>
                <w:u w:val="single"/>
              </w:rPr>
              <w:t>香港企业参加投标的，须与在广东省住房和城乡建设主管部门备案的证明一致。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jc w:val="center"/>
              <w:rPr>
                <w:rFonts w:ascii="宋体" w:hAnsi="宋体" w:cs="楷体"/>
                <w:color w:val="auto"/>
                <w:kern w:val="0"/>
                <w:szCs w:val="21"/>
                <w:highlight w:val="none"/>
              </w:rPr>
            </w:pPr>
            <w:r>
              <w:rPr>
                <w:rFonts w:hint="eastAsia" w:ascii="宋体" w:hAnsi="宋体" w:cs="宋体"/>
                <w:color w:val="auto"/>
                <w:kern w:val="0"/>
                <w:szCs w:val="21"/>
                <w:highlight w:val="none"/>
              </w:rPr>
              <w:t>投标函及投标函</w:t>
            </w:r>
          </w:p>
          <w:p>
            <w:pPr>
              <w:widowControl/>
              <w:jc w:val="center"/>
              <w:rPr>
                <w:rFonts w:ascii="宋体" w:hAnsi="宋体" w:cs="楷体"/>
                <w:color w:val="auto"/>
                <w:kern w:val="0"/>
                <w:szCs w:val="21"/>
                <w:highlight w:val="none"/>
              </w:rPr>
            </w:pPr>
            <w:r>
              <w:rPr>
                <w:rFonts w:hint="eastAsia" w:ascii="宋体" w:hAnsi="宋体" w:cs="宋体"/>
                <w:color w:val="auto"/>
                <w:kern w:val="0"/>
                <w:szCs w:val="21"/>
                <w:highlight w:val="none"/>
              </w:rPr>
              <w:t>附录签字盖章</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有法定代表人或被授权人签字（或盖章）并加盖单位章。由法定代表人签字（或盖章）的，应附法定代表人身份证明；由被授权人签字（或盖章）的，应附授权委托书、法定代表人身份证明。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投标文件格式</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u w:val="single"/>
              </w:rPr>
            </w:pPr>
            <w:r>
              <w:rPr>
                <w:rFonts w:hint="eastAsia" w:ascii="宋体" w:hAnsi="宋体" w:cs="宋体"/>
                <w:color w:val="auto"/>
                <w:kern w:val="0"/>
                <w:szCs w:val="21"/>
                <w:highlight w:val="none"/>
                <w:u w:val="single"/>
              </w:rPr>
              <w:t>“</w:t>
            </w:r>
            <w:r>
              <w:rPr>
                <w:rFonts w:ascii="宋体" w:hAnsi="宋体"/>
                <w:color w:val="auto"/>
                <w:highlight w:val="none"/>
                <w:u w:val="single"/>
              </w:rPr>
              <w:t>投标函及投标函附录</w:t>
            </w:r>
            <w:r>
              <w:rPr>
                <w:rFonts w:hint="eastAsia" w:ascii="宋体" w:hAnsi="宋体"/>
                <w:color w:val="auto"/>
                <w:highlight w:val="none"/>
                <w:u w:val="single"/>
              </w:rPr>
              <w:t>”</w:t>
            </w:r>
            <w:r>
              <w:rPr>
                <w:rFonts w:hint="eastAsia" w:ascii="宋体" w:hAnsi="宋体" w:cs="宋体"/>
                <w:color w:val="auto"/>
                <w:kern w:val="0"/>
                <w:szCs w:val="21"/>
                <w:highlight w:val="none"/>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pacing w:val="-7"/>
                <w:szCs w:val="21"/>
                <w:highlight w:val="none"/>
              </w:rPr>
              <w:t>备选投标方案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default" w:ascii="宋体" w:hAnsi="宋体" w:eastAsia="宋体" w:cs="宋体"/>
                <w:color w:val="auto"/>
                <w:sz w:val="21"/>
                <w:szCs w:val="21"/>
                <w:highlight w:val="none"/>
                <w:u w:val="singl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u w:val="single"/>
                <w:lang w:val="en-US" w:eastAsia="zh-CN"/>
              </w:rPr>
              <w:t>本次招标</w:t>
            </w:r>
            <w:r>
              <w:rPr>
                <w:rFonts w:hint="eastAsia" w:ascii="宋体" w:hAnsi="宋体" w:cs="宋体"/>
                <w:color w:val="auto"/>
                <w:szCs w:val="21"/>
                <w:highlight w:val="none"/>
                <w:u w:val="singl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投标人机器码</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jc w:val="left"/>
              <w:rPr>
                <w:rFonts w:hint="eastAsia" w:ascii="宋体" w:hAnsi="宋体" w:eastAsia="宋体" w:cs="楷体"/>
                <w:color w:val="auto"/>
                <w:kern w:val="0"/>
                <w:szCs w:val="21"/>
                <w:highlight w:val="none"/>
                <w:lang w:eastAsia="zh-CN"/>
              </w:rPr>
            </w:pPr>
            <w:r>
              <w:rPr>
                <w:rFonts w:hint="default" w:ascii="宋体" w:hAnsi="Times New Roman" w:eastAsia="宋体"/>
                <w:color w:val="auto"/>
                <w:sz w:val="21"/>
                <w:szCs w:val="24"/>
                <w:highlight w:val="none"/>
                <w:u w:val="single"/>
              </w:rPr>
              <w:t>投标人与</w:t>
            </w:r>
            <w:r>
              <w:rPr>
                <w:rFonts w:hint="default" w:ascii="宋体" w:hAnsi="Times New Roman" w:eastAsia="宋体"/>
                <w:color w:val="auto"/>
                <w:sz w:val="21"/>
                <w:szCs w:val="24"/>
                <w:highlight w:val="none"/>
                <w:u w:val="single"/>
                <w:lang w:eastAsia="zh-CN"/>
              </w:rPr>
              <w:t>本项目</w:t>
            </w:r>
            <w:r>
              <w:rPr>
                <w:rFonts w:hint="default" w:ascii="宋体" w:hAnsi="Times New Roman" w:eastAsia="宋体"/>
                <w:color w:val="auto"/>
                <w:sz w:val="21"/>
                <w:szCs w:val="24"/>
                <w:highlight w:val="none"/>
                <w:u w:val="single"/>
              </w:rPr>
              <w:t>其他投标人加密打包投标文件电脑机器特征码</w:t>
            </w:r>
            <w:r>
              <w:rPr>
                <w:rFonts w:hint="default" w:ascii="宋体" w:hAnsi="Times New Roman" w:eastAsia="宋体"/>
                <w:color w:val="auto"/>
                <w:sz w:val="21"/>
                <w:szCs w:val="24"/>
                <w:highlight w:val="none"/>
                <w:u w:val="single"/>
                <w:lang w:eastAsia="zh-CN"/>
              </w:rPr>
              <w:t>不</w:t>
            </w:r>
            <w:r>
              <w:rPr>
                <w:rFonts w:hint="default" w:ascii="宋体" w:hAnsi="Times New Roman" w:eastAsia="宋体"/>
                <w:color w:val="auto"/>
                <w:sz w:val="21"/>
                <w:szCs w:val="24"/>
                <w:highlight w:val="none"/>
                <w:u w:val="single"/>
              </w:rPr>
              <w:t>一致的(以</w:t>
            </w:r>
            <w:r>
              <w:rPr>
                <w:rFonts w:hint="eastAsia" w:ascii="宋体"/>
                <w:color w:val="auto"/>
                <w:sz w:val="21"/>
                <w:szCs w:val="24"/>
                <w:highlight w:val="none"/>
                <w:u w:val="single"/>
                <w:lang w:eastAsia="zh-CN"/>
              </w:rPr>
              <w:t>广州交易集团有限公司（广州公共资源交易中心）</w:t>
            </w:r>
            <w:r>
              <w:rPr>
                <w:rFonts w:hint="default" w:ascii="宋体" w:hAnsi="Times New Roman" w:eastAsia="宋体"/>
                <w:color w:val="auto"/>
                <w:sz w:val="21"/>
                <w:szCs w:val="24"/>
                <w:highlight w:val="none"/>
                <w:u w:val="single"/>
                <w:lang w:eastAsia="zh-CN"/>
              </w:rPr>
              <w:t>交易</w:t>
            </w:r>
            <w:r>
              <w:rPr>
                <w:rFonts w:hint="default" w:ascii="宋体" w:hAnsi="Times New Roman" w:eastAsia="宋体"/>
                <w:color w:val="auto"/>
                <w:sz w:val="21"/>
                <w:szCs w:val="24"/>
                <w:highlight w:val="none"/>
                <w:u w:val="single"/>
              </w:rPr>
              <w:t>平台</w:t>
            </w:r>
            <w:r>
              <w:rPr>
                <w:rFonts w:hint="eastAsia" w:ascii="宋体"/>
                <w:color w:val="auto"/>
                <w:sz w:val="21"/>
                <w:szCs w:val="24"/>
                <w:highlight w:val="none"/>
                <w:u w:val="single"/>
                <w:lang w:eastAsia="zh-CN"/>
              </w:rPr>
              <w:t>开标</w:t>
            </w:r>
            <w:r>
              <w:rPr>
                <w:rFonts w:hint="default" w:ascii="宋体" w:hAnsi="Times New Roman" w:eastAsia="宋体"/>
                <w:color w:val="auto"/>
                <w:sz w:val="21"/>
                <w:szCs w:val="24"/>
                <w:highlight w:val="none"/>
                <w:u w:val="single"/>
              </w:rPr>
              <w:t>系统的检索信息为准)</w:t>
            </w:r>
            <w:r>
              <w:rPr>
                <w:rFonts w:hint="eastAsia" w:ascii="宋体" w:hAnsi="宋体" w:cs="宋体"/>
                <w:color w:val="auto"/>
                <w:kern w:val="0"/>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资格评审标准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u w:val="single"/>
              </w:rPr>
              <w:t>营业执照</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符合第二章“投标人须知”第3.5.1项规定，具备有效的营业执照</w:t>
            </w:r>
            <w:r>
              <w:rPr>
                <w:rFonts w:hint="eastAsia" w:ascii="宋体" w:hAnsi="宋体" w:cs="宋体"/>
                <w:color w:val="auto"/>
                <w:kern w:val="0"/>
                <w:szCs w:val="21"/>
                <w:highlight w:val="none"/>
                <w:lang w:eastAsia="zh-CN"/>
              </w:rPr>
              <w:t>；</w:t>
            </w:r>
            <w:r>
              <w:rPr>
                <w:rFonts w:hint="default" w:ascii="宋体" w:hAnsi="宋体" w:eastAsia="宋体" w:cs="宋体"/>
                <w:color w:val="auto"/>
                <w:sz w:val="21"/>
                <w:szCs w:val="21"/>
                <w:highlight w:val="none"/>
                <w:u w:val="single"/>
              </w:rPr>
              <w:t>香港企业提供在香港进行商业登记的证明文书。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资质要求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财务要求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业绩要求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宋体" w:hAnsi="宋体" w:cs="楷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信誉要求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总监理工程师</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其他主要人员</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试验检测仪器设备</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szCs w:val="21"/>
                <w:highlight w:val="none"/>
              </w:rPr>
              <w:t>其他要求</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szCs w:val="21"/>
                <w:highlight w:val="none"/>
              </w:rPr>
              <w:t>符合第二章“投标人须知”第1.4.1项规定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szCs w:val="21"/>
                <w:highlight w:val="none"/>
              </w:rPr>
            </w:pPr>
            <w:r>
              <w:rPr>
                <w:rFonts w:hint="eastAsia" w:ascii="宋体" w:hAnsi="宋体" w:cs="宋体"/>
                <w:color w:val="auto"/>
                <w:szCs w:val="21"/>
                <w:highlight w:val="none"/>
              </w:rPr>
              <w:t>联合体投标人</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szCs w:val="21"/>
                <w:highlight w:val="none"/>
              </w:rPr>
            </w:pPr>
            <w:r>
              <w:rPr>
                <w:rFonts w:hint="eastAsia" w:ascii="宋体" w:hAnsi="宋体" w:cs="宋体"/>
                <w:color w:val="auto"/>
                <w:szCs w:val="21"/>
                <w:highlight w:val="none"/>
                <w:u w:val="single"/>
                <w:lang w:val="en-US" w:eastAsia="zh-CN"/>
              </w:rPr>
              <w:t>本次招标</w:t>
            </w:r>
            <w:r>
              <w:rPr>
                <w:rFonts w:hint="eastAsia" w:ascii="宋体" w:hAnsi="宋体" w:cs="宋体"/>
                <w:color w:val="auto"/>
                <w:szCs w:val="21"/>
                <w:highlight w:val="none"/>
                <w:u w:val="singl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jc w:val="center"/>
              <w:rPr>
                <w:rFonts w:hint="eastAsia" w:ascii="宋体" w:hAnsi="宋体" w:cs="楷体"/>
                <w:color w:val="auto"/>
                <w:kern w:val="0"/>
                <w:szCs w:val="21"/>
                <w:highlight w:val="none"/>
              </w:rPr>
            </w:pPr>
            <w:r>
              <w:rPr>
                <w:rFonts w:hint="eastAsia" w:ascii="宋体" w:hAnsi="宋体" w:cs="宋体"/>
                <w:color w:val="auto"/>
                <w:szCs w:val="21"/>
                <w:highlight w:val="none"/>
              </w:rPr>
              <w:t>不存在禁止投标的情形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eastAsia="宋体" w:cs="楷体"/>
                <w:color w:val="auto"/>
                <w:kern w:val="0"/>
                <w:szCs w:val="21"/>
                <w:highlight w:val="none"/>
                <w:lang w:eastAsia="zh-CN"/>
              </w:rPr>
            </w:pPr>
            <w:r>
              <w:rPr>
                <w:rFonts w:hint="eastAsia" w:ascii="宋体" w:hAnsi="宋体" w:cs="宋体"/>
                <w:color w:val="auto"/>
                <w:kern w:val="0"/>
                <w:szCs w:val="21"/>
                <w:highlight w:val="none"/>
              </w:rPr>
              <w:t>不存在第二章“投标人须知”第1.4.3项规定的任何一种情形</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before="40" w:after="40"/>
              <w:jc w:val="center"/>
              <w:rPr>
                <w:rFonts w:hint="eastAsia" w:ascii="宋体" w:hAnsi="宋体"/>
                <w:color w:val="auto"/>
                <w:highlight w:val="none"/>
              </w:rPr>
            </w:pPr>
            <w:r>
              <w:rPr>
                <w:rFonts w:hint="eastAsia" w:ascii="宋体" w:hAnsi="宋体" w:cs="宋体"/>
                <w:color w:val="auto"/>
                <w:szCs w:val="21"/>
                <w:highlight w:val="none"/>
                <w:u w:val="single"/>
              </w:rPr>
              <w:t>投标人声明签字盖章</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ordWrap w:val="0"/>
              <w:autoSpaceDE w:val="0"/>
              <w:autoSpaceDN w:val="0"/>
              <w:rPr>
                <w:rFonts w:hint="eastAsia" w:ascii="宋体" w:hAnsi="宋体"/>
                <w:color w:val="auto"/>
                <w:highlight w:val="none"/>
              </w:rPr>
            </w:pPr>
            <w:r>
              <w:rPr>
                <w:rFonts w:hint="eastAsia" w:ascii="宋体" w:hAnsi="宋体" w:cs="宋体"/>
                <w:color w:val="auto"/>
                <w:szCs w:val="21"/>
                <w:highlight w:val="none"/>
                <w:u w:val="single"/>
              </w:rPr>
              <w:t>法定代表人、总监理工程师按《投标人声明》格式要求签字并加盖单位公章。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hint="eastAsia" w:ascii="宋体" w:hAnsi="宋体"/>
                <w:color w:val="auto"/>
                <w:highlight w:val="none"/>
                <w:u w:val="single"/>
              </w:rPr>
            </w:pPr>
            <w:r>
              <w:rPr>
                <w:rFonts w:hint="eastAsia"/>
                <w:color w:val="auto"/>
                <w:szCs w:val="21"/>
                <w:highlight w:val="none"/>
                <w:u w:val="single"/>
              </w:rPr>
              <w:t>未被列入拖欠农民工工资失信联合惩戒对象名单</w:t>
            </w:r>
          </w:p>
        </w:tc>
        <w:tc>
          <w:tcPr>
            <w:tcW w:w="55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hAnsi="宋体"/>
                <w:color w:val="auto"/>
                <w:highlight w:val="none"/>
                <w:u w:val="single"/>
              </w:rPr>
            </w:pPr>
            <w:r>
              <w:rPr>
                <w:rFonts w:hint="eastAsia" w:ascii="宋体" w:hAnsi="宋体" w:cs="宋体"/>
                <w:color w:val="auto"/>
                <w:szCs w:val="21"/>
                <w:highlight w:val="none"/>
                <w:u w:val="single"/>
              </w:rPr>
              <w:t>投标人无需提供资料，按</w:t>
            </w:r>
            <w:r>
              <w:rPr>
                <w:rFonts w:hint="eastAsia" w:ascii="宋体" w:hAnsi="宋体" w:cs="宋体"/>
                <w:color w:val="auto"/>
                <w:szCs w:val="21"/>
                <w:highlight w:val="none"/>
                <w:u w:val="single"/>
                <w:lang w:val="en-US" w:eastAsia="zh-CN"/>
              </w:rPr>
              <w:t>投标截止时间</w:t>
            </w:r>
            <w:r>
              <w:rPr>
                <w:rFonts w:hint="eastAsia" w:ascii="宋体" w:hAnsi="宋体" w:cs="宋体"/>
                <w:color w:val="auto"/>
                <w:szCs w:val="21"/>
                <w:highlight w:val="none"/>
                <w:u w:val="single"/>
              </w:rPr>
              <w:t>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strike/>
                <w:color w:val="auto"/>
                <w:kern w:val="0"/>
                <w:szCs w:val="21"/>
                <w:highlight w:val="none"/>
              </w:rPr>
            </w:pPr>
            <w:r>
              <w:rPr>
                <w:rFonts w:hint="eastAsia" w:ascii="宋体" w:hAnsi="宋体" w:cs="宋体"/>
                <w:color w:val="auto"/>
                <w:kern w:val="0"/>
                <w:szCs w:val="21"/>
                <w:highlight w:val="none"/>
              </w:rPr>
              <w:t>响应性评审标准</w:t>
            </w: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color w:val="auto"/>
                <w:szCs w:val="21"/>
                <w:highlight w:val="none"/>
              </w:rPr>
            </w:pPr>
            <w:r>
              <w:rPr>
                <w:rFonts w:hint="eastAsia" w:ascii="宋体" w:hAnsi="宋体" w:cs="宋体"/>
                <w:color w:val="auto"/>
                <w:kern w:val="0"/>
                <w:szCs w:val="21"/>
                <w:highlight w:val="none"/>
              </w:rPr>
              <w:t>投标报价</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符合第二章“投标人须知”第3.2款规定，对同一招标项目没有出现：两个或以上的投标报价且修正无依据。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投标内容</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符合第二章“投标人须知”第1.3.1项规定，投标文件按规定的格式填写，内容齐全或关键字迹清晰、容易辩认。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监理服务期限</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质量标准</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投标有效期</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spacing w:beforeAutospacing="1" w:afterAutospacing="1"/>
              <w:jc w:val="left"/>
              <w:rPr>
                <w:rFonts w:hint="eastAsia" w:ascii="宋体" w:hAnsi="宋体" w:cs="楷体"/>
                <w:color w:val="auto"/>
                <w:kern w:val="0"/>
                <w:szCs w:val="21"/>
                <w:highlight w:val="none"/>
              </w:rPr>
            </w:pPr>
            <w:r>
              <w:rPr>
                <w:rFonts w:hint="eastAsia" w:ascii="宋体" w:hAnsi="宋体" w:cs="宋体"/>
                <w:color w:val="auto"/>
                <w:kern w:val="0"/>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Times New Roman" w:hAnsi="Times New Roman"/>
                <w:color w:val="auto"/>
                <w:sz w:val="20"/>
                <w:szCs w:val="20"/>
                <w:highlight w:val="none"/>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spacing w:beforeAutospacing="1" w:afterAutospacing="1"/>
              <w:jc w:val="center"/>
              <w:rPr>
                <w:rFonts w:ascii="宋体" w:hAnsi="宋体" w:cs="楷体"/>
                <w:color w:val="auto"/>
                <w:kern w:val="0"/>
                <w:szCs w:val="21"/>
                <w:highlight w:val="none"/>
              </w:rPr>
            </w:pPr>
            <w:r>
              <w:rPr>
                <w:rFonts w:hint="eastAsia" w:ascii="宋体" w:hAnsi="宋体" w:cs="宋体"/>
                <w:color w:val="auto"/>
                <w:kern w:val="0"/>
                <w:szCs w:val="21"/>
                <w:highlight w:val="none"/>
              </w:rPr>
              <w:t>串通投标情形</w:t>
            </w:r>
          </w:p>
        </w:tc>
        <w:tc>
          <w:tcPr>
            <w:tcW w:w="55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widowControl/>
              <w:spacing w:beforeAutospacing="1" w:afterAutospacing="1"/>
              <w:jc w:val="left"/>
              <w:rPr>
                <w:rFonts w:ascii="宋体" w:hAnsi="宋体" w:cs="楷体"/>
                <w:color w:val="auto"/>
                <w:kern w:val="0"/>
                <w:szCs w:val="21"/>
                <w:highlight w:val="none"/>
              </w:rPr>
            </w:pPr>
            <w:r>
              <w:rPr>
                <w:rFonts w:hint="eastAsia" w:ascii="宋体" w:hAnsi="宋体" w:cs="宋体"/>
                <w:color w:val="auto"/>
                <w:kern w:val="0"/>
                <w:szCs w:val="21"/>
                <w:highlight w:val="none"/>
              </w:rPr>
              <w:t>不存在串通投标情形（串通投标情形以《广东省实施&lt;中华人民共和国招标投标法&gt;》第十六条的规定为准）。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楷体"/>
                <w:color w:val="auto"/>
                <w:kern w:val="0"/>
                <w:szCs w:val="21"/>
                <w:highlight w:val="none"/>
                <w:u w:val="single"/>
              </w:rPr>
            </w:pPr>
            <w:r>
              <w:rPr>
                <w:rFonts w:cs="Calibri"/>
                <w:color w:val="auto"/>
                <w:szCs w:val="21"/>
                <w:highlight w:val="none"/>
                <w:u w:val="single"/>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楷体"/>
                <w:color w:val="auto"/>
                <w:kern w:val="0"/>
                <w:szCs w:val="21"/>
                <w:highlight w:val="none"/>
              </w:rPr>
            </w:pPr>
            <w:r>
              <w:rPr>
                <w:rFonts w:hint="eastAsia" w:ascii="宋体" w:hAnsi="宋体" w:cs="宋体"/>
                <w:color w:val="auto"/>
                <w:szCs w:val="21"/>
                <w:highlight w:val="none"/>
              </w:rPr>
              <w:t>定标</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ascii="宋体" w:hAnsi="宋体"/>
                <w:b/>
                <w:color w:val="auto"/>
                <w:szCs w:val="21"/>
                <w:highlight w:val="none"/>
              </w:rPr>
            </w:pPr>
            <w:r>
              <w:rPr>
                <w:rFonts w:hint="eastAsia" w:ascii="宋体" w:hAnsi="宋体" w:cs="宋体"/>
                <w:b/>
                <w:color w:val="auto"/>
                <w:szCs w:val="21"/>
                <w:highlight w:val="none"/>
              </w:rPr>
              <w:t>1.定标委员会的组成</w:t>
            </w:r>
          </w:p>
          <w:p>
            <w:pPr>
              <w:rPr>
                <w:rFonts w:ascii="宋体" w:hAnsi="宋体" w:cs="楷体"/>
                <w:bCs/>
                <w:color w:val="auto"/>
                <w:kern w:val="0"/>
                <w:szCs w:val="21"/>
                <w:highlight w:val="none"/>
              </w:rPr>
            </w:pPr>
            <w:r>
              <w:rPr>
                <w:rFonts w:hint="eastAsia" w:ascii="宋体" w:hAnsi="宋体" w:cs="宋体"/>
                <w:bCs/>
                <w:color w:val="auto"/>
                <w:kern w:val="0"/>
                <w:szCs w:val="21"/>
                <w:highlight w:val="none"/>
              </w:rPr>
              <w:t>（1）定标委员会</w:t>
            </w:r>
          </w:p>
          <w:p>
            <w:pPr>
              <w:rPr>
                <w:rFonts w:ascii="宋体" w:hAnsi="宋体" w:cs="楷体"/>
                <w:bCs/>
                <w:color w:val="auto"/>
                <w:kern w:val="0"/>
                <w:szCs w:val="21"/>
                <w:highlight w:val="none"/>
              </w:rPr>
            </w:pPr>
            <w:r>
              <w:rPr>
                <w:rFonts w:hint="eastAsia" w:ascii="宋体" w:hAnsi="宋体" w:cs="宋体"/>
                <w:bCs/>
                <w:color w:val="auto"/>
                <w:kern w:val="0"/>
                <w:szCs w:val="21"/>
                <w:highlight w:val="none"/>
              </w:rPr>
              <w:t>定标委员会由招标人依法组建。</w:t>
            </w:r>
          </w:p>
          <w:p>
            <w:pPr>
              <w:rPr>
                <w:rFonts w:ascii="宋体" w:hAnsi="宋体" w:cs="楷体"/>
                <w:bCs/>
                <w:color w:val="auto"/>
                <w:kern w:val="0"/>
                <w:szCs w:val="21"/>
                <w:highlight w:val="none"/>
              </w:rPr>
            </w:pPr>
            <w:r>
              <w:rPr>
                <w:rFonts w:hint="eastAsia" w:ascii="宋体" w:hAnsi="宋体" w:cs="宋体"/>
                <w:bCs/>
                <w:color w:val="auto"/>
                <w:kern w:val="0"/>
                <w:szCs w:val="21"/>
                <w:highlight w:val="none"/>
              </w:rPr>
              <w:t>（2）定标会召开的时间地点：</w:t>
            </w:r>
          </w:p>
          <w:p>
            <w:pPr>
              <w:rPr>
                <w:rFonts w:ascii="宋体" w:hAnsi="宋体" w:cs="楷体"/>
                <w:bCs/>
                <w:color w:val="auto"/>
                <w:kern w:val="0"/>
                <w:szCs w:val="21"/>
                <w:highlight w:val="none"/>
              </w:rPr>
            </w:pPr>
            <w:r>
              <w:rPr>
                <w:rFonts w:hint="eastAsia" w:ascii="宋体" w:hAnsi="宋体" w:cs="宋体"/>
                <w:bCs/>
                <w:color w:val="auto"/>
                <w:kern w:val="0"/>
                <w:szCs w:val="21"/>
                <w:highlight w:val="none"/>
              </w:rPr>
              <w:t>定标会召开时间在合格的中标候选人公示完成后</w:t>
            </w:r>
            <w:r>
              <w:rPr>
                <w:rFonts w:hint="eastAsia" w:ascii="宋体" w:hAnsi="宋体" w:cs="楷体"/>
                <w:bCs/>
                <w:color w:val="auto"/>
                <w:kern w:val="0"/>
                <w:szCs w:val="21"/>
                <w:highlight w:val="none"/>
              </w:rPr>
              <w:t>10个工作日内在广州交易集团有限公司（广州公共资源交易中心）举行，定标会全程在广州交易集团有限公司（广州公共资源交易中心）见证人员见证下进行。</w:t>
            </w:r>
          </w:p>
          <w:p>
            <w:pPr>
              <w:rPr>
                <w:rFonts w:ascii="宋体" w:hAnsi="宋体" w:cs="楷体"/>
                <w:b/>
                <w:color w:val="auto"/>
                <w:kern w:val="0"/>
                <w:szCs w:val="21"/>
                <w:highlight w:val="none"/>
              </w:rPr>
            </w:pPr>
            <w:r>
              <w:rPr>
                <w:rFonts w:hint="eastAsia" w:ascii="宋体" w:hAnsi="宋体" w:cs="宋体"/>
                <w:b/>
                <w:color w:val="auto"/>
                <w:kern w:val="0"/>
                <w:szCs w:val="21"/>
                <w:highlight w:val="none"/>
              </w:rPr>
              <w:t>2.定标原则</w:t>
            </w:r>
          </w:p>
          <w:p>
            <w:pPr>
              <w:rPr>
                <w:rFonts w:ascii="宋体" w:hAnsi="宋体" w:cs="楷体"/>
                <w:b/>
                <w:color w:val="auto"/>
                <w:kern w:val="0"/>
                <w:szCs w:val="21"/>
                <w:highlight w:val="none"/>
              </w:rPr>
            </w:pPr>
            <w:r>
              <w:rPr>
                <w:rFonts w:hint="eastAsia" w:ascii="宋体" w:hAnsi="宋体"/>
                <w:color w:val="auto"/>
                <w:highlight w:val="none"/>
                <w:u w:val="single"/>
              </w:rPr>
              <w:t>详见</w:t>
            </w:r>
            <w:r>
              <w:rPr>
                <w:rFonts w:hint="eastAsia" w:ascii="宋体" w:hAnsi="宋体" w:cs="宋体"/>
                <w:bCs/>
                <w:color w:val="auto"/>
                <w:szCs w:val="21"/>
                <w:highlight w:val="none"/>
                <w:u w:val="single"/>
              </w:rPr>
              <w:t>本章第4款。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color w:val="auto"/>
                <w:szCs w:val="21"/>
                <w:highlight w:val="none"/>
                <w:u w:val="single"/>
              </w:rPr>
            </w:pPr>
            <w:r>
              <w:rPr>
                <w:rFonts w:cs="Calibri"/>
                <w:color w:val="auto"/>
                <w:szCs w:val="21"/>
                <w:highlight w:val="none"/>
                <w:u w:val="single"/>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color w:val="auto"/>
                <w:szCs w:val="21"/>
                <w:highlight w:val="none"/>
              </w:rPr>
            </w:pPr>
            <w:r>
              <w:rPr>
                <w:rFonts w:hint="eastAsia" w:ascii="宋体" w:hAnsi="宋体" w:cs="宋体"/>
                <w:color w:val="auto"/>
                <w:szCs w:val="21"/>
                <w:highlight w:val="none"/>
              </w:rPr>
              <w:t>定标表格</w:t>
            </w:r>
          </w:p>
        </w:tc>
        <w:tc>
          <w:tcPr>
            <w:tcW w:w="7283"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widowControl/>
              <w:jc w:val="left"/>
              <w:rPr>
                <w:rFonts w:ascii="宋体" w:hAnsi="宋体" w:cs="宋体"/>
                <w:color w:val="auto"/>
                <w:szCs w:val="21"/>
                <w:highlight w:val="none"/>
              </w:rPr>
            </w:pPr>
            <w:r>
              <w:rPr>
                <w:rFonts w:hint="eastAsia" w:ascii="宋体" w:hAnsi="宋体"/>
                <w:color w:val="auto"/>
                <w:highlight w:val="none"/>
                <w:u w:val="single"/>
              </w:rPr>
              <w:t>详见本章第5款附表</w:t>
            </w:r>
            <w:r>
              <w:rPr>
                <w:rFonts w:hint="eastAsia" w:ascii="宋体" w:hAnsi="宋体" w:cs="宋体"/>
                <w:color w:val="auto"/>
                <w:szCs w:val="21"/>
                <w:highlight w:val="none"/>
              </w:rPr>
              <w:t>。</w:t>
            </w:r>
          </w:p>
        </w:tc>
      </w:tr>
    </w:tbl>
    <w:p>
      <w:pPr>
        <w:spacing w:before="120" w:beforeLines="50" w:after="120" w:afterLines="50" w:line="360" w:lineRule="exact"/>
        <w:outlineLvl w:val="2"/>
        <w:rPr>
          <w:rFonts w:ascii="宋体" w:hAnsi="宋体"/>
          <w:b/>
          <w:color w:val="auto"/>
          <w:sz w:val="32"/>
          <w:highlight w:val="none"/>
        </w:rPr>
      </w:pPr>
      <w:bookmarkStart w:id="290" w:name="_Toc515205256"/>
      <w:bookmarkStart w:id="291" w:name="_Toc529196583"/>
      <w:r>
        <w:rPr>
          <w:rFonts w:hint="eastAsia" w:ascii="宋体" w:hAnsi="宋体"/>
          <w:b/>
          <w:color w:val="auto"/>
          <w:sz w:val="32"/>
          <w:highlight w:val="none"/>
        </w:rPr>
        <w:br w:type="page"/>
      </w:r>
      <w:r>
        <w:rPr>
          <w:rFonts w:hint="eastAsia" w:ascii="宋体" w:hAnsi="宋体"/>
          <w:b/>
          <w:color w:val="auto"/>
          <w:sz w:val="32"/>
          <w:highlight w:val="none"/>
        </w:rPr>
        <w:t>1. 评标方法</w:t>
      </w:r>
      <w:bookmarkEnd w:id="290"/>
      <w:bookmarkEnd w:id="291"/>
    </w:p>
    <w:p>
      <w:pPr>
        <w:spacing w:line="440" w:lineRule="exact"/>
        <w:ind w:firstLine="420" w:firstLineChars="200"/>
        <w:rPr>
          <w:strike/>
          <w:color w:val="auto"/>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【不排序，按其统一社会信用代码后4位（除校验码外）大小进行排位】</w:t>
      </w:r>
      <w:r>
        <w:rPr>
          <w:rFonts w:hint="eastAsia"/>
          <w:color w:val="auto"/>
          <w:szCs w:val="21"/>
          <w:highlight w:val="none"/>
          <w:u w:val="single"/>
        </w:rPr>
        <w:t>。</w:t>
      </w:r>
    </w:p>
    <w:p>
      <w:pPr>
        <w:ind w:firstLine="420" w:firstLineChars="200"/>
        <w:rPr>
          <w:rFonts w:ascii="Times New Roman" w:hAnsi="Times New Roman"/>
          <w:strike/>
          <w:color w:val="auto"/>
          <w:highlight w:val="none"/>
        </w:rPr>
      </w:pPr>
    </w:p>
    <w:p>
      <w:pPr>
        <w:spacing w:before="120" w:beforeLines="50" w:line="360" w:lineRule="exact"/>
        <w:outlineLvl w:val="2"/>
        <w:rPr>
          <w:rFonts w:ascii="宋体" w:hAnsi="宋体"/>
          <w:b/>
          <w:color w:val="auto"/>
          <w:sz w:val="32"/>
          <w:highlight w:val="none"/>
        </w:rPr>
      </w:pPr>
      <w:bookmarkStart w:id="292" w:name="_Toc515205257"/>
      <w:bookmarkStart w:id="293" w:name="_Toc529196584"/>
      <w:r>
        <w:rPr>
          <w:rFonts w:hint="eastAsia" w:ascii="宋体" w:hAnsi="宋体"/>
          <w:b/>
          <w:color w:val="auto"/>
          <w:sz w:val="32"/>
          <w:highlight w:val="none"/>
        </w:rPr>
        <w:t>2. 评审标准</w:t>
      </w:r>
      <w:bookmarkEnd w:id="292"/>
      <w:bookmarkEnd w:id="293"/>
    </w:p>
    <w:p>
      <w:pPr>
        <w:spacing w:before="240" w:beforeLines="100" w:after="240" w:afterLines="100" w:line="360" w:lineRule="exact"/>
        <w:rPr>
          <w:rFonts w:ascii="宋体" w:hAnsi="宋体"/>
          <w:b/>
          <w:color w:val="auto"/>
          <w:sz w:val="28"/>
          <w:highlight w:val="none"/>
        </w:rPr>
      </w:pPr>
      <w:bookmarkStart w:id="294" w:name="_Toc515205258"/>
      <w:bookmarkStart w:id="295" w:name="_Toc529196585"/>
      <w:r>
        <w:rPr>
          <w:rFonts w:hint="eastAsia" w:ascii="宋体" w:hAnsi="宋体"/>
          <w:b/>
          <w:color w:val="auto"/>
          <w:sz w:val="28"/>
          <w:highlight w:val="none"/>
        </w:rPr>
        <w:t>2.1 初步评审标准</w:t>
      </w:r>
      <w:bookmarkEnd w:id="294"/>
      <w:bookmarkEnd w:id="295"/>
    </w:p>
    <w:p>
      <w:pPr>
        <w:spacing w:line="360" w:lineRule="exact"/>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pPr>
        <w:spacing w:line="360" w:lineRule="exact"/>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pPr>
        <w:spacing w:line="360" w:lineRule="exact"/>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pPr>
        <w:spacing w:before="240" w:beforeLines="100" w:after="240" w:afterLines="100" w:line="360" w:lineRule="exact"/>
        <w:rPr>
          <w:rFonts w:ascii="宋体" w:hAnsi="宋体"/>
          <w:b/>
          <w:strike/>
          <w:color w:val="auto"/>
          <w:sz w:val="28"/>
          <w:highlight w:val="none"/>
        </w:rPr>
      </w:pPr>
      <w:bookmarkStart w:id="296" w:name="_Toc529196586"/>
      <w:bookmarkStart w:id="297" w:name="_Toc515205259"/>
      <w:r>
        <w:rPr>
          <w:rFonts w:hint="eastAsia" w:ascii="宋体" w:hAnsi="宋体"/>
          <w:b/>
          <w:strike/>
          <w:color w:val="auto"/>
          <w:sz w:val="28"/>
          <w:highlight w:val="none"/>
        </w:rPr>
        <w:t>2.2 分值构成与评分标准</w:t>
      </w:r>
      <w:bookmarkEnd w:id="296"/>
      <w:bookmarkEnd w:id="297"/>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2.2.1 分值构成：</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（1）资信业绩部分：见评标办法前附表；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（2）监理大纲部分：见评标办法前附表；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（3）投标报价：见评标办法前附表；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（4）其他评分因素：见评标办法前附表。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2.2.2 评标基准价计算</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评标基准价计算方法：见评标办法前附表。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2.2.3 投标报价的偏差率计算</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投标报价的偏差率计算公式：见评标办法前附表。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2.2.4 评分标准</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（1）资信业绩评分标准：见评标办法前附表；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（2）监理大纲评分标准：见评标办法前附表；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（3）投标报价评分标准：见评标办法前附表；</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（4）其他因素评分标准：见评标办法前附表。</w:t>
      </w:r>
    </w:p>
    <w:p>
      <w:pPr>
        <w:ind w:firstLine="420" w:firstLineChars="200"/>
        <w:rPr>
          <w:rFonts w:ascii="Times New Roman" w:hAnsi="Times New Roman"/>
          <w:color w:val="auto"/>
          <w:highlight w:val="none"/>
        </w:rPr>
      </w:pPr>
    </w:p>
    <w:p>
      <w:pPr>
        <w:spacing w:before="120" w:beforeLines="50" w:line="360" w:lineRule="exact"/>
        <w:outlineLvl w:val="2"/>
        <w:rPr>
          <w:rFonts w:ascii="宋体" w:hAnsi="宋体"/>
          <w:b/>
          <w:color w:val="auto"/>
          <w:sz w:val="32"/>
          <w:highlight w:val="none"/>
        </w:rPr>
      </w:pPr>
      <w:bookmarkStart w:id="298" w:name="_Toc529196587"/>
      <w:bookmarkStart w:id="299" w:name="_Toc515205260"/>
      <w:r>
        <w:rPr>
          <w:rFonts w:hint="eastAsia" w:ascii="宋体" w:hAnsi="宋体"/>
          <w:b/>
          <w:color w:val="auto"/>
          <w:sz w:val="32"/>
          <w:highlight w:val="none"/>
        </w:rPr>
        <w:t>3. 评标程序</w:t>
      </w:r>
      <w:bookmarkEnd w:id="298"/>
      <w:bookmarkEnd w:id="299"/>
    </w:p>
    <w:p>
      <w:pPr>
        <w:spacing w:before="240" w:beforeLines="100" w:after="240" w:afterLines="100" w:line="360" w:lineRule="exact"/>
        <w:rPr>
          <w:rFonts w:ascii="宋体" w:hAnsi="宋体"/>
          <w:b/>
          <w:color w:val="auto"/>
          <w:sz w:val="28"/>
          <w:highlight w:val="none"/>
        </w:rPr>
      </w:pPr>
      <w:bookmarkStart w:id="300" w:name="_Toc515205261"/>
      <w:bookmarkStart w:id="301" w:name="_Toc529196588"/>
      <w:r>
        <w:rPr>
          <w:rFonts w:hint="eastAsia" w:ascii="宋体" w:hAnsi="宋体"/>
          <w:b/>
          <w:color w:val="auto"/>
          <w:sz w:val="28"/>
          <w:highlight w:val="none"/>
        </w:rPr>
        <w:t>3.1 初步评审</w:t>
      </w:r>
      <w:bookmarkEnd w:id="300"/>
      <w:bookmarkEnd w:id="301"/>
    </w:p>
    <w:p>
      <w:pPr>
        <w:spacing w:line="360" w:lineRule="exact"/>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exact"/>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pPr>
        <w:spacing w:line="360" w:lineRule="exact"/>
        <w:ind w:firstLine="420" w:firstLineChars="200"/>
        <w:rPr>
          <w:rFonts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pPr>
        <w:spacing w:line="360" w:lineRule="exact"/>
        <w:ind w:firstLine="420" w:firstLineChars="200"/>
        <w:rPr>
          <w:rFonts w:ascii="宋体" w:hAnsi="宋体"/>
          <w:color w:val="auto"/>
          <w:highlight w:val="none"/>
        </w:rPr>
      </w:pPr>
      <w:r>
        <w:rPr>
          <w:rFonts w:hint="eastAsia" w:ascii="宋体" w:hAnsi="宋体"/>
          <w:color w:val="auto"/>
          <w:highlight w:val="none"/>
        </w:rPr>
        <w:t>（2）有串通投标、弄虚作假、行贿等违法行为。</w:t>
      </w:r>
    </w:p>
    <w:p>
      <w:pPr>
        <w:spacing w:line="360" w:lineRule="exact"/>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exact"/>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spacing w:line="360" w:lineRule="exact"/>
        <w:ind w:firstLine="420" w:firstLineChars="200"/>
        <w:rPr>
          <w:rFonts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pPr>
        <w:spacing w:before="168" w:beforeLines="70" w:after="168" w:afterLines="70" w:line="360" w:lineRule="exact"/>
        <w:rPr>
          <w:rFonts w:ascii="宋体" w:hAnsi="宋体"/>
          <w:b/>
          <w:strike/>
          <w:color w:val="auto"/>
          <w:sz w:val="28"/>
          <w:highlight w:val="none"/>
        </w:rPr>
      </w:pPr>
      <w:bookmarkStart w:id="302" w:name="_Toc529196589"/>
      <w:bookmarkStart w:id="303" w:name="_Toc515205262"/>
      <w:r>
        <w:rPr>
          <w:rFonts w:hint="eastAsia" w:ascii="宋体" w:hAnsi="宋体"/>
          <w:b/>
          <w:strike/>
          <w:color w:val="auto"/>
          <w:sz w:val="28"/>
          <w:highlight w:val="none"/>
        </w:rPr>
        <w:t>3.2 详细评审</w:t>
      </w:r>
      <w:bookmarkEnd w:id="302"/>
      <w:bookmarkEnd w:id="303"/>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3.2.1 评标委员会按本章第2.2款规定的量化因素和分值进行打分，并计算出综合评估得分。</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（1）按本章第 2.2.4（1）目规定的评审因素和分值对资信业绩部分计算出得分 A；</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（2）按本章第 2.2.4（2）目规定的评审因素和分值对监理大纲部分计算出得分 B；</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（3）按本章第 2.2.4（3）目规定的评审因素和分值对投标报价计算出得分 C；</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（4）按本章第 2.2.4（4）目规定的评审因素和分值对其他部分计算出得分 D。</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3.2.2 评分分值计算保留小数点后两位，小数点后第三位“四舍五入”。</w:t>
      </w:r>
    </w:p>
    <w:p>
      <w:pPr>
        <w:spacing w:line="360" w:lineRule="exact"/>
        <w:ind w:firstLine="420" w:firstLineChars="200"/>
        <w:rPr>
          <w:rFonts w:ascii="宋体" w:hAnsi="宋体"/>
          <w:strike/>
          <w:color w:val="auto"/>
          <w:highlight w:val="none"/>
        </w:rPr>
      </w:pPr>
      <w:r>
        <w:rPr>
          <w:rFonts w:hint="eastAsia" w:ascii="宋体" w:hAnsi="宋体"/>
          <w:strike/>
          <w:color w:val="auto"/>
          <w:highlight w:val="none"/>
        </w:rPr>
        <w:t>3.2.3 投标人得分=A+B+C+D</w:t>
      </w:r>
    </w:p>
    <w:p>
      <w:pPr>
        <w:spacing w:line="360" w:lineRule="exact"/>
        <w:ind w:firstLine="420" w:firstLineChars="200"/>
        <w:rPr>
          <w:rFonts w:ascii="宋体" w:hAnsi="宋体"/>
          <w:color w:val="auto"/>
          <w:highlight w:val="none"/>
        </w:rPr>
      </w:pPr>
      <w:r>
        <w:rPr>
          <w:rFonts w:hint="eastAsia" w:ascii="宋体" w:hAnsi="宋体"/>
          <w:strike/>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before="168" w:beforeLines="70" w:after="168" w:afterLines="70" w:line="360" w:lineRule="exact"/>
        <w:rPr>
          <w:rFonts w:ascii="宋体" w:hAnsi="宋体"/>
          <w:b/>
          <w:color w:val="auto"/>
          <w:sz w:val="28"/>
          <w:highlight w:val="none"/>
        </w:rPr>
      </w:pPr>
      <w:bookmarkStart w:id="304" w:name="_Toc529196590"/>
      <w:bookmarkStart w:id="305" w:name="_Toc515205263"/>
      <w:r>
        <w:rPr>
          <w:rFonts w:hint="eastAsia" w:ascii="宋体" w:hAnsi="宋体"/>
          <w:b/>
          <w:color w:val="auto"/>
          <w:sz w:val="28"/>
          <w:highlight w:val="none"/>
        </w:rPr>
        <w:t>3.3 投标文件的澄清</w:t>
      </w:r>
      <w:bookmarkEnd w:id="304"/>
      <w:bookmarkEnd w:id="305"/>
    </w:p>
    <w:p>
      <w:pPr>
        <w:spacing w:line="360" w:lineRule="exact"/>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exact"/>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pPr>
        <w:spacing w:line="360" w:lineRule="exact"/>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pPr>
        <w:spacing w:before="168" w:beforeLines="70" w:after="168" w:afterLines="70" w:line="360" w:lineRule="exact"/>
        <w:rPr>
          <w:rFonts w:ascii="宋体" w:hAnsi="宋体"/>
          <w:b/>
          <w:color w:val="auto"/>
          <w:sz w:val="28"/>
          <w:highlight w:val="none"/>
        </w:rPr>
      </w:pPr>
      <w:bookmarkStart w:id="306" w:name="_Toc529196591"/>
      <w:bookmarkStart w:id="307" w:name="_Toc515205264"/>
      <w:r>
        <w:rPr>
          <w:rFonts w:hint="eastAsia" w:ascii="宋体" w:hAnsi="宋体"/>
          <w:b/>
          <w:color w:val="auto"/>
          <w:sz w:val="28"/>
          <w:highlight w:val="none"/>
        </w:rPr>
        <w:t>3.4 评标结果</w:t>
      </w:r>
      <w:bookmarkEnd w:id="306"/>
      <w:bookmarkEnd w:id="307"/>
    </w:p>
    <w:p>
      <w:pPr>
        <w:spacing w:line="360" w:lineRule="exact"/>
        <w:ind w:firstLine="420" w:firstLineChars="200"/>
        <w:rPr>
          <w:rFonts w:ascii="宋体" w:hAnsi="宋体"/>
          <w:b/>
          <w:strike/>
          <w:color w:val="auto"/>
          <w:highlight w:val="none"/>
        </w:rPr>
      </w:pPr>
      <w:r>
        <w:rPr>
          <w:rFonts w:hint="eastAsia" w:ascii="宋体" w:hAnsi="宋体"/>
          <w:color w:val="auto"/>
          <w:highlight w:val="none"/>
        </w:rPr>
        <w:t xml:space="preserve">3.4.1 </w:t>
      </w:r>
      <w:r>
        <w:rPr>
          <w:rFonts w:hint="eastAsia" w:ascii="宋体" w:hAnsi="宋体"/>
          <w:color w:val="auto"/>
          <w:highlight w:val="none"/>
          <w:u w:val="single"/>
        </w:rPr>
        <w:t>评标委员会按照招标文件规定完成初步评审</w:t>
      </w:r>
      <w:r>
        <w:rPr>
          <w:rFonts w:hint="eastAsia" w:ascii="宋体" w:hAnsi="宋体" w:cs="宋体"/>
          <w:color w:val="auto"/>
          <w:highlight w:val="none"/>
          <w:u w:val="single"/>
        </w:rPr>
        <w:t>（形式评审、资格评审、响应性评审）</w:t>
      </w:r>
      <w:r>
        <w:rPr>
          <w:rFonts w:hint="eastAsia" w:ascii="宋体" w:hAnsi="宋体"/>
          <w:color w:val="auto"/>
          <w:highlight w:val="none"/>
          <w:u w:val="single"/>
        </w:rPr>
        <w:t>，向招标人推荐合格的中标候选人，进入定标阶段【不排序，按其统一社会信用代码后4位（除校验码外）大小进行排位】。合格的中标候选人少于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p>
    <w:p>
      <w:pPr>
        <w:spacing w:line="360" w:lineRule="exact"/>
        <w:ind w:firstLine="482"/>
        <w:rPr>
          <w:rFonts w:ascii="宋体" w:hAnsi="宋体"/>
          <w:b/>
          <w:color w:val="auto"/>
          <w:sz w:val="30"/>
          <w:szCs w:val="30"/>
          <w:highlight w:val="none"/>
        </w:rPr>
      </w:pPr>
      <w:r>
        <w:rPr>
          <w:rFonts w:hint="eastAsia" w:ascii="宋体" w:hAnsi="宋体"/>
          <w:color w:val="auto"/>
          <w:highlight w:val="none"/>
        </w:rPr>
        <w:t xml:space="preserve">3.4.2 </w:t>
      </w:r>
      <w:r>
        <w:rPr>
          <w:rFonts w:ascii="宋体" w:hAnsi="宋体"/>
          <w:color w:val="auto"/>
          <w:szCs w:val="21"/>
          <w:highlight w:val="none"/>
          <w:u w:val="single"/>
        </w:rPr>
        <w:t>评标委员会完成评标后，应当向招标人提交书面评标报告和</w:t>
      </w:r>
      <w:r>
        <w:rPr>
          <w:rFonts w:hint="eastAsia" w:ascii="宋体" w:hAnsi="宋体"/>
          <w:color w:val="auto"/>
          <w:szCs w:val="21"/>
          <w:highlight w:val="none"/>
          <w:u w:val="single"/>
        </w:rPr>
        <w:t>合格的</w:t>
      </w:r>
      <w:r>
        <w:rPr>
          <w:rFonts w:ascii="宋体" w:hAnsi="宋体"/>
          <w:color w:val="auto"/>
          <w:szCs w:val="21"/>
          <w:highlight w:val="none"/>
          <w:u w:val="single"/>
        </w:rPr>
        <w:t>中标候选人名单</w:t>
      </w:r>
      <w:r>
        <w:rPr>
          <w:rFonts w:hint="eastAsia" w:ascii="宋体" w:hAnsi="宋体"/>
          <w:color w:val="auto"/>
          <w:highlight w:val="none"/>
        </w:rPr>
        <w:t>。</w:t>
      </w:r>
    </w:p>
    <w:p>
      <w:pPr>
        <w:spacing w:before="240" w:beforeLines="100" w:line="360" w:lineRule="auto"/>
        <w:outlineLvl w:val="2"/>
        <w:rPr>
          <w:rFonts w:ascii="宋体" w:hAnsi="宋体"/>
          <w:b/>
          <w:color w:val="auto"/>
          <w:szCs w:val="21"/>
          <w:highlight w:val="none"/>
          <w:u w:val="single"/>
        </w:rPr>
      </w:pPr>
    </w:p>
    <w:p>
      <w:pPr>
        <w:spacing w:before="120" w:beforeLines="50" w:line="360" w:lineRule="exact"/>
        <w:outlineLvl w:val="2"/>
        <w:rPr>
          <w:rFonts w:ascii="宋体" w:hAnsi="宋体"/>
          <w:b/>
          <w:color w:val="auto"/>
          <w:sz w:val="32"/>
          <w:highlight w:val="none"/>
        </w:rPr>
      </w:pPr>
      <w:r>
        <w:rPr>
          <w:rFonts w:hint="eastAsia" w:ascii="宋体" w:hAnsi="宋体"/>
          <w:b/>
          <w:color w:val="auto"/>
          <w:sz w:val="32"/>
          <w:highlight w:val="none"/>
          <w:u w:val="single"/>
        </w:rPr>
        <w:t>4.定标</w:t>
      </w:r>
      <w:r>
        <w:rPr>
          <w:rFonts w:ascii="宋体" w:hAnsi="宋体"/>
          <w:b/>
          <w:color w:val="auto"/>
          <w:sz w:val="32"/>
          <w:highlight w:val="none"/>
          <w:u w:val="single"/>
        </w:rPr>
        <w:t>原则</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4.1本项目定标办法采用“记名投票+撰写评语”。定标委员会成员根据评标过程资料，对比合格的中标候选人的投标文件等情况，综合考虑各中标候选人的情况，根据定标因素</w:t>
      </w:r>
      <w:r>
        <w:rPr>
          <w:rFonts w:hint="eastAsia" w:ascii="宋体" w:hAnsi="宋体" w:cs="宋体"/>
          <w:color w:val="auto"/>
          <w:szCs w:val="21"/>
          <w:highlight w:val="none"/>
          <w:u w:val="single"/>
        </w:rPr>
        <w:t>（详见《定标因素表》）</w:t>
      </w:r>
      <w:r>
        <w:rPr>
          <w:rFonts w:hint="eastAsia" w:ascii="宋体" w:hAnsi="宋体"/>
          <w:color w:val="auto"/>
          <w:szCs w:val="21"/>
          <w:highlight w:val="none"/>
          <w:u w:val="single"/>
        </w:rPr>
        <w:t>对各合格的中标候选人进行评审比较后，采用</w:t>
      </w:r>
      <w:r>
        <w:rPr>
          <w:rFonts w:hint="eastAsia" w:ascii="宋体" w:hAnsi="宋体" w:cs="宋体"/>
          <w:color w:val="auto"/>
          <w:szCs w:val="21"/>
          <w:highlight w:val="none"/>
          <w:u w:val="single"/>
        </w:rPr>
        <w:t>直接票决定标法</w:t>
      </w:r>
      <w:r>
        <w:rPr>
          <w:rFonts w:hint="eastAsia" w:ascii="宋体" w:hAnsi="宋体"/>
          <w:color w:val="auto"/>
          <w:szCs w:val="21"/>
          <w:highlight w:val="none"/>
          <w:u w:val="single"/>
        </w:rPr>
        <w:t>“记名投票+撰写评语”方式确定中标人。</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4.2定标细则</w:t>
      </w:r>
    </w:p>
    <w:p>
      <w:pPr>
        <w:spacing w:line="360" w:lineRule="exact"/>
        <w:ind w:firstLine="420" w:firstLineChars="200"/>
        <w:rPr>
          <w:rFonts w:hint="eastAsia" w:ascii="宋体" w:hAnsi="宋体" w:cs="宋体"/>
          <w:color w:val="auto"/>
          <w:highlight w:val="none"/>
          <w:u w:val="single"/>
        </w:rPr>
      </w:pPr>
      <w:r>
        <w:rPr>
          <w:rFonts w:hint="eastAsia" w:ascii="宋体" w:hAnsi="宋体"/>
          <w:color w:val="auto"/>
          <w:szCs w:val="21"/>
          <w:highlight w:val="none"/>
          <w:u w:val="single"/>
        </w:rPr>
        <w:t>（1）</w:t>
      </w:r>
      <w:r>
        <w:rPr>
          <w:rFonts w:hint="eastAsia" w:ascii="宋体" w:hAnsi="宋体" w:cs="宋体"/>
          <w:color w:val="auto"/>
          <w:szCs w:val="21"/>
          <w:highlight w:val="none"/>
          <w:u w:val="single"/>
        </w:rPr>
        <w:t>定标委员会根据评标委员会递交的评标报告和定标因素（详见《定标因素表》），对各</w:t>
      </w:r>
      <w:r>
        <w:rPr>
          <w:rFonts w:ascii="宋体" w:hAnsi="宋体" w:cs="宋体"/>
          <w:color w:val="auto"/>
          <w:szCs w:val="21"/>
          <w:highlight w:val="none"/>
          <w:u w:val="single"/>
        </w:rPr>
        <w:t>合格中标</w:t>
      </w:r>
      <w:r>
        <w:rPr>
          <w:rFonts w:hint="eastAsia" w:ascii="宋体" w:hAnsi="宋体" w:cs="宋体"/>
          <w:color w:val="auto"/>
          <w:szCs w:val="21"/>
          <w:highlight w:val="none"/>
          <w:u w:val="single"/>
        </w:rPr>
        <w:t>候选人的投标文件</w:t>
      </w:r>
      <w:r>
        <w:rPr>
          <w:rFonts w:hint="eastAsia" w:ascii="宋体" w:hAnsi="宋体" w:cs="宋体"/>
          <w:color w:val="auto"/>
          <w:highlight w:val="none"/>
          <w:u w:val="single"/>
        </w:rPr>
        <w:t>进行评审比较并撰写评语和记名投票，汇总确认选票情况，编写并提交定标报告。</w:t>
      </w:r>
      <w:r>
        <w:rPr>
          <w:rFonts w:hint="eastAsia" w:ascii="宋体" w:hAnsi="宋体"/>
          <w:color w:val="auto"/>
          <w:szCs w:val="21"/>
          <w:highlight w:val="none"/>
          <w:u w:val="single"/>
        </w:rPr>
        <w:t>定标报告由定标委员会全体成员签字，对定标结论持有异议的成员应以书面方式阐述其不同意见和理由。</w:t>
      </w:r>
    </w:p>
    <w:p>
      <w:pPr>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投票规则：由定标委员会</w:t>
      </w:r>
      <w:r>
        <w:rPr>
          <w:rFonts w:hint="eastAsia" w:ascii="宋体" w:hAnsi="宋体" w:cs="宋体"/>
          <w:color w:val="auto"/>
          <w:highlight w:val="none"/>
          <w:u w:val="single"/>
        </w:rPr>
        <w:t>进行评审比较并撰写评语和记名投票</w:t>
      </w:r>
      <w:r>
        <w:rPr>
          <w:rFonts w:hint="eastAsia" w:ascii="宋体" w:hAnsi="宋体" w:cs="宋体"/>
          <w:color w:val="auto"/>
          <w:szCs w:val="21"/>
          <w:highlight w:val="none"/>
          <w:u w:val="single"/>
        </w:rPr>
        <w:t>，进行一轮一次性票决并排序，每位定标委员会成员只有1票表决权（即只能对其中一家投标人投票），经票决，</w:t>
      </w:r>
      <w:r>
        <w:rPr>
          <w:rFonts w:hint="eastAsia" w:ascii="宋体" w:hAnsi="宋体" w:cs="宋体"/>
          <w:color w:val="auto"/>
          <w:highlight w:val="none"/>
          <w:u w:val="single"/>
        </w:rPr>
        <w:t>定标委员会向招标人推荐</w:t>
      </w:r>
      <w:r>
        <w:rPr>
          <w:rFonts w:hint="eastAsia" w:ascii="宋体" w:hAnsi="宋体" w:cs="宋体"/>
          <w:color w:val="auto"/>
          <w:szCs w:val="21"/>
          <w:highlight w:val="none"/>
          <w:u w:val="single"/>
        </w:rPr>
        <w:t>得票数最多的合格中标候选人为中标人，若出现票数相同且无法票决出中标人时，票数相同的再进行附加的一次性票决，直至票决出中标人。</w:t>
      </w:r>
    </w:p>
    <w:p>
      <w:pPr>
        <w:spacing w:line="360" w:lineRule="exact"/>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u w:val="single"/>
        </w:rPr>
        <w:t>定标委员会向招标人提交书面定标报告后即解散，定标过程中使用的文件、表格以及其他资料不得私自带离。</w:t>
      </w:r>
    </w:p>
    <w:p>
      <w:pPr>
        <w:spacing w:line="360" w:lineRule="exact"/>
        <w:jc w:val="center"/>
        <w:rPr>
          <w:rFonts w:hint="eastAsia" w:ascii="宋体" w:hAnsi="宋体"/>
          <w:b/>
          <w:bCs/>
          <w:color w:val="auto"/>
          <w:sz w:val="28"/>
          <w:szCs w:val="28"/>
          <w:highlight w:val="none"/>
          <w:u w:val="single"/>
        </w:rPr>
      </w:pPr>
      <w:r>
        <w:rPr>
          <w:rFonts w:hint="eastAsia" w:ascii="宋体" w:hAnsi="宋体" w:cs="宋体"/>
          <w:b/>
          <w:bCs/>
          <w:color w:val="auto"/>
          <w:sz w:val="28"/>
          <w:szCs w:val="28"/>
          <w:highlight w:val="none"/>
          <w:u w:val="single"/>
        </w:rPr>
        <w:t>定标因素表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17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评审因素</w:t>
            </w:r>
          </w:p>
        </w:tc>
        <w:tc>
          <w:tcPr>
            <w:tcW w:w="656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1</w:t>
            </w:r>
          </w:p>
        </w:tc>
        <w:tc>
          <w:tcPr>
            <w:tcW w:w="171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资信因素</w:t>
            </w:r>
          </w:p>
        </w:tc>
        <w:tc>
          <w:tcPr>
            <w:tcW w:w="6561"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对合格的中标候选人企业综合能力及信誉、业绩、获奖情况进行评审。</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（1）管理体系认证：具备有效期内的质量管理体系认证、环境管理体系认证、职业健康安全管理体系认证、信息安全管理体系认证、知识产权管理体系认证的情况：</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【优】同时具备上述5项的。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【中】具备上述其中3项（含本数）</w:t>
            </w:r>
            <w:r>
              <w:rPr>
                <w:rFonts w:hint="eastAsia" w:ascii="宋体" w:hAnsi="宋体" w:cs="宋体"/>
                <w:color w:val="auto"/>
                <w:szCs w:val="21"/>
                <w:highlight w:val="none"/>
                <w:u w:val="single"/>
                <w:lang w:val="en-US" w:eastAsia="zh-CN" w:bidi="ar"/>
              </w:rPr>
              <w:t>-5项（不含本数）</w:t>
            </w:r>
            <w:r>
              <w:rPr>
                <w:rFonts w:hint="eastAsia" w:ascii="宋体" w:hAnsi="宋体" w:cs="宋体"/>
                <w:color w:val="auto"/>
                <w:szCs w:val="21"/>
                <w:highlight w:val="none"/>
                <w:u w:val="single"/>
                <w:lang w:bidi="ar"/>
              </w:rPr>
              <w:t>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【差】具备上述其中3项（不含本数）以下的，或不具备的。</w:t>
            </w:r>
          </w:p>
          <w:p>
            <w:pPr>
              <w:spacing w:line="360" w:lineRule="exact"/>
              <w:rPr>
                <w:rFonts w:hint="eastAsia" w:ascii="宋体" w:hAnsi="宋体" w:cs="宋体"/>
                <w:color w:val="auto"/>
                <w:kern w:val="0"/>
                <w:szCs w:val="21"/>
                <w:highlight w:val="none"/>
                <w:u w:val="single"/>
              </w:rPr>
            </w:pPr>
            <w:r>
              <w:rPr>
                <w:rFonts w:hint="eastAsia" w:ascii="宋体" w:hAnsi="宋体" w:cs="宋体"/>
                <w:color w:val="auto"/>
                <w:szCs w:val="21"/>
                <w:highlight w:val="none"/>
                <w:u w:val="single"/>
                <w:lang w:bidi="ar"/>
              </w:rPr>
              <w:t>注：需</w:t>
            </w:r>
            <w:r>
              <w:rPr>
                <w:rFonts w:hint="eastAsia" w:ascii="宋体" w:hAnsi="宋体" w:cs="宋体"/>
                <w:color w:val="auto"/>
                <w:kern w:val="0"/>
                <w:szCs w:val="21"/>
                <w:highlight w:val="none"/>
                <w:u w:val="single"/>
              </w:rPr>
              <w:t>同时提供</w:t>
            </w:r>
            <w:r>
              <w:rPr>
                <w:rFonts w:hint="eastAsia" w:ascii="宋体" w:hAnsi="宋体" w:cs="宋体"/>
                <w:color w:val="auto"/>
                <w:szCs w:val="21"/>
                <w:highlight w:val="none"/>
                <w:u w:val="single"/>
                <w:lang w:bidi="ar"/>
              </w:rPr>
              <w:t>①有效期内的</w:t>
            </w:r>
            <w:r>
              <w:rPr>
                <w:rFonts w:hint="eastAsia" w:ascii="宋体" w:hAnsi="宋体" w:cs="宋体"/>
                <w:color w:val="auto"/>
                <w:kern w:val="0"/>
                <w:szCs w:val="21"/>
                <w:highlight w:val="none"/>
                <w:u w:val="single"/>
              </w:rPr>
              <w:t>认证证书</w:t>
            </w:r>
            <w:r>
              <w:rPr>
                <w:rFonts w:hint="eastAsia" w:ascii="宋体" w:hAnsi="宋体" w:cs="宋体"/>
                <w:color w:val="auto"/>
                <w:szCs w:val="21"/>
                <w:highlight w:val="none"/>
                <w:u w:val="single"/>
                <w:lang w:bidi="ar"/>
              </w:rPr>
              <w:t>；②</w:t>
            </w:r>
            <w:r>
              <w:rPr>
                <w:rFonts w:hint="eastAsia" w:ascii="宋体" w:hAnsi="宋体" w:cs="宋体"/>
                <w:color w:val="auto"/>
                <w:kern w:val="0"/>
                <w:szCs w:val="21"/>
                <w:highlight w:val="none"/>
                <w:u w:val="single"/>
              </w:rPr>
              <w:t>全国认证认可信息公共服务平台（http://cx.cnca.cn/）查询结果网页截图。</w:t>
            </w:r>
          </w:p>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u w:val="single"/>
                <w:lang w:bidi="ar"/>
              </w:rPr>
              <w:t>（2）纳税信用：曾获评“纳税信用A级纳税人”称号（须含202</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评审年度）的情况：</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【优】获评5个（含本数）以上年度的。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【中】获评3个（含本数）-5个（不含本数）年度的。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【差】获评3个（不含本数）以下年度的，或未获评的。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注：</w:t>
            </w:r>
            <w:r>
              <w:rPr>
                <w:rFonts w:hint="eastAsia" w:ascii="宋体" w:hAnsi="宋体" w:cs="宋体"/>
                <w:color w:val="auto"/>
                <w:kern w:val="0"/>
                <w:szCs w:val="21"/>
                <w:highlight w:val="none"/>
                <w:u w:val="single"/>
              </w:rPr>
              <w:t>需提供纳税信用A级纳税人证书或省级（或以上）国家税务局官网（含在国家税务局官网单列的城市）纳税信用信息查询结果的网页截图。时间以证书或网页截图上注明的公示评价（评定）年度为准；只计算投标人自身，不计算投标人的分公司、子公司和分支机构。</w:t>
            </w:r>
          </w:p>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u w:val="single"/>
                <w:lang w:bidi="ar"/>
              </w:rPr>
              <w:t>（3）类似项目业绩：2021年1月1日至今</w:t>
            </w:r>
            <w:r>
              <w:rPr>
                <w:rFonts w:hint="eastAsia" w:ascii="宋体" w:hAnsi="宋体" w:cs="宋体"/>
                <w:color w:val="auto"/>
                <w:szCs w:val="21"/>
                <w:highlight w:val="none"/>
                <w:u w:val="single"/>
                <w:lang w:val="en-US" w:eastAsia="zh-CN" w:bidi="ar"/>
              </w:rPr>
              <w:t>承接</w:t>
            </w:r>
            <w:r>
              <w:rPr>
                <w:rFonts w:hint="eastAsia" w:ascii="宋体" w:hAnsi="宋体" w:cs="宋体"/>
                <w:color w:val="auto"/>
                <w:szCs w:val="21"/>
                <w:highlight w:val="none"/>
                <w:u w:val="single"/>
                <w:lang w:bidi="ar"/>
              </w:rPr>
              <w:t>过质量合格的类似监理业绩情况：</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w:t>
            </w:r>
            <w:r>
              <w:rPr>
                <w:rFonts w:hint="eastAsia" w:ascii="宋体" w:hAnsi="宋体" w:cs="宋体"/>
                <w:color w:val="auto"/>
                <w:szCs w:val="21"/>
                <w:highlight w:val="none"/>
                <w:u w:val="single"/>
                <w:lang w:val="en-US" w:eastAsia="zh-CN" w:bidi="ar"/>
              </w:rPr>
              <w:t>承接过3</w:t>
            </w:r>
            <w:r>
              <w:rPr>
                <w:rFonts w:hint="eastAsia" w:ascii="宋体" w:hAnsi="宋体" w:cs="宋体"/>
                <w:color w:val="auto"/>
                <w:szCs w:val="21"/>
                <w:highlight w:val="none"/>
                <w:u w:val="single"/>
                <w:lang w:bidi="ar"/>
              </w:rPr>
              <w:t>个（含本数）以上的。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w:t>
            </w:r>
            <w:r>
              <w:rPr>
                <w:rFonts w:hint="eastAsia" w:ascii="宋体" w:hAnsi="宋体" w:cs="宋体"/>
                <w:color w:val="auto"/>
                <w:szCs w:val="21"/>
                <w:highlight w:val="none"/>
                <w:u w:val="single"/>
                <w:lang w:val="en-US" w:eastAsia="zh-CN" w:bidi="ar"/>
              </w:rPr>
              <w:t>承接过2</w:t>
            </w:r>
            <w:r>
              <w:rPr>
                <w:rFonts w:hint="eastAsia" w:ascii="宋体" w:hAnsi="宋体" w:cs="宋体"/>
                <w:color w:val="auto"/>
                <w:szCs w:val="21"/>
                <w:highlight w:val="none"/>
                <w:u w:val="single"/>
                <w:lang w:bidi="ar"/>
              </w:rPr>
              <w:t>个的。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w:t>
            </w:r>
            <w:r>
              <w:rPr>
                <w:rFonts w:hint="eastAsia" w:ascii="宋体" w:hAnsi="宋体" w:cs="宋体"/>
                <w:color w:val="auto"/>
                <w:szCs w:val="21"/>
                <w:highlight w:val="none"/>
                <w:u w:val="single"/>
                <w:lang w:val="en-US" w:eastAsia="zh-CN" w:bidi="ar"/>
              </w:rPr>
              <w:t>承接过1</w:t>
            </w:r>
            <w:r>
              <w:rPr>
                <w:rFonts w:hint="eastAsia" w:ascii="宋体" w:hAnsi="宋体" w:cs="宋体"/>
                <w:color w:val="auto"/>
                <w:szCs w:val="21"/>
                <w:highlight w:val="none"/>
                <w:u w:val="single"/>
                <w:lang w:bidi="ar"/>
              </w:rPr>
              <w:t>个的</w:t>
            </w:r>
            <w:r>
              <w:rPr>
                <w:rFonts w:hint="eastAsia" w:ascii="宋体" w:hAnsi="宋体" w:cs="宋体"/>
                <w:color w:val="auto"/>
                <w:szCs w:val="21"/>
                <w:highlight w:val="none"/>
                <w:u w:val="single"/>
                <w:lang w:val="en-US" w:eastAsia="zh-CN" w:bidi="ar"/>
              </w:rPr>
              <w:t>或没有承接过的</w:t>
            </w:r>
            <w:r>
              <w:rPr>
                <w:rFonts w:hint="eastAsia" w:ascii="宋体" w:hAnsi="宋体" w:cs="宋体"/>
                <w:color w:val="auto"/>
                <w:szCs w:val="21"/>
                <w:highlight w:val="none"/>
                <w:u w:val="single"/>
                <w:lang w:bidi="ar"/>
              </w:rPr>
              <w:t>。</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注：类似监理业绩是指中标金额大于或等于</w:t>
            </w:r>
            <w:r>
              <w:rPr>
                <w:rFonts w:hint="eastAsia" w:ascii="宋体" w:hAnsi="宋体" w:cs="宋体"/>
                <w:color w:val="auto"/>
                <w:szCs w:val="21"/>
                <w:highlight w:val="none"/>
                <w:u w:val="single"/>
                <w:lang w:val="en-US" w:eastAsia="zh-CN" w:bidi="ar"/>
              </w:rPr>
              <w:t>400</w:t>
            </w:r>
            <w:r>
              <w:rPr>
                <w:rFonts w:hint="eastAsia" w:ascii="宋体" w:hAnsi="宋体" w:cs="宋体"/>
                <w:color w:val="auto"/>
                <w:szCs w:val="21"/>
                <w:highlight w:val="none"/>
                <w:u w:val="single"/>
                <w:lang w:bidi="ar"/>
              </w:rPr>
              <w:t>万元</w:t>
            </w:r>
            <w:r>
              <w:rPr>
                <w:rFonts w:hint="eastAsia" w:ascii="宋体" w:hAnsi="宋体" w:cs="宋体"/>
                <w:color w:val="auto"/>
                <w:szCs w:val="21"/>
                <w:highlight w:val="none"/>
                <w:u w:val="single"/>
                <w:lang w:bidi="ar"/>
              </w:rPr>
              <w:t>的</w:t>
            </w:r>
            <w:r>
              <w:rPr>
                <w:rFonts w:hint="eastAsia" w:ascii="宋体" w:hAnsi="宋体" w:cs="宋体"/>
                <w:color w:val="auto"/>
                <w:szCs w:val="21"/>
                <w:highlight w:val="none"/>
                <w:u w:val="single"/>
                <w:lang w:val="en-US" w:eastAsia="zh-CN" w:bidi="ar"/>
              </w:rPr>
              <w:t>市政公用</w:t>
            </w:r>
            <w:r>
              <w:rPr>
                <w:rFonts w:hint="eastAsia" w:ascii="宋体" w:hAnsi="宋体" w:cs="宋体"/>
                <w:color w:val="auto"/>
                <w:szCs w:val="21"/>
                <w:highlight w:val="none"/>
                <w:u w:val="single"/>
                <w:lang w:bidi="ar"/>
              </w:rPr>
              <w:t>工程监理业绩，需同时提供①中标通知书或免招标的相关证明；②合同关键页（含签订合同双方的单位名称、服务内容、签订合同双方的盖章页、签订时间）。业绩时间以</w:t>
            </w:r>
            <w:r>
              <w:rPr>
                <w:rFonts w:hint="eastAsia" w:ascii="宋体" w:hAnsi="宋体" w:cs="宋体"/>
                <w:color w:val="auto"/>
                <w:szCs w:val="21"/>
                <w:highlight w:val="none"/>
                <w:u w:val="single"/>
                <w:lang w:val="en-US" w:eastAsia="zh-CN" w:bidi="ar"/>
              </w:rPr>
              <w:t>合同签订</w:t>
            </w:r>
            <w:r>
              <w:rPr>
                <w:rFonts w:hint="eastAsia" w:ascii="宋体" w:hAnsi="宋体" w:cs="宋体"/>
                <w:color w:val="auto"/>
                <w:szCs w:val="21"/>
                <w:highlight w:val="none"/>
                <w:u w:val="single"/>
                <w:lang w:bidi="ar"/>
              </w:rPr>
              <w:t>时间为准；中标金额以中标通知书为准，中标通知书上没有金额或免招标的，以合同（不含补充合同）为准。</w:t>
            </w:r>
          </w:p>
          <w:p>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（4）项目获奖情况：2021年1月1日至今监理的</w:t>
            </w:r>
            <w:r>
              <w:rPr>
                <w:rFonts w:hint="eastAsia" w:ascii="宋体" w:hAnsi="宋体" w:cs="宋体"/>
                <w:color w:val="auto"/>
                <w:szCs w:val="21"/>
                <w:highlight w:val="none"/>
                <w:u w:val="single"/>
                <w:lang w:val="en-US" w:eastAsia="zh-CN" w:bidi="ar"/>
              </w:rPr>
              <w:t>市政公用</w:t>
            </w:r>
            <w:r>
              <w:rPr>
                <w:rFonts w:hint="eastAsia" w:ascii="宋体" w:hAnsi="宋体" w:cs="宋体"/>
                <w:color w:val="auto"/>
                <w:szCs w:val="21"/>
                <w:highlight w:val="none"/>
                <w:u w:val="single"/>
                <w:lang w:bidi="ar"/>
              </w:rPr>
              <w:t>工程获得市级(含副省级)或以上奖项的情况：</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【优】获得</w:t>
            </w:r>
            <w:r>
              <w:rPr>
                <w:rFonts w:hint="eastAsia" w:ascii="宋体" w:hAnsi="宋体" w:cs="宋体"/>
                <w:color w:val="auto"/>
                <w:szCs w:val="21"/>
                <w:highlight w:val="none"/>
                <w:u w:val="single"/>
                <w:lang w:val="en-US" w:eastAsia="zh-CN" w:bidi="ar"/>
              </w:rPr>
              <w:t>3</w:t>
            </w:r>
            <w:r>
              <w:rPr>
                <w:rFonts w:hint="eastAsia" w:ascii="宋体" w:hAnsi="宋体" w:cs="宋体"/>
                <w:color w:val="auto"/>
                <w:szCs w:val="21"/>
                <w:highlight w:val="none"/>
                <w:u w:val="single"/>
                <w:lang w:bidi="ar"/>
              </w:rPr>
              <w:t>个（含本数）以上的。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【中】获得</w:t>
            </w:r>
            <w:r>
              <w:rPr>
                <w:rFonts w:hint="eastAsia" w:ascii="宋体" w:hAnsi="宋体" w:cs="宋体"/>
                <w:color w:val="auto"/>
                <w:szCs w:val="21"/>
                <w:highlight w:val="none"/>
                <w:u w:val="single"/>
                <w:lang w:val="en-US" w:eastAsia="zh-CN" w:bidi="ar"/>
              </w:rPr>
              <w:t>2</w:t>
            </w:r>
            <w:r>
              <w:rPr>
                <w:rFonts w:hint="eastAsia" w:ascii="宋体" w:hAnsi="宋体" w:cs="宋体"/>
                <w:color w:val="auto"/>
                <w:szCs w:val="21"/>
                <w:highlight w:val="none"/>
                <w:u w:val="single"/>
                <w:lang w:bidi="ar"/>
              </w:rPr>
              <w:t>个的。</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【差】获得</w:t>
            </w:r>
            <w:r>
              <w:rPr>
                <w:rFonts w:hint="eastAsia" w:ascii="宋体" w:hAnsi="宋体" w:cs="宋体"/>
                <w:color w:val="auto"/>
                <w:szCs w:val="21"/>
                <w:highlight w:val="none"/>
                <w:u w:val="single"/>
                <w:lang w:val="en-US" w:eastAsia="zh-CN" w:bidi="ar"/>
              </w:rPr>
              <w:t>1</w:t>
            </w:r>
            <w:r>
              <w:rPr>
                <w:rFonts w:hint="eastAsia" w:ascii="宋体" w:hAnsi="宋体" w:cs="宋体"/>
                <w:color w:val="auto"/>
                <w:szCs w:val="21"/>
                <w:highlight w:val="none"/>
                <w:u w:val="single"/>
                <w:lang w:bidi="ar"/>
              </w:rPr>
              <w:t>个的或没有获得的。</w:t>
            </w:r>
          </w:p>
          <w:p>
            <w:pPr>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u w:val="single"/>
              </w:rPr>
              <w:t>注：需提供获奖证书等证明材料。获奖时间以获奖证明文件注明时间为准。国家级奖项包括中国建设工程鲁班奖、中国土木工程詹天佑奖、国家优质工程奖、国家优质工程金质奖等；省级或市级奖项指由建设行政主管部门或行业协会（学会）颁发的工程质量类奖项或优质工程评价或质量评价优良或质量水平评价A级（或以上）；非工程质量类获奖不予计分。同一工程项目获得多个奖项的，按最高获奖等级计算，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2</w:t>
            </w:r>
          </w:p>
        </w:tc>
        <w:tc>
          <w:tcPr>
            <w:tcW w:w="171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方案因素</w:t>
            </w:r>
          </w:p>
        </w:tc>
        <w:tc>
          <w:tcPr>
            <w:tcW w:w="6561"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对各阶段监理工作方案、对本项目重点及难点分析及解决措施等监理大纲内容的合理性、可行性进行评审：</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优】监理工作目标明确，监理工作依据、制度、流程完善；监理工作内容及管理手段合理可行、措施具体；针对本项目建设特点进行监理的重点难点分析、提出相关解决技术措施方案、措施，内容全面具体、针对性强。</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【中】监理工作目标较明确，监理工作依据、制度、流程基本完善；监理工作内容及管理手段基本合理可行；能针对本项目建设特点进行监理的重点难点分析、提出相关解决技术措施方案，内容基本合理。</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lang w:bidi="ar"/>
              </w:rPr>
              <w:t>【差】监理工作目标不明确，监理工作依据、制度、流程不完善；监理工作内容及管理手段不合理；监理的重点难点分析、提出相关解决技术措施方案、措施内容不全面、或缺乏针对性。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3</w:t>
            </w:r>
          </w:p>
        </w:tc>
        <w:tc>
          <w:tcPr>
            <w:tcW w:w="171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团队因素</w:t>
            </w:r>
          </w:p>
        </w:tc>
        <w:tc>
          <w:tcPr>
            <w:tcW w:w="6561"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【优】拟投入监理机构人员配备合理，优于招标文件《监理机构人员配备要求表》基本要求，人员技术水平高。</w:t>
            </w:r>
          </w:p>
          <w:p>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【中】拟投入监理机构人员配备较合理，满足招标文件《监理机构人员配备要求表》基本要求，人员技术水平较高。</w:t>
            </w:r>
          </w:p>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【差】拟投入监理机构人员配备不合理，不满足招标文件《监理机构人员配备要求表》基本要求。</w:t>
            </w:r>
          </w:p>
        </w:tc>
      </w:tr>
    </w:tbl>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4.3定标后出现中标人不符合法定情形的，招标人可从其他合格的中标候选人中采用原定标办法，由原定标委员会确定中标人，也可以重新招标。</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pPr>
        <w:spacing w:line="360" w:lineRule="exact"/>
        <w:ind w:firstLine="420" w:firstLineChars="200"/>
        <w:rPr>
          <w:color w:val="auto"/>
          <w:highlight w:val="none"/>
          <w:u w:val="single"/>
        </w:rPr>
      </w:pPr>
      <w:r>
        <w:rPr>
          <w:rFonts w:hint="eastAsia" w:ascii="宋体" w:hAnsi="宋体"/>
          <w:color w:val="auto"/>
          <w:szCs w:val="21"/>
          <w:highlight w:val="none"/>
          <w:u w:val="single"/>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pPr>
        <w:spacing w:before="120" w:beforeLines="50" w:line="360" w:lineRule="exact"/>
        <w:outlineLvl w:val="2"/>
        <w:rPr>
          <w:rFonts w:ascii="宋体" w:hAnsi="宋体"/>
          <w:b/>
          <w:color w:val="auto"/>
          <w:szCs w:val="21"/>
          <w:highlight w:val="none"/>
          <w:u w:val="single"/>
        </w:rPr>
      </w:pPr>
    </w:p>
    <w:p>
      <w:pPr>
        <w:spacing w:before="120" w:beforeLines="50" w:line="360" w:lineRule="exact"/>
        <w:outlineLvl w:val="2"/>
        <w:rPr>
          <w:rFonts w:hint="eastAsia" w:ascii="宋体" w:hAnsi="宋体"/>
          <w:b/>
          <w:color w:val="auto"/>
          <w:sz w:val="32"/>
          <w:highlight w:val="none"/>
          <w:u w:val="single"/>
        </w:rPr>
      </w:pPr>
      <w:r>
        <w:rPr>
          <w:rFonts w:hint="eastAsia" w:ascii="宋体" w:hAnsi="宋体"/>
          <w:b/>
          <w:color w:val="auto"/>
          <w:sz w:val="32"/>
          <w:highlight w:val="none"/>
          <w:u w:val="single"/>
        </w:rPr>
        <w:t>5.定标表格</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见后附表。</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定标委员评语表</w:t>
      </w:r>
    </w:p>
    <w:p>
      <w:pPr>
        <w:pStyle w:val="138"/>
        <w:rPr>
          <w:rFonts w:hint="eastAsia" w:ascii="宋体" w:hAnsi="宋体" w:cs="宋体"/>
          <w:color w:val="auto"/>
          <w:highlight w:val="none"/>
        </w:rPr>
      </w:pPr>
    </w:p>
    <w:p>
      <w:pPr>
        <w:pStyle w:val="138"/>
        <w:spacing w:line="360" w:lineRule="auto"/>
        <w:jc w:val="left"/>
        <w:rPr>
          <w:rFonts w:hint="eastAsia" w:ascii="宋体" w:hAnsi="宋体" w:cs="宋体"/>
          <w:b w:val="0"/>
          <w:color w:val="auto"/>
          <w:szCs w:val="21"/>
          <w:highlight w:val="none"/>
        </w:rPr>
      </w:pPr>
      <w:r>
        <w:rPr>
          <w:rFonts w:hint="eastAsia" w:ascii="宋体" w:hAnsi="宋体" w:cs="宋体"/>
          <w:b w:val="0"/>
          <w:color w:val="auto"/>
          <w:szCs w:val="21"/>
          <w:highlight w:val="none"/>
        </w:rPr>
        <w:t>项目名称：</w:t>
      </w:r>
    </w:p>
    <w:p>
      <w:pPr>
        <w:pStyle w:val="138"/>
        <w:spacing w:line="360" w:lineRule="auto"/>
        <w:jc w:val="left"/>
        <w:rPr>
          <w:rFonts w:hint="eastAsia" w:ascii="宋体" w:hAnsi="宋体" w:cs="宋体"/>
          <w:b w:val="0"/>
          <w:color w:val="auto"/>
          <w:szCs w:val="21"/>
          <w:highlight w:val="none"/>
        </w:rPr>
      </w:pPr>
      <w:r>
        <w:rPr>
          <w:rFonts w:hint="eastAsia" w:ascii="宋体" w:hAnsi="宋体" w:cs="宋体"/>
          <w:b w:val="0"/>
          <w:color w:val="auto"/>
          <w:szCs w:val="21"/>
          <w:highlight w:val="none"/>
        </w:rPr>
        <w:t>合格中标候选人名称：</w:t>
      </w:r>
    </w:p>
    <w:tbl>
      <w:tblPr>
        <w:tblStyle w:val="46"/>
        <w:tblW w:w="919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74"/>
        <w:gridCol w:w="1767"/>
        <w:gridCol w:w="226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1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定标因素</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定标因素结论</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定标委员评语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137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r>
              <w:rPr>
                <w:rFonts w:hint="eastAsia"/>
                <w:color w:val="auto"/>
                <w:szCs w:val="21"/>
                <w:highlight w:val="none"/>
              </w:rPr>
              <w:t>资信因素</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管理体系认证</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right w:val="single" w:color="auto" w:sz="4" w:space="0"/>
            </w:tcBorders>
            <w:vAlign w:val="center"/>
          </w:tcPr>
          <w:p>
            <w:pPr>
              <w:rPr>
                <w:color w:val="auto"/>
                <w:highlight w:val="none"/>
              </w:rPr>
            </w:pPr>
          </w:p>
        </w:tc>
        <w:tc>
          <w:tcPr>
            <w:tcW w:w="1374" w:type="dxa"/>
            <w:vMerge w:val="continue"/>
            <w:tcBorders>
              <w:left w:val="single" w:color="auto" w:sz="4" w:space="0"/>
              <w:right w:val="single" w:color="auto" w:sz="4" w:space="0"/>
            </w:tcBorders>
            <w:vAlign w:val="center"/>
          </w:tcPr>
          <w:p>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纳税信用</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right w:val="single" w:color="auto" w:sz="4" w:space="0"/>
            </w:tcBorders>
            <w:vAlign w:val="center"/>
          </w:tcPr>
          <w:p>
            <w:pPr>
              <w:rPr>
                <w:color w:val="auto"/>
                <w:highlight w:val="none"/>
              </w:rPr>
            </w:pPr>
          </w:p>
        </w:tc>
        <w:tc>
          <w:tcPr>
            <w:tcW w:w="1374" w:type="dxa"/>
            <w:vMerge w:val="continue"/>
            <w:tcBorders>
              <w:left w:val="single" w:color="auto" w:sz="4" w:space="0"/>
              <w:right w:val="single" w:color="auto" w:sz="4" w:space="0"/>
            </w:tcBorders>
            <w:vAlign w:val="center"/>
          </w:tcPr>
          <w:p>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类似项目业绩</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374"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u w:val="single"/>
                <w:lang w:bidi="ar"/>
              </w:rPr>
              <w:t>项目获奖情况</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left w:val="single" w:color="auto" w:sz="4" w:space="0"/>
              <w:bottom w:val="single" w:color="auto" w:sz="4" w:space="0"/>
              <w:right w:val="single" w:color="auto" w:sz="4" w:space="0"/>
            </w:tcBorders>
            <w:vAlign w:val="center"/>
          </w:tcPr>
          <w:p>
            <w:pPr>
              <w:jc w:val="center"/>
              <w:rPr>
                <w:rFonts w:hint="eastAsia"/>
                <w:color w:val="auto"/>
                <w:highlight w:val="none"/>
              </w:rPr>
            </w:pPr>
            <w:r>
              <w:rPr>
                <w:rFonts w:hint="eastAsia"/>
                <w:color w:val="auto"/>
                <w:highlight w:val="none"/>
              </w:rPr>
              <w:t>2</w:t>
            </w:r>
          </w:p>
        </w:tc>
        <w:tc>
          <w:tcPr>
            <w:tcW w:w="3141" w:type="dxa"/>
            <w:gridSpan w:val="2"/>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2"/>
                <w:highlight w:val="none"/>
                <w:lang w:val="zh-CN"/>
              </w:rPr>
            </w:pPr>
            <w:r>
              <w:rPr>
                <w:rFonts w:hint="eastAsia" w:ascii="宋体" w:hAnsi="宋体" w:cs="宋体"/>
                <w:color w:val="auto"/>
                <w:szCs w:val="21"/>
                <w:highlight w:val="none"/>
                <w:u w:val="single"/>
                <w:lang w:bidi="ar"/>
              </w:rPr>
              <w:t>方案因素</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73" w:type="dxa"/>
            <w:tcBorders>
              <w:left w:val="single" w:color="auto" w:sz="4" w:space="0"/>
              <w:bottom w:val="single" w:color="auto" w:sz="4" w:space="0"/>
              <w:right w:val="single" w:color="auto" w:sz="4" w:space="0"/>
            </w:tcBorders>
            <w:vAlign w:val="center"/>
          </w:tcPr>
          <w:p>
            <w:pPr>
              <w:jc w:val="center"/>
              <w:rPr>
                <w:rFonts w:hint="eastAsia"/>
                <w:color w:val="auto"/>
                <w:highlight w:val="none"/>
              </w:rPr>
            </w:pPr>
            <w:r>
              <w:rPr>
                <w:rFonts w:hint="eastAsia"/>
                <w:color w:val="auto"/>
                <w:highlight w:val="none"/>
              </w:rPr>
              <w:t>3</w:t>
            </w:r>
          </w:p>
        </w:tc>
        <w:tc>
          <w:tcPr>
            <w:tcW w:w="3141" w:type="dxa"/>
            <w:gridSpan w:val="2"/>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2"/>
                <w:highlight w:val="none"/>
                <w:lang w:val="zh-CN"/>
              </w:rPr>
            </w:pPr>
            <w:r>
              <w:rPr>
                <w:rFonts w:hint="eastAsia" w:ascii="宋体" w:hAnsi="宋体" w:cs="宋体"/>
                <w:color w:val="auto"/>
                <w:szCs w:val="21"/>
                <w:highlight w:val="none"/>
                <w:u w:val="single"/>
                <w:lang w:bidi="ar"/>
              </w:rPr>
              <w:t>团队因素</w:t>
            </w:r>
          </w:p>
        </w:tc>
        <w:tc>
          <w:tcPr>
            <w:tcW w:w="2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□优</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□中</w:t>
            </w:r>
          </w:p>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□差</w:t>
            </w:r>
          </w:p>
        </w:tc>
        <w:tc>
          <w:tcPr>
            <w:tcW w:w="29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80" w:type="dxa"/>
            <w:gridSpan w:val="4"/>
            <w:tcBorders>
              <w:top w:val="single" w:color="auto" w:sz="4" w:space="0"/>
              <w:left w:val="single" w:color="auto" w:sz="4" w:space="0"/>
              <w:bottom w:val="single" w:color="auto" w:sz="4" w:space="0"/>
              <w:right w:val="single" w:color="auto" w:sz="4" w:space="0"/>
            </w:tcBorders>
            <w:vAlign w:val="center"/>
          </w:tcPr>
          <w:p>
            <w:pPr>
              <w:pStyle w:val="12"/>
              <w:ind w:firstLine="2530" w:firstLineChars="1200"/>
              <w:rPr>
                <w:rFonts w:hint="eastAsia" w:cs="宋体"/>
                <w:bCs/>
                <w:color w:val="auto"/>
                <w:szCs w:val="21"/>
                <w:highlight w:val="none"/>
              </w:rPr>
            </w:pPr>
            <w:r>
              <w:rPr>
                <w:rFonts w:hint="eastAsia" w:cs="宋体"/>
                <w:color w:val="auto"/>
                <w:szCs w:val="21"/>
                <w:highlight w:val="none"/>
              </w:rPr>
              <w:t>结论</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highlight w:val="none"/>
              </w:rPr>
            </w:pPr>
            <w:r>
              <w:rPr>
                <w:rFonts w:hint="eastAsia" w:ascii="宋体" w:hAnsi="宋体" w:cs="宋体"/>
                <w:b/>
                <w:color w:val="auto"/>
                <w:szCs w:val="21"/>
                <w:highlight w:val="none"/>
              </w:rPr>
              <w:t>□优   □中   □差</w:t>
            </w:r>
          </w:p>
        </w:tc>
      </w:tr>
    </w:tbl>
    <w:p>
      <w:pPr>
        <w:spacing w:line="360" w:lineRule="auto"/>
        <w:ind w:left="316" w:hanging="316" w:hangingChars="150"/>
        <w:jc w:val="left"/>
        <w:rPr>
          <w:rFonts w:hint="eastAsia" w:ascii="宋体" w:hAnsi="宋体" w:cs="宋体"/>
          <w:b/>
          <w:bCs/>
          <w:color w:val="auto"/>
          <w:szCs w:val="21"/>
          <w:highlight w:val="none"/>
        </w:rPr>
      </w:pPr>
      <w:r>
        <w:rPr>
          <w:rFonts w:hint="eastAsia" w:ascii="宋体" w:hAnsi="宋体" w:cs="宋体"/>
          <w:b/>
          <w:bCs/>
          <w:color w:val="auto"/>
          <w:szCs w:val="21"/>
          <w:highlight w:val="none"/>
        </w:rPr>
        <w:t>注：定标委员须根据合格中标候选人的投标文件在定标因素结论中进行勾选，并按相应的定标因素填写评语。</w:t>
      </w: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adjustRightInd w:val="0"/>
        <w:snapToGrid w:val="0"/>
        <w:spacing w:line="360" w:lineRule="auto"/>
        <w:ind w:firstLine="562" w:firstLineChars="200"/>
        <w:jc w:val="center"/>
        <w:rPr>
          <w:rFonts w:hint="eastAsia" w:ascii="宋体" w:hAnsi="宋体" w:cs="宋体"/>
          <w:b/>
          <w:color w:val="auto"/>
          <w:sz w:val="36"/>
          <w:szCs w:val="36"/>
          <w:highlight w:val="none"/>
        </w:rPr>
      </w:pPr>
      <w:r>
        <w:rPr>
          <w:rFonts w:hint="eastAsia" w:ascii="宋体" w:hAnsi="宋体" w:cs="宋体"/>
          <w:b/>
          <w:bCs/>
          <w:color w:val="auto"/>
          <w:kern w:val="0"/>
          <w:sz w:val="28"/>
          <w:szCs w:val="28"/>
          <w:highlight w:val="none"/>
        </w:rPr>
        <w:br w:type="page"/>
      </w:r>
      <w:r>
        <w:rPr>
          <w:rFonts w:hint="eastAsia" w:ascii="宋体" w:hAnsi="宋体" w:cs="宋体"/>
          <w:b/>
          <w:color w:val="auto"/>
          <w:sz w:val="36"/>
          <w:szCs w:val="36"/>
          <w:highlight w:val="none"/>
        </w:rPr>
        <w:t>直接票决定标选票表（定标阶段）</w:t>
      </w:r>
    </w:p>
    <w:p>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支持的投标人名称</w:t>
            </w: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bl>
    <w:p>
      <w:pPr>
        <w:pStyle w:val="139"/>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adjustRightInd w:val="0"/>
        <w:snapToGrid w:val="0"/>
        <w:spacing w:line="360" w:lineRule="auto"/>
        <w:rPr>
          <w:rFonts w:hint="eastAsia" w:ascii="宋体" w:hAnsi="宋体" w:cs="宋体"/>
          <w:color w:val="auto"/>
          <w:kern w:val="0"/>
          <w:highlight w:val="none"/>
        </w:rPr>
      </w:pPr>
    </w:p>
    <w:p>
      <w:pPr>
        <w:adjustRightInd w:val="0"/>
        <w:snapToGrid w:val="0"/>
        <w:spacing w:line="360" w:lineRule="auto"/>
        <w:rPr>
          <w:rFonts w:hint="eastAsia" w:ascii="宋体" w:hAnsi="宋体" w:cs="宋体"/>
          <w:b/>
          <w:color w:val="auto"/>
          <w:kern w:val="0"/>
          <w:highlight w:val="none"/>
        </w:rPr>
      </w:pPr>
      <w:r>
        <w:rPr>
          <w:rFonts w:hint="eastAsia" w:ascii="宋体" w:hAnsi="宋体" w:cs="宋体"/>
          <w:b/>
          <w:color w:val="auto"/>
          <w:kern w:val="0"/>
          <w:highlight w:val="none"/>
        </w:rPr>
        <w:t>注：由定标委员会成员进行投票，各定标委员会成员只能支持一家投标人。</w:t>
      </w:r>
    </w:p>
    <w:p>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p>
    <w:p>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直接票决定标选票汇总表（定标阶段）</w:t>
      </w:r>
    </w:p>
    <w:p>
      <w:pPr>
        <w:pStyle w:val="139"/>
        <w:rPr>
          <w:rFonts w:hint="eastAsia" w:ascii="宋体" w:hAnsi="宋体" w:eastAsia="宋体" w:cs="宋体"/>
          <w:color w:val="auto"/>
          <w:highlight w:val="none"/>
        </w:rPr>
      </w:pP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项目</w:t>
      </w:r>
      <w:r>
        <w:rPr>
          <w:rFonts w:hint="eastAsia" w:ascii="宋体" w:hAnsi="宋体" w:cs="宋体"/>
          <w:color w:val="auto"/>
          <w:kern w:val="0"/>
          <w:szCs w:val="21"/>
          <w:highlight w:val="none"/>
        </w:rPr>
        <w:t>名称：</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4020"/>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131"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投标人名称</w:t>
            </w:r>
          </w:p>
        </w:tc>
        <w:tc>
          <w:tcPr>
            <w:tcW w:w="3885"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13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13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13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13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131"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c>
          <w:tcPr>
            <w:tcW w:w="3885"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s="宋体"/>
                <w:color w:val="auto"/>
                <w:kern w:val="0"/>
                <w:szCs w:val="21"/>
                <w:highlight w:val="none"/>
              </w:rPr>
            </w:pPr>
          </w:p>
        </w:tc>
      </w:tr>
    </w:tbl>
    <w:p>
      <w:pPr>
        <w:rPr>
          <w:rFonts w:hint="eastAsia" w:ascii="宋体" w:hAnsi="宋体" w:cs="宋体"/>
          <w:color w:val="auto"/>
          <w:kern w:val="0"/>
          <w:szCs w:val="21"/>
          <w:highlight w:val="none"/>
        </w:rPr>
      </w:pP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39"/>
        <w:rPr>
          <w:rFonts w:hint="eastAsia" w:ascii="宋体" w:hAnsi="宋体" w:eastAsia="宋体" w:cs="宋体"/>
          <w:color w:val="auto"/>
          <w:highlight w:val="none"/>
        </w:rPr>
      </w:pPr>
    </w:p>
    <w:p>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附加直接票决定标选票表</w:t>
      </w:r>
    </w:p>
    <w:p>
      <w:pPr>
        <w:pStyle w:val="13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（定标阶段-票数相同时定标委员会个人用表）</w:t>
      </w:r>
    </w:p>
    <w:p>
      <w:pPr>
        <w:pStyle w:val="139"/>
        <w:jc w:val="center"/>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b/>
                <w:bCs/>
                <w:color w:val="auto"/>
                <w:kern w:val="0"/>
                <w:highlight w:val="none"/>
              </w:rPr>
            </w:pPr>
            <w:r>
              <w:rPr>
                <w:rFonts w:hint="eastAsia" w:ascii="宋体" w:hAnsi="宋体" w:cs="宋体"/>
                <w:b/>
                <w:bCs/>
                <w:color w:val="auto"/>
                <w:kern w:val="0"/>
                <w:highlight w:val="none"/>
              </w:rPr>
              <w:t>投标人名称</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b/>
                <w:bCs/>
                <w:color w:val="auto"/>
                <w:kern w:val="0"/>
                <w:szCs w:val="21"/>
                <w:highlight w:val="none"/>
              </w:rPr>
            </w:pPr>
            <w:r>
              <w:rPr>
                <w:rFonts w:hint="eastAsia" w:ascii="宋体" w:hAnsi="宋体" w:cs="宋体"/>
                <w:b/>
                <w:bCs/>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color w:val="auto"/>
                <w:kern w:val="0"/>
                <w:highlight w:val="none"/>
              </w:rPr>
            </w:pPr>
          </w:p>
        </w:tc>
      </w:tr>
    </w:tbl>
    <w:p>
      <w:pPr>
        <w:pStyle w:val="139"/>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39"/>
        <w:rPr>
          <w:rFonts w:hint="eastAsia" w:ascii="宋体" w:hAnsi="宋体" w:eastAsia="宋体" w:cs="宋体"/>
          <w:color w:val="auto"/>
          <w:highlight w:val="none"/>
        </w:rPr>
      </w:pPr>
    </w:p>
    <w:p>
      <w:pPr>
        <w:pStyle w:val="139"/>
        <w:rPr>
          <w:rFonts w:hint="eastAsia" w:ascii="宋体" w:hAnsi="宋体" w:eastAsia="宋体" w:cs="宋体"/>
          <w:b/>
          <w:color w:val="auto"/>
          <w:highlight w:val="none"/>
        </w:rPr>
      </w:pPr>
      <w:r>
        <w:rPr>
          <w:rFonts w:hint="eastAsia" w:ascii="宋体" w:hAnsi="宋体" w:eastAsia="宋体" w:cs="宋体"/>
          <w:b/>
          <w:color w:val="auto"/>
          <w:highlight w:val="none"/>
        </w:rPr>
        <w:t>备注：</w:t>
      </w:r>
    </w:p>
    <w:p>
      <w:pPr>
        <w:pStyle w:val="139"/>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1、本表用于投票出现票数相同的情况。</w:t>
      </w:r>
    </w:p>
    <w:p>
      <w:pPr>
        <w:pStyle w:val="139"/>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由定标委员会成员进行附加投票，票决意见分别为“投票”或“不投票”，各定标委员会成员只有1票表决权（即只能对其中一名投标人“投票”），票决意见为“投票”的，用“○”表示；票决意见为“不投票”，用“×”表示。</w:t>
      </w:r>
    </w:p>
    <w:p>
      <w:pPr>
        <w:pStyle w:val="139"/>
        <w:jc w:val="center"/>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szCs w:val="36"/>
          <w:highlight w:val="none"/>
        </w:rPr>
        <w:t>附加直接票决定标选票汇总表</w:t>
      </w:r>
    </w:p>
    <w:p>
      <w:pPr>
        <w:pStyle w:val="13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（定标阶段-票数相同时定标委员会汇总用表）</w:t>
      </w:r>
    </w:p>
    <w:p>
      <w:pPr>
        <w:pStyle w:val="139"/>
        <w:jc w:val="center"/>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5098"/>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投标人名称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p>
        </w:tc>
      </w:tr>
    </w:tbl>
    <w:p>
      <w:pPr>
        <w:pStyle w:val="139"/>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39"/>
        <w:rPr>
          <w:rFonts w:ascii="宋体" w:hAnsi="宋体" w:eastAsia="宋体" w:cs="宋体"/>
          <w:color w:val="auto"/>
          <w:highlight w:val="none"/>
        </w:rPr>
      </w:pPr>
    </w:p>
    <w:p>
      <w:pPr>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直接票决定标情况汇总表（定标阶段）</w:t>
      </w:r>
    </w:p>
    <w:p>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szCs w:val="21"/>
          <w:highlight w:val="none"/>
        </w:rPr>
        <w:t>项目</w:t>
      </w:r>
      <w:r>
        <w:rPr>
          <w:rFonts w:hint="eastAsia" w:ascii="宋体" w:hAnsi="宋体" w:cs="宋体"/>
          <w:color w:val="auto"/>
          <w:kern w:val="0"/>
          <w:highlight w:val="none"/>
        </w:rPr>
        <w:t>名称：</w:t>
      </w:r>
    </w:p>
    <w:tbl>
      <w:tblPr>
        <w:tblStyle w:val="46"/>
        <w:tblW w:w="46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432"/>
        <w:gridCol w:w="1763"/>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投标人名称</w:t>
            </w: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得票数</w:t>
            </w:r>
          </w:p>
        </w:tc>
        <w:tc>
          <w:tcPr>
            <w:tcW w:w="1313" w:type="pct"/>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是否被推荐为中标人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04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5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313" w:type="pct"/>
            <w:tcBorders>
              <w:top w:val="single" w:color="auto" w:sz="4" w:space="0"/>
              <w:left w:val="nil"/>
              <w:bottom w:val="single" w:color="auto" w:sz="4" w:space="0"/>
              <w:right w:val="single" w:color="auto" w:sz="4" w:space="0"/>
            </w:tcBorders>
          </w:tcPr>
          <w:p>
            <w:pPr>
              <w:jc w:val="center"/>
              <w:rPr>
                <w:rFonts w:ascii="宋体" w:hAnsi="宋体" w:cs="宋体"/>
                <w:color w:val="auto"/>
                <w:sz w:val="24"/>
                <w:szCs w:val="24"/>
                <w:highlight w:val="none"/>
              </w:rPr>
            </w:pPr>
          </w:p>
        </w:tc>
      </w:tr>
    </w:tbl>
    <w:p>
      <w:pPr>
        <w:pStyle w:val="139"/>
        <w:rPr>
          <w:rFonts w:ascii="宋体" w:hAnsi="宋体" w:eastAsia="宋体" w:cs="宋体"/>
          <w:color w:val="auto"/>
          <w:highlight w:val="none"/>
        </w:rPr>
      </w:pPr>
    </w:p>
    <w:p>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39"/>
        <w:rPr>
          <w:rFonts w:ascii="宋体" w:hAnsi="宋体" w:eastAsia="宋体" w:cs="宋体"/>
          <w:color w:val="auto"/>
          <w:highlight w:val="none"/>
        </w:rPr>
      </w:pPr>
    </w:p>
    <w:p>
      <w:pPr>
        <w:pStyle w:val="139"/>
        <w:rPr>
          <w:rFonts w:ascii="宋体" w:hAnsi="宋体" w:eastAsia="宋体" w:cs="宋体"/>
          <w:color w:val="auto"/>
          <w:highlight w:val="none"/>
        </w:rPr>
      </w:pPr>
    </w:p>
    <w:p>
      <w:pPr>
        <w:pStyle w:val="44"/>
        <w:spacing w:line="360" w:lineRule="auto"/>
        <w:ind w:firstLine="0"/>
        <w:rPr>
          <w:rFonts w:hint="eastAsia" w:ascii="宋体" w:hAnsi="宋体" w:cs="宋体"/>
          <w:b/>
          <w:color w:val="auto"/>
          <w:szCs w:val="22"/>
          <w:highlight w:val="none"/>
        </w:rPr>
      </w:pPr>
      <w:r>
        <w:rPr>
          <w:rFonts w:hint="eastAsia" w:ascii="宋体" w:hAnsi="宋体" w:cs="宋体"/>
          <w:b/>
          <w:color w:val="auto"/>
          <w:szCs w:val="22"/>
          <w:highlight w:val="none"/>
        </w:rPr>
        <w:t>注： 定标委员会成员须根据投票结果，得票数最多的合格的中标候选人推荐为中标人。</w:t>
      </w:r>
    </w:p>
    <w:p>
      <w:pPr>
        <w:rPr>
          <w:rFonts w:ascii="宋体" w:hAnsi="宋体"/>
          <w:b/>
          <w:bCs/>
          <w:color w:val="auto"/>
          <w:szCs w:val="32"/>
          <w:highlight w:val="none"/>
        </w:rPr>
      </w:pPr>
    </w:p>
    <w:p>
      <w:pPr>
        <w:rPr>
          <w:rFonts w:ascii="宋体" w:hAnsi="宋体"/>
          <w:color w:val="auto"/>
          <w:szCs w:val="32"/>
          <w:highlight w:val="none"/>
        </w:rPr>
      </w:pPr>
    </w:p>
    <w:p>
      <w:pPr>
        <w:rPr>
          <w:rFonts w:ascii="宋体" w:hAnsi="宋体"/>
          <w:color w:val="auto"/>
          <w:szCs w:val="32"/>
          <w:highlight w:val="none"/>
        </w:rPr>
      </w:pPr>
    </w:p>
    <w:p>
      <w:pPr>
        <w:widowControl/>
        <w:snapToGrid w:val="0"/>
        <w:spacing w:line="360" w:lineRule="auto"/>
        <w:ind w:firstLine="426" w:firstLineChars="202"/>
        <w:jc w:val="left"/>
        <w:rPr>
          <w:rFonts w:ascii="宋体" w:hAnsi="宋体"/>
          <w:b/>
          <w:color w:val="auto"/>
          <w:kern w:val="0"/>
          <w:szCs w:val="21"/>
          <w:highlight w:val="none"/>
          <w:shd w:val="clear" w:color="auto" w:fill="FFFFFF"/>
        </w:rPr>
      </w:pPr>
    </w:p>
    <w:p>
      <w:pPr>
        <w:rPr>
          <w:rFonts w:ascii="宋体" w:hAnsi="宋体"/>
          <w:color w:val="auto"/>
          <w:szCs w:val="32"/>
          <w:highlight w:val="none"/>
        </w:rPr>
      </w:pPr>
    </w:p>
    <w:p>
      <w:pPr>
        <w:spacing w:line="360" w:lineRule="auto"/>
        <w:ind w:firstLine="420" w:firstLineChars="200"/>
        <w:rPr>
          <w:rFonts w:ascii="宋体" w:hAnsi="宋体"/>
          <w:color w:val="auto"/>
          <w:highlight w:val="none"/>
        </w:rPr>
      </w:pPr>
    </w:p>
    <w:p>
      <w:pPr>
        <w:pStyle w:val="2"/>
        <w:spacing w:line="240" w:lineRule="auto"/>
        <w:jc w:val="center"/>
        <w:rPr>
          <w:rFonts w:ascii="宋体" w:hAnsi="宋体"/>
          <w:color w:val="auto"/>
          <w:highlight w:val="none"/>
        </w:rPr>
      </w:pPr>
      <w:r>
        <w:rPr>
          <w:rFonts w:ascii="宋体" w:hAnsi="宋体"/>
          <w:color w:val="auto"/>
          <w:highlight w:val="none"/>
        </w:rPr>
        <w:br w:type="page"/>
      </w:r>
      <w:bookmarkStart w:id="308" w:name="_Toc49510035"/>
      <w:bookmarkStart w:id="309" w:name="_Toc15726"/>
      <w:r>
        <w:rPr>
          <w:rFonts w:hint="eastAsia" w:ascii="宋体" w:hAnsi="宋体"/>
          <w:color w:val="auto"/>
          <w:highlight w:val="none"/>
        </w:rPr>
        <w:t>第四章 合同条款及格式</w:t>
      </w:r>
      <w:bookmarkEnd w:id="308"/>
      <w:bookmarkEnd w:id="309"/>
    </w:p>
    <w:p>
      <w:pPr>
        <w:pStyle w:val="3"/>
        <w:ind w:firstLine="643" w:firstLineChars="200"/>
        <w:jc w:val="center"/>
        <w:rPr>
          <w:rFonts w:hint="eastAsia" w:ascii="宋体" w:hAnsi="宋体" w:eastAsia="宋体"/>
          <w:bCs/>
          <w:color w:val="auto"/>
          <w:highlight w:val="none"/>
        </w:rPr>
      </w:pPr>
      <w:bookmarkStart w:id="310" w:name="_Toc29728"/>
      <w:bookmarkStart w:id="311" w:name="_Toc16559"/>
      <w:r>
        <w:rPr>
          <w:rFonts w:hint="eastAsia" w:ascii="宋体" w:hAnsi="宋体" w:eastAsia="宋体"/>
          <w:bCs/>
          <w:color w:val="auto"/>
          <w:highlight w:val="none"/>
        </w:rPr>
        <w:t>（另册）</w:t>
      </w:r>
      <w:bookmarkEnd w:id="310"/>
      <w:bookmarkEnd w:id="311"/>
    </w:p>
    <w:p>
      <w:pPr>
        <w:rPr>
          <w:rFonts w:hint="eastAsia" w:ascii="宋体" w:hAnsi="宋体"/>
          <w:bCs/>
          <w:color w:val="auto"/>
          <w:highlight w:val="none"/>
        </w:rPr>
      </w:pPr>
    </w:p>
    <w:p>
      <w:pPr>
        <w:pStyle w:val="20"/>
        <w:rPr>
          <w:rFonts w:hint="eastAsia" w:ascii="宋体" w:hAnsi="宋体"/>
          <w:bCs/>
          <w:color w:val="auto"/>
          <w:highlight w:val="none"/>
        </w:rPr>
      </w:pPr>
    </w:p>
    <w:p>
      <w:pPr>
        <w:pStyle w:val="21"/>
        <w:rPr>
          <w:rFonts w:hint="eastAsia" w:ascii="宋体" w:hAnsi="宋体"/>
          <w:bCs/>
          <w:color w:val="auto"/>
          <w:highlight w:val="none"/>
        </w:rPr>
      </w:pPr>
    </w:p>
    <w:p>
      <w:pPr>
        <w:spacing w:line="360" w:lineRule="auto"/>
        <w:jc w:val="center"/>
        <w:rPr>
          <w:rFonts w:hint="eastAsia" w:ascii="宋体" w:hAnsi="宋体"/>
          <w:color w:val="auto"/>
          <w:highlight w:val="none"/>
        </w:rPr>
      </w:pPr>
      <w:bookmarkStart w:id="312" w:name="_Toc1039"/>
      <w:bookmarkStart w:id="313" w:name="_Toc49510050"/>
      <w:bookmarkStart w:id="314" w:name="_Toc246997081"/>
      <w:bookmarkStart w:id="315" w:name="_Toc247085853"/>
      <w:bookmarkStart w:id="316" w:name="_Toc246996338"/>
      <w:bookmarkStart w:id="317" w:name="_Toc179632787"/>
      <w:bookmarkStart w:id="318" w:name="_Toc144974578"/>
      <w:bookmarkStart w:id="319" w:name="_Toc184635122"/>
      <w:bookmarkStart w:id="320" w:name="_Toc152042388"/>
      <w:bookmarkStart w:id="321" w:name="_Toc300835199"/>
      <w:bookmarkStart w:id="322" w:name="_Toc144974829"/>
      <w:bookmarkStart w:id="323" w:name="_Toc152042549"/>
      <w:bookmarkStart w:id="324" w:name="_Toc247527798"/>
      <w:bookmarkStart w:id="325" w:name="_Toc247514197"/>
      <w:bookmarkStart w:id="326" w:name="_Toc152045610"/>
      <w:r>
        <w:rPr>
          <w:rFonts w:hint="eastAsia" w:ascii="宋体" w:hAnsi="宋体"/>
          <w:b/>
          <w:color w:val="auto"/>
          <w:kern w:val="44"/>
          <w:sz w:val="44"/>
          <w:szCs w:val="20"/>
          <w:highlight w:val="none"/>
        </w:rPr>
        <w:br w:type="page"/>
      </w:r>
      <w:bookmarkEnd w:id="312"/>
      <w:bookmarkEnd w:id="313"/>
      <w:bookmarkStart w:id="327" w:name="_Toc25775"/>
      <w:bookmarkStart w:id="328" w:name="_Toc49510051"/>
      <w:r>
        <w:rPr>
          <w:rFonts w:hint="eastAsia" w:ascii="宋体" w:hAnsi="宋体"/>
          <w:b/>
          <w:bCs/>
          <w:color w:val="auto"/>
          <w:sz w:val="44"/>
          <w:szCs w:val="44"/>
          <w:highlight w:val="none"/>
        </w:rPr>
        <w:t>第二卷</w:t>
      </w:r>
    </w:p>
    <w:p>
      <w:pPr>
        <w:pStyle w:val="2"/>
        <w:spacing w:line="240" w:lineRule="auto"/>
        <w:jc w:val="center"/>
        <w:rPr>
          <w:rFonts w:ascii="宋体" w:hAnsi="宋体"/>
          <w:color w:val="auto"/>
          <w:highlight w:val="none"/>
        </w:rPr>
      </w:pPr>
      <w:r>
        <w:rPr>
          <w:rFonts w:hint="eastAsia" w:ascii="宋体" w:hAnsi="宋体"/>
          <w:color w:val="auto"/>
          <w:highlight w:val="none"/>
        </w:rPr>
        <w:t>第五章 委托人要求</w:t>
      </w:r>
      <w:bookmarkEnd w:id="327"/>
      <w:bookmarkEnd w:id="328"/>
    </w:p>
    <w:bookmarkEnd w:id="314"/>
    <w:bookmarkEnd w:id="315"/>
    <w:bookmarkEnd w:id="316"/>
    <w:bookmarkEnd w:id="317"/>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委托人具体要求详见第四章“合同条款及格式”。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下表中所列人员配备为最低要求</w:t>
      </w:r>
      <w:r>
        <w:rPr>
          <w:rFonts w:hint="eastAsia" w:ascii="宋体" w:hAnsi="宋体" w:cs="宋体"/>
          <w:color w:val="auto"/>
          <w:szCs w:val="21"/>
          <w:highlight w:val="none"/>
        </w:rPr>
        <w:t>，</w:t>
      </w:r>
      <w:r>
        <w:rPr>
          <w:rFonts w:hint="eastAsia" w:ascii="宋体" w:hAnsi="宋体"/>
          <w:color w:val="auto"/>
          <w:szCs w:val="21"/>
          <w:highlight w:val="none"/>
        </w:rPr>
        <w:t>招标人可根据实际工作需要要求中标人及时增加人员投入，中标人须无条件配合。投标人拟投入的</w:t>
      </w:r>
      <w:r>
        <w:rPr>
          <w:rFonts w:hint="eastAsia" w:ascii="宋体" w:hAnsi="宋体" w:cs="宋体"/>
          <w:color w:val="auto"/>
          <w:szCs w:val="21"/>
          <w:highlight w:val="none"/>
        </w:rPr>
        <w:t>人员不满足下表最低配备要求的，将影响其团队因素评价，但不作为否决性条款。</w:t>
      </w:r>
    </w:p>
    <w:tbl>
      <w:tblPr>
        <w:tblStyle w:val="46"/>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416"/>
        <w:gridCol w:w="829"/>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7" w:type="dxa"/>
            <w:vAlign w:val="center"/>
          </w:tcPr>
          <w:p>
            <w:pPr>
              <w:adjustRightInd w:val="0"/>
              <w:snapToGrid w:val="0"/>
              <w:jc w:val="center"/>
              <w:rPr>
                <w:rFonts w:ascii="宋体" w:hAnsi="宋体" w:cs="宋体"/>
                <w:b/>
                <w:color w:val="auto"/>
                <w:kern w:val="44"/>
                <w:szCs w:val="21"/>
                <w:highlight w:val="none"/>
              </w:rPr>
            </w:pPr>
            <w:r>
              <w:rPr>
                <w:rFonts w:hint="eastAsia" w:ascii="宋体" w:hAnsi="宋体" w:cs="宋体"/>
                <w:b/>
                <w:color w:val="auto"/>
                <w:kern w:val="44"/>
                <w:szCs w:val="21"/>
                <w:highlight w:val="none"/>
              </w:rPr>
              <w:t>序号</w:t>
            </w:r>
          </w:p>
        </w:tc>
        <w:tc>
          <w:tcPr>
            <w:tcW w:w="2416" w:type="dxa"/>
            <w:vAlign w:val="center"/>
          </w:tcPr>
          <w:p>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专业类别</w:t>
            </w:r>
          </w:p>
        </w:tc>
        <w:tc>
          <w:tcPr>
            <w:tcW w:w="829" w:type="dxa"/>
            <w:vAlign w:val="center"/>
          </w:tcPr>
          <w:p>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数量</w:t>
            </w:r>
          </w:p>
        </w:tc>
        <w:tc>
          <w:tcPr>
            <w:tcW w:w="5149" w:type="dxa"/>
            <w:vAlign w:val="center"/>
          </w:tcPr>
          <w:p>
            <w:pPr>
              <w:adjustRightInd w:val="0"/>
              <w:snapToGrid w:val="0"/>
              <w:jc w:val="center"/>
              <w:rPr>
                <w:rFonts w:ascii="宋体" w:hAnsi="宋体" w:cs="宋体"/>
                <w:color w:val="auto"/>
                <w:kern w:val="44"/>
                <w:szCs w:val="21"/>
                <w:highlight w:val="none"/>
              </w:rPr>
            </w:pPr>
            <w:r>
              <w:rPr>
                <w:rFonts w:hint="eastAsia" w:ascii="宋体" w:hAnsi="宋体" w:cs="宋体"/>
                <w:b/>
                <w:color w:val="auto"/>
                <w:kern w:val="44"/>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adjustRightInd w:val="0"/>
              <w:snapToGrid w:val="0"/>
              <w:jc w:val="center"/>
              <w:rPr>
                <w:rFonts w:ascii="宋体" w:hAnsi="宋体" w:cs="仿宋"/>
                <w:color w:val="auto"/>
                <w:szCs w:val="21"/>
                <w:highlight w:val="none"/>
              </w:rPr>
            </w:pPr>
            <w:r>
              <w:rPr>
                <w:rFonts w:hint="eastAsia" w:ascii="宋体" w:hAnsi="宋体" w:cs="仿宋"/>
                <w:color w:val="auto"/>
                <w:szCs w:val="21"/>
                <w:highlight w:val="none"/>
              </w:rPr>
              <w:t>1</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总监理工程师</w:t>
            </w:r>
          </w:p>
        </w:tc>
        <w:tc>
          <w:tcPr>
            <w:tcW w:w="82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安全</w:t>
            </w:r>
            <w:r>
              <w:rPr>
                <w:rFonts w:hint="eastAsia" w:ascii="宋体" w:hAnsi="宋体" w:cs="仿宋"/>
                <w:color w:val="auto"/>
                <w:szCs w:val="21"/>
                <w:highlight w:val="none"/>
              </w:rPr>
              <w:t>监理工程师</w:t>
            </w:r>
          </w:p>
        </w:tc>
        <w:tc>
          <w:tcPr>
            <w:tcW w:w="82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pPr>
              <w:adjustRightInd w:val="0"/>
              <w:snapToGrid w:val="0"/>
              <w:jc w:val="left"/>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具备相关岗位证或培训证或上岗证，或注册安全工程师执业资格。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专业监理工程师</w:t>
            </w:r>
          </w:p>
        </w:tc>
        <w:tc>
          <w:tcPr>
            <w:tcW w:w="82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pPr>
              <w:adjustRightInd w:val="0"/>
              <w:snapToGrid w:val="0"/>
              <w:jc w:val="left"/>
              <w:rPr>
                <w:rFonts w:hint="eastAsia" w:ascii="宋体" w:hAnsi="宋体" w:cs="仿宋"/>
                <w:color w:val="auto"/>
                <w:szCs w:val="21"/>
                <w:highlight w:val="none"/>
              </w:rPr>
            </w:pPr>
            <w:r>
              <w:rPr>
                <w:rFonts w:hint="eastAsia" w:ascii="宋体" w:hAnsi="宋体" w:cs="仿宋"/>
                <w:color w:val="auto"/>
                <w:szCs w:val="21"/>
                <w:highlight w:val="none"/>
              </w:rPr>
              <w:t>具备相关专业中级（或以上）技术职称或专业监理工程师或注册监理工程师资格。专业以职称证或专业监理工程师证书或注册监理工程师注册执业证书或毕业证所列的相关专业为准。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环境监理</w:t>
            </w:r>
            <w:r>
              <w:rPr>
                <w:rFonts w:hint="eastAsia" w:ascii="宋体" w:hAnsi="宋体" w:cs="仿宋"/>
                <w:color w:val="auto"/>
                <w:szCs w:val="21"/>
                <w:highlight w:val="none"/>
              </w:rPr>
              <w:t>工程师</w:t>
            </w:r>
          </w:p>
        </w:tc>
        <w:tc>
          <w:tcPr>
            <w:tcW w:w="82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widowControl/>
              <w:adjustRightInd w:val="0"/>
              <w:snapToGrid w:val="0"/>
              <w:ind w:left="-361" w:leftChars="-172" w:firstLine="420" w:firstLineChars="20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环境</w:t>
            </w:r>
            <w:r>
              <w:rPr>
                <w:rFonts w:hint="eastAsia" w:ascii="宋体" w:hAnsi="宋体" w:cs="仿宋"/>
                <w:color w:val="auto"/>
                <w:szCs w:val="21"/>
                <w:highlight w:val="none"/>
              </w:rPr>
              <w:t>监理员</w:t>
            </w:r>
          </w:p>
        </w:tc>
        <w:tc>
          <w:tcPr>
            <w:tcW w:w="829" w:type="dxa"/>
            <w:vAlign w:val="center"/>
          </w:tcPr>
          <w:p>
            <w:pPr>
              <w:adjustRightInd w:val="0"/>
              <w:snapToGrid w:val="0"/>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1</w:t>
            </w:r>
          </w:p>
        </w:tc>
        <w:tc>
          <w:tcPr>
            <w:tcW w:w="514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widowControl/>
              <w:adjustRightInd w:val="0"/>
              <w:snapToGrid w:val="0"/>
              <w:ind w:left="-361" w:leftChars="-172" w:firstLine="420" w:firstLineChars="20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2416"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资料员</w:t>
            </w:r>
          </w:p>
        </w:tc>
        <w:tc>
          <w:tcPr>
            <w:tcW w:w="82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5149" w:type="dxa"/>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具备相关岗位证或培训证或上岗证。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03" w:type="dxa"/>
            <w:gridSpan w:val="2"/>
            <w:vAlign w:val="center"/>
          </w:tcPr>
          <w:p>
            <w:pPr>
              <w:adjustRightInd w:val="0"/>
              <w:snapToGrid w:val="0"/>
              <w:jc w:val="center"/>
              <w:rPr>
                <w:rFonts w:ascii="宋体" w:hAnsi="宋体" w:cs="仿宋"/>
                <w:color w:val="auto"/>
                <w:szCs w:val="21"/>
                <w:highlight w:val="none"/>
              </w:rPr>
            </w:pPr>
            <w:r>
              <w:rPr>
                <w:rFonts w:hint="eastAsia" w:ascii="宋体" w:hAnsi="宋体"/>
                <w:b/>
                <w:snapToGrid w:val="0"/>
                <w:color w:val="auto"/>
                <w:spacing w:val="4"/>
                <w:kern w:val="0"/>
                <w:szCs w:val="21"/>
                <w:highlight w:val="none"/>
              </w:rPr>
              <w:t>合计</w:t>
            </w:r>
          </w:p>
        </w:tc>
        <w:tc>
          <w:tcPr>
            <w:tcW w:w="829"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snapToGrid w:val="0"/>
                <w:color w:val="auto"/>
                <w:spacing w:val="4"/>
                <w:kern w:val="0"/>
                <w:szCs w:val="21"/>
                <w:highlight w:val="none"/>
                <w:lang w:val="en-US" w:eastAsia="zh-CN"/>
              </w:rPr>
              <w:t>6</w:t>
            </w:r>
          </w:p>
        </w:tc>
        <w:tc>
          <w:tcPr>
            <w:tcW w:w="5149" w:type="dxa"/>
            <w:vAlign w:val="center"/>
          </w:tcPr>
          <w:p>
            <w:pPr>
              <w:adjustRightInd w:val="0"/>
              <w:snapToGrid w:val="0"/>
              <w:jc w:val="center"/>
              <w:rPr>
                <w:rFonts w:ascii="宋体" w:hAnsi="宋体"/>
                <w:color w:val="auto"/>
                <w:szCs w:val="21"/>
                <w:highlight w:val="none"/>
              </w:rPr>
            </w:pPr>
          </w:p>
        </w:tc>
      </w:tr>
    </w:tbl>
    <w:p>
      <w:pPr>
        <w:rPr>
          <w:rFonts w:ascii="宋体" w:hAnsi="宋体"/>
          <w:color w:val="auto"/>
          <w:sz w:val="22"/>
          <w:highlight w:val="none"/>
        </w:rPr>
      </w:pPr>
      <w:r>
        <w:rPr>
          <w:rFonts w:hint="eastAsia" w:ascii="宋体" w:hAnsi="宋体" w:cs="宋体"/>
          <w:color w:val="auto"/>
          <w:szCs w:val="21"/>
          <w:highlight w:val="none"/>
        </w:rPr>
        <w:t>注：</w:t>
      </w:r>
      <w:r>
        <w:rPr>
          <w:rFonts w:hint="eastAsia" w:ascii="宋体" w:hAnsi="宋体"/>
          <w:color w:val="auto"/>
          <w:szCs w:val="21"/>
          <w:highlight w:val="none"/>
        </w:rPr>
        <w:t>以上人员岗位不能互相兼任。</w:t>
      </w:r>
    </w:p>
    <w:p>
      <w:pPr>
        <w:pStyle w:val="44"/>
        <w:rPr>
          <w:rFonts w:ascii="宋体" w:hAnsi="宋体"/>
          <w:color w:val="auto"/>
          <w:highlight w:val="none"/>
        </w:rPr>
      </w:pPr>
    </w:p>
    <w:p>
      <w:pPr>
        <w:jc w:val="center"/>
        <w:rPr>
          <w:rFonts w:hint="eastAsia" w:ascii="宋体" w:hAnsi="宋体"/>
          <w:color w:val="auto"/>
          <w:highlight w:val="none"/>
        </w:rPr>
      </w:pPr>
      <w:r>
        <w:rPr>
          <w:rFonts w:ascii="宋体" w:hAnsi="宋体"/>
          <w:color w:val="auto"/>
          <w:sz w:val="22"/>
          <w:highlight w:val="none"/>
        </w:rPr>
        <w:br w:type="page"/>
      </w:r>
      <w:bookmarkStart w:id="329" w:name="_Toc49510052"/>
      <w:bookmarkStart w:id="330" w:name="_Toc29685"/>
      <w:r>
        <w:rPr>
          <w:rFonts w:hint="eastAsia" w:ascii="宋体" w:hAnsi="宋体"/>
          <w:b/>
          <w:bCs/>
          <w:color w:val="auto"/>
          <w:sz w:val="44"/>
          <w:szCs w:val="44"/>
          <w:highlight w:val="none"/>
        </w:rPr>
        <w:t>第三卷</w:t>
      </w:r>
      <w:bookmarkEnd w:id="329"/>
      <w:bookmarkEnd w:id="330"/>
      <w:bookmarkStart w:id="331" w:name="_Toc1700"/>
      <w:bookmarkStart w:id="332" w:name="_Toc49510053"/>
    </w:p>
    <w:p>
      <w:pPr>
        <w:pStyle w:val="2"/>
        <w:spacing w:line="240" w:lineRule="auto"/>
        <w:jc w:val="center"/>
        <w:rPr>
          <w:rFonts w:hint="eastAsia" w:ascii="宋体" w:hAnsi="宋体"/>
          <w:color w:val="auto"/>
          <w:highlight w:val="none"/>
        </w:rPr>
      </w:pPr>
      <w:r>
        <w:rPr>
          <w:rFonts w:hint="eastAsia" w:ascii="宋体" w:hAnsi="宋体"/>
          <w:color w:val="auto"/>
          <w:highlight w:val="none"/>
        </w:rPr>
        <w:t>第六章 投标文件格式</w:t>
      </w:r>
      <w:bookmarkEnd w:id="331"/>
      <w:bookmarkEnd w:id="332"/>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318"/>
    <w:bookmarkEnd w:id="319"/>
    <w:bookmarkEnd w:id="320"/>
    <w:bookmarkEnd w:id="321"/>
    <w:bookmarkEnd w:id="322"/>
    <w:bookmarkEnd w:id="323"/>
    <w:bookmarkEnd w:id="324"/>
    <w:bookmarkEnd w:id="325"/>
    <w:bookmarkEnd w:id="326"/>
    <w:p>
      <w:pPr>
        <w:pStyle w:val="3"/>
        <w:jc w:val="center"/>
        <w:rPr>
          <w:rFonts w:ascii="宋体" w:hAnsi="宋体" w:eastAsia="宋体"/>
          <w:color w:val="auto"/>
          <w:highlight w:val="none"/>
        </w:rPr>
      </w:pPr>
      <w:bookmarkStart w:id="333" w:name="_Toc516145370"/>
      <w:bookmarkStart w:id="334" w:name="_Toc515450412"/>
      <w:bookmarkStart w:id="335" w:name="_Toc492300719"/>
      <w:r>
        <w:rPr>
          <w:rFonts w:ascii="宋体" w:hAnsi="宋体" w:eastAsia="宋体"/>
          <w:color w:val="auto"/>
          <w:highlight w:val="none"/>
        </w:rPr>
        <w:t>目录</w:t>
      </w:r>
      <w:bookmarkEnd w:id="333"/>
      <w:bookmarkEnd w:id="334"/>
      <w:bookmarkEnd w:id="335"/>
    </w:p>
    <w:p>
      <w:pPr>
        <w:spacing w:line="540" w:lineRule="exact"/>
        <w:outlineLvl w:val="0"/>
        <w:rPr>
          <w:rFonts w:ascii="宋体" w:hAnsi="宋体" w:cs="宋体"/>
          <w:color w:val="auto"/>
          <w:highlight w:val="none"/>
        </w:rPr>
      </w:pPr>
      <w:bookmarkStart w:id="336" w:name="_Toc20798"/>
      <w:bookmarkStart w:id="337" w:name="_Toc28562"/>
      <w:bookmarkStart w:id="338" w:name="_Toc5748"/>
      <w:bookmarkStart w:id="339" w:name="_Toc369531691"/>
      <w:bookmarkStart w:id="340" w:name="_Toc352691655"/>
      <w:bookmarkStart w:id="341" w:name="_Toc7039"/>
      <w:r>
        <w:rPr>
          <w:rFonts w:hint="eastAsia" w:ascii="宋体" w:hAnsi="宋体" w:cs="宋体"/>
          <w:color w:val="auto"/>
          <w:highlight w:val="none"/>
        </w:rPr>
        <w:t>一、投标函及投标函附录</w:t>
      </w:r>
      <w:bookmarkEnd w:id="336"/>
      <w:bookmarkEnd w:id="337"/>
      <w:bookmarkEnd w:id="338"/>
    </w:p>
    <w:p>
      <w:pPr>
        <w:spacing w:line="540" w:lineRule="exact"/>
        <w:outlineLvl w:val="0"/>
        <w:rPr>
          <w:rFonts w:ascii="宋体" w:hAnsi="宋体" w:cs="宋体"/>
          <w:color w:val="auto"/>
          <w:highlight w:val="none"/>
        </w:rPr>
      </w:pPr>
      <w:bookmarkStart w:id="342" w:name="_Toc8297"/>
      <w:bookmarkStart w:id="343" w:name="_Toc23586"/>
      <w:bookmarkStart w:id="344" w:name="_Toc23791"/>
      <w:r>
        <w:rPr>
          <w:rFonts w:hint="eastAsia" w:ascii="宋体" w:hAnsi="宋体" w:cs="宋体"/>
          <w:color w:val="auto"/>
          <w:highlight w:val="none"/>
        </w:rPr>
        <w:t>二、法定代表人身份证明</w:t>
      </w:r>
      <w:bookmarkEnd w:id="342"/>
      <w:bookmarkEnd w:id="343"/>
      <w:bookmarkEnd w:id="344"/>
      <w:bookmarkStart w:id="345" w:name="_Toc26395"/>
      <w:bookmarkStart w:id="346" w:name="_Toc23827"/>
      <w:bookmarkStart w:id="347" w:name="_Toc16108"/>
      <w:r>
        <w:rPr>
          <w:rFonts w:hint="eastAsia" w:ascii="宋体" w:hAnsi="宋体" w:cs="宋体"/>
          <w:color w:val="auto"/>
          <w:highlight w:val="none"/>
        </w:rPr>
        <w:t>、授权委托书</w:t>
      </w:r>
      <w:bookmarkEnd w:id="345"/>
      <w:bookmarkEnd w:id="346"/>
      <w:bookmarkEnd w:id="347"/>
    </w:p>
    <w:p>
      <w:pPr>
        <w:spacing w:line="540" w:lineRule="exact"/>
        <w:outlineLvl w:val="0"/>
        <w:rPr>
          <w:rFonts w:hint="eastAsia" w:ascii="宋体" w:hAnsi="宋体" w:cs="宋体"/>
          <w:color w:val="auto"/>
          <w:highlight w:val="none"/>
        </w:rPr>
      </w:pPr>
      <w:bookmarkStart w:id="348" w:name="_Toc31821"/>
      <w:bookmarkStart w:id="349" w:name="_Toc13987"/>
      <w:bookmarkStart w:id="350" w:name="_Toc28998"/>
      <w:r>
        <w:rPr>
          <w:rFonts w:hint="eastAsia" w:ascii="宋体" w:hAnsi="宋体" w:cs="宋体"/>
          <w:color w:val="auto"/>
          <w:highlight w:val="none"/>
        </w:rPr>
        <w:t>三、</w:t>
      </w:r>
      <w:bookmarkEnd w:id="348"/>
      <w:bookmarkEnd w:id="349"/>
      <w:bookmarkEnd w:id="350"/>
      <w:r>
        <w:rPr>
          <w:rFonts w:hint="eastAsia" w:ascii="宋体" w:hAnsi="宋体" w:cs="宋体"/>
          <w:color w:val="auto"/>
          <w:highlight w:val="none"/>
        </w:rPr>
        <w:t>监理报酬清单</w:t>
      </w:r>
    </w:p>
    <w:p>
      <w:pPr>
        <w:spacing w:line="540" w:lineRule="exact"/>
        <w:outlineLvl w:val="0"/>
        <w:rPr>
          <w:rFonts w:ascii="宋体" w:hAnsi="宋体" w:cs="宋体"/>
          <w:color w:val="auto"/>
          <w:highlight w:val="none"/>
        </w:rPr>
      </w:pPr>
      <w:bookmarkStart w:id="351" w:name="_Toc13588"/>
      <w:bookmarkStart w:id="352" w:name="_Toc4284"/>
      <w:bookmarkStart w:id="353" w:name="_Toc12809"/>
      <w:r>
        <w:rPr>
          <w:rFonts w:hint="eastAsia" w:ascii="宋体" w:hAnsi="宋体" w:cs="宋体"/>
          <w:color w:val="auto"/>
          <w:highlight w:val="none"/>
        </w:rPr>
        <w:t>四、资格审查资料</w:t>
      </w:r>
      <w:bookmarkEnd w:id="351"/>
      <w:bookmarkEnd w:id="352"/>
      <w:bookmarkEnd w:id="353"/>
    </w:p>
    <w:p>
      <w:pPr>
        <w:spacing w:line="540" w:lineRule="exact"/>
        <w:outlineLvl w:val="0"/>
        <w:rPr>
          <w:rFonts w:ascii="宋体" w:hAnsi="宋体" w:cs="宋体"/>
          <w:color w:val="auto"/>
          <w:highlight w:val="none"/>
        </w:rPr>
      </w:pPr>
      <w:bookmarkStart w:id="354" w:name="_Toc6297"/>
      <w:bookmarkStart w:id="355" w:name="_Toc8093"/>
      <w:bookmarkStart w:id="356" w:name="_Toc4325"/>
      <w:r>
        <w:rPr>
          <w:rFonts w:hint="eastAsia" w:ascii="宋体" w:hAnsi="宋体" w:cs="宋体"/>
          <w:color w:val="auto"/>
          <w:highlight w:val="none"/>
        </w:rPr>
        <w:t>五、</w:t>
      </w:r>
      <w:bookmarkEnd w:id="354"/>
      <w:bookmarkEnd w:id="355"/>
      <w:bookmarkEnd w:id="356"/>
      <w:r>
        <w:rPr>
          <w:rFonts w:hint="eastAsia" w:ascii="宋体" w:hAnsi="宋体" w:cs="宋体"/>
          <w:color w:val="auto"/>
          <w:highlight w:val="none"/>
        </w:rPr>
        <w:t>监理大纲</w:t>
      </w:r>
    </w:p>
    <w:p>
      <w:pPr>
        <w:spacing w:line="540" w:lineRule="exact"/>
        <w:outlineLvl w:val="0"/>
        <w:rPr>
          <w:rFonts w:ascii="宋体" w:hAnsi="宋体" w:cs="宋体"/>
          <w:color w:val="auto"/>
          <w:highlight w:val="none"/>
        </w:rPr>
      </w:pPr>
      <w:bookmarkStart w:id="357" w:name="_Toc20369"/>
      <w:bookmarkStart w:id="358" w:name="_Toc10714"/>
      <w:bookmarkStart w:id="359" w:name="_Toc12786"/>
      <w:r>
        <w:rPr>
          <w:rFonts w:hint="eastAsia" w:ascii="宋体" w:hAnsi="宋体" w:cs="宋体"/>
          <w:color w:val="auto"/>
          <w:highlight w:val="none"/>
        </w:rPr>
        <w:t>六、其他资料</w:t>
      </w:r>
      <w:bookmarkEnd w:id="357"/>
      <w:bookmarkEnd w:id="358"/>
      <w:bookmarkEnd w:id="359"/>
    </w:p>
    <w:p>
      <w:pPr>
        <w:pStyle w:val="82"/>
        <w:rPr>
          <w:rFonts w:ascii="宋体" w:hAnsi="宋体"/>
          <w:color w:val="auto"/>
          <w:highlight w:val="none"/>
        </w:rPr>
      </w:pPr>
    </w:p>
    <w:p>
      <w:pPr>
        <w:spacing w:line="540" w:lineRule="exact"/>
        <w:rPr>
          <w:rFonts w:ascii="宋体" w:hAnsi="宋体"/>
          <w:color w:val="auto"/>
          <w:sz w:val="20"/>
          <w:highlight w:val="none"/>
        </w:rPr>
      </w:pPr>
    </w:p>
    <w:bookmarkEnd w:id="339"/>
    <w:bookmarkEnd w:id="340"/>
    <w:bookmarkEnd w:id="341"/>
    <w:p>
      <w:pPr>
        <w:pStyle w:val="3"/>
        <w:spacing w:line="360" w:lineRule="auto"/>
        <w:jc w:val="center"/>
        <w:rPr>
          <w:rFonts w:ascii="宋体" w:hAnsi="宋体" w:eastAsia="宋体"/>
          <w:color w:val="auto"/>
          <w:highlight w:val="none"/>
        </w:rPr>
      </w:pPr>
      <w:bookmarkStart w:id="360" w:name="_Toc516145371"/>
      <w:bookmarkStart w:id="361" w:name="_Toc492300720"/>
      <w:bookmarkStart w:id="362" w:name="_Toc515450413"/>
      <w:r>
        <w:rPr>
          <w:rFonts w:ascii="宋体" w:hAnsi="宋体" w:eastAsia="宋体"/>
          <w:color w:val="auto"/>
          <w:highlight w:val="none"/>
        </w:rPr>
        <w:br w:type="page"/>
      </w:r>
      <w:r>
        <w:rPr>
          <w:rFonts w:ascii="宋体" w:hAnsi="宋体" w:eastAsia="宋体"/>
          <w:color w:val="auto"/>
          <w:highlight w:val="none"/>
        </w:rPr>
        <w:t>一、投标</w:t>
      </w:r>
      <w:bookmarkStart w:id="363" w:name="_Toc352691656"/>
      <w:bookmarkStart w:id="364" w:name="_Toc6931"/>
      <w:bookmarkStart w:id="365" w:name="_Toc369531692"/>
      <w:r>
        <w:rPr>
          <w:rFonts w:ascii="宋体" w:hAnsi="宋体" w:eastAsia="宋体"/>
          <w:color w:val="auto"/>
          <w:highlight w:val="none"/>
        </w:rPr>
        <w:t>函及投标函附录</w:t>
      </w:r>
      <w:bookmarkEnd w:id="360"/>
      <w:bookmarkEnd w:id="361"/>
      <w:bookmarkEnd w:id="362"/>
    </w:p>
    <w:bookmarkEnd w:id="363"/>
    <w:bookmarkEnd w:id="364"/>
    <w:bookmarkEnd w:id="365"/>
    <w:p>
      <w:pPr>
        <w:spacing w:line="360" w:lineRule="auto"/>
        <w:ind w:left="118"/>
        <w:jc w:val="center"/>
        <w:outlineLvl w:val="2"/>
        <w:rPr>
          <w:rFonts w:ascii="宋体" w:hAnsi="宋体"/>
          <w:b/>
          <w:bCs/>
          <w:color w:val="auto"/>
          <w:kern w:val="0"/>
          <w:sz w:val="32"/>
          <w:szCs w:val="28"/>
          <w:highlight w:val="none"/>
        </w:rPr>
      </w:pPr>
      <w:bookmarkStart w:id="366" w:name="_Toc370676426"/>
      <w:bookmarkStart w:id="367" w:name="_Toc535938752"/>
      <w:bookmarkStart w:id="368" w:name="_Toc529196601"/>
      <w:bookmarkStart w:id="369" w:name="_Toc530470643"/>
      <w:bookmarkStart w:id="370" w:name="_Toc391394111"/>
      <w:bookmarkStart w:id="371" w:name="_Toc482188651"/>
      <w:bookmarkStart w:id="372" w:name="_Toc359594235"/>
      <w:bookmarkStart w:id="373" w:name="_Toc385943065"/>
      <w:r>
        <w:rPr>
          <w:rFonts w:hint="eastAsia" w:ascii="宋体" w:hAnsi="宋体"/>
          <w:b/>
          <w:bCs/>
          <w:color w:val="auto"/>
          <w:kern w:val="0"/>
          <w:sz w:val="32"/>
          <w:szCs w:val="28"/>
          <w:highlight w:val="none"/>
        </w:rPr>
        <w:t>（一）投标函</w:t>
      </w:r>
      <w:bookmarkEnd w:id="366"/>
      <w:bookmarkEnd w:id="367"/>
      <w:bookmarkEnd w:id="368"/>
      <w:bookmarkEnd w:id="369"/>
      <w:bookmarkEnd w:id="370"/>
      <w:bookmarkEnd w:id="371"/>
      <w:bookmarkEnd w:id="372"/>
      <w:bookmarkEnd w:id="373"/>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（项目名称）监理招标项目招标文件的全部内容，愿意以《投标函附录》中的投标报价和监理服务期限，按合同约定完成监理工作。</w:t>
      </w:r>
    </w:p>
    <w:p>
      <w:pPr>
        <w:spacing w:line="360" w:lineRule="auto"/>
        <w:ind w:firstLine="420" w:firstLineChars="200"/>
        <w:rPr>
          <w:rFonts w:hint="eastAsia" w:ascii="宋体" w:hAnsi="宋体" w:cs="宋体"/>
          <w:color w:val="auto"/>
          <w:szCs w:val="21"/>
          <w:highlight w:val="none"/>
        </w:rPr>
      </w:pPr>
      <w:bookmarkStart w:id="374" w:name="_Toc530470644"/>
      <w:r>
        <w:rPr>
          <w:rFonts w:hint="eastAsia" w:ascii="宋体" w:hAnsi="宋体" w:cs="宋体"/>
          <w:color w:val="auto"/>
          <w:szCs w:val="21"/>
          <w:highlight w:val="none"/>
        </w:rPr>
        <w:t>2. 我方的投标文件包括下列内容：</w:t>
      </w:r>
      <w:bookmarkEnd w:id="374"/>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（1）投标函及投标函附录；</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（2）法定代表人身份证明或授权委托书（如有）；</w:t>
      </w:r>
    </w:p>
    <w:p>
      <w:pPr>
        <w:spacing w:line="360" w:lineRule="auto"/>
        <w:ind w:firstLine="405"/>
        <w:rPr>
          <w:rFonts w:hint="eastAsia" w:ascii="宋体" w:hAnsi="宋体" w:cs="宋体"/>
          <w:strike/>
          <w:color w:val="auto"/>
          <w:szCs w:val="21"/>
          <w:highlight w:val="none"/>
        </w:rPr>
      </w:pPr>
      <w:r>
        <w:rPr>
          <w:rFonts w:hint="eastAsia" w:ascii="宋体" w:hAnsi="宋体" w:cs="宋体"/>
          <w:color w:val="auto"/>
          <w:szCs w:val="21"/>
          <w:highlight w:val="none"/>
        </w:rPr>
        <w:t>（3）监理报酬清单；</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（4）资格审查资料；</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（5）监理大纲；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投标文件的上述组成部分如存在内容不一致的，以投标函为准。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3．我方承诺在招标文件规定的投标有效期</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日历天内不撤销投标文件。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4．如我方中标，我方承诺：</w:t>
      </w:r>
    </w:p>
    <w:p>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（1）在收到中标通知书后，在中标通知书规定的期限内与你方签订合同；</w:t>
      </w:r>
    </w:p>
    <w:p>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pPr>
        <w:spacing w:line="360" w:lineRule="auto"/>
        <w:ind w:firstLine="619" w:firstLineChars="295"/>
        <w:rPr>
          <w:rFonts w:hint="eastAsia" w:ascii="宋体" w:hAnsi="宋体" w:cs="宋体"/>
          <w:strike/>
          <w:color w:val="auto"/>
          <w:szCs w:val="21"/>
          <w:highlight w:val="none"/>
        </w:rPr>
      </w:pPr>
      <w:r>
        <w:rPr>
          <w:rFonts w:hint="eastAsia" w:ascii="宋体" w:hAnsi="宋体" w:cs="宋体"/>
          <w:strike/>
          <w:color w:val="auto"/>
          <w:szCs w:val="21"/>
          <w:highlight w:val="none"/>
        </w:rPr>
        <w:t>（3）按照招标文件要求提交履约保证金；</w:t>
      </w:r>
      <w:bookmarkStart w:id="375" w:name="_Toc352691658"/>
      <w:bookmarkStart w:id="376" w:name="_Toc369531694"/>
      <w:bookmarkStart w:id="377" w:name="_Toc1187"/>
    </w:p>
    <w:p>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（4）在合</w:t>
      </w:r>
      <w:bookmarkEnd w:id="375"/>
      <w:bookmarkEnd w:id="376"/>
      <w:bookmarkEnd w:id="377"/>
      <w:r>
        <w:rPr>
          <w:rFonts w:hint="eastAsia" w:ascii="宋体" w:hAnsi="宋体" w:cs="宋体"/>
          <w:color w:val="auto"/>
          <w:szCs w:val="21"/>
          <w:highlight w:val="none"/>
        </w:rPr>
        <w:t>同约定的期限内完成合同规定的全部义务。</w:t>
      </w:r>
    </w:p>
    <w:p>
      <w:pPr>
        <w:spacing w:line="360" w:lineRule="auto"/>
        <w:ind w:firstLine="619" w:firstLineChars="295"/>
        <w:rPr>
          <w:rFonts w:hint="eastAsia" w:ascii="宋体" w:hAnsi="宋体" w:cs="宋体"/>
          <w:color w:val="auto"/>
          <w:szCs w:val="21"/>
          <w:highlight w:val="none"/>
        </w:rPr>
      </w:pPr>
      <w:r>
        <w:rPr>
          <w:rFonts w:hint="eastAsia" w:ascii="宋体" w:hAnsi="宋体" w:cs="宋体"/>
          <w:color w:val="auto"/>
          <w:szCs w:val="21"/>
          <w:highlight w:val="none"/>
        </w:rPr>
        <w:t>（5）除伤亡、吊销监理工程师执业资格等合法原因不能再从事监理工作情形外，如我方更换项目总监、总监代表，接受贵</w:t>
      </w:r>
      <w:r>
        <w:rPr>
          <w:rFonts w:hint="eastAsia" w:ascii="宋体" w:hAnsi="宋体" w:cs="宋体"/>
          <w:color w:val="auto"/>
          <w:spacing w:val="4"/>
          <w:szCs w:val="21"/>
          <w:highlight w:val="none"/>
          <w:lang w:val="en-US" w:eastAsia="zh-CN"/>
        </w:rPr>
        <w:t>单位</w:t>
      </w:r>
      <w:r>
        <w:rPr>
          <w:rFonts w:hint="eastAsia" w:ascii="宋体" w:hAnsi="宋体" w:cs="宋体"/>
          <w:color w:val="auto"/>
          <w:szCs w:val="21"/>
          <w:highlight w:val="none"/>
        </w:rPr>
        <w:t>1年内拒绝我方参与贵单位后续工程投标的处理。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5．我方在此声明，</w:t>
      </w:r>
      <w:bookmarkStart w:id="378" w:name="_Hlk22686284"/>
      <w:r>
        <w:rPr>
          <w:rFonts w:hint="eastAsia" w:ascii="宋体" w:hAnsi="宋体" w:cs="宋体"/>
          <w:color w:val="auto"/>
          <w:szCs w:val="21"/>
          <w:highlight w:val="none"/>
        </w:rPr>
        <w:t>所递交的投标文件</w:t>
      </w:r>
      <w:bookmarkEnd w:id="378"/>
      <w:r>
        <w:rPr>
          <w:rFonts w:hint="eastAsia" w:ascii="宋体" w:hAnsi="宋体" w:cs="宋体"/>
          <w:color w:val="auto"/>
          <w:szCs w:val="21"/>
          <w:highlight w:val="none"/>
        </w:rPr>
        <w:t>及有关资料内容完整、真实和准确，且不存在第二章“投标人须知”第1.4.3项规定的任何一种情形。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如我方中标，我方承诺，满足“委托人要求”中的所有内容。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pPr>
        <w:spacing w:line="360" w:lineRule="auto"/>
        <w:ind w:firstLine="2520" w:firstLineChars="1200"/>
        <w:jc w:val="left"/>
        <w:rPr>
          <w:rFonts w:hint="eastAsia" w:ascii="宋体" w:hAnsi="宋体" w:cs="宋体"/>
          <w:color w:val="auto"/>
          <w:szCs w:val="21"/>
          <w:highlight w:val="none"/>
        </w:rPr>
      </w:pPr>
    </w:p>
    <w:p>
      <w:pPr>
        <w:spacing w:line="360" w:lineRule="auto"/>
        <w:ind w:firstLine="2520" w:firstLineChars="1200"/>
        <w:jc w:val="left"/>
        <w:rPr>
          <w:rFonts w:hint="eastAsia" w:ascii="宋体" w:hAnsi="宋体" w:cs="宋体"/>
          <w:color w:val="auto"/>
          <w:szCs w:val="21"/>
          <w:highlight w:val="none"/>
        </w:rPr>
      </w:pPr>
    </w:p>
    <w:p>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ind w:firstLine="2835" w:firstLineChars="1350"/>
        <w:rPr>
          <w:rFonts w:hint="eastAsia" w:ascii="宋体" w:hAnsi="宋体" w:cs="宋体"/>
          <w:color w:val="auto"/>
          <w:szCs w:val="21"/>
          <w:highlight w:val="none"/>
          <w:u w:val="single"/>
        </w:rPr>
      </w:pPr>
      <w:r>
        <w:rPr>
          <w:rFonts w:hint="eastAsia" w:ascii="宋体" w:hAnsi="宋体" w:cs="宋体"/>
          <w:color w:val="auto"/>
          <w:szCs w:val="21"/>
          <w:highlight w:val="none"/>
        </w:rPr>
        <w:t>法定代表人(或被授权人)：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pPr>
        <w:spacing w:line="360" w:lineRule="auto"/>
        <w:ind w:right="85"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pPr>
        <w:spacing w:line="360" w:lineRule="auto"/>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5880" w:firstLineChars="28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olor w:val="auto"/>
          <w:highlight w:val="none"/>
        </w:rPr>
      </w:pPr>
      <w:bookmarkStart w:id="379" w:name="_Toc369531697"/>
      <w:bookmarkStart w:id="380" w:name="_Toc247514246"/>
      <w:bookmarkStart w:id="381" w:name="_Toc144974856"/>
      <w:bookmarkStart w:id="382" w:name="_Toc17960"/>
      <w:bookmarkStart w:id="383" w:name="_Toc152045787"/>
      <w:bookmarkStart w:id="384" w:name="_Toc152042576"/>
      <w:bookmarkStart w:id="385" w:name="_Toc247527827"/>
      <w:bookmarkStart w:id="386" w:name="_Toc361508752"/>
      <w:bookmarkStart w:id="387" w:name="_Toc384308375"/>
      <w:bookmarkStart w:id="388" w:name="_Toc352691661"/>
      <w:bookmarkStart w:id="389" w:name="_Toc300835209"/>
      <w:r>
        <w:rPr>
          <w:rFonts w:ascii="宋体" w:hAnsi="宋体"/>
          <w:color w:val="auto"/>
          <w:szCs w:val="21"/>
          <w:highlight w:val="none"/>
        </w:rPr>
        <w:br w:type="page"/>
      </w:r>
    </w:p>
    <w:p>
      <w:pPr>
        <w:spacing w:line="360" w:lineRule="auto"/>
        <w:jc w:val="center"/>
        <w:rPr>
          <w:rFonts w:ascii="宋体" w:hAnsi="宋体"/>
          <w:color w:val="auto"/>
          <w:sz w:val="32"/>
          <w:szCs w:val="32"/>
          <w:highlight w:val="none"/>
        </w:rPr>
      </w:pPr>
      <w:bookmarkStart w:id="390" w:name="_Toc391394112"/>
      <w:bookmarkStart w:id="391" w:name="_Toc359594236"/>
      <w:bookmarkStart w:id="392" w:name="_Toc482188652"/>
      <w:bookmarkStart w:id="393" w:name="_Toc516145373"/>
      <w:bookmarkStart w:id="394" w:name="_Toc385943066"/>
      <w:bookmarkStart w:id="395" w:name="_Toc370676427"/>
      <w:bookmarkStart w:id="396" w:name="_Toc492300722"/>
      <w:bookmarkStart w:id="397" w:name="_Toc515450415"/>
      <w:r>
        <w:rPr>
          <w:rFonts w:hint="eastAsia" w:ascii="宋体" w:hAnsi="宋体"/>
          <w:b/>
          <w:bCs/>
          <w:color w:val="auto"/>
          <w:kern w:val="0"/>
          <w:sz w:val="32"/>
          <w:szCs w:val="32"/>
          <w:highlight w:val="none"/>
        </w:rPr>
        <w:t>（二）投标函附录</w:t>
      </w:r>
      <w:bookmarkEnd w:id="390"/>
      <w:bookmarkEnd w:id="391"/>
      <w:bookmarkEnd w:id="392"/>
      <w:bookmarkEnd w:id="393"/>
      <w:bookmarkEnd w:id="394"/>
      <w:bookmarkEnd w:id="395"/>
      <w:bookmarkEnd w:id="396"/>
      <w:bookmarkEnd w:id="397"/>
    </w:p>
    <w:tbl>
      <w:tblPr>
        <w:tblStyle w:val="4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041"/>
        <w:gridCol w:w="4109"/>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04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条款名称</w:t>
            </w:r>
          </w:p>
        </w:tc>
        <w:tc>
          <w:tcPr>
            <w:tcW w:w="41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约定内容</w:t>
            </w:r>
          </w:p>
        </w:tc>
        <w:tc>
          <w:tcPr>
            <w:tcW w:w="20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总监理工程师</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rPr>
                <w:rFonts w:ascii="宋体" w:hAnsi="宋体"/>
                <w:color w:val="auto"/>
                <w:sz w:val="24"/>
                <w:highlight w:val="none"/>
              </w:rPr>
            </w:pPr>
            <w:r>
              <w:rPr>
                <w:rFonts w:hint="eastAsia" w:ascii="宋体" w:hAnsi="宋体"/>
                <w:color w:val="auto"/>
                <w:sz w:val="24"/>
                <w:highlight w:val="none"/>
              </w:rPr>
              <w:t>姓名：</w:t>
            </w:r>
          </w:p>
          <w:p>
            <w:pPr>
              <w:pStyle w:val="18"/>
              <w:topLinePunct/>
              <w:spacing w:line="400" w:lineRule="exact"/>
              <w:contextualSpacing/>
              <w:rPr>
                <w:rFonts w:hAnsi="宋体"/>
                <w:color w:val="auto"/>
                <w:kern w:val="2"/>
                <w:szCs w:val="24"/>
                <w:highlight w:val="none"/>
              </w:rPr>
            </w:pPr>
            <w:r>
              <w:rPr>
                <w:rFonts w:hint="eastAsia" w:hAnsi="宋体"/>
                <w:color w:val="auto"/>
                <w:highlight w:val="none"/>
              </w:rPr>
              <w:t>注册证号：</w:t>
            </w:r>
          </w:p>
        </w:tc>
        <w:tc>
          <w:tcPr>
            <w:tcW w:w="2022"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820" w:firstLineChars="342"/>
              <w:contextualSpacing/>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监理服务期限</w:t>
            </w:r>
          </w:p>
        </w:tc>
        <w:tc>
          <w:tcPr>
            <w:tcW w:w="4109" w:type="dxa"/>
            <w:tcBorders>
              <w:top w:val="single" w:color="auto" w:sz="4" w:space="0"/>
              <w:left w:val="single" w:color="auto" w:sz="4" w:space="0"/>
              <w:bottom w:val="single" w:color="auto" w:sz="4" w:space="0"/>
              <w:right w:val="single" w:color="auto" w:sz="4" w:space="0"/>
            </w:tcBorders>
            <w:noWrap/>
            <w:vAlign w:val="center"/>
          </w:tcPr>
          <w:p>
            <w:pPr>
              <w:pStyle w:val="18"/>
              <w:topLinePunct/>
              <w:spacing w:line="400" w:lineRule="exact"/>
              <w:contextualSpacing/>
              <w:rPr>
                <w:rFonts w:hint="eastAsia" w:hAnsi="宋体" w:eastAsia="宋体"/>
                <w:color w:val="auto"/>
                <w:kern w:val="2"/>
                <w:szCs w:val="24"/>
                <w:highlight w:val="none"/>
                <w:lang w:eastAsia="zh-CN"/>
              </w:rPr>
            </w:pPr>
            <w:r>
              <w:rPr>
                <w:rFonts w:hint="eastAsia" w:hAnsi="宋体"/>
                <w:color w:val="auto"/>
                <w:kern w:val="2"/>
                <w:szCs w:val="24"/>
                <w:highlight w:val="none"/>
                <w:u w:val="single"/>
              </w:rPr>
              <w:t>按招标文件要求</w:t>
            </w:r>
            <w:r>
              <w:rPr>
                <w:rFonts w:hint="eastAsia" w:hAnsi="宋体"/>
                <w:color w:val="auto"/>
                <w:kern w:val="2"/>
                <w:szCs w:val="24"/>
                <w:highlight w:val="none"/>
                <w:u w:val="single"/>
                <w:lang w:eastAsia="zh-CN"/>
              </w:rPr>
              <w:t>。</w:t>
            </w:r>
          </w:p>
        </w:tc>
        <w:tc>
          <w:tcPr>
            <w:tcW w:w="2022"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合同价款确定方式</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rPr>
                <w:rFonts w:hint="eastAsia" w:ascii="宋体" w:hAnsi="宋体" w:eastAsia="宋体"/>
                <w:color w:val="auto"/>
                <w:sz w:val="24"/>
                <w:szCs w:val="24"/>
                <w:highlight w:val="none"/>
                <w:lang w:eastAsia="zh-CN"/>
              </w:rPr>
            </w:pPr>
            <w:r>
              <w:rPr>
                <w:rFonts w:hint="eastAsia" w:ascii="宋体" w:hAnsi="宋体"/>
                <w:color w:val="auto"/>
                <w:sz w:val="24"/>
                <w:highlight w:val="none"/>
                <w:u w:val="single"/>
              </w:rPr>
              <w:t>按合同约定</w:t>
            </w:r>
            <w:r>
              <w:rPr>
                <w:rFonts w:hint="eastAsia" w:ascii="宋体" w:hAnsi="宋体"/>
                <w:color w:val="auto"/>
                <w:sz w:val="24"/>
                <w:highlight w:val="none"/>
                <w:u w:val="single"/>
                <w:lang w:eastAsia="zh-CN"/>
              </w:rPr>
              <w:t>。</w:t>
            </w:r>
          </w:p>
        </w:tc>
        <w:tc>
          <w:tcPr>
            <w:tcW w:w="2022"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contextualSpacing/>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rPr>
                <w:rFonts w:hint="eastAsia" w:ascii="宋体" w:hAnsi="宋体" w:eastAsia="宋体"/>
                <w:color w:val="auto"/>
                <w:sz w:val="24"/>
                <w:szCs w:val="24"/>
                <w:highlight w:val="none"/>
                <w:lang w:eastAsia="zh-CN"/>
              </w:rPr>
            </w:pPr>
            <w:r>
              <w:rPr>
                <w:rFonts w:hint="eastAsia" w:ascii="宋体" w:hAnsi="宋体"/>
                <w:color w:val="auto"/>
                <w:sz w:val="24"/>
                <w:szCs w:val="24"/>
                <w:highlight w:val="none"/>
                <w:u w:val="single"/>
              </w:rPr>
              <w:t>按招标文件要求</w:t>
            </w:r>
            <w:r>
              <w:rPr>
                <w:rFonts w:hint="eastAsia" w:ascii="宋体" w:hAnsi="宋体"/>
                <w:color w:val="auto"/>
                <w:sz w:val="24"/>
                <w:szCs w:val="24"/>
                <w:highlight w:val="none"/>
                <w:u w:val="single"/>
                <w:lang w:eastAsia="zh-CN"/>
              </w:rPr>
              <w:t>。</w:t>
            </w:r>
          </w:p>
        </w:tc>
        <w:tc>
          <w:tcPr>
            <w:tcW w:w="2022"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contextualSpacing/>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rPr>
                <w:rFonts w:ascii="宋体" w:hAnsi="宋体"/>
                <w:color w:val="auto"/>
                <w:sz w:val="24"/>
                <w:szCs w:val="24"/>
                <w:highlight w:val="none"/>
              </w:rPr>
            </w:pPr>
            <w:r>
              <w:rPr>
                <w:rFonts w:hint="eastAsia" w:ascii="宋体" w:hAnsi="宋体"/>
                <w:color w:val="auto"/>
                <w:sz w:val="24"/>
                <w:szCs w:val="24"/>
                <w:highlight w:val="none"/>
              </w:rPr>
              <w:t>人数：</w:t>
            </w:r>
          </w:p>
        </w:tc>
        <w:tc>
          <w:tcPr>
            <w:tcW w:w="2022"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contextualSpacing/>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00" w:lineRule="exact"/>
              <w:contextualSpacing/>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大写：</w:t>
            </w:r>
            <w:r>
              <w:rPr>
                <w:rFonts w:hint="eastAsia" w:ascii="宋体" w:hAnsi="宋体"/>
                <w:color w:val="auto"/>
                <w:sz w:val="24"/>
                <w:szCs w:val="24"/>
                <w:highlight w:val="none"/>
                <w:lang w:val="en-US" w:eastAsia="zh-CN"/>
              </w:rPr>
              <w:t xml:space="preserve">                    元</w:t>
            </w:r>
          </w:p>
          <w:p>
            <w:pPr>
              <w:spacing w:before="156" w:beforeLines="50" w:after="156" w:afterLines="50" w:line="400" w:lineRule="exact"/>
              <w:contextualSpacing/>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小写：</w:t>
            </w:r>
            <w:r>
              <w:rPr>
                <w:rFonts w:hint="eastAsia" w:ascii="宋体" w:hAnsi="宋体"/>
                <w:color w:val="auto"/>
                <w:sz w:val="24"/>
                <w:szCs w:val="24"/>
                <w:highlight w:val="none"/>
                <w:lang w:val="en-US" w:eastAsia="zh-CN"/>
              </w:rPr>
              <w:t xml:space="preserve">                    元</w:t>
            </w:r>
          </w:p>
        </w:tc>
        <w:tc>
          <w:tcPr>
            <w:tcW w:w="2022"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contextualSpacing/>
              <w:jc w:val="left"/>
              <w:rPr>
                <w:rFonts w:hint="eastAsia" w:ascii="宋体" w:hAnsi="宋体" w:eastAsia="宋体"/>
                <w:b/>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tcBorders>
              <w:left w:val="single" w:color="auto" w:sz="4" w:space="0"/>
              <w:bottom w:val="single" w:color="auto" w:sz="4" w:space="0"/>
              <w:right w:val="single" w:color="auto" w:sz="4" w:space="0"/>
            </w:tcBorders>
            <w:noWrap/>
            <w:vAlign w:val="center"/>
          </w:tcPr>
          <w:p>
            <w:pPr>
              <w:spacing w:line="400" w:lineRule="exact"/>
              <w:contextualSpacing/>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7</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监理</w:t>
            </w:r>
            <w:r>
              <w:rPr>
                <w:rFonts w:hint="eastAsia" w:ascii="宋体" w:hAnsi="宋体"/>
                <w:color w:val="auto"/>
                <w:sz w:val="24"/>
                <w:szCs w:val="24"/>
                <w:highlight w:val="none"/>
                <w:lang w:val="en-US" w:eastAsia="zh-CN"/>
              </w:rPr>
              <w:t>费率</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00" w:lineRule="exact"/>
              <w:contextualSpacing/>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tc>
        <w:tc>
          <w:tcPr>
            <w:tcW w:w="2022" w:type="dxa"/>
            <w:tcBorders>
              <w:left w:val="single" w:color="auto" w:sz="4" w:space="0"/>
              <w:bottom w:val="single" w:color="auto" w:sz="4" w:space="0"/>
              <w:right w:val="single" w:color="auto" w:sz="4" w:space="0"/>
            </w:tcBorders>
            <w:noWrap/>
            <w:vAlign w:val="center"/>
          </w:tcPr>
          <w:p>
            <w:pPr>
              <w:tabs>
                <w:tab w:val="left" w:pos="360"/>
              </w:tabs>
              <w:spacing w:line="400" w:lineRule="exact"/>
              <w:contextualSpacing/>
              <w:jc w:val="lef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8</w:t>
            </w:r>
          </w:p>
        </w:tc>
        <w:tc>
          <w:tcPr>
            <w:tcW w:w="2041"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投标有效期</w:t>
            </w:r>
          </w:p>
        </w:tc>
        <w:tc>
          <w:tcPr>
            <w:tcW w:w="4109"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both"/>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按招标文件要求</w:t>
            </w:r>
            <w:r>
              <w:rPr>
                <w:rFonts w:hint="eastAsia" w:ascii="宋体" w:hAnsi="宋体"/>
                <w:color w:val="auto"/>
                <w:sz w:val="24"/>
                <w:szCs w:val="24"/>
                <w:highlight w:val="none"/>
                <w:lang w:eastAsia="zh-CN"/>
              </w:rPr>
              <w:t>。</w:t>
            </w:r>
          </w:p>
        </w:tc>
        <w:tc>
          <w:tcPr>
            <w:tcW w:w="2022" w:type="dxa"/>
            <w:tcBorders>
              <w:top w:val="single" w:color="auto" w:sz="4" w:space="0"/>
              <w:left w:val="single" w:color="auto" w:sz="4" w:space="0"/>
              <w:bottom w:val="single" w:color="auto" w:sz="4" w:space="0"/>
              <w:right w:val="single" w:color="auto" w:sz="4" w:space="0"/>
            </w:tcBorders>
            <w:noWrap/>
            <w:vAlign w:val="center"/>
          </w:tcPr>
          <w:p>
            <w:pPr>
              <w:spacing w:line="400" w:lineRule="exact"/>
              <w:contextualSpacing/>
              <w:jc w:val="center"/>
              <w:rPr>
                <w:rFonts w:ascii="宋体" w:hAnsi="宋体"/>
                <w:color w:val="auto"/>
                <w:sz w:val="24"/>
                <w:szCs w:val="24"/>
                <w:highlight w:val="none"/>
              </w:rPr>
            </w:pPr>
          </w:p>
        </w:tc>
      </w:tr>
    </w:tbl>
    <w:p>
      <w:pPr>
        <w:spacing w:line="440" w:lineRule="exact"/>
        <w:ind w:firstLine="0" w:firstLineChars="0"/>
        <w:jc w:val="left"/>
        <w:rPr>
          <w:rFonts w:hint="eastAsia" w:ascii="宋体" w:hAnsi="宋体" w:cs="宋体"/>
          <w:color w:val="auto"/>
          <w:sz w:val="24"/>
          <w:szCs w:val="24"/>
          <w:highlight w:val="none"/>
        </w:rPr>
      </w:pPr>
      <w:r>
        <w:rPr>
          <w:rFonts w:hint="eastAsia" w:ascii="宋体" w:hAnsi="宋体"/>
          <w:b/>
          <w:bCs/>
          <w:color w:val="auto"/>
          <w:szCs w:val="21"/>
          <w:highlight w:val="none"/>
        </w:rPr>
        <w:t>注：</w:t>
      </w:r>
      <w:r>
        <w:rPr>
          <w:rFonts w:hint="eastAsia"/>
          <w:b/>
          <w:bCs/>
          <w:color w:val="auto"/>
          <w:highlight w:val="none"/>
        </w:rPr>
        <w:t>投标人根据企业自身情况进行报价，</w:t>
      </w:r>
      <w:r>
        <w:rPr>
          <w:rFonts w:hint="eastAsia"/>
          <w:b/>
          <w:bCs/>
          <w:color w:val="auto"/>
          <w:highlight w:val="none"/>
          <w:lang w:val="en-US" w:eastAsia="zh-CN"/>
        </w:rPr>
        <w:t>投标报价以元为单位，报价、费率</w:t>
      </w:r>
      <w:r>
        <w:rPr>
          <w:rFonts w:hint="eastAsia" w:ascii="宋体" w:hAnsi="宋体"/>
          <w:b/>
          <w:bCs/>
          <w:color w:val="auto"/>
          <w:szCs w:val="21"/>
          <w:highlight w:val="none"/>
        </w:rPr>
        <w:t>小数点后保留两位小数，第三位小数四舍五入。</w:t>
      </w:r>
      <w:r>
        <w:rPr>
          <w:rFonts w:hint="eastAsia" w:ascii="宋体" w:hAnsi="宋体" w:cs="宋体"/>
          <w:b/>
          <w:bCs/>
          <w:color w:val="auto"/>
          <w:szCs w:val="21"/>
          <w:highlight w:val="none"/>
          <w:u w:val="single"/>
        </w:rPr>
        <w:t>投标报价</w:t>
      </w:r>
      <w:r>
        <w:rPr>
          <w:rFonts w:hint="eastAsia" w:ascii="宋体" w:hAnsi="宋体" w:cs="宋体"/>
          <w:b/>
          <w:bCs/>
          <w:color w:val="auto"/>
          <w:szCs w:val="21"/>
          <w:highlight w:val="none"/>
          <w:u w:val="single"/>
          <w:lang w:val="en-US" w:eastAsia="zh-CN"/>
        </w:rPr>
        <w:t>不得超过最高投标限价</w:t>
      </w:r>
      <w:r>
        <w:rPr>
          <w:rFonts w:hint="eastAsia"/>
          <w:b/>
          <w:bCs/>
          <w:color w:val="auto"/>
          <w:highlight w:val="none"/>
        </w:rPr>
        <w:t>。</w:t>
      </w:r>
    </w:p>
    <w:p>
      <w:pPr>
        <w:spacing w:line="480" w:lineRule="exact"/>
        <w:ind w:firstLine="2880" w:firstLineChars="1200"/>
        <w:jc w:val="left"/>
        <w:rPr>
          <w:rFonts w:hint="eastAsia" w:ascii="宋体" w:hAnsi="宋体" w:cs="宋体"/>
          <w:color w:val="auto"/>
          <w:sz w:val="24"/>
          <w:szCs w:val="24"/>
          <w:highlight w:val="none"/>
        </w:rPr>
      </w:pPr>
    </w:p>
    <w:p>
      <w:pPr>
        <w:spacing w:line="480" w:lineRule="exact"/>
        <w:ind w:firstLine="2880" w:firstLineChars="1200"/>
        <w:jc w:val="left"/>
        <w:rPr>
          <w:rFonts w:hint="eastAsia" w:ascii="宋体" w:hAnsi="宋体" w:cs="宋体"/>
          <w:color w:val="auto"/>
          <w:sz w:val="24"/>
          <w:szCs w:val="24"/>
          <w:highlight w:val="none"/>
        </w:rPr>
      </w:pPr>
    </w:p>
    <w:p>
      <w:pPr>
        <w:spacing w:line="480" w:lineRule="exact"/>
        <w:ind w:firstLine="2880" w:firstLineChars="1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投标人：（盖单位章） </w:t>
      </w:r>
    </w:p>
    <w:p>
      <w:pPr>
        <w:tabs>
          <w:tab w:val="left" w:pos="9333"/>
        </w:tabs>
        <w:spacing w:line="480" w:lineRule="exact"/>
        <w:ind w:right="178" w:rightChars="85" w:firstLine="2880" w:firstLineChars="1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 （签字或盖章）   </w:t>
      </w:r>
    </w:p>
    <w:p>
      <w:pPr>
        <w:spacing w:line="440" w:lineRule="exact"/>
        <w:ind w:firstLine="2880" w:firstLineChars="1200"/>
        <w:rPr>
          <w:rFonts w:ascii="宋体" w:hAnsi="宋体"/>
          <w:color w:val="auto"/>
          <w:sz w:val="20"/>
          <w:highlight w:val="none"/>
        </w:rPr>
      </w:pPr>
      <w:r>
        <w:rPr>
          <w:rFonts w:hint="eastAsia" w:ascii="宋体" w:hAnsi="宋体" w:cs="宋体"/>
          <w:color w:val="auto"/>
          <w:sz w:val="24"/>
          <w:szCs w:val="24"/>
          <w:highlight w:val="none"/>
        </w:rPr>
        <w:t>日期：  年  月  日</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br w:type="page"/>
      </w:r>
    </w:p>
    <w:bookmarkEnd w:id="379"/>
    <w:bookmarkEnd w:id="380"/>
    <w:bookmarkEnd w:id="381"/>
    <w:bookmarkEnd w:id="382"/>
    <w:bookmarkEnd w:id="383"/>
    <w:bookmarkEnd w:id="384"/>
    <w:bookmarkEnd w:id="385"/>
    <w:bookmarkEnd w:id="386"/>
    <w:bookmarkEnd w:id="387"/>
    <w:bookmarkEnd w:id="388"/>
    <w:bookmarkEnd w:id="389"/>
    <w:p>
      <w:pPr>
        <w:spacing w:line="600" w:lineRule="auto"/>
        <w:jc w:val="left"/>
        <w:outlineLvl w:val="1"/>
        <w:rPr>
          <w:rFonts w:ascii="宋体" w:hAnsi="宋体"/>
          <w:b/>
          <w:bCs/>
          <w:color w:val="auto"/>
          <w:kern w:val="0"/>
          <w:sz w:val="30"/>
          <w:szCs w:val="30"/>
          <w:highlight w:val="none"/>
        </w:rPr>
      </w:pPr>
      <w:bookmarkStart w:id="398" w:name="_Toc529196603"/>
      <w:bookmarkStart w:id="399" w:name="_Toc535938754"/>
      <w:bookmarkStart w:id="400" w:name="_Toc530470646"/>
      <w:bookmarkStart w:id="401" w:name="_Toc492300723"/>
      <w:bookmarkStart w:id="402" w:name="_Toc515450416"/>
      <w:bookmarkStart w:id="403" w:name="_Toc516145374"/>
      <w:r>
        <w:rPr>
          <w:rFonts w:hint="eastAsia" w:ascii="宋体" w:hAnsi="宋体"/>
          <w:b/>
          <w:bCs/>
          <w:color w:val="auto"/>
          <w:kern w:val="0"/>
          <w:sz w:val="30"/>
          <w:szCs w:val="30"/>
          <w:highlight w:val="none"/>
        </w:rPr>
        <w:t>二、法定代表人身份证明或授权委托书（格式可自定）</w:t>
      </w:r>
      <w:bookmarkEnd w:id="398"/>
      <w:bookmarkEnd w:id="399"/>
      <w:bookmarkEnd w:id="400"/>
    </w:p>
    <w:p>
      <w:pPr>
        <w:spacing w:line="440" w:lineRule="exact"/>
        <w:jc w:val="center"/>
        <w:rPr>
          <w:rFonts w:ascii="宋体" w:hAnsi="宋体"/>
          <w:color w:val="auto"/>
          <w:highlight w:val="none"/>
        </w:rPr>
      </w:pPr>
      <w:r>
        <w:rPr>
          <w:rFonts w:hint="eastAsia" w:ascii="宋体" w:hAnsi="宋体"/>
          <w:b/>
          <w:color w:val="auto"/>
          <w:sz w:val="32"/>
          <w:szCs w:val="32"/>
          <w:highlight w:val="none"/>
        </w:rPr>
        <w:t>法定代表人身份证明</w:t>
      </w:r>
      <w:bookmarkEnd w:id="401"/>
      <w:bookmarkEnd w:id="402"/>
      <w:bookmarkEnd w:id="403"/>
    </w:p>
    <w:p>
      <w:pPr>
        <w:spacing w:line="440" w:lineRule="exact"/>
        <w:rPr>
          <w:rFonts w:ascii="宋体" w:hAnsi="宋体"/>
          <w:color w:val="auto"/>
          <w:highlight w:val="none"/>
        </w:rPr>
      </w:pPr>
      <w:r>
        <w:rPr>
          <w:rFonts w:ascii="宋体" w:hAnsi="宋体"/>
          <w:color w:val="auto"/>
          <w:highlight w:val="none"/>
        </w:rPr>
        <w:t>投标人名称：</w:t>
      </w:r>
      <w:r>
        <w:rPr>
          <w:rFonts w:hint="eastAsia" w:ascii="宋体" w:hAnsi="宋体"/>
          <w:color w:val="auto"/>
          <w:szCs w:val="21"/>
          <w:highlight w:val="none"/>
          <w:u w:val="single"/>
        </w:rPr>
        <w:t xml:space="preserve">                                </w:t>
      </w:r>
    </w:p>
    <w:p>
      <w:pPr>
        <w:spacing w:line="440" w:lineRule="exact"/>
        <w:rPr>
          <w:rFonts w:ascii="宋体" w:hAnsi="宋体"/>
          <w:color w:val="auto"/>
          <w:highlight w:val="none"/>
        </w:rPr>
      </w:pPr>
      <w:r>
        <w:rPr>
          <w:rFonts w:ascii="宋体" w:hAnsi="宋体"/>
          <w:color w:val="auto"/>
          <w:highlight w:val="none"/>
        </w:rPr>
        <w:t>姓名：</w:t>
      </w:r>
      <w:r>
        <w:rPr>
          <w:rFonts w:hint="eastAsia" w:ascii="宋体" w:hAnsi="宋体"/>
          <w:color w:val="auto"/>
          <w:szCs w:val="21"/>
          <w:highlight w:val="none"/>
          <w:u w:val="single"/>
        </w:rPr>
        <w:t xml:space="preserve">             </w:t>
      </w:r>
      <w:r>
        <w:rPr>
          <w:rFonts w:ascii="宋体" w:hAnsi="宋体"/>
          <w:color w:val="auto"/>
          <w:highlight w:val="none"/>
        </w:rPr>
        <w:t>性别：</w:t>
      </w:r>
      <w:bookmarkStart w:id="404" w:name="_Toc352691662"/>
      <w:bookmarkStart w:id="405" w:name="_Toc27897"/>
      <w:bookmarkStart w:id="406" w:name="_Toc369531698"/>
      <w:r>
        <w:rPr>
          <w:rFonts w:hint="eastAsia" w:ascii="宋体" w:hAnsi="宋体"/>
          <w:color w:val="auto"/>
          <w:szCs w:val="21"/>
          <w:highlight w:val="none"/>
          <w:u w:val="single"/>
        </w:rPr>
        <w:t xml:space="preserve">             </w:t>
      </w:r>
      <w:r>
        <w:rPr>
          <w:rFonts w:ascii="宋体" w:hAnsi="宋体"/>
          <w:color w:val="auto"/>
          <w:highlight w:val="none"/>
        </w:rPr>
        <w:t>年</w:t>
      </w:r>
      <w:bookmarkEnd w:id="404"/>
      <w:bookmarkEnd w:id="405"/>
      <w:bookmarkEnd w:id="406"/>
      <w:r>
        <w:rPr>
          <w:rFonts w:ascii="宋体" w:hAnsi="宋体"/>
          <w:color w:val="auto"/>
          <w:highlight w:val="none"/>
        </w:rPr>
        <w:t>龄</w:t>
      </w:r>
      <w:bookmarkStart w:id="407" w:name="_Toc361508754"/>
      <w:bookmarkStart w:id="408" w:name="_Toc247527829"/>
      <w:bookmarkStart w:id="409" w:name="_Toc300835211"/>
      <w:bookmarkStart w:id="410" w:name="_Toc152042578"/>
      <w:bookmarkStart w:id="411" w:name="_Toc144974858"/>
      <w:bookmarkStart w:id="412" w:name="_Toc247514248"/>
      <w:bookmarkStart w:id="413" w:name="_Toc152045789"/>
      <w:bookmarkStart w:id="414" w:name="_Toc352691663"/>
      <w:bookmarkStart w:id="415" w:name="_Toc15573"/>
      <w:bookmarkStart w:id="416" w:name="_Toc369531699"/>
      <w:bookmarkStart w:id="417" w:name="_Toc384308377"/>
      <w:r>
        <w:rPr>
          <w:rFonts w:ascii="宋体" w:hAnsi="宋体"/>
          <w:color w:val="auto"/>
          <w:highlight w:val="none"/>
        </w:rPr>
        <w:t>：</w:t>
      </w:r>
      <w:bookmarkEnd w:id="407"/>
      <w:bookmarkEnd w:id="408"/>
      <w:bookmarkEnd w:id="409"/>
      <w:bookmarkEnd w:id="410"/>
      <w:bookmarkEnd w:id="411"/>
      <w:bookmarkEnd w:id="412"/>
      <w:bookmarkEnd w:id="413"/>
      <w:bookmarkEnd w:id="414"/>
      <w:bookmarkEnd w:id="415"/>
      <w:bookmarkEnd w:id="416"/>
      <w:bookmarkEnd w:id="417"/>
      <w:r>
        <w:rPr>
          <w:rFonts w:hint="eastAsia" w:ascii="宋体" w:hAnsi="宋体"/>
          <w:color w:val="auto"/>
          <w:szCs w:val="21"/>
          <w:highlight w:val="none"/>
          <w:u w:val="single"/>
        </w:rPr>
        <w:t xml:space="preserve">             </w:t>
      </w:r>
      <w:r>
        <w:rPr>
          <w:rFonts w:ascii="宋体" w:hAnsi="宋体"/>
          <w:color w:val="auto"/>
          <w:highlight w:val="none"/>
        </w:rPr>
        <w:t>职务：</w:t>
      </w:r>
      <w:r>
        <w:rPr>
          <w:rFonts w:hint="eastAsia" w:ascii="宋体" w:hAnsi="宋体"/>
          <w:color w:val="auto"/>
          <w:szCs w:val="21"/>
          <w:highlight w:val="none"/>
          <w:u w:val="single"/>
        </w:rPr>
        <w:t xml:space="preserve">             </w:t>
      </w:r>
    </w:p>
    <w:p>
      <w:pPr>
        <w:spacing w:line="440" w:lineRule="exact"/>
        <w:rPr>
          <w:rFonts w:ascii="宋体" w:hAnsi="宋体"/>
          <w:color w:val="auto"/>
          <w:highlight w:val="none"/>
        </w:rPr>
      </w:pPr>
      <w:r>
        <w:rPr>
          <w:rFonts w:ascii="宋体" w:hAnsi="宋体"/>
          <w:color w:val="auto"/>
          <w:highlight w:val="none"/>
        </w:rPr>
        <w:t>系</w:t>
      </w:r>
      <w:r>
        <w:rPr>
          <w:rFonts w:hint="eastAsia" w:ascii="宋体" w:hAnsi="宋体"/>
          <w:color w:val="auto"/>
          <w:szCs w:val="21"/>
          <w:highlight w:val="none"/>
          <w:u w:val="single"/>
        </w:rPr>
        <w:t xml:space="preserve">                               </w:t>
      </w:r>
      <w:r>
        <w:rPr>
          <w:rFonts w:ascii="宋体" w:hAnsi="宋体"/>
          <w:color w:val="auto"/>
          <w:highlight w:val="none"/>
        </w:rPr>
        <w:t>（投标人名称）的法定代表人。</w:t>
      </w:r>
    </w:p>
    <w:p>
      <w:pPr>
        <w:spacing w:line="440" w:lineRule="exact"/>
        <w:ind w:firstLine="420" w:firstLineChars="200"/>
        <w:rPr>
          <w:rFonts w:ascii="宋体" w:hAnsi="宋体"/>
          <w:color w:val="auto"/>
          <w:highlight w:val="none"/>
        </w:rPr>
      </w:pPr>
      <w:r>
        <w:rPr>
          <w:rFonts w:ascii="宋体" w:hAnsi="宋体"/>
          <w:color w:val="auto"/>
          <w:highlight w:val="none"/>
        </w:rPr>
        <w:t>特此证明。</w:t>
      </w:r>
      <w:bookmarkStart w:id="438" w:name="_GoBack"/>
      <w:bookmarkEnd w:id="438"/>
    </w:p>
    <w:p>
      <w:pPr>
        <w:spacing w:line="440" w:lineRule="exact"/>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附：法定代表人身份证扫描件。</w:t>
      </w:r>
    </w:p>
    <w:p>
      <w:pPr>
        <w:spacing w:line="440" w:lineRule="exact"/>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注：本身份证明需由投标人加盖单位公章。</w:t>
      </w:r>
    </w:p>
    <w:p>
      <w:pPr>
        <w:spacing w:line="440" w:lineRule="exact"/>
        <w:rPr>
          <w:rFonts w:ascii="宋体" w:hAnsi="宋体"/>
          <w:color w:val="auto"/>
          <w:highlight w:val="none"/>
        </w:rPr>
      </w:pPr>
    </w:p>
    <w:p>
      <w:pPr>
        <w:spacing w:line="440" w:lineRule="exact"/>
        <w:rPr>
          <w:rFonts w:ascii="宋体" w:hAnsi="宋体"/>
          <w:color w:val="auto"/>
          <w:highlight w:val="none"/>
        </w:rPr>
      </w:pPr>
    </w:p>
    <w:p>
      <w:pPr>
        <w:spacing w:line="440" w:lineRule="exact"/>
        <w:jc w:val="center"/>
        <w:rPr>
          <w:rFonts w:ascii="宋体" w:hAnsi="宋体"/>
          <w:color w:val="auto"/>
          <w:highlight w:val="none"/>
        </w:rPr>
      </w:pPr>
      <w:r>
        <w:rPr>
          <w:rFonts w:hint="eastAsia" w:ascii="宋体" w:hAnsi="宋体"/>
          <w:color w:val="auto"/>
          <w:highlight w:val="none"/>
        </w:rPr>
        <w:t xml:space="preserve">                    </w:t>
      </w:r>
      <w:bookmarkStart w:id="418" w:name="_Toc21557"/>
      <w:bookmarkStart w:id="419" w:name="_Toc17279"/>
      <w:r>
        <w:rPr>
          <w:rFonts w:ascii="宋体" w:hAnsi="宋体"/>
          <w:color w:val="auto"/>
          <w:highlight w:val="none"/>
        </w:rPr>
        <w:t>投标人：</w:t>
      </w:r>
      <w:r>
        <w:rPr>
          <w:rFonts w:ascii="宋体" w:hAnsi="宋体"/>
          <w:color w:val="auto"/>
          <w:szCs w:val="21"/>
          <w:highlight w:val="none"/>
          <w:u w:val="single"/>
        </w:rPr>
        <w:tab/>
      </w:r>
      <w:r>
        <w:rPr>
          <w:rFonts w:hint="eastAsia" w:ascii="宋体" w:hAnsi="宋体"/>
          <w:color w:val="auto"/>
          <w:szCs w:val="21"/>
          <w:highlight w:val="none"/>
          <w:u w:val="single"/>
        </w:rPr>
        <w:t xml:space="preserve">                        </w:t>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bookmarkEnd w:id="418"/>
      <w:bookmarkEnd w:id="419"/>
    </w:p>
    <w:p>
      <w:pPr>
        <w:spacing w:line="440" w:lineRule="exact"/>
        <w:rPr>
          <w:rFonts w:ascii="宋体" w:hAnsi="宋体"/>
          <w:color w:val="auto"/>
          <w:highlight w:val="none"/>
        </w:rPr>
      </w:pPr>
    </w:p>
    <w:p>
      <w:pPr>
        <w:spacing w:line="440" w:lineRule="exact"/>
        <w:ind w:firstLine="5040" w:firstLineChars="2400"/>
        <w:rPr>
          <w:rFonts w:ascii="宋体" w:hAnsi="宋体"/>
          <w:color w:val="auto"/>
          <w:highlight w:val="none"/>
        </w:rPr>
      </w:pPr>
      <w:r>
        <w:rPr>
          <w:rFonts w:ascii="宋体" w:hAnsi="宋体"/>
          <w:color w:val="auto"/>
          <w:highlight w:val="none"/>
        </w:rPr>
        <w:t>年</w:t>
      </w:r>
      <w:r>
        <w:rPr>
          <w:rFonts w:hint="eastAsia" w:ascii="宋体" w:hAnsi="宋体"/>
          <w:color w:val="auto"/>
          <w:highlight w:val="none"/>
        </w:rPr>
        <w:t xml:space="preserve">   </w:t>
      </w:r>
      <w:r>
        <w:rPr>
          <w:rFonts w:ascii="宋体" w:hAnsi="宋体"/>
          <w:color w:val="auto"/>
          <w:highlight w:val="none"/>
        </w:rPr>
        <w:t>月</w:t>
      </w:r>
      <w:r>
        <w:rPr>
          <w:rFonts w:hint="eastAsia" w:ascii="宋体" w:hAnsi="宋体"/>
          <w:color w:val="auto"/>
          <w:highlight w:val="none"/>
        </w:rPr>
        <w:t xml:space="preserve">   </w:t>
      </w:r>
      <w:r>
        <w:rPr>
          <w:rFonts w:ascii="宋体" w:hAnsi="宋体"/>
          <w:color w:val="auto"/>
          <w:highlight w:val="none"/>
        </w:rPr>
        <w:t>日</w:t>
      </w:r>
    </w:p>
    <w:p>
      <w:pPr>
        <w:spacing w:line="440" w:lineRule="exact"/>
        <w:rPr>
          <w:rFonts w:ascii="宋体" w:hAnsi="宋体"/>
          <w:color w:val="auto"/>
          <w:sz w:val="20"/>
          <w:highlight w:val="none"/>
        </w:rPr>
      </w:pPr>
    </w:p>
    <w:p>
      <w:pPr>
        <w:rPr>
          <w:rFonts w:hint="eastAsia" w:ascii="宋体" w:hAnsi="宋体"/>
          <w:b/>
          <w:color w:val="auto"/>
          <w:sz w:val="32"/>
          <w:szCs w:val="32"/>
          <w:highlight w:val="none"/>
        </w:rPr>
      </w:pPr>
      <w:r>
        <w:rPr>
          <w:rFonts w:ascii="宋体" w:hAnsi="宋体"/>
          <w:color w:val="auto"/>
          <w:sz w:val="20"/>
          <w:highlight w:val="none"/>
        </w:rPr>
        <w:br w:type="page"/>
      </w:r>
    </w:p>
    <w:p>
      <w:pPr>
        <w:spacing w:line="440" w:lineRule="exact"/>
        <w:jc w:val="center"/>
        <w:rPr>
          <w:rFonts w:ascii="宋体" w:hAnsi="宋体"/>
          <w:color w:val="auto"/>
          <w:highlight w:val="none"/>
        </w:rPr>
      </w:pPr>
      <w:r>
        <w:rPr>
          <w:rFonts w:hint="eastAsia" w:ascii="宋体" w:hAnsi="宋体"/>
          <w:b/>
          <w:color w:val="auto"/>
          <w:sz w:val="32"/>
          <w:szCs w:val="32"/>
          <w:highlight w:val="none"/>
        </w:rPr>
        <w:t>授权委托书</w:t>
      </w:r>
    </w:p>
    <w:p>
      <w:pPr>
        <w:topLinePunct/>
        <w:spacing w:line="440" w:lineRule="exact"/>
        <w:ind w:firstLine="420" w:firstLineChars="200"/>
        <w:rPr>
          <w:rFonts w:ascii="宋体" w:hAnsi="宋体"/>
          <w:color w:val="auto"/>
          <w:highlight w:val="none"/>
        </w:rPr>
      </w:pPr>
    </w:p>
    <w:p>
      <w:pPr>
        <w:topLinePunct/>
        <w:spacing w:line="440" w:lineRule="exact"/>
        <w:ind w:firstLine="420" w:firstLineChars="200"/>
        <w:rPr>
          <w:rFonts w:ascii="宋体" w:hAnsi="宋体"/>
          <w:color w:val="auto"/>
          <w:highlight w:val="none"/>
        </w:rPr>
      </w:pPr>
      <w:r>
        <w:rPr>
          <w:rFonts w:ascii="宋体" w:hAnsi="宋体"/>
          <w:color w:val="auto"/>
          <w:highlight w:val="none"/>
        </w:rPr>
        <w:t>本人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（姓名）系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（投标人名称）的法定代表人，现委托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ascii="宋体" w:hAnsi="宋体"/>
          <w:color w:val="auto"/>
          <w:highlight w:val="none"/>
        </w:rPr>
        <w:t>投标文件、签订合同和处理有关事宜，其法律后果由我方承担。</w:t>
      </w:r>
    </w:p>
    <w:p>
      <w:pPr>
        <w:spacing w:line="440" w:lineRule="exact"/>
        <w:rPr>
          <w:rFonts w:ascii="宋体" w:hAnsi="宋体"/>
          <w:color w:val="auto"/>
          <w:highlight w:val="none"/>
        </w:rPr>
      </w:pPr>
      <w:r>
        <w:rPr>
          <w:rFonts w:ascii="宋体" w:hAnsi="宋体"/>
          <w:color w:val="auto"/>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 xml:space="preserve">0日历天       </w:t>
      </w:r>
      <w:r>
        <w:rPr>
          <w:rFonts w:ascii="宋体" w:hAnsi="宋体"/>
          <w:color w:val="auto"/>
          <w:highlight w:val="none"/>
        </w:rPr>
        <w:t>。</w:t>
      </w:r>
    </w:p>
    <w:p>
      <w:pPr>
        <w:spacing w:line="440" w:lineRule="exact"/>
        <w:ind w:firstLine="420" w:firstLineChars="200"/>
        <w:rPr>
          <w:rFonts w:ascii="宋体" w:hAnsi="宋体"/>
          <w:color w:val="auto"/>
          <w:highlight w:val="none"/>
        </w:rPr>
      </w:pPr>
      <w:r>
        <w:rPr>
          <w:rFonts w:ascii="宋体" w:hAnsi="宋体"/>
          <w:color w:val="auto"/>
          <w:highlight w:val="none"/>
        </w:rPr>
        <w:t>代理人无转委托权。</w:t>
      </w:r>
    </w:p>
    <w:p>
      <w:pPr>
        <w:spacing w:line="440" w:lineRule="exact"/>
        <w:ind w:firstLine="420" w:firstLineChars="200"/>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附：法定代表人身份证扫描件及委托代理人身份证扫描件</w:t>
      </w:r>
    </w:p>
    <w:p>
      <w:pPr>
        <w:spacing w:line="440" w:lineRule="exact"/>
        <w:rPr>
          <w:rFonts w:ascii="宋体" w:hAnsi="宋体"/>
          <w:color w:val="auto"/>
          <w:highlight w:val="none"/>
        </w:rPr>
      </w:pPr>
    </w:p>
    <w:p>
      <w:pPr>
        <w:spacing w:line="440" w:lineRule="exact"/>
        <w:rPr>
          <w:rFonts w:ascii="宋体" w:hAnsi="宋体"/>
          <w:color w:val="auto"/>
          <w:highlight w:val="none"/>
        </w:rPr>
      </w:pPr>
      <w:r>
        <w:rPr>
          <w:rFonts w:ascii="宋体" w:hAnsi="宋体"/>
          <w:color w:val="auto"/>
          <w:highlight w:val="none"/>
        </w:rPr>
        <w:t>注：本授权委托书需由投标人加盖单位公章并由其法定代表人和委托代理人签字</w:t>
      </w:r>
      <w:r>
        <w:rPr>
          <w:rFonts w:hint="eastAsia" w:ascii="宋体" w:hAnsi="宋体"/>
          <w:color w:val="auto"/>
          <w:highlight w:val="none"/>
        </w:rPr>
        <w:t>或盖章</w:t>
      </w:r>
      <w:r>
        <w:rPr>
          <w:rFonts w:ascii="宋体" w:hAnsi="宋体"/>
          <w:color w:val="auto"/>
          <w:highlight w:val="none"/>
        </w:rPr>
        <w:t>。</w:t>
      </w:r>
    </w:p>
    <w:p>
      <w:pPr>
        <w:spacing w:line="440" w:lineRule="exact"/>
        <w:rPr>
          <w:rFonts w:ascii="宋体" w:hAnsi="宋体"/>
          <w:color w:val="auto"/>
          <w:highlight w:val="none"/>
        </w:rPr>
      </w:pPr>
    </w:p>
    <w:p>
      <w:pPr>
        <w:spacing w:line="440" w:lineRule="exact"/>
        <w:ind w:firstLine="2692" w:firstLineChars="1282"/>
        <w:rPr>
          <w:rFonts w:ascii="宋体" w:hAnsi="宋体"/>
          <w:color w:val="auto"/>
          <w:highlight w:val="none"/>
        </w:rPr>
      </w:pPr>
      <w:r>
        <w:rPr>
          <w:rFonts w:ascii="宋体" w:hAnsi="宋体"/>
          <w:color w:val="auto"/>
          <w:highlight w:val="none"/>
        </w:rPr>
        <w:t>投标人：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章</w:t>
      </w:r>
      <w:r>
        <w:rPr>
          <w:rFonts w:ascii="宋体" w:hAnsi="宋体"/>
          <w:color w:val="auto"/>
          <w:highlight w:val="none"/>
        </w:rPr>
        <w:t>）</w:t>
      </w:r>
    </w:p>
    <w:p>
      <w:pPr>
        <w:spacing w:line="440" w:lineRule="exact"/>
        <w:ind w:firstLine="2692" w:firstLineChars="1282"/>
        <w:rPr>
          <w:rFonts w:ascii="宋体" w:hAnsi="宋体"/>
          <w:color w:val="auto"/>
          <w:highlight w:val="none"/>
        </w:rPr>
      </w:pPr>
    </w:p>
    <w:p>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pPr>
        <w:spacing w:line="440" w:lineRule="exact"/>
        <w:ind w:firstLine="2692" w:firstLineChars="1282"/>
        <w:rPr>
          <w:rFonts w:ascii="宋体" w:hAnsi="宋体"/>
          <w:color w:val="auto"/>
          <w:highlight w:val="none"/>
        </w:rPr>
      </w:pP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pPr>
        <w:spacing w:line="440" w:lineRule="exact"/>
        <w:ind w:firstLine="2692" w:firstLineChars="1282"/>
        <w:rPr>
          <w:rFonts w:ascii="宋体" w:hAnsi="宋体"/>
          <w:color w:val="auto"/>
          <w:highlight w:val="none"/>
        </w:rPr>
      </w:pPr>
    </w:p>
    <w:p>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highlight w:val="none"/>
        </w:rPr>
        <w:t>（签字</w:t>
      </w:r>
      <w:r>
        <w:rPr>
          <w:rFonts w:hint="eastAsia" w:ascii="宋体" w:hAnsi="宋体"/>
          <w:color w:val="auto"/>
          <w:highlight w:val="none"/>
        </w:rPr>
        <w:t>或盖章</w:t>
      </w:r>
      <w:r>
        <w:rPr>
          <w:rFonts w:ascii="宋体" w:hAnsi="宋体"/>
          <w:color w:val="auto"/>
          <w:highlight w:val="none"/>
        </w:rPr>
        <w:t>）</w:t>
      </w:r>
    </w:p>
    <w:p>
      <w:pPr>
        <w:spacing w:line="440" w:lineRule="exact"/>
        <w:ind w:firstLine="2692" w:firstLineChars="1282"/>
        <w:rPr>
          <w:rFonts w:ascii="宋体" w:hAnsi="宋体"/>
          <w:color w:val="auto"/>
          <w:highlight w:val="none"/>
        </w:rPr>
      </w:pPr>
    </w:p>
    <w:p>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p>
    <w:p>
      <w:pPr>
        <w:spacing w:line="440" w:lineRule="exact"/>
        <w:ind w:firstLine="2692" w:firstLineChars="1282"/>
        <w:rPr>
          <w:rFonts w:ascii="宋体" w:hAnsi="宋体"/>
          <w:color w:val="auto"/>
          <w:highlight w:val="none"/>
        </w:rPr>
      </w:pPr>
    </w:p>
    <w:p>
      <w:pPr>
        <w:spacing w:line="440" w:lineRule="exact"/>
        <w:ind w:firstLine="2692" w:firstLineChars="1282"/>
        <w:rPr>
          <w:rFonts w:ascii="宋体" w:hAnsi="宋体"/>
          <w:color w:val="auto"/>
          <w:highlight w:val="none"/>
        </w:rPr>
      </w:pPr>
    </w:p>
    <w:p>
      <w:pPr>
        <w:spacing w:line="440" w:lineRule="exact"/>
        <w:ind w:firstLine="4057" w:firstLineChars="1932"/>
        <w:jc w:val="right"/>
        <w:rPr>
          <w:rFonts w:ascii="宋体" w:hAnsi="宋体"/>
          <w:color w:val="auto"/>
          <w:highlight w:val="none"/>
        </w:rPr>
      </w:pPr>
      <w:r>
        <w:rPr>
          <w:rFonts w:ascii="宋体" w:hAnsi="宋体"/>
          <w:color w:val="auto"/>
          <w:highlight w:val="none"/>
        </w:rPr>
        <w:t>年</w:t>
      </w:r>
      <w:r>
        <w:rPr>
          <w:rFonts w:hint="eastAsia" w:ascii="宋体" w:hAnsi="宋体"/>
          <w:color w:val="auto"/>
          <w:highlight w:val="none"/>
        </w:rPr>
        <w:t xml:space="preserve">   </w:t>
      </w:r>
      <w:r>
        <w:rPr>
          <w:rFonts w:ascii="宋体" w:hAnsi="宋体"/>
          <w:color w:val="auto"/>
          <w:highlight w:val="none"/>
        </w:rPr>
        <w:t>月</w:t>
      </w:r>
      <w:r>
        <w:rPr>
          <w:rFonts w:hint="eastAsia" w:ascii="宋体" w:hAnsi="宋体"/>
          <w:color w:val="auto"/>
          <w:highlight w:val="none"/>
        </w:rPr>
        <w:t xml:space="preserve">   </w:t>
      </w:r>
      <w:r>
        <w:rPr>
          <w:rFonts w:ascii="宋体" w:hAnsi="宋体"/>
          <w:color w:val="auto"/>
          <w:highlight w:val="none"/>
        </w:rPr>
        <w:t>日</w:t>
      </w:r>
    </w:p>
    <w:p>
      <w:pPr>
        <w:spacing w:line="600" w:lineRule="auto"/>
        <w:jc w:val="left"/>
        <w:outlineLvl w:val="1"/>
        <w:rPr>
          <w:rFonts w:hint="eastAsia" w:ascii="宋体" w:hAnsi="宋体"/>
          <w:b/>
          <w:bCs/>
          <w:color w:val="auto"/>
          <w:kern w:val="0"/>
          <w:sz w:val="30"/>
          <w:szCs w:val="30"/>
          <w:highlight w:val="none"/>
        </w:rPr>
      </w:pPr>
      <w:r>
        <w:rPr>
          <w:rFonts w:ascii="宋体" w:hAnsi="宋体"/>
          <w:color w:val="auto"/>
          <w:highlight w:val="none"/>
        </w:rPr>
        <w:br w:type="page"/>
      </w:r>
      <w:bookmarkStart w:id="420" w:name="_Toc516145377"/>
      <w:bookmarkStart w:id="421" w:name="_Toc30672"/>
      <w:bookmarkStart w:id="422" w:name="_Toc515205280"/>
      <w:bookmarkStart w:id="423" w:name="_Toc8916"/>
      <w:bookmarkStart w:id="424" w:name="_Toc492300728"/>
      <w:bookmarkStart w:id="425" w:name="_Toc361508760"/>
      <w:bookmarkStart w:id="426" w:name="_Toc515450421"/>
      <w:r>
        <w:rPr>
          <w:rFonts w:hint="eastAsia" w:ascii="宋体" w:hAnsi="宋体"/>
          <w:b/>
          <w:bCs/>
          <w:color w:val="auto"/>
          <w:kern w:val="0"/>
          <w:sz w:val="30"/>
          <w:szCs w:val="30"/>
          <w:highlight w:val="none"/>
        </w:rPr>
        <w:t>三、</w:t>
      </w:r>
      <w:bookmarkEnd w:id="420"/>
      <w:bookmarkEnd w:id="421"/>
      <w:bookmarkEnd w:id="422"/>
      <w:bookmarkEnd w:id="423"/>
      <w:r>
        <w:rPr>
          <w:rFonts w:hint="eastAsia" w:ascii="宋体" w:hAnsi="宋体"/>
          <w:b/>
          <w:bCs/>
          <w:color w:val="auto"/>
          <w:kern w:val="0"/>
          <w:sz w:val="30"/>
          <w:szCs w:val="30"/>
          <w:highlight w:val="none"/>
        </w:rPr>
        <w:t>监理报酬清单（格式可自定）</w:t>
      </w:r>
    </w:p>
    <w:p>
      <w:pPr>
        <w:spacing w:before="240" w:line="360" w:lineRule="auto"/>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监理费用</w:t>
      </w:r>
      <w:r>
        <w:rPr>
          <w:rFonts w:hint="eastAsia" w:ascii="宋体" w:hAnsi="宋体"/>
          <w:b/>
          <w:color w:val="auto"/>
          <w:sz w:val="28"/>
          <w:szCs w:val="28"/>
          <w:highlight w:val="none"/>
          <w:lang w:val="en-US" w:eastAsia="zh-CN"/>
        </w:rPr>
        <w:t>报价表</w:t>
      </w:r>
    </w:p>
    <w:p>
      <w:pPr>
        <w:bidi w:val="0"/>
        <w:rPr>
          <w:rFonts w:hint="default"/>
          <w:color w:val="auto"/>
          <w:highlight w:val="none"/>
          <w:lang w:val="en-US" w:eastAsia="zh-CN"/>
        </w:rPr>
      </w:pPr>
    </w:p>
    <w:tbl>
      <w:tblPr>
        <w:tblStyle w:val="46"/>
        <w:tblW w:w="5062" w:type="pct"/>
        <w:jc w:val="center"/>
        <w:tblLayout w:type="fixed"/>
        <w:tblCellMar>
          <w:top w:w="0" w:type="dxa"/>
          <w:left w:w="0" w:type="dxa"/>
          <w:bottom w:w="0" w:type="dxa"/>
          <w:right w:w="0" w:type="dxa"/>
        </w:tblCellMar>
      </w:tblPr>
      <w:tblGrid>
        <w:gridCol w:w="554"/>
        <w:gridCol w:w="1093"/>
        <w:gridCol w:w="1400"/>
        <w:gridCol w:w="960"/>
        <w:gridCol w:w="1226"/>
        <w:gridCol w:w="3745"/>
      </w:tblGrid>
      <w:tr>
        <w:tblPrEx>
          <w:tblCellMar>
            <w:top w:w="0" w:type="dxa"/>
            <w:left w:w="0" w:type="dxa"/>
            <w:bottom w:w="0" w:type="dxa"/>
            <w:right w:w="0" w:type="dxa"/>
          </w:tblCellMar>
        </w:tblPrEx>
        <w:trPr>
          <w:trHeight w:val="935" w:hRule="atLeast"/>
          <w:jc w:val="center"/>
        </w:trPr>
        <w:tc>
          <w:tcPr>
            <w:tcW w:w="30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序号</w:t>
            </w:r>
          </w:p>
        </w:tc>
        <w:tc>
          <w:tcPr>
            <w:tcW w:w="60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i w:val="0"/>
                <w:color w:val="auto"/>
                <w:sz w:val="21"/>
                <w:szCs w:val="21"/>
                <w:highlight w:val="none"/>
                <w:u w:val="none"/>
                <w:lang w:val="en-US" w:eastAsia="zh-CN"/>
              </w:rPr>
            </w:pPr>
            <w:r>
              <w:rPr>
                <w:rFonts w:hint="eastAsia" w:ascii="宋体" w:hAnsi="宋体" w:cs="宋体"/>
                <w:b/>
                <w:bCs/>
                <w:color w:val="auto"/>
                <w:sz w:val="22"/>
                <w:szCs w:val="22"/>
                <w:highlight w:val="none"/>
                <w:lang w:val="en-US" w:eastAsia="zh-CN"/>
              </w:rPr>
              <w:t>服务内容</w:t>
            </w:r>
          </w:p>
        </w:tc>
        <w:tc>
          <w:tcPr>
            <w:tcW w:w="77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highlight w:val="none"/>
              </w:rPr>
              <w:t>投标报价计算基数</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元</w:t>
            </w:r>
            <w:r>
              <w:rPr>
                <w:rFonts w:hint="eastAsia" w:ascii="宋体" w:hAnsi="宋体" w:cs="宋体"/>
                <w:b/>
                <w:bCs/>
                <w:color w:val="auto"/>
                <w:sz w:val="22"/>
                <w:highlight w:val="none"/>
                <w:lang w:eastAsia="zh-CN"/>
              </w:rPr>
              <w:t>）</w:t>
            </w:r>
          </w:p>
        </w:tc>
        <w:tc>
          <w:tcPr>
            <w:tcW w:w="534"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lang w:val="en-US" w:eastAsia="zh-CN"/>
              </w:rPr>
            </w:pPr>
            <w:r>
              <w:rPr>
                <w:rFonts w:hint="eastAsia" w:ascii="宋体" w:hAnsi="宋体" w:cs="宋体"/>
                <w:b/>
                <w:bCs/>
                <w:color w:val="auto"/>
                <w:sz w:val="22"/>
                <w:highlight w:val="none"/>
                <w:u w:val="none"/>
              </w:rPr>
              <w:t>费率（%）</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lang w:val="en-US" w:eastAsia="zh-CN"/>
              </w:rPr>
            </w:pPr>
            <w:r>
              <w:rPr>
                <w:rFonts w:hint="eastAsia" w:ascii="宋体" w:hAnsi="宋体" w:cs="宋体"/>
                <w:b/>
                <w:bCs/>
                <w:color w:val="auto"/>
                <w:sz w:val="22"/>
                <w:highlight w:val="none"/>
                <w:u w:val="none"/>
              </w:rPr>
              <w:t>报价（元）</w:t>
            </w:r>
          </w:p>
        </w:tc>
        <w:tc>
          <w:tcPr>
            <w:tcW w:w="2085"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highlight w:val="none"/>
                <w:u w:val="none"/>
              </w:rPr>
            </w:pPr>
            <w:r>
              <w:rPr>
                <w:rFonts w:hint="eastAsia" w:ascii="宋体" w:hAnsi="宋体" w:cs="宋体"/>
                <w:b/>
                <w:bCs/>
                <w:i w:val="0"/>
                <w:color w:val="auto"/>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2679" w:hRule="atLeast"/>
          <w:jc w:val="center"/>
        </w:trPr>
        <w:tc>
          <w:tcPr>
            <w:tcW w:w="3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cs="宋体"/>
                <w:b w:val="0"/>
                <w:bCs w:val="0"/>
                <w:i w:val="0"/>
                <w:color w:val="auto"/>
                <w:kern w:val="0"/>
                <w:sz w:val="22"/>
                <w:szCs w:val="22"/>
                <w:highlight w:val="none"/>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b w:val="0"/>
                <w:bCs w:val="0"/>
                <w:color w:val="auto"/>
                <w:sz w:val="22"/>
                <w:highlight w:val="none"/>
              </w:rPr>
              <w:t>环保工程</w:t>
            </w:r>
            <w:r>
              <w:rPr>
                <w:rFonts w:hint="eastAsia" w:ascii="宋体" w:hAnsi="宋体" w:eastAsia="宋体" w:cs="宋体"/>
                <w:b w:val="0"/>
                <w:bCs w:val="0"/>
                <w:color w:val="auto"/>
                <w:sz w:val="22"/>
                <w:szCs w:val="22"/>
                <w:highlight w:val="none"/>
                <w:lang w:val="en-US" w:eastAsia="zh-CN"/>
              </w:rPr>
              <w:t>监理</w:t>
            </w:r>
            <w:r>
              <w:rPr>
                <w:rFonts w:hint="eastAsia" w:ascii="宋体" w:hAnsi="宋体" w:cs="宋体"/>
                <w:b w:val="0"/>
                <w:bCs w:val="0"/>
                <w:color w:val="auto"/>
                <w:sz w:val="22"/>
                <w:szCs w:val="22"/>
                <w:highlight w:val="none"/>
                <w:lang w:val="en-US" w:eastAsia="zh-CN"/>
              </w:rPr>
              <w:t>费</w:t>
            </w:r>
          </w:p>
        </w:tc>
        <w:tc>
          <w:tcPr>
            <w:tcW w:w="7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auto"/>
                <w:sz w:val="22"/>
                <w:highlight w:val="none"/>
              </w:rPr>
            </w:pP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highlight w:val="none"/>
                <w:u w:val="none"/>
                <w:lang w:val="en-US" w:eastAsia="zh-CN"/>
              </w:rPr>
            </w:pPr>
          </w:p>
        </w:tc>
        <w:tc>
          <w:tcPr>
            <w:tcW w:w="20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22"/>
                <w:highlight w:val="none"/>
                <w:u w:val="none"/>
                <w:lang w:eastAsia="zh-CN"/>
              </w:rPr>
            </w:pPr>
            <w:r>
              <w:rPr>
                <w:rFonts w:hint="eastAsia" w:ascii="宋体" w:hAnsi="宋体" w:cs="宋体"/>
                <w:color w:val="auto"/>
                <w:sz w:val="22"/>
                <w:highlight w:val="none"/>
                <w:u w:val="none"/>
              </w:rPr>
              <w:t>1.含环境监测监理费、黑臭土辨识及满足环保验收相关检验检测费用</w:t>
            </w:r>
            <w:r>
              <w:rPr>
                <w:rFonts w:hint="eastAsia" w:ascii="宋体" w:hAnsi="宋体" w:cs="宋体"/>
                <w:color w:val="auto"/>
                <w:sz w:val="22"/>
                <w:highlight w:val="none"/>
                <w:u w:val="none"/>
                <w:lang w:eastAsia="zh-CN"/>
              </w:rPr>
              <w:t>。</w:t>
            </w:r>
          </w:p>
          <w:p>
            <w:pPr>
              <w:keepNext w:val="0"/>
              <w:keepLines w:val="0"/>
              <w:widowControl/>
              <w:suppressLineNumbers w:val="0"/>
              <w:jc w:val="left"/>
              <w:textAlignment w:val="center"/>
              <w:rPr>
                <w:rFonts w:hint="default" w:ascii="宋体" w:hAnsi="宋体" w:cs="宋体"/>
                <w:color w:val="auto"/>
                <w:sz w:val="22"/>
                <w:highlight w:val="none"/>
                <w:u w:val="none"/>
                <w:lang w:val="en-US" w:eastAsia="zh-CN"/>
              </w:rPr>
            </w:pPr>
            <w:r>
              <w:rPr>
                <w:rFonts w:hint="eastAsia" w:ascii="宋体" w:hAnsi="宋体" w:cs="宋体"/>
                <w:color w:val="auto"/>
                <w:sz w:val="22"/>
                <w:highlight w:val="none"/>
                <w:u w:val="none"/>
              </w:rPr>
              <w:t>2.</w:t>
            </w:r>
            <w:r>
              <w:rPr>
                <w:rFonts w:hint="default" w:ascii="宋体" w:hAnsi="宋体" w:cs="宋体"/>
                <w:color w:val="auto"/>
                <w:sz w:val="22"/>
                <w:highlight w:val="none"/>
                <w:u w:val="none"/>
                <w:lang w:val="en-US" w:eastAsia="zh-CN"/>
              </w:rPr>
              <w:t>投标人按“%”填报费率，投标报价金额=投标报价计算基数×费率。</w:t>
            </w:r>
          </w:p>
          <w:p>
            <w:pPr>
              <w:keepNext w:val="0"/>
              <w:keepLines w:val="0"/>
              <w:widowControl/>
              <w:suppressLineNumbers w:val="0"/>
              <w:jc w:val="left"/>
              <w:textAlignment w:val="center"/>
              <w:rPr>
                <w:rFonts w:hint="default"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3</w:t>
            </w:r>
            <w:r>
              <w:rPr>
                <w:rFonts w:hint="default" w:ascii="宋体" w:hAnsi="宋体" w:cs="宋体"/>
                <w:color w:val="auto"/>
                <w:sz w:val="22"/>
                <w:highlight w:val="none"/>
                <w:u w:val="none"/>
                <w:lang w:val="en-US" w:eastAsia="zh-CN"/>
              </w:rPr>
              <w:t>.计算基数为环境修复工程费用，暂估金额为120000000.00元，最终结算基数以环境修复工程经政府部门最终审定结算金额为准。</w:t>
            </w:r>
          </w:p>
        </w:tc>
      </w:tr>
      <w:tr>
        <w:tblPrEx>
          <w:tblCellMar>
            <w:top w:w="0" w:type="dxa"/>
            <w:left w:w="0" w:type="dxa"/>
            <w:bottom w:w="0" w:type="dxa"/>
            <w:right w:w="0" w:type="dxa"/>
          </w:tblCellMar>
        </w:tblPrEx>
        <w:trPr>
          <w:trHeight w:val="631" w:hRule="atLeast"/>
          <w:jc w:val="center"/>
        </w:trPr>
        <w:tc>
          <w:tcPr>
            <w:tcW w:w="91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含税合计(元）</w:t>
            </w:r>
          </w:p>
        </w:tc>
        <w:tc>
          <w:tcPr>
            <w:tcW w:w="4082"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bCs/>
                <w:i w:val="0"/>
                <w:color w:val="auto"/>
                <w:sz w:val="22"/>
                <w:szCs w:val="22"/>
                <w:highlight w:val="none"/>
                <w:u w:val="none"/>
                <w:lang w:val="en-US" w:eastAsia="zh-CN"/>
              </w:rPr>
            </w:pPr>
          </w:p>
        </w:tc>
      </w:tr>
    </w:tbl>
    <w:p>
      <w:pPr>
        <w:pStyle w:val="112"/>
        <w:ind w:firstLine="0" w:firstLineChars="0"/>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1.</w:t>
      </w:r>
      <w:r>
        <w:rPr>
          <w:rFonts w:hint="eastAsia" w:ascii="宋体" w:hAnsi="宋体" w:cs="宋体"/>
          <w:b/>
          <w:bCs/>
          <w:color w:val="auto"/>
          <w:highlight w:val="none"/>
        </w:rPr>
        <w:t>投标报价不得超</w:t>
      </w:r>
      <w:r>
        <w:rPr>
          <w:rFonts w:hint="eastAsia" w:ascii="宋体" w:hAnsi="宋体" w:cs="宋体"/>
          <w:b/>
          <w:bCs/>
          <w:color w:val="auto"/>
          <w:highlight w:val="none"/>
          <w:lang w:val="en-US" w:eastAsia="zh-CN"/>
        </w:rPr>
        <w:t>过</w:t>
      </w:r>
      <w:r>
        <w:rPr>
          <w:rFonts w:hint="eastAsia" w:ascii="宋体" w:hAnsi="宋体" w:cs="宋体"/>
          <w:b/>
          <w:bCs/>
          <w:color w:val="auto"/>
          <w:highlight w:val="none"/>
        </w:rPr>
        <w:t>最高</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限价</w:t>
      </w:r>
      <w:r>
        <w:rPr>
          <w:rFonts w:hint="eastAsia" w:ascii="宋体" w:hAnsi="宋体" w:cs="宋体"/>
          <w:b/>
          <w:bCs/>
          <w:color w:val="auto"/>
          <w:highlight w:val="none"/>
          <w:lang w:eastAsia="zh-CN"/>
        </w:rPr>
        <w:t>。</w:t>
      </w:r>
    </w:p>
    <w:p>
      <w:pPr>
        <w:pStyle w:val="112"/>
        <w:ind w:firstLine="498" w:firstLineChars="200"/>
        <w:rPr>
          <w:rFonts w:hint="eastAsia" w:ascii="宋体" w:hAnsi="宋体" w:cs="宋体"/>
          <w:b/>
          <w:bCs/>
          <w:color w:val="auto"/>
          <w:highlight w:val="none"/>
        </w:rPr>
      </w:pPr>
      <w:r>
        <w:rPr>
          <w:rFonts w:hint="eastAsia" w:ascii="宋体" w:hAnsi="宋体" w:cs="宋体"/>
          <w:b/>
          <w:bCs/>
          <w:color w:val="auto"/>
          <w:highlight w:val="none"/>
          <w:lang w:val="en-US" w:eastAsia="zh-CN"/>
        </w:rPr>
        <w:t>2.</w:t>
      </w:r>
      <w:r>
        <w:rPr>
          <w:rFonts w:hint="eastAsia" w:ascii="宋体" w:hAnsi="宋体" w:cs="宋体"/>
          <w:b/>
          <w:bCs/>
          <w:color w:val="auto"/>
          <w:highlight w:val="none"/>
          <w:lang w:eastAsia="zh-CN"/>
        </w:rPr>
        <w:t>监理费</w:t>
      </w:r>
      <w:r>
        <w:rPr>
          <w:rFonts w:hint="eastAsia" w:ascii="宋体" w:hAnsi="宋体" w:cs="宋体"/>
          <w:b/>
          <w:bCs/>
          <w:color w:val="auto"/>
          <w:highlight w:val="none"/>
          <w:lang w:val="en-US" w:eastAsia="zh-CN"/>
        </w:rPr>
        <w:t>用报价表含税</w:t>
      </w:r>
      <w:r>
        <w:rPr>
          <w:rFonts w:hint="eastAsia" w:ascii="宋体" w:hAnsi="宋体" w:cs="宋体"/>
          <w:b/>
          <w:bCs/>
          <w:color w:val="auto"/>
          <w:highlight w:val="none"/>
        </w:rPr>
        <w:t>应与投标</w:t>
      </w:r>
      <w:r>
        <w:rPr>
          <w:rFonts w:hint="eastAsia" w:ascii="宋体" w:hAnsi="宋体" w:cs="宋体"/>
          <w:b/>
          <w:bCs/>
          <w:color w:val="auto"/>
          <w:highlight w:val="none"/>
          <w:u w:val="none"/>
          <w:lang w:val="en-US" w:eastAsia="zh-CN"/>
        </w:rPr>
        <w:t>函附录</w:t>
      </w:r>
      <w:r>
        <w:rPr>
          <w:rFonts w:hint="eastAsia" w:ascii="宋体" w:hAnsi="宋体" w:cs="宋体"/>
          <w:b/>
          <w:bCs/>
          <w:color w:val="auto"/>
          <w:highlight w:val="none"/>
        </w:rPr>
        <w:t>的</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报价一致。</w:t>
      </w:r>
    </w:p>
    <w:p>
      <w:pPr>
        <w:pStyle w:val="112"/>
        <w:ind w:firstLine="496"/>
        <w:rPr>
          <w:rFonts w:hint="eastAsia" w:ascii="宋体" w:hAnsi="宋体" w:cs="宋体"/>
          <w:b/>
          <w:bCs/>
          <w:color w:val="auto"/>
          <w:highlight w:val="none"/>
          <w:lang w:eastAsia="zh-CN"/>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报价</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费率</w:t>
      </w:r>
      <w:r>
        <w:rPr>
          <w:rFonts w:hint="eastAsia" w:ascii="宋体" w:hAnsi="宋体" w:cs="宋体"/>
          <w:b/>
          <w:bCs/>
          <w:color w:val="auto"/>
          <w:szCs w:val="21"/>
          <w:highlight w:val="none"/>
        </w:rPr>
        <w:t>小数点后保留两位小数，第三位小数四舍五入。</w:t>
      </w:r>
    </w:p>
    <w:p>
      <w:pPr>
        <w:pStyle w:val="112"/>
        <w:ind w:firstLine="496"/>
        <w:rPr>
          <w:rFonts w:hint="eastAsia" w:ascii="宋体" w:hAnsi="宋体" w:cs="宋体"/>
          <w:color w:val="auto"/>
          <w:sz w:val="24"/>
          <w:szCs w:val="24"/>
          <w:highlight w:val="none"/>
        </w:rPr>
      </w:pPr>
      <w:r>
        <w:rPr>
          <w:rFonts w:hint="eastAsia" w:ascii="宋体" w:hAnsi="宋体" w:cs="宋体"/>
          <w:b/>
          <w:bCs/>
          <w:color w:val="auto"/>
          <w:highlight w:val="none"/>
          <w:lang w:val="en-US" w:eastAsia="zh-CN"/>
        </w:rPr>
        <w:t>4.投标报价已包含投标人为实施和完成本项目所需的的全部费用，具体的服务要求及结算方式等内容详见招标文件及合同。</w:t>
      </w:r>
    </w:p>
    <w:p>
      <w:pPr>
        <w:spacing w:line="480" w:lineRule="exact"/>
        <w:ind w:firstLine="2880" w:firstLineChars="1200"/>
        <w:jc w:val="left"/>
        <w:rPr>
          <w:rFonts w:hint="eastAsia" w:ascii="宋体" w:hAnsi="宋体" w:cs="宋体"/>
          <w:color w:val="auto"/>
          <w:sz w:val="24"/>
          <w:szCs w:val="24"/>
          <w:highlight w:val="none"/>
        </w:rPr>
      </w:pPr>
    </w:p>
    <w:p>
      <w:pPr>
        <w:spacing w:line="480" w:lineRule="exact"/>
        <w:ind w:firstLine="2880" w:firstLineChars="1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投标人：（盖单位章） </w:t>
      </w:r>
    </w:p>
    <w:p>
      <w:pPr>
        <w:spacing w:line="440" w:lineRule="exact"/>
        <w:ind w:firstLine="2880" w:firstLineChars="1200"/>
        <w:rPr>
          <w:rFonts w:ascii="宋体" w:hAnsi="宋体"/>
          <w:color w:val="auto"/>
          <w:sz w:val="20"/>
          <w:highlight w:val="none"/>
        </w:rPr>
      </w:pPr>
      <w:r>
        <w:rPr>
          <w:rFonts w:hint="eastAsia" w:ascii="宋体" w:hAnsi="宋体" w:cs="宋体"/>
          <w:color w:val="auto"/>
          <w:sz w:val="24"/>
          <w:szCs w:val="24"/>
          <w:highlight w:val="none"/>
        </w:rPr>
        <w:t>日期：  年  月  日</w:t>
      </w:r>
    </w:p>
    <w:p>
      <w:pPr>
        <w:widowControl/>
        <w:spacing w:line="360" w:lineRule="auto"/>
        <w:jc w:val="left"/>
        <w:rPr>
          <w:rFonts w:ascii="宋体" w:hAnsi="宋体"/>
          <w:b/>
          <w:bCs/>
          <w:color w:val="auto"/>
          <w:sz w:val="32"/>
          <w:szCs w:val="32"/>
          <w:highlight w:val="none"/>
        </w:rPr>
      </w:pPr>
      <w:r>
        <w:rPr>
          <w:rFonts w:ascii="宋体" w:hAnsi="宋体"/>
          <w:color w:val="auto"/>
          <w:highlight w:val="none"/>
        </w:rPr>
        <w:br w:type="page"/>
      </w:r>
      <w:bookmarkEnd w:id="424"/>
      <w:bookmarkEnd w:id="425"/>
      <w:bookmarkEnd w:id="426"/>
      <w:bookmarkStart w:id="427" w:name="_Toc9088"/>
      <w:r>
        <w:rPr>
          <w:rFonts w:hint="eastAsia" w:ascii="宋体" w:hAnsi="宋体"/>
          <w:b/>
          <w:bCs/>
          <w:color w:val="auto"/>
          <w:sz w:val="32"/>
          <w:szCs w:val="32"/>
          <w:highlight w:val="none"/>
        </w:rPr>
        <w:t>四、</w:t>
      </w:r>
      <w:r>
        <w:rPr>
          <w:rFonts w:ascii="宋体" w:hAnsi="宋体"/>
          <w:b/>
          <w:bCs/>
          <w:color w:val="auto"/>
          <w:sz w:val="32"/>
          <w:szCs w:val="32"/>
          <w:highlight w:val="none"/>
        </w:rPr>
        <w:t>资格审查资料</w:t>
      </w:r>
      <w:r>
        <w:rPr>
          <w:rFonts w:hint="eastAsia" w:ascii="宋体" w:hAnsi="宋体"/>
          <w:b/>
          <w:bCs/>
          <w:color w:val="auto"/>
          <w:kern w:val="0"/>
          <w:sz w:val="32"/>
          <w:szCs w:val="32"/>
          <w:highlight w:val="none"/>
        </w:rPr>
        <w:t>（格式可自定）</w:t>
      </w:r>
    </w:p>
    <w:p>
      <w:pPr>
        <w:jc w:val="center"/>
        <w:rPr>
          <w:rFonts w:ascii="宋体" w:hAnsi="宋体" w:cs="宋体"/>
          <w:b/>
          <w:color w:val="auto"/>
          <w:sz w:val="32"/>
          <w:szCs w:val="32"/>
          <w:highlight w:val="none"/>
        </w:rPr>
      </w:pPr>
      <w:bookmarkStart w:id="428" w:name="_Toc32629"/>
      <w:bookmarkStart w:id="429" w:name="_Toc4257"/>
      <w:bookmarkStart w:id="430" w:name="_Toc526786515"/>
      <w:r>
        <w:rPr>
          <w:rFonts w:hint="eastAsia" w:ascii="宋体" w:hAnsi="宋体" w:cs="宋体"/>
          <w:b/>
          <w:color w:val="auto"/>
          <w:sz w:val="32"/>
          <w:szCs w:val="32"/>
          <w:highlight w:val="none"/>
        </w:rPr>
        <w:t>资格审查资料</w:t>
      </w:r>
    </w:p>
    <w:tbl>
      <w:tblPr>
        <w:tblStyle w:val="4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营业执照</w:t>
            </w:r>
            <w:r>
              <w:rPr>
                <w:rFonts w:hint="eastAsia" w:ascii="宋体" w:hAnsi="宋体" w:cs="宋体"/>
                <w:color w:val="auto"/>
                <w:sz w:val="28"/>
                <w:szCs w:val="28"/>
                <w:highlight w:val="none"/>
                <w:lang w:val="en-US" w:eastAsia="zh-CN"/>
              </w:rPr>
              <w:t>等</w:t>
            </w:r>
            <w:r>
              <w:rPr>
                <w:rFonts w:ascii="宋体" w:hAnsi="宋体" w:cs="宋体"/>
                <w:color w:val="auto"/>
                <w:sz w:val="28"/>
                <w:szCs w:val="28"/>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资质证书</w:t>
            </w:r>
            <w:r>
              <w:rPr>
                <w:rFonts w:ascii="宋体" w:hAnsi="宋体" w:cs="宋体"/>
                <w:color w:val="auto"/>
                <w:sz w:val="28"/>
                <w:szCs w:val="28"/>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拟派项目总监理工程师证明资料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4</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其他</w:t>
            </w:r>
            <w:r>
              <w:rPr>
                <w:rFonts w:hint="eastAsia" w:ascii="宋体" w:hAnsi="宋体" w:cs="宋体"/>
                <w:color w:val="auto"/>
                <w:sz w:val="28"/>
                <w:szCs w:val="28"/>
                <w:highlight w:val="none"/>
              </w:rPr>
              <w:t>证明资料（《投标人声明》格式详见招标公告附件）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rPr>
              <w:t>5</w:t>
            </w: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ascii="宋体" w:hAnsi="宋体" w:cs="宋体"/>
                <w:color w:val="auto"/>
                <w:sz w:val="28"/>
                <w:szCs w:val="28"/>
                <w:highlight w:val="none"/>
              </w:rPr>
              <w:t>投标人认为需要提供的资料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6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 w:val="28"/>
                <w:szCs w:val="28"/>
                <w:highlight w:val="none"/>
              </w:rPr>
            </w:pPr>
          </w:p>
        </w:tc>
        <w:tc>
          <w:tcPr>
            <w:tcW w:w="80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cs="宋体"/>
                <w:color w:val="auto"/>
                <w:sz w:val="28"/>
                <w:szCs w:val="28"/>
                <w:highlight w:val="none"/>
              </w:rPr>
            </w:pPr>
            <w:r>
              <w:rPr>
                <w:rFonts w:hint="eastAsia" w:ascii="宋体" w:hAnsi="宋体" w:cs="宋体"/>
                <w:color w:val="auto"/>
                <w:sz w:val="28"/>
                <w:szCs w:val="28"/>
                <w:highlight w:val="none"/>
              </w:rPr>
              <w:t>……</w:t>
            </w:r>
          </w:p>
        </w:tc>
      </w:tr>
    </w:tbl>
    <w:p>
      <w:pPr>
        <w:ind w:firstLine="1120" w:firstLineChars="400"/>
        <w:rPr>
          <w:rFonts w:ascii="宋体" w:hAnsi="宋体" w:cs="宋体"/>
          <w:color w:val="auto"/>
          <w:sz w:val="28"/>
          <w:szCs w:val="28"/>
          <w:highlight w:val="none"/>
        </w:rPr>
      </w:pPr>
    </w:p>
    <w:p>
      <w:pPr>
        <w:keepNext/>
        <w:keepLines/>
        <w:spacing w:line="480" w:lineRule="auto"/>
        <w:jc w:val="left"/>
        <w:outlineLvl w:val="2"/>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五、监理大纲</w:t>
      </w:r>
      <w:r>
        <w:rPr>
          <w:rFonts w:hint="eastAsia" w:ascii="宋体" w:hAnsi="宋体"/>
          <w:b/>
          <w:bCs/>
          <w:color w:val="auto"/>
          <w:kern w:val="0"/>
          <w:sz w:val="30"/>
          <w:szCs w:val="30"/>
          <w:highlight w:val="none"/>
        </w:rPr>
        <w:t>（格式可自定）</w:t>
      </w:r>
    </w:p>
    <w:p>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监理大纲应包括（但不限于）下列内容：</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一、监理工程概况；</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二、监理范围、监理内容；</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三、监理依据、监理工作目标；</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五、质量控制、进度控制、投资控制措施；</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六、安全、文明施工管理；</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七、合同、信息管理方案；</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八、监理组织协调内容及措施；</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九、监理工作程序、方法和制度；</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十、会议制度；</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十一、工程进度款、工程结算管理；</w:t>
      </w:r>
    </w:p>
    <w:p>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十二、监理工作重点、难点分析；</w:t>
      </w:r>
    </w:p>
    <w:p>
      <w:pPr>
        <w:numPr>
          <w:ilvl w:val="0"/>
          <w:numId w:val="2"/>
        </w:numPr>
        <w:spacing w:line="360" w:lineRule="auto"/>
        <w:ind w:firstLine="542" w:firstLineChars="226"/>
        <w:jc w:val="left"/>
        <w:rPr>
          <w:rFonts w:hint="eastAsia" w:ascii="宋体" w:hAnsi="宋体"/>
          <w:color w:val="auto"/>
          <w:sz w:val="24"/>
          <w:szCs w:val="24"/>
          <w:highlight w:val="none"/>
        </w:rPr>
      </w:pPr>
      <w:r>
        <w:rPr>
          <w:rFonts w:hint="eastAsia" w:ascii="宋体" w:hAnsi="宋体"/>
          <w:color w:val="auto"/>
          <w:sz w:val="24"/>
          <w:szCs w:val="24"/>
          <w:highlight w:val="none"/>
        </w:rPr>
        <w:t>合理化建议。</w:t>
      </w:r>
    </w:p>
    <w:p>
      <w:pPr>
        <w:spacing w:line="360" w:lineRule="auto"/>
        <w:jc w:val="left"/>
        <w:rPr>
          <w:rFonts w:hint="eastAsia"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六、其他资料</w:t>
      </w:r>
      <w:r>
        <w:rPr>
          <w:rFonts w:hint="eastAsia" w:ascii="宋体" w:hAnsi="宋体"/>
          <w:b/>
          <w:bCs/>
          <w:color w:val="auto"/>
          <w:kern w:val="0"/>
          <w:sz w:val="30"/>
          <w:szCs w:val="30"/>
          <w:highlight w:val="none"/>
        </w:rPr>
        <w:t>（格式可自定）</w:t>
      </w:r>
    </w:p>
    <w:p>
      <w:pPr>
        <w:pStyle w:val="4"/>
        <w:keepNext w:val="0"/>
        <w:keepLines w:val="0"/>
        <w:spacing w:before="20" w:line="240" w:lineRule="auto"/>
        <w:ind w:firstLine="157"/>
        <w:jc w:val="center"/>
        <w:rPr>
          <w:rFonts w:ascii="宋体" w:hAnsi="宋体" w:cs="宋体"/>
          <w:color w:val="auto"/>
          <w:highlight w:val="none"/>
        </w:rPr>
      </w:pPr>
      <w:bookmarkStart w:id="431" w:name="_Toc517280608"/>
      <w:r>
        <w:rPr>
          <w:rFonts w:hint="eastAsia" w:ascii="宋体" w:hAnsi="宋体" w:cs="宋体"/>
          <w:b/>
          <w:color w:val="auto"/>
          <w:sz w:val="32"/>
          <w:highlight w:val="none"/>
        </w:rPr>
        <w:t>（一）基本情况表</w:t>
      </w:r>
      <w:bookmarkEnd w:id="431"/>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1210"/>
        <w:gridCol w:w="714"/>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210"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tc>
        <w:tc>
          <w:tcPr>
            <w:tcW w:w="1210"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210"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14" w:type="dxa"/>
            <w:vMerge w:val="restart"/>
            <w:tcBorders>
              <w:top w:val="single" w:color="auto" w:sz="4" w:space="0"/>
              <w:left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noWrap/>
            <w:vAlign w:val="center"/>
          </w:tcPr>
          <w:p>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pPr>
              <w:topLinePunct/>
              <w:spacing w:before="100" w:beforeAutospacing="1" w:after="100" w:afterAutospacing="1" w:line="440" w:lineRule="exac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05" w:type="dxa"/>
            <w:tcBorders>
              <w:top w:val="single" w:color="auto" w:sz="4" w:space="0"/>
              <w:left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05"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bl>
    <w:p>
      <w:pPr>
        <w:pStyle w:val="4"/>
        <w:keepNext w:val="0"/>
        <w:keepLines w:val="0"/>
        <w:spacing w:line="240" w:lineRule="auto"/>
        <w:ind w:firstLine="137"/>
        <w:jc w:val="center"/>
        <w:rPr>
          <w:rFonts w:ascii="宋体" w:hAnsi="宋体" w:cs="宋体"/>
          <w:color w:val="auto"/>
          <w:highlight w:val="none"/>
        </w:rPr>
      </w:pPr>
      <w:bookmarkStart w:id="432" w:name="_Toc517280609"/>
      <w:r>
        <w:rPr>
          <w:rFonts w:hint="eastAsia"/>
          <w:color w:val="auto"/>
          <w:highlight w:val="none"/>
        </w:rPr>
        <w:br w:type="page"/>
      </w:r>
      <w:r>
        <w:rPr>
          <w:rFonts w:hint="eastAsia" w:ascii="宋体" w:hAnsi="宋体" w:cs="宋体"/>
          <w:b/>
          <w:color w:val="auto"/>
          <w:sz w:val="32"/>
          <w:highlight w:val="none"/>
        </w:rPr>
        <w:t>（二）近年完成的类似监理项目情况表</w:t>
      </w:r>
      <w:bookmarkEnd w:id="432"/>
    </w:p>
    <w:tbl>
      <w:tblPr>
        <w:tblStyle w:val="46"/>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委托人名称</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委托人地址</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委托人电话</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监理内容</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077" w:type="dxa"/>
            <w:tcBorders>
              <w:top w:val="single" w:color="auto" w:sz="4" w:space="0"/>
              <w:left w:val="single" w:color="auto" w:sz="4" w:space="0"/>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bl>
    <w:p>
      <w:pPr>
        <w:rPr>
          <w:rFonts w:hint="eastAsia" w:ascii="宋体" w:hAnsi="宋体" w:cs="宋体"/>
          <w:color w:val="auto"/>
          <w:sz w:val="24"/>
          <w:szCs w:val="24"/>
          <w:highlight w:val="none"/>
        </w:rPr>
      </w:pPr>
      <w:bookmarkStart w:id="433" w:name="_Toc517280611"/>
      <w:r>
        <w:rPr>
          <w:rFonts w:hint="eastAsia" w:ascii="宋体" w:hAnsi="宋体" w:cs="宋体"/>
          <w:color w:val="auto"/>
          <w:sz w:val="24"/>
          <w:szCs w:val="24"/>
          <w:highlight w:val="none"/>
        </w:rPr>
        <w:br w:type="page"/>
      </w:r>
    </w:p>
    <w:p>
      <w:pPr>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（三）拟委任的主要人员汇总表</w:t>
      </w:r>
      <w:bookmarkEnd w:id="433"/>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38" w:type="dxa"/>
            <w:vMerge w:val="restart"/>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1115" w:type="dxa"/>
            <w:vMerge w:val="restart"/>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10" w:type="dxa"/>
            <w:vMerge w:val="restart"/>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710" w:type="dxa"/>
            <w:vMerge w:val="restart"/>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153"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369"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pPr>
              <w:rPr>
                <w:color w:val="auto"/>
                <w:highlight w:val="none"/>
              </w:rPr>
            </w:pPr>
          </w:p>
        </w:tc>
        <w:tc>
          <w:tcPr>
            <w:tcW w:w="1538" w:type="dxa"/>
            <w:vMerge w:val="continue"/>
            <w:tcBorders>
              <w:left w:val="single" w:color="auto" w:sz="4" w:space="0"/>
            </w:tcBorders>
            <w:noWrap/>
          </w:tcPr>
          <w:p>
            <w:pPr>
              <w:rPr>
                <w:color w:val="auto"/>
                <w:highlight w:val="none"/>
              </w:rPr>
            </w:pPr>
          </w:p>
        </w:tc>
        <w:tc>
          <w:tcPr>
            <w:tcW w:w="1115" w:type="dxa"/>
            <w:vMerge w:val="continue"/>
            <w:tcBorders>
              <w:left w:val="single" w:color="auto" w:sz="4" w:space="0"/>
            </w:tcBorders>
            <w:noWrap/>
            <w:vAlign w:val="center"/>
          </w:tcPr>
          <w:p>
            <w:pPr>
              <w:rPr>
                <w:color w:val="auto"/>
                <w:highlight w:val="none"/>
              </w:rPr>
            </w:pPr>
          </w:p>
        </w:tc>
        <w:tc>
          <w:tcPr>
            <w:tcW w:w="810" w:type="dxa"/>
            <w:vMerge w:val="continue"/>
            <w:tcBorders>
              <w:left w:val="single" w:color="auto" w:sz="4" w:space="0"/>
            </w:tcBorders>
            <w:noWrap/>
            <w:vAlign w:val="center"/>
          </w:tcPr>
          <w:p>
            <w:pPr>
              <w:rPr>
                <w:color w:val="auto"/>
                <w:highlight w:val="none"/>
              </w:rPr>
            </w:pPr>
          </w:p>
        </w:tc>
        <w:tc>
          <w:tcPr>
            <w:tcW w:w="710" w:type="dxa"/>
            <w:vMerge w:val="continue"/>
            <w:tcBorders>
              <w:left w:val="single" w:color="auto" w:sz="4" w:space="0"/>
            </w:tcBorders>
            <w:noWrap/>
            <w:vAlign w:val="center"/>
          </w:tcPr>
          <w:p>
            <w:pPr>
              <w:rPr>
                <w:color w:val="auto"/>
                <w:highlight w:val="none"/>
              </w:rPr>
            </w:pPr>
          </w:p>
        </w:tc>
        <w:tc>
          <w:tcPr>
            <w:tcW w:w="1246" w:type="dxa"/>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56" w:type="dxa"/>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051" w:type="dxa"/>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1369"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pPr>
              <w:spacing w:line="440" w:lineRule="exact"/>
              <w:jc w:val="center"/>
              <w:rPr>
                <w:rFonts w:ascii="宋体" w:hAnsi="宋体" w:cs="宋体"/>
                <w:color w:val="auto"/>
                <w:sz w:val="24"/>
                <w:szCs w:val="24"/>
                <w:highlight w:val="none"/>
              </w:rPr>
            </w:pPr>
          </w:p>
        </w:tc>
        <w:tc>
          <w:tcPr>
            <w:tcW w:w="1538"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115"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710"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24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856"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051" w:type="dxa"/>
            <w:tcBorders>
              <w:left w:val="single" w:color="auto" w:sz="4" w:space="0"/>
            </w:tcBorders>
            <w:noWrap/>
          </w:tcPr>
          <w:p>
            <w:pPr>
              <w:spacing w:line="440" w:lineRule="exact"/>
              <w:jc w:val="center"/>
              <w:rPr>
                <w:rFonts w:ascii="宋体" w:hAnsi="宋体" w:cs="宋体"/>
                <w:color w:val="auto"/>
                <w:sz w:val="24"/>
                <w:szCs w:val="24"/>
                <w:highlight w:val="none"/>
              </w:rPr>
            </w:pPr>
          </w:p>
        </w:tc>
        <w:tc>
          <w:tcPr>
            <w:tcW w:w="1369" w:type="dxa"/>
            <w:tcBorders>
              <w:left w:val="single" w:color="auto" w:sz="4" w:space="0"/>
            </w:tcBorders>
            <w:noWrap/>
          </w:tcPr>
          <w:p>
            <w:pPr>
              <w:spacing w:line="440" w:lineRule="exact"/>
              <w:jc w:val="center"/>
              <w:rPr>
                <w:rFonts w:ascii="宋体" w:hAnsi="宋体" w:cs="宋体"/>
                <w:color w:val="auto"/>
                <w:sz w:val="24"/>
                <w:szCs w:val="24"/>
                <w:highlight w:val="none"/>
              </w:rPr>
            </w:pPr>
          </w:p>
        </w:tc>
      </w:tr>
    </w:tbl>
    <w:p>
      <w:pPr>
        <w:spacing w:line="440" w:lineRule="exact"/>
        <w:rPr>
          <w:rFonts w:ascii="宋体" w:hAnsi="宋体" w:cs="宋体"/>
          <w:color w:val="auto"/>
          <w:highlight w:val="none"/>
        </w:rPr>
      </w:pPr>
      <w:bookmarkStart w:id="434" w:name="_Toc517280612"/>
    </w:p>
    <w:p>
      <w:pPr>
        <w:spacing w:line="440" w:lineRule="exact"/>
        <w:rPr>
          <w:rFonts w:ascii="宋体" w:hAnsi="宋体" w:cs="宋体"/>
          <w:color w:val="auto"/>
          <w:highlight w:val="none"/>
        </w:rPr>
      </w:pPr>
    </w:p>
    <w:p>
      <w:pPr>
        <w:pStyle w:val="4"/>
        <w:keepNext w:val="0"/>
        <w:keepLines w:val="0"/>
        <w:spacing w:line="240" w:lineRule="auto"/>
        <w:ind w:firstLine="137"/>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 w:val="32"/>
          <w:highlight w:val="none"/>
        </w:rPr>
        <w:t>（四）</w:t>
      </w:r>
      <w:r>
        <w:rPr>
          <w:rFonts w:ascii="宋体" w:hAnsi="宋体" w:cs="宋体"/>
          <w:b/>
          <w:color w:val="auto"/>
          <w:sz w:val="32"/>
          <w:highlight w:val="none"/>
        </w:rPr>
        <w:t>主要人员简历表</w:t>
      </w:r>
      <w:bookmarkEnd w:id="434"/>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193" w:type="dxa"/>
            <w:gridSpan w:val="2"/>
            <w:noWrap/>
            <w:vAlign w:val="center"/>
          </w:tcPr>
          <w:p>
            <w:pPr>
              <w:spacing w:line="440" w:lineRule="exact"/>
              <w:jc w:val="center"/>
              <w:rPr>
                <w:rFonts w:ascii="宋体" w:hAnsi="宋体" w:cs="宋体"/>
                <w:color w:val="auto"/>
                <w:sz w:val="24"/>
                <w:szCs w:val="24"/>
                <w:highlight w:val="none"/>
              </w:rPr>
            </w:pPr>
          </w:p>
        </w:tc>
        <w:tc>
          <w:tcPr>
            <w:tcW w:w="109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213" w:type="dxa"/>
            <w:noWrap/>
            <w:vAlign w:val="center"/>
          </w:tcPr>
          <w:p>
            <w:pPr>
              <w:spacing w:line="440" w:lineRule="exact"/>
              <w:jc w:val="center"/>
              <w:rPr>
                <w:rFonts w:ascii="宋体" w:hAnsi="宋体" w:cs="宋体"/>
                <w:color w:val="auto"/>
                <w:sz w:val="24"/>
                <w:szCs w:val="24"/>
                <w:highlight w:val="none"/>
              </w:rPr>
            </w:pPr>
          </w:p>
        </w:tc>
        <w:tc>
          <w:tcPr>
            <w:tcW w:w="2695"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执业资格证书（或上岗证书）名称</w:t>
            </w:r>
          </w:p>
        </w:tc>
        <w:tc>
          <w:tcPr>
            <w:tcW w:w="2158" w:type="dxa"/>
            <w:noWrap/>
            <w:vAlign w:val="center"/>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193" w:type="dxa"/>
            <w:gridSpan w:val="2"/>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090" w:type="dxa"/>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213"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2695" w:type="dxa"/>
            <w:gridSpan w:val="3"/>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2158"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496" w:type="dxa"/>
            <w:gridSpan w:val="4"/>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2695" w:type="dxa"/>
            <w:gridSpan w:val="3"/>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从事监理工作年限</w:t>
            </w:r>
          </w:p>
        </w:tc>
        <w:tc>
          <w:tcPr>
            <w:tcW w:w="2158" w:type="dxa"/>
            <w:tcBorders>
              <w:lef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8349" w:type="dxa"/>
            <w:gridSpan w:val="8"/>
            <w:tcBorders>
              <w:left w:val="single" w:color="auto" w:sz="4" w:space="0"/>
            </w:tcBorders>
            <w:noWrap/>
            <w:vAlign w:val="center"/>
          </w:tcPr>
          <w:p>
            <w:pPr>
              <w:spacing w:before="100" w:beforeAutospacing="1" w:after="100" w:afterAutospacing="1" w:line="44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pPr>
              <w:spacing w:before="100" w:beforeAutospacing="1" w:after="100" w:afterAutospacing="1"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893" w:type="dxa"/>
            <w:gridSpan w:val="4"/>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5" w:type="dxa"/>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15" w:type="dxa"/>
            <w:gridSpan w:val="2"/>
            <w:tcBorders>
              <w:lef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pPr>
              <w:spacing w:line="440" w:lineRule="exact"/>
              <w:rPr>
                <w:rFonts w:ascii="宋体" w:hAnsi="宋体" w:cs="宋体"/>
                <w:color w:val="auto"/>
                <w:sz w:val="24"/>
                <w:szCs w:val="24"/>
                <w:highlight w:val="none"/>
              </w:rPr>
            </w:pPr>
          </w:p>
        </w:tc>
        <w:tc>
          <w:tcPr>
            <w:tcW w:w="1435" w:type="dxa"/>
            <w:tcBorders>
              <w:left w:val="single" w:color="auto" w:sz="4" w:space="0"/>
            </w:tcBorders>
            <w:noWrap/>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pPr>
              <w:spacing w:line="440" w:lineRule="exact"/>
              <w:rPr>
                <w:rFonts w:ascii="宋体" w:hAnsi="宋体" w:cs="宋体"/>
                <w:color w:val="auto"/>
                <w:sz w:val="24"/>
                <w:szCs w:val="24"/>
                <w:highlight w:val="none"/>
              </w:rPr>
            </w:pPr>
          </w:p>
        </w:tc>
        <w:tc>
          <w:tcPr>
            <w:tcW w:w="1435" w:type="dxa"/>
            <w:tcBorders>
              <w:left w:val="single" w:color="auto" w:sz="4" w:space="0"/>
            </w:tcBorders>
            <w:noWrap/>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tcPr>
          <w:p>
            <w:pPr>
              <w:spacing w:line="440" w:lineRule="exact"/>
              <w:rPr>
                <w:rFonts w:ascii="宋体" w:hAnsi="宋体" w:cs="宋体"/>
                <w:color w:val="auto"/>
                <w:sz w:val="24"/>
                <w:szCs w:val="24"/>
                <w:highlight w:val="none"/>
              </w:rPr>
            </w:pPr>
          </w:p>
        </w:tc>
        <w:tc>
          <w:tcPr>
            <w:tcW w:w="1435" w:type="dxa"/>
            <w:tcBorders>
              <w:left w:val="single" w:color="auto" w:sz="4" w:space="0"/>
            </w:tcBorders>
            <w:noWrap/>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pPr>
              <w:spacing w:line="44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pPr>
              <w:spacing w:line="440" w:lineRule="exact"/>
              <w:rPr>
                <w:rFonts w:ascii="宋体" w:hAnsi="宋体" w:cs="宋体"/>
                <w:color w:val="auto"/>
                <w:sz w:val="24"/>
                <w:szCs w:val="24"/>
                <w:highlight w:val="none"/>
              </w:rPr>
            </w:pPr>
          </w:p>
        </w:tc>
        <w:tc>
          <w:tcPr>
            <w:tcW w:w="3893" w:type="dxa"/>
            <w:gridSpan w:val="4"/>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1435" w:type="dxa"/>
            <w:tcBorders>
              <w:left w:val="single" w:color="auto" w:sz="4" w:space="0"/>
            </w:tcBorders>
            <w:noWrap/>
            <w:vAlign w:val="center"/>
          </w:tcPr>
          <w:p>
            <w:pPr>
              <w:spacing w:line="440" w:lineRule="exact"/>
              <w:rPr>
                <w:rFonts w:ascii="宋体" w:hAnsi="宋体" w:cs="宋体"/>
                <w:color w:val="auto"/>
                <w:sz w:val="24"/>
                <w:szCs w:val="24"/>
                <w:highlight w:val="none"/>
              </w:rPr>
            </w:pPr>
          </w:p>
        </w:tc>
        <w:tc>
          <w:tcPr>
            <w:tcW w:w="2615" w:type="dxa"/>
            <w:gridSpan w:val="2"/>
            <w:tcBorders>
              <w:left w:val="single" w:color="auto" w:sz="4" w:space="0"/>
            </w:tcBorders>
            <w:noWrap/>
            <w:vAlign w:val="center"/>
          </w:tcPr>
          <w:p>
            <w:pPr>
              <w:spacing w:line="440" w:lineRule="exact"/>
              <w:rPr>
                <w:rFonts w:ascii="宋体" w:hAnsi="宋体" w:cs="宋体"/>
                <w:color w:val="auto"/>
                <w:sz w:val="24"/>
                <w:szCs w:val="24"/>
                <w:highlight w:val="none"/>
              </w:rPr>
            </w:pPr>
          </w:p>
        </w:tc>
      </w:tr>
    </w:tbl>
    <w:p>
      <w:pPr>
        <w:spacing w:line="440" w:lineRule="exact"/>
        <w:rPr>
          <w:rFonts w:ascii="宋体" w:hAnsi="宋体" w:cs="宋体"/>
          <w:color w:val="auto"/>
          <w:highlight w:val="none"/>
        </w:rPr>
      </w:pPr>
      <w:bookmarkStart w:id="435" w:name="_Toc352703741"/>
      <w:bookmarkStart w:id="436" w:name="_Toc300835229"/>
    </w:p>
    <w:p>
      <w:pPr>
        <w:spacing w:line="440" w:lineRule="exact"/>
        <w:rPr>
          <w:rFonts w:ascii="宋体" w:hAnsi="宋体" w:cs="宋体"/>
          <w:color w:val="auto"/>
          <w:highlight w:val="none"/>
        </w:rPr>
      </w:pPr>
    </w:p>
    <w:p>
      <w:pPr>
        <w:rPr>
          <w:rFonts w:hint="eastAsia"/>
          <w:b/>
          <w:bCs/>
          <w:color w:val="auto"/>
          <w:sz w:val="32"/>
          <w:szCs w:val="32"/>
          <w:highlight w:val="none"/>
        </w:rPr>
      </w:pPr>
      <w:r>
        <w:rPr>
          <w:rFonts w:hint="eastAsia"/>
          <w:b/>
          <w:bCs/>
          <w:color w:val="auto"/>
          <w:sz w:val="32"/>
          <w:szCs w:val="32"/>
          <w:highlight w:val="none"/>
        </w:rPr>
        <w:br w:type="page"/>
      </w:r>
    </w:p>
    <w:p>
      <w:pPr>
        <w:pStyle w:val="24"/>
        <w:spacing w:line="360" w:lineRule="auto"/>
        <w:jc w:val="center"/>
        <w:outlineLvl w:val="1"/>
        <w:rPr>
          <w:b/>
          <w:bCs/>
          <w:color w:val="auto"/>
          <w:sz w:val="32"/>
          <w:szCs w:val="32"/>
          <w:highlight w:val="none"/>
        </w:rPr>
      </w:pPr>
      <w:r>
        <w:rPr>
          <w:rFonts w:hint="eastAsia" w:hAnsi="宋体" w:eastAsia="黑体" w:cs="宋体"/>
          <w:b/>
          <w:color w:val="auto"/>
          <w:sz w:val="32"/>
          <w:szCs w:val="20"/>
          <w:highlight w:val="none"/>
        </w:rPr>
        <w:t>（五）投标人认为需提供的其他材料（格式自拟）</w:t>
      </w:r>
    </w:p>
    <w:p>
      <w:pPr>
        <w:pStyle w:val="82"/>
        <w:spacing w:line="500" w:lineRule="exact"/>
        <w:outlineLvl w:val="0"/>
        <w:rPr>
          <w:b/>
          <w:bCs/>
          <w:color w:val="auto"/>
          <w:sz w:val="28"/>
          <w:szCs w:val="28"/>
          <w:highlight w:val="none"/>
        </w:rPr>
      </w:pPr>
      <w:r>
        <w:rPr>
          <w:rFonts w:hint="eastAsia"/>
          <w:b/>
          <w:bCs/>
          <w:color w:val="auto"/>
          <w:sz w:val="28"/>
          <w:szCs w:val="28"/>
          <w:highlight w:val="none"/>
        </w:rPr>
        <w:t>（投标人根据《定标因素表》要求提供其他证明材料或投标人认为需要提供的其他材料）</w:t>
      </w:r>
    </w:p>
    <w:p>
      <w:pPr>
        <w:pStyle w:val="24"/>
        <w:spacing w:line="360" w:lineRule="auto"/>
        <w:jc w:val="left"/>
        <w:outlineLvl w:val="1"/>
        <w:rPr>
          <w:b/>
          <w:bCs/>
          <w:color w:val="auto"/>
          <w:sz w:val="28"/>
          <w:szCs w:val="28"/>
          <w:highlight w:val="none"/>
        </w:rPr>
      </w:pPr>
    </w:p>
    <w:bookmarkEnd w:id="435"/>
    <w:bookmarkEnd w:id="436"/>
    <w:p>
      <w:pPr>
        <w:rPr>
          <w:rFonts w:ascii="宋体" w:hAnsi="宋体" w:cs="宋体"/>
          <w:color w:val="auto"/>
          <w:highlight w:val="none"/>
        </w:rPr>
      </w:pPr>
    </w:p>
    <w:p>
      <w:pPr>
        <w:pStyle w:val="24"/>
        <w:spacing w:line="360" w:lineRule="auto"/>
        <w:rPr>
          <w:color w:val="auto"/>
          <w:highlight w:val="none"/>
        </w:rPr>
      </w:pPr>
    </w:p>
    <w:p>
      <w:pPr>
        <w:rPr>
          <w:color w:val="auto"/>
          <w:highlight w:val="none"/>
        </w:rPr>
      </w:pPr>
    </w:p>
    <w:bookmarkEnd w:id="427"/>
    <w:bookmarkEnd w:id="428"/>
    <w:bookmarkEnd w:id="429"/>
    <w:bookmarkEnd w:id="430"/>
    <w:p>
      <w:pPr>
        <w:rPr>
          <w:rFonts w:ascii="宋体" w:hAnsi="宋体"/>
          <w:color w:val="auto"/>
          <w:highlight w:val="none"/>
        </w:rPr>
      </w:pPr>
      <w:r>
        <w:rPr>
          <w:rFonts w:ascii="宋体" w:hAnsi="宋体"/>
          <w:color w:val="auto"/>
          <w:highlight w:val="none"/>
        </w:rPr>
        <w:br w:type="page"/>
      </w:r>
    </w:p>
    <w:p>
      <w:pPr>
        <w:pStyle w:val="3"/>
        <w:spacing w:before="0" w:after="0" w:line="360" w:lineRule="auto"/>
        <w:jc w:val="center"/>
        <w:rPr>
          <w:rFonts w:hint="eastAsia" w:ascii="宋体" w:hAnsi="宋体" w:eastAsia="宋体"/>
          <w:color w:val="auto"/>
          <w:szCs w:val="30"/>
          <w:highlight w:val="none"/>
        </w:rPr>
      </w:pPr>
      <w:bookmarkStart w:id="437" w:name="_Toc19391"/>
      <w:r>
        <w:rPr>
          <w:rFonts w:hint="eastAsia" w:ascii="宋体" w:hAnsi="宋体" w:eastAsia="宋体"/>
          <w:color w:val="auto"/>
          <w:kern w:val="44"/>
          <w:sz w:val="44"/>
          <w:highlight w:val="none"/>
        </w:rPr>
        <w:t>第七章</w:t>
      </w:r>
      <w:bookmarkEnd w:id="437"/>
      <w:r>
        <w:rPr>
          <w:rFonts w:hint="eastAsia" w:ascii="宋体" w:hAnsi="宋体" w:eastAsia="宋体"/>
          <w:color w:val="auto"/>
          <w:kern w:val="44"/>
          <w:sz w:val="44"/>
          <w:szCs w:val="20"/>
          <w:highlight w:val="none"/>
        </w:rPr>
        <w:t xml:space="preserve"> 否决性条款汇总</w:t>
      </w:r>
    </w:p>
    <w:p>
      <w:pPr>
        <w:wordWrap w:val="0"/>
        <w:spacing w:line="360" w:lineRule="auto"/>
        <w:ind w:firstLine="480" w:firstLineChars="200"/>
        <w:jc w:val="left"/>
        <w:rPr>
          <w:rFonts w:hint="eastAsia" w:ascii="宋体" w:hAnsi="宋体" w:cs="宋体"/>
          <w:color w:val="auto"/>
          <w:kern w:val="21"/>
          <w:sz w:val="24"/>
          <w:highlight w:val="none"/>
        </w:rPr>
      </w:pPr>
      <w:r>
        <w:rPr>
          <w:rFonts w:hint="eastAsia" w:ascii="宋体" w:hAnsi="宋体" w:cs="宋体"/>
          <w:color w:val="auto"/>
          <w:kern w:val="21"/>
          <w:sz w:val="24"/>
          <w:highlight w:val="none"/>
        </w:rPr>
        <w:t>招标人应当在招标文件中将投标文件的否决性条款单列，招标文件的其他条款与该单列的否决性条款不一致的，以单列的否决性条款为准。如招标文件澄清或修改的内容中增加否决性条款的，招标人应当重新单列完整的投标文件否决性条款，并依法发给所有投标人。否决性条款是指招标文件中规定的不予受理投标或者作无效标、废标以及不合格标处理等否定投标文件效力的条款。</w:t>
      </w:r>
    </w:p>
    <w:p>
      <w:pPr>
        <w:rPr>
          <w:rFonts w:hint="eastAsia"/>
          <w:color w:val="auto"/>
          <w:highlight w:val="none"/>
        </w:rPr>
      </w:pPr>
    </w:p>
    <w:tbl>
      <w:tblPr>
        <w:tblStyle w:val="46"/>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8867"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87" w:type="dxa"/>
            <w:gridSpan w:val="2"/>
            <w:vAlign w:val="center"/>
          </w:tcPr>
          <w:p>
            <w:pPr>
              <w:numPr>
                <w:ilvl w:val="0"/>
                <w:numId w:val="3"/>
              </w:numPr>
              <w:wordWrap w:val="0"/>
              <w:spacing w:line="360" w:lineRule="auto"/>
              <w:rPr>
                <w:rFonts w:hint="eastAsia" w:ascii="宋体" w:hAnsi="宋体" w:cs="宋体"/>
                <w:b/>
                <w:bCs/>
                <w:color w:val="auto"/>
                <w:kern w:val="21"/>
                <w:sz w:val="24"/>
                <w:highlight w:val="none"/>
              </w:rPr>
            </w:pPr>
            <w:r>
              <w:rPr>
                <w:rFonts w:hint="eastAsia" w:ascii="宋体" w:hAnsi="宋体" w:cs="宋体"/>
                <w:b/>
                <w:bCs/>
                <w:color w:val="auto"/>
                <w:sz w:val="24"/>
                <w:highlight w:val="none"/>
              </w:rPr>
              <w:t>投标文件、投标文件光盘</w:t>
            </w:r>
            <w:r>
              <w:rPr>
                <w:rFonts w:ascii="宋体" w:hAnsi="宋体" w:cs="宋体"/>
                <w:b/>
                <w:bCs/>
                <w:color w:val="auto"/>
                <w:sz w:val="24"/>
                <w:highlight w:val="none"/>
              </w:rPr>
              <w:t>或U盘</w:t>
            </w:r>
            <w:r>
              <w:rPr>
                <w:rFonts w:hint="eastAsia" w:ascii="宋体" w:hAnsi="宋体" w:cs="宋体"/>
                <w:b/>
                <w:bCs/>
                <w:color w:val="auto"/>
                <w:sz w:val="24"/>
                <w:highlight w:val="none"/>
              </w:rPr>
              <w:t>（备用）出现下列情形之一的，拒绝受理：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（1）逾期送达的投标文件，电子招标投标交易平台将予以拒收。</w:t>
            </w:r>
          </w:p>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（2）逾期未上传成功的电子投标文件，招标人拒绝接收。</w:t>
            </w:r>
          </w:p>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（3）逾期或未在指定地点递交投标文件光盘（或U盘）的,招标人拒绝接收其投标文件光盘（或U盘）。</w:t>
            </w:r>
          </w:p>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（4）逾期送达的投标文件，电子招标投标交易平台将予以拒收。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在投标截止时间后半小时内为投标人投标文件解密时间，投标人通过广州公共资源交易平台对已递交的电子投标文件进行解密，超过时间未解密的视为撤销其投标文件。因投标人原因造成投标文件未解密的或未在投标截止时间后一小时内解密的且未提交备用光盘（或U盘）的，视为撤销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3</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递交的投标文件光盘</w:t>
            </w:r>
            <w:r>
              <w:rPr>
                <w:rFonts w:ascii="宋体" w:hAnsi="宋体" w:cs="宋体"/>
                <w:b/>
                <w:bCs/>
                <w:color w:val="auto"/>
                <w:kern w:val="21"/>
                <w:sz w:val="24"/>
                <w:highlight w:val="none"/>
              </w:rPr>
              <w:t>或U盘</w:t>
            </w:r>
            <w:r>
              <w:rPr>
                <w:rFonts w:hint="eastAsia" w:ascii="宋体" w:hAnsi="宋体" w:cs="宋体"/>
                <w:b/>
                <w:bCs/>
                <w:color w:val="auto"/>
                <w:kern w:val="21"/>
                <w:sz w:val="24"/>
                <w:highlight w:val="none"/>
              </w:rPr>
              <w:t>不得加密。投标文件光盘</w:t>
            </w:r>
            <w:r>
              <w:rPr>
                <w:rFonts w:ascii="宋体" w:hAnsi="宋体" w:cs="宋体"/>
                <w:b/>
                <w:bCs/>
                <w:color w:val="auto"/>
                <w:kern w:val="21"/>
                <w:sz w:val="24"/>
                <w:highlight w:val="none"/>
              </w:rPr>
              <w:t>或U盘</w:t>
            </w:r>
            <w:r>
              <w:rPr>
                <w:rFonts w:hint="eastAsia" w:ascii="宋体" w:hAnsi="宋体" w:cs="宋体"/>
                <w:b/>
                <w:bCs/>
                <w:color w:val="auto"/>
                <w:kern w:val="21"/>
                <w:sz w:val="24"/>
                <w:highlight w:val="none"/>
              </w:rPr>
              <w:t>无法读取或导入的，则视为未提交备用投标文件光盘。如果投标人没有按规定通过交易平台网上递交电子投标文件的，不再接受提交的光盘。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87" w:type="dxa"/>
            <w:gridSpan w:val="2"/>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二、开标时，出现下列情形之一的，不参与资格审查和评标：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4</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（1）未成功递交投标文件的。</w:t>
            </w:r>
          </w:p>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（2）因投标人原因造成投标文件未解密的。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7" w:type="dxa"/>
            <w:gridSpan w:val="2"/>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三、投标文件（投标人）有下列情形之一的，由评标委员会否决其投标：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5</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两个（含两个）以上的投标人加密打包的电子投标文件电脑机器码一致的；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lang w:val="zh-CN"/>
              </w:rPr>
            </w:pPr>
            <w:r>
              <w:rPr>
                <w:rFonts w:hint="eastAsia" w:ascii="宋体" w:hAnsi="宋体" w:cs="宋体"/>
                <w:b/>
                <w:bCs/>
                <w:color w:val="auto"/>
                <w:kern w:val="21"/>
                <w:sz w:val="24"/>
                <w:highlight w:val="none"/>
              </w:rPr>
              <w:t>6</w:t>
            </w:r>
          </w:p>
        </w:tc>
        <w:tc>
          <w:tcPr>
            <w:tcW w:w="8867" w:type="dxa"/>
            <w:vAlign w:val="center"/>
          </w:tcPr>
          <w:p>
            <w:pPr>
              <w:wordWrap w:val="0"/>
              <w:spacing w:before="100"/>
              <w:rPr>
                <w:rFonts w:hint="eastAsia" w:ascii="宋体" w:hAnsi="宋体" w:cs="宋体"/>
                <w:b/>
                <w:bCs/>
                <w:color w:val="auto"/>
                <w:kern w:val="21"/>
                <w:sz w:val="24"/>
                <w:highlight w:val="none"/>
                <w:lang w:val="zh-CN"/>
              </w:rPr>
            </w:pPr>
            <w:r>
              <w:rPr>
                <w:rFonts w:hint="eastAsia" w:ascii="宋体" w:hAnsi="宋体" w:cs="宋体"/>
                <w:b/>
                <w:bCs/>
                <w:color w:val="auto"/>
                <w:kern w:val="21"/>
                <w:sz w:val="24"/>
                <w:highlight w:val="none"/>
              </w:rPr>
              <w:t>投标文件（投标人）有不符合招标文件第三章第2.1款中规定的任何一项情形的。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pPr>
              <w:wordWrap w:val="0"/>
              <w:spacing w:before="100"/>
              <w:jc w:val="center"/>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7</w:t>
            </w:r>
          </w:p>
        </w:tc>
        <w:tc>
          <w:tcPr>
            <w:tcW w:w="8867" w:type="dxa"/>
            <w:vAlign w:val="center"/>
          </w:tcPr>
          <w:p>
            <w:pPr>
              <w:wordWrap w:val="0"/>
              <w:spacing w:before="100"/>
              <w:rPr>
                <w:rFonts w:hint="eastAsia" w:ascii="宋体" w:hAnsi="宋体" w:cs="宋体"/>
                <w:b/>
                <w:bCs/>
                <w:color w:val="auto"/>
                <w:kern w:val="21"/>
                <w:sz w:val="24"/>
                <w:highlight w:val="none"/>
              </w:rPr>
            </w:pPr>
            <w:r>
              <w:rPr>
                <w:rFonts w:hint="eastAsia" w:ascii="宋体" w:hAnsi="宋体" w:cs="宋体"/>
                <w:b/>
                <w:bCs/>
                <w:color w:val="auto"/>
                <w:kern w:val="21"/>
                <w:sz w:val="24"/>
                <w:highlight w:val="none"/>
              </w:rPr>
              <w:t>投标文件（投标人）符合招标文件第三章第3.1款中规定的否决投标任何一项情形的。</w:t>
            </w:r>
          </w:p>
        </w:tc>
      </w:tr>
    </w:tbl>
    <w:p>
      <w:pPr>
        <w:pStyle w:val="82"/>
        <w:spacing w:line="500" w:lineRule="exact"/>
        <w:outlineLvl w:val="0"/>
        <w:rPr>
          <w:rFonts w:ascii="宋体" w:hAnsi="宋体"/>
          <w:color w:val="auto"/>
          <w:sz w:val="28"/>
          <w:szCs w:val="28"/>
          <w:highlight w:val="none"/>
        </w:rPr>
      </w:pPr>
    </w:p>
    <w:sectPr>
      <w:headerReference r:id="rId3" w:type="default"/>
      <w:footerReference r:id="rId4" w:type="default"/>
      <w:pgSz w:w="12240" w:h="15840"/>
      <w:pgMar w:top="1417" w:right="1701" w:bottom="1134" w:left="1701" w:header="850" w:footer="85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15875">
                        <a:noFill/>
                      </a:ln>
                      <a:effectLst/>
                    </wps:spPr>
                    <wps:txbx>
                      <w:txbxContent>
                        <w:p>
                          <w:pPr>
                            <w:pStyle w:val="29"/>
                            <w:jc w:val="center"/>
                            <w:rPr>
                              <w:rFonts w:hint="eastAsia"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WRv21AAAAAMBAAAPAAAAAAAA&#10;AAEAIAAAACIAAABkcnMvZG93bnJldi54bWxQSwECFAAUAAAACACHTuJAqX2lqN0BAACvAwAADgAA&#10;AAAAAAABACAAAAAjAQAAZHJzL2Uyb0RvYy54bWxQSwUGAAAAAAYABgBZAQAAcgUAAAAA&#10;">
              <v:fill on="f" focussize="0,0"/>
              <v:stroke on="f" weight="1.25pt"/>
              <v:imagedata o:title=""/>
              <o:lock v:ext="edit" aspectratio="f"/>
              <v:textbox inset="0mm,0mm,0mm,0mm" style="mso-fit-shape-to-text:t;">
                <w:txbxContent>
                  <w:p>
                    <w:pPr>
                      <w:pStyle w:val="29"/>
                      <w:jc w:val="center"/>
                      <w:rPr>
                        <w:rFonts w:hint="eastAsia" w:ascii="宋体" w:hAnsi="宋体" w:cs="宋体"/>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PAGE </w:instrText>
                    </w:r>
                    <w:r>
                      <w:rPr>
                        <w:rFonts w:hint="eastAsia" w:ascii="宋体" w:hAnsi="宋体" w:cs="宋体"/>
                        <w:kern w:val="0"/>
                        <w:sz w:val="21"/>
                        <w:szCs w:val="21"/>
                      </w:rPr>
                      <w:fldChar w:fldCharType="separate"/>
                    </w:r>
                    <w:r>
                      <w:rPr>
                        <w:rFonts w:ascii="宋体" w:hAnsi="宋体" w:cs="宋体"/>
                        <w:kern w:val="0"/>
                        <w:sz w:val="21"/>
                        <w:szCs w:val="21"/>
                      </w:rPr>
                      <w:t>3</w:t>
                    </w:r>
                    <w:r>
                      <w:rPr>
                        <w:rFonts w:hint="eastAsia" w:ascii="宋体" w:hAnsi="宋体" w:cs="宋体"/>
                        <w:kern w:val="0"/>
                        <w:sz w:val="21"/>
                        <w:szCs w:val="21"/>
                      </w:rPr>
                      <w:fldChar w:fldCharType="end"/>
                    </w:r>
                    <w:r>
                      <w:rPr>
                        <w:rFonts w:hint="eastAsia" w:ascii="宋体" w:hAnsi="宋体" w:cs="宋体"/>
                        <w:kern w:val="0"/>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B1DC2"/>
    <w:multiLevelType w:val="singleLevel"/>
    <w:tmpl w:val="A6EB1DC2"/>
    <w:lvl w:ilvl="0" w:tentative="0">
      <w:start w:val="13"/>
      <w:numFmt w:val="chineseCounting"/>
      <w:suff w:val="nothing"/>
      <w:lvlText w:val="%1、"/>
      <w:lvlJc w:val="left"/>
      <w:rPr>
        <w:rFonts w:hint="eastAsia"/>
      </w:rPr>
    </w:lvl>
  </w:abstractNum>
  <w:abstractNum w:abstractNumId="1">
    <w:nsid w:val="0000001D"/>
    <w:multiLevelType w:val="multilevel"/>
    <w:tmpl w:val="0000001D"/>
    <w:lvl w:ilvl="0" w:tentative="0">
      <w:start w:val="1"/>
      <w:numFmt w:val="decimal"/>
      <w:pStyle w:val="122"/>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4057F449"/>
    <w:multiLevelType w:val="singleLevel"/>
    <w:tmpl w:val="4057F44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ZTk4Mzc2ZWJmYWMwNDcxYTU1ZGI4MDkyZDg2ZDcifQ=="/>
  </w:docVars>
  <w:rsids>
    <w:rsidRoot w:val="00172A27"/>
    <w:rsid w:val="00000B56"/>
    <w:rsid w:val="0000261C"/>
    <w:rsid w:val="00002A60"/>
    <w:rsid w:val="00004603"/>
    <w:rsid w:val="00004DA7"/>
    <w:rsid w:val="000055E5"/>
    <w:rsid w:val="00006802"/>
    <w:rsid w:val="00007319"/>
    <w:rsid w:val="000106AE"/>
    <w:rsid w:val="000109BA"/>
    <w:rsid w:val="000113EC"/>
    <w:rsid w:val="00011560"/>
    <w:rsid w:val="00011684"/>
    <w:rsid w:val="00012703"/>
    <w:rsid w:val="0001485E"/>
    <w:rsid w:val="00014DB1"/>
    <w:rsid w:val="0001572D"/>
    <w:rsid w:val="00016D03"/>
    <w:rsid w:val="0001751A"/>
    <w:rsid w:val="00020140"/>
    <w:rsid w:val="00020F53"/>
    <w:rsid w:val="000214EF"/>
    <w:rsid w:val="00021763"/>
    <w:rsid w:val="00021BFE"/>
    <w:rsid w:val="000225C3"/>
    <w:rsid w:val="00022662"/>
    <w:rsid w:val="000240B5"/>
    <w:rsid w:val="00024206"/>
    <w:rsid w:val="00024685"/>
    <w:rsid w:val="00024D77"/>
    <w:rsid w:val="000250D6"/>
    <w:rsid w:val="00025ACC"/>
    <w:rsid w:val="00026171"/>
    <w:rsid w:val="00026AA0"/>
    <w:rsid w:val="00026B40"/>
    <w:rsid w:val="0002793E"/>
    <w:rsid w:val="00027FC6"/>
    <w:rsid w:val="00030469"/>
    <w:rsid w:val="00030736"/>
    <w:rsid w:val="00030804"/>
    <w:rsid w:val="00032288"/>
    <w:rsid w:val="00032762"/>
    <w:rsid w:val="000351AE"/>
    <w:rsid w:val="000351C2"/>
    <w:rsid w:val="00037128"/>
    <w:rsid w:val="00043778"/>
    <w:rsid w:val="00045007"/>
    <w:rsid w:val="00046C42"/>
    <w:rsid w:val="00047D8D"/>
    <w:rsid w:val="0005057A"/>
    <w:rsid w:val="000520CE"/>
    <w:rsid w:val="000527A6"/>
    <w:rsid w:val="000545CB"/>
    <w:rsid w:val="00055E20"/>
    <w:rsid w:val="00062431"/>
    <w:rsid w:val="00062AC6"/>
    <w:rsid w:val="00064EA9"/>
    <w:rsid w:val="00065A9E"/>
    <w:rsid w:val="000668F1"/>
    <w:rsid w:val="00067035"/>
    <w:rsid w:val="00070145"/>
    <w:rsid w:val="0007102F"/>
    <w:rsid w:val="00071945"/>
    <w:rsid w:val="0007298C"/>
    <w:rsid w:val="00072F2A"/>
    <w:rsid w:val="00073A9E"/>
    <w:rsid w:val="00075311"/>
    <w:rsid w:val="0007648C"/>
    <w:rsid w:val="0007798B"/>
    <w:rsid w:val="0008132B"/>
    <w:rsid w:val="00081360"/>
    <w:rsid w:val="00081482"/>
    <w:rsid w:val="0008187D"/>
    <w:rsid w:val="0008253E"/>
    <w:rsid w:val="00082A70"/>
    <w:rsid w:val="000838B3"/>
    <w:rsid w:val="00084FC3"/>
    <w:rsid w:val="00085690"/>
    <w:rsid w:val="00087558"/>
    <w:rsid w:val="000905EC"/>
    <w:rsid w:val="00090FED"/>
    <w:rsid w:val="0009240C"/>
    <w:rsid w:val="00093200"/>
    <w:rsid w:val="00094388"/>
    <w:rsid w:val="000943B0"/>
    <w:rsid w:val="00094C66"/>
    <w:rsid w:val="00095CBC"/>
    <w:rsid w:val="00097B3B"/>
    <w:rsid w:val="000A118B"/>
    <w:rsid w:val="000A1262"/>
    <w:rsid w:val="000A287B"/>
    <w:rsid w:val="000A2B6C"/>
    <w:rsid w:val="000A47E5"/>
    <w:rsid w:val="000A4AE1"/>
    <w:rsid w:val="000A5C81"/>
    <w:rsid w:val="000A5C92"/>
    <w:rsid w:val="000A76B3"/>
    <w:rsid w:val="000B09DF"/>
    <w:rsid w:val="000B119E"/>
    <w:rsid w:val="000B1A92"/>
    <w:rsid w:val="000B345A"/>
    <w:rsid w:val="000B6379"/>
    <w:rsid w:val="000B65E2"/>
    <w:rsid w:val="000B676B"/>
    <w:rsid w:val="000B69E2"/>
    <w:rsid w:val="000C0018"/>
    <w:rsid w:val="000C0AF1"/>
    <w:rsid w:val="000C1A9B"/>
    <w:rsid w:val="000C1AC9"/>
    <w:rsid w:val="000C2AB5"/>
    <w:rsid w:val="000C345B"/>
    <w:rsid w:val="000C3D51"/>
    <w:rsid w:val="000C4710"/>
    <w:rsid w:val="000C4924"/>
    <w:rsid w:val="000C6FFB"/>
    <w:rsid w:val="000C7720"/>
    <w:rsid w:val="000C7A74"/>
    <w:rsid w:val="000D204D"/>
    <w:rsid w:val="000D2C4B"/>
    <w:rsid w:val="000D3177"/>
    <w:rsid w:val="000D4336"/>
    <w:rsid w:val="000D49B4"/>
    <w:rsid w:val="000D50E2"/>
    <w:rsid w:val="000D75FB"/>
    <w:rsid w:val="000E08CB"/>
    <w:rsid w:val="000E10B1"/>
    <w:rsid w:val="000E1668"/>
    <w:rsid w:val="000E168C"/>
    <w:rsid w:val="000E205A"/>
    <w:rsid w:val="000E2EFB"/>
    <w:rsid w:val="000E54ED"/>
    <w:rsid w:val="000E5673"/>
    <w:rsid w:val="000E5F67"/>
    <w:rsid w:val="000E63A3"/>
    <w:rsid w:val="000E7256"/>
    <w:rsid w:val="000E7505"/>
    <w:rsid w:val="000E77D1"/>
    <w:rsid w:val="000E792F"/>
    <w:rsid w:val="000F021C"/>
    <w:rsid w:val="000F0A72"/>
    <w:rsid w:val="000F143B"/>
    <w:rsid w:val="000F2186"/>
    <w:rsid w:val="000F2A12"/>
    <w:rsid w:val="000F2ECC"/>
    <w:rsid w:val="000F4077"/>
    <w:rsid w:val="000F44D2"/>
    <w:rsid w:val="000F49F4"/>
    <w:rsid w:val="000F4A44"/>
    <w:rsid w:val="000F5E14"/>
    <w:rsid w:val="000F73BD"/>
    <w:rsid w:val="001011FC"/>
    <w:rsid w:val="00102618"/>
    <w:rsid w:val="00102BAF"/>
    <w:rsid w:val="00102F0B"/>
    <w:rsid w:val="00105423"/>
    <w:rsid w:val="001119B6"/>
    <w:rsid w:val="00111DA6"/>
    <w:rsid w:val="00112059"/>
    <w:rsid w:val="0011232A"/>
    <w:rsid w:val="001129F5"/>
    <w:rsid w:val="00114A34"/>
    <w:rsid w:val="00115124"/>
    <w:rsid w:val="0011582D"/>
    <w:rsid w:val="00117658"/>
    <w:rsid w:val="00117F0F"/>
    <w:rsid w:val="001209A9"/>
    <w:rsid w:val="001219F2"/>
    <w:rsid w:val="001223CF"/>
    <w:rsid w:val="00122852"/>
    <w:rsid w:val="001236C9"/>
    <w:rsid w:val="00123706"/>
    <w:rsid w:val="00123EDF"/>
    <w:rsid w:val="00124116"/>
    <w:rsid w:val="00124AED"/>
    <w:rsid w:val="00126510"/>
    <w:rsid w:val="0012660F"/>
    <w:rsid w:val="00126D88"/>
    <w:rsid w:val="00126E2B"/>
    <w:rsid w:val="001270CD"/>
    <w:rsid w:val="00127541"/>
    <w:rsid w:val="001276F8"/>
    <w:rsid w:val="00131FF3"/>
    <w:rsid w:val="001335BF"/>
    <w:rsid w:val="001335D9"/>
    <w:rsid w:val="00134701"/>
    <w:rsid w:val="00136D67"/>
    <w:rsid w:val="0013766F"/>
    <w:rsid w:val="0014098E"/>
    <w:rsid w:val="00140A44"/>
    <w:rsid w:val="00142058"/>
    <w:rsid w:val="00144947"/>
    <w:rsid w:val="00144EBD"/>
    <w:rsid w:val="00145049"/>
    <w:rsid w:val="001506DC"/>
    <w:rsid w:val="0015172C"/>
    <w:rsid w:val="00151C38"/>
    <w:rsid w:val="001530C6"/>
    <w:rsid w:val="00153218"/>
    <w:rsid w:val="00154706"/>
    <w:rsid w:val="00157753"/>
    <w:rsid w:val="001667FD"/>
    <w:rsid w:val="0016686C"/>
    <w:rsid w:val="00166A4E"/>
    <w:rsid w:val="00170389"/>
    <w:rsid w:val="0017159D"/>
    <w:rsid w:val="001728B0"/>
    <w:rsid w:val="00172A27"/>
    <w:rsid w:val="00172EB3"/>
    <w:rsid w:val="001735B4"/>
    <w:rsid w:val="00173B36"/>
    <w:rsid w:val="00174751"/>
    <w:rsid w:val="001748A3"/>
    <w:rsid w:val="00182822"/>
    <w:rsid w:val="00182B11"/>
    <w:rsid w:val="001831D5"/>
    <w:rsid w:val="001834D3"/>
    <w:rsid w:val="00183748"/>
    <w:rsid w:val="00183B4A"/>
    <w:rsid w:val="00184F11"/>
    <w:rsid w:val="00185D79"/>
    <w:rsid w:val="00186361"/>
    <w:rsid w:val="00186A85"/>
    <w:rsid w:val="0019161E"/>
    <w:rsid w:val="00193AC3"/>
    <w:rsid w:val="00193C1D"/>
    <w:rsid w:val="00193EF0"/>
    <w:rsid w:val="00194621"/>
    <w:rsid w:val="0019493C"/>
    <w:rsid w:val="00194BAE"/>
    <w:rsid w:val="0019551E"/>
    <w:rsid w:val="001964D6"/>
    <w:rsid w:val="001A067F"/>
    <w:rsid w:val="001A093D"/>
    <w:rsid w:val="001A0CCF"/>
    <w:rsid w:val="001A2E05"/>
    <w:rsid w:val="001A2E74"/>
    <w:rsid w:val="001A304A"/>
    <w:rsid w:val="001A341D"/>
    <w:rsid w:val="001A3AC6"/>
    <w:rsid w:val="001A4491"/>
    <w:rsid w:val="001A4684"/>
    <w:rsid w:val="001A713F"/>
    <w:rsid w:val="001A7435"/>
    <w:rsid w:val="001A7E77"/>
    <w:rsid w:val="001B1289"/>
    <w:rsid w:val="001B174D"/>
    <w:rsid w:val="001B2960"/>
    <w:rsid w:val="001B2DA3"/>
    <w:rsid w:val="001B2F79"/>
    <w:rsid w:val="001B4033"/>
    <w:rsid w:val="001B4065"/>
    <w:rsid w:val="001B5478"/>
    <w:rsid w:val="001B5D40"/>
    <w:rsid w:val="001B6CEE"/>
    <w:rsid w:val="001B7F5B"/>
    <w:rsid w:val="001B7FEF"/>
    <w:rsid w:val="001C122A"/>
    <w:rsid w:val="001C30C7"/>
    <w:rsid w:val="001C39A7"/>
    <w:rsid w:val="001C3B37"/>
    <w:rsid w:val="001C4420"/>
    <w:rsid w:val="001C4A74"/>
    <w:rsid w:val="001C540A"/>
    <w:rsid w:val="001C54F2"/>
    <w:rsid w:val="001D0AD8"/>
    <w:rsid w:val="001D1B41"/>
    <w:rsid w:val="001D1BB6"/>
    <w:rsid w:val="001D398F"/>
    <w:rsid w:val="001D414D"/>
    <w:rsid w:val="001D5C14"/>
    <w:rsid w:val="001E1433"/>
    <w:rsid w:val="001E3FE9"/>
    <w:rsid w:val="001E55FC"/>
    <w:rsid w:val="001E6B93"/>
    <w:rsid w:val="001F0EB6"/>
    <w:rsid w:val="001F0FC2"/>
    <w:rsid w:val="001F1937"/>
    <w:rsid w:val="001F2208"/>
    <w:rsid w:val="001F25D1"/>
    <w:rsid w:val="001F285E"/>
    <w:rsid w:val="001F4134"/>
    <w:rsid w:val="001F415C"/>
    <w:rsid w:val="001F4547"/>
    <w:rsid w:val="001F45EE"/>
    <w:rsid w:val="001F4850"/>
    <w:rsid w:val="001F619D"/>
    <w:rsid w:val="00202BA8"/>
    <w:rsid w:val="00202E8C"/>
    <w:rsid w:val="00203ADF"/>
    <w:rsid w:val="002049E3"/>
    <w:rsid w:val="00204A5C"/>
    <w:rsid w:val="0020545D"/>
    <w:rsid w:val="002065DE"/>
    <w:rsid w:val="00206887"/>
    <w:rsid w:val="00206EDA"/>
    <w:rsid w:val="00207A0B"/>
    <w:rsid w:val="002102FD"/>
    <w:rsid w:val="0021226E"/>
    <w:rsid w:val="00212A53"/>
    <w:rsid w:val="00212E14"/>
    <w:rsid w:val="0021322F"/>
    <w:rsid w:val="00213B90"/>
    <w:rsid w:val="00215AF0"/>
    <w:rsid w:val="00217143"/>
    <w:rsid w:val="002207EA"/>
    <w:rsid w:val="00221119"/>
    <w:rsid w:val="00221F1E"/>
    <w:rsid w:val="00221FAC"/>
    <w:rsid w:val="002229E2"/>
    <w:rsid w:val="0022434B"/>
    <w:rsid w:val="00224E45"/>
    <w:rsid w:val="00226041"/>
    <w:rsid w:val="00226F89"/>
    <w:rsid w:val="00226F8B"/>
    <w:rsid w:val="0022793C"/>
    <w:rsid w:val="00230836"/>
    <w:rsid w:val="002337D9"/>
    <w:rsid w:val="0023398E"/>
    <w:rsid w:val="00234213"/>
    <w:rsid w:val="0023423F"/>
    <w:rsid w:val="0023563A"/>
    <w:rsid w:val="00236FA0"/>
    <w:rsid w:val="002379D4"/>
    <w:rsid w:val="00237A22"/>
    <w:rsid w:val="00237B0E"/>
    <w:rsid w:val="00237F75"/>
    <w:rsid w:val="002400D0"/>
    <w:rsid w:val="00241348"/>
    <w:rsid w:val="00242200"/>
    <w:rsid w:val="002430C2"/>
    <w:rsid w:val="0024369C"/>
    <w:rsid w:val="00244D06"/>
    <w:rsid w:val="0024530F"/>
    <w:rsid w:val="00246A0E"/>
    <w:rsid w:val="00246A31"/>
    <w:rsid w:val="00247B5E"/>
    <w:rsid w:val="002506CC"/>
    <w:rsid w:val="00250B0E"/>
    <w:rsid w:val="00250B40"/>
    <w:rsid w:val="00250B63"/>
    <w:rsid w:val="00250CB7"/>
    <w:rsid w:val="00251A49"/>
    <w:rsid w:val="002521B3"/>
    <w:rsid w:val="0025316D"/>
    <w:rsid w:val="00253832"/>
    <w:rsid w:val="00254609"/>
    <w:rsid w:val="0025460A"/>
    <w:rsid w:val="00254EDC"/>
    <w:rsid w:val="00255D0D"/>
    <w:rsid w:val="002562E4"/>
    <w:rsid w:val="0025646F"/>
    <w:rsid w:val="002564CE"/>
    <w:rsid w:val="00260197"/>
    <w:rsid w:val="00260C77"/>
    <w:rsid w:val="00261352"/>
    <w:rsid w:val="00261480"/>
    <w:rsid w:val="00262223"/>
    <w:rsid w:val="00263F0B"/>
    <w:rsid w:val="00264EB1"/>
    <w:rsid w:val="00265192"/>
    <w:rsid w:val="00270F04"/>
    <w:rsid w:val="00271923"/>
    <w:rsid w:val="00272808"/>
    <w:rsid w:val="0027292C"/>
    <w:rsid w:val="00272A39"/>
    <w:rsid w:val="002735AD"/>
    <w:rsid w:val="00275B6D"/>
    <w:rsid w:val="002762ED"/>
    <w:rsid w:val="00276832"/>
    <w:rsid w:val="00276C71"/>
    <w:rsid w:val="00280A4F"/>
    <w:rsid w:val="00281526"/>
    <w:rsid w:val="00282C8E"/>
    <w:rsid w:val="0028346F"/>
    <w:rsid w:val="002845A0"/>
    <w:rsid w:val="00285406"/>
    <w:rsid w:val="002855A0"/>
    <w:rsid w:val="00287C6E"/>
    <w:rsid w:val="00287CC2"/>
    <w:rsid w:val="00291CF3"/>
    <w:rsid w:val="00292881"/>
    <w:rsid w:val="002933B8"/>
    <w:rsid w:val="00294A20"/>
    <w:rsid w:val="0029511C"/>
    <w:rsid w:val="00296618"/>
    <w:rsid w:val="00297099"/>
    <w:rsid w:val="00297678"/>
    <w:rsid w:val="00297D4D"/>
    <w:rsid w:val="002A1546"/>
    <w:rsid w:val="002A4757"/>
    <w:rsid w:val="002A4926"/>
    <w:rsid w:val="002A521E"/>
    <w:rsid w:val="002A552C"/>
    <w:rsid w:val="002A65ED"/>
    <w:rsid w:val="002A6DC0"/>
    <w:rsid w:val="002A6EE4"/>
    <w:rsid w:val="002B30C2"/>
    <w:rsid w:val="002B3BF7"/>
    <w:rsid w:val="002B3EB9"/>
    <w:rsid w:val="002B4133"/>
    <w:rsid w:val="002B44A7"/>
    <w:rsid w:val="002B5216"/>
    <w:rsid w:val="002B591E"/>
    <w:rsid w:val="002B66ED"/>
    <w:rsid w:val="002B6722"/>
    <w:rsid w:val="002C0C29"/>
    <w:rsid w:val="002C0DD3"/>
    <w:rsid w:val="002C1772"/>
    <w:rsid w:val="002C1C1A"/>
    <w:rsid w:val="002C31DD"/>
    <w:rsid w:val="002C3CD8"/>
    <w:rsid w:val="002C4530"/>
    <w:rsid w:val="002C489A"/>
    <w:rsid w:val="002C636F"/>
    <w:rsid w:val="002C7229"/>
    <w:rsid w:val="002C7B9B"/>
    <w:rsid w:val="002D0877"/>
    <w:rsid w:val="002D13B2"/>
    <w:rsid w:val="002D2B90"/>
    <w:rsid w:val="002D4528"/>
    <w:rsid w:val="002D58F2"/>
    <w:rsid w:val="002D6292"/>
    <w:rsid w:val="002D6F32"/>
    <w:rsid w:val="002D7AA9"/>
    <w:rsid w:val="002D7B78"/>
    <w:rsid w:val="002E1DAC"/>
    <w:rsid w:val="002E6D05"/>
    <w:rsid w:val="002E70E1"/>
    <w:rsid w:val="002F4028"/>
    <w:rsid w:val="002F6CA3"/>
    <w:rsid w:val="002F6D21"/>
    <w:rsid w:val="002F72A0"/>
    <w:rsid w:val="003006A6"/>
    <w:rsid w:val="00300733"/>
    <w:rsid w:val="003008A4"/>
    <w:rsid w:val="00301A6C"/>
    <w:rsid w:val="00301BC6"/>
    <w:rsid w:val="00301EBE"/>
    <w:rsid w:val="0030224A"/>
    <w:rsid w:val="00302993"/>
    <w:rsid w:val="00303653"/>
    <w:rsid w:val="00303B93"/>
    <w:rsid w:val="00304733"/>
    <w:rsid w:val="00304976"/>
    <w:rsid w:val="0030589B"/>
    <w:rsid w:val="00305ECA"/>
    <w:rsid w:val="00305F3A"/>
    <w:rsid w:val="00306555"/>
    <w:rsid w:val="00307AA3"/>
    <w:rsid w:val="0031016B"/>
    <w:rsid w:val="00311256"/>
    <w:rsid w:val="00311324"/>
    <w:rsid w:val="00311BD5"/>
    <w:rsid w:val="003122C4"/>
    <w:rsid w:val="00313660"/>
    <w:rsid w:val="0031412C"/>
    <w:rsid w:val="00314419"/>
    <w:rsid w:val="00314AF6"/>
    <w:rsid w:val="003151A3"/>
    <w:rsid w:val="003160FD"/>
    <w:rsid w:val="0032031D"/>
    <w:rsid w:val="00320F01"/>
    <w:rsid w:val="003214BA"/>
    <w:rsid w:val="00321647"/>
    <w:rsid w:val="00321989"/>
    <w:rsid w:val="00323E45"/>
    <w:rsid w:val="00324178"/>
    <w:rsid w:val="003243EC"/>
    <w:rsid w:val="003244DA"/>
    <w:rsid w:val="003247CD"/>
    <w:rsid w:val="00330D54"/>
    <w:rsid w:val="003325A0"/>
    <w:rsid w:val="00332802"/>
    <w:rsid w:val="00332962"/>
    <w:rsid w:val="003340C8"/>
    <w:rsid w:val="003341B5"/>
    <w:rsid w:val="00334385"/>
    <w:rsid w:val="0033585F"/>
    <w:rsid w:val="00335FCB"/>
    <w:rsid w:val="003362AD"/>
    <w:rsid w:val="00337591"/>
    <w:rsid w:val="00337703"/>
    <w:rsid w:val="003419A7"/>
    <w:rsid w:val="00342011"/>
    <w:rsid w:val="00342688"/>
    <w:rsid w:val="00342B09"/>
    <w:rsid w:val="00343FDF"/>
    <w:rsid w:val="0034440E"/>
    <w:rsid w:val="00344D96"/>
    <w:rsid w:val="00344F5D"/>
    <w:rsid w:val="00345499"/>
    <w:rsid w:val="003470E1"/>
    <w:rsid w:val="003475BD"/>
    <w:rsid w:val="00347899"/>
    <w:rsid w:val="00350F3E"/>
    <w:rsid w:val="0035125A"/>
    <w:rsid w:val="003518D6"/>
    <w:rsid w:val="00352BE0"/>
    <w:rsid w:val="00352FC6"/>
    <w:rsid w:val="00354B7A"/>
    <w:rsid w:val="00355AC2"/>
    <w:rsid w:val="00356080"/>
    <w:rsid w:val="003576A2"/>
    <w:rsid w:val="00360007"/>
    <w:rsid w:val="00362CA2"/>
    <w:rsid w:val="00363072"/>
    <w:rsid w:val="00363965"/>
    <w:rsid w:val="00363966"/>
    <w:rsid w:val="00365359"/>
    <w:rsid w:val="00367F0C"/>
    <w:rsid w:val="0037294E"/>
    <w:rsid w:val="003741B0"/>
    <w:rsid w:val="00374FFA"/>
    <w:rsid w:val="00375481"/>
    <w:rsid w:val="00377513"/>
    <w:rsid w:val="00377894"/>
    <w:rsid w:val="00380B97"/>
    <w:rsid w:val="003819F2"/>
    <w:rsid w:val="0038240C"/>
    <w:rsid w:val="0038245C"/>
    <w:rsid w:val="00382D56"/>
    <w:rsid w:val="0038359A"/>
    <w:rsid w:val="003836B0"/>
    <w:rsid w:val="00386466"/>
    <w:rsid w:val="003865F8"/>
    <w:rsid w:val="00386AA0"/>
    <w:rsid w:val="0038742C"/>
    <w:rsid w:val="00387996"/>
    <w:rsid w:val="003879FB"/>
    <w:rsid w:val="0039048C"/>
    <w:rsid w:val="00391D39"/>
    <w:rsid w:val="00391F03"/>
    <w:rsid w:val="003925EA"/>
    <w:rsid w:val="003937D8"/>
    <w:rsid w:val="0039407B"/>
    <w:rsid w:val="0039566A"/>
    <w:rsid w:val="00396091"/>
    <w:rsid w:val="003979D4"/>
    <w:rsid w:val="003A11D0"/>
    <w:rsid w:val="003A18E7"/>
    <w:rsid w:val="003A2368"/>
    <w:rsid w:val="003A2E53"/>
    <w:rsid w:val="003A4F4E"/>
    <w:rsid w:val="003A593E"/>
    <w:rsid w:val="003A5E9B"/>
    <w:rsid w:val="003A6775"/>
    <w:rsid w:val="003A7C47"/>
    <w:rsid w:val="003B17B0"/>
    <w:rsid w:val="003B1B15"/>
    <w:rsid w:val="003B408F"/>
    <w:rsid w:val="003B62E6"/>
    <w:rsid w:val="003B74D2"/>
    <w:rsid w:val="003B7A5C"/>
    <w:rsid w:val="003C0203"/>
    <w:rsid w:val="003C0D7D"/>
    <w:rsid w:val="003C16E4"/>
    <w:rsid w:val="003C17B5"/>
    <w:rsid w:val="003C19E2"/>
    <w:rsid w:val="003C1B76"/>
    <w:rsid w:val="003C339D"/>
    <w:rsid w:val="003C4858"/>
    <w:rsid w:val="003C5BB3"/>
    <w:rsid w:val="003C69C9"/>
    <w:rsid w:val="003C7F8F"/>
    <w:rsid w:val="003D1170"/>
    <w:rsid w:val="003D1B8E"/>
    <w:rsid w:val="003D1D5F"/>
    <w:rsid w:val="003D2243"/>
    <w:rsid w:val="003D2D72"/>
    <w:rsid w:val="003D36EE"/>
    <w:rsid w:val="003D3F57"/>
    <w:rsid w:val="003D4394"/>
    <w:rsid w:val="003D4C29"/>
    <w:rsid w:val="003D50AB"/>
    <w:rsid w:val="003D5701"/>
    <w:rsid w:val="003D6348"/>
    <w:rsid w:val="003D6C7E"/>
    <w:rsid w:val="003D6E0A"/>
    <w:rsid w:val="003D72DA"/>
    <w:rsid w:val="003E078C"/>
    <w:rsid w:val="003E2DAB"/>
    <w:rsid w:val="003E361B"/>
    <w:rsid w:val="003E71BB"/>
    <w:rsid w:val="003E789E"/>
    <w:rsid w:val="003E7EF2"/>
    <w:rsid w:val="003F13A5"/>
    <w:rsid w:val="003F1823"/>
    <w:rsid w:val="003F29B4"/>
    <w:rsid w:val="003F3224"/>
    <w:rsid w:val="003F3518"/>
    <w:rsid w:val="003F3D30"/>
    <w:rsid w:val="003F4218"/>
    <w:rsid w:val="003F504F"/>
    <w:rsid w:val="003F58DC"/>
    <w:rsid w:val="003F5B69"/>
    <w:rsid w:val="003F760E"/>
    <w:rsid w:val="0040121D"/>
    <w:rsid w:val="0040276D"/>
    <w:rsid w:val="00402DA4"/>
    <w:rsid w:val="00402F34"/>
    <w:rsid w:val="0040361B"/>
    <w:rsid w:val="0040556C"/>
    <w:rsid w:val="004064F4"/>
    <w:rsid w:val="00407637"/>
    <w:rsid w:val="004105EF"/>
    <w:rsid w:val="00414074"/>
    <w:rsid w:val="0041516D"/>
    <w:rsid w:val="0041521C"/>
    <w:rsid w:val="0041528A"/>
    <w:rsid w:val="00415A1A"/>
    <w:rsid w:val="00421293"/>
    <w:rsid w:val="00421A9F"/>
    <w:rsid w:val="00422A52"/>
    <w:rsid w:val="004230D0"/>
    <w:rsid w:val="0042326A"/>
    <w:rsid w:val="00423F96"/>
    <w:rsid w:val="004249F9"/>
    <w:rsid w:val="00430056"/>
    <w:rsid w:val="004306FF"/>
    <w:rsid w:val="00431939"/>
    <w:rsid w:val="00431F4F"/>
    <w:rsid w:val="0043220E"/>
    <w:rsid w:val="004334AD"/>
    <w:rsid w:val="0043351E"/>
    <w:rsid w:val="00433676"/>
    <w:rsid w:val="004337DF"/>
    <w:rsid w:val="00436504"/>
    <w:rsid w:val="004366EB"/>
    <w:rsid w:val="00436A3B"/>
    <w:rsid w:val="00436BA8"/>
    <w:rsid w:val="004405C7"/>
    <w:rsid w:val="00441479"/>
    <w:rsid w:val="00441D39"/>
    <w:rsid w:val="00441DD5"/>
    <w:rsid w:val="00442AF8"/>
    <w:rsid w:val="00443D0A"/>
    <w:rsid w:val="00444F53"/>
    <w:rsid w:val="0044514A"/>
    <w:rsid w:val="00445BC7"/>
    <w:rsid w:val="00446D07"/>
    <w:rsid w:val="00447E59"/>
    <w:rsid w:val="004510BC"/>
    <w:rsid w:val="00451551"/>
    <w:rsid w:val="00453255"/>
    <w:rsid w:val="00455981"/>
    <w:rsid w:val="00457DC2"/>
    <w:rsid w:val="00460EF7"/>
    <w:rsid w:val="0046206A"/>
    <w:rsid w:val="00462299"/>
    <w:rsid w:val="00465E37"/>
    <w:rsid w:val="00466339"/>
    <w:rsid w:val="00466534"/>
    <w:rsid w:val="0046780A"/>
    <w:rsid w:val="00467F3C"/>
    <w:rsid w:val="004700AB"/>
    <w:rsid w:val="0047012B"/>
    <w:rsid w:val="004728C2"/>
    <w:rsid w:val="004733D3"/>
    <w:rsid w:val="00473945"/>
    <w:rsid w:val="00475AED"/>
    <w:rsid w:val="00477358"/>
    <w:rsid w:val="00477E47"/>
    <w:rsid w:val="004809EB"/>
    <w:rsid w:val="00481869"/>
    <w:rsid w:val="00481968"/>
    <w:rsid w:val="00482274"/>
    <w:rsid w:val="00482675"/>
    <w:rsid w:val="0048324D"/>
    <w:rsid w:val="004837BE"/>
    <w:rsid w:val="00483B34"/>
    <w:rsid w:val="00484166"/>
    <w:rsid w:val="00485F54"/>
    <w:rsid w:val="00487315"/>
    <w:rsid w:val="00491763"/>
    <w:rsid w:val="00491D96"/>
    <w:rsid w:val="00491E40"/>
    <w:rsid w:val="004922E5"/>
    <w:rsid w:val="00492A1E"/>
    <w:rsid w:val="00494530"/>
    <w:rsid w:val="00494624"/>
    <w:rsid w:val="00494A5F"/>
    <w:rsid w:val="00495001"/>
    <w:rsid w:val="004956D1"/>
    <w:rsid w:val="0049597A"/>
    <w:rsid w:val="004976F9"/>
    <w:rsid w:val="004977CA"/>
    <w:rsid w:val="004977FD"/>
    <w:rsid w:val="004A0267"/>
    <w:rsid w:val="004A112E"/>
    <w:rsid w:val="004A2B7D"/>
    <w:rsid w:val="004A37F9"/>
    <w:rsid w:val="004A549A"/>
    <w:rsid w:val="004A605D"/>
    <w:rsid w:val="004A69D8"/>
    <w:rsid w:val="004A76F2"/>
    <w:rsid w:val="004B1FD6"/>
    <w:rsid w:val="004B27A9"/>
    <w:rsid w:val="004B463C"/>
    <w:rsid w:val="004B488C"/>
    <w:rsid w:val="004B4C84"/>
    <w:rsid w:val="004B4DED"/>
    <w:rsid w:val="004B505E"/>
    <w:rsid w:val="004B51E3"/>
    <w:rsid w:val="004B5467"/>
    <w:rsid w:val="004B6736"/>
    <w:rsid w:val="004B6B56"/>
    <w:rsid w:val="004B6ED7"/>
    <w:rsid w:val="004B78CE"/>
    <w:rsid w:val="004B7E42"/>
    <w:rsid w:val="004C12F8"/>
    <w:rsid w:val="004C2BEE"/>
    <w:rsid w:val="004C351C"/>
    <w:rsid w:val="004C4753"/>
    <w:rsid w:val="004C509C"/>
    <w:rsid w:val="004D025B"/>
    <w:rsid w:val="004D0866"/>
    <w:rsid w:val="004D0DD7"/>
    <w:rsid w:val="004D0EAD"/>
    <w:rsid w:val="004D1209"/>
    <w:rsid w:val="004D2ABE"/>
    <w:rsid w:val="004D34EB"/>
    <w:rsid w:val="004D3B6A"/>
    <w:rsid w:val="004D4247"/>
    <w:rsid w:val="004D4BD6"/>
    <w:rsid w:val="004D540F"/>
    <w:rsid w:val="004D6328"/>
    <w:rsid w:val="004D7237"/>
    <w:rsid w:val="004D794D"/>
    <w:rsid w:val="004D7FCB"/>
    <w:rsid w:val="004E0C05"/>
    <w:rsid w:val="004E1098"/>
    <w:rsid w:val="004E2BAD"/>
    <w:rsid w:val="004E3473"/>
    <w:rsid w:val="004E4D4E"/>
    <w:rsid w:val="004E5F03"/>
    <w:rsid w:val="004E618D"/>
    <w:rsid w:val="004E752E"/>
    <w:rsid w:val="004F0052"/>
    <w:rsid w:val="004F0460"/>
    <w:rsid w:val="004F1425"/>
    <w:rsid w:val="004F2BD3"/>
    <w:rsid w:val="004F3309"/>
    <w:rsid w:val="004F3E6D"/>
    <w:rsid w:val="004F4F17"/>
    <w:rsid w:val="004F6169"/>
    <w:rsid w:val="005012F7"/>
    <w:rsid w:val="00501AEF"/>
    <w:rsid w:val="00501B4F"/>
    <w:rsid w:val="005029BC"/>
    <w:rsid w:val="00502CA1"/>
    <w:rsid w:val="005034E3"/>
    <w:rsid w:val="0050669A"/>
    <w:rsid w:val="00506A2D"/>
    <w:rsid w:val="0050739A"/>
    <w:rsid w:val="0050760D"/>
    <w:rsid w:val="005100DC"/>
    <w:rsid w:val="005101D2"/>
    <w:rsid w:val="00511660"/>
    <w:rsid w:val="00511FFD"/>
    <w:rsid w:val="00512A0D"/>
    <w:rsid w:val="00515CE9"/>
    <w:rsid w:val="00515E4E"/>
    <w:rsid w:val="00517CCE"/>
    <w:rsid w:val="00517D83"/>
    <w:rsid w:val="00520706"/>
    <w:rsid w:val="00520746"/>
    <w:rsid w:val="005216F1"/>
    <w:rsid w:val="00521F97"/>
    <w:rsid w:val="005229A0"/>
    <w:rsid w:val="00522D2E"/>
    <w:rsid w:val="00522D50"/>
    <w:rsid w:val="0052426A"/>
    <w:rsid w:val="0052712A"/>
    <w:rsid w:val="00527D92"/>
    <w:rsid w:val="005307FD"/>
    <w:rsid w:val="00530B0B"/>
    <w:rsid w:val="00530F83"/>
    <w:rsid w:val="00531BAF"/>
    <w:rsid w:val="00532FBE"/>
    <w:rsid w:val="005333BF"/>
    <w:rsid w:val="0053355D"/>
    <w:rsid w:val="00533AC9"/>
    <w:rsid w:val="00534E5A"/>
    <w:rsid w:val="0053689C"/>
    <w:rsid w:val="00537781"/>
    <w:rsid w:val="00537C89"/>
    <w:rsid w:val="005409DB"/>
    <w:rsid w:val="00540C70"/>
    <w:rsid w:val="005419F7"/>
    <w:rsid w:val="005426C1"/>
    <w:rsid w:val="00542C62"/>
    <w:rsid w:val="00543F5F"/>
    <w:rsid w:val="005442F3"/>
    <w:rsid w:val="0054553E"/>
    <w:rsid w:val="00545698"/>
    <w:rsid w:val="00545745"/>
    <w:rsid w:val="00546149"/>
    <w:rsid w:val="005461D8"/>
    <w:rsid w:val="0055163A"/>
    <w:rsid w:val="00551696"/>
    <w:rsid w:val="00551A9E"/>
    <w:rsid w:val="00551C64"/>
    <w:rsid w:val="00554347"/>
    <w:rsid w:val="00554840"/>
    <w:rsid w:val="00554AEC"/>
    <w:rsid w:val="00555089"/>
    <w:rsid w:val="00555976"/>
    <w:rsid w:val="005565F1"/>
    <w:rsid w:val="00557E58"/>
    <w:rsid w:val="0056091D"/>
    <w:rsid w:val="00562259"/>
    <w:rsid w:val="005622A9"/>
    <w:rsid w:val="005655BD"/>
    <w:rsid w:val="00565F3C"/>
    <w:rsid w:val="00566997"/>
    <w:rsid w:val="00566B4E"/>
    <w:rsid w:val="005725D3"/>
    <w:rsid w:val="00573B46"/>
    <w:rsid w:val="00573C8F"/>
    <w:rsid w:val="00574014"/>
    <w:rsid w:val="005749AB"/>
    <w:rsid w:val="00576243"/>
    <w:rsid w:val="00576C5E"/>
    <w:rsid w:val="00577C17"/>
    <w:rsid w:val="00580957"/>
    <w:rsid w:val="00581336"/>
    <w:rsid w:val="00581F42"/>
    <w:rsid w:val="0058248B"/>
    <w:rsid w:val="005824FB"/>
    <w:rsid w:val="005827A7"/>
    <w:rsid w:val="00582D85"/>
    <w:rsid w:val="00584876"/>
    <w:rsid w:val="00585B39"/>
    <w:rsid w:val="00586041"/>
    <w:rsid w:val="00586955"/>
    <w:rsid w:val="005872CE"/>
    <w:rsid w:val="0058730F"/>
    <w:rsid w:val="005875F6"/>
    <w:rsid w:val="0058769A"/>
    <w:rsid w:val="0058797C"/>
    <w:rsid w:val="005905E2"/>
    <w:rsid w:val="00591B1C"/>
    <w:rsid w:val="005937C9"/>
    <w:rsid w:val="005955BA"/>
    <w:rsid w:val="0059598D"/>
    <w:rsid w:val="00596536"/>
    <w:rsid w:val="005A0443"/>
    <w:rsid w:val="005A0B59"/>
    <w:rsid w:val="005A0CA3"/>
    <w:rsid w:val="005A230F"/>
    <w:rsid w:val="005A245A"/>
    <w:rsid w:val="005A29DB"/>
    <w:rsid w:val="005A2C7B"/>
    <w:rsid w:val="005A328C"/>
    <w:rsid w:val="005A3AFA"/>
    <w:rsid w:val="005A3DA6"/>
    <w:rsid w:val="005A689F"/>
    <w:rsid w:val="005A7987"/>
    <w:rsid w:val="005B0966"/>
    <w:rsid w:val="005B0F9A"/>
    <w:rsid w:val="005B1A42"/>
    <w:rsid w:val="005B1D03"/>
    <w:rsid w:val="005B1D42"/>
    <w:rsid w:val="005B1DC2"/>
    <w:rsid w:val="005B46BD"/>
    <w:rsid w:val="005B4D4D"/>
    <w:rsid w:val="005B4DB1"/>
    <w:rsid w:val="005B6024"/>
    <w:rsid w:val="005B6D33"/>
    <w:rsid w:val="005C162E"/>
    <w:rsid w:val="005C1B19"/>
    <w:rsid w:val="005C1B88"/>
    <w:rsid w:val="005C25C7"/>
    <w:rsid w:val="005C26F3"/>
    <w:rsid w:val="005C319D"/>
    <w:rsid w:val="005C3259"/>
    <w:rsid w:val="005C379E"/>
    <w:rsid w:val="005C417A"/>
    <w:rsid w:val="005C5E4B"/>
    <w:rsid w:val="005C658D"/>
    <w:rsid w:val="005C77A2"/>
    <w:rsid w:val="005C7FA2"/>
    <w:rsid w:val="005D0F9E"/>
    <w:rsid w:val="005D1B82"/>
    <w:rsid w:val="005D22FC"/>
    <w:rsid w:val="005D2829"/>
    <w:rsid w:val="005D32E0"/>
    <w:rsid w:val="005D3D41"/>
    <w:rsid w:val="005D53CA"/>
    <w:rsid w:val="005D586B"/>
    <w:rsid w:val="005D736F"/>
    <w:rsid w:val="005E209A"/>
    <w:rsid w:val="005E4F70"/>
    <w:rsid w:val="005E593B"/>
    <w:rsid w:val="005E5C95"/>
    <w:rsid w:val="005E6192"/>
    <w:rsid w:val="005E6267"/>
    <w:rsid w:val="005E7457"/>
    <w:rsid w:val="005E7CE8"/>
    <w:rsid w:val="005F1282"/>
    <w:rsid w:val="005F162E"/>
    <w:rsid w:val="005F16C3"/>
    <w:rsid w:val="005F19DE"/>
    <w:rsid w:val="005F204E"/>
    <w:rsid w:val="005F328B"/>
    <w:rsid w:val="005F4644"/>
    <w:rsid w:val="005F5410"/>
    <w:rsid w:val="005F601B"/>
    <w:rsid w:val="005F6547"/>
    <w:rsid w:val="005F74F3"/>
    <w:rsid w:val="006011C3"/>
    <w:rsid w:val="0060161F"/>
    <w:rsid w:val="00601D7A"/>
    <w:rsid w:val="00601E1E"/>
    <w:rsid w:val="00602907"/>
    <w:rsid w:val="00604551"/>
    <w:rsid w:val="00604B7D"/>
    <w:rsid w:val="006055E3"/>
    <w:rsid w:val="00605A28"/>
    <w:rsid w:val="00606510"/>
    <w:rsid w:val="006065D3"/>
    <w:rsid w:val="00610319"/>
    <w:rsid w:val="00610BA9"/>
    <w:rsid w:val="00610DD1"/>
    <w:rsid w:val="00613604"/>
    <w:rsid w:val="0061399D"/>
    <w:rsid w:val="00614E98"/>
    <w:rsid w:val="0061587D"/>
    <w:rsid w:val="00617712"/>
    <w:rsid w:val="00620A89"/>
    <w:rsid w:val="00621F2A"/>
    <w:rsid w:val="0062205A"/>
    <w:rsid w:val="00622822"/>
    <w:rsid w:val="0062295C"/>
    <w:rsid w:val="006234BC"/>
    <w:rsid w:val="00623AD2"/>
    <w:rsid w:val="0062425B"/>
    <w:rsid w:val="00624EBB"/>
    <w:rsid w:val="00625197"/>
    <w:rsid w:val="00625729"/>
    <w:rsid w:val="006259BD"/>
    <w:rsid w:val="00626BCD"/>
    <w:rsid w:val="0062717C"/>
    <w:rsid w:val="00627814"/>
    <w:rsid w:val="00627B16"/>
    <w:rsid w:val="00632B51"/>
    <w:rsid w:val="00633021"/>
    <w:rsid w:val="00633CD9"/>
    <w:rsid w:val="00636962"/>
    <w:rsid w:val="00636EDC"/>
    <w:rsid w:val="00636EE3"/>
    <w:rsid w:val="006410D9"/>
    <w:rsid w:val="00641AD3"/>
    <w:rsid w:val="00641EE5"/>
    <w:rsid w:val="00641FDC"/>
    <w:rsid w:val="00644420"/>
    <w:rsid w:val="0064474B"/>
    <w:rsid w:val="00644C71"/>
    <w:rsid w:val="00645E1A"/>
    <w:rsid w:val="0064622D"/>
    <w:rsid w:val="006462FA"/>
    <w:rsid w:val="00650C82"/>
    <w:rsid w:val="006520A5"/>
    <w:rsid w:val="00653DE0"/>
    <w:rsid w:val="00655172"/>
    <w:rsid w:val="00656C79"/>
    <w:rsid w:val="00657169"/>
    <w:rsid w:val="00657446"/>
    <w:rsid w:val="0065748A"/>
    <w:rsid w:val="006575E3"/>
    <w:rsid w:val="00660744"/>
    <w:rsid w:val="00660AFC"/>
    <w:rsid w:val="00660EBB"/>
    <w:rsid w:val="00661021"/>
    <w:rsid w:val="00661ACD"/>
    <w:rsid w:val="00662890"/>
    <w:rsid w:val="00663629"/>
    <w:rsid w:val="00663CC5"/>
    <w:rsid w:val="00663D25"/>
    <w:rsid w:val="0066472A"/>
    <w:rsid w:val="00665F7D"/>
    <w:rsid w:val="00666A14"/>
    <w:rsid w:val="00670660"/>
    <w:rsid w:val="00670F73"/>
    <w:rsid w:val="00672298"/>
    <w:rsid w:val="00673822"/>
    <w:rsid w:val="00674A6D"/>
    <w:rsid w:val="00674AFC"/>
    <w:rsid w:val="00675032"/>
    <w:rsid w:val="00675C9E"/>
    <w:rsid w:val="00675EAD"/>
    <w:rsid w:val="0067610D"/>
    <w:rsid w:val="00676963"/>
    <w:rsid w:val="00677359"/>
    <w:rsid w:val="00677666"/>
    <w:rsid w:val="00682125"/>
    <w:rsid w:val="006830CD"/>
    <w:rsid w:val="00683165"/>
    <w:rsid w:val="0068435A"/>
    <w:rsid w:val="00684D69"/>
    <w:rsid w:val="00684E55"/>
    <w:rsid w:val="00686AF3"/>
    <w:rsid w:val="006928F3"/>
    <w:rsid w:val="00693A6A"/>
    <w:rsid w:val="00693B0E"/>
    <w:rsid w:val="006952F5"/>
    <w:rsid w:val="00695857"/>
    <w:rsid w:val="00695D76"/>
    <w:rsid w:val="00695FAD"/>
    <w:rsid w:val="006973EE"/>
    <w:rsid w:val="00697CEE"/>
    <w:rsid w:val="006A047B"/>
    <w:rsid w:val="006A0DB3"/>
    <w:rsid w:val="006A350C"/>
    <w:rsid w:val="006A4312"/>
    <w:rsid w:val="006A4857"/>
    <w:rsid w:val="006A5596"/>
    <w:rsid w:val="006A68D0"/>
    <w:rsid w:val="006A73FD"/>
    <w:rsid w:val="006A7706"/>
    <w:rsid w:val="006A7F51"/>
    <w:rsid w:val="006B1BC0"/>
    <w:rsid w:val="006B2087"/>
    <w:rsid w:val="006B3827"/>
    <w:rsid w:val="006B4620"/>
    <w:rsid w:val="006B4ED2"/>
    <w:rsid w:val="006B5EB3"/>
    <w:rsid w:val="006B6285"/>
    <w:rsid w:val="006B6E3B"/>
    <w:rsid w:val="006B7A41"/>
    <w:rsid w:val="006C047A"/>
    <w:rsid w:val="006C0ADC"/>
    <w:rsid w:val="006C11CE"/>
    <w:rsid w:val="006C1246"/>
    <w:rsid w:val="006C1B42"/>
    <w:rsid w:val="006C285C"/>
    <w:rsid w:val="006C3A53"/>
    <w:rsid w:val="006C56C9"/>
    <w:rsid w:val="006C5DA4"/>
    <w:rsid w:val="006C67D7"/>
    <w:rsid w:val="006C7D9A"/>
    <w:rsid w:val="006C7E82"/>
    <w:rsid w:val="006D144F"/>
    <w:rsid w:val="006D567B"/>
    <w:rsid w:val="006D72C7"/>
    <w:rsid w:val="006D771E"/>
    <w:rsid w:val="006E06C6"/>
    <w:rsid w:val="006E0B76"/>
    <w:rsid w:val="006E1437"/>
    <w:rsid w:val="006E1537"/>
    <w:rsid w:val="006E18DB"/>
    <w:rsid w:val="006E1B7C"/>
    <w:rsid w:val="006E1CF0"/>
    <w:rsid w:val="006E2BDC"/>
    <w:rsid w:val="006E2EB3"/>
    <w:rsid w:val="006E3EAB"/>
    <w:rsid w:val="006E4343"/>
    <w:rsid w:val="006E44F8"/>
    <w:rsid w:val="006E4A7F"/>
    <w:rsid w:val="006E4F98"/>
    <w:rsid w:val="006E521B"/>
    <w:rsid w:val="006E5BDD"/>
    <w:rsid w:val="006E798E"/>
    <w:rsid w:val="006F110C"/>
    <w:rsid w:val="006F30B4"/>
    <w:rsid w:val="006F31C3"/>
    <w:rsid w:val="006F3F8C"/>
    <w:rsid w:val="006F46C3"/>
    <w:rsid w:val="006F5377"/>
    <w:rsid w:val="006F6E12"/>
    <w:rsid w:val="006F75DD"/>
    <w:rsid w:val="007009AA"/>
    <w:rsid w:val="00701A84"/>
    <w:rsid w:val="00701F31"/>
    <w:rsid w:val="007026E3"/>
    <w:rsid w:val="007030E8"/>
    <w:rsid w:val="007036C3"/>
    <w:rsid w:val="007045BD"/>
    <w:rsid w:val="007051D4"/>
    <w:rsid w:val="00705859"/>
    <w:rsid w:val="00706041"/>
    <w:rsid w:val="007112CD"/>
    <w:rsid w:val="00711375"/>
    <w:rsid w:val="0071219E"/>
    <w:rsid w:val="00712398"/>
    <w:rsid w:val="007123AF"/>
    <w:rsid w:val="00712A96"/>
    <w:rsid w:val="00713C77"/>
    <w:rsid w:val="0071474D"/>
    <w:rsid w:val="00716280"/>
    <w:rsid w:val="00721056"/>
    <w:rsid w:val="00721F2B"/>
    <w:rsid w:val="00723914"/>
    <w:rsid w:val="00725B88"/>
    <w:rsid w:val="00725C94"/>
    <w:rsid w:val="00726A6C"/>
    <w:rsid w:val="00726B23"/>
    <w:rsid w:val="00726DB7"/>
    <w:rsid w:val="00727E29"/>
    <w:rsid w:val="00730DA6"/>
    <w:rsid w:val="0073129B"/>
    <w:rsid w:val="00732126"/>
    <w:rsid w:val="00732304"/>
    <w:rsid w:val="00733083"/>
    <w:rsid w:val="00733388"/>
    <w:rsid w:val="007342E5"/>
    <w:rsid w:val="007343B9"/>
    <w:rsid w:val="00734B58"/>
    <w:rsid w:val="00734C1B"/>
    <w:rsid w:val="00736CE8"/>
    <w:rsid w:val="007377D1"/>
    <w:rsid w:val="00741F09"/>
    <w:rsid w:val="00742B21"/>
    <w:rsid w:val="00743283"/>
    <w:rsid w:val="007433FD"/>
    <w:rsid w:val="0074397E"/>
    <w:rsid w:val="00744517"/>
    <w:rsid w:val="00745942"/>
    <w:rsid w:val="00746C98"/>
    <w:rsid w:val="00746DE7"/>
    <w:rsid w:val="00746F1A"/>
    <w:rsid w:val="00750137"/>
    <w:rsid w:val="0075115C"/>
    <w:rsid w:val="007525B7"/>
    <w:rsid w:val="00752B19"/>
    <w:rsid w:val="00752BB4"/>
    <w:rsid w:val="007549A9"/>
    <w:rsid w:val="00755157"/>
    <w:rsid w:val="00755C94"/>
    <w:rsid w:val="0075605F"/>
    <w:rsid w:val="0075687C"/>
    <w:rsid w:val="00760472"/>
    <w:rsid w:val="00761E12"/>
    <w:rsid w:val="00766147"/>
    <w:rsid w:val="00766DD4"/>
    <w:rsid w:val="00767246"/>
    <w:rsid w:val="00770518"/>
    <w:rsid w:val="0077087F"/>
    <w:rsid w:val="0077088B"/>
    <w:rsid w:val="00770FF1"/>
    <w:rsid w:val="00771F84"/>
    <w:rsid w:val="007724D2"/>
    <w:rsid w:val="00772E30"/>
    <w:rsid w:val="00776765"/>
    <w:rsid w:val="0077695C"/>
    <w:rsid w:val="007769FC"/>
    <w:rsid w:val="00780304"/>
    <w:rsid w:val="00780470"/>
    <w:rsid w:val="00780A56"/>
    <w:rsid w:val="00785BF9"/>
    <w:rsid w:val="00787DE0"/>
    <w:rsid w:val="00787E4F"/>
    <w:rsid w:val="007908B5"/>
    <w:rsid w:val="00790A94"/>
    <w:rsid w:val="007911B2"/>
    <w:rsid w:val="00793DAE"/>
    <w:rsid w:val="007946C2"/>
    <w:rsid w:val="007951BA"/>
    <w:rsid w:val="007965C5"/>
    <w:rsid w:val="007972F1"/>
    <w:rsid w:val="0079798B"/>
    <w:rsid w:val="00797ACE"/>
    <w:rsid w:val="007A08F7"/>
    <w:rsid w:val="007A0A41"/>
    <w:rsid w:val="007A1416"/>
    <w:rsid w:val="007A159F"/>
    <w:rsid w:val="007A1E5B"/>
    <w:rsid w:val="007A203B"/>
    <w:rsid w:val="007A36C9"/>
    <w:rsid w:val="007A4461"/>
    <w:rsid w:val="007A4CF9"/>
    <w:rsid w:val="007A4E3F"/>
    <w:rsid w:val="007A5188"/>
    <w:rsid w:val="007A6512"/>
    <w:rsid w:val="007A67FD"/>
    <w:rsid w:val="007B0CB2"/>
    <w:rsid w:val="007B239D"/>
    <w:rsid w:val="007B29E3"/>
    <w:rsid w:val="007B2B09"/>
    <w:rsid w:val="007B3449"/>
    <w:rsid w:val="007B3D71"/>
    <w:rsid w:val="007B4108"/>
    <w:rsid w:val="007B435F"/>
    <w:rsid w:val="007B5213"/>
    <w:rsid w:val="007B5790"/>
    <w:rsid w:val="007B5FDA"/>
    <w:rsid w:val="007B7DDF"/>
    <w:rsid w:val="007C07CC"/>
    <w:rsid w:val="007C1C47"/>
    <w:rsid w:val="007C1ED9"/>
    <w:rsid w:val="007C292F"/>
    <w:rsid w:val="007C2D30"/>
    <w:rsid w:val="007C3EA8"/>
    <w:rsid w:val="007C447B"/>
    <w:rsid w:val="007C4B61"/>
    <w:rsid w:val="007C793D"/>
    <w:rsid w:val="007D06C7"/>
    <w:rsid w:val="007D07A2"/>
    <w:rsid w:val="007D16DC"/>
    <w:rsid w:val="007D41F4"/>
    <w:rsid w:val="007D4C26"/>
    <w:rsid w:val="007D4EF4"/>
    <w:rsid w:val="007D5CBB"/>
    <w:rsid w:val="007D60C5"/>
    <w:rsid w:val="007D6572"/>
    <w:rsid w:val="007D7CAA"/>
    <w:rsid w:val="007E0563"/>
    <w:rsid w:val="007E6590"/>
    <w:rsid w:val="007E6CFA"/>
    <w:rsid w:val="007E6FB5"/>
    <w:rsid w:val="007E76B5"/>
    <w:rsid w:val="007E78FD"/>
    <w:rsid w:val="007F33A5"/>
    <w:rsid w:val="007F34D2"/>
    <w:rsid w:val="007F363B"/>
    <w:rsid w:val="007F407D"/>
    <w:rsid w:val="007F50C5"/>
    <w:rsid w:val="007F568B"/>
    <w:rsid w:val="007F5864"/>
    <w:rsid w:val="007F675C"/>
    <w:rsid w:val="007F6A96"/>
    <w:rsid w:val="00800AF7"/>
    <w:rsid w:val="00800F31"/>
    <w:rsid w:val="00801640"/>
    <w:rsid w:val="008016DA"/>
    <w:rsid w:val="00803860"/>
    <w:rsid w:val="00803D1B"/>
    <w:rsid w:val="00804854"/>
    <w:rsid w:val="00804C75"/>
    <w:rsid w:val="00804F04"/>
    <w:rsid w:val="00805A87"/>
    <w:rsid w:val="00805D01"/>
    <w:rsid w:val="0080724A"/>
    <w:rsid w:val="0081155D"/>
    <w:rsid w:val="00811567"/>
    <w:rsid w:val="00814074"/>
    <w:rsid w:val="008141AC"/>
    <w:rsid w:val="00814ACE"/>
    <w:rsid w:val="00815876"/>
    <w:rsid w:val="00815DE7"/>
    <w:rsid w:val="00816182"/>
    <w:rsid w:val="0081785A"/>
    <w:rsid w:val="008215A0"/>
    <w:rsid w:val="00822B05"/>
    <w:rsid w:val="00823971"/>
    <w:rsid w:val="00825170"/>
    <w:rsid w:val="00826534"/>
    <w:rsid w:val="00826784"/>
    <w:rsid w:val="00826C28"/>
    <w:rsid w:val="00827F93"/>
    <w:rsid w:val="0083003E"/>
    <w:rsid w:val="0083097F"/>
    <w:rsid w:val="008309E8"/>
    <w:rsid w:val="00830D14"/>
    <w:rsid w:val="008319EC"/>
    <w:rsid w:val="008321F0"/>
    <w:rsid w:val="00832B54"/>
    <w:rsid w:val="008331F8"/>
    <w:rsid w:val="00833E5B"/>
    <w:rsid w:val="00834D6E"/>
    <w:rsid w:val="0083513D"/>
    <w:rsid w:val="00835825"/>
    <w:rsid w:val="00836317"/>
    <w:rsid w:val="008376D6"/>
    <w:rsid w:val="00840D54"/>
    <w:rsid w:val="00840DB3"/>
    <w:rsid w:val="00840F0E"/>
    <w:rsid w:val="0084183E"/>
    <w:rsid w:val="00842D0A"/>
    <w:rsid w:val="0084316D"/>
    <w:rsid w:val="00844CF6"/>
    <w:rsid w:val="0084602F"/>
    <w:rsid w:val="00847378"/>
    <w:rsid w:val="00847755"/>
    <w:rsid w:val="00847E2F"/>
    <w:rsid w:val="008508EA"/>
    <w:rsid w:val="00851FB3"/>
    <w:rsid w:val="0085267C"/>
    <w:rsid w:val="008557AF"/>
    <w:rsid w:val="008567AE"/>
    <w:rsid w:val="00856C9B"/>
    <w:rsid w:val="008602E0"/>
    <w:rsid w:val="0086125C"/>
    <w:rsid w:val="008622F6"/>
    <w:rsid w:val="008625DD"/>
    <w:rsid w:val="008631FE"/>
    <w:rsid w:val="0086397B"/>
    <w:rsid w:val="008639BD"/>
    <w:rsid w:val="00863F1F"/>
    <w:rsid w:val="00863F6B"/>
    <w:rsid w:val="00865816"/>
    <w:rsid w:val="00865A18"/>
    <w:rsid w:val="00865A39"/>
    <w:rsid w:val="0086722C"/>
    <w:rsid w:val="008707EB"/>
    <w:rsid w:val="00871514"/>
    <w:rsid w:val="008719F7"/>
    <w:rsid w:val="00873DD8"/>
    <w:rsid w:val="00873E39"/>
    <w:rsid w:val="008748DD"/>
    <w:rsid w:val="0087661F"/>
    <w:rsid w:val="00877B50"/>
    <w:rsid w:val="008804FF"/>
    <w:rsid w:val="00880C01"/>
    <w:rsid w:val="00880C4E"/>
    <w:rsid w:val="0088112B"/>
    <w:rsid w:val="00881FBD"/>
    <w:rsid w:val="0088249A"/>
    <w:rsid w:val="00882933"/>
    <w:rsid w:val="00882A6E"/>
    <w:rsid w:val="00884568"/>
    <w:rsid w:val="008846D9"/>
    <w:rsid w:val="0088534C"/>
    <w:rsid w:val="00886D39"/>
    <w:rsid w:val="00891D32"/>
    <w:rsid w:val="00892B48"/>
    <w:rsid w:val="008932B4"/>
    <w:rsid w:val="008936E5"/>
    <w:rsid w:val="008940CB"/>
    <w:rsid w:val="008946EA"/>
    <w:rsid w:val="008948B6"/>
    <w:rsid w:val="008964D9"/>
    <w:rsid w:val="008A0C4A"/>
    <w:rsid w:val="008A215B"/>
    <w:rsid w:val="008A221E"/>
    <w:rsid w:val="008A3781"/>
    <w:rsid w:val="008A4584"/>
    <w:rsid w:val="008A4F8A"/>
    <w:rsid w:val="008A5600"/>
    <w:rsid w:val="008A6265"/>
    <w:rsid w:val="008A7791"/>
    <w:rsid w:val="008B128B"/>
    <w:rsid w:val="008B17F2"/>
    <w:rsid w:val="008B3246"/>
    <w:rsid w:val="008B3A0C"/>
    <w:rsid w:val="008B4958"/>
    <w:rsid w:val="008B6D1A"/>
    <w:rsid w:val="008B6D6F"/>
    <w:rsid w:val="008B779D"/>
    <w:rsid w:val="008B7B1E"/>
    <w:rsid w:val="008C11B1"/>
    <w:rsid w:val="008C42A4"/>
    <w:rsid w:val="008C451E"/>
    <w:rsid w:val="008C479F"/>
    <w:rsid w:val="008C4B94"/>
    <w:rsid w:val="008C4D93"/>
    <w:rsid w:val="008C4FBC"/>
    <w:rsid w:val="008C5D7B"/>
    <w:rsid w:val="008C5DE5"/>
    <w:rsid w:val="008C7832"/>
    <w:rsid w:val="008D03A1"/>
    <w:rsid w:val="008D0EA5"/>
    <w:rsid w:val="008D1879"/>
    <w:rsid w:val="008D2463"/>
    <w:rsid w:val="008D2B4F"/>
    <w:rsid w:val="008D41FB"/>
    <w:rsid w:val="008D43B6"/>
    <w:rsid w:val="008D4DCF"/>
    <w:rsid w:val="008D753E"/>
    <w:rsid w:val="008E0C18"/>
    <w:rsid w:val="008E1387"/>
    <w:rsid w:val="008E17F5"/>
    <w:rsid w:val="008E206A"/>
    <w:rsid w:val="008E2938"/>
    <w:rsid w:val="008E41E0"/>
    <w:rsid w:val="008E4AD8"/>
    <w:rsid w:val="008E5399"/>
    <w:rsid w:val="008E6632"/>
    <w:rsid w:val="008E6766"/>
    <w:rsid w:val="008F1370"/>
    <w:rsid w:val="008F20E6"/>
    <w:rsid w:val="008F28E8"/>
    <w:rsid w:val="008F2DB6"/>
    <w:rsid w:val="008F46B9"/>
    <w:rsid w:val="008F6AF6"/>
    <w:rsid w:val="008F6DF6"/>
    <w:rsid w:val="008F78BF"/>
    <w:rsid w:val="00900455"/>
    <w:rsid w:val="00900ABA"/>
    <w:rsid w:val="00900FA4"/>
    <w:rsid w:val="00900FFC"/>
    <w:rsid w:val="0090152F"/>
    <w:rsid w:val="00905AE6"/>
    <w:rsid w:val="00906163"/>
    <w:rsid w:val="009070F2"/>
    <w:rsid w:val="009102B1"/>
    <w:rsid w:val="009112D5"/>
    <w:rsid w:val="009117AF"/>
    <w:rsid w:val="00913A8F"/>
    <w:rsid w:val="00913BD8"/>
    <w:rsid w:val="00913DA9"/>
    <w:rsid w:val="00913FD1"/>
    <w:rsid w:val="0091476B"/>
    <w:rsid w:val="0091482E"/>
    <w:rsid w:val="00914D8C"/>
    <w:rsid w:val="009150E0"/>
    <w:rsid w:val="00915BD0"/>
    <w:rsid w:val="00916397"/>
    <w:rsid w:val="009165B6"/>
    <w:rsid w:val="00916BB9"/>
    <w:rsid w:val="00917280"/>
    <w:rsid w:val="0091764F"/>
    <w:rsid w:val="009218FD"/>
    <w:rsid w:val="00921EF2"/>
    <w:rsid w:val="00922D1D"/>
    <w:rsid w:val="00923A54"/>
    <w:rsid w:val="00924596"/>
    <w:rsid w:val="0092577B"/>
    <w:rsid w:val="00926831"/>
    <w:rsid w:val="00927B25"/>
    <w:rsid w:val="0093010D"/>
    <w:rsid w:val="00931126"/>
    <w:rsid w:val="009311B2"/>
    <w:rsid w:val="00931BBB"/>
    <w:rsid w:val="009336D5"/>
    <w:rsid w:val="009358E2"/>
    <w:rsid w:val="00936043"/>
    <w:rsid w:val="00936940"/>
    <w:rsid w:val="00936F8B"/>
    <w:rsid w:val="00937163"/>
    <w:rsid w:val="00940CBF"/>
    <w:rsid w:val="00940D5F"/>
    <w:rsid w:val="00940E75"/>
    <w:rsid w:val="00942BA3"/>
    <w:rsid w:val="00942FF5"/>
    <w:rsid w:val="00943B39"/>
    <w:rsid w:val="00943F58"/>
    <w:rsid w:val="0094443B"/>
    <w:rsid w:val="0094469F"/>
    <w:rsid w:val="0094561E"/>
    <w:rsid w:val="00946FE4"/>
    <w:rsid w:val="00947226"/>
    <w:rsid w:val="00947848"/>
    <w:rsid w:val="0094784E"/>
    <w:rsid w:val="009478B6"/>
    <w:rsid w:val="0094793B"/>
    <w:rsid w:val="00950795"/>
    <w:rsid w:val="00950A4D"/>
    <w:rsid w:val="009513DE"/>
    <w:rsid w:val="009522E0"/>
    <w:rsid w:val="009531D4"/>
    <w:rsid w:val="0095367A"/>
    <w:rsid w:val="00953D09"/>
    <w:rsid w:val="00954401"/>
    <w:rsid w:val="0095527C"/>
    <w:rsid w:val="00955FF7"/>
    <w:rsid w:val="00956336"/>
    <w:rsid w:val="00956DBA"/>
    <w:rsid w:val="00956DCC"/>
    <w:rsid w:val="0095717E"/>
    <w:rsid w:val="009571BE"/>
    <w:rsid w:val="00957D2A"/>
    <w:rsid w:val="0096197F"/>
    <w:rsid w:val="00964057"/>
    <w:rsid w:val="00964882"/>
    <w:rsid w:val="00964999"/>
    <w:rsid w:val="00964BFB"/>
    <w:rsid w:val="00965593"/>
    <w:rsid w:val="00967161"/>
    <w:rsid w:val="009678EF"/>
    <w:rsid w:val="00967A3B"/>
    <w:rsid w:val="009713A0"/>
    <w:rsid w:val="00972361"/>
    <w:rsid w:val="00972737"/>
    <w:rsid w:val="00972764"/>
    <w:rsid w:val="009727B4"/>
    <w:rsid w:val="00972D10"/>
    <w:rsid w:val="0097599B"/>
    <w:rsid w:val="009763A1"/>
    <w:rsid w:val="00976894"/>
    <w:rsid w:val="0098095B"/>
    <w:rsid w:val="00981293"/>
    <w:rsid w:val="009812B2"/>
    <w:rsid w:val="009816BB"/>
    <w:rsid w:val="0098332A"/>
    <w:rsid w:val="00983476"/>
    <w:rsid w:val="00984168"/>
    <w:rsid w:val="009841D2"/>
    <w:rsid w:val="009845A0"/>
    <w:rsid w:val="0098472D"/>
    <w:rsid w:val="0098473F"/>
    <w:rsid w:val="00984E29"/>
    <w:rsid w:val="0098548A"/>
    <w:rsid w:val="009857A5"/>
    <w:rsid w:val="00985B61"/>
    <w:rsid w:val="009864D2"/>
    <w:rsid w:val="00986EC3"/>
    <w:rsid w:val="009874CD"/>
    <w:rsid w:val="0098760F"/>
    <w:rsid w:val="00987946"/>
    <w:rsid w:val="00990D37"/>
    <w:rsid w:val="009914DB"/>
    <w:rsid w:val="00993DD3"/>
    <w:rsid w:val="00995C8F"/>
    <w:rsid w:val="0099765D"/>
    <w:rsid w:val="00997DBB"/>
    <w:rsid w:val="009A0419"/>
    <w:rsid w:val="009A21F7"/>
    <w:rsid w:val="009A24A1"/>
    <w:rsid w:val="009A6828"/>
    <w:rsid w:val="009A682E"/>
    <w:rsid w:val="009A77FB"/>
    <w:rsid w:val="009B005A"/>
    <w:rsid w:val="009B115E"/>
    <w:rsid w:val="009B29E3"/>
    <w:rsid w:val="009B46E3"/>
    <w:rsid w:val="009B53DD"/>
    <w:rsid w:val="009B54E6"/>
    <w:rsid w:val="009B57BD"/>
    <w:rsid w:val="009B5AC0"/>
    <w:rsid w:val="009B6A7A"/>
    <w:rsid w:val="009C0579"/>
    <w:rsid w:val="009C0DC1"/>
    <w:rsid w:val="009C2700"/>
    <w:rsid w:val="009C2F1C"/>
    <w:rsid w:val="009C390B"/>
    <w:rsid w:val="009C409D"/>
    <w:rsid w:val="009C42F0"/>
    <w:rsid w:val="009C54A4"/>
    <w:rsid w:val="009C5D2B"/>
    <w:rsid w:val="009C608D"/>
    <w:rsid w:val="009D0589"/>
    <w:rsid w:val="009D0A6C"/>
    <w:rsid w:val="009D0E76"/>
    <w:rsid w:val="009D0EB0"/>
    <w:rsid w:val="009D0F98"/>
    <w:rsid w:val="009D38D1"/>
    <w:rsid w:val="009D3F99"/>
    <w:rsid w:val="009E1407"/>
    <w:rsid w:val="009E20DB"/>
    <w:rsid w:val="009E280D"/>
    <w:rsid w:val="009E28DC"/>
    <w:rsid w:val="009E2C44"/>
    <w:rsid w:val="009E31DA"/>
    <w:rsid w:val="009E3CF4"/>
    <w:rsid w:val="009E3F4F"/>
    <w:rsid w:val="009E4354"/>
    <w:rsid w:val="009E4449"/>
    <w:rsid w:val="009E77CE"/>
    <w:rsid w:val="009F1AC6"/>
    <w:rsid w:val="009F39D9"/>
    <w:rsid w:val="009F3D52"/>
    <w:rsid w:val="009F46DE"/>
    <w:rsid w:val="009F58D6"/>
    <w:rsid w:val="009F5CFC"/>
    <w:rsid w:val="009F7053"/>
    <w:rsid w:val="00A00218"/>
    <w:rsid w:val="00A00586"/>
    <w:rsid w:val="00A00B02"/>
    <w:rsid w:val="00A01041"/>
    <w:rsid w:val="00A013E6"/>
    <w:rsid w:val="00A0204F"/>
    <w:rsid w:val="00A02DC3"/>
    <w:rsid w:val="00A03AF9"/>
    <w:rsid w:val="00A057B3"/>
    <w:rsid w:val="00A05978"/>
    <w:rsid w:val="00A059CF"/>
    <w:rsid w:val="00A064C0"/>
    <w:rsid w:val="00A067C0"/>
    <w:rsid w:val="00A07166"/>
    <w:rsid w:val="00A0759E"/>
    <w:rsid w:val="00A1079F"/>
    <w:rsid w:val="00A10A26"/>
    <w:rsid w:val="00A10D4C"/>
    <w:rsid w:val="00A12588"/>
    <w:rsid w:val="00A12E63"/>
    <w:rsid w:val="00A14067"/>
    <w:rsid w:val="00A14161"/>
    <w:rsid w:val="00A161A9"/>
    <w:rsid w:val="00A17C0C"/>
    <w:rsid w:val="00A20C87"/>
    <w:rsid w:val="00A214E6"/>
    <w:rsid w:val="00A21F26"/>
    <w:rsid w:val="00A236AA"/>
    <w:rsid w:val="00A239C4"/>
    <w:rsid w:val="00A24AE5"/>
    <w:rsid w:val="00A26987"/>
    <w:rsid w:val="00A27041"/>
    <w:rsid w:val="00A27544"/>
    <w:rsid w:val="00A27AD2"/>
    <w:rsid w:val="00A27FC5"/>
    <w:rsid w:val="00A31D81"/>
    <w:rsid w:val="00A31E31"/>
    <w:rsid w:val="00A31FBE"/>
    <w:rsid w:val="00A32FE4"/>
    <w:rsid w:val="00A33EF4"/>
    <w:rsid w:val="00A34367"/>
    <w:rsid w:val="00A355B3"/>
    <w:rsid w:val="00A3571C"/>
    <w:rsid w:val="00A37284"/>
    <w:rsid w:val="00A40975"/>
    <w:rsid w:val="00A40B09"/>
    <w:rsid w:val="00A40E53"/>
    <w:rsid w:val="00A41FD2"/>
    <w:rsid w:val="00A443E0"/>
    <w:rsid w:val="00A47F7A"/>
    <w:rsid w:val="00A51D94"/>
    <w:rsid w:val="00A51E2E"/>
    <w:rsid w:val="00A53C1E"/>
    <w:rsid w:val="00A53CEA"/>
    <w:rsid w:val="00A549E2"/>
    <w:rsid w:val="00A54A28"/>
    <w:rsid w:val="00A57970"/>
    <w:rsid w:val="00A57A63"/>
    <w:rsid w:val="00A6216F"/>
    <w:rsid w:val="00A62D74"/>
    <w:rsid w:val="00A64CF3"/>
    <w:rsid w:val="00A64CFB"/>
    <w:rsid w:val="00A660F9"/>
    <w:rsid w:val="00A7044F"/>
    <w:rsid w:val="00A7108D"/>
    <w:rsid w:val="00A710DF"/>
    <w:rsid w:val="00A71467"/>
    <w:rsid w:val="00A71821"/>
    <w:rsid w:val="00A71C6A"/>
    <w:rsid w:val="00A74B5E"/>
    <w:rsid w:val="00A752BC"/>
    <w:rsid w:val="00A75A0E"/>
    <w:rsid w:val="00A75AAB"/>
    <w:rsid w:val="00A76D8F"/>
    <w:rsid w:val="00A77068"/>
    <w:rsid w:val="00A77434"/>
    <w:rsid w:val="00A777D8"/>
    <w:rsid w:val="00A77C2A"/>
    <w:rsid w:val="00A802F6"/>
    <w:rsid w:val="00A80521"/>
    <w:rsid w:val="00A8150A"/>
    <w:rsid w:val="00A83315"/>
    <w:rsid w:val="00A83523"/>
    <w:rsid w:val="00A8366F"/>
    <w:rsid w:val="00A83DC5"/>
    <w:rsid w:val="00A83DE4"/>
    <w:rsid w:val="00A83FD8"/>
    <w:rsid w:val="00A8455C"/>
    <w:rsid w:val="00A84C2F"/>
    <w:rsid w:val="00A86BC1"/>
    <w:rsid w:val="00A909F4"/>
    <w:rsid w:val="00A90FFC"/>
    <w:rsid w:val="00A91A12"/>
    <w:rsid w:val="00A92362"/>
    <w:rsid w:val="00A92D0F"/>
    <w:rsid w:val="00A92DDF"/>
    <w:rsid w:val="00A93CEE"/>
    <w:rsid w:val="00A9490F"/>
    <w:rsid w:val="00A95DBF"/>
    <w:rsid w:val="00A97ECB"/>
    <w:rsid w:val="00AA0676"/>
    <w:rsid w:val="00AA273F"/>
    <w:rsid w:val="00AA5798"/>
    <w:rsid w:val="00AA6A61"/>
    <w:rsid w:val="00AA74C2"/>
    <w:rsid w:val="00AA77E6"/>
    <w:rsid w:val="00AA7D1C"/>
    <w:rsid w:val="00AB069B"/>
    <w:rsid w:val="00AB1247"/>
    <w:rsid w:val="00AB134A"/>
    <w:rsid w:val="00AB22FD"/>
    <w:rsid w:val="00AB249C"/>
    <w:rsid w:val="00AB2E17"/>
    <w:rsid w:val="00AB3141"/>
    <w:rsid w:val="00AB3F3C"/>
    <w:rsid w:val="00AB4DA8"/>
    <w:rsid w:val="00AB4FA9"/>
    <w:rsid w:val="00AB53F6"/>
    <w:rsid w:val="00AB5EF7"/>
    <w:rsid w:val="00AB609D"/>
    <w:rsid w:val="00AB66B8"/>
    <w:rsid w:val="00AB6EDE"/>
    <w:rsid w:val="00AB74F6"/>
    <w:rsid w:val="00AB7C45"/>
    <w:rsid w:val="00AC09B6"/>
    <w:rsid w:val="00AC12CA"/>
    <w:rsid w:val="00AC2268"/>
    <w:rsid w:val="00AC3363"/>
    <w:rsid w:val="00AC3B84"/>
    <w:rsid w:val="00AC3E69"/>
    <w:rsid w:val="00AC487F"/>
    <w:rsid w:val="00AC6253"/>
    <w:rsid w:val="00AC719F"/>
    <w:rsid w:val="00AD0E44"/>
    <w:rsid w:val="00AD4728"/>
    <w:rsid w:val="00AD4B19"/>
    <w:rsid w:val="00AD4C93"/>
    <w:rsid w:val="00AD5508"/>
    <w:rsid w:val="00AD746E"/>
    <w:rsid w:val="00AD75D8"/>
    <w:rsid w:val="00AD7CAC"/>
    <w:rsid w:val="00AD7DE4"/>
    <w:rsid w:val="00AE1A84"/>
    <w:rsid w:val="00AE2B32"/>
    <w:rsid w:val="00AE3D01"/>
    <w:rsid w:val="00AE4747"/>
    <w:rsid w:val="00AE4FC4"/>
    <w:rsid w:val="00AE5260"/>
    <w:rsid w:val="00AE5CF7"/>
    <w:rsid w:val="00AE5EAC"/>
    <w:rsid w:val="00AE67B6"/>
    <w:rsid w:val="00AE6861"/>
    <w:rsid w:val="00AE6902"/>
    <w:rsid w:val="00AE71CF"/>
    <w:rsid w:val="00AF0289"/>
    <w:rsid w:val="00AF08A4"/>
    <w:rsid w:val="00AF0D29"/>
    <w:rsid w:val="00AF17DC"/>
    <w:rsid w:val="00AF2F12"/>
    <w:rsid w:val="00AF3442"/>
    <w:rsid w:val="00AF3762"/>
    <w:rsid w:val="00AF49A0"/>
    <w:rsid w:val="00AF5D13"/>
    <w:rsid w:val="00AF6DD3"/>
    <w:rsid w:val="00AF7736"/>
    <w:rsid w:val="00AF782A"/>
    <w:rsid w:val="00AF7CFA"/>
    <w:rsid w:val="00B0104C"/>
    <w:rsid w:val="00B01A0B"/>
    <w:rsid w:val="00B01CD0"/>
    <w:rsid w:val="00B031A6"/>
    <w:rsid w:val="00B03B08"/>
    <w:rsid w:val="00B04B21"/>
    <w:rsid w:val="00B04DB9"/>
    <w:rsid w:val="00B05EB7"/>
    <w:rsid w:val="00B06086"/>
    <w:rsid w:val="00B0641E"/>
    <w:rsid w:val="00B07759"/>
    <w:rsid w:val="00B10AB8"/>
    <w:rsid w:val="00B128CB"/>
    <w:rsid w:val="00B12FB2"/>
    <w:rsid w:val="00B14A65"/>
    <w:rsid w:val="00B161CE"/>
    <w:rsid w:val="00B17226"/>
    <w:rsid w:val="00B1739F"/>
    <w:rsid w:val="00B2037B"/>
    <w:rsid w:val="00B20435"/>
    <w:rsid w:val="00B20689"/>
    <w:rsid w:val="00B216AE"/>
    <w:rsid w:val="00B2193F"/>
    <w:rsid w:val="00B22D70"/>
    <w:rsid w:val="00B253DD"/>
    <w:rsid w:val="00B258D8"/>
    <w:rsid w:val="00B25DE3"/>
    <w:rsid w:val="00B26048"/>
    <w:rsid w:val="00B27C5E"/>
    <w:rsid w:val="00B306D8"/>
    <w:rsid w:val="00B30F59"/>
    <w:rsid w:val="00B32120"/>
    <w:rsid w:val="00B3233C"/>
    <w:rsid w:val="00B34169"/>
    <w:rsid w:val="00B3442D"/>
    <w:rsid w:val="00B34D4C"/>
    <w:rsid w:val="00B34FC1"/>
    <w:rsid w:val="00B361FF"/>
    <w:rsid w:val="00B40AC5"/>
    <w:rsid w:val="00B40DB4"/>
    <w:rsid w:val="00B41E4A"/>
    <w:rsid w:val="00B41F6B"/>
    <w:rsid w:val="00B42C68"/>
    <w:rsid w:val="00B43529"/>
    <w:rsid w:val="00B45726"/>
    <w:rsid w:val="00B45828"/>
    <w:rsid w:val="00B46FEF"/>
    <w:rsid w:val="00B470E5"/>
    <w:rsid w:val="00B4722B"/>
    <w:rsid w:val="00B47646"/>
    <w:rsid w:val="00B47B86"/>
    <w:rsid w:val="00B50BCD"/>
    <w:rsid w:val="00B50E10"/>
    <w:rsid w:val="00B50E37"/>
    <w:rsid w:val="00B516BC"/>
    <w:rsid w:val="00B517BC"/>
    <w:rsid w:val="00B51807"/>
    <w:rsid w:val="00B51936"/>
    <w:rsid w:val="00B51D11"/>
    <w:rsid w:val="00B52066"/>
    <w:rsid w:val="00B52304"/>
    <w:rsid w:val="00B52358"/>
    <w:rsid w:val="00B53724"/>
    <w:rsid w:val="00B538C4"/>
    <w:rsid w:val="00B5565F"/>
    <w:rsid w:val="00B568D1"/>
    <w:rsid w:val="00B56F9E"/>
    <w:rsid w:val="00B57049"/>
    <w:rsid w:val="00B57DBB"/>
    <w:rsid w:val="00B6040F"/>
    <w:rsid w:val="00B60D18"/>
    <w:rsid w:val="00B60E79"/>
    <w:rsid w:val="00B6264C"/>
    <w:rsid w:val="00B63793"/>
    <w:rsid w:val="00B63C7B"/>
    <w:rsid w:val="00B65B8E"/>
    <w:rsid w:val="00B70939"/>
    <w:rsid w:val="00B70AB4"/>
    <w:rsid w:val="00B718FB"/>
    <w:rsid w:val="00B729FB"/>
    <w:rsid w:val="00B74242"/>
    <w:rsid w:val="00B752A8"/>
    <w:rsid w:val="00B754DD"/>
    <w:rsid w:val="00B756FD"/>
    <w:rsid w:val="00B759AD"/>
    <w:rsid w:val="00B76B0D"/>
    <w:rsid w:val="00B76EAC"/>
    <w:rsid w:val="00B77DCB"/>
    <w:rsid w:val="00B80B5A"/>
    <w:rsid w:val="00B82CF7"/>
    <w:rsid w:val="00B82E6C"/>
    <w:rsid w:val="00B8318E"/>
    <w:rsid w:val="00B83298"/>
    <w:rsid w:val="00B83E5B"/>
    <w:rsid w:val="00B840FF"/>
    <w:rsid w:val="00B84A8B"/>
    <w:rsid w:val="00B84AD5"/>
    <w:rsid w:val="00B84BA7"/>
    <w:rsid w:val="00B850F5"/>
    <w:rsid w:val="00B8570F"/>
    <w:rsid w:val="00B86E23"/>
    <w:rsid w:val="00B86F2F"/>
    <w:rsid w:val="00B87737"/>
    <w:rsid w:val="00B87855"/>
    <w:rsid w:val="00B8792A"/>
    <w:rsid w:val="00B87E24"/>
    <w:rsid w:val="00B916D6"/>
    <w:rsid w:val="00B91C97"/>
    <w:rsid w:val="00B923D8"/>
    <w:rsid w:val="00B924CB"/>
    <w:rsid w:val="00B92C19"/>
    <w:rsid w:val="00B94166"/>
    <w:rsid w:val="00B958DA"/>
    <w:rsid w:val="00B95D05"/>
    <w:rsid w:val="00B9606C"/>
    <w:rsid w:val="00B96D11"/>
    <w:rsid w:val="00B97AB6"/>
    <w:rsid w:val="00B97DF1"/>
    <w:rsid w:val="00B97E9D"/>
    <w:rsid w:val="00BA1742"/>
    <w:rsid w:val="00BA29E5"/>
    <w:rsid w:val="00BA2D2D"/>
    <w:rsid w:val="00BA35A1"/>
    <w:rsid w:val="00BA40DC"/>
    <w:rsid w:val="00BA4A15"/>
    <w:rsid w:val="00BA6A1E"/>
    <w:rsid w:val="00BA779B"/>
    <w:rsid w:val="00BB12EC"/>
    <w:rsid w:val="00BB14E3"/>
    <w:rsid w:val="00BB156E"/>
    <w:rsid w:val="00BB167E"/>
    <w:rsid w:val="00BB184C"/>
    <w:rsid w:val="00BB20AB"/>
    <w:rsid w:val="00BB4C07"/>
    <w:rsid w:val="00BB6955"/>
    <w:rsid w:val="00BC31D7"/>
    <w:rsid w:val="00BC475D"/>
    <w:rsid w:val="00BC5B66"/>
    <w:rsid w:val="00BC6182"/>
    <w:rsid w:val="00BC7BDB"/>
    <w:rsid w:val="00BD0888"/>
    <w:rsid w:val="00BD0E92"/>
    <w:rsid w:val="00BD16CC"/>
    <w:rsid w:val="00BD2382"/>
    <w:rsid w:val="00BD389F"/>
    <w:rsid w:val="00BD38A7"/>
    <w:rsid w:val="00BD3F81"/>
    <w:rsid w:val="00BD4251"/>
    <w:rsid w:val="00BD4CB1"/>
    <w:rsid w:val="00BD4D58"/>
    <w:rsid w:val="00BD4F10"/>
    <w:rsid w:val="00BD5130"/>
    <w:rsid w:val="00BD5685"/>
    <w:rsid w:val="00BD56F4"/>
    <w:rsid w:val="00BD58EC"/>
    <w:rsid w:val="00BD6AE4"/>
    <w:rsid w:val="00BD6C5E"/>
    <w:rsid w:val="00BD7122"/>
    <w:rsid w:val="00BD7527"/>
    <w:rsid w:val="00BD79C4"/>
    <w:rsid w:val="00BE0628"/>
    <w:rsid w:val="00BE11E1"/>
    <w:rsid w:val="00BE1564"/>
    <w:rsid w:val="00BE17E4"/>
    <w:rsid w:val="00BE1F3A"/>
    <w:rsid w:val="00BE1F7A"/>
    <w:rsid w:val="00BE40A3"/>
    <w:rsid w:val="00BE5002"/>
    <w:rsid w:val="00BE52C6"/>
    <w:rsid w:val="00BE6138"/>
    <w:rsid w:val="00BE6BE1"/>
    <w:rsid w:val="00BF1014"/>
    <w:rsid w:val="00BF1EA6"/>
    <w:rsid w:val="00BF1F32"/>
    <w:rsid w:val="00BF3487"/>
    <w:rsid w:val="00BF3C2B"/>
    <w:rsid w:val="00BF4EBD"/>
    <w:rsid w:val="00BF4F39"/>
    <w:rsid w:val="00BF5005"/>
    <w:rsid w:val="00BF6789"/>
    <w:rsid w:val="00BF71A8"/>
    <w:rsid w:val="00BF7CA8"/>
    <w:rsid w:val="00C000E6"/>
    <w:rsid w:val="00C007BC"/>
    <w:rsid w:val="00C018FE"/>
    <w:rsid w:val="00C02ECF"/>
    <w:rsid w:val="00C04D6B"/>
    <w:rsid w:val="00C04F57"/>
    <w:rsid w:val="00C06252"/>
    <w:rsid w:val="00C062CA"/>
    <w:rsid w:val="00C10A53"/>
    <w:rsid w:val="00C114E1"/>
    <w:rsid w:val="00C11B1A"/>
    <w:rsid w:val="00C12447"/>
    <w:rsid w:val="00C136A3"/>
    <w:rsid w:val="00C137B7"/>
    <w:rsid w:val="00C142D3"/>
    <w:rsid w:val="00C15196"/>
    <w:rsid w:val="00C1558A"/>
    <w:rsid w:val="00C15A17"/>
    <w:rsid w:val="00C16717"/>
    <w:rsid w:val="00C16E65"/>
    <w:rsid w:val="00C175E8"/>
    <w:rsid w:val="00C22324"/>
    <w:rsid w:val="00C23328"/>
    <w:rsid w:val="00C234AD"/>
    <w:rsid w:val="00C24458"/>
    <w:rsid w:val="00C2451E"/>
    <w:rsid w:val="00C24695"/>
    <w:rsid w:val="00C25167"/>
    <w:rsid w:val="00C26986"/>
    <w:rsid w:val="00C26BD7"/>
    <w:rsid w:val="00C273D4"/>
    <w:rsid w:val="00C27890"/>
    <w:rsid w:val="00C30FF5"/>
    <w:rsid w:val="00C33549"/>
    <w:rsid w:val="00C338AF"/>
    <w:rsid w:val="00C33ADF"/>
    <w:rsid w:val="00C36E71"/>
    <w:rsid w:val="00C36F9D"/>
    <w:rsid w:val="00C409F2"/>
    <w:rsid w:val="00C40EFF"/>
    <w:rsid w:val="00C426BD"/>
    <w:rsid w:val="00C427EF"/>
    <w:rsid w:val="00C4498C"/>
    <w:rsid w:val="00C455DC"/>
    <w:rsid w:val="00C46569"/>
    <w:rsid w:val="00C465CD"/>
    <w:rsid w:val="00C46AD6"/>
    <w:rsid w:val="00C473A5"/>
    <w:rsid w:val="00C47EFF"/>
    <w:rsid w:val="00C50F27"/>
    <w:rsid w:val="00C52432"/>
    <w:rsid w:val="00C53861"/>
    <w:rsid w:val="00C53AA6"/>
    <w:rsid w:val="00C53DCB"/>
    <w:rsid w:val="00C55458"/>
    <w:rsid w:val="00C55A31"/>
    <w:rsid w:val="00C55FDC"/>
    <w:rsid w:val="00C561A1"/>
    <w:rsid w:val="00C57185"/>
    <w:rsid w:val="00C575DC"/>
    <w:rsid w:val="00C60031"/>
    <w:rsid w:val="00C60374"/>
    <w:rsid w:val="00C60A20"/>
    <w:rsid w:val="00C61B39"/>
    <w:rsid w:val="00C650E2"/>
    <w:rsid w:val="00C656FD"/>
    <w:rsid w:val="00C65F10"/>
    <w:rsid w:val="00C66CD5"/>
    <w:rsid w:val="00C7157A"/>
    <w:rsid w:val="00C738A5"/>
    <w:rsid w:val="00C740CD"/>
    <w:rsid w:val="00C74CE6"/>
    <w:rsid w:val="00C750F1"/>
    <w:rsid w:val="00C75439"/>
    <w:rsid w:val="00C75CB4"/>
    <w:rsid w:val="00C75D0D"/>
    <w:rsid w:val="00C76152"/>
    <w:rsid w:val="00C77695"/>
    <w:rsid w:val="00C776FC"/>
    <w:rsid w:val="00C77D07"/>
    <w:rsid w:val="00C8014F"/>
    <w:rsid w:val="00C8145F"/>
    <w:rsid w:val="00C8182A"/>
    <w:rsid w:val="00C81ABC"/>
    <w:rsid w:val="00C8459E"/>
    <w:rsid w:val="00C85444"/>
    <w:rsid w:val="00C854C6"/>
    <w:rsid w:val="00C87499"/>
    <w:rsid w:val="00C87D83"/>
    <w:rsid w:val="00C913DA"/>
    <w:rsid w:val="00C91FE6"/>
    <w:rsid w:val="00C9312C"/>
    <w:rsid w:val="00C936C7"/>
    <w:rsid w:val="00C95151"/>
    <w:rsid w:val="00C97537"/>
    <w:rsid w:val="00C975F0"/>
    <w:rsid w:val="00C97B27"/>
    <w:rsid w:val="00C97FB4"/>
    <w:rsid w:val="00CA039A"/>
    <w:rsid w:val="00CA0A07"/>
    <w:rsid w:val="00CA1260"/>
    <w:rsid w:val="00CA2106"/>
    <w:rsid w:val="00CA4107"/>
    <w:rsid w:val="00CA4761"/>
    <w:rsid w:val="00CA54D2"/>
    <w:rsid w:val="00CA6029"/>
    <w:rsid w:val="00CB1CFE"/>
    <w:rsid w:val="00CB2000"/>
    <w:rsid w:val="00CB48A6"/>
    <w:rsid w:val="00CB621C"/>
    <w:rsid w:val="00CB6371"/>
    <w:rsid w:val="00CB684E"/>
    <w:rsid w:val="00CB74F5"/>
    <w:rsid w:val="00CC02F2"/>
    <w:rsid w:val="00CC10AF"/>
    <w:rsid w:val="00CC1569"/>
    <w:rsid w:val="00CC3289"/>
    <w:rsid w:val="00CC3746"/>
    <w:rsid w:val="00CC3C36"/>
    <w:rsid w:val="00CC4FF5"/>
    <w:rsid w:val="00CC5C32"/>
    <w:rsid w:val="00CC6621"/>
    <w:rsid w:val="00CC69FA"/>
    <w:rsid w:val="00CC6A46"/>
    <w:rsid w:val="00CC6B34"/>
    <w:rsid w:val="00CC7C07"/>
    <w:rsid w:val="00CD09B4"/>
    <w:rsid w:val="00CD0E2D"/>
    <w:rsid w:val="00CD14E9"/>
    <w:rsid w:val="00CD235A"/>
    <w:rsid w:val="00CD38C7"/>
    <w:rsid w:val="00CD4661"/>
    <w:rsid w:val="00CD5446"/>
    <w:rsid w:val="00CD6EE8"/>
    <w:rsid w:val="00CD737F"/>
    <w:rsid w:val="00CD7773"/>
    <w:rsid w:val="00CE211C"/>
    <w:rsid w:val="00CE2AE1"/>
    <w:rsid w:val="00CE363D"/>
    <w:rsid w:val="00CE3C51"/>
    <w:rsid w:val="00CE691B"/>
    <w:rsid w:val="00CE6C96"/>
    <w:rsid w:val="00CE78B9"/>
    <w:rsid w:val="00CE78DD"/>
    <w:rsid w:val="00CE78E4"/>
    <w:rsid w:val="00CE7E27"/>
    <w:rsid w:val="00CF0367"/>
    <w:rsid w:val="00CF0FFC"/>
    <w:rsid w:val="00CF1A27"/>
    <w:rsid w:val="00CF237E"/>
    <w:rsid w:val="00CF24BB"/>
    <w:rsid w:val="00CF48A1"/>
    <w:rsid w:val="00CF4CDC"/>
    <w:rsid w:val="00CF4D9F"/>
    <w:rsid w:val="00CF5CD9"/>
    <w:rsid w:val="00CF67F1"/>
    <w:rsid w:val="00CF73F2"/>
    <w:rsid w:val="00CF7486"/>
    <w:rsid w:val="00CF7772"/>
    <w:rsid w:val="00D00DAC"/>
    <w:rsid w:val="00D01E73"/>
    <w:rsid w:val="00D02EC1"/>
    <w:rsid w:val="00D0314D"/>
    <w:rsid w:val="00D03A85"/>
    <w:rsid w:val="00D04E4E"/>
    <w:rsid w:val="00D05D5C"/>
    <w:rsid w:val="00D05F0E"/>
    <w:rsid w:val="00D0693F"/>
    <w:rsid w:val="00D1028B"/>
    <w:rsid w:val="00D11074"/>
    <w:rsid w:val="00D12612"/>
    <w:rsid w:val="00D13DA8"/>
    <w:rsid w:val="00D13E49"/>
    <w:rsid w:val="00D14C32"/>
    <w:rsid w:val="00D164E8"/>
    <w:rsid w:val="00D17618"/>
    <w:rsid w:val="00D17F26"/>
    <w:rsid w:val="00D20931"/>
    <w:rsid w:val="00D2120A"/>
    <w:rsid w:val="00D21D38"/>
    <w:rsid w:val="00D24844"/>
    <w:rsid w:val="00D26006"/>
    <w:rsid w:val="00D2665C"/>
    <w:rsid w:val="00D30DE7"/>
    <w:rsid w:val="00D31A22"/>
    <w:rsid w:val="00D32320"/>
    <w:rsid w:val="00D32C1E"/>
    <w:rsid w:val="00D32CD6"/>
    <w:rsid w:val="00D355AF"/>
    <w:rsid w:val="00D367F7"/>
    <w:rsid w:val="00D37527"/>
    <w:rsid w:val="00D378B4"/>
    <w:rsid w:val="00D4185E"/>
    <w:rsid w:val="00D41BB6"/>
    <w:rsid w:val="00D4242F"/>
    <w:rsid w:val="00D424F4"/>
    <w:rsid w:val="00D42CA3"/>
    <w:rsid w:val="00D4316F"/>
    <w:rsid w:val="00D44563"/>
    <w:rsid w:val="00D5132E"/>
    <w:rsid w:val="00D532A0"/>
    <w:rsid w:val="00D5337D"/>
    <w:rsid w:val="00D53670"/>
    <w:rsid w:val="00D538D9"/>
    <w:rsid w:val="00D54455"/>
    <w:rsid w:val="00D55740"/>
    <w:rsid w:val="00D57DAA"/>
    <w:rsid w:val="00D57F85"/>
    <w:rsid w:val="00D613F7"/>
    <w:rsid w:val="00D6190A"/>
    <w:rsid w:val="00D61E00"/>
    <w:rsid w:val="00D61F1F"/>
    <w:rsid w:val="00D63500"/>
    <w:rsid w:val="00D63B31"/>
    <w:rsid w:val="00D640F5"/>
    <w:rsid w:val="00D6563F"/>
    <w:rsid w:val="00D661CF"/>
    <w:rsid w:val="00D66F5E"/>
    <w:rsid w:val="00D67254"/>
    <w:rsid w:val="00D6771B"/>
    <w:rsid w:val="00D67C13"/>
    <w:rsid w:val="00D67DC9"/>
    <w:rsid w:val="00D70137"/>
    <w:rsid w:val="00D70B9C"/>
    <w:rsid w:val="00D711AF"/>
    <w:rsid w:val="00D71664"/>
    <w:rsid w:val="00D7199F"/>
    <w:rsid w:val="00D71AF2"/>
    <w:rsid w:val="00D732FA"/>
    <w:rsid w:val="00D73671"/>
    <w:rsid w:val="00D74914"/>
    <w:rsid w:val="00D75633"/>
    <w:rsid w:val="00D75821"/>
    <w:rsid w:val="00D763A3"/>
    <w:rsid w:val="00D7651E"/>
    <w:rsid w:val="00D765FC"/>
    <w:rsid w:val="00D769A5"/>
    <w:rsid w:val="00D77DDB"/>
    <w:rsid w:val="00D80AC9"/>
    <w:rsid w:val="00D80CDC"/>
    <w:rsid w:val="00D821D1"/>
    <w:rsid w:val="00D8220D"/>
    <w:rsid w:val="00D8264B"/>
    <w:rsid w:val="00D827A7"/>
    <w:rsid w:val="00D82B53"/>
    <w:rsid w:val="00D83964"/>
    <w:rsid w:val="00D83D70"/>
    <w:rsid w:val="00D861CD"/>
    <w:rsid w:val="00D870B4"/>
    <w:rsid w:val="00D8763F"/>
    <w:rsid w:val="00D8767F"/>
    <w:rsid w:val="00D879E6"/>
    <w:rsid w:val="00D9028D"/>
    <w:rsid w:val="00D90DFF"/>
    <w:rsid w:val="00D90E2B"/>
    <w:rsid w:val="00D90E59"/>
    <w:rsid w:val="00D91990"/>
    <w:rsid w:val="00D91F21"/>
    <w:rsid w:val="00D92205"/>
    <w:rsid w:val="00D935CD"/>
    <w:rsid w:val="00D9377C"/>
    <w:rsid w:val="00D94273"/>
    <w:rsid w:val="00D944A0"/>
    <w:rsid w:val="00D946E9"/>
    <w:rsid w:val="00D9480A"/>
    <w:rsid w:val="00D95BB3"/>
    <w:rsid w:val="00D9680C"/>
    <w:rsid w:val="00D968A1"/>
    <w:rsid w:val="00D969B9"/>
    <w:rsid w:val="00D976DF"/>
    <w:rsid w:val="00DA1D6D"/>
    <w:rsid w:val="00DA3C2E"/>
    <w:rsid w:val="00DA3C81"/>
    <w:rsid w:val="00DA40A7"/>
    <w:rsid w:val="00DA47F3"/>
    <w:rsid w:val="00DA63B9"/>
    <w:rsid w:val="00DA7EB6"/>
    <w:rsid w:val="00DB1859"/>
    <w:rsid w:val="00DB2502"/>
    <w:rsid w:val="00DB3262"/>
    <w:rsid w:val="00DB442A"/>
    <w:rsid w:val="00DB45CC"/>
    <w:rsid w:val="00DB521C"/>
    <w:rsid w:val="00DB74BA"/>
    <w:rsid w:val="00DB7E05"/>
    <w:rsid w:val="00DB7E41"/>
    <w:rsid w:val="00DC01BD"/>
    <w:rsid w:val="00DC1BF6"/>
    <w:rsid w:val="00DC29ED"/>
    <w:rsid w:val="00DC3A4D"/>
    <w:rsid w:val="00DC4FA6"/>
    <w:rsid w:val="00DC500F"/>
    <w:rsid w:val="00DC76AE"/>
    <w:rsid w:val="00DD0B44"/>
    <w:rsid w:val="00DD1543"/>
    <w:rsid w:val="00DD230C"/>
    <w:rsid w:val="00DD2358"/>
    <w:rsid w:val="00DD3673"/>
    <w:rsid w:val="00DD48FD"/>
    <w:rsid w:val="00DD6663"/>
    <w:rsid w:val="00DD70E1"/>
    <w:rsid w:val="00DD7714"/>
    <w:rsid w:val="00DD7D1C"/>
    <w:rsid w:val="00DE0C34"/>
    <w:rsid w:val="00DE1006"/>
    <w:rsid w:val="00DE160D"/>
    <w:rsid w:val="00DE1B4B"/>
    <w:rsid w:val="00DE27A7"/>
    <w:rsid w:val="00DE2824"/>
    <w:rsid w:val="00DE2DF3"/>
    <w:rsid w:val="00DE2F53"/>
    <w:rsid w:val="00DE3A72"/>
    <w:rsid w:val="00DE3B31"/>
    <w:rsid w:val="00DE55B4"/>
    <w:rsid w:val="00DE6B22"/>
    <w:rsid w:val="00DE6EE9"/>
    <w:rsid w:val="00DE7014"/>
    <w:rsid w:val="00DE74C8"/>
    <w:rsid w:val="00DF02D8"/>
    <w:rsid w:val="00DF0541"/>
    <w:rsid w:val="00DF09BF"/>
    <w:rsid w:val="00DF291B"/>
    <w:rsid w:val="00DF736C"/>
    <w:rsid w:val="00DF7414"/>
    <w:rsid w:val="00E00B48"/>
    <w:rsid w:val="00E00C77"/>
    <w:rsid w:val="00E027DB"/>
    <w:rsid w:val="00E02DBA"/>
    <w:rsid w:val="00E030EE"/>
    <w:rsid w:val="00E03E8B"/>
    <w:rsid w:val="00E04FB3"/>
    <w:rsid w:val="00E05073"/>
    <w:rsid w:val="00E0723B"/>
    <w:rsid w:val="00E108C3"/>
    <w:rsid w:val="00E10B33"/>
    <w:rsid w:val="00E11C55"/>
    <w:rsid w:val="00E11F03"/>
    <w:rsid w:val="00E120B9"/>
    <w:rsid w:val="00E12705"/>
    <w:rsid w:val="00E12A19"/>
    <w:rsid w:val="00E1307E"/>
    <w:rsid w:val="00E133E9"/>
    <w:rsid w:val="00E13480"/>
    <w:rsid w:val="00E13758"/>
    <w:rsid w:val="00E13799"/>
    <w:rsid w:val="00E148F3"/>
    <w:rsid w:val="00E151DA"/>
    <w:rsid w:val="00E15382"/>
    <w:rsid w:val="00E16F7C"/>
    <w:rsid w:val="00E20944"/>
    <w:rsid w:val="00E21BC2"/>
    <w:rsid w:val="00E21E67"/>
    <w:rsid w:val="00E22239"/>
    <w:rsid w:val="00E223B0"/>
    <w:rsid w:val="00E224DE"/>
    <w:rsid w:val="00E238A2"/>
    <w:rsid w:val="00E23E12"/>
    <w:rsid w:val="00E24B7F"/>
    <w:rsid w:val="00E24E4A"/>
    <w:rsid w:val="00E25120"/>
    <w:rsid w:val="00E26A6B"/>
    <w:rsid w:val="00E27844"/>
    <w:rsid w:val="00E3243B"/>
    <w:rsid w:val="00E32E58"/>
    <w:rsid w:val="00E335D8"/>
    <w:rsid w:val="00E33707"/>
    <w:rsid w:val="00E33791"/>
    <w:rsid w:val="00E33837"/>
    <w:rsid w:val="00E338E0"/>
    <w:rsid w:val="00E33E35"/>
    <w:rsid w:val="00E34005"/>
    <w:rsid w:val="00E347FA"/>
    <w:rsid w:val="00E350D7"/>
    <w:rsid w:val="00E3512D"/>
    <w:rsid w:val="00E35B31"/>
    <w:rsid w:val="00E36C7B"/>
    <w:rsid w:val="00E36C84"/>
    <w:rsid w:val="00E413AB"/>
    <w:rsid w:val="00E4170E"/>
    <w:rsid w:val="00E41A9E"/>
    <w:rsid w:val="00E43274"/>
    <w:rsid w:val="00E4665E"/>
    <w:rsid w:val="00E46893"/>
    <w:rsid w:val="00E50AC1"/>
    <w:rsid w:val="00E516F4"/>
    <w:rsid w:val="00E52985"/>
    <w:rsid w:val="00E53F38"/>
    <w:rsid w:val="00E544D8"/>
    <w:rsid w:val="00E548E0"/>
    <w:rsid w:val="00E5508D"/>
    <w:rsid w:val="00E57028"/>
    <w:rsid w:val="00E60C82"/>
    <w:rsid w:val="00E61190"/>
    <w:rsid w:val="00E63282"/>
    <w:rsid w:val="00E63DBE"/>
    <w:rsid w:val="00E63FE9"/>
    <w:rsid w:val="00E64E71"/>
    <w:rsid w:val="00E65017"/>
    <w:rsid w:val="00E66EDF"/>
    <w:rsid w:val="00E6738C"/>
    <w:rsid w:val="00E673C4"/>
    <w:rsid w:val="00E678D3"/>
    <w:rsid w:val="00E70263"/>
    <w:rsid w:val="00E70644"/>
    <w:rsid w:val="00E7159D"/>
    <w:rsid w:val="00E72036"/>
    <w:rsid w:val="00E73E35"/>
    <w:rsid w:val="00E740D3"/>
    <w:rsid w:val="00E766BD"/>
    <w:rsid w:val="00E7776F"/>
    <w:rsid w:val="00E80553"/>
    <w:rsid w:val="00E807BA"/>
    <w:rsid w:val="00E80F7E"/>
    <w:rsid w:val="00E8164C"/>
    <w:rsid w:val="00E824B5"/>
    <w:rsid w:val="00E82B5F"/>
    <w:rsid w:val="00E82D3E"/>
    <w:rsid w:val="00E83210"/>
    <w:rsid w:val="00E83931"/>
    <w:rsid w:val="00E854D1"/>
    <w:rsid w:val="00E86C37"/>
    <w:rsid w:val="00E90D94"/>
    <w:rsid w:val="00E91219"/>
    <w:rsid w:val="00E91F69"/>
    <w:rsid w:val="00E92D69"/>
    <w:rsid w:val="00E92E2B"/>
    <w:rsid w:val="00E93B4E"/>
    <w:rsid w:val="00E945AD"/>
    <w:rsid w:val="00E95194"/>
    <w:rsid w:val="00E95A14"/>
    <w:rsid w:val="00E96F65"/>
    <w:rsid w:val="00E97C94"/>
    <w:rsid w:val="00EA099C"/>
    <w:rsid w:val="00EA10DE"/>
    <w:rsid w:val="00EA1FDA"/>
    <w:rsid w:val="00EA29E0"/>
    <w:rsid w:val="00EA3034"/>
    <w:rsid w:val="00EA49B8"/>
    <w:rsid w:val="00EA52D5"/>
    <w:rsid w:val="00EA5BBB"/>
    <w:rsid w:val="00EA5EC8"/>
    <w:rsid w:val="00EA6A83"/>
    <w:rsid w:val="00EB10A7"/>
    <w:rsid w:val="00EB2328"/>
    <w:rsid w:val="00EB2DE1"/>
    <w:rsid w:val="00EB33CE"/>
    <w:rsid w:val="00EB37FC"/>
    <w:rsid w:val="00EB4439"/>
    <w:rsid w:val="00EB48A2"/>
    <w:rsid w:val="00EB6634"/>
    <w:rsid w:val="00EB6DE7"/>
    <w:rsid w:val="00EB71F5"/>
    <w:rsid w:val="00EC0AE0"/>
    <w:rsid w:val="00EC0BB7"/>
    <w:rsid w:val="00EC3F00"/>
    <w:rsid w:val="00EC43AA"/>
    <w:rsid w:val="00EC6890"/>
    <w:rsid w:val="00EC72A4"/>
    <w:rsid w:val="00ED1D25"/>
    <w:rsid w:val="00ED694A"/>
    <w:rsid w:val="00ED6C13"/>
    <w:rsid w:val="00ED76D9"/>
    <w:rsid w:val="00ED7949"/>
    <w:rsid w:val="00EE0225"/>
    <w:rsid w:val="00EE0DDA"/>
    <w:rsid w:val="00EE2A51"/>
    <w:rsid w:val="00EE2F4D"/>
    <w:rsid w:val="00EE3F53"/>
    <w:rsid w:val="00EE4722"/>
    <w:rsid w:val="00EE4AD4"/>
    <w:rsid w:val="00EE5409"/>
    <w:rsid w:val="00EE5CAF"/>
    <w:rsid w:val="00EF4BA3"/>
    <w:rsid w:val="00EF590D"/>
    <w:rsid w:val="00EF6324"/>
    <w:rsid w:val="00EF71FF"/>
    <w:rsid w:val="00EF7CA9"/>
    <w:rsid w:val="00F00607"/>
    <w:rsid w:val="00F01F8C"/>
    <w:rsid w:val="00F02295"/>
    <w:rsid w:val="00F02850"/>
    <w:rsid w:val="00F02D08"/>
    <w:rsid w:val="00F046BE"/>
    <w:rsid w:val="00F060A4"/>
    <w:rsid w:val="00F060F2"/>
    <w:rsid w:val="00F06124"/>
    <w:rsid w:val="00F071F3"/>
    <w:rsid w:val="00F07523"/>
    <w:rsid w:val="00F07A75"/>
    <w:rsid w:val="00F10710"/>
    <w:rsid w:val="00F127F3"/>
    <w:rsid w:val="00F12BF7"/>
    <w:rsid w:val="00F12CBF"/>
    <w:rsid w:val="00F1326E"/>
    <w:rsid w:val="00F13626"/>
    <w:rsid w:val="00F155B4"/>
    <w:rsid w:val="00F15D39"/>
    <w:rsid w:val="00F16B10"/>
    <w:rsid w:val="00F2227B"/>
    <w:rsid w:val="00F22598"/>
    <w:rsid w:val="00F231AB"/>
    <w:rsid w:val="00F24BB1"/>
    <w:rsid w:val="00F27476"/>
    <w:rsid w:val="00F27C51"/>
    <w:rsid w:val="00F304EE"/>
    <w:rsid w:val="00F31887"/>
    <w:rsid w:val="00F31E20"/>
    <w:rsid w:val="00F331FA"/>
    <w:rsid w:val="00F341AE"/>
    <w:rsid w:val="00F34AA1"/>
    <w:rsid w:val="00F35671"/>
    <w:rsid w:val="00F35A86"/>
    <w:rsid w:val="00F35B7D"/>
    <w:rsid w:val="00F36FAB"/>
    <w:rsid w:val="00F370F1"/>
    <w:rsid w:val="00F3737E"/>
    <w:rsid w:val="00F37F90"/>
    <w:rsid w:val="00F400C4"/>
    <w:rsid w:val="00F40538"/>
    <w:rsid w:val="00F405D8"/>
    <w:rsid w:val="00F416BD"/>
    <w:rsid w:val="00F41CA3"/>
    <w:rsid w:val="00F41E90"/>
    <w:rsid w:val="00F43005"/>
    <w:rsid w:val="00F456C4"/>
    <w:rsid w:val="00F46B42"/>
    <w:rsid w:val="00F4710F"/>
    <w:rsid w:val="00F47F02"/>
    <w:rsid w:val="00F51932"/>
    <w:rsid w:val="00F52EF0"/>
    <w:rsid w:val="00F53A81"/>
    <w:rsid w:val="00F54426"/>
    <w:rsid w:val="00F54732"/>
    <w:rsid w:val="00F5644B"/>
    <w:rsid w:val="00F56D63"/>
    <w:rsid w:val="00F57D8D"/>
    <w:rsid w:val="00F60E88"/>
    <w:rsid w:val="00F60EA0"/>
    <w:rsid w:val="00F62568"/>
    <w:rsid w:val="00F63946"/>
    <w:rsid w:val="00F651D6"/>
    <w:rsid w:val="00F66AD8"/>
    <w:rsid w:val="00F725CC"/>
    <w:rsid w:val="00F72BA3"/>
    <w:rsid w:val="00F7329D"/>
    <w:rsid w:val="00F73AD7"/>
    <w:rsid w:val="00F73B29"/>
    <w:rsid w:val="00F73FB6"/>
    <w:rsid w:val="00F757F6"/>
    <w:rsid w:val="00F7595F"/>
    <w:rsid w:val="00F765D1"/>
    <w:rsid w:val="00F7741C"/>
    <w:rsid w:val="00F80B00"/>
    <w:rsid w:val="00F80C2E"/>
    <w:rsid w:val="00F80DB2"/>
    <w:rsid w:val="00F81097"/>
    <w:rsid w:val="00F8152D"/>
    <w:rsid w:val="00F823B7"/>
    <w:rsid w:val="00F82B69"/>
    <w:rsid w:val="00F84E09"/>
    <w:rsid w:val="00F85631"/>
    <w:rsid w:val="00F86321"/>
    <w:rsid w:val="00F86FC2"/>
    <w:rsid w:val="00F91188"/>
    <w:rsid w:val="00F914CB"/>
    <w:rsid w:val="00F91819"/>
    <w:rsid w:val="00F9546C"/>
    <w:rsid w:val="00F96CCD"/>
    <w:rsid w:val="00F96CF9"/>
    <w:rsid w:val="00F974A1"/>
    <w:rsid w:val="00F97B5E"/>
    <w:rsid w:val="00F97B72"/>
    <w:rsid w:val="00FA0C6D"/>
    <w:rsid w:val="00FA0CA0"/>
    <w:rsid w:val="00FA0F93"/>
    <w:rsid w:val="00FA10A8"/>
    <w:rsid w:val="00FA1111"/>
    <w:rsid w:val="00FA1427"/>
    <w:rsid w:val="00FA26C8"/>
    <w:rsid w:val="00FA2DB5"/>
    <w:rsid w:val="00FA32DD"/>
    <w:rsid w:val="00FA45BA"/>
    <w:rsid w:val="00FA4829"/>
    <w:rsid w:val="00FA4BED"/>
    <w:rsid w:val="00FA5296"/>
    <w:rsid w:val="00FA670E"/>
    <w:rsid w:val="00FA6C76"/>
    <w:rsid w:val="00FA7086"/>
    <w:rsid w:val="00FB0FB5"/>
    <w:rsid w:val="00FB184E"/>
    <w:rsid w:val="00FB1F93"/>
    <w:rsid w:val="00FB2A35"/>
    <w:rsid w:val="00FB324A"/>
    <w:rsid w:val="00FB3267"/>
    <w:rsid w:val="00FB48DF"/>
    <w:rsid w:val="00FB54DB"/>
    <w:rsid w:val="00FB5972"/>
    <w:rsid w:val="00FB632F"/>
    <w:rsid w:val="00FB748F"/>
    <w:rsid w:val="00FC0963"/>
    <w:rsid w:val="00FC2AB9"/>
    <w:rsid w:val="00FC369C"/>
    <w:rsid w:val="00FC3BAF"/>
    <w:rsid w:val="00FC5824"/>
    <w:rsid w:val="00FC5AFE"/>
    <w:rsid w:val="00FC5D22"/>
    <w:rsid w:val="00FC6002"/>
    <w:rsid w:val="00FD01BA"/>
    <w:rsid w:val="00FD0CA5"/>
    <w:rsid w:val="00FD17BA"/>
    <w:rsid w:val="00FD4012"/>
    <w:rsid w:val="00FD5A0C"/>
    <w:rsid w:val="00FD606E"/>
    <w:rsid w:val="00FD7B75"/>
    <w:rsid w:val="00FE1195"/>
    <w:rsid w:val="00FE1868"/>
    <w:rsid w:val="00FE1F9B"/>
    <w:rsid w:val="00FE20F3"/>
    <w:rsid w:val="00FE45E5"/>
    <w:rsid w:val="00FE4D45"/>
    <w:rsid w:val="00FE5279"/>
    <w:rsid w:val="00FE5412"/>
    <w:rsid w:val="00FE6874"/>
    <w:rsid w:val="00FE6ACC"/>
    <w:rsid w:val="00FE7064"/>
    <w:rsid w:val="00FE71EC"/>
    <w:rsid w:val="00FF0084"/>
    <w:rsid w:val="00FF05FE"/>
    <w:rsid w:val="00FF094D"/>
    <w:rsid w:val="00FF1F88"/>
    <w:rsid w:val="00FF253C"/>
    <w:rsid w:val="00FF3315"/>
    <w:rsid w:val="00FF3336"/>
    <w:rsid w:val="00FF4840"/>
    <w:rsid w:val="00FF4F25"/>
    <w:rsid w:val="00FF5A7C"/>
    <w:rsid w:val="00FF5F77"/>
    <w:rsid w:val="00FF6B57"/>
    <w:rsid w:val="00FF7F91"/>
    <w:rsid w:val="0107437C"/>
    <w:rsid w:val="01254ECA"/>
    <w:rsid w:val="013A1E5D"/>
    <w:rsid w:val="01B036EA"/>
    <w:rsid w:val="01DA2D06"/>
    <w:rsid w:val="02847CD9"/>
    <w:rsid w:val="0293726D"/>
    <w:rsid w:val="02BA55A5"/>
    <w:rsid w:val="03130EE3"/>
    <w:rsid w:val="03187A90"/>
    <w:rsid w:val="03252232"/>
    <w:rsid w:val="032D2B4E"/>
    <w:rsid w:val="035B792A"/>
    <w:rsid w:val="03B827B6"/>
    <w:rsid w:val="03F2214E"/>
    <w:rsid w:val="042E5D0C"/>
    <w:rsid w:val="04A942BA"/>
    <w:rsid w:val="04C45905"/>
    <w:rsid w:val="04F55751"/>
    <w:rsid w:val="0573248A"/>
    <w:rsid w:val="06467475"/>
    <w:rsid w:val="06AE3E0A"/>
    <w:rsid w:val="06CA3990"/>
    <w:rsid w:val="06CE68DF"/>
    <w:rsid w:val="079C35FC"/>
    <w:rsid w:val="07DB0BF3"/>
    <w:rsid w:val="082171DA"/>
    <w:rsid w:val="08C53285"/>
    <w:rsid w:val="092A6705"/>
    <w:rsid w:val="09395F3E"/>
    <w:rsid w:val="0A694F0D"/>
    <w:rsid w:val="0B9A267C"/>
    <w:rsid w:val="0CA60FE3"/>
    <w:rsid w:val="0CF74215"/>
    <w:rsid w:val="0D2964EB"/>
    <w:rsid w:val="0D35413B"/>
    <w:rsid w:val="0D3F493B"/>
    <w:rsid w:val="0D510EE5"/>
    <w:rsid w:val="0D5D1C86"/>
    <w:rsid w:val="0E1135B8"/>
    <w:rsid w:val="0E1F5D57"/>
    <w:rsid w:val="0E8465F4"/>
    <w:rsid w:val="0E927B6D"/>
    <w:rsid w:val="0EDE4455"/>
    <w:rsid w:val="0EF22AE4"/>
    <w:rsid w:val="0F0F4736"/>
    <w:rsid w:val="0F741B88"/>
    <w:rsid w:val="107A50A7"/>
    <w:rsid w:val="10D82889"/>
    <w:rsid w:val="11313AFF"/>
    <w:rsid w:val="114E4E24"/>
    <w:rsid w:val="11567CCE"/>
    <w:rsid w:val="11DE0D51"/>
    <w:rsid w:val="12515F59"/>
    <w:rsid w:val="12F42BCB"/>
    <w:rsid w:val="13332891"/>
    <w:rsid w:val="13BC6BE3"/>
    <w:rsid w:val="141C411B"/>
    <w:rsid w:val="148176FD"/>
    <w:rsid w:val="15B31457"/>
    <w:rsid w:val="16034057"/>
    <w:rsid w:val="16111176"/>
    <w:rsid w:val="16D46F0E"/>
    <w:rsid w:val="17A54C03"/>
    <w:rsid w:val="17EA0A1A"/>
    <w:rsid w:val="19026F97"/>
    <w:rsid w:val="19A33895"/>
    <w:rsid w:val="1A006D57"/>
    <w:rsid w:val="1AB411C9"/>
    <w:rsid w:val="1ADA4021"/>
    <w:rsid w:val="1CAE2016"/>
    <w:rsid w:val="1CC35FBB"/>
    <w:rsid w:val="1CCE3A9F"/>
    <w:rsid w:val="1D6A2D00"/>
    <w:rsid w:val="1DF37C19"/>
    <w:rsid w:val="1E5B61CE"/>
    <w:rsid w:val="1E820121"/>
    <w:rsid w:val="1E8967F2"/>
    <w:rsid w:val="1F330C9F"/>
    <w:rsid w:val="200911CE"/>
    <w:rsid w:val="21843F56"/>
    <w:rsid w:val="2200200E"/>
    <w:rsid w:val="224A51CD"/>
    <w:rsid w:val="22BF327D"/>
    <w:rsid w:val="233B239E"/>
    <w:rsid w:val="23C768B6"/>
    <w:rsid w:val="24595AE5"/>
    <w:rsid w:val="24963A82"/>
    <w:rsid w:val="24D3646B"/>
    <w:rsid w:val="24D43B61"/>
    <w:rsid w:val="24D773EC"/>
    <w:rsid w:val="25453918"/>
    <w:rsid w:val="25D65780"/>
    <w:rsid w:val="25DE3B0A"/>
    <w:rsid w:val="2660783A"/>
    <w:rsid w:val="2666329E"/>
    <w:rsid w:val="26861129"/>
    <w:rsid w:val="27EB6814"/>
    <w:rsid w:val="28086284"/>
    <w:rsid w:val="282A2387"/>
    <w:rsid w:val="286F7C76"/>
    <w:rsid w:val="289059BF"/>
    <w:rsid w:val="28A24F1B"/>
    <w:rsid w:val="29E00C91"/>
    <w:rsid w:val="2AD95CCC"/>
    <w:rsid w:val="2B080EDD"/>
    <w:rsid w:val="2B204686"/>
    <w:rsid w:val="2B34492F"/>
    <w:rsid w:val="2C1B7E68"/>
    <w:rsid w:val="2C334600"/>
    <w:rsid w:val="2C7874B1"/>
    <w:rsid w:val="2D442B46"/>
    <w:rsid w:val="2E5F4781"/>
    <w:rsid w:val="2EC608BE"/>
    <w:rsid w:val="2F0A2A7A"/>
    <w:rsid w:val="2F741EBF"/>
    <w:rsid w:val="2FE858D3"/>
    <w:rsid w:val="302B06D5"/>
    <w:rsid w:val="30782B12"/>
    <w:rsid w:val="30FB318D"/>
    <w:rsid w:val="31241BDB"/>
    <w:rsid w:val="31472444"/>
    <w:rsid w:val="31542911"/>
    <w:rsid w:val="31942F80"/>
    <w:rsid w:val="31BF654C"/>
    <w:rsid w:val="31DC5421"/>
    <w:rsid w:val="32AD5A98"/>
    <w:rsid w:val="32B34905"/>
    <w:rsid w:val="32CF0E49"/>
    <w:rsid w:val="32F0499C"/>
    <w:rsid w:val="336A405C"/>
    <w:rsid w:val="342D1890"/>
    <w:rsid w:val="3509137F"/>
    <w:rsid w:val="35125609"/>
    <w:rsid w:val="35341D68"/>
    <w:rsid w:val="357C237F"/>
    <w:rsid w:val="35D030A4"/>
    <w:rsid w:val="36016248"/>
    <w:rsid w:val="364C317E"/>
    <w:rsid w:val="36F7289A"/>
    <w:rsid w:val="37D1071F"/>
    <w:rsid w:val="380926DD"/>
    <w:rsid w:val="38172D49"/>
    <w:rsid w:val="386C75FF"/>
    <w:rsid w:val="390608C1"/>
    <w:rsid w:val="390C013F"/>
    <w:rsid w:val="39A93E39"/>
    <w:rsid w:val="3A1E4827"/>
    <w:rsid w:val="3A611754"/>
    <w:rsid w:val="3B5419A7"/>
    <w:rsid w:val="3C853F1C"/>
    <w:rsid w:val="3CBD5B44"/>
    <w:rsid w:val="3CCD6091"/>
    <w:rsid w:val="3CCD6E91"/>
    <w:rsid w:val="3CF17FD1"/>
    <w:rsid w:val="3CF27791"/>
    <w:rsid w:val="3CFA45ED"/>
    <w:rsid w:val="3D460A34"/>
    <w:rsid w:val="3DDF2859"/>
    <w:rsid w:val="40AE33B4"/>
    <w:rsid w:val="41A93EC6"/>
    <w:rsid w:val="425F11B5"/>
    <w:rsid w:val="42F67A0B"/>
    <w:rsid w:val="43000B49"/>
    <w:rsid w:val="43286A88"/>
    <w:rsid w:val="434B0908"/>
    <w:rsid w:val="438E7DEC"/>
    <w:rsid w:val="43956586"/>
    <w:rsid w:val="43B869A2"/>
    <w:rsid w:val="44065E25"/>
    <w:rsid w:val="446A581C"/>
    <w:rsid w:val="454D1E82"/>
    <w:rsid w:val="45856D49"/>
    <w:rsid w:val="45F52C70"/>
    <w:rsid w:val="46307AEF"/>
    <w:rsid w:val="46A634F2"/>
    <w:rsid w:val="48F607C2"/>
    <w:rsid w:val="4A0E55F8"/>
    <w:rsid w:val="4A6B2229"/>
    <w:rsid w:val="4A930706"/>
    <w:rsid w:val="4AE02F6B"/>
    <w:rsid w:val="4AF25E0C"/>
    <w:rsid w:val="4B3F5F3D"/>
    <w:rsid w:val="4BE11F84"/>
    <w:rsid w:val="4C091B3D"/>
    <w:rsid w:val="4C441290"/>
    <w:rsid w:val="4CF35C20"/>
    <w:rsid w:val="4D787807"/>
    <w:rsid w:val="4E3E4542"/>
    <w:rsid w:val="4E9F661C"/>
    <w:rsid w:val="4F4449E8"/>
    <w:rsid w:val="4FA75A56"/>
    <w:rsid w:val="5055041F"/>
    <w:rsid w:val="50654544"/>
    <w:rsid w:val="5125254A"/>
    <w:rsid w:val="51C2188B"/>
    <w:rsid w:val="51CE66DB"/>
    <w:rsid w:val="525A7F6F"/>
    <w:rsid w:val="52FA6CC9"/>
    <w:rsid w:val="53543721"/>
    <w:rsid w:val="538D31E9"/>
    <w:rsid w:val="53BC3A52"/>
    <w:rsid w:val="55217F03"/>
    <w:rsid w:val="553045F8"/>
    <w:rsid w:val="55543D00"/>
    <w:rsid w:val="55CA71B9"/>
    <w:rsid w:val="561741E7"/>
    <w:rsid w:val="56EB59B9"/>
    <w:rsid w:val="58240BF2"/>
    <w:rsid w:val="582D7E30"/>
    <w:rsid w:val="583A1153"/>
    <w:rsid w:val="58AF0F1A"/>
    <w:rsid w:val="58D942C0"/>
    <w:rsid w:val="594453FD"/>
    <w:rsid w:val="5A322B4A"/>
    <w:rsid w:val="5A4F06DB"/>
    <w:rsid w:val="5A9B5FA0"/>
    <w:rsid w:val="5ACC27AE"/>
    <w:rsid w:val="5B1909C7"/>
    <w:rsid w:val="5B4F7D05"/>
    <w:rsid w:val="5C4C698F"/>
    <w:rsid w:val="5DA6050C"/>
    <w:rsid w:val="5DAB5B74"/>
    <w:rsid w:val="5EAB13CA"/>
    <w:rsid w:val="5EB81FFB"/>
    <w:rsid w:val="5EDD7090"/>
    <w:rsid w:val="5F7B6651"/>
    <w:rsid w:val="5F944039"/>
    <w:rsid w:val="5F9C3975"/>
    <w:rsid w:val="5FF81F73"/>
    <w:rsid w:val="607F1367"/>
    <w:rsid w:val="60ED7350"/>
    <w:rsid w:val="60F6452F"/>
    <w:rsid w:val="60FC5E3D"/>
    <w:rsid w:val="61305953"/>
    <w:rsid w:val="61F63CD3"/>
    <w:rsid w:val="61F72785"/>
    <w:rsid w:val="62406DE0"/>
    <w:rsid w:val="626F3413"/>
    <w:rsid w:val="64135E04"/>
    <w:rsid w:val="64446389"/>
    <w:rsid w:val="6477313A"/>
    <w:rsid w:val="648A69ED"/>
    <w:rsid w:val="64B67BE7"/>
    <w:rsid w:val="65E82099"/>
    <w:rsid w:val="665D601E"/>
    <w:rsid w:val="669B4986"/>
    <w:rsid w:val="66F1766A"/>
    <w:rsid w:val="67717BBE"/>
    <w:rsid w:val="67E332A1"/>
    <w:rsid w:val="680C4BBE"/>
    <w:rsid w:val="685F3F6A"/>
    <w:rsid w:val="68717D68"/>
    <w:rsid w:val="68E563A4"/>
    <w:rsid w:val="693B4EA8"/>
    <w:rsid w:val="69877444"/>
    <w:rsid w:val="69CC731C"/>
    <w:rsid w:val="6A274783"/>
    <w:rsid w:val="6A851B00"/>
    <w:rsid w:val="6B937D00"/>
    <w:rsid w:val="6C2361B3"/>
    <w:rsid w:val="6C5C6524"/>
    <w:rsid w:val="6CCB00A5"/>
    <w:rsid w:val="6D27495E"/>
    <w:rsid w:val="6DEB5A94"/>
    <w:rsid w:val="6EAD7848"/>
    <w:rsid w:val="6EC679C7"/>
    <w:rsid w:val="6FC8087F"/>
    <w:rsid w:val="6FCB7065"/>
    <w:rsid w:val="70D00FBA"/>
    <w:rsid w:val="714E19CB"/>
    <w:rsid w:val="715B1235"/>
    <w:rsid w:val="71E52F59"/>
    <w:rsid w:val="720F4108"/>
    <w:rsid w:val="72290770"/>
    <w:rsid w:val="737A5C66"/>
    <w:rsid w:val="7483544B"/>
    <w:rsid w:val="74ED140B"/>
    <w:rsid w:val="75F479B7"/>
    <w:rsid w:val="762D2658"/>
    <w:rsid w:val="76472C11"/>
    <w:rsid w:val="76EE3581"/>
    <w:rsid w:val="770E6AAE"/>
    <w:rsid w:val="77264AC1"/>
    <w:rsid w:val="77BC5572"/>
    <w:rsid w:val="78411E39"/>
    <w:rsid w:val="78E404CD"/>
    <w:rsid w:val="7AE65EEA"/>
    <w:rsid w:val="7AFB28FA"/>
    <w:rsid w:val="7B1562E1"/>
    <w:rsid w:val="7B5D5641"/>
    <w:rsid w:val="7BFA7D17"/>
    <w:rsid w:val="7C53343D"/>
    <w:rsid w:val="7C8C4263"/>
    <w:rsid w:val="7CD018B5"/>
    <w:rsid w:val="7CDE0391"/>
    <w:rsid w:val="7E18194B"/>
    <w:rsid w:val="7E6B6EDC"/>
    <w:rsid w:val="7E9B3045"/>
    <w:rsid w:val="7EF46F04"/>
    <w:rsid w:val="7F63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7"/>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8"/>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0"/>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2"/>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3"/>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13">
    <w:name w:val="Normal Indent"/>
    <w:basedOn w:val="1"/>
    <w:next w:val="1"/>
    <w:link w:val="65"/>
    <w:qFormat/>
    <w:uiPriority w:val="0"/>
    <w:pPr>
      <w:ind w:firstLine="420"/>
    </w:pPr>
  </w:style>
  <w:style w:type="paragraph" w:styleId="14">
    <w:name w:val="index 5"/>
    <w:basedOn w:val="1"/>
    <w:next w:val="1"/>
    <w:qFormat/>
    <w:uiPriority w:val="0"/>
    <w:pPr>
      <w:ind w:left="1680"/>
    </w:pPr>
  </w:style>
  <w:style w:type="paragraph" w:styleId="15">
    <w:name w:val="Document Map"/>
    <w:basedOn w:val="1"/>
    <w:link w:val="66"/>
    <w:qFormat/>
    <w:uiPriority w:val="99"/>
    <w:rPr>
      <w:rFonts w:ascii="宋体"/>
      <w:sz w:val="18"/>
      <w:szCs w:val="18"/>
    </w:rPr>
  </w:style>
  <w:style w:type="paragraph" w:styleId="16">
    <w:name w:val="toa heading"/>
    <w:basedOn w:val="1"/>
    <w:next w:val="1"/>
    <w:qFormat/>
    <w:uiPriority w:val="0"/>
    <w:pPr>
      <w:spacing w:before="120"/>
    </w:pPr>
    <w:rPr>
      <w:rFonts w:ascii="Arial" w:hAnsi="Arial"/>
    </w:rPr>
  </w:style>
  <w:style w:type="paragraph" w:styleId="17">
    <w:name w:val="annotation text"/>
    <w:basedOn w:val="1"/>
    <w:link w:val="67"/>
    <w:qFormat/>
    <w:uiPriority w:val="0"/>
    <w:pPr>
      <w:jc w:val="left"/>
    </w:pPr>
    <w:rPr>
      <w:rFonts w:ascii="Times New Roman" w:hAnsi="Times New Roman"/>
      <w:szCs w:val="20"/>
    </w:rPr>
  </w:style>
  <w:style w:type="paragraph" w:styleId="18">
    <w:name w:val="Body Text 3"/>
    <w:basedOn w:val="1"/>
    <w:link w:val="68"/>
    <w:qFormat/>
    <w:uiPriority w:val="0"/>
    <w:rPr>
      <w:rFonts w:ascii="宋体"/>
      <w:sz w:val="24"/>
      <w:szCs w:val="20"/>
    </w:rPr>
  </w:style>
  <w:style w:type="paragraph" w:styleId="19">
    <w:name w:val="Body Text"/>
    <w:basedOn w:val="1"/>
    <w:next w:val="1"/>
    <w:link w:val="69"/>
    <w:unhideWhenUsed/>
    <w:qFormat/>
    <w:uiPriority w:val="0"/>
    <w:pPr>
      <w:spacing w:after="120"/>
    </w:pPr>
    <w:rPr>
      <w:rFonts w:ascii="Times New Roman" w:hAnsi="Times New Roman"/>
      <w:szCs w:val="20"/>
    </w:rPr>
  </w:style>
  <w:style w:type="paragraph" w:styleId="20">
    <w:name w:val="Body Text Indent"/>
    <w:basedOn w:val="1"/>
    <w:next w:val="21"/>
    <w:link w:val="55"/>
    <w:qFormat/>
    <w:uiPriority w:val="0"/>
    <w:pPr>
      <w:spacing w:after="120"/>
      <w:ind w:left="420" w:leftChars="200"/>
    </w:pPr>
    <w:rPr>
      <w:rFonts w:ascii="Times New Roman" w:hAnsi="Times New Roman"/>
      <w:szCs w:val="20"/>
    </w:rPr>
  </w:style>
  <w:style w:type="paragraph" w:styleId="21">
    <w:name w:val="envelope return"/>
    <w:basedOn w:val="1"/>
    <w:qFormat/>
    <w:uiPriority w:val="0"/>
    <w:pPr>
      <w:snapToGrid w:val="0"/>
    </w:pPr>
    <w:rPr>
      <w:rFonts w:ascii="Arial" w:hAnsi="Arial"/>
      <w:szCs w:val="24"/>
    </w:rPr>
  </w:style>
  <w:style w:type="paragraph" w:styleId="22">
    <w:name w:val="toc 5"/>
    <w:basedOn w:val="1"/>
    <w:next w:val="1"/>
    <w:qFormat/>
    <w:uiPriority w:val="39"/>
    <w:pPr>
      <w:ind w:left="800" w:leftChars="800"/>
    </w:pPr>
  </w:style>
  <w:style w:type="paragraph" w:styleId="23">
    <w:name w:val="toc 3"/>
    <w:basedOn w:val="1"/>
    <w:next w:val="1"/>
    <w:qFormat/>
    <w:uiPriority w:val="0"/>
    <w:pPr>
      <w:ind w:left="400" w:leftChars="400"/>
    </w:pPr>
  </w:style>
  <w:style w:type="paragraph" w:styleId="24">
    <w:name w:val="Plain Text"/>
    <w:basedOn w:val="1"/>
    <w:next w:val="1"/>
    <w:link w:val="70"/>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71"/>
    <w:qFormat/>
    <w:uiPriority w:val="0"/>
    <w:pPr>
      <w:ind w:left="2500" w:leftChars="2500"/>
    </w:pPr>
    <w:rPr>
      <w:rFonts w:ascii="Times New Roman" w:hAnsi="Times New Roman"/>
      <w:szCs w:val="20"/>
    </w:rPr>
  </w:style>
  <w:style w:type="paragraph" w:styleId="27">
    <w:name w:val="Body Text Indent 2"/>
    <w:basedOn w:val="1"/>
    <w:link w:val="72"/>
    <w:unhideWhenUsed/>
    <w:qFormat/>
    <w:uiPriority w:val="0"/>
    <w:pPr>
      <w:spacing w:after="120" w:line="480" w:lineRule="auto"/>
      <w:ind w:left="420" w:leftChars="200"/>
    </w:pPr>
  </w:style>
  <w:style w:type="paragraph" w:styleId="28">
    <w:name w:val="Balloon Text"/>
    <w:basedOn w:val="1"/>
    <w:link w:val="73"/>
    <w:qFormat/>
    <w:uiPriority w:val="0"/>
    <w:rPr>
      <w:rFonts w:ascii="Times New Roman" w:hAnsi="Times New Roman"/>
      <w:sz w:val="18"/>
      <w:szCs w:val="20"/>
    </w:rPr>
  </w:style>
  <w:style w:type="paragraph" w:styleId="29">
    <w:name w:val="footer"/>
    <w:basedOn w:val="1"/>
    <w:link w:val="74"/>
    <w:qFormat/>
    <w:uiPriority w:val="99"/>
    <w:pPr>
      <w:tabs>
        <w:tab w:val="center" w:pos="4153"/>
        <w:tab w:val="right" w:pos="8306"/>
      </w:tabs>
      <w:snapToGrid w:val="0"/>
      <w:jc w:val="left"/>
    </w:pPr>
    <w:rPr>
      <w:sz w:val="18"/>
    </w:rPr>
  </w:style>
  <w:style w:type="paragraph" w:styleId="30">
    <w:name w:val="header"/>
    <w:basedOn w:val="1"/>
    <w:link w:val="75"/>
    <w:qFormat/>
    <w:uiPriority w:val="99"/>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0"/>
  </w:style>
  <w:style w:type="paragraph" w:styleId="32">
    <w:name w:val="toc 4"/>
    <w:basedOn w:val="1"/>
    <w:next w:val="1"/>
    <w:qFormat/>
    <w:uiPriority w:val="39"/>
    <w:pPr>
      <w:ind w:left="600" w:leftChars="600"/>
    </w:pPr>
  </w:style>
  <w:style w:type="paragraph" w:styleId="33">
    <w:name w:val="Subtitle"/>
    <w:basedOn w:val="1"/>
    <w:next w:val="1"/>
    <w:link w:val="76"/>
    <w:qFormat/>
    <w:uiPriority w:val="11"/>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39"/>
    <w:pPr>
      <w:ind w:left="1000" w:leftChars="1000"/>
    </w:pPr>
  </w:style>
  <w:style w:type="paragraph" w:styleId="35">
    <w:name w:val="List 5"/>
    <w:basedOn w:val="1"/>
    <w:qFormat/>
    <w:uiPriority w:val="0"/>
    <w:pPr>
      <w:spacing w:line="360" w:lineRule="auto"/>
      <w:ind w:left="2100" w:hanging="420"/>
      <w:jc w:val="left"/>
    </w:pPr>
    <w:rPr>
      <w:rFonts w:ascii="Times New Roman" w:hAnsi="Times New Roman"/>
      <w:sz w:val="24"/>
      <w:szCs w:val="20"/>
    </w:rPr>
  </w:style>
  <w:style w:type="paragraph" w:styleId="36">
    <w:name w:val="Body Text Indent 3"/>
    <w:basedOn w:val="1"/>
    <w:link w:val="77"/>
    <w:qFormat/>
    <w:uiPriority w:val="0"/>
    <w:pPr>
      <w:spacing w:after="120"/>
      <w:ind w:left="200" w:leftChars="200"/>
    </w:pPr>
    <w:rPr>
      <w:sz w:val="16"/>
      <w:szCs w:val="16"/>
    </w:rPr>
  </w:style>
  <w:style w:type="paragraph" w:styleId="37">
    <w:name w:val="toc 2"/>
    <w:basedOn w:val="1"/>
    <w:next w:val="1"/>
    <w:qFormat/>
    <w:uiPriority w:val="0"/>
    <w:pPr>
      <w:ind w:left="200" w:leftChars="200"/>
    </w:pPr>
  </w:style>
  <w:style w:type="paragraph" w:styleId="38">
    <w:name w:val="toc 9"/>
    <w:basedOn w:val="1"/>
    <w:next w:val="1"/>
    <w:qFormat/>
    <w:uiPriority w:val="39"/>
    <w:pPr>
      <w:ind w:left="1600" w:leftChars="1600"/>
    </w:pPr>
  </w:style>
  <w:style w:type="paragraph" w:styleId="39">
    <w:name w:val="Body Text 2"/>
    <w:basedOn w:val="1"/>
    <w:link w:val="78"/>
    <w:qFormat/>
    <w:uiPriority w:val="0"/>
    <w:pPr>
      <w:spacing w:after="120" w:line="480" w:lineRule="auto"/>
      <w:jc w:val="left"/>
    </w:pPr>
    <w:rPr>
      <w:rFonts w:ascii="Times New Roman" w:hAnsi="Times New Roman"/>
      <w:sz w:val="24"/>
      <w:szCs w:val="24"/>
    </w:rPr>
  </w:style>
  <w:style w:type="paragraph" w:styleId="40">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1">
    <w:name w:val="index 1"/>
    <w:basedOn w:val="1"/>
    <w:next w:val="1"/>
    <w:qFormat/>
    <w:uiPriority w:val="0"/>
    <w:pPr>
      <w:spacing w:line="220" w:lineRule="exact"/>
      <w:jc w:val="center"/>
    </w:pPr>
    <w:rPr>
      <w:rFonts w:ascii="仿宋_GB2312" w:hAnsi="Times New Roman" w:eastAsia="仿宋_GB2312"/>
      <w:szCs w:val="21"/>
    </w:rPr>
  </w:style>
  <w:style w:type="paragraph" w:styleId="42">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80"/>
    <w:qFormat/>
    <w:uiPriority w:val="0"/>
  </w:style>
  <w:style w:type="paragraph" w:styleId="44">
    <w:name w:val="Body Text First Indent"/>
    <w:basedOn w:val="19"/>
    <w:link w:val="81"/>
    <w:qFormat/>
    <w:uiPriority w:val="99"/>
    <w:pPr>
      <w:spacing w:line="312" w:lineRule="auto"/>
      <w:ind w:firstLine="420"/>
    </w:pPr>
    <w:rPr>
      <w:szCs w:val="24"/>
    </w:rPr>
  </w:style>
  <w:style w:type="paragraph" w:styleId="45">
    <w:name w:val="Body Text First Indent 2"/>
    <w:basedOn w:val="20"/>
    <w:qFormat/>
    <w:uiPriority w:val="0"/>
    <w:pPr>
      <w:ind w:firstLine="420"/>
    </w:pPr>
    <w:rPr>
      <w:sz w:val="20"/>
    </w:rPr>
  </w:style>
  <w:style w:type="table" w:styleId="47">
    <w:name w:val="Table Grid"/>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Emphasis"/>
    <w:qFormat/>
    <w:uiPriority w:val="20"/>
    <w:rPr>
      <w:i/>
      <w:iCs/>
    </w:rPr>
  </w:style>
  <w:style w:type="character" w:styleId="52">
    <w:name w:val="Hyperlink"/>
    <w:qFormat/>
    <w:uiPriority w:val="0"/>
    <w:rPr>
      <w:color w:val="0000FF"/>
      <w:u w:val="single"/>
    </w:rPr>
  </w:style>
  <w:style w:type="character" w:styleId="53">
    <w:name w:val="annotation reference"/>
    <w:qFormat/>
    <w:uiPriority w:val="0"/>
    <w:rPr>
      <w:sz w:val="21"/>
    </w:rPr>
  </w:style>
  <w:style w:type="character" w:styleId="54">
    <w:name w:val="footnote reference"/>
    <w:qFormat/>
    <w:uiPriority w:val="0"/>
    <w:rPr>
      <w:vertAlign w:val="superscript"/>
    </w:rPr>
  </w:style>
  <w:style w:type="character" w:customStyle="1" w:styleId="55">
    <w:name w:val="正文文本缩进 Char"/>
    <w:link w:val="20"/>
    <w:qFormat/>
    <w:uiPriority w:val="0"/>
    <w:rPr>
      <w:rFonts w:eastAsia="宋体"/>
      <w:kern w:val="2"/>
      <w:sz w:val="21"/>
    </w:rPr>
  </w:style>
  <w:style w:type="character" w:customStyle="1" w:styleId="56">
    <w:name w:val="标题 1 Char"/>
    <w:link w:val="2"/>
    <w:qFormat/>
    <w:uiPriority w:val="0"/>
    <w:rPr>
      <w:rFonts w:eastAsia="宋体"/>
      <w:b/>
      <w:kern w:val="44"/>
      <w:sz w:val="44"/>
    </w:rPr>
  </w:style>
  <w:style w:type="character" w:customStyle="1" w:styleId="57">
    <w:name w:val="标题 2 Char"/>
    <w:link w:val="3"/>
    <w:qFormat/>
    <w:uiPriority w:val="0"/>
    <w:rPr>
      <w:rFonts w:ascii="Arial" w:hAnsi="Arial" w:eastAsia="黑体"/>
      <w:b/>
      <w:kern w:val="2"/>
      <w:sz w:val="32"/>
    </w:rPr>
  </w:style>
  <w:style w:type="character" w:customStyle="1" w:styleId="58">
    <w:name w:val="标题 3 Char"/>
    <w:link w:val="4"/>
    <w:qFormat/>
    <w:uiPriority w:val="0"/>
    <w:rPr>
      <w:rFonts w:ascii="黑体" w:hAnsi="Calibri" w:eastAsia="黑体"/>
      <w:kern w:val="2"/>
      <w:sz w:val="28"/>
    </w:rPr>
  </w:style>
  <w:style w:type="character" w:customStyle="1" w:styleId="59">
    <w:name w:val="标题 4 Char"/>
    <w:link w:val="5"/>
    <w:qFormat/>
    <w:uiPriority w:val="0"/>
    <w:rPr>
      <w:rFonts w:ascii="Arial" w:hAnsi="Arial" w:eastAsia="黑体"/>
      <w:b/>
      <w:bCs/>
      <w:kern w:val="2"/>
      <w:sz w:val="28"/>
      <w:szCs w:val="28"/>
    </w:rPr>
  </w:style>
  <w:style w:type="character" w:customStyle="1" w:styleId="60">
    <w:name w:val="标题 5 Char"/>
    <w:link w:val="6"/>
    <w:semiHidden/>
    <w:qFormat/>
    <w:uiPriority w:val="9"/>
    <w:rPr>
      <w:rFonts w:eastAsia="宋体"/>
      <w:b/>
      <w:bCs/>
      <w:kern w:val="2"/>
      <w:sz w:val="28"/>
      <w:szCs w:val="28"/>
    </w:rPr>
  </w:style>
  <w:style w:type="character" w:customStyle="1" w:styleId="61">
    <w:name w:val="标题 6 Char"/>
    <w:link w:val="7"/>
    <w:qFormat/>
    <w:uiPriority w:val="0"/>
    <w:rPr>
      <w:rFonts w:ascii="Arial" w:hAnsi="Arial" w:eastAsia="黑体"/>
      <w:b/>
      <w:bCs/>
      <w:sz w:val="24"/>
    </w:rPr>
  </w:style>
  <w:style w:type="character" w:customStyle="1" w:styleId="62">
    <w:name w:val="标题 7 Char"/>
    <w:link w:val="8"/>
    <w:qFormat/>
    <w:uiPriority w:val="0"/>
    <w:rPr>
      <w:rFonts w:eastAsia="宋体"/>
      <w:b/>
      <w:bCs/>
      <w:sz w:val="24"/>
    </w:rPr>
  </w:style>
  <w:style w:type="character" w:customStyle="1" w:styleId="63">
    <w:name w:val="标题 8 Char"/>
    <w:link w:val="9"/>
    <w:qFormat/>
    <w:uiPriority w:val="0"/>
    <w:rPr>
      <w:rFonts w:ascii="Arial" w:hAnsi="Arial" w:eastAsia="黑体"/>
      <w:sz w:val="24"/>
    </w:rPr>
  </w:style>
  <w:style w:type="character" w:customStyle="1" w:styleId="64">
    <w:name w:val="标题 9 Char"/>
    <w:link w:val="10"/>
    <w:qFormat/>
    <w:uiPriority w:val="0"/>
    <w:rPr>
      <w:rFonts w:ascii="Arial" w:hAnsi="Arial" w:eastAsia="黑体"/>
      <w:sz w:val="21"/>
      <w:szCs w:val="21"/>
    </w:rPr>
  </w:style>
  <w:style w:type="character" w:customStyle="1" w:styleId="65">
    <w:name w:val="正文缩进 Char"/>
    <w:link w:val="13"/>
    <w:qFormat/>
    <w:uiPriority w:val="0"/>
    <w:rPr>
      <w:rFonts w:ascii="Calibri" w:hAnsi="Calibri" w:eastAsia="宋体"/>
      <w:kern w:val="2"/>
      <w:sz w:val="21"/>
      <w:szCs w:val="22"/>
    </w:rPr>
  </w:style>
  <w:style w:type="character" w:customStyle="1" w:styleId="66">
    <w:name w:val="文档结构图 Char"/>
    <w:link w:val="15"/>
    <w:qFormat/>
    <w:uiPriority w:val="99"/>
    <w:rPr>
      <w:rFonts w:ascii="宋体" w:hAnsi="Calibri" w:eastAsia="宋体" w:cs="宋体"/>
      <w:kern w:val="2"/>
      <w:sz w:val="18"/>
      <w:szCs w:val="18"/>
    </w:rPr>
  </w:style>
  <w:style w:type="character" w:customStyle="1" w:styleId="67">
    <w:name w:val="批注文字 Char2"/>
    <w:link w:val="17"/>
    <w:qFormat/>
    <w:uiPriority w:val="0"/>
    <w:rPr>
      <w:rFonts w:eastAsia="宋体"/>
      <w:kern w:val="2"/>
      <w:sz w:val="21"/>
    </w:rPr>
  </w:style>
  <w:style w:type="character" w:customStyle="1" w:styleId="68">
    <w:name w:val="正文文本 3 Char"/>
    <w:link w:val="18"/>
    <w:qFormat/>
    <w:uiPriority w:val="0"/>
    <w:rPr>
      <w:rFonts w:ascii="宋体" w:hAnsi="Calibri" w:eastAsia="宋体"/>
      <w:kern w:val="2"/>
      <w:sz w:val="24"/>
    </w:rPr>
  </w:style>
  <w:style w:type="character" w:customStyle="1" w:styleId="69">
    <w:name w:val="正文文本 Char1"/>
    <w:link w:val="19"/>
    <w:qFormat/>
    <w:uiPriority w:val="0"/>
    <w:rPr>
      <w:rFonts w:eastAsia="宋体"/>
      <w:kern w:val="2"/>
      <w:sz w:val="21"/>
    </w:rPr>
  </w:style>
  <w:style w:type="character" w:customStyle="1" w:styleId="70">
    <w:name w:val="纯文本 Char"/>
    <w:link w:val="24"/>
    <w:qFormat/>
    <w:uiPriority w:val="0"/>
    <w:rPr>
      <w:rFonts w:ascii="宋体" w:hAnsi="Calibri" w:eastAsia="宋体"/>
      <w:kern w:val="2"/>
      <w:sz w:val="21"/>
      <w:szCs w:val="22"/>
    </w:rPr>
  </w:style>
  <w:style w:type="character" w:customStyle="1" w:styleId="71">
    <w:name w:val="日期 Char"/>
    <w:link w:val="26"/>
    <w:qFormat/>
    <w:uiPriority w:val="0"/>
    <w:rPr>
      <w:rFonts w:eastAsia="宋体"/>
      <w:kern w:val="2"/>
      <w:sz w:val="21"/>
    </w:rPr>
  </w:style>
  <w:style w:type="character" w:customStyle="1" w:styleId="72">
    <w:name w:val="正文文本缩进 2 Char"/>
    <w:link w:val="27"/>
    <w:qFormat/>
    <w:uiPriority w:val="0"/>
    <w:rPr>
      <w:rFonts w:ascii="Calibri" w:hAnsi="Calibri" w:eastAsia="宋体"/>
      <w:kern w:val="2"/>
      <w:sz w:val="21"/>
      <w:szCs w:val="22"/>
    </w:rPr>
  </w:style>
  <w:style w:type="character" w:customStyle="1" w:styleId="73">
    <w:name w:val="批注框文本 Char"/>
    <w:link w:val="28"/>
    <w:qFormat/>
    <w:uiPriority w:val="0"/>
    <w:rPr>
      <w:rFonts w:eastAsia="宋体"/>
      <w:kern w:val="2"/>
      <w:sz w:val="18"/>
    </w:rPr>
  </w:style>
  <w:style w:type="character" w:customStyle="1" w:styleId="74">
    <w:name w:val="页脚 Char"/>
    <w:link w:val="29"/>
    <w:qFormat/>
    <w:uiPriority w:val="99"/>
    <w:rPr>
      <w:rFonts w:ascii="Calibri" w:hAnsi="Calibri" w:eastAsia="宋体"/>
      <w:kern w:val="2"/>
      <w:sz w:val="18"/>
      <w:szCs w:val="22"/>
    </w:rPr>
  </w:style>
  <w:style w:type="character" w:customStyle="1" w:styleId="75">
    <w:name w:val="页眉 Char"/>
    <w:link w:val="30"/>
    <w:qFormat/>
    <w:uiPriority w:val="99"/>
    <w:rPr>
      <w:rFonts w:eastAsia="宋体"/>
      <w:kern w:val="2"/>
      <w:sz w:val="18"/>
    </w:rPr>
  </w:style>
  <w:style w:type="character" w:customStyle="1" w:styleId="76">
    <w:name w:val="副标题 Char"/>
    <w:link w:val="33"/>
    <w:qFormat/>
    <w:uiPriority w:val="11"/>
    <w:rPr>
      <w:rFonts w:ascii="Calibri Light" w:hAnsi="Calibri Light" w:eastAsia="宋体" w:cs="Times New Roman"/>
      <w:b/>
      <w:bCs/>
      <w:kern w:val="28"/>
      <w:sz w:val="32"/>
      <w:szCs w:val="32"/>
    </w:rPr>
  </w:style>
  <w:style w:type="character" w:customStyle="1" w:styleId="77">
    <w:name w:val="正文文本缩进 3 Char"/>
    <w:link w:val="36"/>
    <w:qFormat/>
    <w:uiPriority w:val="0"/>
    <w:rPr>
      <w:rFonts w:ascii="Calibri" w:hAnsi="Calibri" w:eastAsia="宋体"/>
      <w:kern w:val="2"/>
      <w:sz w:val="16"/>
      <w:szCs w:val="16"/>
    </w:rPr>
  </w:style>
  <w:style w:type="character" w:customStyle="1" w:styleId="78">
    <w:name w:val="正文文本 2 Char"/>
    <w:link w:val="39"/>
    <w:qFormat/>
    <w:uiPriority w:val="0"/>
    <w:rPr>
      <w:rFonts w:eastAsia="宋体"/>
      <w:kern w:val="2"/>
      <w:sz w:val="24"/>
      <w:szCs w:val="24"/>
    </w:rPr>
  </w:style>
  <w:style w:type="character" w:customStyle="1" w:styleId="79">
    <w:name w:val="标题 Char"/>
    <w:link w:val="42"/>
    <w:qFormat/>
    <w:uiPriority w:val="0"/>
    <w:rPr>
      <w:rFonts w:ascii="Arial" w:hAnsi="Arial" w:eastAsia="宋体"/>
      <w:b/>
      <w:sz w:val="32"/>
    </w:rPr>
  </w:style>
  <w:style w:type="character" w:customStyle="1" w:styleId="80">
    <w:name w:val="批注主题 Char"/>
    <w:link w:val="43"/>
    <w:qFormat/>
    <w:uiPriority w:val="0"/>
    <w:rPr>
      <w:rFonts w:eastAsia="宋体"/>
      <w:kern w:val="2"/>
      <w:sz w:val="21"/>
    </w:rPr>
  </w:style>
  <w:style w:type="character" w:customStyle="1" w:styleId="81">
    <w:name w:val="正文首行缩进 Char"/>
    <w:link w:val="44"/>
    <w:qFormat/>
    <w:uiPriority w:val="99"/>
    <w:rPr>
      <w:rFonts w:eastAsia="宋体"/>
      <w:kern w:val="2"/>
      <w:sz w:val="21"/>
      <w:szCs w:val="24"/>
      <w:lang w:val="en-US" w:eastAsia="zh-CN" w:bidi="ar-SA"/>
    </w:rPr>
  </w:style>
  <w:style w:type="paragraph" w:customStyle="1" w:styleId="82">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83">
    <w:name w:val="style_kwd"/>
    <w:qFormat/>
    <w:uiPriority w:val="0"/>
  </w:style>
  <w:style w:type="character" w:customStyle="1" w:styleId="84">
    <w:name w:val="批注文字 Char1"/>
    <w:qFormat/>
    <w:uiPriority w:val="0"/>
    <w:rPr>
      <w:rFonts w:ascii="Times New Roman" w:hAnsi="Times New Roman" w:eastAsia="宋体" w:cs="Times New Roman"/>
      <w:sz w:val="20"/>
      <w:szCs w:val="20"/>
      <w:lang w:bidi="ar-SA"/>
    </w:rPr>
  </w:style>
  <w:style w:type="character" w:customStyle="1" w:styleId="85">
    <w:name w:val="Comment Text Char"/>
    <w:qFormat/>
    <w:uiPriority w:val="0"/>
  </w:style>
  <w:style w:type="paragraph" w:customStyle="1" w:styleId="86">
    <w:name w:val="修订1"/>
    <w:qFormat/>
    <w:uiPriority w:val="99"/>
    <w:rPr>
      <w:rFonts w:ascii="Times New Roman" w:hAnsi="Times New Roman" w:eastAsia="宋体" w:cs="Times New Roman"/>
      <w:kern w:val="2"/>
      <w:sz w:val="21"/>
      <w:lang w:val="en-US" w:eastAsia="zh-CN" w:bidi="ar-SA"/>
    </w:rPr>
  </w:style>
  <w:style w:type="paragraph" w:customStyle="1" w:styleId="87">
    <w:name w:val="_Style 23"/>
    <w:basedOn w:val="1"/>
    <w:qFormat/>
    <w:uiPriority w:val="0"/>
    <w:pPr>
      <w:widowControl/>
      <w:spacing w:after="160" w:line="240" w:lineRule="exact"/>
      <w:jc w:val="left"/>
    </w:pPr>
  </w:style>
  <w:style w:type="paragraph" w:customStyle="1" w:styleId="88">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89">
    <w:name w:val="font161"/>
    <w:qFormat/>
    <w:uiPriority w:val="0"/>
    <w:rPr>
      <w:b/>
      <w:bCs/>
      <w:sz w:val="32"/>
      <w:szCs w:val="32"/>
    </w:rPr>
  </w:style>
  <w:style w:type="character" w:customStyle="1" w:styleId="90">
    <w:name w:val="正文文本 Char"/>
    <w:qFormat/>
    <w:uiPriority w:val="0"/>
    <w:rPr>
      <w:rFonts w:eastAsia="宋体"/>
      <w:kern w:val="2"/>
      <w:sz w:val="21"/>
      <w:szCs w:val="24"/>
      <w:lang w:val="en-US" w:eastAsia="zh-CN" w:bidi="ar-SA"/>
    </w:rPr>
  </w:style>
  <w:style w:type="paragraph" w:customStyle="1" w:styleId="91">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2">
    <w:name w:val="Char"/>
    <w:basedOn w:val="1"/>
    <w:qFormat/>
    <w:uiPriority w:val="0"/>
    <w:pPr>
      <w:widowControl/>
      <w:spacing w:after="160" w:line="240" w:lineRule="exact"/>
      <w:jc w:val="left"/>
    </w:pPr>
    <w:rPr>
      <w:rFonts w:ascii="Verdana" w:hAnsi="Verdana"/>
      <w:kern w:val="0"/>
      <w:sz w:val="20"/>
      <w:szCs w:val="20"/>
      <w:lang w:eastAsia="en-US"/>
    </w:rPr>
  </w:style>
  <w:style w:type="paragraph" w:styleId="93">
    <w:name w:val="List Paragraph"/>
    <w:basedOn w:val="1"/>
    <w:qFormat/>
    <w:uiPriority w:val="34"/>
    <w:pPr>
      <w:ind w:firstLine="420" w:firstLineChars="200"/>
    </w:pPr>
  </w:style>
  <w:style w:type="character" w:customStyle="1" w:styleId="94">
    <w:name w:val="正文首行缩进 Char1"/>
    <w:qFormat/>
    <w:uiPriority w:val="99"/>
    <w:rPr>
      <w:rFonts w:eastAsia="宋体"/>
      <w:kern w:val="2"/>
      <w:sz w:val="21"/>
    </w:rPr>
  </w:style>
  <w:style w:type="paragraph" w:customStyle="1" w:styleId="95">
    <w:name w:val="我的正文"/>
    <w:basedOn w:val="1"/>
    <w:qFormat/>
    <w:uiPriority w:val="0"/>
    <w:rPr>
      <w:rFonts w:ascii="宋体" w:hAnsi="宋体"/>
      <w:sz w:val="24"/>
      <w:szCs w:val="24"/>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7">
    <w:name w:val="样式2"/>
    <w:basedOn w:val="4"/>
    <w:qFormat/>
    <w:uiPriority w:val="0"/>
    <w:pPr>
      <w:spacing w:line="415" w:lineRule="auto"/>
      <w:ind w:firstLine="137"/>
    </w:pPr>
    <w:rPr>
      <w:rFonts w:hAnsi="Times New Roman"/>
      <w:bCs/>
      <w:i/>
      <w:szCs w:val="28"/>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修订11"/>
    <w:qFormat/>
    <w:uiPriority w:val="0"/>
    <w:rPr>
      <w:rFonts w:ascii="Times New Roman" w:hAnsi="Times New Roman" w:eastAsia="宋体" w:cs="Times New Roman"/>
      <w:kern w:val="2"/>
      <w:sz w:val="21"/>
      <w:szCs w:val="24"/>
      <w:lang w:val="en-US" w:eastAsia="zh-CN" w:bidi="ar-SA"/>
    </w:rPr>
  </w:style>
  <w:style w:type="paragraph" w:customStyle="1" w:styleId="100">
    <w:name w:val="样式1"/>
    <w:basedOn w:val="1"/>
    <w:next w:val="5"/>
    <w:link w:val="101"/>
    <w:qFormat/>
    <w:uiPriority w:val="0"/>
    <w:pPr>
      <w:spacing w:line="360" w:lineRule="auto"/>
      <w:ind w:firstLine="420" w:firstLineChars="200"/>
    </w:pPr>
    <w:rPr>
      <w:rFonts w:ascii="宋体" w:hAnsi="宋体"/>
      <w:szCs w:val="21"/>
    </w:rPr>
  </w:style>
  <w:style w:type="character" w:customStyle="1" w:styleId="101">
    <w:name w:val="样式1 Char"/>
    <w:link w:val="100"/>
    <w:qFormat/>
    <w:uiPriority w:val="0"/>
    <w:rPr>
      <w:rFonts w:ascii="宋体" w:hAnsi="宋体" w:eastAsia="宋体"/>
      <w:kern w:val="2"/>
      <w:sz w:val="21"/>
      <w:szCs w:val="21"/>
    </w:rPr>
  </w:style>
  <w:style w:type="paragraph" w:customStyle="1" w:styleId="10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04">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5">
    <w:name w:val="1"/>
    <w:basedOn w:val="1"/>
    <w:qFormat/>
    <w:uiPriority w:val="0"/>
    <w:rPr>
      <w:rFonts w:ascii="Times New Roman" w:hAnsi="Times New Roman"/>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修订2"/>
    <w:qFormat/>
    <w:uiPriority w:val="0"/>
    <w:rPr>
      <w:rFonts w:ascii="Times New Roman" w:hAnsi="Times New Roman" w:eastAsia="宋体" w:cs="Times New Roman"/>
      <w:kern w:val="2"/>
      <w:sz w:val="21"/>
      <w:szCs w:val="24"/>
      <w:lang w:val="en-US" w:eastAsia="zh-CN" w:bidi="ar-SA"/>
    </w:rPr>
  </w:style>
  <w:style w:type="paragraph" w:customStyle="1" w:styleId="10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9">
    <w:name w:val="Table Paragraph"/>
    <w:basedOn w:val="1"/>
    <w:unhideWhenUsed/>
    <w:qFormat/>
    <w:uiPriority w:val="99"/>
    <w:pPr>
      <w:widowControl/>
    </w:pPr>
    <w:rPr>
      <w:rFonts w:hint="eastAsia" w:ascii="Times New Roman" w:hAnsi="Times New Roman"/>
      <w:szCs w:val="20"/>
    </w:rPr>
  </w:style>
  <w:style w:type="paragraph" w:customStyle="1" w:styleId="110">
    <w:name w:val="表中"/>
    <w:basedOn w:val="1"/>
    <w:qFormat/>
    <w:uiPriority w:val="0"/>
    <w:pPr>
      <w:adjustRightInd w:val="0"/>
      <w:spacing w:line="360" w:lineRule="atLeast"/>
      <w:jc w:val="center"/>
      <w:textAlignment w:val="baseline"/>
    </w:pPr>
    <w:rPr>
      <w:rFonts w:ascii="Times New Roman" w:hAnsi="Times New Roman"/>
      <w:kern w:val="0"/>
      <w:szCs w:val="20"/>
    </w:rPr>
  </w:style>
  <w:style w:type="character" w:customStyle="1" w:styleId="111">
    <w:name w:val="文一 Char"/>
    <w:link w:val="112"/>
    <w:qFormat/>
    <w:locked/>
    <w:uiPriority w:val="0"/>
    <w:rPr>
      <w:spacing w:val="4"/>
      <w:sz w:val="24"/>
      <w:szCs w:val="24"/>
    </w:rPr>
  </w:style>
  <w:style w:type="paragraph" w:customStyle="1" w:styleId="112">
    <w:name w:val="文一"/>
    <w:basedOn w:val="1"/>
    <w:link w:val="11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3">
    <w:name w:val="文二"/>
    <w:basedOn w:val="1"/>
    <w:qFormat/>
    <w:uiPriority w:val="0"/>
    <w:pPr>
      <w:jc w:val="left"/>
    </w:pPr>
    <w:rPr>
      <w:rFonts w:ascii="宋体" w:hAnsi="宋体"/>
      <w:szCs w:val="21"/>
    </w:rPr>
  </w:style>
  <w:style w:type="paragraph" w:customStyle="1" w:styleId="114">
    <w:name w:val="TOC 标题11"/>
    <w:basedOn w:val="2"/>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115">
    <w:name w:val="文档结构图 字符"/>
    <w:qFormat/>
    <w:uiPriority w:val="99"/>
    <w:rPr>
      <w:kern w:val="2"/>
      <w:sz w:val="21"/>
      <w:szCs w:val="24"/>
      <w:shd w:val="clear" w:color="auto" w:fill="000080"/>
    </w:rPr>
  </w:style>
  <w:style w:type="character" w:customStyle="1" w:styleId="116">
    <w:name w:val="正文文本 3 字符"/>
    <w:qFormat/>
    <w:uiPriority w:val="0"/>
    <w:rPr>
      <w:kern w:val="2"/>
      <w:sz w:val="16"/>
      <w:szCs w:val="16"/>
    </w:rPr>
  </w:style>
  <w:style w:type="paragraph" w:customStyle="1" w:styleId="117">
    <w:name w:val="p0"/>
    <w:basedOn w:val="1"/>
    <w:qFormat/>
    <w:uiPriority w:val="0"/>
    <w:pPr>
      <w:widowControl/>
      <w:spacing w:line="360" w:lineRule="auto"/>
      <w:jc w:val="left"/>
    </w:pPr>
    <w:rPr>
      <w:rFonts w:ascii="Times New Roman" w:hAnsi="Times New Roman"/>
      <w:kern w:val="0"/>
      <w:sz w:val="24"/>
      <w:szCs w:val="21"/>
    </w:rPr>
  </w:style>
  <w:style w:type="paragraph" w:customStyle="1" w:styleId="118">
    <w:name w:val="目录文字"/>
    <w:basedOn w:val="1"/>
    <w:qFormat/>
    <w:uiPriority w:val="0"/>
    <w:pPr>
      <w:widowControl/>
      <w:spacing w:line="480" w:lineRule="auto"/>
      <w:jc w:val="left"/>
    </w:pPr>
    <w:rPr>
      <w:rFonts w:ascii="宋体" w:hAnsi="宋体"/>
      <w:kern w:val="0"/>
      <w:sz w:val="24"/>
      <w:szCs w:val="20"/>
    </w:rPr>
  </w:style>
  <w:style w:type="paragraph" w:customStyle="1" w:styleId="119">
    <w:name w:val="charchar20"/>
    <w:basedOn w:val="1"/>
    <w:qFormat/>
    <w:uiPriority w:val="0"/>
    <w:pPr>
      <w:widowControl/>
      <w:spacing w:after="160" w:line="240" w:lineRule="atLeast"/>
      <w:jc w:val="left"/>
    </w:pPr>
    <w:rPr>
      <w:rFonts w:ascii="Verdana" w:hAnsi="Verdana" w:cs="宋体"/>
      <w:kern w:val="0"/>
      <w:sz w:val="24"/>
      <w:szCs w:val="24"/>
    </w:rPr>
  </w:style>
  <w:style w:type="character" w:customStyle="1" w:styleId="120">
    <w:name w:val="纯文本 Char1"/>
    <w:semiHidden/>
    <w:qFormat/>
    <w:uiPriority w:val="99"/>
    <w:rPr>
      <w:rFonts w:ascii="宋体" w:hAnsi="Courier New" w:eastAsia="宋体" w:cs="Courier New"/>
      <w:szCs w:val="21"/>
    </w:rPr>
  </w:style>
  <w:style w:type="paragraph" w:customStyle="1" w:styleId="121">
    <w:name w:val="text"/>
    <w:basedOn w:val="1"/>
    <w:qFormat/>
    <w:uiPriority w:val="0"/>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122">
    <w:name w:val="自定义标题１"/>
    <w:basedOn w:val="4"/>
    <w:qFormat/>
    <w:uiPriority w:val="0"/>
    <w:pPr>
      <w:numPr>
        <w:ilvl w:val="0"/>
        <w:numId w:val="1"/>
      </w:numPr>
      <w:spacing w:before="100" w:beforeAutospacing="1" w:after="100" w:afterAutospacing="1" w:line="240" w:lineRule="auto"/>
      <w:ind w:firstLine="0" w:firstLineChars="0"/>
    </w:pPr>
    <w:rPr>
      <w:rFonts w:ascii="Times New Roman" w:hAnsi="Times New Roman" w:eastAsia="宋体"/>
      <w:bCs/>
      <w:sz w:val="24"/>
      <w:szCs w:val="32"/>
    </w:rPr>
  </w:style>
  <w:style w:type="paragraph" w:customStyle="1" w:styleId="123">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a"/>
    <w:basedOn w:val="1"/>
    <w:qFormat/>
    <w:uiPriority w:val="0"/>
    <w:pPr>
      <w:widowControl/>
      <w:spacing w:line="480" w:lineRule="auto"/>
      <w:jc w:val="left"/>
    </w:pPr>
    <w:rPr>
      <w:rFonts w:ascii="宋体" w:hAnsi="宋体" w:cs="宋体"/>
      <w:kern w:val="0"/>
      <w:sz w:val="24"/>
      <w:szCs w:val="24"/>
    </w:rPr>
  </w:style>
  <w:style w:type="paragraph" w:customStyle="1" w:styleId="125">
    <w:name w:val="charchar2"/>
    <w:basedOn w:val="1"/>
    <w:qFormat/>
    <w:uiPriority w:val="0"/>
    <w:pPr>
      <w:widowControl/>
      <w:spacing w:after="160" w:line="240" w:lineRule="atLeast"/>
      <w:jc w:val="left"/>
    </w:pPr>
    <w:rPr>
      <w:rFonts w:ascii="Verdana" w:hAnsi="Verdana" w:cs="宋体"/>
      <w:kern w:val="0"/>
      <w:sz w:val="24"/>
      <w:szCs w:val="24"/>
    </w:rPr>
  </w:style>
  <w:style w:type="paragraph" w:customStyle="1" w:styleId="126">
    <w:name w:val="副标题1"/>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customStyle="1" w:styleId="127">
    <w:name w:val="Char Char Char Char Char Char Char Char Char Char Char Char Char Char Char Char Char Char Char"/>
    <w:basedOn w:val="1"/>
    <w:qFormat/>
    <w:uiPriority w:val="0"/>
    <w:pPr>
      <w:widowControl/>
      <w:spacing w:after="160" w:line="240" w:lineRule="exact"/>
      <w:jc w:val="left"/>
    </w:pPr>
    <w:rPr>
      <w:rFonts w:ascii="宋体" w:hAnsi="宋体"/>
      <w:sz w:val="28"/>
      <w:szCs w:val="20"/>
    </w:rPr>
  </w:style>
  <w:style w:type="table" w:customStyle="1" w:styleId="128">
    <w:name w:val="网格型1"/>
    <w:basedOn w:val="4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副标题 Char1"/>
    <w:qFormat/>
    <w:uiPriority w:val="0"/>
    <w:rPr>
      <w:rFonts w:ascii="Cambria" w:hAnsi="Cambria" w:eastAsia="宋体" w:cs="Times New Roman"/>
      <w:b/>
      <w:bCs/>
      <w:kern w:val="28"/>
      <w:sz w:val="32"/>
      <w:szCs w:val="32"/>
    </w:rPr>
  </w:style>
  <w:style w:type="character" w:customStyle="1" w:styleId="130">
    <w:name w:val="批注文字 字符1"/>
    <w:qFormat/>
    <w:uiPriority w:val="0"/>
    <w:rPr>
      <w:kern w:val="2"/>
      <w:sz w:val="21"/>
      <w:szCs w:val="24"/>
    </w:rPr>
  </w:style>
  <w:style w:type="character" w:customStyle="1" w:styleId="131">
    <w:name w:val="批注文字 Char"/>
    <w:qFormat/>
    <w:uiPriority w:val="0"/>
    <w:rPr>
      <w:kern w:val="2"/>
      <w:sz w:val="21"/>
    </w:rPr>
  </w:style>
  <w:style w:type="paragraph" w:customStyle="1" w:styleId="132">
    <w:name w:val="字元 字元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133">
    <w:name w:val="章节二"/>
    <w:basedOn w:val="1"/>
    <w:next w:val="1"/>
    <w:qFormat/>
    <w:uiPriority w:val="0"/>
    <w:pPr>
      <w:topLinePunct/>
      <w:adjustRightInd w:val="0"/>
      <w:snapToGrid w:val="0"/>
      <w:spacing w:beforeLines="50" w:afterLines="50"/>
      <w:jc w:val="center"/>
      <w:outlineLvl w:val="1"/>
    </w:pPr>
    <w:rPr>
      <w:rFonts w:eastAsia="黑体" w:cs="Calibri"/>
      <w:b/>
      <w:spacing w:val="4"/>
      <w:kern w:val="0"/>
      <w:sz w:val="30"/>
      <w:szCs w:val="30"/>
    </w:rPr>
  </w:style>
  <w:style w:type="paragraph" w:customStyle="1" w:styleId="134">
    <w:name w:val="WPSOffice手动目录 1"/>
    <w:qFormat/>
    <w:uiPriority w:val="0"/>
    <w:rPr>
      <w:rFonts w:ascii="Times New Roman" w:hAnsi="Times New Roman" w:eastAsia="宋体" w:cs="Times New Roman"/>
      <w:lang w:val="en-US" w:eastAsia="zh-CN" w:bidi="ar-SA"/>
    </w:rPr>
  </w:style>
  <w:style w:type="paragraph" w:customStyle="1" w:styleId="135">
    <w:name w:val="正文文本 31"/>
    <w:basedOn w:val="1"/>
    <w:qFormat/>
    <w:uiPriority w:val="0"/>
    <w:rPr>
      <w:rFonts w:ascii="宋体"/>
      <w:sz w:val="24"/>
      <w:szCs w:val="20"/>
    </w:rPr>
  </w:style>
  <w:style w:type="paragraph" w:customStyle="1" w:styleId="136">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37">
    <w:name w:val="Revision"/>
    <w:unhideWhenUsed/>
    <w:qFormat/>
    <w:uiPriority w:val="99"/>
    <w:rPr>
      <w:rFonts w:ascii="Calibri" w:hAnsi="Calibri" w:eastAsia="宋体" w:cs="Times New Roman"/>
      <w:kern w:val="2"/>
      <w:sz w:val="21"/>
      <w:szCs w:val="22"/>
      <w:lang w:val="en-US" w:eastAsia="zh-CN" w:bidi="ar-SA"/>
    </w:rPr>
  </w:style>
  <w:style w:type="paragraph" w:customStyle="1" w:styleId="138">
    <w:name w:val="样式 宋体 行距: 1.5 倍行距"/>
    <w:basedOn w:val="1"/>
    <w:qFormat/>
    <w:uiPriority w:val="0"/>
    <w:pPr>
      <w:jc w:val="center"/>
    </w:pPr>
    <w:rPr>
      <w:b/>
    </w:rPr>
  </w:style>
  <w:style w:type="paragraph" w:styleId="139">
    <w:name w:val="No Spacing"/>
    <w:qFormat/>
    <w:uiPriority w:val="1"/>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57</Pages>
  <Words>19896</Words>
  <Characters>20998</Characters>
  <Lines>201</Lines>
  <Paragraphs>56</Paragraphs>
  <TotalTime>17</TotalTime>
  <ScaleCrop>false</ScaleCrop>
  <LinksUpToDate>false</LinksUpToDate>
  <CharactersWithSpaces>21316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2025-01-10T11:11:00Z</dcterms:created>
  <dc:creator>袁静</dc:creator>
  <cp:lastModifiedBy>user</cp:lastModifiedBy>
  <cp:lastPrinted>2025-12-08T03:25:00Z</cp:lastPrinted>
  <dcterms:modified xsi:type="dcterms:W3CDTF">2025-12-24T01:19:20Z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DB6CBBD6C0EA4169815D87D8D53FB70A_13</vt:lpwstr>
  </property>
  <property fmtid="{D5CDD505-2E9C-101B-9397-08002B2CF9AE}" pid="4" name="KSOTemplateDocerSaveRecord">
    <vt:lpwstr>eyJoZGlkIjoiN2YzNjBkOTgyNWQ1YTMxYzM3MzMwNWFiODNmOWIzYWMiLCJ1c2VySWQiOiI1OTA2NTkwMzQifQ==</vt:lpwstr>
  </property>
</Properties>
</file>