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sz w:val="52"/>
          <w:szCs w:val="52"/>
        </w:rPr>
      </w:pPr>
    </w:p>
    <w:p>
      <w:pPr>
        <w:adjustRightInd/>
        <w:spacing w:line="360" w:lineRule="auto"/>
        <w:jc w:val="center"/>
        <w:rPr>
          <w:rFonts w:hint="eastAsia" w:ascii="宋体" w:hAnsi="宋体" w:cs="宋体"/>
          <w:sz w:val="48"/>
          <w:szCs w:val="48"/>
        </w:rPr>
      </w:pPr>
      <w:r>
        <w:rPr>
          <w:rFonts w:hint="eastAsia" w:ascii="宋体" w:hAnsi="宋体" w:cs="宋体"/>
          <w:sz w:val="52"/>
          <w:szCs w:val="52"/>
        </w:rPr>
        <w:t>桐庐县司法局2023“村、居、校法律顾问”服务项目</w:t>
      </w:r>
    </w:p>
    <w:p>
      <w:pPr>
        <w:adjustRightInd/>
        <w:spacing w:line="360" w:lineRule="auto"/>
        <w:jc w:val="center"/>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采购编号:（HZZC-TL2023GK-015）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both"/>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采购人：桐庐县司法局</w:t>
      </w:r>
    </w:p>
    <w:p>
      <w:pPr>
        <w:spacing w:line="360" w:lineRule="auto"/>
        <w:jc w:val="center"/>
        <w:rPr>
          <w:rFonts w:ascii="宋体" w:hAnsi="宋体" w:cs="宋体"/>
          <w:bCs/>
          <w:sz w:val="32"/>
          <w:szCs w:val="32"/>
        </w:rPr>
      </w:pPr>
      <w:r>
        <w:rPr>
          <w:rFonts w:hint="eastAsia" w:ascii="宋体" w:hAnsi="宋体" w:cs="宋体"/>
          <w:bCs/>
          <w:sz w:val="32"/>
          <w:szCs w:val="32"/>
        </w:rPr>
        <w:t>采购代理机构：杭州智诚工程管理有限公司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2023年0</w:t>
      </w:r>
      <w:r>
        <w:rPr>
          <w:rFonts w:hint="eastAsia" w:ascii="宋体" w:hAnsi="宋体" w:cs="宋体"/>
          <w:bCs/>
          <w:sz w:val="32"/>
          <w:szCs w:val="32"/>
          <w:lang w:val="en-US" w:eastAsia="zh-CN"/>
        </w:rPr>
        <w:t>9</w:t>
      </w:r>
      <w:r>
        <w:rPr>
          <w:rFonts w:hint="eastAsia" w:ascii="宋体" w:hAnsi="宋体" w:cs="宋体"/>
          <w:bCs/>
          <w:sz w:val="32"/>
          <w:szCs w:val="32"/>
        </w:rPr>
        <w:t>月</w:t>
      </w:r>
    </w:p>
    <w:p>
      <w:pPr>
        <w:pStyle w:val="7"/>
        <w:rPr>
          <w:rFonts w:ascii="宋体" w:hAnsi="宋体" w:cs="宋体"/>
          <w:sz w:val="32"/>
          <w:szCs w:val="32"/>
        </w:rPr>
      </w:pPr>
    </w:p>
    <w:p>
      <w:pPr>
        <w:rPr>
          <w:rFonts w:ascii="宋体" w:hAnsi="宋体" w:cs="宋体"/>
          <w:bCs/>
          <w:sz w:val="32"/>
          <w:szCs w:val="32"/>
        </w:rPr>
      </w:pPr>
    </w:p>
    <w:p>
      <w:pPr>
        <w:spacing w:line="360" w:lineRule="auto"/>
        <w:jc w:val="both"/>
        <w:rPr>
          <w:rFonts w:ascii="宋体" w:hAnsi="宋体" w:cs="宋体"/>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0" w:num="1"/>
          <w:titlePg/>
          <w:docGrid w:linePitch="312" w:charSpace="0"/>
        </w:sect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pStyle w:val="7"/>
        <w:rPr>
          <w:rFonts w:ascii="宋体" w:hAnsi="宋体" w:cs="宋体"/>
          <w:sz w:val="24"/>
        </w:rPr>
      </w:pPr>
    </w:p>
    <w:p>
      <w:pPr>
        <w:rPr>
          <w:rFonts w:ascii="宋体" w:hAnsi="宋体" w:cs="宋体"/>
          <w:sz w:val="24"/>
        </w:rPr>
      </w:pPr>
    </w:p>
    <w:bookmarkEnd w:id="1"/>
    <w:p>
      <w:pPr>
        <w:adjustRightInd/>
        <w:spacing w:line="360" w:lineRule="auto"/>
        <w:outlineLvl w:val="0"/>
        <w:rPr>
          <w:rFonts w:ascii="宋体" w:hAnsi="宋体" w:cs="宋体"/>
          <w:b/>
          <w:sz w:val="36"/>
          <w:szCs w:val="20"/>
        </w:rPr>
      </w:pPr>
      <w:bookmarkStart w:id="2" w:name="_Hlt74649545"/>
      <w:bookmarkEnd w:id="2"/>
      <w:bookmarkStart w:id="3" w:name="_Hlt74729822"/>
      <w:bookmarkEnd w:id="3"/>
      <w:bookmarkStart w:id="4" w:name="_Hlt74728647"/>
      <w:bookmarkEnd w:id="4"/>
      <w:bookmarkStart w:id="5" w:name="_Hlt74707423"/>
      <w:bookmarkEnd w:id="5"/>
      <w:bookmarkStart w:id="6" w:name="第二部分"/>
      <w:bookmarkStart w:id="7" w:name="_Toc91899870"/>
      <w:bookmarkStart w:id="8" w:name="_Toc91899871"/>
    </w:p>
    <w:p>
      <w:pPr>
        <w:adjustRightInd/>
        <w:spacing w:line="360" w:lineRule="auto"/>
        <w:jc w:val="center"/>
        <w:outlineLvl w:val="0"/>
        <w:rPr>
          <w:rFonts w:ascii="宋体" w:hAnsi="宋体" w:cs="宋体"/>
          <w:b/>
          <w:sz w:val="36"/>
          <w:szCs w:val="20"/>
        </w:rPr>
      </w:pPr>
    </w:p>
    <w:p>
      <w:pPr>
        <w:adjustRightInd/>
        <w:spacing w:line="360" w:lineRule="auto"/>
        <w:jc w:val="center"/>
        <w:outlineLvl w:val="0"/>
        <w:rPr>
          <w:rFonts w:hint="eastAsia" w:ascii="宋体" w:hAnsi="宋体" w:cs="宋体"/>
          <w:b/>
          <w:sz w:val="36"/>
          <w:szCs w:val="20"/>
        </w:rPr>
      </w:pP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桐庐县司法局2023“村、居、校法律顾问”服务项目</w:t>
      </w:r>
      <w:r>
        <w:rPr>
          <w:rFonts w:hint="eastAsia" w:ascii="宋体" w:hAnsi="宋体" w:cs="宋体"/>
          <w:sz w:val="24"/>
        </w:rPr>
        <w:t>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2023年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rPr>
        <w:t>HZZC-TL2023GK-015</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桐庐县司法局2023“村、居、校法律顾问”服务项目</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 w:val="0"/>
          <w:bCs/>
          <w:sz w:val="24"/>
          <w:lang w:val="en-US" w:eastAsia="zh-CN"/>
        </w:rPr>
        <w:t>1710000</w:t>
      </w:r>
    </w:p>
    <w:p>
      <w:pPr>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val="0"/>
          <w:bCs/>
          <w:sz w:val="24"/>
          <w:lang w:val="en-US" w:eastAsia="zh-CN"/>
        </w:rPr>
        <w:t>1710000</w:t>
      </w:r>
    </w:p>
    <w:p>
      <w:pPr>
        <w:pStyle w:val="18"/>
        <w:spacing w:line="360" w:lineRule="auto"/>
        <w:ind w:firstLine="480"/>
        <w:rPr>
          <w:rFonts w:hAnsi="宋体" w:cs="宋体"/>
          <w:b/>
          <w:color w:val="auto"/>
          <w:sz w:val="24"/>
        </w:rPr>
      </w:pPr>
      <w:r>
        <w:rPr>
          <w:rFonts w:hint="eastAsia" w:hAnsi="宋体" w:cs="宋体"/>
          <w:b/>
          <w:color w:val="auto"/>
          <w:sz w:val="24"/>
        </w:rPr>
        <w:t>采购需求：</w:t>
      </w:r>
      <w:r>
        <w:rPr>
          <w:rFonts w:hint="eastAsia" w:hAnsi="宋体" w:cs="宋体"/>
          <w:bCs/>
          <w:snapToGrid/>
          <w:color w:val="auto"/>
          <w:kern w:val="2"/>
          <w:sz w:val="24"/>
          <w:szCs w:val="24"/>
        </w:rPr>
        <w:t>具体以招标文件第三部分采购需求为准，供应商可点击本公告下方“浏览采购文件”查看采购需求。</w:t>
      </w:r>
    </w:p>
    <w:tbl>
      <w:tblPr>
        <w:tblStyle w:val="63"/>
        <w:tblW w:w="89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958"/>
        <w:gridCol w:w="1455"/>
        <w:gridCol w:w="1260"/>
        <w:gridCol w:w="1200"/>
        <w:gridCol w:w="870"/>
        <w:gridCol w:w="1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r>
              <w:rPr>
                <w:rFonts w:hint="eastAsia" w:ascii="宋体" w:hAnsi="宋体" w:cs="仿宋"/>
                <w:b w:val="0"/>
                <w:bCs w:val="0"/>
                <w:kern w:val="0"/>
                <w:sz w:val="24"/>
              </w:rPr>
              <w:t>标项</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r>
              <w:rPr>
                <w:rFonts w:hint="eastAsia" w:ascii="宋体" w:hAnsi="宋体" w:cs="仿宋"/>
                <w:b w:val="0"/>
                <w:bCs w:val="0"/>
                <w:kern w:val="0"/>
                <w:sz w:val="24"/>
              </w:rPr>
              <w:t>乡镇街道名称</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color w:val="000000"/>
                <w:kern w:val="0"/>
                <w:sz w:val="24"/>
              </w:rPr>
            </w:pPr>
            <w:r>
              <w:rPr>
                <w:rFonts w:hint="eastAsia" w:ascii="宋体" w:hAnsi="宋体" w:cs="仿宋"/>
                <w:b w:val="0"/>
                <w:bCs w:val="0"/>
                <w:color w:val="000000"/>
                <w:kern w:val="0"/>
                <w:sz w:val="24"/>
              </w:rPr>
              <w:t>村、社区的数量（个）</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color w:val="000000"/>
                <w:kern w:val="0"/>
                <w:sz w:val="24"/>
              </w:rPr>
            </w:pPr>
            <w:r>
              <w:rPr>
                <w:rFonts w:hint="eastAsia" w:ascii="宋体" w:hAnsi="宋体" w:cs="仿宋"/>
                <w:b w:val="0"/>
                <w:bCs w:val="0"/>
                <w:color w:val="000000"/>
                <w:kern w:val="0"/>
                <w:sz w:val="24"/>
              </w:rPr>
              <w:t>学校数量（所）</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r>
              <w:rPr>
                <w:rFonts w:hint="eastAsia" w:ascii="宋体" w:hAnsi="宋体" w:cs="仿宋"/>
                <w:b w:val="0"/>
                <w:bCs w:val="0"/>
                <w:kern w:val="0"/>
                <w:sz w:val="24"/>
              </w:rPr>
              <w:t>服务期限</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r>
              <w:rPr>
                <w:rFonts w:hint="eastAsia" w:ascii="宋体" w:hAnsi="宋体" w:cs="仿宋"/>
                <w:b w:val="0"/>
                <w:bCs w:val="0"/>
                <w:kern w:val="0"/>
                <w:sz w:val="24"/>
              </w:rPr>
              <w:t>中标数量</w:t>
            </w: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r>
              <w:rPr>
                <w:rFonts w:hint="eastAsia" w:ascii="宋体" w:hAnsi="宋体" w:cs="仿宋"/>
                <w:b w:val="0"/>
                <w:bCs w:val="0"/>
                <w:kern w:val="0"/>
                <w:sz w:val="24"/>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1</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凤川街道</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16</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8</w:t>
            </w:r>
          </w:p>
        </w:tc>
        <w:tc>
          <w:tcPr>
            <w:tcW w:w="120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1年</w:t>
            </w:r>
          </w:p>
        </w:tc>
        <w:tc>
          <w:tcPr>
            <w:tcW w:w="87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1</w:t>
            </w:r>
          </w:p>
        </w:tc>
        <w:tc>
          <w:tcPr>
            <w:tcW w:w="142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cs="仿宋"/>
                <w:b w:val="0"/>
                <w:bCs w:val="0"/>
                <w:kern w:val="0"/>
                <w:sz w:val="24"/>
                <w:lang w:eastAsia="zh-CN"/>
              </w:rPr>
            </w:pPr>
            <w:r>
              <w:rPr>
                <w:rFonts w:hint="eastAsia" w:ascii="宋体" w:hAnsi="宋体" w:cs="仿宋"/>
                <w:b w:val="0"/>
                <w:bCs w:val="0"/>
                <w:kern w:val="0"/>
                <w:sz w:val="24"/>
              </w:rPr>
              <w:t xml:space="preserve"> 486000</w:t>
            </w:r>
            <w:r>
              <w:rPr>
                <w:rFonts w:hint="eastAsia" w:ascii="宋体" w:hAnsi="宋体" w:cs="仿宋"/>
                <w:b w:val="0"/>
                <w:bCs w:val="0"/>
                <w:kern w:val="0"/>
                <w:sz w:val="24"/>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江南镇</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21</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5</w:t>
            </w:r>
          </w:p>
        </w:tc>
        <w:tc>
          <w:tcPr>
            <w:tcW w:w="120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87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424" w:type="dxa"/>
            <w:vMerge w:val="continue"/>
            <w:tcBorders>
              <w:left w:val="single" w:color="auto" w:sz="4" w:space="0"/>
              <w:bottom w:val="single" w:color="auto" w:sz="4" w:space="0"/>
              <w:right w:val="single" w:color="auto" w:sz="4" w:space="0"/>
            </w:tcBorders>
          </w:tcPr>
          <w:p>
            <w:pPr>
              <w:widowControl/>
              <w:spacing w:line="360" w:lineRule="exact"/>
              <w:jc w:val="center"/>
              <w:rPr>
                <w:rFonts w:hint="eastAsia" w:ascii="宋体" w:hAnsi="宋体" w:cs="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横村镇</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26</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5</w:t>
            </w:r>
          </w:p>
        </w:tc>
        <w:tc>
          <w:tcPr>
            <w:tcW w:w="120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87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424" w:type="dxa"/>
            <w:vMerge w:val="continue"/>
            <w:tcBorders>
              <w:left w:val="single" w:color="auto" w:sz="4" w:space="0"/>
              <w:bottom w:val="single" w:color="auto" w:sz="4" w:space="0"/>
              <w:right w:val="single" w:color="auto" w:sz="4" w:space="0"/>
            </w:tcBorders>
          </w:tcPr>
          <w:p>
            <w:pPr>
              <w:widowControl/>
              <w:spacing w:line="360" w:lineRule="exact"/>
              <w:jc w:val="center"/>
              <w:rPr>
                <w:rFonts w:hint="eastAsia" w:ascii="宋体" w:hAnsi="宋体" w:cs="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2</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城南街道</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28</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14</w:t>
            </w:r>
          </w:p>
        </w:tc>
        <w:tc>
          <w:tcPr>
            <w:tcW w:w="120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1年</w:t>
            </w:r>
          </w:p>
        </w:tc>
        <w:tc>
          <w:tcPr>
            <w:tcW w:w="87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1</w:t>
            </w:r>
          </w:p>
        </w:tc>
        <w:tc>
          <w:tcPr>
            <w:tcW w:w="142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cs="仿宋"/>
                <w:b w:val="0"/>
                <w:bCs w:val="0"/>
                <w:kern w:val="0"/>
                <w:sz w:val="24"/>
              </w:rPr>
            </w:pPr>
            <w:r>
              <w:rPr>
                <w:rFonts w:hint="eastAsia" w:ascii="宋体" w:hAnsi="宋体" w:cs="仿宋"/>
                <w:b w:val="0"/>
                <w:bCs w:val="0"/>
                <w:kern w:val="0"/>
                <w:sz w:val="24"/>
              </w:rPr>
              <w:t>372000元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continue"/>
            <w:tcBorders>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钟山乡</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11</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2</w:t>
            </w:r>
          </w:p>
        </w:tc>
        <w:tc>
          <w:tcPr>
            <w:tcW w:w="1200" w:type="dxa"/>
            <w:vMerge w:val="continue"/>
            <w:tcBorders>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870" w:type="dxa"/>
            <w:vMerge w:val="continue"/>
            <w:tcBorders>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424" w:type="dxa"/>
            <w:vMerge w:val="continue"/>
            <w:tcBorders>
              <w:left w:val="single" w:color="auto" w:sz="4" w:space="0"/>
              <w:right w:val="single" w:color="auto" w:sz="4" w:space="0"/>
            </w:tcBorders>
          </w:tcPr>
          <w:p>
            <w:pPr>
              <w:widowControl/>
              <w:spacing w:line="360" w:lineRule="exact"/>
              <w:jc w:val="center"/>
              <w:rPr>
                <w:rFonts w:hint="eastAsia" w:ascii="宋体" w:hAnsi="宋体" w:cs="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新合乡</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5</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2</w:t>
            </w:r>
          </w:p>
        </w:tc>
        <w:tc>
          <w:tcPr>
            <w:tcW w:w="120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87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424" w:type="dxa"/>
            <w:vMerge w:val="continue"/>
            <w:tcBorders>
              <w:left w:val="single" w:color="auto" w:sz="4" w:space="0"/>
              <w:bottom w:val="single" w:color="auto" w:sz="4" w:space="0"/>
              <w:right w:val="single" w:color="auto" w:sz="4" w:space="0"/>
            </w:tcBorders>
          </w:tcPr>
          <w:p>
            <w:pPr>
              <w:widowControl/>
              <w:spacing w:line="360" w:lineRule="exact"/>
              <w:jc w:val="center"/>
              <w:rPr>
                <w:rFonts w:hint="eastAsia" w:ascii="宋体" w:hAnsi="宋体" w:cs="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3</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桐君街道</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16</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8</w:t>
            </w:r>
          </w:p>
        </w:tc>
        <w:tc>
          <w:tcPr>
            <w:tcW w:w="120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r>
              <w:rPr>
                <w:rFonts w:hint="eastAsia" w:ascii="宋体" w:hAnsi="宋体" w:cs="仿宋"/>
                <w:b w:val="0"/>
                <w:bCs w:val="0"/>
                <w:kern w:val="0"/>
                <w:sz w:val="24"/>
                <w:lang w:val="en-US" w:eastAsia="zh-CN"/>
              </w:rPr>
              <w:t>1年</w:t>
            </w:r>
          </w:p>
        </w:tc>
        <w:tc>
          <w:tcPr>
            <w:tcW w:w="87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1</w:t>
            </w:r>
          </w:p>
        </w:tc>
        <w:tc>
          <w:tcPr>
            <w:tcW w:w="142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cs="仿宋"/>
                <w:b w:val="0"/>
                <w:bCs w:val="0"/>
                <w:kern w:val="0"/>
                <w:sz w:val="24"/>
              </w:rPr>
            </w:pPr>
            <w:r>
              <w:rPr>
                <w:rFonts w:hint="eastAsia" w:ascii="宋体" w:hAnsi="宋体" w:cs="仿宋"/>
                <w:b w:val="0"/>
                <w:bCs w:val="0"/>
                <w:kern w:val="0"/>
                <w:sz w:val="24"/>
              </w:rPr>
              <w:t>366000元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continue"/>
            <w:tcBorders>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富春江镇</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17</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4</w:t>
            </w:r>
          </w:p>
        </w:tc>
        <w:tc>
          <w:tcPr>
            <w:tcW w:w="1200" w:type="dxa"/>
            <w:vMerge w:val="continue"/>
            <w:tcBorders>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870" w:type="dxa"/>
            <w:vMerge w:val="continue"/>
            <w:tcBorders>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424" w:type="dxa"/>
            <w:vMerge w:val="continue"/>
            <w:tcBorders>
              <w:left w:val="single" w:color="auto" w:sz="4" w:space="0"/>
              <w:right w:val="single" w:color="auto" w:sz="4" w:space="0"/>
            </w:tcBorders>
          </w:tcPr>
          <w:p>
            <w:pPr>
              <w:widowControl/>
              <w:spacing w:line="360" w:lineRule="exact"/>
              <w:jc w:val="center"/>
              <w:rPr>
                <w:rFonts w:hint="eastAsia" w:ascii="宋体" w:hAnsi="宋体" w:cs="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百江镇</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15</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1</w:t>
            </w:r>
          </w:p>
        </w:tc>
        <w:tc>
          <w:tcPr>
            <w:tcW w:w="120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87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424" w:type="dxa"/>
            <w:vMerge w:val="continue"/>
            <w:tcBorders>
              <w:left w:val="single" w:color="auto" w:sz="4" w:space="0"/>
              <w:bottom w:val="single" w:color="auto" w:sz="4" w:space="0"/>
              <w:right w:val="single" w:color="auto" w:sz="4" w:space="0"/>
            </w:tcBorders>
          </w:tcPr>
          <w:p>
            <w:pPr>
              <w:widowControl/>
              <w:spacing w:line="360" w:lineRule="exact"/>
              <w:jc w:val="center"/>
              <w:rPr>
                <w:rFonts w:hint="eastAsia" w:ascii="宋体" w:hAnsi="宋体" w:cs="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4</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分水镇</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29</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8</w:t>
            </w:r>
          </w:p>
        </w:tc>
        <w:tc>
          <w:tcPr>
            <w:tcW w:w="120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r>
              <w:rPr>
                <w:rFonts w:hint="eastAsia" w:ascii="宋体" w:hAnsi="宋体" w:cs="仿宋"/>
                <w:b w:val="0"/>
                <w:bCs w:val="0"/>
                <w:kern w:val="0"/>
                <w:sz w:val="24"/>
                <w:lang w:val="en-US" w:eastAsia="zh-CN"/>
              </w:rPr>
              <w:t>1年</w:t>
            </w:r>
          </w:p>
        </w:tc>
        <w:tc>
          <w:tcPr>
            <w:tcW w:w="87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1</w:t>
            </w:r>
          </w:p>
        </w:tc>
        <w:tc>
          <w:tcPr>
            <w:tcW w:w="142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cs="仿宋"/>
                <w:b w:val="0"/>
                <w:bCs w:val="0"/>
                <w:kern w:val="0"/>
                <w:sz w:val="24"/>
              </w:rPr>
            </w:pPr>
            <w:r>
              <w:rPr>
                <w:rFonts w:hint="eastAsia" w:ascii="宋体" w:hAnsi="宋体" w:cs="仿宋"/>
                <w:b w:val="0"/>
                <w:bCs w:val="0"/>
                <w:kern w:val="0"/>
                <w:sz w:val="24"/>
              </w:rPr>
              <w:t>390000元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continue"/>
            <w:tcBorders>
              <w:left w:val="single" w:color="auto" w:sz="4" w:space="0"/>
              <w:right w:val="single" w:color="auto" w:sz="4" w:space="0"/>
            </w:tcBorders>
            <w:vAlign w:val="center"/>
          </w:tcPr>
          <w:p>
            <w:pPr>
              <w:spacing w:line="360" w:lineRule="exact"/>
              <w:jc w:val="center"/>
              <w:rPr>
                <w:rFonts w:ascii="宋体" w:hAnsi="宋体" w:cs="仿宋"/>
                <w:b w:val="0"/>
                <w:bCs w:val="0"/>
                <w:kern w:val="0"/>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瑶琳镇</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16</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5</w:t>
            </w:r>
          </w:p>
        </w:tc>
        <w:tc>
          <w:tcPr>
            <w:tcW w:w="1200" w:type="dxa"/>
            <w:vMerge w:val="continue"/>
            <w:tcBorders>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870" w:type="dxa"/>
            <w:vMerge w:val="continue"/>
            <w:tcBorders>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424"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cs="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仿宋"/>
                <w:b w:val="0"/>
                <w:bCs w:val="0"/>
                <w:kern w:val="0"/>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合村乡</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6</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1</w:t>
            </w:r>
          </w:p>
        </w:tc>
        <w:tc>
          <w:tcPr>
            <w:tcW w:w="120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87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424"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仿宋"/>
                <w:b w:val="0"/>
                <w:bCs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5</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莪山乡</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7</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2</w:t>
            </w:r>
          </w:p>
        </w:tc>
        <w:tc>
          <w:tcPr>
            <w:tcW w:w="120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r>
              <w:rPr>
                <w:rFonts w:hint="eastAsia" w:ascii="宋体" w:hAnsi="宋体" w:cs="仿宋"/>
                <w:b w:val="0"/>
                <w:bCs w:val="0"/>
                <w:kern w:val="0"/>
                <w:sz w:val="24"/>
                <w:lang w:val="en-US" w:eastAsia="zh-CN"/>
              </w:rPr>
              <w:t>1年</w:t>
            </w:r>
          </w:p>
        </w:tc>
        <w:tc>
          <w:tcPr>
            <w:tcW w:w="87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cs="仿宋"/>
                <w:b w:val="0"/>
                <w:bCs w:val="0"/>
                <w:kern w:val="0"/>
                <w:sz w:val="24"/>
                <w:lang w:val="en-US" w:eastAsia="zh-CN"/>
              </w:rPr>
              <w:t>1</w:t>
            </w:r>
          </w:p>
        </w:tc>
        <w:tc>
          <w:tcPr>
            <w:tcW w:w="142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cs="仿宋"/>
                <w:b w:val="0"/>
                <w:bCs w:val="0"/>
                <w:kern w:val="0"/>
                <w:sz w:val="24"/>
              </w:rPr>
            </w:pPr>
            <w:r>
              <w:rPr>
                <w:rFonts w:hint="eastAsia" w:ascii="宋体" w:hAnsi="宋体" w:cs="仿宋"/>
                <w:b w:val="0"/>
                <w:bCs w:val="0"/>
                <w:kern w:val="0"/>
                <w:sz w:val="24"/>
              </w:rPr>
              <w:t>96000元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jc w:val="center"/>
        </w:trPr>
        <w:tc>
          <w:tcPr>
            <w:tcW w:w="817"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仿宋"/>
                <w:b w:val="0"/>
                <w:bCs w:val="0"/>
                <w:kern w:val="0"/>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旧县街道</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5</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仿宋"/>
                <w:b w:val="0"/>
                <w:bCs w:val="0"/>
                <w:kern w:val="0"/>
                <w:sz w:val="24"/>
                <w:lang w:val="en-US" w:eastAsia="zh-CN"/>
              </w:rPr>
            </w:pPr>
            <w:r>
              <w:rPr>
                <w:rFonts w:hint="eastAsia" w:ascii="宋体" w:hAnsi="宋体" w:eastAsia="宋体" w:cs="仿宋"/>
                <w:b w:val="0"/>
                <w:bCs w:val="0"/>
                <w:kern w:val="0"/>
                <w:sz w:val="24"/>
                <w:lang w:val="en-US" w:eastAsia="zh-CN"/>
              </w:rPr>
              <w:t>2</w:t>
            </w:r>
          </w:p>
        </w:tc>
        <w:tc>
          <w:tcPr>
            <w:tcW w:w="120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87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仿宋"/>
                <w:b w:val="0"/>
                <w:bCs w:val="0"/>
                <w:kern w:val="0"/>
                <w:sz w:val="24"/>
              </w:rPr>
            </w:pPr>
          </w:p>
        </w:tc>
        <w:tc>
          <w:tcPr>
            <w:tcW w:w="1424" w:type="dxa"/>
            <w:vMerge w:val="continue"/>
            <w:tcBorders>
              <w:left w:val="single" w:color="auto" w:sz="4" w:space="0"/>
              <w:bottom w:val="single" w:color="auto" w:sz="4" w:space="0"/>
              <w:right w:val="single" w:color="auto" w:sz="4" w:space="0"/>
            </w:tcBorders>
          </w:tcPr>
          <w:p>
            <w:pPr>
              <w:widowControl/>
              <w:spacing w:line="360" w:lineRule="exact"/>
              <w:jc w:val="center"/>
              <w:rPr>
                <w:rFonts w:ascii="宋体" w:hAnsi="宋体" w:cs="仿宋"/>
                <w:b w:val="0"/>
                <w:bCs w:val="0"/>
                <w:kern w:val="0"/>
                <w:sz w:val="24"/>
              </w:rPr>
            </w:pPr>
          </w:p>
        </w:tc>
      </w:tr>
    </w:tbl>
    <w:p>
      <w:pPr>
        <w:pStyle w:val="18"/>
        <w:spacing w:line="360" w:lineRule="auto"/>
        <w:ind w:left="0" w:leftChars="0" w:firstLine="482" w:firstLineChars="200"/>
        <w:rPr>
          <w:rFonts w:hAnsi="宋体" w:cs="宋体"/>
          <w:bCs/>
          <w:color w:val="auto"/>
          <w:sz w:val="24"/>
        </w:rPr>
      </w:pPr>
      <w:r>
        <w:rPr>
          <w:rFonts w:hint="eastAsia" w:hAnsi="宋体" w:cs="宋体"/>
          <w:b/>
          <w:color w:val="auto"/>
          <w:sz w:val="24"/>
        </w:rPr>
        <w:t>合同履约期限：</w:t>
      </w:r>
      <w:r>
        <w:rPr>
          <w:rFonts w:hint="eastAsia" w:hAnsi="宋体" w:cs="宋体"/>
          <w:bCs/>
          <w:color w:val="auto"/>
          <w:sz w:val="24"/>
        </w:rPr>
        <w:t>详见招标文件第三部分采购需求</w:t>
      </w:r>
    </w:p>
    <w:p>
      <w:pPr>
        <w:pStyle w:val="18"/>
        <w:spacing w:line="360" w:lineRule="auto"/>
        <w:ind w:firstLine="48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z w:val="24"/>
        </w:rPr>
      </w:pPr>
      <w:r>
        <w:rPr>
          <w:rFonts w:hint="eastAsia" w:ascii="宋体" w:hAnsi="宋体" w:cs="宋体"/>
          <w:sz w:val="24"/>
        </w:rPr>
        <w:t>2. 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sz w:val="24"/>
          </w:rPr>
          <w:id w:val="-1024704304"/>
        </w:sdtPr>
        <w:sdtEndPr>
          <w:rPr>
            <w:rFonts w:hint="eastAsia" w:ascii="宋体" w:hAnsi="宋体" w:cs="宋体"/>
            <w:sz w:val="24"/>
          </w:rPr>
        </w:sdtEndPr>
        <w:sdtContent>
          <w:r>
            <w:rPr>
              <w:rFonts w:ascii="Wingdings" w:hAnsi="Wingdings" w:cs="宋体"/>
              <w:sz w:val="24"/>
            </w:rPr>
            <w:t></w:t>
          </w:r>
        </w:sdtContent>
      </w:sdt>
      <w:r>
        <w:rPr>
          <w:rFonts w:hint="eastAsia" w:ascii="宋体" w:hAnsi="宋体" w:cs="宋体"/>
          <w:sz w:val="24"/>
        </w:rPr>
        <w:t>专门面向中小企业</w:t>
      </w:r>
    </w:p>
    <w:p>
      <w:pPr>
        <w:spacing w:line="360" w:lineRule="auto"/>
        <w:ind w:firstLine="480" w:firstLineChars="200"/>
        <w:rPr>
          <w:rFonts w:ascii="宋体" w:hAnsi="宋体" w:cs="宋体"/>
          <w:sz w:val="24"/>
        </w:rPr>
      </w:pPr>
      <w:sdt>
        <w:sdtPr>
          <w:rPr>
            <w:rFonts w:hint="eastAsia" w:ascii="宋体" w:hAnsi="宋体" w:cs="宋体"/>
            <w:sz w:val="24"/>
          </w:rPr>
          <w:id w:val="-333685401"/>
        </w:sdtPr>
        <w:sdtEndPr>
          <w:rPr>
            <w:rFonts w:hint="eastAsia" w:ascii="宋体" w:hAnsi="宋体" w:cs="宋体"/>
            <w:sz w:val="24"/>
          </w:rPr>
        </w:sdtEndPr>
        <w:sdtContent>
          <w:r>
            <w:rPr>
              <w:rFonts w:ascii="Wingdings" w:hAnsi="Wingdings" w:cs="宋体"/>
              <w:sz w:val="24"/>
            </w:rPr>
            <w:t></w:t>
          </w:r>
        </w:sdtContent>
      </w:sdt>
      <w:r>
        <w:rPr>
          <w:rFonts w:hint="eastAsia" w:ascii="宋体" w:hAnsi="宋体" w:cs="宋体"/>
          <w:sz w:val="24"/>
        </w:rPr>
        <w:t>服务全部由符合政策要求的中小企业承接，提供中小企业声明函；</w:t>
      </w:r>
    </w:p>
    <w:p>
      <w:pPr>
        <w:spacing w:line="360" w:lineRule="auto"/>
        <w:ind w:firstLine="480" w:firstLineChars="200"/>
        <w:rPr>
          <w:rFonts w:ascii="宋体" w:hAnsi="宋体" w:cs="宋体"/>
          <w:sz w:val="24"/>
        </w:rPr>
      </w:pPr>
      <w:sdt>
        <w:sdtPr>
          <w:rPr>
            <w:rFonts w:hint="eastAsia" w:ascii="宋体" w:hAnsi="宋体" w:cs="宋体"/>
            <w:sz w:val="24"/>
          </w:rPr>
          <w:id w:val="-2141025358"/>
        </w:sdtPr>
        <w:sdtEndPr>
          <w:rPr>
            <w:rFonts w:hint="eastAsia" w:ascii="宋体" w:hAnsi="宋体" w:cs="宋体"/>
            <w:sz w:val="24"/>
          </w:rPr>
        </w:sdtEndPr>
        <w:sdtContent>
          <w:r>
            <w:rPr>
              <w:rFonts w:ascii="Wingdings" w:hAnsi="Wingdings" w:cs="宋体"/>
              <w:sz w:val="24"/>
            </w:rPr>
            <w:t></w:t>
          </w:r>
        </w:sdtContent>
      </w:sdt>
      <w:r>
        <w:rPr>
          <w:rFonts w:hint="eastAsia" w:ascii="宋体" w:hAnsi="宋体" w:cs="宋体"/>
          <w:sz w:val="24"/>
        </w:rPr>
        <w:t>服务全部由符合政策要求的小微企业承接，提供中小企业声明函；</w:t>
      </w:r>
    </w:p>
    <w:p>
      <w:pPr>
        <w:pStyle w:val="4"/>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，小微企业合同金额应当达到%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numPr>
          <w:ilvl w:val="0"/>
          <w:numId w:val="1"/>
        </w:numPr>
        <w:spacing w:line="360" w:lineRule="auto"/>
        <w:ind w:firstLine="480" w:firstLineChars="200"/>
        <w:rPr>
          <w:rFonts w:ascii="宋体" w:hAnsi="宋体" w:cs="宋体"/>
          <w:color w:val="auto"/>
          <w:sz w:val="24"/>
          <w:highlight w:val="yellow"/>
        </w:rPr>
      </w:pPr>
      <w:r>
        <w:rPr>
          <w:rFonts w:hint="eastAsia" w:ascii="宋体" w:hAnsi="宋体" w:cs="宋体"/>
          <w:color w:val="auto"/>
          <w:sz w:val="24"/>
          <w:highlight w:val="yellow"/>
        </w:rPr>
        <w:t>本项目的特定资格要求：</w:t>
      </w:r>
      <w:r>
        <w:rPr>
          <w:rFonts w:hint="eastAsia" w:ascii="宋体" w:hAnsi="宋体" w:cs="宋体"/>
          <w:color w:val="auto"/>
          <w:sz w:val="24"/>
          <w:highlight w:val="yellow"/>
          <w:u w:val="single"/>
          <w:lang w:val="en-US" w:eastAsia="zh-CN"/>
        </w:rPr>
        <w:t>具有有效的律师事务所执业许可证</w:t>
      </w:r>
      <w:r>
        <w:rPr>
          <w:rFonts w:hint="eastAsia" w:ascii="宋体" w:hAnsi="宋体" w:cs="宋体"/>
          <w:color w:val="auto"/>
          <w:sz w:val="24"/>
          <w:highlight w:val="yellow"/>
        </w:rPr>
        <w:t>；</w:t>
      </w:r>
    </w:p>
    <w:p>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 xml:space="preserve"> 10</w:t>
      </w:r>
      <w:r>
        <w:rPr>
          <w:rFonts w:hint="eastAsia" w:ascii="宋体" w:hAnsi="宋体" w:cs="宋体"/>
          <w:sz w:val="24"/>
          <w:u w:val="single"/>
        </w:rPr>
        <w:t xml:space="preserve"> 月</w:t>
      </w:r>
      <w:r>
        <w:rPr>
          <w:rFonts w:hint="eastAsia" w:ascii="宋体" w:hAnsi="宋体" w:cs="宋体"/>
          <w:sz w:val="24"/>
          <w:u w:val="single"/>
          <w:lang w:val="en-US" w:eastAsia="zh-CN"/>
        </w:rPr>
        <w:t xml:space="preserve"> 16 </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2023年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cs="宋体"/>
          <w:sz w:val="24"/>
        </w:rPr>
      </w:pPr>
      <w:r>
        <w:rPr>
          <w:rFonts w:hint="eastAsia" w:ascii="宋体" w:hAnsi="宋体" w:cs="宋体"/>
          <w:sz w:val="24"/>
        </w:rPr>
        <w:t xml:space="preserve">    名    称：桐庐县司法局</w:t>
      </w:r>
    </w:p>
    <w:p>
      <w:pPr>
        <w:spacing w:line="360" w:lineRule="auto"/>
        <w:rPr>
          <w:rFonts w:hint="eastAsia" w:ascii="宋体" w:hAnsi="宋体" w:cs="宋体"/>
          <w:sz w:val="24"/>
        </w:rPr>
      </w:pPr>
      <w:r>
        <w:rPr>
          <w:rFonts w:hint="eastAsia" w:ascii="宋体" w:hAnsi="宋体" w:cs="宋体"/>
          <w:sz w:val="24"/>
        </w:rPr>
        <w:t xml:space="preserve">    地    址：浙江省杭州市桐庐县迎春南路303号丰源大厦</w:t>
      </w:r>
    </w:p>
    <w:p>
      <w:pPr>
        <w:spacing w:line="360" w:lineRule="auto"/>
        <w:ind w:firstLine="480" w:firstLineChars="200"/>
        <w:rPr>
          <w:rFonts w:hint="eastAsia" w:ascii="宋体" w:hAnsi="宋体" w:cs="宋体"/>
          <w:sz w:val="24"/>
        </w:rPr>
      </w:pPr>
      <w:r>
        <w:rPr>
          <w:rFonts w:hint="eastAsia" w:ascii="宋体" w:hAnsi="宋体" w:cs="宋体"/>
          <w:sz w:val="24"/>
        </w:rPr>
        <w:t>项目联系人（询问）：毕艺蓓</w:t>
      </w:r>
    </w:p>
    <w:p>
      <w:pPr>
        <w:spacing w:line="360" w:lineRule="auto"/>
        <w:rPr>
          <w:rFonts w:hint="eastAsia" w:ascii="宋体" w:hAnsi="宋体" w:cs="宋体"/>
          <w:sz w:val="24"/>
        </w:rPr>
      </w:pPr>
      <w:r>
        <w:rPr>
          <w:rFonts w:hint="eastAsia" w:ascii="宋体" w:hAnsi="宋体" w:cs="宋体"/>
          <w:sz w:val="24"/>
        </w:rPr>
        <w:t xml:space="preserve">    项目联系方式（询问）：0571-64219267</w:t>
      </w:r>
    </w:p>
    <w:p>
      <w:pPr>
        <w:spacing w:line="360" w:lineRule="auto"/>
        <w:rPr>
          <w:rFonts w:hint="eastAsia" w:ascii="宋体" w:hAnsi="宋体" w:cs="宋体"/>
          <w:sz w:val="24"/>
        </w:rPr>
      </w:pPr>
      <w:r>
        <w:rPr>
          <w:rFonts w:hint="eastAsia" w:ascii="宋体" w:hAnsi="宋体" w:cs="宋体"/>
          <w:sz w:val="24"/>
        </w:rPr>
        <w:t xml:space="preserve">    质疑联系人：应蕾洁</w:t>
      </w:r>
    </w:p>
    <w:p>
      <w:pPr>
        <w:spacing w:line="360" w:lineRule="auto"/>
        <w:rPr>
          <w:rFonts w:ascii="宋体" w:hAnsi="宋体" w:cs="宋体"/>
          <w:sz w:val="24"/>
        </w:rPr>
      </w:pPr>
      <w:r>
        <w:rPr>
          <w:rFonts w:hint="eastAsia" w:ascii="宋体" w:hAnsi="宋体" w:cs="宋体"/>
          <w:sz w:val="24"/>
        </w:rPr>
        <w:t xml:space="preserve">    质疑联系方式：0571-89545906</w:t>
      </w:r>
    </w:p>
    <w:p>
      <w:pPr>
        <w:spacing w:line="360" w:lineRule="auto"/>
        <w:ind w:firstLine="480" w:firstLineChars="200"/>
        <w:rPr>
          <w:rFonts w:hint="eastAsia"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称：杭州智诚工程管理有限公司</w:t>
      </w:r>
    </w:p>
    <w:p>
      <w:pPr>
        <w:spacing w:line="360" w:lineRule="auto"/>
        <w:ind w:firstLine="480"/>
        <w:rPr>
          <w:rFonts w:ascii="宋体" w:hAnsi="宋体" w:cs="宋体"/>
          <w:sz w:val="24"/>
        </w:rPr>
      </w:pPr>
      <w:r>
        <w:rPr>
          <w:rFonts w:hint="eastAsia" w:ascii="宋体" w:hAnsi="宋体" w:cs="宋体"/>
          <w:sz w:val="24"/>
        </w:rPr>
        <w:t xml:space="preserve">地    址：桐庐县迎春南路39号建业大厦21楼           </w:t>
      </w:r>
    </w:p>
    <w:p>
      <w:pPr>
        <w:spacing w:line="360" w:lineRule="auto"/>
        <w:rPr>
          <w:rFonts w:ascii="宋体" w:hAnsi="宋体" w:cs="宋体"/>
          <w:sz w:val="24"/>
        </w:rPr>
      </w:pPr>
      <w:r>
        <w:rPr>
          <w:rFonts w:hint="eastAsia" w:ascii="宋体" w:hAnsi="宋体" w:cs="宋体"/>
          <w:sz w:val="24"/>
        </w:rPr>
        <w:t xml:space="preserve">    项目联系人（询问）：陈泽安</w:t>
      </w:r>
    </w:p>
    <w:p>
      <w:pPr>
        <w:spacing w:line="360" w:lineRule="auto"/>
        <w:rPr>
          <w:rFonts w:ascii="宋体" w:hAnsi="宋体" w:cs="宋体"/>
          <w:sz w:val="24"/>
        </w:rPr>
      </w:pPr>
      <w:r>
        <w:rPr>
          <w:rFonts w:hint="eastAsia" w:ascii="宋体" w:hAnsi="宋体" w:cs="宋体"/>
          <w:sz w:val="24"/>
        </w:rPr>
        <w:t xml:space="preserve">    项目联系方式（询问）：13868082573</w:t>
      </w:r>
    </w:p>
    <w:p>
      <w:pPr>
        <w:spacing w:line="360" w:lineRule="auto"/>
        <w:rPr>
          <w:rFonts w:ascii="宋体" w:hAnsi="宋体" w:cs="宋体"/>
          <w:sz w:val="24"/>
        </w:rPr>
      </w:pPr>
      <w:r>
        <w:rPr>
          <w:rFonts w:hint="eastAsia" w:ascii="宋体" w:hAnsi="宋体" w:cs="宋体"/>
          <w:sz w:val="24"/>
        </w:rPr>
        <w:t xml:space="preserve">    质疑联系人：王诗琦</w:t>
      </w:r>
    </w:p>
    <w:p>
      <w:pPr>
        <w:spacing w:line="360" w:lineRule="auto"/>
        <w:rPr>
          <w:rFonts w:ascii="宋体" w:hAnsi="宋体" w:cs="宋体"/>
          <w:sz w:val="24"/>
        </w:rPr>
      </w:pPr>
      <w:r>
        <w:rPr>
          <w:rFonts w:hint="eastAsia" w:ascii="宋体" w:hAnsi="宋体" w:cs="宋体"/>
          <w:sz w:val="24"/>
        </w:rPr>
        <w:t xml:space="preserve">    质疑联系方式：0571-64219946</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 xml:space="preserve">    名    称：桐庐县财政局政府采购监管科</w:t>
      </w:r>
    </w:p>
    <w:p>
      <w:pPr>
        <w:spacing w:line="360" w:lineRule="auto"/>
        <w:rPr>
          <w:rFonts w:ascii="宋体" w:hAnsi="宋体" w:cs="宋体"/>
          <w:sz w:val="24"/>
        </w:rPr>
      </w:pPr>
      <w:r>
        <w:rPr>
          <w:rFonts w:hint="eastAsia" w:ascii="宋体" w:hAnsi="宋体" w:cs="宋体"/>
          <w:sz w:val="24"/>
        </w:rPr>
        <w:t xml:space="preserve">    地    址：桐庐县春江路688号</w:t>
      </w:r>
    </w:p>
    <w:p>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cs="宋体"/>
          <w:sz w:val="24"/>
          <w:lang w:eastAsia="zh-CN"/>
        </w:rPr>
        <w:t>张正元</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监督投诉电话：0571-58507058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ind w:firstLine="480" w:firstLineChars="200"/>
        <w:rPr>
          <w:rFonts w:hAnsi="宋体" w:cs="宋体"/>
          <w:sz w:val="24"/>
          <w:szCs w:val="24"/>
        </w:rPr>
      </w:pP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6"/>
      <w:r>
        <w:rPr>
          <w:rFonts w:hint="eastAsia" w:ascii="宋体" w:hAnsi="宋体" w:cs="宋体"/>
          <w:b/>
          <w:sz w:val="36"/>
          <w:szCs w:val="20"/>
        </w:rPr>
        <w:t xml:space="preserve"> 投标人须知</w:t>
      </w:r>
      <w:bookmarkEnd w:id="7"/>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450" w:type="dxa"/>
        <w:tblInd w:w="-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6"/>
        <w:gridCol w:w="1843"/>
        <w:gridCol w:w="6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73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73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yellow"/>
              </w:rPr>
            </w:pPr>
            <w:r>
              <w:rPr>
                <w:rFonts w:hint="eastAsia" w:ascii="宋体" w:hAnsi="宋体" w:cs="宋体"/>
                <w:b/>
                <w:sz w:val="24"/>
              </w:rPr>
              <w:t>方案讲解演示</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lang w:val="zh-CN"/>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8727868"/>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w:t>
            </w:r>
            <w:r>
              <w:rPr>
                <w:rFonts w:hint="eastAsia" w:ascii="宋体" w:hAnsi="宋体" w:cs="宋体"/>
                <w:sz w:val="24"/>
              </w:rPr>
              <w:t>。</w:t>
            </w:r>
          </w:p>
          <w:p>
            <w:pPr>
              <w:spacing w:line="360" w:lineRule="auto"/>
              <w:rPr>
                <w:rFonts w:ascii="宋体" w:hAnsi="宋体" w:cs="宋体"/>
                <w:sz w:val="24"/>
              </w:rPr>
            </w:pPr>
            <w:sdt>
              <w:sdtPr>
                <w:rPr>
                  <w:rFonts w:hint="eastAsia" w:ascii="宋体" w:hAnsi="宋体" w:cs="宋体"/>
                  <w:kern w:val="0"/>
                  <w:sz w:val="24"/>
                </w:rPr>
                <w:id w:val="47488555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（1）标的1：</w:t>
            </w:r>
            <w:r>
              <w:rPr>
                <w:rFonts w:hint="eastAsia" w:ascii="宋体" w:hAnsi="宋体" w:cs="宋体"/>
                <w:kern w:val="0"/>
                <w:sz w:val="24"/>
                <w:u w:val="single"/>
              </w:rPr>
              <w:t>凤川街道、江南镇、横村镇辖区内63个行政村（社区）、18个学校的法律顾问服务</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p>
            <w:pPr>
              <w:snapToGrid w:val="0"/>
              <w:spacing w:line="360" w:lineRule="auto"/>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）标的</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u w:val="single"/>
              </w:rPr>
              <w:t>城南街道、钟山乡、新合乡辖区内44个行政村（社区）、18个学校的法律顾问服务</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p>
            <w:pPr>
              <w:snapToGrid w:val="0"/>
              <w:spacing w:line="360" w:lineRule="auto"/>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）标的</w:t>
            </w:r>
            <w:r>
              <w:rPr>
                <w:rFonts w:hint="eastAsia" w:ascii="宋体" w:hAnsi="宋体" w:cs="宋体"/>
                <w:kern w:val="0"/>
                <w:sz w:val="24"/>
                <w:lang w:val="en-US" w:eastAsia="zh-CN"/>
              </w:rPr>
              <w:t>3</w:t>
            </w:r>
            <w:r>
              <w:rPr>
                <w:rFonts w:hint="eastAsia" w:ascii="宋体" w:hAnsi="宋体" w:cs="宋体"/>
                <w:kern w:val="0"/>
                <w:sz w:val="24"/>
              </w:rPr>
              <w:t>：</w:t>
            </w:r>
            <w:r>
              <w:rPr>
                <w:rFonts w:hint="eastAsia" w:ascii="宋体" w:hAnsi="宋体" w:cs="宋体"/>
                <w:kern w:val="0"/>
                <w:sz w:val="24"/>
                <w:u w:val="single"/>
              </w:rPr>
              <w:t>桐君街道、富春江镇、百江镇辖区内48个行政村（社区）、13个学校的法律顾问服务</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）标的</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u w:val="single"/>
              </w:rPr>
              <w:t>分水镇、瑶琳镇、合村乡辖区内51个行政村（社区）、14个学校的法律顾问服务</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p>
            <w:pPr>
              <w:snapToGrid w:val="0"/>
              <w:spacing w:line="360" w:lineRule="auto"/>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）标的</w:t>
            </w: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kern w:val="0"/>
                <w:sz w:val="24"/>
                <w:u w:val="single"/>
              </w:rPr>
              <w:t>莪山乡、旧县街道辖区内12个行政村（社区）、4个学校的法律顾问服务</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p>
            <w:pPr>
              <w:snapToGrid w:val="0"/>
              <w:spacing w:line="360" w:lineRule="auto"/>
              <w:rPr>
                <w:rFonts w:ascii="宋体" w:hAnsi="宋体" w:cs="宋体"/>
              </w:rPr>
            </w:pPr>
            <w:r>
              <w:rPr>
                <w:rFonts w:hint="eastAsia" w:ascii="宋体" w:hAnsi="宋体" w:cs="宋体"/>
                <w:kern w:val="0"/>
                <w:sz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ascii="宋体" w:hAnsi="宋体" w:cs="宋体"/>
              </w:rPr>
            </w:pP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731"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桐庐县迎春南路39号建业大厦21楼</w:t>
            </w:r>
            <w:r>
              <w:rPr>
                <w:rFonts w:hint="eastAsia" w:hAnsi="宋体" w:cs="宋体"/>
                <w:kern w:val="28"/>
                <w:sz w:val="24"/>
                <w:szCs w:val="24"/>
              </w:rPr>
              <w:t>；备份投标文件签收人员：</w:t>
            </w:r>
            <w:r>
              <w:rPr>
                <w:rFonts w:hint="eastAsia" w:hAnsi="宋体" w:cs="宋体"/>
                <w:kern w:val="28"/>
                <w:sz w:val="24"/>
                <w:szCs w:val="24"/>
                <w:u w:val="single"/>
              </w:rPr>
              <w:t>陈泽安</w:t>
            </w:r>
            <w:r>
              <w:rPr>
                <w:rFonts w:hint="eastAsia" w:hAnsi="宋体" w:cs="宋体"/>
                <w:kern w:val="28"/>
                <w:sz w:val="24"/>
                <w:szCs w:val="24"/>
              </w:rPr>
              <w:t>，联系电话：</w:t>
            </w:r>
            <w:r>
              <w:rPr>
                <w:rFonts w:hint="eastAsia" w:hAnsi="宋体" w:cs="宋体"/>
                <w:sz w:val="24"/>
                <w:u w:val="single"/>
              </w:rPr>
              <w:t>13868082573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b/>
                <w:sz w:val="24"/>
              </w:rPr>
            </w:pPr>
            <w:r>
              <w:rPr>
                <w:rFonts w:hint="eastAsia" w:ascii="宋体" w:hAnsi="宋体" w:cs="宋体"/>
                <w:b/>
                <w:bCs/>
                <w:sz w:val="24"/>
              </w:rPr>
              <w:t>代理服务费</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lang w:eastAsia="zh-CN"/>
              </w:rPr>
            </w:pPr>
            <w:r>
              <w:rPr>
                <w:rFonts w:hint="eastAsia" w:ascii="宋体" w:hAnsi="宋体" w:cs="宋体"/>
                <w:bCs/>
                <w:sz w:val="24"/>
              </w:rPr>
              <w:t>本次采购的招标代理服务费由委托采购方支付</w:t>
            </w:r>
            <w:r>
              <w:rPr>
                <w:rFonts w:hint="eastAsia" w:ascii="宋体" w:hAnsi="宋体" w:cs="宋体"/>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Cs/>
                <w:sz w:val="24"/>
              </w:rPr>
            </w:pPr>
            <w:r>
              <w:rPr>
                <w:rFonts w:hint="eastAsia" w:ascii="宋体" w:hAnsi="宋体" w:cs="宋体"/>
                <w:bCs/>
                <w:sz w:val="24"/>
              </w:rPr>
              <w:t>无</w:t>
            </w:r>
          </w:p>
        </w:tc>
      </w:tr>
      <w:bookmarkEnd w:id="8"/>
    </w:tbl>
    <w:p>
      <w:pPr>
        <w:adjustRightInd/>
        <w:spacing w:line="360" w:lineRule="auto"/>
        <w:jc w:val="center"/>
        <w:outlineLvl w:val="0"/>
        <w:rPr>
          <w:rFonts w:ascii="宋体" w:hAnsi="宋体" w:cs="宋体"/>
          <w:b/>
          <w:sz w:val="32"/>
          <w:szCs w:val="20"/>
        </w:rPr>
      </w:pPr>
      <w:bookmarkStart w:id="9" w:name="第三部分"/>
      <w:bookmarkStart w:id="10"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35"/>
        <w:spacing w:line="360" w:lineRule="auto"/>
        <w:ind w:firstLine="480" w:firstLineChars="200"/>
        <w:rPr>
          <w:rFonts w:hAnsi="宋体" w:cs="宋体"/>
        </w:rPr>
      </w:pPr>
      <w:r>
        <w:rPr>
          <w:rFonts w:hint="eastAsia" w:hAnsi="宋体" w:cs="宋体"/>
          <w:kern w:val="0"/>
          <w:sz w:val="24"/>
          <w:lang w:val="zh-CN"/>
        </w:rPr>
        <w:t>供应商提交的质疑函需一式三份。供应商为自然人的，应</w:t>
      </w:r>
      <w:r>
        <w:rPr>
          <w:rFonts w:hint="eastAsia" w:hAnsi="宋体" w:cs="宋体"/>
        </w:rPr>
        <w:t>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7"/>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30"/>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pacing w:line="360" w:lineRule="auto"/>
        <w:ind w:firstLine="960" w:firstLineChars="400"/>
        <w:rPr>
          <w:rFonts w:ascii="宋体" w:hAnsi="宋体" w:cs="宋体"/>
          <w:sz w:val="24"/>
          <w:lang w:val="zh-CN"/>
        </w:rPr>
      </w:pPr>
      <w:r>
        <w:rPr>
          <w:rFonts w:hint="eastAsia" w:ascii="宋体" w:hAnsi="宋体" w:cs="宋体"/>
          <w:sz w:val="24"/>
          <w:lang w:val="zh-CN"/>
        </w:rPr>
        <w:t>11.1.2联合协议（如果有)</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11.2.5投标标的清单；</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11.2.6商务技术偏离表；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cs="宋体"/>
          <w:b/>
        </w:rPr>
        <w:t>▲</w:t>
      </w:r>
      <w:r>
        <w:rPr>
          <w:rFonts w:hint="eastAsia" w:ascii="宋体" w:hAnsi="宋体" w:cs="宋体"/>
          <w:b/>
          <w:sz w:val="24"/>
          <w:szCs w:val="20"/>
        </w:rPr>
        <w:t>投标文件未按规定的格式编制的，投标无效；</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DVD光盘或U盘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0" w:firstLineChars="0"/>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pStyle w:val="13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3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1"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要求中标供应商提交履约保证金，</w:t>
      </w:r>
      <w:r>
        <w:rPr>
          <w:rFonts w:hint="eastAsia" w:ascii="宋体" w:hAnsi="宋体" w:cs="宋体"/>
          <w:sz w:val="24"/>
        </w:rPr>
        <w:t>数额为政府采购合同金额的0.1%。</w:t>
      </w:r>
      <w:r>
        <w:rPr>
          <w:rFonts w:hint="eastAsia" w:ascii="宋体" w:hAnsi="宋体" w:cs="宋体"/>
          <w:kern w:val="0"/>
          <w:sz w:val="24"/>
        </w:rPr>
        <w:t>供应商应当以支票、汇票、本票或者金融机构、担保机构出具的保函等非现金形式提交</w:t>
      </w:r>
      <w:r>
        <w:rPr>
          <w:rFonts w:hint="eastAsia" w:ascii="宋体" w:hAnsi="宋体" w:cs="宋体"/>
          <w:sz w:val="24"/>
        </w:rPr>
        <w:t>。鼓励和支持供应商以银行、保险公司出具的保函形式提供履约保证金。</w:t>
      </w:r>
    </w:p>
    <w:p>
      <w:pPr>
        <w:snapToGrid w:val="0"/>
        <w:spacing w:line="360" w:lineRule="auto"/>
        <w:rPr>
          <w:rFonts w:ascii="宋体" w:hAnsi="宋体" w:cs="宋体"/>
          <w:b/>
          <w:sz w:val="32"/>
        </w:rPr>
      </w:pP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hint="eastAsia" w:ascii="宋体" w:hAnsi="宋体" w:cs="宋体"/>
          <w:b/>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0"/>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宋体" w:hAnsi="宋体" w:cs="宋体"/>
          <w:kern w:val="0"/>
          <w:sz w:val="24"/>
        </w:rPr>
        <w:sectPr>
          <w:footerReference r:id="rId10" w:type="first"/>
          <w:footerReference r:id="rId9" w:type="default"/>
          <w:pgSz w:w="11906" w:h="16838"/>
          <w:pgMar w:top="1440" w:right="1418" w:bottom="1440" w:left="1418" w:header="851" w:footer="992" w:gutter="0"/>
          <w:pgNumType w:start="1"/>
          <w:cols w:space="0" w:num="1"/>
          <w:titlePg/>
          <w:docGrid w:linePitch="312" w:charSpace="0"/>
        </w:sectPr>
      </w:pPr>
      <w:bookmarkStart w:id="12" w:name="_Hlt68072990"/>
      <w:bookmarkEnd w:id="12"/>
      <w:bookmarkStart w:id="13" w:name="_Hlt74707468"/>
      <w:bookmarkEnd w:id="13"/>
      <w:bookmarkStart w:id="14" w:name="_Hlt68073093"/>
      <w:bookmarkEnd w:id="14"/>
      <w:bookmarkStart w:id="15" w:name="_Hlt68057669"/>
      <w:bookmarkEnd w:id="15"/>
      <w:bookmarkStart w:id="16" w:name="_Hlt74714665"/>
      <w:bookmarkEnd w:id="16"/>
      <w:bookmarkStart w:id="17" w:name="_Hlt68403820"/>
      <w:bookmarkEnd w:id="17"/>
      <w:bookmarkStart w:id="18" w:name="_Hlt75236290"/>
      <w:bookmarkEnd w:id="18"/>
      <w:bookmarkStart w:id="19" w:name="_Hlt74730295"/>
      <w:bookmarkEnd w:id="19"/>
      <w:bookmarkStart w:id="20" w:name="_Hlt68072998"/>
      <w:bookmarkEnd w:id="20"/>
      <w:bookmarkStart w:id="21" w:name="_Hlt74729768"/>
      <w:bookmarkEnd w:id="21"/>
      <w:bookmarkStart w:id="22" w:name="_Hlt75236101"/>
      <w:bookmarkEnd w:id="22"/>
      <w:bookmarkStart w:id="23" w:name="_Hlt75236011"/>
      <w:bookmarkEnd w:id="23"/>
    </w:p>
    <w:bookmarkEnd w:id="9"/>
    <w:bookmarkEnd w:id="10"/>
    <w:p>
      <w:pPr>
        <w:spacing w:line="360" w:lineRule="auto"/>
        <w:jc w:val="center"/>
        <w:outlineLvl w:val="0"/>
        <w:rPr>
          <w:rFonts w:ascii="宋体" w:hAnsi="宋体" w:cs="宋体"/>
          <w:b/>
          <w:sz w:val="36"/>
          <w:szCs w:val="36"/>
        </w:rPr>
      </w:pPr>
      <w:bookmarkStart w:id="24" w:name="第四部分"/>
      <w:r>
        <w:rPr>
          <w:rFonts w:hint="eastAsia" w:ascii="宋体" w:hAnsi="宋体" w:cs="宋体"/>
          <w:b/>
          <w:sz w:val="36"/>
          <w:szCs w:val="36"/>
        </w:rPr>
        <w:t>第三部分   采购需求</w:t>
      </w:r>
    </w:p>
    <w:p>
      <w:pPr>
        <w:snapToGrid w:val="0"/>
        <w:spacing w:line="360" w:lineRule="auto"/>
        <w:outlineLvl w:val="0"/>
        <w:rPr>
          <w:rFonts w:hint="eastAsia" w:cs="Times New Roman" w:asciiTheme="minorEastAsia" w:hAnsiTheme="minorEastAsia" w:eastAsiaTheme="minorEastAsia"/>
          <w:b/>
          <w:sz w:val="28"/>
          <w:szCs w:val="28"/>
          <w:lang w:val="en-US" w:eastAsia="zh-CN"/>
        </w:rPr>
      </w:pPr>
      <w:r>
        <w:rPr>
          <w:rFonts w:hint="eastAsia" w:cs="Times New Roman" w:asciiTheme="minorEastAsia" w:hAnsiTheme="minorEastAsia" w:eastAsiaTheme="minorEastAsia"/>
          <w:b/>
          <w:sz w:val="28"/>
          <w:szCs w:val="28"/>
          <w:lang w:val="en-US" w:eastAsia="zh-CN"/>
        </w:rPr>
        <w:t>一、政策依据</w:t>
      </w:r>
    </w:p>
    <w:p>
      <w:pPr>
        <w:tabs>
          <w:tab w:val="left" w:pos="0"/>
        </w:tabs>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1.中共中央办公厅、国务院办公厅印发《关于推行法律顾问制度和公职律师公司律师制度的意见》（中办发【2016】30号）</w:t>
      </w:r>
    </w:p>
    <w:p>
      <w:pPr>
        <w:tabs>
          <w:tab w:val="left" w:pos="0"/>
        </w:tabs>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2.中共浙江省委办公厅、浙江省人民政府办公厅关于印发《关于推行法律顾问制度和公职律师公司律师制度的实施意见》的通知（浙委办发【2017】65号）</w:t>
      </w:r>
    </w:p>
    <w:p>
      <w:pPr>
        <w:tabs>
          <w:tab w:val="left" w:pos="0"/>
        </w:tabs>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3.《浙江省司法厅关于在全省司法行政系统全面建立政府法律顾问制度的指导意见》（浙司【2014】26号）</w:t>
      </w:r>
    </w:p>
    <w:p>
      <w:pPr>
        <w:tabs>
          <w:tab w:val="left" w:pos="0"/>
        </w:tabs>
        <w:spacing w:line="360" w:lineRule="auto"/>
        <w:ind w:firstLine="480"/>
        <w:rPr>
          <w:rFonts w:hint="eastAsia" w:asciiTheme="minorEastAsia" w:hAnsiTheme="minorEastAsia" w:eastAsiaTheme="minorEastAsia"/>
          <w:b/>
          <w:sz w:val="28"/>
          <w:szCs w:val="28"/>
        </w:rPr>
      </w:pPr>
      <w:r>
        <w:rPr>
          <w:rFonts w:hint="eastAsia" w:ascii="宋体" w:hAnsi="宋体" w:eastAsia="宋体" w:cs="宋体"/>
          <w:sz w:val="24"/>
          <w:lang w:val="en-US" w:eastAsia="zh-CN"/>
        </w:rPr>
        <w:t>在合同履行期间，若上述标准或规范有修改或重新颁布，供应商应遵照新的标准或规范执行。</w:t>
      </w:r>
    </w:p>
    <w:p>
      <w:pPr>
        <w:snapToGrid w:val="0"/>
        <w:spacing w:line="360" w:lineRule="auto"/>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二</w:t>
      </w:r>
      <w:r>
        <w:rPr>
          <w:rFonts w:hint="eastAsia" w:asciiTheme="minorEastAsia" w:hAnsiTheme="minorEastAsia" w:eastAsiaTheme="minorEastAsia"/>
          <w:b/>
          <w:sz w:val="28"/>
          <w:szCs w:val="28"/>
        </w:rPr>
        <w:t>、项目背景</w:t>
      </w:r>
    </w:p>
    <w:p>
      <w:pPr>
        <w:tabs>
          <w:tab w:val="left" w:pos="0"/>
        </w:tabs>
        <w:spacing w:line="360" w:lineRule="auto"/>
        <w:ind w:firstLine="480"/>
        <w:rPr>
          <w:rFonts w:ascii="宋体" w:hAnsi="宋体" w:cs="宋体"/>
          <w:sz w:val="24"/>
        </w:rPr>
      </w:pPr>
      <w:r>
        <w:rPr>
          <w:rFonts w:hint="eastAsia" w:ascii="宋体" w:hAnsi="宋体" w:cs="宋体"/>
          <w:sz w:val="24"/>
        </w:rPr>
        <w:t>深入贯彻落实中央全面依法治国工作会议精神和中共中央《法治社会建设实施纲要（2020－2025年）》文件精神,充分发挥律师在服务农村、服务社区、服务校园中的作用,提高基层社会治理法治化水平。</w:t>
      </w:r>
    </w:p>
    <w:p>
      <w:pPr>
        <w:snapToGrid w:val="0"/>
        <w:spacing w:line="360" w:lineRule="auto"/>
        <w:outlineLvl w:val="0"/>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三</w:t>
      </w: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eastAsia="zh-CN"/>
        </w:rPr>
        <w:t>服务内容</w:t>
      </w:r>
    </w:p>
    <w:tbl>
      <w:tblPr>
        <w:tblStyle w:val="6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ign w:val="center"/>
          </w:tcPr>
          <w:p>
            <w:pPr>
              <w:adjustRightInd/>
              <w:spacing w:line="360" w:lineRule="auto"/>
              <w:jc w:val="center"/>
              <w:rPr>
                <w:rFonts w:hint="eastAsia" w:ascii="宋体" w:hAnsi="宋体" w:cs="宋体"/>
                <w:sz w:val="24"/>
                <w:lang w:val="zh-CN"/>
              </w:rPr>
            </w:pPr>
            <w:r>
              <w:rPr>
                <w:rFonts w:hint="eastAsia" w:ascii="宋体" w:hAnsi="宋体" w:cs="宋体"/>
                <w:sz w:val="24"/>
                <w:lang w:val="zh-CN"/>
              </w:rPr>
              <w:t>标项一</w:t>
            </w:r>
          </w:p>
        </w:tc>
        <w:tc>
          <w:tcPr>
            <w:tcW w:w="7534" w:type="dxa"/>
            <w:noWrap/>
            <w:vAlign w:val="center"/>
          </w:tcPr>
          <w:p>
            <w:pPr>
              <w:adjustRightInd/>
              <w:spacing w:line="360" w:lineRule="auto"/>
              <w:jc w:val="left"/>
              <w:rPr>
                <w:rFonts w:hint="eastAsia" w:ascii="宋体" w:hAnsi="宋体" w:cs="宋体"/>
                <w:sz w:val="24"/>
                <w:lang w:val="zh-CN"/>
              </w:rPr>
            </w:pPr>
            <w:r>
              <w:rPr>
                <w:rFonts w:hint="eastAsia" w:ascii="宋体" w:hAnsi="宋体" w:cs="宋体"/>
                <w:sz w:val="24"/>
                <w:lang w:val="zh-CN"/>
              </w:rPr>
              <w:t>凤川街道、江南镇、横村镇辖区内63个行政村（社区）、18个学校的法律顾问服务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ign w:val="center"/>
          </w:tcPr>
          <w:p>
            <w:pPr>
              <w:adjustRightInd/>
              <w:spacing w:line="360" w:lineRule="auto"/>
              <w:jc w:val="center"/>
              <w:rPr>
                <w:rFonts w:hint="eastAsia" w:ascii="宋体" w:hAnsi="宋体" w:cs="宋体"/>
                <w:sz w:val="24"/>
                <w:lang w:val="zh-CN"/>
              </w:rPr>
            </w:pPr>
            <w:r>
              <w:rPr>
                <w:rFonts w:hint="eastAsia" w:ascii="宋体" w:hAnsi="宋体" w:cs="宋体"/>
                <w:sz w:val="24"/>
                <w:lang w:val="zh-CN"/>
              </w:rPr>
              <w:t>标项二</w:t>
            </w:r>
          </w:p>
        </w:tc>
        <w:tc>
          <w:tcPr>
            <w:tcW w:w="7534" w:type="dxa"/>
            <w:noWrap/>
            <w:vAlign w:val="center"/>
          </w:tcPr>
          <w:p>
            <w:pPr>
              <w:adjustRightInd/>
              <w:spacing w:line="360" w:lineRule="auto"/>
              <w:jc w:val="left"/>
              <w:rPr>
                <w:rFonts w:hint="eastAsia" w:ascii="宋体" w:hAnsi="宋体" w:cs="宋体"/>
                <w:sz w:val="24"/>
                <w:lang w:val="zh-CN"/>
              </w:rPr>
            </w:pPr>
            <w:r>
              <w:rPr>
                <w:rFonts w:hint="eastAsia" w:ascii="宋体" w:hAnsi="宋体" w:cs="宋体"/>
                <w:sz w:val="24"/>
                <w:lang w:val="zh-CN"/>
              </w:rPr>
              <w:t>城南街道、钟山乡、新合乡辖区内44个行政村（社区）、18个学校的法律顾问服务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ign w:val="center"/>
          </w:tcPr>
          <w:p>
            <w:pPr>
              <w:adjustRightInd/>
              <w:spacing w:line="360" w:lineRule="auto"/>
              <w:jc w:val="center"/>
              <w:rPr>
                <w:rFonts w:hint="eastAsia" w:ascii="宋体" w:hAnsi="宋体" w:cs="宋体"/>
                <w:sz w:val="24"/>
                <w:lang w:val="zh-CN"/>
              </w:rPr>
            </w:pPr>
            <w:r>
              <w:rPr>
                <w:rFonts w:hint="eastAsia" w:ascii="宋体" w:hAnsi="宋体" w:cs="宋体"/>
                <w:sz w:val="24"/>
                <w:lang w:val="zh-CN"/>
              </w:rPr>
              <w:t>标项三</w:t>
            </w:r>
          </w:p>
        </w:tc>
        <w:tc>
          <w:tcPr>
            <w:tcW w:w="7534" w:type="dxa"/>
            <w:noWrap/>
            <w:vAlign w:val="center"/>
          </w:tcPr>
          <w:p>
            <w:pPr>
              <w:adjustRightInd/>
              <w:spacing w:line="360" w:lineRule="auto"/>
              <w:jc w:val="left"/>
              <w:rPr>
                <w:rFonts w:hint="eastAsia" w:ascii="宋体" w:hAnsi="宋体" w:cs="宋体"/>
                <w:sz w:val="24"/>
                <w:lang w:val="zh-CN"/>
              </w:rPr>
            </w:pPr>
            <w:r>
              <w:rPr>
                <w:rFonts w:hint="eastAsia" w:ascii="宋体" w:hAnsi="宋体" w:cs="宋体"/>
                <w:sz w:val="24"/>
                <w:lang w:val="zh-CN"/>
              </w:rPr>
              <w:t>桐君街道、富春江镇、百江镇辖区内48个行政村（社区）、13个学校的法律顾问服务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ign w:val="center"/>
          </w:tcPr>
          <w:p>
            <w:pPr>
              <w:adjustRightInd/>
              <w:spacing w:line="360" w:lineRule="auto"/>
              <w:jc w:val="center"/>
              <w:rPr>
                <w:rFonts w:hint="eastAsia" w:ascii="宋体" w:hAnsi="宋体" w:cs="宋体"/>
                <w:sz w:val="24"/>
                <w:lang w:val="zh-CN"/>
              </w:rPr>
            </w:pPr>
            <w:r>
              <w:rPr>
                <w:rFonts w:hint="eastAsia" w:ascii="宋体" w:hAnsi="宋体" w:cs="宋体"/>
                <w:sz w:val="24"/>
                <w:lang w:val="zh-CN"/>
              </w:rPr>
              <w:t>标项四</w:t>
            </w:r>
          </w:p>
        </w:tc>
        <w:tc>
          <w:tcPr>
            <w:tcW w:w="7534" w:type="dxa"/>
            <w:noWrap/>
            <w:vAlign w:val="center"/>
          </w:tcPr>
          <w:p>
            <w:pPr>
              <w:adjustRightInd/>
              <w:spacing w:line="360" w:lineRule="auto"/>
              <w:jc w:val="left"/>
              <w:rPr>
                <w:rFonts w:hint="eastAsia" w:ascii="宋体" w:hAnsi="宋体" w:cs="宋体"/>
                <w:sz w:val="24"/>
                <w:lang w:val="zh-CN"/>
              </w:rPr>
            </w:pPr>
            <w:r>
              <w:rPr>
                <w:rFonts w:hint="eastAsia" w:ascii="宋体" w:hAnsi="宋体" w:cs="宋体"/>
                <w:sz w:val="24"/>
                <w:lang w:val="zh-CN"/>
              </w:rPr>
              <w:t>分水镇、瑶琳镇、合村乡辖区内51个行政村（社区）、14个学校的法律顾问服务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ign w:val="center"/>
          </w:tcPr>
          <w:p>
            <w:pPr>
              <w:adjustRightInd/>
              <w:spacing w:line="360" w:lineRule="auto"/>
              <w:jc w:val="center"/>
              <w:rPr>
                <w:rFonts w:hint="eastAsia" w:ascii="宋体" w:hAnsi="宋体" w:cs="宋体"/>
                <w:sz w:val="24"/>
                <w:lang w:val="zh-CN"/>
              </w:rPr>
            </w:pPr>
            <w:r>
              <w:rPr>
                <w:rFonts w:hint="eastAsia" w:ascii="宋体" w:hAnsi="宋体" w:cs="宋体"/>
                <w:sz w:val="24"/>
                <w:lang w:val="zh-CN"/>
              </w:rPr>
              <w:t>标项五</w:t>
            </w:r>
          </w:p>
        </w:tc>
        <w:tc>
          <w:tcPr>
            <w:tcW w:w="7534" w:type="dxa"/>
            <w:noWrap/>
            <w:vAlign w:val="center"/>
          </w:tcPr>
          <w:p>
            <w:pPr>
              <w:adjustRightInd/>
              <w:spacing w:line="360" w:lineRule="auto"/>
              <w:jc w:val="left"/>
              <w:rPr>
                <w:rFonts w:hint="eastAsia" w:ascii="宋体" w:hAnsi="宋体" w:cs="宋体"/>
                <w:sz w:val="24"/>
                <w:lang w:val="zh-CN"/>
              </w:rPr>
            </w:pPr>
            <w:r>
              <w:rPr>
                <w:rFonts w:hint="eastAsia" w:ascii="宋体" w:hAnsi="宋体" w:cs="宋体"/>
                <w:sz w:val="24"/>
                <w:lang w:val="zh-CN"/>
              </w:rPr>
              <w:t>莪山乡、旧县街道辖区内12个行政村（社区）、4个学校的法律顾问服务</w:t>
            </w:r>
          </w:p>
        </w:tc>
      </w:tr>
    </w:tbl>
    <w:p>
      <w:pPr>
        <w:adjustRightInd/>
        <w:spacing w:line="360" w:lineRule="auto"/>
        <w:ind w:firstLine="470" w:firstLineChars="196"/>
        <w:rPr>
          <w:rFonts w:hint="eastAsia" w:ascii="宋体" w:hAnsi="宋体" w:cs="宋体"/>
          <w:color w:val="FF0000"/>
          <w:kern w:val="0"/>
          <w:sz w:val="24"/>
          <w:highlight w:val="yellow"/>
          <w:lang w:eastAsia="zh-CN"/>
        </w:rPr>
      </w:pPr>
    </w:p>
    <w:p>
      <w:pPr>
        <w:adjustRightInd/>
        <w:spacing w:line="360" w:lineRule="auto"/>
        <w:ind w:firstLine="470" w:firstLineChars="196"/>
        <w:rPr>
          <w:rFonts w:hint="eastAsia" w:asciiTheme="minorEastAsia" w:hAnsiTheme="minorEastAsia" w:eastAsiaTheme="minorEastAsia"/>
          <w:b/>
          <w:sz w:val="28"/>
          <w:szCs w:val="28"/>
          <w:lang w:eastAsia="zh-CN"/>
        </w:rPr>
      </w:pPr>
      <w:r>
        <w:rPr>
          <w:rFonts w:hint="eastAsia" w:ascii="宋体" w:hAnsi="宋体" w:cs="宋体"/>
          <w:color w:val="FF0000"/>
          <w:kern w:val="0"/>
          <w:sz w:val="24"/>
          <w:highlight w:val="yellow"/>
          <w:lang w:eastAsia="zh-CN"/>
        </w:rPr>
        <w:t>注：投标人可以参加任何一个标项的投标，但一个投标人只能中其中一个标项，且按1-5的标项顺序评审及推荐中标候选人，任意一个标项的中标候选人均不得再被推荐为其他标项的中标候选人。</w:t>
      </w:r>
    </w:p>
    <w:p>
      <w:pPr>
        <w:snapToGrid w:val="0"/>
        <w:spacing w:line="360" w:lineRule="auto"/>
        <w:outlineLvl w:val="0"/>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四</w:t>
      </w: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eastAsia="zh-CN"/>
        </w:rPr>
        <w:t>服务内容</w:t>
      </w:r>
    </w:p>
    <w:p>
      <w:pPr>
        <w:tabs>
          <w:tab w:val="left" w:pos="0"/>
        </w:tabs>
        <w:spacing w:line="360" w:lineRule="auto"/>
        <w:ind w:firstLine="480"/>
        <w:rPr>
          <w:rFonts w:hint="eastAsia" w:ascii="宋体" w:hAnsi="宋体" w:cs="宋体"/>
          <w:sz w:val="24"/>
        </w:rPr>
      </w:pPr>
      <w:r>
        <w:rPr>
          <w:rFonts w:hint="eastAsia" w:ascii="宋体" w:hAnsi="宋体" w:cs="宋体"/>
          <w:sz w:val="24"/>
        </w:rPr>
        <w:t>1、中标单位应当接受招标人监督、指导，加强对派驻律师的监督管理，指导派驻律师在执业活动中遵守法律、法规、规章，遵守职业道德和执业纪律。</w:t>
      </w:r>
    </w:p>
    <w:p>
      <w:pPr>
        <w:tabs>
          <w:tab w:val="left" w:pos="0"/>
        </w:tabs>
        <w:spacing w:line="360" w:lineRule="auto"/>
        <w:ind w:firstLine="480"/>
        <w:rPr>
          <w:rFonts w:hint="eastAsia" w:ascii="宋体" w:hAnsi="宋体" w:cs="宋体"/>
          <w:sz w:val="24"/>
        </w:rPr>
      </w:pPr>
      <w:r>
        <w:rPr>
          <w:rFonts w:hint="eastAsia" w:ascii="宋体" w:hAnsi="宋体" w:cs="宋体"/>
          <w:sz w:val="24"/>
        </w:rPr>
        <w:t>2、中标单位需依法开展业务活动，对接触、了解到的商业秘密、不宜公开的事项及个人隐私予以保密。</w:t>
      </w:r>
    </w:p>
    <w:p>
      <w:pPr>
        <w:tabs>
          <w:tab w:val="left" w:pos="0"/>
        </w:tabs>
        <w:spacing w:line="360" w:lineRule="auto"/>
        <w:ind w:firstLine="480"/>
        <w:rPr>
          <w:rFonts w:hint="eastAsia" w:ascii="宋体" w:hAnsi="宋体" w:cs="宋体"/>
          <w:sz w:val="24"/>
        </w:rPr>
      </w:pPr>
      <w:r>
        <w:rPr>
          <w:rFonts w:hint="eastAsia" w:ascii="宋体" w:hAnsi="宋体" w:cs="宋体"/>
          <w:sz w:val="24"/>
        </w:rPr>
        <w:t>3、中标单位应当建立服务团队，制定内部考核评分制度，做好台账记录，定期向村（居、校）负责人了解服务质量，每季度对团队成员进行综合考核，对于考核不合格的成员及时进行整改或调换。</w:t>
      </w:r>
    </w:p>
    <w:p>
      <w:pPr>
        <w:tabs>
          <w:tab w:val="left" w:pos="0"/>
        </w:tabs>
        <w:spacing w:line="360" w:lineRule="auto"/>
        <w:ind w:firstLine="480"/>
        <w:rPr>
          <w:rFonts w:hint="eastAsia" w:ascii="宋体" w:hAnsi="宋体" w:cs="宋体"/>
          <w:sz w:val="24"/>
        </w:rPr>
      </w:pPr>
      <w:r>
        <w:rPr>
          <w:rFonts w:hint="eastAsia" w:ascii="宋体" w:hAnsi="宋体" w:cs="宋体"/>
          <w:sz w:val="24"/>
        </w:rPr>
        <w:t>4、中标单位应保障派遣的每位律师服务村（居、校）数量不得超过5个，且每月每个村（居、校）服务时长不少于8小时，服务内容包括：</w:t>
      </w:r>
    </w:p>
    <w:p>
      <w:pPr>
        <w:tabs>
          <w:tab w:val="left" w:pos="0"/>
        </w:tabs>
        <w:spacing w:line="360" w:lineRule="auto"/>
        <w:ind w:firstLine="480"/>
        <w:rPr>
          <w:rFonts w:hint="eastAsia" w:ascii="宋体" w:hAnsi="宋体" w:cs="宋体"/>
          <w:sz w:val="24"/>
        </w:rPr>
      </w:pPr>
      <w:r>
        <w:rPr>
          <w:rFonts w:hint="eastAsia" w:ascii="宋体" w:hAnsi="宋体" w:cs="宋体"/>
          <w:sz w:val="24"/>
        </w:rPr>
        <w:t>4.1根据村（居、校）的实际需求协助开展法治宣传，定期举办法治讲座，解答日常生产生活中遇到的法律问题，增强服务对象的法律意识；</w:t>
      </w:r>
    </w:p>
    <w:p>
      <w:pPr>
        <w:tabs>
          <w:tab w:val="left" w:pos="0"/>
        </w:tabs>
        <w:spacing w:line="360" w:lineRule="auto"/>
        <w:ind w:firstLine="480"/>
        <w:rPr>
          <w:rFonts w:hint="eastAsia" w:ascii="宋体" w:hAnsi="宋体" w:cs="宋体"/>
          <w:sz w:val="24"/>
        </w:rPr>
      </w:pPr>
      <w:r>
        <w:rPr>
          <w:rFonts w:hint="eastAsia" w:ascii="宋体" w:hAnsi="宋体" w:cs="宋体"/>
          <w:sz w:val="24"/>
        </w:rPr>
        <w:t>4.2为符合法律援助条件的困难群众依法申请法律援助，并提供优质、高效、便民的法律帮助，切实维护困难群众的合法权益；</w:t>
      </w:r>
    </w:p>
    <w:p>
      <w:pPr>
        <w:tabs>
          <w:tab w:val="left" w:pos="0"/>
        </w:tabs>
        <w:spacing w:line="360" w:lineRule="auto"/>
        <w:ind w:firstLine="480"/>
        <w:rPr>
          <w:rFonts w:hint="eastAsia" w:ascii="宋体" w:hAnsi="宋体" w:cs="宋体"/>
          <w:sz w:val="24"/>
        </w:rPr>
      </w:pPr>
      <w:r>
        <w:rPr>
          <w:rFonts w:hint="eastAsia" w:ascii="宋体" w:hAnsi="宋体" w:cs="宋体"/>
          <w:sz w:val="24"/>
        </w:rPr>
        <w:t>4.3协助人民调解委员会、“和事佬”协会开展调解工作，根据日常需要对基层人民调解员、“和事佬”开展业务和法律知识培训；</w:t>
      </w:r>
    </w:p>
    <w:p>
      <w:pPr>
        <w:tabs>
          <w:tab w:val="left" w:pos="0"/>
        </w:tabs>
        <w:spacing w:line="360" w:lineRule="auto"/>
        <w:ind w:firstLine="480"/>
        <w:rPr>
          <w:rFonts w:hint="eastAsia" w:ascii="宋体" w:hAnsi="宋体" w:cs="宋体"/>
          <w:sz w:val="24"/>
        </w:rPr>
      </w:pPr>
      <w:r>
        <w:rPr>
          <w:rFonts w:hint="eastAsia" w:ascii="宋体" w:hAnsi="宋体" w:cs="宋体"/>
          <w:sz w:val="24"/>
        </w:rPr>
        <w:t>4.4协助起草或审核村（居）委员会、学校（幼儿园）的规章制度和合同类的法律文书，参与重大项目谈判，就重大决策出具法律意见书，提高依法治理水平；</w:t>
      </w:r>
    </w:p>
    <w:p>
      <w:pPr>
        <w:tabs>
          <w:tab w:val="left" w:pos="0"/>
        </w:tabs>
        <w:spacing w:line="360" w:lineRule="auto"/>
        <w:ind w:firstLine="480"/>
        <w:rPr>
          <w:rFonts w:hint="eastAsia" w:ascii="宋体" w:hAnsi="宋体" w:cs="宋体"/>
          <w:sz w:val="24"/>
        </w:rPr>
      </w:pPr>
      <w:r>
        <w:rPr>
          <w:rFonts w:hint="eastAsia" w:ascii="宋体" w:hAnsi="宋体" w:cs="宋体"/>
          <w:sz w:val="24"/>
        </w:rPr>
        <w:t>4.5协助做好社区矫正、归正人员等特殊群体的法治教育工作，预防和减少帮教对象重新违法犯罪。</w:t>
      </w:r>
    </w:p>
    <w:p>
      <w:pPr>
        <w:tabs>
          <w:tab w:val="left" w:pos="0"/>
        </w:tabs>
        <w:spacing w:line="360" w:lineRule="auto"/>
        <w:ind w:firstLine="48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.中标单位应明确各村（居、校）的联系律师，且保障服务团队的稳定性，不得随意调整更换，如需调整应及时书面请示招标人，经招标人批准后方能更换，保障工作连续性。</w:t>
      </w:r>
    </w:p>
    <w:p>
      <w:pPr>
        <w:snapToGrid w:val="0"/>
        <w:spacing w:line="360" w:lineRule="auto"/>
        <w:outlineLvl w:val="0"/>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五、服务期限</w:t>
      </w:r>
    </w:p>
    <w:p>
      <w:pPr>
        <w:tabs>
          <w:tab w:val="left" w:pos="0"/>
        </w:tabs>
        <w:spacing w:line="360" w:lineRule="auto"/>
        <w:ind w:firstLine="480"/>
        <w:rPr>
          <w:rFonts w:hint="eastAsia" w:ascii="宋体" w:hAnsi="宋体" w:cs="宋体"/>
          <w:sz w:val="24"/>
          <w:lang w:eastAsia="zh-CN"/>
        </w:rPr>
      </w:pPr>
      <w:r>
        <w:rPr>
          <w:rFonts w:hint="eastAsia" w:ascii="宋体" w:hAnsi="宋体" w:cs="宋体"/>
          <w:sz w:val="24"/>
          <w:lang w:val="en-US" w:eastAsia="zh-CN"/>
        </w:rPr>
        <w:t>服务期限为</w:t>
      </w:r>
      <w:r>
        <w:rPr>
          <w:rFonts w:hint="eastAsia" w:hAnsi="宋体" w:cs="宋体"/>
          <w:bCs/>
          <w:color w:val="auto"/>
          <w:sz w:val="24"/>
          <w:highlight w:val="none"/>
        </w:rPr>
        <w:t>自合同签订之日</w:t>
      </w:r>
      <w:r>
        <w:rPr>
          <w:rFonts w:hint="eastAsia" w:hAnsi="宋体" w:cs="宋体"/>
          <w:bCs/>
          <w:color w:val="auto"/>
          <w:sz w:val="24"/>
          <w:highlight w:val="none"/>
          <w:lang w:eastAsia="zh-CN"/>
        </w:rPr>
        <w:t>起</w:t>
      </w:r>
      <w:r>
        <w:rPr>
          <w:rFonts w:hint="eastAsia" w:ascii="宋体" w:hAnsi="宋体" w:cs="宋体"/>
          <w:sz w:val="24"/>
          <w:lang w:val="en-US" w:eastAsia="zh-CN"/>
        </w:rPr>
        <w:t>一年。（合同期满，经考核合格及双方协商同意，可以续签一年，最多可续签两次。）</w:t>
      </w:r>
    </w:p>
    <w:p>
      <w:pPr>
        <w:tabs>
          <w:tab w:val="left" w:pos="0"/>
        </w:tabs>
        <w:spacing w:line="360" w:lineRule="auto"/>
        <w:rPr>
          <w:rFonts w:ascii="宋体" w:hAnsi="宋体" w:cs="宋体"/>
          <w:kern w:val="0"/>
          <w:sz w:val="24"/>
        </w:rPr>
      </w:pPr>
      <w:r>
        <w:rPr>
          <w:rFonts w:hint="eastAsia" w:ascii="宋体" w:hAnsi="宋体" w:cs="宋体"/>
          <w:b/>
          <w:bCs/>
          <w:color w:val="000000"/>
          <w:sz w:val="28"/>
          <w:szCs w:val="28"/>
          <w:lang w:eastAsia="zh-CN"/>
        </w:rPr>
        <w:t>六</w:t>
      </w:r>
      <w:r>
        <w:rPr>
          <w:rFonts w:hint="eastAsia" w:ascii="宋体" w:hAnsi="宋体" w:cs="宋体"/>
          <w:b/>
          <w:bCs/>
          <w:color w:val="000000"/>
          <w:sz w:val="28"/>
          <w:szCs w:val="28"/>
        </w:rPr>
        <w:t>、付款方式</w:t>
      </w:r>
    </w:p>
    <w:p>
      <w:pPr>
        <w:tabs>
          <w:tab w:val="left" w:pos="0"/>
        </w:tabs>
        <w:spacing w:line="360" w:lineRule="auto"/>
        <w:ind w:firstLine="480"/>
        <w:rPr>
          <w:rFonts w:hint="eastAsia" w:ascii="宋体" w:hAnsi="宋体" w:cs="宋体"/>
          <w:b/>
          <w:sz w:val="36"/>
          <w:szCs w:val="36"/>
        </w:rPr>
      </w:pPr>
      <w:r>
        <w:rPr>
          <w:rFonts w:hint="eastAsia" w:ascii="宋体" w:hAnsi="宋体" w:cs="宋体"/>
          <w:kern w:val="0"/>
          <w:sz w:val="24"/>
        </w:rPr>
        <w:t>合同生效以及具备实施条件后</w:t>
      </w:r>
      <w:r>
        <w:rPr>
          <w:rFonts w:ascii="宋体" w:hAnsi="宋体" w:cs="宋体"/>
          <w:kern w:val="0"/>
          <w:sz w:val="24"/>
        </w:rPr>
        <w:t>7</w:t>
      </w:r>
      <w:r>
        <w:rPr>
          <w:rFonts w:hint="eastAsia" w:ascii="宋体" w:hAnsi="宋体" w:cs="宋体"/>
          <w:kern w:val="0"/>
          <w:sz w:val="24"/>
        </w:rPr>
        <w:t>个工作日内支付合同总额的</w:t>
      </w:r>
      <w:r>
        <w:rPr>
          <w:rFonts w:hint="eastAsia" w:ascii="宋体" w:hAnsi="宋体" w:cs="宋体"/>
          <w:kern w:val="0"/>
          <w:sz w:val="24"/>
          <w:lang w:val="en-US" w:eastAsia="zh-CN"/>
        </w:rPr>
        <w:t>7</w:t>
      </w:r>
      <w:r>
        <w:rPr>
          <w:rFonts w:ascii="宋体" w:hAnsi="宋体" w:cs="宋体"/>
          <w:kern w:val="0"/>
          <w:sz w:val="24"/>
        </w:rPr>
        <w:t>0%</w:t>
      </w:r>
      <w:r>
        <w:rPr>
          <w:rFonts w:ascii="宋体" w:hAnsi="宋体" w:cs="宋体"/>
          <w:kern w:val="0"/>
          <w:sz w:val="24"/>
          <w:lang w:val="zh-CN"/>
        </w:rPr>
        <w:t>，</w:t>
      </w:r>
      <w:r>
        <w:rPr>
          <w:rFonts w:hint="eastAsia" w:ascii="宋体" w:hAnsi="宋体" w:cs="宋体"/>
          <w:kern w:val="0"/>
          <w:sz w:val="24"/>
        </w:rPr>
        <w:t>服务到期后经采购人验收合格后支付剩余合同价款</w:t>
      </w:r>
      <w:r>
        <w:rPr>
          <w:rFonts w:ascii="宋体" w:hAnsi="宋体" w:cs="宋体"/>
          <w:kern w:val="0"/>
          <w:sz w:val="24"/>
        </w:rPr>
        <w:t>。</w:t>
      </w: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5" w:name="_Toc184313307"/>
      <w:bookmarkEnd w:id="25"/>
      <w:bookmarkStart w:id="26" w:name="_Toc184310292"/>
      <w:bookmarkEnd w:id="26"/>
      <w:bookmarkStart w:id="27" w:name="_Toc184308071"/>
      <w:bookmarkEnd w:id="27"/>
      <w:bookmarkStart w:id="28" w:name="_Toc184308104"/>
      <w:bookmarkEnd w:id="28"/>
      <w:bookmarkStart w:id="29" w:name="_Toc184310332"/>
      <w:bookmarkEnd w:id="29"/>
      <w:bookmarkStart w:id="30" w:name="_Toc184312090"/>
      <w:bookmarkEnd w:id="30"/>
      <w:bookmarkStart w:id="31" w:name="_Toc184313264"/>
      <w:bookmarkEnd w:id="31"/>
      <w:bookmarkStart w:id="32" w:name="_Toc184314415"/>
      <w:bookmarkEnd w:id="32"/>
      <w:bookmarkStart w:id="33" w:name="_Toc184313256"/>
      <w:bookmarkEnd w:id="33"/>
      <w:bookmarkStart w:id="34" w:name="_Toc184314410"/>
      <w:bookmarkEnd w:id="34"/>
      <w:bookmarkStart w:id="35" w:name="_Toc184310301"/>
      <w:bookmarkEnd w:id="35"/>
      <w:bookmarkStart w:id="36" w:name="_Toc184314413"/>
      <w:bookmarkEnd w:id="36"/>
      <w:bookmarkStart w:id="37" w:name="_Toc184312109"/>
      <w:bookmarkEnd w:id="37"/>
      <w:bookmarkStart w:id="38" w:name="_Toc184310344"/>
      <w:bookmarkEnd w:id="38"/>
      <w:bookmarkStart w:id="39" w:name="_Toc184313268"/>
      <w:bookmarkEnd w:id="39"/>
      <w:bookmarkStart w:id="40" w:name="_Toc184308084"/>
      <w:bookmarkEnd w:id="40"/>
      <w:bookmarkStart w:id="41" w:name="_Toc184312128"/>
      <w:bookmarkEnd w:id="41"/>
      <w:bookmarkStart w:id="42" w:name="_Toc184308040"/>
      <w:bookmarkEnd w:id="42"/>
      <w:bookmarkStart w:id="43" w:name="_Toc184312130"/>
      <w:bookmarkEnd w:id="43"/>
      <w:bookmarkStart w:id="44" w:name="_Toc184314424"/>
      <w:bookmarkEnd w:id="44"/>
      <w:bookmarkStart w:id="45" w:name="_Toc184312123"/>
      <w:bookmarkEnd w:id="45"/>
      <w:bookmarkStart w:id="46" w:name="_Toc184310343"/>
      <w:bookmarkEnd w:id="46"/>
      <w:bookmarkStart w:id="47" w:name="_Toc184313250"/>
      <w:bookmarkEnd w:id="47"/>
      <w:bookmarkStart w:id="48" w:name="_Toc184314443"/>
      <w:bookmarkEnd w:id="48"/>
      <w:bookmarkStart w:id="49" w:name="_Toc184313262"/>
      <w:bookmarkEnd w:id="49"/>
      <w:bookmarkStart w:id="50" w:name="_Toc184308086"/>
      <w:bookmarkEnd w:id="50"/>
      <w:bookmarkStart w:id="51" w:name="_Toc184312116"/>
      <w:bookmarkEnd w:id="51"/>
      <w:bookmarkStart w:id="52" w:name="_Toc184312097"/>
      <w:bookmarkEnd w:id="52"/>
      <w:bookmarkStart w:id="53" w:name="_Toc184308051"/>
      <w:bookmarkEnd w:id="53"/>
      <w:bookmarkStart w:id="54" w:name="_Toc184314452"/>
      <w:bookmarkEnd w:id="54"/>
      <w:bookmarkStart w:id="55" w:name="_Toc184312073"/>
      <w:bookmarkEnd w:id="55"/>
      <w:bookmarkStart w:id="56" w:name="_Toc184310314"/>
      <w:bookmarkEnd w:id="56"/>
      <w:bookmarkStart w:id="57" w:name="_Toc184308070"/>
      <w:bookmarkEnd w:id="57"/>
      <w:bookmarkStart w:id="58" w:name="_Toc184312071"/>
      <w:bookmarkEnd w:id="58"/>
      <w:bookmarkStart w:id="59" w:name="_Toc184314433"/>
      <w:bookmarkEnd w:id="59"/>
      <w:bookmarkStart w:id="60" w:name="_Toc184314471"/>
      <w:bookmarkEnd w:id="60"/>
      <w:bookmarkStart w:id="61" w:name="_Toc184314455"/>
      <w:bookmarkEnd w:id="61"/>
      <w:bookmarkStart w:id="62" w:name="_Toc184312095"/>
      <w:bookmarkEnd w:id="62"/>
      <w:bookmarkStart w:id="63" w:name="_Toc184308041"/>
      <w:bookmarkEnd w:id="63"/>
      <w:bookmarkStart w:id="64" w:name="_Toc184312124"/>
      <w:bookmarkEnd w:id="64"/>
      <w:bookmarkStart w:id="65" w:name="_Toc184313301"/>
      <w:bookmarkEnd w:id="65"/>
      <w:bookmarkStart w:id="66" w:name="_Toc184308067"/>
      <w:bookmarkEnd w:id="66"/>
      <w:bookmarkStart w:id="67" w:name="_Toc184310280"/>
      <w:bookmarkEnd w:id="67"/>
      <w:bookmarkStart w:id="68" w:name="_Toc184310323"/>
      <w:bookmarkEnd w:id="68"/>
      <w:bookmarkStart w:id="69" w:name="_Toc184310329"/>
      <w:bookmarkEnd w:id="69"/>
      <w:bookmarkStart w:id="70" w:name="_Toc184313310"/>
      <w:bookmarkEnd w:id="70"/>
      <w:bookmarkStart w:id="71" w:name="_Toc184314460"/>
      <w:bookmarkEnd w:id="71"/>
      <w:bookmarkStart w:id="72" w:name="_Toc184308080"/>
      <w:bookmarkEnd w:id="72"/>
      <w:bookmarkStart w:id="73" w:name="_Toc184314436"/>
      <w:bookmarkEnd w:id="73"/>
      <w:bookmarkStart w:id="74" w:name="_Toc184312117"/>
      <w:bookmarkEnd w:id="74"/>
      <w:bookmarkStart w:id="75" w:name="_Toc184310303"/>
      <w:bookmarkEnd w:id="75"/>
      <w:bookmarkStart w:id="76" w:name="_Toc184314458"/>
      <w:bookmarkEnd w:id="76"/>
      <w:bookmarkStart w:id="77" w:name="_Toc184310294"/>
      <w:bookmarkEnd w:id="77"/>
      <w:bookmarkStart w:id="78" w:name="_Toc184308078"/>
      <w:bookmarkEnd w:id="78"/>
      <w:bookmarkStart w:id="79" w:name="_Toc184308042"/>
      <w:bookmarkEnd w:id="79"/>
      <w:bookmarkStart w:id="80" w:name="_Toc184310279"/>
      <w:bookmarkEnd w:id="80"/>
      <w:bookmarkStart w:id="81" w:name="_Toc184312098"/>
      <w:bookmarkEnd w:id="81"/>
      <w:bookmarkStart w:id="82" w:name="_Toc184308047"/>
      <w:bookmarkEnd w:id="82"/>
      <w:bookmarkStart w:id="83" w:name="_Toc184312139"/>
      <w:bookmarkEnd w:id="83"/>
      <w:bookmarkStart w:id="84" w:name="_Toc184310308"/>
      <w:bookmarkEnd w:id="84"/>
      <w:bookmarkStart w:id="85" w:name="_Toc184310275"/>
      <w:bookmarkEnd w:id="85"/>
      <w:bookmarkStart w:id="86" w:name="_Toc184313272"/>
      <w:bookmarkEnd w:id="86"/>
      <w:bookmarkStart w:id="87" w:name="_Toc184314482"/>
      <w:bookmarkEnd w:id="87"/>
      <w:bookmarkStart w:id="88" w:name="_Toc184313274"/>
      <w:bookmarkEnd w:id="88"/>
      <w:bookmarkStart w:id="89" w:name="_Toc184313238"/>
      <w:bookmarkEnd w:id="89"/>
      <w:bookmarkStart w:id="90" w:name="_Toc184312129"/>
      <w:bookmarkEnd w:id="90"/>
      <w:bookmarkStart w:id="91" w:name="_Toc184313243"/>
      <w:bookmarkEnd w:id="91"/>
      <w:bookmarkStart w:id="92" w:name="_Toc184314441"/>
      <w:bookmarkEnd w:id="92"/>
      <w:bookmarkStart w:id="93" w:name="_Toc184310276"/>
      <w:bookmarkEnd w:id="93"/>
      <w:bookmarkStart w:id="94" w:name="_Toc184312076"/>
      <w:bookmarkEnd w:id="94"/>
      <w:bookmarkStart w:id="95" w:name="_Toc184312102"/>
      <w:bookmarkEnd w:id="95"/>
      <w:bookmarkStart w:id="96" w:name="_Toc184312133"/>
      <w:bookmarkEnd w:id="96"/>
      <w:bookmarkStart w:id="97" w:name="_Toc184313259"/>
      <w:bookmarkEnd w:id="97"/>
      <w:bookmarkStart w:id="98" w:name="_Toc184314426"/>
      <w:bookmarkEnd w:id="98"/>
      <w:bookmarkStart w:id="99" w:name="_Toc184308083"/>
      <w:bookmarkEnd w:id="99"/>
      <w:bookmarkStart w:id="100" w:name="_Toc184314432"/>
      <w:bookmarkEnd w:id="100"/>
      <w:bookmarkStart w:id="101" w:name="_Toc184313245"/>
      <w:bookmarkEnd w:id="101"/>
      <w:bookmarkStart w:id="102" w:name="_Toc184310300"/>
      <w:bookmarkEnd w:id="102"/>
      <w:bookmarkStart w:id="103" w:name="_Toc184312072"/>
      <w:bookmarkEnd w:id="103"/>
      <w:bookmarkStart w:id="104" w:name="_Toc184312115"/>
      <w:bookmarkEnd w:id="104"/>
      <w:bookmarkStart w:id="105" w:name="_Toc184314414"/>
      <w:bookmarkEnd w:id="105"/>
      <w:bookmarkStart w:id="106" w:name="_Toc184308036"/>
      <w:bookmarkEnd w:id="106"/>
      <w:bookmarkStart w:id="107" w:name="_Toc184312084"/>
      <w:bookmarkEnd w:id="107"/>
      <w:bookmarkStart w:id="108" w:name="_Toc184313247"/>
      <w:bookmarkEnd w:id="108"/>
      <w:bookmarkStart w:id="109" w:name="_Toc184312101"/>
      <w:bookmarkEnd w:id="109"/>
      <w:bookmarkStart w:id="110" w:name="_Toc184314416"/>
      <w:bookmarkEnd w:id="110"/>
      <w:bookmarkStart w:id="111" w:name="_Toc184314440"/>
      <w:bookmarkEnd w:id="111"/>
      <w:bookmarkStart w:id="112" w:name="_Toc184314465"/>
      <w:bookmarkEnd w:id="112"/>
      <w:bookmarkStart w:id="113" w:name="_Toc184308075"/>
      <w:bookmarkEnd w:id="113"/>
      <w:bookmarkStart w:id="114" w:name="_Toc184308055"/>
      <w:bookmarkEnd w:id="114"/>
      <w:bookmarkStart w:id="115" w:name="_Toc184314429"/>
      <w:bookmarkEnd w:id="115"/>
      <w:bookmarkStart w:id="116" w:name="_Toc184308044"/>
      <w:bookmarkEnd w:id="116"/>
      <w:bookmarkStart w:id="117" w:name="_Toc184313240"/>
      <w:bookmarkEnd w:id="117"/>
      <w:bookmarkStart w:id="118" w:name="_Toc184314479"/>
      <w:bookmarkEnd w:id="118"/>
      <w:bookmarkStart w:id="119" w:name="_Toc184310327"/>
      <w:bookmarkEnd w:id="119"/>
      <w:bookmarkStart w:id="120" w:name="_Toc184312096"/>
      <w:bookmarkEnd w:id="120"/>
      <w:bookmarkStart w:id="121" w:name="_Toc184312093"/>
      <w:bookmarkEnd w:id="121"/>
      <w:bookmarkStart w:id="122" w:name="_Toc184308074"/>
      <w:bookmarkEnd w:id="122"/>
      <w:bookmarkStart w:id="123" w:name="_Toc184313269"/>
      <w:bookmarkEnd w:id="123"/>
      <w:bookmarkStart w:id="124" w:name="_Toc184314445"/>
      <w:bookmarkEnd w:id="124"/>
      <w:bookmarkStart w:id="125" w:name="_Toc184313309"/>
      <w:bookmarkEnd w:id="125"/>
      <w:bookmarkStart w:id="126" w:name="_Toc184313241"/>
      <w:bookmarkEnd w:id="126"/>
      <w:bookmarkStart w:id="127" w:name="_Toc184308087"/>
      <w:bookmarkEnd w:id="127"/>
      <w:bookmarkStart w:id="128" w:name="_Toc184314435"/>
      <w:bookmarkEnd w:id="128"/>
      <w:bookmarkStart w:id="129" w:name="_Toc184314451"/>
      <w:bookmarkEnd w:id="129"/>
      <w:bookmarkStart w:id="130" w:name="_Toc184312094"/>
      <w:bookmarkEnd w:id="130"/>
      <w:bookmarkStart w:id="131" w:name="_Toc184314450"/>
      <w:bookmarkEnd w:id="131"/>
      <w:bookmarkStart w:id="132" w:name="_Toc184308052"/>
      <w:bookmarkEnd w:id="132"/>
      <w:bookmarkStart w:id="133" w:name="_Toc184310297"/>
      <w:bookmarkEnd w:id="133"/>
      <w:bookmarkStart w:id="134" w:name="_Toc184314428"/>
      <w:bookmarkEnd w:id="134"/>
      <w:bookmarkStart w:id="135" w:name="_Toc184308043"/>
      <w:bookmarkEnd w:id="135"/>
      <w:bookmarkStart w:id="136" w:name="_Toc184308054"/>
      <w:bookmarkEnd w:id="136"/>
      <w:bookmarkStart w:id="137" w:name="_Toc184312078"/>
      <w:bookmarkEnd w:id="137"/>
      <w:bookmarkStart w:id="138" w:name="_Toc184310295"/>
      <w:bookmarkEnd w:id="138"/>
      <w:bookmarkStart w:id="139" w:name="_Toc184308097"/>
      <w:bookmarkEnd w:id="139"/>
      <w:bookmarkStart w:id="140" w:name="_Toc184314457"/>
      <w:bookmarkEnd w:id="140"/>
      <w:bookmarkStart w:id="141" w:name="_Toc184310320"/>
      <w:bookmarkEnd w:id="141"/>
      <w:bookmarkStart w:id="142" w:name="_Toc184312114"/>
      <w:bookmarkEnd w:id="142"/>
      <w:bookmarkStart w:id="143" w:name="_Toc184308094"/>
      <w:bookmarkEnd w:id="143"/>
      <w:bookmarkStart w:id="144" w:name="_Toc184310335"/>
      <w:bookmarkEnd w:id="144"/>
      <w:bookmarkStart w:id="145" w:name="_Toc184308095"/>
      <w:bookmarkEnd w:id="145"/>
      <w:bookmarkStart w:id="146" w:name="_Toc184314461"/>
      <w:bookmarkEnd w:id="146"/>
      <w:bookmarkStart w:id="147" w:name="_Toc184312119"/>
      <w:bookmarkEnd w:id="147"/>
      <w:bookmarkStart w:id="148" w:name="_Toc184308069"/>
      <w:bookmarkEnd w:id="148"/>
      <w:bookmarkStart w:id="149" w:name="_Toc184312134"/>
      <w:bookmarkEnd w:id="149"/>
      <w:bookmarkStart w:id="150" w:name="_Toc184312067"/>
      <w:bookmarkEnd w:id="150"/>
      <w:bookmarkStart w:id="151" w:name="_Toc184314478"/>
      <w:bookmarkEnd w:id="151"/>
      <w:bookmarkStart w:id="152" w:name="_Toc184313276"/>
      <w:bookmarkEnd w:id="152"/>
      <w:bookmarkStart w:id="153" w:name="_Toc184314466"/>
      <w:bookmarkEnd w:id="153"/>
      <w:bookmarkStart w:id="154" w:name="_Toc184312132"/>
      <w:bookmarkEnd w:id="154"/>
      <w:bookmarkStart w:id="155" w:name="_Toc184312091"/>
      <w:bookmarkEnd w:id="155"/>
      <w:bookmarkStart w:id="156" w:name="_Toc184310316"/>
      <w:bookmarkEnd w:id="156"/>
      <w:bookmarkStart w:id="157" w:name="_Toc184314467"/>
      <w:bookmarkEnd w:id="157"/>
      <w:bookmarkStart w:id="158" w:name="_Toc184308059"/>
      <w:bookmarkEnd w:id="158"/>
      <w:bookmarkStart w:id="159" w:name="_Toc184314459"/>
      <w:bookmarkEnd w:id="159"/>
      <w:bookmarkStart w:id="160" w:name="_Toc184310296"/>
      <w:bookmarkEnd w:id="160"/>
      <w:bookmarkStart w:id="161" w:name="_Toc184314456"/>
      <w:bookmarkEnd w:id="161"/>
      <w:bookmarkStart w:id="162" w:name="_Toc184312088"/>
      <w:bookmarkEnd w:id="162"/>
      <w:bookmarkStart w:id="163" w:name="_Toc184312118"/>
      <w:bookmarkEnd w:id="163"/>
      <w:bookmarkStart w:id="164" w:name="_Toc184314427"/>
      <w:bookmarkEnd w:id="164"/>
      <w:bookmarkStart w:id="165" w:name="_Toc184312100"/>
      <w:bookmarkEnd w:id="165"/>
      <w:bookmarkStart w:id="166" w:name="_Toc184312104"/>
      <w:bookmarkEnd w:id="166"/>
      <w:bookmarkStart w:id="167" w:name="_Toc184314473"/>
      <w:bookmarkEnd w:id="167"/>
      <w:bookmarkStart w:id="168" w:name="_Toc184313249"/>
      <w:bookmarkEnd w:id="168"/>
      <w:bookmarkStart w:id="169" w:name="_Toc184314446"/>
      <w:bookmarkEnd w:id="169"/>
      <w:bookmarkStart w:id="170" w:name="_Toc184312135"/>
      <w:bookmarkEnd w:id="170"/>
      <w:bookmarkStart w:id="171" w:name="_Toc184312082"/>
      <w:bookmarkEnd w:id="171"/>
      <w:bookmarkStart w:id="172" w:name="_Toc184310306"/>
      <w:bookmarkEnd w:id="172"/>
      <w:bookmarkStart w:id="173" w:name="_Toc184310284"/>
      <w:bookmarkEnd w:id="173"/>
      <w:bookmarkStart w:id="174" w:name="_Toc184314469"/>
      <w:bookmarkEnd w:id="174"/>
      <w:bookmarkStart w:id="175" w:name="_Toc184310311"/>
      <w:bookmarkEnd w:id="175"/>
      <w:bookmarkStart w:id="176" w:name="_Toc184308102"/>
      <w:bookmarkEnd w:id="176"/>
      <w:bookmarkStart w:id="177" w:name="_Toc184308072"/>
      <w:bookmarkEnd w:id="177"/>
      <w:bookmarkStart w:id="178" w:name="_Toc184310272"/>
      <w:bookmarkEnd w:id="178"/>
      <w:bookmarkStart w:id="179" w:name="_Toc184310285"/>
      <w:bookmarkEnd w:id="179"/>
      <w:bookmarkStart w:id="180" w:name="_Toc184313282"/>
      <w:bookmarkEnd w:id="180"/>
      <w:bookmarkStart w:id="181" w:name="_Toc184308096"/>
      <w:bookmarkEnd w:id="181"/>
      <w:bookmarkStart w:id="182" w:name="_Toc184308081"/>
      <w:bookmarkEnd w:id="182"/>
      <w:bookmarkStart w:id="183" w:name="_Toc184313286"/>
      <w:bookmarkEnd w:id="183"/>
      <w:bookmarkStart w:id="184" w:name="_Toc184313291"/>
      <w:bookmarkEnd w:id="184"/>
      <w:bookmarkStart w:id="185" w:name="_Toc184312089"/>
      <w:bookmarkEnd w:id="185"/>
      <w:bookmarkStart w:id="186" w:name="_Toc184312113"/>
      <w:bookmarkEnd w:id="186"/>
      <w:bookmarkStart w:id="187" w:name="_Toc184313289"/>
      <w:bookmarkEnd w:id="187"/>
      <w:bookmarkStart w:id="188" w:name="_Toc184313255"/>
      <w:bookmarkEnd w:id="188"/>
      <w:bookmarkStart w:id="189" w:name="_Toc184308103"/>
      <w:bookmarkEnd w:id="189"/>
      <w:bookmarkStart w:id="190" w:name="_Toc184313254"/>
      <w:bookmarkEnd w:id="190"/>
      <w:bookmarkStart w:id="191" w:name="_Toc184310338"/>
      <w:bookmarkEnd w:id="191"/>
      <w:bookmarkStart w:id="192" w:name="_Toc184313280"/>
      <w:bookmarkEnd w:id="192"/>
      <w:bookmarkStart w:id="193" w:name="_Toc184313287"/>
      <w:bookmarkEnd w:id="193"/>
      <w:bookmarkStart w:id="194" w:name="_Toc184310291"/>
      <w:bookmarkEnd w:id="194"/>
      <w:bookmarkStart w:id="195" w:name="_Toc184308066"/>
      <w:bookmarkEnd w:id="195"/>
      <w:bookmarkStart w:id="196" w:name="_Toc184308105"/>
      <w:bookmarkEnd w:id="196"/>
      <w:bookmarkStart w:id="197" w:name="_Toc184312068"/>
      <w:bookmarkEnd w:id="197"/>
      <w:bookmarkStart w:id="198" w:name="_Toc184308068"/>
      <w:bookmarkEnd w:id="198"/>
      <w:bookmarkStart w:id="199" w:name="_Toc184314439"/>
      <w:bookmarkEnd w:id="199"/>
      <w:bookmarkStart w:id="200" w:name="_Toc184313246"/>
      <w:bookmarkEnd w:id="200"/>
      <w:bookmarkStart w:id="201" w:name="_Toc184313253"/>
      <w:bookmarkEnd w:id="201"/>
      <w:bookmarkStart w:id="202" w:name="_Toc184310287"/>
      <w:bookmarkEnd w:id="202"/>
      <w:bookmarkStart w:id="203" w:name="_Toc184308092"/>
      <w:bookmarkEnd w:id="203"/>
      <w:bookmarkStart w:id="204" w:name="_Toc184312070"/>
      <w:bookmarkEnd w:id="204"/>
      <w:bookmarkStart w:id="205" w:name="_Toc184312138"/>
      <w:bookmarkEnd w:id="205"/>
      <w:bookmarkStart w:id="206" w:name="_Toc184313297"/>
      <w:bookmarkEnd w:id="206"/>
      <w:bookmarkStart w:id="207" w:name="_Toc184314417"/>
      <w:bookmarkEnd w:id="207"/>
      <w:bookmarkStart w:id="208" w:name="_Toc184310307"/>
      <w:bookmarkEnd w:id="208"/>
      <w:bookmarkStart w:id="209" w:name="_Toc184308093"/>
      <w:bookmarkEnd w:id="209"/>
      <w:bookmarkStart w:id="210" w:name="_Toc184313279"/>
      <w:bookmarkEnd w:id="210"/>
      <w:bookmarkStart w:id="211" w:name="_Toc184314449"/>
      <w:bookmarkEnd w:id="211"/>
      <w:bookmarkStart w:id="212" w:name="_Toc184310309"/>
      <w:bookmarkEnd w:id="212"/>
      <w:bookmarkStart w:id="213" w:name="_Toc184313299"/>
      <w:bookmarkEnd w:id="213"/>
      <w:bookmarkStart w:id="214" w:name="_Toc184313294"/>
      <w:bookmarkEnd w:id="214"/>
      <w:bookmarkStart w:id="215" w:name="_Toc184313305"/>
      <w:bookmarkEnd w:id="215"/>
      <w:bookmarkStart w:id="216" w:name="_Toc184314425"/>
      <w:bookmarkEnd w:id="216"/>
      <w:bookmarkStart w:id="217" w:name="_Toc184312077"/>
      <w:bookmarkEnd w:id="217"/>
      <w:bookmarkStart w:id="218" w:name="_Toc184312122"/>
      <w:bookmarkEnd w:id="218"/>
      <w:bookmarkStart w:id="219" w:name="_Toc184310315"/>
      <w:bookmarkEnd w:id="219"/>
      <w:bookmarkStart w:id="220" w:name="_Toc184310313"/>
      <w:bookmarkEnd w:id="220"/>
      <w:bookmarkStart w:id="221" w:name="_Toc184308037"/>
      <w:bookmarkEnd w:id="221"/>
      <w:bookmarkStart w:id="222" w:name="_Toc184312081"/>
      <w:bookmarkEnd w:id="222"/>
      <w:bookmarkStart w:id="223" w:name="_Toc184314422"/>
      <w:bookmarkEnd w:id="223"/>
      <w:bookmarkStart w:id="224" w:name="_Toc184312126"/>
      <w:bookmarkEnd w:id="224"/>
      <w:bookmarkStart w:id="225" w:name="_Toc184308073"/>
      <w:bookmarkEnd w:id="225"/>
      <w:bookmarkStart w:id="226" w:name="_Toc184310334"/>
      <w:bookmarkEnd w:id="226"/>
      <w:bookmarkStart w:id="227" w:name="_Toc184314431"/>
      <w:bookmarkEnd w:id="227"/>
      <w:bookmarkStart w:id="228" w:name="_Toc184313248"/>
      <w:bookmarkEnd w:id="228"/>
      <w:bookmarkStart w:id="229" w:name="_Toc184310342"/>
      <w:bookmarkEnd w:id="229"/>
      <w:bookmarkStart w:id="230" w:name="_Toc184313263"/>
      <w:bookmarkEnd w:id="230"/>
      <w:bookmarkStart w:id="231" w:name="_Toc184310274"/>
      <w:bookmarkEnd w:id="231"/>
      <w:bookmarkStart w:id="232" w:name="_Toc184310328"/>
      <w:bookmarkEnd w:id="232"/>
      <w:bookmarkStart w:id="233" w:name="_Toc184313257"/>
      <w:bookmarkEnd w:id="233"/>
      <w:bookmarkStart w:id="234" w:name="_Toc184310302"/>
      <w:bookmarkEnd w:id="234"/>
      <w:bookmarkStart w:id="235" w:name="_Toc184308101"/>
      <w:bookmarkEnd w:id="235"/>
      <w:bookmarkStart w:id="236" w:name="_Toc184308065"/>
      <w:bookmarkEnd w:id="236"/>
      <w:bookmarkStart w:id="237" w:name="_Toc184314464"/>
      <w:bookmarkEnd w:id="237"/>
      <w:bookmarkStart w:id="238" w:name="_Toc184313258"/>
      <w:bookmarkEnd w:id="238"/>
      <w:bookmarkStart w:id="239" w:name="_Toc184310341"/>
      <w:bookmarkEnd w:id="239"/>
      <w:bookmarkStart w:id="240" w:name="_Toc184312074"/>
      <w:bookmarkEnd w:id="240"/>
      <w:bookmarkStart w:id="241" w:name="_Toc184310324"/>
      <w:bookmarkEnd w:id="241"/>
      <w:bookmarkStart w:id="242" w:name="_Toc184314437"/>
      <w:bookmarkEnd w:id="242"/>
      <w:bookmarkStart w:id="243" w:name="_Toc184310290"/>
      <w:bookmarkEnd w:id="243"/>
      <w:bookmarkStart w:id="244" w:name="_Toc184312092"/>
      <w:bookmarkEnd w:id="244"/>
      <w:bookmarkStart w:id="245" w:name="_Toc184313273"/>
      <w:bookmarkEnd w:id="245"/>
      <w:bookmarkStart w:id="246" w:name="_Toc184312103"/>
      <w:bookmarkEnd w:id="246"/>
      <w:bookmarkStart w:id="247" w:name="_Toc184313300"/>
      <w:bookmarkEnd w:id="247"/>
      <w:bookmarkStart w:id="248" w:name="_Toc184314470"/>
      <w:bookmarkEnd w:id="248"/>
      <w:bookmarkStart w:id="249" w:name="_Toc184310278"/>
      <w:bookmarkEnd w:id="249"/>
      <w:bookmarkStart w:id="250" w:name="_Toc184308089"/>
      <w:bookmarkEnd w:id="250"/>
      <w:bookmarkStart w:id="251" w:name="_Toc184314411"/>
      <w:bookmarkEnd w:id="251"/>
      <w:bookmarkStart w:id="252" w:name="_Toc184308085"/>
      <w:bookmarkEnd w:id="252"/>
      <w:bookmarkStart w:id="253" w:name="_Toc184313298"/>
      <w:bookmarkEnd w:id="253"/>
      <w:bookmarkStart w:id="254" w:name="_Toc184308064"/>
      <w:bookmarkEnd w:id="254"/>
      <w:bookmarkStart w:id="255" w:name="_Toc184310273"/>
      <w:bookmarkEnd w:id="255"/>
      <w:bookmarkStart w:id="256" w:name="_Toc184313239"/>
      <w:bookmarkEnd w:id="256"/>
      <w:bookmarkStart w:id="257" w:name="_Toc184314434"/>
      <w:bookmarkEnd w:id="257"/>
      <w:bookmarkStart w:id="258" w:name="_Toc184312087"/>
      <w:bookmarkEnd w:id="258"/>
      <w:bookmarkStart w:id="259" w:name="_Toc184312099"/>
      <w:bookmarkEnd w:id="259"/>
      <w:bookmarkStart w:id="260" w:name="_Toc184312125"/>
      <w:bookmarkEnd w:id="260"/>
      <w:bookmarkStart w:id="261" w:name="_Toc184312107"/>
      <w:bookmarkEnd w:id="261"/>
      <w:bookmarkStart w:id="262" w:name="_Toc184310336"/>
      <w:bookmarkEnd w:id="262"/>
      <w:bookmarkStart w:id="263" w:name="_Toc184314468"/>
      <w:bookmarkEnd w:id="263"/>
      <w:bookmarkStart w:id="264" w:name="_Toc184308079"/>
      <w:bookmarkEnd w:id="264"/>
      <w:bookmarkStart w:id="265" w:name="_Toc184310333"/>
      <w:bookmarkEnd w:id="265"/>
      <w:bookmarkStart w:id="266" w:name="_Toc184310288"/>
      <w:bookmarkEnd w:id="266"/>
      <w:bookmarkStart w:id="267" w:name="_Toc184310299"/>
      <w:bookmarkEnd w:id="267"/>
      <w:bookmarkStart w:id="268" w:name="_Toc184310322"/>
      <w:bookmarkEnd w:id="268"/>
      <w:bookmarkStart w:id="269" w:name="_Toc184314476"/>
      <w:bookmarkEnd w:id="269"/>
      <w:bookmarkStart w:id="270" w:name="_Toc184308091"/>
      <w:bookmarkEnd w:id="270"/>
      <w:bookmarkStart w:id="271" w:name="_Toc184314412"/>
      <w:bookmarkEnd w:id="271"/>
      <w:bookmarkStart w:id="272" w:name="_Toc184308062"/>
      <w:bookmarkEnd w:id="272"/>
      <w:bookmarkStart w:id="273" w:name="_Toc184314423"/>
      <w:bookmarkEnd w:id="273"/>
      <w:bookmarkStart w:id="274" w:name="_Toc184314419"/>
      <w:bookmarkEnd w:id="274"/>
      <w:bookmarkStart w:id="275" w:name="_Toc184313242"/>
      <w:bookmarkEnd w:id="275"/>
      <w:bookmarkStart w:id="276" w:name="_Toc184310339"/>
      <w:bookmarkEnd w:id="276"/>
      <w:bookmarkStart w:id="277" w:name="_Toc184310305"/>
      <w:bookmarkEnd w:id="277"/>
      <w:bookmarkStart w:id="278" w:name="_Toc184310317"/>
      <w:bookmarkEnd w:id="278"/>
      <w:bookmarkStart w:id="279" w:name="_Toc184310277"/>
      <w:bookmarkEnd w:id="279"/>
      <w:bookmarkStart w:id="280" w:name="_Toc184312137"/>
      <w:bookmarkEnd w:id="280"/>
      <w:bookmarkStart w:id="281" w:name="_Toc184308108"/>
      <w:bookmarkEnd w:id="281"/>
      <w:bookmarkStart w:id="282" w:name="_Toc184312136"/>
      <w:bookmarkEnd w:id="282"/>
      <w:bookmarkStart w:id="283" w:name="_Toc184314442"/>
      <w:bookmarkEnd w:id="283"/>
      <w:bookmarkStart w:id="284" w:name="_Toc184313251"/>
      <w:bookmarkEnd w:id="284"/>
      <w:bookmarkStart w:id="285" w:name="_Toc184314438"/>
      <w:bookmarkEnd w:id="285"/>
      <w:bookmarkStart w:id="286" w:name="_Toc184313265"/>
      <w:bookmarkEnd w:id="286"/>
      <w:bookmarkStart w:id="287" w:name="_Toc184308063"/>
      <w:bookmarkEnd w:id="287"/>
      <w:bookmarkStart w:id="288" w:name="_Toc184312112"/>
      <w:bookmarkEnd w:id="288"/>
      <w:bookmarkStart w:id="289" w:name="_Toc184313277"/>
      <w:bookmarkEnd w:id="289"/>
      <w:bookmarkStart w:id="290" w:name="_Toc184312086"/>
      <w:bookmarkEnd w:id="290"/>
      <w:bookmarkStart w:id="291" w:name="_Toc184313308"/>
      <w:bookmarkEnd w:id="291"/>
      <w:bookmarkStart w:id="292" w:name="_Toc184308056"/>
      <w:bookmarkEnd w:id="292"/>
      <w:bookmarkStart w:id="293" w:name="_Toc184308053"/>
      <w:bookmarkEnd w:id="293"/>
      <w:bookmarkStart w:id="294" w:name="_Toc184308058"/>
      <w:bookmarkEnd w:id="294"/>
      <w:bookmarkStart w:id="295" w:name="_Toc184308100"/>
      <w:bookmarkEnd w:id="295"/>
      <w:bookmarkStart w:id="296" w:name="_Toc184310312"/>
      <w:bookmarkEnd w:id="296"/>
      <w:bookmarkStart w:id="297" w:name="_Toc184314430"/>
      <w:bookmarkEnd w:id="297"/>
      <w:bookmarkStart w:id="298" w:name="_Toc184313278"/>
      <w:bookmarkEnd w:id="298"/>
      <w:bookmarkStart w:id="299" w:name="_Toc184313288"/>
      <w:bookmarkEnd w:id="299"/>
      <w:bookmarkStart w:id="300" w:name="_Toc184313306"/>
      <w:bookmarkEnd w:id="300"/>
      <w:bookmarkStart w:id="301" w:name="_Toc184312085"/>
      <w:bookmarkEnd w:id="301"/>
      <w:bookmarkStart w:id="302" w:name="_Toc184308076"/>
      <w:bookmarkEnd w:id="302"/>
      <w:bookmarkStart w:id="303" w:name="_Toc184314480"/>
      <w:bookmarkEnd w:id="303"/>
      <w:bookmarkStart w:id="304" w:name="_Toc184310293"/>
      <w:bookmarkEnd w:id="304"/>
      <w:bookmarkStart w:id="305" w:name="_Toc184312121"/>
      <w:bookmarkEnd w:id="305"/>
      <w:bookmarkStart w:id="306" w:name="_Toc184308106"/>
      <w:bookmarkEnd w:id="306"/>
      <w:bookmarkStart w:id="307" w:name="_Toc184314453"/>
      <w:bookmarkEnd w:id="307"/>
      <w:bookmarkStart w:id="308" w:name="_Toc184313260"/>
      <w:bookmarkEnd w:id="308"/>
      <w:bookmarkStart w:id="309" w:name="_Toc184308090"/>
      <w:bookmarkEnd w:id="309"/>
      <w:bookmarkStart w:id="310" w:name="_Toc184308088"/>
      <w:bookmarkEnd w:id="310"/>
      <w:bookmarkStart w:id="311" w:name="_Toc184313302"/>
      <w:bookmarkEnd w:id="311"/>
      <w:bookmarkStart w:id="312" w:name="_Toc184310340"/>
      <w:bookmarkEnd w:id="312"/>
      <w:bookmarkStart w:id="313" w:name="_Toc184314444"/>
      <w:bookmarkEnd w:id="313"/>
      <w:bookmarkStart w:id="314" w:name="_Toc184314477"/>
      <w:bookmarkEnd w:id="314"/>
      <w:bookmarkStart w:id="315" w:name="_Toc184313296"/>
      <w:bookmarkEnd w:id="315"/>
      <w:bookmarkStart w:id="316" w:name="_Toc184308057"/>
      <w:bookmarkEnd w:id="316"/>
      <w:bookmarkStart w:id="317" w:name="_Toc184314474"/>
      <w:bookmarkEnd w:id="317"/>
      <w:bookmarkStart w:id="318" w:name="_Toc184312131"/>
      <w:bookmarkEnd w:id="318"/>
      <w:bookmarkStart w:id="319" w:name="_Toc184310289"/>
      <w:bookmarkEnd w:id="319"/>
      <w:bookmarkStart w:id="320" w:name="_Toc184308077"/>
      <w:bookmarkEnd w:id="320"/>
      <w:bookmarkStart w:id="321" w:name="_Toc184313285"/>
      <w:bookmarkEnd w:id="321"/>
      <w:bookmarkStart w:id="322" w:name="_Toc184308098"/>
      <w:bookmarkEnd w:id="322"/>
      <w:bookmarkStart w:id="323" w:name="_Toc184313292"/>
      <w:bookmarkEnd w:id="323"/>
      <w:bookmarkStart w:id="324" w:name="_Toc184310298"/>
      <w:bookmarkEnd w:id="324"/>
      <w:bookmarkStart w:id="325" w:name="_Toc184314463"/>
      <w:bookmarkEnd w:id="325"/>
      <w:bookmarkStart w:id="326" w:name="_Toc184313252"/>
      <w:bookmarkEnd w:id="326"/>
      <w:bookmarkStart w:id="327" w:name="_Toc184313283"/>
      <w:bookmarkEnd w:id="327"/>
      <w:bookmarkStart w:id="328" w:name="_Toc184310325"/>
      <w:bookmarkEnd w:id="328"/>
      <w:bookmarkStart w:id="329" w:name="_Toc184314421"/>
      <w:bookmarkEnd w:id="329"/>
      <w:bookmarkStart w:id="330" w:name="_Toc184308046"/>
      <w:bookmarkEnd w:id="330"/>
      <w:bookmarkStart w:id="331" w:name="_Toc184312075"/>
      <w:bookmarkEnd w:id="331"/>
      <w:bookmarkStart w:id="332" w:name="_Toc184314481"/>
      <w:bookmarkEnd w:id="332"/>
      <w:bookmarkStart w:id="333" w:name="_Toc184310330"/>
      <w:bookmarkEnd w:id="333"/>
      <w:bookmarkStart w:id="334" w:name="_Toc184313275"/>
      <w:bookmarkEnd w:id="334"/>
      <w:bookmarkStart w:id="335" w:name="_Toc184314418"/>
      <w:bookmarkEnd w:id="335"/>
      <w:bookmarkStart w:id="336" w:name="_Toc184310326"/>
      <w:bookmarkEnd w:id="336"/>
      <w:bookmarkStart w:id="337" w:name="_Toc184313261"/>
      <w:bookmarkEnd w:id="337"/>
      <w:bookmarkStart w:id="338" w:name="_Toc184312127"/>
      <w:bookmarkEnd w:id="338"/>
      <w:bookmarkStart w:id="339" w:name="_Toc184314420"/>
      <w:bookmarkEnd w:id="339"/>
      <w:bookmarkStart w:id="340" w:name="_Toc184308045"/>
      <w:bookmarkEnd w:id="340"/>
      <w:bookmarkStart w:id="341" w:name="_Toc184313271"/>
      <w:bookmarkEnd w:id="341"/>
      <w:bookmarkStart w:id="342" w:name="_Toc184313303"/>
      <w:bookmarkEnd w:id="342"/>
      <w:bookmarkStart w:id="343" w:name="_Toc184314472"/>
      <w:bookmarkEnd w:id="343"/>
      <w:bookmarkStart w:id="344" w:name="_Toc184313270"/>
      <w:bookmarkEnd w:id="344"/>
      <w:bookmarkStart w:id="345" w:name="_Toc184314448"/>
      <w:bookmarkEnd w:id="345"/>
      <w:bookmarkStart w:id="346" w:name="_Toc184308038"/>
      <w:bookmarkEnd w:id="346"/>
      <w:bookmarkStart w:id="347" w:name="_Toc184313244"/>
      <w:bookmarkEnd w:id="347"/>
      <w:bookmarkStart w:id="348" w:name="_Toc184308061"/>
      <w:bookmarkEnd w:id="348"/>
      <w:bookmarkStart w:id="349" w:name="_Toc184308082"/>
      <w:bookmarkEnd w:id="349"/>
      <w:bookmarkStart w:id="350" w:name="_Toc184312108"/>
      <w:bookmarkEnd w:id="350"/>
      <w:bookmarkStart w:id="351" w:name="_Toc184313295"/>
      <w:bookmarkEnd w:id="351"/>
      <w:bookmarkStart w:id="352" w:name="_Toc184308039"/>
      <w:bookmarkEnd w:id="352"/>
      <w:bookmarkStart w:id="353" w:name="_Toc184310310"/>
      <w:bookmarkEnd w:id="353"/>
      <w:bookmarkStart w:id="354" w:name="_Toc184308107"/>
      <w:bookmarkEnd w:id="354"/>
      <w:bookmarkStart w:id="355" w:name="_Toc184310283"/>
      <w:bookmarkEnd w:id="355"/>
      <w:bookmarkStart w:id="356" w:name="_Toc184310286"/>
      <w:bookmarkEnd w:id="356"/>
      <w:bookmarkStart w:id="357" w:name="_Toc184312106"/>
      <w:bookmarkEnd w:id="357"/>
      <w:bookmarkStart w:id="358" w:name="_Toc184310319"/>
      <w:bookmarkEnd w:id="358"/>
      <w:bookmarkStart w:id="359" w:name="_Toc184313293"/>
      <w:bookmarkEnd w:id="359"/>
      <w:bookmarkStart w:id="360" w:name="_Toc184313266"/>
      <w:bookmarkEnd w:id="360"/>
      <w:bookmarkStart w:id="361" w:name="_Toc184313284"/>
      <w:bookmarkEnd w:id="361"/>
      <w:bookmarkStart w:id="362" w:name="_Toc184310304"/>
      <w:bookmarkEnd w:id="362"/>
      <w:bookmarkStart w:id="363" w:name="_Toc184308050"/>
      <w:bookmarkEnd w:id="363"/>
      <w:bookmarkStart w:id="364" w:name="_Toc184313290"/>
      <w:bookmarkEnd w:id="364"/>
      <w:bookmarkStart w:id="365" w:name="_Toc184312079"/>
      <w:bookmarkEnd w:id="365"/>
      <w:bookmarkStart w:id="366" w:name="_Toc184312111"/>
      <w:bookmarkEnd w:id="366"/>
      <w:bookmarkStart w:id="367" w:name="_Toc184308060"/>
      <w:bookmarkEnd w:id="367"/>
      <w:bookmarkStart w:id="368" w:name="_Toc184308049"/>
      <w:bookmarkEnd w:id="368"/>
      <w:bookmarkStart w:id="369" w:name="_Toc184312105"/>
      <w:bookmarkEnd w:id="369"/>
      <w:bookmarkStart w:id="370" w:name="_Toc184314454"/>
      <w:bookmarkEnd w:id="370"/>
      <w:bookmarkStart w:id="371" w:name="_Toc184308048"/>
      <w:bookmarkEnd w:id="371"/>
      <w:bookmarkStart w:id="372" w:name="_Toc184314475"/>
      <w:bookmarkEnd w:id="372"/>
      <w:bookmarkStart w:id="373" w:name="_Toc184314447"/>
      <w:bookmarkEnd w:id="373"/>
      <w:bookmarkStart w:id="374" w:name="_Toc184313304"/>
      <w:bookmarkEnd w:id="374"/>
      <w:bookmarkStart w:id="375" w:name="_Toc184310321"/>
      <w:bookmarkEnd w:id="375"/>
      <w:bookmarkStart w:id="376" w:name="_Toc184312080"/>
      <w:bookmarkEnd w:id="376"/>
      <w:bookmarkStart w:id="377" w:name="_Toc184310318"/>
      <w:bookmarkEnd w:id="377"/>
      <w:bookmarkStart w:id="378" w:name="_Toc184310331"/>
      <w:bookmarkEnd w:id="378"/>
      <w:bookmarkStart w:id="379" w:name="_Toc184313281"/>
      <w:bookmarkEnd w:id="379"/>
      <w:bookmarkStart w:id="380" w:name="_Toc184310282"/>
      <w:bookmarkEnd w:id="380"/>
      <w:bookmarkStart w:id="381" w:name="_Toc184313267"/>
      <w:bookmarkEnd w:id="381"/>
      <w:bookmarkStart w:id="382" w:name="_Toc184312083"/>
      <w:bookmarkEnd w:id="382"/>
      <w:bookmarkStart w:id="383" w:name="_Toc184310337"/>
      <w:bookmarkEnd w:id="383"/>
      <w:bookmarkStart w:id="384" w:name="_Toc184308099"/>
      <w:bookmarkEnd w:id="384"/>
      <w:bookmarkStart w:id="385" w:name="_Toc184314462"/>
      <w:bookmarkEnd w:id="385"/>
      <w:bookmarkStart w:id="386" w:name="_Toc184310281"/>
      <w:bookmarkEnd w:id="386"/>
      <w:bookmarkStart w:id="387" w:name="_Toc184312120"/>
      <w:bookmarkEnd w:id="387"/>
      <w:bookmarkStart w:id="388" w:name="_Toc184312110"/>
      <w:bookmarkEnd w:id="388"/>
      <w:bookmarkStart w:id="389" w:name="_Toc184312069"/>
      <w:bookmarkEnd w:id="389"/>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02"/>
        <w:gridCol w:w="6958"/>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31" w:type="dxa"/>
            <w:gridSpan w:val="4"/>
            <w:noWrap/>
            <w:vAlign w:val="center"/>
          </w:tcPr>
          <w:p>
            <w:pPr>
              <w:adjustRightInd/>
              <w:rPr>
                <w:rFonts w:ascii="宋体" w:hAnsi="宋体" w:cs="宋体"/>
                <w:b/>
                <w:bCs/>
                <w:sz w:val="24"/>
              </w:rPr>
            </w:pPr>
            <w:r>
              <w:rPr>
                <w:rFonts w:hint="eastAsia" w:ascii="宋体" w:hAnsi="宋体" w:cs="宋体"/>
                <w:b/>
                <w:bCs/>
                <w:sz w:val="24"/>
              </w:rPr>
              <w:t>商务技术文件部分（80分）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76" w:type="dxa"/>
            <w:noWrap/>
            <w:vAlign w:val="center"/>
          </w:tcPr>
          <w:p>
            <w:pPr>
              <w:adjustRightInd/>
              <w:jc w:val="center"/>
              <w:rPr>
                <w:rFonts w:ascii="宋体" w:hAnsi="宋体" w:cs="宋体"/>
                <w:snapToGrid w:val="0"/>
                <w:kern w:val="0"/>
                <w:sz w:val="24"/>
              </w:rPr>
            </w:pPr>
            <w:r>
              <w:rPr>
                <w:rFonts w:hint="eastAsia" w:ascii="宋体" w:hAnsi="宋体" w:cs="宋体"/>
                <w:b/>
                <w:bCs/>
                <w:sz w:val="24"/>
              </w:rPr>
              <w:t>序号</w:t>
            </w:r>
          </w:p>
        </w:tc>
        <w:tc>
          <w:tcPr>
            <w:tcW w:w="1502" w:type="dxa"/>
            <w:noWrap/>
            <w:vAlign w:val="center"/>
          </w:tcPr>
          <w:p>
            <w:pPr>
              <w:adjustRightInd/>
              <w:jc w:val="center"/>
              <w:rPr>
                <w:rFonts w:ascii="宋体" w:hAnsi="宋体" w:cs="宋体"/>
                <w:snapToGrid w:val="0"/>
                <w:kern w:val="0"/>
                <w:sz w:val="24"/>
              </w:rPr>
            </w:pPr>
            <w:r>
              <w:rPr>
                <w:rFonts w:hint="eastAsia" w:ascii="宋体" w:hAnsi="宋体" w:cs="宋体"/>
                <w:b/>
                <w:bCs/>
                <w:sz w:val="24"/>
              </w:rPr>
              <w:t>评标内容</w:t>
            </w:r>
          </w:p>
        </w:tc>
        <w:tc>
          <w:tcPr>
            <w:tcW w:w="6958" w:type="dxa"/>
            <w:noWrap/>
            <w:vAlign w:val="center"/>
          </w:tcPr>
          <w:p>
            <w:pPr>
              <w:adjustRightInd/>
              <w:jc w:val="center"/>
              <w:rPr>
                <w:rFonts w:ascii="宋体" w:hAnsi="宋体" w:cs="宋体"/>
                <w:snapToGrid w:val="0"/>
                <w:kern w:val="0"/>
                <w:sz w:val="24"/>
              </w:rPr>
            </w:pPr>
            <w:r>
              <w:rPr>
                <w:rFonts w:hint="eastAsia" w:ascii="宋体" w:hAnsi="宋体" w:cs="宋体"/>
                <w:b/>
                <w:bCs/>
                <w:sz w:val="24"/>
              </w:rPr>
              <w:t>评标标准</w:t>
            </w:r>
          </w:p>
        </w:tc>
        <w:tc>
          <w:tcPr>
            <w:tcW w:w="795" w:type="dxa"/>
            <w:noWrap/>
            <w:vAlign w:val="center"/>
          </w:tcPr>
          <w:p>
            <w:pPr>
              <w:adjustRightInd/>
              <w:jc w:val="center"/>
              <w:rPr>
                <w:rFonts w:ascii="宋体" w:hAnsi="宋体" w:cs="宋体"/>
                <w:snapToGrid w:val="0"/>
                <w:kern w:val="0"/>
                <w:sz w:val="24"/>
              </w:rPr>
            </w:pPr>
            <w:r>
              <w:rPr>
                <w:rFonts w:hint="eastAsia" w:ascii="宋体" w:hAnsi="宋体" w:cs="宋体"/>
                <w:b/>
                <w:bCs/>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76" w:type="dxa"/>
            <w:vMerge w:val="restart"/>
            <w:noWrap/>
            <w:vAlign w:val="center"/>
          </w:tcPr>
          <w:p>
            <w:pPr>
              <w:adjustRightInd/>
              <w:jc w:val="center"/>
              <w:rPr>
                <w:rFonts w:ascii="宋体" w:hAnsi="宋体" w:cs="宋体"/>
                <w:sz w:val="24"/>
              </w:rPr>
            </w:pPr>
            <w:r>
              <w:rPr>
                <w:rFonts w:hint="eastAsia" w:ascii="宋体" w:hAnsi="宋体" w:cs="宋体"/>
                <w:sz w:val="24"/>
              </w:rPr>
              <w:t>1</w:t>
            </w:r>
          </w:p>
        </w:tc>
        <w:tc>
          <w:tcPr>
            <w:tcW w:w="1502" w:type="dxa"/>
            <w:vMerge w:val="restart"/>
            <w:noWrap/>
            <w:vAlign w:val="center"/>
          </w:tcPr>
          <w:p>
            <w:pPr>
              <w:adjustRightInd/>
              <w:jc w:val="center"/>
              <w:rPr>
                <w:rFonts w:ascii="宋体" w:hAnsi="宋体" w:cs="宋体"/>
                <w:sz w:val="24"/>
                <w:lang w:val="zh-CN"/>
              </w:rPr>
            </w:pPr>
            <w:r>
              <w:rPr>
                <w:rFonts w:ascii="宋体" w:hAnsi="宋体" w:cs="宋体"/>
                <w:sz w:val="24"/>
                <w:lang w:val="zh-CN"/>
              </w:rPr>
              <w:t>投标人基本情况</w:t>
            </w:r>
          </w:p>
          <w:p>
            <w:pPr>
              <w:adjustRightInd/>
              <w:jc w:val="center"/>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13分</w:t>
            </w:r>
            <w:r>
              <w:rPr>
                <w:rFonts w:hint="eastAsia" w:ascii="宋体" w:hAnsi="宋体" w:cs="宋体"/>
                <w:sz w:val="24"/>
                <w:lang w:val="zh-CN"/>
              </w:rPr>
              <w:t>）</w:t>
            </w:r>
          </w:p>
        </w:tc>
        <w:tc>
          <w:tcPr>
            <w:tcW w:w="6958" w:type="dxa"/>
            <w:noWrap/>
            <w:vAlign w:val="center"/>
          </w:tcPr>
          <w:p>
            <w:pPr>
              <w:rPr>
                <w:rFonts w:hint="eastAsia" w:ascii="宋体" w:hAnsi="宋体" w:eastAsia="宋体"/>
                <w:color w:val="000000"/>
                <w:sz w:val="24"/>
                <w:lang w:eastAsia="zh-CN"/>
              </w:rPr>
            </w:pPr>
            <w:r>
              <w:rPr>
                <w:rFonts w:hint="eastAsia" w:ascii="宋体" w:hAnsi="宋体" w:eastAsia="宋体"/>
                <w:color w:val="000000"/>
                <w:sz w:val="24"/>
              </w:rPr>
              <w:t>执业律师数量：20人以上</w:t>
            </w:r>
            <w:r>
              <w:rPr>
                <w:rFonts w:hint="eastAsia" w:ascii="宋体" w:hAnsi="宋体" w:eastAsia="宋体"/>
                <w:color w:val="000000"/>
                <w:sz w:val="24"/>
                <w:lang w:val="en-US" w:eastAsia="zh-CN"/>
              </w:rPr>
              <w:t>的，</w:t>
            </w:r>
            <w:r>
              <w:rPr>
                <w:rFonts w:hint="eastAsia" w:ascii="宋体" w:hAnsi="宋体" w:eastAsia="宋体"/>
                <w:color w:val="000000"/>
                <w:sz w:val="24"/>
              </w:rPr>
              <w:t>得5分；15-20人</w:t>
            </w:r>
            <w:r>
              <w:rPr>
                <w:rFonts w:hint="eastAsia" w:ascii="宋体" w:hAnsi="宋体" w:eastAsia="宋体"/>
                <w:color w:val="000000"/>
                <w:sz w:val="24"/>
                <w:lang w:val="en-US" w:eastAsia="zh-CN"/>
              </w:rPr>
              <w:t>的，</w:t>
            </w:r>
            <w:r>
              <w:rPr>
                <w:rFonts w:hint="eastAsia" w:ascii="宋体" w:hAnsi="宋体" w:eastAsia="宋体"/>
                <w:color w:val="000000"/>
                <w:sz w:val="24"/>
              </w:rPr>
              <w:t>得3分；10-15</w:t>
            </w:r>
            <w:r>
              <w:rPr>
                <w:rFonts w:hint="eastAsia" w:ascii="宋体" w:hAnsi="宋体" w:eastAsia="宋体"/>
                <w:color w:val="000000"/>
                <w:sz w:val="24"/>
                <w:lang w:val="en-US" w:eastAsia="zh-CN"/>
              </w:rPr>
              <w:t>人的，</w:t>
            </w:r>
            <w:r>
              <w:rPr>
                <w:rFonts w:hint="eastAsia" w:ascii="宋体" w:hAnsi="宋体" w:eastAsia="宋体"/>
                <w:color w:val="000000"/>
                <w:sz w:val="24"/>
              </w:rPr>
              <w:t>得2分；5-10人</w:t>
            </w:r>
            <w:r>
              <w:rPr>
                <w:rFonts w:hint="eastAsia" w:ascii="宋体" w:hAnsi="宋体" w:eastAsia="宋体"/>
                <w:color w:val="000000"/>
                <w:sz w:val="24"/>
                <w:lang w:val="en-US" w:eastAsia="zh-CN"/>
              </w:rPr>
              <w:t>的，</w:t>
            </w:r>
            <w:r>
              <w:rPr>
                <w:rFonts w:hint="eastAsia" w:ascii="宋体" w:hAnsi="宋体" w:eastAsia="宋体"/>
                <w:color w:val="000000"/>
                <w:sz w:val="24"/>
              </w:rPr>
              <w:t>得1分；不足5人</w:t>
            </w:r>
            <w:r>
              <w:rPr>
                <w:rFonts w:hint="eastAsia" w:ascii="宋体" w:hAnsi="宋体" w:eastAsia="宋体"/>
                <w:color w:val="000000"/>
                <w:sz w:val="24"/>
                <w:lang w:val="en-US" w:eastAsia="zh-CN"/>
              </w:rPr>
              <w:t>的，</w:t>
            </w:r>
            <w:r>
              <w:rPr>
                <w:rFonts w:hint="eastAsia" w:ascii="宋体" w:hAnsi="宋体" w:eastAsia="宋体"/>
                <w:color w:val="000000"/>
                <w:sz w:val="24"/>
              </w:rPr>
              <w:t>得0分。须提供执业律师人员清册（不含实习人员）</w:t>
            </w:r>
            <w:r>
              <w:rPr>
                <w:rFonts w:hint="eastAsia" w:ascii="宋体" w:hAnsi="宋体" w:eastAsia="宋体"/>
                <w:color w:val="000000"/>
                <w:sz w:val="24"/>
                <w:lang w:val="en-US" w:eastAsia="zh-CN"/>
              </w:rPr>
              <w:t>并加盖律所公章</w:t>
            </w:r>
            <w:r>
              <w:rPr>
                <w:rFonts w:hint="eastAsia" w:ascii="宋体" w:hAnsi="宋体" w:eastAsia="宋体"/>
                <w:color w:val="000000"/>
                <w:sz w:val="24"/>
              </w:rPr>
              <w:t>。</w:t>
            </w:r>
          </w:p>
        </w:tc>
        <w:tc>
          <w:tcPr>
            <w:tcW w:w="795" w:type="dxa"/>
            <w:noWrap/>
            <w:vAlign w:val="center"/>
          </w:tcPr>
          <w:p>
            <w:pPr>
              <w:adjustRightInd/>
              <w:jc w:val="center"/>
              <w:rPr>
                <w:rFonts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76" w:type="dxa"/>
            <w:vMerge w:val="continue"/>
            <w:noWrap/>
            <w:vAlign w:val="center"/>
          </w:tcPr>
          <w:p>
            <w:pPr>
              <w:adjustRightInd/>
              <w:jc w:val="center"/>
              <w:rPr>
                <w:rFonts w:ascii="宋体" w:hAnsi="宋体" w:cs="宋体"/>
                <w:sz w:val="24"/>
              </w:rPr>
            </w:pPr>
          </w:p>
        </w:tc>
        <w:tc>
          <w:tcPr>
            <w:tcW w:w="1502" w:type="dxa"/>
            <w:vMerge w:val="continue"/>
            <w:noWrap/>
            <w:vAlign w:val="center"/>
          </w:tcPr>
          <w:p>
            <w:pPr>
              <w:adjustRightInd/>
              <w:jc w:val="center"/>
              <w:rPr>
                <w:rFonts w:ascii="宋体" w:hAnsi="宋体" w:cs="宋体"/>
                <w:sz w:val="24"/>
                <w:lang w:val="zh-CN"/>
              </w:rPr>
            </w:pPr>
          </w:p>
        </w:tc>
        <w:tc>
          <w:tcPr>
            <w:tcW w:w="6958" w:type="dxa"/>
            <w:noWrap/>
            <w:vAlign w:val="center"/>
          </w:tcPr>
          <w:p>
            <w:pPr>
              <w:rPr>
                <w:rFonts w:hint="eastAsia" w:ascii="宋体" w:hAnsi="宋体" w:eastAsia="宋体"/>
                <w:color w:val="000000"/>
                <w:sz w:val="24"/>
                <w:lang w:eastAsia="zh-CN"/>
              </w:rPr>
            </w:pPr>
            <w:r>
              <w:rPr>
                <w:rFonts w:hint="eastAsia" w:ascii="宋体" w:hAnsi="宋体" w:eastAsia="宋体"/>
                <w:color w:val="000000"/>
                <w:sz w:val="24"/>
              </w:rPr>
              <w:t>荣誉：投标人</w:t>
            </w:r>
            <w:r>
              <w:rPr>
                <w:rFonts w:hint="eastAsia" w:ascii="宋体" w:hAnsi="宋体" w:eastAsia="宋体"/>
                <w:color w:val="000000"/>
                <w:sz w:val="24"/>
                <w:lang w:val="en-US" w:eastAsia="zh-CN"/>
              </w:rPr>
              <w:t>近三年</w:t>
            </w:r>
            <w:r>
              <w:rPr>
                <w:rFonts w:hint="eastAsia" w:ascii="宋体" w:hAnsi="宋体" w:eastAsia="宋体"/>
                <w:color w:val="000000"/>
                <w:sz w:val="24"/>
              </w:rPr>
              <w:t>获得</w:t>
            </w:r>
            <w:r>
              <w:rPr>
                <w:rFonts w:hint="eastAsia" w:ascii="宋体" w:hAnsi="宋体" w:eastAsia="宋体"/>
                <w:color w:val="000000"/>
                <w:sz w:val="24"/>
                <w:lang w:val="en-US" w:eastAsia="zh-CN"/>
              </w:rPr>
              <w:t>过</w:t>
            </w:r>
            <w:r>
              <w:rPr>
                <w:rFonts w:hint="eastAsia" w:ascii="宋体" w:hAnsi="宋体" w:eastAsia="宋体"/>
                <w:color w:val="000000"/>
                <w:sz w:val="24"/>
              </w:rPr>
              <w:t>国家级荣誉</w:t>
            </w:r>
            <w:r>
              <w:rPr>
                <w:rFonts w:hint="eastAsia" w:ascii="宋体" w:hAnsi="宋体" w:eastAsia="宋体"/>
                <w:color w:val="000000"/>
                <w:sz w:val="24"/>
                <w:lang w:val="en-US" w:eastAsia="zh-CN"/>
              </w:rPr>
              <w:t>的，</w:t>
            </w:r>
            <w:r>
              <w:rPr>
                <w:rFonts w:hint="eastAsia" w:ascii="宋体" w:hAnsi="宋体" w:eastAsia="宋体"/>
                <w:color w:val="000000"/>
                <w:sz w:val="24"/>
              </w:rPr>
              <w:t>得5分；</w:t>
            </w:r>
            <w:r>
              <w:rPr>
                <w:rFonts w:hint="eastAsia" w:ascii="宋体" w:hAnsi="宋体" w:eastAsia="宋体"/>
                <w:color w:val="000000"/>
                <w:sz w:val="24"/>
                <w:lang w:val="en-US" w:eastAsia="zh-CN"/>
              </w:rPr>
              <w:t>获得过</w:t>
            </w:r>
            <w:r>
              <w:rPr>
                <w:rFonts w:hint="eastAsia" w:ascii="宋体" w:hAnsi="宋体" w:eastAsia="宋体"/>
                <w:color w:val="000000"/>
                <w:sz w:val="24"/>
              </w:rPr>
              <w:t>省级以上荣誉</w:t>
            </w:r>
            <w:r>
              <w:rPr>
                <w:rFonts w:hint="eastAsia" w:ascii="宋体" w:hAnsi="宋体" w:eastAsia="宋体"/>
                <w:color w:val="000000"/>
                <w:sz w:val="24"/>
                <w:lang w:val="en-US" w:eastAsia="zh-CN"/>
              </w:rPr>
              <w:t>的，</w:t>
            </w:r>
            <w:r>
              <w:rPr>
                <w:rFonts w:hint="eastAsia" w:ascii="宋体" w:hAnsi="宋体" w:eastAsia="宋体"/>
                <w:color w:val="000000"/>
                <w:sz w:val="24"/>
              </w:rPr>
              <w:t>得3分；</w:t>
            </w:r>
            <w:r>
              <w:rPr>
                <w:rFonts w:hint="eastAsia" w:ascii="宋体" w:hAnsi="宋体" w:eastAsia="宋体"/>
                <w:color w:val="000000"/>
                <w:sz w:val="24"/>
                <w:lang w:val="en-US" w:eastAsia="zh-CN"/>
              </w:rPr>
              <w:t>获得过市县级</w:t>
            </w:r>
            <w:r>
              <w:rPr>
                <w:rFonts w:hint="eastAsia" w:ascii="宋体" w:hAnsi="宋体" w:eastAsia="宋体"/>
                <w:color w:val="000000"/>
                <w:sz w:val="24"/>
              </w:rPr>
              <w:t>荣誉</w:t>
            </w:r>
            <w:r>
              <w:rPr>
                <w:rFonts w:hint="eastAsia" w:ascii="宋体" w:hAnsi="宋体" w:eastAsia="宋体"/>
                <w:color w:val="000000"/>
                <w:sz w:val="24"/>
                <w:lang w:val="en-US" w:eastAsia="zh-CN"/>
              </w:rPr>
              <w:t>的，</w:t>
            </w:r>
            <w:r>
              <w:rPr>
                <w:rFonts w:hint="eastAsia" w:ascii="宋体" w:hAnsi="宋体" w:eastAsia="宋体"/>
                <w:color w:val="000000"/>
                <w:sz w:val="24"/>
              </w:rPr>
              <w:t>得2分；无荣誉不得分。</w:t>
            </w:r>
            <w:r>
              <w:rPr>
                <w:rFonts w:hint="eastAsia" w:ascii="宋体" w:hAnsi="宋体" w:eastAsia="宋体"/>
                <w:color w:val="000000"/>
                <w:sz w:val="24"/>
                <w:lang w:val="en-US" w:eastAsia="zh-CN"/>
              </w:rPr>
              <w:t>本项目最高得8分。</w:t>
            </w:r>
            <w:r>
              <w:rPr>
                <w:rFonts w:hint="eastAsia" w:ascii="宋体" w:hAnsi="宋体" w:eastAsia="宋体"/>
                <w:color w:val="000000"/>
                <w:sz w:val="24"/>
              </w:rPr>
              <w:t>须提供相应的荣誉证书或者表彰文件。</w:t>
            </w:r>
          </w:p>
        </w:tc>
        <w:tc>
          <w:tcPr>
            <w:tcW w:w="795" w:type="dxa"/>
            <w:noWrap/>
            <w:vAlign w:val="center"/>
          </w:tcPr>
          <w:p>
            <w:pPr>
              <w:adjustRightInd/>
              <w:jc w:val="center"/>
              <w:rPr>
                <w:rFonts w:hint="default" w:ascii="宋体" w:hAnsi="宋体" w:cs="宋体"/>
                <w:sz w:val="24"/>
                <w:lang w:val="en-US" w:eastAsia="zh-CN"/>
              </w:rPr>
            </w:pPr>
            <w:r>
              <w:rPr>
                <w:rFonts w:hint="eastAsia" w:ascii="宋体" w:hAnsi="宋体" w:cs="宋体"/>
                <w:sz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76" w:type="dxa"/>
            <w:vMerge w:val="restart"/>
            <w:noWrap/>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502" w:type="dxa"/>
            <w:vMerge w:val="restart"/>
            <w:noWrap/>
            <w:vAlign w:val="center"/>
          </w:tcPr>
          <w:p>
            <w:pPr>
              <w:jc w:val="center"/>
              <w:rPr>
                <w:rFonts w:hint="eastAsia" w:ascii="宋体" w:hAnsi="宋体" w:eastAsia="宋体" w:cs="宋体"/>
                <w:sz w:val="24"/>
                <w:lang w:eastAsia="zh-CN"/>
              </w:rPr>
            </w:pPr>
            <w:r>
              <w:rPr>
                <w:rFonts w:hint="eastAsia" w:ascii="宋体" w:hAnsi="宋体" w:cs="宋体"/>
                <w:sz w:val="24"/>
              </w:rPr>
              <w:t>服务方案</w:t>
            </w:r>
            <w:r>
              <w:rPr>
                <w:rFonts w:hint="eastAsia" w:ascii="宋体" w:hAnsi="宋体" w:cs="宋体"/>
                <w:sz w:val="24"/>
                <w:lang w:eastAsia="zh-CN"/>
              </w:rPr>
              <w:t>（</w:t>
            </w:r>
            <w:r>
              <w:rPr>
                <w:rFonts w:hint="eastAsia" w:ascii="宋体" w:hAnsi="宋体" w:cs="宋体"/>
                <w:sz w:val="24"/>
                <w:lang w:val="en-US" w:eastAsia="zh-CN"/>
              </w:rPr>
              <w:t>28分</w:t>
            </w:r>
            <w:r>
              <w:rPr>
                <w:rFonts w:hint="eastAsia" w:ascii="宋体" w:hAnsi="宋体" w:cs="宋体"/>
                <w:sz w:val="24"/>
                <w:lang w:eastAsia="zh-CN"/>
              </w:rPr>
              <w:t>）</w:t>
            </w:r>
          </w:p>
        </w:tc>
        <w:tc>
          <w:tcPr>
            <w:tcW w:w="6958" w:type="dxa"/>
            <w:noWrap/>
            <w:vAlign w:val="center"/>
          </w:tcPr>
          <w:p>
            <w:pPr>
              <w:rPr>
                <w:rFonts w:hint="eastAsia" w:ascii="宋体" w:hAnsi="宋体" w:eastAsia="宋体"/>
                <w:color w:val="000000"/>
                <w:sz w:val="24"/>
                <w:lang w:val="zh-CN" w:eastAsia="zh-CN"/>
              </w:rPr>
            </w:pPr>
            <w:r>
              <w:rPr>
                <w:rFonts w:hint="eastAsia" w:ascii="宋体" w:hAnsi="宋体" w:eastAsia="宋体"/>
                <w:color w:val="000000"/>
                <w:sz w:val="24"/>
                <w:lang w:val="zh-CN"/>
              </w:rPr>
              <w:t>项目服务团队是否有针对本项目服务需求及服务对象属地特色制作的服务计划书，</w:t>
            </w:r>
            <w:r>
              <w:rPr>
                <w:rFonts w:hint="eastAsia" w:ascii="宋体" w:hAnsi="宋体" w:eastAsia="宋体"/>
                <w:color w:val="000000"/>
                <w:sz w:val="24"/>
              </w:rPr>
              <w:t>计划书详细、清晰、可行的</w:t>
            </w:r>
            <w:r>
              <w:rPr>
                <w:rFonts w:hint="eastAsia" w:ascii="宋体" w:hAnsi="宋体" w:eastAsia="宋体"/>
                <w:color w:val="000000"/>
                <w:sz w:val="24"/>
                <w:lang w:eastAsia="zh-CN"/>
              </w:rPr>
              <w:t>，</w:t>
            </w:r>
            <w:r>
              <w:rPr>
                <w:rFonts w:hint="eastAsia" w:ascii="宋体" w:hAnsi="宋体" w:eastAsia="宋体"/>
                <w:color w:val="000000"/>
                <w:sz w:val="24"/>
              </w:rPr>
              <w:t>得10分；计划书清晰、可行但不够详细的</w:t>
            </w:r>
            <w:r>
              <w:rPr>
                <w:rFonts w:hint="eastAsia" w:ascii="宋体" w:hAnsi="宋体" w:eastAsia="宋体"/>
                <w:color w:val="000000"/>
                <w:sz w:val="24"/>
                <w:lang w:eastAsia="zh-CN"/>
              </w:rPr>
              <w:t>，</w:t>
            </w:r>
            <w:r>
              <w:rPr>
                <w:rFonts w:hint="eastAsia" w:ascii="宋体" w:hAnsi="宋体" w:eastAsia="宋体"/>
                <w:color w:val="000000"/>
                <w:sz w:val="24"/>
              </w:rPr>
              <w:t>得8分；计划书可行的</w:t>
            </w:r>
            <w:r>
              <w:rPr>
                <w:rFonts w:hint="eastAsia" w:ascii="宋体" w:hAnsi="宋体" w:eastAsia="宋体"/>
                <w:color w:val="000000"/>
                <w:sz w:val="24"/>
                <w:lang w:eastAsia="zh-CN"/>
              </w:rPr>
              <w:t>，</w:t>
            </w:r>
            <w:r>
              <w:rPr>
                <w:rFonts w:hint="eastAsia" w:ascii="宋体" w:hAnsi="宋体" w:eastAsia="宋体"/>
                <w:color w:val="000000"/>
                <w:sz w:val="24"/>
              </w:rPr>
              <w:t>得6分；无计划书不得分。</w:t>
            </w:r>
          </w:p>
        </w:tc>
        <w:tc>
          <w:tcPr>
            <w:tcW w:w="795" w:type="dxa"/>
            <w:noWrap/>
            <w:vAlign w:val="center"/>
          </w:tcPr>
          <w:p>
            <w:pPr>
              <w:adjustRightInd/>
              <w:jc w:val="center"/>
              <w:rPr>
                <w:rFonts w:ascii="宋体" w:hAnsi="宋体" w:cs="宋体"/>
                <w:sz w:val="24"/>
                <w:lang w:val="zh-CN"/>
              </w:rPr>
            </w:pPr>
            <w:r>
              <w:rPr>
                <w:rFonts w:hint="eastAsia" w:ascii="宋体" w:hAnsi="宋体" w:cs="宋体"/>
                <w:sz w:val="24"/>
                <w:lang w:val="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76" w:type="dxa"/>
            <w:vMerge w:val="continue"/>
            <w:noWrap/>
            <w:vAlign w:val="center"/>
          </w:tcPr>
          <w:p>
            <w:pPr>
              <w:adjustRightInd/>
              <w:jc w:val="center"/>
              <w:rPr>
                <w:rFonts w:ascii="宋体" w:hAnsi="宋体" w:cs="宋体"/>
                <w:sz w:val="24"/>
              </w:rPr>
            </w:pPr>
          </w:p>
        </w:tc>
        <w:tc>
          <w:tcPr>
            <w:tcW w:w="1502" w:type="dxa"/>
            <w:vMerge w:val="continue"/>
            <w:noWrap/>
            <w:vAlign w:val="center"/>
          </w:tcPr>
          <w:p>
            <w:pPr>
              <w:adjustRightInd/>
              <w:jc w:val="center"/>
              <w:rPr>
                <w:rFonts w:ascii="宋体" w:hAnsi="宋体" w:cs="宋体"/>
                <w:sz w:val="24"/>
                <w:lang w:val="zh-CN"/>
              </w:rPr>
            </w:pPr>
          </w:p>
        </w:tc>
        <w:tc>
          <w:tcPr>
            <w:tcW w:w="6958" w:type="dxa"/>
            <w:noWrap/>
            <w:vAlign w:val="center"/>
          </w:tcPr>
          <w:p>
            <w:pPr>
              <w:rPr>
                <w:rFonts w:hint="eastAsia" w:ascii="宋体" w:hAnsi="宋体" w:eastAsia="宋体"/>
                <w:color w:val="000000"/>
                <w:sz w:val="24"/>
              </w:rPr>
            </w:pPr>
            <w:r>
              <w:rPr>
                <w:rFonts w:hint="eastAsia" w:ascii="宋体" w:hAnsi="宋体" w:eastAsia="宋体"/>
                <w:color w:val="000000"/>
                <w:sz w:val="24"/>
              </w:rPr>
              <w:t>根据投标人针对本项目的质量保证方案，相关质量保证措施等相关内容的合理性、科学性、完整性等进行评审。（0-</w:t>
            </w:r>
            <w:r>
              <w:rPr>
                <w:rFonts w:hint="eastAsia" w:ascii="宋体" w:hAnsi="宋体"/>
                <w:color w:val="000000"/>
                <w:sz w:val="24"/>
                <w:lang w:val="en-US" w:eastAsia="zh-CN"/>
              </w:rPr>
              <w:t>6</w:t>
            </w:r>
            <w:r>
              <w:rPr>
                <w:rFonts w:hint="eastAsia" w:ascii="宋体" w:hAnsi="宋体" w:eastAsia="宋体"/>
                <w:color w:val="000000"/>
                <w:sz w:val="24"/>
              </w:rPr>
              <w:t>分）</w:t>
            </w:r>
          </w:p>
        </w:tc>
        <w:tc>
          <w:tcPr>
            <w:tcW w:w="795" w:type="dxa"/>
            <w:noWrap/>
            <w:vAlign w:val="center"/>
          </w:tcPr>
          <w:p>
            <w:pPr>
              <w:adjustRightInd/>
              <w:jc w:val="center"/>
              <w:rPr>
                <w:rFonts w:ascii="宋体" w:hAnsi="宋体" w:cs="宋体"/>
                <w:sz w:val="24"/>
                <w:lang w:val="zh-CN"/>
              </w:rPr>
            </w:pPr>
            <w:r>
              <w:rPr>
                <w:rFonts w:hint="eastAsia" w:ascii="宋体" w:hAnsi="宋体" w:cs="宋体"/>
                <w:sz w:val="24"/>
                <w:lang w:val="en-US" w:eastAsia="zh-CN"/>
              </w:rPr>
              <w:t>6</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76" w:type="dxa"/>
            <w:vMerge w:val="continue"/>
            <w:noWrap/>
            <w:vAlign w:val="center"/>
          </w:tcPr>
          <w:p>
            <w:pPr>
              <w:adjustRightInd/>
              <w:jc w:val="center"/>
              <w:rPr>
                <w:rFonts w:ascii="宋体" w:hAnsi="宋体" w:cs="宋体"/>
                <w:sz w:val="24"/>
              </w:rPr>
            </w:pPr>
          </w:p>
        </w:tc>
        <w:tc>
          <w:tcPr>
            <w:tcW w:w="1502" w:type="dxa"/>
            <w:vMerge w:val="continue"/>
            <w:noWrap/>
            <w:vAlign w:val="center"/>
          </w:tcPr>
          <w:p>
            <w:pPr>
              <w:adjustRightInd/>
              <w:jc w:val="center"/>
              <w:rPr>
                <w:rFonts w:ascii="宋体" w:hAnsi="宋体" w:cs="宋体"/>
                <w:sz w:val="24"/>
                <w:lang w:val="zh-CN"/>
              </w:rPr>
            </w:pPr>
          </w:p>
        </w:tc>
        <w:tc>
          <w:tcPr>
            <w:tcW w:w="6958" w:type="dxa"/>
            <w:noWrap/>
            <w:vAlign w:val="center"/>
          </w:tcPr>
          <w:p>
            <w:pPr>
              <w:rPr>
                <w:rFonts w:hint="eastAsia" w:ascii="宋体" w:hAnsi="宋体" w:eastAsia="宋体"/>
                <w:color w:val="000000"/>
                <w:sz w:val="24"/>
              </w:rPr>
            </w:pPr>
            <w:r>
              <w:rPr>
                <w:rFonts w:hint="eastAsia" w:ascii="宋体" w:hAnsi="宋体" w:eastAsia="宋体"/>
                <w:color w:val="000000"/>
                <w:sz w:val="24"/>
              </w:rPr>
              <w:t>除本项目必须要求的服务内容外，项目服务团队是否有其它增值服务。须提供增值服务承诺函，未提供的不得分。</w:t>
            </w:r>
          </w:p>
        </w:tc>
        <w:tc>
          <w:tcPr>
            <w:tcW w:w="795" w:type="dxa"/>
            <w:noWrap/>
            <w:vAlign w:val="center"/>
          </w:tcPr>
          <w:p>
            <w:pPr>
              <w:adjustRightInd/>
              <w:jc w:val="center"/>
              <w:rPr>
                <w:rFonts w:ascii="宋体" w:hAnsi="宋体" w:cs="宋体"/>
                <w:sz w:val="24"/>
                <w:lang w:val="zh-CN"/>
              </w:rPr>
            </w:pPr>
            <w:r>
              <w:rPr>
                <w:rFonts w:hint="eastAsia" w:ascii="宋体" w:hAnsi="宋体" w:cs="宋体"/>
                <w:sz w:val="24"/>
                <w:lang w:val="en-US" w:eastAsia="zh-CN"/>
              </w:rPr>
              <w:t>6</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76" w:type="dxa"/>
            <w:vMerge w:val="continue"/>
            <w:noWrap/>
            <w:vAlign w:val="center"/>
          </w:tcPr>
          <w:p>
            <w:pPr>
              <w:adjustRightInd/>
              <w:jc w:val="center"/>
              <w:rPr>
                <w:rFonts w:ascii="宋体" w:hAnsi="宋体" w:cs="宋体"/>
                <w:sz w:val="24"/>
              </w:rPr>
            </w:pPr>
          </w:p>
        </w:tc>
        <w:tc>
          <w:tcPr>
            <w:tcW w:w="1502" w:type="dxa"/>
            <w:vMerge w:val="continue"/>
            <w:noWrap/>
            <w:vAlign w:val="center"/>
          </w:tcPr>
          <w:p>
            <w:pPr>
              <w:adjustRightInd/>
              <w:jc w:val="center"/>
              <w:rPr>
                <w:rFonts w:ascii="宋体" w:hAnsi="宋体" w:cs="宋体"/>
                <w:sz w:val="24"/>
                <w:lang w:val="zh-CN"/>
              </w:rPr>
            </w:pPr>
          </w:p>
        </w:tc>
        <w:tc>
          <w:tcPr>
            <w:tcW w:w="6958" w:type="dxa"/>
            <w:noWrap/>
            <w:vAlign w:val="center"/>
          </w:tcPr>
          <w:p>
            <w:pPr>
              <w:rPr>
                <w:rFonts w:hint="eastAsia" w:ascii="宋体" w:hAnsi="宋体" w:eastAsia="宋体"/>
                <w:color w:val="000000"/>
                <w:sz w:val="24"/>
              </w:rPr>
            </w:pPr>
            <w:r>
              <w:rPr>
                <w:rFonts w:hint="eastAsia" w:ascii="宋体" w:hAnsi="宋体" w:eastAsia="宋体"/>
                <w:color w:val="000000"/>
                <w:sz w:val="24"/>
              </w:rPr>
              <w:t>项目服务团队是否针对本项目建立行之有效的内部管理考核机制，须提供内部管理考核机制的具体资料。</w:t>
            </w:r>
          </w:p>
        </w:tc>
        <w:tc>
          <w:tcPr>
            <w:tcW w:w="795" w:type="dxa"/>
            <w:noWrap/>
            <w:vAlign w:val="center"/>
          </w:tcPr>
          <w:p>
            <w:pPr>
              <w:adjustRightInd/>
              <w:jc w:val="center"/>
              <w:rPr>
                <w:rFonts w:ascii="宋体" w:hAnsi="宋体" w:cs="宋体"/>
                <w:sz w:val="24"/>
                <w:lang w:val="zh-CN"/>
              </w:rPr>
            </w:pPr>
            <w:r>
              <w:rPr>
                <w:rFonts w:hint="eastAsia" w:ascii="宋体" w:hAnsi="宋体" w:cs="宋体"/>
                <w:sz w:val="24"/>
                <w:lang w:val="en-US" w:eastAsia="zh-CN"/>
              </w:rPr>
              <w:t>6</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76" w:type="dxa"/>
            <w:vMerge w:val="restart"/>
            <w:noWrap/>
            <w:vAlign w:val="center"/>
          </w:tcPr>
          <w:p>
            <w:pPr>
              <w:adjustRightInd/>
              <w:jc w:val="center"/>
              <w:rPr>
                <w:rFonts w:hint="eastAsia" w:ascii="宋体" w:hAnsi="宋体" w:eastAsia="宋体" w:cs="宋体"/>
                <w:sz w:val="24"/>
                <w:lang w:val="en-US" w:eastAsia="zh-CN"/>
              </w:rPr>
            </w:pPr>
            <w:bookmarkStart w:id="399" w:name="_GoBack" w:colFirst="2" w:colLast="3"/>
            <w:r>
              <w:rPr>
                <w:rFonts w:hint="eastAsia" w:ascii="宋体" w:hAnsi="宋体" w:cs="宋体"/>
                <w:sz w:val="24"/>
                <w:lang w:val="en-US" w:eastAsia="zh-CN"/>
              </w:rPr>
              <w:t>3</w:t>
            </w:r>
          </w:p>
        </w:tc>
        <w:tc>
          <w:tcPr>
            <w:tcW w:w="1502" w:type="dxa"/>
            <w:vMerge w:val="restart"/>
            <w:noWrap/>
            <w:vAlign w:val="center"/>
          </w:tcPr>
          <w:p>
            <w:pPr>
              <w:adjustRightInd/>
              <w:jc w:val="center"/>
              <w:rPr>
                <w:rFonts w:hint="eastAsia" w:ascii="宋体" w:hAnsi="宋体" w:eastAsia="宋体" w:cs="宋体"/>
                <w:sz w:val="24"/>
                <w:lang w:val="zh-CN" w:eastAsia="zh-CN"/>
              </w:rPr>
            </w:pPr>
            <w:r>
              <w:rPr>
                <w:rFonts w:hint="eastAsia" w:ascii="宋体" w:hAnsi="宋体" w:cs="宋体"/>
                <w:sz w:val="24"/>
              </w:rPr>
              <w:t>拟投入本项目的团队成员能力情况</w:t>
            </w:r>
            <w:r>
              <w:rPr>
                <w:rFonts w:hint="eastAsia" w:ascii="宋体" w:hAnsi="宋体" w:cs="宋体"/>
                <w:sz w:val="24"/>
                <w:lang w:eastAsia="zh-CN"/>
              </w:rPr>
              <w:t>（</w:t>
            </w:r>
            <w:r>
              <w:rPr>
                <w:rFonts w:hint="eastAsia" w:ascii="宋体" w:hAnsi="宋体" w:cs="宋体"/>
                <w:sz w:val="24"/>
                <w:lang w:val="en-US" w:eastAsia="zh-CN"/>
              </w:rPr>
              <w:t>34分</w:t>
            </w:r>
            <w:r>
              <w:rPr>
                <w:rFonts w:hint="eastAsia" w:ascii="宋体" w:hAnsi="宋体" w:cs="宋体"/>
                <w:sz w:val="24"/>
                <w:lang w:eastAsia="zh-CN"/>
              </w:rPr>
              <w:t>）</w:t>
            </w:r>
          </w:p>
        </w:tc>
        <w:tc>
          <w:tcPr>
            <w:tcW w:w="6958" w:type="dxa"/>
            <w:noWrap/>
            <w:vAlign w:val="center"/>
          </w:tcPr>
          <w:p>
            <w:pPr>
              <w:rPr>
                <w:rFonts w:hint="eastAsia" w:ascii="宋体" w:hAnsi="宋体" w:eastAsia="宋体"/>
                <w:color w:val="000000"/>
                <w:sz w:val="24"/>
                <w:lang w:val="zh-CN"/>
              </w:rPr>
            </w:pPr>
            <w:r>
              <w:rPr>
                <w:rFonts w:hint="eastAsia" w:ascii="宋体" w:hAnsi="宋体" w:eastAsia="宋体"/>
                <w:color w:val="000000"/>
                <w:sz w:val="24"/>
              </w:rPr>
              <w:t>1.拟派项目负责人为一级律师或者具有高级及以上职称的</w:t>
            </w:r>
            <w:r>
              <w:rPr>
                <w:rFonts w:hint="eastAsia" w:ascii="宋体" w:hAnsi="宋体" w:eastAsia="宋体"/>
                <w:color w:val="000000"/>
                <w:sz w:val="24"/>
                <w:lang w:eastAsia="zh-CN"/>
              </w:rPr>
              <w:t>，</w:t>
            </w:r>
            <w:r>
              <w:rPr>
                <w:rFonts w:hint="eastAsia" w:ascii="宋体" w:hAnsi="宋体" w:eastAsia="宋体"/>
                <w:color w:val="000000"/>
                <w:sz w:val="24"/>
              </w:rPr>
              <w:t>得</w:t>
            </w:r>
            <w:r>
              <w:rPr>
                <w:rFonts w:hint="eastAsia" w:ascii="宋体" w:hAnsi="宋体" w:eastAsia="宋体"/>
                <w:color w:val="000000"/>
                <w:sz w:val="24"/>
                <w:lang w:val="en-US" w:eastAsia="zh-CN"/>
              </w:rPr>
              <w:t>5</w:t>
            </w:r>
            <w:r>
              <w:rPr>
                <w:rFonts w:hint="eastAsia" w:ascii="宋体" w:hAnsi="宋体" w:eastAsia="宋体"/>
                <w:color w:val="000000"/>
                <w:sz w:val="24"/>
              </w:rPr>
              <w:t>分；拟派项目负责人为二级律师或者具有副高级及以上职称的得3分；证明材料：有效的执业证书、职称证书、近三个月的社保证明。未按要求提供的不得分。</w:t>
            </w:r>
          </w:p>
        </w:tc>
        <w:tc>
          <w:tcPr>
            <w:tcW w:w="795" w:type="dxa"/>
            <w:noWrap/>
            <w:vAlign w:val="center"/>
          </w:tcPr>
          <w:p>
            <w:pPr>
              <w:adjustRightInd/>
              <w:jc w:val="center"/>
              <w:rPr>
                <w:rFonts w:ascii="宋体" w:hAnsi="宋体" w:cs="宋体"/>
                <w:sz w:val="24"/>
                <w:lang w:val="zh-CN"/>
              </w:rPr>
            </w:pPr>
            <w:r>
              <w:rPr>
                <w:rFonts w:hint="eastAsia" w:ascii="宋体" w:hAnsi="宋体" w:cs="宋体"/>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76" w:type="dxa"/>
            <w:vMerge w:val="continue"/>
            <w:noWrap/>
            <w:vAlign w:val="center"/>
          </w:tcPr>
          <w:p>
            <w:pPr>
              <w:adjustRightInd/>
              <w:jc w:val="left"/>
            </w:pPr>
          </w:p>
        </w:tc>
        <w:tc>
          <w:tcPr>
            <w:tcW w:w="1502" w:type="dxa"/>
            <w:vMerge w:val="continue"/>
            <w:noWrap/>
            <w:vAlign w:val="center"/>
          </w:tcPr>
          <w:p>
            <w:pPr>
              <w:adjustRightInd/>
              <w:jc w:val="left"/>
            </w:pPr>
          </w:p>
        </w:tc>
        <w:tc>
          <w:tcPr>
            <w:tcW w:w="6958" w:type="dxa"/>
            <w:noWrap/>
            <w:vAlign w:val="center"/>
          </w:tcPr>
          <w:p>
            <w:pPr>
              <w:rPr>
                <w:rFonts w:hint="eastAsia" w:ascii="宋体" w:hAnsi="宋体" w:eastAsia="宋体"/>
                <w:color w:val="000000"/>
                <w:sz w:val="24"/>
                <w:lang w:val="en-US" w:eastAsia="zh-CN"/>
              </w:rPr>
            </w:pPr>
            <w:r>
              <w:rPr>
                <w:rFonts w:hint="eastAsia" w:ascii="宋体" w:hAnsi="宋体" w:eastAsia="宋体"/>
                <w:color w:val="000000"/>
                <w:sz w:val="24"/>
              </w:rPr>
              <w:t>2.拟派团队成员中（除项目负责人外），被评为二级律师及以上或者具有副高级及以上职称的，每个得2分；被评为三级律师或者具有中级职称的，得1分；本项最高得</w:t>
            </w:r>
            <w:r>
              <w:rPr>
                <w:rFonts w:hint="eastAsia" w:ascii="宋体" w:hAnsi="宋体" w:eastAsia="宋体"/>
                <w:color w:val="000000"/>
                <w:sz w:val="24"/>
                <w:lang w:val="en-US" w:eastAsia="zh-CN"/>
              </w:rPr>
              <w:t>6</w:t>
            </w:r>
            <w:r>
              <w:rPr>
                <w:rFonts w:hint="eastAsia" w:ascii="宋体" w:hAnsi="宋体" w:eastAsia="宋体"/>
                <w:color w:val="000000"/>
                <w:sz w:val="24"/>
              </w:rPr>
              <w:t>分。证明材料：有效的执业证书、职称证书、近三个月的社保证明。未按要求提供的不得分。</w:t>
            </w:r>
          </w:p>
        </w:tc>
        <w:tc>
          <w:tcPr>
            <w:tcW w:w="795" w:type="dxa"/>
            <w:noWrap/>
            <w:vAlign w:val="center"/>
          </w:tcPr>
          <w:p>
            <w:pPr>
              <w:adjustRightInd/>
              <w:jc w:val="center"/>
              <w:rPr>
                <w:rFonts w:hint="default" w:ascii="宋体" w:hAnsi="宋体" w:cs="宋体"/>
                <w:sz w:val="24"/>
                <w:lang w:val="en-US" w:eastAsia="zh-CN"/>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76" w:type="dxa"/>
            <w:vMerge w:val="continue"/>
            <w:noWrap/>
            <w:vAlign w:val="center"/>
          </w:tcPr>
          <w:p>
            <w:pPr>
              <w:adjustRightInd/>
              <w:jc w:val="left"/>
              <w:rPr>
                <w:rFonts w:hint="eastAsia" w:ascii="宋体" w:hAnsi="宋体" w:cs="宋体"/>
                <w:sz w:val="24"/>
              </w:rPr>
            </w:pPr>
          </w:p>
        </w:tc>
        <w:tc>
          <w:tcPr>
            <w:tcW w:w="1502" w:type="dxa"/>
            <w:vMerge w:val="continue"/>
            <w:noWrap/>
            <w:vAlign w:val="center"/>
          </w:tcPr>
          <w:p>
            <w:pPr>
              <w:adjustRightInd/>
              <w:jc w:val="left"/>
              <w:rPr>
                <w:rFonts w:hint="eastAsia" w:ascii="宋体" w:hAnsi="宋体" w:cs="宋体"/>
                <w:sz w:val="24"/>
              </w:rPr>
            </w:pPr>
          </w:p>
        </w:tc>
        <w:tc>
          <w:tcPr>
            <w:tcW w:w="6958" w:type="dxa"/>
            <w:noWrap/>
            <w:vAlign w:val="center"/>
          </w:tcPr>
          <w:p>
            <w:pPr>
              <w:rPr>
                <w:rFonts w:hint="default" w:ascii="宋体" w:hAnsi="宋体" w:eastAsia="宋体"/>
                <w:color w:val="000000"/>
                <w:sz w:val="24"/>
                <w:lang w:val="en-US" w:eastAsia="zh-CN"/>
              </w:rPr>
            </w:pPr>
            <w:r>
              <w:rPr>
                <w:rFonts w:hint="eastAsia" w:ascii="宋体" w:hAnsi="宋体" w:eastAsia="宋体"/>
                <w:color w:val="000000"/>
                <w:sz w:val="24"/>
                <w:lang w:val="en-US" w:eastAsia="zh-CN"/>
              </w:rPr>
              <w:t>3.拟指派项目服务团队成员执业年限5年以上不低于50%的，得6分；服务团队成员执业年限5年以上30%-49%的，得3分；服务团队成员执业年限5年以上不足30%的，不得分。须提供团队成员律师证复印件，未提供的不得分。</w:t>
            </w:r>
          </w:p>
        </w:tc>
        <w:tc>
          <w:tcPr>
            <w:tcW w:w="795" w:type="dxa"/>
            <w:noWrap/>
            <w:vAlign w:val="center"/>
          </w:tcPr>
          <w:p>
            <w:pPr>
              <w:adjustRightInd/>
              <w:jc w:val="center"/>
              <w:rPr>
                <w:rFonts w:hint="default" w:ascii="宋体" w:hAnsi="宋体" w:cs="宋体"/>
                <w:sz w:val="24"/>
                <w:lang w:val="en-US" w:eastAsia="zh-CN"/>
              </w:rPr>
            </w:pPr>
            <w:r>
              <w:rPr>
                <w:rFonts w:hint="eastAsia" w:ascii="宋体" w:hAnsi="宋体" w:cs="宋体"/>
                <w:sz w:val="24"/>
                <w:lang w:val="en-US" w:eastAsia="zh-CN"/>
              </w:rPr>
              <w:t>6分</w:t>
            </w:r>
          </w:p>
        </w:tc>
      </w:tr>
      <w:bookmarkEnd w:id="3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6" w:type="dxa"/>
            <w:vMerge w:val="continue"/>
            <w:noWrap/>
            <w:vAlign w:val="center"/>
          </w:tcPr>
          <w:p>
            <w:pPr>
              <w:adjustRightInd/>
              <w:jc w:val="left"/>
              <w:rPr>
                <w:rFonts w:hint="eastAsia" w:ascii="宋体" w:hAnsi="宋体" w:cs="宋体"/>
                <w:sz w:val="24"/>
              </w:rPr>
            </w:pPr>
          </w:p>
        </w:tc>
        <w:tc>
          <w:tcPr>
            <w:tcW w:w="1502" w:type="dxa"/>
            <w:vMerge w:val="continue"/>
            <w:noWrap/>
            <w:vAlign w:val="center"/>
          </w:tcPr>
          <w:p>
            <w:pPr>
              <w:adjustRightInd/>
              <w:jc w:val="left"/>
              <w:rPr>
                <w:rFonts w:hint="eastAsia" w:ascii="宋体" w:hAnsi="宋体" w:cs="宋体"/>
                <w:sz w:val="24"/>
              </w:rPr>
            </w:pPr>
          </w:p>
        </w:tc>
        <w:tc>
          <w:tcPr>
            <w:tcW w:w="6958" w:type="dxa"/>
            <w:noWrap/>
            <w:vAlign w:val="center"/>
          </w:tcPr>
          <w:p>
            <w:pPr>
              <w:rPr>
                <w:rFonts w:hint="eastAsia" w:ascii="宋体" w:hAnsi="宋体" w:eastAsia="宋体"/>
                <w:color w:val="000000"/>
                <w:sz w:val="24"/>
              </w:rPr>
            </w:pPr>
            <w:r>
              <w:rPr>
                <w:rFonts w:hint="eastAsia" w:ascii="宋体" w:hAnsi="宋体" w:eastAsia="宋体"/>
                <w:color w:val="000000"/>
                <w:sz w:val="24"/>
                <w:lang w:val="en-US" w:eastAsia="zh-CN"/>
              </w:rPr>
              <w:t>4</w:t>
            </w:r>
            <w:r>
              <w:rPr>
                <w:rFonts w:hint="eastAsia" w:ascii="宋体" w:hAnsi="宋体" w:eastAsia="宋体"/>
                <w:color w:val="000000"/>
                <w:sz w:val="24"/>
              </w:rPr>
              <w:t>.拟派项目团队成员自202</w:t>
            </w:r>
            <w:r>
              <w:rPr>
                <w:rFonts w:hint="eastAsia" w:ascii="宋体" w:hAnsi="宋体" w:eastAsia="宋体"/>
                <w:color w:val="000000"/>
                <w:sz w:val="24"/>
                <w:lang w:val="en-US" w:eastAsia="zh-CN"/>
              </w:rPr>
              <w:t>1</w:t>
            </w:r>
            <w:r>
              <w:rPr>
                <w:rFonts w:hint="eastAsia" w:ascii="宋体" w:hAnsi="宋体" w:eastAsia="宋体"/>
                <w:color w:val="000000"/>
                <w:sz w:val="24"/>
              </w:rPr>
              <w:t>年1月1日起以承办律师身份担任过类似本项目法律顾问经验的，每提供1个服务合同得1分，最高得5分。证明材料：合同或中标通知书，如合同或中标通知书等材料无法证明其承办律师身份的，则应附加盖公章的业主证明，证明其业绩。</w:t>
            </w:r>
          </w:p>
        </w:tc>
        <w:tc>
          <w:tcPr>
            <w:tcW w:w="795" w:type="dxa"/>
            <w:noWrap/>
            <w:vAlign w:val="center"/>
          </w:tcPr>
          <w:p>
            <w:pPr>
              <w:adjustRightInd/>
              <w:jc w:val="center"/>
              <w:rPr>
                <w:rFonts w:hint="eastAsia" w:ascii="宋体" w:hAnsi="宋体" w:cs="宋体"/>
                <w:sz w:val="24"/>
                <w:lang w:val="en-US" w:eastAsia="zh-CN"/>
              </w:rPr>
            </w:pPr>
          </w:p>
          <w:p>
            <w:pPr>
              <w:adjustRightInd/>
              <w:jc w:val="center"/>
              <w:rPr>
                <w:rFonts w:hint="eastAsia" w:ascii="宋体" w:hAnsi="宋体" w:cs="宋体"/>
                <w:sz w:val="24"/>
                <w:lang w:val="en-US" w:eastAsia="zh-CN"/>
              </w:rPr>
            </w:pPr>
          </w:p>
          <w:p>
            <w:pPr>
              <w:adjustRightInd/>
              <w:jc w:val="center"/>
              <w:rPr>
                <w:rFonts w:hint="eastAsia" w:ascii="宋体" w:hAnsi="宋体" w:cs="宋体"/>
                <w:sz w:val="24"/>
                <w:lang w:val="en-US" w:eastAsia="zh-CN"/>
              </w:rPr>
            </w:pPr>
            <w:r>
              <w:rPr>
                <w:rFonts w:hint="eastAsia" w:ascii="宋体" w:hAnsi="宋体" w:cs="宋体"/>
                <w:sz w:val="24"/>
                <w:lang w:val="en-US" w:eastAsia="zh-CN"/>
              </w:rPr>
              <w:t>5分</w:t>
            </w:r>
          </w:p>
          <w:p>
            <w:pPr>
              <w:adjustRightInd/>
              <w:jc w:val="center"/>
              <w:rPr>
                <w:rFonts w:hint="eastAsia" w:ascii="宋体" w:hAnsi="宋体" w:cs="宋体"/>
                <w:sz w:val="24"/>
                <w:lang w:val="en-US" w:eastAsia="zh-CN"/>
              </w:rPr>
            </w:pPr>
          </w:p>
          <w:p>
            <w:pPr>
              <w:adjustRightInd/>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6" w:type="dxa"/>
            <w:vMerge w:val="continue"/>
            <w:noWrap/>
            <w:vAlign w:val="center"/>
          </w:tcPr>
          <w:p>
            <w:pPr>
              <w:adjustRightInd/>
              <w:jc w:val="left"/>
            </w:pPr>
          </w:p>
        </w:tc>
        <w:tc>
          <w:tcPr>
            <w:tcW w:w="1502" w:type="dxa"/>
            <w:vMerge w:val="continue"/>
            <w:noWrap/>
            <w:vAlign w:val="center"/>
          </w:tcPr>
          <w:p>
            <w:pPr>
              <w:adjustRightInd/>
              <w:jc w:val="left"/>
            </w:pPr>
          </w:p>
        </w:tc>
        <w:tc>
          <w:tcPr>
            <w:tcW w:w="6958" w:type="dxa"/>
            <w:noWrap/>
            <w:vAlign w:val="center"/>
          </w:tcPr>
          <w:p>
            <w:pPr>
              <w:rPr>
                <w:rFonts w:hint="eastAsia" w:ascii="宋体" w:hAnsi="宋体" w:eastAsia="宋体"/>
                <w:color w:val="000000"/>
                <w:sz w:val="24"/>
                <w:lang w:val="en-US" w:eastAsia="zh-CN"/>
              </w:rPr>
            </w:pPr>
            <w:r>
              <w:rPr>
                <w:rFonts w:hint="eastAsia" w:ascii="宋体" w:hAnsi="宋体" w:eastAsia="宋体"/>
                <w:color w:val="000000"/>
                <w:sz w:val="24"/>
                <w:lang w:val="en-US" w:eastAsia="zh-CN"/>
              </w:rPr>
              <w:t>5.</w:t>
            </w:r>
            <w:r>
              <w:rPr>
                <w:rFonts w:hint="eastAsia" w:ascii="宋体" w:hAnsi="宋体" w:eastAsia="宋体"/>
                <w:color w:val="000000"/>
                <w:sz w:val="24"/>
              </w:rPr>
              <w:t>项目服务团队</w:t>
            </w:r>
            <w:r>
              <w:rPr>
                <w:rFonts w:hint="eastAsia" w:ascii="宋体" w:hAnsi="宋体" w:eastAsia="宋体"/>
                <w:color w:val="000000"/>
                <w:sz w:val="24"/>
                <w:lang w:val="en-US" w:eastAsia="zh-CN"/>
              </w:rPr>
              <w:t>自2021年1月1日起</w:t>
            </w:r>
            <w:r>
              <w:rPr>
                <w:rFonts w:hint="eastAsia" w:ascii="宋体" w:hAnsi="宋体" w:eastAsia="宋体"/>
                <w:color w:val="000000"/>
                <w:sz w:val="24"/>
              </w:rPr>
              <w:t>为村、居、校提供法制审核、调解矛盾纠纷、</w:t>
            </w:r>
            <w:r>
              <w:rPr>
                <w:rFonts w:hint="eastAsia" w:ascii="宋体" w:hAnsi="宋体" w:eastAsia="宋体"/>
                <w:color w:val="000000"/>
                <w:sz w:val="24"/>
                <w:lang w:val="en-US" w:eastAsia="zh-CN"/>
              </w:rPr>
              <w:t>代办法律援助的、</w:t>
            </w:r>
            <w:r>
              <w:rPr>
                <w:rFonts w:hint="eastAsia" w:ascii="宋体" w:hAnsi="宋体" w:eastAsia="宋体"/>
                <w:color w:val="000000"/>
                <w:sz w:val="24"/>
              </w:rPr>
              <w:t>开展法治讲座等的，每次得1分，最高得1</w:t>
            </w:r>
            <w:r>
              <w:rPr>
                <w:rFonts w:hint="eastAsia" w:ascii="宋体" w:hAnsi="宋体" w:eastAsia="宋体"/>
                <w:color w:val="000000"/>
                <w:sz w:val="24"/>
                <w:lang w:val="en-US" w:eastAsia="zh-CN"/>
              </w:rPr>
              <w:t>2</w:t>
            </w:r>
            <w:r>
              <w:rPr>
                <w:rFonts w:hint="eastAsia" w:ascii="宋体" w:hAnsi="宋体" w:eastAsia="宋体"/>
                <w:color w:val="000000"/>
                <w:sz w:val="24"/>
              </w:rPr>
              <w:t>分</w:t>
            </w:r>
            <w:r>
              <w:rPr>
                <w:rFonts w:hint="eastAsia" w:ascii="宋体" w:hAnsi="宋体" w:eastAsia="宋体"/>
                <w:color w:val="000000"/>
                <w:sz w:val="24"/>
                <w:lang w:eastAsia="zh-CN"/>
              </w:rPr>
              <w:t>。</w:t>
            </w:r>
            <w:r>
              <w:rPr>
                <w:rFonts w:hint="eastAsia" w:ascii="宋体" w:hAnsi="宋体" w:eastAsia="宋体"/>
                <w:color w:val="000000"/>
                <w:sz w:val="24"/>
              </w:rPr>
              <w:t>须提供相关证明材料。</w:t>
            </w:r>
          </w:p>
        </w:tc>
        <w:tc>
          <w:tcPr>
            <w:tcW w:w="795" w:type="dxa"/>
            <w:noWrap/>
            <w:vAlign w:val="center"/>
          </w:tcPr>
          <w:p>
            <w:pPr>
              <w:adjustRightInd/>
              <w:jc w:val="center"/>
              <w:rPr>
                <w:rFonts w:hint="default" w:ascii="宋体" w:hAnsi="宋体" w:cs="宋体"/>
                <w:sz w:val="24"/>
                <w:lang w:val="en-US" w:eastAsia="zh-CN"/>
              </w:rPr>
            </w:pPr>
            <w:r>
              <w:rPr>
                <w:rFonts w:hint="eastAsia" w:ascii="宋体" w:hAnsi="宋体" w:cs="宋体"/>
                <w:sz w:val="24"/>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76" w:type="dxa"/>
            <w:noWrap/>
            <w:vAlign w:val="center"/>
          </w:tcPr>
          <w:p>
            <w:pPr>
              <w:adjustRightInd/>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1502" w:type="dxa"/>
            <w:noWrap/>
            <w:vAlign w:val="center"/>
          </w:tcPr>
          <w:p>
            <w:pPr>
              <w:adjustRightInd/>
              <w:jc w:val="center"/>
              <w:rPr>
                <w:rFonts w:hint="eastAsia" w:ascii="宋体" w:hAnsi="宋体" w:cs="宋体"/>
                <w:sz w:val="24"/>
              </w:rPr>
            </w:pPr>
            <w:r>
              <w:rPr>
                <w:rFonts w:hint="eastAsia" w:ascii="宋体" w:hAnsi="宋体" w:cs="宋体"/>
                <w:sz w:val="24"/>
              </w:rPr>
              <w:t>响应能力</w:t>
            </w:r>
          </w:p>
          <w:p>
            <w:pPr>
              <w:adjustRightInd/>
              <w:jc w:val="center"/>
              <w:rPr>
                <w:rFonts w:hint="eastAsia" w:ascii="宋体" w:hAnsi="宋体" w:eastAsia="宋体" w:cs="宋体"/>
                <w:kern w:val="2"/>
                <w:sz w:val="24"/>
                <w:szCs w:val="24"/>
                <w:lang w:val="en-US" w:eastAsia="zh-CN" w:bidi="ar-SA"/>
              </w:rPr>
            </w:pPr>
            <w:r>
              <w:rPr>
                <w:rFonts w:hint="eastAsia" w:ascii="宋体" w:hAnsi="宋体" w:cs="宋体"/>
                <w:sz w:val="24"/>
                <w:lang w:eastAsia="zh-CN"/>
              </w:rPr>
              <w:t>（</w:t>
            </w:r>
            <w:r>
              <w:rPr>
                <w:rFonts w:hint="eastAsia" w:ascii="宋体" w:hAnsi="宋体" w:cs="宋体"/>
                <w:sz w:val="24"/>
                <w:lang w:val="en-US" w:eastAsia="zh-CN"/>
              </w:rPr>
              <w:t>5分</w:t>
            </w:r>
            <w:r>
              <w:rPr>
                <w:rFonts w:hint="eastAsia" w:ascii="宋体" w:hAnsi="宋体" w:cs="宋体"/>
                <w:sz w:val="24"/>
                <w:lang w:eastAsia="zh-CN"/>
              </w:rPr>
              <w:t>）</w:t>
            </w:r>
          </w:p>
        </w:tc>
        <w:tc>
          <w:tcPr>
            <w:tcW w:w="6958" w:type="dxa"/>
            <w:noWrap/>
            <w:vAlign w:val="center"/>
          </w:tcPr>
          <w:p>
            <w:pPr>
              <w:rPr>
                <w:rFonts w:hint="eastAsia" w:ascii="宋体" w:hAnsi="宋体" w:eastAsia="宋体"/>
                <w:color w:val="000000"/>
                <w:sz w:val="24"/>
                <w:lang w:val="en-US" w:eastAsia="zh-CN"/>
              </w:rPr>
            </w:pPr>
            <w:r>
              <w:rPr>
                <w:rFonts w:hint="eastAsia" w:ascii="宋体" w:hAnsi="宋体" w:eastAsia="宋体"/>
                <w:color w:val="000000"/>
                <w:sz w:val="24"/>
              </w:rPr>
              <w:t>项目服务团队承诺自接到村、居、校群体性事件、重大伤亡事件、紧急类事件等法律服务需求后，2小时内到达服务现场提供服务的，得5分；超过2小时的，不得分。根据投标人能够响应的时间提供相应的承诺函，未提供的不得分。</w:t>
            </w:r>
          </w:p>
        </w:tc>
        <w:tc>
          <w:tcPr>
            <w:tcW w:w="795" w:type="dxa"/>
            <w:noWrap/>
            <w:vAlign w:val="center"/>
          </w:tcPr>
          <w:p>
            <w:pPr>
              <w:adjustRightInd/>
              <w:jc w:val="center"/>
              <w:rPr>
                <w:rFonts w:hint="eastAsia" w:ascii="宋体" w:hAnsi="宋体" w:cs="宋体"/>
                <w:sz w:val="24"/>
                <w:lang w:val="en-US" w:eastAsia="zh-CN"/>
              </w:rPr>
            </w:pPr>
            <w:r>
              <w:rPr>
                <w:rFonts w:hint="eastAsia" w:ascii="宋体" w:hAnsi="宋体" w:cs="宋体"/>
                <w:sz w:val="24"/>
                <w:lang w:val="zh-CN"/>
              </w:rPr>
              <w:t>5分</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tbl>
      <w:tblPr>
        <w:tblStyle w:val="63"/>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00"/>
        <w:gridCol w:w="696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89" w:type="dxa"/>
            <w:gridSpan w:val="4"/>
            <w:noWrap/>
            <w:vAlign w:val="center"/>
          </w:tcPr>
          <w:p>
            <w:pPr>
              <w:adjustRightInd/>
              <w:rPr>
                <w:rFonts w:ascii="宋体" w:hAnsi="宋体" w:cs="宋体"/>
                <w:sz w:val="24"/>
              </w:rPr>
            </w:pPr>
            <w:r>
              <w:rPr>
                <w:rFonts w:hint="eastAsia" w:ascii="宋体" w:hAnsi="宋体" w:cs="宋体"/>
                <w:b/>
                <w:bCs/>
                <w:sz w:val="24"/>
              </w:rPr>
              <w:t>报价文件部分（</w:t>
            </w:r>
            <w:r>
              <w:rPr>
                <w:rFonts w:hint="eastAsia" w:ascii="宋体" w:hAnsi="宋体" w:cs="宋体"/>
                <w:b/>
                <w:bCs/>
                <w:sz w:val="24"/>
                <w:lang w:val="en-US" w:eastAsia="zh-CN"/>
              </w:rPr>
              <w:t>2</w:t>
            </w:r>
            <w:r>
              <w:rPr>
                <w:rFonts w:hint="eastAsia" w:ascii="宋体" w:hAnsi="宋体" w:cs="宋体"/>
                <w:b/>
                <w:bCs/>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7" w:type="dxa"/>
            <w:noWrap/>
            <w:vAlign w:val="center"/>
          </w:tcPr>
          <w:p>
            <w:pPr>
              <w:adjustRightInd/>
              <w:jc w:val="center"/>
              <w:rPr>
                <w:rFonts w:ascii="宋体" w:hAnsi="宋体" w:cs="宋体"/>
                <w:sz w:val="24"/>
              </w:rPr>
            </w:pPr>
            <w:r>
              <w:rPr>
                <w:rFonts w:hint="eastAsia" w:ascii="宋体" w:hAnsi="宋体" w:cs="宋体"/>
                <w:b/>
                <w:bCs/>
                <w:sz w:val="24"/>
              </w:rPr>
              <w:t>序号</w:t>
            </w:r>
          </w:p>
        </w:tc>
        <w:tc>
          <w:tcPr>
            <w:tcW w:w="1500" w:type="dxa"/>
            <w:noWrap/>
            <w:vAlign w:val="center"/>
          </w:tcPr>
          <w:p>
            <w:pPr>
              <w:adjustRightInd/>
              <w:jc w:val="center"/>
              <w:rPr>
                <w:rFonts w:ascii="宋体" w:hAnsi="宋体" w:cs="宋体"/>
                <w:sz w:val="24"/>
                <w:lang w:val="zh-CN"/>
              </w:rPr>
            </w:pPr>
            <w:r>
              <w:rPr>
                <w:rFonts w:hint="eastAsia" w:ascii="宋体" w:hAnsi="宋体" w:cs="宋体"/>
                <w:b/>
                <w:bCs/>
                <w:sz w:val="24"/>
              </w:rPr>
              <w:t>评标内容</w:t>
            </w:r>
          </w:p>
        </w:tc>
        <w:tc>
          <w:tcPr>
            <w:tcW w:w="6960" w:type="dxa"/>
            <w:noWrap/>
            <w:vAlign w:val="center"/>
          </w:tcPr>
          <w:p>
            <w:pPr>
              <w:adjustRightInd/>
              <w:jc w:val="center"/>
              <w:rPr>
                <w:rFonts w:ascii="宋体" w:hAnsi="宋体" w:cs="宋体"/>
                <w:sz w:val="24"/>
                <w:lang w:val="zh-CN"/>
              </w:rPr>
            </w:pPr>
            <w:r>
              <w:rPr>
                <w:rFonts w:hint="eastAsia" w:ascii="宋体" w:hAnsi="宋体" w:cs="宋体"/>
                <w:b/>
                <w:bCs/>
                <w:sz w:val="24"/>
              </w:rPr>
              <w:t>评标标准</w:t>
            </w:r>
          </w:p>
        </w:tc>
        <w:tc>
          <w:tcPr>
            <w:tcW w:w="822" w:type="dxa"/>
            <w:noWrap/>
            <w:vAlign w:val="center"/>
          </w:tcPr>
          <w:p>
            <w:pPr>
              <w:adjustRightInd/>
              <w:jc w:val="center"/>
              <w:rPr>
                <w:rFonts w:ascii="宋体" w:hAnsi="宋体" w:cs="宋体"/>
                <w:sz w:val="24"/>
              </w:rPr>
            </w:pPr>
            <w:r>
              <w:rPr>
                <w:rFonts w:hint="eastAsia" w:ascii="宋体" w:hAnsi="宋体" w:cs="宋体"/>
                <w:b/>
                <w:bCs/>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07" w:type="dxa"/>
            <w:noWrap/>
            <w:vAlign w:val="center"/>
          </w:tcPr>
          <w:p>
            <w:pPr>
              <w:adjustRightInd/>
              <w:jc w:val="center"/>
              <w:rPr>
                <w:rFonts w:ascii="宋体" w:hAnsi="宋体" w:cs="宋体"/>
                <w:sz w:val="24"/>
              </w:rPr>
            </w:pPr>
            <w:r>
              <w:rPr>
                <w:rFonts w:hint="eastAsia" w:ascii="宋体" w:hAnsi="宋体" w:cs="宋体"/>
                <w:sz w:val="24"/>
              </w:rPr>
              <w:t>1</w:t>
            </w:r>
          </w:p>
        </w:tc>
        <w:tc>
          <w:tcPr>
            <w:tcW w:w="1500" w:type="dxa"/>
            <w:noWrap/>
            <w:vAlign w:val="center"/>
          </w:tcPr>
          <w:p>
            <w:pPr>
              <w:adjustRightInd/>
              <w:jc w:val="center"/>
              <w:rPr>
                <w:rFonts w:ascii="宋体" w:hAnsi="宋体" w:cs="宋体"/>
                <w:sz w:val="24"/>
              </w:rPr>
            </w:pPr>
            <w:r>
              <w:rPr>
                <w:rFonts w:hint="eastAsia" w:ascii="宋体" w:hAnsi="宋体" w:cs="宋体"/>
                <w:sz w:val="24"/>
                <w:lang w:val="zh-CN"/>
              </w:rPr>
              <w:t>报价</w:t>
            </w:r>
          </w:p>
        </w:tc>
        <w:tc>
          <w:tcPr>
            <w:tcW w:w="6960" w:type="dxa"/>
            <w:noWrap/>
            <w:vAlign w:val="center"/>
          </w:tcPr>
          <w:p>
            <w:pPr>
              <w:adjustRightInd/>
              <w:rPr>
                <w:rFonts w:ascii="宋体" w:hAnsi="宋体" w:cs="宋体"/>
                <w:sz w:val="24"/>
                <w:lang w:val="zh-CN"/>
              </w:rPr>
            </w:pPr>
            <w:r>
              <w:rPr>
                <w:rFonts w:hint="eastAsia" w:ascii="宋体" w:hAnsi="宋体" w:cs="宋体"/>
                <w:sz w:val="24"/>
                <w:lang w:val="zh-CN"/>
              </w:rPr>
              <w:t>有效投标报价的最低价作为评标基准价，其最低报价为满分；按［投标报价得分=（评标基准价/投标报价）*</w:t>
            </w:r>
            <w:r>
              <w:rPr>
                <w:rFonts w:hint="eastAsia" w:ascii="宋体" w:hAnsi="宋体" w:cs="宋体"/>
                <w:sz w:val="24"/>
                <w:lang w:val="en-US" w:eastAsia="zh-CN"/>
              </w:rPr>
              <w:t>2</w:t>
            </w:r>
            <w:r>
              <w:rPr>
                <w:rFonts w:hint="eastAsia" w:ascii="宋体" w:hAnsi="宋体" w:cs="宋体"/>
                <w:sz w:val="24"/>
              </w:rPr>
              <w:t>0</w:t>
            </w:r>
            <w:r>
              <w:rPr>
                <w:rFonts w:hint="eastAsia" w:ascii="宋体" w:hAnsi="宋体" w:cs="宋体"/>
                <w:sz w:val="24"/>
                <w:lang w:val="zh-CN"/>
              </w:rPr>
              <w:t>］的计算公式计算。</w:t>
            </w:r>
          </w:p>
          <w:p>
            <w:pPr>
              <w:adjustRightInd/>
              <w:rPr>
                <w:rFonts w:ascii="宋体" w:hAnsi="宋体" w:cs="宋体"/>
                <w:sz w:val="24"/>
                <w:lang w:val="zh-CN"/>
              </w:rPr>
            </w:pPr>
            <w:r>
              <w:rPr>
                <w:rFonts w:hint="eastAsia" w:ascii="宋体" w:hAnsi="宋体" w:cs="宋体"/>
                <w:sz w:val="24"/>
                <w:lang w:val="zh-CN"/>
              </w:rPr>
              <w:t>评标过程中，不得去掉报价中的最高报价和最低报价。</w:t>
            </w:r>
          </w:p>
          <w:p>
            <w:pPr>
              <w:adjustRightInd/>
              <w:rPr>
                <w:rFonts w:ascii="宋体" w:hAnsi="宋体" w:cs="宋体"/>
                <w:sz w:val="24"/>
                <w:lang w:val="zh-CN"/>
              </w:rPr>
            </w:pPr>
            <w:r>
              <w:rPr>
                <w:rFonts w:hint="eastAsia" w:ascii="宋体" w:hAnsi="宋体" w:cs="宋体"/>
                <w:sz w:val="24"/>
                <w:lang w:val="zh-CN"/>
              </w:rPr>
              <w:t>因落实政府采购政策需要进行价格调整的，以调整后的价格计算评标基准价和投标报价。</w:t>
            </w:r>
          </w:p>
        </w:tc>
        <w:tc>
          <w:tcPr>
            <w:tcW w:w="822" w:type="dxa"/>
            <w:noWrap/>
            <w:vAlign w:val="center"/>
          </w:tcPr>
          <w:p>
            <w:pPr>
              <w:adjustRightInd/>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0分</w:t>
            </w:r>
          </w:p>
        </w:tc>
      </w:tr>
    </w:tbl>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70" w:firstLineChars="196"/>
        <w:rPr>
          <w:rFonts w:hint="default" w:ascii="宋体" w:hAnsi="宋体" w:eastAsia="宋体" w:cs="宋体"/>
          <w:b/>
          <w:sz w:val="32"/>
          <w:lang w:val="en-US" w:eastAsia="zh-CN"/>
        </w:rPr>
      </w:pPr>
      <w:r>
        <w:rPr>
          <w:rFonts w:hint="eastAsia" w:ascii="宋体" w:hAnsi="宋体" w:cs="宋体"/>
          <w:color w:val="FF0000"/>
          <w:kern w:val="0"/>
          <w:sz w:val="24"/>
          <w:highlight w:val="yellow"/>
          <w:lang w:eastAsia="zh-CN"/>
        </w:rPr>
        <w:t>注：投标人可以参加任何一个标项的投标，但一个投标人只能中其中一个标项，且按1-5的标项顺序评审及推荐中标候选人，任意一个标项的中标候选人均不得再被推荐为其他标项的中标候选人。</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24"/>
    <w:p>
      <w:pPr>
        <w:spacing w:line="360" w:lineRule="auto"/>
        <w:outlineLvl w:val="0"/>
        <w:rPr>
          <w:rFonts w:ascii="宋体" w:hAnsi="宋体" w:cs="宋体"/>
          <w:b/>
          <w:sz w:val="36"/>
          <w:szCs w:val="36"/>
        </w:rPr>
      </w:pPr>
      <w:bookmarkStart w:id="390" w:name="第五部分"/>
      <w:bookmarkStart w:id="391" w:name="_Toc86217003"/>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（仅供参考，具体以合同签订为准）</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rPr>
          <w:rFonts w:ascii="宋体" w:hAnsi="宋体" w:cs="宋体"/>
          <w:szCs w:val="24"/>
        </w:rPr>
      </w:pPr>
    </w:p>
    <w:p>
      <w:pPr>
        <w:pStyle w:val="700"/>
        <w:ind w:left="0" w:leftChars="0" w:firstLine="0" w:firstLineChars="0"/>
        <w:rPr>
          <w:rFonts w:ascii="宋体" w:hAnsi="宋体" w:cs="宋体"/>
          <w:szCs w:val="24"/>
        </w:rPr>
      </w:pP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40" w:right="1417" w:bottom="1440" w:left="1417" w:header="851" w:footer="850" w:gutter="0"/>
          <w:cols w:space="0" w:num="1"/>
        </w:sectPr>
      </w:pP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   </w:t>
      </w:r>
      <w:r>
        <w:rPr>
          <w:rFonts w:hint="eastAsia" w:ascii="宋体" w:hAnsi="宋体" w:cs="宋体"/>
          <w:sz w:val="24"/>
        </w:rPr>
        <w:t>项目进行了采购。经评定，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rPr>
          <w:rFonts w:ascii="宋体" w:hAnsi="宋体" w:cs="宋体"/>
          <w:b/>
          <w:spacing w:val="-6"/>
          <w:sz w:val="24"/>
        </w:rPr>
      </w:pPr>
      <w:r>
        <w:rPr>
          <w:rFonts w:hint="eastAsia" w:ascii="宋体" w:hAnsi="宋体" w:cs="宋体"/>
          <w:b/>
          <w:spacing w:val="-6"/>
          <w:sz w:val="24"/>
        </w:rPr>
        <w:t>第一条：服务内容</w:t>
      </w:r>
    </w:p>
    <w:p>
      <w:pPr>
        <w:spacing w:line="360" w:lineRule="auto"/>
        <w:ind w:firstLine="456" w:firstLineChars="200"/>
        <w:rPr>
          <w:rFonts w:ascii="宋体" w:hAnsi="宋体" w:cs="宋体"/>
          <w:bCs/>
          <w:spacing w:val="-6"/>
          <w:sz w:val="24"/>
        </w:rPr>
      </w:pPr>
      <w:r>
        <w:rPr>
          <w:rFonts w:hint="eastAsia" w:ascii="宋体" w:hAnsi="宋体" w:cs="宋体"/>
          <w:bCs/>
          <w:spacing w:val="-6"/>
          <w:sz w:val="24"/>
        </w:rPr>
        <w:t>........</w:t>
      </w:r>
    </w:p>
    <w:p>
      <w:pPr>
        <w:spacing w:line="360" w:lineRule="auto"/>
        <w:rPr>
          <w:rFonts w:ascii="宋体" w:hAnsi="宋体" w:cs="宋体"/>
          <w:b/>
          <w:spacing w:val="-6"/>
          <w:sz w:val="24"/>
        </w:rPr>
      </w:pPr>
      <w:r>
        <w:rPr>
          <w:rFonts w:hint="eastAsia" w:ascii="宋体" w:hAnsi="宋体" w:cs="宋体"/>
          <w:b/>
          <w:spacing w:val="-6"/>
          <w:sz w:val="24"/>
        </w:rPr>
        <w:t>第二条：服务期限</w:t>
      </w:r>
    </w:p>
    <w:p>
      <w:pPr>
        <w:spacing w:line="360" w:lineRule="auto"/>
        <w:ind w:firstLine="456" w:firstLineChars="200"/>
        <w:rPr>
          <w:rFonts w:ascii="宋体" w:hAnsi="宋体" w:cs="宋体"/>
          <w:bCs/>
          <w:spacing w:val="-6"/>
          <w:sz w:val="24"/>
        </w:rPr>
      </w:pPr>
      <w:r>
        <w:rPr>
          <w:rFonts w:hint="eastAsia" w:ascii="宋体" w:hAnsi="宋体" w:cs="宋体"/>
          <w:bCs/>
          <w:spacing w:val="-6"/>
          <w:sz w:val="24"/>
        </w:rPr>
        <w:t xml:space="preserve">本合同有效期限自 </w:t>
      </w:r>
      <w:r>
        <w:rPr>
          <w:rFonts w:hint="eastAsia" w:ascii="宋体" w:hAnsi="宋体" w:cs="宋体"/>
          <w:bCs/>
          <w:spacing w:val="-6"/>
          <w:sz w:val="24"/>
        </w:rPr>
        <w:tab/>
      </w:r>
      <w:r>
        <w:rPr>
          <w:rFonts w:hint="eastAsia" w:ascii="宋体" w:hAnsi="宋体" w:cs="宋体"/>
          <w:bCs/>
          <w:spacing w:val="-6"/>
          <w:sz w:val="24"/>
        </w:rPr>
        <w:t>年  月   日至  年 月  日。</w:t>
      </w:r>
    </w:p>
    <w:p>
      <w:pPr>
        <w:spacing w:line="360" w:lineRule="auto"/>
        <w:rPr>
          <w:rFonts w:ascii="宋体" w:hAnsi="宋体" w:cs="宋体"/>
          <w:b/>
          <w:spacing w:val="-6"/>
          <w:sz w:val="24"/>
        </w:rPr>
      </w:pPr>
      <w:r>
        <w:rPr>
          <w:rFonts w:hint="eastAsia" w:ascii="宋体" w:hAnsi="宋体" w:cs="宋体"/>
          <w:b/>
          <w:spacing w:val="-6"/>
          <w:sz w:val="24"/>
        </w:rPr>
        <w:t>第三条：合同金额</w:t>
      </w:r>
    </w:p>
    <w:p>
      <w:pPr>
        <w:spacing w:line="360" w:lineRule="auto"/>
        <w:ind w:firstLine="480" w:firstLineChars="200"/>
        <w:rPr>
          <w:rFonts w:ascii="宋体" w:hAnsi="宋体" w:cs="宋体"/>
          <w:b/>
          <w:spacing w:val="-6"/>
          <w:sz w:val="24"/>
        </w:rPr>
      </w:pPr>
      <w:r>
        <w:rPr>
          <w:rFonts w:hint="eastAsia" w:ascii="宋体" w:hAnsi="宋体" w:cs="宋体"/>
          <w:sz w:val="24"/>
        </w:rPr>
        <w:t>本合同金额为（大写）：_____________元（￥_________元）人民币。</w:t>
      </w:r>
    </w:p>
    <w:p>
      <w:pPr>
        <w:spacing w:line="360" w:lineRule="auto"/>
        <w:rPr>
          <w:rFonts w:ascii="宋体" w:hAnsi="宋体" w:cs="宋体"/>
          <w:b/>
          <w:spacing w:val="-6"/>
          <w:sz w:val="24"/>
        </w:rPr>
      </w:pPr>
      <w:r>
        <w:rPr>
          <w:rFonts w:hint="eastAsia" w:ascii="宋体" w:hAnsi="宋体" w:cs="宋体"/>
          <w:b/>
          <w:spacing w:val="-6"/>
          <w:sz w:val="24"/>
        </w:rPr>
        <w:t>第四条：付款方式：</w:t>
      </w:r>
    </w:p>
    <w:p>
      <w:pPr>
        <w:spacing w:line="360" w:lineRule="auto"/>
        <w:ind w:firstLine="480" w:firstLineChars="200"/>
        <w:rPr>
          <w:rFonts w:ascii="宋体" w:hAnsi="宋体" w:cs="宋体"/>
          <w:sz w:val="24"/>
        </w:rPr>
      </w:pPr>
      <w:r>
        <w:rPr>
          <w:rFonts w:hint="eastAsia" w:ascii="宋体" w:hAnsi="宋体" w:cs="宋体"/>
          <w:sz w:val="24"/>
        </w:rPr>
        <w:t>付款方式：</w:t>
      </w:r>
    </w:p>
    <w:p>
      <w:pPr>
        <w:spacing w:line="360" w:lineRule="auto"/>
        <w:ind w:firstLine="480" w:firstLineChars="200"/>
        <w:rPr>
          <w:rFonts w:ascii="宋体" w:hAnsi="宋体" w:cs="宋体"/>
          <w:sz w:val="24"/>
        </w:rPr>
      </w:pPr>
      <w:r>
        <w:rPr>
          <w:rFonts w:hint="eastAsia" w:ascii="宋体" w:hAnsi="宋体" w:cs="宋体"/>
          <w:sz w:val="24"/>
        </w:rPr>
        <w:t>履约保证金（选用）：合同总价的0.1%作为履约保证金，签定合同后7个工作日内由中标人交入采购人帐户，自合同签订服务开始履行后至服务期结束采购人无质量问题索赔和售后服务问题，经采购人确认，由采购人无息退回中标人。</w:t>
      </w:r>
    </w:p>
    <w:p>
      <w:pPr>
        <w:spacing w:line="360" w:lineRule="auto"/>
        <w:ind w:firstLine="240" w:firstLineChars="100"/>
        <w:rPr>
          <w:rFonts w:ascii="宋体" w:hAnsi="宋体" w:cs="宋体"/>
          <w:sz w:val="24"/>
        </w:rPr>
      </w:pPr>
      <w:r>
        <w:rPr>
          <w:rFonts w:hint="eastAsia" w:ascii="宋体" w:hAnsi="宋体" w:cs="宋体"/>
          <w:sz w:val="24"/>
        </w:rPr>
        <w:t>乙方开户行名称：_____________________</w:t>
      </w:r>
    </w:p>
    <w:p>
      <w:pPr>
        <w:spacing w:line="360" w:lineRule="auto"/>
        <w:ind w:firstLine="240" w:firstLineChars="100"/>
        <w:rPr>
          <w:rFonts w:ascii="宋体" w:hAnsi="宋体" w:cs="宋体"/>
          <w:sz w:val="24"/>
        </w:rPr>
      </w:pPr>
      <w:r>
        <w:rPr>
          <w:rFonts w:hint="eastAsia" w:ascii="宋体" w:hAnsi="宋体" w:cs="宋体"/>
          <w:sz w:val="24"/>
        </w:rPr>
        <w:t>开户行账号：_________________________</w:t>
      </w:r>
    </w:p>
    <w:p>
      <w:pPr>
        <w:spacing w:line="360" w:lineRule="auto"/>
        <w:rPr>
          <w:rFonts w:ascii="宋体" w:hAnsi="宋体" w:cs="宋体"/>
          <w:b/>
          <w:spacing w:val="-6"/>
          <w:sz w:val="24"/>
        </w:rPr>
      </w:pPr>
      <w:r>
        <w:rPr>
          <w:rFonts w:hint="eastAsia" w:ascii="宋体" w:hAnsi="宋体" w:cs="宋体"/>
          <w:b/>
          <w:spacing w:val="-6"/>
          <w:sz w:val="24"/>
        </w:rPr>
        <w:t>第无条：转包或分包</w:t>
      </w:r>
    </w:p>
    <w:p>
      <w:pPr>
        <w:spacing w:line="360" w:lineRule="auto"/>
        <w:ind w:firstLine="480" w:firstLineChars="200"/>
        <w:rPr>
          <w:rFonts w:ascii="宋体" w:hAnsi="宋体" w:cs="宋体"/>
          <w:sz w:val="24"/>
        </w:rPr>
      </w:pPr>
      <w:r>
        <w:rPr>
          <w:rFonts w:hint="eastAsia" w:ascii="宋体" w:hAnsi="宋体" w:cs="宋体"/>
          <w:sz w:val="24"/>
        </w:rPr>
        <w:t>1.本合同范围的服务，应由乙方直接供应，不得转让他人供应；</w:t>
      </w:r>
    </w:p>
    <w:p>
      <w:pPr>
        <w:spacing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2.除非得到甲方的书面同意，乙方不得将本合同范围的服务全部或部分分包给他人供应；</w:t>
      </w:r>
    </w:p>
    <w:p>
      <w:pPr>
        <w:spacing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pPr>
        <w:spacing w:line="360" w:lineRule="auto"/>
        <w:rPr>
          <w:rFonts w:ascii="宋体" w:hAnsi="宋体" w:cs="宋体"/>
          <w:b/>
          <w:spacing w:val="-6"/>
          <w:sz w:val="24"/>
        </w:rPr>
      </w:pPr>
      <w:r>
        <w:rPr>
          <w:rFonts w:hint="eastAsia" w:ascii="宋体" w:hAnsi="宋体" w:cs="宋体"/>
          <w:b/>
          <w:spacing w:val="-6"/>
          <w:sz w:val="24"/>
        </w:rPr>
        <w:t>第六条：合同履行时间、履行方式及履行地点</w:t>
      </w:r>
    </w:p>
    <w:p>
      <w:pPr>
        <w:spacing w:line="360" w:lineRule="auto"/>
        <w:ind w:firstLine="480" w:firstLineChars="200"/>
        <w:rPr>
          <w:rFonts w:ascii="宋体" w:hAnsi="宋体" w:cs="宋体"/>
          <w:sz w:val="24"/>
        </w:rPr>
      </w:pPr>
      <w:r>
        <w:rPr>
          <w:rFonts w:hint="eastAsia" w:ascii="宋体" w:hAnsi="宋体" w:cs="宋体"/>
          <w:sz w:val="24"/>
        </w:rPr>
        <w:t>1.履行时间：</w:t>
      </w:r>
    </w:p>
    <w:p>
      <w:pPr>
        <w:spacing w:line="360" w:lineRule="auto"/>
        <w:ind w:firstLine="480" w:firstLineChars="200"/>
        <w:rPr>
          <w:rFonts w:ascii="宋体" w:hAnsi="宋体" w:cs="宋体"/>
          <w:sz w:val="24"/>
        </w:rPr>
      </w:pPr>
      <w:r>
        <w:rPr>
          <w:rFonts w:hint="eastAsia" w:ascii="宋体" w:hAnsi="宋体" w:cs="宋体"/>
          <w:sz w:val="24"/>
        </w:rPr>
        <w:t>2.履行方式：</w:t>
      </w:r>
    </w:p>
    <w:p>
      <w:pPr>
        <w:spacing w:line="360" w:lineRule="auto"/>
        <w:ind w:firstLine="480" w:firstLineChars="200"/>
        <w:rPr>
          <w:rFonts w:ascii="宋体" w:hAnsi="宋体" w:cs="宋体"/>
          <w:sz w:val="24"/>
        </w:rPr>
      </w:pPr>
      <w:r>
        <w:rPr>
          <w:rFonts w:hint="eastAsia" w:ascii="宋体" w:hAnsi="宋体" w:cs="宋体"/>
          <w:sz w:val="24"/>
        </w:rPr>
        <w:t>3.履行地点：</w:t>
      </w:r>
    </w:p>
    <w:p>
      <w:pPr>
        <w:spacing w:line="360" w:lineRule="auto"/>
        <w:rPr>
          <w:rFonts w:ascii="宋体" w:hAnsi="宋体" w:cs="宋体"/>
          <w:b/>
          <w:spacing w:val="-6"/>
          <w:sz w:val="24"/>
        </w:rPr>
      </w:pPr>
      <w:r>
        <w:rPr>
          <w:rFonts w:hint="eastAsia" w:ascii="宋体" w:hAnsi="宋体" w:cs="宋体"/>
          <w:b/>
          <w:spacing w:val="-6"/>
          <w:sz w:val="24"/>
        </w:rPr>
        <w:t>第七条：税费</w:t>
      </w:r>
    </w:p>
    <w:p>
      <w:pPr>
        <w:spacing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pPr>
        <w:spacing w:line="360" w:lineRule="auto"/>
        <w:rPr>
          <w:rFonts w:ascii="宋体" w:hAnsi="宋体" w:cs="宋体"/>
          <w:b/>
          <w:spacing w:val="-6"/>
          <w:sz w:val="24"/>
        </w:rPr>
      </w:pPr>
      <w:r>
        <w:rPr>
          <w:rFonts w:hint="eastAsia" w:ascii="宋体" w:hAnsi="宋体" w:cs="宋体"/>
          <w:b/>
          <w:spacing w:val="-6"/>
          <w:sz w:val="24"/>
        </w:rPr>
        <w:t>第八条：</w:t>
      </w:r>
      <w:r>
        <w:rPr>
          <w:rFonts w:hint="eastAsia" w:ascii="宋体" w:hAnsi="宋体" w:cs="宋体"/>
          <w:b/>
          <w:spacing w:val="-6"/>
          <w:sz w:val="24"/>
          <w:lang w:val="zh-CN"/>
        </w:rPr>
        <w:t>甲方的责任与义务</w:t>
      </w:r>
    </w:p>
    <w:p>
      <w:pPr>
        <w:spacing w:line="360" w:lineRule="auto"/>
        <w:ind w:firstLine="480" w:firstLineChars="200"/>
        <w:rPr>
          <w:rFonts w:ascii="宋体" w:hAnsi="宋体" w:cs="宋体"/>
          <w:sz w:val="24"/>
        </w:rPr>
      </w:pPr>
      <w:r>
        <w:rPr>
          <w:rFonts w:hint="eastAsia" w:ascii="宋体" w:hAnsi="宋体" w:cs="宋体"/>
          <w:sz w:val="24"/>
        </w:rPr>
        <w:t>甲方应当主要负责项目的所有外部关系的联系与协调，为乙方工作提供良好的外部条件。</w:t>
      </w:r>
    </w:p>
    <w:p>
      <w:pPr>
        <w:spacing w:line="360" w:lineRule="auto"/>
        <w:ind w:firstLine="480" w:firstLineChars="200"/>
        <w:rPr>
          <w:rFonts w:ascii="宋体" w:hAnsi="宋体" w:cs="宋体"/>
          <w:sz w:val="24"/>
        </w:rPr>
      </w:pPr>
      <w:r>
        <w:rPr>
          <w:rFonts w:hint="eastAsia" w:ascii="宋体" w:hAnsi="宋体" w:cs="宋体"/>
          <w:sz w:val="24"/>
        </w:rPr>
        <w:t>甲方应当按双方约定的内容和时间，向乙方提供与项目有关的资料。</w:t>
      </w:r>
    </w:p>
    <w:p>
      <w:pPr>
        <w:spacing w:line="360" w:lineRule="auto"/>
        <w:ind w:firstLine="480" w:firstLineChars="200"/>
        <w:rPr>
          <w:rFonts w:ascii="宋体" w:hAnsi="宋体" w:cs="宋体"/>
          <w:sz w:val="24"/>
        </w:rPr>
      </w:pPr>
      <w:r>
        <w:rPr>
          <w:rFonts w:hint="eastAsia" w:ascii="宋体" w:hAnsi="宋体" w:cs="宋体"/>
          <w:sz w:val="24"/>
        </w:rPr>
        <w:t>甲方应授权一名熟悉本项目情况、能迅速做出决定的项目代表，负责与乙方联系。更换代表，要提前通知乙方。</w:t>
      </w:r>
    </w:p>
    <w:p>
      <w:pPr>
        <w:spacing w:line="360" w:lineRule="auto"/>
        <w:ind w:firstLine="480" w:firstLineChars="200"/>
        <w:rPr>
          <w:rFonts w:ascii="宋体" w:hAnsi="宋体" w:cs="宋体"/>
          <w:sz w:val="24"/>
        </w:rPr>
      </w:pPr>
      <w:r>
        <w:rPr>
          <w:rFonts w:hint="eastAsia" w:ascii="宋体" w:hAnsi="宋体" w:cs="宋体"/>
          <w:sz w:val="24"/>
        </w:rPr>
        <w:t>甲方有与乙方订立补充合同的签订权。</w:t>
      </w:r>
    </w:p>
    <w:p>
      <w:pPr>
        <w:spacing w:line="360" w:lineRule="auto"/>
        <w:rPr>
          <w:rFonts w:ascii="宋体" w:hAnsi="宋体" w:cs="宋体"/>
          <w:b/>
          <w:spacing w:val="-6"/>
          <w:sz w:val="24"/>
        </w:rPr>
      </w:pPr>
      <w:r>
        <w:rPr>
          <w:rFonts w:hint="eastAsia" w:ascii="宋体" w:hAnsi="宋体" w:cs="宋体"/>
          <w:b/>
          <w:spacing w:val="-6"/>
          <w:sz w:val="24"/>
        </w:rPr>
        <w:t>第九条：</w:t>
      </w:r>
      <w:r>
        <w:rPr>
          <w:rFonts w:hint="eastAsia" w:ascii="宋体" w:hAnsi="宋体" w:cs="宋体"/>
          <w:b/>
          <w:spacing w:val="-6"/>
          <w:sz w:val="24"/>
          <w:lang w:val="zh-CN"/>
        </w:rPr>
        <w:t>乙方的责任与义务</w:t>
      </w:r>
    </w:p>
    <w:p>
      <w:pPr>
        <w:spacing w:line="360" w:lineRule="auto"/>
        <w:ind w:firstLine="480" w:firstLineChars="200"/>
        <w:rPr>
          <w:rFonts w:ascii="宋体" w:hAnsi="宋体" w:cs="宋体"/>
          <w:sz w:val="24"/>
        </w:rPr>
      </w:pPr>
      <w:r>
        <w:rPr>
          <w:rFonts w:hint="eastAsia" w:ascii="宋体" w:hAnsi="宋体" w:cs="宋体"/>
          <w:sz w:val="24"/>
        </w:rPr>
        <w:t>根据投标文件的承诺向甲方委派项目组人员。</w:t>
      </w:r>
    </w:p>
    <w:p>
      <w:pPr>
        <w:spacing w:line="360" w:lineRule="auto"/>
        <w:ind w:firstLine="480" w:firstLineChars="200"/>
        <w:rPr>
          <w:rFonts w:ascii="宋体" w:hAnsi="宋体" w:cs="宋体"/>
          <w:sz w:val="24"/>
        </w:rPr>
      </w:pPr>
      <w:r>
        <w:rPr>
          <w:rFonts w:hint="eastAsia" w:ascii="宋体" w:hAnsi="宋体" w:cs="宋体"/>
          <w:sz w:val="24"/>
        </w:rPr>
        <w:t>在履行本合同义务的期间，应运用合理的技能，认真、勤奋的工作。</w:t>
      </w:r>
    </w:p>
    <w:p>
      <w:pPr>
        <w:spacing w:line="360" w:lineRule="auto"/>
        <w:ind w:firstLine="480" w:firstLineChars="200"/>
        <w:rPr>
          <w:rFonts w:ascii="宋体" w:hAnsi="宋体" w:cs="宋体"/>
          <w:sz w:val="24"/>
        </w:rPr>
      </w:pPr>
      <w:r>
        <w:rPr>
          <w:rFonts w:hint="eastAsia" w:ascii="宋体" w:hAnsi="宋体" w:cs="宋体"/>
          <w:sz w:val="24"/>
        </w:rPr>
        <w:t>在本合同期内或合同终止后，未征得有关方同意，不得泄漏与本项目、本合同有关的技术、资料等，不得以任何形式侵害甲方的知识产权。</w:t>
      </w:r>
    </w:p>
    <w:p>
      <w:pPr>
        <w:spacing w:line="360" w:lineRule="auto"/>
        <w:ind w:firstLine="480" w:firstLineChars="200"/>
        <w:rPr>
          <w:rFonts w:ascii="宋体" w:hAnsi="宋体" w:cs="宋体"/>
          <w:sz w:val="24"/>
        </w:rPr>
      </w:pPr>
      <w:r>
        <w:rPr>
          <w:rFonts w:hint="eastAsia" w:ascii="宋体" w:hAnsi="宋体" w:cs="宋体"/>
          <w:sz w:val="24"/>
        </w:rPr>
        <w:t>负责处理好与相关项目的协调工作。</w:t>
      </w:r>
    </w:p>
    <w:p>
      <w:pPr>
        <w:spacing w:line="360" w:lineRule="auto"/>
        <w:rPr>
          <w:rFonts w:hint="eastAsia" w:ascii="宋体" w:hAnsi="宋体" w:eastAsia="宋体" w:cs="宋体"/>
          <w:b/>
          <w:spacing w:val="-6"/>
          <w:sz w:val="24"/>
          <w:lang w:eastAsia="zh-CN"/>
        </w:rPr>
      </w:pPr>
      <w:r>
        <w:rPr>
          <w:rFonts w:hint="eastAsia" w:ascii="宋体" w:hAnsi="宋体" w:eastAsia="宋体" w:cs="宋体"/>
          <w:b/>
          <w:spacing w:val="-6"/>
          <w:sz w:val="24"/>
          <w:lang w:eastAsia="zh-CN"/>
        </w:rPr>
        <w:t>第十条：回避原则</w:t>
      </w:r>
    </w:p>
    <w:p>
      <w:pPr>
        <w:spacing w:line="360" w:lineRule="auto"/>
        <w:ind w:firstLine="480" w:firstLineChars="200"/>
        <w:rPr>
          <w:rFonts w:hint="eastAsia" w:ascii="宋体" w:hAnsi="宋体" w:cs="宋体"/>
          <w:b/>
          <w:spacing w:val="-6"/>
          <w:sz w:val="24"/>
        </w:rPr>
      </w:pPr>
      <w:r>
        <w:rPr>
          <w:rFonts w:hint="eastAsia" w:ascii="宋体" w:hAnsi="宋体" w:eastAsia="宋体" w:cs="宋体"/>
          <w:sz w:val="24"/>
        </w:rPr>
        <w:t>本项目为桐庐县司法局通过政府采购方式购买的服务，委托中标单位指派律师担任辖区内村（居、校）集体组织的法律顾问，同时免费为村（居、校）范围内村（居）民等提供法律咨询、法治宣传等基础性法律服务。同一中标单位服务的村（居、校）集体组织之间发生矛盾纠纷的，根据利益冲突原则，该中标单位应当回避委托代理，但可以协助调解。中标单位不得与服务村（居、校）签订和本项目雷同的法律服务协议（免费的除外）。</w:t>
      </w:r>
    </w:p>
    <w:p>
      <w:pPr>
        <w:spacing w:line="360" w:lineRule="auto"/>
        <w:rPr>
          <w:rFonts w:hint="eastAsia" w:ascii="宋体" w:hAnsi="宋体" w:eastAsia="宋体" w:cs="宋体"/>
          <w:b/>
          <w:spacing w:val="-6"/>
          <w:sz w:val="24"/>
          <w:lang w:eastAsia="zh-CN"/>
        </w:rPr>
      </w:pPr>
      <w:r>
        <w:rPr>
          <w:rFonts w:hint="eastAsia" w:ascii="宋体" w:hAnsi="宋体" w:cs="宋体"/>
          <w:b/>
          <w:spacing w:val="-6"/>
          <w:sz w:val="24"/>
          <w:lang w:eastAsia="zh-CN"/>
        </w:rPr>
        <w:t>第十一条：合同的解除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本项目服务期间，中标单位有下列情形之一的，招标人有权解除合同及相关协议：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中标单位派遣的律师经招标人考评验收不合格率达三分之一以上的；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中标单位律师有重大违法违纪行为的；</w:t>
      </w:r>
    </w:p>
    <w:p>
      <w:pPr>
        <w:spacing w:line="360" w:lineRule="auto"/>
        <w:ind w:firstLine="480" w:firstLineChars="200"/>
        <w:rPr>
          <w:rFonts w:hint="eastAsia" w:ascii="宋体" w:hAnsi="宋体" w:cs="宋体"/>
          <w:b/>
          <w:spacing w:val="-6"/>
          <w:sz w:val="24"/>
        </w:rPr>
      </w:pPr>
      <w:r>
        <w:rPr>
          <w:rFonts w:hint="eastAsia" w:ascii="宋体" w:hAnsi="宋体" w:eastAsia="宋体" w:cs="宋体"/>
          <w:sz w:val="24"/>
          <w:lang w:val="en-US" w:eastAsia="zh-CN"/>
        </w:rPr>
        <w:t>3.</w:t>
      </w:r>
      <w:r>
        <w:rPr>
          <w:rFonts w:hint="eastAsia" w:ascii="宋体" w:hAnsi="宋体" w:eastAsia="宋体" w:cs="宋体"/>
          <w:sz w:val="24"/>
        </w:rPr>
        <w:t>中标单位有违反行政管理和行业管理的相关规定的。</w:t>
      </w:r>
    </w:p>
    <w:p>
      <w:pPr>
        <w:spacing w:line="360" w:lineRule="auto"/>
        <w:rPr>
          <w:rFonts w:ascii="宋体" w:hAnsi="宋体" w:cs="宋体"/>
          <w:b/>
          <w:spacing w:val="-6"/>
          <w:sz w:val="24"/>
        </w:rPr>
      </w:pPr>
      <w:r>
        <w:rPr>
          <w:rFonts w:hint="eastAsia" w:ascii="宋体" w:hAnsi="宋体" w:cs="宋体"/>
          <w:b/>
          <w:spacing w:val="-6"/>
          <w:sz w:val="24"/>
        </w:rPr>
        <w:t>第十</w:t>
      </w:r>
      <w:r>
        <w:rPr>
          <w:rFonts w:hint="eastAsia" w:ascii="宋体" w:hAnsi="宋体" w:cs="宋体"/>
          <w:b/>
          <w:spacing w:val="-6"/>
          <w:sz w:val="24"/>
          <w:lang w:eastAsia="zh-CN"/>
        </w:rPr>
        <w:t>二</w:t>
      </w:r>
      <w:r>
        <w:rPr>
          <w:rFonts w:hint="eastAsia" w:ascii="宋体" w:hAnsi="宋体" w:cs="宋体"/>
          <w:b/>
          <w:spacing w:val="-6"/>
          <w:sz w:val="24"/>
        </w:rPr>
        <w:t>条：违约责任</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甲方无正当理由拒收接受服务的，甲方向乙方偿付合同款项百分之五作为违约金。</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甲方无故逾期验收和办理款项支付手续的,甲方应按逾期付款总额每日万分之</w:t>
      </w:r>
    </w:p>
    <w:p>
      <w:pPr>
        <w:spacing w:line="360" w:lineRule="auto"/>
        <w:ind w:firstLine="480" w:firstLineChars="200"/>
        <w:rPr>
          <w:rFonts w:ascii="宋体" w:hAnsi="宋体" w:cs="宋体"/>
          <w:sz w:val="24"/>
        </w:rPr>
      </w:pPr>
      <w:r>
        <w:rPr>
          <w:rFonts w:hint="eastAsia" w:ascii="宋体" w:hAnsi="宋体" w:cs="宋体"/>
          <w:sz w:val="24"/>
        </w:rPr>
        <w:t>五向乙方支付违约金。</w:t>
      </w:r>
    </w:p>
    <w:p>
      <w:pPr>
        <w:spacing w:line="360" w:lineRule="auto"/>
        <w:ind w:firstLine="480" w:firstLineChars="200"/>
        <w:rPr>
          <w:rFonts w:hint="eastAsia" w:ascii="宋体" w:hAnsi="宋体" w:eastAsia="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w:t>
      </w:r>
      <w:r>
        <w:rPr>
          <w:rFonts w:hint="eastAsia" w:ascii="宋体" w:hAnsi="宋体" w:eastAsia="宋体" w:cs="宋体"/>
          <w:sz w:val="24"/>
        </w:rPr>
        <w:t xml:space="preserve">金，如造成甲方损失超过违约金的，超出部分由乙方继续承担赔偿责任。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中标单位无正当理由不提供合同约定的法律服务的，招标人有权拒付中标单位合同价款。</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中标单位出现考评验收不合格率达三分之一以上的， 招标人有权按照不合格率的相应比例扣除合同价款。</w:t>
      </w:r>
    </w:p>
    <w:p>
      <w:pPr>
        <w:spacing w:line="360" w:lineRule="auto"/>
        <w:rPr>
          <w:rFonts w:ascii="宋体" w:hAnsi="宋体" w:cs="宋体"/>
          <w:b/>
          <w:spacing w:val="-6"/>
          <w:sz w:val="24"/>
        </w:rPr>
      </w:pPr>
      <w:r>
        <w:rPr>
          <w:rFonts w:hint="eastAsia" w:ascii="宋体" w:hAnsi="宋体" w:cs="宋体"/>
          <w:b/>
          <w:spacing w:val="-6"/>
          <w:sz w:val="24"/>
        </w:rPr>
        <w:t>第十</w:t>
      </w:r>
      <w:r>
        <w:rPr>
          <w:rFonts w:hint="eastAsia" w:ascii="宋体" w:hAnsi="宋体" w:cs="宋体"/>
          <w:b/>
          <w:spacing w:val="-6"/>
          <w:sz w:val="24"/>
          <w:lang w:eastAsia="zh-CN"/>
        </w:rPr>
        <w:t>三</w:t>
      </w:r>
      <w:r>
        <w:rPr>
          <w:rFonts w:hint="eastAsia" w:ascii="宋体" w:hAnsi="宋体" w:cs="宋体"/>
          <w:b/>
          <w:spacing w:val="-6"/>
          <w:sz w:val="24"/>
        </w:rPr>
        <w:t>条：不可抗力事件处理</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在合同有效期内，任何一方因不可抗力事件导致不能履行合同，则合同履行</w:t>
      </w:r>
    </w:p>
    <w:p>
      <w:pPr>
        <w:spacing w:line="360" w:lineRule="auto"/>
        <w:ind w:firstLine="480" w:firstLineChars="200"/>
        <w:rPr>
          <w:rFonts w:ascii="宋体" w:hAnsi="宋体" w:cs="宋体"/>
          <w:sz w:val="24"/>
        </w:rPr>
      </w:pPr>
      <w:r>
        <w:rPr>
          <w:rFonts w:hint="eastAsia" w:ascii="宋体" w:hAnsi="宋体" w:cs="宋体"/>
          <w:sz w:val="24"/>
        </w:rPr>
        <w:t>期可延长，其延长期与不可抗力影响期相同。</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不可抗力事件发生后，应立即通知对方，并寄送有关权威机构出具的证明。</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不可抗力事件延续120天以上，双方应通过友好协商，确定是否继续履行合同。</w:t>
      </w:r>
    </w:p>
    <w:p>
      <w:pPr>
        <w:spacing w:line="360" w:lineRule="auto"/>
        <w:rPr>
          <w:rFonts w:ascii="宋体" w:hAnsi="宋体" w:cs="宋体"/>
          <w:b/>
          <w:spacing w:val="-6"/>
          <w:sz w:val="24"/>
        </w:rPr>
      </w:pPr>
      <w:r>
        <w:rPr>
          <w:rFonts w:hint="eastAsia" w:ascii="宋体" w:hAnsi="宋体" w:cs="宋体"/>
          <w:b/>
          <w:spacing w:val="-6"/>
          <w:sz w:val="24"/>
        </w:rPr>
        <w:t>第十</w:t>
      </w:r>
      <w:r>
        <w:rPr>
          <w:rFonts w:hint="eastAsia" w:ascii="宋体" w:hAnsi="宋体" w:cs="宋体"/>
          <w:b/>
          <w:spacing w:val="-6"/>
          <w:sz w:val="24"/>
          <w:lang w:eastAsia="zh-CN"/>
        </w:rPr>
        <w:t>四</w:t>
      </w:r>
      <w:r>
        <w:rPr>
          <w:rFonts w:hint="eastAsia" w:ascii="宋体" w:hAnsi="宋体" w:cs="宋体"/>
          <w:b/>
          <w:spacing w:val="-6"/>
          <w:sz w:val="24"/>
        </w:rPr>
        <w:t>条：诉讼</w:t>
      </w:r>
    </w:p>
    <w:p>
      <w:pPr>
        <w:spacing w:line="360" w:lineRule="auto"/>
        <w:ind w:firstLine="480" w:firstLineChars="200"/>
        <w:rPr>
          <w:rFonts w:ascii="宋体" w:hAnsi="宋体" w:cs="宋体"/>
          <w:sz w:val="24"/>
        </w:rPr>
      </w:pPr>
      <w:r>
        <w:rPr>
          <w:rFonts w:hint="eastAsia" w:ascii="宋体" w:hAnsi="宋体" w:cs="宋体"/>
          <w:sz w:val="24"/>
        </w:rPr>
        <w:t>双方在执行合同中所发生的一切争议，应通过协商解决。如协商不成，可向甲方所在地经济仲裁机构提请仲裁或向人民法院提起诉讼。</w:t>
      </w:r>
    </w:p>
    <w:p>
      <w:pPr>
        <w:spacing w:line="360" w:lineRule="auto"/>
        <w:rPr>
          <w:rFonts w:ascii="宋体" w:hAnsi="宋体" w:cs="宋体"/>
          <w:b/>
          <w:spacing w:val="-6"/>
          <w:sz w:val="24"/>
        </w:rPr>
      </w:pPr>
      <w:r>
        <w:rPr>
          <w:rFonts w:hint="eastAsia" w:ascii="宋体" w:hAnsi="宋体" w:cs="宋体"/>
          <w:b/>
          <w:spacing w:val="-6"/>
          <w:sz w:val="24"/>
        </w:rPr>
        <w:t>第十</w:t>
      </w:r>
      <w:r>
        <w:rPr>
          <w:rFonts w:hint="eastAsia" w:ascii="宋体" w:hAnsi="宋体" w:cs="宋体"/>
          <w:b/>
          <w:spacing w:val="-6"/>
          <w:sz w:val="24"/>
          <w:lang w:eastAsia="zh-CN"/>
        </w:rPr>
        <w:t>五</w:t>
      </w:r>
      <w:r>
        <w:rPr>
          <w:rFonts w:hint="eastAsia" w:ascii="宋体" w:hAnsi="宋体" w:cs="宋体"/>
          <w:b/>
          <w:spacing w:val="-6"/>
          <w:sz w:val="24"/>
        </w:rPr>
        <w:t>条：合同生效及其它</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合同经双方</w:t>
      </w:r>
      <w:r>
        <w:rPr>
          <w:rFonts w:hint="eastAsia" w:ascii="宋体" w:hAnsi="宋体" w:cs="宋体"/>
          <w:sz w:val="24"/>
        </w:rPr>
        <w:tab/>
      </w:r>
      <w:r>
        <w:rPr>
          <w:rFonts w:hint="eastAsia" w:ascii="宋体" w:hAnsi="宋体" w:cs="宋体"/>
          <w:sz w:val="24"/>
        </w:rPr>
        <w:t>法定代表人或授权代表签字并加盖单位公章后生效。</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本合同未尽事宜，遵照《</w:t>
      </w:r>
      <w:r>
        <w:rPr>
          <w:rFonts w:hint="eastAsia" w:ascii="宋体" w:hAnsi="宋体" w:cs="宋体"/>
          <w:sz w:val="24"/>
          <w:lang w:eastAsia="zh-CN"/>
        </w:rPr>
        <w:t>民法典</w:t>
      </w:r>
      <w:r>
        <w:rPr>
          <w:rFonts w:hint="eastAsia" w:ascii="宋体" w:hAnsi="宋体" w:cs="宋体"/>
          <w:sz w:val="24"/>
        </w:rPr>
        <w:t>》有关条文执行。</w:t>
      </w:r>
    </w:p>
    <w:p>
      <w:pPr>
        <w:spacing w:line="360" w:lineRule="auto"/>
        <w:ind w:firstLine="480" w:firstLineChars="200"/>
        <w:rPr>
          <w:rFonts w:ascii="宋体" w:hAnsi="宋体" w:cs="宋体"/>
          <w:sz w:val="24"/>
        </w:rPr>
      </w:pPr>
      <w:r>
        <w:rPr>
          <w:rFonts w:hint="eastAsia" w:ascii="宋体" w:hAnsi="宋体" w:cs="宋体"/>
          <w:sz w:val="24"/>
        </w:rPr>
        <w:t>3.本合同一式肆份，具有同等法律效力。甲方、乙方各执贰份。</w:t>
      </w:r>
    </w:p>
    <w:p>
      <w:pPr>
        <w:pStyle w:val="35"/>
        <w:snapToGrid w:val="0"/>
        <w:spacing w:before="120" w:after="120" w:line="360" w:lineRule="auto"/>
        <w:rPr>
          <w:rFonts w:hAnsi="宋体" w:cs="宋体"/>
          <w:sz w:val="24"/>
        </w:rPr>
      </w:pPr>
      <w:r>
        <w:rPr>
          <w:rFonts w:hint="eastAsia" w:hAnsi="宋体" w:cs="宋体"/>
          <w:sz w:val="24"/>
        </w:rPr>
        <w:t xml:space="preserve">  甲方：                                   乙方： </w:t>
      </w:r>
    </w:p>
    <w:p>
      <w:pPr>
        <w:pStyle w:val="35"/>
        <w:snapToGrid w:val="0"/>
        <w:spacing w:before="120" w:after="120" w:line="360" w:lineRule="auto"/>
        <w:rPr>
          <w:rFonts w:hAnsi="宋体" w:cs="宋体"/>
          <w:sz w:val="24"/>
        </w:rPr>
      </w:pPr>
      <w:r>
        <w:rPr>
          <w:rFonts w:hint="eastAsia" w:hAnsi="宋体" w:cs="宋体"/>
          <w:sz w:val="24"/>
        </w:rPr>
        <w:t xml:space="preserve">  地址：                                   地址： </w:t>
      </w:r>
    </w:p>
    <w:p>
      <w:pPr>
        <w:pStyle w:val="35"/>
        <w:snapToGrid w:val="0"/>
        <w:spacing w:before="120" w:after="120" w:line="360" w:lineRule="auto"/>
        <w:rPr>
          <w:rFonts w:hAnsi="宋体" w:cs="宋体"/>
          <w:sz w:val="24"/>
        </w:rPr>
      </w:pPr>
      <w:r>
        <w:rPr>
          <w:rFonts w:hint="eastAsia" w:hAnsi="宋体" w:cs="宋体"/>
          <w:sz w:val="24"/>
        </w:rPr>
        <w:t xml:space="preserve">  法定（授权）代表人：                     法定（授权）代表人：</w:t>
      </w:r>
    </w:p>
    <w:p>
      <w:pPr>
        <w:pStyle w:val="35"/>
        <w:snapToGrid w:val="0"/>
        <w:spacing w:before="120" w:after="120" w:line="360" w:lineRule="auto"/>
        <w:ind w:firstLine="240" w:firstLineChars="100"/>
        <w:rPr>
          <w:rFonts w:hAnsi="宋体" w:cs="宋体"/>
          <w:b/>
          <w:bCs/>
          <w:sz w:val="32"/>
          <w:szCs w:val="40"/>
        </w:rPr>
      </w:pPr>
      <w:r>
        <w:rPr>
          <w:rFonts w:hint="eastAsia" w:hAnsi="宋体" w:cs="宋体"/>
          <w:sz w:val="24"/>
        </w:rPr>
        <w:t>日期：    年  月   日                    日期：    年  月   日</w:t>
      </w:r>
    </w:p>
    <w:p>
      <w:pPr>
        <w:widowControl/>
        <w:overflowPunct w:val="0"/>
        <w:autoSpaceDE w:val="0"/>
        <w:autoSpaceDN w:val="0"/>
        <w:snapToGrid w:val="0"/>
        <w:spacing w:before="156" w:line="440" w:lineRule="exact"/>
        <w:ind w:left="-2" w:leftChars="-1"/>
        <w:jc w:val="left"/>
        <w:textAlignment w:val="baseline"/>
        <w:rPr>
          <w:rFonts w:ascii="宋体" w:hAnsi="宋体" w:cs="宋体"/>
          <w:b/>
          <w:sz w:val="36"/>
          <w:szCs w:val="20"/>
        </w:rPr>
      </w:pPr>
    </w:p>
    <w:p>
      <w:pPr>
        <w:spacing w:line="360" w:lineRule="auto"/>
        <w:jc w:val="center"/>
        <w:outlineLvl w:val="0"/>
        <w:rPr>
          <w:rFonts w:ascii="宋体" w:hAnsi="宋体" w:cs="宋体"/>
          <w:b/>
          <w:sz w:val="36"/>
          <w:szCs w:val="20"/>
        </w:rPr>
      </w:pPr>
    </w:p>
    <w:p>
      <w:pPr>
        <w:spacing w:line="360" w:lineRule="auto"/>
        <w:outlineLvl w:val="0"/>
        <w:rPr>
          <w:rFonts w:ascii="宋体" w:hAnsi="宋体" w:cs="宋体"/>
          <w:b/>
          <w:sz w:val="36"/>
          <w:szCs w:val="20"/>
        </w:rPr>
      </w:pPr>
    </w:p>
    <w:p>
      <w:pPr>
        <w:spacing w:line="360" w:lineRule="auto"/>
        <w:jc w:val="both"/>
        <w:outlineLvl w:val="0"/>
        <w:rPr>
          <w:rFonts w:ascii="宋体" w:hAnsi="宋体" w:cs="宋体"/>
          <w:b/>
          <w:sz w:val="36"/>
          <w:szCs w:val="20"/>
        </w:rPr>
      </w:pPr>
    </w:p>
    <w:p>
      <w:pPr>
        <w:pStyle w:val="27"/>
      </w:pPr>
    </w:p>
    <w:p>
      <w:pPr>
        <w:spacing w:line="360" w:lineRule="auto"/>
        <w:jc w:val="center"/>
        <w:outlineLvl w:val="0"/>
        <w:rPr>
          <w:rFonts w:hint="eastAsia" w:ascii="宋体" w:hAnsi="宋体" w:cs="宋体"/>
          <w:b/>
          <w:sz w:val="36"/>
          <w:szCs w:val="20"/>
        </w:rPr>
      </w:pPr>
    </w:p>
    <w:p>
      <w:pPr>
        <w:spacing w:line="360" w:lineRule="auto"/>
        <w:jc w:val="center"/>
        <w:outlineLvl w:val="0"/>
        <w:rPr>
          <w:rFonts w:hint="eastAsia"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0"/>
      <w:bookmarkEnd w:id="391"/>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rPr>
      </w:pPr>
      <w:r>
        <w:rPr>
          <w:rFonts w:hint="eastAsia" w:ascii="宋体" w:hAnsi="宋体" w:cs="宋体"/>
          <w:sz w:val="24"/>
        </w:rPr>
        <w:t>（2）联合协议………………………………………………………………（页码）</w:t>
      </w:r>
    </w:p>
    <w:p>
      <w:pPr>
        <w:snapToGrid w:val="0"/>
        <w:spacing w:line="360" w:lineRule="auto"/>
        <w:rPr>
          <w:rFonts w:ascii="宋体" w:hAnsi="宋体" w:cs="宋体"/>
          <w:sz w:val="24"/>
        </w:rPr>
      </w:pPr>
      <w:r>
        <w:rPr>
          <w:rFonts w:hint="eastAsia" w:ascii="宋体" w:hAnsi="宋体" w:cs="宋体"/>
          <w:sz w:val="24"/>
        </w:rPr>
        <w:t>（3）落实政府采购政策需满足的资格要求………………………………（页码）</w:t>
      </w:r>
    </w:p>
    <w:p>
      <w:pPr>
        <w:snapToGrid w:val="0"/>
        <w:spacing w:line="360" w:lineRule="auto"/>
        <w:rPr>
          <w:rFonts w:ascii="宋体" w:hAnsi="宋体" w:cs="宋体"/>
          <w:sz w:val="24"/>
        </w:rPr>
      </w:pPr>
      <w:r>
        <w:rPr>
          <w:rFonts w:hint="eastAsia" w:ascii="宋体" w:hAnsi="宋体" w:cs="宋体"/>
          <w:sz w:val="24"/>
        </w:rPr>
        <w:t>（4）本项目的特定资格要求………………………………………………（页码）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both"/>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sz w:val="24"/>
        </w:rPr>
      </w:pPr>
    </w:p>
    <w:p>
      <w:pPr>
        <w:pStyle w:val="26"/>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ind w:right="420"/>
        <w:rPr>
          <w:rFonts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（5）投标标的清单</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ind w:left="210" w:leftChars="100" w:firstLine="480" w:firstLineChars="200"/>
        <w:rPr>
          <w:rFonts w:ascii="宋体" w:hAnsi="宋体" w:cs="宋体"/>
          <w:sz w:val="24"/>
        </w:rPr>
      </w:pPr>
      <w:r>
        <w:rPr>
          <w:rFonts w:hint="eastAsia" w:ascii="宋体" w:hAnsi="宋体" w:cs="宋体"/>
          <w:sz w:val="24"/>
        </w:rPr>
        <w:t>2.1资格文件：</w:t>
      </w:r>
    </w:p>
    <w:p>
      <w:pPr>
        <w:snapToGrid w:val="0"/>
        <w:ind w:left="420" w:leftChars="200" w:firstLine="480" w:firstLineChars="200"/>
        <w:rPr>
          <w:rFonts w:ascii="宋体" w:hAnsi="宋体" w:cs="宋体"/>
          <w:sz w:val="24"/>
        </w:rPr>
      </w:pPr>
      <w:r>
        <w:rPr>
          <w:rFonts w:hint="eastAsia" w:ascii="宋体" w:hAnsi="宋体" w:cs="宋体"/>
          <w:sz w:val="24"/>
        </w:rPr>
        <w:t>2.1.1承诺函；</w:t>
      </w:r>
    </w:p>
    <w:p>
      <w:pPr>
        <w:snapToGrid w:val="0"/>
        <w:ind w:left="420" w:leftChars="200" w:firstLine="480" w:firstLineChars="200"/>
        <w:rPr>
          <w:rFonts w:ascii="宋体" w:hAnsi="宋体" w:cs="宋体"/>
          <w:sz w:val="24"/>
        </w:rPr>
      </w:pPr>
      <w:r>
        <w:rPr>
          <w:rFonts w:hint="eastAsia" w:ascii="宋体" w:hAnsi="宋体" w:cs="宋体"/>
          <w:sz w:val="24"/>
        </w:rPr>
        <w:t>2.1.2联合协议</w:t>
      </w:r>
      <w:bookmarkStart w:id="392" w:name="_Hlk101257010"/>
      <w:r>
        <w:rPr>
          <w:rFonts w:hint="eastAsia" w:ascii="宋体" w:hAnsi="宋体" w:cs="宋体"/>
          <w:sz w:val="24"/>
        </w:rPr>
        <w:t>；（如果有)</w:t>
      </w:r>
      <w:bookmarkEnd w:id="392"/>
    </w:p>
    <w:p>
      <w:pPr>
        <w:snapToGrid w:val="0"/>
        <w:ind w:left="420" w:leftChars="200" w:firstLine="480" w:firstLineChars="200"/>
        <w:rPr>
          <w:rFonts w:ascii="宋体" w:hAnsi="宋体" w:cs="宋体"/>
          <w:sz w:val="24"/>
        </w:rPr>
      </w:pPr>
      <w:r>
        <w:rPr>
          <w:rFonts w:hint="eastAsia" w:ascii="宋体" w:hAnsi="宋体" w:cs="宋体"/>
          <w:sz w:val="24"/>
        </w:rPr>
        <w:t>2.1.3落实政府采购政策需满足的资格要求；</w:t>
      </w:r>
    </w:p>
    <w:p>
      <w:pPr>
        <w:snapToGrid w:val="0"/>
        <w:ind w:left="420" w:leftChars="200" w:firstLine="480" w:firstLineChars="200"/>
        <w:rPr>
          <w:rFonts w:ascii="宋体" w:hAnsi="宋体" w:cs="宋体"/>
          <w:sz w:val="24"/>
        </w:rPr>
      </w:pPr>
      <w:r>
        <w:rPr>
          <w:rFonts w:hint="eastAsia" w:ascii="宋体" w:hAnsi="宋体" w:cs="宋体"/>
          <w:sz w:val="24"/>
        </w:rPr>
        <w:t>2.1.4本项目的特定资格要求。</w:t>
      </w:r>
    </w:p>
    <w:p>
      <w:pPr>
        <w:snapToGrid w:val="0"/>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ind w:left="420" w:leftChars="200" w:firstLine="480" w:firstLineChars="200"/>
        <w:rPr>
          <w:rFonts w:ascii="宋体" w:hAnsi="宋体" w:cs="宋体"/>
          <w:sz w:val="24"/>
        </w:rPr>
      </w:pPr>
      <w:r>
        <w:rPr>
          <w:rFonts w:hint="eastAsia" w:ascii="宋体" w:hAnsi="宋体" w:cs="宋体"/>
          <w:sz w:val="24"/>
        </w:rPr>
        <w:t>2.2.1投标函；</w:t>
      </w:r>
    </w:p>
    <w:p>
      <w:pPr>
        <w:snapToGrid w:val="0"/>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ind w:left="420" w:leftChars="200" w:firstLine="480" w:firstLineChars="200"/>
        <w:rPr>
          <w:rFonts w:ascii="宋体" w:hAnsi="宋体" w:cs="宋体"/>
          <w:sz w:val="24"/>
        </w:rPr>
      </w:pPr>
      <w:r>
        <w:rPr>
          <w:rFonts w:hint="eastAsia" w:ascii="宋体" w:hAnsi="宋体" w:cs="宋体"/>
          <w:sz w:val="24"/>
        </w:rPr>
        <w:t>2.2.3符合性审查资料；</w:t>
      </w:r>
    </w:p>
    <w:p>
      <w:pPr>
        <w:snapToGrid w:val="0"/>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ind w:left="420" w:leftChars="200" w:firstLine="480" w:firstLineChars="200"/>
        <w:rPr>
          <w:rFonts w:ascii="宋体" w:hAnsi="宋体" w:cs="宋体"/>
          <w:sz w:val="24"/>
        </w:rPr>
      </w:pPr>
      <w:r>
        <w:rPr>
          <w:rFonts w:hint="eastAsia" w:ascii="宋体" w:hAnsi="宋体" w:cs="宋体"/>
          <w:sz w:val="24"/>
        </w:rPr>
        <w:t>2.2.5投标标的清单；</w:t>
      </w:r>
    </w:p>
    <w:p>
      <w:pPr>
        <w:snapToGrid w:val="0"/>
        <w:ind w:left="420" w:leftChars="200" w:firstLine="480" w:firstLineChars="200"/>
        <w:rPr>
          <w:rFonts w:ascii="宋体" w:hAnsi="宋体" w:cs="宋体"/>
          <w:sz w:val="24"/>
        </w:rPr>
      </w:pPr>
      <w:r>
        <w:rPr>
          <w:rFonts w:hint="eastAsia" w:ascii="宋体" w:hAnsi="宋体" w:cs="宋体"/>
          <w:sz w:val="24"/>
        </w:rPr>
        <w:t>2.2.6商务技术偏离表；</w:t>
      </w:r>
    </w:p>
    <w:p>
      <w:pPr>
        <w:snapToGrid w:val="0"/>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ind w:left="420" w:leftChars="200" w:firstLine="480" w:firstLineChars="200"/>
        <w:rPr>
          <w:rFonts w:ascii="宋体" w:hAnsi="宋体" w:cs="宋体"/>
          <w:sz w:val="24"/>
        </w:rPr>
      </w:pPr>
      <w:r>
        <w:rPr>
          <w:rFonts w:hint="eastAsia" w:ascii="宋体" w:hAnsi="宋体" w:cs="宋体"/>
          <w:sz w:val="24"/>
        </w:rPr>
        <w:t>2.3.1开标一览表（报价表）；</w:t>
      </w:r>
    </w:p>
    <w:p>
      <w:pPr>
        <w:snapToGrid w:val="0"/>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b/>
          <w:kern w:val="0"/>
          <w:sz w:val="32"/>
          <w:szCs w:val="32"/>
          <w:lang w:val="zh-CN"/>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lang w:val="zh-CN"/>
        </w:rPr>
      </w:pPr>
      <w:r>
        <w:rPr>
          <w:rFonts w:hint="eastAsia" w:ascii="宋体" w:hAnsi="宋体" w:cs="宋体"/>
          <w:kern w:val="0"/>
          <w:sz w:val="24"/>
          <w:lang w:val="zh-CN"/>
        </w:rPr>
        <w:t>特此告知。</w:t>
      </w:r>
    </w:p>
    <w:p>
      <w:pPr>
        <w:pStyle w:val="4"/>
      </w:pP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4"/>
              <w:rPr>
                <w:rFonts w:ascii="宋体" w:hAnsi="宋体" w:eastAsia="宋体" w:cs="宋体"/>
                <w:lang w:val="en-US"/>
              </w:rPr>
            </w:pPr>
            <w:r>
              <w:rPr>
                <w:rFonts w:hint="eastAsia" w:ascii="宋体" w:hAnsi="宋体" w:eastAsia="宋体" w:cs="宋体"/>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pStyle w:val="4"/>
      </w:pPr>
    </w:p>
    <w:p>
      <w:pPr>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58"/>
        <w:gridCol w:w="1650"/>
        <w:gridCol w:w="1941"/>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b/>
                <w:sz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2" w:type="first"/>
          <w:footerReference r:id="rId14" w:type="first"/>
          <w:headerReference r:id="rId11" w:type="default"/>
          <w:footerReference r:id="rId13" w:type="default"/>
          <w:pgSz w:w="11906" w:h="16838"/>
          <w:pgMar w:top="1440" w:right="1418" w:bottom="1440" w:left="1418" w:header="851" w:footer="992" w:gutter="0"/>
          <w:cols w:space="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4"/>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4"/>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4"/>
      <w:bookmarkStart w:id="395" w:name="OLE_LINK13"/>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w:t>
      </w:r>
      <w:r>
        <w:rPr>
          <w:rFonts w:hint="eastAsia" w:ascii="宋体" w:hAnsi="宋体" w:cs="宋体"/>
          <w:kern w:val="0"/>
          <w:sz w:val="24"/>
          <w:highlight w:val="yellow"/>
          <w:lang w:val="zh-CN"/>
        </w:rPr>
        <w:t>中小企业合同份额</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6"/>
      <w:r>
        <w:rPr>
          <w:rFonts w:hint="eastAsia" w:ascii="宋体" w:hAnsi="宋体" w:cs="宋体"/>
          <w:kern w:val="0"/>
          <w:sz w:val="24"/>
          <w:u w:val="single"/>
        </w:rPr>
        <w:t>）</w:t>
      </w:r>
      <w:r>
        <w:rPr>
          <w:rFonts w:hint="eastAsia" w:ascii="宋体" w:hAnsi="宋体" w:cs="宋体"/>
          <w:kern w:val="0"/>
          <w:sz w:val="24"/>
        </w:rPr>
        <w:t>提供的</w:t>
      </w:r>
      <w:r>
        <w:rPr>
          <w:rFonts w:hint="eastAsia" w:ascii="宋体" w:hAnsi="宋体" w:cs="宋体"/>
          <w:kern w:val="0"/>
          <w:sz w:val="24"/>
          <w:highlight w:val="yellow"/>
        </w:rPr>
        <w:t>服务由小微企业承接</w:t>
      </w:r>
      <w:r>
        <w:rPr>
          <w:rFonts w:hint="eastAsia" w:ascii="宋体" w:hAnsi="宋体" w:cs="宋体"/>
          <w:kern w:val="0"/>
          <w:sz w:val="24"/>
        </w:rPr>
        <w:t>，其合同份额占到合同总金额%以上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397"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397"/>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398"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39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附件6：</w:t>
      </w:r>
      <w:r>
        <w:rPr>
          <w:rFonts w:hint="eastAsia" w:ascii="宋体" w:hAnsi="宋体" w:cs="宋体"/>
          <w:b/>
          <w:sz w:val="32"/>
          <w:szCs w:val="32"/>
        </w:rPr>
        <w:t>中小企业声明函</w:t>
      </w:r>
    </w:p>
    <w:p>
      <w:pPr>
        <w:spacing w:line="360" w:lineRule="auto"/>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
      <w:pPr>
        <w:spacing w:line="360" w:lineRule="auto"/>
        <w:rPr>
          <w:rFonts w:ascii="宋体" w:hAnsi="宋体" w:cs="宋体"/>
          <w:bCs/>
          <w:sz w:val="24"/>
        </w:rPr>
      </w:pPr>
    </w:p>
    <w:sectPr>
      <w:headerReference r:id="rId20" w:type="first"/>
      <w:footerReference r:id="rId23" w:type="first"/>
      <w:headerReference r:id="rId19" w:type="default"/>
      <w:footerReference r:id="rId21" w:type="default"/>
      <w:footerReference r:id="rId22" w:type="even"/>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BE747"/>
    <w:multiLevelType w:val="singleLevel"/>
    <w:tmpl w:val="FB7BE747"/>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jI5MmVjM2VlZmI2NzBhNDMxNDg0NzQ4MDlkN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06"/>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D09"/>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A88"/>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5F"/>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72B"/>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6AAE"/>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27"/>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5A"/>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6FEA"/>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DCD"/>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183"/>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BE9"/>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53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79"/>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6687A"/>
    <w:rsid w:val="02DC4B10"/>
    <w:rsid w:val="02DD76CE"/>
    <w:rsid w:val="02F36323"/>
    <w:rsid w:val="02F5619C"/>
    <w:rsid w:val="0326446A"/>
    <w:rsid w:val="032D5555"/>
    <w:rsid w:val="036634D2"/>
    <w:rsid w:val="03CF6675"/>
    <w:rsid w:val="03DD35E4"/>
    <w:rsid w:val="04076900"/>
    <w:rsid w:val="041A5A3B"/>
    <w:rsid w:val="042311BA"/>
    <w:rsid w:val="042B157A"/>
    <w:rsid w:val="044D3AE9"/>
    <w:rsid w:val="048F763B"/>
    <w:rsid w:val="049F330E"/>
    <w:rsid w:val="04AA775C"/>
    <w:rsid w:val="04AF1889"/>
    <w:rsid w:val="04F66F48"/>
    <w:rsid w:val="05251E14"/>
    <w:rsid w:val="05A16594"/>
    <w:rsid w:val="05A7762D"/>
    <w:rsid w:val="060E5941"/>
    <w:rsid w:val="06110FAF"/>
    <w:rsid w:val="06493CA7"/>
    <w:rsid w:val="065A6178"/>
    <w:rsid w:val="066F1CF3"/>
    <w:rsid w:val="068A59BD"/>
    <w:rsid w:val="06930BB8"/>
    <w:rsid w:val="07147821"/>
    <w:rsid w:val="07245D42"/>
    <w:rsid w:val="07264C62"/>
    <w:rsid w:val="0779354C"/>
    <w:rsid w:val="079E72AE"/>
    <w:rsid w:val="08061376"/>
    <w:rsid w:val="08452D77"/>
    <w:rsid w:val="086401F8"/>
    <w:rsid w:val="08751CAA"/>
    <w:rsid w:val="087E4C40"/>
    <w:rsid w:val="08D66AD6"/>
    <w:rsid w:val="08DA33A3"/>
    <w:rsid w:val="08E80F13"/>
    <w:rsid w:val="09335624"/>
    <w:rsid w:val="0944690F"/>
    <w:rsid w:val="09535675"/>
    <w:rsid w:val="095F057D"/>
    <w:rsid w:val="09642282"/>
    <w:rsid w:val="096B09CE"/>
    <w:rsid w:val="09733572"/>
    <w:rsid w:val="09772C16"/>
    <w:rsid w:val="098353B5"/>
    <w:rsid w:val="09A92330"/>
    <w:rsid w:val="09B06B87"/>
    <w:rsid w:val="09C13146"/>
    <w:rsid w:val="09E04166"/>
    <w:rsid w:val="0A1C0718"/>
    <w:rsid w:val="0A307750"/>
    <w:rsid w:val="0A3E7710"/>
    <w:rsid w:val="0A4240F4"/>
    <w:rsid w:val="0A5B7E63"/>
    <w:rsid w:val="0A884FAE"/>
    <w:rsid w:val="0AA374A5"/>
    <w:rsid w:val="0AAB7649"/>
    <w:rsid w:val="0ABC5606"/>
    <w:rsid w:val="0B30404E"/>
    <w:rsid w:val="0B4C6C14"/>
    <w:rsid w:val="0B631A88"/>
    <w:rsid w:val="0B683D45"/>
    <w:rsid w:val="0B7F3F11"/>
    <w:rsid w:val="0B884417"/>
    <w:rsid w:val="0BF6188C"/>
    <w:rsid w:val="0BF73C91"/>
    <w:rsid w:val="0C004F84"/>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86A1B"/>
    <w:rsid w:val="0F693536"/>
    <w:rsid w:val="0F7B0511"/>
    <w:rsid w:val="0F7B76D9"/>
    <w:rsid w:val="0F816ACD"/>
    <w:rsid w:val="0F9832DB"/>
    <w:rsid w:val="0FBF3FD2"/>
    <w:rsid w:val="0FBF7FF3"/>
    <w:rsid w:val="0FCD46EF"/>
    <w:rsid w:val="0FD4263C"/>
    <w:rsid w:val="10244F27"/>
    <w:rsid w:val="10595A0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70363"/>
    <w:rsid w:val="139B1A0A"/>
    <w:rsid w:val="139D25C7"/>
    <w:rsid w:val="13BF3CE4"/>
    <w:rsid w:val="13C65004"/>
    <w:rsid w:val="141008D8"/>
    <w:rsid w:val="14125FE6"/>
    <w:rsid w:val="146664F4"/>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47FAA"/>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9205C"/>
    <w:rsid w:val="1C82772F"/>
    <w:rsid w:val="1C88086E"/>
    <w:rsid w:val="1CD56B9B"/>
    <w:rsid w:val="1D10240B"/>
    <w:rsid w:val="1D266CE1"/>
    <w:rsid w:val="1D3963AF"/>
    <w:rsid w:val="1D6A673C"/>
    <w:rsid w:val="1D8E5791"/>
    <w:rsid w:val="1D9247AE"/>
    <w:rsid w:val="1DB567EC"/>
    <w:rsid w:val="1DF51A98"/>
    <w:rsid w:val="1E3073D1"/>
    <w:rsid w:val="1E3D060F"/>
    <w:rsid w:val="1E3F7D2E"/>
    <w:rsid w:val="1E4134E4"/>
    <w:rsid w:val="1E5062B3"/>
    <w:rsid w:val="1E523514"/>
    <w:rsid w:val="1E714A66"/>
    <w:rsid w:val="1E802593"/>
    <w:rsid w:val="1EA703CC"/>
    <w:rsid w:val="1EB7330C"/>
    <w:rsid w:val="1EEB65C1"/>
    <w:rsid w:val="1F0A0FF3"/>
    <w:rsid w:val="1F5771FF"/>
    <w:rsid w:val="1FE868A9"/>
    <w:rsid w:val="20034907"/>
    <w:rsid w:val="20173E4B"/>
    <w:rsid w:val="204E48BC"/>
    <w:rsid w:val="208921B3"/>
    <w:rsid w:val="20973DEB"/>
    <w:rsid w:val="20B26522"/>
    <w:rsid w:val="20B44310"/>
    <w:rsid w:val="211116EB"/>
    <w:rsid w:val="216133FC"/>
    <w:rsid w:val="21A14DBB"/>
    <w:rsid w:val="21D56769"/>
    <w:rsid w:val="21E52EF3"/>
    <w:rsid w:val="21FB5D7B"/>
    <w:rsid w:val="220B1C3D"/>
    <w:rsid w:val="221D1D20"/>
    <w:rsid w:val="22334A87"/>
    <w:rsid w:val="22BE6801"/>
    <w:rsid w:val="22F73C42"/>
    <w:rsid w:val="231436F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F7231"/>
    <w:rsid w:val="2640531E"/>
    <w:rsid w:val="26A53EF9"/>
    <w:rsid w:val="26A94201"/>
    <w:rsid w:val="26AC274F"/>
    <w:rsid w:val="27044A29"/>
    <w:rsid w:val="271D34C8"/>
    <w:rsid w:val="274D5177"/>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82B12"/>
    <w:rsid w:val="2A15033F"/>
    <w:rsid w:val="2A1662C1"/>
    <w:rsid w:val="2A1C7367"/>
    <w:rsid w:val="2A2815FA"/>
    <w:rsid w:val="2A524F86"/>
    <w:rsid w:val="2A6D6092"/>
    <w:rsid w:val="2A7D76B4"/>
    <w:rsid w:val="2AC36B2C"/>
    <w:rsid w:val="2B437463"/>
    <w:rsid w:val="2B7807EE"/>
    <w:rsid w:val="2BBF00EC"/>
    <w:rsid w:val="2BC37CFD"/>
    <w:rsid w:val="2BD5237F"/>
    <w:rsid w:val="2BE536CE"/>
    <w:rsid w:val="2BE758D9"/>
    <w:rsid w:val="2C09049E"/>
    <w:rsid w:val="2C0A653C"/>
    <w:rsid w:val="2C191F85"/>
    <w:rsid w:val="2C841377"/>
    <w:rsid w:val="2CE82D6F"/>
    <w:rsid w:val="2D343236"/>
    <w:rsid w:val="2DC03B59"/>
    <w:rsid w:val="2DD15014"/>
    <w:rsid w:val="2DF72DE4"/>
    <w:rsid w:val="2E0220AF"/>
    <w:rsid w:val="2E4B082A"/>
    <w:rsid w:val="2E5D4E86"/>
    <w:rsid w:val="2E5D790B"/>
    <w:rsid w:val="2E9A3C18"/>
    <w:rsid w:val="2EBB0FEE"/>
    <w:rsid w:val="2EC63002"/>
    <w:rsid w:val="2F0A6B38"/>
    <w:rsid w:val="2F946CCB"/>
    <w:rsid w:val="2FD25781"/>
    <w:rsid w:val="2FFD7934"/>
    <w:rsid w:val="30546081"/>
    <w:rsid w:val="30733ACD"/>
    <w:rsid w:val="30754DF6"/>
    <w:rsid w:val="308C3862"/>
    <w:rsid w:val="309379D8"/>
    <w:rsid w:val="30A270F7"/>
    <w:rsid w:val="30DF1478"/>
    <w:rsid w:val="30EC586F"/>
    <w:rsid w:val="319C6071"/>
    <w:rsid w:val="31AC537E"/>
    <w:rsid w:val="31E3679B"/>
    <w:rsid w:val="31E732FD"/>
    <w:rsid w:val="32517576"/>
    <w:rsid w:val="32BE5C2C"/>
    <w:rsid w:val="32F81C5D"/>
    <w:rsid w:val="32FB6478"/>
    <w:rsid w:val="33263B3F"/>
    <w:rsid w:val="336963EB"/>
    <w:rsid w:val="33816EEB"/>
    <w:rsid w:val="33EB55CD"/>
    <w:rsid w:val="33EC4C02"/>
    <w:rsid w:val="33FD7B69"/>
    <w:rsid w:val="340D2360"/>
    <w:rsid w:val="3410665D"/>
    <w:rsid w:val="34211214"/>
    <w:rsid w:val="342E63AB"/>
    <w:rsid w:val="34694A7D"/>
    <w:rsid w:val="34950E68"/>
    <w:rsid w:val="34986E94"/>
    <w:rsid w:val="34A10BE9"/>
    <w:rsid w:val="34AF62C9"/>
    <w:rsid w:val="34C5570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5F02AA"/>
    <w:rsid w:val="37EE7094"/>
    <w:rsid w:val="38296C89"/>
    <w:rsid w:val="383002EB"/>
    <w:rsid w:val="38586797"/>
    <w:rsid w:val="38BC0149"/>
    <w:rsid w:val="38D87D1C"/>
    <w:rsid w:val="38FF38E6"/>
    <w:rsid w:val="39636459"/>
    <w:rsid w:val="396B7F6C"/>
    <w:rsid w:val="3988102B"/>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7BE5"/>
    <w:rsid w:val="3DE041CB"/>
    <w:rsid w:val="3E0D48F6"/>
    <w:rsid w:val="3E1868B4"/>
    <w:rsid w:val="3E377251"/>
    <w:rsid w:val="3E42664B"/>
    <w:rsid w:val="3E5A7334"/>
    <w:rsid w:val="3E673BEE"/>
    <w:rsid w:val="3E7B5D6B"/>
    <w:rsid w:val="3E843E66"/>
    <w:rsid w:val="3E8F51FE"/>
    <w:rsid w:val="3E926F87"/>
    <w:rsid w:val="3E9A59DE"/>
    <w:rsid w:val="3EAF4836"/>
    <w:rsid w:val="3EC33DFA"/>
    <w:rsid w:val="3F060E16"/>
    <w:rsid w:val="3F1D1096"/>
    <w:rsid w:val="3F2F0234"/>
    <w:rsid w:val="3F6363FE"/>
    <w:rsid w:val="3F756B8F"/>
    <w:rsid w:val="3F95482B"/>
    <w:rsid w:val="3FE73C89"/>
    <w:rsid w:val="4019356B"/>
    <w:rsid w:val="4050529A"/>
    <w:rsid w:val="40592157"/>
    <w:rsid w:val="406E1CAE"/>
    <w:rsid w:val="40A0133A"/>
    <w:rsid w:val="40BF1232"/>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4658F"/>
    <w:rsid w:val="44002FAD"/>
    <w:rsid w:val="44317269"/>
    <w:rsid w:val="444F0CEF"/>
    <w:rsid w:val="44660984"/>
    <w:rsid w:val="449101DD"/>
    <w:rsid w:val="44DE1391"/>
    <w:rsid w:val="451B225C"/>
    <w:rsid w:val="452410C9"/>
    <w:rsid w:val="45317DFB"/>
    <w:rsid w:val="454D4C68"/>
    <w:rsid w:val="456D3CE4"/>
    <w:rsid w:val="4579042C"/>
    <w:rsid w:val="457F0571"/>
    <w:rsid w:val="45851176"/>
    <w:rsid w:val="45C63B94"/>
    <w:rsid w:val="460E7DA5"/>
    <w:rsid w:val="461955A2"/>
    <w:rsid w:val="46422483"/>
    <w:rsid w:val="4659254A"/>
    <w:rsid w:val="465B0637"/>
    <w:rsid w:val="465E3F0D"/>
    <w:rsid w:val="466A16E6"/>
    <w:rsid w:val="46893F2B"/>
    <w:rsid w:val="46C4686E"/>
    <w:rsid w:val="47380B78"/>
    <w:rsid w:val="477B778F"/>
    <w:rsid w:val="478203EC"/>
    <w:rsid w:val="47B025FA"/>
    <w:rsid w:val="4809698F"/>
    <w:rsid w:val="4811697D"/>
    <w:rsid w:val="487A3E25"/>
    <w:rsid w:val="488B5503"/>
    <w:rsid w:val="48937E21"/>
    <w:rsid w:val="489A0361"/>
    <w:rsid w:val="48B94FF3"/>
    <w:rsid w:val="48E37AAB"/>
    <w:rsid w:val="48FD4B4C"/>
    <w:rsid w:val="490A68E0"/>
    <w:rsid w:val="490C31DE"/>
    <w:rsid w:val="491055FE"/>
    <w:rsid w:val="495E60D1"/>
    <w:rsid w:val="495F5B3E"/>
    <w:rsid w:val="496F77D7"/>
    <w:rsid w:val="497654FD"/>
    <w:rsid w:val="49B64211"/>
    <w:rsid w:val="49F6167F"/>
    <w:rsid w:val="4A064FA0"/>
    <w:rsid w:val="4A16615C"/>
    <w:rsid w:val="4A4424D7"/>
    <w:rsid w:val="4AB82D0F"/>
    <w:rsid w:val="4AEB7664"/>
    <w:rsid w:val="4AFD7C19"/>
    <w:rsid w:val="4B0567D1"/>
    <w:rsid w:val="4B0E78A9"/>
    <w:rsid w:val="4B236AAE"/>
    <w:rsid w:val="4B2E1D31"/>
    <w:rsid w:val="4B707271"/>
    <w:rsid w:val="4B9739F7"/>
    <w:rsid w:val="4BEE2503"/>
    <w:rsid w:val="4C245A30"/>
    <w:rsid w:val="4CB6685F"/>
    <w:rsid w:val="4CC367FE"/>
    <w:rsid w:val="4D077F3C"/>
    <w:rsid w:val="4D123355"/>
    <w:rsid w:val="4D2A3B31"/>
    <w:rsid w:val="4D312C52"/>
    <w:rsid w:val="4D8240A4"/>
    <w:rsid w:val="4D905305"/>
    <w:rsid w:val="4D964A72"/>
    <w:rsid w:val="4D9C1254"/>
    <w:rsid w:val="4DE41CD0"/>
    <w:rsid w:val="4E3F6AE5"/>
    <w:rsid w:val="4E793892"/>
    <w:rsid w:val="4E800872"/>
    <w:rsid w:val="4E8519A6"/>
    <w:rsid w:val="4EC569ED"/>
    <w:rsid w:val="4ED50EA1"/>
    <w:rsid w:val="4EEC050C"/>
    <w:rsid w:val="4F104EC3"/>
    <w:rsid w:val="4F3E3AE6"/>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B5A23"/>
    <w:rsid w:val="5142540C"/>
    <w:rsid w:val="518832C8"/>
    <w:rsid w:val="5195201E"/>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735BB"/>
    <w:rsid w:val="53544462"/>
    <w:rsid w:val="536B49B0"/>
    <w:rsid w:val="5397158E"/>
    <w:rsid w:val="53A50F1C"/>
    <w:rsid w:val="54013861"/>
    <w:rsid w:val="54487265"/>
    <w:rsid w:val="544D6070"/>
    <w:rsid w:val="54605E1E"/>
    <w:rsid w:val="548E12A3"/>
    <w:rsid w:val="54B3506A"/>
    <w:rsid w:val="54CA0D16"/>
    <w:rsid w:val="54DD4057"/>
    <w:rsid w:val="54E7490F"/>
    <w:rsid w:val="550764A4"/>
    <w:rsid w:val="550B2BF6"/>
    <w:rsid w:val="55214EB5"/>
    <w:rsid w:val="55364EFD"/>
    <w:rsid w:val="554B71D5"/>
    <w:rsid w:val="555D4828"/>
    <w:rsid w:val="557A4C8B"/>
    <w:rsid w:val="558931E1"/>
    <w:rsid w:val="55923347"/>
    <w:rsid w:val="55925180"/>
    <w:rsid w:val="55983B1B"/>
    <w:rsid w:val="55A8376B"/>
    <w:rsid w:val="55DC29B6"/>
    <w:rsid w:val="55DD4241"/>
    <w:rsid w:val="566B6D1E"/>
    <w:rsid w:val="57032A2C"/>
    <w:rsid w:val="570F5219"/>
    <w:rsid w:val="571F3CAB"/>
    <w:rsid w:val="574A469E"/>
    <w:rsid w:val="5753678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96FA9"/>
    <w:rsid w:val="59A32035"/>
    <w:rsid w:val="59F80043"/>
    <w:rsid w:val="5A09252F"/>
    <w:rsid w:val="5A0B2778"/>
    <w:rsid w:val="5A2A7C7B"/>
    <w:rsid w:val="5A3E2560"/>
    <w:rsid w:val="5A5D3B6E"/>
    <w:rsid w:val="5A637A76"/>
    <w:rsid w:val="5A6D33BA"/>
    <w:rsid w:val="5A792B1F"/>
    <w:rsid w:val="5A874767"/>
    <w:rsid w:val="5AAD6F28"/>
    <w:rsid w:val="5AD63A24"/>
    <w:rsid w:val="5B2E1A1D"/>
    <w:rsid w:val="5B815DA7"/>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945651"/>
    <w:rsid w:val="5EDF0F7C"/>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2F4784"/>
    <w:rsid w:val="633D5518"/>
    <w:rsid w:val="635B1DB5"/>
    <w:rsid w:val="63711FED"/>
    <w:rsid w:val="63880DDC"/>
    <w:rsid w:val="638D750D"/>
    <w:rsid w:val="63AC6CC0"/>
    <w:rsid w:val="64055776"/>
    <w:rsid w:val="64240056"/>
    <w:rsid w:val="64281075"/>
    <w:rsid w:val="643E143A"/>
    <w:rsid w:val="648B6EEF"/>
    <w:rsid w:val="64C158BF"/>
    <w:rsid w:val="64CE2EAA"/>
    <w:rsid w:val="653C3090"/>
    <w:rsid w:val="65767CBF"/>
    <w:rsid w:val="65854376"/>
    <w:rsid w:val="658767BE"/>
    <w:rsid w:val="65892531"/>
    <w:rsid w:val="66195831"/>
    <w:rsid w:val="662E75B1"/>
    <w:rsid w:val="66342C2E"/>
    <w:rsid w:val="663E784C"/>
    <w:rsid w:val="668B6A45"/>
    <w:rsid w:val="67157571"/>
    <w:rsid w:val="672F3F24"/>
    <w:rsid w:val="673E055F"/>
    <w:rsid w:val="67551CE3"/>
    <w:rsid w:val="679B231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161F7"/>
    <w:rsid w:val="6B24787C"/>
    <w:rsid w:val="6B573233"/>
    <w:rsid w:val="6B5B6274"/>
    <w:rsid w:val="6B935D53"/>
    <w:rsid w:val="6BBB01F3"/>
    <w:rsid w:val="6C196F71"/>
    <w:rsid w:val="6C226FCB"/>
    <w:rsid w:val="6C31226F"/>
    <w:rsid w:val="6C552F0B"/>
    <w:rsid w:val="6C624D29"/>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5F9E"/>
    <w:rsid w:val="713B688E"/>
    <w:rsid w:val="71D43752"/>
    <w:rsid w:val="71F1796A"/>
    <w:rsid w:val="72154626"/>
    <w:rsid w:val="72262B5D"/>
    <w:rsid w:val="72283FF7"/>
    <w:rsid w:val="722E7212"/>
    <w:rsid w:val="723A0474"/>
    <w:rsid w:val="725923E4"/>
    <w:rsid w:val="72864BF7"/>
    <w:rsid w:val="729023FC"/>
    <w:rsid w:val="73227839"/>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072A4"/>
    <w:rsid w:val="761D08E0"/>
    <w:rsid w:val="765D347C"/>
    <w:rsid w:val="76826699"/>
    <w:rsid w:val="76C87133"/>
    <w:rsid w:val="76CD08D5"/>
    <w:rsid w:val="76DB4B92"/>
    <w:rsid w:val="77052AA4"/>
    <w:rsid w:val="77136511"/>
    <w:rsid w:val="77340A39"/>
    <w:rsid w:val="77351FD0"/>
    <w:rsid w:val="77472422"/>
    <w:rsid w:val="777F31F2"/>
    <w:rsid w:val="77B66150"/>
    <w:rsid w:val="77D1700D"/>
    <w:rsid w:val="77E87688"/>
    <w:rsid w:val="77EC04CC"/>
    <w:rsid w:val="78775729"/>
    <w:rsid w:val="78A42DB0"/>
    <w:rsid w:val="78A656AB"/>
    <w:rsid w:val="78B2245C"/>
    <w:rsid w:val="78E172CC"/>
    <w:rsid w:val="78EA1D1F"/>
    <w:rsid w:val="7904172F"/>
    <w:rsid w:val="790F7E27"/>
    <w:rsid w:val="792A231A"/>
    <w:rsid w:val="79316829"/>
    <w:rsid w:val="79440FF5"/>
    <w:rsid w:val="797E66A9"/>
    <w:rsid w:val="79A97383"/>
    <w:rsid w:val="79DF2D87"/>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C6649"/>
    <w:rsid w:val="7E0E356E"/>
    <w:rsid w:val="7E1E5218"/>
    <w:rsid w:val="7E9A4E1F"/>
    <w:rsid w:val="7EA7723A"/>
    <w:rsid w:val="7EF56FBB"/>
    <w:rsid w:val="7F0768EB"/>
    <w:rsid w:val="7F143BEC"/>
    <w:rsid w:val="7F323533"/>
    <w:rsid w:val="7F715AF2"/>
    <w:rsid w:val="7F886E69"/>
    <w:rsid w:val="7FF50CD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4"/>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187"/>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next w:val="2"/>
    <w:link w:val="19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29"/>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0"/>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2"/>
    <w:basedOn w:val="2"/>
    <w:next w:val="62"/>
    <w:link w:val="120"/>
    <w:qFormat/>
    <w:uiPriority w:val="0"/>
    <w:pPr>
      <w:adjustRightInd/>
      <w:spacing w:after="120" w:line="240" w:lineRule="auto"/>
      <w:ind w:left="420" w:leftChars="200" w:firstLine="210"/>
    </w:pPr>
    <w:rPr>
      <w:sz w:val="21"/>
    </w:rPr>
  </w:style>
  <w:style w:type="paragraph" w:customStyle="1" w:styleId="6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16"/>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7"/>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26"/>
    <w:qFormat/>
    <w:uiPriority w:val="0"/>
    <w:pPr>
      <w:tabs>
        <w:tab w:val="left" w:pos="2790"/>
        <w:tab w:val="left" w:pos="4230"/>
      </w:tabs>
      <w:snapToGrid w:val="0"/>
      <w:jc w:val="center"/>
      <w:outlineLvl w:val="1"/>
    </w:pPr>
    <w:rPr>
      <w:rFonts w:ascii="仿宋_GB2312" w:hAnsi="仿宋" w:eastAsia="仿宋_GB2312"/>
      <w:b/>
      <w:bCs/>
      <w:kern w:val="0"/>
      <w:sz w:val="32"/>
      <w:szCs w:val="30"/>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basedOn w:val="70"/>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表格内容"/>
    <w:qFormat/>
    <w:uiPriority w:val="2"/>
    <w:pPr>
      <w:jc w:val="center"/>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31838</Words>
  <Characters>33526</Characters>
  <Lines>258</Lines>
  <Paragraphs>72</Paragraphs>
  <TotalTime>102</TotalTime>
  <ScaleCrop>false</ScaleCrop>
  <LinksUpToDate>false</LinksUpToDate>
  <CharactersWithSpaces>34879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2023-06-28T06:02:00Z</dcterms:created>
  <dc:creator>Administrator.20180320-173244</dc:creator>
  <cp:lastModifiedBy>Administrator</cp:lastModifiedBy>
  <cp:lastPrinted>2023-06-30T02:34:00Z</cp:lastPrinted>
  <dcterms:modified xsi:type="dcterms:W3CDTF">2023-09-25T08:00:27Z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DCFFA8109FCD4F9FB9ECF7890AD2A963_13</vt:lpwstr>
  </property>
</Properties>
</file>