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469E9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技术、服务及其他要求</w:t>
      </w:r>
    </w:p>
    <w:p w14:paraId="4FAFAE46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14:paraId="36A78C4B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28BA768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3B1B5992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418,900.00</w:t>
      </w:r>
    </w:p>
    <w:p w14:paraId="2DB0D2F9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418,900.00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42000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5AB454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5D488E6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2FD6A1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7F698F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04D085B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39E1FD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3406B68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1D1ED20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48FAF2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2DC31EA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37294E0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526A92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4813AD21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61D37AB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C20020600 工程监理服务</w:t>
            </w:r>
          </w:p>
        </w:tc>
        <w:tc>
          <w:tcPr>
            <w:tcW w:w="821" w:type="dxa"/>
          </w:tcPr>
          <w:p w14:paraId="667E1E9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雅砻江新龙县供科农业园区段防洪提工程监理</w:t>
            </w:r>
          </w:p>
        </w:tc>
        <w:tc>
          <w:tcPr>
            <w:tcW w:w="821" w:type="dxa"/>
          </w:tcPr>
          <w:p w14:paraId="5679C33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4F30F84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418,900.00</w:t>
            </w:r>
          </w:p>
        </w:tc>
        <w:tc>
          <w:tcPr>
            <w:tcW w:w="821" w:type="dxa"/>
          </w:tcPr>
          <w:p w14:paraId="76A5287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1AA9718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120D174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4EBC09B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7C98A5C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596FB7C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86F30DE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报价要求</w:t>
      </w:r>
    </w:p>
    <w:p w14:paraId="7040D066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6026B8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755BF0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07" w:type="dxa"/>
          </w:tcPr>
          <w:p w14:paraId="5B12C1D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1138" w:type="dxa"/>
          </w:tcPr>
          <w:p w14:paraId="7BA713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数量（计量单位）</w:t>
            </w:r>
          </w:p>
        </w:tc>
        <w:tc>
          <w:tcPr>
            <w:tcW w:w="1365" w:type="dxa"/>
          </w:tcPr>
          <w:p w14:paraId="1656C71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1138" w:type="dxa"/>
          </w:tcPr>
          <w:p w14:paraId="6D03D8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934" w:type="dxa"/>
          </w:tcPr>
          <w:p w14:paraId="320850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75E47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7F469FA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07" w:type="dxa"/>
          </w:tcPr>
          <w:p w14:paraId="4D7E7A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雅砻江新龙县供科农业园区段防洪提工程监理</w:t>
            </w:r>
          </w:p>
        </w:tc>
        <w:tc>
          <w:tcPr>
            <w:tcW w:w="1138" w:type="dxa"/>
          </w:tcPr>
          <w:p w14:paraId="41C6C8F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1365" w:type="dxa"/>
          </w:tcPr>
          <w:p w14:paraId="58CEB6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418,900.00</w:t>
            </w:r>
          </w:p>
        </w:tc>
        <w:tc>
          <w:tcPr>
            <w:tcW w:w="1138" w:type="dxa"/>
          </w:tcPr>
          <w:p w14:paraId="2595ED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总价</w:t>
            </w:r>
          </w:p>
        </w:tc>
        <w:tc>
          <w:tcPr>
            <w:tcW w:w="1934" w:type="dxa"/>
          </w:tcPr>
          <w:p w14:paraId="5CB195A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0D9BE968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★注：本采购包涉及采购货物的，供应商响应产品应当明确品牌和规格型号并指向唯一产品，不能指向唯一产品的，应通过报价表唯一产品说明栏补充说明。</w:t>
      </w:r>
    </w:p>
    <w:p w14:paraId="031D2B4D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本项目涉及核心产品：</w:t>
      </w:r>
    </w:p>
    <w:p w14:paraId="20615F22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0E6DB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3501B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BE32F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3723AE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155BF2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92A6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ED5627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17114060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注：涉及核心产品的，具体评审规定见第五章。</w:t>
      </w:r>
    </w:p>
    <w:p w14:paraId="7724A748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本项目涉及采购进口产品：</w:t>
      </w:r>
    </w:p>
    <w:p w14:paraId="1E6E3FB0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1FCD25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DE3C96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A92207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137D31F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3F6E638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2EB40C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008B9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24E23863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★注：不涉及采购进口产品时，供应商不得提供进口产品进行响应；涉及采购进口产品时，如国产产品满足采购需求，也可提供国产产品进行响应。</w:t>
      </w:r>
    </w:p>
    <w:p w14:paraId="08F3AAE6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本项目涉及强制采购节能产品：</w:t>
      </w:r>
    </w:p>
    <w:p w14:paraId="2C1233F5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32C3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8F7EDD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7CFCA7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730F53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0FB7A8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7A80C7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D0DB0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5E18D23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响应产品属于《节能产品政府采购品目清单》中政府强制采购的产品，供应商应当提供由国家确定的认证机构出具的、处于有效期之内的节能产品认证证书的原件扫描件或“全国认证认可信息公共服务平台”（http://cx.cnca.cn）的认证信息截图，否则作无效响应处理。具体要求详见第五章符合性审查表。</w:t>
      </w:r>
    </w:p>
    <w:p w14:paraId="76051A04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本项目涉及优先采购节能产品：</w:t>
      </w:r>
    </w:p>
    <w:p w14:paraId="787BF43E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E48B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2EA88C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A4229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04667F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315F464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4AEF5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579F4A0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1DF45D73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节能产品政府采购品目清单》中优先采购的产品，供应商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14:paraId="79457613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本项目涉及优先采购环境标志产品：</w:t>
      </w:r>
    </w:p>
    <w:p w14:paraId="2C5DD78C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FCA7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F33349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690B594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7C1380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51AB5E4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D6069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7A43227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68376D8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环境标志产品政府采购品目清单》中的产品，供应商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14:paraId="50BC3E83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3.2.技术要求</w:t>
      </w:r>
    </w:p>
    <w:p w14:paraId="3E173B2A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098C3A0D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标的名称：雅砻江新龙县供科农业园区段防洪提工程监理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082FB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76DCD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0760C55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28F37F6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14A155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36DDEB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8172D7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20751C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74820B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雅砻江新龙县供科农业园区段防洪提工程监理</w:t>
            </w:r>
          </w:p>
        </w:tc>
        <w:tc>
          <w:tcPr>
            <w:tcW w:w="5814" w:type="dxa"/>
          </w:tcPr>
          <w:p w14:paraId="77492C49">
            <w:pPr>
              <w:pStyle w:val="4"/>
              <w:spacing w:before="120"/>
              <w:ind w:left="120" w:right="555" w:firstLine="28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1.服务范围：本项日建设的全部内容的施工监理工作、包括施工直至竣工验收及整体移交。 2.服务目标：确保工程安全施工，按合同工期完工，节省投资。</w:t>
            </w:r>
          </w:p>
          <w:p w14:paraId="069BDD83">
            <w:pPr>
              <w:pStyle w:val="4"/>
              <w:spacing w:before="120"/>
              <w:ind w:left="120" w:right="555" w:firstLine="28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3.质量要求：满足国家及地方现行规范、规程及标准的合格要求。</w:t>
            </w:r>
          </w:p>
          <w:p w14:paraId="61E4F9E0">
            <w:pPr>
              <w:pStyle w:val="4"/>
              <w:spacing w:before="120"/>
              <w:ind w:left="120" w:right="555" w:firstLine="28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4.服务内容：</w:t>
            </w:r>
          </w:p>
          <w:p w14:paraId="44E9309F">
            <w:pPr>
              <w:pStyle w:val="4"/>
              <w:ind w:left="75" w:firstLine="319"/>
              <w:jc w:val="both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4.1本项目的施工及缺陷责任期全过程监理、包括工程质量、建设进度、投资控制、安全生产、文明施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工、信息、合同管理、现场施工协调、监理抽检及实验检测，并配合采购人完成工程结算和审计等相关工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作。</w:t>
            </w:r>
          </w:p>
          <w:p w14:paraId="02C5BFB6">
            <w:pPr>
              <w:pStyle w:val="4"/>
              <w:spacing w:before="1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4.2监理具体工作包括但不限于以下内容：</w:t>
            </w:r>
          </w:p>
          <w:p w14:paraId="72920DB4">
            <w:pPr>
              <w:pStyle w:val="4"/>
              <w:spacing w:before="12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(1)编写和签发开工报告；</w:t>
            </w:r>
          </w:p>
          <w:p w14:paraId="4BD68255">
            <w:pPr>
              <w:pStyle w:val="4"/>
              <w:spacing w:before="15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(2)审查承建单位各项施工准备工作，下达开工通知；</w:t>
            </w:r>
          </w:p>
          <w:p w14:paraId="672AA2B8">
            <w:pPr>
              <w:pStyle w:val="4"/>
              <w:spacing w:before="13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(3)督促承建单位施工管理制度和质量保证体系的建立、健全和实施；</w:t>
            </w:r>
          </w:p>
          <w:p w14:paraId="6527EB7C">
            <w:pPr>
              <w:pStyle w:val="4"/>
              <w:spacing w:before="13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(4)审查承建单位提交的施工组织设计、施工技术方案和施工进度计划，专项措施方案，并监督实施；</w:t>
            </w:r>
          </w:p>
          <w:p w14:paraId="0497EDB4">
            <w:pPr>
              <w:pStyle w:val="4"/>
              <w:spacing w:before="15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(5)组织设计交底、图纸会审、工程例会，审查设计变更；</w:t>
            </w:r>
          </w:p>
          <w:p w14:paraId="63C3659E">
            <w:pPr>
              <w:pStyle w:val="4"/>
              <w:spacing w:before="13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(6)编制投资控制计划，审核已完工程量，并按已审工程量签认承建单位工程中期付款申请；</w:t>
            </w:r>
          </w:p>
          <w:p w14:paraId="14F891B4">
            <w:pPr>
              <w:pStyle w:val="4"/>
              <w:spacing w:before="15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(7)经设计咨询单位审核、委托人批准设计变更后，发布施工工程变更令；</w:t>
            </w:r>
          </w:p>
          <w:p w14:paraId="11990D18">
            <w:pPr>
              <w:pStyle w:val="4"/>
              <w:spacing w:before="150"/>
              <w:ind w:left="120" w:firstLine="9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(8)审查工程使用的原材料、半成品、成品、构配件和设备的质量、见证取样复检，必要时进行测试和监控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；</w:t>
            </w:r>
          </w:p>
          <w:p w14:paraId="5782B10C">
            <w:pPr>
              <w:pStyle w:val="4"/>
              <w:spacing w:before="150"/>
              <w:ind w:left="120" w:firstLine="9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(9)监督承建单位严格按技术规范和设计文件施工，控制工程质量，重要工程部位督促承建单位实施预</w:t>
            </w:r>
          </w:p>
          <w:p w14:paraId="09A3C5D3">
            <w:pPr>
              <w:pStyle w:val="4"/>
              <w:spacing w:before="16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控制措施；</w:t>
            </w:r>
          </w:p>
          <w:p w14:paraId="5EFF5C89">
            <w:pPr>
              <w:pStyle w:val="4"/>
              <w:spacing w:before="16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(10)抽查工程施工质量，对隐蔽工程进行复验签证并进行旁站监理，参与工程质量事故的分析及处理；</w:t>
            </w:r>
          </w:p>
          <w:p w14:paraId="58D6F2C7">
            <w:pPr>
              <w:pStyle w:val="4"/>
              <w:spacing w:before="13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(11)分阶段进行进度控制，及时提出调整意见；</w:t>
            </w:r>
          </w:p>
          <w:p w14:paraId="70CB37F1">
            <w:pPr>
              <w:pStyle w:val="4"/>
              <w:spacing w:before="12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(12)协助处理合同纠纷和索赔事宜，协调委托人与承建商之间的争议；</w:t>
            </w:r>
          </w:p>
          <w:p w14:paraId="035C7A32">
            <w:pPr>
              <w:pStyle w:val="4"/>
              <w:spacing w:before="18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(13)监督检查安全生产，文明施工的实施；</w:t>
            </w:r>
          </w:p>
          <w:p w14:paraId="2C1DD58C">
            <w:pPr>
              <w:pStyle w:val="4"/>
              <w:spacing w:before="12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(14)编制监理工作月报、监理工作总结和质检运行报告，报委托人和县有关主管部门；</w:t>
            </w:r>
          </w:p>
          <w:p w14:paraId="39D7F59A">
            <w:pPr>
              <w:pStyle w:val="4"/>
              <w:spacing w:before="12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(15)督促承建单位整理合同文件及施工技术档案资料；</w:t>
            </w:r>
          </w:p>
          <w:p w14:paraId="2FB4825B">
            <w:pPr>
              <w:pStyle w:val="4"/>
              <w:spacing w:before="15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(16)组织并参与工程出验，参与工程竣工验收，对工程质量提出评价意见；</w:t>
            </w:r>
          </w:p>
          <w:p w14:paraId="7B2E81C6">
            <w:pPr>
              <w:pStyle w:val="4"/>
              <w:spacing w:before="13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(17)审核竣工图纸和其他技术资料；</w:t>
            </w:r>
          </w:p>
          <w:p w14:paraId="680E285C">
            <w:pPr>
              <w:pStyle w:val="4"/>
              <w:spacing w:before="13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(18)编制监理工作竣工资料和项目工程最终总结；负责工程缺陷责任期内的工程修复、检修、检验、实验及相关监理工作；</w:t>
            </w:r>
          </w:p>
          <w:p w14:paraId="334C6C3E">
            <w:pPr>
              <w:pStyle w:val="4"/>
              <w:spacing w:before="12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(19)签发交工验收证书和工程缺陷责任终止证书；</w:t>
            </w:r>
          </w:p>
          <w:p w14:paraId="4F1E12F3">
            <w:pPr>
              <w:pStyle w:val="4"/>
              <w:spacing w:before="150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(20)签发最终支付证书；</w:t>
            </w:r>
          </w:p>
          <w:p w14:paraId="2F2F8B7E">
            <w:pPr>
              <w:pStyle w:val="4"/>
              <w:spacing w:before="105"/>
              <w:ind w:left="12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(21)国家法律、法规和规范规定的工作内容。</w:t>
            </w:r>
          </w:p>
          <w:p w14:paraId="3A5E4BB1">
            <w:pPr>
              <w:pStyle w:val="4"/>
              <w:spacing w:before="180"/>
              <w:ind w:left="405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5.服务要求：</w:t>
            </w:r>
          </w:p>
          <w:p w14:paraId="1C9A693E">
            <w:pPr>
              <w:pStyle w:val="4"/>
              <w:spacing w:before="135"/>
              <w:ind w:left="120" w:right="15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(1)供应商应遵循职业道德准则和行为规范，严格按照法律法规、工程建设有关标准及本合同履行职责。</w:t>
            </w:r>
          </w:p>
          <w:p w14:paraId="3CB935FA">
            <w:pPr>
              <w:pStyle w:val="4"/>
              <w:ind w:left="120" w:firstLine="29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(2)在监理与相关服务范围内，采购人和施工承包人提出的意见和要求，供应商应及时提出处置意见。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19"/>
              </w:rPr>
              <w:t>当采购人与施工承包人之间发生合同争议时，供应商应协助采购人、施工承包人协商解决。</w:t>
            </w:r>
          </w:p>
          <w:p w14:paraId="273A9D2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(3)供应商应在专用条件约定的授权范围内，处理采购人与施工承包人所签订合同的变更事宜。如果变 更超过授权范围，应以书面形式报采购人批准。在紧急情况下，为了保护财产和人身安全，供应商所发出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>的指令未能事先报采购人批准时，应在发出指令后的24小时内以书面形式报采购人。</w:t>
            </w:r>
          </w:p>
        </w:tc>
      </w:tr>
    </w:tbl>
    <w:p w14:paraId="3CBBB60D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3.3.服务要求</w:t>
      </w:r>
    </w:p>
    <w:p w14:paraId="47B621F4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3.3.1服务内容要求</w:t>
      </w:r>
    </w:p>
    <w:p w14:paraId="29A2116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1284C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9D814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78BF8F8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565260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6CE63F1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36192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754E05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7FE02C89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3.3.2.商务要求</w:t>
      </w:r>
    </w:p>
    <w:p w14:paraId="0D734B9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26A46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344827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722E7D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414A81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395AC7B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25361F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80D9F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4BEC17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22D7C4B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服务期限</w:t>
            </w:r>
          </w:p>
        </w:tc>
        <w:tc>
          <w:tcPr>
            <w:tcW w:w="5814" w:type="dxa"/>
          </w:tcPr>
          <w:p w14:paraId="3D65E1B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365</w:t>
            </w:r>
          </w:p>
        </w:tc>
      </w:tr>
      <w:tr w14:paraId="0AC25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D5BE5A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50A7ED7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51C3C4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服务地点</w:t>
            </w:r>
          </w:p>
        </w:tc>
        <w:tc>
          <w:tcPr>
            <w:tcW w:w="5814" w:type="dxa"/>
          </w:tcPr>
          <w:p w14:paraId="2F0D19E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新龙县</w:t>
            </w:r>
          </w:p>
        </w:tc>
      </w:tr>
      <w:tr w14:paraId="4AE57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7F620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4A27523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84898A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102CD45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①严格执行国家的各项政策、技术标准、规范等。在实施过程中，如果国家或有 关部委颁发了新的技术标准或规范，则编制单位应采用新的标准或规范。②履约验收工作由采购人负责。按照 政部《关于进一步加强政府采购需求和履约验收管理的指导意见》(财库〔2016〕205号)和成交供应商的响应文 及合同约定进行验收。</w:t>
            </w:r>
          </w:p>
        </w:tc>
      </w:tr>
      <w:tr w14:paraId="70CF0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5FCB0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6E1E35A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01EF0A3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09AF4AC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分期付款</w:t>
            </w:r>
          </w:p>
        </w:tc>
      </w:tr>
      <w:tr w14:paraId="22414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387513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3EA79A0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61FBEB4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448574E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1、项目签订合同之后，达到付款条件起15日内，支付合同总金额的30.00%</w:t>
            </w:r>
          </w:p>
          <w:p w14:paraId="2B8E9D5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2、项目完工后，乙方提交全套监理竣工资料，达到付款条件起15日内，支付合同总金额的40.00%</w:t>
            </w:r>
          </w:p>
          <w:p w14:paraId="5DC0698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3、项目完工并验收后，达到付款条件起15日内，支付合同总金额的30.00%</w:t>
            </w:r>
          </w:p>
        </w:tc>
      </w:tr>
      <w:tr w14:paraId="2DFCC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F50666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7C75BC4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4A7AFDA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1A2C912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详见合同草案</w:t>
            </w:r>
          </w:p>
        </w:tc>
      </w:tr>
    </w:tbl>
    <w:p w14:paraId="751F8A86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3.4.其他要求</w:t>
      </w:r>
    </w:p>
    <w:p w14:paraId="4FFCA7F2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537800E8">
      <w:r>
        <w:rPr>
          <w:rFonts w:ascii="仿宋_GB2312" w:hAnsi="仿宋_GB2312" w:eastAsia="仿宋_GB2312" w:cs="仿宋_GB2312"/>
        </w:rPr>
        <w:t>方案包括：1.质量控制措施，①施工阶段质量控制目标及方案②对重点及关键点的把握③专项质量保证措施。2.进度控制措施，包括①进度控制措施②节点工期控制及控制工期方法③跟踪落实措施。3.监理控制措施，根据监理控制措施评定。包括①资金运用提出合理化建议②控制方法程序③控制措施。4.合同信息管理，根据合同及信息管理措施进行评定：包括①根据合同条款对进度、费用、质量等实施合同管理措施②建立信息档案③合同跟踪管理，5.安全文明施工控制措施，根据提供的安全管理措施进行综合评审：包括①安全管理方案②专职安全人员安排③专项安全措施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74AFD"/>
    <w:rsid w:val="1C37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2025-11-20T06:48:00Z</dcterms:created>
  <dc:creator>admin</dc:creator>
  <cp:lastModifiedBy>admin</cp:lastModifiedBy>
  <dcterms:modified xsi:type="dcterms:W3CDTF">2025-11-20T06:48:47Z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3478A86AC2CB4B4E88CB2226AA23CD99_11</vt:lpwstr>
  </property>
  <property fmtid="{D5CDD505-2E9C-101B-9397-08002B2CF9AE}" pid="4" name="KSOTemplateDocerSaveRecord">
    <vt:lpwstr>eyJoZGlkIjoiNWRhYWM0ZTI5N2JlMzVlNjA1ZTQ1YTJkNzg3MzVlYWUiLCJ1c2VySWQiOiIyNDYxNTY0NzkifQ==</vt:lpwstr>
  </property>
</Properties>
</file>