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ind w:firstLine="964"/>
        <w:jc w:val="both"/>
        <w:rPr>
          <w:rFonts w:hint="eastAsia" w:ascii="Times New Roman" w:hAnsi="Times New Roman" w:eastAsia="宋体" w:cs="Times New Roman"/>
          <w:b/>
          <w:bCs/>
          <w:kern w:val="2"/>
          <w:sz w:val="48"/>
          <w:szCs w:val="48"/>
          <w:lang w:val="en-US" w:eastAsia="zh-CN" w:bidi="ar-SA"/>
        </w:rPr>
      </w:pPr>
    </w:p>
    <w:p>
      <w:pPr>
        <w:jc w:val="center"/>
        <w:rPr>
          <w:rFonts w:hint="eastAsia" w:ascii="Times New Roman" w:hAnsi="Times New Roman" w:eastAsia="宋体" w:cs="Times New Roman"/>
          <w:b/>
          <w:bCs/>
          <w:color w:val="auto"/>
          <w:sz w:val="48"/>
          <w:szCs w:val="48"/>
          <w:u w:val="none"/>
        </w:rPr>
      </w:pPr>
      <w:r>
        <w:rPr>
          <w:rFonts w:hint="eastAsia" w:ascii="Times New Roman" w:hAnsi="Times New Roman" w:eastAsia="宋体" w:cs="Times New Roman"/>
          <w:b/>
          <w:bCs/>
          <w:color w:val="auto"/>
          <w:sz w:val="48"/>
          <w:szCs w:val="48"/>
          <w:u w:val="none"/>
        </w:rPr>
        <w:t>广州市公安局交警支队2025年交通设施完善项目-路权分配优化项目</w:t>
      </w:r>
    </w:p>
    <w:p>
      <w:pPr>
        <w:jc w:val="center"/>
        <w:rPr>
          <w:rFonts w:ascii="Times New Roman" w:hAnsi="Times New Roman" w:eastAsia="宋体" w:cs="Times New Roman"/>
          <w:b/>
          <w:bCs/>
          <w:color w:val="auto"/>
          <w:sz w:val="48"/>
          <w:szCs w:val="48"/>
        </w:rPr>
      </w:pPr>
      <w:r>
        <w:rPr>
          <w:rFonts w:hint="eastAsia" w:ascii="Times New Roman" w:hAnsi="Times New Roman" w:eastAsia="宋体" w:cs="Times New Roman"/>
          <w:b/>
          <w:bCs/>
          <w:color w:val="auto"/>
          <w:sz w:val="48"/>
          <w:szCs w:val="48"/>
          <w:u w:val="none"/>
        </w:rPr>
        <w:t>（标段1~标段</w:t>
      </w:r>
      <w:r>
        <w:rPr>
          <w:rFonts w:hint="eastAsia" w:ascii="Times New Roman" w:hAnsi="Times New Roman" w:eastAsia="宋体" w:cs="Times New Roman"/>
          <w:b/>
          <w:bCs/>
          <w:color w:val="auto"/>
          <w:sz w:val="48"/>
          <w:szCs w:val="48"/>
          <w:u w:val="none"/>
          <w:lang w:val="en-US" w:eastAsia="zh-CN"/>
        </w:rPr>
        <w:t>3</w:t>
      </w:r>
      <w:r>
        <w:rPr>
          <w:rFonts w:hint="eastAsia" w:ascii="Times New Roman" w:hAnsi="Times New Roman" w:eastAsia="宋体" w:cs="Times New Roman"/>
          <w:b/>
          <w:bCs/>
          <w:color w:val="auto"/>
          <w:sz w:val="48"/>
          <w:szCs w:val="48"/>
          <w:u w:val="none"/>
        </w:rPr>
        <w:t>）</w:t>
      </w:r>
    </w:p>
    <w:p>
      <w:pPr>
        <w:widowControl w:val="0"/>
        <w:jc w:val="both"/>
        <w:rPr>
          <w:rFonts w:ascii="宋体" w:hAnsi="Courier New" w:eastAsia="宋体" w:cs="Times New Roman"/>
          <w:b/>
          <w:bCs/>
          <w:color w:val="auto"/>
          <w:kern w:val="0"/>
          <w:sz w:val="28"/>
          <w:szCs w:val="28"/>
          <w:lang w:val="en-US" w:eastAsia="zh-CN" w:bidi="ar-SA"/>
        </w:rPr>
      </w:pPr>
    </w:p>
    <w:p>
      <w:pPr>
        <w:rPr>
          <w:rFonts w:ascii="Times New Roman" w:hAnsi="Times New Roman" w:eastAsia="宋体" w:cs="Times New Roman"/>
        </w:rPr>
      </w:pPr>
    </w:p>
    <w:p>
      <w:pPr>
        <w:jc w:val="center"/>
        <w:rPr>
          <w:rFonts w:ascii="Times New Roman" w:hAnsi="Times New Roman" w:eastAsia="宋体" w:cs="Times New Roman"/>
          <w:b/>
          <w:bCs/>
          <w:color w:val="auto"/>
          <w:sz w:val="28"/>
          <w:szCs w:val="28"/>
        </w:rPr>
      </w:pPr>
    </w:p>
    <w:p>
      <w:pPr>
        <w:jc w:val="center"/>
        <w:rPr>
          <w:rFonts w:ascii="Times New Roman" w:hAnsi="Times New Roman" w:eastAsia="宋体" w:cs="Times New Roman"/>
          <w:b/>
          <w:bCs/>
          <w:color w:val="auto"/>
          <w:sz w:val="28"/>
          <w:szCs w:val="28"/>
        </w:rPr>
      </w:pPr>
    </w:p>
    <w:p>
      <w:pPr>
        <w:widowControl w:val="0"/>
        <w:jc w:val="both"/>
        <w:rPr>
          <w:rFonts w:ascii="宋体" w:hAnsi="Courier New" w:eastAsia="宋体" w:cs="Times New Roman"/>
          <w:kern w:val="0"/>
          <w:sz w:val="20"/>
          <w:szCs w:val="20"/>
          <w:lang w:val="en-US" w:eastAsia="zh-CN" w:bidi="ar-SA"/>
        </w:rPr>
      </w:pPr>
    </w:p>
    <w:p>
      <w:pPr>
        <w:jc w:val="center"/>
        <w:rPr>
          <w:rFonts w:ascii="Times New Roman" w:hAnsi="Times New Roman" w:eastAsia="宋体" w:cs="Times New Roman"/>
          <w:b/>
          <w:bCs/>
          <w:color w:val="auto"/>
          <w:sz w:val="84"/>
          <w:szCs w:val="84"/>
        </w:rPr>
      </w:pPr>
      <w:r>
        <w:rPr>
          <w:rFonts w:hint="eastAsia" w:ascii="Times New Roman" w:hAnsi="Times New Roman" w:eastAsia="宋体" w:cs="Times New Roman"/>
          <w:b/>
          <w:bCs/>
          <w:color w:val="auto"/>
          <w:sz w:val="84"/>
          <w:szCs w:val="84"/>
          <w:u w:val="none"/>
        </w:rPr>
        <w:t>招标公告</w:t>
      </w:r>
    </w:p>
    <w:p>
      <w:pPr>
        <w:jc w:val="center"/>
        <w:rPr>
          <w:rFonts w:ascii="Times New Roman" w:hAnsi="Times New Roman" w:eastAsia="宋体" w:cs="Times New Roman"/>
          <w:b/>
          <w:bCs/>
          <w:color w:val="auto"/>
          <w:sz w:val="28"/>
          <w:szCs w:val="28"/>
        </w:rPr>
      </w:pPr>
    </w:p>
    <w:p>
      <w:pPr>
        <w:jc w:val="center"/>
        <w:rPr>
          <w:rFonts w:ascii="Times New Roman" w:hAnsi="Times New Roman" w:eastAsia="宋体" w:cs="Times New Roman"/>
          <w:b/>
          <w:bCs/>
          <w:color w:val="auto"/>
          <w:sz w:val="28"/>
          <w:szCs w:val="28"/>
        </w:rPr>
      </w:pPr>
    </w:p>
    <w:p>
      <w:pPr>
        <w:keepNext/>
        <w:keepLines/>
        <w:widowControl w:val="0"/>
        <w:numPr>
          <w:ilvl w:val="1"/>
          <w:numId w:val="0"/>
        </w:numPr>
        <w:tabs>
          <w:tab w:val="right" w:leader="dot" w:pos="9060"/>
        </w:tabs>
        <w:spacing w:before="120" w:after="120" w:line="415" w:lineRule="auto"/>
        <w:ind w:left="454"/>
        <w:jc w:val="center"/>
        <w:outlineLvl w:val="1"/>
        <w:rPr>
          <w:rFonts w:ascii="Arial" w:hAnsi="Arial" w:eastAsia="宋体" w:cs="Times New Roman"/>
          <w:b/>
          <w:color w:val="000000"/>
          <w:kern w:val="0"/>
          <w:sz w:val="21"/>
          <w:szCs w:val="22"/>
          <w:lang w:val="en-US" w:eastAsia="zh-CN" w:bidi="ar-SA"/>
        </w:rPr>
      </w:pPr>
    </w:p>
    <w:p>
      <w:pPr>
        <w:jc w:val="center"/>
        <w:rPr>
          <w:rFonts w:ascii="Times New Roman" w:hAnsi="Times New Roman" w:eastAsia="宋体" w:cs="Times New Roman"/>
          <w:b/>
          <w:bCs/>
          <w:color w:val="auto"/>
          <w:sz w:val="28"/>
          <w:szCs w:val="28"/>
        </w:rPr>
      </w:pPr>
    </w:p>
    <w:p>
      <w:pPr>
        <w:widowControl w:val="0"/>
        <w:jc w:val="both"/>
        <w:rPr>
          <w:rFonts w:ascii="宋体" w:hAnsi="Courier New" w:eastAsia="宋体" w:cs="Times New Roman"/>
          <w:kern w:val="0"/>
          <w:sz w:val="20"/>
          <w:szCs w:val="20"/>
          <w:lang w:val="en-US" w:eastAsia="zh-CN" w:bidi="ar-SA"/>
        </w:rPr>
      </w:pPr>
    </w:p>
    <w:p>
      <w:pPr>
        <w:rPr>
          <w:rFonts w:ascii="Times New Roman" w:hAnsi="Times New Roman" w:eastAsia="宋体" w:cs="Times New Roman"/>
        </w:rPr>
      </w:pPr>
    </w:p>
    <w:p>
      <w:pPr>
        <w:ind w:firstLine="1807" w:firstLineChars="600"/>
        <w:rPr>
          <w:rFonts w:ascii="Times New Roman" w:hAnsi="Times New Roman" w:eastAsia="宋体" w:cs="Times New Roman"/>
          <w:b/>
          <w:bCs/>
          <w:color w:val="auto"/>
          <w:sz w:val="30"/>
          <w:szCs w:val="30"/>
        </w:rPr>
      </w:pPr>
      <w:r>
        <w:rPr>
          <w:rFonts w:hint="eastAsia" w:ascii="Times New Roman" w:hAnsi="Times New Roman" w:eastAsia="宋体" w:cs="Times New Roman"/>
          <w:b/>
          <w:bCs/>
          <w:color w:val="auto"/>
          <w:sz w:val="30"/>
          <w:szCs w:val="30"/>
          <w:u w:val="none"/>
        </w:rPr>
        <w:t>招 标 单 位：广州市公安局</w:t>
      </w:r>
    </w:p>
    <w:p>
      <w:pPr>
        <w:ind w:firstLine="1807" w:firstLineChars="600"/>
        <w:rPr>
          <w:rFonts w:ascii="Times New Roman" w:hAnsi="Times New Roman" w:eastAsia="宋体" w:cs="Times New Roman"/>
          <w:b/>
          <w:bCs/>
          <w:color w:val="auto"/>
          <w:sz w:val="30"/>
          <w:szCs w:val="30"/>
        </w:rPr>
      </w:pPr>
      <w:r>
        <w:rPr>
          <w:rFonts w:hint="eastAsia" w:ascii="Times New Roman" w:hAnsi="Times New Roman" w:eastAsia="宋体" w:cs="Times New Roman"/>
          <w:b/>
          <w:bCs/>
          <w:color w:val="auto"/>
          <w:sz w:val="30"/>
          <w:szCs w:val="30"/>
          <w:u w:val="none"/>
        </w:rPr>
        <w:t xml:space="preserve">招标代理单位：广州市政府采购中心  </w:t>
      </w:r>
    </w:p>
    <w:p>
      <w:pPr>
        <w:ind w:firstLine="1807" w:firstLineChars="600"/>
        <w:rPr>
          <w:rFonts w:ascii="Times New Roman" w:hAnsi="Times New Roman" w:eastAsia="宋体" w:cs="Times New Roman"/>
          <w:b/>
          <w:bCs/>
          <w:color w:val="auto"/>
          <w:sz w:val="30"/>
          <w:szCs w:val="30"/>
        </w:rPr>
      </w:pPr>
      <w:r>
        <w:rPr>
          <w:rFonts w:hint="eastAsia" w:ascii="Times New Roman" w:hAnsi="Times New Roman" w:eastAsia="宋体" w:cs="Times New Roman"/>
          <w:b/>
          <w:bCs/>
          <w:color w:val="auto"/>
          <w:sz w:val="30"/>
          <w:szCs w:val="30"/>
          <w:u w:val="none"/>
        </w:rPr>
        <w:t>日        期：202</w:t>
      </w:r>
      <w:r>
        <w:rPr>
          <w:rFonts w:hint="eastAsia" w:ascii="Times New Roman" w:hAnsi="Times New Roman" w:eastAsia="宋体" w:cs="Times New Roman"/>
          <w:b/>
          <w:bCs/>
          <w:color w:val="auto"/>
          <w:sz w:val="30"/>
          <w:szCs w:val="30"/>
          <w:u w:val="none"/>
          <w:lang w:val="en-US" w:eastAsia="zh-CN"/>
        </w:rPr>
        <w:t>5</w:t>
      </w:r>
      <w:r>
        <w:rPr>
          <w:rFonts w:hint="eastAsia" w:ascii="Times New Roman" w:hAnsi="Times New Roman" w:eastAsia="宋体" w:cs="Times New Roman"/>
          <w:b/>
          <w:bCs/>
          <w:color w:val="auto"/>
          <w:sz w:val="30"/>
          <w:szCs w:val="30"/>
          <w:u w:val="none"/>
        </w:rPr>
        <w:t>年</w:t>
      </w:r>
      <w:r>
        <w:rPr>
          <w:rFonts w:hint="eastAsia" w:cs="Times New Roman"/>
          <w:b/>
          <w:bCs/>
          <w:color w:val="auto"/>
          <w:sz w:val="30"/>
          <w:szCs w:val="30"/>
          <w:u w:val="none"/>
          <w:lang w:val="en-US" w:eastAsia="zh-CN"/>
        </w:rPr>
        <w:t>10</w:t>
      </w:r>
      <w:r>
        <w:rPr>
          <w:rFonts w:hint="eastAsia" w:ascii="Times New Roman" w:hAnsi="Times New Roman" w:eastAsia="宋体" w:cs="Times New Roman"/>
          <w:b/>
          <w:bCs/>
          <w:color w:val="auto"/>
          <w:sz w:val="30"/>
          <w:szCs w:val="30"/>
          <w:u w:val="none"/>
        </w:rPr>
        <w:t>月</w:t>
      </w:r>
    </w:p>
    <w:p>
      <w:pPr>
        <w:spacing w:line="360" w:lineRule="auto"/>
        <w:jc w:val="center"/>
        <w:rPr>
          <w:rFonts w:ascii="宋体" w:hAnsi="宋体"/>
          <w:b/>
          <w:bCs/>
          <w:color w:val="000000"/>
          <w:kern w:val="0"/>
          <w:sz w:val="30"/>
          <w:szCs w:val="30"/>
        </w:rPr>
      </w:pPr>
      <w:r>
        <w:rPr>
          <w:rFonts w:hint="eastAsia" w:ascii="宋体" w:hAnsi="宋体"/>
          <w:b/>
          <w:bCs/>
          <w:color w:val="000000"/>
          <w:kern w:val="0"/>
          <w:sz w:val="30"/>
          <w:szCs w:val="30"/>
          <w:lang w:eastAsia="zh-CN"/>
        </w:rPr>
        <w:br w:type="page"/>
      </w:r>
      <w:r>
        <w:rPr>
          <w:rFonts w:hint="eastAsia" w:ascii="宋体" w:hAnsi="宋体"/>
          <w:b/>
          <w:bCs/>
          <w:color w:val="000000"/>
          <w:kern w:val="0"/>
          <w:sz w:val="30"/>
          <w:szCs w:val="30"/>
          <w:lang w:eastAsia="zh-CN"/>
        </w:rPr>
        <w:t>广州市公安局交警支队2025年交通设施完善项目-路权分配优化项目</w:t>
      </w:r>
      <w:r>
        <w:rPr>
          <w:rFonts w:hint="eastAsia" w:ascii="宋体" w:hAnsi="宋体"/>
          <w:b/>
          <w:bCs/>
          <w:color w:val="000000"/>
          <w:kern w:val="0"/>
          <w:sz w:val="30"/>
          <w:szCs w:val="30"/>
        </w:rPr>
        <w:t>（标段1~标段</w:t>
      </w:r>
      <w:r>
        <w:rPr>
          <w:rFonts w:hint="eastAsia" w:ascii="宋体" w:hAnsi="宋体"/>
          <w:b/>
          <w:bCs/>
          <w:color w:val="000000"/>
          <w:kern w:val="0"/>
          <w:sz w:val="30"/>
          <w:szCs w:val="30"/>
          <w:lang w:val="en-US" w:eastAsia="zh-CN"/>
        </w:rPr>
        <w:t>3</w:t>
      </w:r>
      <w:r>
        <w:rPr>
          <w:rFonts w:hint="eastAsia" w:ascii="宋体" w:hAnsi="宋体"/>
          <w:b/>
          <w:bCs/>
          <w:color w:val="000000"/>
          <w:kern w:val="0"/>
          <w:sz w:val="30"/>
          <w:szCs w:val="30"/>
        </w:rPr>
        <w:t>）招标公告</w:t>
      </w:r>
    </w:p>
    <w:p>
      <w:pPr>
        <w:spacing w:line="480" w:lineRule="auto"/>
        <w:ind w:firstLine="537" w:firstLineChars="224"/>
        <w:jc w:val="center"/>
        <w:rPr>
          <w:color w:val="000000"/>
          <w:sz w:val="24"/>
        </w:rPr>
      </w:pPr>
    </w:p>
    <w:p>
      <w:pPr>
        <w:spacing w:line="360" w:lineRule="auto"/>
        <w:ind w:firstLine="480" w:firstLineChars="200"/>
        <w:rPr>
          <w:rFonts w:ascii="宋体" w:hAnsi="宋体"/>
          <w:color w:val="000000"/>
          <w:sz w:val="24"/>
        </w:rPr>
      </w:pPr>
      <w:r>
        <w:rPr>
          <w:rFonts w:hint="eastAsia" w:ascii="宋体" w:hAnsi="宋体"/>
          <w:color w:val="000000"/>
          <w:sz w:val="24"/>
        </w:rPr>
        <w:t>根据</w:t>
      </w:r>
      <w:r>
        <w:rPr>
          <w:rFonts w:hint="eastAsia" w:ascii="宋体" w:hAnsi="宋体"/>
          <w:color w:val="000000"/>
          <w:sz w:val="24"/>
          <w:u w:val="single"/>
          <w:lang w:eastAsia="zh-CN"/>
        </w:rPr>
        <w:t>2509-440100-04-01-871620</w:t>
      </w:r>
      <w:r>
        <w:rPr>
          <w:rFonts w:hint="eastAsia" w:ascii="宋体" w:hAnsi="宋体"/>
          <w:color w:val="000000"/>
          <w:sz w:val="24"/>
          <w:u w:val="single"/>
        </w:rPr>
        <w:t xml:space="preserve"> </w:t>
      </w:r>
      <w:r>
        <w:rPr>
          <w:rFonts w:hint="eastAsia" w:ascii="宋体" w:hAnsi="宋体"/>
          <w:color w:val="000000"/>
          <w:sz w:val="24"/>
        </w:rPr>
        <w:t>批准，并且图纸和技术资料满足施工需要，</w:t>
      </w:r>
      <w:r>
        <w:rPr>
          <w:rFonts w:hint="eastAsia" w:ascii="宋体" w:hAnsi="宋体"/>
          <w:color w:val="000000"/>
          <w:sz w:val="24"/>
          <w:u w:val="single"/>
          <w:lang w:eastAsia="zh-CN"/>
        </w:rPr>
        <w:t>广州市公安局交警支队2025年交通设施完善项目-路权分配优化项目</w:t>
      </w:r>
      <w:r>
        <w:rPr>
          <w:rFonts w:hint="eastAsia" w:ascii="宋体" w:hAnsi="宋体"/>
          <w:color w:val="000000"/>
          <w:sz w:val="24"/>
        </w:rPr>
        <w:t>进行施工公开招标，选定承包人。</w:t>
      </w:r>
    </w:p>
    <w:p>
      <w:pPr>
        <w:tabs>
          <w:tab w:val="center" w:pos="4415"/>
        </w:tabs>
        <w:spacing w:line="360" w:lineRule="auto"/>
        <w:ind w:firstLine="480" w:firstLineChars="200"/>
        <w:rPr>
          <w:rFonts w:ascii="宋体" w:hAnsi="宋体"/>
          <w:color w:val="000000"/>
          <w:spacing w:val="-6"/>
          <w:sz w:val="24"/>
          <w:u w:val="single"/>
        </w:rPr>
      </w:pPr>
      <w:r>
        <w:rPr>
          <w:rFonts w:hint="eastAsia" w:ascii="宋体" w:hAnsi="宋体"/>
          <w:color w:val="000000"/>
          <w:sz w:val="24"/>
        </w:rPr>
        <w:t>一、工程名称：</w:t>
      </w:r>
    </w:p>
    <w:p>
      <w:pPr>
        <w:tabs>
          <w:tab w:val="center" w:pos="4415"/>
        </w:tabs>
        <w:spacing w:line="360" w:lineRule="auto"/>
        <w:ind w:firstLine="960" w:firstLineChars="400"/>
        <w:rPr>
          <w:rFonts w:hint="eastAsia" w:ascii="宋体"/>
          <w:color w:val="000000"/>
          <w:sz w:val="24"/>
          <w:u w:val="single"/>
        </w:rPr>
      </w:pPr>
      <w:r>
        <w:rPr>
          <w:rFonts w:hint="eastAsia" w:ascii="宋体"/>
          <w:color w:val="000000"/>
          <w:sz w:val="24"/>
          <w:u w:val="single"/>
        </w:rPr>
        <w:t>标段1：</w:t>
      </w:r>
      <w:r>
        <w:rPr>
          <w:rFonts w:hint="eastAsia" w:ascii="宋体"/>
          <w:color w:val="000000"/>
          <w:sz w:val="24"/>
          <w:u w:val="single"/>
          <w:lang w:eastAsia="zh-CN"/>
        </w:rPr>
        <w:t>广州市公安局交警支队2025年交通设施完善项目-路权分配优化项目</w:t>
      </w:r>
      <w:r>
        <w:rPr>
          <w:rFonts w:hint="eastAsia" w:ascii="宋体"/>
          <w:color w:val="000000"/>
          <w:sz w:val="24"/>
          <w:u w:val="single"/>
        </w:rPr>
        <w:t>（标段1）</w:t>
      </w:r>
    </w:p>
    <w:p>
      <w:pPr>
        <w:tabs>
          <w:tab w:val="center" w:pos="4415"/>
        </w:tabs>
        <w:spacing w:line="360" w:lineRule="auto"/>
        <w:ind w:firstLine="960" w:firstLineChars="400"/>
        <w:rPr>
          <w:rFonts w:hint="eastAsia" w:ascii="宋体"/>
          <w:color w:val="000000"/>
          <w:sz w:val="24"/>
          <w:u w:val="single"/>
        </w:rPr>
      </w:pPr>
      <w:r>
        <w:rPr>
          <w:rFonts w:hint="eastAsia" w:ascii="宋体"/>
          <w:color w:val="000000"/>
          <w:sz w:val="24"/>
          <w:u w:val="single"/>
        </w:rPr>
        <w:t>标段2：</w:t>
      </w:r>
      <w:r>
        <w:rPr>
          <w:rFonts w:hint="eastAsia" w:ascii="宋体"/>
          <w:color w:val="000000"/>
          <w:sz w:val="24"/>
          <w:u w:val="single"/>
          <w:lang w:eastAsia="zh-CN"/>
        </w:rPr>
        <w:t>广州市公安局交警支队2025年交通设施完善项目-路权分配优化项目</w:t>
      </w:r>
      <w:r>
        <w:rPr>
          <w:rFonts w:hint="eastAsia" w:ascii="宋体"/>
          <w:color w:val="000000"/>
          <w:sz w:val="24"/>
          <w:u w:val="single"/>
        </w:rPr>
        <w:t>（标段2）</w:t>
      </w:r>
    </w:p>
    <w:p>
      <w:pPr>
        <w:tabs>
          <w:tab w:val="center" w:pos="4415"/>
        </w:tabs>
        <w:spacing w:line="360" w:lineRule="auto"/>
        <w:ind w:firstLine="960" w:firstLineChars="400"/>
        <w:rPr>
          <w:rFonts w:hint="eastAsia" w:ascii="宋体"/>
          <w:color w:val="000000"/>
          <w:sz w:val="24"/>
          <w:u w:val="single"/>
        </w:rPr>
      </w:pPr>
      <w:r>
        <w:rPr>
          <w:rFonts w:hint="eastAsia" w:ascii="宋体"/>
          <w:color w:val="000000"/>
          <w:sz w:val="24"/>
          <w:u w:val="single"/>
        </w:rPr>
        <w:t>标段3：</w:t>
      </w:r>
      <w:r>
        <w:rPr>
          <w:rFonts w:hint="eastAsia" w:ascii="宋体"/>
          <w:color w:val="000000"/>
          <w:sz w:val="24"/>
          <w:u w:val="single"/>
          <w:lang w:eastAsia="zh-CN"/>
        </w:rPr>
        <w:t>广州市公安局交警支队2025年交通设施完善项目-路权分配优化项目</w:t>
      </w:r>
      <w:r>
        <w:rPr>
          <w:rFonts w:hint="eastAsia" w:ascii="宋体"/>
          <w:color w:val="000000"/>
          <w:sz w:val="24"/>
          <w:u w:val="single"/>
        </w:rPr>
        <w:t>（标段3）</w:t>
      </w:r>
    </w:p>
    <w:p>
      <w:pPr>
        <w:tabs>
          <w:tab w:val="center" w:pos="4415"/>
        </w:tabs>
        <w:spacing w:line="360" w:lineRule="auto"/>
        <w:ind w:firstLine="960" w:firstLineChars="400"/>
        <w:rPr>
          <w:rFonts w:hint="eastAsia" w:ascii="宋体" w:hAnsi="宋体" w:eastAsia="宋体"/>
          <w:color w:val="000000"/>
          <w:sz w:val="24"/>
          <w:u w:val="single"/>
          <w:lang w:eastAsia="zh-CN"/>
        </w:rPr>
      </w:pPr>
      <w:r>
        <w:rPr>
          <w:rFonts w:hint="eastAsia" w:ascii="宋体"/>
          <w:color w:val="000000"/>
          <w:sz w:val="24"/>
        </w:rPr>
        <w:t>项目代码：</w:t>
      </w:r>
      <w:r>
        <w:rPr>
          <w:rFonts w:hint="eastAsia" w:ascii="宋体"/>
          <w:color w:val="000000"/>
          <w:sz w:val="24"/>
          <w:lang w:eastAsia="zh-CN"/>
        </w:rPr>
        <w:t>2509-440100-04-01-871620</w:t>
      </w:r>
    </w:p>
    <w:p>
      <w:pPr>
        <w:spacing w:line="360" w:lineRule="auto"/>
        <w:ind w:firstLine="480" w:firstLineChars="200"/>
        <w:rPr>
          <w:rFonts w:hint="eastAsia" w:ascii="宋体"/>
          <w:color w:val="000000"/>
          <w:sz w:val="24"/>
          <w:u w:val="single"/>
        </w:rPr>
      </w:pPr>
      <w:r>
        <w:rPr>
          <w:rFonts w:hint="eastAsia" w:ascii="宋体" w:hAnsi="宋体"/>
          <w:color w:val="000000"/>
          <w:sz w:val="24"/>
        </w:rPr>
        <w:t>二、招标单位：</w:t>
      </w:r>
      <w:r>
        <w:rPr>
          <w:rFonts w:hint="eastAsia" w:ascii="宋体" w:hAnsi="宋体"/>
          <w:color w:val="000000"/>
          <w:sz w:val="24"/>
          <w:u w:val="single"/>
        </w:rPr>
        <w:t>广州市公安局</w:t>
      </w:r>
    </w:p>
    <w:p>
      <w:pPr>
        <w:spacing w:line="360" w:lineRule="auto"/>
        <w:ind w:firstLine="480" w:firstLineChars="200"/>
        <w:rPr>
          <w:rFonts w:hint="eastAsia" w:ascii="宋体" w:hAnsi="宋体" w:cs="宋体"/>
          <w:color w:val="000000"/>
          <w:sz w:val="24"/>
          <w:szCs w:val="24"/>
          <w:u w:val="single"/>
        </w:rPr>
      </w:pPr>
      <w:r>
        <w:rPr>
          <w:rFonts w:hint="eastAsia" w:ascii="宋体" w:hAnsi="宋体"/>
          <w:color w:val="000000"/>
          <w:sz w:val="24"/>
        </w:rPr>
        <w:t>联系人：</w:t>
      </w:r>
      <w:r>
        <w:rPr>
          <w:rFonts w:hint="eastAsia" w:ascii="宋体" w:hAnsi="宋体"/>
          <w:color w:val="000000"/>
          <w:sz w:val="24"/>
          <w:lang w:eastAsia="zh-CN"/>
        </w:rPr>
        <w:t>石</w:t>
      </w:r>
      <w:r>
        <w:rPr>
          <w:rFonts w:hint="eastAsia" w:ascii="宋体" w:hAnsi="宋体"/>
          <w:color w:val="000000"/>
          <w:sz w:val="24"/>
          <w:u w:val="single"/>
          <w:lang w:val="en-US" w:eastAsia="zh-CN"/>
        </w:rPr>
        <w:t>警官</w:t>
      </w:r>
      <w:r>
        <w:rPr>
          <w:rFonts w:ascii="宋体" w:hAnsi="宋体"/>
          <w:color w:val="000000"/>
          <w:sz w:val="24"/>
        </w:rPr>
        <w:t xml:space="preserve">          </w:t>
      </w:r>
      <w:r>
        <w:rPr>
          <w:rFonts w:hint="eastAsia" w:ascii="宋体" w:hAnsi="宋体"/>
          <w:color w:val="000000"/>
          <w:sz w:val="24"/>
        </w:rPr>
        <w:t>联系电话：</w:t>
      </w:r>
      <w:r>
        <w:rPr>
          <w:rFonts w:ascii="宋体" w:hAnsi="宋体" w:cs="宋体"/>
          <w:color w:val="000000"/>
          <w:sz w:val="24"/>
          <w:szCs w:val="24"/>
          <w:u w:val="single"/>
        </w:rPr>
        <w:t>020-</w:t>
      </w:r>
      <w:r>
        <w:rPr>
          <w:rFonts w:hint="eastAsia" w:ascii="宋体" w:hAnsi="宋体" w:cs="宋体"/>
          <w:color w:val="000000"/>
          <w:sz w:val="24"/>
          <w:szCs w:val="24"/>
          <w:u w:val="single"/>
        </w:rPr>
        <w:t>83118142</w:t>
      </w:r>
    </w:p>
    <w:p>
      <w:pPr>
        <w:spacing w:line="360" w:lineRule="auto"/>
        <w:ind w:firstLine="960" w:firstLineChars="400"/>
        <w:rPr>
          <w:rFonts w:ascii="宋体"/>
          <w:color w:val="000000"/>
          <w:sz w:val="24"/>
          <w:u w:val="single"/>
        </w:rPr>
      </w:pPr>
      <w:r>
        <w:rPr>
          <w:rFonts w:hint="eastAsia" w:ascii="宋体" w:hAnsi="宋体"/>
          <w:color w:val="000000"/>
          <w:sz w:val="24"/>
          <w:u w:val="none"/>
        </w:rPr>
        <w:t>联系地址：</w:t>
      </w:r>
      <w:r>
        <w:rPr>
          <w:rFonts w:hint="eastAsia" w:ascii="宋体" w:hAnsi="宋体"/>
          <w:color w:val="000000"/>
          <w:sz w:val="24"/>
          <w:u w:val="single"/>
        </w:rPr>
        <w:t>广州市起义路200号</w:t>
      </w:r>
    </w:p>
    <w:p>
      <w:pPr>
        <w:spacing w:line="480" w:lineRule="exact"/>
        <w:ind w:firstLine="960" w:firstLineChars="400"/>
        <w:rPr>
          <w:sz w:val="24"/>
          <w:u w:val="single"/>
        </w:rPr>
      </w:pPr>
      <w:r>
        <w:rPr>
          <w:rFonts w:hint="eastAsia"/>
          <w:sz w:val="24"/>
        </w:rPr>
        <w:t>招标代理机构：</w:t>
      </w:r>
      <w:r>
        <w:rPr>
          <w:rFonts w:hint="eastAsia"/>
          <w:sz w:val="24"/>
          <w:u w:val="single"/>
        </w:rPr>
        <w:t>广州市政府采购中心</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eastAsia="宋体"/>
          <w:sz w:val="24"/>
          <w:u w:val="single"/>
          <w:lang w:val="en-US" w:eastAsia="zh-CN"/>
        </w:rPr>
      </w:pPr>
      <w:r>
        <w:rPr>
          <w:rFonts w:hint="eastAsia"/>
          <w:sz w:val="24"/>
        </w:rPr>
        <w:t>联系人：</w:t>
      </w:r>
      <w:r>
        <w:rPr>
          <w:rFonts w:hint="eastAsia"/>
          <w:sz w:val="24"/>
          <w:u w:val="single"/>
          <w:lang w:val="en-US" w:eastAsia="zh-CN"/>
        </w:rPr>
        <w:t>欧阳晋杰</w:t>
      </w:r>
      <w:r>
        <w:rPr>
          <w:rFonts w:hint="eastAsia"/>
          <w:sz w:val="24"/>
          <w:u w:val="single"/>
        </w:rPr>
        <w:t>、孔仕丰</w:t>
      </w:r>
      <w:r>
        <w:rPr>
          <w:rFonts w:hint="eastAsia"/>
          <w:sz w:val="24"/>
        </w:rPr>
        <w:t xml:space="preserve"> 联系电话：</w:t>
      </w:r>
      <w:r>
        <w:rPr>
          <w:rFonts w:hint="eastAsia"/>
          <w:sz w:val="24"/>
          <w:szCs w:val="24"/>
          <w:u w:val="single"/>
        </w:rPr>
        <w:t>020-28866</w:t>
      </w:r>
      <w:r>
        <w:rPr>
          <w:rFonts w:hint="eastAsia"/>
          <w:sz w:val="24"/>
          <w:szCs w:val="24"/>
          <w:u w:val="single"/>
          <w:lang w:val="en-US" w:eastAsia="zh-CN"/>
        </w:rPr>
        <w:t>424</w:t>
      </w:r>
    </w:p>
    <w:p>
      <w:pPr>
        <w:spacing w:line="360" w:lineRule="auto"/>
        <w:ind w:firstLine="960" w:firstLineChars="400"/>
        <w:rPr>
          <w:rFonts w:ascii="宋体"/>
          <w:color w:val="000000"/>
          <w:sz w:val="24"/>
          <w:u w:val="single"/>
        </w:rPr>
      </w:pPr>
      <w:r>
        <w:rPr>
          <w:rFonts w:hint="eastAsia" w:ascii="宋体" w:hAnsi="宋体"/>
          <w:color w:val="000000"/>
          <w:sz w:val="24"/>
          <w:u w:val="none"/>
        </w:rPr>
        <w:t>联系地址：</w:t>
      </w:r>
      <w:r>
        <w:rPr>
          <w:rFonts w:hint="eastAsia"/>
          <w:spacing w:val="-2"/>
          <w:sz w:val="24"/>
          <w:szCs w:val="24"/>
          <w:u w:val="single"/>
        </w:rPr>
        <w:t>广州市天河区天润路</w:t>
      </w:r>
      <w:r>
        <w:rPr>
          <w:rFonts w:hint="eastAsia"/>
          <w:spacing w:val="-2"/>
          <w:sz w:val="24"/>
          <w:szCs w:val="24"/>
          <w:u w:val="single"/>
          <w:lang w:val="en-US" w:eastAsia="zh-CN"/>
        </w:rPr>
        <w:t>445</w:t>
      </w:r>
      <w:r>
        <w:rPr>
          <w:rFonts w:hint="eastAsia"/>
          <w:spacing w:val="-2"/>
          <w:sz w:val="24"/>
          <w:szCs w:val="24"/>
          <w:u w:val="single"/>
        </w:rPr>
        <w:t>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u w:val="single"/>
        </w:rPr>
      </w:pPr>
      <w:r>
        <w:rPr>
          <w:rFonts w:hint="eastAsia" w:ascii="宋体" w:hAnsi="宋体"/>
          <w:color w:val="000000"/>
          <w:sz w:val="24"/>
        </w:rPr>
        <w:t>招标监督机构：</w:t>
      </w:r>
      <w:r>
        <w:rPr>
          <w:rFonts w:hint="eastAsia" w:ascii="宋体" w:hAnsi="宋体"/>
          <w:color w:val="000000"/>
          <w:sz w:val="24"/>
          <w:u w:val="single"/>
        </w:rPr>
        <w:t>广州市交通运输局建设管理处</w:t>
      </w:r>
    </w:p>
    <w:p>
      <w:pPr>
        <w:spacing w:line="360" w:lineRule="auto"/>
        <w:ind w:firstLine="480" w:firstLineChars="200"/>
        <w:rPr>
          <w:rFonts w:hint="eastAsia" w:ascii="宋体" w:hAnsi="宋体"/>
          <w:color w:val="000000"/>
          <w:sz w:val="24"/>
          <w:u w:val="single"/>
        </w:rPr>
      </w:pPr>
      <w:r>
        <w:rPr>
          <w:rFonts w:hint="eastAsia" w:ascii="宋体" w:hAnsi="宋体"/>
          <w:color w:val="000000"/>
          <w:sz w:val="24"/>
        </w:rPr>
        <w:t>监督电话：</w:t>
      </w:r>
      <w:r>
        <w:rPr>
          <w:rFonts w:ascii="宋体" w:hAnsi="宋体"/>
          <w:color w:val="000000"/>
          <w:sz w:val="24"/>
          <w:u w:val="single"/>
        </w:rPr>
        <w:t>020-</w:t>
      </w:r>
      <w:r>
        <w:rPr>
          <w:rFonts w:hint="eastAsia" w:ascii="宋体" w:hAnsi="宋体"/>
          <w:color w:val="000000"/>
          <w:sz w:val="24"/>
          <w:u w:val="single"/>
        </w:rPr>
        <w:t xml:space="preserve">38180053 </w:t>
      </w:r>
    </w:p>
    <w:p>
      <w:pPr>
        <w:spacing w:line="360" w:lineRule="auto"/>
        <w:ind w:firstLine="960" w:firstLineChars="400"/>
        <w:rPr>
          <w:rFonts w:hint="eastAsia" w:ascii="宋体" w:hAnsi="宋体"/>
          <w:color w:val="000000"/>
          <w:sz w:val="24"/>
          <w:u w:val="single"/>
        </w:rPr>
      </w:pPr>
      <w:r>
        <w:rPr>
          <w:rFonts w:hint="eastAsia" w:ascii="宋体" w:hAnsi="宋体"/>
          <w:color w:val="000000"/>
          <w:sz w:val="24"/>
          <w:u w:val="none"/>
        </w:rPr>
        <w:t>联系地址：</w:t>
      </w:r>
      <w:r>
        <w:rPr>
          <w:rFonts w:hint="eastAsia" w:ascii="宋体" w:hAnsi="宋体"/>
          <w:color w:val="000000"/>
          <w:sz w:val="24"/>
          <w:szCs w:val="24"/>
          <w:highlight w:val="none"/>
          <w:u w:val="single"/>
        </w:rPr>
        <w:t>广州市天河南二路1号17楼（建设管理处）</w:t>
      </w:r>
    </w:p>
    <w:p>
      <w:pPr>
        <w:spacing w:line="360" w:lineRule="auto"/>
        <w:ind w:firstLine="480" w:firstLineChars="200"/>
        <w:rPr>
          <w:rFonts w:hint="eastAsia" w:ascii="宋体"/>
          <w:color w:val="000000"/>
          <w:sz w:val="24"/>
          <w:u w:val="single"/>
        </w:rPr>
      </w:pPr>
      <w:r>
        <w:rPr>
          <w:rFonts w:hint="eastAsia" w:ascii="宋体" w:hAnsi="宋体"/>
          <w:color w:val="000000"/>
          <w:sz w:val="24"/>
        </w:rPr>
        <w:t>三、建设地点：</w:t>
      </w:r>
      <w:r>
        <w:rPr>
          <w:rFonts w:hint="eastAsia" w:ascii="宋体" w:hAnsi="宋体"/>
          <w:color w:val="000000"/>
          <w:sz w:val="24"/>
          <w:u w:val="single"/>
        </w:rPr>
        <w:t>广州市辖区范围内。</w:t>
      </w:r>
    </w:p>
    <w:p>
      <w:pPr>
        <w:spacing w:line="360" w:lineRule="auto"/>
        <w:ind w:firstLine="480" w:firstLineChars="200"/>
        <w:rPr>
          <w:rFonts w:hint="eastAsia" w:ascii="宋体" w:hAnsi="宋体"/>
          <w:color w:val="000000"/>
          <w:sz w:val="24"/>
          <w:highlight w:val="none"/>
        </w:rPr>
      </w:pPr>
      <w:r>
        <w:rPr>
          <w:rFonts w:hint="eastAsia" w:ascii="宋体" w:hAnsi="宋体"/>
          <w:color w:val="000000"/>
          <w:sz w:val="24"/>
        </w:rPr>
        <w:t>四</w:t>
      </w:r>
      <w:r>
        <w:rPr>
          <w:rFonts w:hint="eastAsia" w:ascii="宋体" w:hAnsi="宋体"/>
          <w:color w:val="000000"/>
          <w:sz w:val="24"/>
          <w:highlight w:val="none"/>
        </w:rPr>
        <w:t>、项目概况：</w:t>
      </w:r>
    </w:p>
    <w:p>
      <w:pPr>
        <w:pStyle w:val="6"/>
        <w:ind w:firstLine="480" w:firstLineChars="200"/>
        <w:rPr>
          <w:rFonts w:hint="eastAsia" w:ascii="宋体" w:hAnsi="宋体" w:eastAsia="宋体" w:cs="Times New Roman"/>
          <w:color w:val="000000"/>
          <w:sz w:val="24"/>
          <w:highlight w:val="none"/>
          <w:lang w:eastAsia="zh-CN"/>
        </w:rPr>
      </w:pPr>
      <w:r>
        <w:rPr>
          <w:rFonts w:hint="eastAsia" w:ascii="宋体" w:hAnsi="宋体"/>
          <w:color w:val="000000"/>
          <w:sz w:val="24"/>
          <w:highlight w:val="none"/>
        </w:rPr>
        <w:t>工程承包范围包括：在广州市公安局交管支队管辖的中心五区主次干道中选取</w:t>
      </w:r>
      <w:r>
        <w:rPr>
          <w:rFonts w:hint="eastAsia" w:ascii="宋体" w:hAnsi="宋体"/>
          <w:color w:val="000000"/>
          <w:sz w:val="24"/>
          <w:highlight w:val="none"/>
          <w:lang w:val="en-US" w:eastAsia="zh-CN"/>
        </w:rPr>
        <w:t>87.1</w:t>
      </w:r>
      <w:r>
        <w:rPr>
          <w:rFonts w:hint="eastAsia" w:ascii="宋体" w:hAnsi="宋体"/>
          <w:color w:val="000000"/>
          <w:sz w:val="24"/>
          <w:highlight w:val="none"/>
        </w:rPr>
        <w:t>公里路段，实施优化调整路段车道断面，扩宽或设置非机动车道，完善配套机非隔离护栏以及相关指引标志和交安设施，以完善路段非机动车交通设施，明确其通行空间，以提高路段道路交通安全和秩序水平。</w:t>
      </w:r>
    </w:p>
    <w:p>
      <w:pPr>
        <w:pStyle w:val="6"/>
        <w:ind w:firstLine="480" w:firstLineChars="200"/>
        <w:rPr>
          <w:rFonts w:hint="eastAsia"/>
        </w:rPr>
      </w:pPr>
      <w:r>
        <w:rPr>
          <w:rFonts w:hint="eastAsia" w:ascii="宋体" w:hAnsi="宋体" w:eastAsia="宋体" w:cs="Times New Roman"/>
          <w:color w:val="000000"/>
          <w:sz w:val="24"/>
          <w:highlight w:val="none"/>
          <w:lang w:eastAsia="zh-CN"/>
        </w:rPr>
        <w:t>本项目单合同额均在</w:t>
      </w:r>
      <w:r>
        <w:rPr>
          <w:rFonts w:hint="eastAsia" w:ascii="宋体" w:hAnsi="宋体" w:eastAsia="宋体" w:cs="Times New Roman"/>
          <w:color w:val="000000"/>
          <w:sz w:val="24"/>
          <w:highlight w:val="none"/>
          <w:lang w:val="en-US" w:eastAsia="zh-CN"/>
        </w:rPr>
        <w:t>2500万元以下</w:t>
      </w:r>
      <w:r>
        <w:rPr>
          <w:rFonts w:hint="eastAsia" w:ascii="宋体" w:hAnsi="宋体" w:eastAsia="宋体" w:cs="Times New Roman"/>
          <w:color w:val="000000"/>
          <w:sz w:val="24"/>
          <w:highlight w:val="none"/>
          <w:u w:val="none"/>
          <w:lang w:eastAsia="zh-CN"/>
        </w:rPr>
        <w:t>，属于市政公用工程总承包三级或以上资质范围。</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五、标段划分及各标段招标内容、规模和最高投标限价：</w:t>
      </w:r>
    </w:p>
    <w:p>
      <w:pPr>
        <w:widowControl/>
        <w:spacing w:line="360" w:lineRule="auto"/>
        <w:ind w:firstLine="480" w:firstLineChars="200"/>
        <w:jc w:val="left"/>
        <w:rPr>
          <w:rFonts w:hint="eastAsia" w:ascii="宋体" w:hAnsi="宋体" w:cs="宋体"/>
          <w:color w:val="000000"/>
          <w:kern w:val="0"/>
          <w:sz w:val="24"/>
          <w:szCs w:val="24"/>
          <w:highlight w:val="none"/>
          <w:u w:val="single"/>
          <w:shd w:val="clear" w:color="auto" w:fill="FFFFFF"/>
          <w:lang w:bidi="ar"/>
        </w:rPr>
      </w:pPr>
      <w:r>
        <w:rPr>
          <w:rFonts w:hint="eastAsia" w:ascii="宋体" w:hAnsi="宋体" w:cs="宋体"/>
          <w:color w:val="000000"/>
          <w:kern w:val="0"/>
          <w:sz w:val="24"/>
          <w:szCs w:val="24"/>
          <w:highlight w:val="none"/>
          <w:shd w:val="clear" w:color="auto" w:fill="FFFFFF"/>
          <w:lang w:bidi="ar"/>
        </w:rPr>
        <w:t>1、标段划分：</w:t>
      </w:r>
      <w:r>
        <w:rPr>
          <w:rFonts w:hint="eastAsia" w:ascii="宋体" w:hAnsi="宋体" w:cs="宋体"/>
          <w:color w:val="000000"/>
          <w:kern w:val="0"/>
          <w:sz w:val="24"/>
          <w:szCs w:val="24"/>
          <w:highlight w:val="none"/>
          <w:u w:val="single"/>
          <w:shd w:val="clear" w:color="auto" w:fill="FFFFFF"/>
          <w:lang w:bidi="ar"/>
        </w:rPr>
        <w:t>本工程划分为</w:t>
      </w:r>
      <w:r>
        <w:rPr>
          <w:rFonts w:hint="eastAsia" w:ascii="宋体" w:hAnsi="宋体" w:cs="宋体"/>
          <w:color w:val="000000"/>
          <w:kern w:val="0"/>
          <w:sz w:val="24"/>
          <w:szCs w:val="24"/>
          <w:highlight w:val="none"/>
          <w:u w:val="single"/>
          <w:shd w:val="clear" w:color="auto" w:fill="FFFFFF"/>
          <w:lang w:val="en-US" w:eastAsia="zh-CN" w:bidi="ar"/>
        </w:rPr>
        <w:t>3</w:t>
      </w:r>
      <w:r>
        <w:rPr>
          <w:rFonts w:hint="eastAsia" w:ascii="宋体" w:hAnsi="宋体" w:cs="宋体"/>
          <w:color w:val="000000"/>
          <w:kern w:val="0"/>
          <w:sz w:val="24"/>
          <w:szCs w:val="24"/>
          <w:highlight w:val="none"/>
          <w:u w:val="single"/>
          <w:shd w:val="clear" w:color="auto" w:fill="FFFFFF"/>
          <w:lang w:bidi="ar"/>
        </w:rPr>
        <w:t>个标段，具体明细情况如下。</w:t>
      </w:r>
    </w:p>
    <w:tbl>
      <w:tblPr>
        <w:tblStyle w:val="34"/>
        <w:tblW w:w="49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3810"/>
        <w:gridCol w:w="3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513"/>
              </w:tabs>
              <w:spacing w:before="0" w:beforeAutospacing="0" w:after="0" w:afterAutospacing="0"/>
              <w:ind w:left="0" w:right="0"/>
              <w:jc w:val="center"/>
              <w:rPr>
                <w:rFonts w:hint="default" w:ascii="宋体" w:hAnsi="宋体" w:eastAsia="宋体" w:cs="Times New Roman"/>
                <w:color w:val="000000"/>
                <w:szCs w:val="21"/>
                <w:highlight w:val="none"/>
              </w:rPr>
            </w:pPr>
            <w:r>
              <w:rPr>
                <w:rFonts w:hint="eastAsia" w:ascii="宋体" w:hAnsi="宋体" w:eastAsia="宋体" w:cs="Times New Roman"/>
                <w:color w:val="000000"/>
                <w:szCs w:val="21"/>
                <w:highlight w:val="none"/>
              </w:rPr>
              <w:t>标段</w:t>
            </w:r>
          </w:p>
          <w:p>
            <w:pPr>
              <w:keepNext w:val="0"/>
              <w:keepLines w:val="0"/>
              <w:suppressLineNumbers w:val="0"/>
              <w:tabs>
                <w:tab w:val="left" w:pos="7513"/>
              </w:tabs>
              <w:spacing w:before="0" w:beforeAutospacing="0" w:after="0" w:afterAutospacing="0"/>
              <w:ind w:left="0" w:right="0"/>
              <w:jc w:val="center"/>
              <w:rPr>
                <w:rFonts w:hint="default" w:ascii="宋体" w:hAnsi="宋体" w:eastAsia="宋体" w:cs="Times New Roman"/>
                <w:color w:val="000000"/>
                <w:szCs w:val="21"/>
                <w:highlight w:val="none"/>
              </w:rPr>
            </w:pPr>
            <w:r>
              <w:rPr>
                <w:rFonts w:hint="eastAsia" w:ascii="宋体" w:hAnsi="宋体" w:eastAsia="宋体" w:cs="Times New Roman"/>
                <w:color w:val="000000"/>
                <w:szCs w:val="21"/>
                <w:highlight w:val="none"/>
              </w:rPr>
              <w:t>划分</w:t>
            </w:r>
          </w:p>
        </w:tc>
        <w:tc>
          <w:tcPr>
            <w:tcW w:w="20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513"/>
              </w:tabs>
              <w:spacing w:before="0" w:beforeAutospacing="0" w:after="0" w:afterAutospacing="0"/>
              <w:ind w:left="0" w:right="0"/>
              <w:jc w:val="center"/>
              <w:rPr>
                <w:rFonts w:hint="default" w:ascii="宋体" w:hAnsi="宋体" w:eastAsia="宋体" w:cs="Times New Roman"/>
                <w:color w:val="000000"/>
                <w:szCs w:val="21"/>
                <w:highlight w:val="none"/>
              </w:rPr>
            </w:pPr>
            <w:r>
              <w:rPr>
                <w:rFonts w:hint="eastAsia" w:ascii="宋体" w:hAnsi="宋体" w:eastAsia="宋体" w:cs="Times New Roman"/>
                <w:color w:val="000000"/>
                <w:szCs w:val="21"/>
                <w:highlight w:val="none"/>
              </w:rPr>
              <w:t>各标段工程名称</w:t>
            </w:r>
          </w:p>
        </w:tc>
        <w:tc>
          <w:tcPr>
            <w:tcW w:w="20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rPr>
                <w:rFonts w:hint="default" w:ascii="宋体" w:hAnsi="宋体" w:eastAsia="宋体" w:cs="Times New Roman"/>
                <w:color w:val="000000"/>
                <w:szCs w:val="21"/>
                <w:highlight w:val="none"/>
              </w:rPr>
            </w:pPr>
            <w:r>
              <w:rPr>
                <w:rFonts w:hint="eastAsia" w:ascii="宋体" w:hAnsi="宋体" w:eastAsia="宋体" w:cs="Times New Roman"/>
                <w:color w:val="000000"/>
                <w:szCs w:val="21"/>
                <w:highlight w:val="none"/>
              </w:rPr>
              <w:t>招标内容（包括</w:t>
            </w:r>
            <w:r>
              <w:rPr>
                <w:rFonts w:hint="default" w:ascii="宋体" w:hAnsi="宋体" w:eastAsia="宋体" w:cs="Times New Roman"/>
                <w:color w:val="000000"/>
                <w:szCs w:val="21"/>
                <w:highlight w:val="none"/>
              </w:rPr>
              <w:t>但不限于</w:t>
            </w:r>
            <w:r>
              <w:rPr>
                <w:rFonts w:hint="eastAsia" w:ascii="宋体" w:hAnsi="宋体" w:eastAsia="宋体" w:cs="Times New Roman"/>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513"/>
              </w:tabs>
              <w:spacing w:before="0" w:beforeAutospacing="0" w:after="0" w:afterAutospacing="0"/>
              <w:ind w:left="0" w:right="0"/>
              <w:jc w:val="center"/>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标段1</w:t>
            </w:r>
          </w:p>
        </w:tc>
        <w:tc>
          <w:tcPr>
            <w:tcW w:w="20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513"/>
              </w:tabs>
              <w:spacing w:before="0" w:beforeAutospacing="0" w:after="0" w:afterAutospacing="0"/>
              <w:ind w:left="0" w:right="0"/>
              <w:jc w:val="center"/>
              <w:rPr>
                <w:rFonts w:hint="eastAsia" w:ascii="宋体" w:hAnsi="宋体" w:eastAsia="宋体" w:cs="Times New Roman"/>
                <w:color w:val="000000"/>
                <w:szCs w:val="21"/>
                <w:highlight w:val="none"/>
              </w:rPr>
            </w:pPr>
            <w:r>
              <w:rPr>
                <w:rFonts w:hint="eastAsia" w:ascii="宋体" w:eastAsia="Times New Roman" w:cs="Times New Roman"/>
                <w:color w:val="000000"/>
                <w:sz w:val="24"/>
                <w:u w:val="single"/>
                <w:lang w:eastAsia="zh-CN"/>
              </w:rPr>
              <w:t>广州市公安局交警支队2025年交通设施完善项目-路权分配优化项目</w:t>
            </w:r>
            <w:r>
              <w:rPr>
                <w:rFonts w:hint="eastAsia" w:ascii="宋体" w:hAnsi="Times New Roman" w:eastAsia="Times New Roman" w:cs="Times New Roman"/>
                <w:color w:val="000000"/>
                <w:sz w:val="24"/>
                <w:u w:val="single"/>
              </w:rPr>
              <w:t>（标段1）</w:t>
            </w:r>
          </w:p>
        </w:tc>
        <w:tc>
          <w:tcPr>
            <w:tcW w:w="20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tabs>
                <w:tab w:val="left" w:pos="7513"/>
              </w:tabs>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Times New Roman" w:eastAsia="宋体" w:cs="Times New Roman"/>
                <w:color w:val="000000"/>
                <w:sz w:val="24"/>
                <w:u w:val="single"/>
                <w:lang w:eastAsia="zh-CN"/>
              </w:rPr>
            </w:pPr>
            <w:r>
              <w:rPr>
                <w:rFonts w:hint="eastAsia" w:ascii="宋体" w:hAnsi="Times New Roman" w:eastAsia="宋体" w:cs="Times New Roman"/>
                <w:color w:val="000000"/>
                <w:sz w:val="24"/>
                <w:u w:val="single"/>
                <w:lang w:eastAsia="zh-CN"/>
              </w:rPr>
              <w:t>越秀、荔湾、天河大队辖区（共计17条道路）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513"/>
              </w:tabs>
              <w:spacing w:before="0" w:beforeAutospacing="0" w:after="0" w:afterAutospacing="0"/>
              <w:ind w:left="0" w:right="0"/>
              <w:jc w:val="center"/>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标段2</w:t>
            </w:r>
          </w:p>
        </w:tc>
        <w:tc>
          <w:tcPr>
            <w:tcW w:w="20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513"/>
              </w:tabs>
              <w:spacing w:before="0" w:beforeAutospacing="0" w:after="0" w:afterAutospacing="0"/>
              <w:ind w:left="0" w:right="0"/>
              <w:jc w:val="center"/>
              <w:rPr>
                <w:rFonts w:hint="eastAsia" w:ascii="宋体" w:hAnsi="宋体" w:eastAsia="宋体" w:cs="Times New Roman"/>
                <w:color w:val="000000"/>
                <w:szCs w:val="21"/>
                <w:highlight w:val="none"/>
              </w:rPr>
            </w:pPr>
            <w:r>
              <w:rPr>
                <w:rFonts w:hint="eastAsia" w:ascii="宋体" w:eastAsia="Times New Roman" w:cs="Times New Roman"/>
                <w:color w:val="000000"/>
                <w:sz w:val="24"/>
                <w:u w:val="single"/>
                <w:lang w:eastAsia="zh-CN"/>
              </w:rPr>
              <w:t>广州市公安局交警支队2025年交通设施完善项目-路权分配优化项目</w:t>
            </w:r>
            <w:r>
              <w:rPr>
                <w:rFonts w:hint="eastAsia" w:ascii="宋体" w:hAnsi="Times New Roman" w:eastAsia="Times New Roman" w:cs="Times New Roman"/>
                <w:color w:val="000000"/>
                <w:sz w:val="24"/>
                <w:u w:val="single"/>
              </w:rPr>
              <w:t>（标段2）</w:t>
            </w:r>
          </w:p>
        </w:tc>
        <w:tc>
          <w:tcPr>
            <w:tcW w:w="20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tabs>
                <w:tab w:val="left" w:pos="7513"/>
              </w:tabs>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Times New Roman" w:eastAsia="宋体" w:cs="Times New Roman"/>
                <w:color w:val="000000"/>
                <w:sz w:val="24"/>
                <w:u w:val="single"/>
                <w:lang w:eastAsia="zh-CN"/>
              </w:rPr>
            </w:pPr>
            <w:r>
              <w:rPr>
                <w:rFonts w:hint="eastAsia" w:ascii="宋体" w:hAnsi="Times New Roman" w:eastAsia="宋体" w:cs="Times New Roman"/>
                <w:color w:val="000000"/>
                <w:sz w:val="24"/>
                <w:u w:val="single"/>
                <w:lang w:eastAsia="zh-CN"/>
              </w:rPr>
              <w:t>海珠大队辖区（共计4条道路）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513"/>
              </w:tabs>
              <w:spacing w:before="0" w:beforeAutospacing="0" w:after="0" w:afterAutospacing="0"/>
              <w:ind w:left="0" w:right="0"/>
              <w:jc w:val="center"/>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标段3</w:t>
            </w:r>
          </w:p>
        </w:tc>
        <w:tc>
          <w:tcPr>
            <w:tcW w:w="20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513"/>
              </w:tabs>
              <w:spacing w:before="0" w:beforeAutospacing="0" w:after="0" w:afterAutospacing="0"/>
              <w:ind w:left="0" w:right="0"/>
              <w:jc w:val="center"/>
              <w:rPr>
                <w:rFonts w:hint="eastAsia" w:ascii="宋体" w:hAnsi="宋体" w:eastAsia="宋体" w:cs="Times New Roman"/>
                <w:color w:val="000000"/>
                <w:szCs w:val="21"/>
                <w:highlight w:val="none"/>
              </w:rPr>
            </w:pPr>
            <w:r>
              <w:rPr>
                <w:rFonts w:hint="eastAsia" w:ascii="宋体" w:eastAsia="Times New Roman" w:cs="Times New Roman"/>
                <w:color w:val="000000"/>
                <w:sz w:val="24"/>
                <w:u w:val="single"/>
                <w:lang w:eastAsia="zh-CN"/>
              </w:rPr>
              <w:t>广州市公安局交警支队2025年交通设施完善项目-路权分配优化项目</w:t>
            </w:r>
            <w:r>
              <w:rPr>
                <w:rFonts w:hint="eastAsia" w:ascii="宋体" w:hAnsi="Times New Roman" w:eastAsia="Times New Roman" w:cs="Times New Roman"/>
                <w:color w:val="000000"/>
                <w:sz w:val="24"/>
                <w:u w:val="single"/>
              </w:rPr>
              <w:t>（标段</w:t>
            </w:r>
            <w:r>
              <w:rPr>
                <w:rFonts w:hint="eastAsia" w:ascii="宋体" w:hAnsi="Times New Roman" w:eastAsia="Times New Roman" w:cs="Times New Roman"/>
                <w:color w:val="000000"/>
                <w:sz w:val="24"/>
                <w:u w:val="single"/>
                <w:lang w:val="en-US" w:eastAsia="zh-CN"/>
              </w:rPr>
              <w:t>3</w:t>
            </w:r>
            <w:r>
              <w:rPr>
                <w:rFonts w:hint="eastAsia" w:ascii="宋体" w:hAnsi="Times New Roman" w:eastAsia="Times New Roman" w:cs="Times New Roman"/>
                <w:color w:val="000000"/>
                <w:sz w:val="24"/>
                <w:u w:val="single"/>
              </w:rPr>
              <w:t>）</w:t>
            </w:r>
          </w:p>
        </w:tc>
        <w:tc>
          <w:tcPr>
            <w:tcW w:w="20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tabs>
                <w:tab w:val="left" w:pos="7513"/>
              </w:tabs>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Times New Roman" w:eastAsia="宋体" w:cs="Times New Roman"/>
                <w:color w:val="000000"/>
                <w:sz w:val="24"/>
                <w:u w:val="single"/>
                <w:lang w:eastAsia="zh-CN"/>
              </w:rPr>
            </w:pPr>
            <w:r>
              <w:rPr>
                <w:rFonts w:hint="eastAsia" w:ascii="宋体" w:hAnsi="Times New Roman" w:eastAsia="宋体" w:cs="Times New Roman"/>
                <w:color w:val="000000"/>
                <w:sz w:val="24"/>
                <w:u w:val="single"/>
                <w:lang w:eastAsia="zh-CN"/>
              </w:rPr>
              <w:t>白云、海珠大队辖区（共计11条道路）</w:t>
            </w:r>
          </w:p>
        </w:tc>
      </w:tr>
    </w:tbl>
    <w:p>
      <w:pPr>
        <w:spacing w:line="360" w:lineRule="auto"/>
        <w:ind w:firstLine="480" w:firstLineChars="200"/>
        <w:rPr>
          <w:rFonts w:hint="eastAsia" w:ascii="宋体" w:hAnsi="宋体"/>
          <w:color w:val="000000"/>
          <w:sz w:val="24"/>
          <w:highlight w:val="none"/>
          <w:u w:val="single"/>
        </w:rPr>
      </w:pPr>
      <w:r>
        <w:rPr>
          <w:rFonts w:ascii="宋体" w:hAnsi="宋体"/>
          <w:color w:val="000000"/>
          <w:sz w:val="24"/>
          <w:highlight w:val="none"/>
          <w:u w:val="single"/>
        </w:rPr>
        <w:t>①</w:t>
      </w:r>
      <w:r>
        <w:rPr>
          <w:rFonts w:hint="eastAsia" w:ascii="宋体" w:hAnsi="宋体"/>
          <w:color w:val="000000"/>
          <w:sz w:val="24"/>
          <w:highlight w:val="none"/>
          <w:u w:val="single"/>
        </w:rPr>
        <w:t>注：上述标段划分为交警支队属下交警大队管辖区域。</w:t>
      </w:r>
    </w:p>
    <w:p>
      <w:pPr>
        <w:spacing w:line="360" w:lineRule="auto"/>
        <w:ind w:firstLine="480" w:firstLineChars="200"/>
        <w:rPr>
          <w:rFonts w:hint="eastAsia" w:ascii="宋体" w:hAnsi="宋体"/>
          <w:color w:val="000000"/>
          <w:sz w:val="24"/>
          <w:highlight w:val="none"/>
          <w:u w:val="single"/>
        </w:rPr>
      </w:pPr>
      <w:r>
        <w:rPr>
          <w:rFonts w:ascii="宋体" w:hAnsi="宋体"/>
          <w:color w:val="000000"/>
          <w:sz w:val="24"/>
          <w:highlight w:val="none"/>
          <w:u w:val="single"/>
        </w:rPr>
        <w:t>②</w:t>
      </w:r>
      <w:r>
        <w:rPr>
          <w:rFonts w:hint="eastAsia" w:ascii="宋体" w:hAnsi="宋体"/>
          <w:color w:val="000000"/>
          <w:sz w:val="24"/>
          <w:highlight w:val="none"/>
          <w:u w:val="single"/>
        </w:rPr>
        <w:t>三个标段工程总经费约为2650.25万元。其中标段1的经费约为847.17万元，标段2的经费约为948.29万元，标段3的经费约为854.79万元。具体以财政资金下达的专项资金计划和实际完成工程量并经最终审核结算价款为准。</w:t>
      </w:r>
    </w:p>
    <w:p>
      <w:pPr>
        <w:widowControl/>
        <w:numPr>
          <w:ilvl w:val="-1"/>
          <w:numId w:val="0"/>
        </w:numPr>
        <w:spacing w:line="360" w:lineRule="auto"/>
        <w:ind w:firstLine="422" w:firstLineChars="200"/>
        <w:jc w:val="left"/>
        <w:rPr>
          <w:rFonts w:hint="eastAsia" w:ascii="宋体" w:hAnsi="宋体"/>
          <w:color w:val="000000"/>
          <w:sz w:val="24"/>
          <w:highlight w:val="none"/>
        </w:rPr>
      </w:pPr>
      <w:r>
        <w:rPr>
          <w:rFonts w:hint="eastAsia" w:ascii="宋体" w:hAnsi="宋体" w:eastAsia="宋体" w:cs="宋体"/>
          <w:b/>
          <w:bCs/>
          <w:color w:val="000000"/>
          <w:szCs w:val="21"/>
          <w:highlight w:val="none"/>
          <w:u w:val="single"/>
        </w:rPr>
        <w:t>★</w:t>
      </w:r>
      <w:r>
        <w:rPr>
          <w:rFonts w:hint="eastAsia" w:ascii="宋体" w:hAnsi="宋体"/>
          <w:color w:val="000000"/>
          <w:sz w:val="24"/>
          <w:highlight w:val="none"/>
          <w:lang w:val="en-US" w:eastAsia="zh-CN"/>
        </w:rPr>
        <w:t>2、</w:t>
      </w:r>
      <w:r>
        <w:rPr>
          <w:rFonts w:hint="eastAsia" w:ascii="宋体" w:hAnsi="宋体"/>
          <w:color w:val="000000"/>
          <w:sz w:val="24"/>
          <w:highlight w:val="none"/>
        </w:rPr>
        <w:t>最高投标限价：本项目</w:t>
      </w:r>
      <w:r>
        <w:rPr>
          <w:rFonts w:hint="eastAsia" w:ascii="宋体" w:hAnsi="宋体"/>
          <w:color w:val="000000"/>
          <w:sz w:val="24"/>
          <w:highlight w:val="none"/>
          <w:lang w:val="en-US" w:eastAsia="zh-CN"/>
        </w:rPr>
        <w:t>三</w:t>
      </w:r>
      <w:r>
        <w:rPr>
          <w:rFonts w:hint="eastAsia" w:ascii="宋体" w:hAnsi="宋体"/>
          <w:color w:val="000000"/>
          <w:sz w:val="24"/>
          <w:highlight w:val="none"/>
        </w:rPr>
        <w:t>个标段，其中标段1为</w:t>
      </w:r>
      <w:bookmarkStart w:id="0" w:name="OLE_LINK1"/>
      <w:r>
        <w:rPr>
          <w:rFonts w:hint="eastAsia" w:ascii="宋体" w:hAnsi="宋体"/>
          <w:color w:val="000000"/>
          <w:sz w:val="24"/>
          <w:highlight w:val="none"/>
        </w:rPr>
        <w:t>8,471,727.29</w:t>
      </w:r>
      <w:bookmarkEnd w:id="0"/>
      <w:r>
        <w:rPr>
          <w:rFonts w:hint="eastAsia" w:ascii="宋体" w:hAnsi="宋体"/>
          <w:color w:val="000000"/>
          <w:sz w:val="24"/>
          <w:highlight w:val="none"/>
        </w:rPr>
        <w:t>元，标段2为</w:t>
      </w:r>
      <w:bookmarkStart w:id="1" w:name="OLE_LINK2"/>
      <w:r>
        <w:rPr>
          <w:rFonts w:hint="eastAsia" w:ascii="宋体" w:hAnsi="宋体"/>
          <w:color w:val="000000"/>
          <w:sz w:val="24"/>
          <w:highlight w:val="none"/>
        </w:rPr>
        <w:t>9,482,865.19</w:t>
      </w:r>
      <w:bookmarkEnd w:id="1"/>
      <w:r>
        <w:rPr>
          <w:rFonts w:hint="eastAsia" w:ascii="宋体" w:hAnsi="宋体"/>
          <w:color w:val="000000"/>
          <w:sz w:val="24"/>
          <w:highlight w:val="none"/>
        </w:rPr>
        <w:t>元，标段3为8,547,908.65。</w:t>
      </w:r>
      <w:r>
        <w:rPr>
          <w:rFonts w:hint="eastAsia" w:ascii="宋体" w:hAnsi="宋体" w:cs="宋体"/>
          <w:b/>
          <w:bCs/>
          <w:color w:val="000000"/>
          <w:sz w:val="24"/>
          <w:szCs w:val="24"/>
          <w:highlight w:val="none"/>
        </w:rPr>
        <w:t>（</w:t>
      </w:r>
      <w:r>
        <w:rPr>
          <w:rFonts w:hint="eastAsia" w:ascii="宋体" w:hAnsi="宋体" w:cs="宋体"/>
          <w:b/>
          <w:bCs/>
          <w:color w:val="000000"/>
          <w:kern w:val="0"/>
          <w:sz w:val="24"/>
          <w:szCs w:val="24"/>
          <w:highlight w:val="none"/>
        </w:rPr>
        <w:t>本项目实行双限价，投标人的投标总报价及分部分项综合单价均不能超过招标人公布的最高投标限价或分部分项综合单价限价（具体详见工程量清单和招标控制价公布函</w:t>
      </w:r>
      <w:r>
        <w:rPr>
          <w:rFonts w:hint="eastAsia" w:ascii="宋体" w:hAnsi="宋体" w:cs="宋体"/>
          <w:b/>
          <w:bCs/>
          <w:color w:val="000000"/>
          <w:sz w:val="24"/>
          <w:szCs w:val="24"/>
          <w:highlight w:val="none"/>
        </w:rPr>
        <w:t>）</w:t>
      </w:r>
      <w:r>
        <w:rPr>
          <w:rFonts w:hint="eastAsia"/>
          <w:lang w:eastAsia="zh-CN"/>
        </w:rPr>
        <w:t>。</w:t>
      </w:r>
    </w:p>
    <w:p>
      <w:pPr>
        <w:spacing w:line="360" w:lineRule="auto"/>
        <w:ind w:firstLine="422" w:firstLineChars="200"/>
        <w:rPr>
          <w:rFonts w:hint="eastAsia" w:ascii="宋体" w:hAnsi="宋体"/>
          <w:b/>
          <w:bCs/>
          <w:color w:val="000000"/>
          <w:szCs w:val="21"/>
          <w:highlight w:val="none"/>
          <w:u w:val="single"/>
        </w:rPr>
      </w:pPr>
      <w:r>
        <w:rPr>
          <w:rFonts w:hint="eastAsia" w:ascii="宋体" w:hAnsi="宋体" w:eastAsia="宋体" w:cs="宋体"/>
          <w:b/>
          <w:bCs/>
          <w:color w:val="000000"/>
          <w:szCs w:val="21"/>
          <w:highlight w:val="none"/>
          <w:u w:val="single"/>
        </w:rPr>
        <w:t>★</w:t>
      </w:r>
      <w:r>
        <w:rPr>
          <w:rFonts w:hint="eastAsia" w:ascii="宋体" w:hAnsi="宋体"/>
          <w:b/>
          <w:bCs/>
          <w:color w:val="000000"/>
          <w:szCs w:val="21"/>
          <w:highlight w:val="none"/>
          <w:u w:val="single"/>
        </w:rPr>
        <w:t>特别说明：</w:t>
      </w:r>
    </w:p>
    <w:p>
      <w:pPr>
        <w:spacing w:line="360" w:lineRule="auto"/>
        <w:ind w:firstLine="422" w:firstLineChars="200"/>
        <w:rPr>
          <w:rFonts w:hint="eastAsia" w:ascii="宋体" w:hAnsi="宋体"/>
          <w:b/>
          <w:bCs/>
          <w:color w:val="000000"/>
          <w:szCs w:val="21"/>
          <w:highlight w:val="none"/>
          <w:u w:val="single"/>
        </w:rPr>
      </w:pPr>
      <w:r>
        <w:rPr>
          <w:rFonts w:hint="eastAsia" w:ascii="宋体" w:hAnsi="宋体"/>
          <w:b/>
          <w:bCs/>
          <w:color w:val="000000"/>
          <w:szCs w:val="21"/>
          <w:highlight w:val="none"/>
          <w:u w:val="single"/>
        </w:rPr>
        <w:t>（1）</w:t>
      </w:r>
      <w:r>
        <w:rPr>
          <w:rFonts w:hint="eastAsia" w:ascii="宋体" w:hAnsi="宋体"/>
          <w:b/>
          <w:bCs/>
          <w:color w:val="000000"/>
          <w:szCs w:val="21"/>
          <w:highlight w:val="none"/>
          <w:u w:val="single"/>
          <w:lang w:val="en-US" w:eastAsia="zh-CN"/>
        </w:rPr>
        <w:t>投标申请人可同时申请参加本项目三个标段的投标，</w:t>
      </w:r>
      <w:r>
        <w:rPr>
          <w:rFonts w:hint="eastAsia" w:ascii="宋体" w:hAnsi="宋体"/>
          <w:b/>
          <w:bCs/>
          <w:color w:val="000000"/>
          <w:szCs w:val="21"/>
          <w:highlight w:val="none"/>
          <w:u w:val="single"/>
        </w:rPr>
        <w:t>同一投标人最多只能中1个标段，不能兼中。</w:t>
      </w:r>
    </w:p>
    <w:p>
      <w:pPr>
        <w:spacing w:line="360" w:lineRule="auto"/>
        <w:ind w:firstLine="422" w:firstLineChars="200"/>
        <w:rPr>
          <w:rFonts w:hint="eastAsia" w:ascii="宋体" w:hAnsi="宋体"/>
          <w:b/>
          <w:bCs/>
          <w:color w:val="000000"/>
          <w:szCs w:val="21"/>
          <w:highlight w:val="none"/>
          <w:u w:val="single"/>
        </w:rPr>
      </w:pPr>
      <w:r>
        <w:rPr>
          <w:rFonts w:hint="eastAsia" w:ascii="宋体" w:hAnsi="宋体"/>
          <w:b/>
          <w:bCs/>
          <w:color w:val="000000"/>
          <w:szCs w:val="21"/>
          <w:highlight w:val="none"/>
          <w:u w:val="single"/>
        </w:rPr>
        <w:t>（</w:t>
      </w:r>
      <w:r>
        <w:rPr>
          <w:rFonts w:ascii="宋体" w:hAnsi="宋体"/>
          <w:b/>
          <w:bCs/>
          <w:color w:val="000000"/>
          <w:szCs w:val="21"/>
          <w:highlight w:val="none"/>
          <w:u w:val="single"/>
        </w:rPr>
        <w:t>3</w:t>
      </w:r>
      <w:r>
        <w:rPr>
          <w:rFonts w:hint="eastAsia" w:ascii="宋体" w:hAnsi="宋体"/>
          <w:b/>
          <w:bCs/>
          <w:color w:val="000000"/>
          <w:szCs w:val="21"/>
          <w:highlight w:val="none"/>
          <w:u w:val="single"/>
        </w:rPr>
        <w:t>）每个标段分别单独进行投标登记，但投标人可以只委派1套项目管理班子（但应满足相应标段的工作要求）。</w:t>
      </w:r>
    </w:p>
    <w:p>
      <w:pPr>
        <w:spacing w:line="360" w:lineRule="auto"/>
        <w:ind w:firstLine="422" w:firstLineChars="200"/>
        <w:rPr>
          <w:rFonts w:hint="eastAsia" w:ascii="宋体" w:hAnsi="宋体"/>
          <w:b/>
          <w:bCs/>
          <w:color w:val="000000"/>
          <w:szCs w:val="21"/>
          <w:highlight w:val="none"/>
          <w:u w:val="single"/>
        </w:rPr>
      </w:pPr>
      <w:r>
        <w:rPr>
          <w:rFonts w:hint="eastAsia" w:ascii="宋体" w:hAnsi="宋体"/>
          <w:b/>
          <w:bCs/>
          <w:color w:val="000000"/>
          <w:szCs w:val="21"/>
          <w:highlight w:val="none"/>
          <w:u w:val="single"/>
        </w:rPr>
        <w:t>（</w:t>
      </w:r>
      <w:r>
        <w:rPr>
          <w:rFonts w:ascii="宋体" w:hAnsi="宋体"/>
          <w:b/>
          <w:bCs/>
          <w:color w:val="000000"/>
          <w:szCs w:val="21"/>
          <w:highlight w:val="none"/>
          <w:u w:val="single"/>
        </w:rPr>
        <w:t>4</w:t>
      </w:r>
      <w:r>
        <w:rPr>
          <w:rFonts w:hint="eastAsia" w:ascii="宋体" w:hAnsi="宋体"/>
          <w:b/>
          <w:bCs/>
          <w:color w:val="000000"/>
          <w:szCs w:val="21"/>
          <w:highlight w:val="none"/>
          <w:u w:val="single"/>
        </w:rPr>
        <w:t>）本项目</w:t>
      </w:r>
      <w:r>
        <w:rPr>
          <w:rFonts w:hint="eastAsia" w:ascii="宋体" w:hAnsi="宋体"/>
          <w:b/>
          <w:bCs/>
          <w:color w:val="000000"/>
          <w:szCs w:val="21"/>
          <w:highlight w:val="none"/>
          <w:u w:val="single"/>
          <w:lang w:val="en-US" w:eastAsia="zh-CN"/>
        </w:rPr>
        <w:t>3</w:t>
      </w:r>
      <w:r>
        <w:rPr>
          <w:rFonts w:hint="eastAsia" w:ascii="宋体" w:hAnsi="宋体"/>
          <w:b/>
          <w:bCs/>
          <w:color w:val="000000"/>
          <w:szCs w:val="21"/>
          <w:highlight w:val="none"/>
          <w:u w:val="single"/>
        </w:rPr>
        <w:t>个标段同时进行开标、评标，各有效标段（指有效投标单位不少于</w:t>
      </w:r>
      <w:r>
        <w:rPr>
          <w:rFonts w:hint="eastAsia" w:ascii="宋体" w:hAnsi="宋体"/>
          <w:b/>
          <w:bCs/>
          <w:color w:val="000000"/>
          <w:szCs w:val="21"/>
          <w:highlight w:val="none"/>
          <w:u w:val="single"/>
          <w:lang w:val="en-US" w:eastAsia="zh-CN"/>
        </w:rPr>
        <w:t>5</w:t>
      </w:r>
      <w:r>
        <w:rPr>
          <w:rFonts w:hint="eastAsia" w:ascii="宋体" w:hAnsi="宋体"/>
          <w:b/>
          <w:bCs/>
          <w:color w:val="000000"/>
          <w:szCs w:val="21"/>
          <w:highlight w:val="none"/>
          <w:u w:val="single"/>
        </w:rPr>
        <w:t>家）按照标段1到标段</w:t>
      </w:r>
      <w:r>
        <w:rPr>
          <w:rFonts w:hint="eastAsia" w:ascii="宋体" w:hAnsi="宋体"/>
          <w:b/>
          <w:bCs/>
          <w:color w:val="000000"/>
          <w:szCs w:val="21"/>
          <w:highlight w:val="none"/>
          <w:u w:val="single"/>
          <w:lang w:val="en-US" w:eastAsia="zh-CN"/>
        </w:rPr>
        <w:t>3</w:t>
      </w:r>
      <w:r>
        <w:rPr>
          <w:rFonts w:hint="eastAsia" w:ascii="宋体" w:hAnsi="宋体"/>
          <w:b/>
          <w:bCs/>
          <w:color w:val="000000"/>
          <w:szCs w:val="21"/>
          <w:highlight w:val="none"/>
          <w:u w:val="single"/>
        </w:rPr>
        <w:t>的先后顺序，依次推荐各有效标段的中标候选人。</w:t>
      </w:r>
    </w:p>
    <w:p>
      <w:pPr>
        <w:spacing w:line="360" w:lineRule="auto"/>
        <w:ind w:firstLine="422" w:firstLineChars="200"/>
        <w:rPr>
          <w:rFonts w:hint="eastAsia" w:ascii="宋体" w:hAnsi="宋体"/>
          <w:b/>
          <w:bCs/>
          <w:color w:val="000000"/>
          <w:szCs w:val="21"/>
          <w:highlight w:val="none"/>
          <w:u w:val="single"/>
        </w:rPr>
      </w:pPr>
      <w:r>
        <w:rPr>
          <w:rFonts w:hint="eastAsia" w:ascii="宋体" w:hAnsi="宋体"/>
          <w:b/>
          <w:bCs/>
          <w:color w:val="000000"/>
          <w:szCs w:val="21"/>
          <w:highlight w:val="none"/>
          <w:u w:val="single"/>
        </w:rPr>
        <w:t>（</w:t>
      </w:r>
      <w:r>
        <w:rPr>
          <w:rFonts w:ascii="宋体" w:hAnsi="宋体"/>
          <w:b/>
          <w:bCs/>
          <w:color w:val="000000"/>
          <w:szCs w:val="21"/>
          <w:highlight w:val="none"/>
          <w:u w:val="single"/>
        </w:rPr>
        <w:t>5</w:t>
      </w:r>
      <w:r>
        <w:rPr>
          <w:rFonts w:hint="eastAsia" w:ascii="宋体" w:hAnsi="宋体"/>
          <w:b/>
          <w:bCs/>
          <w:color w:val="000000"/>
          <w:szCs w:val="21"/>
          <w:highlight w:val="none"/>
          <w:u w:val="single"/>
        </w:rPr>
        <w:t>）若某一投标人在多个标段中同时评审排名第一，则按照从标段1到标段</w:t>
      </w:r>
      <w:r>
        <w:rPr>
          <w:rFonts w:hint="eastAsia" w:ascii="宋体" w:hAnsi="宋体"/>
          <w:b/>
          <w:bCs/>
          <w:color w:val="000000"/>
          <w:szCs w:val="21"/>
          <w:highlight w:val="none"/>
          <w:u w:val="single"/>
          <w:lang w:val="en-US" w:eastAsia="zh-CN"/>
        </w:rPr>
        <w:t>3</w:t>
      </w:r>
      <w:r>
        <w:rPr>
          <w:rFonts w:hint="eastAsia" w:ascii="宋体" w:hAnsi="宋体"/>
          <w:b/>
          <w:bCs/>
          <w:color w:val="000000"/>
          <w:szCs w:val="21"/>
          <w:highlight w:val="none"/>
          <w:u w:val="single"/>
        </w:rPr>
        <w:t>的先后顺序，确定其为前面标段的第一中标候选人，同时，视为自动放弃其余标段的中标候选人资格。其余标段的中标候选人，按评审排名先后顺序依次上升替补确定，以此类推；</w:t>
      </w:r>
    </w:p>
    <w:p>
      <w:pPr>
        <w:spacing w:line="360" w:lineRule="auto"/>
        <w:ind w:firstLine="422" w:firstLineChars="200"/>
        <w:rPr>
          <w:rFonts w:hint="eastAsia" w:ascii="宋体" w:hAnsi="宋体"/>
          <w:b/>
          <w:bCs/>
          <w:color w:val="000000"/>
          <w:szCs w:val="21"/>
          <w:highlight w:val="none"/>
          <w:u w:val="single"/>
        </w:rPr>
      </w:pPr>
      <w:r>
        <w:rPr>
          <w:rFonts w:hint="eastAsia" w:ascii="宋体" w:hAnsi="宋体"/>
          <w:b/>
          <w:bCs/>
          <w:color w:val="000000"/>
          <w:szCs w:val="21"/>
          <w:highlight w:val="none"/>
          <w:u w:val="single"/>
        </w:rPr>
        <w:t>（</w:t>
      </w:r>
      <w:r>
        <w:rPr>
          <w:rFonts w:ascii="宋体" w:hAnsi="宋体"/>
          <w:b/>
          <w:bCs/>
          <w:color w:val="000000"/>
          <w:szCs w:val="21"/>
          <w:highlight w:val="none"/>
          <w:u w:val="single"/>
        </w:rPr>
        <w:t>6</w:t>
      </w:r>
      <w:r>
        <w:rPr>
          <w:rFonts w:hint="eastAsia" w:ascii="宋体" w:hAnsi="宋体"/>
          <w:b/>
          <w:bCs/>
          <w:color w:val="000000"/>
          <w:szCs w:val="21"/>
          <w:highlight w:val="none"/>
          <w:u w:val="single"/>
        </w:rPr>
        <w:t>）如果出现某标段的第一中标候选人放弃中标或因其他原因被取消中标资格的，仅在该标段内按照已确定的中标候选人顺序依次上升替补定标，以此类推；若替补上来的中标候选人已成为其他标段的第一中标候选人或中标人，则该单位不得成为该标段的中标人，由该标段排名其后的中标候选人上升替补定标，并以此类推；若该标段所有中标候选人都不能成为中标人，则该标段招标失败，不影响其他标段中标人的确定，招标人分析招标失败原因，修正招标方案，报有关管理部门核准后，重新组织招标。</w:t>
      </w:r>
    </w:p>
    <w:p>
      <w:pPr>
        <w:spacing w:line="360" w:lineRule="auto"/>
        <w:ind w:firstLine="422" w:firstLineChars="200"/>
        <w:rPr>
          <w:rFonts w:hint="eastAsia" w:ascii="宋体" w:hAnsi="宋体"/>
          <w:b/>
          <w:bCs/>
          <w:color w:val="000000"/>
          <w:szCs w:val="21"/>
          <w:highlight w:val="none"/>
          <w:u w:val="single"/>
        </w:rPr>
      </w:pPr>
      <w:r>
        <w:rPr>
          <w:rFonts w:hint="eastAsia" w:ascii="宋体" w:hAnsi="宋体"/>
          <w:b/>
          <w:bCs/>
          <w:color w:val="000000"/>
          <w:szCs w:val="21"/>
          <w:highlight w:val="none"/>
          <w:u w:val="single"/>
        </w:rPr>
        <w:t>（</w:t>
      </w:r>
      <w:r>
        <w:rPr>
          <w:rFonts w:ascii="宋体" w:hAnsi="宋体"/>
          <w:b/>
          <w:bCs/>
          <w:color w:val="000000"/>
          <w:szCs w:val="21"/>
          <w:highlight w:val="none"/>
          <w:u w:val="single"/>
        </w:rPr>
        <w:t>7</w:t>
      </w:r>
      <w:r>
        <w:rPr>
          <w:rFonts w:hint="eastAsia" w:ascii="宋体" w:hAnsi="宋体"/>
          <w:b/>
          <w:bCs/>
          <w:color w:val="000000"/>
          <w:szCs w:val="21"/>
          <w:highlight w:val="none"/>
          <w:u w:val="single"/>
        </w:rPr>
        <w:t>）若某标段招标失败不影响其他标段的开标、评标、定标等工作，其他标段的中标候选人按评审排名的先后顺序依次确定。若某标段招标失败而重新招标的，其他标段的中标人不能再成为该项目重新招标标段的中标人。</w:t>
      </w:r>
    </w:p>
    <w:p>
      <w:pPr>
        <w:spacing w:line="360" w:lineRule="auto"/>
        <w:ind w:firstLine="422" w:firstLineChars="200"/>
        <w:rPr>
          <w:rFonts w:ascii="宋体" w:hAnsi="宋体"/>
          <w:b/>
          <w:bCs/>
          <w:color w:val="000000"/>
          <w:szCs w:val="21"/>
          <w:highlight w:val="none"/>
          <w:u w:val="single"/>
        </w:rPr>
      </w:pPr>
      <w:r>
        <w:rPr>
          <w:rFonts w:hint="eastAsia" w:ascii="宋体" w:hAnsi="宋体"/>
          <w:b/>
          <w:bCs/>
          <w:color w:val="000000"/>
          <w:szCs w:val="21"/>
          <w:highlight w:val="none"/>
          <w:u w:val="single"/>
        </w:rPr>
        <w:t>（</w:t>
      </w:r>
      <w:r>
        <w:rPr>
          <w:rFonts w:ascii="宋体" w:hAnsi="宋体"/>
          <w:b/>
          <w:bCs/>
          <w:color w:val="000000"/>
          <w:szCs w:val="21"/>
          <w:highlight w:val="none"/>
          <w:u w:val="single"/>
        </w:rPr>
        <w:t>8</w:t>
      </w:r>
      <w:r>
        <w:rPr>
          <w:rFonts w:hint="eastAsia" w:ascii="宋体" w:hAnsi="宋体"/>
          <w:b/>
          <w:bCs/>
          <w:color w:val="000000"/>
          <w:szCs w:val="21"/>
          <w:highlight w:val="none"/>
          <w:u w:val="single"/>
        </w:rPr>
        <w:t>）若某标段在确定中标候选人后，因其他原因导致该标段重新招标或中标通知书尚未发出，将不影响其他标段中标人的确定。</w:t>
      </w:r>
    </w:p>
    <w:p>
      <w:pPr>
        <w:spacing w:line="360" w:lineRule="auto"/>
        <w:ind w:firstLine="480" w:firstLineChars="200"/>
        <w:rPr>
          <w:rFonts w:ascii="宋体" w:hAnsi="宋体"/>
          <w:color w:val="000000"/>
          <w:sz w:val="24"/>
          <w:u w:val="single"/>
        </w:rPr>
      </w:pPr>
      <w:r>
        <w:rPr>
          <w:rFonts w:hint="eastAsia" w:ascii="宋体" w:hAnsi="宋体"/>
          <w:color w:val="000000"/>
          <w:sz w:val="24"/>
        </w:rPr>
        <w:t>六、资金来源：市财政资金。</w:t>
      </w:r>
    </w:p>
    <w:p>
      <w:pPr>
        <w:spacing w:line="360" w:lineRule="auto"/>
        <w:ind w:firstLine="480" w:firstLineChars="200"/>
        <w:rPr>
          <w:rFonts w:ascii="宋体" w:hAnsi="宋体" w:cs="宋体"/>
          <w:color w:val="000000"/>
          <w:sz w:val="24"/>
          <w:szCs w:val="24"/>
        </w:rPr>
      </w:pPr>
      <w:r>
        <w:rPr>
          <w:rFonts w:hint="eastAsia" w:ascii="宋体" w:hAnsi="宋体" w:cs="宋体"/>
          <w:color w:val="000000"/>
          <w:kern w:val="0"/>
          <w:sz w:val="24"/>
          <w:szCs w:val="24"/>
        </w:rPr>
        <w:t>七、</w:t>
      </w:r>
      <w:r>
        <w:rPr>
          <w:rFonts w:hint="eastAsia" w:ascii="宋体" w:hAnsi="宋体"/>
          <w:color w:val="000000"/>
          <w:sz w:val="24"/>
        </w:rPr>
        <w:t>公告发布日期、</w:t>
      </w:r>
      <w:r>
        <w:rPr>
          <w:rFonts w:hint="eastAsia" w:ascii="宋体" w:hAnsi="宋体" w:cs="宋体"/>
          <w:color w:val="000000"/>
          <w:sz w:val="24"/>
          <w:szCs w:val="24"/>
        </w:rPr>
        <w:t>递交投标文件时间与开标时间：</w:t>
      </w:r>
    </w:p>
    <w:p>
      <w:pPr>
        <w:snapToGrid w:val="0"/>
        <w:spacing w:line="480" w:lineRule="exact"/>
        <w:ind w:left="239" w:leftChars="114" w:firstLine="240" w:firstLineChars="100"/>
        <w:rPr>
          <w:sz w:val="24"/>
        </w:rPr>
      </w:pPr>
      <w:r>
        <w:rPr>
          <w:rFonts w:hint="eastAsia" w:cs="宋体"/>
          <w:sz w:val="24"/>
          <w:szCs w:val="24"/>
        </w:rPr>
        <w:t>1、</w:t>
      </w:r>
      <w:r>
        <w:rPr>
          <w:rFonts w:hint="eastAsia"/>
          <w:sz w:val="24"/>
        </w:rPr>
        <w:t>公告发布日期（含本日）：</w:t>
      </w:r>
      <w:r>
        <w:rPr>
          <w:rFonts w:hint="eastAsia"/>
          <w:sz w:val="24"/>
          <w:u w:val="single"/>
        </w:rPr>
        <w:t>202</w:t>
      </w:r>
      <w:r>
        <w:rPr>
          <w:rFonts w:hint="eastAsia"/>
          <w:sz w:val="24"/>
          <w:u w:val="single"/>
          <w:lang w:val="en-US" w:eastAsia="zh-CN"/>
        </w:rPr>
        <w:t>5</w:t>
      </w:r>
      <w:r>
        <w:rPr>
          <w:rFonts w:hint="eastAsia"/>
          <w:sz w:val="24"/>
        </w:rPr>
        <w:t xml:space="preserve">年  月  日  </w:t>
      </w:r>
      <w:r>
        <w:rPr>
          <w:rFonts w:hint="eastAsia"/>
          <w:sz w:val="24"/>
          <w:szCs w:val="24"/>
        </w:rPr>
        <w:t>时  分</w:t>
      </w:r>
      <w:r>
        <w:rPr>
          <w:rFonts w:hint="eastAsia"/>
          <w:sz w:val="24"/>
        </w:rPr>
        <w:t>至</w:t>
      </w:r>
      <w:r>
        <w:rPr>
          <w:rFonts w:hint="eastAsia"/>
          <w:sz w:val="24"/>
          <w:u w:val="single"/>
        </w:rPr>
        <w:t>202</w:t>
      </w:r>
      <w:r>
        <w:rPr>
          <w:rFonts w:hint="eastAsia"/>
          <w:sz w:val="24"/>
          <w:u w:val="single"/>
          <w:lang w:val="en-US" w:eastAsia="zh-CN"/>
        </w:rPr>
        <w:t>5</w:t>
      </w:r>
      <w:r>
        <w:rPr>
          <w:rFonts w:hint="eastAsia"/>
          <w:sz w:val="24"/>
        </w:rPr>
        <w:t>年  月  日</w:t>
      </w:r>
      <w:r>
        <w:rPr>
          <w:rFonts w:hint="eastAsia"/>
          <w:sz w:val="24"/>
          <w:szCs w:val="24"/>
        </w:rPr>
        <w:t>时  分</w:t>
      </w:r>
    </w:p>
    <w:p>
      <w:pPr>
        <w:snapToGrid w:val="0"/>
        <w:spacing w:line="480" w:lineRule="exact"/>
        <w:ind w:firstLine="480" w:firstLineChars="200"/>
        <w:rPr>
          <w:rFonts w:cs="宋体"/>
          <w:kern w:val="0"/>
          <w:sz w:val="24"/>
          <w:szCs w:val="24"/>
        </w:rPr>
      </w:pPr>
      <w:r>
        <w:rPr>
          <w:rFonts w:hint="eastAsia"/>
          <w:sz w:val="24"/>
        </w:rPr>
        <w:t>凡有意参加投标者，请登录</w:t>
      </w:r>
      <w:r>
        <w:rPr>
          <w:rFonts w:hint="eastAsia"/>
          <w:sz w:val="24"/>
          <w:szCs w:val="24"/>
          <w:u w:val="single"/>
        </w:rPr>
        <w:t>广州交易集团有限公司（广州公共资源交易中心）</w:t>
      </w:r>
      <w:r>
        <w:rPr>
          <w:rFonts w:hint="eastAsia"/>
          <w:sz w:val="24"/>
          <w:szCs w:val="24"/>
        </w:rPr>
        <w:t>交易平台</w:t>
      </w:r>
      <w:r>
        <w:rPr>
          <w:rFonts w:hint="eastAsia"/>
          <w:sz w:val="24"/>
        </w:rPr>
        <w:t>网站下载电子招标文件。</w:t>
      </w:r>
    </w:p>
    <w:p>
      <w:pPr>
        <w:widowControl/>
        <w:shd w:val="clear"/>
        <w:snapToGrid w:val="0"/>
        <w:spacing w:line="480" w:lineRule="exact"/>
        <w:ind w:firstLine="480" w:firstLineChars="200"/>
        <w:jc w:val="left"/>
        <w:rPr>
          <w:rFonts w:cs="宋体"/>
          <w:kern w:val="0"/>
          <w:sz w:val="24"/>
          <w:szCs w:val="24"/>
        </w:rPr>
      </w:pPr>
      <w:r>
        <w:rPr>
          <w:rFonts w:hint="eastAsia" w:cs="宋体"/>
          <w:kern w:val="0"/>
          <w:sz w:val="24"/>
          <w:szCs w:val="24"/>
        </w:rPr>
        <w:t>注：发布招标公告的时间为招标公告发出之日起至投标截止时间止。</w:t>
      </w:r>
    </w:p>
    <w:p>
      <w:pPr>
        <w:widowControl/>
        <w:shd w:val="clear"/>
        <w:snapToGrid w:val="0"/>
        <w:spacing w:line="480" w:lineRule="exact"/>
        <w:ind w:firstLine="480" w:firstLineChars="200"/>
        <w:jc w:val="left"/>
        <w:rPr>
          <w:rFonts w:cs="宋体"/>
          <w:sz w:val="24"/>
          <w:szCs w:val="24"/>
        </w:rPr>
      </w:pPr>
      <w:r>
        <w:rPr>
          <w:rFonts w:hint="eastAsia" w:cs="宋体"/>
          <w:sz w:val="24"/>
          <w:szCs w:val="24"/>
        </w:rPr>
        <w:t>2、递交投标文件起始时间：</w:t>
      </w:r>
      <w:r>
        <w:rPr>
          <w:rFonts w:hint="eastAsia" w:cs="宋体"/>
          <w:sz w:val="24"/>
          <w:szCs w:val="24"/>
          <w:u w:val="none"/>
        </w:rPr>
        <w:t>202</w:t>
      </w:r>
      <w:r>
        <w:rPr>
          <w:rFonts w:hint="eastAsia" w:cs="宋体"/>
          <w:sz w:val="24"/>
          <w:szCs w:val="24"/>
          <w:u w:val="none"/>
          <w:lang w:val="en-US" w:eastAsia="zh-CN"/>
        </w:rPr>
        <w:t>5</w:t>
      </w:r>
      <w:r>
        <w:rPr>
          <w:rFonts w:hint="eastAsia" w:cs="宋体"/>
          <w:sz w:val="24"/>
          <w:szCs w:val="24"/>
          <w:u w:val="none"/>
        </w:rPr>
        <w:t xml:space="preserve">  </w:t>
      </w:r>
      <w:r>
        <w:rPr>
          <w:rFonts w:hint="eastAsia" w:cs="宋体"/>
          <w:sz w:val="24"/>
          <w:szCs w:val="24"/>
        </w:rPr>
        <w:t>年  月  日  时  分；</w:t>
      </w:r>
    </w:p>
    <w:p>
      <w:pPr>
        <w:widowControl/>
        <w:shd w:val="clear"/>
        <w:snapToGrid w:val="0"/>
        <w:spacing w:line="480" w:lineRule="exact"/>
        <w:ind w:left="0" w:leftChars="0" w:firstLine="480" w:firstLineChars="200"/>
        <w:jc w:val="left"/>
        <w:rPr>
          <w:rFonts w:cs="宋体"/>
          <w:sz w:val="24"/>
          <w:szCs w:val="24"/>
        </w:rPr>
      </w:pPr>
      <w:r>
        <w:rPr>
          <w:rFonts w:hint="eastAsia" w:cs="宋体"/>
          <w:sz w:val="24"/>
          <w:szCs w:val="24"/>
        </w:rPr>
        <w:t>截止时间：</w:t>
      </w:r>
      <w:r>
        <w:rPr>
          <w:rFonts w:hint="eastAsia" w:cs="宋体"/>
          <w:sz w:val="24"/>
          <w:szCs w:val="24"/>
          <w:u w:val="none"/>
        </w:rPr>
        <w:t>202</w:t>
      </w:r>
      <w:r>
        <w:rPr>
          <w:rFonts w:hint="eastAsia" w:cs="宋体"/>
          <w:sz w:val="24"/>
          <w:szCs w:val="24"/>
          <w:u w:val="none"/>
          <w:lang w:val="en-US" w:eastAsia="zh-CN"/>
        </w:rPr>
        <w:t>5</w:t>
      </w:r>
      <w:r>
        <w:rPr>
          <w:rFonts w:hint="eastAsia" w:cs="宋体"/>
          <w:sz w:val="24"/>
          <w:szCs w:val="24"/>
          <w:u w:val="none"/>
        </w:rPr>
        <w:t xml:space="preserve">  </w:t>
      </w:r>
      <w:r>
        <w:rPr>
          <w:rFonts w:hint="eastAsia" w:cs="宋体"/>
          <w:sz w:val="24"/>
          <w:szCs w:val="24"/>
        </w:rPr>
        <w:t>年  月  日  时  分。</w:t>
      </w:r>
    </w:p>
    <w:p>
      <w:pPr>
        <w:widowControl/>
        <w:shd w:val="clear"/>
        <w:snapToGrid w:val="0"/>
        <w:spacing w:line="480" w:lineRule="exact"/>
        <w:ind w:firstLine="480" w:firstLineChars="200"/>
        <w:jc w:val="left"/>
        <w:rPr>
          <w:rFonts w:hint="eastAsia" w:cs="宋体"/>
          <w:sz w:val="24"/>
          <w:szCs w:val="24"/>
          <w:u w:val="none"/>
        </w:rPr>
      </w:pPr>
      <w:r>
        <w:rPr>
          <w:rFonts w:hint="eastAsia" w:cs="宋体"/>
          <w:sz w:val="24"/>
          <w:szCs w:val="24"/>
        </w:rPr>
        <w:t>3、开标开始时间：</w:t>
      </w:r>
      <w:r>
        <w:rPr>
          <w:rFonts w:hint="eastAsia" w:cs="宋体"/>
          <w:sz w:val="24"/>
          <w:szCs w:val="24"/>
          <w:u w:val="none"/>
        </w:rPr>
        <w:t>202</w:t>
      </w:r>
      <w:r>
        <w:rPr>
          <w:rFonts w:hint="eastAsia" w:cs="宋体"/>
          <w:sz w:val="24"/>
          <w:szCs w:val="24"/>
          <w:u w:val="none"/>
          <w:lang w:val="en-US" w:eastAsia="zh-CN"/>
        </w:rPr>
        <w:t>5</w:t>
      </w:r>
      <w:r>
        <w:rPr>
          <w:rFonts w:hint="eastAsia" w:cs="宋体"/>
          <w:sz w:val="24"/>
          <w:szCs w:val="24"/>
        </w:rPr>
        <w:t>年  月  日  时  分。</w:t>
      </w:r>
    </w:p>
    <w:p>
      <w:pPr>
        <w:widowControl/>
        <w:shd w:val="clear"/>
        <w:snapToGrid w:val="0"/>
        <w:spacing w:line="480" w:lineRule="exact"/>
        <w:ind w:firstLine="480" w:firstLineChars="200"/>
        <w:jc w:val="left"/>
        <w:rPr>
          <w:rFonts w:cs="宋体"/>
          <w:sz w:val="24"/>
          <w:szCs w:val="24"/>
        </w:rPr>
      </w:pPr>
      <w:r>
        <w:rPr>
          <w:rFonts w:hint="eastAsia" w:cs="宋体"/>
          <w:sz w:val="24"/>
          <w:szCs w:val="24"/>
        </w:rPr>
        <w:t>4、递交投标文件截止时间与开标时间是否有变化，请密切留意招标答疑中的相关信息。递交投标文件截止时间后，开标时间因故推迟的，相关评标信息仍以原递交投标文件截止时间的信息为准。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480" w:lineRule="exact"/>
        <w:ind w:firstLine="480" w:firstLineChars="200"/>
        <w:rPr>
          <w:rFonts w:ascii="宋体" w:hAnsi="宋体"/>
          <w:color w:val="000000"/>
          <w:sz w:val="24"/>
          <w:szCs w:val="24"/>
          <w:u w:val="single"/>
        </w:rPr>
      </w:pPr>
      <w:r>
        <w:rPr>
          <w:rFonts w:hint="eastAsia" w:cs="宋体"/>
          <w:sz w:val="24"/>
          <w:szCs w:val="24"/>
        </w:rPr>
        <w:t>5、</w:t>
      </w:r>
      <w:r>
        <w:rPr>
          <w:rFonts w:hint="eastAsia"/>
          <w:bCs/>
          <w:sz w:val="24"/>
          <w:szCs w:val="24"/>
        </w:rPr>
        <w:t>投标人通过</w:t>
      </w:r>
      <w:r>
        <w:rPr>
          <w:rFonts w:hint="eastAsia"/>
          <w:sz w:val="24"/>
          <w:szCs w:val="24"/>
          <w:u w:val="single"/>
        </w:rPr>
        <w:t>广州交易集团有限公司（广州公共资源交易中心）</w:t>
      </w:r>
      <w:r>
        <w:rPr>
          <w:rFonts w:hint="eastAsia"/>
          <w:sz w:val="24"/>
          <w:szCs w:val="24"/>
        </w:rPr>
        <w:t>交易平台递交电子投标文件。</w:t>
      </w:r>
      <w:r>
        <w:rPr>
          <w:rFonts w:hint="eastAsia" w:cs="仿宋_GB2312"/>
          <w:sz w:val="24"/>
          <w:szCs w:val="24"/>
        </w:rPr>
        <w:t>投标人应在递交投标文件截止时间前，登录</w:t>
      </w:r>
      <w:r>
        <w:rPr>
          <w:rFonts w:hint="eastAsia"/>
          <w:sz w:val="24"/>
          <w:szCs w:val="24"/>
          <w:u w:val="single"/>
        </w:rPr>
        <w:t>广州交易集团有限公司（广州公共资源交易中心）</w:t>
      </w:r>
      <w:r>
        <w:rPr>
          <w:rFonts w:hint="eastAsia"/>
          <w:sz w:val="24"/>
          <w:szCs w:val="24"/>
        </w:rPr>
        <w:t>交易平台</w:t>
      </w:r>
      <w:r>
        <w:rPr>
          <w:rFonts w:hint="eastAsia" w:cs="仿宋_GB2312"/>
          <w:sz w:val="24"/>
          <w:szCs w:val="24"/>
        </w:rPr>
        <w:t>网站办理网上投标登记手续。按照交易平台关于全流程电子化项目的相关指南进行操作。详见：</w:t>
      </w:r>
      <w:r>
        <w:rPr>
          <w:rFonts w:hint="eastAsia" w:cs="仿宋_GB2312"/>
          <w:sz w:val="24"/>
          <w:szCs w:val="24"/>
          <w:u w:val="single"/>
        </w:rPr>
        <w:t>广州交易集团有限公司（广州公共资源交易中心）网站。</w:t>
      </w:r>
      <w:r>
        <w:rPr>
          <w:rFonts w:hint="eastAsia" w:ascii="宋体" w:hAnsi="宋体" w:cs="仿宋_GB2312"/>
          <w:color w:val="000000"/>
          <w:sz w:val="24"/>
          <w:szCs w:val="24"/>
        </w:rPr>
        <w:t xml:space="preserve"> </w:t>
      </w:r>
    </w:p>
    <w:p>
      <w:pPr>
        <w:spacing w:line="360" w:lineRule="auto"/>
        <w:ind w:firstLine="480" w:firstLineChars="200"/>
        <w:rPr>
          <w:rFonts w:ascii="宋体" w:cs="宋体"/>
          <w:color w:val="000000"/>
          <w:kern w:val="0"/>
          <w:sz w:val="24"/>
          <w:szCs w:val="24"/>
        </w:rPr>
      </w:pPr>
      <w:r>
        <w:rPr>
          <w:rFonts w:hint="eastAsia" w:ascii="宋体" w:hAnsi="宋体" w:cs="宋体"/>
          <w:color w:val="000000"/>
          <w:kern w:val="0"/>
          <w:sz w:val="24"/>
          <w:szCs w:val="24"/>
        </w:rPr>
        <w:t>八、招标文件获取方式：</w:t>
      </w:r>
    </w:p>
    <w:p>
      <w:pPr>
        <w:adjustRightIn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本项目招标文件随招标公告一并在广州交易集团有限公司（广州公共资源交易中心）交易平台网站发布。招标文件一经在广州交易集团有限公司（广州公共资源交易中心）交易平台发布，视为发售给投标人，招标文件由投标人自行在广州交易集团有限公司（广州公共资源交易中心）交易平台网站下载。</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九、投标人合格条件：</w:t>
      </w:r>
    </w:p>
    <w:p>
      <w:pPr>
        <w:adjustRightIn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1、投标人参加投标的意思表达清楚，投标人代表被授权有效。</w:t>
      </w:r>
    </w:p>
    <w:p>
      <w:pPr>
        <w:adjustRightIn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2、投标人具有独立法人资格，按国家法律经营。</w:t>
      </w:r>
    </w:p>
    <w:p>
      <w:pPr>
        <w:adjustRightIn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3、投标人持有建设行政主管部门颁发的有效期内的企业资质证书及安全生产许可证；</w:t>
      </w:r>
    </w:p>
    <w:p>
      <w:pPr>
        <w:adjustRightInd w:val="0"/>
        <w:spacing w:line="360" w:lineRule="auto"/>
        <w:ind w:firstLine="480" w:firstLineChars="200"/>
        <w:rPr>
          <w:rFonts w:ascii="宋体" w:hAnsi="宋体"/>
          <w:color w:val="000000"/>
          <w:kern w:val="0"/>
          <w:sz w:val="24"/>
          <w:szCs w:val="24"/>
        </w:rPr>
      </w:pPr>
      <w:r>
        <w:rPr>
          <w:rFonts w:ascii="宋体" w:hAnsi="宋体"/>
          <w:color w:val="000000"/>
          <w:kern w:val="0"/>
          <w:sz w:val="24"/>
          <w:szCs w:val="24"/>
        </w:rPr>
        <w:t>4</w:t>
      </w:r>
      <w:r>
        <w:rPr>
          <w:rFonts w:hint="eastAsia" w:ascii="宋体" w:hAnsi="宋体"/>
          <w:color w:val="000000"/>
          <w:kern w:val="0"/>
          <w:sz w:val="24"/>
          <w:szCs w:val="24"/>
        </w:rPr>
        <w:t>、投标人应具备以下资质：</w:t>
      </w:r>
    </w:p>
    <w:p>
      <w:pPr>
        <w:pStyle w:val="6"/>
        <w:tabs>
          <w:tab w:val="left" w:pos="7867"/>
          <w:tab w:val="left" w:pos="9071"/>
          <w:tab w:val="left" w:pos="9313"/>
        </w:tabs>
        <w:kinsoku w:val="0"/>
        <w:overflowPunct w:val="0"/>
        <w:spacing w:after="0" w:line="480" w:lineRule="auto"/>
        <w:ind w:firstLine="480" w:firstLineChars="200"/>
        <w:rPr>
          <w:rFonts w:hint="eastAsia" w:ascii="宋体" w:hAnsi="宋体" w:cs="宋体"/>
          <w:i/>
          <w:color w:val="000000"/>
          <w:sz w:val="24"/>
          <w:szCs w:val="24"/>
          <w:highlight w:val="yellow"/>
        </w:rPr>
      </w:pPr>
      <w:r>
        <w:rPr>
          <w:rFonts w:hint="eastAsia" w:ascii="宋体" w:hAnsi="宋体"/>
          <w:color w:val="000000"/>
          <w:kern w:val="0"/>
          <w:sz w:val="24"/>
          <w:szCs w:val="24"/>
        </w:rPr>
        <w:t>【标段1、标段2、标段3】：</w:t>
      </w:r>
      <w:r>
        <w:rPr>
          <w:rFonts w:hint="eastAsia" w:ascii="宋体" w:hAnsi="宋体"/>
          <w:color w:val="000000"/>
          <w:sz w:val="24"/>
          <w:szCs w:val="24"/>
          <w:highlight w:val="none"/>
        </w:rPr>
        <w:t>投标人具有承接本工程所需的</w:t>
      </w:r>
      <w:r>
        <w:rPr>
          <w:rFonts w:hint="eastAsia" w:ascii="宋体" w:hAnsi="宋体"/>
          <w:color w:val="000000"/>
          <w:sz w:val="24"/>
          <w:szCs w:val="24"/>
          <w:highlight w:val="none"/>
          <w:u w:val="single"/>
        </w:rPr>
        <w:t>市政公用工程总承包三级或以上</w:t>
      </w:r>
      <w:r>
        <w:rPr>
          <w:rFonts w:hint="eastAsia" w:ascii="宋体" w:hAnsi="宋体"/>
          <w:color w:val="000000"/>
          <w:sz w:val="24"/>
          <w:szCs w:val="24"/>
          <w:highlight w:val="none"/>
        </w:rPr>
        <w:t>资质。</w:t>
      </w:r>
    </w:p>
    <w:p>
      <w:pPr>
        <w:adjustRightInd w:val="0"/>
        <w:spacing w:line="360" w:lineRule="auto"/>
        <w:ind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投标人拟担任本工程项目负责人的人员为：</w:t>
      </w:r>
      <w:r>
        <w:rPr>
          <w:rFonts w:hint="eastAsia" w:ascii="宋体" w:hAnsi="宋体"/>
          <w:color w:val="000000"/>
          <w:sz w:val="24"/>
          <w:szCs w:val="24"/>
          <w:highlight w:val="none"/>
          <w:u w:val="single"/>
        </w:rPr>
        <w:t>市政公用工程</w:t>
      </w:r>
      <w:r>
        <w:rPr>
          <w:rFonts w:hint="eastAsia" w:ascii="宋体" w:hAnsi="宋体"/>
          <w:color w:val="000000"/>
          <w:sz w:val="24"/>
          <w:szCs w:val="24"/>
          <w:highlight w:val="none"/>
        </w:rPr>
        <w:t>专业</w:t>
      </w:r>
      <w:r>
        <w:rPr>
          <w:rFonts w:hint="eastAsia" w:ascii="宋体" w:hAnsi="宋体"/>
          <w:color w:val="000000"/>
          <w:sz w:val="24"/>
          <w:szCs w:val="24"/>
          <w:highlight w:val="none"/>
          <w:u w:val="single"/>
        </w:rPr>
        <w:t>贰</w:t>
      </w:r>
      <w:r>
        <w:rPr>
          <w:rFonts w:hint="eastAsia" w:ascii="宋体" w:hAnsi="宋体"/>
          <w:color w:val="000000"/>
          <w:sz w:val="24"/>
          <w:szCs w:val="24"/>
          <w:highlight w:val="none"/>
        </w:rPr>
        <w:t>级或以上注册建造师</w:t>
      </w:r>
      <w:r>
        <w:rPr>
          <w:rFonts w:hint="eastAsia" w:ascii="宋体" w:hAnsi="宋体"/>
          <w:color w:val="000000"/>
          <w:kern w:val="0"/>
          <w:sz w:val="24"/>
          <w:szCs w:val="24"/>
          <w:highlight w:val="none"/>
        </w:rPr>
        <w:t>。</w:t>
      </w:r>
    </w:p>
    <w:p>
      <w:pPr>
        <w:adjustRightInd w:val="0"/>
        <w:spacing w:line="360" w:lineRule="auto"/>
        <w:ind w:firstLine="480" w:firstLineChars="200"/>
        <w:rPr>
          <w:rFonts w:hint="eastAsia" w:ascii="宋体" w:hAnsi="宋体" w:eastAsia="宋体" w:cs="宋体"/>
          <w:color w:val="000000"/>
          <w:kern w:val="2"/>
          <w:sz w:val="24"/>
        </w:rPr>
      </w:pPr>
      <w:r>
        <w:rPr>
          <w:rFonts w:hint="eastAsia" w:ascii="宋体" w:hAnsi="宋体" w:eastAsia="宋体" w:cs="宋体"/>
          <w:color w:val="000000"/>
          <w:kern w:val="2"/>
          <w:sz w:val="24"/>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pPr>
        <w:adjustRightInd w:val="0"/>
        <w:spacing w:line="360" w:lineRule="auto"/>
        <w:ind w:firstLine="480" w:firstLineChars="200"/>
        <w:rPr>
          <w:rFonts w:hint="eastAsia" w:ascii="宋体" w:hAnsi="宋体" w:eastAsia="宋体" w:cs="宋体"/>
          <w:color w:val="000000"/>
          <w:kern w:val="2"/>
          <w:sz w:val="24"/>
        </w:rPr>
      </w:pPr>
      <w:r>
        <w:rPr>
          <w:rFonts w:hint="eastAsia" w:ascii="宋体" w:hAnsi="宋体" w:eastAsia="宋体" w:cs="宋体"/>
          <w:color w:val="000000"/>
          <w:kern w:val="2"/>
          <w:sz w:val="24"/>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p>
    <w:p>
      <w:pPr>
        <w:adjustRightInd w:val="0"/>
        <w:spacing w:line="360" w:lineRule="auto"/>
        <w:ind w:firstLine="480" w:firstLineChars="200"/>
        <w:rPr>
          <w:rFonts w:hint="eastAsia" w:ascii="宋体" w:hAnsi="宋体" w:eastAsia="宋体" w:cs="宋体"/>
          <w:color w:val="000000"/>
          <w:kern w:val="2"/>
          <w:sz w:val="24"/>
        </w:rPr>
      </w:pPr>
      <w:r>
        <w:rPr>
          <w:rFonts w:hint="eastAsia" w:ascii="宋体" w:hAnsi="宋体" w:eastAsia="宋体" w:cs="宋体"/>
          <w:color w:val="000000"/>
          <w:kern w:val="2"/>
          <w:sz w:val="24"/>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pPr>
        <w:adjustRightInd w:val="0"/>
        <w:spacing w:line="360" w:lineRule="auto"/>
        <w:ind w:firstLine="480" w:firstLineChars="200"/>
        <w:rPr>
          <w:rFonts w:hint="eastAsia" w:ascii="宋体" w:hAnsi="宋体" w:eastAsia="宋体" w:cs="宋体"/>
          <w:color w:val="000000"/>
          <w:kern w:val="2"/>
          <w:sz w:val="24"/>
        </w:rPr>
      </w:pPr>
      <w:r>
        <w:rPr>
          <w:rFonts w:hint="eastAsia" w:ascii="宋体" w:hAnsi="宋体" w:eastAsia="宋体" w:cs="宋体"/>
          <w:color w:val="000000"/>
          <w:kern w:val="2"/>
          <w:sz w:val="24"/>
        </w:rPr>
        <w:t>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pPr>
        <w:adjustRightInd w:val="0"/>
        <w:spacing w:line="360" w:lineRule="auto"/>
        <w:ind w:firstLine="480" w:firstLineChars="200"/>
        <w:rPr>
          <w:rFonts w:hint="eastAsia" w:ascii="宋体" w:hAnsi="宋体" w:eastAsia="宋体" w:cs="宋体"/>
          <w:color w:val="000000"/>
          <w:kern w:val="2"/>
          <w:sz w:val="24"/>
        </w:rPr>
      </w:pPr>
      <w:r>
        <w:rPr>
          <w:rFonts w:hint="eastAsia" w:ascii="宋体" w:hAnsi="宋体" w:eastAsia="宋体" w:cs="宋体"/>
          <w:color w:val="000000"/>
          <w:kern w:val="2"/>
          <w:sz w:val="24"/>
        </w:rPr>
        <w:t>③项目负责人在任职期间不得担任专职安全员，项目专职安全员在任职期间也不得担任项目负责人，项目负责人和专职安全员不为同一人。</w:t>
      </w:r>
    </w:p>
    <w:p>
      <w:pPr>
        <w:adjustRightInd w:val="0"/>
        <w:spacing w:line="360" w:lineRule="auto"/>
        <w:ind w:firstLine="480" w:firstLineChars="200"/>
        <w:rPr>
          <w:rFonts w:hint="eastAsia" w:ascii="宋体" w:hAnsi="宋体" w:eastAsia="宋体" w:cs="宋体"/>
          <w:color w:val="000000"/>
          <w:kern w:val="2"/>
          <w:sz w:val="24"/>
        </w:rPr>
      </w:pPr>
      <w:r>
        <w:rPr>
          <w:rFonts w:hint="eastAsia" w:ascii="宋体" w:hAnsi="宋体" w:eastAsia="宋体" w:cs="宋体"/>
          <w:color w:val="000000"/>
          <w:kern w:val="2"/>
          <w:sz w:val="24"/>
        </w:rPr>
        <w:t>5、项目负责人持有安全生产考核合格证（B类）或建筑施工企业项目负责人安全生产考核合格证书。</w:t>
      </w:r>
    </w:p>
    <w:p>
      <w:pPr>
        <w:adjustRightInd w:val="0"/>
        <w:spacing w:line="360" w:lineRule="auto"/>
        <w:ind w:firstLine="480" w:firstLineChars="200"/>
        <w:rPr>
          <w:rFonts w:hint="eastAsia" w:ascii="宋体" w:hAnsi="宋体" w:eastAsia="宋体" w:cs="宋体"/>
          <w:color w:val="000000"/>
          <w:kern w:val="2"/>
          <w:sz w:val="24"/>
        </w:rPr>
      </w:pPr>
      <w:r>
        <w:rPr>
          <w:rFonts w:hint="eastAsia" w:ascii="宋体" w:hAnsi="宋体" w:eastAsia="宋体" w:cs="宋体"/>
          <w:color w:val="000000"/>
          <w:kern w:val="2"/>
          <w:sz w:val="24"/>
        </w:rPr>
        <w:t>6、投标人拟担任本工程技术负责人的资格要求为：</w:t>
      </w:r>
      <w:r>
        <w:rPr>
          <w:rFonts w:hint="eastAsia" w:ascii="宋体" w:hAnsi="宋体"/>
          <w:color w:val="000000"/>
          <w:kern w:val="0"/>
          <w:sz w:val="24"/>
          <w:szCs w:val="24"/>
          <w:u w:val="single"/>
        </w:rPr>
        <w:t>具备</w:t>
      </w:r>
      <w:r>
        <w:rPr>
          <w:rFonts w:hint="eastAsia" w:ascii="宋体" w:hAnsi="宋体"/>
          <w:color w:val="000000"/>
          <w:sz w:val="24"/>
          <w:szCs w:val="24"/>
          <w:u w:val="single"/>
        </w:rPr>
        <w:t>市政公用工程专业或交通工程类专业</w:t>
      </w:r>
      <w:r>
        <w:rPr>
          <w:rFonts w:hint="eastAsia" w:ascii="宋体" w:hAnsi="宋体"/>
          <w:color w:val="000000"/>
          <w:kern w:val="0"/>
          <w:sz w:val="24"/>
          <w:szCs w:val="24"/>
          <w:u w:val="single"/>
        </w:rPr>
        <w:t>中级工程师或以上职称</w:t>
      </w:r>
      <w:r>
        <w:rPr>
          <w:rFonts w:hint="eastAsia" w:ascii="宋体" w:hAnsi="宋体" w:eastAsia="宋体" w:cs="宋体"/>
          <w:color w:val="000000"/>
          <w:kern w:val="2"/>
          <w:sz w:val="24"/>
        </w:rPr>
        <w:t>。</w:t>
      </w:r>
    </w:p>
    <w:p>
      <w:pPr>
        <w:adjustRightInd w:val="0"/>
        <w:spacing w:line="360" w:lineRule="auto"/>
        <w:ind w:firstLine="480" w:firstLineChars="200"/>
        <w:rPr>
          <w:rFonts w:hint="eastAsia" w:ascii="宋体" w:hAnsi="宋体" w:eastAsia="宋体" w:cs="宋体"/>
          <w:color w:val="000000"/>
          <w:kern w:val="2"/>
          <w:sz w:val="24"/>
        </w:rPr>
      </w:pPr>
      <w:r>
        <w:rPr>
          <w:rFonts w:hint="eastAsia" w:ascii="宋体" w:hAnsi="宋体" w:eastAsia="宋体" w:cs="宋体"/>
          <w:color w:val="000000"/>
          <w:kern w:val="2"/>
          <w:sz w:val="24"/>
        </w:rPr>
        <w:t>7、专职安全员须具有安全生产考核合格证（C类）或建筑施工企业专职安全生产管理人员安全生产考核合格证书（C3类）。</w:t>
      </w:r>
    </w:p>
    <w:p>
      <w:pPr>
        <w:adjustRightInd w:val="0"/>
        <w:spacing w:line="360" w:lineRule="auto"/>
        <w:ind w:firstLine="480" w:firstLineChars="200"/>
        <w:rPr>
          <w:rFonts w:hint="eastAsia" w:ascii="宋体" w:hAnsi="宋体" w:eastAsia="宋体" w:cs="宋体"/>
          <w:color w:val="000000"/>
          <w:kern w:val="2"/>
          <w:sz w:val="24"/>
        </w:rPr>
      </w:pPr>
      <w:r>
        <w:rPr>
          <w:rFonts w:hint="eastAsia" w:ascii="宋体" w:hAnsi="宋体" w:eastAsia="宋体" w:cs="宋体"/>
          <w:color w:val="000000"/>
          <w:kern w:val="2"/>
          <w:sz w:val="24"/>
        </w:rPr>
        <w:t>8、投标人已按照附件一的内容签署盖章的投标人声明。</w:t>
      </w:r>
    </w:p>
    <w:p>
      <w:pPr>
        <w:adjustRightInd w:val="0"/>
        <w:spacing w:line="360" w:lineRule="auto"/>
        <w:ind w:firstLine="480" w:firstLineChars="200"/>
        <w:rPr>
          <w:rFonts w:hint="eastAsia" w:ascii="宋体" w:hAnsi="宋体" w:eastAsia="宋体" w:cs="宋体"/>
          <w:color w:val="000000"/>
          <w:kern w:val="2"/>
          <w:sz w:val="24"/>
        </w:rPr>
      </w:pPr>
      <w:r>
        <w:rPr>
          <w:rFonts w:hint="eastAsia" w:ascii="宋体" w:hAnsi="宋体" w:eastAsia="宋体" w:cs="宋体"/>
          <w:color w:val="000000"/>
          <w:kern w:val="2"/>
          <w:sz w:val="24"/>
        </w:rPr>
        <w:t>9、关于联合体投标：</w:t>
      </w:r>
      <w:r>
        <w:rPr>
          <w:rFonts w:hint="eastAsia" w:ascii="宋体" w:hAnsi="宋体" w:eastAsia="宋体" w:cs="宋体"/>
          <w:color w:val="000000"/>
          <w:kern w:val="2"/>
          <w:sz w:val="24"/>
          <w:u w:val="single"/>
        </w:rPr>
        <w:t>本项目不接受联合体投标。</w:t>
      </w:r>
    </w:p>
    <w:p>
      <w:pPr>
        <w:adjustRightInd w:val="0"/>
        <w:spacing w:line="360" w:lineRule="auto"/>
        <w:ind w:firstLine="480" w:firstLineChars="200"/>
        <w:rPr>
          <w:rFonts w:hint="eastAsia" w:ascii="宋体" w:hAnsi="宋体" w:eastAsia="宋体" w:cs="宋体"/>
          <w:color w:val="000000"/>
          <w:kern w:val="2"/>
          <w:sz w:val="24"/>
        </w:rPr>
      </w:pPr>
      <w:r>
        <w:rPr>
          <w:rFonts w:hint="eastAsia" w:ascii="宋体" w:hAnsi="宋体" w:eastAsia="宋体" w:cs="宋体"/>
          <w:color w:val="000000"/>
          <w:kern w:val="2"/>
          <w:sz w:val="24"/>
        </w:rPr>
        <w:t>10、</w:t>
      </w:r>
      <w:r>
        <w:rPr>
          <w:rFonts w:hint="eastAsia" w:ascii="宋体" w:hAnsi="宋体" w:cs="宋体"/>
          <w:sz w:val="24"/>
          <w:szCs w:val="24"/>
        </w:rPr>
        <w:t>资格审查前，投标人须在</w:t>
      </w:r>
      <w:r>
        <w:rPr>
          <w:rFonts w:hint="eastAsia" w:ascii="宋体" w:hAnsi="宋体"/>
          <w:bCs/>
          <w:sz w:val="24"/>
          <w:szCs w:val="24"/>
          <w:u w:val="single"/>
        </w:rPr>
        <w:t>广州交易集团有限公司（广州公共资源交易中心）企业库</w:t>
      </w:r>
      <w:r>
        <w:rPr>
          <w:rFonts w:ascii="宋体" w:hAnsi="宋体"/>
          <w:bCs/>
          <w:sz w:val="24"/>
          <w:szCs w:val="24"/>
          <w:u w:val="single"/>
        </w:rPr>
        <w:t>办理企业信息登记</w:t>
      </w:r>
      <w:r>
        <w:rPr>
          <w:rFonts w:hint="eastAsia" w:ascii="宋体" w:hAnsi="宋体" w:cs="宋体"/>
          <w:sz w:val="24"/>
          <w:szCs w:val="24"/>
        </w:rPr>
        <w:t>及拟担任本工程项目负责人、专职安全员须是本企业</w:t>
      </w:r>
      <w:r>
        <w:rPr>
          <w:rFonts w:hint="eastAsia" w:ascii="宋体" w:hAnsi="宋体"/>
          <w:bCs/>
          <w:sz w:val="24"/>
          <w:szCs w:val="24"/>
          <w:u w:val="single"/>
        </w:rPr>
        <w:t>信息登记</w:t>
      </w:r>
      <w:r>
        <w:rPr>
          <w:rFonts w:hint="eastAsia" w:ascii="宋体" w:hAnsi="宋体" w:cs="宋体"/>
          <w:sz w:val="24"/>
          <w:szCs w:val="24"/>
        </w:rPr>
        <w:t>中的在册人员。企业信息取自投标截止时间投标人在广州交易集团有限公司（广州公共资源交易中心）企业库内登记的信息，投标人无需提交相关资料，若招标人延长递交投标文件截止时间的，企业信息的评审时点也相应延长。投标人应及时维护其在广州交易集团有限公司（广州公共资源交易中心）企业库信息，确保各项信息在有效期内。</w:t>
      </w:r>
    </w:p>
    <w:p>
      <w:pPr>
        <w:adjustRightInd w:val="0"/>
        <w:spacing w:line="360" w:lineRule="auto"/>
        <w:ind w:firstLine="480" w:firstLineChars="200"/>
        <w:rPr>
          <w:rFonts w:hint="eastAsia" w:ascii="宋体" w:hAnsi="宋体" w:eastAsia="宋体" w:cs="宋体"/>
          <w:color w:val="000000"/>
          <w:kern w:val="2"/>
          <w:sz w:val="24"/>
        </w:rPr>
      </w:pPr>
      <w:r>
        <w:rPr>
          <w:rFonts w:hint="eastAsia" w:ascii="宋体" w:hAnsi="宋体" w:eastAsia="宋体" w:cs="宋体"/>
          <w:color w:val="000000"/>
          <w:kern w:val="2"/>
          <w:sz w:val="24"/>
        </w:rPr>
        <w:t>11、投标人未出现以下情形：与其它投标人的单位负责人为同一人或者存在控股、管理关系的（按投标人提供的《投标人声明》第</w:t>
      </w:r>
      <w:r>
        <w:rPr>
          <w:rFonts w:hint="eastAsia"/>
          <w:lang w:val="en-US" w:eastAsia="zh-CN"/>
        </w:rPr>
        <w:t>九</w:t>
      </w:r>
      <w:r>
        <w:rPr>
          <w:rFonts w:hint="eastAsia" w:ascii="宋体" w:hAnsi="宋体" w:eastAsia="宋体" w:cs="宋体"/>
          <w:color w:val="000000"/>
          <w:kern w:val="2"/>
          <w:sz w:val="24"/>
        </w:rPr>
        <w:t>条内容进行评审）。如不同投标申请人出现单位负责人为同一人或者存在控股、管理关系的情形，则相关投标均无效。</w:t>
      </w:r>
    </w:p>
    <w:p>
      <w:pPr>
        <w:adjustRightInd w:val="0"/>
        <w:spacing w:line="360" w:lineRule="auto"/>
        <w:ind w:firstLine="480" w:firstLineChars="200"/>
        <w:rPr>
          <w:rFonts w:hint="eastAsia" w:ascii="宋体" w:hAnsi="宋体" w:eastAsia="宋体" w:cs="宋体"/>
          <w:color w:val="000000"/>
          <w:kern w:val="2"/>
          <w:sz w:val="24"/>
        </w:rPr>
      </w:pPr>
      <w:r>
        <w:rPr>
          <w:rFonts w:hint="eastAsia" w:ascii="宋体" w:hAnsi="宋体" w:eastAsia="宋体" w:cs="宋体"/>
          <w:color w:val="000000"/>
          <w:kern w:val="2"/>
          <w:sz w:val="24"/>
        </w:rPr>
        <w:t>12、投标人未被列入拖欠农</w:t>
      </w:r>
      <w:r>
        <w:drawing>
          <wp:inline distT="0" distB="0" distL="114300" distR="114300">
            <wp:extent cx="284480" cy="130810"/>
            <wp:effectExtent l="0" t="0" r="127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284480" cy="130810"/>
                    </a:xfrm>
                    <a:prstGeom prst="rect">
                      <a:avLst/>
                    </a:prstGeom>
                    <a:noFill/>
                    <a:ln>
                      <a:noFill/>
                    </a:ln>
                  </pic:spPr>
                </pic:pic>
              </a:graphicData>
            </a:graphic>
          </wp:inline>
        </w:drawing>
      </w:r>
      <w:r>
        <w:rPr>
          <w:rFonts w:hint="eastAsia" w:ascii="宋体" w:hAnsi="宋体" w:eastAsia="宋体" w:cs="宋体"/>
          <w:color w:val="000000"/>
          <w:kern w:val="2"/>
          <w:sz w:val="24"/>
        </w:rPr>
        <w:t>工资失信联合惩戒对象名单。</w:t>
      </w:r>
    </w:p>
    <w:p>
      <w:pPr>
        <w:adjustRightInd w:val="0"/>
        <w:ind w:firstLine="480" w:firstLineChars="200"/>
        <w:rPr>
          <w:rFonts w:hint="eastAsia"/>
        </w:rPr>
      </w:pPr>
      <w:r>
        <w:rPr>
          <w:rFonts w:hint="eastAsia" w:ascii="宋体" w:hAnsi="宋体" w:eastAsia="宋体" w:cs="宋体"/>
          <w:color w:val="000000"/>
          <w:kern w:val="2"/>
          <w:sz w:val="24"/>
          <w:highlight w:val="none"/>
        </w:rPr>
        <w:t>13、</w:t>
      </w:r>
      <w:r>
        <w:rPr>
          <w:rFonts w:hint="eastAsia" w:ascii="宋体" w:hAnsi="宋体" w:eastAsia="宋体" w:cs="宋体"/>
          <w:b w:val="0"/>
          <w:kern w:val="2"/>
          <w:sz w:val="24"/>
          <w:szCs w:val="22"/>
          <w:highlight w:val="none"/>
        </w:rPr>
        <w:t>未被列入拖欠农</w:t>
      </w:r>
      <w:r>
        <w:rPr>
          <w:rFonts w:hint="eastAsia" w:ascii="宋体" w:hAnsi="宋体" w:cs="宋体"/>
          <w:sz w:val="24"/>
          <w:szCs w:val="22"/>
          <w:highlight w:val="none"/>
        </w:rPr>
        <w:drawing>
          <wp:inline distT="0" distB="0" distL="114300" distR="114300">
            <wp:extent cx="240030" cy="107315"/>
            <wp:effectExtent l="0" t="0" r="7620" b="6985"/>
            <wp:docPr id="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pic:cNvPicPr>
                      <a:picLocks noChangeAspect="1"/>
                    </pic:cNvPicPr>
                  </pic:nvPicPr>
                  <pic:blipFill>
                    <a:blip r:embed="rId6"/>
                    <a:stretch>
                      <a:fillRect/>
                    </a:stretch>
                  </pic:blipFill>
                  <pic:spPr>
                    <a:xfrm>
                      <a:off x="0" y="0"/>
                      <a:ext cx="240030" cy="107315"/>
                    </a:xfrm>
                    <a:prstGeom prst="rect">
                      <a:avLst/>
                    </a:prstGeom>
                    <a:noFill/>
                    <a:ln>
                      <a:noFill/>
                    </a:ln>
                  </pic:spPr>
                </pic:pic>
              </a:graphicData>
            </a:graphic>
          </wp:inline>
        </w:drawing>
      </w:r>
      <w:r>
        <w:rPr>
          <w:rFonts w:hint="eastAsia" w:ascii="宋体" w:hAnsi="宋体" w:eastAsia="宋体" w:cs="宋体"/>
          <w:b w:val="0"/>
          <w:kern w:val="2"/>
          <w:sz w:val="24"/>
          <w:szCs w:val="22"/>
          <w:highlight w:val="none"/>
        </w:rPr>
        <w:t>工资失信联合惩戒对象名单</w:t>
      </w:r>
      <w:r>
        <w:rPr>
          <w:rFonts w:hint="eastAsia" w:ascii="宋体" w:hAnsi="宋体" w:eastAsia="宋体" w:cs="宋体"/>
          <w:bCs w:val="0"/>
          <w:kern w:val="2"/>
          <w:sz w:val="24"/>
          <w:szCs w:val="22"/>
          <w:highlight w:val="none"/>
        </w:rPr>
        <w:t>和失信被执行人。</w:t>
      </w:r>
    </w:p>
    <w:p>
      <w:pPr>
        <w:adjustRightIn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十、资格审查方式：</w:t>
      </w:r>
    </w:p>
    <w:p>
      <w:pPr>
        <w:adjustRightIn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本工程采用资格后审方式，由评标委员会负责资格审查及评标工作。</w:t>
      </w:r>
    </w:p>
    <w:p>
      <w:pPr>
        <w:adjustRightIn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十一、资格审查结果将在广州交易集团有限公司（广州公共资源交易中心）交易平台和广东省招标投标监管网公示，公示时间不得少于3日。</w:t>
      </w:r>
    </w:p>
    <w:p>
      <w:pPr>
        <w:adjustRightIn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十二、各标段满足资格审查合格条件的投标人不足</w:t>
      </w:r>
      <w:r>
        <w:rPr>
          <w:rFonts w:hint="eastAsia" w:ascii="宋体" w:hAnsi="宋体" w:cs="宋体"/>
          <w:color w:val="auto"/>
          <w:sz w:val="24"/>
          <w:szCs w:val="24"/>
          <w:lang w:val="en-US" w:eastAsia="zh-CN"/>
        </w:rPr>
        <w:t>5</w:t>
      </w:r>
      <w:r>
        <w:rPr>
          <w:rFonts w:hint="eastAsia" w:ascii="宋体" w:hAnsi="宋体" w:cs="宋体"/>
          <w:color w:val="auto"/>
          <w:sz w:val="24"/>
          <w:szCs w:val="24"/>
        </w:rPr>
        <w:t>名或通过有效性审查的投标人不足</w:t>
      </w:r>
      <w:r>
        <w:rPr>
          <w:rFonts w:hint="eastAsia" w:ascii="宋体" w:hAnsi="宋体" w:cs="宋体"/>
          <w:color w:val="auto"/>
          <w:sz w:val="24"/>
          <w:szCs w:val="24"/>
          <w:lang w:val="en-US" w:eastAsia="zh-CN"/>
        </w:rPr>
        <w:t>5</w:t>
      </w:r>
      <w:r>
        <w:rPr>
          <w:rFonts w:hint="eastAsia" w:ascii="宋体" w:hAnsi="宋体" w:cs="宋体"/>
          <w:color w:val="auto"/>
          <w:sz w:val="24"/>
          <w:szCs w:val="24"/>
        </w:rPr>
        <w:t>名时，该标段为招标失败。招标人分析招标失败原因，修正招标方案，报有关管理部门核准后，重新组织招标。</w:t>
      </w:r>
    </w:p>
    <w:p>
      <w:pPr>
        <w:adjustRightIn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十四、投标文件全部采用电子文档，投标人按招标文件要求提交投标文件。投标登记前，投标人须在广州交易集团有限公司（广州公共资源交易中心）办理企业信息登记及拟担任本工程项目负责人、专职安全员须是本企业信息登记信息中的在册人员。企业信息取自投标截止时间投标人在广州交易集团有限公司（广州公共资源交易中心）企业库内登记的信息，投标人无需提交相关资料，若招标人延长递交投标文件截止时间的，企业信息的评审时点也相应延长。（企业信息登记办理详见《施工类企业信息登记办事指引》，网址：</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"http://www.gzggzy.cn/qyxxd1/945453.jhtml）" </w:instrText>
      </w:r>
      <w:r>
        <w:rPr>
          <w:rFonts w:hint="eastAsia" w:ascii="宋体" w:hAnsi="宋体" w:cs="宋体"/>
          <w:color w:val="auto"/>
          <w:sz w:val="24"/>
          <w:szCs w:val="24"/>
          <w:highlight w:val="none"/>
        </w:rPr>
        <w:fldChar w:fldCharType="separate"/>
      </w:r>
      <w:r>
        <w:rPr>
          <w:rStyle w:val="41"/>
          <w:rFonts w:hint="eastAsia" w:ascii="宋体" w:hAnsi="宋体" w:cs="宋体"/>
          <w:sz w:val="24"/>
          <w:szCs w:val="24"/>
          <w:highlight w:val="none"/>
        </w:rPr>
        <w:t>http://www.gzggzy.cn/qyxxd1/945453.jhtml）</w:t>
      </w:r>
      <w:r>
        <w:rPr>
          <w:rFonts w:hint="eastAsia" w:ascii="宋体" w:hAnsi="宋体" w:cs="宋体"/>
          <w:color w:val="auto"/>
          <w:sz w:val="24"/>
          <w:szCs w:val="24"/>
          <w:highlight w:val="none"/>
        </w:rPr>
        <w:fldChar w:fldCharType="end"/>
      </w:r>
    </w:p>
    <w:p>
      <w:pPr>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pPr>
        <w:adjustRightInd w:val="0"/>
        <w:spacing w:line="360" w:lineRule="auto"/>
        <w:ind w:firstLine="480" w:firstLineChars="200"/>
        <w:rPr>
          <w:rFonts w:hint="eastAsia" w:ascii="宋体" w:hAnsi="宋体"/>
          <w:color w:val="000000"/>
          <w:sz w:val="24"/>
          <w:szCs w:val="24"/>
        </w:rPr>
      </w:pPr>
      <w:r>
        <w:rPr>
          <w:rFonts w:hint="eastAsia" w:ascii="宋体" w:hAnsi="宋体" w:cs="宋体"/>
          <w:color w:val="000000"/>
          <w:sz w:val="24"/>
          <w:szCs w:val="24"/>
        </w:rPr>
        <w:t>十五、潜在投标人或利害关系人对本招标公告及招标文件有异议的，应当在投标截止时间10日前向招标人书面提出。</w:t>
      </w:r>
    </w:p>
    <w:p>
      <w:pPr>
        <w:adjustRightIn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异议受理部门：</w:t>
      </w:r>
      <w:r>
        <w:rPr>
          <w:rFonts w:hint="eastAsia" w:ascii="宋体" w:hAnsi="宋体"/>
          <w:color w:val="000000"/>
          <w:sz w:val="24"/>
          <w:szCs w:val="24"/>
          <w:u w:val="single"/>
        </w:rPr>
        <w:t>广州市公安局</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异议受理电话：</w:t>
      </w:r>
      <w:r>
        <w:rPr>
          <w:rFonts w:ascii="宋体" w:hAnsi="宋体"/>
          <w:bCs/>
          <w:color w:val="000000"/>
          <w:sz w:val="24"/>
          <w:szCs w:val="24"/>
          <w:u w:val="single"/>
        </w:rPr>
        <w:t>020-</w:t>
      </w:r>
      <w:r>
        <w:rPr>
          <w:rFonts w:hint="eastAsia" w:ascii="宋体" w:hAnsi="宋体"/>
          <w:bCs/>
          <w:color w:val="000000"/>
          <w:sz w:val="24"/>
          <w:szCs w:val="24"/>
          <w:u w:val="single"/>
        </w:rPr>
        <w:t>83113312</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地址：</w:t>
      </w:r>
      <w:r>
        <w:rPr>
          <w:rFonts w:hint="eastAsia" w:ascii="宋体" w:hAnsi="宋体"/>
          <w:color w:val="000000"/>
          <w:sz w:val="24"/>
          <w:szCs w:val="24"/>
          <w:u w:val="single"/>
        </w:rPr>
        <w:t>广州市起义路200号</w:t>
      </w:r>
    </w:p>
    <w:p>
      <w:pPr>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十六、本公告在广州交易集团有限公司（广州公共资源交易中心）官网（网址：http://www.gzggzy.cn）、广东省招标投标监管网（网址：https://zbtb.gd.gov.cn/）和中国招标投标公共服务平台（网址：http://www.cebpubservice.com/）发布，本公告的修改、补充，在广州交易集团有限公司（广州公共资源交易中心）官网发布。</w:t>
      </w:r>
    </w:p>
    <w:p>
      <w:pPr>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十七、本招标公告及招标文件使用GZZB2018-3招标文件范本。本公告与范本内容不同之处均以下划线标明，所有标明下划线部分属于本公告的组成部分，同其他部分具有同样的效力。</w:t>
      </w:r>
    </w:p>
    <w:p>
      <w:pPr>
        <w:adjustRightInd w:val="0"/>
        <w:snapToGrid w:val="0"/>
        <w:spacing w:line="480" w:lineRule="exact"/>
        <w:ind w:firstLine="537" w:firstLineChars="224"/>
        <w:rPr>
          <w:rFonts w:ascii="宋体" w:hAnsi="宋体" w:eastAsia="宋体" w:cs="Times New Roman"/>
          <w:sz w:val="24"/>
          <w:szCs w:val="24"/>
        </w:rPr>
      </w:pPr>
      <w:r>
        <w:rPr>
          <w:rFonts w:hint="eastAsia" w:ascii="宋体" w:hAnsi="宋体" w:eastAsia="宋体" w:cs="Times New Roman"/>
          <w:sz w:val="24"/>
          <w:szCs w:val="24"/>
        </w:rPr>
        <w:t>十八、招标公告网上发布时，同时发布招标文件、最高投标限价。本工程根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w:t>
      </w:r>
    </w:p>
    <w:p>
      <w:pPr>
        <w:spacing w:line="4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特别提示：投标人在本项目招标人的工程项目中存在下列行为的，将被拒绝一定时期内参与招标人后续工程投标。（注：拒绝投标时限由招标人视严重程度确定，最低三个月起，自招标人发出通知之日起计）：</w:t>
      </w:r>
    </w:p>
    <w:p>
      <w:pPr>
        <w:spacing w:line="4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1.将中标工程转包或者违法分包的;</w:t>
      </w:r>
    </w:p>
    <w:p>
      <w:pPr>
        <w:spacing w:line="4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2.在中标工程中不执行质量、安全生产相关规定的，造成质量或安全事故的；</w:t>
      </w:r>
    </w:p>
    <w:p>
      <w:pPr>
        <w:spacing w:line="4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3.出让投标资格的；</w:t>
      </w:r>
    </w:p>
    <w:p>
      <w:pPr>
        <w:spacing w:line="4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4.存在围标或串标情形的;</w:t>
      </w:r>
    </w:p>
    <w:p>
      <w:pPr>
        <w:spacing w:line="4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5.在投标文件中提供虚假材料的；</w:t>
      </w:r>
      <w:bookmarkStart w:id="2" w:name="_GoBack"/>
      <w:bookmarkEnd w:id="2"/>
    </w:p>
    <w:p>
      <w:pPr>
        <w:spacing w:line="4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6. 存在少放、不放业绩、奖项等客观评审资料，减少自身竞争力情形的；</w:t>
      </w:r>
    </w:p>
    <w:p>
      <w:pPr>
        <w:spacing w:line="4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7.存在行贿情形的;</w:t>
      </w:r>
    </w:p>
    <w:p>
      <w:pPr>
        <w:spacing w:line="4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8.拖欠农</w:t>
      </w:r>
      <w:r>
        <w:drawing>
          <wp:inline distT="0" distB="0" distL="114300" distR="114300">
            <wp:extent cx="365760" cy="1657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rcRect r="-26872" b="6452"/>
                    <a:stretch>
                      <a:fillRect/>
                    </a:stretch>
                  </pic:blipFill>
                  <pic:spPr>
                    <a:xfrm>
                      <a:off x="0" y="0"/>
                      <a:ext cx="365760" cy="165735"/>
                    </a:xfrm>
                    <a:prstGeom prst="rect">
                      <a:avLst/>
                    </a:prstGeom>
                    <a:noFill/>
                    <a:ln>
                      <a:noFill/>
                    </a:ln>
                  </pic:spPr>
                </pic:pic>
              </a:graphicData>
            </a:graphic>
          </wp:inline>
        </w:drawing>
      </w:r>
      <w:r>
        <w:rPr>
          <w:rFonts w:hint="eastAsia" w:ascii="宋体" w:hAnsi="宋体" w:eastAsia="宋体" w:cs="Times New Roman"/>
          <w:sz w:val="24"/>
          <w:szCs w:val="24"/>
        </w:rPr>
        <w:t>工资的；</w:t>
      </w:r>
    </w:p>
    <w:p>
      <w:pPr>
        <w:spacing w:line="4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9.未按照国家、省、市有关建筑施工实名制管理和工人工资支付分账管理的规定执行，被行政监管部门处罚的；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rPr>
        <w:t>10.中标人在项目实施过程中选取的专业分包单位或劳务企业或劳务班组长与投标时不一致的（如有）</w:t>
      </w:r>
      <w:r>
        <w:rPr>
          <w:rFonts w:hint="eastAsia" w:ascii="宋体" w:hAnsi="宋体" w:eastAsia="宋体" w:cs="Times New Roman"/>
          <w:sz w:val="24"/>
          <w:szCs w:val="24"/>
          <w:lang w:val="en-US" w:eastAsia="zh-CN"/>
        </w:rPr>
        <w:t>。</w:t>
      </w:r>
    </w:p>
    <w:p>
      <w:pPr>
        <w:pStyle w:val="2"/>
        <w:ind w:left="443" w:leftChars="211" w:firstLine="153" w:firstLineChars="64"/>
        <w:rPr>
          <w:rFonts w:hint="eastAsia"/>
          <w:lang w:val="en-US" w:eastAsia="zh-CN"/>
        </w:rPr>
      </w:pPr>
      <w:r>
        <w:rPr>
          <w:rFonts w:hint="eastAsia" w:ascii="宋体" w:hAnsi="宋体"/>
          <w:color w:val="auto"/>
          <w:sz w:val="24"/>
          <w:szCs w:val="24"/>
        </w:rPr>
        <w:t>11.本项目投标时拟派的专职安全员在其他项目中有任职且在本项目开工前未完成更换确保专职安全员只在本项目上任职的;</w:t>
      </w:r>
    </w:p>
    <w:p>
      <w:pPr>
        <w:rPr>
          <w:rFonts w:hint="eastAsia" w:ascii="宋体" w:hAnsi="宋体" w:cs="宋体"/>
          <w:b/>
          <w:color w:val="000000"/>
          <w:sz w:val="44"/>
        </w:rPr>
      </w:pPr>
      <w:r>
        <w:rPr>
          <w:rFonts w:hint="eastAsia" w:ascii="宋体" w:hAnsi="宋体" w:cs="宋体"/>
          <w:color w:val="000000"/>
          <w:sz w:val="24"/>
        </w:rPr>
        <w:t>附件一：</w:t>
      </w:r>
    </w:p>
    <w:p>
      <w:pPr>
        <w:spacing w:line="360" w:lineRule="auto"/>
        <w:jc w:val="center"/>
        <w:rPr>
          <w:rFonts w:hint="eastAsia" w:ascii="宋体" w:hAnsi="宋体" w:cs="宋体"/>
          <w:b/>
          <w:color w:val="000000"/>
          <w:sz w:val="28"/>
          <w:szCs w:val="28"/>
        </w:rPr>
      </w:pPr>
      <w:r>
        <w:rPr>
          <w:rFonts w:hint="eastAsia" w:ascii="宋体" w:hAnsi="宋体" w:cs="宋体"/>
          <w:b/>
          <w:color w:val="000000"/>
          <w:kern w:val="0"/>
          <w:sz w:val="28"/>
          <w:szCs w:val="28"/>
        </w:rPr>
        <w:t>投标人</w:t>
      </w:r>
      <w:r>
        <w:rPr>
          <w:rFonts w:hint="eastAsia" w:ascii="宋体" w:hAnsi="宋体" w:cs="宋体"/>
          <w:b/>
          <w:color w:val="000000"/>
          <w:sz w:val="28"/>
          <w:szCs w:val="28"/>
        </w:rPr>
        <w:t>声明</w:t>
      </w:r>
    </w:p>
    <w:p>
      <w:pPr>
        <w:spacing w:line="360" w:lineRule="auto"/>
        <w:jc w:val="center"/>
        <w:rPr>
          <w:rFonts w:hint="eastAsia" w:ascii="宋体" w:hAnsi="宋体" w:cs="宋体"/>
          <w:b/>
          <w:color w:val="000000"/>
          <w:sz w:val="24"/>
          <w:szCs w:val="24"/>
        </w:rPr>
      </w:pPr>
    </w:p>
    <w:p>
      <w:pPr>
        <w:pStyle w:val="139"/>
        <w:spacing w:line="480" w:lineRule="auto"/>
        <w:ind w:firstLine="0"/>
        <w:rPr>
          <w:rFonts w:hint="eastAsia" w:ascii="宋体" w:hAnsi="宋体" w:eastAsia="宋体" w:cs="宋体"/>
          <w:color w:val="000000"/>
          <w:sz w:val="24"/>
          <w:szCs w:val="24"/>
        </w:rPr>
      </w:pPr>
      <w:r>
        <w:rPr>
          <w:rFonts w:hint="eastAsia" w:ascii="宋体" w:hAnsi="宋体" w:eastAsia="宋体" w:cs="宋体"/>
          <w:color w:val="000000"/>
          <w:sz w:val="24"/>
          <w:szCs w:val="24"/>
        </w:rPr>
        <w:t>广州市交通运输局、本招标项目招标人及招标监管机构：</w:t>
      </w:r>
    </w:p>
    <w:p>
      <w:pPr>
        <w:spacing w:line="360" w:lineRule="auto"/>
        <w:ind w:firstLine="480" w:firstLineChars="200"/>
        <w:rPr>
          <w:rFonts w:cs="宋体"/>
          <w:kern w:val="0"/>
          <w:sz w:val="24"/>
          <w:szCs w:val="24"/>
        </w:rPr>
      </w:pPr>
      <w:r>
        <w:rPr>
          <w:rFonts w:hint="eastAsia" w:cs="宋体"/>
          <w:kern w:val="0"/>
          <w:sz w:val="24"/>
          <w:szCs w:val="24"/>
        </w:rPr>
        <w:t>本公司就参加</w:t>
      </w:r>
      <w:r>
        <w:rPr>
          <w:rFonts w:hint="eastAsia" w:cs="宋体"/>
          <w:kern w:val="0"/>
          <w:sz w:val="24"/>
          <w:szCs w:val="24"/>
          <w:u w:val="single"/>
        </w:rPr>
        <w:t xml:space="preserve">     （项目名称）     </w:t>
      </w:r>
      <w:r>
        <w:rPr>
          <w:rFonts w:hint="eastAsia" w:cs="宋体"/>
          <w:kern w:val="0"/>
          <w:sz w:val="24"/>
          <w:szCs w:val="24"/>
        </w:rPr>
        <w:t>投标工作，作出郑重声明：</w:t>
      </w:r>
    </w:p>
    <w:p>
      <w:pPr>
        <w:pStyle w:val="139"/>
        <w:ind w:firstLine="480" w:firstLineChars="200"/>
        <w:rPr>
          <w:rFonts w:ascii="宋体" w:hAnsi="宋体" w:eastAsia="宋体"/>
          <w:color w:val="auto"/>
          <w:sz w:val="24"/>
          <w:szCs w:val="24"/>
        </w:rPr>
      </w:pPr>
      <w:r>
        <w:rPr>
          <w:rFonts w:hint="eastAsia" w:ascii="宋体" w:hAnsi="宋体" w:eastAsia="宋体"/>
          <w:color w:val="auto"/>
          <w:sz w:val="24"/>
          <w:szCs w:val="24"/>
        </w:rPr>
        <w:t>一、本公司保证投标文件及其后提供的一切材料都是真实的。如我司成为本项目中标候选人，我司同意并授权招标人将我司投标文件商务部分的人员、业绩、奖项等资料进行公开。</w:t>
      </w:r>
    </w:p>
    <w:p>
      <w:pPr>
        <w:pStyle w:val="139"/>
        <w:ind w:firstLine="480" w:firstLineChars="200"/>
        <w:rPr>
          <w:rFonts w:ascii="宋体" w:hAnsi="宋体" w:eastAsia="宋体"/>
          <w:color w:val="auto"/>
          <w:sz w:val="24"/>
          <w:szCs w:val="24"/>
        </w:rPr>
      </w:pPr>
      <w:r>
        <w:rPr>
          <w:rFonts w:hint="eastAsia" w:ascii="宋体" w:hAnsi="宋体" w:eastAsia="宋体"/>
          <w:color w:val="auto"/>
          <w:sz w:val="24"/>
          <w:szCs w:val="24"/>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pPr>
        <w:pStyle w:val="139"/>
        <w:ind w:firstLine="480" w:firstLineChars="200"/>
        <w:rPr>
          <w:rFonts w:ascii="宋体" w:hAnsi="宋体" w:eastAsia="宋体"/>
          <w:color w:val="auto"/>
          <w:sz w:val="24"/>
          <w:szCs w:val="24"/>
        </w:rPr>
      </w:pPr>
      <w:r>
        <w:rPr>
          <w:rFonts w:hint="eastAsia" w:ascii="宋体" w:hAnsi="宋体" w:eastAsia="宋体"/>
          <w:color w:val="auto"/>
          <w:sz w:val="24"/>
          <w:szCs w:val="24"/>
        </w:rPr>
        <w:t>三、本公司不存在下列情形之一：</w:t>
      </w:r>
    </w:p>
    <w:p>
      <w:pPr>
        <w:pStyle w:val="139"/>
        <w:ind w:firstLine="480" w:firstLineChars="200"/>
        <w:rPr>
          <w:rFonts w:ascii="宋体" w:hAnsi="宋体" w:eastAsia="宋体"/>
          <w:color w:val="auto"/>
          <w:sz w:val="24"/>
          <w:szCs w:val="24"/>
        </w:rPr>
      </w:pPr>
      <w:r>
        <w:rPr>
          <w:rFonts w:hint="eastAsia" w:ascii="宋体" w:hAnsi="宋体" w:eastAsia="宋体"/>
          <w:color w:val="auto"/>
          <w:sz w:val="24"/>
          <w:szCs w:val="24"/>
        </w:rPr>
        <w:t>（一）为招标人不具有独立法人资格的附属机构（单位）；</w:t>
      </w:r>
    </w:p>
    <w:p>
      <w:pPr>
        <w:pStyle w:val="139"/>
        <w:ind w:firstLine="480" w:firstLineChars="200"/>
        <w:rPr>
          <w:rFonts w:ascii="宋体" w:hAnsi="宋体" w:eastAsia="宋体"/>
          <w:color w:val="auto"/>
          <w:sz w:val="24"/>
          <w:szCs w:val="24"/>
        </w:rPr>
      </w:pPr>
      <w:r>
        <w:rPr>
          <w:rFonts w:hint="eastAsia" w:ascii="宋体" w:hAnsi="宋体" w:eastAsia="宋体"/>
          <w:color w:val="auto"/>
          <w:sz w:val="24"/>
          <w:szCs w:val="24"/>
        </w:rPr>
        <w:t>（二）为本标段前期准备提供设计或咨询服务或者与本项目设计人或提供咨询服务的机构存在附属关系的；</w:t>
      </w:r>
    </w:p>
    <w:p>
      <w:pPr>
        <w:pStyle w:val="139"/>
        <w:ind w:firstLine="480" w:firstLineChars="200"/>
        <w:rPr>
          <w:rFonts w:ascii="宋体" w:hAnsi="宋体" w:eastAsia="宋体"/>
          <w:color w:val="auto"/>
          <w:sz w:val="24"/>
          <w:szCs w:val="24"/>
        </w:rPr>
      </w:pPr>
      <w:r>
        <w:rPr>
          <w:rFonts w:hint="eastAsia" w:ascii="宋体" w:hAnsi="宋体" w:eastAsia="宋体"/>
          <w:color w:val="auto"/>
          <w:sz w:val="24"/>
          <w:szCs w:val="24"/>
        </w:rPr>
        <w:t>（三）为本标段监理人或者与本标段监理人存在隶属关系或者其他利害关系；</w:t>
      </w:r>
    </w:p>
    <w:p>
      <w:pPr>
        <w:pStyle w:val="139"/>
        <w:ind w:firstLine="480" w:firstLineChars="200"/>
        <w:rPr>
          <w:rFonts w:ascii="宋体" w:hAnsi="宋体" w:eastAsia="宋体"/>
          <w:color w:val="auto"/>
          <w:sz w:val="24"/>
          <w:szCs w:val="24"/>
        </w:rPr>
      </w:pPr>
      <w:r>
        <w:rPr>
          <w:rFonts w:hint="eastAsia" w:ascii="宋体" w:hAnsi="宋体" w:eastAsia="宋体"/>
          <w:color w:val="auto"/>
          <w:sz w:val="24"/>
          <w:szCs w:val="24"/>
        </w:rPr>
        <w:t>（四）为本标段的代建人；</w:t>
      </w:r>
    </w:p>
    <w:p>
      <w:pPr>
        <w:pStyle w:val="139"/>
        <w:ind w:firstLine="480" w:firstLineChars="200"/>
        <w:rPr>
          <w:rFonts w:ascii="宋体" w:hAnsi="宋体" w:eastAsia="宋体"/>
          <w:color w:val="auto"/>
          <w:sz w:val="24"/>
          <w:szCs w:val="24"/>
        </w:rPr>
      </w:pPr>
      <w:r>
        <w:rPr>
          <w:rFonts w:hint="eastAsia" w:ascii="宋体" w:hAnsi="宋体" w:eastAsia="宋体"/>
          <w:color w:val="auto"/>
          <w:sz w:val="24"/>
          <w:szCs w:val="24"/>
        </w:rPr>
        <w:t>（五）为本标段提供招标代理服务的；</w:t>
      </w:r>
    </w:p>
    <w:p>
      <w:pPr>
        <w:pStyle w:val="139"/>
        <w:ind w:firstLine="480" w:firstLineChars="200"/>
        <w:rPr>
          <w:rFonts w:ascii="宋体" w:hAnsi="宋体" w:eastAsia="宋体"/>
          <w:color w:val="auto"/>
          <w:sz w:val="24"/>
          <w:szCs w:val="24"/>
        </w:rPr>
      </w:pPr>
      <w:r>
        <w:rPr>
          <w:rFonts w:hint="eastAsia" w:ascii="宋体" w:hAnsi="宋体" w:eastAsia="宋体"/>
          <w:color w:val="auto"/>
          <w:sz w:val="24"/>
          <w:szCs w:val="24"/>
        </w:rPr>
        <w:t>（六）与本标段的监理人或代建人或招标代理机构同为一个法定代表人的；</w:t>
      </w:r>
    </w:p>
    <w:p>
      <w:pPr>
        <w:pStyle w:val="139"/>
        <w:ind w:firstLine="480" w:firstLineChars="200"/>
        <w:rPr>
          <w:rFonts w:ascii="宋体" w:hAnsi="宋体" w:eastAsia="宋体"/>
          <w:color w:val="auto"/>
          <w:sz w:val="24"/>
          <w:szCs w:val="24"/>
        </w:rPr>
      </w:pPr>
      <w:r>
        <w:rPr>
          <w:rFonts w:hint="eastAsia" w:ascii="宋体" w:hAnsi="宋体" w:eastAsia="宋体"/>
          <w:color w:val="auto"/>
          <w:sz w:val="24"/>
          <w:szCs w:val="24"/>
        </w:rPr>
        <w:t>（七）与本标段的监理人或代建人或招标代理机构互相控股或参股的；</w:t>
      </w:r>
    </w:p>
    <w:p>
      <w:pPr>
        <w:pStyle w:val="139"/>
        <w:ind w:firstLine="480" w:firstLineChars="200"/>
        <w:rPr>
          <w:rFonts w:ascii="宋体" w:hAnsi="宋体" w:eastAsia="宋体"/>
          <w:color w:val="auto"/>
          <w:sz w:val="24"/>
          <w:szCs w:val="24"/>
        </w:rPr>
      </w:pPr>
      <w:r>
        <w:rPr>
          <w:rFonts w:hint="eastAsia" w:ascii="宋体" w:hAnsi="宋体" w:eastAsia="宋体"/>
          <w:color w:val="auto"/>
          <w:sz w:val="24"/>
          <w:szCs w:val="24"/>
        </w:rPr>
        <w:t>（八）与本标段的监理人或代建人或招标代理机构相互任职或工作的；</w:t>
      </w:r>
    </w:p>
    <w:p>
      <w:pPr>
        <w:pStyle w:val="139"/>
        <w:ind w:firstLine="480" w:firstLineChars="200"/>
        <w:rPr>
          <w:rFonts w:ascii="宋体" w:hAnsi="宋体" w:eastAsia="宋体"/>
          <w:color w:val="auto"/>
          <w:sz w:val="24"/>
          <w:szCs w:val="24"/>
        </w:rPr>
      </w:pPr>
      <w:r>
        <w:rPr>
          <w:rFonts w:hint="eastAsia" w:ascii="宋体" w:hAnsi="宋体" w:eastAsia="宋体"/>
          <w:color w:val="auto"/>
          <w:sz w:val="24"/>
          <w:szCs w:val="24"/>
        </w:rPr>
        <w:t>（九）与本标段的检测机构有隶属关系或者其他利害关系；</w:t>
      </w:r>
    </w:p>
    <w:p>
      <w:pPr>
        <w:pStyle w:val="139"/>
        <w:ind w:firstLine="480" w:firstLineChars="200"/>
        <w:rPr>
          <w:rFonts w:ascii="宋体" w:hAnsi="宋体" w:eastAsia="宋体"/>
          <w:color w:val="auto"/>
          <w:sz w:val="24"/>
          <w:szCs w:val="24"/>
        </w:rPr>
      </w:pPr>
      <w:r>
        <w:rPr>
          <w:rFonts w:hint="eastAsia" w:ascii="宋体" w:hAnsi="宋体" w:eastAsia="宋体"/>
          <w:color w:val="auto"/>
          <w:sz w:val="24"/>
          <w:szCs w:val="24"/>
        </w:rPr>
        <w:t xml:space="preserve">（十）与招标人存在利害关系且可能影响招标公正性； </w:t>
      </w:r>
    </w:p>
    <w:p>
      <w:pPr>
        <w:pStyle w:val="139"/>
        <w:ind w:firstLine="480" w:firstLineChars="200"/>
        <w:rPr>
          <w:rFonts w:ascii="宋体" w:hAnsi="宋体" w:eastAsia="宋体"/>
          <w:color w:val="auto"/>
          <w:sz w:val="24"/>
          <w:szCs w:val="24"/>
        </w:rPr>
      </w:pPr>
      <w:r>
        <w:rPr>
          <w:rFonts w:hint="eastAsia" w:ascii="宋体" w:hAnsi="宋体" w:eastAsia="宋体"/>
          <w:color w:val="auto"/>
          <w:sz w:val="24"/>
          <w:szCs w:val="24"/>
        </w:rPr>
        <w:t>（十一）被依法暂停或取消投标资格的；（</w:t>
      </w:r>
      <w:r>
        <w:rPr>
          <w:rFonts w:hint="eastAsia" w:ascii="宋体" w:hAnsi="宋体" w:eastAsia="宋体"/>
          <w:color w:val="auto"/>
          <w:sz w:val="24"/>
          <w:szCs w:val="24"/>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olor w:val="auto"/>
          <w:sz w:val="24"/>
          <w:szCs w:val="24"/>
        </w:rPr>
        <w:t xml:space="preserve">） </w:t>
      </w:r>
    </w:p>
    <w:p>
      <w:pPr>
        <w:pStyle w:val="139"/>
        <w:ind w:firstLine="480" w:firstLineChars="200"/>
        <w:rPr>
          <w:rFonts w:ascii="宋体" w:hAnsi="宋体" w:eastAsia="宋体"/>
          <w:color w:val="auto"/>
          <w:sz w:val="24"/>
          <w:szCs w:val="24"/>
        </w:rPr>
      </w:pPr>
      <w:r>
        <w:rPr>
          <w:rFonts w:hint="eastAsia" w:ascii="宋体" w:hAnsi="宋体" w:eastAsia="宋体"/>
          <w:color w:val="auto"/>
          <w:sz w:val="24"/>
          <w:szCs w:val="24"/>
        </w:rPr>
        <w:t>（十二）被责令停产停业、暂扣或者吊销许可证、暂扣或者吊销执照的（</w:t>
      </w:r>
      <w:r>
        <w:rPr>
          <w:rFonts w:hint="eastAsia" w:ascii="宋体" w:hAnsi="宋体" w:eastAsia="宋体"/>
          <w:color w:val="auto"/>
          <w:sz w:val="24"/>
          <w:szCs w:val="24"/>
          <w:lang w:val="zh-CN"/>
        </w:rPr>
        <w:t>本项事实应当以根据《中华人民共和国行政处罚法》依法作出并已经生效的行政处罚决定为认定依据。</w:t>
      </w:r>
      <w:r>
        <w:rPr>
          <w:rFonts w:hint="eastAsia" w:ascii="宋体" w:hAnsi="宋体" w:eastAsia="宋体"/>
          <w:color w:val="auto"/>
          <w:sz w:val="24"/>
          <w:szCs w:val="24"/>
        </w:rPr>
        <w:t>）；</w:t>
      </w:r>
    </w:p>
    <w:p>
      <w:pPr>
        <w:pStyle w:val="139"/>
        <w:ind w:firstLine="480" w:firstLineChars="200"/>
        <w:rPr>
          <w:rFonts w:ascii="宋体" w:hAnsi="宋体" w:eastAsia="宋体"/>
          <w:color w:val="auto"/>
          <w:sz w:val="24"/>
          <w:szCs w:val="24"/>
        </w:rPr>
      </w:pPr>
      <w:r>
        <w:rPr>
          <w:rFonts w:hint="eastAsia" w:ascii="宋体" w:hAnsi="宋体" w:eastAsia="宋体"/>
          <w:color w:val="auto"/>
          <w:sz w:val="24"/>
          <w:szCs w:val="24"/>
        </w:rPr>
        <w:t>（十三）进入清算程序，或被宣布破产，或其他丧失履约能力的情形；</w:t>
      </w:r>
    </w:p>
    <w:p>
      <w:pPr>
        <w:pStyle w:val="139"/>
        <w:ind w:firstLine="480" w:firstLineChars="200"/>
        <w:rPr>
          <w:rFonts w:ascii="宋体" w:hAnsi="宋体" w:eastAsia="宋体"/>
          <w:color w:val="auto"/>
          <w:sz w:val="24"/>
          <w:szCs w:val="24"/>
        </w:rPr>
      </w:pPr>
      <w:r>
        <w:rPr>
          <w:rFonts w:hint="eastAsia" w:ascii="宋体" w:hAnsi="宋体" w:eastAsia="宋体"/>
          <w:color w:val="auto"/>
          <w:sz w:val="24"/>
          <w:szCs w:val="24"/>
        </w:rPr>
        <w:t>（十四）在最近三年内有严重违约或重大工程质量问题的；（</w:t>
      </w:r>
      <w:r>
        <w:rPr>
          <w:rFonts w:hint="eastAsia" w:ascii="宋体" w:hAnsi="宋体" w:eastAsia="宋体"/>
          <w:color w:val="auto"/>
          <w:sz w:val="24"/>
          <w:szCs w:val="24"/>
          <w:lang w:val="zh-CN"/>
        </w:rPr>
        <w:t>“严重违约”事实应当以</w:t>
      </w:r>
      <w:r>
        <w:rPr>
          <w:rFonts w:hint="eastAsia" w:ascii="宋体" w:hAnsi="宋体" w:eastAsia="宋体"/>
          <w:color w:val="auto"/>
          <w:sz w:val="24"/>
          <w:szCs w:val="24"/>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139"/>
        <w:ind w:firstLine="480" w:firstLineChars="200"/>
        <w:rPr>
          <w:rFonts w:ascii="宋体" w:hAnsi="宋体" w:eastAsia="宋体"/>
          <w:color w:val="auto"/>
          <w:sz w:val="24"/>
          <w:szCs w:val="24"/>
        </w:rPr>
      </w:pPr>
      <w:r>
        <w:rPr>
          <w:rFonts w:hint="eastAsia" w:ascii="宋体" w:hAnsi="宋体" w:eastAsia="宋体"/>
          <w:color w:val="auto"/>
          <w:sz w:val="24"/>
          <w:szCs w:val="24"/>
        </w:rPr>
        <w:t>（十五）法律法规规定的其他情形。</w:t>
      </w:r>
    </w:p>
    <w:p>
      <w:pPr>
        <w:pStyle w:val="139"/>
        <w:ind w:firstLine="480" w:firstLineChars="200"/>
        <w:rPr>
          <w:rFonts w:hint="eastAsia" w:ascii="宋体" w:hAnsi="宋体" w:eastAsia="宋体"/>
          <w:color w:val="auto"/>
          <w:sz w:val="24"/>
          <w:szCs w:val="24"/>
        </w:rPr>
      </w:pPr>
      <w:r>
        <w:rPr>
          <w:rFonts w:hint="eastAsia" w:ascii="宋体" w:hAnsi="宋体" w:eastAsia="宋体"/>
          <w:color w:val="auto"/>
          <w:sz w:val="24"/>
          <w:szCs w:val="24"/>
        </w:rPr>
        <w:t>四、本公司保证：本项目拟派的项目负责人投标截止时没有在其他在建项目中任施工单位项目负责人，本项目拟派的专职安全员没有在其他在建项目中任职。</w:t>
      </w:r>
    </w:p>
    <w:p>
      <w:pPr>
        <w:pStyle w:val="17"/>
        <w:rPr>
          <w:rFonts w:hint="eastAsia" w:ascii="宋体" w:hAnsi="宋体" w:eastAsia="宋体"/>
          <w:color w:val="auto"/>
          <w:sz w:val="24"/>
          <w:szCs w:val="24"/>
        </w:rPr>
      </w:pPr>
      <w:r>
        <w:rPr>
          <w:rFonts w:hint="eastAsia" w:ascii="宋体" w:hAnsi="宋体" w:eastAsia="宋体" w:cs="Times New Roman"/>
          <w:b w:val="0"/>
          <w:bCs w:val="0"/>
          <w:color w:val="auto"/>
          <w:kern w:val="0"/>
          <w:sz w:val="24"/>
          <w:szCs w:val="24"/>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pPr>
        <w:pStyle w:val="139"/>
        <w:ind w:firstLine="480" w:firstLineChars="200"/>
        <w:rPr>
          <w:rFonts w:ascii="宋体" w:hAnsi="宋体" w:eastAsia="宋体"/>
          <w:color w:val="auto"/>
          <w:sz w:val="24"/>
          <w:szCs w:val="24"/>
        </w:rPr>
      </w:pPr>
      <w:r>
        <w:rPr>
          <w:rFonts w:hint="eastAsia" w:ascii="宋体" w:hAnsi="宋体" w:eastAsia="宋体"/>
          <w:color w:val="auto"/>
          <w:sz w:val="24"/>
          <w:szCs w:val="24"/>
          <w:lang w:val="en-US" w:eastAsia="zh-CN"/>
        </w:rPr>
        <w:t>六</w:t>
      </w:r>
      <w:r>
        <w:rPr>
          <w:rFonts w:hint="eastAsia" w:ascii="宋体" w:hAnsi="宋体" w:eastAsia="宋体"/>
          <w:color w:val="auto"/>
          <w:sz w:val="24"/>
          <w:szCs w:val="24"/>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139"/>
        <w:ind w:firstLine="480" w:firstLineChars="200"/>
        <w:rPr>
          <w:rFonts w:ascii="宋体" w:hAnsi="宋体" w:eastAsia="宋体"/>
          <w:color w:val="auto"/>
          <w:sz w:val="21"/>
          <w:szCs w:val="21"/>
        </w:rPr>
      </w:pPr>
      <w:r>
        <w:rPr>
          <w:rFonts w:hint="eastAsia" w:ascii="宋体" w:hAnsi="宋体" w:eastAsia="宋体"/>
          <w:color w:val="auto"/>
          <w:sz w:val="24"/>
          <w:szCs w:val="24"/>
          <w:lang w:val="en-US" w:eastAsia="zh-CN"/>
        </w:rPr>
        <w:t>七</w:t>
      </w:r>
      <w:r>
        <w:rPr>
          <w:rFonts w:hint="eastAsia" w:ascii="宋体" w:hAnsi="宋体" w:eastAsia="宋体"/>
          <w:color w:val="auto"/>
          <w:sz w:val="24"/>
          <w:szCs w:val="24"/>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spacing w:line="480" w:lineRule="exact"/>
        <w:ind w:firstLine="480" w:firstLineChars="200"/>
        <w:jc w:val="left"/>
        <w:rPr>
          <w:kern w:val="0"/>
          <w:sz w:val="24"/>
          <w:szCs w:val="24"/>
        </w:rPr>
      </w:pPr>
      <w:r>
        <w:rPr>
          <w:rFonts w:hint="eastAsia"/>
          <w:kern w:val="0"/>
          <w:sz w:val="24"/>
          <w:szCs w:val="24"/>
          <w:lang w:val="en-US" w:eastAsia="zh-CN"/>
        </w:rPr>
        <w:t>八</w:t>
      </w:r>
      <w:r>
        <w:rPr>
          <w:rFonts w:hint="eastAsia"/>
          <w:kern w:val="0"/>
          <w:sz w:val="24"/>
          <w:szCs w:val="24"/>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w:t>
      </w:r>
      <w:r>
        <w:drawing>
          <wp:inline distT="0" distB="0" distL="114300" distR="114300">
            <wp:extent cx="467995" cy="165735"/>
            <wp:effectExtent l="0" t="0" r="825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467995" cy="165735"/>
                    </a:xfrm>
                    <a:prstGeom prst="rect">
                      <a:avLst/>
                    </a:prstGeom>
                    <a:noFill/>
                    <a:ln>
                      <a:noFill/>
                    </a:ln>
                  </pic:spPr>
                </pic:pic>
              </a:graphicData>
            </a:graphic>
          </wp:inline>
        </w:drawing>
      </w:r>
      <w:r>
        <w:rPr>
          <w:rFonts w:hint="eastAsia"/>
          <w:kern w:val="0"/>
          <w:sz w:val="24"/>
          <w:szCs w:val="24"/>
        </w:rPr>
        <w:t>，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w:t>
      </w:r>
      <w:r>
        <w:rPr>
          <w:rFonts w:hint="eastAsia"/>
          <w:kern w:val="0"/>
          <w:sz w:val="24"/>
          <w:szCs w:val="24"/>
          <w:highlight w:val="none"/>
        </w:rPr>
        <w:t>若本项目实行劳务分包的，我公司对劳务分包企业实施统一管理，监督其用工企业按时足额支付作业工人工资，督促落实实名制管理制度。本公司接受招标人及建设行政主管部门的监督、检查。（适用于施工专业承包招标且没有施工总承包单位的项目）。</w:t>
      </w:r>
    </w:p>
    <w:p>
      <w:pPr>
        <w:spacing w:line="480" w:lineRule="exact"/>
        <w:ind w:firstLine="482" w:firstLineChars="200"/>
        <w:jc w:val="left"/>
        <w:rPr>
          <w:b/>
          <w:kern w:val="0"/>
          <w:sz w:val="24"/>
          <w:szCs w:val="24"/>
        </w:rPr>
      </w:pPr>
      <w:r>
        <w:rPr>
          <w:rFonts w:hint="eastAsia"/>
          <w:b/>
          <w:kern w:val="0"/>
          <w:sz w:val="24"/>
          <w:szCs w:val="24"/>
          <w:lang w:val="en-US" w:eastAsia="zh-CN"/>
        </w:rPr>
        <w:t>九</w:t>
      </w:r>
      <w:r>
        <w:rPr>
          <w:rFonts w:hint="eastAsia"/>
          <w:b/>
          <w:kern w:val="0"/>
          <w:sz w:val="24"/>
          <w:szCs w:val="24"/>
        </w:rPr>
        <w:t>、与本公司单位负责人为同一人或者与本公司存在控股、管理关系的其他单位包括：。（注：本条由投标人如实填写，如有，应列出全部满足招标公告资质要求的相关单位的名称；如无，则填写“无”。）</w:t>
      </w:r>
    </w:p>
    <w:p>
      <w:pPr>
        <w:spacing w:line="480" w:lineRule="exact"/>
        <w:ind w:firstLine="480" w:firstLineChars="200"/>
        <w:rPr>
          <w:rFonts w:cs="宋体"/>
          <w:kern w:val="0"/>
          <w:sz w:val="24"/>
          <w:szCs w:val="24"/>
        </w:rPr>
      </w:pPr>
      <w:r>
        <w:rPr>
          <w:rFonts w:hint="eastAsia" w:cs="宋体"/>
          <w:kern w:val="0"/>
          <w:sz w:val="24"/>
          <w:szCs w:val="24"/>
          <w:lang w:val="en-US" w:eastAsia="zh-CN"/>
        </w:rPr>
        <w:t>十</w:t>
      </w:r>
      <w:r>
        <w:rPr>
          <w:rFonts w:hint="eastAsia" w:cs="宋体"/>
          <w:kern w:val="0"/>
          <w:sz w:val="24"/>
          <w:szCs w:val="24"/>
        </w:rPr>
        <w:t>、本公司拟委派专职安全员兼任本工程的工地余泥渣土运输与排放管理员，严格遵守建设工程余泥渣土运输与排放管理制度，执行“一不准进、三不准出”规定，选择合法的余泥渣土运输单位及排放点。</w:t>
      </w:r>
    </w:p>
    <w:p>
      <w:pPr>
        <w:pStyle w:val="139"/>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lang w:val="en-US" w:eastAsia="zh-CN"/>
        </w:rPr>
        <w:t>十一</w:t>
      </w:r>
      <w:r>
        <w:rPr>
          <w:rFonts w:hint="eastAsia" w:ascii="宋体" w:hAnsi="宋体" w:eastAsia="宋体" w:cs="宋体"/>
          <w:color w:val="auto"/>
          <w:sz w:val="24"/>
          <w:szCs w:val="24"/>
        </w:rPr>
        <w:t>、本公司承诺，中标后将按招标人要求，积极响应广州市关于投身“百千万工程”的号召，主动参与建筑业结对帮扶。</w:t>
      </w:r>
    </w:p>
    <w:p>
      <w:pPr>
        <w:pStyle w:val="139"/>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十</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139"/>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十二、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spacing w:line="480" w:lineRule="exact"/>
        <w:ind w:firstLine="480" w:firstLineChars="200"/>
        <w:jc w:val="left"/>
        <w:rPr>
          <w:rFonts w:cs="宋体"/>
          <w:sz w:val="24"/>
          <w:szCs w:val="24"/>
        </w:rPr>
      </w:pPr>
      <w:r>
        <w:rPr>
          <w:rFonts w:hint="eastAsia" w:cs="宋体"/>
          <w:sz w:val="24"/>
          <w:szCs w:val="24"/>
        </w:rPr>
        <w:t>特此声明。</w:t>
      </w:r>
    </w:p>
    <w:p>
      <w:pPr>
        <w:pStyle w:val="20"/>
      </w:pPr>
    </w:p>
    <w:p>
      <w:pPr>
        <w:spacing w:line="480" w:lineRule="exac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声明企业：</w:t>
      </w:r>
    </w:p>
    <w:p>
      <w:pPr>
        <w:spacing w:line="480" w:lineRule="exac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项目负责人签字:</w:t>
      </w:r>
    </w:p>
    <w:p>
      <w:pPr>
        <w:spacing w:line="480" w:lineRule="exac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技术负责人签字：</w:t>
      </w:r>
    </w:p>
    <w:p>
      <w:pPr>
        <w:spacing w:line="480" w:lineRule="exact"/>
        <w:jc w:val="righ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年   月   日                    </w:t>
      </w:r>
    </w:p>
    <w:p>
      <w:pPr>
        <w:spacing w:line="480" w:lineRule="exac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注：招标人应当要求投标人的项目负责人和技术负责人签字。</w:t>
      </w:r>
    </w:p>
    <w:p>
      <w:pPr>
        <w:spacing w:line="360" w:lineRule="auto"/>
        <w:rPr>
          <w:rFonts w:hint="eastAsia"/>
          <w:sz w:val="24"/>
        </w:rPr>
      </w:pPr>
    </w:p>
    <w:p>
      <w:pPr>
        <w:spacing w:line="360" w:lineRule="auto"/>
        <w:rPr>
          <w:b/>
          <w:sz w:val="44"/>
        </w:rPr>
      </w:pPr>
      <w:r>
        <w:rPr>
          <w:rFonts w:hint="eastAsia"/>
          <w:sz w:val="24"/>
        </w:rPr>
        <w:t>附件二：</w:t>
      </w:r>
    </w:p>
    <w:p>
      <w:pPr>
        <w:spacing w:afterLines="50" w:line="360" w:lineRule="auto"/>
        <w:jc w:val="center"/>
        <w:rPr>
          <w:szCs w:val="21"/>
        </w:rPr>
      </w:pPr>
    </w:p>
    <w:p>
      <w:pPr>
        <w:spacing w:afterLines="50" w:line="360" w:lineRule="auto"/>
        <w:jc w:val="center"/>
        <w:rPr>
          <w:rStyle w:val="153"/>
          <w:rFonts w:cs="宋体"/>
          <w:b/>
          <w:bCs/>
          <w:sz w:val="30"/>
          <w:szCs w:val="30"/>
          <w:lang w:val="zh-CN"/>
        </w:rPr>
      </w:pPr>
      <w:r>
        <w:rPr>
          <w:rStyle w:val="153"/>
          <w:rFonts w:hint="eastAsia" w:cs="宋体"/>
          <w:b/>
          <w:sz w:val="30"/>
          <w:szCs w:val="30"/>
        </w:rPr>
        <w:t>项目管理机构人员配备表</w:t>
      </w:r>
    </w:p>
    <w:tbl>
      <w:tblPr>
        <w:tblStyle w:val="3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7"/>
        <w:gridCol w:w="1945"/>
        <w:gridCol w:w="1315"/>
        <w:gridCol w:w="44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tabs>
                <w:tab w:val="left" w:pos="720"/>
              </w:tabs>
              <w:snapToGrid w:val="0"/>
              <w:spacing w:before="0" w:beforeAutospacing="0" w:after="0" w:afterAutospacing="0" w:line="360" w:lineRule="auto"/>
              <w:ind w:left="0" w:right="0"/>
              <w:jc w:val="center"/>
              <w:rPr>
                <w:rStyle w:val="153"/>
                <w:rFonts w:hint="default" w:ascii="Times New Roman" w:hAnsi="Times New Roman" w:eastAsia="Times New Roman" w:cs="宋体"/>
                <w:sz w:val="24"/>
                <w:szCs w:val="24"/>
              </w:rPr>
            </w:pPr>
            <w:r>
              <w:rPr>
                <w:rStyle w:val="153"/>
                <w:rFonts w:hint="eastAsia" w:ascii="Times New Roman" w:hAnsi="Times New Roman" w:eastAsia="Times New Roman" w:cs="宋体"/>
                <w:sz w:val="24"/>
                <w:szCs w:val="24"/>
              </w:rPr>
              <w:t>序号</w:t>
            </w:r>
          </w:p>
        </w:tc>
        <w:tc>
          <w:tcPr>
            <w:tcW w:w="1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tabs>
                <w:tab w:val="left" w:pos="720"/>
              </w:tabs>
              <w:snapToGrid w:val="0"/>
              <w:spacing w:before="0" w:beforeAutospacing="0" w:after="0" w:afterAutospacing="0" w:line="360" w:lineRule="auto"/>
              <w:ind w:left="0" w:right="0"/>
              <w:jc w:val="center"/>
              <w:rPr>
                <w:rStyle w:val="153"/>
                <w:rFonts w:hint="default" w:ascii="Times New Roman" w:hAnsi="Times New Roman" w:eastAsia="Times New Roman" w:cs="宋体"/>
                <w:sz w:val="24"/>
                <w:szCs w:val="24"/>
              </w:rPr>
            </w:pPr>
            <w:r>
              <w:rPr>
                <w:rStyle w:val="153"/>
                <w:rFonts w:hint="eastAsia" w:ascii="Times New Roman" w:hAnsi="Times New Roman" w:eastAsia="Times New Roman" w:cs="宋体"/>
                <w:sz w:val="24"/>
                <w:szCs w:val="24"/>
              </w:rPr>
              <w:t>拟在本项目任职</w:t>
            </w:r>
          </w:p>
        </w:tc>
        <w:tc>
          <w:tcPr>
            <w:tcW w:w="13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tabs>
                <w:tab w:val="left" w:pos="720"/>
              </w:tabs>
              <w:snapToGrid w:val="0"/>
              <w:spacing w:before="0" w:beforeAutospacing="0" w:after="0" w:afterAutospacing="0" w:line="360" w:lineRule="auto"/>
              <w:ind w:left="0" w:right="0"/>
              <w:jc w:val="center"/>
              <w:rPr>
                <w:rStyle w:val="153"/>
                <w:rFonts w:hint="default" w:ascii="Times New Roman" w:hAnsi="Times New Roman" w:eastAsia="Times New Roman" w:cs="宋体"/>
                <w:sz w:val="24"/>
                <w:szCs w:val="24"/>
              </w:rPr>
            </w:pPr>
            <w:r>
              <w:rPr>
                <w:rStyle w:val="153"/>
                <w:rFonts w:hint="eastAsia" w:ascii="Times New Roman" w:hAnsi="Times New Roman" w:eastAsia="Times New Roman" w:cs="宋体"/>
                <w:sz w:val="24"/>
                <w:szCs w:val="24"/>
              </w:rPr>
              <w:t>姓名</w:t>
            </w:r>
          </w:p>
        </w:tc>
        <w:tc>
          <w:tcPr>
            <w:tcW w:w="44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tabs>
                <w:tab w:val="left" w:pos="720"/>
              </w:tabs>
              <w:snapToGrid w:val="0"/>
              <w:spacing w:before="0" w:beforeAutospacing="0" w:after="0" w:afterAutospacing="0" w:line="360" w:lineRule="auto"/>
              <w:ind w:left="0" w:right="0"/>
              <w:jc w:val="center"/>
              <w:rPr>
                <w:rStyle w:val="153"/>
                <w:rFonts w:hint="default" w:ascii="Times New Roman" w:hAnsi="Times New Roman" w:eastAsia="Times New Roman" w:cs="宋体"/>
                <w:sz w:val="24"/>
                <w:szCs w:val="24"/>
              </w:rPr>
            </w:pPr>
            <w:r>
              <w:rPr>
                <w:rStyle w:val="153"/>
                <w:rFonts w:hint="eastAsia" w:ascii="Times New Roman" w:hAnsi="Times New Roman" w:eastAsia="Times New Roman" w:cs="宋体"/>
                <w:sz w:val="24"/>
                <w:szCs w:val="24"/>
              </w:rPr>
              <w:t>注册证或岗位证或培训证或职称证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tabs>
                <w:tab w:val="left" w:pos="720"/>
              </w:tabs>
              <w:snapToGrid w:val="0"/>
              <w:spacing w:before="0" w:beforeAutospacing="0" w:after="0" w:afterAutospacing="0" w:line="360" w:lineRule="auto"/>
              <w:ind w:left="0" w:right="0"/>
              <w:jc w:val="center"/>
              <w:rPr>
                <w:rStyle w:val="153"/>
                <w:rFonts w:hint="default" w:ascii="Times New Roman" w:hAnsi="Times New Roman" w:eastAsia="Times New Roman" w:cs="宋体"/>
                <w:sz w:val="24"/>
                <w:szCs w:val="24"/>
              </w:rPr>
            </w:pPr>
            <w:r>
              <w:rPr>
                <w:rStyle w:val="153"/>
                <w:rFonts w:hint="eastAsia" w:ascii="Times New Roman" w:hAnsi="Times New Roman" w:eastAsia="Times New Roman" w:cs="宋体"/>
                <w:sz w:val="24"/>
                <w:szCs w:val="24"/>
              </w:rPr>
              <w:t>1</w:t>
            </w:r>
          </w:p>
        </w:tc>
        <w:tc>
          <w:tcPr>
            <w:tcW w:w="1945" w:type="dxa"/>
            <w:tcBorders>
              <w:top w:val="single" w:color="000000" w:sz="4" w:space="0"/>
              <w:left w:val="single" w:color="000000" w:sz="4" w:space="0"/>
              <w:bottom w:val="single" w:color="000000" w:sz="4" w:space="0"/>
              <w:right w:val="single" w:color="000000" w:sz="4" w:space="0"/>
            </w:tcBorders>
            <w:noWrap/>
            <w:vAlign w:val="center"/>
          </w:tcPr>
          <w:p>
            <w:pPr>
              <w:keepNext/>
              <w:keepLines/>
              <w:widowControl/>
              <w:suppressLineNumbers w:val="0"/>
              <w:tabs>
                <w:tab w:val="left" w:pos="720"/>
              </w:tabs>
              <w:snapToGrid w:val="0"/>
              <w:spacing w:before="120" w:beforeAutospacing="0" w:after="120" w:afterAutospacing="0" w:line="360" w:lineRule="auto"/>
              <w:ind w:left="-63" w:leftChars="-30" w:right="-63" w:rightChars="-30"/>
              <w:jc w:val="center"/>
              <w:rPr>
                <w:rStyle w:val="153"/>
                <w:rFonts w:hint="default" w:ascii="Times New Roman" w:hAnsi="Times New Roman" w:eastAsia="Times New Roman" w:cs="宋体"/>
                <w:sz w:val="24"/>
                <w:szCs w:val="24"/>
              </w:rPr>
            </w:pPr>
          </w:p>
        </w:tc>
        <w:tc>
          <w:tcPr>
            <w:tcW w:w="1315" w:type="dxa"/>
            <w:tcBorders>
              <w:top w:val="single" w:color="000000" w:sz="4" w:space="0"/>
              <w:left w:val="single" w:color="000000" w:sz="4" w:space="0"/>
              <w:bottom w:val="single" w:color="000000" w:sz="4" w:space="0"/>
              <w:right w:val="single" w:color="000000" w:sz="4" w:space="0"/>
            </w:tcBorders>
            <w:noWrap/>
            <w:vAlign w:val="center"/>
          </w:tcPr>
          <w:p>
            <w:pPr>
              <w:keepNext/>
              <w:keepLines/>
              <w:widowControl/>
              <w:suppressLineNumbers w:val="0"/>
              <w:tabs>
                <w:tab w:val="left" w:pos="720"/>
              </w:tabs>
              <w:snapToGrid w:val="0"/>
              <w:spacing w:before="120" w:beforeAutospacing="0" w:after="120" w:afterAutospacing="0" w:line="360" w:lineRule="auto"/>
              <w:ind w:left="-63" w:leftChars="-30" w:right="-63" w:rightChars="-30"/>
              <w:jc w:val="center"/>
              <w:rPr>
                <w:rStyle w:val="153"/>
                <w:rFonts w:hint="default" w:ascii="Times New Roman" w:hAnsi="Times New Roman" w:eastAsia="Times New Roman" w:cs="宋体"/>
                <w:sz w:val="24"/>
                <w:szCs w:val="24"/>
              </w:rPr>
            </w:pPr>
          </w:p>
        </w:tc>
        <w:tc>
          <w:tcPr>
            <w:tcW w:w="4427" w:type="dxa"/>
            <w:tcBorders>
              <w:top w:val="single" w:color="000000" w:sz="4" w:space="0"/>
              <w:left w:val="single" w:color="000000" w:sz="4" w:space="0"/>
              <w:bottom w:val="single" w:color="000000" w:sz="4" w:space="0"/>
              <w:right w:val="single" w:color="000000" w:sz="4" w:space="0"/>
            </w:tcBorders>
            <w:noWrap/>
            <w:vAlign w:val="center"/>
          </w:tcPr>
          <w:p>
            <w:pPr>
              <w:keepNext/>
              <w:keepLines/>
              <w:widowControl/>
              <w:suppressLineNumbers w:val="0"/>
              <w:tabs>
                <w:tab w:val="left" w:pos="720"/>
              </w:tabs>
              <w:snapToGrid w:val="0"/>
              <w:spacing w:before="120" w:beforeAutospacing="0" w:after="120" w:afterAutospacing="0" w:line="360" w:lineRule="auto"/>
              <w:ind w:left="-63" w:leftChars="-30" w:right="-63" w:rightChars="-30"/>
              <w:jc w:val="center"/>
              <w:rPr>
                <w:rStyle w:val="153"/>
                <w:rFonts w:hint="default" w:ascii="Times New Roman" w:hAnsi="Times New Roman" w:eastAsia="Times New Roman"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tabs>
                <w:tab w:val="left" w:pos="720"/>
              </w:tabs>
              <w:snapToGrid w:val="0"/>
              <w:spacing w:before="0" w:beforeAutospacing="0" w:after="0" w:afterAutospacing="0" w:line="360" w:lineRule="auto"/>
              <w:ind w:left="0" w:right="0"/>
              <w:jc w:val="center"/>
              <w:rPr>
                <w:rStyle w:val="153"/>
                <w:rFonts w:hint="default" w:ascii="Times New Roman" w:hAnsi="Times New Roman" w:eastAsia="Times New Roman" w:cs="宋体"/>
                <w:sz w:val="24"/>
                <w:szCs w:val="24"/>
              </w:rPr>
            </w:pPr>
            <w:r>
              <w:rPr>
                <w:rStyle w:val="153"/>
                <w:rFonts w:hint="eastAsia" w:ascii="Times New Roman" w:hAnsi="Times New Roman" w:eastAsia="Times New Roman" w:cs="宋体"/>
                <w:sz w:val="24"/>
                <w:szCs w:val="24"/>
              </w:rPr>
              <w:t>2</w:t>
            </w:r>
          </w:p>
        </w:tc>
        <w:tc>
          <w:tcPr>
            <w:tcW w:w="1945" w:type="dxa"/>
            <w:tcBorders>
              <w:top w:val="single" w:color="000000" w:sz="4" w:space="0"/>
              <w:left w:val="single" w:color="000000" w:sz="4" w:space="0"/>
              <w:bottom w:val="single" w:color="000000" w:sz="4" w:space="0"/>
              <w:right w:val="single" w:color="000000" w:sz="4" w:space="0"/>
            </w:tcBorders>
            <w:noWrap/>
            <w:vAlign w:val="center"/>
          </w:tcPr>
          <w:p>
            <w:pPr>
              <w:keepNext/>
              <w:keepLines/>
              <w:widowControl/>
              <w:suppressLineNumbers w:val="0"/>
              <w:tabs>
                <w:tab w:val="left" w:pos="720"/>
              </w:tabs>
              <w:snapToGrid w:val="0"/>
              <w:spacing w:before="120" w:beforeAutospacing="0" w:after="120" w:afterAutospacing="0" w:line="360" w:lineRule="auto"/>
              <w:ind w:left="-63" w:leftChars="-30" w:right="-63" w:rightChars="-30"/>
              <w:jc w:val="center"/>
              <w:rPr>
                <w:rStyle w:val="153"/>
                <w:rFonts w:hint="default" w:ascii="Times New Roman" w:hAnsi="Times New Roman" w:eastAsia="Times New Roman" w:cs="宋体"/>
                <w:sz w:val="24"/>
                <w:szCs w:val="24"/>
              </w:rPr>
            </w:pPr>
            <w:r>
              <w:rPr>
                <w:rStyle w:val="153"/>
                <w:rFonts w:hint="eastAsia" w:ascii="Times New Roman" w:hAnsi="Times New Roman" w:eastAsia="Times New Roman" w:cs="宋体"/>
                <w:sz w:val="24"/>
                <w:szCs w:val="24"/>
              </w:rPr>
              <w:t>…</w:t>
            </w:r>
          </w:p>
        </w:tc>
        <w:tc>
          <w:tcPr>
            <w:tcW w:w="1315" w:type="dxa"/>
            <w:tcBorders>
              <w:top w:val="single" w:color="000000" w:sz="4" w:space="0"/>
              <w:left w:val="single" w:color="000000" w:sz="4" w:space="0"/>
              <w:bottom w:val="single" w:color="000000" w:sz="4" w:space="0"/>
              <w:right w:val="single" w:color="000000" w:sz="4" w:space="0"/>
            </w:tcBorders>
            <w:noWrap/>
            <w:vAlign w:val="center"/>
          </w:tcPr>
          <w:p>
            <w:pPr>
              <w:keepNext/>
              <w:keepLines/>
              <w:widowControl/>
              <w:suppressLineNumbers w:val="0"/>
              <w:tabs>
                <w:tab w:val="left" w:pos="720"/>
              </w:tabs>
              <w:snapToGrid w:val="0"/>
              <w:spacing w:before="120" w:beforeAutospacing="0" w:after="120" w:afterAutospacing="0" w:line="360" w:lineRule="auto"/>
              <w:ind w:left="-63" w:leftChars="-30" w:right="-63" w:rightChars="-30"/>
              <w:jc w:val="center"/>
              <w:rPr>
                <w:rStyle w:val="153"/>
                <w:rFonts w:hint="default" w:ascii="Times New Roman" w:hAnsi="Times New Roman" w:eastAsia="Times New Roman" w:cs="宋体"/>
                <w:sz w:val="24"/>
                <w:szCs w:val="24"/>
              </w:rPr>
            </w:pPr>
          </w:p>
        </w:tc>
        <w:tc>
          <w:tcPr>
            <w:tcW w:w="4427" w:type="dxa"/>
            <w:tcBorders>
              <w:top w:val="single" w:color="000000" w:sz="4" w:space="0"/>
              <w:left w:val="single" w:color="000000" w:sz="4" w:space="0"/>
              <w:bottom w:val="single" w:color="000000" w:sz="4" w:space="0"/>
              <w:right w:val="single" w:color="000000" w:sz="4" w:space="0"/>
            </w:tcBorders>
            <w:noWrap/>
            <w:vAlign w:val="center"/>
          </w:tcPr>
          <w:p>
            <w:pPr>
              <w:keepNext/>
              <w:keepLines/>
              <w:widowControl/>
              <w:suppressLineNumbers w:val="0"/>
              <w:tabs>
                <w:tab w:val="left" w:pos="720"/>
              </w:tabs>
              <w:snapToGrid w:val="0"/>
              <w:spacing w:before="120" w:beforeAutospacing="0" w:after="120" w:afterAutospacing="0" w:line="360" w:lineRule="auto"/>
              <w:ind w:left="-63" w:leftChars="-30" w:right="-63" w:rightChars="-30"/>
              <w:jc w:val="center"/>
              <w:rPr>
                <w:rStyle w:val="153"/>
                <w:rFonts w:hint="default" w:ascii="Times New Roman" w:hAnsi="Times New Roman" w:eastAsia="Times New Roman"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tabs>
                <w:tab w:val="left" w:pos="720"/>
              </w:tabs>
              <w:snapToGrid w:val="0"/>
              <w:spacing w:before="0" w:beforeAutospacing="0" w:after="0" w:afterAutospacing="0" w:line="360" w:lineRule="auto"/>
              <w:ind w:left="0" w:right="0"/>
              <w:jc w:val="center"/>
              <w:rPr>
                <w:rStyle w:val="153"/>
                <w:rFonts w:hint="default" w:ascii="Times New Roman" w:hAnsi="Times New Roman" w:eastAsia="Times New Roman" w:cs="宋体"/>
                <w:sz w:val="24"/>
                <w:szCs w:val="24"/>
              </w:rPr>
            </w:pPr>
            <w:r>
              <w:rPr>
                <w:rStyle w:val="153"/>
                <w:rFonts w:hint="eastAsia" w:ascii="Times New Roman" w:hAnsi="Times New Roman" w:eastAsia="Times New Roman" w:cs="宋体"/>
                <w:sz w:val="24"/>
                <w:szCs w:val="24"/>
              </w:rPr>
              <w:t>3</w:t>
            </w:r>
          </w:p>
        </w:tc>
        <w:tc>
          <w:tcPr>
            <w:tcW w:w="1945" w:type="dxa"/>
            <w:tcBorders>
              <w:top w:val="single" w:color="000000" w:sz="4" w:space="0"/>
              <w:left w:val="single" w:color="000000" w:sz="4" w:space="0"/>
              <w:bottom w:val="single" w:color="000000" w:sz="4" w:space="0"/>
              <w:right w:val="single" w:color="000000" w:sz="4" w:space="0"/>
            </w:tcBorders>
            <w:noWrap/>
            <w:vAlign w:val="center"/>
          </w:tcPr>
          <w:p>
            <w:pPr>
              <w:keepNext/>
              <w:keepLines/>
              <w:widowControl/>
              <w:suppressLineNumbers w:val="0"/>
              <w:tabs>
                <w:tab w:val="left" w:pos="720"/>
              </w:tabs>
              <w:snapToGrid w:val="0"/>
              <w:spacing w:before="120" w:beforeAutospacing="0" w:after="120" w:afterAutospacing="0" w:line="360" w:lineRule="auto"/>
              <w:ind w:left="-63" w:leftChars="-30" w:right="-63" w:rightChars="-30"/>
              <w:jc w:val="center"/>
              <w:rPr>
                <w:rStyle w:val="153"/>
                <w:rFonts w:hint="default" w:ascii="Times New Roman" w:hAnsi="Times New Roman" w:eastAsia="Times New Roman" w:cs="宋体"/>
                <w:sz w:val="24"/>
                <w:szCs w:val="24"/>
              </w:rPr>
            </w:pPr>
            <w:r>
              <w:rPr>
                <w:rStyle w:val="153"/>
                <w:rFonts w:hint="eastAsia" w:ascii="Times New Roman" w:hAnsi="Times New Roman" w:eastAsia="Times New Roman" w:cs="宋体"/>
                <w:sz w:val="24"/>
                <w:szCs w:val="24"/>
              </w:rPr>
              <w:t>…</w:t>
            </w:r>
          </w:p>
        </w:tc>
        <w:tc>
          <w:tcPr>
            <w:tcW w:w="1315" w:type="dxa"/>
            <w:tcBorders>
              <w:top w:val="single" w:color="000000" w:sz="4" w:space="0"/>
              <w:left w:val="single" w:color="000000" w:sz="4" w:space="0"/>
              <w:bottom w:val="single" w:color="000000" w:sz="4" w:space="0"/>
              <w:right w:val="single" w:color="000000" w:sz="4" w:space="0"/>
            </w:tcBorders>
            <w:noWrap/>
            <w:vAlign w:val="center"/>
          </w:tcPr>
          <w:p>
            <w:pPr>
              <w:keepNext/>
              <w:keepLines/>
              <w:widowControl/>
              <w:suppressLineNumbers w:val="0"/>
              <w:tabs>
                <w:tab w:val="left" w:pos="720"/>
              </w:tabs>
              <w:snapToGrid w:val="0"/>
              <w:spacing w:before="120" w:beforeAutospacing="0" w:after="120" w:afterAutospacing="0" w:line="360" w:lineRule="auto"/>
              <w:ind w:left="-63" w:leftChars="-30" w:right="-63" w:rightChars="-30"/>
              <w:jc w:val="center"/>
              <w:rPr>
                <w:rStyle w:val="153"/>
                <w:rFonts w:hint="default" w:ascii="Times New Roman" w:hAnsi="Times New Roman" w:eastAsia="Times New Roman" w:cs="宋体"/>
                <w:sz w:val="24"/>
                <w:szCs w:val="24"/>
              </w:rPr>
            </w:pPr>
          </w:p>
        </w:tc>
        <w:tc>
          <w:tcPr>
            <w:tcW w:w="4427" w:type="dxa"/>
            <w:tcBorders>
              <w:top w:val="single" w:color="000000" w:sz="4" w:space="0"/>
              <w:left w:val="single" w:color="000000" w:sz="4" w:space="0"/>
              <w:bottom w:val="single" w:color="000000" w:sz="4" w:space="0"/>
              <w:right w:val="single" w:color="000000" w:sz="4" w:space="0"/>
            </w:tcBorders>
            <w:noWrap/>
            <w:vAlign w:val="center"/>
          </w:tcPr>
          <w:p>
            <w:pPr>
              <w:keepNext/>
              <w:keepLines/>
              <w:widowControl/>
              <w:suppressLineNumbers w:val="0"/>
              <w:tabs>
                <w:tab w:val="left" w:pos="720"/>
              </w:tabs>
              <w:snapToGrid w:val="0"/>
              <w:spacing w:before="120" w:beforeAutospacing="0" w:after="120" w:afterAutospacing="0" w:line="360" w:lineRule="auto"/>
              <w:ind w:left="-63" w:leftChars="-30" w:right="-63" w:rightChars="-30"/>
              <w:jc w:val="center"/>
              <w:rPr>
                <w:rStyle w:val="153"/>
                <w:rFonts w:hint="default" w:ascii="Times New Roman" w:hAnsi="Times New Roman" w:eastAsia="Times New Roman"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tabs>
                <w:tab w:val="left" w:pos="720"/>
              </w:tabs>
              <w:snapToGrid w:val="0"/>
              <w:spacing w:before="0" w:beforeAutospacing="0" w:after="0" w:afterAutospacing="0" w:line="360" w:lineRule="auto"/>
              <w:ind w:left="0" w:right="0"/>
              <w:jc w:val="center"/>
              <w:rPr>
                <w:rStyle w:val="153"/>
                <w:rFonts w:hint="default" w:ascii="Times New Roman" w:hAnsi="Times New Roman" w:eastAsia="Times New Roman" w:cs="宋体"/>
                <w:sz w:val="24"/>
                <w:szCs w:val="24"/>
              </w:rPr>
            </w:pPr>
            <w:r>
              <w:rPr>
                <w:rStyle w:val="153"/>
                <w:rFonts w:hint="eastAsia" w:ascii="Times New Roman" w:hAnsi="Times New Roman" w:eastAsia="Times New Roman" w:cs="宋体"/>
                <w:sz w:val="24"/>
                <w:szCs w:val="24"/>
              </w:rPr>
              <w:t>4</w:t>
            </w:r>
          </w:p>
        </w:tc>
        <w:tc>
          <w:tcPr>
            <w:tcW w:w="1945" w:type="dxa"/>
            <w:tcBorders>
              <w:top w:val="single" w:color="000000" w:sz="4" w:space="0"/>
              <w:left w:val="single" w:color="000000" w:sz="4" w:space="0"/>
              <w:bottom w:val="single" w:color="000000" w:sz="4" w:space="0"/>
              <w:right w:val="single" w:color="000000" w:sz="4" w:space="0"/>
            </w:tcBorders>
            <w:noWrap/>
            <w:vAlign w:val="center"/>
          </w:tcPr>
          <w:p>
            <w:pPr>
              <w:keepNext/>
              <w:keepLines/>
              <w:widowControl/>
              <w:suppressLineNumbers w:val="0"/>
              <w:tabs>
                <w:tab w:val="left" w:pos="720"/>
              </w:tabs>
              <w:snapToGrid w:val="0"/>
              <w:spacing w:before="120" w:beforeAutospacing="0" w:after="120" w:afterAutospacing="0" w:line="360" w:lineRule="auto"/>
              <w:ind w:left="-63" w:leftChars="-30" w:right="-63" w:rightChars="-30"/>
              <w:jc w:val="center"/>
              <w:rPr>
                <w:rStyle w:val="153"/>
                <w:rFonts w:hint="default" w:ascii="Times New Roman" w:hAnsi="Times New Roman" w:eastAsia="Times New Roman" w:cs="宋体"/>
                <w:sz w:val="24"/>
                <w:szCs w:val="24"/>
              </w:rPr>
            </w:pPr>
            <w:r>
              <w:rPr>
                <w:rStyle w:val="153"/>
                <w:rFonts w:hint="eastAsia" w:ascii="Times New Roman" w:hAnsi="Times New Roman" w:eastAsia="Times New Roman" w:cs="宋体"/>
                <w:sz w:val="24"/>
                <w:szCs w:val="24"/>
              </w:rPr>
              <w:t>…</w:t>
            </w:r>
          </w:p>
        </w:tc>
        <w:tc>
          <w:tcPr>
            <w:tcW w:w="1315" w:type="dxa"/>
            <w:tcBorders>
              <w:top w:val="single" w:color="000000" w:sz="4" w:space="0"/>
              <w:left w:val="single" w:color="000000" w:sz="4" w:space="0"/>
              <w:bottom w:val="single" w:color="000000" w:sz="4" w:space="0"/>
              <w:right w:val="single" w:color="000000" w:sz="4" w:space="0"/>
            </w:tcBorders>
            <w:noWrap/>
            <w:vAlign w:val="center"/>
          </w:tcPr>
          <w:p>
            <w:pPr>
              <w:keepNext/>
              <w:keepLines/>
              <w:widowControl/>
              <w:suppressLineNumbers w:val="0"/>
              <w:tabs>
                <w:tab w:val="left" w:pos="720"/>
              </w:tabs>
              <w:snapToGrid w:val="0"/>
              <w:spacing w:before="120" w:beforeAutospacing="0" w:after="120" w:afterAutospacing="0" w:line="360" w:lineRule="auto"/>
              <w:ind w:left="-63" w:leftChars="-30" w:right="-63" w:rightChars="-30"/>
              <w:jc w:val="center"/>
              <w:rPr>
                <w:rStyle w:val="153"/>
                <w:rFonts w:hint="default" w:ascii="Times New Roman" w:hAnsi="Times New Roman" w:eastAsia="Times New Roman" w:cs="宋体"/>
                <w:sz w:val="24"/>
                <w:szCs w:val="24"/>
              </w:rPr>
            </w:pPr>
          </w:p>
        </w:tc>
        <w:tc>
          <w:tcPr>
            <w:tcW w:w="4427" w:type="dxa"/>
            <w:tcBorders>
              <w:top w:val="single" w:color="000000" w:sz="4" w:space="0"/>
              <w:left w:val="single" w:color="000000" w:sz="4" w:space="0"/>
              <w:bottom w:val="single" w:color="000000" w:sz="4" w:space="0"/>
              <w:right w:val="single" w:color="000000" w:sz="4" w:space="0"/>
            </w:tcBorders>
            <w:noWrap/>
            <w:vAlign w:val="center"/>
          </w:tcPr>
          <w:p>
            <w:pPr>
              <w:keepNext/>
              <w:keepLines/>
              <w:widowControl/>
              <w:suppressLineNumbers w:val="0"/>
              <w:tabs>
                <w:tab w:val="left" w:pos="720"/>
              </w:tabs>
              <w:snapToGrid w:val="0"/>
              <w:spacing w:before="120" w:beforeAutospacing="0" w:after="120" w:afterAutospacing="0" w:line="360" w:lineRule="auto"/>
              <w:ind w:left="-63" w:leftChars="-30" w:right="-63" w:rightChars="-30"/>
              <w:jc w:val="center"/>
              <w:rPr>
                <w:rStyle w:val="153"/>
                <w:rFonts w:hint="default" w:ascii="Times New Roman" w:hAnsi="Times New Roman" w:eastAsia="Times New Roman"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tabs>
                <w:tab w:val="left" w:pos="720"/>
              </w:tabs>
              <w:snapToGrid w:val="0"/>
              <w:spacing w:before="0" w:beforeAutospacing="0" w:after="0" w:afterAutospacing="0" w:line="360" w:lineRule="auto"/>
              <w:ind w:left="0" w:right="0"/>
              <w:jc w:val="center"/>
              <w:rPr>
                <w:rStyle w:val="153"/>
                <w:rFonts w:hint="default" w:ascii="Times New Roman" w:hAnsi="Times New Roman" w:eastAsia="Times New Roman" w:cs="宋体"/>
                <w:sz w:val="24"/>
                <w:szCs w:val="24"/>
              </w:rPr>
            </w:pPr>
            <w:r>
              <w:rPr>
                <w:rStyle w:val="153"/>
                <w:rFonts w:hint="eastAsia" w:ascii="Times New Roman" w:hAnsi="Times New Roman" w:eastAsia="Times New Roman" w:cs="宋体"/>
                <w:sz w:val="24"/>
                <w:szCs w:val="24"/>
              </w:rPr>
              <w:t>5</w:t>
            </w:r>
          </w:p>
        </w:tc>
        <w:tc>
          <w:tcPr>
            <w:tcW w:w="1945" w:type="dxa"/>
            <w:tcBorders>
              <w:top w:val="single" w:color="000000" w:sz="4" w:space="0"/>
              <w:left w:val="single" w:color="000000" w:sz="4" w:space="0"/>
              <w:bottom w:val="single" w:color="000000" w:sz="4" w:space="0"/>
              <w:right w:val="single" w:color="000000" w:sz="4" w:space="0"/>
            </w:tcBorders>
            <w:noWrap/>
            <w:vAlign w:val="center"/>
          </w:tcPr>
          <w:p>
            <w:pPr>
              <w:keepNext/>
              <w:keepLines/>
              <w:widowControl/>
              <w:suppressLineNumbers w:val="0"/>
              <w:tabs>
                <w:tab w:val="left" w:pos="720"/>
              </w:tabs>
              <w:snapToGrid w:val="0"/>
              <w:spacing w:before="120" w:beforeAutospacing="0" w:after="120" w:afterAutospacing="0" w:line="360" w:lineRule="auto"/>
              <w:ind w:left="-63" w:leftChars="-30" w:right="-63" w:rightChars="-30"/>
              <w:jc w:val="center"/>
              <w:rPr>
                <w:rStyle w:val="153"/>
                <w:rFonts w:hint="default" w:ascii="Times New Roman" w:hAnsi="Times New Roman" w:eastAsia="Times New Roman" w:cs="宋体"/>
                <w:sz w:val="24"/>
                <w:szCs w:val="24"/>
              </w:rPr>
            </w:pPr>
            <w:r>
              <w:rPr>
                <w:rStyle w:val="153"/>
                <w:rFonts w:hint="eastAsia" w:ascii="Times New Roman" w:hAnsi="Times New Roman" w:eastAsia="Times New Roman" w:cs="宋体"/>
                <w:sz w:val="24"/>
                <w:szCs w:val="24"/>
              </w:rPr>
              <w:t>…</w:t>
            </w:r>
          </w:p>
        </w:tc>
        <w:tc>
          <w:tcPr>
            <w:tcW w:w="1315" w:type="dxa"/>
            <w:tcBorders>
              <w:top w:val="single" w:color="000000" w:sz="4" w:space="0"/>
              <w:left w:val="single" w:color="000000" w:sz="4" w:space="0"/>
              <w:bottom w:val="single" w:color="000000" w:sz="4" w:space="0"/>
              <w:right w:val="single" w:color="000000" w:sz="4" w:space="0"/>
            </w:tcBorders>
            <w:noWrap/>
            <w:vAlign w:val="center"/>
          </w:tcPr>
          <w:p>
            <w:pPr>
              <w:keepNext/>
              <w:keepLines/>
              <w:widowControl/>
              <w:suppressLineNumbers w:val="0"/>
              <w:tabs>
                <w:tab w:val="left" w:pos="720"/>
              </w:tabs>
              <w:snapToGrid w:val="0"/>
              <w:spacing w:before="120" w:beforeAutospacing="0" w:after="120" w:afterAutospacing="0" w:line="360" w:lineRule="auto"/>
              <w:ind w:left="-63" w:leftChars="-30" w:right="-63" w:rightChars="-30"/>
              <w:jc w:val="center"/>
              <w:rPr>
                <w:rStyle w:val="153"/>
                <w:rFonts w:hint="default" w:ascii="Times New Roman" w:hAnsi="Times New Roman" w:eastAsia="Times New Roman" w:cs="宋体"/>
                <w:sz w:val="24"/>
                <w:szCs w:val="24"/>
              </w:rPr>
            </w:pPr>
          </w:p>
        </w:tc>
        <w:tc>
          <w:tcPr>
            <w:tcW w:w="4427" w:type="dxa"/>
            <w:tcBorders>
              <w:top w:val="single" w:color="000000" w:sz="4" w:space="0"/>
              <w:left w:val="single" w:color="000000" w:sz="4" w:space="0"/>
              <w:bottom w:val="single" w:color="000000" w:sz="4" w:space="0"/>
              <w:right w:val="single" w:color="000000" w:sz="4" w:space="0"/>
            </w:tcBorders>
            <w:noWrap/>
            <w:vAlign w:val="center"/>
          </w:tcPr>
          <w:p>
            <w:pPr>
              <w:keepNext/>
              <w:keepLines/>
              <w:widowControl/>
              <w:suppressLineNumbers w:val="0"/>
              <w:tabs>
                <w:tab w:val="left" w:pos="720"/>
              </w:tabs>
              <w:snapToGrid w:val="0"/>
              <w:spacing w:before="120" w:beforeAutospacing="0" w:after="120" w:afterAutospacing="0" w:line="360" w:lineRule="auto"/>
              <w:ind w:left="-63" w:leftChars="-30" w:right="-63" w:rightChars="-30"/>
              <w:jc w:val="center"/>
              <w:rPr>
                <w:rStyle w:val="153"/>
                <w:rFonts w:hint="default" w:ascii="Times New Roman" w:hAnsi="Times New Roman" w:eastAsia="Times New Roman"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tabs>
                <w:tab w:val="left" w:pos="720"/>
              </w:tabs>
              <w:snapToGrid w:val="0"/>
              <w:spacing w:before="0" w:beforeAutospacing="0" w:after="0" w:afterAutospacing="0" w:line="360" w:lineRule="auto"/>
              <w:ind w:left="0" w:right="0"/>
              <w:jc w:val="center"/>
              <w:rPr>
                <w:rStyle w:val="153"/>
                <w:rFonts w:hint="default" w:ascii="Times New Roman" w:hAnsi="Times New Roman" w:eastAsia="Times New Roman" w:cs="宋体"/>
                <w:sz w:val="24"/>
                <w:szCs w:val="24"/>
              </w:rPr>
            </w:pPr>
            <w:r>
              <w:rPr>
                <w:rStyle w:val="153"/>
                <w:rFonts w:hint="eastAsia" w:ascii="Times New Roman" w:hAnsi="Times New Roman" w:eastAsia="Times New Roman" w:cs="宋体"/>
                <w:sz w:val="24"/>
                <w:szCs w:val="24"/>
              </w:rPr>
              <w:t>6</w:t>
            </w:r>
          </w:p>
        </w:tc>
        <w:tc>
          <w:tcPr>
            <w:tcW w:w="1945" w:type="dxa"/>
            <w:tcBorders>
              <w:top w:val="single" w:color="000000" w:sz="4" w:space="0"/>
              <w:left w:val="single" w:color="000000" w:sz="4" w:space="0"/>
              <w:bottom w:val="single" w:color="000000" w:sz="4" w:space="0"/>
              <w:right w:val="single" w:color="000000" w:sz="4" w:space="0"/>
            </w:tcBorders>
            <w:noWrap/>
            <w:vAlign w:val="center"/>
          </w:tcPr>
          <w:p>
            <w:pPr>
              <w:keepNext/>
              <w:keepLines/>
              <w:widowControl/>
              <w:suppressLineNumbers w:val="0"/>
              <w:tabs>
                <w:tab w:val="left" w:pos="720"/>
              </w:tabs>
              <w:snapToGrid w:val="0"/>
              <w:spacing w:before="120" w:beforeAutospacing="0" w:after="120" w:afterAutospacing="0" w:line="360" w:lineRule="auto"/>
              <w:ind w:left="-63" w:leftChars="-30" w:right="-63" w:rightChars="-30"/>
              <w:jc w:val="center"/>
              <w:rPr>
                <w:rStyle w:val="153"/>
                <w:rFonts w:hint="default" w:ascii="Times New Roman" w:hAnsi="Times New Roman" w:eastAsia="Times New Roman" w:cs="宋体"/>
                <w:sz w:val="24"/>
                <w:szCs w:val="24"/>
              </w:rPr>
            </w:pPr>
            <w:r>
              <w:rPr>
                <w:rStyle w:val="153"/>
                <w:rFonts w:hint="eastAsia" w:ascii="Times New Roman" w:hAnsi="Times New Roman" w:eastAsia="Times New Roman" w:cs="宋体"/>
                <w:sz w:val="24"/>
                <w:szCs w:val="24"/>
              </w:rPr>
              <w:t>…</w:t>
            </w:r>
          </w:p>
        </w:tc>
        <w:tc>
          <w:tcPr>
            <w:tcW w:w="1315" w:type="dxa"/>
            <w:tcBorders>
              <w:top w:val="single" w:color="000000" w:sz="4" w:space="0"/>
              <w:left w:val="single" w:color="000000" w:sz="4" w:space="0"/>
              <w:bottom w:val="single" w:color="000000" w:sz="4" w:space="0"/>
              <w:right w:val="single" w:color="000000" w:sz="4" w:space="0"/>
            </w:tcBorders>
            <w:noWrap/>
            <w:vAlign w:val="center"/>
          </w:tcPr>
          <w:p>
            <w:pPr>
              <w:keepNext/>
              <w:keepLines/>
              <w:widowControl/>
              <w:suppressLineNumbers w:val="0"/>
              <w:tabs>
                <w:tab w:val="left" w:pos="720"/>
              </w:tabs>
              <w:snapToGrid w:val="0"/>
              <w:spacing w:before="120" w:beforeAutospacing="0" w:after="120" w:afterAutospacing="0" w:line="360" w:lineRule="auto"/>
              <w:ind w:left="-63" w:leftChars="-30" w:right="-63" w:rightChars="-30"/>
              <w:jc w:val="center"/>
              <w:rPr>
                <w:rStyle w:val="153"/>
                <w:rFonts w:hint="default" w:ascii="Times New Roman" w:hAnsi="Times New Roman" w:eastAsia="Times New Roman" w:cs="宋体"/>
                <w:sz w:val="24"/>
                <w:szCs w:val="24"/>
              </w:rPr>
            </w:pPr>
          </w:p>
        </w:tc>
        <w:tc>
          <w:tcPr>
            <w:tcW w:w="4427" w:type="dxa"/>
            <w:tcBorders>
              <w:top w:val="single" w:color="000000" w:sz="4" w:space="0"/>
              <w:left w:val="single" w:color="000000" w:sz="4" w:space="0"/>
              <w:bottom w:val="single" w:color="000000" w:sz="4" w:space="0"/>
              <w:right w:val="single" w:color="000000" w:sz="4" w:space="0"/>
            </w:tcBorders>
            <w:noWrap/>
            <w:vAlign w:val="center"/>
          </w:tcPr>
          <w:p>
            <w:pPr>
              <w:keepNext/>
              <w:keepLines/>
              <w:widowControl/>
              <w:suppressLineNumbers w:val="0"/>
              <w:tabs>
                <w:tab w:val="left" w:pos="720"/>
              </w:tabs>
              <w:snapToGrid w:val="0"/>
              <w:spacing w:before="120" w:beforeAutospacing="0" w:after="120" w:afterAutospacing="0" w:line="360" w:lineRule="auto"/>
              <w:ind w:left="-63" w:leftChars="-30" w:right="-63" w:rightChars="-30"/>
              <w:jc w:val="center"/>
              <w:rPr>
                <w:rStyle w:val="153"/>
                <w:rFonts w:hint="default" w:ascii="Times New Roman" w:hAnsi="Times New Roman" w:eastAsia="Times New Roman"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tabs>
                <w:tab w:val="left" w:pos="720"/>
              </w:tabs>
              <w:snapToGrid w:val="0"/>
              <w:spacing w:before="0" w:beforeAutospacing="0" w:after="0" w:afterAutospacing="0" w:line="360" w:lineRule="auto"/>
              <w:ind w:left="0" w:right="0"/>
              <w:jc w:val="center"/>
              <w:rPr>
                <w:rStyle w:val="153"/>
                <w:rFonts w:hint="default" w:ascii="Times New Roman" w:hAnsi="Times New Roman" w:eastAsia="Times New Roman" w:cs="宋体"/>
                <w:sz w:val="24"/>
                <w:szCs w:val="24"/>
              </w:rPr>
            </w:pPr>
            <w:r>
              <w:rPr>
                <w:rStyle w:val="153"/>
                <w:rFonts w:hint="eastAsia" w:ascii="Times New Roman" w:hAnsi="Times New Roman" w:eastAsia="Times New Roman" w:cs="宋体"/>
                <w:sz w:val="24"/>
                <w:szCs w:val="24"/>
              </w:rPr>
              <w:t>7</w:t>
            </w:r>
          </w:p>
        </w:tc>
        <w:tc>
          <w:tcPr>
            <w:tcW w:w="1945" w:type="dxa"/>
            <w:tcBorders>
              <w:top w:val="single" w:color="000000" w:sz="4" w:space="0"/>
              <w:left w:val="single" w:color="000000" w:sz="4" w:space="0"/>
              <w:bottom w:val="single" w:color="000000" w:sz="4" w:space="0"/>
              <w:right w:val="single" w:color="000000" w:sz="4" w:space="0"/>
            </w:tcBorders>
            <w:noWrap/>
            <w:vAlign w:val="center"/>
          </w:tcPr>
          <w:p>
            <w:pPr>
              <w:keepNext/>
              <w:keepLines/>
              <w:widowControl/>
              <w:suppressLineNumbers w:val="0"/>
              <w:tabs>
                <w:tab w:val="left" w:pos="720"/>
              </w:tabs>
              <w:snapToGrid w:val="0"/>
              <w:spacing w:before="120" w:beforeAutospacing="0" w:after="120" w:afterAutospacing="0" w:line="360" w:lineRule="auto"/>
              <w:ind w:left="-63" w:leftChars="-30" w:right="-63" w:rightChars="-30"/>
              <w:jc w:val="center"/>
              <w:rPr>
                <w:rStyle w:val="153"/>
                <w:rFonts w:hint="default" w:ascii="Times New Roman" w:hAnsi="Times New Roman" w:eastAsia="Times New Roman" w:cs="宋体"/>
                <w:sz w:val="24"/>
                <w:szCs w:val="24"/>
              </w:rPr>
            </w:pPr>
            <w:r>
              <w:rPr>
                <w:rStyle w:val="153"/>
                <w:rFonts w:hint="eastAsia" w:ascii="Times New Roman" w:hAnsi="Times New Roman" w:eastAsia="Times New Roman" w:cs="宋体"/>
                <w:sz w:val="24"/>
                <w:szCs w:val="24"/>
              </w:rPr>
              <w:t>…</w:t>
            </w:r>
          </w:p>
        </w:tc>
        <w:tc>
          <w:tcPr>
            <w:tcW w:w="1315" w:type="dxa"/>
            <w:tcBorders>
              <w:top w:val="single" w:color="000000" w:sz="4" w:space="0"/>
              <w:left w:val="single" w:color="000000" w:sz="4" w:space="0"/>
              <w:bottom w:val="single" w:color="000000" w:sz="4" w:space="0"/>
              <w:right w:val="single" w:color="000000" w:sz="4" w:space="0"/>
            </w:tcBorders>
            <w:noWrap/>
            <w:vAlign w:val="center"/>
          </w:tcPr>
          <w:p>
            <w:pPr>
              <w:keepNext/>
              <w:keepLines/>
              <w:widowControl/>
              <w:suppressLineNumbers w:val="0"/>
              <w:tabs>
                <w:tab w:val="left" w:pos="720"/>
              </w:tabs>
              <w:snapToGrid w:val="0"/>
              <w:spacing w:before="120" w:beforeAutospacing="0" w:after="120" w:afterAutospacing="0" w:line="360" w:lineRule="auto"/>
              <w:ind w:left="-63" w:leftChars="-30" w:right="-63" w:rightChars="-30"/>
              <w:jc w:val="center"/>
              <w:rPr>
                <w:rStyle w:val="153"/>
                <w:rFonts w:hint="default" w:ascii="Times New Roman" w:hAnsi="Times New Roman" w:eastAsia="Times New Roman" w:cs="宋体"/>
                <w:sz w:val="24"/>
                <w:szCs w:val="24"/>
              </w:rPr>
            </w:pPr>
          </w:p>
        </w:tc>
        <w:tc>
          <w:tcPr>
            <w:tcW w:w="4427" w:type="dxa"/>
            <w:tcBorders>
              <w:top w:val="single" w:color="000000" w:sz="4" w:space="0"/>
              <w:left w:val="single" w:color="000000" w:sz="4" w:space="0"/>
              <w:bottom w:val="single" w:color="000000" w:sz="4" w:space="0"/>
              <w:right w:val="single" w:color="000000" w:sz="4" w:space="0"/>
            </w:tcBorders>
            <w:noWrap/>
            <w:vAlign w:val="center"/>
          </w:tcPr>
          <w:p>
            <w:pPr>
              <w:keepNext/>
              <w:keepLines/>
              <w:widowControl/>
              <w:suppressLineNumbers w:val="0"/>
              <w:tabs>
                <w:tab w:val="left" w:pos="720"/>
              </w:tabs>
              <w:snapToGrid w:val="0"/>
              <w:spacing w:before="120" w:beforeAutospacing="0" w:after="120" w:afterAutospacing="0" w:line="360" w:lineRule="auto"/>
              <w:ind w:left="-63" w:leftChars="-30" w:right="-63" w:rightChars="-30"/>
              <w:jc w:val="center"/>
              <w:rPr>
                <w:rStyle w:val="153"/>
                <w:rFonts w:hint="default" w:ascii="Times New Roman" w:hAnsi="Times New Roman" w:eastAsia="Times New Roman" w:cs="宋体"/>
                <w:sz w:val="24"/>
                <w:szCs w:val="24"/>
              </w:rPr>
            </w:pPr>
          </w:p>
        </w:tc>
      </w:tr>
    </w:tbl>
    <w:p>
      <w:pPr>
        <w:pStyle w:val="154"/>
        <w:spacing w:line="360" w:lineRule="auto"/>
        <w:rPr>
          <w:rStyle w:val="153"/>
          <w:rFonts w:ascii="宋体" w:hAnsi="宋体" w:cs="宋体"/>
        </w:rPr>
      </w:pPr>
    </w:p>
    <w:p>
      <w:pPr>
        <w:spacing w:line="360" w:lineRule="auto"/>
        <w:rPr>
          <w:rStyle w:val="153"/>
          <w:rFonts w:cs="宋体"/>
        </w:rPr>
      </w:pPr>
      <w:r>
        <w:rPr>
          <w:rStyle w:val="153"/>
          <w:rFonts w:hint="eastAsia" w:cs="宋体"/>
        </w:rPr>
        <w:t>备注：1.本表投标单位根据实际情况可进行扩展；</w:t>
      </w:r>
    </w:p>
    <w:p>
      <w:pPr>
        <w:adjustRightInd w:val="0"/>
        <w:snapToGrid w:val="0"/>
        <w:spacing w:line="360" w:lineRule="auto"/>
        <w:rPr>
          <w:rStyle w:val="153"/>
          <w:rFonts w:hint="eastAsia" w:ascii="宋体" w:hAnsi="宋体" w:cs="宋体"/>
          <w:kern w:val="2"/>
          <w:sz w:val="21"/>
          <w:szCs w:val="22"/>
        </w:rPr>
      </w:pPr>
      <w:r>
        <w:rPr>
          <w:rStyle w:val="153"/>
          <w:rFonts w:hint="eastAsia" w:ascii="宋体" w:hAnsi="宋体" w:cs="宋体"/>
          <w:kern w:val="2"/>
          <w:sz w:val="21"/>
          <w:szCs w:val="22"/>
        </w:rPr>
        <w:t xml:space="preserve">      2.后附《技术标详细审查评分表》要求的人员相关证明资料。</w:t>
      </w:r>
    </w:p>
    <w:p>
      <w:pPr>
        <w:adjustRightInd w:val="0"/>
        <w:snapToGrid w:val="0"/>
        <w:spacing w:line="360" w:lineRule="auto"/>
        <w:rPr>
          <w:rFonts w:hint="eastAsia" w:ascii="Times New Roman" w:hAnsi="Times New Roman" w:eastAsia="宋体" w:cs="Times New Roman"/>
          <w:kern w:val="2"/>
          <w:sz w:val="24"/>
          <w:szCs w:val="22"/>
          <w:lang w:val="en-US" w:eastAsia="zh-CN"/>
        </w:rPr>
      </w:pPr>
      <w:r>
        <w:rPr>
          <w:rStyle w:val="153"/>
          <w:rFonts w:hint="eastAsia" w:ascii="宋体" w:hAnsi="宋体" w:cs="宋体"/>
          <w:kern w:val="2"/>
          <w:sz w:val="21"/>
          <w:szCs w:val="22"/>
        </w:rPr>
        <w:br w:type="page"/>
      </w:r>
      <w:r>
        <w:rPr>
          <w:rFonts w:hint="eastAsia" w:ascii="Times New Roman" w:hAnsi="Times New Roman" w:eastAsia="宋体" w:cs="Times New Roman"/>
          <w:kern w:val="2"/>
          <w:sz w:val="24"/>
          <w:szCs w:val="22"/>
          <w:lang w:val="en-US" w:eastAsia="zh-CN"/>
        </w:rPr>
        <w:t xml:space="preserve">附件三 </w:t>
      </w:r>
    </w:p>
    <w:p>
      <w:pPr>
        <w:pStyle w:val="155"/>
        <w:spacing w:line="360" w:lineRule="auto"/>
        <w:ind w:firstLine="480"/>
        <w:rPr>
          <w:rFonts w:hint="eastAsia" w:ascii="宋体" w:hAnsi="宋体" w:eastAsia="宋体" w:cs="宋体"/>
        </w:rPr>
      </w:pPr>
      <w:r>
        <w:rPr>
          <w:rFonts w:hint="eastAsia" w:ascii="宋体" w:hAnsi="宋体" w:eastAsia="宋体" w:cs="宋体"/>
        </w:rPr>
        <w:t>中小企业声明函（承建本项目工程为中小企业为中小企业时提交本函，所属行业应符合采购文件中明确的本项目所属行业）</w:t>
      </w:r>
    </w:p>
    <w:p>
      <w:pPr>
        <w:widowControl w:val="0"/>
        <w:jc w:val="center"/>
        <w:rPr>
          <w:rFonts w:hint="eastAsia" w:ascii="方正小标宋_GBK" w:hAnsi="方正小标宋_GBK" w:eastAsia="方正小标宋_GBK" w:cs="方正小标宋_GBK"/>
          <w:color w:val="auto"/>
          <w:kern w:val="2"/>
          <w:sz w:val="32"/>
          <w:szCs w:val="32"/>
          <w:lang w:val="en-US" w:eastAsia="zh-CN" w:bidi="ar-SA"/>
        </w:rPr>
      </w:pPr>
      <w:r>
        <w:rPr>
          <w:rFonts w:hint="eastAsia" w:ascii="方正小标宋_GBK" w:hAnsi="方正小标宋_GBK" w:eastAsia="方正小标宋_GBK" w:cs="方正小标宋_GBK"/>
          <w:color w:val="auto"/>
          <w:kern w:val="2"/>
          <w:sz w:val="32"/>
          <w:szCs w:val="32"/>
          <w:lang w:val="en-US" w:eastAsia="zh-CN" w:bidi="ar-SA"/>
        </w:rPr>
        <w:t>中小企业声明函</w:t>
      </w:r>
    </w:p>
    <w:p>
      <w:pPr>
        <w:widowControl w:val="0"/>
        <w:spacing w:line="560" w:lineRule="exact"/>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本企业郑重声明，根据《关于印发中小企业划型标准规定的通知》（工信部联企业〔2011〕300号）的规定，本企业具体情况如下：</w:t>
      </w:r>
    </w:p>
    <w:p>
      <w:pPr>
        <w:widowControl w:val="0"/>
        <w:spacing w:line="560" w:lineRule="exact"/>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本企业属于建筑业行业；营业收入为</w:t>
      </w:r>
      <w:r>
        <w:rPr>
          <w:rFonts w:hint="eastAsia" w:ascii="宋体" w:hAnsi="宋体" w:eastAsia="宋体" w:cs="宋体"/>
          <w:kern w:val="2"/>
          <w:sz w:val="22"/>
          <w:szCs w:val="22"/>
          <w:u w:val="single"/>
          <w:lang w:val="en-US" w:eastAsia="zh-CN" w:bidi="ar-SA"/>
        </w:rPr>
        <w:t xml:space="preserve">     </w:t>
      </w:r>
      <w:r>
        <w:rPr>
          <w:rFonts w:hint="eastAsia" w:ascii="宋体" w:hAnsi="宋体" w:eastAsia="宋体" w:cs="宋体"/>
          <w:kern w:val="2"/>
          <w:sz w:val="22"/>
          <w:szCs w:val="22"/>
          <w:lang w:val="en-US" w:eastAsia="zh-CN" w:bidi="ar-SA"/>
        </w:rPr>
        <w:t>万元，资产总额为</w:t>
      </w:r>
      <w:r>
        <w:rPr>
          <w:rFonts w:hint="eastAsia" w:ascii="宋体" w:hAnsi="宋体" w:eastAsia="宋体" w:cs="宋体"/>
          <w:kern w:val="2"/>
          <w:sz w:val="22"/>
          <w:szCs w:val="22"/>
          <w:u w:val="single"/>
          <w:lang w:val="en-US" w:eastAsia="zh-CN" w:bidi="ar-SA"/>
        </w:rPr>
        <w:t xml:space="preserve">       </w:t>
      </w:r>
      <w:r>
        <w:rPr>
          <w:rFonts w:hint="eastAsia" w:ascii="宋体" w:hAnsi="宋体" w:eastAsia="宋体" w:cs="宋体"/>
          <w:kern w:val="2"/>
          <w:sz w:val="22"/>
          <w:szCs w:val="22"/>
          <w:lang w:val="en-US" w:eastAsia="zh-CN" w:bidi="ar-SA"/>
        </w:rPr>
        <w:t>万元，属于</w:t>
      </w:r>
      <w:r>
        <w:rPr>
          <w:rFonts w:hint="eastAsia" w:ascii="宋体" w:hAnsi="宋体" w:eastAsia="宋体" w:cs="宋体"/>
          <w:kern w:val="2"/>
          <w:sz w:val="22"/>
          <w:szCs w:val="22"/>
          <w:u w:val="single"/>
          <w:lang w:val="en-US" w:eastAsia="zh-CN" w:bidi="ar-SA"/>
        </w:rPr>
        <w:t xml:space="preserve">      （中型企业、小型企业、微型企业）</w:t>
      </w:r>
      <w:r>
        <w:rPr>
          <w:rFonts w:hint="eastAsia" w:ascii="宋体" w:hAnsi="宋体" w:eastAsia="宋体" w:cs="宋体"/>
          <w:kern w:val="2"/>
          <w:sz w:val="22"/>
          <w:szCs w:val="22"/>
          <w:lang w:val="en-US" w:eastAsia="zh-CN" w:bidi="ar-SA"/>
        </w:rPr>
        <w:t>；</w:t>
      </w:r>
    </w:p>
    <w:p>
      <w:pPr>
        <w:widowControl w:val="0"/>
        <w:spacing w:line="560" w:lineRule="exact"/>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 xml:space="preserve">依据《政府采购促进中小企业发展管理办法》的规定，本企业不属于大企业的分支机构，不存在控股股东为大企业的情形，也不存在与大企业的负责人为同一人的情形。 </w:t>
      </w:r>
    </w:p>
    <w:p>
      <w:pPr>
        <w:widowControl w:val="0"/>
        <w:spacing w:line="560" w:lineRule="exact"/>
        <w:ind w:firstLine="440" w:firstLineChars="2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 xml:space="preserve">本企业对上述声明内容的真实性负责。如有虚假，将依法承担相应责任。 </w:t>
      </w:r>
    </w:p>
    <w:p>
      <w:pPr>
        <w:widowControl w:val="0"/>
        <w:spacing w:line="560" w:lineRule="exact"/>
        <w:ind w:firstLine="440" w:firstLineChars="200"/>
        <w:jc w:val="both"/>
        <w:rPr>
          <w:rFonts w:hint="eastAsia" w:ascii="宋体" w:hAnsi="宋体" w:eastAsia="宋体" w:cs="宋体"/>
          <w:kern w:val="2"/>
          <w:sz w:val="22"/>
          <w:szCs w:val="22"/>
          <w:lang w:val="en-US" w:eastAsia="zh-CN" w:bidi="ar-SA"/>
        </w:rPr>
      </w:pPr>
    </w:p>
    <w:p>
      <w:pPr>
        <w:widowControl w:val="0"/>
        <w:spacing w:line="560" w:lineRule="exact"/>
        <w:ind w:firstLine="3300" w:firstLineChars="15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企业名称（盖章）：</w:t>
      </w:r>
    </w:p>
    <w:p>
      <w:pPr>
        <w:widowControl w:val="0"/>
        <w:spacing w:line="560" w:lineRule="exact"/>
        <w:ind w:firstLine="4180" w:firstLineChars="190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 xml:space="preserve">日 </w:t>
      </w:r>
      <w:r>
        <w:rPr>
          <w:rFonts w:hint="eastAsia" w:ascii="宋体" w:hAnsi="宋体" w:eastAsia="宋体" w:cs="宋体"/>
          <w:kern w:val="2"/>
          <w:sz w:val="22"/>
          <w:szCs w:val="22"/>
          <w:lang w:val="en" w:eastAsia="zh-CN" w:bidi="ar-SA"/>
        </w:rPr>
        <w:t xml:space="preserve">  </w:t>
      </w:r>
      <w:r>
        <w:rPr>
          <w:rFonts w:hint="eastAsia" w:ascii="宋体" w:hAnsi="宋体" w:eastAsia="宋体" w:cs="宋体"/>
          <w:kern w:val="2"/>
          <w:sz w:val="22"/>
          <w:szCs w:val="22"/>
          <w:lang w:val="en-US" w:eastAsia="zh-CN" w:bidi="ar-SA"/>
        </w:rPr>
        <w:t>期：</w:t>
      </w:r>
    </w:p>
    <w:p>
      <w:pPr>
        <w:widowControl w:val="0"/>
        <w:spacing w:line="560" w:lineRule="exact"/>
        <w:ind w:firstLine="400" w:firstLineChars="200"/>
        <w:jc w:val="both"/>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注：</w:t>
      </w:r>
    </w:p>
    <w:p>
      <w:pPr>
        <w:widowControl w:val="0"/>
        <w:spacing w:line="560" w:lineRule="exact"/>
        <w:ind w:firstLine="400" w:firstLineChars="200"/>
        <w:jc w:val="both"/>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1</w:t>
      </w:r>
      <w:r>
        <w:rPr>
          <w:rFonts w:hint="eastAsia" w:ascii="宋体" w:hAnsi="宋体" w:eastAsia="宋体" w:cs="宋体"/>
          <w:kern w:val="2"/>
          <w:sz w:val="20"/>
          <w:szCs w:val="20"/>
          <w:lang w:val="en" w:eastAsia="zh-CN" w:bidi="ar-SA"/>
        </w:rPr>
        <w:t>.</w:t>
      </w:r>
      <w:r>
        <w:rPr>
          <w:rFonts w:hint="eastAsia" w:ascii="宋体" w:hAnsi="宋体" w:eastAsia="宋体" w:cs="宋体"/>
          <w:kern w:val="2"/>
          <w:sz w:val="20"/>
          <w:szCs w:val="20"/>
          <w:lang w:val="en-US" w:eastAsia="zh-CN" w:bidi="ar-SA"/>
        </w:rPr>
        <w:t>营业收入、资产总额填报上一年度数据，无上一年度数据的新成立企业可不填报。</w:t>
      </w:r>
    </w:p>
    <w:p>
      <w:pPr>
        <w:widowControl w:val="0"/>
        <w:spacing w:line="560" w:lineRule="exact"/>
        <w:ind w:firstLine="400" w:firstLineChars="200"/>
        <w:jc w:val="both"/>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2</w:t>
      </w:r>
      <w:r>
        <w:rPr>
          <w:rFonts w:hint="eastAsia" w:ascii="宋体" w:hAnsi="宋体" w:eastAsia="宋体" w:cs="宋体"/>
          <w:kern w:val="2"/>
          <w:sz w:val="20"/>
          <w:szCs w:val="20"/>
          <w:lang w:val="en" w:eastAsia="zh-CN" w:bidi="ar-SA"/>
        </w:rPr>
        <w:t>.</w:t>
      </w:r>
      <w:r>
        <w:rPr>
          <w:rFonts w:hint="eastAsia" w:ascii="宋体" w:hAnsi="宋体" w:eastAsia="宋体" w:cs="宋体"/>
          <w:kern w:val="2"/>
          <w:sz w:val="20"/>
          <w:szCs w:val="20"/>
          <w:lang w:val="en-US" w:eastAsia="zh-CN" w:bidi="ar-SA"/>
        </w:rPr>
        <w:t>《中小企业声明函》须按照本函格式填写，否则评标委员会有权视其为非中小企业，不享受免于提交投标保证金的优惠政策。</w:t>
      </w:r>
    </w:p>
    <w:p>
      <w:pPr>
        <w:ind w:firstLine="400" w:firstLineChars="200"/>
        <w:rPr>
          <w:rFonts w:hint="eastAsia" w:ascii="宋体" w:hAnsi="宋体" w:eastAsia="宋体" w:cs="宋体"/>
          <w:sz w:val="20"/>
          <w:szCs w:val="21"/>
        </w:rPr>
      </w:pPr>
      <w:r>
        <w:rPr>
          <w:rFonts w:hint="eastAsia" w:ascii="宋体" w:hAnsi="宋体" w:eastAsia="宋体" w:cs="宋体"/>
          <w:kern w:val="2"/>
          <w:sz w:val="20"/>
          <w:szCs w:val="20"/>
          <w:lang w:val="en-US" w:eastAsia="zh-CN" w:bidi="ar-SA"/>
        </w:rPr>
        <w:t>3</w:t>
      </w:r>
      <w:r>
        <w:rPr>
          <w:rFonts w:hint="eastAsia" w:ascii="宋体" w:hAnsi="宋体" w:eastAsia="宋体" w:cs="宋体"/>
          <w:kern w:val="2"/>
          <w:sz w:val="20"/>
          <w:szCs w:val="20"/>
          <w:lang w:val="en" w:eastAsia="zh-CN" w:bidi="ar-SA"/>
        </w:rPr>
        <w:t>.</w:t>
      </w:r>
      <w:r>
        <w:rPr>
          <w:rFonts w:hint="eastAsia" w:ascii="宋体" w:hAnsi="宋体" w:eastAsia="宋体" w:cs="宋体"/>
          <w:kern w:val="2"/>
          <w:sz w:val="20"/>
          <w:szCs w:val="20"/>
          <w:lang w:val="en-US" w:eastAsia="zh-CN" w:bidi="ar-SA"/>
        </w:rPr>
        <w:t>招标人、招标代理机构将按有关规定公开《中小企业声明函》</w:t>
      </w:r>
      <w:r>
        <w:rPr>
          <w:rFonts w:hint="eastAsia" w:ascii="宋体" w:hAnsi="宋体" w:eastAsia="宋体" w:cs="宋体"/>
          <w:kern w:val="2"/>
          <w:sz w:val="22"/>
          <w:szCs w:val="22"/>
          <w:lang w:val="en-US" w:eastAsia="zh-CN" w:bidi="ar-SA"/>
        </w:rPr>
        <w:t>。</w:t>
      </w:r>
    </w:p>
    <w:p>
      <w:pPr>
        <w:pStyle w:val="155"/>
        <w:spacing w:line="360" w:lineRule="auto"/>
        <w:jc w:val="center"/>
        <w:outlineLvl w:val="3"/>
        <w:rPr>
          <w:rFonts w:hint="eastAsia" w:ascii="宋体" w:hAnsi="宋体" w:eastAsia="宋体" w:cs="宋体"/>
        </w:rPr>
      </w:pPr>
      <w:r>
        <w:rPr>
          <w:rFonts w:hint="eastAsia" w:ascii="宋体" w:hAnsi="宋体" w:eastAsia="宋体" w:cs="宋体"/>
          <w:b/>
          <w:sz w:val="24"/>
        </w:rPr>
        <w:t>监狱企业</w:t>
      </w:r>
    </w:p>
    <w:p>
      <w:pPr>
        <w:pStyle w:val="155"/>
        <w:spacing w:line="360" w:lineRule="auto"/>
        <w:ind w:firstLine="480"/>
        <w:rPr>
          <w:rFonts w:hint="eastAsia" w:ascii="宋体" w:hAnsi="宋体" w:eastAsia="宋体" w:cs="宋体"/>
        </w:rPr>
      </w:pPr>
      <w:r>
        <w:rPr>
          <w:rFonts w:hint="eastAsia" w:ascii="宋体" w:hAnsi="宋体" w:eastAsia="宋体" w:cs="宋体"/>
        </w:rPr>
        <w:t>提供由监狱管理局、戒毒管理局（含新疆生产建设兵团）出具的属于监狱企业的证明文件。</w:t>
      </w:r>
    </w:p>
    <w:p>
      <w:pPr>
        <w:pStyle w:val="155"/>
        <w:spacing w:line="360" w:lineRule="auto"/>
        <w:ind w:firstLine="480"/>
        <w:rPr>
          <w:rFonts w:hint="eastAsia" w:ascii="宋体" w:hAnsi="宋体" w:eastAsia="宋体" w:cs="宋体"/>
        </w:rPr>
      </w:pPr>
      <w:r>
        <w:rPr>
          <w:rFonts w:hint="eastAsia" w:ascii="宋体" w:hAnsi="宋体" w:eastAsia="宋体" w:cs="宋体"/>
        </w:rPr>
        <w:t xml:space="preserve">  </w:t>
      </w:r>
    </w:p>
    <w:p>
      <w:pPr>
        <w:pStyle w:val="155"/>
        <w:spacing w:line="360" w:lineRule="auto"/>
        <w:ind w:firstLine="480"/>
        <w:rPr>
          <w:rFonts w:hint="eastAsia" w:ascii="宋体" w:hAnsi="宋体" w:eastAsia="宋体" w:cs="宋体"/>
        </w:rPr>
      </w:pPr>
      <w:r>
        <w:rPr>
          <w:rFonts w:hint="eastAsia" w:ascii="宋体" w:hAnsi="宋体" w:eastAsia="宋体" w:cs="宋体"/>
        </w:rPr>
        <w:t>（以下格式文件由</w:t>
      </w:r>
      <w:r>
        <w:rPr>
          <w:rFonts w:hint="eastAsia" w:ascii="宋体" w:hAnsi="宋体" w:cs="宋体"/>
          <w:lang w:val="en-US" w:eastAsia="zh-CN"/>
        </w:rPr>
        <w:t>投标人</w:t>
      </w:r>
      <w:r>
        <w:rPr>
          <w:rFonts w:hint="eastAsia" w:ascii="宋体" w:hAnsi="宋体" w:eastAsia="宋体" w:cs="宋体"/>
        </w:rPr>
        <w:t>根据需要选用）</w:t>
      </w:r>
    </w:p>
    <w:p>
      <w:pPr>
        <w:pStyle w:val="155"/>
        <w:spacing w:line="360" w:lineRule="auto"/>
        <w:jc w:val="center"/>
        <w:outlineLvl w:val="3"/>
        <w:rPr>
          <w:rFonts w:hint="eastAsia" w:ascii="宋体" w:hAnsi="宋体" w:eastAsia="宋体" w:cs="宋体"/>
        </w:rPr>
      </w:pPr>
      <w:r>
        <w:rPr>
          <w:rFonts w:hint="eastAsia" w:ascii="宋体" w:hAnsi="宋体" w:eastAsia="宋体" w:cs="宋体"/>
          <w:b/>
          <w:sz w:val="24"/>
        </w:rPr>
        <w:t>残疾人福利性单位声明函</w:t>
      </w:r>
    </w:p>
    <w:p>
      <w:pPr>
        <w:pStyle w:val="155"/>
        <w:spacing w:line="360" w:lineRule="auto"/>
        <w:ind w:firstLine="480"/>
        <w:rPr>
          <w:rFonts w:hint="eastAsia" w:ascii="宋体" w:hAnsi="宋体" w:eastAsia="宋体" w:cs="宋体"/>
        </w:rPr>
      </w:pPr>
      <w:r>
        <w:rPr>
          <w:rFonts w:hint="eastAsia" w:ascii="宋体" w:hAnsi="宋体" w:eastAsia="宋体" w:cs="宋体"/>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155"/>
        <w:spacing w:line="360" w:lineRule="auto"/>
        <w:ind w:firstLine="480"/>
        <w:rPr>
          <w:rFonts w:hint="eastAsia" w:ascii="宋体" w:hAnsi="宋体" w:eastAsia="宋体" w:cs="宋体"/>
        </w:rPr>
      </w:pPr>
      <w:r>
        <w:rPr>
          <w:rFonts w:hint="eastAsia" w:ascii="宋体" w:hAnsi="宋体" w:eastAsia="宋体" w:cs="宋体"/>
        </w:rPr>
        <w:t>本单位对上述声明的真实性负责。如有虚假，将依法承担相应责任。</w:t>
      </w:r>
    </w:p>
    <w:p>
      <w:pPr>
        <w:pStyle w:val="155"/>
        <w:spacing w:line="360" w:lineRule="auto"/>
        <w:rPr>
          <w:rFonts w:hint="eastAsia" w:ascii="宋体" w:hAnsi="宋体" w:eastAsia="宋体" w:cs="宋体"/>
        </w:rPr>
      </w:pPr>
      <w:r>
        <w:rPr>
          <w:rFonts w:hint="eastAsia" w:ascii="宋体" w:hAnsi="宋体" w:eastAsia="宋体" w:cs="宋体"/>
        </w:rPr>
        <w:t xml:space="preserve"> 单位名称（盖章）：__________________</w:t>
      </w:r>
    </w:p>
    <w:p>
      <w:pPr>
        <w:pStyle w:val="155"/>
        <w:spacing w:line="360" w:lineRule="auto"/>
        <w:rPr>
          <w:rFonts w:hint="eastAsia" w:ascii="宋体" w:hAnsi="宋体" w:eastAsia="宋体" w:cs="宋体"/>
        </w:rPr>
      </w:pPr>
      <w:r>
        <w:rPr>
          <w:rFonts w:hint="eastAsia" w:ascii="宋体" w:hAnsi="宋体" w:eastAsia="宋体" w:cs="宋体"/>
        </w:rPr>
        <w:t xml:space="preserve"> 日期： 年 月 日</w:t>
      </w:r>
    </w:p>
    <w:p>
      <w:pPr>
        <w:pStyle w:val="8"/>
        <w:jc w:val="left"/>
        <w:rPr>
          <w:rFonts w:hint="default"/>
          <w:lang w:val="en-US" w:eastAsia="zh-CN"/>
        </w:rPr>
      </w:pPr>
      <w:r>
        <w:rPr>
          <w:rFonts w:hint="eastAsia" w:ascii="宋体" w:hAnsi="宋体" w:eastAsia="宋体" w:cs="宋体"/>
        </w:rPr>
        <w:t>注：本函未填写或未勾选视作未做声明。</w:t>
      </w:r>
    </w:p>
    <w:sectPr>
      <w:footerReference r:id="rId3" w:type="default"/>
      <w:endnotePr>
        <w:numFmt w:val="decimal"/>
      </w:endnotePr>
      <w:pgSz w:w="11906" w:h="16838"/>
      <w:pgMar w:top="1134" w:right="1418" w:bottom="1247" w:left="1418" w:header="851" w:footer="90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entury Schoolbook">
    <w:panose1 w:val="02040604050505020304"/>
    <w:charset w:val="00"/>
    <w:family w:val="roman"/>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PAGE   \* MERGEFORMAT</w:instrText>
    </w:r>
    <w:r>
      <w:fldChar w:fldCharType="separate"/>
    </w:r>
    <w:r>
      <w:rPr>
        <w:lang w:val="zh-CN"/>
      </w:rPr>
      <w:t>10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0OGI2ZDlkYmM3ZDk3NTg3NTcwNGI4Y2IwYjYwMzYifQ=="/>
  </w:docVars>
  <w:rsids>
    <w:rsidRoot w:val="00172A27"/>
    <w:rsid w:val="00001099"/>
    <w:rsid w:val="00001160"/>
    <w:rsid w:val="00001857"/>
    <w:rsid w:val="00002AE5"/>
    <w:rsid w:val="00003292"/>
    <w:rsid w:val="00003CD3"/>
    <w:rsid w:val="00003FD1"/>
    <w:rsid w:val="00007176"/>
    <w:rsid w:val="00010500"/>
    <w:rsid w:val="00012CFC"/>
    <w:rsid w:val="0001584C"/>
    <w:rsid w:val="00020379"/>
    <w:rsid w:val="0002094F"/>
    <w:rsid w:val="00023418"/>
    <w:rsid w:val="00023B71"/>
    <w:rsid w:val="00024252"/>
    <w:rsid w:val="00024611"/>
    <w:rsid w:val="000312A3"/>
    <w:rsid w:val="00034A38"/>
    <w:rsid w:val="00036AA0"/>
    <w:rsid w:val="0004575D"/>
    <w:rsid w:val="000505FB"/>
    <w:rsid w:val="000518E0"/>
    <w:rsid w:val="000537CA"/>
    <w:rsid w:val="0005388A"/>
    <w:rsid w:val="00055E02"/>
    <w:rsid w:val="00057ABF"/>
    <w:rsid w:val="00064046"/>
    <w:rsid w:val="00064DB7"/>
    <w:rsid w:val="00067D9E"/>
    <w:rsid w:val="00071568"/>
    <w:rsid w:val="00071EF2"/>
    <w:rsid w:val="000753E9"/>
    <w:rsid w:val="00077FBA"/>
    <w:rsid w:val="0008255B"/>
    <w:rsid w:val="00082AF7"/>
    <w:rsid w:val="00083359"/>
    <w:rsid w:val="000842BE"/>
    <w:rsid w:val="0008695A"/>
    <w:rsid w:val="00087894"/>
    <w:rsid w:val="0009021F"/>
    <w:rsid w:val="00090352"/>
    <w:rsid w:val="00090C96"/>
    <w:rsid w:val="00096797"/>
    <w:rsid w:val="00097379"/>
    <w:rsid w:val="000A1CE0"/>
    <w:rsid w:val="000A6BE6"/>
    <w:rsid w:val="000A6E99"/>
    <w:rsid w:val="000A7D19"/>
    <w:rsid w:val="000B3009"/>
    <w:rsid w:val="000B3086"/>
    <w:rsid w:val="000B3839"/>
    <w:rsid w:val="000B562A"/>
    <w:rsid w:val="000C0F32"/>
    <w:rsid w:val="000C176A"/>
    <w:rsid w:val="000C52B4"/>
    <w:rsid w:val="000C65E0"/>
    <w:rsid w:val="000C7844"/>
    <w:rsid w:val="000D28EE"/>
    <w:rsid w:val="000D5262"/>
    <w:rsid w:val="000D59C1"/>
    <w:rsid w:val="000D6702"/>
    <w:rsid w:val="000D7C13"/>
    <w:rsid w:val="000E1ADA"/>
    <w:rsid w:val="000E37BA"/>
    <w:rsid w:val="000F0409"/>
    <w:rsid w:val="000F2A9E"/>
    <w:rsid w:val="000F402D"/>
    <w:rsid w:val="000F43D7"/>
    <w:rsid w:val="000F4E38"/>
    <w:rsid w:val="00100D8B"/>
    <w:rsid w:val="00102B04"/>
    <w:rsid w:val="00103ADA"/>
    <w:rsid w:val="0010433F"/>
    <w:rsid w:val="001056AB"/>
    <w:rsid w:val="00106474"/>
    <w:rsid w:val="00106BBB"/>
    <w:rsid w:val="00110665"/>
    <w:rsid w:val="0011372A"/>
    <w:rsid w:val="0011616B"/>
    <w:rsid w:val="00116B0E"/>
    <w:rsid w:val="00122B81"/>
    <w:rsid w:val="00123D01"/>
    <w:rsid w:val="00123EBD"/>
    <w:rsid w:val="00125653"/>
    <w:rsid w:val="00126424"/>
    <w:rsid w:val="0012705E"/>
    <w:rsid w:val="0013002A"/>
    <w:rsid w:val="00133062"/>
    <w:rsid w:val="00135AF3"/>
    <w:rsid w:val="001361F3"/>
    <w:rsid w:val="001417EA"/>
    <w:rsid w:val="00142D89"/>
    <w:rsid w:val="00144015"/>
    <w:rsid w:val="00144DAF"/>
    <w:rsid w:val="00147B7D"/>
    <w:rsid w:val="00152AE9"/>
    <w:rsid w:val="0015477E"/>
    <w:rsid w:val="001652FC"/>
    <w:rsid w:val="0016530C"/>
    <w:rsid w:val="001655AA"/>
    <w:rsid w:val="001719EC"/>
    <w:rsid w:val="00175FE8"/>
    <w:rsid w:val="00176D25"/>
    <w:rsid w:val="00177C3B"/>
    <w:rsid w:val="00181128"/>
    <w:rsid w:val="0018141F"/>
    <w:rsid w:val="0018189D"/>
    <w:rsid w:val="0018525B"/>
    <w:rsid w:val="00185BC6"/>
    <w:rsid w:val="00186EB2"/>
    <w:rsid w:val="001904E0"/>
    <w:rsid w:val="00190624"/>
    <w:rsid w:val="00192BCC"/>
    <w:rsid w:val="00194983"/>
    <w:rsid w:val="00195FC6"/>
    <w:rsid w:val="00197240"/>
    <w:rsid w:val="001A0BB9"/>
    <w:rsid w:val="001A21EF"/>
    <w:rsid w:val="001A265A"/>
    <w:rsid w:val="001A5B9B"/>
    <w:rsid w:val="001A6DCC"/>
    <w:rsid w:val="001A7763"/>
    <w:rsid w:val="001B1FC2"/>
    <w:rsid w:val="001B2B2F"/>
    <w:rsid w:val="001B59E3"/>
    <w:rsid w:val="001B620E"/>
    <w:rsid w:val="001C1AF0"/>
    <w:rsid w:val="001C1BD1"/>
    <w:rsid w:val="001C217D"/>
    <w:rsid w:val="001C2F7E"/>
    <w:rsid w:val="001C3C68"/>
    <w:rsid w:val="001D0134"/>
    <w:rsid w:val="001D1482"/>
    <w:rsid w:val="001D40AA"/>
    <w:rsid w:val="001D56E0"/>
    <w:rsid w:val="001D6AF2"/>
    <w:rsid w:val="001D6C28"/>
    <w:rsid w:val="001E35BB"/>
    <w:rsid w:val="001E5774"/>
    <w:rsid w:val="001E584B"/>
    <w:rsid w:val="001E7507"/>
    <w:rsid w:val="001F1446"/>
    <w:rsid w:val="001F76A3"/>
    <w:rsid w:val="001F7AAD"/>
    <w:rsid w:val="0020037D"/>
    <w:rsid w:val="0020126F"/>
    <w:rsid w:val="002019EA"/>
    <w:rsid w:val="00201F31"/>
    <w:rsid w:val="002026BE"/>
    <w:rsid w:val="00204A21"/>
    <w:rsid w:val="00204FDB"/>
    <w:rsid w:val="00207992"/>
    <w:rsid w:val="00210465"/>
    <w:rsid w:val="00212546"/>
    <w:rsid w:val="0021614A"/>
    <w:rsid w:val="00220016"/>
    <w:rsid w:val="002202BF"/>
    <w:rsid w:val="00221361"/>
    <w:rsid w:val="0022284E"/>
    <w:rsid w:val="00222C2F"/>
    <w:rsid w:val="00222F34"/>
    <w:rsid w:val="0022468C"/>
    <w:rsid w:val="00224F8D"/>
    <w:rsid w:val="00227693"/>
    <w:rsid w:val="00234C75"/>
    <w:rsid w:val="00235108"/>
    <w:rsid w:val="0024476B"/>
    <w:rsid w:val="0024508B"/>
    <w:rsid w:val="002451C2"/>
    <w:rsid w:val="002510FD"/>
    <w:rsid w:val="00252C0A"/>
    <w:rsid w:val="00253253"/>
    <w:rsid w:val="00253C54"/>
    <w:rsid w:val="002555DE"/>
    <w:rsid w:val="00255CF9"/>
    <w:rsid w:val="0025797C"/>
    <w:rsid w:val="002611A0"/>
    <w:rsid w:val="00261658"/>
    <w:rsid w:val="00262571"/>
    <w:rsid w:val="002626F9"/>
    <w:rsid w:val="00264A08"/>
    <w:rsid w:val="0027129A"/>
    <w:rsid w:val="002723D5"/>
    <w:rsid w:val="00272609"/>
    <w:rsid w:val="00274B92"/>
    <w:rsid w:val="00274E78"/>
    <w:rsid w:val="00275959"/>
    <w:rsid w:val="002761F4"/>
    <w:rsid w:val="002767C0"/>
    <w:rsid w:val="00277BF9"/>
    <w:rsid w:val="00282CF4"/>
    <w:rsid w:val="00283A37"/>
    <w:rsid w:val="002860D3"/>
    <w:rsid w:val="002869BD"/>
    <w:rsid w:val="00290C3C"/>
    <w:rsid w:val="00292A01"/>
    <w:rsid w:val="00293E5F"/>
    <w:rsid w:val="002972F1"/>
    <w:rsid w:val="002A2EF6"/>
    <w:rsid w:val="002A5341"/>
    <w:rsid w:val="002A6446"/>
    <w:rsid w:val="002A77D1"/>
    <w:rsid w:val="002B0218"/>
    <w:rsid w:val="002B22DD"/>
    <w:rsid w:val="002B49F0"/>
    <w:rsid w:val="002B4AA2"/>
    <w:rsid w:val="002B4C36"/>
    <w:rsid w:val="002B617D"/>
    <w:rsid w:val="002B6A73"/>
    <w:rsid w:val="002C19CA"/>
    <w:rsid w:val="002C6232"/>
    <w:rsid w:val="002C6A47"/>
    <w:rsid w:val="002D11E7"/>
    <w:rsid w:val="002D42E3"/>
    <w:rsid w:val="002D46AA"/>
    <w:rsid w:val="002D54E9"/>
    <w:rsid w:val="002D73A4"/>
    <w:rsid w:val="002E03A2"/>
    <w:rsid w:val="002E1DCD"/>
    <w:rsid w:val="002E3C38"/>
    <w:rsid w:val="002E56FB"/>
    <w:rsid w:val="002E7164"/>
    <w:rsid w:val="002F20AF"/>
    <w:rsid w:val="002F2B63"/>
    <w:rsid w:val="002F3239"/>
    <w:rsid w:val="002F4E17"/>
    <w:rsid w:val="002F4F1B"/>
    <w:rsid w:val="002F6A2A"/>
    <w:rsid w:val="00300FA5"/>
    <w:rsid w:val="00301797"/>
    <w:rsid w:val="00301EC5"/>
    <w:rsid w:val="00305D0F"/>
    <w:rsid w:val="00306AD9"/>
    <w:rsid w:val="003140C9"/>
    <w:rsid w:val="0031759B"/>
    <w:rsid w:val="00321037"/>
    <w:rsid w:val="00322E6C"/>
    <w:rsid w:val="003240EA"/>
    <w:rsid w:val="003317A5"/>
    <w:rsid w:val="00331AAA"/>
    <w:rsid w:val="003326AB"/>
    <w:rsid w:val="00332E48"/>
    <w:rsid w:val="0033311E"/>
    <w:rsid w:val="00333478"/>
    <w:rsid w:val="00336CE3"/>
    <w:rsid w:val="00337214"/>
    <w:rsid w:val="00340C56"/>
    <w:rsid w:val="00340EDC"/>
    <w:rsid w:val="00341375"/>
    <w:rsid w:val="003418F5"/>
    <w:rsid w:val="00343224"/>
    <w:rsid w:val="00345AD3"/>
    <w:rsid w:val="0034607F"/>
    <w:rsid w:val="003472AB"/>
    <w:rsid w:val="00352310"/>
    <w:rsid w:val="0035313E"/>
    <w:rsid w:val="00353AC0"/>
    <w:rsid w:val="00353EC5"/>
    <w:rsid w:val="00355A0C"/>
    <w:rsid w:val="00356BF9"/>
    <w:rsid w:val="00357517"/>
    <w:rsid w:val="00360315"/>
    <w:rsid w:val="00361352"/>
    <w:rsid w:val="00362D12"/>
    <w:rsid w:val="0036617B"/>
    <w:rsid w:val="0036793C"/>
    <w:rsid w:val="00367A21"/>
    <w:rsid w:val="00372BD3"/>
    <w:rsid w:val="00375379"/>
    <w:rsid w:val="0037613E"/>
    <w:rsid w:val="0038229C"/>
    <w:rsid w:val="00383ADA"/>
    <w:rsid w:val="00383FCB"/>
    <w:rsid w:val="00385580"/>
    <w:rsid w:val="003864D2"/>
    <w:rsid w:val="00386DF7"/>
    <w:rsid w:val="00387BB4"/>
    <w:rsid w:val="00394249"/>
    <w:rsid w:val="00394DA4"/>
    <w:rsid w:val="00395D3B"/>
    <w:rsid w:val="0039758A"/>
    <w:rsid w:val="003A4972"/>
    <w:rsid w:val="003A6C38"/>
    <w:rsid w:val="003A7B59"/>
    <w:rsid w:val="003B1478"/>
    <w:rsid w:val="003B45FA"/>
    <w:rsid w:val="003B5172"/>
    <w:rsid w:val="003B65BB"/>
    <w:rsid w:val="003B77B2"/>
    <w:rsid w:val="003C0A7C"/>
    <w:rsid w:val="003C1568"/>
    <w:rsid w:val="003C3A50"/>
    <w:rsid w:val="003C3CD1"/>
    <w:rsid w:val="003C4631"/>
    <w:rsid w:val="003C5C60"/>
    <w:rsid w:val="003C6493"/>
    <w:rsid w:val="003C771C"/>
    <w:rsid w:val="003D0EB9"/>
    <w:rsid w:val="003D1E4C"/>
    <w:rsid w:val="003D2148"/>
    <w:rsid w:val="003D2B45"/>
    <w:rsid w:val="003D3E35"/>
    <w:rsid w:val="003D5C8F"/>
    <w:rsid w:val="003E496E"/>
    <w:rsid w:val="003E6B9F"/>
    <w:rsid w:val="003E6CC5"/>
    <w:rsid w:val="003F25CE"/>
    <w:rsid w:val="003F299D"/>
    <w:rsid w:val="003F3EDC"/>
    <w:rsid w:val="003F41D8"/>
    <w:rsid w:val="003F4DAB"/>
    <w:rsid w:val="003F516B"/>
    <w:rsid w:val="003F6CB1"/>
    <w:rsid w:val="003F748B"/>
    <w:rsid w:val="003F7DDD"/>
    <w:rsid w:val="00401D9F"/>
    <w:rsid w:val="004037E6"/>
    <w:rsid w:val="004041E3"/>
    <w:rsid w:val="00404893"/>
    <w:rsid w:val="00404F15"/>
    <w:rsid w:val="00405634"/>
    <w:rsid w:val="004076DA"/>
    <w:rsid w:val="00412D62"/>
    <w:rsid w:val="00413EE4"/>
    <w:rsid w:val="00417A11"/>
    <w:rsid w:val="00417C08"/>
    <w:rsid w:val="0042119A"/>
    <w:rsid w:val="00421908"/>
    <w:rsid w:val="004228D8"/>
    <w:rsid w:val="00424251"/>
    <w:rsid w:val="0042434E"/>
    <w:rsid w:val="004263EF"/>
    <w:rsid w:val="00426C50"/>
    <w:rsid w:val="00426F96"/>
    <w:rsid w:val="004305AC"/>
    <w:rsid w:val="00433F0D"/>
    <w:rsid w:val="0043777D"/>
    <w:rsid w:val="00437BF2"/>
    <w:rsid w:val="004402A7"/>
    <w:rsid w:val="00441D05"/>
    <w:rsid w:val="00441EA7"/>
    <w:rsid w:val="00443A1A"/>
    <w:rsid w:val="00443D37"/>
    <w:rsid w:val="00444E91"/>
    <w:rsid w:val="00446B14"/>
    <w:rsid w:val="00447951"/>
    <w:rsid w:val="004519B2"/>
    <w:rsid w:val="00455C6F"/>
    <w:rsid w:val="004560F9"/>
    <w:rsid w:val="0045733A"/>
    <w:rsid w:val="00461A94"/>
    <w:rsid w:val="00463079"/>
    <w:rsid w:val="004636B2"/>
    <w:rsid w:val="0046486F"/>
    <w:rsid w:val="004725E4"/>
    <w:rsid w:val="004729BF"/>
    <w:rsid w:val="00474482"/>
    <w:rsid w:val="00476302"/>
    <w:rsid w:val="004777FD"/>
    <w:rsid w:val="00480A75"/>
    <w:rsid w:val="004819E1"/>
    <w:rsid w:val="00483E42"/>
    <w:rsid w:val="00491502"/>
    <w:rsid w:val="00491820"/>
    <w:rsid w:val="0049226C"/>
    <w:rsid w:val="00493A86"/>
    <w:rsid w:val="00494465"/>
    <w:rsid w:val="004A08AC"/>
    <w:rsid w:val="004A0D60"/>
    <w:rsid w:val="004A2AC6"/>
    <w:rsid w:val="004A6A63"/>
    <w:rsid w:val="004B1EA0"/>
    <w:rsid w:val="004B3144"/>
    <w:rsid w:val="004B6424"/>
    <w:rsid w:val="004B7CB7"/>
    <w:rsid w:val="004C044F"/>
    <w:rsid w:val="004C0718"/>
    <w:rsid w:val="004C3E7D"/>
    <w:rsid w:val="004C452C"/>
    <w:rsid w:val="004C49CA"/>
    <w:rsid w:val="004C5A44"/>
    <w:rsid w:val="004C6473"/>
    <w:rsid w:val="004C7D81"/>
    <w:rsid w:val="004C7D8C"/>
    <w:rsid w:val="004D03BF"/>
    <w:rsid w:val="004D1491"/>
    <w:rsid w:val="004D168A"/>
    <w:rsid w:val="004D2064"/>
    <w:rsid w:val="004D5E8D"/>
    <w:rsid w:val="004D6622"/>
    <w:rsid w:val="004E2A9B"/>
    <w:rsid w:val="004E3967"/>
    <w:rsid w:val="004E4DAE"/>
    <w:rsid w:val="004E6779"/>
    <w:rsid w:val="004E7ECF"/>
    <w:rsid w:val="004F0774"/>
    <w:rsid w:val="004F1269"/>
    <w:rsid w:val="004F24E6"/>
    <w:rsid w:val="004F25C6"/>
    <w:rsid w:val="004F2EE4"/>
    <w:rsid w:val="004F46F8"/>
    <w:rsid w:val="00501AE6"/>
    <w:rsid w:val="0050220A"/>
    <w:rsid w:val="00511552"/>
    <w:rsid w:val="00512EEE"/>
    <w:rsid w:val="00514C18"/>
    <w:rsid w:val="00515690"/>
    <w:rsid w:val="00527BA9"/>
    <w:rsid w:val="0053151E"/>
    <w:rsid w:val="005344E3"/>
    <w:rsid w:val="00537CDB"/>
    <w:rsid w:val="0054198D"/>
    <w:rsid w:val="005502D7"/>
    <w:rsid w:val="0055032E"/>
    <w:rsid w:val="00553BAE"/>
    <w:rsid w:val="00561FF6"/>
    <w:rsid w:val="0056302D"/>
    <w:rsid w:val="0056487C"/>
    <w:rsid w:val="005654F3"/>
    <w:rsid w:val="00567C46"/>
    <w:rsid w:val="00574036"/>
    <w:rsid w:val="00574BFD"/>
    <w:rsid w:val="00581E44"/>
    <w:rsid w:val="00582708"/>
    <w:rsid w:val="00587081"/>
    <w:rsid w:val="00587CCB"/>
    <w:rsid w:val="0059059E"/>
    <w:rsid w:val="00591378"/>
    <w:rsid w:val="005936C8"/>
    <w:rsid w:val="005975D5"/>
    <w:rsid w:val="00597D6B"/>
    <w:rsid w:val="005A1EC3"/>
    <w:rsid w:val="005A268D"/>
    <w:rsid w:val="005A2D54"/>
    <w:rsid w:val="005B02E5"/>
    <w:rsid w:val="005B0A0E"/>
    <w:rsid w:val="005B1A7B"/>
    <w:rsid w:val="005B4BDF"/>
    <w:rsid w:val="005B5883"/>
    <w:rsid w:val="005B6850"/>
    <w:rsid w:val="005B7136"/>
    <w:rsid w:val="005C323D"/>
    <w:rsid w:val="005C56F3"/>
    <w:rsid w:val="005C6462"/>
    <w:rsid w:val="005D3F93"/>
    <w:rsid w:val="005D4300"/>
    <w:rsid w:val="005D4775"/>
    <w:rsid w:val="005D7F18"/>
    <w:rsid w:val="005F0EA1"/>
    <w:rsid w:val="005F2FC4"/>
    <w:rsid w:val="005F5670"/>
    <w:rsid w:val="005F692E"/>
    <w:rsid w:val="005F7153"/>
    <w:rsid w:val="005F723A"/>
    <w:rsid w:val="00601E19"/>
    <w:rsid w:val="00602308"/>
    <w:rsid w:val="00603D22"/>
    <w:rsid w:val="00604B1E"/>
    <w:rsid w:val="00613370"/>
    <w:rsid w:val="0061454F"/>
    <w:rsid w:val="00615BAF"/>
    <w:rsid w:val="00621855"/>
    <w:rsid w:val="006264B0"/>
    <w:rsid w:val="00627800"/>
    <w:rsid w:val="00627EDE"/>
    <w:rsid w:val="00630620"/>
    <w:rsid w:val="00630A9D"/>
    <w:rsid w:val="00632DF8"/>
    <w:rsid w:val="00635375"/>
    <w:rsid w:val="0063706F"/>
    <w:rsid w:val="00637B40"/>
    <w:rsid w:val="006415A5"/>
    <w:rsid w:val="00642DB1"/>
    <w:rsid w:val="00644178"/>
    <w:rsid w:val="00647701"/>
    <w:rsid w:val="00650638"/>
    <w:rsid w:val="00650998"/>
    <w:rsid w:val="0065144B"/>
    <w:rsid w:val="0065150E"/>
    <w:rsid w:val="00655026"/>
    <w:rsid w:val="006550C6"/>
    <w:rsid w:val="00664A38"/>
    <w:rsid w:val="00666E5D"/>
    <w:rsid w:val="00667407"/>
    <w:rsid w:val="006679E4"/>
    <w:rsid w:val="006729F6"/>
    <w:rsid w:val="00672A87"/>
    <w:rsid w:val="00674060"/>
    <w:rsid w:val="006740E8"/>
    <w:rsid w:val="00677B07"/>
    <w:rsid w:val="00680BB3"/>
    <w:rsid w:val="00682E2B"/>
    <w:rsid w:val="00683223"/>
    <w:rsid w:val="006874AA"/>
    <w:rsid w:val="00691C3B"/>
    <w:rsid w:val="00692181"/>
    <w:rsid w:val="00692300"/>
    <w:rsid w:val="00693458"/>
    <w:rsid w:val="00693E8B"/>
    <w:rsid w:val="00693F05"/>
    <w:rsid w:val="006948AF"/>
    <w:rsid w:val="006958E1"/>
    <w:rsid w:val="00696256"/>
    <w:rsid w:val="00696CB9"/>
    <w:rsid w:val="00697470"/>
    <w:rsid w:val="006A2019"/>
    <w:rsid w:val="006A2B14"/>
    <w:rsid w:val="006B007A"/>
    <w:rsid w:val="006B0375"/>
    <w:rsid w:val="006B0C4F"/>
    <w:rsid w:val="006B10CF"/>
    <w:rsid w:val="006B170E"/>
    <w:rsid w:val="006B2385"/>
    <w:rsid w:val="006B2934"/>
    <w:rsid w:val="006B2AFC"/>
    <w:rsid w:val="006B321B"/>
    <w:rsid w:val="006B4152"/>
    <w:rsid w:val="006B535B"/>
    <w:rsid w:val="006B5EA5"/>
    <w:rsid w:val="006B6416"/>
    <w:rsid w:val="006B7405"/>
    <w:rsid w:val="006B74A8"/>
    <w:rsid w:val="006B7E10"/>
    <w:rsid w:val="006C02B8"/>
    <w:rsid w:val="006C4462"/>
    <w:rsid w:val="006C5162"/>
    <w:rsid w:val="006C67DE"/>
    <w:rsid w:val="006D4374"/>
    <w:rsid w:val="006D469D"/>
    <w:rsid w:val="006D48F1"/>
    <w:rsid w:val="006D6CAD"/>
    <w:rsid w:val="006D73B8"/>
    <w:rsid w:val="006E387F"/>
    <w:rsid w:val="006E526D"/>
    <w:rsid w:val="006E5593"/>
    <w:rsid w:val="006E55BD"/>
    <w:rsid w:val="006F24AB"/>
    <w:rsid w:val="006F2CDD"/>
    <w:rsid w:val="006F30BF"/>
    <w:rsid w:val="006F3852"/>
    <w:rsid w:val="006F4247"/>
    <w:rsid w:val="00700016"/>
    <w:rsid w:val="00700600"/>
    <w:rsid w:val="00702B57"/>
    <w:rsid w:val="00703DC1"/>
    <w:rsid w:val="007046C3"/>
    <w:rsid w:val="007053E0"/>
    <w:rsid w:val="00705AB2"/>
    <w:rsid w:val="00707BBB"/>
    <w:rsid w:val="007121E7"/>
    <w:rsid w:val="00712623"/>
    <w:rsid w:val="00712D2A"/>
    <w:rsid w:val="007137E9"/>
    <w:rsid w:val="0071427B"/>
    <w:rsid w:val="00717F42"/>
    <w:rsid w:val="00717F57"/>
    <w:rsid w:val="00722FB5"/>
    <w:rsid w:val="0072444A"/>
    <w:rsid w:val="007244F4"/>
    <w:rsid w:val="0072509B"/>
    <w:rsid w:val="00725913"/>
    <w:rsid w:val="007320A8"/>
    <w:rsid w:val="007333B9"/>
    <w:rsid w:val="007350C2"/>
    <w:rsid w:val="00736F83"/>
    <w:rsid w:val="00741833"/>
    <w:rsid w:val="00745909"/>
    <w:rsid w:val="0074755A"/>
    <w:rsid w:val="00747C9F"/>
    <w:rsid w:val="0075190A"/>
    <w:rsid w:val="0075321A"/>
    <w:rsid w:val="00755507"/>
    <w:rsid w:val="007608FA"/>
    <w:rsid w:val="00761779"/>
    <w:rsid w:val="0076266F"/>
    <w:rsid w:val="00762B39"/>
    <w:rsid w:val="00765AA9"/>
    <w:rsid w:val="00766986"/>
    <w:rsid w:val="00767EDE"/>
    <w:rsid w:val="0077047F"/>
    <w:rsid w:val="00770C08"/>
    <w:rsid w:val="00770E64"/>
    <w:rsid w:val="00773008"/>
    <w:rsid w:val="0077331A"/>
    <w:rsid w:val="00773500"/>
    <w:rsid w:val="007773E8"/>
    <w:rsid w:val="0077766E"/>
    <w:rsid w:val="00777B6C"/>
    <w:rsid w:val="00781266"/>
    <w:rsid w:val="00783205"/>
    <w:rsid w:val="00784BCD"/>
    <w:rsid w:val="00784FB5"/>
    <w:rsid w:val="007918B0"/>
    <w:rsid w:val="00791C79"/>
    <w:rsid w:val="00792427"/>
    <w:rsid w:val="007939FD"/>
    <w:rsid w:val="00794017"/>
    <w:rsid w:val="00794436"/>
    <w:rsid w:val="007960A0"/>
    <w:rsid w:val="007964EB"/>
    <w:rsid w:val="00796F14"/>
    <w:rsid w:val="007A288D"/>
    <w:rsid w:val="007A4224"/>
    <w:rsid w:val="007A5310"/>
    <w:rsid w:val="007A6435"/>
    <w:rsid w:val="007A6668"/>
    <w:rsid w:val="007A7693"/>
    <w:rsid w:val="007B02F6"/>
    <w:rsid w:val="007B0BE3"/>
    <w:rsid w:val="007B1D44"/>
    <w:rsid w:val="007B28F8"/>
    <w:rsid w:val="007B353A"/>
    <w:rsid w:val="007B51FF"/>
    <w:rsid w:val="007B52A8"/>
    <w:rsid w:val="007B6A3D"/>
    <w:rsid w:val="007B6D53"/>
    <w:rsid w:val="007B7EA6"/>
    <w:rsid w:val="007C1F2B"/>
    <w:rsid w:val="007C31B7"/>
    <w:rsid w:val="007C3973"/>
    <w:rsid w:val="007C4A3E"/>
    <w:rsid w:val="007C7768"/>
    <w:rsid w:val="007D08F3"/>
    <w:rsid w:val="007D0FDD"/>
    <w:rsid w:val="007D30D9"/>
    <w:rsid w:val="007D3737"/>
    <w:rsid w:val="007D3BC9"/>
    <w:rsid w:val="007D5EBA"/>
    <w:rsid w:val="007D7C0C"/>
    <w:rsid w:val="007E2080"/>
    <w:rsid w:val="007E28B0"/>
    <w:rsid w:val="007E50AC"/>
    <w:rsid w:val="007E5336"/>
    <w:rsid w:val="007E5E89"/>
    <w:rsid w:val="007E7DA3"/>
    <w:rsid w:val="007F07F3"/>
    <w:rsid w:val="007F22F5"/>
    <w:rsid w:val="007F2A20"/>
    <w:rsid w:val="007F392B"/>
    <w:rsid w:val="007F46F5"/>
    <w:rsid w:val="007F604F"/>
    <w:rsid w:val="007F7953"/>
    <w:rsid w:val="0080113C"/>
    <w:rsid w:val="00802C93"/>
    <w:rsid w:val="00803037"/>
    <w:rsid w:val="00803DAA"/>
    <w:rsid w:val="00806F31"/>
    <w:rsid w:val="0080785C"/>
    <w:rsid w:val="00807CD1"/>
    <w:rsid w:val="00810577"/>
    <w:rsid w:val="00810AB2"/>
    <w:rsid w:val="0081178E"/>
    <w:rsid w:val="00811CC6"/>
    <w:rsid w:val="008145AD"/>
    <w:rsid w:val="008212A2"/>
    <w:rsid w:val="00821677"/>
    <w:rsid w:val="00821EE3"/>
    <w:rsid w:val="00825073"/>
    <w:rsid w:val="008261C2"/>
    <w:rsid w:val="00827E1F"/>
    <w:rsid w:val="0083480C"/>
    <w:rsid w:val="00834D23"/>
    <w:rsid w:val="0083626F"/>
    <w:rsid w:val="00837103"/>
    <w:rsid w:val="0084048E"/>
    <w:rsid w:val="00840FBE"/>
    <w:rsid w:val="00843332"/>
    <w:rsid w:val="008501E0"/>
    <w:rsid w:val="0085095E"/>
    <w:rsid w:val="0085270F"/>
    <w:rsid w:val="00852C2B"/>
    <w:rsid w:val="00852DBB"/>
    <w:rsid w:val="00853F0A"/>
    <w:rsid w:val="00860FA3"/>
    <w:rsid w:val="00863C27"/>
    <w:rsid w:val="00864A60"/>
    <w:rsid w:val="008656B9"/>
    <w:rsid w:val="008735A6"/>
    <w:rsid w:val="008825D3"/>
    <w:rsid w:val="008834AB"/>
    <w:rsid w:val="00883DB3"/>
    <w:rsid w:val="008867DD"/>
    <w:rsid w:val="00893986"/>
    <w:rsid w:val="008942DA"/>
    <w:rsid w:val="008A0D20"/>
    <w:rsid w:val="008A1195"/>
    <w:rsid w:val="008A1239"/>
    <w:rsid w:val="008A138F"/>
    <w:rsid w:val="008A55DC"/>
    <w:rsid w:val="008A651F"/>
    <w:rsid w:val="008B1499"/>
    <w:rsid w:val="008B17BD"/>
    <w:rsid w:val="008B3931"/>
    <w:rsid w:val="008C20F2"/>
    <w:rsid w:val="008C2859"/>
    <w:rsid w:val="008C3EB9"/>
    <w:rsid w:val="008C42E4"/>
    <w:rsid w:val="008C704C"/>
    <w:rsid w:val="008D03C1"/>
    <w:rsid w:val="008D0BB4"/>
    <w:rsid w:val="008D27B9"/>
    <w:rsid w:val="008D3D8F"/>
    <w:rsid w:val="008D413C"/>
    <w:rsid w:val="008D772C"/>
    <w:rsid w:val="008E000D"/>
    <w:rsid w:val="008E1AB3"/>
    <w:rsid w:val="008E251A"/>
    <w:rsid w:val="008E2D95"/>
    <w:rsid w:val="008E2EA5"/>
    <w:rsid w:val="008E3F91"/>
    <w:rsid w:val="008E4751"/>
    <w:rsid w:val="008E50F1"/>
    <w:rsid w:val="008E76DB"/>
    <w:rsid w:val="008F0104"/>
    <w:rsid w:val="008F078C"/>
    <w:rsid w:val="008F1CB6"/>
    <w:rsid w:val="008F21BD"/>
    <w:rsid w:val="008F2E1D"/>
    <w:rsid w:val="008F5B50"/>
    <w:rsid w:val="00905526"/>
    <w:rsid w:val="0090577F"/>
    <w:rsid w:val="00907A58"/>
    <w:rsid w:val="00911361"/>
    <w:rsid w:val="00912946"/>
    <w:rsid w:val="009130D2"/>
    <w:rsid w:val="009136B7"/>
    <w:rsid w:val="009137E7"/>
    <w:rsid w:val="00914E91"/>
    <w:rsid w:val="0091531D"/>
    <w:rsid w:val="009157E6"/>
    <w:rsid w:val="009158AC"/>
    <w:rsid w:val="00916CC2"/>
    <w:rsid w:val="00916D92"/>
    <w:rsid w:val="00920DFA"/>
    <w:rsid w:val="0092224F"/>
    <w:rsid w:val="00923D69"/>
    <w:rsid w:val="009241AF"/>
    <w:rsid w:val="00925CE3"/>
    <w:rsid w:val="0092771E"/>
    <w:rsid w:val="00930CF9"/>
    <w:rsid w:val="00932CE1"/>
    <w:rsid w:val="00934C0E"/>
    <w:rsid w:val="00935194"/>
    <w:rsid w:val="00937F94"/>
    <w:rsid w:val="009400F3"/>
    <w:rsid w:val="00942546"/>
    <w:rsid w:val="00943C1C"/>
    <w:rsid w:val="00946517"/>
    <w:rsid w:val="00947531"/>
    <w:rsid w:val="00947640"/>
    <w:rsid w:val="00951A41"/>
    <w:rsid w:val="00952EB1"/>
    <w:rsid w:val="00953761"/>
    <w:rsid w:val="00955D75"/>
    <w:rsid w:val="009562D0"/>
    <w:rsid w:val="009572E3"/>
    <w:rsid w:val="00957C8A"/>
    <w:rsid w:val="00957EE8"/>
    <w:rsid w:val="009612D5"/>
    <w:rsid w:val="00961D12"/>
    <w:rsid w:val="0096226A"/>
    <w:rsid w:val="00967B75"/>
    <w:rsid w:val="00970635"/>
    <w:rsid w:val="009718A5"/>
    <w:rsid w:val="00971A26"/>
    <w:rsid w:val="00975B74"/>
    <w:rsid w:val="00976683"/>
    <w:rsid w:val="00976B20"/>
    <w:rsid w:val="00977723"/>
    <w:rsid w:val="00982117"/>
    <w:rsid w:val="0098340F"/>
    <w:rsid w:val="009838D7"/>
    <w:rsid w:val="00985BD9"/>
    <w:rsid w:val="00990071"/>
    <w:rsid w:val="0099080F"/>
    <w:rsid w:val="00992D1A"/>
    <w:rsid w:val="00995253"/>
    <w:rsid w:val="0099534E"/>
    <w:rsid w:val="00996078"/>
    <w:rsid w:val="00996C63"/>
    <w:rsid w:val="009971BF"/>
    <w:rsid w:val="009A238C"/>
    <w:rsid w:val="009B141A"/>
    <w:rsid w:val="009B1439"/>
    <w:rsid w:val="009B15F0"/>
    <w:rsid w:val="009B2C43"/>
    <w:rsid w:val="009B57CB"/>
    <w:rsid w:val="009C2E29"/>
    <w:rsid w:val="009C5768"/>
    <w:rsid w:val="009C766C"/>
    <w:rsid w:val="009D1952"/>
    <w:rsid w:val="009D49A5"/>
    <w:rsid w:val="009D565B"/>
    <w:rsid w:val="009D7BF9"/>
    <w:rsid w:val="009E1006"/>
    <w:rsid w:val="009E4C74"/>
    <w:rsid w:val="009E4F71"/>
    <w:rsid w:val="009E58D8"/>
    <w:rsid w:val="009E5D22"/>
    <w:rsid w:val="009E79E7"/>
    <w:rsid w:val="009F06E8"/>
    <w:rsid w:val="009F21FB"/>
    <w:rsid w:val="009F3A27"/>
    <w:rsid w:val="009F615C"/>
    <w:rsid w:val="00A0057F"/>
    <w:rsid w:val="00A055A7"/>
    <w:rsid w:val="00A05766"/>
    <w:rsid w:val="00A10DE5"/>
    <w:rsid w:val="00A138C1"/>
    <w:rsid w:val="00A14594"/>
    <w:rsid w:val="00A153E3"/>
    <w:rsid w:val="00A16122"/>
    <w:rsid w:val="00A20963"/>
    <w:rsid w:val="00A23CCF"/>
    <w:rsid w:val="00A23D57"/>
    <w:rsid w:val="00A24CC7"/>
    <w:rsid w:val="00A32ADD"/>
    <w:rsid w:val="00A33EB6"/>
    <w:rsid w:val="00A34BEE"/>
    <w:rsid w:val="00A3737E"/>
    <w:rsid w:val="00A41536"/>
    <w:rsid w:val="00A4421E"/>
    <w:rsid w:val="00A4488D"/>
    <w:rsid w:val="00A54355"/>
    <w:rsid w:val="00A558E1"/>
    <w:rsid w:val="00A577DE"/>
    <w:rsid w:val="00A66404"/>
    <w:rsid w:val="00A66A8D"/>
    <w:rsid w:val="00A7667A"/>
    <w:rsid w:val="00A77E84"/>
    <w:rsid w:val="00A83B57"/>
    <w:rsid w:val="00A83CB5"/>
    <w:rsid w:val="00A858E8"/>
    <w:rsid w:val="00A8606F"/>
    <w:rsid w:val="00A910B2"/>
    <w:rsid w:val="00A925A2"/>
    <w:rsid w:val="00A97F08"/>
    <w:rsid w:val="00AA28DC"/>
    <w:rsid w:val="00AA2AFB"/>
    <w:rsid w:val="00AA33E7"/>
    <w:rsid w:val="00AA3D37"/>
    <w:rsid w:val="00AA4388"/>
    <w:rsid w:val="00AB1D98"/>
    <w:rsid w:val="00AB289B"/>
    <w:rsid w:val="00AB3953"/>
    <w:rsid w:val="00AB3B72"/>
    <w:rsid w:val="00AB4874"/>
    <w:rsid w:val="00AC00E9"/>
    <w:rsid w:val="00AC016F"/>
    <w:rsid w:val="00AC0E57"/>
    <w:rsid w:val="00AC3520"/>
    <w:rsid w:val="00AC6405"/>
    <w:rsid w:val="00AC6B73"/>
    <w:rsid w:val="00AD7DB2"/>
    <w:rsid w:val="00AD7F9F"/>
    <w:rsid w:val="00AE09E9"/>
    <w:rsid w:val="00AE1DBE"/>
    <w:rsid w:val="00AE2521"/>
    <w:rsid w:val="00AE2794"/>
    <w:rsid w:val="00AE6512"/>
    <w:rsid w:val="00AE7137"/>
    <w:rsid w:val="00AF1657"/>
    <w:rsid w:val="00AF39AB"/>
    <w:rsid w:val="00AF3C96"/>
    <w:rsid w:val="00AF4ED7"/>
    <w:rsid w:val="00AF6DF1"/>
    <w:rsid w:val="00AF72AC"/>
    <w:rsid w:val="00AF7D4B"/>
    <w:rsid w:val="00B0019B"/>
    <w:rsid w:val="00B058C3"/>
    <w:rsid w:val="00B07745"/>
    <w:rsid w:val="00B15373"/>
    <w:rsid w:val="00B165C0"/>
    <w:rsid w:val="00B178BC"/>
    <w:rsid w:val="00B20F85"/>
    <w:rsid w:val="00B21F61"/>
    <w:rsid w:val="00B2444D"/>
    <w:rsid w:val="00B256A9"/>
    <w:rsid w:val="00B25EF3"/>
    <w:rsid w:val="00B26C19"/>
    <w:rsid w:val="00B32565"/>
    <w:rsid w:val="00B331E1"/>
    <w:rsid w:val="00B33269"/>
    <w:rsid w:val="00B3352C"/>
    <w:rsid w:val="00B345A4"/>
    <w:rsid w:val="00B3534E"/>
    <w:rsid w:val="00B36033"/>
    <w:rsid w:val="00B37C07"/>
    <w:rsid w:val="00B416CF"/>
    <w:rsid w:val="00B41DC6"/>
    <w:rsid w:val="00B42628"/>
    <w:rsid w:val="00B43B69"/>
    <w:rsid w:val="00B45569"/>
    <w:rsid w:val="00B45C52"/>
    <w:rsid w:val="00B52A51"/>
    <w:rsid w:val="00B54443"/>
    <w:rsid w:val="00B6133C"/>
    <w:rsid w:val="00B645D3"/>
    <w:rsid w:val="00B70AA2"/>
    <w:rsid w:val="00B71DBB"/>
    <w:rsid w:val="00B72A86"/>
    <w:rsid w:val="00B72BE5"/>
    <w:rsid w:val="00B755DA"/>
    <w:rsid w:val="00B81973"/>
    <w:rsid w:val="00B85E67"/>
    <w:rsid w:val="00B870DC"/>
    <w:rsid w:val="00B92164"/>
    <w:rsid w:val="00B93C12"/>
    <w:rsid w:val="00B93F74"/>
    <w:rsid w:val="00B96097"/>
    <w:rsid w:val="00BA0584"/>
    <w:rsid w:val="00BA0D82"/>
    <w:rsid w:val="00BA299E"/>
    <w:rsid w:val="00BA46B2"/>
    <w:rsid w:val="00BA592D"/>
    <w:rsid w:val="00BA5A31"/>
    <w:rsid w:val="00BA5B3E"/>
    <w:rsid w:val="00BA6065"/>
    <w:rsid w:val="00BA644D"/>
    <w:rsid w:val="00BA6ED0"/>
    <w:rsid w:val="00BA7A8F"/>
    <w:rsid w:val="00BA7CA3"/>
    <w:rsid w:val="00BB06FF"/>
    <w:rsid w:val="00BB3BA6"/>
    <w:rsid w:val="00BB40BF"/>
    <w:rsid w:val="00BB457B"/>
    <w:rsid w:val="00BB77BB"/>
    <w:rsid w:val="00BC0CA2"/>
    <w:rsid w:val="00BC12F7"/>
    <w:rsid w:val="00BC1F3B"/>
    <w:rsid w:val="00BC23DA"/>
    <w:rsid w:val="00BC3928"/>
    <w:rsid w:val="00BC3F69"/>
    <w:rsid w:val="00BC527E"/>
    <w:rsid w:val="00BC59F8"/>
    <w:rsid w:val="00BC703B"/>
    <w:rsid w:val="00BD0DBA"/>
    <w:rsid w:val="00BD1D81"/>
    <w:rsid w:val="00BD24E4"/>
    <w:rsid w:val="00BD4C38"/>
    <w:rsid w:val="00BD6459"/>
    <w:rsid w:val="00BD687A"/>
    <w:rsid w:val="00BD6A3A"/>
    <w:rsid w:val="00BE3644"/>
    <w:rsid w:val="00BE4086"/>
    <w:rsid w:val="00BE517B"/>
    <w:rsid w:val="00BE5DC8"/>
    <w:rsid w:val="00BE5F69"/>
    <w:rsid w:val="00BE67DA"/>
    <w:rsid w:val="00BE6A2E"/>
    <w:rsid w:val="00BF0729"/>
    <w:rsid w:val="00BF379C"/>
    <w:rsid w:val="00BF5657"/>
    <w:rsid w:val="00BF775C"/>
    <w:rsid w:val="00C0145B"/>
    <w:rsid w:val="00C0338B"/>
    <w:rsid w:val="00C04FC3"/>
    <w:rsid w:val="00C0523F"/>
    <w:rsid w:val="00C06DCE"/>
    <w:rsid w:val="00C1040A"/>
    <w:rsid w:val="00C12B4F"/>
    <w:rsid w:val="00C1464B"/>
    <w:rsid w:val="00C16025"/>
    <w:rsid w:val="00C161CF"/>
    <w:rsid w:val="00C16934"/>
    <w:rsid w:val="00C17761"/>
    <w:rsid w:val="00C177E6"/>
    <w:rsid w:val="00C17D84"/>
    <w:rsid w:val="00C212E2"/>
    <w:rsid w:val="00C22ADB"/>
    <w:rsid w:val="00C263E7"/>
    <w:rsid w:val="00C2655A"/>
    <w:rsid w:val="00C2777F"/>
    <w:rsid w:val="00C35A1D"/>
    <w:rsid w:val="00C3663E"/>
    <w:rsid w:val="00C378CE"/>
    <w:rsid w:val="00C43061"/>
    <w:rsid w:val="00C439D9"/>
    <w:rsid w:val="00C44620"/>
    <w:rsid w:val="00C446F6"/>
    <w:rsid w:val="00C44BF5"/>
    <w:rsid w:val="00C44C8F"/>
    <w:rsid w:val="00C44FF5"/>
    <w:rsid w:val="00C47B7D"/>
    <w:rsid w:val="00C50834"/>
    <w:rsid w:val="00C546F1"/>
    <w:rsid w:val="00C5515E"/>
    <w:rsid w:val="00C55522"/>
    <w:rsid w:val="00C562A8"/>
    <w:rsid w:val="00C578C0"/>
    <w:rsid w:val="00C578CB"/>
    <w:rsid w:val="00C60D61"/>
    <w:rsid w:val="00C619BF"/>
    <w:rsid w:val="00C651A6"/>
    <w:rsid w:val="00C657CC"/>
    <w:rsid w:val="00C67404"/>
    <w:rsid w:val="00C702A6"/>
    <w:rsid w:val="00C72EF4"/>
    <w:rsid w:val="00C744BA"/>
    <w:rsid w:val="00C77196"/>
    <w:rsid w:val="00C7720E"/>
    <w:rsid w:val="00C81B83"/>
    <w:rsid w:val="00C82087"/>
    <w:rsid w:val="00C83264"/>
    <w:rsid w:val="00C85867"/>
    <w:rsid w:val="00C85F0F"/>
    <w:rsid w:val="00C8634F"/>
    <w:rsid w:val="00C8683A"/>
    <w:rsid w:val="00C86BC2"/>
    <w:rsid w:val="00C91EA5"/>
    <w:rsid w:val="00C93A96"/>
    <w:rsid w:val="00CA0F49"/>
    <w:rsid w:val="00CA4BA2"/>
    <w:rsid w:val="00CA5AD5"/>
    <w:rsid w:val="00CB11A4"/>
    <w:rsid w:val="00CB12ED"/>
    <w:rsid w:val="00CB167D"/>
    <w:rsid w:val="00CB419F"/>
    <w:rsid w:val="00CB7148"/>
    <w:rsid w:val="00CB7992"/>
    <w:rsid w:val="00CC2568"/>
    <w:rsid w:val="00CC2F0E"/>
    <w:rsid w:val="00CC3828"/>
    <w:rsid w:val="00CC43E6"/>
    <w:rsid w:val="00CC5358"/>
    <w:rsid w:val="00CC758F"/>
    <w:rsid w:val="00CD114C"/>
    <w:rsid w:val="00CD1192"/>
    <w:rsid w:val="00CD256F"/>
    <w:rsid w:val="00CD41D1"/>
    <w:rsid w:val="00CE01E0"/>
    <w:rsid w:val="00CE04B4"/>
    <w:rsid w:val="00CE0681"/>
    <w:rsid w:val="00CE2330"/>
    <w:rsid w:val="00CE27BF"/>
    <w:rsid w:val="00CE5986"/>
    <w:rsid w:val="00CF0D0A"/>
    <w:rsid w:val="00CF0D3E"/>
    <w:rsid w:val="00CF1F16"/>
    <w:rsid w:val="00CF6D5B"/>
    <w:rsid w:val="00D02616"/>
    <w:rsid w:val="00D034F5"/>
    <w:rsid w:val="00D0413E"/>
    <w:rsid w:val="00D04927"/>
    <w:rsid w:val="00D04EC4"/>
    <w:rsid w:val="00D052A8"/>
    <w:rsid w:val="00D06188"/>
    <w:rsid w:val="00D06D17"/>
    <w:rsid w:val="00D10FBF"/>
    <w:rsid w:val="00D12C75"/>
    <w:rsid w:val="00D13217"/>
    <w:rsid w:val="00D1336A"/>
    <w:rsid w:val="00D14867"/>
    <w:rsid w:val="00D151AD"/>
    <w:rsid w:val="00D17580"/>
    <w:rsid w:val="00D179D9"/>
    <w:rsid w:val="00D23B77"/>
    <w:rsid w:val="00D30717"/>
    <w:rsid w:val="00D30E4F"/>
    <w:rsid w:val="00D31040"/>
    <w:rsid w:val="00D31D99"/>
    <w:rsid w:val="00D32A02"/>
    <w:rsid w:val="00D32B39"/>
    <w:rsid w:val="00D337BB"/>
    <w:rsid w:val="00D35503"/>
    <w:rsid w:val="00D36383"/>
    <w:rsid w:val="00D36654"/>
    <w:rsid w:val="00D40A89"/>
    <w:rsid w:val="00D41F65"/>
    <w:rsid w:val="00D42C22"/>
    <w:rsid w:val="00D434B8"/>
    <w:rsid w:val="00D43880"/>
    <w:rsid w:val="00D43D7E"/>
    <w:rsid w:val="00D514FE"/>
    <w:rsid w:val="00D531B4"/>
    <w:rsid w:val="00D54182"/>
    <w:rsid w:val="00D54311"/>
    <w:rsid w:val="00D545C8"/>
    <w:rsid w:val="00D54EC7"/>
    <w:rsid w:val="00D5527C"/>
    <w:rsid w:val="00D55E96"/>
    <w:rsid w:val="00D676C4"/>
    <w:rsid w:val="00D67A8B"/>
    <w:rsid w:val="00D70105"/>
    <w:rsid w:val="00D714E4"/>
    <w:rsid w:val="00D72772"/>
    <w:rsid w:val="00D74EEC"/>
    <w:rsid w:val="00D812D0"/>
    <w:rsid w:val="00D81DED"/>
    <w:rsid w:val="00D8502F"/>
    <w:rsid w:val="00D86B45"/>
    <w:rsid w:val="00D92E52"/>
    <w:rsid w:val="00D951CA"/>
    <w:rsid w:val="00D961A7"/>
    <w:rsid w:val="00D969D4"/>
    <w:rsid w:val="00D97974"/>
    <w:rsid w:val="00D979B5"/>
    <w:rsid w:val="00DA06F9"/>
    <w:rsid w:val="00DA3B72"/>
    <w:rsid w:val="00DA4991"/>
    <w:rsid w:val="00DA4A3F"/>
    <w:rsid w:val="00DA4F73"/>
    <w:rsid w:val="00DB5335"/>
    <w:rsid w:val="00DB57D6"/>
    <w:rsid w:val="00DB582F"/>
    <w:rsid w:val="00DB7AD7"/>
    <w:rsid w:val="00DC156F"/>
    <w:rsid w:val="00DC28D2"/>
    <w:rsid w:val="00DC3746"/>
    <w:rsid w:val="00DC5CB5"/>
    <w:rsid w:val="00DC741A"/>
    <w:rsid w:val="00DC7FD7"/>
    <w:rsid w:val="00DD0828"/>
    <w:rsid w:val="00DD11CA"/>
    <w:rsid w:val="00DD3ED7"/>
    <w:rsid w:val="00DD4E4B"/>
    <w:rsid w:val="00DD6AC8"/>
    <w:rsid w:val="00DD6F99"/>
    <w:rsid w:val="00DE1B2E"/>
    <w:rsid w:val="00DE3733"/>
    <w:rsid w:val="00DE39AD"/>
    <w:rsid w:val="00DE43C0"/>
    <w:rsid w:val="00DE7B4B"/>
    <w:rsid w:val="00DF05B3"/>
    <w:rsid w:val="00DF0E18"/>
    <w:rsid w:val="00DF1615"/>
    <w:rsid w:val="00DF1F1D"/>
    <w:rsid w:val="00DF2E35"/>
    <w:rsid w:val="00DF44FF"/>
    <w:rsid w:val="00DF71A0"/>
    <w:rsid w:val="00E01127"/>
    <w:rsid w:val="00E0123F"/>
    <w:rsid w:val="00E04351"/>
    <w:rsid w:val="00E04D2D"/>
    <w:rsid w:val="00E10622"/>
    <w:rsid w:val="00E10EE4"/>
    <w:rsid w:val="00E1138A"/>
    <w:rsid w:val="00E13C7E"/>
    <w:rsid w:val="00E13E1B"/>
    <w:rsid w:val="00E16391"/>
    <w:rsid w:val="00E171D9"/>
    <w:rsid w:val="00E218FE"/>
    <w:rsid w:val="00E222C3"/>
    <w:rsid w:val="00E24D22"/>
    <w:rsid w:val="00E255EA"/>
    <w:rsid w:val="00E2595C"/>
    <w:rsid w:val="00E25C2D"/>
    <w:rsid w:val="00E274EA"/>
    <w:rsid w:val="00E27962"/>
    <w:rsid w:val="00E31DB9"/>
    <w:rsid w:val="00E33556"/>
    <w:rsid w:val="00E33C83"/>
    <w:rsid w:val="00E36689"/>
    <w:rsid w:val="00E40963"/>
    <w:rsid w:val="00E43C5B"/>
    <w:rsid w:val="00E43CBF"/>
    <w:rsid w:val="00E44D00"/>
    <w:rsid w:val="00E46939"/>
    <w:rsid w:val="00E4779C"/>
    <w:rsid w:val="00E50AF5"/>
    <w:rsid w:val="00E513AD"/>
    <w:rsid w:val="00E5289A"/>
    <w:rsid w:val="00E57BC2"/>
    <w:rsid w:val="00E57E74"/>
    <w:rsid w:val="00E6048E"/>
    <w:rsid w:val="00E62767"/>
    <w:rsid w:val="00E64559"/>
    <w:rsid w:val="00E653BB"/>
    <w:rsid w:val="00E653DD"/>
    <w:rsid w:val="00E65676"/>
    <w:rsid w:val="00E66C24"/>
    <w:rsid w:val="00E73E70"/>
    <w:rsid w:val="00E75453"/>
    <w:rsid w:val="00E8176F"/>
    <w:rsid w:val="00E818A3"/>
    <w:rsid w:val="00E83FBD"/>
    <w:rsid w:val="00E85181"/>
    <w:rsid w:val="00E85196"/>
    <w:rsid w:val="00E87DB1"/>
    <w:rsid w:val="00E909B4"/>
    <w:rsid w:val="00E91BC3"/>
    <w:rsid w:val="00EA26AE"/>
    <w:rsid w:val="00EA3D14"/>
    <w:rsid w:val="00EA587B"/>
    <w:rsid w:val="00EA628F"/>
    <w:rsid w:val="00EB65F4"/>
    <w:rsid w:val="00EC0892"/>
    <w:rsid w:val="00EC312A"/>
    <w:rsid w:val="00EC36A4"/>
    <w:rsid w:val="00EC3B09"/>
    <w:rsid w:val="00EC449B"/>
    <w:rsid w:val="00EC6322"/>
    <w:rsid w:val="00EC63CA"/>
    <w:rsid w:val="00ED0FC7"/>
    <w:rsid w:val="00ED18FB"/>
    <w:rsid w:val="00ED3AAA"/>
    <w:rsid w:val="00ED3E68"/>
    <w:rsid w:val="00ED6734"/>
    <w:rsid w:val="00EE3CF7"/>
    <w:rsid w:val="00EE457E"/>
    <w:rsid w:val="00EF0E42"/>
    <w:rsid w:val="00EF245F"/>
    <w:rsid w:val="00EF260B"/>
    <w:rsid w:val="00EF5198"/>
    <w:rsid w:val="00EF5DEC"/>
    <w:rsid w:val="00EF61AB"/>
    <w:rsid w:val="00F01AAD"/>
    <w:rsid w:val="00F024C6"/>
    <w:rsid w:val="00F04892"/>
    <w:rsid w:val="00F05BDE"/>
    <w:rsid w:val="00F111C8"/>
    <w:rsid w:val="00F15A92"/>
    <w:rsid w:val="00F16C7F"/>
    <w:rsid w:val="00F22273"/>
    <w:rsid w:val="00F22465"/>
    <w:rsid w:val="00F276A0"/>
    <w:rsid w:val="00F2794E"/>
    <w:rsid w:val="00F27E1F"/>
    <w:rsid w:val="00F3496C"/>
    <w:rsid w:val="00F35777"/>
    <w:rsid w:val="00F40890"/>
    <w:rsid w:val="00F419D2"/>
    <w:rsid w:val="00F43211"/>
    <w:rsid w:val="00F43314"/>
    <w:rsid w:val="00F43FD1"/>
    <w:rsid w:val="00F4450B"/>
    <w:rsid w:val="00F45DC6"/>
    <w:rsid w:val="00F475F9"/>
    <w:rsid w:val="00F534DD"/>
    <w:rsid w:val="00F538F2"/>
    <w:rsid w:val="00F54F7F"/>
    <w:rsid w:val="00F56839"/>
    <w:rsid w:val="00F569F2"/>
    <w:rsid w:val="00F56D77"/>
    <w:rsid w:val="00F60507"/>
    <w:rsid w:val="00F6379B"/>
    <w:rsid w:val="00F66711"/>
    <w:rsid w:val="00F67F7B"/>
    <w:rsid w:val="00F70F1B"/>
    <w:rsid w:val="00F71E23"/>
    <w:rsid w:val="00F7446B"/>
    <w:rsid w:val="00F74704"/>
    <w:rsid w:val="00F77284"/>
    <w:rsid w:val="00F8127C"/>
    <w:rsid w:val="00F81851"/>
    <w:rsid w:val="00F81E7F"/>
    <w:rsid w:val="00F8201E"/>
    <w:rsid w:val="00F82ADF"/>
    <w:rsid w:val="00F84900"/>
    <w:rsid w:val="00F858F1"/>
    <w:rsid w:val="00F917CB"/>
    <w:rsid w:val="00F91E79"/>
    <w:rsid w:val="00F927CB"/>
    <w:rsid w:val="00F9341E"/>
    <w:rsid w:val="00F93E4D"/>
    <w:rsid w:val="00F9475E"/>
    <w:rsid w:val="00F9597C"/>
    <w:rsid w:val="00F95D25"/>
    <w:rsid w:val="00F964D5"/>
    <w:rsid w:val="00F97876"/>
    <w:rsid w:val="00FA37C5"/>
    <w:rsid w:val="00FA6EBD"/>
    <w:rsid w:val="00FA769F"/>
    <w:rsid w:val="00FA7CF3"/>
    <w:rsid w:val="00FB40E5"/>
    <w:rsid w:val="00FB4BDB"/>
    <w:rsid w:val="00FB5CC2"/>
    <w:rsid w:val="00FB64BD"/>
    <w:rsid w:val="00FB6F88"/>
    <w:rsid w:val="00FB77A4"/>
    <w:rsid w:val="00FC19D5"/>
    <w:rsid w:val="00FC421E"/>
    <w:rsid w:val="00FC57AC"/>
    <w:rsid w:val="00FC6B38"/>
    <w:rsid w:val="00FC7405"/>
    <w:rsid w:val="00FD0420"/>
    <w:rsid w:val="00FD18DD"/>
    <w:rsid w:val="00FD296A"/>
    <w:rsid w:val="00FD3406"/>
    <w:rsid w:val="00FD4A28"/>
    <w:rsid w:val="00FD55B0"/>
    <w:rsid w:val="00FD6229"/>
    <w:rsid w:val="00FD6AE3"/>
    <w:rsid w:val="00FE0FF6"/>
    <w:rsid w:val="00FE19D9"/>
    <w:rsid w:val="00FE22AA"/>
    <w:rsid w:val="00FE4117"/>
    <w:rsid w:val="00FE661D"/>
    <w:rsid w:val="00FF251F"/>
    <w:rsid w:val="00FF57F4"/>
    <w:rsid w:val="03AF0414"/>
    <w:rsid w:val="03B43190"/>
    <w:rsid w:val="03E64433"/>
    <w:rsid w:val="040B300A"/>
    <w:rsid w:val="04915675"/>
    <w:rsid w:val="04FE2794"/>
    <w:rsid w:val="055E1B6F"/>
    <w:rsid w:val="05B13E35"/>
    <w:rsid w:val="065A4C97"/>
    <w:rsid w:val="069A1D54"/>
    <w:rsid w:val="071C105C"/>
    <w:rsid w:val="071C4E64"/>
    <w:rsid w:val="07242522"/>
    <w:rsid w:val="074B2551"/>
    <w:rsid w:val="08B368C8"/>
    <w:rsid w:val="08DA48D3"/>
    <w:rsid w:val="09740463"/>
    <w:rsid w:val="09873282"/>
    <w:rsid w:val="099D5A07"/>
    <w:rsid w:val="0A79351A"/>
    <w:rsid w:val="0A947071"/>
    <w:rsid w:val="0C053C34"/>
    <w:rsid w:val="0CB13F73"/>
    <w:rsid w:val="0D066E6B"/>
    <w:rsid w:val="0D4F5940"/>
    <w:rsid w:val="0E7C72CB"/>
    <w:rsid w:val="0EC5379C"/>
    <w:rsid w:val="0FCE583F"/>
    <w:rsid w:val="106D4BD0"/>
    <w:rsid w:val="10CD3F0A"/>
    <w:rsid w:val="10CF362C"/>
    <w:rsid w:val="10ED1600"/>
    <w:rsid w:val="116F23E8"/>
    <w:rsid w:val="12406840"/>
    <w:rsid w:val="14425E44"/>
    <w:rsid w:val="14AF64EE"/>
    <w:rsid w:val="14CD26B9"/>
    <w:rsid w:val="15486EC4"/>
    <w:rsid w:val="161A2CD9"/>
    <w:rsid w:val="164F4441"/>
    <w:rsid w:val="16530255"/>
    <w:rsid w:val="17A32BA0"/>
    <w:rsid w:val="17C24058"/>
    <w:rsid w:val="17E83445"/>
    <w:rsid w:val="18A72D81"/>
    <w:rsid w:val="1926278E"/>
    <w:rsid w:val="19765415"/>
    <w:rsid w:val="1AEC76E9"/>
    <w:rsid w:val="1B5F291D"/>
    <w:rsid w:val="1C761236"/>
    <w:rsid w:val="1CE1534B"/>
    <w:rsid w:val="1CE4309C"/>
    <w:rsid w:val="1D683AF2"/>
    <w:rsid w:val="1DF04833"/>
    <w:rsid w:val="1DF14763"/>
    <w:rsid w:val="1E47324B"/>
    <w:rsid w:val="1EAF6C63"/>
    <w:rsid w:val="1F0079C6"/>
    <w:rsid w:val="1F714A37"/>
    <w:rsid w:val="1FBE714B"/>
    <w:rsid w:val="20F743EC"/>
    <w:rsid w:val="20FC7885"/>
    <w:rsid w:val="21B67E74"/>
    <w:rsid w:val="21DF26E9"/>
    <w:rsid w:val="225A444E"/>
    <w:rsid w:val="22CA655F"/>
    <w:rsid w:val="230C353B"/>
    <w:rsid w:val="23A83BEE"/>
    <w:rsid w:val="2408121F"/>
    <w:rsid w:val="24BB37FD"/>
    <w:rsid w:val="24E46F1D"/>
    <w:rsid w:val="24FD5E26"/>
    <w:rsid w:val="25007CD2"/>
    <w:rsid w:val="25171665"/>
    <w:rsid w:val="251C016C"/>
    <w:rsid w:val="268A15B0"/>
    <w:rsid w:val="27817D9B"/>
    <w:rsid w:val="284555D9"/>
    <w:rsid w:val="28B7543D"/>
    <w:rsid w:val="28EB021C"/>
    <w:rsid w:val="299D6E6E"/>
    <w:rsid w:val="29BD2714"/>
    <w:rsid w:val="29E72EF3"/>
    <w:rsid w:val="2A62092C"/>
    <w:rsid w:val="2B31320F"/>
    <w:rsid w:val="2B3E41A7"/>
    <w:rsid w:val="2BBE7B42"/>
    <w:rsid w:val="2BFE3188"/>
    <w:rsid w:val="2C0F7A85"/>
    <w:rsid w:val="2C9C4EA5"/>
    <w:rsid w:val="2CD85CCD"/>
    <w:rsid w:val="2CEF1AEA"/>
    <w:rsid w:val="2D146BC1"/>
    <w:rsid w:val="2D517806"/>
    <w:rsid w:val="2DC25AB3"/>
    <w:rsid w:val="2E2A18B0"/>
    <w:rsid w:val="2F3E4C27"/>
    <w:rsid w:val="2F3F5743"/>
    <w:rsid w:val="2F4365E1"/>
    <w:rsid w:val="30B64A3A"/>
    <w:rsid w:val="30FF3FEB"/>
    <w:rsid w:val="321D04E2"/>
    <w:rsid w:val="32CF5376"/>
    <w:rsid w:val="32D934F4"/>
    <w:rsid w:val="33683484"/>
    <w:rsid w:val="34584FDC"/>
    <w:rsid w:val="3536441C"/>
    <w:rsid w:val="3599165E"/>
    <w:rsid w:val="36A0E0B3"/>
    <w:rsid w:val="37417008"/>
    <w:rsid w:val="37695A80"/>
    <w:rsid w:val="379279CF"/>
    <w:rsid w:val="37A5269A"/>
    <w:rsid w:val="391438DA"/>
    <w:rsid w:val="39B0308A"/>
    <w:rsid w:val="39F1726D"/>
    <w:rsid w:val="3A284F08"/>
    <w:rsid w:val="3B5E7D61"/>
    <w:rsid w:val="3C1A715A"/>
    <w:rsid w:val="3C301583"/>
    <w:rsid w:val="3C334E9C"/>
    <w:rsid w:val="3C8E7A21"/>
    <w:rsid w:val="3CA0710C"/>
    <w:rsid w:val="3D465C17"/>
    <w:rsid w:val="3DB73DA8"/>
    <w:rsid w:val="3DFD0A81"/>
    <w:rsid w:val="3E15682E"/>
    <w:rsid w:val="3E54550C"/>
    <w:rsid w:val="3E562B59"/>
    <w:rsid w:val="3EB17FCB"/>
    <w:rsid w:val="3F46202A"/>
    <w:rsid w:val="3FD86654"/>
    <w:rsid w:val="40535D77"/>
    <w:rsid w:val="4181003F"/>
    <w:rsid w:val="41CA0973"/>
    <w:rsid w:val="42591424"/>
    <w:rsid w:val="42E36959"/>
    <w:rsid w:val="43145C54"/>
    <w:rsid w:val="437F32A1"/>
    <w:rsid w:val="440633D9"/>
    <w:rsid w:val="44184095"/>
    <w:rsid w:val="445559B0"/>
    <w:rsid w:val="44C90201"/>
    <w:rsid w:val="44D04285"/>
    <w:rsid w:val="45424F9A"/>
    <w:rsid w:val="45BE6D4D"/>
    <w:rsid w:val="45E940ED"/>
    <w:rsid w:val="465931D8"/>
    <w:rsid w:val="46AB7BE8"/>
    <w:rsid w:val="46CB1411"/>
    <w:rsid w:val="47EA057B"/>
    <w:rsid w:val="48C1739A"/>
    <w:rsid w:val="4984517A"/>
    <w:rsid w:val="4A51456E"/>
    <w:rsid w:val="4B335C59"/>
    <w:rsid w:val="4B9F6E4A"/>
    <w:rsid w:val="4BA10D64"/>
    <w:rsid w:val="4BD36647"/>
    <w:rsid w:val="4BF60814"/>
    <w:rsid w:val="4C2B4E07"/>
    <w:rsid w:val="4CC60E82"/>
    <w:rsid w:val="4CF95C02"/>
    <w:rsid w:val="4D082FF4"/>
    <w:rsid w:val="4E256763"/>
    <w:rsid w:val="4E705F9B"/>
    <w:rsid w:val="4F147AD6"/>
    <w:rsid w:val="4F6A02B3"/>
    <w:rsid w:val="4F8836FD"/>
    <w:rsid w:val="501970F7"/>
    <w:rsid w:val="50641EED"/>
    <w:rsid w:val="506806B6"/>
    <w:rsid w:val="508203BF"/>
    <w:rsid w:val="50E03234"/>
    <w:rsid w:val="515A0EB8"/>
    <w:rsid w:val="521B1E4A"/>
    <w:rsid w:val="52285CEE"/>
    <w:rsid w:val="52DB2974"/>
    <w:rsid w:val="54822A0C"/>
    <w:rsid w:val="5488B699"/>
    <w:rsid w:val="55365C83"/>
    <w:rsid w:val="554423D6"/>
    <w:rsid w:val="55641CE0"/>
    <w:rsid w:val="5586461F"/>
    <w:rsid w:val="55A202A4"/>
    <w:rsid w:val="55A43163"/>
    <w:rsid w:val="55C536C8"/>
    <w:rsid w:val="56A92048"/>
    <w:rsid w:val="56D7418F"/>
    <w:rsid w:val="57FF5507"/>
    <w:rsid w:val="585C464F"/>
    <w:rsid w:val="585C653A"/>
    <w:rsid w:val="59CE364E"/>
    <w:rsid w:val="59DB200B"/>
    <w:rsid w:val="5BB05E2B"/>
    <w:rsid w:val="5CE039B7"/>
    <w:rsid w:val="5D2E194B"/>
    <w:rsid w:val="5EA661C7"/>
    <w:rsid w:val="5F096D57"/>
    <w:rsid w:val="5F125E59"/>
    <w:rsid w:val="5FC70E34"/>
    <w:rsid w:val="61FE1BDB"/>
    <w:rsid w:val="6224480E"/>
    <w:rsid w:val="62D8182A"/>
    <w:rsid w:val="63E53E5A"/>
    <w:rsid w:val="64CB29F9"/>
    <w:rsid w:val="65637C38"/>
    <w:rsid w:val="65842D99"/>
    <w:rsid w:val="65B209A8"/>
    <w:rsid w:val="65CA41EF"/>
    <w:rsid w:val="663F4FAF"/>
    <w:rsid w:val="673900FD"/>
    <w:rsid w:val="67437F24"/>
    <w:rsid w:val="6786D0E2"/>
    <w:rsid w:val="67A31660"/>
    <w:rsid w:val="691652F6"/>
    <w:rsid w:val="69F06AE5"/>
    <w:rsid w:val="6A0178E0"/>
    <w:rsid w:val="6A990D83"/>
    <w:rsid w:val="6B3D2B65"/>
    <w:rsid w:val="6C0127BE"/>
    <w:rsid w:val="6C096167"/>
    <w:rsid w:val="6DF76632"/>
    <w:rsid w:val="6F977F23"/>
    <w:rsid w:val="70F24E7C"/>
    <w:rsid w:val="714D2074"/>
    <w:rsid w:val="71DD7830"/>
    <w:rsid w:val="725E0948"/>
    <w:rsid w:val="72626D17"/>
    <w:rsid w:val="726E1076"/>
    <w:rsid w:val="731F76D5"/>
    <w:rsid w:val="73465182"/>
    <w:rsid w:val="73622E25"/>
    <w:rsid w:val="73F406E6"/>
    <w:rsid w:val="747166A0"/>
    <w:rsid w:val="74E33F0B"/>
    <w:rsid w:val="75027CE6"/>
    <w:rsid w:val="750D53CA"/>
    <w:rsid w:val="75441AB8"/>
    <w:rsid w:val="7614351C"/>
    <w:rsid w:val="76335E14"/>
    <w:rsid w:val="76661659"/>
    <w:rsid w:val="7706569E"/>
    <w:rsid w:val="77A31766"/>
    <w:rsid w:val="780F5DCA"/>
    <w:rsid w:val="7A344886"/>
    <w:rsid w:val="7BBC5176"/>
    <w:rsid w:val="7BFF7E17"/>
    <w:rsid w:val="7C0835DC"/>
    <w:rsid w:val="7C867974"/>
    <w:rsid w:val="7CBD575C"/>
    <w:rsid w:val="7D086B57"/>
    <w:rsid w:val="7F49647E"/>
    <w:rsid w:val="7F4E6B44"/>
    <w:rsid w:val="7F7B5C8C"/>
    <w:rsid w:val="7F927D44"/>
    <w:rsid w:val="85DA9765"/>
    <w:rsid w:val="93B96F09"/>
    <w:rsid w:val="EF590E8E"/>
    <w:rsid w:val="F902FB13"/>
    <w:rsid w:val="FB779CD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nhideWhenUsed="0" w:uiPriority="0"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4"/>
    <w:next w:val="5"/>
    <w:link w:val="49"/>
    <w:qFormat/>
    <w:uiPriority w:val="0"/>
    <w:pPr>
      <w:keepNext/>
      <w:keepLines/>
      <w:spacing w:after="120" w:line="360" w:lineRule="auto"/>
      <w:jc w:val="left"/>
      <w:outlineLvl w:val="0"/>
    </w:pPr>
    <w:rPr>
      <w:kern w:val="44"/>
      <w:sz w:val="28"/>
      <w:szCs w:val="28"/>
      <w:lang w:val="en-US" w:eastAsia="zh-CN"/>
    </w:rPr>
  </w:style>
  <w:style w:type="paragraph" w:styleId="8">
    <w:name w:val="heading 2"/>
    <w:basedOn w:val="1"/>
    <w:next w:val="1"/>
    <w:link w:val="51"/>
    <w:qFormat/>
    <w:uiPriority w:val="0"/>
    <w:pPr>
      <w:keepNext/>
      <w:keepLines/>
      <w:numPr>
        <w:ilvl w:val="1"/>
        <w:numId w:val="0"/>
      </w:numPr>
      <w:tabs>
        <w:tab w:val="right" w:leader="dot" w:pos="9060"/>
      </w:tabs>
      <w:spacing w:before="120" w:after="120" w:line="415" w:lineRule="auto"/>
      <w:ind w:left="454"/>
      <w:jc w:val="center"/>
      <w:outlineLvl w:val="1"/>
    </w:pPr>
    <w:rPr>
      <w:rFonts w:ascii="Arial" w:hAnsi="Arial"/>
      <w:b/>
      <w:color w:val="000000"/>
      <w:kern w:val="0"/>
    </w:rPr>
  </w:style>
  <w:style w:type="paragraph" w:styleId="9">
    <w:name w:val="heading 3"/>
    <w:basedOn w:val="1"/>
    <w:next w:val="1"/>
    <w:link w:val="52"/>
    <w:qFormat/>
    <w:uiPriority w:val="0"/>
    <w:pPr>
      <w:widowControl/>
      <w:spacing w:before="100" w:beforeAutospacing="1" w:after="100" w:afterAutospacing="1"/>
      <w:jc w:val="left"/>
      <w:outlineLvl w:val="2"/>
    </w:pPr>
    <w:rPr>
      <w:rFonts w:ascii="宋体" w:hAnsi="宋体"/>
      <w:kern w:val="0"/>
      <w:sz w:val="27"/>
      <w:szCs w:val="27"/>
    </w:rPr>
  </w:style>
  <w:style w:type="paragraph" w:styleId="2">
    <w:name w:val="heading 4"/>
    <w:basedOn w:val="1"/>
    <w:next w:val="1"/>
    <w:link w:val="53"/>
    <w:qFormat/>
    <w:uiPriority w:val="0"/>
    <w:pPr>
      <w:keepNext/>
      <w:keepLines/>
      <w:widowControl w:val="0"/>
      <w:spacing w:before="0" w:beforeLines="50" w:beforeAutospacing="0" w:after="0" w:afterLines="50" w:afterAutospacing="0" w:line="360" w:lineRule="auto"/>
      <w:ind w:left="284" w:hanging="284"/>
      <w:outlineLvl w:val="3"/>
    </w:pPr>
    <w:rPr>
      <w:rFonts w:ascii="Arial" w:hAnsi="Arial"/>
      <w:color w:val="000000"/>
      <w:sz w:val="20"/>
      <w:szCs w:val="21"/>
    </w:rPr>
  </w:style>
  <w:style w:type="paragraph" w:styleId="10">
    <w:name w:val="heading 5"/>
    <w:basedOn w:val="2"/>
    <w:next w:val="11"/>
    <w:link w:val="54"/>
    <w:qFormat/>
    <w:uiPriority w:val="0"/>
    <w:pPr>
      <w:spacing w:line="240" w:lineRule="exact"/>
      <w:outlineLvl w:val="4"/>
    </w:pPr>
  </w:style>
  <w:style w:type="paragraph" w:styleId="12">
    <w:name w:val="heading 6"/>
    <w:basedOn w:val="1"/>
    <w:next w:val="1"/>
    <w:link w:val="55"/>
    <w:qFormat/>
    <w:uiPriority w:val="0"/>
    <w:pPr>
      <w:keepNext/>
      <w:keepLines/>
      <w:spacing w:before="240" w:after="64" w:line="320" w:lineRule="auto"/>
      <w:outlineLvl w:val="5"/>
    </w:pPr>
    <w:rPr>
      <w:rFonts w:ascii="Arial" w:hAnsi="Arial" w:eastAsia="黑体"/>
      <w:b/>
      <w:bCs/>
      <w:kern w:val="0"/>
      <w:sz w:val="24"/>
      <w:szCs w:val="24"/>
    </w:rPr>
  </w:style>
  <w:style w:type="paragraph" w:styleId="13">
    <w:name w:val="heading 7"/>
    <w:basedOn w:val="1"/>
    <w:next w:val="11"/>
    <w:link w:val="56"/>
    <w:qFormat/>
    <w:uiPriority w:val="0"/>
    <w:pPr>
      <w:keepNext/>
      <w:keepLines/>
      <w:spacing w:before="240" w:after="64" w:line="320" w:lineRule="auto"/>
      <w:outlineLvl w:val="6"/>
    </w:pPr>
    <w:rPr>
      <w:b/>
      <w:kern w:val="0"/>
      <w:sz w:val="24"/>
      <w:szCs w:val="20"/>
    </w:rPr>
  </w:style>
  <w:style w:type="paragraph" w:styleId="14">
    <w:name w:val="heading 8"/>
    <w:basedOn w:val="1"/>
    <w:next w:val="11"/>
    <w:link w:val="57"/>
    <w:qFormat/>
    <w:uiPriority w:val="0"/>
    <w:pPr>
      <w:keepNext/>
      <w:keepLines/>
      <w:spacing w:before="240" w:after="64" w:line="320" w:lineRule="auto"/>
      <w:outlineLvl w:val="7"/>
    </w:pPr>
    <w:rPr>
      <w:rFonts w:ascii="Arial" w:hAnsi="Arial" w:eastAsia="黑体"/>
      <w:kern w:val="0"/>
      <w:sz w:val="24"/>
      <w:szCs w:val="20"/>
    </w:rPr>
  </w:style>
  <w:style w:type="paragraph" w:styleId="15">
    <w:name w:val="heading 9"/>
    <w:basedOn w:val="1"/>
    <w:next w:val="11"/>
    <w:link w:val="58"/>
    <w:qFormat/>
    <w:uiPriority w:val="0"/>
    <w:pPr>
      <w:keepNext/>
      <w:keepLines/>
      <w:spacing w:before="240" w:after="64" w:line="320" w:lineRule="auto"/>
      <w:outlineLvl w:val="8"/>
    </w:pPr>
    <w:rPr>
      <w:rFonts w:ascii="Arial" w:hAnsi="Arial" w:eastAsia="黑体"/>
      <w:kern w:val="0"/>
      <w:sz w:val="20"/>
      <w:szCs w:val="20"/>
    </w:rPr>
  </w:style>
  <w:style w:type="character" w:default="1" w:styleId="35">
    <w:name w:val="Default Paragraph Font"/>
    <w:qFormat/>
    <w:uiPriority w:val="0"/>
    <w:rPr>
      <w:rFonts w:ascii="Times New Roman" w:hAnsi="Times New Roman" w:eastAsia="宋体" w:cs="Times New Roman"/>
    </w:rPr>
  </w:style>
  <w:style w:type="table" w:default="1" w:styleId="34">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4">
    <w:name w:val="Title"/>
    <w:basedOn w:val="1"/>
    <w:link w:val="48"/>
    <w:qFormat/>
    <w:uiPriority w:val="0"/>
    <w:pPr>
      <w:spacing w:before="120" w:after="60"/>
      <w:jc w:val="center"/>
    </w:pPr>
    <w:rPr>
      <w:rFonts w:ascii="Arial" w:hAnsi="Arial"/>
      <w:b/>
      <w:kern w:val="0"/>
      <w:sz w:val="44"/>
      <w:szCs w:val="20"/>
    </w:rPr>
  </w:style>
  <w:style w:type="paragraph" w:styleId="5">
    <w:name w:val="Body Text First Indent"/>
    <w:basedOn w:val="6"/>
    <w:link w:val="50"/>
    <w:qFormat/>
    <w:uiPriority w:val="0"/>
    <w:pPr>
      <w:ind w:firstLine="420"/>
    </w:pPr>
    <w:rPr>
      <w:kern w:val="0"/>
      <w:sz w:val="20"/>
      <w:szCs w:val="20"/>
    </w:rPr>
  </w:style>
  <w:style w:type="paragraph" w:styleId="6">
    <w:name w:val="Body Text"/>
    <w:basedOn w:val="1"/>
    <w:next w:val="7"/>
    <w:link w:val="47"/>
    <w:qFormat/>
    <w:uiPriority w:val="0"/>
    <w:pPr>
      <w:spacing w:after="120"/>
    </w:pPr>
    <w:rPr>
      <w:rFonts w:ascii="Calibri" w:hAnsi="Calibri"/>
    </w:rPr>
  </w:style>
  <w:style w:type="paragraph" w:styleId="7">
    <w:name w:val="toc 5"/>
    <w:basedOn w:val="1"/>
    <w:next w:val="1"/>
    <w:qFormat/>
    <w:uiPriority w:val="0"/>
    <w:pPr>
      <w:ind w:left="840"/>
      <w:jc w:val="left"/>
    </w:pPr>
    <w:rPr>
      <w:sz w:val="18"/>
      <w:szCs w:val="18"/>
    </w:rPr>
  </w:style>
  <w:style w:type="paragraph" w:styleId="11">
    <w:name w:val="Normal Indent"/>
    <w:basedOn w:val="1"/>
    <w:qFormat/>
    <w:uiPriority w:val="0"/>
    <w:pPr>
      <w:ind w:firstLine="420"/>
    </w:pPr>
    <w:rPr>
      <w:rFonts w:ascii="Times New Roman" w:hAnsi="Times New Roman" w:eastAsia="宋体" w:cs="Times New Roman"/>
      <w:szCs w:val="20"/>
    </w:rPr>
  </w:style>
  <w:style w:type="paragraph" w:styleId="16">
    <w:name w:val="Document Map"/>
    <w:basedOn w:val="1"/>
    <w:link w:val="59"/>
    <w:qFormat/>
    <w:uiPriority w:val="0"/>
    <w:pPr>
      <w:shd w:val="clear" w:color="auto" w:fill="000080"/>
    </w:pPr>
    <w:rPr>
      <w:kern w:val="0"/>
      <w:sz w:val="20"/>
      <w:szCs w:val="20"/>
      <w:shd w:val="clear" w:color="auto" w:fill="000080"/>
    </w:rPr>
  </w:style>
  <w:style w:type="paragraph" w:styleId="17">
    <w:name w:val="annotation text"/>
    <w:basedOn w:val="1"/>
    <w:link w:val="60"/>
    <w:qFormat/>
    <w:uiPriority w:val="0"/>
    <w:pPr>
      <w:spacing w:line="360" w:lineRule="auto"/>
      <w:ind w:firstLine="523" w:firstLineChars="218"/>
      <w:jc w:val="left"/>
    </w:pPr>
    <w:rPr>
      <w:rFonts w:ascii="宋体" w:hAnsi="宋体"/>
      <w:kern w:val="0"/>
      <w:sz w:val="24"/>
      <w:szCs w:val="24"/>
    </w:rPr>
  </w:style>
  <w:style w:type="paragraph" w:styleId="18">
    <w:name w:val="Body Text 3"/>
    <w:basedOn w:val="1"/>
    <w:link w:val="61"/>
    <w:qFormat/>
    <w:uiPriority w:val="0"/>
    <w:pPr>
      <w:spacing w:after="120"/>
    </w:pPr>
    <w:rPr>
      <w:sz w:val="16"/>
      <w:szCs w:val="16"/>
    </w:rPr>
  </w:style>
  <w:style w:type="paragraph" w:styleId="19">
    <w:name w:val="Body Text Indent"/>
    <w:basedOn w:val="1"/>
    <w:link w:val="62"/>
    <w:qFormat/>
    <w:uiPriority w:val="0"/>
    <w:pPr>
      <w:ind w:firstLine="570"/>
    </w:pPr>
    <w:rPr>
      <w:kern w:val="0"/>
      <w:sz w:val="28"/>
      <w:szCs w:val="20"/>
    </w:rPr>
  </w:style>
  <w:style w:type="paragraph" w:styleId="20">
    <w:name w:val="Plain Text"/>
    <w:basedOn w:val="1"/>
    <w:next w:val="1"/>
    <w:link w:val="63"/>
    <w:qFormat/>
    <w:uiPriority w:val="0"/>
    <w:rPr>
      <w:rFonts w:ascii="宋体" w:hAnsi="Courier New"/>
      <w:kern w:val="0"/>
      <w:sz w:val="20"/>
      <w:szCs w:val="20"/>
    </w:rPr>
  </w:style>
  <w:style w:type="paragraph" w:styleId="21">
    <w:name w:val="Date"/>
    <w:basedOn w:val="1"/>
    <w:next w:val="1"/>
    <w:link w:val="64"/>
    <w:qFormat/>
    <w:uiPriority w:val="0"/>
    <w:rPr>
      <w:kern w:val="0"/>
      <w:sz w:val="20"/>
      <w:szCs w:val="20"/>
    </w:rPr>
  </w:style>
  <w:style w:type="paragraph" w:styleId="22">
    <w:name w:val="Body Text Indent 2"/>
    <w:basedOn w:val="1"/>
    <w:link w:val="65"/>
    <w:qFormat/>
    <w:uiPriority w:val="0"/>
    <w:pPr>
      <w:spacing w:line="400" w:lineRule="exact"/>
      <w:ind w:left="425"/>
    </w:pPr>
    <w:rPr>
      <w:color w:val="000000"/>
      <w:kern w:val="0"/>
      <w:sz w:val="24"/>
      <w:szCs w:val="20"/>
    </w:rPr>
  </w:style>
  <w:style w:type="paragraph" w:styleId="23">
    <w:name w:val="endnote text"/>
    <w:basedOn w:val="1"/>
    <w:link w:val="66"/>
    <w:qFormat/>
    <w:uiPriority w:val="0"/>
    <w:pPr>
      <w:snapToGrid w:val="0"/>
      <w:jc w:val="left"/>
    </w:pPr>
    <w:rPr>
      <w:kern w:val="0"/>
      <w:sz w:val="20"/>
      <w:szCs w:val="20"/>
    </w:rPr>
  </w:style>
  <w:style w:type="paragraph" w:styleId="24">
    <w:name w:val="Balloon Text"/>
    <w:basedOn w:val="1"/>
    <w:link w:val="67"/>
    <w:qFormat/>
    <w:uiPriority w:val="0"/>
    <w:rPr>
      <w:kern w:val="0"/>
      <w:sz w:val="18"/>
      <w:szCs w:val="18"/>
    </w:rPr>
  </w:style>
  <w:style w:type="paragraph" w:styleId="25">
    <w:name w:val="footer"/>
    <w:basedOn w:val="1"/>
    <w:link w:val="68"/>
    <w:qFormat/>
    <w:uiPriority w:val="99"/>
    <w:pPr>
      <w:tabs>
        <w:tab w:val="center" w:pos="4153"/>
        <w:tab w:val="right" w:pos="8306"/>
      </w:tabs>
      <w:snapToGrid w:val="0"/>
      <w:jc w:val="left"/>
    </w:pPr>
    <w:rPr>
      <w:kern w:val="0"/>
      <w:sz w:val="18"/>
      <w:szCs w:val="18"/>
    </w:rPr>
  </w:style>
  <w:style w:type="paragraph" w:styleId="26">
    <w:name w:val="header"/>
    <w:basedOn w:val="1"/>
    <w:link w:val="69"/>
    <w:qFormat/>
    <w:uiPriority w:val="0"/>
    <w:pPr>
      <w:pBdr>
        <w:bottom w:val="single" w:color="auto" w:sz="6" w:space="1"/>
      </w:pBdr>
      <w:tabs>
        <w:tab w:val="center" w:pos="4153"/>
        <w:tab w:val="right" w:pos="8306"/>
      </w:tabs>
      <w:snapToGrid w:val="0"/>
      <w:jc w:val="center"/>
    </w:pPr>
    <w:rPr>
      <w:kern w:val="0"/>
      <w:sz w:val="18"/>
      <w:szCs w:val="18"/>
    </w:rPr>
  </w:style>
  <w:style w:type="paragraph" w:styleId="27">
    <w:name w:val="toc 1"/>
    <w:basedOn w:val="1"/>
    <w:next w:val="1"/>
    <w:qFormat/>
    <w:uiPriority w:val="0"/>
    <w:pPr>
      <w:tabs>
        <w:tab w:val="right" w:leader="dot" w:pos="9060"/>
      </w:tabs>
      <w:adjustRightInd w:val="0"/>
      <w:snapToGrid w:val="0"/>
      <w:spacing w:line="360" w:lineRule="auto"/>
      <w:jc w:val="left"/>
      <w:textAlignment w:val="baseline"/>
    </w:pPr>
    <w:rPr>
      <w:rFonts w:ascii="宋体" w:hAnsi="宋体" w:eastAsia="宋体" w:cs="Times New Roman"/>
      <w:caps/>
      <w:kern w:val="0"/>
      <w:sz w:val="24"/>
      <w:szCs w:val="32"/>
    </w:rPr>
  </w:style>
  <w:style w:type="paragraph" w:styleId="28">
    <w:name w:val="footnote text"/>
    <w:basedOn w:val="1"/>
    <w:link w:val="70"/>
    <w:qFormat/>
    <w:uiPriority w:val="0"/>
    <w:pPr>
      <w:snapToGrid w:val="0"/>
      <w:spacing w:line="360" w:lineRule="auto"/>
      <w:ind w:firstLine="523" w:firstLineChars="218"/>
      <w:jc w:val="left"/>
    </w:pPr>
    <w:rPr>
      <w:rFonts w:ascii="宋体" w:hAnsi="宋体"/>
      <w:kern w:val="0"/>
      <w:sz w:val="18"/>
      <w:szCs w:val="18"/>
    </w:rPr>
  </w:style>
  <w:style w:type="paragraph" w:styleId="29">
    <w:name w:val="Body Text Indent 3"/>
    <w:basedOn w:val="1"/>
    <w:link w:val="71"/>
    <w:qFormat/>
    <w:uiPriority w:val="0"/>
    <w:pPr>
      <w:numPr>
        <w:ilvl w:val="1"/>
        <w:numId w:val="0"/>
      </w:numPr>
      <w:tabs>
        <w:tab w:val="left" w:pos="0"/>
      </w:tabs>
      <w:spacing w:line="400" w:lineRule="exact"/>
      <w:ind w:left="563" w:leftChars="228" w:hanging="84" w:hangingChars="35"/>
    </w:pPr>
    <w:rPr>
      <w:color w:val="000000"/>
      <w:kern w:val="0"/>
      <w:sz w:val="24"/>
      <w:szCs w:val="20"/>
    </w:rPr>
  </w:style>
  <w:style w:type="paragraph" w:styleId="30">
    <w:name w:val="toc 2"/>
    <w:basedOn w:val="1"/>
    <w:next w:val="1"/>
    <w:qFormat/>
    <w:uiPriority w:val="0"/>
    <w:pPr>
      <w:tabs>
        <w:tab w:val="right" w:leader="dot" w:pos="9060"/>
      </w:tabs>
      <w:snapToGrid w:val="0"/>
      <w:spacing w:line="360" w:lineRule="auto"/>
      <w:ind w:left="420" w:leftChars="200"/>
      <w:jc w:val="left"/>
    </w:pPr>
    <w:rPr>
      <w:rFonts w:ascii="Times New Roman" w:hAnsi="Times New Roman" w:eastAsia="宋体" w:cs="Times New Roman"/>
      <w:sz w:val="24"/>
      <w:szCs w:val="24"/>
    </w:rPr>
  </w:style>
  <w:style w:type="paragraph" w:styleId="31">
    <w:name w:val="Body Text 2"/>
    <w:basedOn w:val="1"/>
    <w:link w:val="72"/>
    <w:qFormat/>
    <w:uiPriority w:val="0"/>
    <w:rPr>
      <w:rFonts w:ascii="宋体" w:hAnsi="宋体"/>
      <w:kern w:val="0"/>
      <w:sz w:val="20"/>
      <w:szCs w:val="24"/>
      <w:u w:val="single"/>
    </w:rPr>
  </w:style>
  <w:style w:type="paragraph" w:styleId="32">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33">
    <w:name w:val="annotation subject"/>
    <w:basedOn w:val="17"/>
    <w:next w:val="17"/>
    <w:link w:val="73"/>
    <w:qFormat/>
    <w:uiPriority w:val="0"/>
    <w:rPr>
      <w:b/>
      <w:bCs/>
    </w:rPr>
  </w:style>
  <w:style w:type="character" w:styleId="36">
    <w:name w:val="Strong"/>
    <w:qFormat/>
    <w:uiPriority w:val="0"/>
    <w:rPr>
      <w:rFonts w:ascii="Times New Roman" w:hAnsi="Times New Roman" w:eastAsia="宋体" w:cs="Times New Roman"/>
      <w:b/>
    </w:rPr>
  </w:style>
  <w:style w:type="character" w:styleId="37">
    <w:name w:val="endnote reference"/>
    <w:qFormat/>
    <w:uiPriority w:val="0"/>
    <w:rPr>
      <w:rFonts w:ascii="Times New Roman" w:hAnsi="Times New Roman" w:eastAsia="宋体" w:cs="Times New Roman"/>
      <w:vertAlign w:val="superscript"/>
    </w:rPr>
  </w:style>
  <w:style w:type="character" w:styleId="38">
    <w:name w:val="page number"/>
    <w:qFormat/>
    <w:uiPriority w:val="0"/>
    <w:rPr>
      <w:rFonts w:ascii="Times New Roman" w:hAnsi="Times New Roman" w:eastAsia="宋体" w:cs="Times New Roman"/>
    </w:rPr>
  </w:style>
  <w:style w:type="character" w:styleId="39">
    <w:name w:val="FollowedHyperlink"/>
    <w:qFormat/>
    <w:uiPriority w:val="0"/>
    <w:rPr>
      <w:rFonts w:ascii="Times New Roman" w:hAnsi="Times New Roman" w:eastAsia="宋体" w:cs="Times New Roman"/>
      <w:color w:val="800080"/>
      <w:u w:val="single"/>
    </w:rPr>
  </w:style>
  <w:style w:type="character" w:styleId="40">
    <w:name w:val="HTML Definition"/>
    <w:unhideWhenUsed/>
    <w:qFormat/>
    <w:uiPriority w:val="99"/>
    <w:rPr>
      <w:i/>
    </w:rPr>
  </w:style>
  <w:style w:type="character" w:styleId="41">
    <w:name w:val="Hyperlink"/>
    <w:qFormat/>
    <w:uiPriority w:val="0"/>
    <w:rPr>
      <w:rFonts w:ascii="Times New Roman" w:hAnsi="Times New Roman" w:eastAsia="宋体" w:cs="Times New Roman"/>
      <w:color w:val="000000"/>
      <w:u w:val="none"/>
    </w:rPr>
  </w:style>
  <w:style w:type="character" w:styleId="42">
    <w:name w:val="HTML Code"/>
    <w:unhideWhenUsed/>
    <w:qFormat/>
    <w:uiPriority w:val="99"/>
    <w:rPr>
      <w:rFonts w:hint="default" w:ascii="Consolas" w:hAnsi="Consolas" w:eastAsia="Consolas" w:cs="Consolas"/>
      <w:color w:val="C7254E"/>
      <w:sz w:val="21"/>
      <w:szCs w:val="21"/>
      <w:bdr w:val="single" w:color="E1E1E1" w:sz="6" w:space="0"/>
      <w:shd w:val="clear" w:color="auto" w:fill="F9F2F4"/>
    </w:rPr>
  </w:style>
  <w:style w:type="character" w:styleId="43">
    <w:name w:val="annotation reference"/>
    <w:qFormat/>
    <w:uiPriority w:val="0"/>
    <w:rPr>
      <w:rFonts w:ascii="Times New Roman" w:hAnsi="Times New Roman" w:eastAsia="宋体" w:cs="Times New Roman"/>
      <w:sz w:val="21"/>
      <w:szCs w:val="21"/>
    </w:rPr>
  </w:style>
  <w:style w:type="character" w:styleId="44">
    <w:name w:val="footnote reference"/>
    <w:qFormat/>
    <w:uiPriority w:val="0"/>
    <w:rPr>
      <w:rFonts w:ascii="Times New Roman" w:hAnsi="Times New Roman" w:eastAsia="宋体" w:cs="Times New Roman"/>
      <w:vertAlign w:val="superscript"/>
    </w:rPr>
  </w:style>
  <w:style w:type="character" w:styleId="45">
    <w:name w:val="HTML Keyboard"/>
    <w:unhideWhenUsed/>
    <w:qFormat/>
    <w:uiPriority w:val="99"/>
    <w:rPr>
      <w:rFonts w:hint="default" w:ascii="Consolas" w:hAnsi="Consolas" w:eastAsia="Consolas" w:cs="Consolas"/>
      <w:color w:val="FFFFFF"/>
      <w:sz w:val="21"/>
      <w:szCs w:val="21"/>
      <w:shd w:val="clear" w:color="auto" w:fill="333333"/>
    </w:rPr>
  </w:style>
  <w:style w:type="character" w:styleId="46">
    <w:name w:val="HTML Sample"/>
    <w:unhideWhenUsed/>
    <w:qFormat/>
    <w:uiPriority w:val="99"/>
    <w:rPr>
      <w:rFonts w:ascii="Consolas" w:hAnsi="Consolas" w:eastAsia="Consolas" w:cs="Consolas"/>
      <w:sz w:val="21"/>
      <w:szCs w:val="21"/>
    </w:rPr>
  </w:style>
  <w:style w:type="character" w:customStyle="1" w:styleId="47">
    <w:name w:val="正文文本 字符1"/>
    <w:link w:val="6"/>
    <w:qFormat/>
    <w:uiPriority w:val="0"/>
    <w:rPr>
      <w:rFonts w:ascii="Calibri" w:hAnsi="Calibri" w:eastAsia="宋体" w:cs="Times New Roman"/>
      <w:kern w:val="2"/>
      <w:sz w:val="21"/>
      <w:szCs w:val="22"/>
      <w:lang w:val="en-US" w:eastAsia="zh-CN" w:bidi="ar-SA"/>
    </w:rPr>
  </w:style>
  <w:style w:type="character" w:customStyle="1" w:styleId="48">
    <w:name w:val="标题 字符1"/>
    <w:link w:val="4"/>
    <w:qFormat/>
    <w:uiPriority w:val="0"/>
    <w:rPr>
      <w:rFonts w:ascii="Arial" w:hAnsi="Arial" w:eastAsia="宋体" w:cs="Times New Roman"/>
      <w:b/>
      <w:sz w:val="44"/>
      <w:lang w:bidi="ar-SA"/>
    </w:rPr>
  </w:style>
  <w:style w:type="character" w:customStyle="1" w:styleId="49">
    <w:name w:val="标题 1 字符1"/>
    <w:link w:val="3"/>
    <w:qFormat/>
    <w:uiPriority w:val="0"/>
    <w:rPr>
      <w:rFonts w:ascii="Arial" w:hAnsi="Arial" w:eastAsia="宋体" w:cs="Times New Roman"/>
      <w:b/>
      <w:kern w:val="44"/>
      <w:sz w:val="28"/>
      <w:szCs w:val="28"/>
      <w:lang w:val="en-US" w:eastAsia="zh-CN" w:bidi="ar-SA"/>
    </w:rPr>
  </w:style>
  <w:style w:type="character" w:customStyle="1" w:styleId="50">
    <w:name w:val="正文文本首行缩进 字符"/>
    <w:link w:val="5"/>
    <w:qFormat/>
    <w:uiPriority w:val="0"/>
    <w:rPr>
      <w:rFonts w:ascii="Calibri" w:hAnsi="Calibri" w:eastAsia="宋体" w:cs="Times New Roman"/>
      <w:lang w:val="en-US" w:eastAsia="zh-CN" w:bidi="ar-SA"/>
    </w:rPr>
  </w:style>
  <w:style w:type="character" w:customStyle="1" w:styleId="51">
    <w:name w:val="标题 2 字符1"/>
    <w:link w:val="8"/>
    <w:qFormat/>
    <w:uiPriority w:val="0"/>
    <w:rPr>
      <w:rFonts w:ascii="Arial" w:hAnsi="Arial" w:eastAsia="宋体" w:cs="Times New Roman"/>
      <w:b/>
      <w:color w:val="000000"/>
      <w:sz w:val="24"/>
      <w:szCs w:val="24"/>
      <w:lang w:bidi="ar-SA"/>
    </w:rPr>
  </w:style>
  <w:style w:type="character" w:customStyle="1" w:styleId="52">
    <w:name w:val="标题 3 字符1"/>
    <w:link w:val="9"/>
    <w:qFormat/>
    <w:uiPriority w:val="0"/>
    <w:rPr>
      <w:rFonts w:ascii="宋体" w:hAnsi="宋体" w:eastAsia="宋体" w:cs="Times New Roman"/>
      <w:sz w:val="27"/>
      <w:szCs w:val="27"/>
      <w:lang w:val="en-US" w:eastAsia="zh-CN" w:bidi="ar-SA"/>
    </w:rPr>
  </w:style>
  <w:style w:type="character" w:customStyle="1" w:styleId="53">
    <w:name w:val="标题 4 字符1"/>
    <w:link w:val="2"/>
    <w:qFormat/>
    <w:uiPriority w:val="0"/>
    <w:rPr>
      <w:rFonts w:ascii="Arial" w:hAnsi="Arial" w:eastAsia="宋体" w:cs="Times New Roman"/>
      <w:color w:val="000000"/>
      <w:szCs w:val="21"/>
    </w:rPr>
  </w:style>
  <w:style w:type="character" w:customStyle="1" w:styleId="54">
    <w:name w:val="标题 5 字符1"/>
    <w:link w:val="10"/>
    <w:qFormat/>
    <w:uiPriority w:val="0"/>
    <w:rPr>
      <w:rFonts w:ascii="Arial" w:hAnsi="Arial" w:eastAsia="宋体" w:cs="Times New Roman"/>
      <w:color w:val="000000"/>
      <w:szCs w:val="21"/>
    </w:rPr>
  </w:style>
  <w:style w:type="character" w:customStyle="1" w:styleId="55">
    <w:name w:val="标题 6 字符1"/>
    <w:link w:val="12"/>
    <w:qFormat/>
    <w:uiPriority w:val="0"/>
    <w:rPr>
      <w:rFonts w:ascii="Arial" w:hAnsi="Arial" w:eastAsia="黑体" w:cs="Times New Roman"/>
      <w:b/>
      <w:bCs/>
      <w:sz w:val="24"/>
      <w:szCs w:val="24"/>
    </w:rPr>
  </w:style>
  <w:style w:type="character" w:customStyle="1" w:styleId="56">
    <w:name w:val="标题 7 字符1"/>
    <w:link w:val="13"/>
    <w:qFormat/>
    <w:uiPriority w:val="0"/>
    <w:rPr>
      <w:rFonts w:ascii="Times New Roman" w:hAnsi="Times New Roman" w:eastAsia="宋体" w:cs="Times New Roman"/>
      <w:b/>
      <w:sz w:val="24"/>
    </w:rPr>
  </w:style>
  <w:style w:type="character" w:customStyle="1" w:styleId="57">
    <w:name w:val="标题 8 字符1"/>
    <w:link w:val="14"/>
    <w:qFormat/>
    <w:uiPriority w:val="0"/>
    <w:rPr>
      <w:rFonts w:ascii="Arial" w:hAnsi="Arial" w:eastAsia="黑体" w:cs="Times New Roman"/>
      <w:sz w:val="24"/>
    </w:rPr>
  </w:style>
  <w:style w:type="character" w:customStyle="1" w:styleId="58">
    <w:name w:val="标题 9 字符1"/>
    <w:link w:val="15"/>
    <w:qFormat/>
    <w:uiPriority w:val="0"/>
    <w:rPr>
      <w:rFonts w:ascii="Arial" w:hAnsi="Arial" w:eastAsia="黑体" w:cs="Times New Roman"/>
    </w:rPr>
  </w:style>
  <w:style w:type="character" w:customStyle="1" w:styleId="59">
    <w:name w:val="文档结构图 字符1"/>
    <w:link w:val="16"/>
    <w:qFormat/>
    <w:uiPriority w:val="0"/>
    <w:rPr>
      <w:rFonts w:ascii="Times New Roman" w:hAnsi="Times New Roman" w:eastAsia="宋体" w:cs="Times New Roman"/>
      <w:shd w:val="clear" w:color="auto" w:fill="000080"/>
      <w:lang w:bidi="ar-SA"/>
    </w:rPr>
  </w:style>
  <w:style w:type="character" w:customStyle="1" w:styleId="60">
    <w:name w:val="批注文字 字符1"/>
    <w:link w:val="17"/>
    <w:qFormat/>
    <w:uiPriority w:val="0"/>
    <w:rPr>
      <w:rFonts w:ascii="宋体" w:hAnsi="宋体" w:eastAsia="宋体" w:cs="Times New Roman"/>
      <w:sz w:val="24"/>
      <w:szCs w:val="24"/>
      <w:lang w:bidi="ar-SA"/>
    </w:rPr>
  </w:style>
  <w:style w:type="character" w:customStyle="1" w:styleId="61">
    <w:name w:val="正文文本 3 字符"/>
    <w:link w:val="18"/>
    <w:qFormat/>
    <w:uiPriority w:val="0"/>
    <w:rPr>
      <w:rFonts w:ascii="Times New Roman" w:hAnsi="Times New Roman" w:eastAsia="宋体" w:cs="Times New Roman"/>
      <w:kern w:val="2"/>
      <w:sz w:val="16"/>
      <w:szCs w:val="16"/>
    </w:rPr>
  </w:style>
  <w:style w:type="character" w:customStyle="1" w:styleId="62">
    <w:name w:val="正文文本缩进 字符1"/>
    <w:link w:val="19"/>
    <w:qFormat/>
    <w:uiPriority w:val="0"/>
    <w:rPr>
      <w:rFonts w:ascii="Times New Roman" w:hAnsi="Times New Roman" w:eastAsia="宋体" w:cs="Times New Roman"/>
      <w:sz w:val="28"/>
      <w:lang w:bidi="ar-SA"/>
    </w:rPr>
  </w:style>
  <w:style w:type="character" w:customStyle="1" w:styleId="63">
    <w:name w:val="纯文本 字符1"/>
    <w:link w:val="20"/>
    <w:qFormat/>
    <w:uiPriority w:val="0"/>
    <w:rPr>
      <w:rFonts w:ascii="宋体" w:hAnsi="Courier New" w:eastAsia="宋体" w:cs="Times New Roman"/>
      <w:lang w:bidi="ar-SA"/>
    </w:rPr>
  </w:style>
  <w:style w:type="character" w:customStyle="1" w:styleId="64">
    <w:name w:val="日期 字符1"/>
    <w:link w:val="21"/>
    <w:qFormat/>
    <w:uiPriority w:val="0"/>
    <w:rPr>
      <w:rFonts w:ascii="Times New Roman" w:hAnsi="Times New Roman" w:eastAsia="宋体" w:cs="Times New Roman"/>
      <w:lang w:bidi="ar-SA"/>
    </w:rPr>
  </w:style>
  <w:style w:type="character" w:customStyle="1" w:styleId="65">
    <w:name w:val="正文文本缩进 2 字符1"/>
    <w:link w:val="22"/>
    <w:qFormat/>
    <w:uiPriority w:val="0"/>
    <w:rPr>
      <w:rFonts w:ascii="Times New Roman" w:hAnsi="Times New Roman" w:eastAsia="宋体" w:cs="Times New Roman"/>
      <w:color w:val="000000"/>
      <w:sz w:val="24"/>
      <w:lang w:bidi="ar-SA"/>
    </w:rPr>
  </w:style>
  <w:style w:type="character" w:customStyle="1" w:styleId="66">
    <w:name w:val="尾注文本 字符1"/>
    <w:link w:val="23"/>
    <w:qFormat/>
    <w:uiPriority w:val="0"/>
    <w:rPr>
      <w:rFonts w:ascii="Times New Roman" w:hAnsi="Times New Roman" w:eastAsia="宋体" w:cs="Times New Roman"/>
      <w:lang w:bidi="ar-SA"/>
    </w:rPr>
  </w:style>
  <w:style w:type="character" w:customStyle="1" w:styleId="67">
    <w:name w:val="批注框文本 字符1"/>
    <w:link w:val="24"/>
    <w:qFormat/>
    <w:uiPriority w:val="0"/>
    <w:rPr>
      <w:rFonts w:ascii="Times New Roman" w:hAnsi="Times New Roman" w:eastAsia="宋体" w:cs="Times New Roman"/>
      <w:sz w:val="18"/>
      <w:szCs w:val="18"/>
      <w:lang w:bidi="ar-SA"/>
    </w:rPr>
  </w:style>
  <w:style w:type="character" w:customStyle="1" w:styleId="68">
    <w:name w:val="页脚 字符1"/>
    <w:link w:val="25"/>
    <w:qFormat/>
    <w:uiPriority w:val="99"/>
    <w:rPr>
      <w:rFonts w:ascii="Times New Roman" w:hAnsi="Times New Roman" w:eastAsia="宋体" w:cs="Times New Roman"/>
      <w:sz w:val="18"/>
      <w:szCs w:val="18"/>
    </w:rPr>
  </w:style>
  <w:style w:type="character" w:customStyle="1" w:styleId="69">
    <w:name w:val="页眉 字符1"/>
    <w:link w:val="26"/>
    <w:qFormat/>
    <w:uiPriority w:val="0"/>
    <w:rPr>
      <w:rFonts w:ascii="Times New Roman" w:hAnsi="Times New Roman" w:eastAsia="宋体" w:cs="Times New Roman"/>
      <w:sz w:val="18"/>
      <w:szCs w:val="18"/>
    </w:rPr>
  </w:style>
  <w:style w:type="character" w:customStyle="1" w:styleId="70">
    <w:name w:val="脚注文本 字符1"/>
    <w:link w:val="28"/>
    <w:qFormat/>
    <w:uiPriority w:val="0"/>
    <w:rPr>
      <w:rFonts w:ascii="宋体" w:hAnsi="宋体" w:eastAsia="宋体" w:cs="Times New Roman"/>
      <w:sz w:val="18"/>
      <w:szCs w:val="18"/>
      <w:lang w:bidi="ar-SA"/>
    </w:rPr>
  </w:style>
  <w:style w:type="character" w:customStyle="1" w:styleId="71">
    <w:name w:val="正文文本缩进 3 字符1"/>
    <w:link w:val="29"/>
    <w:qFormat/>
    <w:uiPriority w:val="0"/>
    <w:rPr>
      <w:rFonts w:ascii="Times New Roman" w:hAnsi="Times New Roman" w:eastAsia="宋体" w:cs="Times New Roman"/>
      <w:color w:val="000000"/>
      <w:sz w:val="24"/>
    </w:rPr>
  </w:style>
  <w:style w:type="character" w:customStyle="1" w:styleId="72">
    <w:name w:val="正文文本 2 字符1"/>
    <w:link w:val="31"/>
    <w:qFormat/>
    <w:uiPriority w:val="0"/>
    <w:rPr>
      <w:rFonts w:ascii="宋体" w:hAnsi="宋体" w:eastAsia="宋体" w:cs="Times New Roman"/>
      <w:szCs w:val="24"/>
      <w:u w:val="single"/>
      <w:lang w:bidi="ar-SA"/>
    </w:rPr>
  </w:style>
  <w:style w:type="character" w:customStyle="1" w:styleId="73">
    <w:name w:val="批注主题 字符1"/>
    <w:link w:val="33"/>
    <w:qFormat/>
    <w:uiPriority w:val="0"/>
    <w:rPr>
      <w:rFonts w:ascii="宋体" w:hAnsi="宋体" w:eastAsia="宋体" w:cs="Times New Roman"/>
      <w:b/>
      <w:bCs/>
      <w:sz w:val="24"/>
      <w:szCs w:val="24"/>
    </w:rPr>
  </w:style>
  <w:style w:type="character" w:customStyle="1" w:styleId="74">
    <w:name w:val="批注主题 Char1"/>
    <w:qFormat/>
    <w:uiPriority w:val="0"/>
    <w:rPr>
      <w:rFonts w:ascii="Times New Roman" w:hAnsi="Times New Roman" w:eastAsia="宋体" w:cs="Times New Roman"/>
      <w:b/>
      <w:bCs/>
      <w:kern w:val="2"/>
      <w:sz w:val="21"/>
      <w:szCs w:val="22"/>
    </w:rPr>
  </w:style>
  <w:style w:type="character" w:customStyle="1" w:styleId="75">
    <w:name w:val="times"/>
    <w:qFormat/>
    <w:uiPriority w:val="0"/>
    <w:rPr>
      <w:rFonts w:ascii="Times New Roman" w:hAnsi="Times New Roman" w:eastAsia="宋体" w:cs="Times New Roman"/>
      <w:color w:val="3399FF"/>
      <w:bdr w:val="single" w:color="D1EDF8" w:sz="4" w:space="0"/>
      <w:shd w:val="clear" w:color="auto" w:fill="EAF9FF"/>
    </w:rPr>
  </w:style>
  <w:style w:type="character" w:customStyle="1" w:styleId="76">
    <w:name w:val="正文文本缩进 2 字符"/>
    <w:qFormat/>
    <w:uiPriority w:val="0"/>
    <w:rPr>
      <w:rFonts w:ascii="Calibri" w:hAnsi="Calibri" w:eastAsia="宋体" w:cs="Times New Roman"/>
    </w:rPr>
  </w:style>
  <w:style w:type="character" w:customStyle="1" w:styleId="77">
    <w:name w:val="正文文本 Char1"/>
    <w:qFormat/>
    <w:uiPriority w:val="0"/>
    <w:rPr>
      <w:rFonts w:ascii="Times New Roman" w:hAnsi="Times New Roman" w:eastAsia="宋体" w:cs="Times New Roman"/>
      <w:kern w:val="2"/>
      <w:sz w:val="21"/>
      <w:szCs w:val="22"/>
    </w:rPr>
  </w:style>
  <w:style w:type="character" w:customStyle="1" w:styleId="78">
    <w:name w:val="hover41"/>
    <w:qFormat/>
    <w:uiPriority w:val="0"/>
    <w:rPr>
      <w:rFonts w:ascii="Times New Roman" w:hAnsi="Times New Roman" w:eastAsia="宋体" w:cs="Times New Roman"/>
    </w:rPr>
  </w:style>
  <w:style w:type="character" w:customStyle="1" w:styleId="79">
    <w:name w:val="日期 字符"/>
    <w:qFormat/>
    <w:uiPriority w:val="0"/>
    <w:rPr>
      <w:rFonts w:ascii="Calibri" w:hAnsi="Calibri" w:eastAsia="宋体" w:cs="Times New Roman"/>
    </w:rPr>
  </w:style>
  <w:style w:type="character" w:customStyle="1" w:styleId="80">
    <w:name w:val="标题 3 字符"/>
    <w:qFormat/>
    <w:uiPriority w:val="0"/>
    <w:rPr>
      <w:rFonts w:ascii="Calibri" w:hAnsi="Calibri" w:eastAsia="宋体" w:cs="Times New Roman"/>
      <w:b/>
      <w:bCs/>
      <w:sz w:val="32"/>
      <w:szCs w:val="32"/>
    </w:rPr>
  </w:style>
  <w:style w:type="character" w:customStyle="1" w:styleId="81">
    <w:name w:val="文一 Char Char"/>
    <w:qFormat/>
    <w:uiPriority w:val="0"/>
    <w:rPr>
      <w:rFonts w:ascii="Times New Roman" w:hAnsi="Times New Roman" w:eastAsia="宋体" w:cs="Times New Roman"/>
      <w:snapToGrid w:val="0"/>
      <w:spacing w:val="4"/>
      <w:sz w:val="24"/>
      <w:szCs w:val="24"/>
    </w:rPr>
  </w:style>
  <w:style w:type="character" w:customStyle="1" w:styleId="82">
    <w:name w:val="hover42"/>
    <w:qFormat/>
    <w:uiPriority w:val="0"/>
    <w:rPr>
      <w:rFonts w:ascii="Times New Roman" w:hAnsi="Times New Roman" w:eastAsia="宋体" w:cs="Times New Roman"/>
    </w:rPr>
  </w:style>
  <w:style w:type="character" w:customStyle="1" w:styleId="83">
    <w:name w:val="文档结构图 Char1"/>
    <w:qFormat/>
    <w:uiPriority w:val="0"/>
    <w:rPr>
      <w:rFonts w:ascii="宋体" w:hAnsi="Times New Roman" w:eastAsia="宋体" w:cs="Times New Roman"/>
      <w:kern w:val="2"/>
      <w:sz w:val="18"/>
      <w:szCs w:val="18"/>
    </w:rPr>
  </w:style>
  <w:style w:type="character" w:customStyle="1" w:styleId="84">
    <w:name w:val="正文文本缩进 Char1"/>
    <w:qFormat/>
    <w:uiPriority w:val="0"/>
    <w:rPr>
      <w:rFonts w:ascii="Times New Roman" w:hAnsi="Times New Roman" w:eastAsia="宋体" w:cs="Times New Roman"/>
      <w:kern w:val="2"/>
      <w:sz w:val="21"/>
      <w:szCs w:val="22"/>
    </w:rPr>
  </w:style>
  <w:style w:type="character" w:customStyle="1" w:styleId="85">
    <w:name w:val="标题 4 字符"/>
    <w:qFormat/>
    <w:uiPriority w:val="0"/>
    <w:rPr>
      <w:rFonts w:ascii="等线 Light" w:hAnsi="等线 Light" w:eastAsia="等线 Light" w:cs="Times New Roman"/>
      <w:b/>
      <w:bCs/>
      <w:sz w:val="28"/>
      <w:szCs w:val="28"/>
    </w:rPr>
  </w:style>
  <w:style w:type="character" w:customStyle="1" w:styleId="86">
    <w:name w:val="标题 6 字符"/>
    <w:qFormat/>
    <w:uiPriority w:val="0"/>
    <w:rPr>
      <w:rFonts w:ascii="等线 Light" w:hAnsi="等线 Light" w:eastAsia="等线 Light" w:cs="Times New Roman"/>
      <w:b/>
      <w:bCs/>
      <w:sz w:val="24"/>
      <w:szCs w:val="24"/>
    </w:rPr>
  </w:style>
  <w:style w:type="character" w:customStyle="1" w:styleId="87">
    <w:name w:val="标题 7 字符"/>
    <w:qFormat/>
    <w:uiPriority w:val="0"/>
    <w:rPr>
      <w:rFonts w:ascii="Calibri" w:hAnsi="Calibri" w:eastAsia="宋体" w:cs="Times New Roman"/>
      <w:b/>
      <w:bCs/>
      <w:sz w:val="24"/>
      <w:szCs w:val="24"/>
    </w:rPr>
  </w:style>
  <w:style w:type="character" w:customStyle="1" w:styleId="88">
    <w:name w:val="标题 1 字符"/>
    <w:qFormat/>
    <w:uiPriority w:val="0"/>
    <w:rPr>
      <w:rFonts w:ascii="Calibri" w:hAnsi="Calibri" w:eastAsia="宋体" w:cs="Times New Roman"/>
      <w:b/>
      <w:bCs/>
      <w:kern w:val="44"/>
      <w:sz w:val="44"/>
      <w:szCs w:val="44"/>
    </w:rPr>
  </w:style>
  <w:style w:type="character" w:customStyle="1" w:styleId="89">
    <w:name w:val="尾注文本 Char1"/>
    <w:qFormat/>
    <w:uiPriority w:val="0"/>
    <w:rPr>
      <w:rFonts w:ascii="Times New Roman" w:hAnsi="Times New Roman" w:eastAsia="宋体" w:cs="Times New Roman"/>
      <w:kern w:val="2"/>
      <w:sz w:val="21"/>
      <w:szCs w:val="22"/>
    </w:rPr>
  </w:style>
  <w:style w:type="character" w:customStyle="1" w:styleId="90">
    <w:name w:val="日期 Char1"/>
    <w:qFormat/>
    <w:uiPriority w:val="0"/>
    <w:rPr>
      <w:rFonts w:ascii="Times New Roman" w:hAnsi="Times New Roman" w:eastAsia="宋体" w:cs="Times New Roman"/>
      <w:kern w:val="2"/>
      <w:sz w:val="21"/>
      <w:szCs w:val="22"/>
    </w:rPr>
  </w:style>
  <w:style w:type="character" w:customStyle="1" w:styleId="91">
    <w:name w:val="title24"/>
    <w:qFormat/>
    <w:uiPriority w:val="0"/>
  </w:style>
  <w:style w:type="character" w:customStyle="1" w:styleId="92">
    <w:name w:val="正文文本缩进 3 Char2"/>
    <w:qFormat/>
    <w:uiPriority w:val="0"/>
    <w:rPr>
      <w:rFonts w:ascii="Times New Roman" w:hAnsi="Times New Roman" w:eastAsia="宋体" w:cs="Times New Roman"/>
      <w:kern w:val="2"/>
      <w:sz w:val="16"/>
      <w:szCs w:val="16"/>
    </w:rPr>
  </w:style>
  <w:style w:type="character" w:customStyle="1" w:styleId="93">
    <w:name w:val="批注主题 Char2"/>
    <w:qFormat/>
    <w:uiPriority w:val="0"/>
    <w:rPr>
      <w:rFonts w:ascii="宋体" w:hAnsi="宋体" w:eastAsia="宋体" w:cs="Times New Roman"/>
      <w:b/>
      <w:bCs/>
      <w:kern w:val="2"/>
      <w:sz w:val="21"/>
      <w:szCs w:val="22"/>
      <w:lang w:bidi="ar-SA"/>
    </w:rPr>
  </w:style>
  <w:style w:type="character" w:customStyle="1" w:styleId="94">
    <w:name w:val="title21"/>
    <w:qFormat/>
    <w:uiPriority w:val="0"/>
  </w:style>
  <w:style w:type="character" w:customStyle="1" w:styleId="95">
    <w:name w:val="批注文字 字符"/>
    <w:qFormat/>
    <w:uiPriority w:val="0"/>
    <w:rPr>
      <w:rFonts w:ascii="Calibri" w:hAnsi="Calibri" w:eastAsia="宋体" w:cs="Times New Roman"/>
    </w:rPr>
  </w:style>
  <w:style w:type="character" w:customStyle="1" w:styleId="96">
    <w:name w:val="文档结构图 字符"/>
    <w:qFormat/>
    <w:uiPriority w:val="0"/>
    <w:rPr>
      <w:rFonts w:ascii="Microsoft YaHei UI" w:hAnsi="Calibri" w:eastAsia="Microsoft YaHei UI" w:cs="Times New Roman"/>
      <w:sz w:val="18"/>
      <w:szCs w:val="18"/>
    </w:rPr>
  </w:style>
  <w:style w:type="character" w:customStyle="1" w:styleId="97">
    <w:name w:val="正文文本1"/>
    <w:qFormat/>
    <w:uiPriority w:val="0"/>
    <w:rPr>
      <w:rFonts w:ascii="宋体" w:hAnsi="宋体" w:eastAsia="宋体" w:cs="宋体"/>
      <w:color w:val="000000"/>
      <w:spacing w:val="0"/>
      <w:w w:val="100"/>
      <w:position w:val="0"/>
      <w:sz w:val="19"/>
      <w:szCs w:val="19"/>
      <w:shd w:val="clear" w:color="auto" w:fill="FFFFFF"/>
      <w:lang w:val="zh-TW"/>
    </w:rPr>
  </w:style>
  <w:style w:type="character" w:customStyle="1" w:styleId="98">
    <w:name w:val="尾注文本 字符"/>
    <w:qFormat/>
    <w:uiPriority w:val="0"/>
    <w:rPr>
      <w:rFonts w:ascii="Calibri" w:hAnsi="Calibri" w:eastAsia="宋体" w:cs="Times New Roman"/>
    </w:rPr>
  </w:style>
  <w:style w:type="character" w:customStyle="1" w:styleId="99">
    <w:name w:val="脚注文本 Char1"/>
    <w:qFormat/>
    <w:uiPriority w:val="0"/>
    <w:rPr>
      <w:rFonts w:ascii="Times New Roman" w:hAnsi="Times New Roman" w:eastAsia="宋体" w:cs="Times New Roman"/>
      <w:kern w:val="2"/>
      <w:sz w:val="18"/>
      <w:szCs w:val="18"/>
    </w:rPr>
  </w:style>
  <w:style w:type="character" w:customStyle="1" w:styleId="100">
    <w:name w:val="脚注文本 字符"/>
    <w:qFormat/>
    <w:uiPriority w:val="0"/>
    <w:rPr>
      <w:rFonts w:ascii="Calibri" w:hAnsi="Calibri" w:eastAsia="宋体" w:cs="Times New Roman"/>
      <w:sz w:val="18"/>
      <w:szCs w:val="18"/>
    </w:rPr>
  </w:style>
  <w:style w:type="character" w:customStyle="1" w:styleId="101">
    <w:name w:val="页脚 字符"/>
    <w:qFormat/>
    <w:uiPriority w:val="0"/>
    <w:rPr>
      <w:rFonts w:ascii="Calibri" w:hAnsi="Calibri" w:eastAsia="宋体" w:cs="Times New Roman"/>
      <w:sz w:val="18"/>
      <w:szCs w:val="18"/>
    </w:rPr>
  </w:style>
  <w:style w:type="character" w:customStyle="1" w:styleId="102">
    <w:name w:val="正文文本缩进 2 Char1"/>
    <w:qFormat/>
    <w:uiPriority w:val="0"/>
    <w:rPr>
      <w:rFonts w:ascii="Times New Roman" w:hAnsi="Times New Roman" w:eastAsia="宋体" w:cs="Times New Roman"/>
      <w:kern w:val="2"/>
      <w:sz w:val="21"/>
      <w:szCs w:val="22"/>
    </w:rPr>
  </w:style>
  <w:style w:type="character" w:customStyle="1" w:styleId="103">
    <w:name w:val="批注主题 字符"/>
    <w:qFormat/>
    <w:uiPriority w:val="0"/>
    <w:rPr>
      <w:rFonts w:ascii="Calibri" w:hAnsi="Calibri" w:eastAsia="宋体" w:cs="Times New Roman"/>
      <w:b/>
      <w:bCs/>
    </w:rPr>
  </w:style>
  <w:style w:type="character" w:customStyle="1" w:styleId="104">
    <w:name w:val="标题 2 字符"/>
    <w:qFormat/>
    <w:uiPriority w:val="0"/>
    <w:rPr>
      <w:rFonts w:ascii="等线 Light" w:hAnsi="等线 Light" w:eastAsia="等线 Light" w:cs="Times New Roman"/>
      <w:b/>
      <w:bCs/>
      <w:sz w:val="32"/>
      <w:szCs w:val="32"/>
    </w:rPr>
  </w:style>
  <w:style w:type="character" w:customStyle="1" w:styleId="105">
    <w:name w:val="正文首行缩进 字符"/>
    <w:qFormat/>
    <w:uiPriority w:val="0"/>
    <w:rPr>
      <w:rFonts w:ascii="Times New Roman" w:hAnsi="Times New Roman" w:eastAsia="宋体" w:cs="Times New Roman"/>
    </w:rPr>
  </w:style>
  <w:style w:type="character" w:customStyle="1" w:styleId="106">
    <w:name w:val="正文文本缩进 3 Char1"/>
    <w:qFormat/>
    <w:uiPriority w:val="0"/>
    <w:rPr>
      <w:rFonts w:ascii="Times New Roman" w:hAnsi="Times New Roman" w:eastAsia="宋体" w:cs="Times New Roman"/>
      <w:kern w:val="2"/>
      <w:sz w:val="16"/>
      <w:szCs w:val="16"/>
    </w:rPr>
  </w:style>
  <w:style w:type="character" w:customStyle="1" w:styleId="107">
    <w:name w:val="纯文本 Char1"/>
    <w:qFormat/>
    <w:uiPriority w:val="0"/>
    <w:rPr>
      <w:rFonts w:ascii="宋体" w:hAnsi="Courier New" w:eastAsia="宋体" w:cs="Courier New"/>
      <w:kern w:val="2"/>
      <w:sz w:val="21"/>
      <w:szCs w:val="21"/>
    </w:rPr>
  </w:style>
  <w:style w:type="character" w:customStyle="1" w:styleId="108">
    <w:name w:val="批注文字 Char1"/>
    <w:qFormat/>
    <w:uiPriority w:val="0"/>
    <w:rPr>
      <w:rFonts w:ascii="Times New Roman" w:hAnsi="Times New Roman" w:eastAsia="宋体" w:cs="Times New Roman"/>
      <w:kern w:val="2"/>
      <w:sz w:val="21"/>
      <w:szCs w:val="22"/>
    </w:rPr>
  </w:style>
  <w:style w:type="character" w:customStyle="1" w:styleId="109">
    <w:name w:val="标题 8 字符"/>
    <w:qFormat/>
    <w:uiPriority w:val="0"/>
    <w:rPr>
      <w:rFonts w:ascii="等线 Light" w:hAnsi="等线 Light" w:eastAsia="等线 Light" w:cs="Times New Roman"/>
      <w:sz w:val="24"/>
      <w:szCs w:val="24"/>
    </w:rPr>
  </w:style>
  <w:style w:type="character" w:customStyle="1" w:styleId="110">
    <w:name w:val="批注框文本 字符"/>
    <w:qFormat/>
    <w:uiPriority w:val="0"/>
    <w:rPr>
      <w:rFonts w:ascii="Calibri" w:hAnsi="Calibri" w:eastAsia="宋体" w:cs="Times New Roman"/>
      <w:sz w:val="18"/>
      <w:szCs w:val="18"/>
    </w:rPr>
  </w:style>
  <w:style w:type="character" w:customStyle="1" w:styleId="111">
    <w:name w:val="_Style 110"/>
    <w:unhideWhenUsed/>
    <w:qFormat/>
    <w:uiPriority w:val="99"/>
    <w:rPr>
      <w:rFonts w:ascii="Times New Roman" w:hAnsi="Times New Roman" w:eastAsia="宋体" w:cs="Times New Roman"/>
      <w:color w:val="605E5C"/>
      <w:shd w:val="clear" w:color="auto" w:fill="E1DFDD"/>
    </w:rPr>
  </w:style>
  <w:style w:type="character" w:customStyle="1" w:styleId="112">
    <w:name w:val="正文文本_"/>
    <w:link w:val="113"/>
    <w:qFormat/>
    <w:uiPriority w:val="0"/>
    <w:rPr>
      <w:rFonts w:ascii="宋体" w:hAnsi="宋体" w:eastAsia="宋体" w:cs="宋体"/>
      <w:sz w:val="19"/>
      <w:szCs w:val="19"/>
      <w:shd w:val="clear" w:color="auto" w:fill="FFFFFF"/>
    </w:rPr>
  </w:style>
  <w:style w:type="paragraph" w:customStyle="1" w:styleId="113">
    <w:name w:val="正文文本3"/>
    <w:basedOn w:val="1"/>
    <w:link w:val="112"/>
    <w:qFormat/>
    <w:uiPriority w:val="0"/>
    <w:pPr>
      <w:shd w:val="clear" w:color="auto" w:fill="FFFFFF"/>
      <w:spacing w:line="0" w:lineRule="atLeast"/>
      <w:jc w:val="left"/>
    </w:pPr>
    <w:rPr>
      <w:rFonts w:ascii="宋体" w:hAnsi="宋体"/>
      <w:kern w:val="0"/>
      <w:sz w:val="19"/>
      <w:szCs w:val="19"/>
    </w:rPr>
  </w:style>
  <w:style w:type="character" w:customStyle="1" w:styleId="114">
    <w:name w:val="标题 5 字符"/>
    <w:qFormat/>
    <w:uiPriority w:val="0"/>
    <w:rPr>
      <w:rFonts w:ascii="Calibri" w:hAnsi="Calibri" w:eastAsia="宋体" w:cs="Times New Roman"/>
      <w:b/>
      <w:bCs/>
      <w:sz w:val="28"/>
      <w:szCs w:val="28"/>
    </w:rPr>
  </w:style>
  <w:style w:type="character" w:customStyle="1" w:styleId="115">
    <w:name w:val="正文文本 2 字符"/>
    <w:qFormat/>
    <w:uiPriority w:val="0"/>
    <w:rPr>
      <w:rFonts w:ascii="Calibri" w:hAnsi="Calibri" w:eastAsia="宋体" w:cs="Times New Roman"/>
    </w:rPr>
  </w:style>
  <w:style w:type="character" w:customStyle="1" w:styleId="116">
    <w:name w:val="正文文本缩进 字符"/>
    <w:qFormat/>
    <w:uiPriority w:val="0"/>
    <w:rPr>
      <w:rFonts w:ascii="Calibri" w:hAnsi="Calibri" w:eastAsia="宋体" w:cs="Times New Roman"/>
    </w:rPr>
  </w:style>
  <w:style w:type="character" w:customStyle="1" w:styleId="117">
    <w:name w:val="标题 字符"/>
    <w:qFormat/>
    <w:uiPriority w:val="0"/>
    <w:rPr>
      <w:rFonts w:ascii="等线 Light" w:hAnsi="等线 Light" w:eastAsia="等线 Light" w:cs="Times New Roman"/>
      <w:b/>
      <w:bCs/>
      <w:sz w:val="32"/>
      <w:szCs w:val="32"/>
    </w:rPr>
  </w:style>
  <w:style w:type="character" w:customStyle="1" w:styleId="118">
    <w:name w:val="正文文本 + Century Schoolbook"/>
    <w:qFormat/>
    <w:uiPriority w:val="0"/>
    <w:rPr>
      <w:rFonts w:ascii="Century Schoolbook" w:hAnsi="Century Schoolbook" w:eastAsia="Century Schoolbook" w:cs="Century Schoolbook"/>
      <w:b/>
      <w:bCs/>
      <w:color w:val="000000"/>
      <w:spacing w:val="10"/>
      <w:w w:val="100"/>
      <w:position w:val="0"/>
      <w:sz w:val="17"/>
      <w:szCs w:val="17"/>
      <w:shd w:val="clear" w:color="auto" w:fill="FFFFFF"/>
      <w:lang w:val="en-US"/>
    </w:rPr>
  </w:style>
  <w:style w:type="character" w:customStyle="1" w:styleId="119">
    <w:name w:val="文一 Char"/>
    <w:link w:val="120"/>
    <w:qFormat/>
    <w:uiPriority w:val="0"/>
    <w:rPr>
      <w:rFonts w:ascii="Times New Roman" w:hAnsi="Times New Roman" w:eastAsia="宋体" w:cs="Times New Roman"/>
      <w:spacing w:val="4"/>
      <w:sz w:val="24"/>
      <w:szCs w:val="24"/>
      <w:lang w:bidi="ar-SA"/>
    </w:rPr>
  </w:style>
  <w:style w:type="paragraph" w:customStyle="1" w:styleId="120">
    <w:name w:val="文一"/>
    <w:basedOn w:val="1"/>
    <w:link w:val="119"/>
    <w:qFormat/>
    <w:uiPriority w:val="0"/>
    <w:pPr>
      <w:topLinePunct/>
      <w:adjustRightInd w:val="0"/>
      <w:snapToGrid w:val="0"/>
      <w:spacing w:line="360" w:lineRule="auto"/>
      <w:ind w:firstLine="200" w:firstLineChars="200"/>
    </w:pPr>
    <w:rPr>
      <w:spacing w:val="4"/>
      <w:kern w:val="0"/>
      <w:sz w:val="24"/>
      <w:szCs w:val="24"/>
    </w:rPr>
  </w:style>
  <w:style w:type="character" w:customStyle="1" w:styleId="121">
    <w:name w:val="纯文本 字符"/>
    <w:qFormat/>
    <w:uiPriority w:val="0"/>
    <w:rPr>
      <w:rFonts w:ascii="等线" w:hAnsi="Courier New" w:eastAsia="宋体" w:cs="Courier New"/>
    </w:rPr>
  </w:style>
  <w:style w:type="character" w:customStyle="1" w:styleId="122">
    <w:name w:val="font51"/>
    <w:qFormat/>
    <w:uiPriority w:val="0"/>
    <w:rPr>
      <w:rFonts w:hint="eastAsia" w:ascii="宋体" w:hAnsi="宋体" w:eastAsia="宋体" w:cs="宋体"/>
      <w:color w:val="000000"/>
      <w:sz w:val="20"/>
      <w:szCs w:val="20"/>
      <w:u w:val="none"/>
    </w:rPr>
  </w:style>
  <w:style w:type="character" w:customStyle="1" w:styleId="123">
    <w:name w:val="标题 9 字符"/>
    <w:qFormat/>
    <w:uiPriority w:val="0"/>
    <w:rPr>
      <w:rFonts w:ascii="等线 Light" w:hAnsi="等线 Light" w:eastAsia="等线 Light" w:cs="Times New Roman"/>
      <w:szCs w:val="21"/>
    </w:rPr>
  </w:style>
  <w:style w:type="character" w:customStyle="1" w:styleId="124">
    <w:name w:val="正文文本 字符"/>
    <w:qFormat/>
    <w:uiPriority w:val="0"/>
    <w:rPr>
      <w:rFonts w:ascii="Calibri" w:hAnsi="Calibri" w:eastAsia="宋体" w:cs="Times New Roman"/>
    </w:rPr>
  </w:style>
  <w:style w:type="character" w:customStyle="1" w:styleId="125">
    <w:name w:val="正文文本 2 Char1"/>
    <w:qFormat/>
    <w:uiPriority w:val="0"/>
    <w:rPr>
      <w:rFonts w:ascii="Times New Roman" w:hAnsi="Times New Roman" w:eastAsia="宋体" w:cs="Times New Roman"/>
      <w:kern w:val="2"/>
      <w:sz w:val="21"/>
      <w:szCs w:val="22"/>
    </w:rPr>
  </w:style>
  <w:style w:type="character" w:customStyle="1" w:styleId="126">
    <w:name w:val="times1"/>
    <w:qFormat/>
    <w:uiPriority w:val="0"/>
    <w:rPr>
      <w:rFonts w:ascii="Times New Roman" w:hAnsi="Times New Roman" w:eastAsia="宋体" w:cs="Times New Roman"/>
      <w:color w:val="CDCDCD"/>
      <w:bdr w:val="single" w:color="CDCDCD" w:sz="4" w:space="0"/>
      <w:shd w:val="clear" w:color="auto" w:fill="EFEFEF"/>
    </w:rPr>
  </w:style>
  <w:style w:type="character" w:customStyle="1" w:styleId="127">
    <w:name w:val="username"/>
    <w:qFormat/>
    <w:uiPriority w:val="0"/>
  </w:style>
  <w:style w:type="character" w:customStyle="1" w:styleId="128">
    <w:name w:val="批注框文本 Char1"/>
    <w:qFormat/>
    <w:uiPriority w:val="0"/>
    <w:rPr>
      <w:rFonts w:ascii="Times New Roman" w:hAnsi="Times New Roman" w:eastAsia="宋体" w:cs="Times New Roman"/>
      <w:kern w:val="2"/>
      <w:sz w:val="18"/>
      <w:szCs w:val="18"/>
    </w:rPr>
  </w:style>
  <w:style w:type="character" w:customStyle="1" w:styleId="129">
    <w:name w:val="正文文本缩进 3 字符"/>
    <w:qFormat/>
    <w:uiPriority w:val="0"/>
    <w:rPr>
      <w:rFonts w:ascii="Calibri" w:hAnsi="Calibri" w:eastAsia="宋体" w:cs="Times New Roman"/>
      <w:sz w:val="16"/>
      <w:szCs w:val="16"/>
    </w:rPr>
  </w:style>
  <w:style w:type="character" w:customStyle="1" w:styleId="130">
    <w:name w:val="页眉 字符"/>
    <w:qFormat/>
    <w:uiPriority w:val="0"/>
    <w:rPr>
      <w:rFonts w:ascii="Calibri" w:hAnsi="Calibri" w:eastAsia="宋体" w:cs="Times New Roman"/>
      <w:sz w:val="18"/>
      <w:szCs w:val="18"/>
    </w:rPr>
  </w:style>
  <w:style w:type="character" w:customStyle="1" w:styleId="131">
    <w:name w:val="标题 Char1"/>
    <w:qFormat/>
    <w:uiPriority w:val="0"/>
    <w:rPr>
      <w:rFonts w:ascii="Cambria" w:hAnsi="Cambria" w:eastAsia="宋体" w:cs="Times New Roman"/>
      <w:b/>
      <w:bCs/>
      <w:kern w:val="2"/>
      <w:sz w:val="32"/>
      <w:szCs w:val="32"/>
    </w:rPr>
  </w:style>
  <w:style w:type="paragraph" w:customStyle="1" w:styleId="132">
    <w:name w:val="正文 A"/>
    <w:qFormat/>
    <w:uiPriority w:val="0"/>
    <w:pPr>
      <w:framePr w:wrap="around" w:vAnchor="margin" w:hAnchor="text" w:y="1"/>
    </w:pPr>
    <w:rPr>
      <w:rFonts w:ascii="Tahoma" w:hAnsi="Tahoma" w:eastAsia="Tahoma" w:cs="Tahoma"/>
      <w:color w:val="000000"/>
      <w:sz w:val="21"/>
      <w:szCs w:val="21"/>
      <w:u w:val="none" w:color="000000"/>
      <w:lang w:val="en-US" w:eastAsia="zh-CN" w:bidi="ar-SA"/>
    </w:rPr>
  </w:style>
  <w:style w:type="paragraph" w:customStyle="1" w:styleId="133">
    <w:name w:val="正文_1"/>
    <w:basedOn w:val="1"/>
    <w:qFormat/>
    <w:uiPriority w:val="0"/>
    <w:pPr>
      <w:keepNext w:val="0"/>
      <w:keepLines w:val="0"/>
      <w:widowControl/>
      <w:suppressLineNumbers w:val="0"/>
      <w:spacing w:before="0" w:beforeAutospacing="0" w:after="0" w:afterAutospacing="0"/>
      <w:ind w:left="0" w:right="0"/>
      <w:jc w:val="left"/>
    </w:pPr>
    <w:rPr>
      <w:rFonts w:hint="default" w:ascii="Times New Roman" w:hAnsi="Times New Roman" w:eastAsia="宋体" w:cs="Times New Roman"/>
      <w:kern w:val="0"/>
      <w:sz w:val="21"/>
      <w:szCs w:val="20"/>
      <w:lang w:val="en-US" w:eastAsia="zh-CN" w:bidi="ar"/>
    </w:rPr>
  </w:style>
  <w:style w:type="paragraph" w:customStyle="1" w:styleId="134">
    <w:name w:val="文二"/>
    <w:basedOn w:val="1"/>
    <w:qFormat/>
    <w:uiPriority w:val="0"/>
    <w:pPr>
      <w:jc w:val="left"/>
    </w:pPr>
    <w:rPr>
      <w:rFonts w:ascii="宋体" w:hAnsi="宋体" w:eastAsia="宋体" w:cs="Times New Roman"/>
      <w:szCs w:val="21"/>
    </w:rPr>
  </w:style>
  <w:style w:type="paragraph" w:customStyle="1" w:styleId="135">
    <w:name w:val="章节二"/>
    <w:basedOn w:val="1"/>
    <w:next w:val="1"/>
    <w:qFormat/>
    <w:uiPriority w:val="0"/>
    <w:pPr>
      <w:topLinePunct/>
      <w:adjustRightInd w:val="0"/>
      <w:snapToGrid w:val="0"/>
      <w:spacing w:beforeLines="50" w:afterLines="50"/>
      <w:jc w:val="center"/>
      <w:outlineLvl w:val="1"/>
    </w:pPr>
    <w:rPr>
      <w:rFonts w:ascii="Times New Roman" w:hAnsi="Times New Roman" w:eastAsia="黑体" w:cs="Times New Roman"/>
      <w:b/>
      <w:snapToGrid w:val="0"/>
      <w:spacing w:val="4"/>
      <w:kern w:val="0"/>
      <w:sz w:val="30"/>
      <w:szCs w:val="30"/>
    </w:rPr>
  </w:style>
  <w:style w:type="paragraph" w:customStyle="1" w:styleId="136">
    <w:name w:val="4、"/>
    <w:basedOn w:val="120"/>
    <w:next w:val="1"/>
    <w:qFormat/>
    <w:uiPriority w:val="0"/>
    <w:pPr>
      <w:widowControl/>
      <w:spacing w:before="50" w:beforeLines="50" w:after="50" w:afterLines="50"/>
      <w:jc w:val="left"/>
      <w:outlineLvl w:val="3"/>
    </w:pPr>
    <w:rPr>
      <w:rFonts w:ascii="Times New Roman" w:hAnsi="Times New Roman" w:eastAsia="宋体" w:cs="Times New Roman"/>
    </w:rPr>
  </w:style>
  <w:style w:type="paragraph" w:customStyle="1" w:styleId="137">
    <w:name w:val="章节三"/>
    <w:basedOn w:val="120"/>
    <w:next w:val="120"/>
    <w:qFormat/>
    <w:uiPriority w:val="0"/>
    <w:pPr>
      <w:spacing w:beforeLines="50" w:afterLines="50" w:line="240" w:lineRule="auto"/>
      <w:ind w:firstLine="0" w:firstLineChars="0"/>
      <w:jc w:val="left"/>
      <w:outlineLvl w:val="2"/>
    </w:pPr>
    <w:rPr>
      <w:rFonts w:ascii="黑体" w:hAnsi="宋体" w:eastAsia="黑体" w:cs="Times New Roman"/>
      <w:b/>
    </w:rPr>
  </w:style>
  <w:style w:type="paragraph" w:styleId="138">
    <w:name w:val="List Paragraph"/>
    <w:basedOn w:val="1"/>
    <w:qFormat/>
    <w:uiPriority w:val="0"/>
    <w:pPr>
      <w:ind w:firstLine="420" w:firstLineChars="200"/>
    </w:pPr>
    <w:rPr>
      <w:rFonts w:ascii="Times New Roman" w:hAnsi="Times New Roman" w:eastAsia="宋体" w:cs="Times New Roman"/>
      <w:szCs w:val="20"/>
    </w:rPr>
  </w:style>
  <w:style w:type="paragraph" w:customStyle="1" w:styleId="13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40">
    <w:name w:val="封二"/>
    <w:basedOn w:val="120"/>
    <w:next w:val="120"/>
    <w:qFormat/>
    <w:uiPriority w:val="0"/>
    <w:pPr>
      <w:ind w:firstLine="0" w:firstLineChars="0"/>
      <w:jc w:val="center"/>
    </w:pPr>
    <w:rPr>
      <w:rFonts w:ascii="Times New Roman" w:hAnsi="Times New Roman" w:eastAsia="黑体" w:cs="Times New Roman"/>
      <w:b/>
      <w:sz w:val="36"/>
      <w:szCs w:val="36"/>
    </w:rPr>
  </w:style>
  <w:style w:type="paragraph" w:customStyle="1" w:styleId="141">
    <w:name w:val="发文落款"/>
    <w:basedOn w:val="139"/>
    <w:qFormat/>
    <w:uiPriority w:val="0"/>
    <w:pPr>
      <w:ind w:left="4094" w:right="607" w:firstLine="0"/>
      <w:jc w:val="center"/>
    </w:pPr>
  </w:style>
  <w:style w:type="paragraph" w:customStyle="1" w:styleId="142">
    <w:name w:val="正文 New New"/>
    <w:basedOn w:val="1"/>
    <w:qFormat/>
    <w:uiPriority w:val="0"/>
    <w:rPr>
      <w:rFonts w:ascii="Times New Roman" w:hAnsi="Times New Roman" w:eastAsia="楷体_GB2312" w:cs="宋体"/>
      <w:szCs w:val="21"/>
    </w:rPr>
  </w:style>
  <w:style w:type="paragraph" w:customStyle="1" w:styleId="143">
    <w:name w:val="封一"/>
    <w:basedOn w:val="120"/>
    <w:next w:val="120"/>
    <w:qFormat/>
    <w:uiPriority w:val="0"/>
    <w:pPr>
      <w:ind w:firstLine="0" w:firstLineChars="0"/>
      <w:jc w:val="center"/>
    </w:pPr>
    <w:rPr>
      <w:rFonts w:ascii="Times New Roman" w:hAnsi="Times New Roman" w:eastAsia="黑体" w:cs="Times New Roman"/>
      <w:b/>
      <w:sz w:val="84"/>
      <w:szCs w:val="84"/>
    </w:rPr>
  </w:style>
  <w:style w:type="paragraph" w:customStyle="1" w:styleId="144">
    <w:name w:val="正题"/>
    <w:basedOn w:val="120"/>
    <w:next w:val="120"/>
    <w:qFormat/>
    <w:uiPriority w:val="0"/>
    <w:pPr>
      <w:ind w:firstLine="0" w:firstLineChars="0"/>
      <w:jc w:val="center"/>
    </w:pPr>
    <w:rPr>
      <w:rFonts w:ascii="Times New Roman" w:hAnsi="Times New Roman" w:eastAsia="黑体" w:cs="Times New Roman"/>
      <w:b/>
      <w:sz w:val="36"/>
      <w:szCs w:val="36"/>
    </w:rPr>
  </w:style>
  <w:style w:type="paragraph" w:customStyle="1" w:styleId="145">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6">
    <w:name w:val="文提"/>
    <w:basedOn w:val="120"/>
    <w:qFormat/>
    <w:uiPriority w:val="0"/>
    <w:pPr>
      <w:ind w:firstLine="0" w:firstLineChars="0"/>
    </w:pPr>
    <w:rPr>
      <w:rFonts w:ascii="Times New Roman" w:hAnsi="Times New Roman" w:eastAsia="黑体" w:cs="宋体"/>
      <w:b/>
      <w:snapToGrid w:val="0"/>
      <w:lang w:val="en-US" w:eastAsia="zh-CN"/>
    </w:rPr>
  </w:style>
  <w:style w:type="paragraph" w:customStyle="1" w:styleId="147">
    <w:name w:val="_Style 12"/>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8">
    <w:name w:val="正文1"/>
    <w:qFormat/>
    <w:uiPriority w:val="0"/>
    <w:pPr>
      <w:widowControl w:val="0"/>
      <w:adjustRightInd w:val="0"/>
      <w:spacing w:line="240" w:lineRule="atLeast"/>
      <w:jc w:val="both"/>
      <w:textAlignment w:val="baseline"/>
    </w:pPr>
    <w:rPr>
      <w:rFonts w:ascii="宋体" w:hAnsi="Times New Roman" w:eastAsia="宋体" w:cs="Times New Roman"/>
      <w:sz w:val="34"/>
      <w:lang w:val="en-US" w:eastAsia="zh-CN" w:bidi="ar-SA"/>
    </w:rPr>
  </w:style>
  <w:style w:type="paragraph" w:customStyle="1" w:styleId="149">
    <w:name w:val="封四"/>
    <w:basedOn w:val="120"/>
    <w:next w:val="120"/>
    <w:qFormat/>
    <w:uiPriority w:val="0"/>
    <w:pPr>
      <w:jc w:val="left"/>
    </w:pPr>
    <w:rPr>
      <w:rFonts w:ascii="Times New Roman" w:hAnsi="Times New Roman" w:eastAsia="宋体" w:cs="Times New Roman"/>
      <w:sz w:val="30"/>
      <w:szCs w:val="30"/>
    </w:rPr>
  </w:style>
  <w:style w:type="paragraph" w:customStyle="1" w:styleId="150">
    <w:name w:val="真正文"/>
    <w:basedOn w:val="1"/>
    <w:qFormat/>
    <w:uiPriority w:val="0"/>
    <w:pPr>
      <w:widowControl/>
      <w:spacing w:beforeLines="50" w:afterLines="50" w:line="360" w:lineRule="auto"/>
      <w:ind w:firstLine="899" w:firstLineChars="200"/>
      <w:jc w:val="left"/>
    </w:pPr>
    <w:rPr>
      <w:rFonts w:ascii="Calibri" w:hAnsi="Calibri" w:eastAsia="宋体" w:cs="Times New Roman"/>
      <w:kern w:val="0"/>
      <w:sz w:val="24"/>
      <w:szCs w:val="20"/>
    </w:rPr>
  </w:style>
  <w:style w:type="paragraph" w:customStyle="1" w:styleId="151">
    <w:name w:val="_Style 150"/>
    <w:basedOn w:val="3"/>
    <w:next w:val="1"/>
    <w:qFormat/>
    <w:uiPriority w:val="0"/>
    <w:pPr>
      <w:widowControl/>
      <w:spacing w:before="480" w:after="0" w:line="276" w:lineRule="auto"/>
      <w:outlineLvl w:val="9"/>
    </w:pPr>
    <w:rPr>
      <w:rFonts w:ascii="Cambria" w:hAnsi="Cambria" w:eastAsia="宋体" w:cs="Times New Roman"/>
      <w:color w:val="365F91"/>
      <w:kern w:val="0"/>
    </w:rPr>
  </w:style>
  <w:style w:type="paragraph" w:customStyle="1" w:styleId="152">
    <w:name w:val="_Style 151"/>
    <w:qFormat/>
    <w:uiPriority w:val="0"/>
    <w:rPr>
      <w:rFonts w:ascii="Times New Roman" w:hAnsi="Times New Roman" w:eastAsia="宋体" w:cs="Times New Roman"/>
      <w:kern w:val="2"/>
      <w:sz w:val="21"/>
      <w:lang w:val="en-US" w:eastAsia="zh-CN" w:bidi="ar-SA"/>
    </w:rPr>
  </w:style>
  <w:style w:type="character" w:customStyle="1" w:styleId="153">
    <w:name w:val="NormalCharacter"/>
    <w:qFormat/>
    <w:uiPriority w:val="0"/>
  </w:style>
  <w:style w:type="paragraph" w:customStyle="1" w:styleId="154">
    <w:name w:val="BodyText"/>
    <w:basedOn w:val="1"/>
    <w:qFormat/>
    <w:uiPriority w:val="0"/>
    <w:pPr>
      <w:spacing w:after="120"/>
    </w:pPr>
    <w:rPr>
      <w:rFonts w:ascii="Times New Roman" w:hAnsi="Times New Roman"/>
      <w:kern w:val="0"/>
      <w:sz w:val="20"/>
      <w:szCs w:val="20"/>
    </w:rPr>
  </w:style>
  <w:style w:type="paragraph" w:customStyle="1" w:styleId="155">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ZB</Company>
  <Pages>14</Pages>
  <Words>9418</Words>
  <Characters>9990</Characters>
  <Lines>67</Lines>
  <Paragraphs>18</Paragraphs>
  <TotalTime>28</TotalTime>
  <ScaleCrop>false</ScaleCrop>
  <LinksUpToDate>false</LinksUpToDate>
  <CharactersWithSpaces>10154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2022-12-27T17:57:00Z</dcterms:created>
  <dc:creator>未定义</dc:creator>
  <cp:lastModifiedBy>欧阳晋杰</cp:lastModifiedBy>
  <cp:lastPrinted>2020-07-27T20:04:00Z</cp:lastPrinted>
  <dcterms:modified xsi:type="dcterms:W3CDTF">2025-10-30T09:17:53Z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A0D5DFDF89C24FE4A0A00632175D9B1B</vt:lpwstr>
  </property>
  <property fmtid="{D5CDD505-2E9C-101B-9397-08002B2CF9AE}" pid="4" name="KSOTemplateDocerSaveRecord">
    <vt:lpwstr>eyJoZGlkIjoiZDFmNTQwM2JiYjFlMWVjNjVhMWRlZWQ0NDZhMDk4MjgiLCJ1c2VySWQiOiI0MjA0NTIwODcifQ==</vt:lpwstr>
  </property>
</Properties>
</file>