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613F790">
      <w:pPr>
        <w:jc w:val="center"/>
        <w:rPr>
          <w:rFonts w:hint="eastAsia" w:ascii="宋体" w:hAnsi="宋体" w:cs="宋体"/>
          <w:b/>
          <w:bCs/>
          <w:color w:val="auto"/>
          <w:sz w:val="48"/>
          <w:szCs w:val="48"/>
          <w:highlight w:val="none"/>
        </w:rPr>
      </w:pPr>
      <w:bookmarkStart w:id="0" w:name="OLE_LINK15"/>
      <w:bookmarkStart w:id="1" w:name="OLE_LINK10"/>
      <w:bookmarkStart w:id="2" w:name="OLE_LINK8"/>
      <w:bookmarkStart w:id="3" w:name="OLE_LINK11"/>
      <w:bookmarkStart w:id="4" w:name="OLE_LINK7"/>
    </w:p>
    <w:p w14:paraId="04F04218">
      <w:pPr>
        <w:jc w:val="center"/>
        <w:rPr>
          <w:rFonts w:hint="eastAsia" w:ascii="宋体" w:hAnsi="宋体" w:cs="宋体"/>
          <w:b/>
          <w:bCs/>
          <w:color w:val="auto"/>
          <w:sz w:val="48"/>
          <w:szCs w:val="48"/>
          <w:highlight w:val="none"/>
        </w:rPr>
      </w:pPr>
    </w:p>
    <w:p w14:paraId="37E6FDBE">
      <w:pPr>
        <w:jc w:val="center"/>
        <w:rPr>
          <w:rFonts w:hint="eastAsia" w:ascii="宋体" w:hAnsi="宋体" w:cs="宋体"/>
          <w:b/>
          <w:bCs/>
          <w:color w:val="auto"/>
          <w:sz w:val="48"/>
          <w:szCs w:val="48"/>
          <w:highlight w:val="none"/>
        </w:rPr>
      </w:pPr>
      <w:r>
        <w:rPr>
          <w:rFonts w:hAnsi="宋体"/>
          <w:color w:val="auto"/>
          <w:kern w:val="0"/>
          <w:szCs w:val="21"/>
          <w:highlight w:val="none"/>
        </w:rPr>
        <w:drawing>
          <wp:anchor distT="0" distB="0" distL="114300" distR="114300" simplePos="0" relativeHeight="251662336" behindDoc="0" locked="0" layoutInCell="1" allowOverlap="1">
            <wp:simplePos x="0" y="0"/>
            <wp:positionH relativeFrom="column">
              <wp:posOffset>-342900</wp:posOffset>
            </wp:positionH>
            <wp:positionV relativeFrom="paragraph">
              <wp:posOffset>-373380</wp:posOffset>
            </wp:positionV>
            <wp:extent cx="6395085" cy="1416685"/>
            <wp:effectExtent l="0" t="0" r="0" b="0"/>
            <wp:wrapNone/>
            <wp:docPr id="2" name="图片 2" descr="I:\03★工作★（硬盘）\2018年项目-2022年项目-招标\5、2022年项目\（2.28投标入库）南宁轨道地产集团有限责任公司2022-2025年招标代理服务\招标公司-名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03★工作★（硬盘）\2018年项目-2022年项目-招标\5、2022年项目\（2.28投标入库）南宁轨道地产集团有限责任公司2022-2025年招标代理服务\招标公司-名称.png"/>
                    <pic:cNvPicPr>
                      <a:picLocks noChangeAspect="1"/>
                    </pic:cNvPicPr>
                  </pic:nvPicPr>
                  <pic:blipFill>
                    <a:blip r:embed="rId19"/>
                    <a:srcRect r="6451"/>
                    <a:stretch>
                      <a:fillRect/>
                    </a:stretch>
                  </pic:blipFill>
                  <pic:spPr>
                    <a:xfrm>
                      <a:off x="654685" y="1099820"/>
                      <a:ext cx="6395085" cy="1416685"/>
                    </a:xfrm>
                    <a:prstGeom prst="rect">
                      <a:avLst/>
                    </a:prstGeom>
                    <a:noFill/>
                    <a:ln>
                      <a:noFill/>
                    </a:ln>
                  </pic:spPr>
                </pic:pic>
              </a:graphicData>
            </a:graphic>
          </wp:anchor>
        </w:drawing>
      </w:r>
    </w:p>
    <w:p w14:paraId="5BD50E2B">
      <w:pPr>
        <w:jc w:val="center"/>
        <w:rPr>
          <w:rFonts w:hint="eastAsia" w:ascii="宋体" w:hAnsi="宋体" w:cs="宋体"/>
          <w:b/>
          <w:bCs/>
          <w:color w:val="auto"/>
          <w:sz w:val="48"/>
          <w:szCs w:val="48"/>
          <w:highlight w:val="none"/>
        </w:rPr>
      </w:pPr>
    </w:p>
    <w:bookmarkEnd w:id="0"/>
    <w:p w14:paraId="1C449893">
      <w:pPr>
        <w:spacing w:line="360" w:lineRule="auto"/>
        <w:jc w:val="center"/>
        <w:rPr>
          <w:rFonts w:hint="eastAsia" w:ascii="宋体" w:hAnsi="宋体" w:cs="宋体"/>
          <w:b/>
          <w:color w:val="auto"/>
          <w:sz w:val="36"/>
          <w:szCs w:val="36"/>
          <w:highlight w:val="none"/>
        </w:rPr>
      </w:pPr>
      <w:r>
        <w:rPr>
          <w:rFonts w:hint="eastAsia" w:ascii="宋体" w:hAnsi="宋体" w:cs="宋体"/>
          <w:color w:val="auto"/>
          <w:sz w:val="20"/>
          <w:highlight w:val="none"/>
        </w:rPr>
        <mc:AlternateContent>
          <mc:Choice Requires="wps">
            <w:drawing>
              <wp:anchor distT="0" distB="0" distL="114300" distR="114300" simplePos="0" relativeHeight="251659264" behindDoc="0" locked="0" layoutInCell="1" allowOverlap="1">
                <wp:simplePos x="0" y="0"/>
                <wp:positionH relativeFrom="column">
                  <wp:posOffset>-8255</wp:posOffset>
                </wp:positionH>
                <wp:positionV relativeFrom="paragraph">
                  <wp:posOffset>169545</wp:posOffset>
                </wp:positionV>
                <wp:extent cx="5944235" cy="8255"/>
                <wp:effectExtent l="0" t="0" r="0" b="0"/>
                <wp:wrapNone/>
                <wp:docPr id="1" name="直线 2"/>
                <wp:cNvGraphicFramePr/>
                <a:graphic xmlns:a="http://schemas.openxmlformats.org/drawingml/2006/main">
                  <a:graphicData uri="http://schemas.microsoft.com/office/word/2010/wordprocessingShape">
                    <wps:wsp>
                      <wps:cNvCnPr/>
                      <wps:spPr>
                        <a:xfrm flipV="1">
                          <a:off x="0" y="0"/>
                          <a:ext cx="5944235" cy="8255"/>
                        </a:xfrm>
                        <a:prstGeom prst="line">
                          <a:avLst/>
                        </a:prstGeom>
                        <a:ln w="28575" cap="flat" cmpd="sng">
                          <a:solidFill>
                            <a:srgbClr val="000000"/>
                          </a:solidFill>
                          <a:prstDash val="solid"/>
                          <a:headEnd type="none" w="med" len="med"/>
                          <a:tailEnd type="none" w="med" len="med"/>
                        </a:ln>
                        <a:effectLst/>
                      </wps:spPr>
                      <wps:bodyPr upright="1"/>
                    </wps:wsp>
                  </a:graphicData>
                </a:graphic>
              </wp:anchor>
            </w:drawing>
          </mc:Choice>
          <mc:Fallback>
            <w:pict>
              <v:line id="直线 2" o:spid="_x0000_s1026" o:spt="20" style="position:absolute;left:0pt;flip:y;margin-left:-0.65pt;margin-top:13.35pt;height:0.65pt;width:468.05pt;z-index:251659264;mso-width-relative:page;mso-height-relative:page;" filled="f" stroked="t" coordsize="21600,21600" o:gfxdata="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UZ+Ad1wAAAAgBAAAPAAAAAAAAAAEAIAAAACIAAABkcnMvZG93bnJldi54bWxQSwEC&#10;FAAUAAAACACHTuJACkhh9fUBAAD3AwAADgAAAAAAAAABACAAAAAmAQAAZHJzL2Uyb0RvYy54bWxQ&#10;SwUGAAAAAAYABgBZAQAAjQUAAAAA&#10;">
                <v:fill on="f" focussize="0,0"/>
                <v:stroke weight="2.25pt" color="#000000" joinstyle="round"/>
                <v:imagedata o:title=""/>
                <o:lock v:ext="edit" aspectratio="f"/>
              </v:line>
            </w:pict>
          </mc:Fallback>
        </mc:AlternateContent>
      </w:r>
      <w:r>
        <w:rPr>
          <w:rFonts w:hint="eastAsia" w:ascii="宋体" w:hAnsi="宋体" w:cs="宋体"/>
          <w:b/>
          <w:bCs/>
          <w:color w:val="auto"/>
          <w:sz w:val="10"/>
          <w:highlight w:val="none"/>
        </w:rPr>
        <w:t xml:space="preserve">                                                                         </w:t>
      </w:r>
    </w:p>
    <w:p w14:paraId="39190DC4">
      <w:pPr>
        <w:pStyle w:val="20"/>
        <w:jc w:val="center"/>
        <w:rPr>
          <w:rFonts w:hint="eastAsia" w:hAnsi="宋体" w:cs="宋体"/>
          <w:color w:val="auto"/>
          <w:sz w:val="72"/>
          <w:szCs w:val="72"/>
          <w:highlight w:val="none"/>
        </w:rPr>
      </w:pPr>
    </w:p>
    <w:p w14:paraId="6191EBB8">
      <w:pPr>
        <w:pStyle w:val="20"/>
        <w:jc w:val="center"/>
        <w:rPr>
          <w:rFonts w:hint="eastAsia" w:hAnsi="宋体" w:cs="宋体"/>
          <w:b/>
          <w:bCs/>
          <w:color w:val="auto"/>
          <w:sz w:val="110"/>
          <w:szCs w:val="110"/>
          <w:highlight w:val="none"/>
        </w:rPr>
      </w:pPr>
      <w:r>
        <w:rPr>
          <w:rFonts w:hint="eastAsia" w:hAnsi="宋体" w:cs="宋体"/>
          <w:color w:val="auto"/>
          <w:sz w:val="110"/>
          <w:szCs w:val="110"/>
          <w:highlight w:val="none"/>
        </w:rPr>
        <w:t>招 标 文 件</w:t>
      </w:r>
    </w:p>
    <w:p w14:paraId="7E24C0FD">
      <w:pPr>
        <w:jc w:val="center"/>
        <w:rPr>
          <w:rFonts w:hint="eastAsia" w:ascii="宋体" w:hAnsi="宋体" w:cs="宋体"/>
          <w:b/>
          <w:color w:val="auto"/>
          <w:sz w:val="36"/>
          <w:szCs w:val="36"/>
          <w:highlight w:val="none"/>
        </w:rPr>
      </w:pPr>
    </w:p>
    <w:p w14:paraId="23E33B88">
      <w:pPr>
        <w:pStyle w:val="20"/>
        <w:spacing w:line="360" w:lineRule="auto"/>
        <w:ind w:firstLine="751" w:firstLineChars="250"/>
        <w:jc w:val="left"/>
        <w:rPr>
          <w:rFonts w:hint="eastAsia" w:hAnsi="宋体" w:cs="宋体"/>
          <w:b/>
          <w:color w:val="auto"/>
          <w:sz w:val="30"/>
          <w:szCs w:val="30"/>
          <w:highlight w:val="none"/>
        </w:rPr>
      </w:pPr>
    </w:p>
    <w:p w14:paraId="58400002">
      <w:pPr>
        <w:snapToGrid w:val="0"/>
        <w:spacing w:before="120" w:beforeLines="50" w:line="360" w:lineRule="auto"/>
        <w:jc w:val="center"/>
        <w:rPr>
          <w:rFonts w:hint="eastAsia" w:ascii="宋体" w:hAnsi="宋体" w:cs="宋体"/>
          <w:b/>
          <w:color w:val="auto"/>
          <w:sz w:val="48"/>
          <w:szCs w:val="48"/>
          <w:highlight w:val="none"/>
        </w:rPr>
      </w:pPr>
      <w:r>
        <w:rPr>
          <w:rFonts w:hint="eastAsia" w:ascii="宋体" w:hAnsi="宋体" w:cs="宋体"/>
          <w:b/>
          <w:color w:val="auto"/>
          <w:sz w:val="48"/>
          <w:szCs w:val="48"/>
          <w:highlight w:val="none"/>
        </w:rPr>
        <w:t>（全流程电子化采购）</w:t>
      </w:r>
    </w:p>
    <w:p w14:paraId="5187D0D5">
      <w:pPr>
        <w:pStyle w:val="20"/>
        <w:spacing w:line="360" w:lineRule="auto"/>
        <w:ind w:firstLine="751" w:firstLineChars="250"/>
        <w:jc w:val="left"/>
        <w:rPr>
          <w:rFonts w:hint="eastAsia" w:hAnsi="宋体" w:cs="宋体"/>
          <w:b/>
          <w:color w:val="auto"/>
          <w:sz w:val="30"/>
          <w:szCs w:val="30"/>
          <w:highlight w:val="none"/>
        </w:rPr>
      </w:pPr>
    </w:p>
    <w:p w14:paraId="6D9E906B">
      <w:pPr>
        <w:pStyle w:val="20"/>
        <w:spacing w:line="360" w:lineRule="auto"/>
        <w:ind w:firstLine="751" w:firstLineChars="250"/>
        <w:jc w:val="left"/>
        <w:rPr>
          <w:rFonts w:hint="eastAsia" w:hAnsi="宋体" w:cs="宋体"/>
          <w:b/>
          <w:color w:val="auto"/>
          <w:sz w:val="30"/>
          <w:szCs w:val="30"/>
          <w:highlight w:val="none"/>
        </w:rPr>
      </w:pPr>
    </w:p>
    <w:p w14:paraId="041D670D">
      <w:pPr>
        <w:pStyle w:val="20"/>
        <w:spacing w:line="360" w:lineRule="auto"/>
        <w:ind w:firstLine="751" w:firstLineChars="250"/>
        <w:jc w:val="left"/>
        <w:rPr>
          <w:rFonts w:hint="eastAsia" w:hAnsi="宋体" w:cs="宋体"/>
          <w:b/>
          <w:color w:val="auto"/>
          <w:sz w:val="30"/>
          <w:szCs w:val="30"/>
          <w:highlight w:val="none"/>
        </w:rPr>
      </w:pPr>
    </w:p>
    <w:p w14:paraId="656A469A">
      <w:pPr>
        <w:pStyle w:val="20"/>
        <w:spacing w:line="360" w:lineRule="auto"/>
        <w:ind w:left="2254" w:leftChars="358" w:hanging="1502" w:hangingChars="500"/>
        <w:jc w:val="left"/>
        <w:rPr>
          <w:rFonts w:hint="eastAsia" w:hAnsi="宋体" w:eastAsia="宋体" w:cs="宋体"/>
          <w:b/>
          <w:color w:val="auto"/>
          <w:sz w:val="30"/>
          <w:szCs w:val="30"/>
          <w:highlight w:val="none"/>
          <w:lang w:eastAsia="zh-CN"/>
        </w:rPr>
      </w:pPr>
      <w:r>
        <w:rPr>
          <w:rFonts w:hint="eastAsia" w:hAnsi="宋体" w:cs="宋体"/>
          <w:b/>
          <w:color w:val="auto"/>
          <w:sz w:val="30"/>
          <w:szCs w:val="30"/>
          <w:highlight w:val="none"/>
        </w:rPr>
        <w:t>项目名称：</w:t>
      </w:r>
      <w:r>
        <w:rPr>
          <w:rFonts w:hint="eastAsia" w:hAnsi="宋体" w:cs="宋体"/>
          <w:b/>
          <w:color w:val="auto"/>
          <w:sz w:val="30"/>
          <w:szCs w:val="30"/>
          <w:highlight w:val="none"/>
          <w:lang w:eastAsia="zh-CN"/>
        </w:rPr>
        <w:t>全区非法堆存、转移涉重固体废物危险特性鉴别及污染释放能力评估项目</w:t>
      </w:r>
    </w:p>
    <w:p w14:paraId="5439D2A0">
      <w:pPr>
        <w:pStyle w:val="20"/>
        <w:spacing w:line="360" w:lineRule="auto"/>
        <w:ind w:firstLine="751" w:firstLineChars="250"/>
        <w:jc w:val="left"/>
        <w:rPr>
          <w:rFonts w:hint="default" w:hAnsi="宋体" w:eastAsia="宋体" w:cs="宋体"/>
          <w:b/>
          <w:color w:val="auto"/>
          <w:sz w:val="30"/>
          <w:szCs w:val="30"/>
          <w:highlight w:val="none"/>
          <w:lang w:val="en-US" w:eastAsia="zh-CN"/>
        </w:rPr>
      </w:pPr>
      <w:r>
        <w:rPr>
          <w:rFonts w:hint="eastAsia" w:hAnsi="宋体" w:cs="宋体"/>
          <w:b/>
          <w:color w:val="auto"/>
          <w:sz w:val="30"/>
          <w:szCs w:val="30"/>
          <w:highlight w:val="none"/>
        </w:rPr>
        <w:t>项目编号：</w:t>
      </w:r>
      <w:r>
        <w:rPr>
          <w:rFonts w:hint="eastAsia" w:hAnsi="宋体" w:cs="宋体"/>
          <w:b/>
          <w:color w:val="auto"/>
          <w:sz w:val="30"/>
          <w:szCs w:val="30"/>
          <w:highlight w:val="none"/>
          <w:lang w:val="en-US" w:eastAsia="zh-CN"/>
        </w:rPr>
        <w:t>GXZC2026-G3-000163-JDZB</w:t>
      </w:r>
    </w:p>
    <w:p w14:paraId="0816937E">
      <w:pPr>
        <w:spacing w:line="600" w:lineRule="exact"/>
        <w:ind w:left="2"/>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mc:AlternateContent>
          <mc:Choice Requires="wps">
            <w:drawing>
              <wp:anchor distT="0" distB="0" distL="114300" distR="114300" simplePos="0" relativeHeight="251660288" behindDoc="0" locked="0" layoutInCell="1" allowOverlap="1">
                <wp:simplePos x="0" y="0"/>
                <wp:positionH relativeFrom="column">
                  <wp:posOffset>-89535</wp:posOffset>
                </wp:positionH>
                <wp:positionV relativeFrom="paragraph">
                  <wp:posOffset>144145</wp:posOffset>
                </wp:positionV>
                <wp:extent cx="5944235" cy="8255"/>
                <wp:effectExtent l="0" t="0" r="0" b="0"/>
                <wp:wrapNone/>
                <wp:docPr id="3" name="直线 2"/>
                <wp:cNvGraphicFramePr/>
                <a:graphic xmlns:a="http://schemas.openxmlformats.org/drawingml/2006/main">
                  <a:graphicData uri="http://schemas.microsoft.com/office/word/2010/wordprocessingShape">
                    <wps:wsp>
                      <wps:cNvCnPr/>
                      <wps:spPr>
                        <a:xfrm flipV="1">
                          <a:off x="0" y="0"/>
                          <a:ext cx="5944235" cy="8255"/>
                        </a:xfrm>
                        <a:prstGeom prst="line">
                          <a:avLst/>
                        </a:prstGeom>
                        <a:ln w="28575" cap="flat" cmpd="sng">
                          <a:solidFill>
                            <a:srgbClr val="000000"/>
                          </a:solidFill>
                          <a:prstDash val="solid"/>
                          <a:headEnd type="none" w="med" len="med"/>
                          <a:tailEnd type="none" w="med" len="med"/>
                        </a:ln>
                        <a:effectLst/>
                      </wps:spPr>
                      <wps:bodyPr upright="1"/>
                    </wps:wsp>
                  </a:graphicData>
                </a:graphic>
              </wp:anchor>
            </w:drawing>
          </mc:Choice>
          <mc:Fallback>
            <w:pict>
              <v:line id="直线 2" o:spid="_x0000_s1026" o:spt="20" style="position:absolute;left:0pt;flip:y;margin-left:-7.05pt;margin-top:11.35pt;height:0.65pt;width:468.05pt;z-index:251660288;mso-width-relative:page;mso-height-relative:page;" filled="f" stroked="t" coordsize="21600,21600" o:gfxdata="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vzFLNcAAAAJAQAADwAAAAAAAAABACAAAAAiAAAAZHJzL2Rvd25yZXYueG1sUEsB&#10;AhQAFAAAAAgAh07iQNV1L+72AQAA9wMAAA4AAAAAAAAAAQAgAAAAJgEAAGRycy9lMm9Eb2MueG1s&#10;UEsFBgAAAAAGAAYAWQEAAI4FAAAAAA==&#10;">
                <v:fill on="f" focussize="0,0"/>
                <v:stroke weight="2.25pt" color="#000000" joinstyle="round"/>
                <v:imagedata o:title=""/>
                <o:lock v:ext="edit" aspectratio="f"/>
              </v:line>
            </w:pict>
          </mc:Fallback>
        </mc:AlternateContent>
      </w:r>
    </w:p>
    <w:p w14:paraId="7C9E7287">
      <w:pPr>
        <w:pStyle w:val="20"/>
        <w:spacing w:line="360" w:lineRule="auto"/>
        <w:ind w:firstLine="751" w:firstLineChars="250"/>
        <w:jc w:val="left"/>
        <w:rPr>
          <w:rFonts w:hint="eastAsia" w:hAnsi="宋体" w:eastAsia="宋体" w:cs="宋体"/>
          <w:b/>
          <w:color w:val="auto"/>
          <w:sz w:val="30"/>
          <w:szCs w:val="30"/>
          <w:highlight w:val="none"/>
          <w:lang w:eastAsia="zh-CN"/>
        </w:rPr>
      </w:pPr>
      <w:r>
        <w:rPr>
          <w:rFonts w:hint="eastAsia" w:hAnsi="宋体" w:cs="宋体"/>
          <w:b/>
          <w:color w:val="auto"/>
          <w:sz w:val="30"/>
          <w:szCs w:val="30"/>
          <w:highlight w:val="none"/>
        </w:rPr>
        <w:t>采购人：</w:t>
      </w:r>
      <w:r>
        <w:rPr>
          <w:rFonts w:hint="eastAsia" w:hAnsi="宋体" w:cs="宋体"/>
          <w:b/>
          <w:color w:val="auto"/>
          <w:sz w:val="30"/>
          <w:szCs w:val="30"/>
          <w:highlight w:val="none"/>
          <w:lang w:eastAsia="zh-CN"/>
        </w:rPr>
        <w:t>广西壮族自治区生态环境厅</w:t>
      </w:r>
    </w:p>
    <w:p w14:paraId="0718696E">
      <w:pPr>
        <w:pStyle w:val="20"/>
        <w:spacing w:line="360" w:lineRule="auto"/>
        <w:ind w:firstLine="751" w:firstLineChars="250"/>
        <w:jc w:val="left"/>
        <w:rPr>
          <w:rFonts w:hint="eastAsia" w:hAnsi="宋体" w:eastAsia="宋体" w:cs="宋体"/>
          <w:b/>
          <w:color w:val="auto"/>
          <w:sz w:val="30"/>
          <w:szCs w:val="30"/>
          <w:highlight w:val="none"/>
          <w:lang w:eastAsia="zh-CN"/>
        </w:rPr>
      </w:pPr>
      <w:r>
        <w:rPr>
          <w:rFonts w:hint="eastAsia" w:hAnsi="宋体" w:cs="宋体"/>
          <w:b/>
          <w:color w:val="auto"/>
          <w:sz w:val="30"/>
          <w:szCs w:val="30"/>
          <w:highlight w:val="none"/>
        </w:rPr>
        <w:t>采购代理机构：</w:t>
      </w:r>
      <w:r>
        <w:rPr>
          <w:rFonts w:hint="eastAsia" w:hAnsi="宋体" w:cs="宋体"/>
          <w:b/>
          <w:color w:val="auto"/>
          <w:sz w:val="30"/>
          <w:szCs w:val="30"/>
          <w:highlight w:val="none"/>
          <w:lang w:eastAsia="zh-CN"/>
        </w:rPr>
        <w:t>广西建设工程机电设备招标中心有限公司</w:t>
      </w:r>
    </w:p>
    <w:p w14:paraId="403DD390">
      <w:pPr>
        <w:pStyle w:val="20"/>
        <w:spacing w:line="360" w:lineRule="auto"/>
        <w:jc w:val="center"/>
        <w:rPr>
          <w:rFonts w:hint="eastAsia" w:hAnsi="宋体" w:cs="宋体"/>
          <w:b/>
          <w:color w:val="auto"/>
          <w:sz w:val="30"/>
          <w:szCs w:val="30"/>
          <w:highlight w:val="none"/>
        </w:rPr>
      </w:pPr>
    </w:p>
    <w:p w14:paraId="3DA574A3">
      <w:pPr>
        <w:pStyle w:val="20"/>
        <w:spacing w:line="360" w:lineRule="auto"/>
        <w:jc w:val="center"/>
        <w:rPr>
          <w:rFonts w:hint="eastAsia" w:hAnsi="宋体" w:cs="宋体"/>
          <w:b/>
          <w:bCs/>
          <w:color w:val="auto"/>
          <w:spacing w:val="-27"/>
          <w:sz w:val="60"/>
          <w:szCs w:val="60"/>
          <w:highlight w:val="none"/>
        </w:rPr>
      </w:pPr>
      <w:r>
        <w:rPr>
          <w:rFonts w:hint="eastAsia" w:hAnsi="宋体" w:cs="宋体"/>
          <w:b/>
          <w:color w:val="auto"/>
          <w:sz w:val="30"/>
          <w:szCs w:val="30"/>
          <w:highlight w:val="none"/>
        </w:rPr>
        <w:t>202</w:t>
      </w:r>
      <w:r>
        <w:rPr>
          <w:rFonts w:hint="eastAsia" w:hAnsi="宋体" w:cs="宋体"/>
          <w:b/>
          <w:color w:val="auto"/>
          <w:sz w:val="30"/>
          <w:szCs w:val="30"/>
          <w:highlight w:val="none"/>
          <w:lang w:val="en-US" w:eastAsia="zh-CN"/>
        </w:rPr>
        <w:t>6</w:t>
      </w:r>
      <w:r>
        <w:rPr>
          <w:rFonts w:hint="eastAsia" w:hAnsi="宋体" w:cs="宋体"/>
          <w:b/>
          <w:color w:val="auto"/>
          <w:sz w:val="30"/>
          <w:szCs w:val="30"/>
          <w:highlight w:val="none"/>
        </w:rPr>
        <w:t>年</w:t>
      </w:r>
      <w:r>
        <w:rPr>
          <w:rFonts w:hint="eastAsia" w:hAnsi="宋体" w:cs="宋体"/>
          <w:b/>
          <w:color w:val="auto"/>
          <w:sz w:val="30"/>
          <w:szCs w:val="30"/>
          <w:highlight w:val="none"/>
          <w:lang w:val="en-US" w:eastAsia="zh-CN"/>
        </w:rPr>
        <w:t xml:space="preserve">  </w:t>
      </w:r>
      <w:r>
        <w:rPr>
          <w:rFonts w:hint="eastAsia" w:hAnsi="宋体" w:cs="宋体"/>
          <w:b/>
          <w:color w:val="auto"/>
          <w:sz w:val="30"/>
          <w:szCs w:val="30"/>
          <w:highlight w:val="none"/>
        </w:rPr>
        <w:t>月</w:t>
      </w:r>
    </w:p>
    <w:p w14:paraId="35362ABB">
      <w:pPr>
        <w:pStyle w:val="20"/>
        <w:spacing w:before="120" w:after="120" w:line="360" w:lineRule="auto"/>
        <w:jc w:val="center"/>
        <w:rPr>
          <w:rFonts w:hint="eastAsia" w:hAnsi="宋体" w:cs="宋体"/>
          <w:b/>
          <w:color w:val="auto"/>
          <w:sz w:val="44"/>
          <w:szCs w:val="44"/>
          <w:highlight w:val="none"/>
        </w:rPr>
        <w:sectPr>
          <w:footerReference r:id="rId6" w:type="first"/>
          <w:headerReference r:id="rId3" w:type="default"/>
          <w:footerReference r:id="rId4" w:type="default"/>
          <w:footerReference r:id="rId5" w:type="even"/>
          <w:pgSz w:w="11906" w:h="16838"/>
          <w:pgMar w:top="1440" w:right="1757" w:bottom="1440" w:left="1803" w:header="850" w:footer="850" w:gutter="0"/>
          <w:pgNumType w:start="0"/>
          <w:cols w:space="720" w:num="1"/>
          <w:titlePg/>
          <w:docGrid w:linePitch="312" w:charSpace="0"/>
        </w:sectPr>
      </w:pPr>
    </w:p>
    <w:p w14:paraId="0F5D5988">
      <w:pPr>
        <w:pStyle w:val="20"/>
        <w:keepNext w:val="0"/>
        <w:keepLines w:val="0"/>
        <w:pageBreakBefore w:val="0"/>
        <w:widowControl w:val="0"/>
        <w:kinsoku/>
        <w:wordWrap/>
        <w:overflowPunct/>
        <w:topLinePunct w:val="0"/>
        <w:autoSpaceDE/>
        <w:autoSpaceDN/>
        <w:bidi w:val="0"/>
        <w:adjustRightInd/>
        <w:spacing w:before="120" w:after="120" w:line="360" w:lineRule="auto"/>
        <w:jc w:val="center"/>
        <w:textAlignment w:val="auto"/>
        <w:rPr>
          <w:rFonts w:hint="eastAsia" w:hAnsi="宋体" w:cs="宋体"/>
          <w:b/>
          <w:color w:val="auto"/>
          <w:sz w:val="44"/>
          <w:szCs w:val="44"/>
          <w:highlight w:val="none"/>
        </w:rPr>
      </w:pPr>
      <w:r>
        <w:rPr>
          <w:rFonts w:hint="eastAsia" w:hAnsi="宋体" w:cs="宋体"/>
          <w:b/>
          <w:color w:val="auto"/>
          <w:sz w:val="44"/>
          <w:szCs w:val="44"/>
          <w:highlight w:val="none"/>
        </w:rPr>
        <w:t>目  录</w:t>
      </w:r>
    </w:p>
    <w:p w14:paraId="24695138">
      <w:pPr>
        <w:pStyle w:val="27"/>
        <w:keepNext w:val="0"/>
        <w:keepLines w:val="0"/>
        <w:pageBreakBefore w:val="0"/>
        <w:widowControl w:val="0"/>
        <w:tabs>
          <w:tab w:val="right" w:leader="dot" w:pos="9242"/>
        </w:tabs>
        <w:kinsoku/>
        <w:wordWrap/>
        <w:overflowPunct/>
        <w:topLinePunct w:val="0"/>
        <w:autoSpaceDE/>
        <w:autoSpaceDN/>
        <w:bidi w:val="0"/>
        <w:adjustRightInd/>
        <w:snapToGrid/>
        <w:spacing w:line="400" w:lineRule="exact"/>
        <w:textAlignment w:val="auto"/>
        <w:rPr>
          <w:color w:val="auto"/>
          <w:highlight w:val="none"/>
        </w:rPr>
      </w:pPr>
      <w:bookmarkStart w:id="5" w:name="OLE_LINK9"/>
      <w:bookmarkStart w:id="6" w:name="OLE_LINK6"/>
      <w:r>
        <w:rPr>
          <w:rFonts w:hint="eastAsia" w:cs="宋体"/>
          <w:b w:val="0"/>
          <w:bCs w:val="0"/>
          <w:color w:val="auto"/>
          <w:highlight w:val="none"/>
        </w:rPr>
        <w:fldChar w:fldCharType="begin"/>
      </w:r>
      <w:r>
        <w:rPr>
          <w:rFonts w:hint="eastAsia" w:cs="宋体"/>
          <w:b w:val="0"/>
          <w:bCs w:val="0"/>
          <w:color w:val="auto"/>
          <w:highlight w:val="none"/>
        </w:rPr>
        <w:instrText xml:space="preserve">TOC \o "1-3" \h \u </w:instrText>
      </w:r>
      <w:r>
        <w:rPr>
          <w:rFonts w:hint="eastAsia" w:cs="宋体"/>
          <w:b w:val="0"/>
          <w:bCs w:val="0"/>
          <w:color w:val="auto"/>
          <w:highlight w:val="none"/>
        </w:rPr>
        <w:fldChar w:fldCharType="separate"/>
      </w:r>
      <w:r>
        <w:rPr>
          <w:rFonts w:hint="eastAsia" w:cs="宋体"/>
          <w:bCs w:val="0"/>
          <w:color w:val="auto"/>
          <w:highlight w:val="none"/>
        </w:rPr>
        <w:fldChar w:fldCharType="begin"/>
      </w:r>
      <w:r>
        <w:rPr>
          <w:rFonts w:hint="eastAsia" w:cs="宋体"/>
          <w:bCs w:val="0"/>
          <w:color w:val="auto"/>
          <w:highlight w:val="none"/>
        </w:rPr>
        <w:instrText xml:space="preserve"> HYPERLINK \l _Toc21030 </w:instrText>
      </w:r>
      <w:r>
        <w:rPr>
          <w:rFonts w:hint="eastAsia" w:cs="宋体"/>
          <w:bCs w:val="0"/>
          <w:color w:val="auto"/>
          <w:highlight w:val="none"/>
        </w:rPr>
        <w:fldChar w:fldCharType="separate"/>
      </w:r>
      <w:r>
        <w:rPr>
          <w:rFonts w:hint="eastAsia" w:ascii="宋体" w:hAnsi="宋体" w:cs="宋体"/>
          <w:color w:val="auto"/>
          <w:highlight w:val="none"/>
        </w:rPr>
        <w:t>第一章  招标公告</w:t>
      </w:r>
      <w:r>
        <w:rPr>
          <w:color w:val="auto"/>
          <w:highlight w:val="none"/>
        </w:rPr>
        <w:tab/>
      </w:r>
      <w:r>
        <w:rPr>
          <w:color w:val="auto"/>
          <w:highlight w:val="none"/>
        </w:rPr>
        <w:fldChar w:fldCharType="begin"/>
      </w:r>
      <w:r>
        <w:rPr>
          <w:color w:val="auto"/>
          <w:highlight w:val="none"/>
        </w:rPr>
        <w:instrText xml:space="preserve"> PAGEREF _Toc21030 \h </w:instrText>
      </w:r>
      <w:r>
        <w:rPr>
          <w:color w:val="auto"/>
          <w:highlight w:val="none"/>
        </w:rPr>
        <w:fldChar w:fldCharType="separate"/>
      </w:r>
      <w:r>
        <w:rPr>
          <w:color w:val="auto"/>
          <w:highlight w:val="none"/>
        </w:rPr>
        <w:t>1</w:t>
      </w:r>
      <w:r>
        <w:rPr>
          <w:color w:val="auto"/>
          <w:highlight w:val="none"/>
        </w:rPr>
        <w:fldChar w:fldCharType="end"/>
      </w:r>
      <w:r>
        <w:rPr>
          <w:rFonts w:hint="eastAsia" w:cs="宋体"/>
          <w:bCs w:val="0"/>
          <w:color w:val="auto"/>
          <w:highlight w:val="none"/>
        </w:rPr>
        <w:fldChar w:fldCharType="end"/>
      </w:r>
    </w:p>
    <w:p w14:paraId="50DDEA17">
      <w:pPr>
        <w:pStyle w:val="27"/>
        <w:keepNext w:val="0"/>
        <w:keepLines w:val="0"/>
        <w:pageBreakBefore w:val="0"/>
        <w:widowControl w:val="0"/>
        <w:tabs>
          <w:tab w:val="right" w:leader="dot" w:pos="9242"/>
        </w:tabs>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_Toc12941 </w:instrText>
      </w:r>
      <w:r>
        <w:rPr>
          <w:rFonts w:hint="eastAsia" w:ascii="宋体" w:hAnsi="宋体" w:cs="宋体"/>
          <w:color w:val="auto"/>
          <w:highlight w:val="none"/>
        </w:rPr>
        <w:fldChar w:fldCharType="separate"/>
      </w:r>
      <w:r>
        <w:rPr>
          <w:rFonts w:hint="eastAsia" w:ascii="宋体" w:hAnsi="宋体" w:cs="宋体"/>
          <w:color w:val="auto"/>
          <w:highlight w:val="none"/>
        </w:rPr>
        <w:t>第二章  采购需求</w:t>
      </w:r>
      <w:r>
        <w:rPr>
          <w:color w:val="auto"/>
          <w:highlight w:val="none"/>
        </w:rPr>
        <w:tab/>
      </w:r>
      <w:r>
        <w:rPr>
          <w:color w:val="auto"/>
          <w:highlight w:val="none"/>
        </w:rPr>
        <w:fldChar w:fldCharType="begin"/>
      </w:r>
      <w:r>
        <w:rPr>
          <w:color w:val="auto"/>
          <w:highlight w:val="none"/>
        </w:rPr>
        <w:instrText xml:space="preserve"> PAGEREF _Toc12941 \h </w:instrText>
      </w:r>
      <w:r>
        <w:rPr>
          <w:color w:val="auto"/>
          <w:highlight w:val="none"/>
        </w:rPr>
        <w:fldChar w:fldCharType="separate"/>
      </w:r>
      <w:r>
        <w:rPr>
          <w:color w:val="auto"/>
          <w:highlight w:val="none"/>
        </w:rPr>
        <w:t>5</w:t>
      </w:r>
      <w:r>
        <w:rPr>
          <w:color w:val="auto"/>
          <w:highlight w:val="none"/>
        </w:rPr>
        <w:fldChar w:fldCharType="end"/>
      </w:r>
      <w:r>
        <w:rPr>
          <w:rFonts w:hint="eastAsia" w:ascii="宋体" w:hAnsi="宋体" w:cs="宋体"/>
          <w:color w:val="auto"/>
          <w:highlight w:val="none"/>
        </w:rPr>
        <w:fldChar w:fldCharType="end"/>
      </w:r>
    </w:p>
    <w:p w14:paraId="517E542C">
      <w:pPr>
        <w:pStyle w:val="27"/>
        <w:keepNext w:val="0"/>
        <w:keepLines w:val="0"/>
        <w:pageBreakBefore w:val="0"/>
        <w:widowControl w:val="0"/>
        <w:tabs>
          <w:tab w:val="right" w:leader="dot" w:pos="9242"/>
        </w:tabs>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_Toc24453 </w:instrText>
      </w:r>
      <w:r>
        <w:rPr>
          <w:rFonts w:hint="eastAsia" w:ascii="宋体" w:hAnsi="宋体" w:cs="宋体"/>
          <w:color w:val="auto"/>
          <w:highlight w:val="none"/>
        </w:rPr>
        <w:fldChar w:fldCharType="separate"/>
      </w:r>
      <w:r>
        <w:rPr>
          <w:rFonts w:hint="eastAsia" w:ascii="宋体" w:hAnsi="宋体" w:cs="宋体"/>
          <w:color w:val="auto"/>
          <w:highlight w:val="none"/>
        </w:rPr>
        <w:t>第三章  投标人须知</w:t>
      </w:r>
      <w:r>
        <w:rPr>
          <w:color w:val="auto"/>
          <w:highlight w:val="none"/>
        </w:rPr>
        <w:tab/>
      </w:r>
      <w:r>
        <w:rPr>
          <w:color w:val="auto"/>
          <w:highlight w:val="none"/>
        </w:rPr>
        <w:fldChar w:fldCharType="begin"/>
      </w:r>
      <w:r>
        <w:rPr>
          <w:color w:val="auto"/>
          <w:highlight w:val="none"/>
        </w:rPr>
        <w:instrText xml:space="preserve"> PAGEREF _Toc24453 \h </w:instrText>
      </w:r>
      <w:r>
        <w:rPr>
          <w:color w:val="auto"/>
          <w:highlight w:val="none"/>
        </w:rPr>
        <w:fldChar w:fldCharType="separate"/>
      </w:r>
      <w:r>
        <w:rPr>
          <w:color w:val="auto"/>
          <w:highlight w:val="none"/>
        </w:rPr>
        <w:t>12</w:t>
      </w:r>
      <w:r>
        <w:rPr>
          <w:color w:val="auto"/>
          <w:highlight w:val="none"/>
        </w:rPr>
        <w:fldChar w:fldCharType="end"/>
      </w:r>
      <w:r>
        <w:rPr>
          <w:rFonts w:hint="eastAsia" w:ascii="宋体" w:hAnsi="宋体" w:cs="宋体"/>
          <w:color w:val="auto"/>
          <w:highlight w:val="none"/>
        </w:rPr>
        <w:fldChar w:fldCharType="end"/>
      </w:r>
    </w:p>
    <w:p w14:paraId="0BE94ACD">
      <w:pPr>
        <w:pStyle w:val="31"/>
        <w:keepNext w:val="0"/>
        <w:keepLines w:val="0"/>
        <w:pageBreakBefore w:val="0"/>
        <w:widowControl w:val="0"/>
        <w:tabs>
          <w:tab w:val="right" w:leader="dot" w:pos="9242"/>
        </w:tabs>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_Toc3016 </w:instrText>
      </w:r>
      <w:r>
        <w:rPr>
          <w:rFonts w:hint="eastAsia" w:ascii="宋体" w:hAnsi="宋体" w:cs="宋体"/>
          <w:color w:val="auto"/>
          <w:highlight w:val="none"/>
        </w:rPr>
        <w:fldChar w:fldCharType="separate"/>
      </w:r>
      <w:r>
        <w:rPr>
          <w:rFonts w:hint="eastAsia" w:ascii="宋体" w:hAnsi="宋体" w:cs="宋体"/>
          <w:color w:val="auto"/>
          <w:szCs w:val="36"/>
          <w:highlight w:val="none"/>
        </w:rPr>
        <w:t>投标人须知前附表</w:t>
      </w:r>
      <w:r>
        <w:rPr>
          <w:color w:val="auto"/>
          <w:highlight w:val="none"/>
        </w:rPr>
        <w:tab/>
      </w:r>
      <w:r>
        <w:rPr>
          <w:color w:val="auto"/>
          <w:highlight w:val="none"/>
        </w:rPr>
        <w:fldChar w:fldCharType="begin"/>
      </w:r>
      <w:r>
        <w:rPr>
          <w:color w:val="auto"/>
          <w:highlight w:val="none"/>
        </w:rPr>
        <w:instrText xml:space="preserve"> PAGEREF _Toc3016 \h </w:instrText>
      </w:r>
      <w:r>
        <w:rPr>
          <w:color w:val="auto"/>
          <w:highlight w:val="none"/>
        </w:rPr>
        <w:fldChar w:fldCharType="separate"/>
      </w:r>
      <w:r>
        <w:rPr>
          <w:color w:val="auto"/>
          <w:highlight w:val="none"/>
        </w:rPr>
        <w:t>12</w:t>
      </w:r>
      <w:r>
        <w:rPr>
          <w:color w:val="auto"/>
          <w:highlight w:val="none"/>
        </w:rPr>
        <w:fldChar w:fldCharType="end"/>
      </w:r>
      <w:r>
        <w:rPr>
          <w:rFonts w:hint="eastAsia" w:ascii="宋体" w:hAnsi="宋体" w:cs="宋体"/>
          <w:color w:val="auto"/>
          <w:highlight w:val="none"/>
        </w:rPr>
        <w:fldChar w:fldCharType="end"/>
      </w:r>
    </w:p>
    <w:p w14:paraId="7AB4C955">
      <w:pPr>
        <w:pStyle w:val="31"/>
        <w:keepNext w:val="0"/>
        <w:keepLines w:val="0"/>
        <w:pageBreakBefore w:val="0"/>
        <w:widowControl w:val="0"/>
        <w:tabs>
          <w:tab w:val="right" w:leader="dot" w:pos="9242"/>
        </w:tabs>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_Toc21607 </w:instrText>
      </w:r>
      <w:r>
        <w:rPr>
          <w:rFonts w:hint="eastAsia" w:ascii="宋体" w:hAnsi="宋体" w:cs="宋体"/>
          <w:color w:val="auto"/>
          <w:highlight w:val="none"/>
        </w:rPr>
        <w:fldChar w:fldCharType="separate"/>
      </w:r>
      <w:r>
        <w:rPr>
          <w:rFonts w:hint="eastAsia" w:ascii="宋体" w:hAnsi="宋体" w:cs="宋体"/>
          <w:color w:val="auto"/>
          <w:highlight w:val="none"/>
        </w:rPr>
        <w:t>投标人须知正文</w:t>
      </w:r>
      <w:r>
        <w:rPr>
          <w:color w:val="auto"/>
          <w:highlight w:val="none"/>
        </w:rPr>
        <w:tab/>
      </w:r>
      <w:r>
        <w:rPr>
          <w:color w:val="auto"/>
          <w:highlight w:val="none"/>
        </w:rPr>
        <w:fldChar w:fldCharType="begin"/>
      </w:r>
      <w:r>
        <w:rPr>
          <w:color w:val="auto"/>
          <w:highlight w:val="none"/>
        </w:rPr>
        <w:instrText xml:space="preserve"> PAGEREF _Toc21607 \h </w:instrText>
      </w:r>
      <w:r>
        <w:rPr>
          <w:color w:val="auto"/>
          <w:highlight w:val="none"/>
        </w:rPr>
        <w:fldChar w:fldCharType="separate"/>
      </w:r>
      <w:r>
        <w:rPr>
          <w:color w:val="auto"/>
          <w:highlight w:val="none"/>
        </w:rPr>
        <w:t>20</w:t>
      </w:r>
      <w:r>
        <w:rPr>
          <w:color w:val="auto"/>
          <w:highlight w:val="none"/>
        </w:rPr>
        <w:fldChar w:fldCharType="end"/>
      </w:r>
      <w:r>
        <w:rPr>
          <w:rFonts w:hint="eastAsia" w:ascii="宋体" w:hAnsi="宋体" w:cs="宋体"/>
          <w:color w:val="auto"/>
          <w:highlight w:val="none"/>
        </w:rPr>
        <w:fldChar w:fldCharType="end"/>
      </w:r>
    </w:p>
    <w:p w14:paraId="589171A3">
      <w:pPr>
        <w:pStyle w:val="19"/>
        <w:keepNext w:val="0"/>
        <w:keepLines w:val="0"/>
        <w:pageBreakBefore w:val="0"/>
        <w:widowControl w:val="0"/>
        <w:tabs>
          <w:tab w:val="right" w:leader="dot" w:pos="9242"/>
        </w:tabs>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_Toc7551 </w:instrText>
      </w:r>
      <w:r>
        <w:rPr>
          <w:rFonts w:hint="eastAsia" w:ascii="宋体" w:hAnsi="宋体" w:cs="宋体"/>
          <w:color w:val="auto"/>
          <w:highlight w:val="none"/>
        </w:rPr>
        <w:fldChar w:fldCharType="separate"/>
      </w:r>
      <w:r>
        <w:rPr>
          <w:rFonts w:hint="eastAsia" w:ascii="宋体" w:hAnsi="宋体" w:cs="宋体"/>
          <w:color w:val="auto"/>
          <w:highlight w:val="none"/>
        </w:rPr>
        <w:t>一、总  则</w:t>
      </w:r>
      <w:r>
        <w:rPr>
          <w:color w:val="auto"/>
          <w:highlight w:val="none"/>
        </w:rPr>
        <w:tab/>
      </w:r>
      <w:r>
        <w:rPr>
          <w:color w:val="auto"/>
          <w:highlight w:val="none"/>
        </w:rPr>
        <w:fldChar w:fldCharType="begin"/>
      </w:r>
      <w:r>
        <w:rPr>
          <w:color w:val="auto"/>
          <w:highlight w:val="none"/>
        </w:rPr>
        <w:instrText xml:space="preserve"> PAGEREF _Toc7551 \h </w:instrText>
      </w:r>
      <w:r>
        <w:rPr>
          <w:color w:val="auto"/>
          <w:highlight w:val="none"/>
        </w:rPr>
        <w:fldChar w:fldCharType="separate"/>
      </w:r>
      <w:r>
        <w:rPr>
          <w:color w:val="auto"/>
          <w:highlight w:val="none"/>
        </w:rPr>
        <w:t>20</w:t>
      </w:r>
      <w:r>
        <w:rPr>
          <w:color w:val="auto"/>
          <w:highlight w:val="none"/>
        </w:rPr>
        <w:fldChar w:fldCharType="end"/>
      </w:r>
      <w:r>
        <w:rPr>
          <w:rFonts w:hint="eastAsia" w:ascii="宋体" w:hAnsi="宋体" w:cs="宋体"/>
          <w:color w:val="auto"/>
          <w:highlight w:val="none"/>
        </w:rPr>
        <w:fldChar w:fldCharType="end"/>
      </w:r>
    </w:p>
    <w:p w14:paraId="2E134AAD">
      <w:pPr>
        <w:pStyle w:val="19"/>
        <w:keepNext w:val="0"/>
        <w:keepLines w:val="0"/>
        <w:pageBreakBefore w:val="0"/>
        <w:widowControl w:val="0"/>
        <w:tabs>
          <w:tab w:val="right" w:leader="dot" w:pos="9242"/>
        </w:tabs>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_Toc30666 </w:instrText>
      </w:r>
      <w:r>
        <w:rPr>
          <w:rFonts w:hint="eastAsia" w:ascii="宋体" w:hAnsi="宋体" w:cs="宋体"/>
          <w:color w:val="auto"/>
          <w:highlight w:val="none"/>
        </w:rPr>
        <w:fldChar w:fldCharType="separate"/>
      </w:r>
      <w:r>
        <w:rPr>
          <w:rFonts w:hint="eastAsia" w:ascii="宋体" w:hAnsi="宋体" w:cs="宋体"/>
          <w:color w:val="auto"/>
          <w:highlight w:val="none"/>
        </w:rPr>
        <w:t>二、招标文件</w:t>
      </w:r>
      <w:r>
        <w:rPr>
          <w:color w:val="auto"/>
          <w:highlight w:val="none"/>
        </w:rPr>
        <w:tab/>
      </w:r>
      <w:r>
        <w:rPr>
          <w:color w:val="auto"/>
          <w:highlight w:val="none"/>
        </w:rPr>
        <w:fldChar w:fldCharType="begin"/>
      </w:r>
      <w:r>
        <w:rPr>
          <w:color w:val="auto"/>
          <w:highlight w:val="none"/>
        </w:rPr>
        <w:instrText xml:space="preserve"> PAGEREF _Toc30666 \h </w:instrText>
      </w:r>
      <w:r>
        <w:rPr>
          <w:color w:val="auto"/>
          <w:highlight w:val="none"/>
        </w:rPr>
        <w:fldChar w:fldCharType="separate"/>
      </w:r>
      <w:r>
        <w:rPr>
          <w:color w:val="auto"/>
          <w:highlight w:val="none"/>
        </w:rPr>
        <w:t>22</w:t>
      </w:r>
      <w:r>
        <w:rPr>
          <w:color w:val="auto"/>
          <w:highlight w:val="none"/>
        </w:rPr>
        <w:fldChar w:fldCharType="end"/>
      </w:r>
      <w:r>
        <w:rPr>
          <w:rFonts w:hint="eastAsia" w:ascii="宋体" w:hAnsi="宋体" w:cs="宋体"/>
          <w:color w:val="auto"/>
          <w:highlight w:val="none"/>
        </w:rPr>
        <w:fldChar w:fldCharType="end"/>
      </w:r>
    </w:p>
    <w:p w14:paraId="39A13940">
      <w:pPr>
        <w:pStyle w:val="19"/>
        <w:keepNext w:val="0"/>
        <w:keepLines w:val="0"/>
        <w:pageBreakBefore w:val="0"/>
        <w:widowControl w:val="0"/>
        <w:tabs>
          <w:tab w:val="right" w:leader="dot" w:pos="9242"/>
        </w:tabs>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_Toc11493 </w:instrText>
      </w:r>
      <w:r>
        <w:rPr>
          <w:rFonts w:hint="eastAsia" w:ascii="宋体" w:hAnsi="宋体" w:cs="宋体"/>
          <w:color w:val="auto"/>
          <w:highlight w:val="none"/>
        </w:rPr>
        <w:fldChar w:fldCharType="separate"/>
      </w:r>
      <w:r>
        <w:rPr>
          <w:rFonts w:hint="eastAsia" w:ascii="宋体" w:hAnsi="宋体" w:cs="宋体"/>
          <w:color w:val="auto"/>
          <w:highlight w:val="none"/>
        </w:rPr>
        <w:t>三、投标文件的编制</w:t>
      </w:r>
      <w:r>
        <w:rPr>
          <w:color w:val="auto"/>
          <w:highlight w:val="none"/>
        </w:rPr>
        <w:tab/>
      </w:r>
      <w:r>
        <w:rPr>
          <w:color w:val="auto"/>
          <w:highlight w:val="none"/>
        </w:rPr>
        <w:fldChar w:fldCharType="begin"/>
      </w:r>
      <w:r>
        <w:rPr>
          <w:color w:val="auto"/>
          <w:highlight w:val="none"/>
        </w:rPr>
        <w:instrText xml:space="preserve"> PAGEREF _Toc11493 \h </w:instrText>
      </w:r>
      <w:r>
        <w:rPr>
          <w:color w:val="auto"/>
          <w:highlight w:val="none"/>
        </w:rPr>
        <w:fldChar w:fldCharType="separate"/>
      </w:r>
      <w:r>
        <w:rPr>
          <w:color w:val="auto"/>
          <w:highlight w:val="none"/>
        </w:rPr>
        <w:t>23</w:t>
      </w:r>
      <w:r>
        <w:rPr>
          <w:color w:val="auto"/>
          <w:highlight w:val="none"/>
        </w:rPr>
        <w:fldChar w:fldCharType="end"/>
      </w:r>
      <w:r>
        <w:rPr>
          <w:rFonts w:hint="eastAsia" w:ascii="宋体" w:hAnsi="宋体" w:cs="宋体"/>
          <w:color w:val="auto"/>
          <w:highlight w:val="none"/>
        </w:rPr>
        <w:fldChar w:fldCharType="end"/>
      </w:r>
    </w:p>
    <w:p w14:paraId="473DDD58">
      <w:pPr>
        <w:pStyle w:val="19"/>
        <w:keepNext w:val="0"/>
        <w:keepLines w:val="0"/>
        <w:pageBreakBefore w:val="0"/>
        <w:widowControl w:val="0"/>
        <w:tabs>
          <w:tab w:val="right" w:leader="dot" w:pos="9242"/>
        </w:tabs>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_Toc21393 </w:instrText>
      </w:r>
      <w:r>
        <w:rPr>
          <w:rFonts w:hint="eastAsia" w:ascii="宋体" w:hAnsi="宋体" w:cs="宋体"/>
          <w:color w:val="auto"/>
          <w:highlight w:val="none"/>
        </w:rPr>
        <w:fldChar w:fldCharType="separate"/>
      </w:r>
      <w:r>
        <w:rPr>
          <w:rFonts w:hint="eastAsia" w:ascii="宋体" w:hAnsi="宋体" w:cs="宋体"/>
          <w:color w:val="auto"/>
          <w:highlight w:val="none"/>
        </w:rPr>
        <w:t>四、开  标</w:t>
      </w:r>
      <w:r>
        <w:rPr>
          <w:color w:val="auto"/>
          <w:highlight w:val="none"/>
        </w:rPr>
        <w:tab/>
      </w:r>
      <w:r>
        <w:rPr>
          <w:color w:val="auto"/>
          <w:highlight w:val="none"/>
        </w:rPr>
        <w:fldChar w:fldCharType="begin"/>
      </w:r>
      <w:r>
        <w:rPr>
          <w:color w:val="auto"/>
          <w:highlight w:val="none"/>
        </w:rPr>
        <w:instrText xml:space="preserve"> PAGEREF _Toc21393 \h </w:instrText>
      </w:r>
      <w:r>
        <w:rPr>
          <w:color w:val="auto"/>
          <w:highlight w:val="none"/>
        </w:rPr>
        <w:fldChar w:fldCharType="separate"/>
      </w:r>
      <w:r>
        <w:rPr>
          <w:color w:val="auto"/>
          <w:highlight w:val="none"/>
        </w:rPr>
        <w:t>25</w:t>
      </w:r>
      <w:r>
        <w:rPr>
          <w:color w:val="auto"/>
          <w:highlight w:val="none"/>
        </w:rPr>
        <w:fldChar w:fldCharType="end"/>
      </w:r>
      <w:r>
        <w:rPr>
          <w:rFonts w:hint="eastAsia" w:ascii="宋体" w:hAnsi="宋体" w:cs="宋体"/>
          <w:color w:val="auto"/>
          <w:highlight w:val="none"/>
        </w:rPr>
        <w:fldChar w:fldCharType="end"/>
      </w:r>
    </w:p>
    <w:p w14:paraId="3EDC5330">
      <w:pPr>
        <w:pStyle w:val="19"/>
        <w:keepNext w:val="0"/>
        <w:keepLines w:val="0"/>
        <w:pageBreakBefore w:val="0"/>
        <w:widowControl w:val="0"/>
        <w:tabs>
          <w:tab w:val="right" w:leader="dot" w:pos="9242"/>
        </w:tabs>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_Toc6086 </w:instrText>
      </w:r>
      <w:r>
        <w:rPr>
          <w:rFonts w:hint="eastAsia" w:ascii="宋体" w:hAnsi="宋体" w:cs="宋体"/>
          <w:color w:val="auto"/>
          <w:highlight w:val="none"/>
        </w:rPr>
        <w:fldChar w:fldCharType="separate"/>
      </w:r>
      <w:r>
        <w:rPr>
          <w:rFonts w:hint="eastAsia" w:ascii="宋体" w:hAnsi="宋体" w:cs="宋体"/>
          <w:color w:val="auto"/>
          <w:highlight w:val="none"/>
        </w:rPr>
        <w:t>五、资格审查</w:t>
      </w:r>
      <w:r>
        <w:rPr>
          <w:color w:val="auto"/>
          <w:highlight w:val="none"/>
        </w:rPr>
        <w:tab/>
      </w:r>
      <w:r>
        <w:rPr>
          <w:color w:val="auto"/>
          <w:highlight w:val="none"/>
        </w:rPr>
        <w:fldChar w:fldCharType="begin"/>
      </w:r>
      <w:r>
        <w:rPr>
          <w:color w:val="auto"/>
          <w:highlight w:val="none"/>
        </w:rPr>
        <w:instrText xml:space="preserve"> PAGEREF _Toc6086 \h </w:instrText>
      </w:r>
      <w:r>
        <w:rPr>
          <w:color w:val="auto"/>
          <w:highlight w:val="none"/>
        </w:rPr>
        <w:fldChar w:fldCharType="separate"/>
      </w:r>
      <w:r>
        <w:rPr>
          <w:color w:val="auto"/>
          <w:highlight w:val="none"/>
        </w:rPr>
        <w:t>26</w:t>
      </w:r>
      <w:r>
        <w:rPr>
          <w:color w:val="auto"/>
          <w:highlight w:val="none"/>
        </w:rPr>
        <w:fldChar w:fldCharType="end"/>
      </w:r>
      <w:r>
        <w:rPr>
          <w:rFonts w:hint="eastAsia" w:ascii="宋体" w:hAnsi="宋体" w:cs="宋体"/>
          <w:color w:val="auto"/>
          <w:highlight w:val="none"/>
        </w:rPr>
        <w:fldChar w:fldCharType="end"/>
      </w:r>
    </w:p>
    <w:p w14:paraId="2487AE6B">
      <w:pPr>
        <w:pStyle w:val="19"/>
        <w:keepNext w:val="0"/>
        <w:keepLines w:val="0"/>
        <w:pageBreakBefore w:val="0"/>
        <w:widowControl w:val="0"/>
        <w:tabs>
          <w:tab w:val="right" w:leader="dot" w:pos="9242"/>
        </w:tabs>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_Toc17386 </w:instrText>
      </w:r>
      <w:r>
        <w:rPr>
          <w:rFonts w:hint="eastAsia" w:ascii="宋体" w:hAnsi="宋体" w:cs="宋体"/>
          <w:color w:val="auto"/>
          <w:highlight w:val="none"/>
        </w:rPr>
        <w:fldChar w:fldCharType="separate"/>
      </w:r>
      <w:r>
        <w:rPr>
          <w:rFonts w:hint="eastAsia" w:ascii="宋体" w:hAnsi="宋体" w:cs="宋体"/>
          <w:color w:val="auto"/>
          <w:highlight w:val="none"/>
        </w:rPr>
        <w:t>六、评  标</w:t>
      </w:r>
      <w:r>
        <w:rPr>
          <w:color w:val="auto"/>
          <w:highlight w:val="none"/>
        </w:rPr>
        <w:tab/>
      </w:r>
      <w:r>
        <w:rPr>
          <w:color w:val="auto"/>
          <w:highlight w:val="none"/>
        </w:rPr>
        <w:fldChar w:fldCharType="begin"/>
      </w:r>
      <w:r>
        <w:rPr>
          <w:color w:val="auto"/>
          <w:highlight w:val="none"/>
        </w:rPr>
        <w:instrText xml:space="preserve"> PAGEREF _Toc17386 \h </w:instrText>
      </w:r>
      <w:r>
        <w:rPr>
          <w:color w:val="auto"/>
          <w:highlight w:val="none"/>
        </w:rPr>
        <w:fldChar w:fldCharType="separate"/>
      </w:r>
      <w:r>
        <w:rPr>
          <w:color w:val="auto"/>
          <w:highlight w:val="none"/>
        </w:rPr>
        <w:t>27</w:t>
      </w:r>
      <w:r>
        <w:rPr>
          <w:color w:val="auto"/>
          <w:highlight w:val="none"/>
        </w:rPr>
        <w:fldChar w:fldCharType="end"/>
      </w:r>
      <w:r>
        <w:rPr>
          <w:rFonts w:hint="eastAsia" w:ascii="宋体" w:hAnsi="宋体" w:cs="宋体"/>
          <w:color w:val="auto"/>
          <w:highlight w:val="none"/>
        </w:rPr>
        <w:fldChar w:fldCharType="end"/>
      </w:r>
    </w:p>
    <w:p w14:paraId="3E40C31F">
      <w:pPr>
        <w:pStyle w:val="19"/>
        <w:keepNext w:val="0"/>
        <w:keepLines w:val="0"/>
        <w:pageBreakBefore w:val="0"/>
        <w:widowControl w:val="0"/>
        <w:tabs>
          <w:tab w:val="right" w:leader="dot" w:pos="9242"/>
        </w:tabs>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_Toc12517 </w:instrText>
      </w:r>
      <w:r>
        <w:rPr>
          <w:rFonts w:hint="eastAsia" w:ascii="宋体" w:hAnsi="宋体" w:cs="宋体"/>
          <w:color w:val="auto"/>
          <w:highlight w:val="none"/>
        </w:rPr>
        <w:fldChar w:fldCharType="separate"/>
      </w:r>
      <w:r>
        <w:rPr>
          <w:rFonts w:hint="eastAsia" w:ascii="宋体" w:hAnsi="宋体" w:cs="宋体"/>
          <w:color w:val="auto"/>
          <w:highlight w:val="none"/>
        </w:rPr>
        <w:t>七、中标和合同</w:t>
      </w:r>
      <w:r>
        <w:rPr>
          <w:color w:val="auto"/>
          <w:highlight w:val="none"/>
        </w:rPr>
        <w:tab/>
      </w:r>
      <w:r>
        <w:rPr>
          <w:color w:val="auto"/>
          <w:highlight w:val="none"/>
        </w:rPr>
        <w:fldChar w:fldCharType="begin"/>
      </w:r>
      <w:r>
        <w:rPr>
          <w:color w:val="auto"/>
          <w:highlight w:val="none"/>
        </w:rPr>
        <w:instrText xml:space="preserve"> PAGEREF _Toc12517 \h </w:instrText>
      </w:r>
      <w:r>
        <w:rPr>
          <w:color w:val="auto"/>
          <w:highlight w:val="none"/>
        </w:rPr>
        <w:fldChar w:fldCharType="separate"/>
      </w:r>
      <w:r>
        <w:rPr>
          <w:color w:val="auto"/>
          <w:highlight w:val="none"/>
        </w:rPr>
        <w:t>28</w:t>
      </w:r>
      <w:r>
        <w:rPr>
          <w:color w:val="auto"/>
          <w:highlight w:val="none"/>
        </w:rPr>
        <w:fldChar w:fldCharType="end"/>
      </w:r>
      <w:r>
        <w:rPr>
          <w:rFonts w:hint="eastAsia" w:ascii="宋体" w:hAnsi="宋体" w:cs="宋体"/>
          <w:color w:val="auto"/>
          <w:highlight w:val="none"/>
        </w:rPr>
        <w:fldChar w:fldCharType="end"/>
      </w:r>
    </w:p>
    <w:p w14:paraId="6600E53A">
      <w:pPr>
        <w:pStyle w:val="19"/>
        <w:keepNext w:val="0"/>
        <w:keepLines w:val="0"/>
        <w:pageBreakBefore w:val="0"/>
        <w:widowControl w:val="0"/>
        <w:tabs>
          <w:tab w:val="right" w:leader="dot" w:pos="9242"/>
        </w:tabs>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_Toc17072 </w:instrText>
      </w:r>
      <w:r>
        <w:rPr>
          <w:rFonts w:hint="eastAsia" w:ascii="宋体" w:hAnsi="宋体" w:cs="宋体"/>
          <w:color w:val="auto"/>
          <w:highlight w:val="none"/>
        </w:rPr>
        <w:fldChar w:fldCharType="separate"/>
      </w:r>
      <w:r>
        <w:rPr>
          <w:rFonts w:hint="eastAsia" w:ascii="宋体" w:hAnsi="宋体" w:cs="宋体"/>
          <w:color w:val="auto"/>
          <w:highlight w:val="none"/>
        </w:rPr>
        <w:t>八、其他事项</w:t>
      </w:r>
      <w:r>
        <w:rPr>
          <w:color w:val="auto"/>
          <w:highlight w:val="none"/>
        </w:rPr>
        <w:tab/>
      </w:r>
      <w:r>
        <w:rPr>
          <w:color w:val="auto"/>
          <w:highlight w:val="none"/>
        </w:rPr>
        <w:fldChar w:fldCharType="begin"/>
      </w:r>
      <w:r>
        <w:rPr>
          <w:color w:val="auto"/>
          <w:highlight w:val="none"/>
        </w:rPr>
        <w:instrText xml:space="preserve"> PAGEREF _Toc17072 \h </w:instrText>
      </w:r>
      <w:r>
        <w:rPr>
          <w:color w:val="auto"/>
          <w:highlight w:val="none"/>
        </w:rPr>
        <w:fldChar w:fldCharType="separate"/>
      </w:r>
      <w:r>
        <w:rPr>
          <w:color w:val="auto"/>
          <w:highlight w:val="none"/>
        </w:rPr>
        <w:t>31</w:t>
      </w:r>
      <w:r>
        <w:rPr>
          <w:color w:val="auto"/>
          <w:highlight w:val="none"/>
        </w:rPr>
        <w:fldChar w:fldCharType="end"/>
      </w:r>
      <w:r>
        <w:rPr>
          <w:rFonts w:hint="eastAsia" w:ascii="宋体" w:hAnsi="宋体" w:cs="宋体"/>
          <w:color w:val="auto"/>
          <w:highlight w:val="none"/>
        </w:rPr>
        <w:fldChar w:fldCharType="end"/>
      </w:r>
    </w:p>
    <w:p w14:paraId="72198096">
      <w:pPr>
        <w:pStyle w:val="27"/>
        <w:keepNext w:val="0"/>
        <w:keepLines w:val="0"/>
        <w:pageBreakBefore w:val="0"/>
        <w:widowControl w:val="0"/>
        <w:tabs>
          <w:tab w:val="right" w:leader="dot" w:pos="9242"/>
        </w:tabs>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_Toc15433 </w:instrText>
      </w:r>
      <w:r>
        <w:rPr>
          <w:rFonts w:hint="eastAsia" w:ascii="宋体" w:hAnsi="宋体" w:cs="宋体"/>
          <w:color w:val="auto"/>
          <w:highlight w:val="none"/>
        </w:rPr>
        <w:fldChar w:fldCharType="separate"/>
      </w:r>
      <w:r>
        <w:rPr>
          <w:rFonts w:hint="eastAsia" w:ascii="宋体" w:hAnsi="宋体" w:cs="宋体"/>
          <w:color w:val="auto"/>
          <w:highlight w:val="none"/>
        </w:rPr>
        <w:t>第四章  评标方法及评标标准</w:t>
      </w:r>
      <w:r>
        <w:rPr>
          <w:color w:val="auto"/>
          <w:highlight w:val="none"/>
        </w:rPr>
        <w:tab/>
      </w:r>
      <w:r>
        <w:rPr>
          <w:color w:val="auto"/>
          <w:highlight w:val="none"/>
        </w:rPr>
        <w:fldChar w:fldCharType="begin"/>
      </w:r>
      <w:r>
        <w:rPr>
          <w:color w:val="auto"/>
          <w:highlight w:val="none"/>
        </w:rPr>
        <w:instrText xml:space="preserve"> PAGEREF _Toc15433 \h </w:instrText>
      </w:r>
      <w:r>
        <w:rPr>
          <w:color w:val="auto"/>
          <w:highlight w:val="none"/>
        </w:rPr>
        <w:fldChar w:fldCharType="separate"/>
      </w:r>
      <w:r>
        <w:rPr>
          <w:color w:val="auto"/>
          <w:highlight w:val="none"/>
        </w:rPr>
        <w:t>35</w:t>
      </w:r>
      <w:r>
        <w:rPr>
          <w:color w:val="auto"/>
          <w:highlight w:val="none"/>
        </w:rPr>
        <w:fldChar w:fldCharType="end"/>
      </w:r>
      <w:r>
        <w:rPr>
          <w:rFonts w:hint="eastAsia" w:ascii="宋体" w:hAnsi="宋体" w:cs="宋体"/>
          <w:color w:val="auto"/>
          <w:highlight w:val="none"/>
        </w:rPr>
        <w:fldChar w:fldCharType="end"/>
      </w:r>
    </w:p>
    <w:p w14:paraId="6809E0D7">
      <w:pPr>
        <w:pStyle w:val="31"/>
        <w:keepNext w:val="0"/>
        <w:keepLines w:val="0"/>
        <w:pageBreakBefore w:val="0"/>
        <w:widowControl w:val="0"/>
        <w:tabs>
          <w:tab w:val="right" w:leader="dot" w:pos="9242"/>
        </w:tabs>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_Toc22273 </w:instrText>
      </w:r>
      <w:r>
        <w:rPr>
          <w:rFonts w:hint="eastAsia" w:ascii="宋体" w:hAnsi="宋体" w:cs="宋体"/>
          <w:color w:val="auto"/>
          <w:highlight w:val="none"/>
        </w:rPr>
        <w:fldChar w:fldCharType="separate"/>
      </w:r>
      <w:r>
        <w:rPr>
          <w:rFonts w:hint="eastAsia" w:ascii="宋体" w:hAnsi="宋体" w:cs="宋体"/>
          <w:color w:val="auto"/>
          <w:highlight w:val="none"/>
        </w:rPr>
        <w:t>一、评标方法</w:t>
      </w:r>
      <w:r>
        <w:rPr>
          <w:color w:val="auto"/>
          <w:highlight w:val="none"/>
        </w:rPr>
        <w:tab/>
      </w:r>
      <w:r>
        <w:rPr>
          <w:color w:val="auto"/>
          <w:highlight w:val="none"/>
        </w:rPr>
        <w:fldChar w:fldCharType="begin"/>
      </w:r>
      <w:r>
        <w:rPr>
          <w:color w:val="auto"/>
          <w:highlight w:val="none"/>
        </w:rPr>
        <w:instrText xml:space="preserve"> PAGEREF _Toc22273 \h </w:instrText>
      </w:r>
      <w:r>
        <w:rPr>
          <w:color w:val="auto"/>
          <w:highlight w:val="none"/>
        </w:rPr>
        <w:fldChar w:fldCharType="separate"/>
      </w:r>
      <w:r>
        <w:rPr>
          <w:color w:val="auto"/>
          <w:highlight w:val="none"/>
        </w:rPr>
        <w:t>35</w:t>
      </w:r>
      <w:r>
        <w:rPr>
          <w:color w:val="auto"/>
          <w:highlight w:val="none"/>
        </w:rPr>
        <w:fldChar w:fldCharType="end"/>
      </w:r>
      <w:r>
        <w:rPr>
          <w:rFonts w:hint="eastAsia" w:ascii="宋体" w:hAnsi="宋体" w:cs="宋体"/>
          <w:color w:val="auto"/>
          <w:highlight w:val="none"/>
        </w:rPr>
        <w:fldChar w:fldCharType="end"/>
      </w:r>
    </w:p>
    <w:p w14:paraId="11BEC00F">
      <w:pPr>
        <w:pStyle w:val="31"/>
        <w:keepNext w:val="0"/>
        <w:keepLines w:val="0"/>
        <w:pageBreakBefore w:val="0"/>
        <w:widowControl w:val="0"/>
        <w:tabs>
          <w:tab w:val="right" w:leader="dot" w:pos="9242"/>
        </w:tabs>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_Toc29445 </w:instrText>
      </w:r>
      <w:r>
        <w:rPr>
          <w:rFonts w:hint="eastAsia" w:ascii="宋体" w:hAnsi="宋体" w:cs="宋体"/>
          <w:color w:val="auto"/>
          <w:highlight w:val="none"/>
        </w:rPr>
        <w:fldChar w:fldCharType="separate"/>
      </w:r>
      <w:r>
        <w:rPr>
          <w:rFonts w:hint="eastAsia" w:ascii="宋体" w:hAnsi="宋体" w:cs="宋体"/>
          <w:color w:val="auto"/>
          <w:highlight w:val="none"/>
        </w:rPr>
        <w:t>二、评标程序</w:t>
      </w:r>
      <w:r>
        <w:rPr>
          <w:color w:val="auto"/>
          <w:highlight w:val="none"/>
        </w:rPr>
        <w:tab/>
      </w:r>
      <w:r>
        <w:rPr>
          <w:color w:val="auto"/>
          <w:highlight w:val="none"/>
        </w:rPr>
        <w:fldChar w:fldCharType="begin"/>
      </w:r>
      <w:r>
        <w:rPr>
          <w:color w:val="auto"/>
          <w:highlight w:val="none"/>
        </w:rPr>
        <w:instrText xml:space="preserve"> PAGEREF _Toc29445 \h </w:instrText>
      </w:r>
      <w:r>
        <w:rPr>
          <w:color w:val="auto"/>
          <w:highlight w:val="none"/>
        </w:rPr>
        <w:fldChar w:fldCharType="separate"/>
      </w:r>
      <w:r>
        <w:rPr>
          <w:color w:val="auto"/>
          <w:highlight w:val="none"/>
        </w:rPr>
        <w:t>35</w:t>
      </w:r>
      <w:r>
        <w:rPr>
          <w:color w:val="auto"/>
          <w:highlight w:val="none"/>
        </w:rPr>
        <w:fldChar w:fldCharType="end"/>
      </w:r>
      <w:r>
        <w:rPr>
          <w:rFonts w:hint="eastAsia" w:ascii="宋体" w:hAnsi="宋体" w:cs="宋体"/>
          <w:color w:val="auto"/>
          <w:highlight w:val="none"/>
        </w:rPr>
        <w:fldChar w:fldCharType="end"/>
      </w:r>
    </w:p>
    <w:p w14:paraId="2F56B9D2">
      <w:pPr>
        <w:pStyle w:val="31"/>
        <w:keepNext w:val="0"/>
        <w:keepLines w:val="0"/>
        <w:pageBreakBefore w:val="0"/>
        <w:widowControl w:val="0"/>
        <w:tabs>
          <w:tab w:val="right" w:leader="dot" w:pos="9242"/>
        </w:tabs>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_Toc4705 </w:instrText>
      </w:r>
      <w:r>
        <w:rPr>
          <w:rFonts w:hint="eastAsia" w:ascii="宋体" w:hAnsi="宋体" w:cs="宋体"/>
          <w:color w:val="auto"/>
          <w:highlight w:val="none"/>
        </w:rPr>
        <w:fldChar w:fldCharType="separate"/>
      </w:r>
      <w:r>
        <w:rPr>
          <w:rFonts w:hint="eastAsia" w:ascii="宋体" w:hAnsi="宋体" w:cs="宋体"/>
          <w:color w:val="auto"/>
          <w:highlight w:val="none"/>
        </w:rPr>
        <w:t>三、评标标准</w:t>
      </w:r>
      <w:r>
        <w:rPr>
          <w:color w:val="auto"/>
          <w:highlight w:val="none"/>
        </w:rPr>
        <w:tab/>
      </w:r>
      <w:r>
        <w:rPr>
          <w:color w:val="auto"/>
          <w:highlight w:val="none"/>
        </w:rPr>
        <w:fldChar w:fldCharType="begin"/>
      </w:r>
      <w:r>
        <w:rPr>
          <w:color w:val="auto"/>
          <w:highlight w:val="none"/>
        </w:rPr>
        <w:instrText xml:space="preserve"> PAGEREF _Toc4705 \h </w:instrText>
      </w:r>
      <w:r>
        <w:rPr>
          <w:color w:val="auto"/>
          <w:highlight w:val="none"/>
        </w:rPr>
        <w:fldChar w:fldCharType="separate"/>
      </w:r>
      <w:r>
        <w:rPr>
          <w:color w:val="auto"/>
          <w:highlight w:val="none"/>
        </w:rPr>
        <w:t>38</w:t>
      </w:r>
      <w:r>
        <w:rPr>
          <w:color w:val="auto"/>
          <w:highlight w:val="none"/>
        </w:rPr>
        <w:fldChar w:fldCharType="end"/>
      </w:r>
      <w:r>
        <w:rPr>
          <w:rFonts w:hint="eastAsia" w:ascii="宋体" w:hAnsi="宋体" w:cs="宋体"/>
          <w:color w:val="auto"/>
          <w:highlight w:val="none"/>
        </w:rPr>
        <w:fldChar w:fldCharType="end"/>
      </w:r>
    </w:p>
    <w:p w14:paraId="0040E925">
      <w:pPr>
        <w:pStyle w:val="31"/>
        <w:keepNext w:val="0"/>
        <w:keepLines w:val="0"/>
        <w:pageBreakBefore w:val="0"/>
        <w:widowControl w:val="0"/>
        <w:tabs>
          <w:tab w:val="right" w:leader="dot" w:pos="9242"/>
        </w:tabs>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_Toc29253 </w:instrText>
      </w:r>
      <w:r>
        <w:rPr>
          <w:rFonts w:hint="eastAsia" w:ascii="宋体" w:hAnsi="宋体" w:cs="宋体"/>
          <w:color w:val="auto"/>
          <w:highlight w:val="none"/>
        </w:rPr>
        <w:fldChar w:fldCharType="separate"/>
      </w:r>
      <w:r>
        <w:rPr>
          <w:rFonts w:hint="eastAsia" w:ascii="宋体" w:hAnsi="宋体" w:cs="宋体"/>
          <w:color w:val="auto"/>
          <w:highlight w:val="none"/>
        </w:rPr>
        <w:t>评分标准（综合评分法）</w:t>
      </w:r>
      <w:r>
        <w:rPr>
          <w:color w:val="auto"/>
          <w:highlight w:val="none"/>
        </w:rPr>
        <w:tab/>
      </w:r>
      <w:r>
        <w:rPr>
          <w:color w:val="auto"/>
          <w:highlight w:val="none"/>
        </w:rPr>
        <w:fldChar w:fldCharType="begin"/>
      </w:r>
      <w:r>
        <w:rPr>
          <w:color w:val="auto"/>
          <w:highlight w:val="none"/>
        </w:rPr>
        <w:instrText xml:space="preserve"> PAGEREF _Toc29253 \h </w:instrText>
      </w:r>
      <w:r>
        <w:rPr>
          <w:color w:val="auto"/>
          <w:highlight w:val="none"/>
        </w:rPr>
        <w:fldChar w:fldCharType="separate"/>
      </w:r>
      <w:r>
        <w:rPr>
          <w:color w:val="auto"/>
          <w:highlight w:val="none"/>
        </w:rPr>
        <w:t>38</w:t>
      </w:r>
      <w:r>
        <w:rPr>
          <w:color w:val="auto"/>
          <w:highlight w:val="none"/>
        </w:rPr>
        <w:fldChar w:fldCharType="end"/>
      </w:r>
      <w:r>
        <w:rPr>
          <w:rFonts w:hint="eastAsia" w:ascii="宋体" w:hAnsi="宋体" w:cs="宋体"/>
          <w:color w:val="auto"/>
          <w:highlight w:val="none"/>
        </w:rPr>
        <w:fldChar w:fldCharType="end"/>
      </w:r>
    </w:p>
    <w:p w14:paraId="34C7FD1B">
      <w:pPr>
        <w:pStyle w:val="31"/>
        <w:keepNext w:val="0"/>
        <w:keepLines w:val="0"/>
        <w:pageBreakBefore w:val="0"/>
        <w:widowControl w:val="0"/>
        <w:tabs>
          <w:tab w:val="right" w:leader="dot" w:pos="9242"/>
        </w:tabs>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_Toc4130 </w:instrText>
      </w:r>
      <w:r>
        <w:rPr>
          <w:rFonts w:hint="eastAsia" w:ascii="宋体" w:hAnsi="宋体" w:cs="宋体"/>
          <w:color w:val="auto"/>
          <w:highlight w:val="none"/>
        </w:rPr>
        <w:fldChar w:fldCharType="separate"/>
      </w:r>
      <w:r>
        <w:rPr>
          <w:rFonts w:hint="eastAsia" w:ascii="宋体" w:hAnsi="宋体" w:cs="宋体"/>
          <w:color w:val="auto"/>
          <w:highlight w:val="none"/>
        </w:rPr>
        <w:t>四、中标候选人推荐原则</w:t>
      </w:r>
      <w:r>
        <w:rPr>
          <w:color w:val="auto"/>
          <w:highlight w:val="none"/>
        </w:rPr>
        <w:tab/>
      </w:r>
      <w:r>
        <w:rPr>
          <w:color w:val="auto"/>
          <w:highlight w:val="none"/>
        </w:rPr>
        <w:fldChar w:fldCharType="begin"/>
      </w:r>
      <w:r>
        <w:rPr>
          <w:color w:val="auto"/>
          <w:highlight w:val="none"/>
        </w:rPr>
        <w:instrText xml:space="preserve"> PAGEREF _Toc4130 \h </w:instrText>
      </w:r>
      <w:r>
        <w:rPr>
          <w:color w:val="auto"/>
          <w:highlight w:val="none"/>
        </w:rPr>
        <w:fldChar w:fldCharType="separate"/>
      </w:r>
      <w:r>
        <w:rPr>
          <w:color w:val="auto"/>
          <w:highlight w:val="none"/>
        </w:rPr>
        <w:t>44</w:t>
      </w:r>
      <w:r>
        <w:rPr>
          <w:color w:val="auto"/>
          <w:highlight w:val="none"/>
        </w:rPr>
        <w:fldChar w:fldCharType="end"/>
      </w:r>
      <w:r>
        <w:rPr>
          <w:rFonts w:hint="eastAsia" w:ascii="宋体" w:hAnsi="宋体" w:cs="宋体"/>
          <w:color w:val="auto"/>
          <w:highlight w:val="none"/>
        </w:rPr>
        <w:fldChar w:fldCharType="end"/>
      </w:r>
    </w:p>
    <w:p w14:paraId="5DF6EC7D">
      <w:pPr>
        <w:pStyle w:val="27"/>
        <w:keepNext w:val="0"/>
        <w:keepLines w:val="0"/>
        <w:pageBreakBefore w:val="0"/>
        <w:widowControl w:val="0"/>
        <w:tabs>
          <w:tab w:val="right" w:leader="dot" w:pos="9242"/>
        </w:tabs>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_Toc22428 </w:instrText>
      </w:r>
      <w:r>
        <w:rPr>
          <w:rFonts w:hint="eastAsia" w:ascii="宋体" w:hAnsi="宋体" w:cs="宋体"/>
          <w:color w:val="auto"/>
          <w:highlight w:val="none"/>
        </w:rPr>
        <w:fldChar w:fldCharType="separate"/>
      </w:r>
      <w:r>
        <w:rPr>
          <w:rFonts w:hint="eastAsia" w:ascii="宋体" w:hAnsi="宋体" w:cs="宋体"/>
          <w:color w:val="auto"/>
          <w:highlight w:val="none"/>
        </w:rPr>
        <w:t>第五章  拟签订的合同文本</w:t>
      </w:r>
      <w:r>
        <w:rPr>
          <w:color w:val="auto"/>
          <w:highlight w:val="none"/>
        </w:rPr>
        <w:tab/>
      </w:r>
      <w:r>
        <w:rPr>
          <w:color w:val="auto"/>
          <w:highlight w:val="none"/>
        </w:rPr>
        <w:fldChar w:fldCharType="begin"/>
      </w:r>
      <w:r>
        <w:rPr>
          <w:color w:val="auto"/>
          <w:highlight w:val="none"/>
        </w:rPr>
        <w:instrText xml:space="preserve"> PAGEREF _Toc22428 \h </w:instrText>
      </w:r>
      <w:r>
        <w:rPr>
          <w:color w:val="auto"/>
          <w:highlight w:val="none"/>
        </w:rPr>
        <w:fldChar w:fldCharType="separate"/>
      </w:r>
      <w:r>
        <w:rPr>
          <w:color w:val="auto"/>
          <w:highlight w:val="none"/>
        </w:rPr>
        <w:t>45</w:t>
      </w:r>
      <w:r>
        <w:rPr>
          <w:color w:val="auto"/>
          <w:highlight w:val="none"/>
        </w:rPr>
        <w:fldChar w:fldCharType="end"/>
      </w:r>
      <w:r>
        <w:rPr>
          <w:rFonts w:hint="eastAsia" w:ascii="宋体" w:hAnsi="宋体" w:cs="宋体"/>
          <w:color w:val="auto"/>
          <w:highlight w:val="none"/>
        </w:rPr>
        <w:fldChar w:fldCharType="end"/>
      </w:r>
    </w:p>
    <w:p w14:paraId="799BF998">
      <w:pPr>
        <w:pStyle w:val="27"/>
        <w:keepNext w:val="0"/>
        <w:keepLines w:val="0"/>
        <w:pageBreakBefore w:val="0"/>
        <w:widowControl w:val="0"/>
        <w:tabs>
          <w:tab w:val="right" w:leader="dot" w:pos="9242"/>
        </w:tabs>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_Toc20718 </w:instrText>
      </w:r>
      <w:r>
        <w:rPr>
          <w:rFonts w:hint="eastAsia" w:ascii="宋体" w:hAnsi="宋体" w:cs="宋体"/>
          <w:color w:val="auto"/>
          <w:highlight w:val="none"/>
        </w:rPr>
        <w:fldChar w:fldCharType="separate"/>
      </w:r>
      <w:r>
        <w:rPr>
          <w:rFonts w:hint="eastAsia" w:ascii="宋体" w:hAnsi="宋体" w:cs="宋体"/>
          <w:color w:val="auto"/>
          <w:highlight w:val="none"/>
        </w:rPr>
        <w:t>第六章　投标文件格式</w:t>
      </w:r>
      <w:r>
        <w:rPr>
          <w:color w:val="auto"/>
          <w:highlight w:val="none"/>
        </w:rPr>
        <w:tab/>
      </w:r>
      <w:r>
        <w:rPr>
          <w:color w:val="auto"/>
          <w:highlight w:val="none"/>
        </w:rPr>
        <w:fldChar w:fldCharType="begin"/>
      </w:r>
      <w:r>
        <w:rPr>
          <w:color w:val="auto"/>
          <w:highlight w:val="none"/>
        </w:rPr>
        <w:instrText xml:space="preserve"> PAGEREF _Toc20718 \h </w:instrText>
      </w:r>
      <w:r>
        <w:rPr>
          <w:color w:val="auto"/>
          <w:highlight w:val="none"/>
        </w:rPr>
        <w:fldChar w:fldCharType="separate"/>
      </w:r>
      <w:r>
        <w:rPr>
          <w:color w:val="auto"/>
          <w:highlight w:val="none"/>
        </w:rPr>
        <w:t>57</w:t>
      </w:r>
      <w:r>
        <w:rPr>
          <w:color w:val="auto"/>
          <w:highlight w:val="none"/>
        </w:rPr>
        <w:fldChar w:fldCharType="end"/>
      </w:r>
      <w:r>
        <w:rPr>
          <w:rFonts w:hint="eastAsia" w:ascii="宋体" w:hAnsi="宋体" w:cs="宋体"/>
          <w:color w:val="auto"/>
          <w:highlight w:val="none"/>
        </w:rPr>
        <w:fldChar w:fldCharType="end"/>
      </w:r>
    </w:p>
    <w:p w14:paraId="4A73971B">
      <w:pPr>
        <w:pStyle w:val="31"/>
        <w:keepNext w:val="0"/>
        <w:keepLines w:val="0"/>
        <w:pageBreakBefore w:val="0"/>
        <w:widowControl w:val="0"/>
        <w:tabs>
          <w:tab w:val="right" w:leader="dot" w:pos="9242"/>
        </w:tabs>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_Toc7400 </w:instrText>
      </w:r>
      <w:r>
        <w:rPr>
          <w:rFonts w:hint="eastAsia" w:ascii="宋体" w:hAnsi="宋体" w:cs="宋体"/>
          <w:color w:val="auto"/>
          <w:highlight w:val="none"/>
        </w:rPr>
        <w:fldChar w:fldCharType="separate"/>
      </w:r>
      <w:r>
        <w:rPr>
          <w:rFonts w:hint="eastAsia" w:ascii="宋体" w:hAnsi="宋体" w:cs="宋体"/>
          <w:color w:val="auto"/>
          <w:szCs w:val="28"/>
          <w:highlight w:val="none"/>
        </w:rPr>
        <w:t>一、报价文件格式</w:t>
      </w:r>
      <w:r>
        <w:rPr>
          <w:color w:val="auto"/>
          <w:highlight w:val="none"/>
        </w:rPr>
        <w:tab/>
      </w:r>
      <w:r>
        <w:rPr>
          <w:color w:val="auto"/>
          <w:highlight w:val="none"/>
        </w:rPr>
        <w:fldChar w:fldCharType="begin"/>
      </w:r>
      <w:r>
        <w:rPr>
          <w:color w:val="auto"/>
          <w:highlight w:val="none"/>
        </w:rPr>
        <w:instrText xml:space="preserve"> PAGEREF _Toc7400 \h </w:instrText>
      </w:r>
      <w:r>
        <w:rPr>
          <w:color w:val="auto"/>
          <w:highlight w:val="none"/>
        </w:rPr>
        <w:fldChar w:fldCharType="separate"/>
      </w:r>
      <w:r>
        <w:rPr>
          <w:color w:val="auto"/>
          <w:highlight w:val="none"/>
        </w:rPr>
        <w:t>58</w:t>
      </w:r>
      <w:r>
        <w:rPr>
          <w:color w:val="auto"/>
          <w:highlight w:val="none"/>
        </w:rPr>
        <w:fldChar w:fldCharType="end"/>
      </w:r>
      <w:r>
        <w:rPr>
          <w:rFonts w:hint="eastAsia" w:ascii="宋体" w:hAnsi="宋体" w:cs="宋体"/>
          <w:color w:val="auto"/>
          <w:highlight w:val="none"/>
        </w:rPr>
        <w:fldChar w:fldCharType="end"/>
      </w:r>
    </w:p>
    <w:p w14:paraId="16DA855A">
      <w:pPr>
        <w:pStyle w:val="31"/>
        <w:keepNext w:val="0"/>
        <w:keepLines w:val="0"/>
        <w:pageBreakBefore w:val="0"/>
        <w:widowControl w:val="0"/>
        <w:tabs>
          <w:tab w:val="right" w:leader="dot" w:pos="9242"/>
        </w:tabs>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_Toc23452 </w:instrText>
      </w:r>
      <w:r>
        <w:rPr>
          <w:rFonts w:hint="eastAsia" w:ascii="宋体" w:hAnsi="宋体" w:cs="宋体"/>
          <w:color w:val="auto"/>
          <w:highlight w:val="none"/>
        </w:rPr>
        <w:fldChar w:fldCharType="separate"/>
      </w:r>
      <w:r>
        <w:rPr>
          <w:rFonts w:hint="eastAsia"/>
          <w:color w:val="auto"/>
          <w:highlight w:val="none"/>
        </w:rPr>
        <w:t>二、资格证明文件格式</w:t>
      </w:r>
      <w:r>
        <w:rPr>
          <w:color w:val="auto"/>
          <w:highlight w:val="none"/>
        </w:rPr>
        <w:tab/>
      </w:r>
      <w:r>
        <w:rPr>
          <w:color w:val="auto"/>
          <w:highlight w:val="none"/>
        </w:rPr>
        <w:fldChar w:fldCharType="begin"/>
      </w:r>
      <w:r>
        <w:rPr>
          <w:color w:val="auto"/>
          <w:highlight w:val="none"/>
        </w:rPr>
        <w:instrText xml:space="preserve"> PAGEREF _Toc23452 \h </w:instrText>
      </w:r>
      <w:r>
        <w:rPr>
          <w:color w:val="auto"/>
          <w:highlight w:val="none"/>
        </w:rPr>
        <w:fldChar w:fldCharType="separate"/>
      </w:r>
      <w:r>
        <w:rPr>
          <w:color w:val="auto"/>
          <w:highlight w:val="none"/>
        </w:rPr>
        <w:t>64</w:t>
      </w:r>
      <w:r>
        <w:rPr>
          <w:color w:val="auto"/>
          <w:highlight w:val="none"/>
        </w:rPr>
        <w:fldChar w:fldCharType="end"/>
      </w:r>
      <w:r>
        <w:rPr>
          <w:rFonts w:hint="eastAsia" w:ascii="宋体" w:hAnsi="宋体" w:cs="宋体"/>
          <w:color w:val="auto"/>
          <w:highlight w:val="none"/>
        </w:rPr>
        <w:fldChar w:fldCharType="end"/>
      </w:r>
    </w:p>
    <w:p w14:paraId="0DCCA9E8">
      <w:pPr>
        <w:pStyle w:val="31"/>
        <w:keepNext w:val="0"/>
        <w:keepLines w:val="0"/>
        <w:pageBreakBefore w:val="0"/>
        <w:widowControl w:val="0"/>
        <w:tabs>
          <w:tab w:val="right" w:leader="dot" w:pos="9242"/>
        </w:tabs>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_Toc6222 </w:instrText>
      </w:r>
      <w:r>
        <w:rPr>
          <w:rFonts w:hint="eastAsia" w:ascii="宋体" w:hAnsi="宋体" w:cs="宋体"/>
          <w:color w:val="auto"/>
          <w:highlight w:val="none"/>
        </w:rPr>
        <w:fldChar w:fldCharType="separate"/>
      </w:r>
      <w:r>
        <w:rPr>
          <w:rFonts w:hint="eastAsia" w:ascii="宋体" w:hAnsi="宋体" w:cs="宋体"/>
          <w:color w:val="auto"/>
          <w:szCs w:val="28"/>
          <w:highlight w:val="none"/>
        </w:rPr>
        <w:t>三、商务及技术文件格式</w:t>
      </w:r>
      <w:r>
        <w:rPr>
          <w:color w:val="auto"/>
          <w:highlight w:val="none"/>
        </w:rPr>
        <w:tab/>
      </w:r>
      <w:r>
        <w:rPr>
          <w:color w:val="auto"/>
          <w:highlight w:val="none"/>
        </w:rPr>
        <w:fldChar w:fldCharType="begin"/>
      </w:r>
      <w:r>
        <w:rPr>
          <w:color w:val="auto"/>
          <w:highlight w:val="none"/>
        </w:rPr>
        <w:instrText xml:space="preserve"> PAGEREF _Toc6222 \h </w:instrText>
      </w:r>
      <w:r>
        <w:rPr>
          <w:color w:val="auto"/>
          <w:highlight w:val="none"/>
        </w:rPr>
        <w:fldChar w:fldCharType="separate"/>
      </w:r>
      <w:r>
        <w:rPr>
          <w:color w:val="auto"/>
          <w:highlight w:val="none"/>
        </w:rPr>
        <w:t>69</w:t>
      </w:r>
      <w:r>
        <w:rPr>
          <w:color w:val="auto"/>
          <w:highlight w:val="none"/>
        </w:rPr>
        <w:fldChar w:fldCharType="end"/>
      </w:r>
      <w:r>
        <w:rPr>
          <w:rFonts w:hint="eastAsia" w:ascii="宋体" w:hAnsi="宋体" w:cs="宋体"/>
          <w:color w:val="auto"/>
          <w:highlight w:val="none"/>
        </w:rPr>
        <w:fldChar w:fldCharType="end"/>
      </w:r>
    </w:p>
    <w:p w14:paraId="7AB38F9D">
      <w:pPr>
        <w:pStyle w:val="3"/>
        <w:keepNext w:val="0"/>
        <w:keepLines w:val="0"/>
        <w:pageBreakBefore w:val="0"/>
        <w:tabs>
          <w:tab w:val="left" w:pos="0"/>
          <w:tab w:val="left" w:pos="3165"/>
          <w:tab w:val="center" w:pos="4153"/>
        </w:tabs>
        <w:kinsoku/>
        <w:overflowPunct/>
        <w:topLinePunct w:val="0"/>
        <w:autoSpaceDE w:val="0"/>
        <w:autoSpaceDN w:val="0"/>
        <w:bidi w:val="0"/>
        <w:adjustRightInd w:val="0"/>
        <w:spacing w:before="0" w:after="0" w:line="240" w:lineRule="auto"/>
        <w:jc w:val="center"/>
        <w:textAlignment w:val="auto"/>
        <w:rPr>
          <w:rFonts w:hint="eastAsia" w:ascii="宋体" w:hAnsi="宋体" w:cs="宋体"/>
          <w:color w:val="auto"/>
          <w:highlight w:val="none"/>
        </w:rPr>
        <w:sectPr>
          <w:footerReference r:id="rId7" w:type="default"/>
          <w:pgSz w:w="11906" w:h="16838"/>
          <w:pgMar w:top="1440" w:right="1800" w:bottom="1440" w:left="1800" w:header="851" w:footer="992" w:gutter="0"/>
          <w:pgNumType w:fmt="decimal" w:start="1"/>
          <w:cols w:space="720" w:num="1"/>
          <w:docGrid w:type="lines" w:linePitch="312" w:charSpace="0"/>
        </w:sectPr>
      </w:pPr>
    </w:p>
    <w:p w14:paraId="09ADA858">
      <w:pPr>
        <w:pStyle w:val="3"/>
        <w:keepNext w:val="0"/>
        <w:keepLines w:val="0"/>
        <w:pageBreakBefore w:val="0"/>
        <w:tabs>
          <w:tab w:val="left" w:pos="0"/>
          <w:tab w:val="left" w:pos="3165"/>
          <w:tab w:val="center" w:pos="4153"/>
        </w:tabs>
        <w:kinsoku/>
        <w:overflowPunct/>
        <w:topLinePunct w:val="0"/>
        <w:autoSpaceDE w:val="0"/>
        <w:autoSpaceDN w:val="0"/>
        <w:bidi w:val="0"/>
        <w:adjustRightInd w:val="0"/>
        <w:spacing w:before="0" w:after="0" w:line="240" w:lineRule="auto"/>
        <w:jc w:val="center"/>
        <w:textAlignment w:val="auto"/>
        <w:rPr>
          <w:rFonts w:hint="eastAsia" w:ascii="宋体" w:hAnsi="宋体" w:cs="宋体"/>
          <w:color w:val="auto"/>
          <w:highlight w:val="none"/>
        </w:rPr>
      </w:pPr>
      <w:r>
        <w:rPr>
          <w:rFonts w:hint="eastAsia" w:ascii="宋体" w:hAnsi="宋体" w:cs="宋体"/>
          <w:color w:val="auto"/>
          <w:highlight w:val="none"/>
        </w:rPr>
        <w:fldChar w:fldCharType="end"/>
      </w:r>
      <w:bookmarkEnd w:id="5"/>
      <w:bookmarkEnd w:id="6"/>
      <w:bookmarkStart w:id="7" w:name="_Toc254970489"/>
      <w:bookmarkStart w:id="8" w:name="_Toc254970630"/>
      <w:bookmarkStart w:id="9" w:name="_Toc16993"/>
      <w:bookmarkStart w:id="10" w:name="_Toc5452"/>
      <w:bookmarkStart w:id="11" w:name="_Toc21030"/>
      <w:r>
        <w:rPr>
          <w:rFonts w:hint="eastAsia" w:ascii="宋体" w:hAnsi="宋体" w:cs="宋体"/>
          <w:color w:val="auto"/>
          <w:highlight w:val="none"/>
        </w:rPr>
        <w:t>第一章</w:t>
      </w:r>
      <w:bookmarkEnd w:id="7"/>
      <w:bookmarkEnd w:id="8"/>
      <w:bookmarkStart w:id="12" w:name="_Toc35393789"/>
      <w:bookmarkStart w:id="13" w:name="_Toc28359001"/>
      <w:r>
        <w:rPr>
          <w:rFonts w:hint="eastAsia" w:ascii="宋体" w:hAnsi="宋体" w:cs="宋体"/>
          <w:color w:val="auto"/>
          <w:highlight w:val="none"/>
        </w:rPr>
        <w:t xml:space="preserve">  招标公告</w:t>
      </w:r>
      <w:bookmarkEnd w:id="9"/>
      <w:bookmarkEnd w:id="10"/>
      <w:bookmarkEnd w:id="11"/>
      <w:bookmarkEnd w:id="12"/>
      <w:bookmarkEnd w:id="13"/>
    </w:p>
    <w:p w14:paraId="2883A06D">
      <w:pPr>
        <w:keepNext w:val="0"/>
        <w:keepLines w:val="0"/>
        <w:pageBreakBefore w:val="0"/>
        <w:kinsoku/>
        <w:overflowPunct/>
        <w:topLinePunct w:val="0"/>
        <w:bidi w:val="0"/>
        <w:spacing w:line="400" w:lineRule="exact"/>
        <w:jc w:val="center"/>
        <w:textAlignment w:val="auto"/>
        <w:rPr>
          <w:rFonts w:hint="eastAsia" w:ascii="宋体" w:hAnsi="宋体" w:cs="宋体"/>
          <w:color w:val="auto"/>
          <w:sz w:val="24"/>
          <w:highlight w:val="none"/>
        </w:rPr>
      </w:pPr>
      <w:r>
        <w:rPr>
          <w:rFonts w:hint="eastAsia" w:ascii="宋体" w:hAnsi="宋体" w:cs="宋体"/>
          <w:b/>
          <w:bCs/>
          <w:color w:val="auto"/>
          <w:sz w:val="24"/>
          <w:highlight w:val="none"/>
          <w:lang w:eastAsia="zh-CN"/>
        </w:rPr>
        <w:t>广西建设工程机电设备招标中心有限公司</w:t>
      </w:r>
      <w:r>
        <w:rPr>
          <w:rFonts w:hint="eastAsia" w:ascii="宋体" w:hAnsi="宋体" w:cs="宋体"/>
          <w:b/>
          <w:bCs/>
          <w:color w:val="auto"/>
          <w:sz w:val="24"/>
          <w:highlight w:val="none"/>
        </w:rPr>
        <w:t>关于</w:t>
      </w:r>
      <w:r>
        <w:rPr>
          <w:rFonts w:hint="eastAsia" w:ascii="宋体" w:hAnsi="宋体" w:cs="宋体"/>
          <w:b/>
          <w:color w:val="auto"/>
          <w:sz w:val="24"/>
          <w:highlight w:val="none"/>
          <w:lang w:eastAsia="zh-CN"/>
        </w:rPr>
        <w:t>全区非法堆存、转移涉重固体废物危险特性鉴别及污染释放能力评估项目</w:t>
      </w:r>
      <w:r>
        <w:rPr>
          <w:rFonts w:hint="eastAsia" w:ascii="宋体" w:hAnsi="宋体" w:cs="宋体"/>
          <w:b/>
          <w:bCs/>
          <w:color w:val="auto"/>
          <w:sz w:val="24"/>
          <w:highlight w:val="none"/>
        </w:rPr>
        <w:t>(项目编号：</w:t>
      </w:r>
      <w:r>
        <w:rPr>
          <w:rFonts w:hint="eastAsia" w:ascii="宋体" w:hAnsi="宋体" w:cs="宋体"/>
          <w:b/>
          <w:bCs/>
          <w:color w:val="auto"/>
          <w:sz w:val="24"/>
          <w:highlight w:val="none"/>
          <w:lang w:eastAsia="zh-CN"/>
        </w:rPr>
        <w:t>GXZC2026-G3-000163-JDZB</w:t>
      </w:r>
      <w:r>
        <w:rPr>
          <w:rFonts w:hint="eastAsia" w:ascii="宋体" w:hAnsi="宋体" w:cs="宋体"/>
          <w:b/>
          <w:bCs/>
          <w:color w:val="auto"/>
          <w:sz w:val="24"/>
          <w:highlight w:val="none"/>
        </w:rPr>
        <w:t>)公开招标公告</w:t>
      </w:r>
    </w:p>
    <w:p w14:paraId="6B9E8D26">
      <w:pPr>
        <w:keepNext w:val="0"/>
        <w:keepLines w:val="0"/>
        <w:pageBreakBefore w:val="0"/>
        <w:pBdr>
          <w:top w:val="single" w:color="auto" w:sz="4" w:space="1"/>
          <w:left w:val="single" w:color="auto" w:sz="4" w:space="4"/>
          <w:bottom w:val="single" w:color="auto" w:sz="4" w:space="1"/>
          <w:right w:val="single" w:color="auto" w:sz="4" w:space="4"/>
        </w:pBdr>
        <w:kinsoku/>
        <w:wordWrap w:val="0"/>
        <w:overflowPunct/>
        <w:topLinePunct w:val="0"/>
        <w:bidi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项目概况</w:t>
      </w:r>
    </w:p>
    <w:p w14:paraId="02F1719A">
      <w:pPr>
        <w:keepNext w:val="0"/>
        <w:keepLines w:val="0"/>
        <w:pageBreakBefore w:val="0"/>
        <w:pBdr>
          <w:top w:val="single" w:color="auto" w:sz="4" w:space="1"/>
          <w:left w:val="single" w:color="auto" w:sz="4" w:space="4"/>
          <w:bottom w:val="single" w:color="auto" w:sz="4" w:space="1"/>
          <w:right w:val="single" w:color="auto" w:sz="4" w:space="4"/>
        </w:pBdr>
        <w:kinsoku/>
        <w:wordWrap w:val="0"/>
        <w:overflowPunct/>
        <w:topLinePunct w:val="0"/>
        <w:bidi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u w:val="single"/>
          <w:lang w:eastAsia="zh-CN"/>
        </w:rPr>
        <w:t>全区非法堆存、转移涉重固体废物危险特性鉴别及污染释放能力评估项目</w:t>
      </w:r>
      <w:r>
        <w:rPr>
          <w:rFonts w:hint="eastAsia" w:ascii="宋体" w:hAnsi="宋体" w:cs="宋体"/>
          <w:color w:val="auto"/>
          <w:szCs w:val="21"/>
          <w:highlight w:val="none"/>
        </w:rPr>
        <w:t>招标项目的潜在投标人应在广西政府采购云平台（</w:t>
      </w:r>
      <w:r>
        <w:rPr>
          <w:rFonts w:hint="eastAsia" w:ascii="宋体" w:hAnsi="宋体" w:cs="宋体"/>
          <w:bCs/>
          <w:color w:val="auto"/>
          <w:szCs w:val="21"/>
          <w:highlight w:val="none"/>
        </w:rPr>
        <w:t>https://www.gcy.zfcg.gxzf.gov.cn/</w:t>
      </w:r>
      <w:r>
        <w:rPr>
          <w:rFonts w:hint="eastAsia" w:ascii="宋体" w:hAnsi="宋体" w:cs="宋体"/>
          <w:color w:val="auto"/>
          <w:szCs w:val="21"/>
          <w:highlight w:val="none"/>
        </w:rPr>
        <w:t>）获取招标文件，并于</w:t>
      </w:r>
      <w:r>
        <w:rPr>
          <w:rFonts w:hint="eastAsia" w:ascii="宋体" w:hAnsi="宋体" w:cs="宋体"/>
          <w:color w:val="auto"/>
          <w:szCs w:val="21"/>
          <w:highlight w:val="none"/>
          <w:u w:val="single"/>
        </w:rPr>
        <w:t>202</w:t>
      </w:r>
      <w:r>
        <w:rPr>
          <w:rFonts w:hint="eastAsia" w:ascii="宋体" w:hAnsi="宋体" w:cs="宋体"/>
          <w:color w:val="auto"/>
          <w:szCs w:val="21"/>
          <w:highlight w:val="none"/>
          <w:u w:val="single"/>
          <w:lang w:val="en-US" w:eastAsia="zh-CN"/>
        </w:rPr>
        <w:t>6</w:t>
      </w:r>
      <w:r>
        <w:rPr>
          <w:rFonts w:hint="eastAsia" w:ascii="宋体" w:hAnsi="宋体" w:cs="宋体"/>
          <w:bCs/>
          <w:color w:val="auto"/>
          <w:szCs w:val="21"/>
          <w:highlight w:val="none"/>
          <w:u w:val="single"/>
        </w:rPr>
        <w:t>年</w:t>
      </w:r>
      <w:r>
        <w:rPr>
          <w:rFonts w:hint="eastAsia" w:ascii="宋体" w:hAnsi="宋体" w:cs="宋体"/>
          <w:bCs/>
          <w:color w:val="auto"/>
          <w:szCs w:val="21"/>
          <w:highlight w:val="none"/>
          <w:u w:val="single"/>
          <w:lang w:val="en-US" w:eastAsia="zh-CN"/>
        </w:rPr>
        <w:t xml:space="preserve">  </w:t>
      </w:r>
      <w:r>
        <w:rPr>
          <w:rFonts w:hint="eastAsia" w:ascii="宋体" w:hAnsi="宋体" w:cs="宋体"/>
          <w:bCs/>
          <w:color w:val="auto"/>
          <w:szCs w:val="21"/>
          <w:highlight w:val="none"/>
          <w:u w:val="single"/>
        </w:rPr>
        <w:t>月</w:t>
      </w:r>
      <w:r>
        <w:rPr>
          <w:rFonts w:hint="eastAsia" w:ascii="宋体" w:hAnsi="宋体" w:cs="宋体"/>
          <w:bCs/>
          <w:color w:val="auto"/>
          <w:szCs w:val="21"/>
          <w:highlight w:val="none"/>
          <w:u w:val="single"/>
          <w:lang w:val="en-US" w:eastAsia="zh-CN"/>
        </w:rPr>
        <w:t xml:space="preserve">  </w:t>
      </w:r>
      <w:r>
        <w:rPr>
          <w:rFonts w:hint="eastAsia" w:ascii="宋体" w:hAnsi="宋体" w:cs="宋体"/>
          <w:bCs/>
          <w:color w:val="auto"/>
          <w:szCs w:val="21"/>
          <w:highlight w:val="none"/>
          <w:u w:val="single"/>
        </w:rPr>
        <w:t>日9时30分（</w:t>
      </w:r>
      <w:r>
        <w:rPr>
          <w:rFonts w:hint="eastAsia" w:ascii="宋体" w:hAnsi="宋体" w:cs="宋体"/>
          <w:bCs/>
          <w:color w:val="auto"/>
          <w:szCs w:val="21"/>
          <w:highlight w:val="none"/>
        </w:rPr>
        <w:t>北京时间）前递交投标文件</w:t>
      </w:r>
      <w:r>
        <w:rPr>
          <w:rFonts w:hint="eastAsia" w:ascii="宋体" w:hAnsi="宋体" w:cs="宋体"/>
          <w:color w:val="auto"/>
          <w:szCs w:val="21"/>
          <w:highlight w:val="none"/>
        </w:rPr>
        <w:t>。</w:t>
      </w:r>
    </w:p>
    <w:p w14:paraId="58DC7F04">
      <w:pPr>
        <w:keepNext w:val="0"/>
        <w:keepLines w:val="0"/>
        <w:pageBreakBefore w:val="0"/>
        <w:kinsoku/>
        <w:overflowPunct/>
        <w:topLinePunct w:val="0"/>
        <w:bidi w:val="0"/>
        <w:spacing w:line="400" w:lineRule="exact"/>
        <w:textAlignment w:val="auto"/>
        <w:rPr>
          <w:rFonts w:hint="eastAsia" w:ascii="宋体" w:hAnsi="宋体" w:cs="宋体"/>
          <w:b/>
          <w:bCs/>
          <w:color w:val="auto"/>
          <w:sz w:val="24"/>
          <w:highlight w:val="none"/>
        </w:rPr>
      </w:pPr>
      <w:bookmarkStart w:id="14" w:name="_Toc28359079"/>
      <w:bookmarkStart w:id="15" w:name="_Toc28359002"/>
      <w:bookmarkStart w:id="16" w:name="_Toc35393790"/>
      <w:bookmarkStart w:id="17" w:name="_Toc35393621"/>
      <w:bookmarkStart w:id="18" w:name="_Hlk24379207"/>
      <w:r>
        <w:rPr>
          <w:rFonts w:hint="eastAsia" w:ascii="宋体" w:hAnsi="宋体" w:cs="宋体"/>
          <w:b/>
          <w:bCs/>
          <w:color w:val="auto"/>
          <w:sz w:val="24"/>
          <w:highlight w:val="none"/>
        </w:rPr>
        <w:t>一、项目基本情况</w:t>
      </w:r>
      <w:bookmarkEnd w:id="14"/>
      <w:bookmarkEnd w:id="15"/>
      <w:bookmarkEnd w:id="16"/>
      <w:bookmarkEnd w:id="17"/>
    </w:p>
    <w:bookmarkEnd w:id="18"/>
    <w:p w14:paraId="6F6F9CED">
      <w:pPr>
        <w:keepNext w:val="0"/>
        <w:keepLines w:val="0"/>
        <w:pageBreakBefore w:val="0"/>
        <w:kinsoku/>
        <w:overflowPunct/>
        <w:topLinePunct w:val="0"/>
        <w:bidi w:val="0"/>
        <w:spacing w:line="400" w:lineRule="exact"/>
        <w:ind w:firstLine="420" w:firstLineChars="200"/>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项目编号：</w:t>
      </w:r>
      <w:r>
        <w:rPr>
          <w:rFonts w:hint="eastAsia" w:ascii="宋体" w:hAnsi="宋体" w:cs="宋体"/>
          <w:color w:val="auto"/>
          <w:szCs w:val="21"/>
          <w:highlight w:val="none"/>
          <w:lang w:val="en-US" w:eastAsia="zh-CN"/>
        </w:rPr>
        <w:t>GXZC2026-G3-000163-JDZB</w:t>
      </w:r>
    </w:p>
    <w:p w14:paraId="217B4EA8">
      <w:pPr>
        <w:keepNext w:val="0"/>
        <w:keepLines w:val="0"/>
        <w:pageBreakBefore w:val="0"/>
        <w:kinsoku/>
        <w:overflowPunct/>
        <w:topLinePunct w:val="0"/>
        <w:bidi w:val="0"/>
        <w:spacing w:line="400" w:lineRule="exact"/>
        <w:ind w:firstLine="420" w:firstLineChars="200"/>
        <w:textAlignment w:val="auto"/>
        <w:rPr>
          <w:rFonts w:hint="eastAsia" w:ascii="宋体" w:hAnsi="宋体" w:eastAsia="宋体" w:cs="宋体"/>
          <w:color w:val="auto"/>
          <w:highlight w:val="none"/>
          <w:lang w:eastAsia="zh-CN"/>
        </w:rPr>
      </w:pPr>
      <w:r>
        <w:rPr>
          <w:rFonts w:hint="eastAsia" w:ascii="宋体" w:hAnsi="宋体" w:cs="宋体"/>
          <w:color w:val="auto"/>
          <w:szCs w:val="21"/>
          <w:highlight w:val="none"/>
        </w:rPr>
        <w:t>项目名称：</w:t>
      </w:r>
      <w:r>
        <w:rPr>
          <w:rFonts w:hint="eastAsia" w:ascii="宋体" w:hAnsi="宋体" w:cs="宋体"/>
          <w:color w:val="auto"/>
          <w:highlight w:val="none"/>
          <w:lang w:eastAsia="zh-CN"/>
        </w:rPr>
        <w:t>全区非法堆存、转移涉重固体废物危险特性鉴别及污染释放能力评估项目</w:t>
      </w:r>
    </w:p>
    <w:p w14:paraId="73B51BCF">
      <w:pPr>
        <w:keepNext w:val="0"/>
        <w:keepLines w:val="0"/>
        <w:pageBreakBefore w:val="0"/>
        <w:kinsoku/>
        <w:overflowPunct/>
        <w:topLinePunct w:val="0"/>
        <w:bidi w:val="0"/>
        <w:spacing w:line="400" w:lineRule="exact"/>
        <w:ind w:firstLine="420" w:firstLineChars="200"/>
        <w:textAlignment w:val="auto"/>
        <w:rPr>
          <w:rFonts w:hint="eastAsia" w:ascii="宋体" w:hAnsi="宋体" w:eastAsia="宋体" w:cs="宋体"/>
          <w:color w:val="auto"/>
          <w:szCs w:val="21"/>
          <w:highlight w:val="none"/>
          <w:u w:val="single"/>
          <w:lang w:eastAsia="zh-CN"/>
        </w:rPr>
      </w:pPr>
      <w:r>
        <w:rPr>
          <w:rFonts w:hint="eastAsia" w:ascii="宋体" w:hAnsi="宋体" w:cs="宋体"/>
          <w:color w:val="auto"/>
          <w:highlight w:val="none"/>
        </w:rPr>
        <w:t>预算总金额（元）</w:t>
      </w:r>
      <w:r>
        <w:rPr>
          <w:rFonts w:hint="eastAsia" w:ascii="宋体" w:hAnsi="宋体" w:cs="宋体"/>
          <w:color w:val="auto"/>
          <w:szCs w:val="21"/>
          <w:highlight w:val="none"/>
        </w:rPr>
        <w:t>：</w:t>
      </w:r>
      <w:r>
        <w:rPr>
          <w:rFonts w:hint="eastAsia" w:ascii="宋体" w:hAnsi="宋体" w:cs="宋体"/>
          <w:color w:val="auto"/>
          <w:szCs w:val="21"/>
          <w:highlight w:val="none"/>
          <w:lang w:eastAsia="zh-CN"/>
        </w:rPr>
        <w:t>5360000.00</w:t>
      </w:r>
    </w:p>
    <w:p w14:paraId="0B7ACEEF">
      <w:pPr>
        <w:keepNext w:val="0"/>
        <w:keepLines w:val="0"/>
        <w:pageBreakBefore w:val="0"/>
        <w:kinsoku/>
        <w:overflowPunct/>
        <w:topLinePunct w:val="0"/>
        <w:bidi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采购需求：</w:t>
      </w:r>
    </w:p>
    <w:p w14:paraId="0C3C111A">
      <w:pPr>
        <w:keepNext w:val="0"/>
        <w:keepLines w:val="0"/>
        <w:pageBreakBefore w:val="0"/>
        <w:kinsoku/>
        <w:overflowPunct/>
        <w:topLinePunct w:val="0"/>
        <w:bidi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标项一</w:t>
      </w:r>
    </w:p>
    <w:p w14:paraId="756D5DD2">
      <w:pPr>
        <w:keepNext w:val="0"/>
        <w:keepLines w:val="0"/>
        <w:pageBreakBefore w:val="0"/>
        <w:kinsoku/>
        <w:overflowPunct/>
        <w:topLinePunct w:val="0"/>
        <w:bidi w:val="0"/>
        <w:spacing w:line="40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标项名称：</w:t>
      </w:r>
      <w:r>
        <w:rPr>
          <w:rFonts w:hint="eastAsia" w:ascii="宋体" w:hAnsi="宋体" w:cs="宋体"/>
          <w:color w:val="auto"/>
          <w:szCs w:val="21"/>
          <w:highlight w:val="none"/>
          <w:lang w:eastAsia="zh-CN"/>
        </w:rPr>
        <w:t>全区非法堆存、转移涉重固体废物危险特性鉴别及污染释放能力评估项目</w:t>
      </w:r>
    </w:p>
    <w:p w14:paraId="087763F1">
      <w:pPr>
        <w:keepNext w:val="0"/>
        <w:keepLines w:val="0"/>
        <w:pageBreakBefore w:val="0"/>
        <w:kinsoku/>
        <w:overflowPunct/>
        <w:topLinePunct w:val="0"/>
        <w:bidi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数量：1</w:t>
      </w:r>
    </w:p>
    <w:p w14:paraId="3D8FD317">
      <w:pPr>
        <w:keepNext w:val="0"/>
        <w:keepLines w:val="0"/>
        <w:pageBreakBefore w:val="0"/>
        <w:kinsoku/>
        <w:overflowPunct/>
        <w:topLinePunct w:val="0"/>
        <w:bidi w:val="0"/>
        <w:spacing w:line="40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预算金额（元）：</w:t>
      </w:r>
      <w:r>
        <w:rPr>
          <w:rFonts w:hint="eastAsia" w:ascii="宋体" w:hAnsi="宋体" w:cs="宋体"/>
          <w:color w:val="auto"/>
          <w:szCs w:val="21"/>
          <w:highlight w:val="none"/>
          <w:lang w:eastAsia="zh-CN"/>
        </w:rPr>
        <w:t>5360000.00</w:t>
      </w:r>
    </w:p>
    <w:p w14:paraId="455C8930">
      <w:pPr>
        <w:keepNext w:val="0"/>
        <w:keepLines w:val="0"/>
        <w:pageBreakBefore w:val="0"/>
        <w:kinsoku/>
        <w:overflowPunct/>
        <w:topLinePunct w:val="0"/>
        <w:bidi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简要规格描述或项目基本概况介绍、用途：</w:t>
      </w:r>
      <w:bookmarkStart w:id="19" w:name="_Hlk199265269"/>
      <w:r>
        <w:rPr>
          <w:rFonts w:hint="eastAsia" w:ascii="宋体" w:hAnsi="宋体" w:cs="宋体"/>
          <w:color w:val="auto"/>
          <w:szCs w:val="21"/>
          <w:highlight w:val="none"/>
          <w:lang w:val="en-US" w:eastAsia="zh-CN"/>
        </w:rPr>
        <w:t>（1）对涉重金属排查发现的12处全区非法堆存、转移涉重固体废物进行危险特性鉴别并提出处置建议（2）开展非法堆存、转移涉重固体废物的污染释放能力研究（3）对危废处置后场地土壤遗留的重金属污染物进行评估</w:t>
      </w:r>
      <w:r>
        <w:rPr>
          <w:rFonts w:hint="eastAsia" w:ascii="宋体" w:hAnsi="宋体" w:cs="宋体"/>
          <w:color w:val="auto"/>
          <w:szCs w:val="21"/>
          <w:highlight w:val="none"/>
        </w:rPr>
        <w:t>。</w:t>
      </w:r>
      <w:bookmarkEnd w:id="19"/>
      <w:r>
        <w:rPr>
          <w:rFonts w:hint="eastAsia" w:ascii="宋体" w:hAnsi="宋体" w:cs="宋体"/>
          <w:color w:val="auto"/>
          <w:szCs w:val="21"/>
          <w:highlight w:val="none"/>
          <w:lang w:val="en-US" w:eastAsia="zh-CN"/>
        </w:rPr>
        <w:t>具体</w:t>
      </w:r>
      <w:r>
        <w:rPr>
          <w:rFonts w:hint="eastAsia" w:ascii="宋体" w:hAnsi="宋体" w:cs="宋体"/>
          <w:color w:val="auto"/>
          <w:szCs w:val="21"/>
          <w:highlight w:val="none"/>
        </w:rPr>
        <w:t>详见招标文件第二章采购需求。</w:t>
      </w:r>
    </w:p>
    <w:p w14:paraId="344FAACF">
      <w:pPr>
        <w:keepNext w:val="0"/>
        <w:keepLines w:val="0"/>
        <w:pageBreakBefore w:val="0"/>
        <w:kinsoku/>
        <w:overflowPunct/>
        <w:topLinePunct w:val="0"/>
        <w:bidi w:val="0"/>
        <w:spacing w:line="40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最高限价（如有）：</w:t>
      </w:r>
      <w:r>
        <w:rPr>
          <w:rFonts w:hint="eastAsia" w:ascii="宋体" w:hAnsi="宋体" w:cs="宋体"/>
          <w:color w:val="auto"/>
          <w:szCs w:val="21"/>
          <w:highlight w:val="none"/>
          <w:lang w:eastAsia="zh-CN"/>
        </w:rPr>
        <w:t>5360000.00</w:t>
      </w:r>
    </w:p>
    <w:p w14:paraId="6AFDD2C0">
      <w:pPr>
        <w:keepNext w:val="0"/>
        <w:keepLines w:val="0"/>
        <w:pageBreakBefore w:val="0"/>
        <w:kinsoku/>
        <w:overflowPunct/>
        <w:topLinePunct w:val="0"/>
        <w:bidi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合同履约期限：自合同签订之日起至</w:t>
      </w:r>
      <w:r>
        <w:rPr>
          <w:rFonts w:hint="eastAsia" w:ascii="宋体" w:hAnsi="宋体" w:cs="宋体"/>
          <w:color w:val="auto"/>
          <w:szCs w:val="21"/>
          <w:highlight w:val="none"/>
          <w:lang w:eastAsia="zh-CN"/>
        </w:rPr>
        <w:t>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lang w:eastAsia="zh-CN"/>
        </w:rPr>
        <w:t>年</w:t>
      </w:r>
      <w:r>
        <w:rPr>
          <w:rFonts w:hint="eastAsia" w:ascii="宋体" w:hAnsi="宋体" w:cs="宋体"/>
          <w:color w:val="auto"/>
          <w:szCs w:val="21"/>
          <w:highlight w:val="none"/>
          <w:lang w:val="en-US" w:eastAsia="zh-CN"/>
        </w:rPr>
        <w:t>12</w:t>
      </w:r>
      <w:r>
        <w:rPr>
          <w:rFonts w:hint="eastAsia" w:ascii="宋体" w:hAnsi="宋体" w:cs="宋体"/>
          <w:color w:val="auto"/>
          <w:szCs w:val="21"/>
          <w:highlight w:val="none"/>
          <w:lang w:eastAsia="zh-CN"/>
        </w:rPr>
        <w:t>月</w:t>
      </w:r>
      <w:r>
        <w:rPr>
          <w:rFonts w:hint="eastAsia" w:ascii="宋体" w:hAnsi="宋体" w:cs="宋体"/>
          <w:color w:val="auto"/>
          <w:szCs w:val="21"/>
          <w:highlight w:val="none"/>
        </w:rPr>
        <w:t>31日</w:t>
      </w:r>
      <w:r>
        <w:rPr>
          <w:rFonts w:hint="eastAsia" w:ascii="宋体" w:hAnsi="宋体" w:cs="宋体"/>
          <w:color w:val="auto"/>
          <w:szCs w:val="21"/>
          <w:highlight w:val="none"/>
          <w:lang w:val="en-US" w:eastAsia="zh-CN"/>
        </w:rPr>
        <w:t>前</w:t>
      </w:r>
      <w:r>
        <w:rPr>
          <w:rFonts w:hint="eastAsia" w:ascii="宋体" w:hAnsi="宋体" w:cs="宋体"/>
          <w:color w:val="auto"/>
          <w:szCs w:val="21"/>
          <w:highlight w:val="none"/>
        </w:rPr>
        <w:t>。</w:t>
      </w:r>
    </w:p>
    <w:p w14:paraId="1EC2F1FE">
      <w:pPr>
        <w:keepNext w:val="0"/>
        <w:keepLines w:val="0"/>
        <w:pageBreakBefore w:val="0"/>
        <w:kinsoku/>
        <w:overflowPunct/>
        <w:topLinePunct w:val="0"/>
        <w:bidi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本标项</w:t>
      </w:r>
      <w:r>
        <w:rPr>
          <w:rFonts w:hint="eastAsia" w:ascii="宋体" w:hAnsi="宋体" w:cs="宋体"/>
          <w:color w:val="auto"/>
          <w:szCs w:val="21"/>
          <w:highlight w:val="none"/>
          <w:lang w:eastAsia="zh-CN"/>
        </w:rPr>
        <w:t>不</w:t>
      </w:r>
      <w:r>
        <w:rPr>
          <w:rFonts w:hint="eastAsia" w:ascii="宋体" w:hAnsi="宋体" w:cs="宋体"/>
          <w:color w:val="auto"/>
          <w:szCs w:val="21"/>
          <w:highlight w:val="none"/>
        </w:rPr>
        <w:t>接受联合体投标。</w:t>
      </w:r>
    </w:p>
    <w:p w14:paraId="02C612E7">
      <w:pPr>
        <w:keepNext w:val="0"/>
        <w:keepLines w:val="0"/>
        <w:pageBreakBefore w:val="0"/>
        <w:kinsoku/>
        <w:overflowPunct/>
        <w:topLinePunct w:val="0"/>
        <w:bidi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备注：无</w:t>
      </w:r>
    </w:p>
    <w:p w14:paraId="3D621A17">
      <w:pPr>
        <w:keepNext w:val="0"/>
        <w:keepLines w:val="0"/>
        <w:pageBreakBefore w:val="0"/>
        <w:kinsoku/>
        <w:overflowPunct/>
        <w:topLinePunct w:val="0"/>
        <w:bidi w:val="0"/>
        <w:spacing w:line="400" w:lineRule="exact"/>
        <w:textAlignment w:val="auto"/>
        <w:rPr>
          <w:rFonts w:hint="eastAsia" w:ascii="宋体" w:hAnsi="宋体" w:cs="宋体"/>
          <w:b/>
          <w:bCs/>
          <w:color w:val="auto"/>
          <w:sz w:val="24"/>
          <w:highlight w:val="none"/>
        </w:rPr>
      </w:pPr>
      <w:bookmarkStart w:id="20" w:name="_Toc35393791"/>
      <w:bookmarkStart w:id="21" w:name="_Toc35393622"/>
      <w:bookmarkStart w:id="22" w:name="_Toc28359003"/>
      <w:bookmarkStart w:id="23" w:name="_Toc28359080"/>
      <w:r>
        <w:rPr>
          <w:rFonts w:hint="eastAsia" w:ascii="宋体" w:hAnsi="宋体" w:cs="宋体"/>
          <w:b/>
          <w:bCs/>
          <w:color w:val="auto"/>
          <w:sz w:val="24"/>
          <w:highlight w:val="none"/>
        </w:rPr>
        <w:t>二、申请人的资格要求：</w:t>
      </w:r>
      <w:bookmarkEnd w:id="20"/>
      <w:bookmarkEnd w:id="21"/>
      <w:bookmarkEnd w:id="22"/>
      <w:bookmarkEnd w:id="23"/>
    </w:p>
    <w:p w14:paraId="1A542FB0">
      <w:pPr>
        <w:keepNext w:val="0"/>
        <w:keepLines w:val="0"/>
        <w:pageBreakBefore w:val="0"/>
        <w:kinsoku/>
        <w:overflowPunct/>
        <w:topLinePunct w:val="0"/>
        <w:bidi w:val="0"/>
        <w:spacing w:line="400" w:lineRule="exact"/>
        <w:ind w:firstLine="420" w:firstLineChars="200"/>
        <w:textAlignment w:val="auto"/>
        <w:rPr>
          <w:rFonts w:hint="eastAsia" w:ascii="宋体" w:hAnsi="宋体" w:cs="宋体"/>
          <w:color w:val="auto"/>
          <w:szCs w:val="21"/>
          <w:highlight w:val="none"/>
        </w:rPr>
      </w:pPr>
      <w:bookmarkStart w:id="24" w:name="_Hlk51746371"/>
      <w:bookmarkStart w:id="25" w:name="_Toc35393792"/>
      <w:bookmarkStart w:id="26" w:name="_Toc28359081"/>
      <w:bookmarkStart w:id="27" w:name="_Toc28359004"/>
      <w:bookmarkStart w:id="28" w:name="_Toc35393623"/>
      <w:r>
        <w:rPr>
          <w:rFonts w:hint="eastAsia" w:ascii="宋体" w:hAnsi="宋体" w:cs="宋体"/>
          <w:color w:val="auto"/>
          <w:szCs w:val="21"/>
          <w:highlight w:val="none"/>
        </w:rPr>
        <w:t>1.满足《中华人民共和国政府采购法》第二十二条规定；</w:t>
      </w:r>
    </w:p>
    <w:p w14:paraId="3B5E1D75">
      <w:pPr>
        <w:keepNext w:val="0"/>
        <w:keepLines w:val="0"/>
        <w:pageBreakBefore w:val="0"/>
        <w:kinsoku/>
        <w:overflowPunct/>
        <w:topLinePunct w:val="0"/>
        <w:bidi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2.落实政府采购政策需满足的资格要求：</w:t>
      </w:r>
      <w:r>
        <w:rPr>
          <w:rFonts w:hint="eastAsia" w:ascii="宋体" w:hAnsi="宋体" w:cs="宋体"/>
          <w:color w:val="auto"/>
          <w:szCs w:val="21"/>
          <w:highlight w:val="none"/>
          <w:u w:val="single"/>
        </w:rPr>
        <w:t>本项目非专门面向中小企业采购的项目；</w:t>
      </w:r>
    </w:p>
    <w:p w14:paraId="10CD3B31">
      <w:pPr>
        <w:keepNext w:val="0"/>
        <w:keepLines w:val="0"/>
        <w:pageBreakBefore w:val="0"/>
        <w:kinsoku/>
        <w:overflowPunct/>
        <w:topLinePunct w:val="0"/>
        <w:bidi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3.本项目的特定资格要求：</w:t>
      </w:r>
      <w:r>
        <w:rPr>
          <w:rFonts w:hint="eastAsia" w:ascii="宋体" w:hAnsi="宋体" w:cs="宋体"/>
          <w:color w:val="auto"/>
          <w:szCs w:val="21"/>
          <w:highlight w:val="none"/>
          <w:u w:val="single"/>
        </w:rPr>
        <w:t>投标人须取得有效的检验检测机构资质认定证书（CMA）</w:t>
      </w:r>
      <w:r>
        <w:rPr>
          <w:rFonts w:hint="eastAsia" w:ascii="宋体" w:hAnsi="宋体" w:cs="宋体"/>
          <w:color w:val="auto"/>
          <w:szCs w:val="21"/>
          <w:highlight w:val="none"/>
          <w:u w:val="single"/>
          <w:lang w:eastAsia="zh-CN"/>
        </w:rPr>
        <w:t>，</w:t>
      </w:r>
      <w:r>
        <w:rPr>
          <w:rFonts w:hint="eastAsia" w:ascii="宋体" w:hAnsi="宋体" w:cs="宋体"/>
          <w:color w:val="auto"/>
          <w:szCs w:val="21"/>
          <w:highlight w:val="none"/>
          <w:u w:val="single"/>
        </w:rPr>
        <w:t>检测资质认证检测能力附表中至少具有</w:t>
      </w:r>
      <w:r>
        <w:rPr>
          <w:rFonts w:hint="eastAsia" w:ascii="宋体" w:hAnsi="宋体" w:cs="宋体"/>
          <w:color w:val="auto"/>
          <w:szCs w:val="21"/>
          <w:highlight w:val="none"/>
          <w:u w:val="single"/>
          <w:lang w:val="en-US" w:eastAsia="zh-CN"/>
        </w:rPr>
        <w:t>固体废物类别，固体废物</w:t>
      </w:r>
      <w:r>
        <w:rPr>
          <w:rFonts w:hint="eastAsia" w:ascii="宋体" w:hAnsi="宋体" w:cs="宋体"/>
          <w:color w:val="auto"/>
          <w:szCs w:val="21"/>
          <w:highlight w:val="none"/>
          <w:u w:val="single"/>
        </w:rPr>
        <w:t>资质能力中至少具备铜、锌、镉、铅、汞、镍、银、砷、锰、铊、锑、钡、铝、铬、硒、苯、甲苯、乙苯、二甲苯</w:t>
      </w:r>
      <w:r>
        <w:rPr>
          <w:rFonts w:hint="eastAsia" w:ascii="宋体" w:hAnsi="宋体" w:cs="宋体"/>
          <w:color w:val="auto"/>
          <w:szCs w:val="21"/>
          <w:highlight w:val="none"/>
          <w:u w:val="single"/>
          <w:lang w:eastAsia="zh-CN"/>
        </w:rPr>
        <w:t>检测指标</w:t>
      </w:r>
      <w:r>
        <w:rPr>
          <w:rFonts w:hint="eastAsia" w:ascii="宋体" w:hAnsi="宋体" w:cs="宋体"/>
          <w:color w:val="auto"/>
          <w:szCs w:val="21"/>
          <w:highlight w:val="none"/>
          <w:u w:val="single"/>
          <w:lang w:val="en-US" w:eastAsia="zh-CN"/>
        </w:rPr>
        <w:t>。同时，投标人须</w:t>
      </w:r>
      <w:r>
        <w:rPr>
          <w:rFonts w:hint="eastAsia" w:ascii="宋体" w:hAnsi="宋体" w:cs="宋体"/>
          <w:color w:val="auto"/>
          <w:szCs w:val="21"/>
          <w:highlight w:val="none"/>
          <w:u w:val="single"/>
        </w:rPr>
        <w:t>是全国危险废物鉴别信息公开服务平台危废鉴别注册单位。</w:t>
      </w:r>
    </w:p>
    <w:bookmarkEnd w:id="24"/>
    <w:p w14:paraId="4AE8AC89">
      <w:pPr>
        <w:keepNext w:val="0"/>
        <w:keepLines w:val="0"/>
        <w:pageBreakBefore w:val="0"/>
        <w:kinsoku/>
        <w:overflowPunct/>
        <w:topLinePunct w:val="0"/>
        <w:bidi w:val="0"/>
        <w:spacing w:line="400" w:lineRule="exact"/>
        <w:textAlignment w:val="auto"/>
        <w:rPr>
          <w:rFonts w:hint="eastAsia" w:ascii="宋体" w:hAnsi="宋体" w:cs="宋体"/>
          <w:b/>
          <w:bCs/>
          <w:color w:val="auto"/>
          <w:sz w:val="24"/>
          <w:highlight w:val="none"/>
        </w:rPr>
      </w:pPr>
      <w:r>
        <w:rPr>
          <w:rFonts w:hint="eastAsia" w:ascii="宋体" w:hAnsi="宋体" w:cs="宋体"/>
          <w:b/>
          <w:bCs/>
          <w:color w:val="auto"/>
          <w:sz w:val="24"/>
          <w:highlight w:val="none"/>
        </w:rPr>
        <w:t>三、获取招标文件</w:t>
      </w:r>
      <w:bookmarkEnd w:id="25"/>
      <w:bookmarkEnd w:id="26"/>
      <w:bookmarkEnd w:id="27"/>
      <w:bookmarkEnd w:id="28"/>
    </w:p>
    <w:p w14:paraId="038C896D">
      <w:pPr>
        <w:keepNext w:val="0"/>
        <w:keepLines w:val="0"/>
        <w:pageBreakBefore w:val="0"/>
        <w:kinsoku/>
        <w:overflowPunct/>
        <w:topLinePunct w:val="0"/>
        <w:bidi w:val="0"/>
        <w:spacing w:line="400" w:lineRule="exact"/>
        <w:ind w:firstLine="54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rPr>
        <w:t>1.时间：202</w:t>
      </w:r>
      <w:r>
        <w:rPr>
          <w:rFonts w:hint="eastAsia" w:ascii="宋体" w:hAnsi="宋体" w:cs="宋体"/>
          <w:bCs/>
          <w:color w:val="auto"/>
          <w:kern w:val="0"/>
          <w:szCs w:val="21"/>
          <w:highlight w:val="none"/>
          <w:lang w:val="en-US" w:eastAsia="zh-CN"/>
        </w:rPr>
        <w:t>6</w:t>
      </w:r>
      <w:r>
        <w:rPr>
          <w:rFonts w:hint="eastAsia" w:ascii="宋体" w:hAnsi="宋体" w:cs="宋体"/>
          <w:bCs/>
          <w:color w:val="auto"/>
          <w:kern w:val="0"/>
          <w:szCs w:val="21"/>
          <w:highlight w:val="none"/>
        </w:rPr>
        <w:t>年</w:t>
      </w:r>
      <w:r>
        <w:rPr>
          <w:rFonts w:hint="eastAsia" w:ascii="宋体" w:hAnsi="宋体" w:cs="宋体"/>
          <w:bCs/>
          <w:color w:val="auto"/>
          <w:kern w:val="0"/>
          <w:szCs w:val="21"/>
          <w:highlight w:val="none"/>
          <w:lang w:val="en-US" w:eastAsia="zh-CN"/>
        </w:rPr>
        <w:t xml:space="preserve">  </w:t>
      </w:r>
      <w:r>
        <w:rPr>
          <w:rFonts w:hint="eastAsia" w:ascii="宋体" w:hAnsi="宋体" w:cs="宋体"/>
          <w:bCs/>
          <w:color w:val="auto"/>
          <w:kern w:val="0"/>
          <w:szCs w:val="21"/>
          <w:highlight w:val="none"/>
        </w:rPr>
        <w:t>月</w:t>
      </w:r>
      <w:r>
        <w:rPr>
          <w:rFonts w:hint="eastAsia" w:ascii="宋体" w:hAnsi="宋体" w:cs="宋体"/>
          <w:bCs/>
          <w:color w:val="auto"/>
          <w:kern w:val="0"/>
          <w:szCs w:val="21"/>
          <w:highlight w:val="none"/>
          <w:lang w:val="en-US" w:eastAsia="zh-CN"/>
        </w:rPr>
        <w:t xml:space="preserve">  </w:t>
      </w:r>
      <w:r>
        <w:rPr>
          <w:rFonts w:hint="eastAsia" w:ascii="宋体" w:hAnsi="宋体" w:cs="宋体"/>
          <w:bCs/>
          <w:color w:val="auto"/>
          <w:kern w:val="0"/>
          <w:szCs w:val="21"/>
          <w:highlight w:val="none"/>
        </w:rPr>
        <w:t>日至202</w:t>
      </w:r>
      <w:r>
        <w:rPr>
          <w:rFonts w:hint="eastAsia" w:ascii="宋体" w:hAnsi="宋体" w:cs="宋体"/>
          <w:bCs/>
          <w:color w:val="auto"/>
          <w:kern w:val="0"/>
          <w:szCs w:val="21"/>
          <w:highlight w:val="none"/>
          <w:lang w:val="en-US" w:eastAsia="zh-CN"/>
        </w:rPr>
        <w:t>6</w:t>
      </w:r>
      <w:r>
        <w:rPr>
          <w:rFonts w:hint="eastAsia" w:ascii="宋体" w:hAnsi="宋体" w:cs="宋体"/>
          <w:bCs/>
          <w:color w:val="auto"/>
          <w:kern w:val="0"/>
          <w:szCs w:val="21"/>
          <w:highlight w:val="none"/>
        </w:rPr>
        <w:t>年</w:t>
      </w:r>
      <w:r>
        <w:rPr>
          <w:rFonts w:hint="eastAsia" w:ascii="宋体" w:hAnsi="宋体" w:cs="宋体"/>
          <w:bCs/>
          <w:color w:val="auto"/>
          <w:kern w:val="0"/>
          <w:szCs w:val="21"/>
          <w:highlight w:val="none"/>
          <w:lang w:val="en-US" w:eastAsia="zh-CN"/>
        </w:rPr>
        <w:t xml:space="preserve">  </w:t>
      </w:r>
      <w:r>
        <w:rPr>
          <w:rFonts w:hint="eastAsia" w:ascii="宋体" w:hAnsi="宋体" w:cs="宋体"/>
          <w:bCs/>
          <w:color w:val="auto"/>
          <w:kern w:val="0"/>
          <w:szCs w:val="21"/>
          <w:highlight w:val="none"/>
        </w:rPr>
        <w:t>月</w:t>
      </w:r>
      <w:r>
        <w:rPr>
          <w:rFonts w:hint="eastAsia" w:ascii="宋体" w:hAnsi="宋体" w:cs="宋体"/>
          <w:bCs/>
          <w:color w:val="auto"/>
          <w:kern w:val="0"/>
          <w:szCs w:val="21"/>
          <w:highlight w:val="none"/>
          <w:lang w:val="en-US" w:eastAsia="zh-CN"/>
        </w:rPr>
        <w:t xml:space="preserve">  </w:t>
      </w:r>
      <w:r>
        <w:rPr>
          <w:rFonts w:hint="eastAsia" w:ascii="宋体" w:hAnsi="宋体" w:cs="宋体"/>
          <w:bCs/>
          <w:color w:val="auto"/>
          <w:kern w:val="0"/>
          <w:szCs w:val="21"/>
          <w:highlight w:val="none"/>
        </w:rPr>
        <w:t>日，每天上午00:00至12:00，下午12:00至23:59（北京时间，法定节假日除外）</w:t>
      </w:r>
    </w:p>
    <w:p w14:paraId="7B6CE134">
      <w:pPr>
        <w:keepNext w:val="0"/>
        <w:keepLines w:val="0"/>
        <w:pageBreakBefore w:val="0"/>
        <w:kinsoku/>
        <w:overflowPunct/>
        <w:topLinePunct w:val="0"/>
        <w:bidi w:val="0"/>
        <w:spacing w:line="400" w:lineRule="exact"/>
        <w:ind w:firstLine="540"/>
        <w:textAlignment w:val="auto"/>
        <w:rPr>
          <w:rFonts w:hint="eastAsia" w:ascii="宋体" w:hAnsi="宋体" w:cs="宋体"/>
          <w:color w:val="auto"/>
          <w:szCs w:val="21"/>
          <w:highlight w:val="none"/>
        </w:rPr>
      </w:pPr>
      <w:r>
        <w:rPr>
          <w:rFonts w:hint="eastAsia" w:ascii="宋体" w:hAnsi="宋体" w:cs="宋体"/>
          <w:bCs/>
          <w:color w:val="auto"/>
          <w:kern w:val="0"/>
          <w:szCs w:val="21"/>
          <w:highlight w:val="none"/>
        </w:rPr>
        <w:t>2.地点：</w:t>
      </w:r>
      <w:r>
        <w:rPr>
          <w:rFonts w:hint="eastAsia" w:ascii="宋体" w:hAnsi="宋体" w:cs="宋体"/>
          <w:color w:val="auto"/>
          <w:szCs w:val="21"/>
          <w:highlight w:val="none"/>
        </w:rPr>
        <w:t>广西政府采购云平台（</w:t>
      </w:r>
      <w:r>
        <w:rPr>
          <w:rFonts w:hint="eastAsia" w:ascii="宋体" w:hAnsi="宋体" w:cs="宋体"/>
          <w:bCs/>
          <w:color w:val="auto"/>
          <w:szCs w:val="21"/>
          <w:highlight w:val="none"/>
        </w:rPr>
        <w:t>https://www.gcy.zfcg.gxzf.gov.cn/</w:t>
      </w:r>
      <w:r>
        <w:rPr>
          <w:rFonts w:hint="eastAsia" w:ascii="宋体" w:hAnsi="宋体" w:cs="宋体"/>
          <w:color w:val="auto"/>
          <w:szCs w:val="21"/>
          <w:highlight w:val="none"/>
        </w:rPr>
        <w:t>）</w:t>
      </w:r>
    </w:p>
    <w:p w14:paraId="73102F88">
      <w:pPr>
        <w:keepNext w:val="0"/>
        <w:keepLines w:val="0"/>
        <w:pageBreakBefore w:val="0"/>
        <w:kinsoku/>
        <w:wordWrap w:val="0"/>
        <w:overflowPunct/>
        <w:topLinePunct w:val="0"/>
        <w:bidi w:val="0"/>
        <w:spacing w:line="400" w:lineRule="exact"/>
        <w:ind w:firstLine="539"/>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rPr>
        <w:t>3.方式：网上下载。本项目不提供纸质文件，潜在供应商需在</w:t>
      </w:r>
      <w:r>
        <w:rPr>
          <w:rFonts w:hint="eastAsia" w:ascii="宋体" w:hAnsi="宋体" w:cs="宋体"/>
          <w:color w:val="auto"/>
          <w:szCs w:val="21"/>
          <w:highlight w:val="none"/>
        </w:rPr>
        <w:t>广西政府采购云平台（</w:t>
      </w:r>
      <w:r>
        <w:rPr>
          <w:rFonts w:hint="eastAsia" w:ascii="宋体" w:hAnsi="宋体" w:cs="宋体"/>
          <w:bCs/>
          <w:color w:val="auto"/>
          <w:szCs w:val="21"/>
          <w:highlight w:val="none"/>
        </w:rPr>
        <w:t>https://www.gcy.zfcg.gxzf.gov.cn/</w:t>
      </w:r>
      <w:r>
        <w:rPr>
          <w:rFonts w:hint="eastAsia" w:ascii="宋体" w:hAnsi="宋体" w:cs="宋体"/>
          <w:color w:val="auto"/>
          <w:szCs w:val="21"/>
          <w:highlight w:val="none"/>
        </w:rPr>
        <w:t>）</w:t>
      </w:r>
      <w:r>
        <w:rPr>
          <w:rFonts w:hint="eastAsia" w:ascii="宋体" w:hAnsi="宋体" w:cs="宋体"/>
          <w:bCs/>
          <w:color w:val="auto"/>
          <w:kern w:val="0"/>
          <w:szCs w:val="21"/>
          <w:highlight w:val="none"/>
        </w:rPr>
        <w:t>-进入“项目采购”应用，在获取采购文件菜单中选择项目，获取招标文件。</w:t>
      </w:r>
      <w:r>
        <w:rPr>
          <w:rFonts w:hint="eastAsia" w:ascii="宋体" w:hAnsi="宋体" w:cs="宋体"/>
          <w:color w:val="auto"/>
          <w:szCs w:val="21"/>
          <w:highlight w:val="none"/>
        </w:rPr>
        <w:t>电子投标文件制作需要基于广西政府采购云平台获取的招标文件编制，</w:t>
      </w:r>
      <w:r>
        <w:rPr>
          <w:rFonts w:hint="eastAsia" w:ascii="宋体" w:hAnsi="宋体" w:cs="宋体"/>
          <w:bCs/>
          <w:color w:val="auto"/>
          <w:kern w:val="0"/>
          <w:szCs w:val="21"/>
          <w:highlight w:val="none"/>
        </w:rPr>
        <w:t>通过其他方式获取招标文件的，将有可能导致供应商无法在</w:t>
      </w:r>
      <w:r>
        <w:rPr>
          <w:rFonts w:hint="eastAsia" w:ascii="宋体" w:hAnsi="宋体" w:cs="宋体"/>
          <w:color w:val="auto"/>
          <w:szCs w:val="21"/>
          <w:highlight w:val="none"/>
        </w:rPr>
        <w:t>广西政府采购云平台</w:t>
      </w:r>
      <w:r>
        <w:rPr>
          <w:rFonts w:hint="eastAsia" w:ascii="宋体" w:hAnsi="宋体" w:cs="宋体"/>
          <w:bCs/>
          <w:color w:val="auto"/>
          <w:kern w:val="0"/>
          <w:szCs w:val="21"/>
          <w:highlight w:val="none"/>
        </w:rPr>
        <w:t>编制及上传投标文件。</w:t>
      </w:r>
    </w:p>
    <w:p w14:paraId="37030D7D">
      <w:pPr>
        <w:keepNext w:val="0"/>
        <w:keepLines w:val="0"/>
        <w:pageBreakBefore w:val="0"/>
        <w:kinsoku/>
        <w:overflowPunct/>
        <w:topLinePunct w:val="0"/>
        <w:bidi w:val="0"/>
        <w:spacing w:line="400" w:lineRule="exact"/>
        <w:ind w:firstLine="540"/>
        <w:textAlignment w:val="auto"/>
        <w:rPr>
          <w:rFonts w:hint="eastAsia" w:ascii="宋体" w:hAnsi="宋体" w:cs="宋体"/>
          <w:color w:val="auto"/>
          <w:szCs w:val="21"/>
          <w:highlight w:val="none"/>
        </w:rPr>
      </w:pPr>
      <w:r>
        <w:rPr>
          <w:rFonts w:hint="eastAsia" w:ascii="宋体" w:hAnsi="宋体" w:cs="宋体"/>
          <w:bCs/>
          <w:color w:val="auto"/>
          <w:kern w:val="0"/>
          <w:szCs w:val="21"/>
          <w:highlight w:val="none"/>
        </w:rPr>
        <w:t>4.售价（元）：</w:t>
      </w:r>
      <w:r>
        <w:rPr>
          <w:rFonts w:hint="eastAsia" w:ascii="宋体" w:hAnsi="宋体" w:cs="宋体"/>
          <w:color w:val="auto"/>
          <w:szCs w:val="21"/>
          <w:highlight w:val="none"/>
        </w:rPr>
        <w:t>0</w:t>
      </w:r>
    </w:p>
    <w:p w14:paraId="1537B7FB">
      <w:pPr>
        <w:keepNext w:val="0"/>
        <w:keepLines w:val="0"/>
        <w:pageBreakBefore w:val="0"/>
        <w:kinsoku/>
        <w:overflowPunct/>
        <w:topLinePunct w:val="0"/>
        <w:bidi w:val="0"/>
        <w:spacing w:line="400" w:lineRule="exact"/>
        <w:textAlignment w:val="auto"/>
        <w:rPr>
          <w:rFonts w:hint="eastAsia" w:ascii="宋体" w:hAnsi="宋体" w:cs="宋体"/>
          <w:b/>
          <w:bCs/>
          <w:color w:val="auto"/>
          <w:sz w:val="24"/>
          <w:highlight w:val="none"/>
        </w:rPr>
      </w:pPr>
      <w:bookmarkStart w:id="29" w:name="_Toc28359082"/>
      <w:bookmarkStart w:id="30" w:name="_Toc28359005"/>
      <w:bookmarkStart w:id="31" w:name="_Toc35393624"/>
      <w:bookmarkStart w:id="32" w:name="_Toc35393793"/>
      <w:r>
        <w:rPr>
          <w:rFonts w:hint="eastAsia" w:ascii="宋体" w:hAnsi="宋体" w:cs="宋体"/>
          <w:b/>
          <w:bCs/>
          <w:color w:val="auto"/>
          <w:sz w:val="24"/>
          <w:highlight w:val="none"/>
        </w:rPr>
        <w:t>四、提交投标文件</w:t>
      </w:r>
      <w:bookmarkEnd w:id="29"/>
      <w:bookmarkEnd w:id="30"/>
      <w:r>
        <w:rPr>
          <w:rFonts w:hint="eastAsia" w:ascii="宋体" w:hAnsi="宋体" w:cs="宋体"/>
          <w:b/>
          <w:bCs/>
          <w:color w:val="auto"/>
          <w:sz w:val="24"/>
          <w:highlight w:val="none"/>
        </w:rPr>
        <w:t>截止时间、开标时间和地点</w:t>
      </w:r>
      <w:bookmarkEnd w:id="31"/>
      <w:bookmarkEnd w:id="32"/>
    </w:p>
    <w:p w14:paraId="748CB5F0">
      <w:pPr>
        <w:keepNext w:val="0"/>
        <w:keepLines w:val="0"/>
        <w:pageBreakBefore w:val="0"/>
        <w:kinsoku/>
        <w:overflowPunct/>
        <w:topLinePunct w:val="0"/>
        <w:bidi w:val="0"/>
        <w:spacing w:line="400" w:lineRule="exact"/>
        <w:ind w:firstLine="420" w:firstLineChars="200"/>
        <w:textAlignment w:val="auto"/>
        <w:rPr>
          <w:rFonts w:hint="eastAsia" w:ascii="宋体" w:hAnsi="宋体" w:cs="宋体"/>
          <w:bCs/>
          <w:color w:val="auto"/>
          <w:kern w:val="0"/>
          <w:szCs w:val="21"/>
          <w:highlight w:val="none"/>
        </w:rPr>
      </w:pPr>
      <w:bookmarkStart w:id="33" w:name="_Toc28359084"/>
      <w:bookmarkStart w:id="34" w:name="_Toc28359007"/>
      <w:bookmarkStart w:id="35" w:name="_Toc35393794"/>
      <w:bookmarkStart w:id="36" w:name="_Toc35393625"/>
      <w:r>
        <w:rPr>
          <w:rFonts w:hint="eastAsia" w:ascii="宋体" w:hAnsi="宋体" w:cs="宋体"/>
          <w:bCs/>
          <w:color w:val="auto"/>
          <w:kern w:val="0"/>
          <w:szCs w:val="21"/>
          <w:highlight w:val="none"/>
        </w:rPr>
        <w:t>1.提交投标文件截止时间：202</w:t>
      </w:r>
      <w:r>
        <w:rPr>
          <w:rFonts w:hint="eastAsia" w:ascii="宋体" w:hAnsi="宋体" w:cs="宋体"/>
          <w:bCs/>
          <w:color w:val="auto"/>
          <w:kern w:val="0"/>
          <w:szCs w:val="21"/>
          <w:highlight w:val="none"/>
          <w:lang w:val="en-US" w:eastAsia="zh-CN"/>
        </w:rPr>
        <w:t>6</w:t>
      </w:r>
      <w:r>
        <w:rPr>
          <w:rFonts w:hint="eastAsia" w:ascii="宋体" w:hAnsi="宋体" w:cs="宋体"/>
          <w:bCs/>
          <w:color w:val="auto"/>
          <w:kern w:val="0"/>
          <w:szCs w:val="21"/>
          <w:highlight w:val="none"/>
        </w:rPr>
        <w:t>年</w:t>
      </w:r>
      <w:r>
        <w:rPr>
          <w:rFonts w:hint="eastAsia" w:ascii="宋体" w:hAnsi="宋体" w:cs="宋体"/>
          <w:bCs/>
          <w:color w:val="auto"/>
          <w:kern w:val="0"/>
          <w:szCs w:val="21"/>
          <w:highlight w:val="none"/>
          <w:lang w:val="en-US" w:eastAsia="zh-CN"/>
        </w:rPr>
        <w:t xml:space="preserve">  </w:t>
      </w:r>
      <w:r>
        <w:rPr>
          <w:rFonts w:hint="eastAsia" w:ascii="宋体" w:hAnsi="宋体" w:cs="宋体"/>
          <w:bCs/>
          <w:color w:val="auto"/>
          <w:kern w:val="0"/>
          <w:szCs w:val="21"/>
          <w:highlight w:val="none"/>
        </w:rPr>
        <w:t>月</w:t>
      </w:r>
      <w:r>
        <w:rPr>
          <w:rFonts w:hint="eastAsia" w:ascii="宋体" w:hAnsi="宋体" w:cs="宋体"/>
          <w:bCs/>
          <w:color w:val="auto"/>
          <w:kern w:val="0"/>
          <w:szCs w:val="21"/>
          <w:highlight w:val="none"/>
          <w:lang w:val="en-US" w:eastAsia="zh-CN"/>
        </w:rPr>
        <w:t xml:space="preserve">  </w:t>
      </w:r>
      <w:r>
        <w:rPr>
          <w:rFonts w:hint="eastAsia" w:ascii="宋体" w:hAnsi="宋体" w:cs="宋体"/>
          <w:bCs/>
          <w:color w:val="auto"/>
          <w:kern w:val="0"/>
          <w:szCs w:val="21"/>
          <w:highlight w:val="none"/>
        </w:rPr>
        <w:t>日9时30分（北京时间）</w:t>
      </w:r>
    </w:p>
    <w:p w14:paraId="0E037224">
      <w:pPr>
        <w:keepNext w:val="0"/>
        <w:keepLines w:val="0"/>
        <w:pageBreakBefore w:val="0"/>
        <w:kinsoku/>
        <w:overflowPunct/>
        <w:topLinePunct w:val="0"/>
        <w:bidi w:val="0"/>
        <w:spacing w:line="400" w:lineRule="exact"/>
        <w:ind w:firstLine="420" w:firstLineChars="200"/>
        <w:textAlignment w:val="auto"/>
        <w:rPr>
          <w:rFonts w:hint="eastAsia" w:ascii="宋体" w:hAnsi="宋体" w:cs="宋体"/>
          <w:bCs/>
          <w:color w:val="auto"/>
          <w:szCs w:val="21"/>
          <w:highlight w:val="none"/>
        </w:rPr>
      </w:pPr>
      <w:r>
        <w:rPr>
          <w:rFonts w:hint="eastAsia" w:ascii="宋体" w:hAnsi="宋体" w:cs="宋体"/>
          <w:bCs/>
          <w:color w:val="auto"/>
          <w:szCs w:val="21"/>
          <w:highlight w:val="none"/>
        </w:rPr>
        <w:t>2.投标地点（网址）：广西政府采购云平台（https://www.gcy.zfcg.gxzf.gov.cn/）</w:t>
      </w:r>
    </w:p>
    <w:p w14:paraId="6F1BADFB">
      <w:pPr>
        <w:keepNext w:val="0"/>
        <w:keepLines w:val="0"/>
        <w:pageBreakBefore w:val="0"/>
        <w:kinsoku/>
        <w:overflowPunct/>
        <w:topLinePunct w:val="0"/>
        <w:bidi w:val="0"/>
        <w:spacing w:line="400" w:lineRule="exact"/>
        <w:ind w:firstLine="420" w:firstLineChars="200"/>
        <w:textAlignment w:val="auto"/>
        <w:rPr>
          <w:rFonts w:hint="eastAsia" w:ascii="宋体" w:hAnsi="宋体" w:cs="宋体"/>
          <w:bCs/>
          <w:color w:val="auto"/>
          <w:szCs w:val="21"/>
          <w:highlight w:val="none"/>
        </w:rPr>
      </w:pPr>
      <w:r>
        <w:rPr>
          <w:rFonts w:hint="eastAsia" w:ascii="宋体" w:hAnsi="宋体" w:cs="宋体"/>
          <w:bCs/>
          <w:color w:val="auto"/>
          <w:szCs w:val="21"/>
          <w:highlight w:val="none"/>
        </w:rPr>
        <w:t>3.开标时间：</w:t>
      </w:r>
      <w:r>
        <w:rPr>
          <w:rFonts w:hint="eastAsia" w:ascii="宋体" w:hAnsi="宋体" w:cs="宋体"/>
          <w:bCs/>
          <w:color w:val="auto"/>
          <w:kern w:val="0"/>
          <w:szCs w:val="21"/>
          <w:highlight w:val="none"/>
        </w:rPr>
        <w:t>202</w:t>
      </w:r>
      <w:r>
        <w:rPr>
          <w:rFonts w:hint="eastAsia" w:ascii="宋体" w:hAnsi="宋体" w:cs="宋体"/>
          <w:bCs/>
          <w:color w:val="auto"/>
          <w:kern w:val="0"/>
          <w:szCs w:val="21"/>
          <w:highlight w:val="none"/>
          <w:lang w:val="en-US" w:eastAsia="zh-CN"/>
        </w:rPr>
        <w:t>6</w:t>
      </w:r>
      <w:r>
        <w:rPr>
          <w:rFonts w:hint="eastAsia" w:ascii="宋体" w:hAnsi="宋体" w:cs="宋体"/>
          <w:bCs/>
          <w:color w:val="auto"/>
          <w:kern w:val="0"/>
          <w:szCs w:val="21"/>
          <w:highlight w:val="none"/>
        </w:rPr>
        <w:t>年</w:t>
      </w:r>
      <w:r>
        <w:rPr>
          <w:rFonts w:hint="eastAsia" w:ascii="宋体" w:hAnsi="宋体" w:cs="宋体"/>
          <w:bCs/>
          <w:color w:val="auto"/>
          <w:kern w:val="0"/>
          <w:szCs w:val="21"/>
          <w:highlight w:val="none"/>
          <w:lang w:val="en-US" w:eastAsia="zh-CN"/>
        </w:rPr>
        <w:t xml:space="preserve">  </w:t>
      </w:r>
      <w:r>
        <w:rPr>
          <w:rFonts w:hint="eastAsia" w:ascii="宋体" w:hAnsi="宋体" w:cs="宋体"/>
          <w:bCs/>
          <w:color w:val="auto"/>
          <w:kern w:val="0"/>
          <w:szCs w:val="21"/>
          <w:highlight w:val="none"/>
        </w:rPr>
        <w:t>月</w:t>
      </w:r>
      <w:r>
        <w:rPr>
          <w:rFonts w:hint="eastAsia" w:ascii="宋体" w:hAnsi="宋体" w:cs="宋体"/>
          <w:bCs/>
          <w:color w:val="auto"/>
          <w:kern w:val="0"/>
          <w:szCs w:val="21"/>
          <w:highlight w:val="none"/>
          <w:lang w:val="en-US" w:eastAsia="zh-CN"/>
        </w:rPr>
        <w:t xml:space="preserve">  </w:t>
      </w:r>
      <w:r>
        <w:rPr>
          <w:rFonts w:hint="eastAsia" w:ascii="宋体" w:hAnsi="宋体" w:cs="宋体"/>
          <w:bCs/>
          <w:color w:val="auto"/>
          <w:kern w:val="0"/>
          <w:szCs w:val="21"/>
          <w:highlight w:val="none"/>
        </w:rPr>
        <w:t>日</w:t>
      </w:r>
      <w:r>
        <w:rPr>
          <w:rFonts w:hint="eastAsia" w:ascii="宋体" w:hAnsi="宋体" w:cs="宋体"/>
          <w:bCs/>
          <w:color w:val="auto"/>
          <w:szCs w:val="21"/>
          <w:highlight w:val="none"/>
        </w:rPr>
        <w:t>9时30分</w:t>
      </w:r>
    </w:p>
    <w:p w14:paraId="40FFDD90">
      <w:pPr>
        <w:keepNext w:val="0"/>
        <w:keepLines w:val="0"/>
        <w:pageBreakBefore w:val="0"/>
        <w:kinsoku/>
        <w:overflowPunct/>
        <w:topLinePunct w:val="0"/>
        <w:bidi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bCs/>
          <w:color w:val="auto"/>
          <w:szCs w:val="21"/>
          <w:highlight w:val="none"/>
        </w:rPr>
        <w:t>4.开标地点：广西政府采购云平台电子开标大厅开标。</w:t>
      </w:r>
    </w:p>
    <w:p w14:paraId="22508A29">
      <w:pPr>
        <w:keepNext w:val="0"/>
        <w:keepLines w:val="0"/>
        <w:pageBreakBefore w:val="0"/>
        <w:kinsoku/>
        <w:overflowPunct/>
        <w:topLinePunct w:val="0"/>
        <w:bidi w:val="0"/>
        <w:spacing w:line="400" w:lineRule="exact"/>
        <w:textAlignment w:val="auto"/>
        <w:rPr>
          <w:rFonts w:hint="eastAsia" w:ascii="宋体" w:hAnsi="宋体" w:cs="宋体"/>
          <w:b/>
          <w:bCs/>
          <w:color w:val="auto"/>
          <w:sz w:val="24"/>
          <w:highlight w:val="none"/>
        </w:rPr>
      </w:pPr>
      <w:r>
        <w:rPr>
          <w:rFonts w:hint="eastAsia" w:ascii="宋体" w:hAnsi="宋体" w:cs="宋体"/>
          <w:b/>
          <w:bCs/>
          <w:color w:val="auto"/>
          <w:sz w:val="24"/>
          <w:highlight w:val="none"/>
        </w:rPr>
        <w:t>五、公告期限</w:t>
      </w:r>
      <w:bookmarkEnd w:id="33"/>
      <w:bookmarkEnd w:id="34"/>
      <w:bookmarkEnd w:id="35"/>
      <w:bookmarkEnd w:id="36"/>
    </w:p>
    <w:p w14:paraId="5B441427">
      <w:pPr>
        <w:keepNext w:val="0"/>
        <w:keepLines w:val="0"/>
        <w:pageBreakBefore w:val="0"/>
        <w:kinsoku/>
        <w:overflowPunct/>
        <w:topLinePunct w:val="0"/>
        <w:bidi w:val="0"/>
        <w:spacing w:line="400" w:lineRule="exact"/>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自本公告发布之日起5个工作日。</w:t>
      </w:r>
    </w:p>
    <w:p w14:paraId="7C804E75">
      <w:pPr>
        <w:keepNext w:val="0"/>
        <w:keepLines w:val="0"/>
        <w:pageBreakBefore w:val="0"/>
        <w:kinsoku/>
        <w:overflowPunct/>
        <w:topLinePunct w:val="0"/>
        <w:bidi w:val="0"/>
        <w:spacing w:line="400" w:lineRule="exact"/>
        <w:textAlignment w:val="auto"/>
        <w:rPr>
          <w:rFonts w:hint="eastAsia" w:ascii="宋体" w:hAnsi="宋体" w:cs="宋体"/>
          <w:b/>
          <w:bCs/>
          <w:color w:val="auto"/>
          <w:sz w:val="24"/>
          <w:highlight w:val="none"/>
        </w:rPr>
      </w:pPr>
      <w:bookmarkStart w:id="37" w:name="_Toc35393795"/>
      <w:bookmarkStart w:id="38" w:name="_Toc35393626"/>
      <w:r>
        <w:rPr>
          <w:rFonts w:hint="eastAsia" w:ascii="宋体" w:hAnsi="宋体" w:cs="宋体"/>
          <w:b/>
          <w:bCs/>
          <w:color w:val="auto"/>
          <w:sz w:val="24"/>
          <w:highlight w:val="none"/>
        </w:rPr>
        <w:t>六、其他补充事宜</w:t>
      </w:r>
      <w:bookmarkEnd w:id="37"/>
      <w:bookmarkEnd w:id="38"/>
    </w:p>
    <w:p w14:paraId="11F33CD7">
      <w:pPr>
        <w:keepNext w:val="0"/>
        <w:keepLines w:val="0"/>
        <w:pageBreakBefore w:val="0"/>
        <w:kinsoku/>
        <w:overflowPunct/>
        <w:topLinePunct w:val="0"/>
        <w:bidi w:val="0"/>
        <w:spacing w:line="400" w:lineRule="exact"/>
        <w:ind w:firstLine="420" w:firstLineChars="200"/>
        <w:textAlignment w:val="auto"/>
        <w:rPr>
          <w:rFonts w:hint="eastAsia" w:ascii="宋体" w:hAnsi="宋体" w:cs="宋体"/>
          <w:color w:val="auto"/>
          <w:kern w:val="0"/>
          <w:szCs w:val="21"/>
          <w:highlight w:val="none"/>
        </w:rPr>
      </w:pPr>
      <w:bookmarkStart w:id="39" w:name="_Hlk37429585"/>
      <w:bookmarkStart w:id="40" w:name="_Hlk37429595"/>
      <w:bookmarkStart w:id="41" w:name="_Toc28359085"/>
      <w:bookmarkStart w:id="42" w:name="_Toc35393627"/>
      <w:bookmarkStart w:id="43" w:name="_Toc35393796"/>
      <w:bookmarkStart w:id="44" w:name="_Toc28359008"/>
      <w:r>
        <w:rPr>
          <w:rFonts w:hint="eastAsia" w:ascii="宋体" w:hAnsi="宋体" w:cs="宋体"/>
          <w:color w:val="auto"/>
          <w:kern w:val="0"/>
          <w:szCs w:val="21"/>
          <w:highlight w:val="none"/>
        </w:rPr>
        <w:t>1.投标保证金（人民币）：30000.00元。</w:t>
      </w:r>
    </w:p>
    <w:p w14:paraId="19BCAD0F">
      <w:pPr>
        <w:keepNext w:val="0"/>
        <w:keepLines w:val="0"/>
        <w:pageBreakBefore w:val="0"/>
        <w:kinsoku/>
        <w:overflowPunct/>
        <w:topLinePunct w:val="0"/>
        <w:bidi w:val="0"/>
        <w:spacing w:line="400" w:lineRule="exact"/>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投标保证金的缴纳方式：以银行转账、支票、汇票、本票或者金融机构、担保机构出具的保函等非现金形式提交。采用银行转账方式的，在投标截止时间前交至采购代理机构指定账户并且到账。汇款时投标人的汇款单据应注明“</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项目编号）</w:t>
      </w:r>
      <w:r>
        <w:rPr>
          <w:rFonts w:hint="eastAsia" w:ascii="宋体" w:hAnsi="宋体" w:cs="宋体"/>
          <w:color w:val="auto"/>
          <w:kern w:val="0"/>
          <w:szCs w:val="21"/>
          <w:highlight w:val="none"/>
        </w:rPr>
        <w:t>投标保证金”。</w:t>
      </w:r>
    </w:p>
    <w:p w14:paraId="4C90B6A8">
      <w:pPr>
        <w:keepNext w:val="0"/>
        <w:keepLines w:val="0"/>
        <w:pageBreakBefore w:val="0"/>
        <w:kinsoku/>
        <w:overflowPunct/>
        <w:topLinePunct w:val="0"/>
        <w:bidi w:val="0"/>
        <w:spacing w:line="400" w:lineRule="exact"/>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2.网上查询地址</w:t>
      </w:r>
    </w:p>
    <w:bookmarkEnd w:id="39"/>
    <w:p w14:paraId="4EAAA0EA">
      <w:pPr>
        <w:keepNext w:val="0"/>
        <w:keepLines w:val="0"/>
        <w:pageBreakBefore w:val="0"/>
        <w:kinsoku/>
        <w:wordWrap w:val="0"/>
        <w:overflowPunct/>
        <w:topLinePunct w:val="0"/>
        <w:bidi w:val="0"/>
        <w:spacing w:line="400" w:lineRule="exact"/>
        <w:ind w:firstLine="424" w:firstLineChars="202"/>
        <w:textAlignment w:val="auto"/>
        <w:rPr>
          <w:rFonts w:hint="eastAsia" w:ascii="宋体" w:hAnsi="宋体" w:cs="宋体"/>
          <w:i/>
          <w:color w:val="auto"/>
          <w:kern w:val="0"/>
          <w:szCs w:val="21"/>
          <w:highlight w:val="none"/>
        </w:rPr>
      </w:pPr>
      <w:r>
        <w:rPr>
          <w:rFonts w:hint="eastAsia" w:ascii="宋体" w:hAnsi="宋体" w:cs="宋体"/>
          <w:color w:val="auto"/>
          <w:kern w:val="0"/>
          <w:szCs w:val="21"/>
          <w:highlight w:val="none"/>
        </w:rPr>
        <w:t>http://www.ccgp.gov.cn（中国政府采购网）、http://zfcg.gxzf.gov.cn（广西壮族自治区政府采购网）、http://gxggzy.gxzf.gov.cn/（广西壮族自治区公共资源交易中心）、http://jtt.gxzf.gov.cn/（</w:t>
      </w:r>
      <w:r>
        <w:rPr>
          <w:rFonts w:hint="eastAsia" w:ascii="宋体" w:hAnsi="宋体" w:cs="宋体"/>
          <w:color w:val="auto"/>
          <w:kern w:val="0"/>
          <w:szCs w:val="21"/>
          <w:highlight w:val="none"/>
          <w:lang w:eastAsia="zh-CN"/>
        </w:rPr>
        <w:t>广西壮族自治区生态环境厅</w:t>
      </w:r>
      <w:r>
        <w:rPr>
          <w:rFonts w:hint="eastAsia" w:ascii="宋体" w:hAnsi="宋体" w:cs="宋体"/>
          <w:color w:val="auto"/>
          <w:kern w:val="0"/>
          <w:szCs w:val="21"/>
          <w:highlight w:val="none"/>
        </w:rPr>
        <w:t>官网）</w:t>
      </w:r>
      <w:r>
        <w:rPr>
          <w:rFonts w:hint="eastAsia" w:ascii="宋体" w:hAnsi="宋体" w:cs="宋体"/>
          <w:color w:val="auto"/>
          <w:kern w:val="0"/>
          <w:szCs w:val="21"/>
          <w:highlight w:val="none"/>
          <w:lang w:eastAsia="zh-CN"/>
        </w:rPr>
        <w:t>、http://www.guangxibid.com.cn/</w:t>
      </w:r>
      <w:r>
        <w:rPr>
          <w:rFonts w:hint="eastAsia" w:ascii="宋体" w:hAnsi="宋体" w:cs="宋体"/>
          <w:color w:val="auto"/>
          <w:kern w:val="0"/>
          <w:szCs w:val="21"/>
          <w:highlight w:val="none"/>
          <w:lang w:val="en-US" w:eastAsia="zh-CN"/>
        </w:rPr>
        <w:t>（广西招标网）</w:t>
      </w:r>
      <w:r>
        <w:rPr>
          <w:rFonts w:hint="eastAsia" w:ascii="宋体" w:hAnsi="宋体" w:cs="宋体"/>
          <w:color w:val="auto"/>
          <w:kern w:val="0"/>
          <w:szCs w:val="21"/>
          <w:highlight w:val="none"/>
        </w:rPr>
        <w:t>。</w:t>
      </w:r>
    </w:p>
    <w:bookmarkEnd w:id="40"/>
    <w:p w14:paraId="40B97306">
      <w:pPr>
        <w:keepNext w:val="0"/>
        <w:keepLines w:val="0"/>
        <w:pageBreakBefore w:val="0"/>
        <w:kinsoku/>
        <w:overflowPunct/>
        <w:topLinePunct w:val="0"/>
        <w:bidi w:val="0"/>
        <w:spacing w:line="400" w:lineRule="exact"/>
        <w:ind w:firstLine="424" w:firstLineChars="202"/>
        <w:textAlignment w:val="auto"/>
        <w:rPr>
          <w:rFonts w:hint="eastAsia" w:ascii="宋体" w:hAnsi="宋体" w:cs="宋体"/>
          <w:color w:val="auto"/>
          <w:kern w:val="0"/>
          <w:szCs w:val="21"/>
          <w:highlight w:val="none"/>
        </w:rPr>
      </w:pPr>
      <w:bookmarkStart w:id="45" w:name="_Hlk37429674"/>
      <w:r>
        <w:rPr>
          <w:rFonts w:hint="eastAsia" w:ascii="宋体" w:hAnsi="宋体" w:cs="宋体"/>
          <w:color w:val="auto"/>
          <w:szCs w:val="21"/>
          <w:highlight w:val="none"/>
        </w:rPr>
        <w:t>3.</w:t>
      </w:r>
      <w:r>
        <w:rPr>
          <w:rFonts w:hint="eastAsia" w:ascii="宋体" w:hAnsi="宋体" w:cs="宋体"/>
          <w:color w:val="auto"/>
          <w:kern w:val="0"/>
          <w:szCs w:val="21"/>
          <w:highlight w:val="none"/>
        </w:rPr>
        <w:t>本项目需要落实的政府采购政策</w:t>
      </w:r>
    </w:p>
    <w:bookmarkEnd w:id="45"/>
    <w:p w14:paraId="33BFAB2D">
      <w:pPr>
        <w:keepNext w:val="0"/>
        <w:keepLines w:val="0"/>
        <w:pageBreakBefore w:val="0"/>
        <w:widowControl/>
        <w:kinsoku/>
        <w:overflowPunct/>
        <w:topLinePunct w:val="0"/>
        <w:bidi w:val="0"/>
        <w:spacing w:line="400" w:lineRule="exact"/>
        <w:ind w:firstLine="420" w:firstLineChars="200"/>
        <w:jc w:val="left"/>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（1）政府采购促进中小企业发展。</w:t>
      </w:r>
    </w:p>
    <w:p w14:paraId="156F38E4">
      <w:pPr>
        <w:keepNext w:val="0"/>
        <w:keepLines w:val="0"/>
        <w:pageBreakBefore w:val="0"/>
        <w:widowControl/>
        <w:kinsoku/>
        <w:overflowPunct/>
        <w:topLinePunct w:val="0"/>
        <w:bidi w:val="0"/>
        <w:spacing w:line="400" w:lineRule="exact"/>
        <w:ind w:firstLine="420" w:firstLineChars="200"/>
        <w:jc w:val="left"/>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（2）政府采购促进残疾人就业政策。</w:t>
      </w:r>
    </w:p>
    <w:p w14:paraId="1BB3B3C6">
      <w:pPr>
        <w:keepNext w:val="0"/>
        <w:keepLines w:val="0"/>
        <w:pageBreakBefore w:val="0"/>
        <w:widowControl/>
        <w:kinsoku/>
        <w:overflowPunct/>
        <w:topLinePunct w:val="0"/>
        <w:bidi w:val="0"/>
        <w:spacing w:line="400" w:lineRule="exact"/>
        <w:ind w:firstLine="420" w:firstLineChars="200"/>
        <w:jc w:val="left"/>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（3）政府采购支持监狱企业发展。</w:t>
      </w:r>
    </w:p>
    <w:p w14:paraId="6AB3CEBA">
      <w:pPr>
        <w:keepNext w:val="0"/>
        <w:keepLines w:val="0"/>
        <w:pageBreakBefore w:val="0"/>
        <w:widowControl/>
        <w:kinsoku/>
        <w:overflowPunct/>
        <w:topLinePunct w:val="0"/>
        <w:bidi w:val="0"/>
        <w:spacing w:line="400" w:lineRule="exact"/>
        <w:ind w:firstLine="420" w:firstLineChars="200"/>
        <w:jc w:val="left"/>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（4）强制采购节能产品；优先采购节能产品、环境标志产品。</w:t>
      </w:r>
    </w:p>
    <w:p w14:paraId="2EC627E8">
      <w:pPr>
        <w:keepNext w:val="0"/>
        <w:keepLines w:val="0"/>
        <w:pageBreakBefore w:val="0"/>
        <w:widowControl/>
        <w:kinsoku/>
        <w:overflowPunct/>
        <w:topLinePunct w:val="0"/>
        <w:bidi w:val="0"/>
        <w:spacing w:line="400" w:lineRule="exact"/>
        <w:ind w:firstLine="420" w:firstLineChars="200"/>
        <w:jc w:val="left"/>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（5）扶持不发达地区和少数民族地区政策。</w:t>
      </w:r>
    </w:p>
    <w:p w14:paraId="76AC1932">
      <w:pPr>
        <w:keepNext w:val="0"/>
        <w:keepLines w:val="0"/>
        <w:pageBreakBefore w:val="0"/>
        <w:widowControl/>
        <w:kinsoku/>
        <w:overflowPunct/>
        <w:topLinePunct w:val="0"/>
        <w:bidi w:val="0"/>
        <w:spacing w:line="400" w:lineRule="exact"/>
        <w:ind w:firstLine="420" w:firstLineChars="200"/>
        <w:jc w:val="left"/>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4.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6BAB1FCC">
      <w:pPr>
        <w:keepNext w:val="0"/>
        <w:keepLines w:val="0"/>
        <w:pageBreakBefore w:val="0"/>
        <w:widowControl/>
        <w:kinsoku/>
        <w:overflowPunct/>
        <w:topLinePunct w:val="0"/>
        <w:bidi w:val="0"/>
        <w:spacing w:line="400" w:lineRule="exact"/>
        <w:ind w:firstLine="420" w:firstLineChars="200"/>
        <w:jc w:val="left"/>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5.根据财政部《关于在政府采购活动中查询及使用信用记录有关问题的通知》（财库〔2016〕125号）的规定，对在“信用中国”网站（www.creditchina.gov.cn）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31C3B471">
      <w:pPr>
        <w:keepNext w:val="0"/>
        <w:keepLines w:val="0"/>
        <w:pageBreakBefore w:val="0"/>
        <w:widowControl/>
        <w:kinsoku/>
        <w:overflowPunct/>
        <w:topLinePunct w:val="0"/>
        <w:bidi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kern w:val="0"/>
          <w:szCs w:val="21"/>
          <w:highlight w:val="none"/>
        </w:rPr>
        <w:t>6.投标人</w:t>
      </w:r>
      <w:r>
        <w:rPr>
          <w:rFonts w:hint="eastAsia" w:ascii="宋体" w:hAnsi="宋体" w:cs="宋体"/>
          <w:color w:val="auto"/>
          <w:szCs w:val="21"/>
          <w:highlight w:val="none"/>
        </w:rPr>
        <w:t>投标注意事项</w:t>
      </w:r>
    </w:p>
    <w:p w14:paraId="768AE6C0">
      <w:pPr>
        <w:keepNext w:val="0"/>
        <w:keepLines w:val="0"/>
        <w:pageBreakBefore w:val="0"/>
        <w:widowControl/>
        <w:kinsoku/>
        <w:wordWrap w:val="0"/>
        <w:overflowPunct/>
        <w:topLinePunct w:val="0"/>
        <w:bidi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（1）本项目为全流程电子化采购项目，通过广西政府采购云平台（</w:t>
      </w:r>
      <w:r>
        <w:rPr>
          <w:rFonts w:hint="eastAsia" w:ascii="宋体" w:hAnsi="宋体" w:cs="宋体"/>
          <w:bCs/>
          <w:color w:val="auto"/>
          <w:szCs w:val="21"/>
          <w:highlight w:val="none"/>
        </w:rPr>
        <w:t>https://www.gcy.zfcg.gxzf.gov.cn/</w:t>
      </w:r>
      <w:r>
        <w:rPr>
          <w:rFonts w:hint="eastAsia" w:ascii="宋体" w:hAnsi="宋体" w:cs="宋体"/>
          <w:color w:val="auto"/>
          <w:szCs w:val="21"/>
          <w:highlight w:val="none"/>
        </w:rPr>
        <w:t>）实行在线电子投标，投标人应按照本项目招标文件和广西政府采购云平台的要求编制、加密后在投标截止时间前通过网络上传至广西政府采购云平台（加密的电子投标文件是指</w:t>
      </w:r>
      <w:r>
        <w:rPr>
          <w:rFonts w:hint="eastAsia" w:ascii="宋体" w:hAnsi="宋体" w:cs="宋体"/>
          <w:color w:val="auto"/>
          <w:highlight w:val="none"/>
        </w:rPr>
        <w:t>后缀名为“jmbs”的文件</w:t>
      </w:r>
      <w:r>
        <w:rPr>
          <w:rFonts w:hint="eastAsia" w:ascii="宋体" w:hAnsi="宋体" w:cs="宋体"/>
          <w:color w:val="auto"/>
          <w:szCs w:val="21"/>
          <w:highlight w:val="none"/>
        </w:rPr>
        <w:t>），</w:t>
      </w:r>
      <w:r>
        <w:rPr>
          <w:rFonts w:hint="eastAsia" w:ascii="宋体" w:hAnsi="宋体" w:cs="宋体"/>
          <w:b/>
          <w:color w:val="auto"/>
          <w:szCs w:val="21"/>
          <w:highlight w:val="none"/>
        </w:rPr>
        <w:t>投标人在</w:t>
      </w:r>
      <w:r>
        <w:rPr>
          <w:rFonts w:hint="eastAsia" w:ascii="宋体" w:hAnsi="宋体" w:cs="宋体"/>
          <w:color w:val="auto"/>
          <w:szCs w:val="21"/>
          <w:highlight w:val="none"/>
        </w:rPr>
        <w:t>广西政府采购云平台</w:t>
      </w:r>
      <w:r>
        <w:rPr>
          <w:rFonts w:hint="eastAsia" w:ascii="宋体" w:hAnsi="宋体" w:cs="宋体"/>
          <w:b/>
          <w:color w:val="auto"/>
          <w:szCs w:val="21"/>
          <w:highlight w:val="none"/>
        </w:rPr>
        <w:t>提交电子投标文件时，请填写参加远程开标活动经办人联系方式。</w:t>
      </w:r>
      <w:r>
        <w:rPr>
          <w:rFonts w:hint="eastAsia" w:ascii="宋体" w:hAnsi="宋体" w:cs="宋体"/>
          <w:color w:val="auto"/>
          <w:szCs w:val="21"/>
          <w:highlight w:val="none"/>
        </w:rPr>
        <w:t>投标人登录广西政府采购云平台，依次进入“服务中心-项目采购-操作流程-电子招投标-</w:t>
      </w:r>
      <w:r>
        <w:rPr>
          <w:rFonts w:hint="eastAsia" w:ascii="宋体" w:hAnsi="宋体" w:cs="宋体"/>
          <w:color w:val="auto"/>
          <w:highlight w:val="none"/>
        </w:rPr>
        <w:t>政府采购项目电子交易管理操作指南-供应商</w:t>
      </w:r>
      <w:r>
        <w:rPr>
          <w:rFonts w:hint="eastAsia" w:ascii="宋体" w:hAnsi="宋体" w:cs="宋体"/>
          <w:color w:val="auto"/>
          <w:szCs w:val="21"/>
          <w:highlight w:val="none"/>
        </w:rPr>
        <w:t>”查看电子投标具体操作流程。</w:t>
      </w:r>
    </w:p>
    <w:p w14:paraId="35E6C1C3">
      <w:pPr>
        <w:keepNext w:val="0"/>
        <w:keepLines w:val="0"/>
        <w:pageBreakBefore w:val="0"/>
        <w:widowControl/>
        <w:kinsoku/>
        <w:overflowPunct/>
        <w:topLinePunct w:val="0"/>
        <w:bidi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未进行网上注册并办理数字证书（CA认证）的投标人将无法参与本项目政府采购活动，投标人应当在投标截止时间前，完成电子交易平台上的CA数字证书办理及投标文件的提交（投标人可登录“广西政府采购网”，依次进入“办事服务-下载专区”或者登录广西政府采购云平台</w:t>
      </w:r>
      <w:r>
        <w:rPr>
          <w:rFonts w:hint="eastAsia" w:ascii="宋体" w:hAnsi="宋体" w:cs="宋体"/>
          <w:color w:val="auto"/>
          <w:kern w:val="0"/>
          <w:szCs w:val="21"/>
          <w:highlight w:val="none"/>
        </w:rPr>
        <w:t>，</w:t>
      </w:r>
      <w:r>
        <w:rPr>
          <w:rFonts w:hint="eastAsia" w:ascii="宋体" w:hAnsi="宋体" w:cs="宋体"/>
          <w:color w:val="auto"/>
          <w:szCs w:val="21"/>
          <w:highlight w:val="none"/>
        </w:rPr>
        <w:t>依次进入“服务中心-入驻与配置”中查看CA数字证书办理操作流程。</w:t>
      </w:r>
      <w:r>
        <w:rPr>
          <w:rFonts w:hint="eastAsia" w:ascii="宋体" w:hAnsi="宋体" w:cs="宋体"/>
          <w:bCs/>
          <w:color w:val="auto"/>
          <w:kern w:val="0"/>
          <w:szCs w:val="21"/>
          <w:highlight w:val="none"/>
        </w:rPr>
        <w:t>如在操作过程中遇到问题或者需要技术支持，请致电客服热线：95763</w:t>
      </w:r>
      <w:r>
        <w:rPr>
          <w:rFonts w:hint="eastAsia" w:ascii="宋体" w:hAnsi="宋体" w:cs="宋体"/>
          <w:color w:val="auto"/>
          <w:szCs w:val="21"/>
          <w:highlight w:val="none"/>
        </w:rPr>
        <w:t>）。</w:t>
      </w:r>
    </w:p>
    <w:p w14:paraId="070A4E6F">
      <w:pPr>
        <w:keepNext w:val="0"/>
        <w:keepLines w:val="0"/>
        <w:pageBreakBefore w:val="0"/>
        <w:kinsoku/>
        <w:overflowPunct/>
        <w:topLinePunct w:val="0"/>
        <w:bidi w:val="0"/>
        <w:snapToGrid w:val="0"/>
        <w:spacing w:line="400" w:lineRule="exact"/>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（3）CA证书在线解密：投标人投标时，需凭制作投标文件时用来加密的有效数字证书（CA认证）登录</w:t>
      </w:r>
      <w:r>
        <w:rPr>
          <w:rFonts w:hint="eastAsia" w:ascii="宋体" w:hAnsi="宋体" w:cs="宋体"/>
          <w:color w:val="auto"/>
          <w:szCs w:val="21"/>
          <w:highlight w:val="none"/>
        </w:rPr>
        <w:t>广西政府采购云平台</w:t>
      </w:r>
      <w:r>
        <w:rPr>
          <w:rFonts w:hint="eastAsia" w:ascii="宋体" w:hAnsi="宋体" w:cs="宋体"/>
          <w:color w:val="auto"/>
          <w:kern w:val="0"/>
          <w:szCs w:val="21"/>
          <w:highlight w:val="none"/>
        </w:rPr>
        <w:t>电子开标大厅现场按规定时间对加密的投标文件进行解密，否则后果自负。</w:t>
      </w:r>
    </w:p>
    <w:p w14:paraId="492F0BAB">
      <w:pPr>
        <w:keepNext w:val="0"/>
        <w:keepLines w:val="0"/>
        <w:pageBreakBefore w:val="0"/>
        <w:kinsoku/>
        <w:wordWrap w:val="0"/>
        <w:overflowPunct/>
        <w:topLinePunct w:val="0"/>
        <w:bidi w:val="0"/>
        <w:spacing w:line="400" w:lineRule="exact"/>
        <w:ind w:firstLine="424" w:firstLineChars="202"/>
        <w:textAlignment w:val="auto"/>
        <w:rPr>
          <w:rFonts w:hint="eastAsia" w:ascii="宋体" w:hAnsi="宋体" w:cs="宋体"/>
          <w:bCs/>
          <w:color w:val="auto"/>
          <w:szCs w:val="21"/>
          <w:highlight w:val="none"/>
        </w:rPr>
      </w:pPr>
      <w:r>
        <w:rPr>
          <w:rFonts w:hint="eastAsia" w:ascii="宋体" w:hAnsi="宋体" w:cs="宋体"/>
          <w:color w:val="auto"/>
          <w:szCs w:val="21"/>
          <w:highlight w:val="none"/>
        </w:rPr>
        <w:t>注：1）为确保网上操作合法、有效和安全，请投标人确保在电子投标过程中能够对相关数据电文进行加密和使用电子签章，妥善保管CA数字证书并使用有效的CA数字证书参与整个招标活动。2）</w:t>
      </w:r>
      <w:r>
        <w:rPr>
          <w:rFonts w:hint="eastAsia" w:ascii="宋体" w:hAnsi="宋体" w:cs="宋体"/>
          <w:bCs/>
          <w:color w:val="auto"/>
          <w:szCs w:val="21"/>
          <w:highlight w:val="none"/>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w:t>
      </w:r>
      <w:r>
        <w:rPr>
          <w:rFonts w:hint="eastAsia" w:ascii="宋体" w:hAnsi="宋体" w:cs="宋体"/>
          <w:color w:val="auto"/>
          <w:szCs w:val="21"/>
          <w:highlight w:val="none"/>
        </w:rPr>
        <w:t>广西政府采购云平台</w:t>
      </w:r>
      <w:r>
        <w:rPr>
          <w:rFonts w:hint="eastAsia" w:ascii="宋体" w:hAnsi="宋体" w:cs="宋体"/>
          <w:bCs/>
          <w:color w:val="auto"/>
          <w:szCs w:val="21"/>
          <w:highlight w:val="none"/>
        </w:rPr>
        <w:t>将予以拒收。</w:t>
      </w:r>
    </w:p>
    <w:p w14:paraId="504F347B">
      <w:pPr>
        <w:keepNext w:val="0"/>
        <w:keepLines w:val="0"/>
        <w:pageBreakBefore w:val="0"/>
        <w:kinsoku/>
        <w:wordWrap w:val="0"/>
        <w:overflowPunct/>
        <w:topLinePunct w:val="0"/>
        <w:bidi w:val="0"/>
        <w:spacing w:line="400" w:lineRule="exact"/>
        <w:ind w:firstLine="424" w:firstLineChars="202"/>
        <w:textAlignment w:val="auto"/>
        <w:rPr>
          <w:rFonts w:ascii="宋体" w:hAnsi="宋体" w:cs="宋体"/>
          <w:bCs/>
          <w:color w:val="auto"/>
          <w:szCs w:val="21"/>
          <w:highlight w:val="none"/>
        </w:rPr>
      </w:pPr>
      <w:r>
        <w:rPr>
          <w:rFonts w:hint="eastAsia" w:ascii="宋体" w:hAnsi="宋体" w:cs="宋体"/>
          <w:bCs/>
          <w:color w:val="auto"/>
          <w:szCs w:val="21"/>
          <w:highlight w:val="none"/>
        </w:rPr>
        <w:t>7.采购意向公开链接：https://zfcg.gxzf.gov.cn/site/detail?categoryCode=ZcyAnnouncement&amp;parentId=66485&amp;articleId=oPgeg5OnXK8tcT+E/1+JZQ==</w:t>
      </w:r>
    </w:p>
    <w:p w14:paraId="1F041D23">
      <w:pPr>
        <w:keepNext w:val="0"/>
        <w:keepLines w:val="0"/>
        <w:pageBreakBefore w:val="0"/>
        <w:kinsoku/>
        <w:overflowPunct/>
        <w:topLinePunct w:val="0"/>
        <w:bidi w:val="0"/>
        <w:spacing w:line="400" w:lineRule="exact"/>
        <w:textAlignment w:val="auto"/>
        <w:rPr>
          <w:rFonts w:hint="eastAsia" w:ascii="宋体" w:hAnsi="宋体" w:cs="宋体"/>
          <w:b/>
          <w:bCs/>
          <w:color w:val="auto"/>
          <w:sz w:val="24"/>
          <w:highlight w:val="none"/>
        </w:rPr>
      </w:pPr>
      <w:r>
        <w:rPr>
          <w:rFonts w:hint="eastAsia" w:ascii="宋体" w:hAnsi="宋体" w:cs="宋体"/>
          <w:b/>
          <w:bCs/>
          <w:color w:val="auto"/>
          <w:sz w:val="24"/>
          <w:highlight w:val="none"/>
        </w:rPr>
        <w:t>七、对本次招标提出询问，请按以下方式联系。</w:t>
      </w:r>
      <w:bookmarkEnd w:id="41"/>
      <w:bookmarkEnd w:id="42"/>
      <w:bookmarkEnd w:id="43"/>
      <w:bookmarkEnd w:id="44"/>
    </w:p>
    <w:p w14:paraId="1BF8F5B2">
      <w:pPr>
        <w:keepNext w:val="0"/>
        <w:keepLines w:val="0"/>
        <w:pageBreakBefore w:val="0"/>
        <w:kinsoku/>
        <w:overflowPunct/>
        <w:topLinePunct w:val="0"/>
        <w:bidi w:val="0"/>
        <w:spacing w:line="400" w:lineRule="exact"/>
        <w:ind w:firstLine="424" w:firstLineChars="202"/>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1.采购人信息</w:t>
      </w:r>
    </w:p>
    <w:p w14:paraId="7653774B">
      <w:pPr>
        <w:keepNext w:val="0"/>
        <w:keepLines w:val="0"/>
        <w:pageBreakBefore w:val="0"/>
        <w:kinsoku/>
        <w:overflowPunct/>
        <w:topLinePunct w:val="0"/>
        <w:bidi w:val="0"/>
        <w:spacing w:line="400" w:lineRule="exact"/>
        <w:ind w:firstLine="424" w:firstLineChars="202"/>
        <w:jc w:val="left"/>
        <w:textAlignment w:val="auto"/>
        <w:rPr>
          <w:rFonts w:hint="eastAsia" w:ascii="宋体" w:hAnsi="宋体" w:eastAsia="宋体" w:cs="宋体"/>
          <w:color w:val="auto"/>
          <w:szCs w:val="21"/>
          <w:highlight w:val="none"/>
          <w:lang w:eastAsia="zh-CN"/>
        </w:rPr>
      </w:pPr>
      <w:bookmarkStart w:id="46" w:name="_Toc28359086"/>
      <w:bookmarkStart w:id="47" w:name="_Toc28359009"/>
      <w:r>
        <w:rPr>
          <w:rFonts w:hint="eastAsia" w:ascii="宋体" w:hAnsi="宋体" w:cs="宋体"/>
          <w:color w:val="auto"/>
          <w:szCs w:val="21"/>
          <w:highlight w:val="none"/>
        </w:rPr>
        <w:t>名 称：</w:t>
      </w:r>
      <w:r>
        <w:rPr>
          <w:rFonts w:hint="eastAsia" w:ascii="宋体" w:hAnsi="宋体" w:cs="宋体"/>
          <w:color w:val="auto"/>
          <w:szCs w:val="21"/>
          <w:highlight w:val="none"/>
          <w:lang w:eastAsia="zh-CN"/>
        </w:rPr>
        <w:t>广西壮族自治区生态环境厅</w:t>
      </w:r>
    </w:p>
    <w:p w14:paraId="512EFCFF">
      <w:pPr>
        <w:keepNext w:val="0"/>
        <w:keepLines w:val="0"/>
        <w:pageBreakBefore w:val="0"/>
        <w:kinsoku/>
        <w:overflowPunct/>
        <w:topLinePunct w:val="0"/>
        <w:bidi w:val="0"/>
        <w:spacing w:line="400" w:lineRule="exact"/>
        <w:ind w:firstLine="424" w:firstLineChars="202"/>
        <w:jc w:val="left"/>
        <w:textAlignment w:val="auto"/>
        <w:rPr>
          <w:rFonts w:hint="eastAsia" w:ascii="宋体" w:hAnsi="宋体" w:cs="宋体"/>
          <w:color w:val="auto"/>
          <w:szCs w:val="21"/>
          <w:highlight w:val="none"/>
          <w:lang w:eastAsia="zh-CN"/>
        </w:rPr>
      </w:pPr>
      <w:r>
        <w:rPr>
          <w:rFonts w:hint="eastAsia" w:ascii="宋体" w:hAnsi="宋体" w:cs="宋体"/>
          <w:color w:val="auto"/>
          <w:szCs w:val="21"/>
          <w:highlight w:val="none"/>
        </w:rPr>
        <w:t>地 址：</w:t>
      </w:r>
      <w:r>
        <w:rPr>
          <w:rFonts w:hint="eastAsia" w:ascii="宋体" w:hAnsi="宋体" w:cs="宋体"/>
          <w:color w:val="auto"/>
          <w:szCs w:val="21"/>
          <w:highlight w:val="none"/>
          <w:lang w:eastAsia="zh-CN"/>
        </w:rPr>
        <w:t>南宁市青秀区佛子岭路16号</w:t>
      </w:r>
    </w:p>
    <w:p w14:paraId="6C0C8234">
      <w:pPr>
        <w:keepNext w:val="0"/>
        <w:keepLines w:val="0"/>
        <w:pageBreakBefore w:val="0"/>
        <w:kinsoku/>
        <w:overflowPunct/>
        <w:topLinePunct w:val="0"/>
        <w:bidi w:val="0"/>
        <w:spacing w:line="400" w:lineRule="exact"/>
        <w:ind w:firstLine="424" w:firstLineChars="202"/>
        <w:jc w:val="left"/>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联系人：</w:t>
      </w:r>
      <w:r>
        <w:rPr>
          <w:rFonts w:hint="eastAsia" w:ascii="宋体" w:hAnsi="宋体" w:cs="宋体"/>
          <w:color w:val="auto"/>
          <w:szCs w:val="21"/>
          <w:highlight w:val="none"/>
          <w:lang w:eastAsia="zh-CN"/>
        </w:rPr>
        <w:t>黄工</w:t>
      </w:r>
    </w:p>
    <w:p w14:paraId="53B3B4E3">
      <w:pPr>
        <w:keepNext w:val="0"/>
        <w:keepLines w:val="0"/>
        <w:pageBreakBefore w:val="0"/>
        <w:kinsoku/>
        <w:overflowPunct/>
        <w:topLinePunct w:val="0"/>
        <w:bidi w:val="0"/>
        <w:spacing w:line="400" w:lineRule="exact"/>
        <w:ind w:firstLine="424" w:firstLineChars="202"/>
        <w:jc w:val="left"/>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联系方式：</w:t>
      </w:r>
      <w:r>
        <w:rPr>
          <w:rFonts w:hint="eastAsia"/>
          <w:color w:val="auto"/>
          <w:highlight w:val="none"/>
          <w:lang w:val="en-US" w:eastAsia="zh-CN"/>
        </w:rPr>
        <w:t>0771-5313068</w:t>
      </w:r>
    </w:p>
    <w:bookmarkEnd w:id="46"/>
    <w:bookmarkEnd w:id="47"/>
    <w:p w14:paraId="323E7DE2">
      <w:pPr>
        <w:keepNext w:val="0"/>
        <w:keepLines w:val="0"/>
        <w:pageBreakBefore w:val="0"/>
        <w:kinsoku/>
        <w:overflowPunct/>
        <w:topLinePunct w:val="0"/>
        <w:bidi w:val="0"/>
        <w:spacing w:line="400" w:lineRule="exact"/>
        <w:ind w:firstLine="424" w:firstLineChars="202"/>
        <w:textAlignment w:val="auto"/>
        <w:rPr>
          <w:rFonts w:hint="eastAsia" w:ascii="宋体" w:hAnsi="宋体" w:cs="宋体"/>
          <w:color w:val="auto"/>
          <w:szCs w:val="21"/>
          <w:highlight w:val="none"/>
        </w:rPr>
      </w:pPr>
      <w:r>
        <w:rPr>
          <w:rFonts w:hint="eastAsia" w:ascii="宋体" w:hAnsi="宋体" w:cs="宋体"/>
          <w:color w:val="auto"/>
          <w:szCs w:val="21"/>
          <w:highlight w:val="none"/>
        </w:rPr>
        <w:t>2.采购代理机构信息</w:t>
      </w:r>
    </w:p>
    <w:p w14:paraId="2C5620EC">
      <w:pPr>
        <w:keepNext w:val="0"/>
        <w:keepLines w:val="0"/>
        <w:pageBreakBefore w:val="0"/>
        <w:kinsoku/>
        <w:overflowPunct/>
        <w:topLinePunct w:val="0"/>
        <w:bidi w:val="0"/>
        <w:spacing w:line="400" w:lineRule="exact"/>
        <w:ind w:firstLine="424" w:firstLineChars="202"/>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名 称：</w:t>
      </w:r>
      <w:r>
        <w:rPr>
          <w:rFonts w:hint="eastAsia" w:ascii="宋体" w:hAnsi="宋体" w:cs="宋体"/>
          <w:color w:val="auto"/>
          <w:szCs w:val="21"/>
          <w:highlight w:val="none"/>
          <w:lang w:eastAsia="zh-CN"/>
        </w:rPr>
        <w:t>广西建设工程机电设备招标中心有限公司</w:t>
      </w:r>
    </w:p>
    <w:p w14:paraId="6C8324F9">
      <w:pPr>
        <w:keepNext w:val="0"/>
        <w:keepLines w:val="0"/>
        <w:pageBreakBefore w:val="0"/>
        <w:kinsoku/>
        <w:overflowPunct/>
        <w:topLinePunct w:val="0"/>
        <w:bidi w:val="0"/>
        <w:spacing w:line="400" w:lineRule="exact"/>
        <w:ind w:firstLine="424" w:firstLineChars="202"/>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地 址：</w:t>
      </w:r>
      <w:r>
        <w:rPr>
          <w:rFonts w:hint="eastAsia" w:ascii="宋体" w:hAnsi="宋体" w:cs="宋体"/>
          <w:color w:val="auto"/>
          <w:szCs w:val="21"/>
          <w:highlight w:val="none"/>
          <w:lang w:eastAsia="zh-CN"/>
        </w:rPr>
        <w:t>广西南宁市青秀区枫林路18号广西国控大厦（枫林路办公区）裙楼三楼</w:t>
      </w:r>
    </w:p>
    <w:p w14:paraId="66DF081D">
      <w:pPr>
        <w:keepNext w:val="0"/>
        <w:keepLines w:val="0"/>
        <w:pageBreakBefore w:val="0"/>
        <w:kinsoku/>
        <w:overflowPunct/>
        <w:topLinePunct w:val="0"/>
        <w:bidi w:val="0"/>
        <w:spacing w:line="400" w:lineRule="exact"/>
        <w:ind w:firstLine="424" w:firstLineChars="202"/>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联系方式：</w:t>
      </w:r>
      <w:r>
        <w:rPr>
          <w:rFonts w:hint="eastAsia" w:ascii="宋体" w:hAnsi="宋体" w:cs="宋体"/>
          <w:color w:val="auto"/>
          <w:szCs w:val="21"/>
          <w:highlight w:val="none"/>
          <w:lang w:eastAsia="zh-CN"/>
        </w:rPr>
        <w:t>0771-5824250</w:t>
      </w:r>
    </w:p>
    <w:p w14:paraId="006FA431">
      <w:pPr>
        <w:keepNext w:val="0"/>
        <w:keepLines w:val="0"/>
        <w:pageBreakBefore w:val="0"/>
        <w:kinsoku/>
        <w:overflowPunct/>
        <w:topLinePunct w:val="0"/>
        <w:bidi w:val="0"/>
        <w:spacing w:line="400" w:lineRule="exact"/>
        <w:ind w:firstLine="424" w:firstLineChars="202"/>
        <w:textAlignment w:val="auto"/>
        <w:rPr>
          <w:rFonts w:hint="eastAsia" w:ascii="宋体" w:hAnsi="宋体" w:cs="宋体"/>
          <w:color w:val="auto"/>
          <w:szCs w:val="21"/>
          <w:highlight w:val="none"/>
        </w:rPr>
      </w:pPr>
      <w:r>
        <w:rPr>
          <w:rFonts w:hint="eastAsia" w:ascii="宋体" w:hAnsi="宋体" w:cs="宋体"/>
          <w:color w:val="auto"/>
          <w:szCs w:val="21"/>
          <w:highlight w:val="none"/>
        </w:rPr>
        <w:t>3.项目联系方式</w:t>
      </w:r>
    </w:p>
    <w:p w14:paraId="58889103">
      <w:pPr>
        <w:keepNext w:val="0"/>
        <w:keepLines w:val="0"/>
        <w:pageBreakBefore w:val="0"/>
        <w:kinsoku/>
        <w:overflowPunct/>
        <w:topLinePunct w:val="0"/>
        <w:bidi w:val="0"/>
        <w:spacing w:line="400" w:lineRule="exact"/>
        <w:ind w:firstLine="424" w:firstLineChars="202"/>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项目联系人：</w:t>
      </w:r>
      <w:r>
        <w:rPr>
          <w:rFonts w:hint="eastAsia" w:ascii="宋体" w:hAnsi="宋体" w:cs="宋体"/>
          <w:color w:val="auto"/>
          <w:szCs w:val="21"/>
          <w:highlight w:val="none"/>
          <w:lang w:eastAsia="zh-CN"/>
        </w:rPr>
        <w:t>王剑、黄艳颀、陈泰东</w:t>
      </w:r>
    </w:p>
    <w:p w14:paraId="3A2AB17D">
      <w:pPr>
        <w:keepNext w:val="0"/>
        <w:keepLines w:val="0"/>
        <w:pageBreakBefore w:val="0"/>
        <w:kinsoku/>
        <w:overflowPunct/>
        <w:topLinePunct w:val="0"/>
        <w:bidi w:val="0"/>
        <w:spacing w:line="400" w:lineRule="exact"/>
        <w:ind w:firstLine="424" w:firstLineChars="202"/>
        <w:textAlignment w:val="auto"/>
        <w:rPr>
          <w:rFonts w:hint="eastAsia" w:ascii="宋体" w:hAnsi="宋体" w:eastAsia="宋体" w:cs="宋体"/>
          <w:color w:val="auto"/>
          <w:szCs w:val="21"/>
          <w:highlight w:val="none"/>
          <w:u w:val="single"/>
          <w:lang w:eastAsia="zh-CN"/>
        </w:rPr>
      </w:pPr>
      <w:r>
        <w:rPr>
          <w:rFonts w:hint="eastAsia" w:ascii="宋体" w:hAnsi="宋体" w:cs="宋体"/>
          <w:color w:val="auto"/>
          <w:szCs w:val="21"/>
          <w:highlight w:val="none"/>
        </w:rPr>
        <w:t>电　话：</w:t>
      </w:r>
      <w:r>
        <w:rPr>
          <w:rFonts w:hint="eastAsia" w:ascii="宋体" w:hAnsi="宋体" w:cs="宋体"/>
          <w:color w:val="auto"/>
          <w:szCs w:val="21"/>
          <w:highlight w:val="none"/>
          <w:lang w:eastAsia="zh-CN"/>
        </w:rPr>
        <w:t>0771-5824250</w:t>
      </w:r>
    </w:p>
    <w:p w14:paraId="7C9466D1">
      <w:pPr>
        <w:keepNext w:val="0"/>
        <w:keepLines w:val="0"/>
        <w:pageBreakBefore w:val="0"/>
        <w:kinsoku/>
        <w:overflowPunct/>
        <w:topLinePunct w:val="0"/>
        <w:bidi w:val="0"/>
        <w:spacing w:line="400" w:lineRule="exact"/>
        <w:textAlignment w:val="auto"/>
        <w:rPr>
          <w:rFonts w:hint="eastAsia" w:ascii="宋体" w:hAnsi="宋体" w:cs="宋体"/>
          <w:color w:val="auto"/>
          <w:szCs w:val="21"/>
          <w:highlight w:val="none"/>
        </w:rPr>
      </w:pPr>
    </w:p>
    <w:p w14:paraId="225E89DA">
      <w:pPr>
        <w:keepNext w:val="0"/>
        <w:keepLines w:val="0"/>
        <w:pageBreakBefore w:val="0"/>
        <w:kinsoku/>
        <w:overflowPunct/>
        <w:topLinePunct w:val="0"/>
        <w:bidi w:val="0"/>
        <w:spacing w:line="400" w:lineRule="exact"/>
        <w:jc w:val="right"/>
        <w:textAlignment w:val="auto"/>
        <w:rPr>
          <w:rFonts w:hint="eastAsia" w:ascii="宋体" w:hAnsi="宋体" w:cs="宋体"/>
          <w:b/>
          <w:bCs/>
          <w:color w:val="auto"/>
          <w:highlight w:val="none"/>
        </w:rPr>
      </w:pPr>
      <w:r>
        <w:rPr>
          <w:rFonts w:hint="eastAsia" w:ascii="宋体" w:hAnsi="宋体" w:cs="宋体"/>
          <w:color w:val="auto"/>
          <w:szCs w:val="21"/>
          <w:highlight w:val="none"/>
        </w:rPr>
        <w:t>采购代理机构：</w:t>
      </w:r>
      <w:r>
        <w:rPr>
          <w:rFonts w:hint="eastAsia" w:ascii="宋体" w:hAnsi="宋体" w:cs="宋体"/>
          <w:color w:val="auto"/>
          <w:szCs w:val="21"/>
          <w:highlight w:val="none"/>
          <w:lang w:eastAsia="zh-CN"/>
        </w:rPr>
        <w:t>广西建设工程机电设备招标中心有限公司</w:t>
      </w:r>
      <w:r>
        <w:rPr>
          <w:rFonts w:hint="eastAsia" w:ascii="宋体" w:hAnsi="宋体" w:cs="宋体"/>
          <w:b/>
          <w:bCs/>
          <w:color w:val="auto"/>
          <w:highlight w:val="none"/>
        </w:rPr>
        <w:t xml:space="preserve"> </w:t>
      </w:r>
    </w:p>
    <w:p w14:paraId="2045E8E6">
      <w:pPr>
        <w:keepNext w:val="0"/>
        <w:keepLines w:val="0"/>
        <w:pageBreakBefore w:val="0"/>
        <w:kinsoku/>
        <w:overflowPunct/>
        <w:topLinePunct w:val="0"/>
        <w:bidi w:val="0"/>
        <w:spacing w:line="400" w:lineRule="exact"/>
        <w:ind w:firstLine="4095" w:firstLineChars="1950"/>
        <w:jc w:val="right"/>
        <w:textAlignment w:val="auto"/>
        <w:rPr>
          <w:rFonts w:hint="eastAsia" w:ascii="宋体" w:hAnsi="宋体" w:cs="宋体"/>
          <w:b/>
          <w:bCs/>
          <w:color w:val="auto"/>
          <w:highlight w:val="none"/>
        </w:rPr>
      </w:pPr>
      <w:r>
        <w:rPr>
          <w:rFonts w:hint="eastAsia" w:ascii="宋体" w:hAnsi="宋体" w:cs="宋体"/>
          <w:bCs/>
          <w:color w:val="auto"/>
          <w:kern w:val="0"/>
          <w:szCs w:val="21"/>
          <w:highlight w:val="none"/>
        </w:rPr>
        <w:t>202</w:t>
      </w:r>
      <w:r>
        <w:rPr>
          <w:rFonts w:hint="eastAsia" w:ascii="宋体" w:hAnsi="宋体" w:cs="宋体"/>
          <w:bCs/>
          <w:color w:val="auto"/>
          <w:kern w:val="0"/>
          <w:szCs w:val="21"/>
          <w:highlight w:val="none"/>
          <w:lang w:val="en-US" w:eastAsia="zh-CN"/>
        </w:rPr>
        <w:t>6</w:t>
      </w:r>
      <w:r>
        <w:rPr>
          <w:rFonts w:hint="eastAsia" w:ascii="宋体" w:hAnsi="宋体" w:cs="宋体"/>
          <w:bCs/>
          <w:color w:val="auto"/>
          <w:kern w:val="0"/>
          <w:szCs w:val="21"/>
          <w:highlight w:val="none"/>
        </w:rPr>
        <w:t>年</w:t>
      </w:r>
      <w:r>
        <w:rPr>
          <w:rFonts w:hint="eastAsia" w:ascii="宋体" w:hAnsi="宋体" w:cs="宋体"/>
          <w:bCs/>
          <w:color w:val="auto"/>
          <w:kern w:val="0"/>
          <w:szCs w:val="21"/>
          <w:highlight w:val="none"/>
          <w:lang w:val="en-US" w:eastAsia="zh-CN"/>
        </w:rPr>
        <w:t xml:space="preserve">  </w:t>
      </w:r>
      <w:r>
        <w:rPr>
          <w:rFonts w:hint="eastAsia" w:ascii="宋体" w:hAnsi="宋体" w:cs="宋体"/>
          <w:bCs/>
          <w:color w:val="auto"/>
          <w:kern w:val="0"/>
          <w:szCs w:val="21"/>
          <w:highlight w:val="none"/>
        </w:rPr>
        <w:t>月</w:t>
      </w:r>
      <w:r>
        <w:rPr>
          <w:rFonts w:hint="eastAsia" w:ascii="宋体" w:hAnsi="宋体" w:cs="宋体"/>
          <w:bCs/>
          <w:color w:val="auto"/>
          <w:kern w:val="0"/>
          <w:szCs w:val="21"/>
          <w:highlight w:val="none"/>
          <w:lang w:val="en-US" w:eastAsia="zh-CN"/>
        </w:rPr>
        <w:t xml:space="preserve">  </w:t>
      </w:r>
      <w:r>
        <w:rPr>
          <w:rFonts w:hint="eastAsia" w:ascii="宋体" w:hAnsi="宋体" w:cs="宋体"/>
          <w:bCs/>
          <w:color w:val="auto"/>
          <w:kern w:val="0"/>
          <w:szCs w:val="21"/>
          <w:highlight w:val="none"/>
        </w:rPr>
        <w:t>日</w:t>
      </w:r>
    </w:p>
    <w:p w14:paraId="5D16113C">
      <w:pPr>
        <w:pStyle w:val="3"/>
        <w:keepNext w:val="0"/>
        <w:keepLines w:val="0"/>
        <w:tabs>
          <w:tab w:val="left" w:pos="0"/>
          <w:tab w:val="left" w:pos="3165"/>
          <w:tab w:val="center" w:pos="4153"/>
        </w:tabs>
        <w:autoSpaceDE w:val="0"/>
        <w:autoSpaceDN w:val="0"/>
        <w:adjustRightInd w:val="0"/>
        <w:spacing w:before="0" w:after="0" w:line="360" w:lineRule="auto"/>
        <w:jc w:val="center"/>
        <w:rPr>
          <w:rFonts w:hint="eastAsia" w:ascii="宋体" w:hAnsi="宋体" w:cs="宋体"/>
          <w:color w:val="auto"/>
          <w:highlight w:val="none"/>
        </w:rPr>
      </w:pPr>
      <w:r>
        <w:rPr>
          <w:rFonts w:hint="eastAsia" w:ascii="宋体" w:hAnsi="宋体" w:cs="宋体"/>
          <w:color w:val="auto"/>
          <w:sz w:val="24"/>
          <w:szCs w:val="20"/>
          <w:highlight w:val="none"/>
        </w:rPr>
        <w:br w:type="page"/>
      </w:r>
      <w:bookmarkStart w:id="48" w:name="_Toc12941"/>
      <w:bookmarkStart w:id="49" w:name="_Toc29892"/>
      <w:bookmarkStart w:id="50" w:name="_Toc28054"/>
      <w:r>
        <w:rPr>
          <w:rFonts w:hint="eastAsia" w:ascii="宋体" w:hAnsi="宋体" w:cs="宋体"/>
          <w:color w:val="auto"/>
          <w:highlight w:val="none"/>
        </w:rPr>
        <w:t>第二章  采购需求</w:t>
      </w:r>
      <w:bookmarkEnd w:id="48"/>
      <w:bookmarkEnd w:id="49"/>
      <w:bookmarkEnd w:id="50"/>
    </w:p>
    <w:p w14:paraId="2409B9C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一、说明：</w:t>
      </w:r>
    </w:p>
    <w:p w14:paraId="29041AD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1.为落实政府采购政策需满足的要求</w:t>
      </w:r>
    </w:p>
    <w:p w14:paraId="21C0D8C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本招标文件所称中小企业必须符合《政府采购促进中小企业发展管理办法》（财库〔2020〕46号）的规定。</w:t>
      </w:r>
    </w:p>
    <w:p w14:paraId="45986BA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2.“实质性要求”是指招标文件中已经指明不满足则投标无效的条款，或者不能负偏离的条款，或者采购需求中带“▲”的条款。</w:t>
      </w:r>
    </w:p>
    <w:p w14:paraId="2FD9659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3.投标人必须自行为其投标产品侵犯他人的知识产权或者专利成果的行为承担相应法律责任。</w:t>
      </w:r>
    </w:p>
    <w:p w14:paraId="4E5E8D1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b/>
          <w:color w:val="auto"/>
          <w:szCs w:val="21"/>
          <w:highlight w:val="none"/>
        </w:rPr>
        <w:t>4.采购内容的中小企业划分标准所属行业名称：</w:t>
      </w:r>
      <w:r>
        <w:rPr>
          <w:rFonts w:hint="eastAsia" w:ascii="宋体" w:hAnsi="宋体" w:cs="宋体"/>
          <w:b/>
          <w:color w:val="auto"/>
          <w:szCs w:val="21"/>
          <w:highlight w:val="none"/>
          <w:u w:val="single"/>
        </w:rPr>
        <w:t>其他未列明行业</w:t>
      </w:r>
      <w:r>
        <w:rPr>
          <w:rFonts w:hint="eastAsia" w:ascii="宋体" w:hAnsi="宋体" w:cs="宋体"/>
          <w:bCs/>
          <w:color w:val="auto"/>
          <w:szCs w:val="21"/>
          <w:highlight w:val="none"/>
        </w:rPr>
        <w:t>。</w:t>
      </w:r>
    </w:p>
    <w:p w14:paraId="1156EBE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cs="宋体"/>
          <w:b/>
          <w:color w:val="auto"/>
          <w:szCs w:val="21"/>
          <w:highlight w:val="none"/>
        </w:rPr>
        <w:t>5.采购预算</w:t>
      </w:r>
      <w:r>
        <w:rPr>
          <w:rFonts w:hint="eastAsia" w:ascii="宋体" w:hAnsi="宋体" w:cs="宋体"/>
          <w:bCs/>
          <w:color w:val="auto"/>
          <w:szCs w:val="21"/>
          <w:highlight w:val="none"/>
        </w:rPr>
        <w:t>：</w:t>
      </w:r>
      <w:r>
        <w:rPr>
          <w:rFonts w:hint="eastAsia" w:ascii="宋体" w:hAnsi="宋体" w:cs="宋体"/>
          <w:color w:val="auto"/>
          <w:szCs w:val="21"/>
          <w:highlight w:val="none"/>
          <w:u w:val="single"/>
          <w:lang w:eastAsia="zh-CN"/>
        </w:rPr>
        <w:t>5360000.00</w:t>
      </w:r>
      <w:r>
        <w:rPr>
          <w:rFonts w:hint="eastAsia" w:ascii="宋体" w:hAnsi="宋体" w:cs="宋体"/>
          <w:color w:val="auto"/>
          <w:szCs w:val="21"/>
          <w:highlight w:val="none"/>
          <w:u w:val="single"/>
        </w:rPr>
        <w:t>元。</w:t>
      </w:r>
    </w:p>
    <w:p w14:paraId="3899EB3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6.采购需求要求未尽事宜由采购人与中标供应商在采购合同中约定。</w:t>
      </w:r>
    </w:p>
    <w:p w14:paraId="7458A0A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val="en-US" w:eastAsia="zh-CN"/>
        </w:rPr>
        <w:t>7.</w:t>
      </w:r>
      <w:r>
        <w:rPr>
          <w:rFonts w:hint="eastAsia" w:ascii="宋体" w:hAnsi="宋体" w:cs="宋体"/>
          <w:b/>
          <w:bCs w:val="0"/>
          <w:color w:val="auto"/>
          <w:kern w:val="0"/>
          <w:szCs w:val="21"/>
          <w:highlight w:val="none"/>
          <w:lang w:val="en-US" w:eastAsia="zh-CN"/>
        </w:rPr>
        <w:t>投标人的报价出现《财政部关于推动解决政府采购异常低价问题的通知》（财库〔2026〕2号）规定的异常低价情形（具体详见招标文件第四章评标方法及评标标准二、评标程序6.异常低价审查），有可能影响服务质量或者不能诚信履约的，其应当在评标现场合理时间内（不少于30分钟）对报价作出解释，提供项目具体成本测算等与报价合理性相关的书面说明及必要证明材料；投标人不能提供相关说明、证明材料，或提供的材料无法证明其报价合理性的，评标委员会将其作为无效投标处理。</w:t>
      </w:r>
      <w:r>
        <w:rPr>
          <w:rFonts w:hint="eastAsia" w:ascii="宋体" w:hAnsi="宋体" w:eastAsia="宋体" w:cs="宋体"/>
          <w:b/>
          <w:bCs/>
          <w:color w:val="auto"/>
          <w:szCs w:val="21"/>
          <w:highlight w:val="none"/>
          <w:lang w:val="en-US" w:eastAsia="zh-CN"/>
        </w:rPr>
        <w:t xml:space="preserve"> </w:t>
      </w:r>
    </w:p>
    <w:p w14:paraId="39DB04C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b/>
          <w:bCs/>
          <w:color w:val="auto"/>
          <w:szCs w:val="21"/>
          <w:highlight w:val="none"/>
          <w:lang w:val="en-US" w:eastAsia="zh-CN"/>
        </w:rPr>
        <w:t>8.本项目采购需求表中，若有要求提供的证明文件材料或承诺书的，请在《技术要求偏离表》或《商务要求偏离表》中应答时，同时注明相关文件材料或承诺书放置的页码。</w:t>
      </w:r>
    </w:p>
    <w:p w14:paraId="4E8A8F0A">
      <w:pPr>
        <w:pStyle w:val="2"/>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highlight w:val="none"/>
        </w:rPr>
      </w:pPr>
    </w:p>
    <w:p w14:paraId="114E89AD">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b/>
          <w:color w:val="auto"/>
          <w:sz w:val="24"/>
          <w:highlight w:val="none"/>
        </w:rPr>
      </w:pPr>
      <w:r>
        <w:rPr>
          <w:rFonts w:hint="eastAsia" w:ascii="宋体" w:hAnsi="宋体" w:cs="宋体"/>
          <w:b/>
          <w:color w:val="auto"/>
          <w:szCs w:val="21"/>
          <w:highlight w:val="none"/>
        </w:rPr>
        <w:t>二、技术及商务要求：</w:t>
      </w:r>
    </w:p>
    <w:tbl>
      <w:tblPr>
        <w:tblStyle w:val="39"/>
        <w:tblW w:w="90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91" w:type="dxa"/>
          <w:bottom w:w="0" w:type="dxa"/>
          <w:right w:w="91" w:type="dxa"/>
        </w:tblCellMar>
      </w:tblPr>
      <w:tblGrid>
        <w:gridCol w:w="610"/>
        <w:gridCol w:w="1167"/>
        <w:gridCol w:w="480"/>
        <w:gridCol w:w="240"/>
        <w:gridCol w:w="657"/>
        <w:gridCol w:w="5917"/>
      </w:tblGrid>
      <w:tr w14:paraId="77C341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5" w:hRule="atLeast"/>
          <w:jc w:val="center"/>
        </w:trPr>
        <w:tc>
          <w:tcPr>
            <w:tcW w:w="9071" w:type="dxa"/>
            <w:gridSpan w:val="6"/>
            <w:tcBorders>
              <w:top w:val="single" w:color="000000" w:sz="2" w:space="0"/>
              <w:left w:val="single" w:color="000000" w:sz="2" w:space="0"/>
              <w:bottom w:val="single" w:color="000000" w:sz="2" w:space="0"/>
              <w:right w:val="single" w:color="000000" w:sz="2" w:space="0"/>
            </w:tcBorders>
            <w:noWrap w:val="0"/>
            <w:vAlign w:val="center"/>
          </w:tcPr>
          <w:p w14:paraId="7502A876">
            <w:pPr>
              <w:keepNext w:val="0"/>
              <w:keepLines w:val="0"/>
              <w:pageBreakBefore w:val="0"/>
              <w:widowControl w:val="0"/>
              <w:tabs>
                <w:tab w:val="left" w:pos="180"/>
                <w:tab w:val="left" w:pos="1620"/>
              </w:tabs>
              <w:kinsoku/>
              <w:wordWrap/>
              <w:overflowPunct/>
              <w:topLinePunct w:val="0"/>
              <w:autoSpaceDE/>
              <w:autoSpaceDN/>
              <w:bidi w:val="0"/>
              <w:adjustRightInd/>
              <w:snapToGrid/>
              <w:spacing w:before="168" w:beforeLines="70" w:line="400" w:lineRule="exact"/>
              <w:textAlignment w:val="auto"/>
              <w:rPr>
                <w:rFonts w:hint="eastAsia" w:ascii="宋体" w:hAnsi="宋体" w:cs="宋体"/>
                <w:color w:val="auto"/>
                <w:szCs w:val="21"/>
                <w:highlight w:val="none"/>
              </w:rPr>
            </w:pPr>
            <w:r>
              <w:rPr>
                <w:rFonts w:hint="eastAsia" w:ascii="宋体" w:hAnsi="宋体" w:cs="宋体"/>
                <w:b/>
                <w:bCs/>
                <w:color w:val="auto"/>
                <w:szCs w:val="21"/>
                <w:highlight w:val="none"/>
              </w:rPr>
              <w:t>一、项目要求及技术需求</w:t>
            </w:r>
          </w:p>
        </w:tc>
      </w:tr>
      <w:tr w14:paraId="0E60D6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96" w:hRule="atLeast"/>
          <w:jc w:val="center"/>
        </w:trPr>
        <w:tc>
          <w:tcPr>
            <w:tcW w:w="610" w:type="dxa"/>
            <w:tcBorders>
              <w:top w:val="single" w:color="000000" w:sz="2" w:space="0"/>
              <w:left w:val="single" w:color="000000" w:sz="2" w:space="0"/>
              <w:bottom w:val="single" w:color="000000" w:sz="2" w:space="0"/>
              <w:right w:val="single" w:color="000000" w:sz="2" w:space="0"/>
            </w:tcBorders>
            <w:noWrap w:val="0"/>
            <w:vAlign w:val="center"/>
          </w:tcPr>
          <w:p w14:paraId="23F946BC">
            <w:pPr>
              <w:keepNext w:val="0"/>
              <w:keepLines w:val="0"/>
              <w:pageBreakBefore w:val="0"/>
              <w:widowControl w:val="0"/>
              <w:tabs>
                <w:tab w:val="left" w:pos="180"/>
                <w:tab w:val="left" w:pos="1620"/>
              </w:tabs>
              <w:kinsoku/>
              <w:wordWrap/>
              <w:overflowPunct/>
              <w:topLinePunct w:val="0"/>
              <w:autoSpaceDE/>
              <w:autoSpaceDN/>
              <w:bidi w:val="0"/>
              <w:adjustRightInd/>
              <w:snapToGrid/>
              <w:spacing w:before="168" w:beforeLines="70"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167" w:type="dxa"/>
            <w:tcBorders>
              <w:top w:val="single" w:color="000000" w:sz="2" w:space="0"/>
              <w:left w:val="single" w:color="000000" w:sz="2" w:space="0"/>
              <w:bottom w:val="single" w:color="000000" w:sz="2" w:space="0"/>
              <w:right w:val="single" w:color="000000" w:sz="2" w:space="0"/>
            </w:tcBorders>
            <w:noWrap w:val="0"/>
            <w:vAlign w:val="center"/>
          </w:tcPr>
          <w:p w14:paraId="3E5030A7">
            <w:pPr>
              <w:keepNext w:val="0"/>
              <w:keepLines w:val="0"/>
              <w:pageBreakBefore w:val="0"/>
              <w:widowControl w:val="0"/>
              <w:tabs>
                <w:tab w:val="left" w:pos="180"/>
                <w:tab w:val="left" w:pos="1620"/>
              </w:tabs>
              <w:kinsoku/>
              <w:wordWrap/>
              <w:overflowPunct/>
              <w:topLinePunct w:val="0"/>
              <w:autoSpaceDE/>
              <w:autoSpaceDN/>
              <w:bidi w:val="0"/>
              <w:adjustRightInd/>
              <w:snapToGrid/>
              <w:spacing w:before="168" w:beforeLines="70"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标的名称</w:t>
            </w:r>
          </w:p>
        </w:tc>
        <w:tc>
          <w:tcPr>
            <w:tcW w:w="720" w:type="dxa"/>
            <w:gridSpan w:val="2"/>
            <w:tcBorders>
              <w:top w:val="single" w:color="000000" w:sz="2" w:space="0"/>
              <w:left w:val="single" w:color="000000" w:sz="2" w:space="0"/>
              <w:bottom w:val="single" w:color="000000" w:sz="2" w:space="0"/>
              <w:right w:val="single" w:color="000000" w:sz="2" w:space="0"/>
            </w:tcBorders>
            <w:noWrap w:val="0"/>
            <w:vAlign w:val="center"/>
          </w:tcPr>
          <w:p w14:paraId="318FAB35">
            <w:pPr>
              <w:keepNext w:val="0"/>
              <w:keepLines w:val="0"/>
              <w:pageBreakBefore w:val="0"/>
              <w:widowControl w:val="0"/>
              <w:tabs>
                <w:tab w:val="left" w:pos="180"/>
                <w:tab w:val="left" w:pos="1620"/>
              </w:tabs>
              <w:kinsoku/>
              <w:wordWrap/>
              <w:overflowPunct/>
              <w:topLinePunct w:val="0"/>
              <w:autoSpaceDE/>
              <w:autoSpaceDN/>
              <w:bidi w:val="0"/>
              <w:adjustRightInd/>
              <w:snapToGrid/>
              <w:spacing w:before="168" w:beforeLines="70"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数量</w:t>
            </w:r>
          </w:p>
        </w:tc>
        <w:tc>
          <w:tcPr>
            <w:tcW w:w="657" w:type="dxa"/>
            <w:tcBorders>
              <w:top w:val="single" w:color="000000" w:sz="2" w:space="0"/>
              <w:left w:val="single" w:color="000000" w:sz="2" w:space="0"/>
              <w:bottom w:val="single" w:color="000000" w:sz="2" w:space="0"/>
              <w:right w:val="single" w:color="000000" w:sz="2" w:space="0"/>
            </w:tcBorders>
            <w:noWrap w:val="0"/>
            <w:vAlign w:val="center"/>
          </w:tcPr>
          <w:p w14:paraId="1A148070">
            <w:pPr>
              <w:keepNext w:val="0"/>
              <w:keepLines w:val="0"/>
              <w:pageBreakBefore w:val="0"/>
              <w:widowControl w:val="0"/>
              <w:tabs>
                <w:tab w:val="left" w:pos="180"/>
                <w:tab w:val="left" w:pos="1620"/>
              </w:tabs>
              <w:kinsoku/>
              <w:wordWrap/>
              <w:overflowPunct/>
              <w:topLinePunct w:val="0"/>
              <w:autoSpaceDE/>
              <w:autoSpaceDN/>
              <w:bidi w:val="0"/>
              <w:adjustRightInd/>
              <w:snapToGrid/>
              <w:spacing w:before="168" w:beforeLines="70"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单位</w:t>
            </w:r>
          </w:p>
        </w:tc>
        <w:tc>
          <w:tcPr>
            <w:tcW w:w="5917" w:type="dxa"/>
            <w:tcBorders>
              <w:top w:val="single" w:color="000000" w:sz="2" w:space="0"/>
              <w:left w:val="single" w:color="000000" w:sz="2" w:space="0"/>
              <w:bottom w:val="single" w:color="000000" w:sz="2" w:space="0"/>
              <w:right w:val="single" w:color="000000" w:sz="2" w:space="0"/>
            </w:tcBorders>
            <w:noWrap w:val="0"/>
            <w:vAlign w:val="center"/>
          </w:tcPr>
          <w:p w14:paraId="6BBE1C24">
            <w:pPr>
              <w:keepNext w:val="0"/>
              <w:keepLines w:val="0"/>
              <w:pageBreakBefore w:val="0"/>
              <w:widowControl w:val="0"/>
              <w:tabs>
                <w:tab w:val="left" w:pos="180"/>
                <w:tab w:val="left" w:pos="1620"/>
              </w:tabs>
              <w:kinsoku/>
              <w:wordWrap/>
              <w:overflowPunct/>
              <w:topLinePunct w:val="0"/>
              <w:autoSpaceDE/>
              <w:autoSpaceDN/>
              <w:bidi w:val="0"/>
              <w:adjustRightInd/>
              <w:snapToGrid/>
              <w:spacing w:before="168" w:beforeLines="70"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项目要求及技术需求</w:t>
            </w:r>
          </w:p>
        </w:tc>
      </w:tr>
      <w:tr w14:paraId="6EB24C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0" w:hRule="atLeast"/>
          <w:jc w:val="center"/>
        </w:trPr>
        <w:tc>
          <w:tcPr>
            <w:tcW w:w="610" w:type="dxa"/>
            <w:tcBorders>
              <w:top w:val="single" w:color="000000" w:sz="2" w:space="0"/>
              <w:left w:val="single" w:color="000000" w:sz="2" w:space="0"/>
              <w:bottom w:val="single" w:color="000000" w:sz="2" w:space="0"/>
              <w:right w:val="single" w:color="000000" w:sz="2" w:space="0"/>
            </w:tcBorders>
            <w:noWrap w:val="0"/>
            <w:vAlign w:val="center"/>
          </w:tcPr>
          <w:p w14:paraId="1691542C">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1</w:t>
            </w:r>
          </w:p>
        </w:tc>
        <w:tc>
          <w:tcPr>
            <w:tcW w:w="1167" w:type="dxa"/>
            <w:tcBorders>
              <w:top w:val="single" w:color="000000" w:sz="2" w:space="0"/>
              <w:left w:val="single" w:color="000000" w:sz="2" w:space="0"/>
              <w:bottom w:val="single" w:color="000000" w:sz="2" w:space="0"/>
              <w:right w:val="single" w:color="000000" w:sz="2" w:space="0"/>
            </w:tcBorders>
            <w:noWrap w:val="0"/>
            <w:vAlign w:val="center"/>
          </w:tcPr>
          <w:p w14:paraId="248D536E">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全区非法堆存、转移涉重固体废物危险特性鉴别及污染释放能力评估项目</w:t>
            </w:r>
          </w:p>
        </w:tc>
        <w:tc>
          <w:tcPr>
            <w:tcW w:w="720" w:type="dxa"/>
            <w:gridSpan w:val="2"/>
            <w:tcBorders>
              <w:top w:val="single" w:color="000000" w:sz="2" w:space="0"/>
              <w:left w:val="single" w:color="000000" w:sz="2" w:space="0"/>
              <w:bottom w:val="single" w:color="000000" w:sz="2" w:space="0"/>
              <w:right w:val="single" w:color="000000" w:sz="2" w:space="0"/>
            </w:tcBorders>
            <w:noWrap w:val="0"/>
            <w:vAlign w:val="center"/>
          </w:tcPr>
          <w:p w14:paraId="0AED4A52">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1</w:t>
            </w:r>
          </w:p>
        </w:tc>
        <w:tc>
          <w:tcPr>
            <w:tcW w:w="657" w:type="dxa"/>
            <w:tcBorders>
              <w:top w:val="single" w:color="000000" w:sz="2" w:space="0"/>
              <w:left w:val="single" w:color="000000" w:sz="2" w:space="0"/>
              <w:bottom w:val="single" w:color="000000" w:sz="2" w:space="0"/>
              <w:right w:val="single" w:color="000000" w:sz="2" w:space="0"/>
            </w:tcBorders>
            <w:noWrap w:val="0"/>
            <w:vAlign w:val="center"/>
          </w:tcPr>
          <w:p w14:paraId="79E137A0">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项</w:t>
            </w:r>
          </w:p>
        </w:tc>
        <w:tc>
          <w:tcPr>
            <w:tcW w:w="5917" w:type="dxa"/>
            <w:tcBorders>
              <w:top w:val="single" w:color="000000" w:sz="2" w:space="0"/>
              <w:left w:val="single" w:color="000000" w:sz="2" w:space="0"/>
              <w:bottom w:val="single" w:color="000000" w:sz="2" w:space="0"/>
              <w:right w:val="single" w:color="000000" w:sz="2" w:space="0"/>
            </w:tcBorders>
            <w:noWrap w:val="0"/>
            <w:vAlign w:val="center"/>
          </w:tcPr>
          <w:p w14:paraId="29962222">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▲一、总体要求</w:t>
            </w:r>
          </w:p>
          <w:p w14:paraId="450314FE">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lang w:val="en-US" w:eastAsia="zh-CN"/>
              </w:rPr>
              <w:t>根据《土壤污染防治行动计划》（国发〔2016〕31号）《广西壮族自治区工业固体废物堆存场所环境污染整治工作方案》（桂环规范〔2018〕11号）《自治区环境保护厅关于印发广西重金属污染防治突出问题整治工作方案的通知》（桂环发〔2018〕15号）《广西涉重金属环境安全隐患排查整治专项行动方案》（桂政办发〔2025〕20号）《全国非法倾倒处置固体废物专项整治行动方案（2025—2027年）》（环固体〔2025〕45号）等文件要求，依据《工业固体废物采样制样技术规范》（ HJ/T 20-1998）、《危险废物鉴别技术规范》（HJ 298-2019）、《危险废物鉴别标准》（GB 5085.1~7-2007）等</w:t>
            </w:r>
            <w:r>
              <w:rPr>
                <w:rFonts w:hint="eastAsia" w:ascii="宋体" w:hAnsi="宋体" w:cs="宋体"/>
                <w:color w:val="auto"/>
                <w:szCs w:val="21"/>
                <w:highlight w:val="none"/>
              </w:rPr>
              <w:t>技术规范，完成本项目工作内容。</w:t>
            </w:r>
          </w:p>
          <w:p w14:paraId="38E0D014">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▲二、服务内容和技术要求</w:t>
            </w:r>
          </w:p>
          <w:p w14:paraId="07542CAA">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lang w:val="en-US" w:eastAsia="zh-CN"/>
              </w:rPr>
              <w:t>2.1.1</w:t>
            </w:r>
            <w:r>
              <w:rPr>
                <w:rFonts w:hint="eastAsia" w:ascii="宋体" w:hAnsi="宋体" w:cs="宋体"/>
                <w:color w:val="auto"/>
                <w:szCs w:val="21"/>
                <w:highlight w:val="none"/>
              </w:rPr>
              <w:t>主要技术服务</w:t>
            </w:r>
          </w:p>
          <w:p w14:paraId="11477E16">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根据《土壤污染防治行动计划》（国发〔2016〕31号）《广西壮族自治区工业固体废物堆存场所环境污染整治工作方案》（桂环规范〔2018〕11号）《自治区环境保护厅关于印发广西重金属污染防治突出问题整治工作方案的通知》（桂环发〔2018〕15号）《广西涉重金属环境安全隐患排查整治专项行动方案》（桂政办发〔2025〕20号）《全国非法倾倒处置固体废物专项整治行动方案（2025—2027年）》（环固体〔2025〕45号）对涉重金属排查发现的12处涉及非法堆存、转移、处置的不明固体废物开展危险特性鉴别。</w:t>
            </w:r>
          </w:p>
          <w:p w14:paraId="3D4F2101">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前期调查及鉴别样品采集。</w:t>
            </w:r>
          </w:p>
          <w:p w14:paraId="649FEA51">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rPr>
              <w:t>前期调查应包括对鉴别对象的产生过程、生产工艺、原辅材料及其可能含有的特征污染物等信息的调查与分析。样品采集应严格遵循《工业固体废物采样制样技术规范》（HJ/T 20-1998）</w:t>
            </w:r>
            <w:r>
              <w:rPr>
                <w:rFonts w:hint="eastAsia" w:ascii="宋体" w:hAnsi="宋体" w:cs="宋体"/>
                <w:color w:val="auto"/>
                <w:szCs w:val="21"/>
                <w:highlight w:val="none"/>
                <w:lang w:eastAsia="zh-CN"/>
              </w:rPr>
              <w:t>《</w:t>
            </w:r>
            <w:r>
              <w:rPr>
                <w:rFonts w:hint="eastAsia" w:ascii="宋体" w:hAnsi="宋体" w:cs="宋体"/>
                <w:color w:val="auto"/>
                <w:szCs w:val="21"/>
                <w:highlight w:val="none"/>
              </w:rPr>
              <w:t>固体废物鉴别标准 通则</w:t>
            </w:r>
            <w:r>
              <w:rPr>
                <w:rFonts w:hint="eastAsia" w:ascii="宋体" w:hAnsi="宋体" w:cs="宋体"/>
                <w:color w:val="auto"/>
                <w:szCs w:val="21"/>
                <w:highlight w:val="none"/>
                <w:lang w:eastAsia="zh-CN"/>
              </w:rPr>
              <w:t>》（</w:t>
            </w:r>
            <w:r>
              <w:rPr>
                <w:rFonts w:hint="eastAsia" w:ascii="宋体" w:hAnsi="宋体" w:cs="宋体"/>
                <w:color w:val="auto"/>
                <w:szCs w:val="21"/>
                <w:highlight w:val="none"/>
              </w:rPr>
              <w:t>GB 34330-2017</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、《危险废物鉴别技术规范》（HJ 298-2019）、《危险废物鉴别标准》（GB 5085.1～7-2007）</w:t>
            </w:r>
            <w:r>
              <w:rPr>
                <w:rFonts w:hint="eastAsia" w:ascii="宋体" w:hAnsi="宋体" w:cs="宋体"/>
                <w:color w:val="auto"/>
                <w:szCs w:val="21"/>
                <w:highlight w:val="none"/>
              </w:rPr>
              <w:t>等相关标准，</w:t>
            </w:r>
            <w:r>
              <w:rPr>
                <w:rFonts w:hint="eastAsia" w:ascii="宋体" w:hAnsi="宋体" w:cs="宋体"/>
                <w:color w:val="auto"/>
                <w:szCs w:val="21"/>
                <w:highlight w:val="none"/>
                <w:lang w:eastAsia="zh-CN"/>
              </w:rPr>
              <w:t>编制</w:t>
            </w:r>
            <w:r>
              <w:rPr>
                <w:rFonts w:hint="eastAsia" w:ascii="宋体" w:hAnsi="宋体" w:cs="宋体"/>
                <w:color w:val="auto"/>
                <w:szCs w:val="21"/>
                <w:highlight w:val="none"/>
                <w:lang w:val="en-US" w:eastAsia="zh-CN"/>
              </w:rPr>
              <w:t>12处非法堆存、转移、处置的不明固体废物的</w:t>
            </w:r>
            <w:r>
              <w:rPr>
                <w:rFonts w:hint="eastAsia" w:ascii="宋体" w:hAnsi="宋体" w:cs="宋体"/>
                <w:color w:val="auto"/>
                <w:szCs w:val="21"/>
                <w:highlight w:val="none"/>
              </w:rPr>
              <w:t>采样技术方案、组织实施方案及质量控制措施，确保</w:t>
            </w:r>
            <w:r>
              <w:rPr>
                <w:rFonts w:hint="eastAsia" w:ascii="宋体" w:hAnsi="宋体" w:cs="宋体"/>
                <w:color w:val="auto"/>
                <w:szCs w:val="21"/>
                <w:highlight w:val="none"/>
                <w:lang w:eastAsia="zh-CN"/>
              </w:rPr>
              <w:t>采集的</w:t>
            </w:r>
            <w:r>
              <w:rPr>
                <w:rFonts w:hint="eastAsia" w:ascii="宋体" w:hAnsi="宋体" w:cs="宋体"/>
                <w:color w:val="auto"/>
                <w:szCs w:val="21"/>
                <w:highlight w:val="none"/>
              </w:rPr>
              <w:t>样品具有代表性和可追溯性</w:t>
            </w:r>
            <w:r>
              <w:rPr>
                <w:rFonts w:hint="eastAsia" w:ascii="宋体" w:hAnsi="宋体" w:cs="宋体"/>
                <w:color w:val="auto"/>
                <w:szCs w:val="21"/>
                <w:highlight w:val="none"/>
                <w:lang w:val="en-US" w:eastAsia="zh-CN"/>
              </w:rPr>
              <w:t>；</w:t>
            </w:r>
          </w:p>
          <w:p w14:paraId="612A7E17">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实验室分析。</w:t>
            </w:r>
          </w:p>
          <w:p w14:paraId="50683446">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rPr>
              <w:t>实验室分析应严格执行</w:t>
            </w:r>
            <w:r>
              <w:rPr>
                <w:rFonts w:hint="eastAsia" w:ascii="宋体" w:hAnsi="宋体" w:cs="宋体"/>
                <w:color w:val="auto"/>
                <w:szCs w:val="21"/>
                <w:highlight w:val="none"/>
                <w:lang w:eastAsia="zh-CN"/>
              </w:rPr>
              <w:t>《</w:t>
            </w:r>
            <w:r>
              <w:rPr>
                <w:rFonts w:hint="eastAsia" w:ascii="宋体" w:hAnsi="宋体" w:cs="宋体"/>
                <w:color w:val="auto"/>
                <w:szCs w:val="21"/>
                <w:highlight w:val="none"/>
              </w:rPr>
              <w:t>固体废物鉴别标准 通则</w:t>
            </w:r>
            <w:r>
              <w:rPr>
                <w:rFonts w:hint="eastAsia" w:ascii="宋体" w:hAnsi="宋体" w:cs="宋体"/>
                <w:color w:val="auto"/>
                <w:szCs w:val="21"/>
                <w:highlight w:val="none"/>
                <w:lang w:eastAsia="zh-CN"/>
              </w:rPr>
              <w:t>》（</w:t>
            </w:r>
            <w:r>
              <w:rPr>
                <w:rFonts w:hint="eastAsia" w:ascii="宋体" w:hAnsi="宋体" w:cs="宋体"/>
                <w:color w:val="auto"/>
                <w:szCs w:val="21"/>
                <w:highlight w:val="none"/>
              </w:rPr>
              <w:t>GB 34330-2017</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、《危险废物鉴别技术规范》（HJ 298-2019）、《危险废物鉴别标准》（GB 5085.1～7-2007）、</w:t>
            </w:r>
            <w:r>
              <w:rPr>
                <w:rFonts w:hint="eastAsia" w:ascii="宋体" w:hAnsi="宋体" w:cs="宋体"/>
                <w:color w:val="auto"/>
                <w:szCs w:val="21"/>
                <w:highlight w:val="none"/>
                <w:lang w:eastAsia="zh-CN"/>
              </w:rPr>
              <w:t>国家或行业</w:t>
            </w:r>
            <w:r>
              <w:rPr>
                <w:rFonts w:hint="eastAsia" w:ascii="宋体" w:hAnsi="宋体" w:cs="宋体"/>
                <w:color w:val="auto"/>
                <w:szCs w:val="21"/>
                <w:highlight w:val="none"/>
              </w:rPr>
              <w:t>标准方法的</w:t>
            </w:r>
            <w:r>
              <w:rPr>
                <w:rFonts w:hint="eastAsia" w:ascii="宋体" w:hAnsi="宋体" w:cs="宋体"/>
                <w:color w:val="auto"/>
                <w:szCs w:val="21"/>
                <w:highlight w:val="none"/>
                <w:lang w:eastAsia="zh-CN"/>
              </w:rPr>
              <w:t>开展实验室分析，</w:t>
            </w:r>
            <w:r>
              <w:rPr>
                <w:rFonts w:hint="eastAsia" w:ascii="宋体" w:hAnsi="宋体" w:cs="宋体"/>
                <w:color w:val="auto"/>
                <w:szCs w:val="21"/>
                <w:highlight w:val="none"/>
              </w:rPr>
              <w:t>并出具带有CMA标识的检测（监测）报告</w:t>
            </w:r>
            <w:r>
              <w:rPr>
                <w:rFonts w:hint="eastAsia" w:ascii="宋体" w:hAnsi="宋体" w:cs="宋体"/>
                <w:color w:val="auto"/>
                <w:szCs w:val="21"/>
                <w:highlight w:val="none"/>
                <w:lang w:val="en-US" w:eastAsia="zh-CN"/>
              </w:rPr>
              <w:t>；</w:t>
            </w:r>
          </w:p>
          <w:p w14:paraId="681FDD65">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c、出具危险特性鉴别报告。</w:t>
            </w:r>
          </w:p>
          <w:p w14:paraId="6CF98668">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危险特性</w:t>
            </w:r>
            <w:r>
              <w:rPr>
                <w:rFonts w:hint="eastAsia" w:ascii="宋体" w:hAnsi="宋体" w:cs="宋体"/>
                <w:color w:val="auto"/>
                <w:szCs w:val="21"/>
                <w:highlight w:val="none"/>
              </w:rPr>
              <w:t>鉴别报告包括正文和附件</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正文包括基本情况、工作过程、综合分析、结论与建议等内容；附件包括</w:t>
            </w:r>
            <w:r>
              <w:rPr>
                <w:rFonts w:hint="eastAsia" w:ascii="宋体" w:hAnsi="宋体" w:cs="宋体"/>
                <w:color w:val="auto"/>
                <w:szCs w:val="21"/>
                <w:highlight w:val="none"/>
              </w:rPr>
              <w:t>检验检测机构相关资质</w:t>
            </w:r>
            <w:r>
              <w:rPr>
                <w:rFonts w:hint="eastAsia" w:ascii="宋体" w:hAnsi="宋体" w:cs="宋体"/>
                <w:color w:val="auto"/>
                <w:szCs w:val="21"/>
                <w:highlight w:val="none"/>
                <w:lang w:eastAsia="zh-CN"/>
              </w:rPr>
              <w:t>、</w:t>
            </w:r>
            <w:r>
              <w:rPr>
                <w:rFonts w:hint="eastAsia" w:ascii="宋体" w:hAnsi="宋体" w:cs="宋体"/>
                <w:color w:val="auto"/>
                <w:szCs w:val="21"/>
                <w:highlight w:val="none"/>
              </w:rPr>
              <w:t>采样记录</w:t>
            </w:r>
            <w:r>
              <w:rPr>
                <w:rFonts w:hint="eastAsia" w:ascii="宋体" w:hAnsi="宋体" w:cs="宋体"/>
                <w:color w:val="auto"/>
                <w:szCs w:val="21"/>
                <w:highlight w:val="none"/>
                <w:lang w:eastAsia="zh-CN"/>
              </w:rPr>
              <w:t>、</w:t>
            </w:r>
            <w:r>
              <w:rPr>
                <w:rFonts w:hint="eastAsia" w:ascii="宋体" w:hAnsi="宋体" w:cs="宋体"/>
                <w:color w:val="auto"/>
                <w:szCs w:val="21"/>
                <w:highlight w:val="none"/>
              </w:rPr>
              <w:t>检测报告</w:t>
            </w:r>
            <w:r>
              <w:rPr>
                <w:rFonts w:hint="eastAsia" w:ascii="宋体" w:hAnsi="宋体" w:cs="宋体"/>
                <w:color w:val="auto"/>
                <w:szCs w:val="21"/>
                <w:highlight w:val="none"/>
                <w:lang w:val="en-US" w:eastAsia="zh-CN"/>
              </w:rPr>
              <w:t>等相关材料。</w:t>
            </w:r>
          </w:p>
          <w:p w14:paraId="3B0D3844">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（2）根据12处涉及非法堆存、转移、处置的不明固体废物危废鉴别工作中所采集的样品（至少每处不少于5个点位的样品数量），开展模拟自然淋溶条件下的浸出实验，研究</w:t>
            </w:r>
            <w:r>
              <w:rPr>
                <w:rFonts w:hint="eastAsia" w:ascii="宋体" w:hAnsi="宋体" w:cs="宋体"/>
                <w:color w:val="auto"/>
                <w:szCs w:val="21"/>
                <w:highlight w:val="none"/>
              </w:rPr>
              <w:t>不明固体废物</w:t>
            </w:r>
            <w:r>
              <w:rPr>
                <w:rFonts w:hint="eastAsia" w:ascii="宋体" w:hAnsi="宋体" w:cs="宋体"/>
                <w:color w:val="auto"/>
                <w:szCs w:val="21"/>
                <w:highlight w:val="none"/>
                <w:lang w:val="en-US" w:eastAsia="zh-CN"/>
              </w:rPr>
              <w:t>中在不同的条件（比如不同温度，不同的酸度、不同的浸出时间等）主要污染物持续释放潜力，形成污染释放能力研究报告，为预判污染扩散范围、制定防控措施提供科学依据。</w:t>
            </w:r>
          </w:p>
          <w:p w14:paraId="6C017DD3">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3）根据《建设用地土壤环境调查评估技术指南》（环境保护部公告2017年第72号）《工业企业场地环境调查评估与修复工作指南（试行）》（环境保护部公告2014年第78号）、《建设用地土壤污染状况调查技术导则》（HJ 25.1-2019）、《土壤环境质量建设用地土壤污染风险管控标准（试行）》（GB36600-2018）等技术文件要求对于涉重金属排查发现的12处不明固体废物处置后场地土壤的重金属污染残留状况进行排查、采样、分析，并出具危废处置后场地土壤遗留污染物评估报告。</w:t>
            </w:r>
          </w:p>
          <w:p w14:paraId="4A73C941">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2.2工作质量控制要求</w:t>
            </w:r>
          </w:p>
          <w:p w14:paraId="08D41071">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投标人需严格根据《土壤污染防治行动计划》（国发〔2016〕31号）《广西壮族自治区工业固体废物堆存场所环境污染整治工作方案》（桂环规范〔2018〕11号）《自治区环境保护厅关于印发广西重金属污染防治突出问题整治工作方案的通知》（桂环发〔2018〕15号）《广西涉重金属环境安全隐患排查整治专项行动方案》（桂政办发〔2025〕20号）《全国非法倾倒处置固体废物专项整治行动方案（2025—2027年）》（环固体〔2025〕45号）及《工业固体废物采样制样技术规范》（HJ/T20-1998）、《危险废物鉴别技术规范》（HJ 298-2019）、《危险废物鉴别标准》（GB 5085.1～7-2007）等文件相关要求开展质量控制工作，提交成果经采购人验收备案。</w:t>
            </w:r>
          </w:p>
          <w:p w14:paraId="330C2CBB">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（2）投标人需无条件配合采购方完成所有质量控制工作及满足质量控制要求。</w:t>
            </w:r>
          </w:p>
          <w:p w14:paraId="775C8386">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2.3数据资料归属及保密要求</w:t>
            </w:r>
          </w:p>
          <w:p w14:paraId="75C60873">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本项目所形成的数据和报告归采购人所有。未经采购人授权，不得将数据和报告发送给任何第三方，严格执行项目实施过程中产生数据和报告等资料保密管理。</w:t>
            </w:r>
          </w:p>
          <w:p w14:paraId="35FBEA48">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2.4成果提交及项目验收</w:t>
            </w:r>
          </w:p>
          <w:p w14:paraId="4AA1D977">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所提交成果需满足“2.2工作质量控制要求”，并通过采购人验收备案：</w:t>
            </w:r>
          </w:p>
          <w:p w14:paraId="04C0F91E">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（1）出具12份危险特性鉴别</w:t>
            </w:r>
            <w:r>
              <w:rPr>
                <w:rFonts w:hint="eastAsia" w:ascii="宋体" w:hAnsi="宋体" w:cs="宋体"/>
                <w:color w:val="auto"/>
                <w:szCs w:val="21"/>
                <w:highlight w:val="none"/>
              </w:rPr>
              <w:t>检测（监测）报告</w:t>
            </w:r>
          </w:p>
          <w:p w14:paraId="7C8EC938">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（2）出具12份危险特性鉴别报告和处置建议。</w:t>
            </w:r>
          </w:p>
          <w:p w14:paraId="1F25B48B">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（3）出具1份非法堆存、转移涉重固体废物的污染释放能力研究报告。</w:t>
            </w:r>
          </w:p>
          <w:p w14:paraId="14CB7954">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（4）出具12份危废处置后场地土壤遗留污染物评估报告。</w:t>
            </w:r>
          </w:p>
          <w:p w14:paraId="7D50EE2C">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（5）项目开展过程中，按采购人要求提供本项目的其他服务成果。</w:t>
            </w:r>
          </w:p>
          <w:p w14:paraId="600480D2">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按采购人要求提供纸质版和电子版。</w:t>
            </w:r>
          </w:p>
          <w:p w14:paraId="782B01CF">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2.5仪器设备要求</w:t>
            </w:r>
          </w:p>
          <w:p w14:paraId="00E479D7">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w:t>
            </w:r>
            <w:r>
              <w:rPr>
                <w:rFonts w:hint="eastAsia" w:ascii="宋体" w:hAnsi="宋体" w:cs="宋体"/>
                <w:color w:val="auto"/>
                <w:szCs w:val="21"/>
                <w:highlight w:val="none"/>
              </w:rPr>
              <w:t>投标人应同时具备电感耦合等离子体质谱（ICP-MS）、电感耦合等离子体发射光谱仪（ICP-OES）、</w:t>
            </w:r>
            <w:r>
              <w:rPr>
                <w:rFonts w:hint="eastAsia" w:ascii="宋体" w:hAnsi="宋体" w:cs="宋体"/>
                <w:color w:val="auto"/>
                <w:szCs w:val="21"/>
                <w:highlight w:val="none"/>
                <w:lang w:val="en-US" w:eastAsia="zh-CN"/>
              </w:rPr>
              <w:t>原子荧光分光度计</w:t>
            </w:r>
            <w:r>
              <w:rPr>
                <w:rFonts w:hint="eastAsia" w:ascii="宋体" w:hAnsi="宋体" w:cs="宋体"/>
                <w:color w:val="auto"/>
                <w:szCs w:val="21"/>
                <w:highlight w:val="none"/>
              </w:rPr>
              <w:t>、原子吸收分光光度计</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气质联用仪</w:t>
            </w:r>
            <w:r>
              <w:rPr>
                <w:rFonts w:hint="eastAsia" w:ascii="宋体" w:hAnsi="宋体" w:cs="宋体"/>
                <w:color w:val="auto"/>
                <w:szCs w:val="21"/>
                <w:highlight w:val="none"/>
              </w:rPr>
              <w:t>各1台。投标时须提供设备发票复印件和有效期内的</w:t>
            </w:r>
            <w:r>
              <w:rPr>
                <w:rFonts w:hint="eastAsia" w:ascii="宋体" w:hAnsi="宋体" w:cs="宋体"/>
                <w:color w:val="auto"/>
                <w:szCs w:val="21"/>
                <w:highlight w:val="none"/>
                <w:lang w:eastAsia="zh-CN"/>
              </w:rPr>
              <w:t>检定证书（校准证书）</w:t>
            </w:r>
            <w:r>
              <w:rPr>
                <w:rFonts w:hint="eastAsia" w:ascii="宋体" w:hAnsi="宋体" w:cs="宋体"/>
                <w:color w:val="auto"/>
                <w:szCs w:val="21"/>
                <w:highlight w:val="none"/>
              </w:rPr>
              <w:t>复印件，作为评审依据。</w:t>
            </w:r>
          </w:p>
          <w:p w14:paraId="26A9C2EA">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注：需</w:t>
            </w:r>
            <w:r>
              <w:rPr>
                <w:rFonts w:hint="eastAsia" w:ascii="宋体" w:hAnsi="宋体" w:cs="宋体"/>
                <w:color w:val="auto"/>
                <w:szCs w:val="21"/>
                <w:highlight w:val="none"/>
                <w:lang w:val="en-US" w:eastAsia="zh-CN"/>
              </w:rPr>
              <w:t>提供</w:t>
            </w:r>
            <w:r>
              <w:rPr>
                <w:rFonts w:hint="eastAsia" w:ascii="宋体" w:hAnsi="宋体" w:cs="宋体"/>
                <w:color w:val="auto"/>
                <w:szCs w:val="21"/>
                <w:highlight w:val="none"/>
              </w:rPr>
              <w:t>有效证明（属于供应商自有，租用不予计算），即提供仪器设备列表、设备的彩色照片、采购发票（发票抬头为投标人名字）和有效期限内的检定证书（校准证书）复印件等，并加盖公章，否则将其作为无效投标处理。</w:t>
            </w:r>
          </w:p>
          <w:p w14:paraId="2165DB7D">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▲三、特定资格要求</w:t>
            </w:r>
          </w:p>
          <w:p w14:paraId="4FF7DCEA">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rPr>
              <w:t>投标人须取得有效的检验检测机构资质认定证书（CMA）</w:t>
            </w:r>
            <w:r>
              <w:rPr>
                <w:rFonts w:hint="eastAsia" w:ascii="宋体" w:hAnsi="宋体" w:cs="宋体"/>
                <w:color w:val="auto"/>
                <w:szCs w:val="21"/>
                <w:highlight w:val="none"/>
                <w:lang w:eastAsia="zh-CN"/>
              </w:rPr>
              <w:t>，</w:t>
            </w:r>
            <w:r>
              <w:rPr>
                <w:rFonts w:hint="eastAsia" w:ascii="宋体" w:hAnsi="宋体" w:cs="宋体"/>
                <w:color w:val="auto"/>
                <w:szCs w:val="21"/>
                <w:highlight w:val="none"/>
              </w:rPr>
              <w:t>检测资质认证检测能力附表中至少具有</w:t>
            </w:r>
            <w:r>
              <w:rPr>
                <w:rFonts w:hint="eastAsia" w:ascii="宋体" w:hAnsi="宋体" w:cs="宋体"/>
                <w:color w:val="auto"/>
                <w:szCs w:val="21"/>
                <w:highlight w:val="none"/>
                <w:lang w:val="en-US" w:eastAsia="zh-CN"/>
              </w:rPr>
              <w:t>固体废物类别，固体废物</w:t>
            </w:r>
            <w:r>
              <w:rPr>
                <w:rFonts w:hint="eastAsia" w:ascii="宋体" w:hAnsi="宋体" w:cs="宋体"/>
                <w:color w:val="auto"/>
                <w:szCs w:val="21"/>
                <w:highlight w:val="none"/>
              </w:rPr>
              <w:t>资质能力中至少具备铜、锌、镉、铅、汞、镍、银、砷、锰、铊、锑、钡、铝、铬、硒、苯、甲苯、乙苯、二甲苯</w:t>
            </w:r>
            <w:r>
              <w:rPr>
                <w:rFonts w:hint="eastAsia" w:ascii="宋体" w:hAnsi="宋体" w:cs="宋体"/>
                <w:color w:val="auto"/>
                <w:szCs w:val="21"/>
                <w:highlight w:val="none"/>
                <w:lang w:eastAsia="zh-CN"/>
              </w:rPr>
              <w:t>检测指标</w:t>
            </w:r>
            <w:r>
              <w:rPr>
                <w:rFonts w:hint="eastAsia" w:ascii="宋体" w:hAnsi="宋体" w:cs="宋体"/>
                <w:color w:val="auto"/>
                <w:szCs w:val="21"/>
                <w:highlight w:val="none"/>
                <w:lang w:val="en-US" w:eastAsia="zh-CN"/>
              </w:rPr>
              <w:t>。同时，投标人须</w:t>
            </w:r>
            <w:r>
              <w:rPr>
                <w:rFonts w:hint="eastAsia" w:ascii="宋体" w:hAnsi="宋体" w:cs="宋体"/>
                <w:color w:val="auto"/>
                <w:szCs w:val="21"/>
                <w:highlight w:val="none"/>
              </w:rPr>
              <w:t>是全国危险废物鉴别信息公开服务平台危废鉴别注册单位</w:t>
            </w:r>
            <w:r>
              <w:rPr>
                <w:rFonts w:hint="eastAsia" w:ascii="宋体" w:hAnsi="宋体" w:cs="宋体"/>
                <w:color w:val="auto"/>
                <w:szCs w:val="21"/>
                <w:highlight w:val="none"/>
                <w:lang w:eastAsia="zh-CN"/>
              </w:rPr>
              <w:t>。</w:t>
            </w:r>
          </w:p>
          <w:p w14:paraId="5A270795">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▲四、服务期限</w:t>
            </w:r>
          </w:p>
          <w:p w14:paraId="4F2DFC3F">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自合同签订之日起至</w:t>
            </w:r>
            <w:r>
              <w:rPr>
                <w:rFonts w:hint="eastAsia" w:ascii="宋体" w:hAnsi="宋体" w:cs="宋体"/>
                <w:color w:val="auto"/>
                <w:szCs w:val="21"/>
                <w:highlight w:val="none"/>
                <w:lang w:eastAsia="zh-CN"/>
              </w:rPr>
              <w:t>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lang w:eastAsia="zh-CN"/>
              </w:rPr>
              <w:t>年</w:t>
            </w:r>
            <w:r>
              <w:rPr>
                <w:rFonts w:hint="eastAsia" w:ascii="宋体" w:hAnsi="宋体" w:cs="宋体"/>
                <w:color w:val="auto"/>
                <w:szCs w:val="21"/>
                <w:highlight w:val="none"/>
                <w:lang w:val="en-US" w:eastAsia="zh-CN"/>
              </w:rPr>
              <w:t>12</w:t>
            </w:r>
            <w:r>
              <w:rPr>
                <w:rFonts w:hint="eastAsia" w:ascii="宋体" w:hAnsi="宋体" w:cs="宋体"/>
                <w:color w:val="auto"/>
                <w:szCs w:val="21"/>
                <w:highlight w:val="none"/>
                <w:lang w:eastAsia="zh-CN"/>
              </w:rPr>
              <w:t>月</w:t>
            </w:r>
            <w:r>
              <w:rPr>
                <w:rFonts w:hint="eastAsia" w:ascii="宋体" w:hAnsi="宋体" w:cs="宋体"/>
                <w:color w:val="auto"/>
                <w:szCs w:val="21"/>
                <w:highlight w:val="none"/>
              </w:rPr>
              <w:t>31日</w:t>
            </w:r>
            <w:r>
              <w:rPr>
                <w:rFonts w:hint="eastAsia" w:ascii="宋体" w:hAnsi="宋体" w:cs="宋体"/>
                <w:color w:val="auto"/>
                <w:szCs w:val="21"/>
                <w:highlight w:val="none"/>
                <w:lang w:val="en-US" w:eastAsia="zh-CN"/>
              </w:rPr>
              <w:t>前</w:t>
            </w:r>
            <w:r>
              <w:rPr>
                <w:rFonts w:hint="eastAsia" w:ascii="宋体" w:hAnsi="宋体" w:cs="宋体"/>
                <w:color w:val="auto"/>
                <w:szCs w:val="21"/>
                <w:highlight w:val="none"/>
              </w:rPr>
              <w:t>。</w:t>
            </w:r>
          </w:p>
          <w:p w14:paraId="717683B0">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▲五、</w:t>
            </w:r>
            <w:bookmarkStart w:id="51" w:name="_Hlk178106197"/>
            <w:r>
              <w:rPr>
                <w:rFonts w:hint="eastAsia" w:ascii="宋体" w:hAnsi="宋体" w:cs="宋体"/>
                <w:color w:val="auto"/>
                <w:szCs w:val="21"/>
                <w:highlight w:val="none"/>
              </w:rPr>
              <w:t>项目服务团队</w:t>
            </w:r>
            <w:bookmarkEnd w:id="51"/>
            <w:r>
              <w:rPr>
                <w:rFonts w:hint="eastAsia" w:ascii="宋体" w:hAnsi="宋体" w:cs="宋体"/>
                <w:color w:val="auto"/>
                <w:szCs w:val="21"/>
                <w:highlight w:val="none"/>
              </w:rPr>
              <w:t>要求</w:t>
            </w:r>
          </w:p>
          <w:p w14:paraId="1B071471">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（1）投标</w:t>
            </w:r>
            <w:r>
              <w:rPr>
                <w:rFonts w:hint="eastAsia" w:ascii="宋体" w:hAnsi="宋体" w:cs="宋体"/>
                <w:color w:val="auto"/>
                <w:szCs w:val="21"/>
                <w:highlight w:val="none"/>
              </w:rPr>
              <w:t>人</w:t>
            </w:r>
            <w:r>
              <w:rPr>
                <w:rFonts w:hint="eastAsia" w:ascii="宋体" w:hAnsi="宋体" w:cs="宋体"/>
                <w:color w:val="auto"/>
                <w:szCs w:val="21"/>
                <w:highlight w:val="none"/>
                <w:lang w:val="en-US" w:eastAsia="zh-CN"/>
              </w:rPr>
              <w:t>项目负责人须具备高级职称（职称专业为环境类、化学类、监测类等相关专业）；</w:t>
            </w:r>
          </w:p>
          <w:p w14:paraId="40DB4C6F">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（2）投标</w:t>
            </w:r>
            <w:r>
              <w:rPr>
                <w:rFonts w:hint="eastAsia" w:ascii="宋体" w:hAnsi="宋体" w:cs="宋体"/>
                <w:color w:val="auto"/>
                <w:szCs w:val="21"/>
                <w:highlight w:val="none"/>
              </w:rPr>
              <w:t>人须</w:t>
            </w:r>
            <w:r>
              <w:rPr>
                <w:rFonts w:hint="eastAsia" w:ascii="宋体" w:hAnsi="宋体" w:cs="宋体"/>
                <w:color w:val="auto"/>
                <w:szCs w:val="21"/>
                <w:highlight w:val="none"/>
                <w:lang w:val="en-US" w:eastAsia="zh-CN"/>
              </w:rPr>
              <w:t>配备能够承担技术服务工作的相关专业技术人员</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职称专业为：职称专业为环境类、化学类、监测类等相关专业</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项目成员</w:t>
            </w:r>
            <w:r>
              <w:rPr>
                <w:rFonts w:hint="eastAsia" w:ascii="宋体" w:hAnsi="宋体" w:cs="宋体"/>
                <w:color w:val="auto"/>
                <w:szCs w:val="21"/>
                <w:highlight w:val="none"/>
              </w:rPr>
              <w:t>的数量和能力应满足技术服务工作任务的需要，</w:t>
            </w:r>
            <w:r>
              <w:rPr>
                <w:rFonts w:hint="eastAsia" w:ascii="宋体" w:hAnsi="宋体" w:cs="宋体"/>
                <w:color w:val="auto"/>
                <w:szCs w:val="21"/>
                <w:highlight w:val="none"/>
                <w:lang w:val="en-US" w:eastAsia="zh-CN"/>
              </w:rPr>
              <w:t>拟投入本项目专业技术人员不少于20人，其中中级职称不少于7人，高级职称不少于3人。</w:t>
            </w:r>
          </w:p>
          <w:p w14:paraId="670AD34B">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注：拟投入本项目的以上人员均是投标人在职在岗正式员工（非退休），投标文件需提供人员职称证书证明材料复印件、项目实施人员劳动合同复印件或事业单位编制证明复印件</w:t>
            </w:r>
            <w:r>
              <w:rPr>
                <w:rFonts w:hint="eastAsia" w:ascii="宋体" w:hAnsi="宋体" w:cs="宋体"/>
                <w:color w:val="auto"/>
                <w:szCs w:val="21"/>
                <w:highlight w:val="none"/>
                <w:lang w:eastAsia="zh-CN"/>
              </w:rPr>
              <w:t>等相关证明材料</w:t>
            </w:r>
            <w:r>
              <w:rPr>
                <w:rFonts w:hint="eastAsia" w:ascii="宋体" w:hAnsi="宋体" w:cs="宋体"/>
                <w:color w:val="auto"/>
                <w:szCs w:val="21"/>
                <w:highlight w:val="none"/>
              </w:rPr>
              <w:t>。</w:t>
            </w:r>
          </w:p>
          <w:p w14:paraId="43CCEFBF">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“▲”是指不能负偏离的条款。</w:t>
            </w:r>
          </w:p>
        </w:tc>
      </w:tr>
      <w:tr w14:paraId="2D9494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7" w:hRule="atLeast"/>
          <w:jc w:val="center"/>
        </w:trPr>
        <w:tc>
          <w:tcPr>
            <w:tcW w:w="9071" w:type="dxa"/>
            <w:gridSpan w:val="6"/>
            <w:tcBorders>
              <w:top w:val="single" w:color="000000" w:sz="2" w:space="0"/>
              <w:left w:val="single" w:color="000000" w:sz="2" w:space="0"/>
              <w:bottom w:val="single" w:color="000000" w:sz="2" w:space="0"/>
              <w:right w:val="single" w:color="000000" w:sz="2" w:space="0"/>
            </w:tcBorders>
            <w:noWrap w:val="0"/>
            <w:vAlign w:val="center"/>
          </w:tcPr>
          <w:p w14:paraId="18D61466">
            <w:pPr>
              <w:keepNext w:val="0"/>
              <w:keepLines w:val="0"/>
              <w:pageBreakBefore w:val="0"/>
              <w:widowControl w:val="0"/>
              <w:tabs>
                <w:tab w:val="left" w:pos="180"/>
                <w:tab w:val="left" w:pos="1620"/>
              </w:tabs>
              <w:kinsoku/>
              <w:wordWrap/>
              <w:overflowPunct/>
              <w:topLinePunct w:val="0"/>
              <w:autoSpaceDE/>
              <w:autoSpaceDN/>
              <w:bidi w:val="0"/>
              <w:adjustRightInd/>
              <w:snapToGrid/>
              <w:spacing w:before="168" w:beforeLines="70" w:line="400" w:lineRule="exact"/>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b/>
                <w:bCs/>
                <w:color w:val="auto"/>
                <w:szCs w:val="21"/>
                <w:highlight w:val="none"/>
              </w:rPr>
              <w:t>二、商务要求</w:t>
            </w:r>
          </w:p>
        </w:tc>
      </w:tr>
      <w:tr w14:paraId="1E1663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5" w:hRule="atLeast"/>
          <w:jc w:val="center"/>
        </w:trPr>
        <w:tc>
          <w:tcPr>
            <w:tcW w:w="2257" w:type="dxa"/>
            <w:gridSpan w:val="3"/>
            <w:tcBorders>
              <w:top w:val="single" w:color="000000" w:sz="2" w:space="0"/>
              <w:left w:val="single" w:color="000000" w:sz="2" w:space="0"/>
              <w:bottom w:val="single" w:color="000000" w:sz="2" w:space="0"/>
              <w:right w:val="single" w:color="000000" w:sz="2" w:space="0"/>
            </w:tcBorders>
            <w:noWrap w:val="0"/>
            <w:vAlign w:val="center"/>
          </w:tcPr>
          <w:p w14:paraId="71A2A551">
            <w:pPr>
              <w:keepNext w:val="0"/>
              <w:keepLines w:val="0"/>
              <w:pageBreakBefore w:val="0"/>
              <w:widowControl w:val="0"/>
              <w:tabs>
                <w:tab w:val="left" w:pos="180"/>
                <w:tab w:val="left" w:pos="1620"/>
              </w:tabs>
              <w:kinsoku/>
              <w:wordWrap/>
              <w:overflowPunct/>
              <w:topLinePunct w:val="0"/>
              <w:autoSpaceDE/>
              <w:autoSpaceDN/>
              <w:bidi w:val="0"/>
              <w:adjustRightInd/>
              <w:snapToGrid/>
              <w:spacing w:before="168" w:beforeLines="70" w:line="400" w:lineRule="exact"/>
              <w:jc w:val="center"/>
              <w:textAlignment w:val="auto"/>
              <w:rPr>
                <w:rFonts w:hint="eastAsia" w:ascii="宋体" w:hAnsi="宋体" w:eastAsia="宋体" w:cs="宋体"/>
                <w:color w:val="auto"/>
                <w:szCs w:val="21"/>
                <w:highlight w:val="none"/>
              </w:rPr>
            </w:pPr>
            <w:r>
              <w:rPr>
                <w:rFonts w:hint="default" w:ascii="宋体" w:hAnsi="宋体" w:eastAsia="宋体" w:cs="宋体"/>
                <w:color w:val="auto"/>
                <w:szCs w:val="21"/>
                <w:highlight w:val="none"/>
                <w:lang w:eastAsia="zh-CN"/>
              </w:rPr>
              <w:t>（一）</w:t>
            </w:r>
            <w:r>
              <w:rPr>
                <w:rFonts w:hint="default" w:ascii="宋体" w:hAnsi="宋体" w:eastAsia="宋体" w:cs="宋体"/>
                <w:color w:val="auto"/>
                <w:szCs w:val="21"/>
                <w:highlight w:val="none"/>
              </w:rPr>
              <w:t>合同签订</w:t>
            </w:r>
          </w:p>
        </w:tc>
        <w:tc>
          <w:tcPr>
            <w:tcW w:w="6814" w:type="dxa"/>
            <w:gridSpan w:val="3"/>
            <w:tcBorders>
              <w:top w:val="single" w:color="000000" w:sz="2" w:space="0"/>
              <w:left w:val="single" w:color="000000" w:sz="2" w:space="0"/>
              <w:bottom w:val="single" w:color="000000" w:sz="2" w:space="0"/>
              <w:right w:val="single" w:color="000000" w:sz="2" w:space="0"/>
            </w:tcBorders>
            <w:noWrap w:val="0"/>
            <w:vAlign w:val="center"/>
          </w:tcPr>
          <w:p w14:paraId="7DF32A0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1"/>
                <w:szCs w:val="21"/>
                <w:highlight w:val="none"/>
              </w:rPr>
            </w:pPr>
            <w:r>
              <w:rPr>
                <w:rFonts w:hint="default"/>
                <w:color w:val="auto"/>
                <w:sz w:val="21"/>
                <w:szCs w:val="21"/>
                <w:highlight w:val="none"/>
              </w:rPr>
              <w:t>自中标通知书发出之日起</w:t>
            </w:r>
            <w:r>
              <w:rPr>
                <w:rFonts w:hint="eastAsia"/>
                <w:color w:val="auto"/>
                <w:sz w:val="21"/>
                <w:szCs w:val="21"/>
                <w:highlight w:val="none"/>
                <w:lang w:val="en-US" w:eastAsia="zh-CN"/>
              </w:rPr>
              <w:t>25</w:t>
            </w:r>
            <w:r>
              <w:rPr>
                <w:rFonts w:hint="default"/>
                <w:color w:val="auto"/>
                <w:sz w:val="21"/>
                <w:szCs w:val="21"/>
                <w:highlight w:val="none"/>
              </w:rPr>
              <w:t>日内。</w:t>
            </w:r>
          </w:p>
        </w:tc>
      </w:tr>
      <w:tr w14:paraId="6E56AB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jc w:val="center"/>
        </w:trPr>
        <w:tc>
          <w:tcPr>
            <w:tcW w:w="2257" w:type="dxa"/>
            <w:gridSpan w:val="3"/>
            <w:tcBorders>
              <w:top w:val="single" w:color="000000" w:sz="2" w:space="0"/>
              <w:left w:val="single" w:color="000000" w:sz="2" w:space="0"/>
              <w:bottom w:val="single" w:color="000000" w:sz="2" w:space="0"/>
              <w:right w:val="single" w:color="000000" w:sz="2" w:space="0"/>
            </w:tcBorders>
            <w:noWrap w:val="0"/>
            <w:vAlign w:val="center"/>
          </w:tcPr>
          <w:p w14:paraId="1A9DF4F5">
            <w:pPr>
              <w:keepNext w:val="0"/>
              <w:keepLines w:val="0"/>
              <w:pageBreakBefore w:val="0"/>
              <w:widowControl w:val="0"/>
              <w:tabs>
                <w:tab w:val="left" w:pos="180"/>
                <w:tab w:val="left" w:pos="1620"/>
              </w:tabs>
              <w:kinsoku/>
              <w:wordWrap/>
              <w:overflowPunct/>
              <w:topLinePunct w:val="0"/>
              <w:autoSpaceDE/>
              <w:autoSpaceDN/>
              <w:bidi w:val="0"/>
              <w:adjustRightInd/>
              <w:snapToGrid/>
              <w:spacing w:before="168" w:beforeLines="70" w:line="400" w:lineRule="exact"/>
              <w:jc w:val="center"/>
              <w:textAlignment w:val="auto"/>
              <w:rPr>
                <w:rFonts w:hint="eastAsia" w:ascii="宋体" w:hAnsi="宋体" w:eastAsia="宋体" w:cs="宋体"/>
                <w:color w:val="auto"/>
                <w:szCs w:val="21"/>
                <w:highlight w:val="none"/>
              </w:rPr>
            </w:pPr>
            <w:r>
              <w:rPr>
                <w:rFonts w:hint="default" w:ascii="宋体" w:hAnsi="宋体" w:eastAsia="宋体" w:cs="宋体"/>
                <w:color w:val="auto"/>
                <w:szCs w:val="21"/>
                <w:highlight w:val="none"/>
                <w:lang w:eastAsia="zh-CN"/>
              </w:rPr>
              <w:t>（二）</w:t>
            </w:r>
            <w:r>
              <w:rPr>
                <w:rFonts w:hint="default" w:ascii="宋体" w:hAnsi="宋体" w:eastAsia="宋体" w:cs="宋体"/>
                <w:color w:val="auto"/>
                <w:szCs w:val="21"/>
                <w:highlight w:val="none"/>
              </w:rPr>
              <w:t>服务标准</w:t>
            </w:r>
          </w:p>
        </w:tc>
        <w:tc>
          <w:tcPr>
            <w:tcW w:w="6814" w:type="dxa"/>
            <w:gridSpan w:val="3"/>
            <w:tcBorders>
              <w:top w:val="single" w:color="000000" w:sz="2" w:space="0"/>
              <w:left w:val="single" w:color="000000" w:sz="2" w:space="0"/>
              <w:bottom w:val="single" w:color="000000" w:sz="2" w:space="0"/>
              <w:right w:val="single" w:color="000000" w:sz="2" w:space="0"/>
            </w:tcBorders>
            <w:noWrap w:val="0"/>
            <w:vAlign w:val="center"/>
          </w:tcPr>
          <w:p w14:paraId="342C91F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1"/>
                <w:szCs w:val="21"/>
                <w:highlight w:val="none"/>
              </w:rPr>
            </w:pPr>
            <w:r>
              <w:rPr>
                <w:rFonts w:hint="default"/>
                <w:color w:val="auto"/>
                <w:sz w:val="21"/>
                <w:szCs w:val="21"/>
                <w:highlight w:val="none"/>
              </w:rPr>
              <w:t>符合现行国家相关标准、行业标准、地方标准及本项目要求。</w:t>
            </w:r>
          </w:p>
        </w:tc>
      </w:tr>
      <w:tr w14:paraId="2C86C9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37" w:hRule="atLeast"/>
          <w:jc w:val="center"/>
        </w:trPr>
        <w:tc>
          <w:tcPr>
            <w:tcW w:w="2257" w:type="dxa"/>
            <w:gridSpan w:val="3"/>
            <w:tcBorders>
              <w:top w:val="single" w:color="000000" w:sz="2" w:space="0"/>
              <w:left w:val="single" w:color="000000" w:sz="2" w:space="0"/>
              <w:bottom w:val="single" w:color="000000" w:sz="2" w:space="0"/>
              <w:right w:val="single" w:color="000000" w:sz="2" w:space="0"/>
            </w:tcBorders>
            <w:noWrap w:val="0"/>
            <w:vAlign w:val="center"/>
          </w:tcPr>
          <w:p w14:paraId="17CEC357">
            <w:pPr>
              <w:keepNext w:val="0"/>
              <w:keepLines w:val="0"/>
              <w:pageBreakBefore w:val="0"/>
              <w:widowControl w:val="0"/>
              <w:tabs>
                <w:tab w:val="left" w:pos="180"/>
                <w:tab w:val="left" w:pos="1620"/>
              </w:tabs>
              <w:kinsoku/>
              <w:wordWrap/>
              <w:overflowPunct/>
              <w:topLinePunct w:val="0"/>
              <w:autoSpaceDE/>
              <w:autoSpaceDN/>
              <w:bidi w:val="0"/>
              <w:adjustRightInd/>
              <w:snapToGrid/>
              <w:spacing w:before="168" w:beforeLines="70" w:line="400" w:lineRule="exact"/>
              <w:jc w:val="center"/>
              <w:textAlignment w:val="auto"/>
              <w:rPr>
                <w:rFonts w:hint="eastAsia" w:ascii="宋体" w:hAnsi="宋体" w:eastAsia="宋体" w:cs="宋体"/>
                <w:color w:val="auto"/>
                <w:szCs w:val="21"/>
                <w:highlight w:val="none"/>
              </w:rPr>
            </w:pPr>
            <w:r>
              <w:rPr>
                <w:rFonts w:hint="default" w:ascii="宋体" w:hAnsi="宋体" w:eastAsia="宋体" w:cs="宋体"/>
                <w:color w:val="auto"/>
                <w:szCs w:val="21"/>
                <w:highlight w:val="none"/>
                <w:lang w:eastAsia="zh-CN"/>
              </w:rPr>
              <w:t>（三）</w:t>
            </w:r>
            <w:r>
              <w:rPr>
                <w:rFonts w:hint="default" w:ascii="宋体" w:hAnsi="宋体" w:eastAsia="宋体" w:cs="宋体"/>
                <w:color w:val="auto"/>
                <w:szCs w:val="21"/>
                <w:highlight w:val="none"/>
              </w:rPr>
              <w:t>交付时间</w:t>
            </w:r>
          </w:p>
        </w:tc>
        <w:tc>
          <w:tcPr>
            <w:tcW w:w="6814" w:type="dxa"/>
            <w:gridSpan w:val="3"/>
            <w:tcBorders>
              <w:top w:val="single" w:color="000000" w:sz="2" w:space="0"/>
              <w:left w:val="single" w:color="000000" w:sz="2" w:space="0"/>
              <w:bottom w:val="single" w:color="000000" w:sz="2" w:space="0"/>
              <w:right w:val="single" w:color="000000" w:sz="2" w:space="0"/>
            </w:tcBorders>
            <w:noWrap w:val="0"/>
            <w:vAlign w:val="center"/>
          </w:tcPr>
          <w:p w14:paraId="79A03B5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1"/>
                <w:szCs w:val="21"/>
                <w:highlight w:val="none"/>
              </w:rPr>
            </w:pPr>
            <w:r>
              <w:rPr>
                <w:rFonts w:hint="default"/>
                <w:color w:val="auto"/>
                <w:sz w:val="21"/>
                <w:szCs w:val="21"/>
                <w:highlight w:val="none"/>
              </w:rPr>
              <w:t>所有服务和成果提交时间在20</w:t>
            </w:r>
            <w:r>
              <w:rPr>
                <w:rFonts w:hint="default"/>
                <w:color w:val="auto"/>
                <w:sz w:val="21"/>
                <w:szCs w:val="21"/>
                <w:highlight w:val="none"/>
                <w:lang w:val="en-US" w:eastAsia="zh-CN"/>
              </w:rPr>
              <w:t>26</w:t>
            </w:r>
            <w:r>
              <w:rPr>
                <w:rFonts w:hint="default"/>
                <w:color w:val="auto"/>
                <w:sz w:val="21"/>
                <w:szCs w:val="21"/>
                <w:highlight w:val="none"/>
              </w:rPr>
              <w:t>年</w:t>
            </w:r>
            <w:r>
              <w:rPr>
                <w:rFonts w:hint="eastAsia"/>
                <w:color w:val="auto"/>
                <w:sz w:val="21"/>
                <w:szCs w:val="21"/>
                <w:highlight w:val="none"/>
                <w:lang w:val="en-US" w:eastAsia="zh-CN"/>
              </w:rPr>
              <w:t>12</w:t>
            </w:r>
            <w:r>
              <w:rPr>
                <w:rFonts w:hint="default"/>
                <w:color w:val="auto"/>
                <w:sz w:val="21"/>
                <w:szCs w:val="21"/>
                <w:highlight w:val="none"/>
              </w:rPr>
              <w:t>月</w:t>
            </w:r>
            <w:r>
              <w:rPr>
                <w:rFonts w:hint="default"/>
                <w:color w:val="auto"/>
                <w:sz w:val="21"/>
                <w:szCs w:val="21"/>
                <w:highlight w:val="none"/>
                <w:lang w:val="en-US" w:eastAsia="zh-CN"/>
              </w:rPr>
              <w:t>31</w:t>
            </w:r>
            <w:r>
              <w:rPr>
                <w:rFonts w:hint="default"/>
                <w:color w:val="auto"/>
                <w:sz w:val="21"/>
                <w:szCs w:val="21"/>
                <w:highlight w:val="none"/>
              </w:rPr>
              <w:t>日前。</w:t>
            </w:r>
          </w:p>
        </w:tc>
      </w:tr>
      <w:tr w14:paraId="422725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6" w:hRule="atLeast"/>
          <w:jc w:val="center"/>
        </w:trPr>
        <w:tc>
          <w:tcPr>
            <w:tcW w:w="2257" w:type="dxa"/>
            <w:gridSpan w:val="3"/>
            <w:tcBorders>
              <w:top w:val="single" w:color="000000" w:sz="2" w:space="0"/>
              <w:left w:val="single" w:color="000000" w:sz="2" w:space="0"/>
              <w:bottom w:val="single" w:color="000000" w:sz="2" w:space="0"/>
              <w:right w:val="single" w:color="000000" w:sz="2" w:space="0"/>
            </w:tcBorders>
            <w:noWrap w:val="0"/>
            <w:vAlign w:val="center"/>
          </w:tcPr>
          <w:p w14:paraId="54A234DD">
            <w:pPr>
              <w:keepNext w:val="0"/>
              <w:keepLines w:val="0"/>
              <w:pageBreakBefore w:val="0"/>
              <w:widowControl w:val="0"/>
              <w:tabs>
                <w:tab w:val="left" w:pos="180"/>
                <w:tab w:val="left" w:pos="1620"/>
              </w:tabs>
              <w:kinsoku/>
              <w:wordWrap/>
              <w:overflowPunct/>
              <w:topLinePunct w:val="0"/>
              <w:autoSpaceDE/>
              <w:autoSpaceDN/>
              <w:bidi w:val="0"/>
              <w:adjustRightInd/>
              <w:snapToGrid/>
              <w:spacing w:before="168" w:beforeLines="70" w:line="400" w:lineRule="exact"/>
              <w:jc w:val="center"/>
              <w:textAlignment w:val="auto"/>
              <w:rPr>
                <w:rFonts w:hint="eastAsia" w:ascii="宋体" w:hAnsi="宋体" w:eastAsia="宋体" w:cs="宋体"/>
                <w:color w:val="auto"/>
                <w:szCs w:val="21"/>
                <w:highlight w:val="none"/>
              </w:rPr>
            </w:pPr>
            <w:r>
              <w:rPr>
                <w:rFonts w:hint="default" w:ascii="宋体" w:hAnsi="宋体" w:eastAsia="宋体" w:cs="宋体"/>
                <w:color w:val="auto"/>
                <w:szCs w:val="21"/>
                <w:highlight w:val="none"/>
                <w:lang w:eastAsia="zh-CN"/>
              </w:rPr>
              <w:t>（四）</w:t>
            </w:r>
            <w:r>
              <w:rPr>
                <w:rFonts w:hint="default" w:ascii="宋体" w:hAnsi="宋体" w:eastAsia="宋体" w:cs="宋体"/>
                <w:color w:val="auto"/>
                <w:szCs w:val="21"/>
                <w:highlight w:val="none"/>
              </w:rPr>
              <w:t>交付地点</w:t>
            </w:r>
          </w:p>
        </w:tc>
        <w:tc>
          <w:tcPr>
            <w:tcW w:w="6814" w:type="dxa"/>
            <w:gridSpan w:val="3"/>
            <w:tcBorders>
              <w:top w:val="single" w:color="000000" w:sz="2" w:space="0"/>
              <w:left w:val="single" w:color="000000" w:sz="2" w:space="0"/>
              <w:bottom w:val="single" w:color="000000" w:sz="2" w:space="0"/>
              <w:right w:val="single" w:color="000000" w:sz="2" w:space="0"/>
            </w:tcBorders>
            <w:noWrap w:val="0"/>
            <w:vAlign w:val="center"/>
          </w:tcPr>
          <w:p w14:paraId="44FA2D6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1"/>
                <w:szCs w:val="21"/>
                <w:highlight w:val="none"/>
              </w:rPr>
            </w:pPr>
            <w:r>
              <w:rPr>
                <w:rFonts w:hint="eastAsia"/>
                <w:color w:val="auto"/>
                <w:sz w:val="21"/>
                <w:szCs w:val="21"/>
                <w:highlight w:val="none"/>
                <w:lang w:val="en-US" w:eastAsia="zh-CN"/>
              </w:rPr>
              <w:t>采购人指定地点（</w:t>
            </w:r>
            <w:r>
              <w:rPr>
                <w:rFonts w:hint="default"/>
                <w:color w:val="auto"/>
                <w:sz w:val="21"/>
                <w:szCs w:val="21"/>
                <w:highlight w:val="none"/>
              </w:rPr>
              <w:t>南宁市佛子岭路16号</w:t>
            </w:r>
            <w:r>
              <w:rPr>
                <w:rFonts w:hint="eastAsia"/>
                <w:color w:val="auto"/>
                <w:sz w:val="21"/>
                <w:szCs w:val="21"/>
                <w:highlight w:val="none"/>
                <w:lang w:val="en-US" w:eastAsia="zh-CN"/>
              </w:rPr>
              <w:t>）</w:t>
            </w:r>
          </w:p>
        </w:tc>
      </w:tr>
      <w:tr w14:paraId="44C0D7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jc w:val="center"/>
        </w:trPr>
        <w:tc>
          <w:tcPr>
            <w:tcW w:w="2257" w:type="dxa"/>
            <w:gridSpan w:val="3"/>
            <w:tcBorders>
              <w:top w:val="single" w:color="000000" w:sz="2" w:space="0"/>
              <w:left w:val="single" w:color="000000" w:sz="2" w:space="0"/>
              <w:bottom w:val="single" w:color="000000" w:sz="2" w:space="0"/>
              <w:right w:val="single" w:color="000000" w:sz="2" w:space="0"/>
            </w:tcBorders>
            <w:noWrap w:val="0"/>
            <w:vAlign w:val="center"/>
          </w:tcPr>
          <w:p w14:paraId="18783711">
            <w:pPr>
              <w:keepNext w:val="0"/>
              <w:keepLines w:val="0"/>
              <w:pageBreakBefore w:val="0"/>
              <w:widowControl w:val="0"/>
              <w:tabs>
                <w:tab w:val="left" w:pos="180"/>
                <w:tab w:val="left" w:pos="1620"/>
              </w:tabs>
              <w:kinsoku/>
              <w:wordWrap/>
              <w:overflowPunct/>
              <w:topLinePunct w:val="0"/>
              <w:autoSpaceDE/>
              <w:autoSpaceDN/>
              <w:bidi w:val="0"/>
              <w:adjustRightInd/>
              <w:snapToGrid/>
              <w:spacing w:before="168" w:beforeLines="70" w:line="400" w:lineRule="exact"/>
              <w:jc w:val="center"/>
              <w:textAlignment w:val="auto"/>
              <w:rPr>
                <w:rFonts w:hint="eastAsia" w:ascii="宋体" w:hAnsi="宋体" w:eastAsia="宋体" w:cs="宋体"/>
                <w:color w:val="auto"/>
                <w:szCs w:val="21"/>
                <w:highlight w:val="none"/>
              </w:rPr>
            </w:pPr>
            <w:r>
              <w:rPr>
                <w:rFonts w:hint="default" w:ascii="宋体" w:hAnsi="宋体" w:eastAsia="宋体" w:cs="宋体"/>
                <w:color w:val="auto"/>
                <w:szCs w:val="21"/>
                <w:highlight w:val="none"/>
                <w:lang w:eastAsia="zh-CN"/>
              </w:rPr>
              <w:t>（五）</w:t>
            </w:r>
            <w:r>
              <w:rPr>
                <w:rFonts w:hint="default" w:ascii="宋体" w:hAnsi="宋体" w:eastAsia="宋体" w:cs="宋体"/>
                <w:color w:val="auto"/>
                <w:szCs w:val="21"/>
                <w:highlight w:val="none"/>
              </w:rPr>
              <w:t>付款方式</w:t>
            </w:r>
          </w:p>
        </w:tc>
        <w:tc>
          <w:tcPr>
            <w:tcW w:w="6814" w:type="dxa"/>
            <w:gridSpan w:val="3"/>
            <w:tcBorders>
              <w:top w:val="single" w:color="000000" w:sz="2" w:space="0"/>
              <w:left w:val="single" w:color="000000" w:sz="2" w:space="0"/>
              <w:bottom w:val="single" w:color="000000" w:sz="2" w:space="0"/>
              <w:right w:val="single" w:color="000000" w:sz="2" w:space="0"/>
            </w:tcBorders>
            <w:noWrap w:val="0"/>
            <w:vAlign w:val="center"/>
          </w:tcPr>
          <w:p w14:paraId="017C28B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color w:val="auto"/>
                <w:sz w:val="21"/>
                <w:szCs w:val="21"/>
                <w:highlight w:val="none"/>
              </w:rPr>
            </w:pPr>
            <w:r>
              <w:rPr>
                <w:rFonts w:hint="default"/>
                <w:color w:val="auto"/>
                <w:sz w:val="21"/>
                <w:szCs w:val="21"/>
                <w:highlight w:val="none"/>
              </w:rPr>
              <w:t>1.合同签订后10个工作日内，采购人向中标人支付</w:t>
            </w:r>
            <w:r>
              <w:rPr>
                <w:rFonts w:hint="eastAsia"/>
                <w:color w:val="auto"/>
                <w:sz w:val="21"/>
                <w:szCs w:val="21"/>
                <w:highlight w:val="none"/>
                <w:lang w:val="en-US" w:eastAsia="zh-CN"/>
              </w:rPr>
              <w:t>3</w:t>
            </w:r>
            <w:r>
              <w:rPr>
                <w:rFonts w:hint="default"/>
                <w:color w:val="auto"/>
                <w:sz w:val="21"/>
                <w:szCs w:val="21"/>
                <w:highlight w:val="none"/>
              </w:rPr>
              <w:t>0%合同款；</w:t>
            </w:r>
          </w:p>
          <w:p w14:paraId="3FD8A56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color w:val="auto"/>
                <w:sz w:val="21"/>
                <w:szCs w:val="21"/>
                <w:highlight w:val="none"/>
              </w:rPr>
            </w:pPr>
            <w:r>
              <w:rPr>
                <w:rFonts w:hint="default"/>
                <w:color w:val="auto"/>
                <w:sz w:val="21"/>
                <w:szCs w:val="21"/>
                <w:highlight w:val="none"/>
              </w:rPr>
              <w:t>2.中标人按照合同要求</w:t>
            </w:r>
            <w:r>
              <w:rPr>
                <w:rFonts w:hint="eastAsia"/>
                <w:color w:val="auto"/>
                <w:sz w:val="21"/>
                <w:szCs w:val="21"/>
                <w:highlight w:val="none"/>
                <w:lang w:val="en-US" w:eastAsia="zh-CN"/>
              </w:rPr>
              <w:t>出具危险特性鉴别报告和</w:t>
            </w:r>
            <w:r>
              <w:rPr>
                <w:rFonts w:hint="default"/>
                <w:color w:val="auto"/>
                <w:sz w:val="21"/>
                <w:szCs w:val="21"/>
                <w:highlight w:val="none"/>
                <w:lang w:val="en-US" w:eastAsia="zh-CN"/>
              </w:rPr>
              <w:t>处置建议</w:t>
            </w:r>
            <w:r>
              <w:rPr>
                <w:rFonts w:hint="eastAsia"/>
                <w:color w:val="auto"/>
                <w:sz w:val="21"/>
                <w:szCs w:val="21"/>
                <w:highlight w:val="none"/>
                <w:lang w:val="en-US" w:eastAsia="zh-CN"/>
              </w:rPr>
              <w:t>、出具</w:t>
            </w:r>
            <w:r>
              <w:rPr>
                <w:rFonts w:hint="default"/>
                <w:color w:val="auto"/>
                <w:sz w:val="21"/>
                <w:szCs w:val="21"/>
                <w:highlight w:val="none"/>
                <w:lang w:val="en-US" w:eastAsia="zh-CN"/>
              </w:rPr>
              <w:t>非法堆存、转移涉重固体废物的污染释放能力研究</w:t>
            </w:r>
            <w:r>
              <w:rPr>
                <w:rFonts w:hint="eastAsia"/>
                <w:color w:val="auto"/>
                <w:sz w:val="21"/>
                <w:szCs w:val="21"/>
                <w:highlight w:val="none"/>
                <w:lang w:val="en-US" w:eastAsia="zh-CN"/>
              </w:rPr>
              <w:t>报告和</w:t>
            </w:r>
            <w:r>
              <w:rPr>
                <w:rFonts w:hint="default"/>
                <w:color w:val="auto"/>
                <w:sz w:val="21"/>
                <w:szCs w:val="21"/>
                <w:highlight w:val="none"/>
                <w:lang w:val="en-US" w:eastAsia="zh-CN"/>
              </w:rPr>
              <w:t>危废处置后场地土壤遗留污染物评估</w:t>
            </w:r>
            <w:r>
              <w:rPr>
                <w:rFonts w:hint="eastAsia"/>
                <w:color w:val="auto"/>
                <w:sz w:val="21"/>
                <w:szCs w:val="21"/>
                <w:highlight w:val="none"/>
                <w:lang w:val="en-US" w:eastAsia="zh-CN"/>
              </w:rPr>
              <w:t>报告后</w:t>
            </w:r>
            <w:r>
              <w:rPr>
                <w:rFonts w:hint="default"/>
                <w:color w:val="auto"/>
                <w:sz w:val="21"/>
                <w:szCs w:val="21"/>
                <w:highlight w:val="none"/>
                <w:lang w:val="en-US" w:eastAsia="zh-CN"/>
              </w:rPr>
              <w:t>，</w:t>
            </w:r>
            <w:r>
              <w:rPr>
                <w:rFonts w:hint="default"/>
                <w:color w:val="auto"/>
                <w:sz w:val="21"/>
                <w:szCs w:val="21"/>
                <w:highlight w:val="none"/>
              </w:rPr>
              <w:t>并经采购人确认合格后，采购人于10个工作日内支付</w:t>
            </w:r>
            <w:r>
              <w:rPr>
                <w:rFonts w:hint="eastAsia"/>
                <w:color w:val="auto"/>
                <w:sz w:val="21"/>
                <w:szCs w:val="21"/>
                <w:highlight w:val="none"/>
                <w:lang w:val="en-US" w:eastAsia="zh-CN"/>
              </w:rPr>
              <w:t>50</w:t>
            </w:r>
            <w:r>
              <w:rPr>
                <w:rFonts w:hint="default"/>
                <w:color w:val="auto"/>
                <w:sz w:val="21"/>
                <w:szCs w:val="21"/>
                <w:highlight w:val="none"/>
              </w:rPr>
              <w:t>%合同款；</w:t>
            </w:r>
          </w:p>
          <w:p w14:paraId="446FFF4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color w:val="auto"/>
                <w:sz w:val="21"/>
                <w:szCs w:val="21"/>
                <w:highlight w:val="none"/>
              </w:rPr>
            </w:pPr>
            <w:r>
              <w:rPr>
                <w:rFonts w:hint="default"/>
                <w:color w:val="auto"/>
                <w:sz w:val="21"/>
                <w:szCs w:val="21"/>
                <w:highlight w:val="none"/>
                <w:lang w:val="en-US" w:eastAsia="zh-CN"/>
              </w:rPr>
              <w:t>3</w:t>
            </w:r>
            <w:r>
              <w:rPr>
                <w:rFonts w:hint="default"/>
                <w:color w:val="auto"/>
                <w:sz w:val="21"/>
                <w:szCs w:val="21"/>
                <w:highlight w:val="none"/>
              </w:rPr>
              <w:t>.中标人按照合同要求提交所有服务成果并经采购人验收合格后，采购人于10个工作日内支付剩余</w:t>
            </w:r>
            <w:r>
              <w:rPr>
                <w:rFonts w:hint="eastAsia"/>
                <w:color w:val="auto"/>
                <w:sz w:val="21"/>
                <w:szCs w:val="21"/>
                <w:highlight w:val="none"/>
                <w:lang w:val="en-US" w:eastAsia="zh-CN"/>
              </w:rPr>
              <w:t>20</w:t>
            </w:r>
            <w:r>
              <w:rPr>
                <w:rFonts w:hint="default"/>
                <w:color w:val="auto"/>
                <w:sz w:val="21"/>
                <w:szCs w:val="21"/>
                <w:highlight w:val="none"/>
              </w:rPr>
              <w:t>%合同款；</w:t>
            </w:r>
          </w:p>
          <w:p w14:paraId="6E8E2E3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olor w:val="auto"/>
                <w:sz w:val="21"/>
                <w:szCs w:val="21"/>
                <w:highlight w:val="none"/>
              </w:rPr>
            </w:pPr>
            <w:r>
              <w:rPr>
                <w:rFonts w:hint="default"/>
                <w:color w:val="auto"/>
                <w:sz w:val="21"/>
                <w:szCs w:val="21"/>
                <w:highlight w:val="none"/>
                <w:lang w:val="en-US" w:eastAsia="zh-CN"/>
              </w:rPr>
              <w:t>4</w:t>
            </w:r>
            <w:r>
              <w:rPr>
                <w:rFonts w:hint="default"/>
                <w:color w:val="auto"/>
                <w:sz w:val="21"/>
                <w:szCs w:val="21"/>
                <w:highlight w:val="none"/>
              </w:rPr>
              <w:t>.中标人未在规定时间内完成任务，或经抽查发现服务质量不符合要求的，按照合同约定扣减相应费用。</w:t>
            </w:r>
          </w:p>
        </w:tc>
      </w:tr>
      <w:tr w14:paraId="03A5D1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jc w:val="center"/>
        </w:trPr>
        <w:tc>
          <w:tcPr>
            <w:tcW w:w="2257" w:type="dxa"/>
            <w:gridSpan w:val="3"/>
            <w:tcBorders>
              <w:top w:val="single" w:color="000000" w:sz="2" w:space="0"/>
              <w:left w:val="single" w:color="000000" w:sz="2" w:space="0"/>
              <w:bottom w:val="single" w:color="000000" w:sz="2" w:space="0"/>
              <w:right w:val="single" w:color="000000" w:sz="2" w:space="0"/>
            </w:tcBorders>
            <w:noWrap w:val="0"/>
            <w:vAlign w:val="center"/>
          </w:tcPr>
          <w:p w14:paraId="5951403F">
            <w:pPr>
              <w:keepNext w:val="0"/>
              <w:keepLines w:val="0"/>
              <w:pageBreakBefore w:val="0"/>
              <w:widowControl w:val="0"/>
              <w:tabs>
                <w:tab w:val="left" w:pos="180"/>
                <w:tab w:val="left" w:pos="1620"/>
              </w:tabs>
              <w:kinsoku/>
              <w:wordWrap/>
              <w:overflowPunct/>
              <w:topLinePunct w:val="0"/>
              <w:autoSpaceDE/>
              <w:autoSpaceDN/>
              <w:bidi w:val="0"/>
              <w:adjustRightInd/>
              <w:snapToGrid/>
              <w:spacing w:before="168" w:beforeLines="70" w:line="400" w:lineRule="exact"/>
              <w:jc w:val="center"/>
              <w:textAlignment w:val="auto"/>
              <w:rPr>
                <w:rFonts w:hint="eastAsia" w:ascii="宋体" w:hAnsi="宋体" w:eastAsia="宋体" w:cs="宋体"/>
                <w:color w:val="auto"/>
                <w:szCs w:val="21"/>
                <w:highlight w:val="none"/>
              </w:rPr>
            </w:pPr>
            <w:r>
              <w:rPr>
                <w:rFonts w:hint="default" w:ascii="宋体" w:hAnsi="宋体" w:eastAsia="宋体" w:cs="宋体"/>
                <w:color w:val="auto"/>
                <w:szCs w:val="21"/>
                <w:highlight w:val="none"/>
                <w:lang w:eastAsia="zh-CN"/>
              </w:rPr>
              <w:t>（六）</w:t>
            </w:r>
            <w:r>
              <w:rPr>
                <w:rFonts w:hint="default" w:ascii="宋体" w:hAnsi="宋体" w:eastAsia="宋体" w:cs="宋体"/>
                <w:color w:val="auto"/>
                <w:szCs w:val="21"/>
                <w:highlight w:val="none"/>
              </w:rPr>
              <w:t>投标报价要求</w:t>
            </w:r>
          </w:p>
        </w:tc>
        <w:tc>
          <w:tcPr>
            <w:tcW w:w="6814" w:type="dxa"/>
            <w:gridSpan w:val="3"/>
            <w:tcBorders>
              <w:top w:val="single" w:color="000000" w:sz="2" w:space="0"/>
              <w:left w:val="single" w:color="000000" w:sz="2" w:space="0"/>
              <w:bottom w:val="single" w:color="000000" w:sz="2" w:space="0"/>
              <w:right w:val="single" w:color="000000" w:sz="2" w:space="0"/>
            </w:tcBorders>
            <w:noWrap w:val="0"/>
            <w:vAlign w:val="center"/>
          </w:tcPr>
          <w:p w14:paraId="4DBD804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color w:val="auto"/>
                <w:sz w:val="21"/>
                <w:szCs w:val="21"/>
                <w:highlight w:val="none"/>
              </w:rPr>
            </w:pPr>
            <w:r>
              <w:rPr>
                <w:rFonts w:hint="default"/>
                <w:color w:val="auto"/>
                <w:sz w:val="21"/>
                <w:szCs w:val="21"/>
                <w:highlight w:val="none"/>
              </w:rPr>
              <w:t>1.本项目实行总承包报价；包括现场勘察、协调、实验研究、技术处理、方案编制、报批、项目评审费等工作所需的一切人工、机械、材料、利润、税金、保险等相关的费用。除合同约定的变更以外，该费用不予增减。</w:t>
            </w:r>
          </w:p>
          <w:p w14:paraId="6678AE2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olor w:val="auto"/>
                <w:sz w:val="21"/>
                <w:szCs w:val="21"/>
                <w:highlight w:val="none"/>
              </w:rPr>
            </w:pPr>
            <w:r>
              <w:rPr>
                <w:rFonts w:hint="default"/>
                <w:color w:val="auto"/>
                <w:sz w:val="21"/>
                <w:szCs w:val="21"/>
                <w:highlight w:val="none"/>
              </w:rPr>
              <w:t>2.为了确保采购质量和维护公平的竞争，根据《中华人民共和国政府采购法》第七十七条和</w:t>
            </w:r>
            <w:r>
              <w:rPr>
                <w:rFonts w:hint="eastAsia"/>
                <w:color w:val="auto"/>
                <w:sz w:val="21"/>
                <w:szCs w:val="21"/>
                <w:highlight w:val="none"/>
                <w:lang w:eastAsia="zh-CN"/>
              </w:rPr>
              <w:t>《</w:t>
            </w:r>
            <w:r>
              <w:rPr>
                <w:rFonts w:hint="default"/>
                <w:color w:val="auto"/>
                <w:sz w:val="21"/>
                <w:szCs w:val="21"/>
                <w:highlight w:val="none"/>
              </w:rPr>
              <w:t>中华人民共和国反不正当竞争法</w:t>
            </w:r>
            <w:r>
              <w:rPr>
                <w:rFonts w:hint="eastAsia"/>
                <w:color w:val="auto"/>
                <w:sz w:val="21"/>
                <w:szCs w:val="21"/>
                <w:highlight w:val="none"/>
                <w:lang w:eastAsia="zh-CN"/>
              </w:rPr>
              <w:t>》</w:t>
            </w:r>
            <w:r>
              <w:rPr>
                <w:rFonts w:hint="default"/>
                <w:color w:val="auto"/>
                <w:sz w:val="21"/>
                <w:szCs w:val="21"/>
                <w:highlight w:val="none"/>
              </w:rPr>
              <w:t>第十一条，经营者不得以排挤对手为目的，以低于成本的价格销售商品（服务）。采购人不能接受供应商的恶意低价的竞争。投标人的报价出现《财政部关于推动解决政府采购异常低价问题的通知》（财库〔2026〕2号）规定的异常低价情形（具体详见招标文件第四章评标方法及评标标准二、评标程序6.异常低价审查），有可能影响服务质量或者不能诚信履约的，其应当在评标现场合理时间内（不少于30分钟）对报价作出解释，提供项目具体成本测算等与报价合理性相关的书面说明及必要证明材料；投标人不能提供相关说明、证明材料，或提供的材料无法证明其报价合理性的，评标委员会将其作为无效投标处理。</w:t>
            </w:r>
          </w:p>
        </w:tc>
      </w:tr>
      <w:tr w14:paraId="62D670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jc w:val="center"/>
        </w:trPr>
        <w:tc>
          <w:tcPr>
            <w:tcW w:w="2257" w:type="dxa"/>
            <w:gridSpan w:val="3"/>
            <w:tcBorders>
              <w:top w:val="single" w:color="000000" w:sz="2" w:space="0"/>
              <w:left w:val="single" w:color="000000" w:sz="2" w:space="0"/>
              <w:bottom w:val="single" w:color="000000" w:sz="2" w:space="0"/>
              <w:right w:val="single" w:color="000000" w:sz="2" w:space="0"/>
            </w:tcBorders>
            <w:noWrap w:val="0"/>
            <w:vAlign w:val="center"/>
          </w:tcPr>
          <w:p w14:paraId="34E4009D">
            <w:pPr>
              <w:keepNext w:val="0"/>
              <w:keepLines w:val="0"/>
              <w:pageBreakBefore w:val="0"/>
              <w:widowControl w:val="0"/>
              <w:tabs>
                <w:tab w:val="left" w:pos="180"/>
                <w:tab w:val="left" w:pos="1620"/>
              </w:tabs>
              <w:kinsoku/>
              <w:wordWrap/>
              <w:overflowPunct/>
              <w:topLinePunct w:val="0"/>
              <w:autoSpaceDE/>
              <w:autoSpaceDN/>
              <w:bidi w:val="0"/>
              <w:adjustRightInd/>
              <w:snapToGrid/>
              <w:spacing w:before="168" w:beforeLines="70" w:line="40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（七）履约保证金</w:t>
            </w:r>
          </w:p>
        </w:tc>
        <w:tc>
          <w:tcPr>
            <w:tcW w:w="6814" w:type="dxa"/>
            <w:gridSpan w:val="3"/>
            <w:tcBorders>
              <w:top w:val="single" w:color="000000" w:sz="2" w:space="0"/>
              <w:left w:val="single" w:color="000000" w:sz="2" w:space="0"/>
              <w:bottom w:val="single" w:color="000000" w:sz="2" w:space="0"/>
              <w:right w:val="single" w:color="000000" w:sz="2" w:space="0"/>
            </w:tcBorders>
            <w:noWrap w:val="0"/>
            <w:vAlign w:val="center"/>
          </w:tcPr>
          <w:p w14:paraId="31A405FB">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sz w:val="21"/>
                <w:szCs w:val="21"/>
                <w:highlight w:val="none"/>
              </w:rPr>
            </w:pPr>
            <w:r>
              <w:rPr>
                <w:rFonts w:hint="default"/>
                <w:color w:val="auto"/>
                <w:sz w:val="21"/>
                <w:szCs w:val="21"/>
                <w:highlight w:val="none"/>
              </w:rPr>
              <w:t>本项目收取履约保证金，具体规定如下：</w:t>
            </w:r>
          </w:p>
          <w:p w14:paraId="32E42B7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color w:val="auto"/>
                <w:sz w:val="21"/>
                <w:szCs w:val="21"/>
                <w:highlight w:val="none"/>
                <w:lang w:val="en-US" w:eastAsia="zh-CN"/>
              </w:rPr>
            </w:pPr>
            <w:r>
              <w:rPr>
                <w:rFonts w:hint="default"/>
                <w:color w:val="auto"/>
                <w:sz w:val="21"/>
                <w:szCs w:val="21"/>
                <w:highlight w:val="none"/>
                <w:lang w:val="en-US" w:eastAsia="zh-CN"/>
              </w:rPr>
              <w:t>1.履约保证金金额：按</w:t>
            </w:r>
            <w:r>
              <w:rPr>
                <w:rFonts w:hint="eastAsia"/>
                <w:color w:val="auto"/>
                <w:sz w:val="21"/>
                <w:szCs w:val="21"/>
                <w:highlight w:val="none"/>
                <w:lang w:val="en-US" w:eastAsia="zh-CN"/>
              </w:rPr>
              <w:t>中标</w:t>
            </w:r>
            <w:r>
              <w:rPr>
                <w:rFonts w:hint="default"/>
                <w:color w:val="auto"/>
                <w:sz w:val="21"/>
                <w:szCs w:val="21"/>
                <w:highlight w:val="none"/>
                <w:lang w:val="en-US" w:eastAsia="zh-CN"/>
              </w:rPr>
              <w:t>金额的2%。</w:t>
            </w:r>
          </w:p>
          <w:p w14:paraId="5BDB428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color w:val="auto"/>
                <w:sz w:val="21"/>
                <w:szCs w:val="21"/>
                <w:highlight w:val="none"/>
                <w:lang w:val="en-US" w:eastAsia="zh-CN"/>
              </w:rPr>
            </w:pPr>
            <w:r>
              <w:rPr>
                <w:rFonts w:hint="default"/>
                <w:color w:val="auto"/>
                <w:sz w:val="21"/>
                <w:szCs w:val="21"/>
                <w:highlight w:val="none"/>
                <w:lang w:val="en-US" w:eastAsia="zh-CN"/>
              </w:rPr>
              <w:t>2.履约保证金缴纳方式：</w:t>
            </w:r>
            <w:r>
              <w:rPr>
                <w:rFonts w:hint="eastAsia"/>
                <w:color w:val="auto"/>
                <w:sz w:val="21"/>
                <w:szCs w:val="21"/>
                <w:highlight w:val="none"/>
                <w:lang w:val="en-US" w:eastAsia="zh-CN"/>
              </w:rPr>
              <w:t>中标人</w:t>
            </w:r>
            <w:r>
              <w:rPr>
                <w:rFonts w:hint="default"/>
                <w:color w:val="auto"/>
                <w:sz w:val="21"/>
                <w:szCs w:val="21"/>
                <w:highlight w:val="none"/>
              </w:rPr>
              <w:t>须于签订合同后</w:t>
            </w:r>
            <w:r>
              <w:rPr>
                <w:rFonts w:hint="eastAsia"/>
                <w:color w:val="auto"/>
                <w:sz w:val="21"/>
                <w:szCs w:val="21"/>
                <w:highlight w:val="none"/>
                <w:lang w:eastAsia="zh-CN"/>
              </w:rPr>
              <w:t>1</w:t>
            </w:r>
            <w:r>
              <w:rPr>
                <w:rFonts w:hint="eastAsia"/>
                <w:color w:val="auto"/>
                <w:sz w:val="21"/>
                <w:szCs w:val="21"/>
                <w:highlight w:val="none"/>
                <w:lang w:val="en-US" w:eastAsia="zh-CN"/>
              </w:rPr>
              <w:t>0</w:t>
            </w:r>
            <w:r>
              <w:rPr>
                <w:rFonts w:hint="default"/>
                <w:color w:val="auto"/>
                <w:sz w:val="21"/>
                <w:szCs w:val="21"/>
                <w:highlight w:val="none"/>
              </w:rPr>
              <w:t>个工作日内将履约保证金递交到采购人指定账户。递交方式：银行转账、支票、汇票、本票或者金融机构出具的保函等非现金方式</w:t>
            </w:r>
            <w:r>
              <w:rPr>
                <w:rFonts w:hint="default"/>
                <w:color w:val="auto"/>
                <w:sz w:val="21"/>
                <w:szCs w:val="21"/>
                <w:highlight w:val="none"/>
                <w:lang w:eastAsia="zh-CN"/>
              </w:rPr>
              <w:t>，</w:t>
            </w:r>
            <w:r>
              <w:rPr>
                <w:rFonts w:hint="default"/>
                <w:color w:val="auto"/>
                <w:sz w:val="21"/>
                <w:szCs w:val="21"/>
                <w:highlight w:val="none"/>
                <w:lang w:val="en-US" w:eastAsia="zh-CN"/>
              </w:rPr>
              <w:t>转账时请备注“项目名称（可简写）+履约保证金”。</w:t>
            </w:r>
          </w:p>
          <w:p w14:paraId="2CB49D2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olor w:val="auto"/>
                <w:sz w:val="21"/>
                <w:szCs w:val="21"/>
                <w:highlight w:val="none"/>
              </w:rPr>
            </w:pPr>
            <w:r>
              <w:rPr>
                <w:rFonts w:hint="default"/>
                <w:color w:val="auto"/>
                <w:sz w:val="21"/>
                <w:szCs w:val="21"/>
                <w:highlight w:val="none"/>
                <w:lang w:val="en-US" w:eastAsia="zh-CN"/>
              </w:rPr>
              <w:t>3.履约保证金退付：在本项目服务期限内完成约定工作任务后，由</w:t>
            </w:r>
            <w:r>
              <w:rPr>
                <w:rFonts w:hint="eastAsia"/>
                <w:color w:val="auto"/>
                <w:sz w:val="21"/>
                <w:szCs w:val="21"/>
                <w:highlight w:val="none"/>
                <w:lang w:val="en-US" w:eastAsia="zh-CN"/>
              </w:rPr>
              <w:t>中标人</w:t>
            </w:r>
            <w:r>
              <w:rPr>
                <w:rFonts w:hint="default"/>
                <w:color w:val="auto"/>
                <w:sz w:val="21"/>
                <w:szCs w:val="21"/>
                <w:highlight w:val="none"/>
                <w:lang w:val="en-US" w:eastAsia="zh-CN"/>
              </w:rPr>
              <w:t>向采购人提供《广西壮族自治区政府采购项目合同验收书》</w:t>
            </w:r>
            <w:r>
              <w:rPr>
                <w:rFonts w:hint="eastAsia" w:ascii="宋体" w:hAnsi="宋体" w:cs="宋体"/>
                <w:color w:val="auto"/>
                <w:sz w:val="21"/>
                <w:szCs w:val="21"/>
                <w:highlight w:val="none"/>
                <w:lang w:eastAsia="zh-CN"/>
              </w:rPr>
              <w:t>、履约保证金退付函和乙方履约保证金支付凭证</w:t>
            </w:r>
            <w:r>
              <w:rPr>
                <w:rFonts w:hint="default"/>
                <w:color w:val="auto"/>
                <w:sz w:val="21"/>
                <w:szCs w:val="21"/>
                <w:highlight w:val="none"/>
                <w:lang w:val="en-US" w:eastAsia="zh-CN"/>
              </w:rPr>
              <w:t>，采购人在验收合格并出具验收书后</w:t>
            </w:r>
            <w:r>
              <w:rPr>
                <w:rFonts w:hint="eastAsia"/>
                <w:color w:val="auto"/>
                <w:sz w:val="21"/>
                <w:szCs w:val="21"/>
                <w:highlight w:val="none"/>
                <w:lang w:val="en-US" w:eastAsia="zh-CN"/>
              </w:rPr>
              <w:t>5</w:t>
            </w:r>
            <w:r>
              <w:rPr>
                <w:rFonts w:hint="default"/>
                <w:color w:val="auto"/>
                <w:sz w:val="21"/>
                <w:szCs w:val="21"/>
                <w:highlight w:val="none"/>
              </w:rPr>
              <w:t>个工作日内</w:t>
            </w:r>
            <w:r>
              <w:rPr>
                <w:rFonts w:hint="default"/>
                <w:color w:val="auto"/>
                <w:sz w:val="21"/>
                <w:szCs w:val="21"/>
                <w:highlight w:val="none"/>
                <w:lang w:val="en-US" w:eastAsia="zh-CN"/>
              </w:rPr>
              <w:t>办理退还手续（不计利息）。</w:t>
            </w:r>
          </w:p>
        </w:tc>
      </w:tr>
      <w:tr w14:paraId="26EF3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jc w:val="center"/>
        </w:trPr>
        <w:tc>
          <w:tcPr>
            <w:tcW w:w="2257" w:type="dxa"/>
            <w:gridSpan w:val="3"/>
            <w:tcBorders>
              <w:top w:val="single" w:color="000000" w:sz="2" w:space="0"/>
              <w:left w:val="single" w:color="000000" w:sz="2" w:space="0"/>
              <w:bottom w:val="single" w:color="000000" w:sz="2" w:space="0"/>
              <w:right w:val="single" w:color="000000" w:sz="2" w:space="0"/>
            </w:tcBorders>
            <w:noWrap w:val="0"/>
            <w:vAlign w:val="center"/>
          </w:tcPr>
          <w:p w14:paraId="7F96BB54">
            <w:pPr>
              <w:keepNext w:val="0"/>
              <w:keepLines w:val="0"/>
              <w:pageBreakBefore w:val="0"/>
              <w:widowControl w:val="0"/>
              <w:tabs>
                <w:tab w:val="left" w:pos="180"/>
                <w:tab w:val="left" w:pos="1620"/>
              </w:tabs>
              <w:kinsoku/>
              <w:wordWrap/>
              <w:overflowPunct/>
              <w:topLinePunct w:val="0"/>
              <w:autoSpaceDE/>
              <w:autoSpaceDN/>
              <w:bidi w:val="0"/>
              <w:adjustRightInd/>
              <w:snapToGrid/>
              <w:spacing w:before="168" w:beforeLines="70" w:line="400" w:lineRule="exact"/>
              <w:jc w:val="center"/>
              <w:textAlignment w:val="auto"/>
              <w:rPr>
                <w:rFonts w:hint="eastAsia" w:ascii="宋体" w:hAnsi="宋体" w:eastAsia="宋体" w:cs="宋体"/>
                <w:color w:val="auto"/>
                <w:szCs w:val="21"/>
                <w:highlight w:val="none"/>
              </w:rPr>
            </w:pPr>
            <w:r>
              <w:rPr>
                <w:rFonts w:hint="default" w:ascii="宋体" w:hAnsi="宋体" w:eastAsia="宋体" w:cs="宋体"/>
                <w:color w:val="auto"/>
                <w:szCs w:val="21"/>
                <w:highlight w:val="none"/>
              </w:rPr>
              <w:t>（</w:t>
            </w:r>
            <w:r>
              <w:rPr>
                <w:rFonts w:hint="eastAsia" w:ascii="宋体" w:hAnsi="宋体" w:eastAsia="宋体" w:cs="宋体"/>
                <w:color w:val="auto"/>
                <w:szCs w:val="21"/>
                <w:highlight w:val="none"/>
                <w:lang w:eastAsia="zh-CN"/>
              </w:rPr>
              <w:t>八</w:t>
            </w:r>
            <w:r>
              <w:rPr>
                <w:rFonts w:hint="default" w:ascii="宋体" w:hAnsi="宋体" w:eastAsia="宋体" w:cs="宋体"/>
                <w:color w:val="auto"/>
                <w:szCs w:val="21"/>
                <w:highlight w:val="none"/>
              </w:rPr>
              <w:t>）其他要求</w:t>
            </w:r>
          </w:p>
        </w:tc>
        <w:tc>
          <w:tcPr>
            <w:tcW w:w="6814" w:type="dxa"/>
            <w:gridSpan w:val="3"/>
            <w:tcBorders>
              <w:top w:val="single" w:color="000000" w:sz="2" w:space="0"/>
              <w:left w:val="single" w:color="000000" w:sz="2" w:space="0"/>
              <w:bottom w:val="single" w:color="000000" w:sz="2" w:space="0"/>
              <w:right w:val="single" w:color="000000" w:sz="2" w:space="0"/>
            </w:tcBorders>
            <w:noWrap w:val="0"/>
            <w:vAlign w:val="center"/>
          </w:tcPr>
          <w:p w14:paraId="5C61C15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color w:val="auto"/>
                <w:sz w:val="21"/>
                <w:szCs w:val="21"/>
                <w:highlight w:val="none"/>
              </w:rPr>
            </w:pPr>
            <w:r>
              <w:rPr>
                <w:rFonts w:hint="default"/>
                <w:color w:val="auto"/>
                <w:sz w:val="21"/>
                <w:szCs w:val="21"/>
                <w:highlight w:val="none"/>
              </w:rPr>
              <w:t>1.数据资料归属及保密：本项目所形成的数据和报告归采购人所有。未经采购人授权，不得将数据和报告提供给任何第三方。</w:t>
            </w:r>
          </w:p>
          <w:p w14:paraId="320A1CD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color w:val="auto"/>
                <w:sz w:val="21"/>
                <w:szCs w:val="21"/>
                <w:highlight w:val="none"/>
              </w:rPr>
            </w:pPr>
            <w:r>
              <w:rPr>
                <w:rFonts w:hint="default"/>
                <w:color w:val="auto"/>
                <w:sz w:val="21"/>
                <w:szCs w:val="21"/>
                <w:highlight w:val="none"/>
              </w:rPr>
              <w:t>2.如果中标人队伍发生重大变更导致无法按要求开展项目任务或者发生重大责任事故的，采购人将上报政府采购监督管理部门同时追究中标单位相应责任。</w:t>
            </w:r>
          </w:p>
          <w:p w14:paraId="372EB16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color w:val="auto"/>
                <w:sz w:val="21"/>
                <w:szCs w:val="21"/>
                <w:highlight w:val="none"/>
              </w:rPr>
            </w:pPr>
            <w:r>
              <w:rPr>
                <w:rFonts w:hint="default"/>
                <w:color w:val="auto"/>
                <w:sz w:val="21"/>
                <w:szCs w:val="21"/>
                <w:highlight w:val="none"/>
              </w:rPr>
              <w:t>3.其他要求：</w:t>
            </w:r>
          </w:p>
          <w:p w14:paraId="6C99CFF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color w:val="auto"/>
                <w:sz w:val="21"/>
                <w:szCs w:val="21"/>
                <w:highlight w:val="none"/>
              </w:rPr>
            </w:pPr>
            <w:r>
              <w:rPr>
                <w:rFonts w:hint="default"/>
                <w:color w:val="auto"/>
                <w:sz w:val="21"/>
                <w:szCs w:val="21"/>
                <w:highlight w:val="none"/>
              </w:rPr>
              <w:t>（1）</w:t>
            </w:r>
            <w:r>
              <w:rPr>
                <w:rFonts w:hint="default"/>
                <w:color w:val="auto"/>
                <w:sz w:val="21"/>
                <w:szCs w:val="21"/>
                <w:highlight w:val="none"/>
                <w:lang w:val="en-US" w:eastAsia="zh-CN"/>
              </w:rPr>
              <w:t>报价为采购人指定服务范围内的全部价格，包括所有服务、技术支持、售后服务、差旅费、劳务费、样品采集和检测费、材料费、培训费、验收费、手续费、包装费、运输费、保险费和各项税金及由于市场价格波动增加的费用，以及不可预见费等全部费用（采购人不再支付任何费用）</w:t>
            </w:r>
            <w:r>
              <w:rPr>
                <w:rFonts w:hint="default"/>
                <w:color w:val="auto"/>
                <w:sz w:val="21"/>
                <w:szCs w:val="21"/>
                <w:highlight w:val="none"/>
              </w:rPr>
              <w:t>。</w:t>
            </w:r>
          </w:p>
          <w:p w14:paraId="70C9523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color w:val="auto"/>
                <w:sz w:val="21"/>
                <w:szCs w:val="21"/>
                <w:highlight w:val="none"/>
              </w:rPr>
            </w:pPr>
            <w:r>
              <w:rPr>
                <w:rFonts w:hint="default"/>
                <w:color w:val="auto"/>
                <w:sz w:val="21"/>
                <w:szCs w:val="21"/>
                <w:highlight w:val="none"/>
              </w:rPr>
              <w:t>（2）本项目不得</w:t>
            </w:r>
            <w:r>
              <w:rPr>
                <w:rFonts w:hint="eastAsia"/>
                <w:color w:val="auto"/>
                <w:sz w:val="21"/>
                <w:szCs w:val="21"/>
                <w:highlight w:val="none"/>
                <w:lang w:eastAsia="zh-CN"/>
              </w:rPr>
              <w:t>分包</w:t>
            </w:r>
            <w:r>
              <w:rPr>
                <w:rFonts w:hint="default"/>
                <w:color w:val="auto"/>
                <w:sz w:val="21"/>
                <w:szCs w:val="21"/>
                <w:highlight w:val="none"/>
              </w:rPr>
              <w:t>。</w:t>
            </w:r>
          </w:p>
          <w:p w14:paraId="15065E2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olor w:val="auto"/>
                <w:sz w:val="21"/>
                <w:szCs w:val="21"/>
                <w:highlight w:val="none"/>
              </w:rPr>
            </w:pPr>
            <w:r>
              <w:rPr>
                <w:rFonts w:hint="default"/>
                <w:color w:val="auto"/>
                <w:sz w:val="21"/>
                <w:szCs w:val="21"/>
                <w:highlight w:val="none"/>
                <w:lang w:eastAsia="zh-CN"/>
              </w:rPr>
              <w:t>注：“▲”是指不能负偏离的条款。</w:t>
            </w:r>
          </w:p>
        </w:tc>
      </w:tr>
    </w:tbl>
    <w:p w14:paraId="0A895BAF">
      <w:pPr>
        <w:rPr>
          <w:rFonts w:hint="eastAsia" w:ascii="宋体" w:hAnsi="宋体" w:cs="宋体"/>
          <w:color w:val="auto"/>
          <w:highlight w:val="none"/>
        </w:rPr>
      </w:pPr>
      <w:r>
        <w:rPr>
          <w:rFonts w:ascii="Calibri" w:hAnsi="Calibri"/>
          <w:color w:val="auto"/>
          <w:szCs w:val="22"/>
          <w:highlight w:val="none"/>
        </w:rPr>
        <w:br w:type="page"/>
      </w:r>
      <w:r>
        <w:rPr>
          <w:rFonts w:hint="eastAsia" w:ascii="宋体" w:hAnsi="宋体" w:cs="宋体"/>
          <w:b/>
          <w:bCs/>
          <w:color w:val="auto"/>
          <w:sz w:val="40"/>
          <w:szCs w:val="48"/>
          <w:highlight w:val="none"/>
        </w:rPr>
        <w:t>附件：</w:t>
      </w:r>
    </w:p>
    <w:p w14:paraId="531D1E31">
      <w:pPr>
        <w:spacing w:line="528" w:lineRule="exact"/>
        <w:ind w:left="11" w:hanging="11"/>
        <w:jc w:val="center"/>
        <w:rPr>
          <w:rFonts w:hint="eastAsia" w:ascii="宋体" w:hAnsi="宋体" w:cs="宋体"/>
          <w:color w:val="auto"/>
          <w:sz w:val="40"/>
          <w:szCs w:val="40"/>
          <w:highlight w:val="none"/>
        </w:rPr>
      </w:pPr>
      <w:r>
        <w:rPr>
          <w:rFonts w:hint="eastAsia" w:ascii="宋体" w:hAnsi="宋体" w:cs="宋体"/>
          <w:color w:val="auto"/>
          <w:sz w:val="40"/>
          <w:szCs w:val="40"/>
          <w:highlight w:val="none"/>
        </w:rPr>
        <w:t>中小微企业划型标准</w:t>
      </w:r>
    </w:p>
    <w:tbl>
      <w:tblPr>
        <w:tblStyle w:val="39"/>
        <w:tblW w:w="9476" w:type="dxa"/>
        <w:jc w:val="center"/>
        <w:tblLayout w:type="fixed"/>
        <w:tblCellMar>
          <w:top w:w="0" w:type="dxa"/>
          <w:left w:w="108" w:type="dxa"/>
          <w:bottom w:w="0" w:type="dxa"/>
          <w:right w:w="108" w:type="dxa"/>
        </w:tblCellMar>
      </w:tblPr>
      <w:tblGrid>
        <w:gridCol w:w="2020"/>
        <w:gridCol w:w="1642"/>
        <w:gridCol w:w="1084"/>
        <w:gridCol w:w="1923"/>
        <w:gridCol w:w="1709"/>
        <w:gridCol w:w="1098"/>
      </w:tblGrid>
      <w:tr w14:paraId="68CDE118">
        <w:trPr>
          <w:trHeight w:val="661" w:hRule="atLeast"/>
          <w:jc w:val="center"/>
        </w:trPr>
        <w:tc>
          <w:tcPr>
            <w:tcW w:w="2020" w:type="dxa"/>
            <w:tcBorders>
              <w:top w:val="single" w:color="auto" w:sz="4" w:space="0"/>
              <w:left w:val="single" w:color="auto" w:sz="4" w:space="0"/>
              <w:bottom w:val="single" w:color="auto" w:sz="4" w:space="0"/>
              <w:right w:val="single" w:color="auto" w:sz="4" w:space="0"/>
            </w:tcBorders>
            <w:noWrap w:val="0"/>
            <w:vAlign w:val="center"/>
          </w:tcPr>
          <w:p w14:paraId="45DA76EC">
            <w:pPr>
              <w:widowControl/>
              <w:jc w:val="left"/>
              <w:rPr>
                <w:rFonts w:hint="eastAsia" w:ascii="宋体" w:hAnsi="宋体" w:cs="宋体"/>
                <w:b/>
                <w:color w:val="auto"/>
                <w:kern w:val="0"/>
                <w:szCs w:val="21"/>
                <w:highlight w:val="none"/>
              </w:rPr>
            </w:pPr>
            <w:r>
              <w:rPr>
                <w:rFonts w:hint="eastAsia" w:ascii="宋体" w:hAnsi="宋体" w:cs="宋体"/>
                <w:b/>
                <w:color w:val="auto"/>
                <w:kern w:val="0"/>
                <w:szCs w:val="21"/>
                <w:highlight w:val="none"/>
              </w:rPr>
              <w:t>行业名称</w:t>
            </w:r>
          </w:p>
        </w:tc>
        <w:tc>
          <w:tcPr>
            <w:tcW w:w="1642" w:type="dxa"/>
            <w:tcBorders>
              <w:top w:val="single" w:color="auto" w:sz="4" w:space="0"/>
              <w:left w:val="nil"/>
              <w:bottom w:val="single" w:color="auto" w:sz="4" w:space="0"/>
              <w:right w:val="single" w:color="auto" w:sz="4" w:space="0"/>
            </w:tcBorders>
            <w:noWrap w:val="0"/>
            <w:vAlign w:val="center"/>
          </w:tcPr>
          <w:p w14:paraId="41A0651B">
            <w:pPr>
              <w:widowControl/>
              <w:jc w:val="left"/>
              <w:rPr>
                <w:rFonts w:hint="eastAsia" w:ascii="宋体" w:hAnsi="宋体" w:cs="宋体"/>
                <w:b/>
                <w:color w:val="auto"/>
                <w:kern w:val="0"/>
                <w:szCs w:val="21"/>
                <w:highlight w:val="none"/>
              </w:rPr>
            </w:pPr>
            <w:r>
              <w:rPr>
                <w:rFonts w:hint="eastAsia" w:ascii="宋体" w:hAnsi="宋体" w:cs="宋体"/>
                <w:b/>
                <w:color w:val="auto"/>
                <w:kern w:val="0"/>
                <w:szCs w:val="21"/>
                <w:highlight w:val="none"/>
              </w:rPr>
              <w:t>指标名称</w:t>
            </w:r>
          </w:p>
        </w:tc>
        <w:tc>
          <w:tcPr>
            <w:tcW w:w="1084" w:type="dxa"/>
            <w:tcBorders>
              <w:top w:val="single" w:color="auto" w:sz="4" w:space="0"/>
              <w:left w:val="nil"/>
              <w:bottom w:val="single" w:color="auto" w:sz="4" w:space="0"/>
              <w:right w:val="single" w:color="auto" w:sz="4" w:space="0"/>
            </w:tcBorders>
            <w:noWrap w:val="0"/>
            <w:vAlign w:val="center"/>
          </w:tcPr>
          <w:p w14:paraId="77043EE3">
            <w:pPr>
              <w:widowControl/>
              <w:jc w:val="left"/>
              <w:rPr>
                <w:rFonts w:hint="eastAsia" w:ascii="宋体" w:hAnsi="宋体" w:cs="宋体"/>
                <w:b/>
                <w:color w:val="auto"/>
                <w:kern w:val="0"/>
                <w:szCs w:val="21"/>
                <w:highlight w:val="none"/>
              </w:rPr>
            </w:pPr>
            <w:r>
              <w:rPr>
                <w:rFonts w:hint="eastAsia" w:ascii="宋体" w:hAnsi="宋体" w:cs="宋体"/>
                <w:b/>
                <w:color w:val="auto"/>
                <w:kern w:val="0"/>
                <w:szCs w:val="21"/>
                <w:highlight w:val="none"/>
              </w:rPr>
              <w:t>计量单位</w:t>
            </w:r>
          </w:p>
        </w:tc>
        <w:tc>
          <w:tcPr>
            <w:tcW w:w="1923" w:type="dxa"/>
            <w:tcBorders>
              <w:top w:val="single" w:color="auto" w:sz="4" w:space="0"/>
              <w:left w:val="nil"/>
              <w:bottom w:val="single" w:color="auto" w:sz="4" w:space="0"/>
              <w:right w:val="single" w:color="auto" w:sz="4" w:space="0"/>
            </w:tcBorders>
            <w:noWrap w:val="0"/>
            <w:vAlign w:val="center"/>
          </w:tcPr>
          <w:p w14:paraId="183BEFB4">
            <w:pPr>
              <w:widowControl/>
              <w:jc w:val="left"/>
              <w:rPr>
                <w:rFonts w:hint="eastAsia" w:ascii="宋体" w:hAnsi="宋体" w:cs="宋体"/>
                <w:b/>
                <w:color w:val="auto"/>
                <w:kern w:val="0"/>
                <w:szCs w:val="21"/>
                <w:highlight w:val="none"/>
              </w:rPr>
            </w:pPr>
            <w:r>
              <w:rPr>
                <w:rFonts w:hint="eastAsia" w:ascii="宋体" w:hAnsi="宋体" w:cs="宋体"/>
                <w:b/>
                <w:color w:val="auto"/>
                <w:kern w:val="0"/>
                <w:szCs w:val="21"/>
                <w:highlight w:val="none"/>
              </w:rPr>
              <w:t>中型</w:t>
            </w:r>
          </w:p>
        </w:tc>
        <w:tc>
          <w:tcPr>
            <w:tcW w:w="1709" w:type="dxa"/>
            <w:tcBorders>
              <w:top w:val="single" w:color="auto" w:sz="4" w:space="0"/>
              <w:left w:val="nil"/>
              <w:bottom w:val="single" w:color="auto" w:sz="4" w:space="0"/>
              <w:right w:val="single" w:color="auto" w:sz="4" w:space="0"/>
            </w:tcBorders>
            <w:noWrap w:val="0"/>
            <w:vAlign w:val="center"/>
          </w:tcPr>
          <w:p w14:paraId="74A6124F">
            <w:pPr>
              <w:widowControl/>
              <w:jc w:val="left"/>
              <w:rPr>
                <w:rFonts w:hint="eastAsia" w:ascii="宋体" w:hAnsi="宋体" w:cs="宋体"/>
                <w:b/>
                <w:color w:val="auto"/>
                <w:kern w:val="0"/>
                <w:szCs w:val="21"/>
                <w:highlight w:val="none"/>
              </w:rPr>
            </w:pPr>
            <w:r>
              <w:rPr>
                <w:rFonts w:hint="eastAsia" w:ascii="宋体" w:hAnsi="宋体" w:cs="宋体"/>
                <w:b/>
                <w:color w:val="auto"/>
                <w:kern w:val="0"/>
                <w:szCs w:val="21"/>
                <w:highlight w:val="none"/>
              </w:rPr>
              <w:t>小型</w:t>
            </w:r>
          </w:p>
        </w:tc>
        <w:tc>
          <w:tcPr>
            <w:tcW w:w="1098" w:type="dxa"/>
            <w:tcBorders>
              <w:top w:val="single" w:color="auto" w:sz="4" w:space="0"/>
              <w:left w:val="nil"/>
              <w:bottom w:val="single" w:color="auto" w:sz="4" w:space="0"/>
              <w:right w:val="single" w:color="auto" w:sz="4" w:space="0"/>
            </w:tcBorders>
            <w:noWrap w:val="0"/>
            <w:vAlign w:val="center"/>
          </w:tcPr>
          <w:p w14:paraId="1520AB0F">
            <w:pPr>
              <w:widowControl/>
              <w:jc w:val="left"/>
              <w:rPr>
                <w:rFonts w:hint="eastAsia" w:ascii="宋体" w:hAnsi="宋体" w:cs="宋体"/>
                <w:b/>
                <w:color w:val="auto"/>
                <w:kern w:val="0"/>
                <w:szCs w:val="21"/>
                <w:highlight w:val="none"/>
              </w:rPr>
            </w:pPr>
            <w:r>
              <w:rPr>
                <w:rFonts w:hint="eastAsia" w:ascii="宋体" w:hAnsi="宋体" w:cs="宋体"/>
                <w:b/>
                <w:color w:val="auto"/>
                <w:kern w:val="0"/>
                <w:szCs w:val="21"/>
                <w:highlight w:val="none"/>
              </w:rPr>
              <w:t>微型</w:t>
            </w:r>
          </w:p>
        </w:tc>
      </w:tr>
      <w:tr w14:paraId="63898243">
        <w:trPr>
          <w:trHeight w:val="336" w:hRule="atLeast"/>
          <w:jc w:val="center"/>
        </w:trPr>
        <w:tc>
          <w:tcPr>
            <w:tcW w:w="2020" w:type="dxa"/>
            <w:tcBorders>
              <w:top w:val="nil"/>
              <w:left w:val="single" w:color="auto" w:sz="4" w:space="0"/>
              <w:bottom w:val="single" w:color="auto" w:sz="4" w:space="0"/>
              <w:right w:val="single" w:color="auto" w:sz="4" w:space="0"/>
            </w:tcBorders>
            <w:noWrap w:val="0"/>
            <w:vAlign w:val="bottom"/>
          </w:tcPr>
          <w:p w14:paraId="135687D5">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农、林、牧、渔</w:t>
            </w:r>
          </w:p>
        </w:tc>
        <w:tc>
          <w:tcPr>
            <w:tcW w:w="1642" w:type="dxa"/>
            <w:tcBorders>
              <w:top w:val="nil"/>
              <w:left w:val="nil"/>
              <w:bottom w:val="single" w:color="auto" w:sz="4" w:space="0"/>
              <w:right w:val="single" w:color="auto" w:sz="4" w:space="0"/>
            </w:tcBorders>
            <w:noWrap w:val="0"/>
            <w:vAlign w:val="center"/>
          </w:tcPr>
          <w:p w14:paraId="2B9D5443">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084" w:type="dxa"/>
            <w:tcBorders>
              <w:top w:val="nil"/>
              <w:left w:val="nil"/>
              <w:bottom w:val="single" w:color="auto" w:sz="4" w:space="0"/>
              <w:right w:val="single" w:color="auto" w:sz="4" w:space="0"/>
            </w:tcBorders>
            <w:noWrap w:val="0"/>
            <w:vAlign w:val="center"/>
          </w:tcPr>
          <w:p w14:paraId="11A2236C">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23" w:type="dxa"/>
            <w:tcBorders>
              <w:top w:val="nil"/>
              <w:left w:val="nil"/>
              <w:bottom w:val="single" w:color="auto" w:sz="4" w:space="0"/>
              <w:right w:val="single" w:color="auto" w:sz="4" w:space="0"/>
            </w:tcBorders>
            <w:noWrap w:val="0"/>
            <w:vAlign w:val="center"/>
          </w:tcPr>
          <w:p w14:paraId="232C8C36">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500≤Y＜20000</w:t>
            </w:r>
          </w:p>
        </w:tc>
        <w:tc>
          <w:tcPr>
            <w:tcW w:w="1709" w:type="dxa"/>
            <w:tcBorders>
              <w:top w:val="nil"/>
              <w:left w:val="nil"/>
              <w:bottom w:val="single" w:color="auto" w:sz="4" w:space="0"/>
              <w:right w:val="single" w:color="auto" w:sz="4" w:space="0"/>
            </w:tcBorders>
            <w:noWrap w:val="0"/>
            <w:vAlign w:val="center"/>
          </w:tcPr>
          <w:p w14:paraId="5FA23C6C">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50≤Y＜500</w:t>
            </w:r>
          </w:p>
        </w:tc>
        <w:tc>
          <w:tcPr>
            <w:tcW w:w="1098" w:type="dxa"/>
            <w:tcBorders>
              <w:top w:val="nil"/>
              <w:left w:val="nil"/>
              <w:bottom w:val="single" w:color="auto" w:sz="4" w:space="0"/>
              <w:right w:val="single" w:color="auto" w:sz="4" w:space="0"/>
            </w:tcBorders>
            <w:noWrap w:val="0"/>
            <w:vAlign w:val="center"/>
          </w:tcPr>
          <w:p w14:paraId="32108359">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Y＜50</w:t>
            </w:r>
          </w:p>
        </w:tc>
      </w:tr>
      <w:tr w14:paraId="155CCE19">
        <w:trPr>
          <w:trHeight w:val="336" w:hRule="atLeast"/>
          <w:jc w:val="center"/>
        </w:trPr>
        <w:tc>
          <w:tcPr>
            <w:tcW w:w="2020" w:type="dxa"/>
            <w:vMerge w:val="restart"/>
            <w:tcBorders>
              <w:top w:val="nil"/>
              <w:left w:val="single" w:color="auto" w:sz="4" w:space="0"/>
              <w:bottom w:val="single" w:color="auto" w:sz="4" w:space="0"/>
              <w:right w:val="single" w:color="auto" w:sz="4" w:space="0"/>
            </w:tcBorders>
            <w:noWrap w:val="0"/>
            <w:vAlign w:val="bottom"/>
          </w:tcPr>
          <w:p w14:paraId="6F30E692">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工业</w:t>
            </w:r>
          </w:p>
        </w:tc>
        <w:tc>
          <w:tcPr>
            <w:tcW w:w="1642" w:type="dxa"/>
            <w:tcBorders>
              <w:top w:val="nil"/>
              <w:left w:val="nil"/>
              <w:bottom w:val="single" w:color="auto" w:sz="4" w:space="0"/>
              <w:right w:val="single" w:color="auto" w:sz="4" w:space="0"/>
            </w:tcBorders>
            <w:noWrap w:val="0"/>
            <w:vAlign w:val="center"/>
          </w:tcPr>
          <w:p w14:paraId="3C3B1976">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084" w:type="dxa"/>
            <w:tcBorders>
              <w:top w:val="nil"/>
              <w:left w:val="nil"/>
              <w:bottom w:val="single" w:color="auto" w:sz="4" w:space="0"/>
              <w:right w:val="single" w:color="auto" w:sz="4" w:space="0"/>
            </w:tcBorders>
            <w:noWrap w:val="0"/>
            <w:vAlign w:val="center"/>
          </w:tcPr>
          <w:p w14:paraId="00717AF8">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人</w:t>
            </w:r>
          </w:p>
        </w:tc>
        <w:tc>
          <w:tcPr>
            <w:tcW w:w="1923" w:type="dxa"/>
            <w:tcBorders>
              <w:top w:val="nil"/>
              <w:left w:val="nil"/>
              <w:bottom w:val="single" w:color="auto" w:sz="4" w:space="0"/>
              <w:right w:val="single" w:color="auto" w:sz="4" w:space="0"/>
            </w:tcBorders>
            <w:noWrap w:val="0"/>
            <w:vAlign w:val="center"/>
          </w:tcPr>
          <w:p w14:paraId="4ACCBC56">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300≤X＜1000</w:t>
            </w:r>
          </w:p>
        </w:tc>
        <w:tc>
          <w:tcPr>
            <w:tcW w:w="1709" w:type="dxa"/>
            <w:tcBorders>
              <w:top w:val="nil"/>
              <w:left w:val="nil"/>
              <w:bottom w:val="single" w:color="auto" w:sz="4" w:space="0"/>
              <w:right w:val="single" w:color="auto" w:sz="4" w:space="0"/>
            </w:tcBorders>
            <w:noWrap w:val="0"/>
            <w:vAlign w:val="center"/>
          </w:tcPr>
          <w:p w14:paraId="7D681E85">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20≤X＜300</w:t>
            </w:r>
          </w:p>
        </w:tc>
        <w:tc>
          <w:tcPr>
            <w:tcW w:w="1098" w:type="dxa"/>
            <w:tcBorders>
              <w:top w:val="nil"/>
              <w:left w:val="nil"/>
              <w:bottom w:val="single" w:color="auto" w:sz="4" w:space="0"/>
              <w:right w:val="single" w:color="auto" w:sz="4" w:space="0"/>
            </w:tcBorders>
            <w:noWrap w:val="0"/>
            <w:vAlign w:val="center"/>
          </w:tcPr>
          <w:p w14:paraId="12F7737F">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X＜20</w:t>
            </w:r>
          </w:p>
        </w:tc>
      </w:tr>
      <w:tr w14:paraId="3F3CDB0F">
        <w:trPr>
          <w:trHeight w:val="336" w:hRule="atLeast"/>
          <w:jc w:val="center"/>
        </w:trPr>
        <w:tc>
          <w:tcPr>
            <w:tcW w:w="2020" w:type="dxa"/>
            <w:vMerge w:val="continue"/>
            <w:tcBorders>
              <w:top w:val="nil"/>
              <w:left w:val="single" w:color="auto" w:sz="4" w:space="0"/>
              <w:bottom w:val="single" w:color="auto" w:sz="4" w:space="0"/>
              <w:right w:val="single" w:color="auto" w:sz="4" w:space="0"/>
            </w:tcBorders>
            <w:noWrap w:val="0"/>
            <w:vAlign w:val="center"/>
          </w:tcPr>
          <w:p w14:paraId="370CD969">
            <w:pPr>
              <w:widowControl/>
              <w:jc w:val="left"/>
              <w:rPr>
                <w:rFonts w:hint="eastAsia" w:ascii="宋体" w:hAnsi="宋体" w:cs="宋体"/>
                <w:b/>
                <w:bCs/>
                <w:color w:val="auto"/>
                <w:kern w:val="0"/>
                <w:szCs w:val="21"/>
                <w:highlight w:val="none"/>
              </w:rPr>
            </w:pPr>
          </w:p>
        </w:tc>
        <w:tc>
          <w:tcPr>
            <w:tcW w:w="1642" w:type="dxa"/>
            <w:tcBorders>
              <w:top w:val="nil"/>
              <w:left w:val="nil"/>
              <w:bottom w:val="single" w:color="auto" w:sz="4" w:space="0"/>
              <w:right w:val="single" w:color="auto" w:sz="4" w:space="0"/>
            </w:tcBorders>
            <w:noWrap w:val="0"/>
            <w:vAlign w:val="center"/>
          </w:tcPr>
          <w:p w14:paraId="04AD9CCA">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084" w:type="dxa"/>
            <w:tcBorders>
              <w:top w:val="nil"/>
              <w:left w:val="nil"/>
              <w:bottom w:val="single" w:color="auto" w:sz="4" w:space="0"/>
              <w:right w:val="single" w:color="auto" w:sz="4" w:space="0"/>
            </w:tcBorders>
            <w:noWrap w:val="0"/>
            <w:vAlign w:val="center"/>
          </w:tcPr>
          <w:p w14:paraId="28D998A9">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23" w:type="dxa"/>
            <w:tcBorders>
              <w:top w:val="nil"/>
              <w:left w:val="nil"/>
              <w:bottom w:val="single" w:color="auto" w:sz="4" w:space="0"/>
              <w:right w:val="single" w:color="auto" w:sz="4" w:space="0"/>
            </w:tcBorders>
            <w:noWrap w:val="0"/>
            <w:vAlign w:val="center"/>
          </w:tcPr>
          <w:p w14:paraId="6A72E8D9">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2000≤Y＜40000</w:t>
            </w:r>
          </w:p>
        </w:tc>
        <w:tc>
          <w:tcPr>
            <w:tcW w:w="1709" w:type="dxa"/>
            <w:tcBorders>
              <w:top w:val="nil"/>
              <w:left w:val="nil"/>
              <w:bottom w:val="single" w:color="auto" w:sz="4" w:space="0"/>
              <w:right w:val="single" w:color="auto" w:sz="4" w:space="0"/>
            </w:tcBorders>
            <w:noWrap w:val="0"/>
            <w:vAlign w:val="center"/>
          </w:tcPr>
          <w:p w14:paraId="6967F74E">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300≤Y＜2000</w:t>
            </w:r>
          </w:p>
        </w:tc>
        <w:tc>
          <w:tcPr>
            <w:tcW w:w="1098" w:type="dxa"/>
            <w:tcBorders>
              <w:top w:val="nil"/>
              <w:left w:val="nil"/>
              <w:bottom w:val="single" w:color="auto" w:sz="4" w:space="0"/>
              <w:right w:val="single" w:color="auto" w:sz="4" w:space="0"/>
            </w:tcBorders>
            <w:noWrap w:val="0"/>
            <w:vAlign w:val="center"/>
          </w:tcPr>
          <w:p w14:paraId="2A4F815E">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Y＜300</w:t>
            </w:r>
          </w:p>
        </w:tc>
      </w:tr>
      <w:tr w14:paraId="43DFA4BB">
        <w:trPr>
          <w:trHeight w:val="336" w:hRule="atLeast"/>
          <w:jc w:val="center"/>
        </w:trPr>
        <w:tc>
          <w:tcPr>
            <w:tcW w:w="2020" w:type="dxa"/>
            <w:vMerge w:val="restart"/>
            <w:tcBorders>
              <w:top w:val="nil"/>
              <w:left w:val="single" w:color="auto" w:sz="4" w:space="0"/>
              <w:bottom w:val="single" w:color="auto" w:sz="4" w:space="0"/>
              <w:right w:val="single" w:color="auto" w:sz="4" w:space="0"/>
            </w:tcBorders>
            <w:noWrap w:val="0"/>
            <w:vAlign w:val="bottom"/>
          </w:tcPr>
          <w:p w14:paraId="0E680AEA">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建筑业</w:t>
            </w:r>
          </w:p>
        </w:tc>
        <w:tc>
          <w:tcPr>
            <w:tcW w:w="1642" w:type="dxa"/>
            <w:tcBorders>
              <w:top w:val="nil"/>
              <w:left w:val="nil"/>
              <w:bottom w:val="single" w:color="auto" w:sz="4" w:space="0"/>
              <w:right w:val="single" w:color="auto" w:sz="4" w:space="0"/>
            </w:tcBorders>
            <w:noWrap w:val="0"/>
            <w:vAlign w:val="center"/>
          </w:tcPr>
          <w:p w14:paraId="68B42274">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084" w:type="dxa"/>
            <w:tcBorders>
              <w:top w:val="nil"/>
              <w:left w:val="nil"/>
              <w:bottom w:val="single" w:color="auto" w:sz="4" w:space="0"/>
              <w:right w:val="single" w:color="auto" w:sz="4" w:space="0"/>
            </w:tcBorders>
            <w:noWrap w:val="0"/>
            <w:vAlign w:val="center"/>
          </w:tcPr>
          <w:p w14:paraId="0F562A27">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23" w:type="dxa"/>
            <w:tcBorders>
              <w:top w:val="nil"/>
              <w:left w:val="nil"/>
              <w:bottom w:val="single" w:color="auto" w:sz="4" w:space="0"/>
              <w:right w:val="single" w:color="auto" w:sz="4" w:space="0"/>
            </w:tcBorders>
            <w:noWrap w:val="0"/>
            <w:vAlign w:val="center"/>
          </w:tcPr>
          <w:p w14:paraId="1A3E1A8A">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6000≤Y＜80000</w:t>
            </w:r>
          </w:p>
        </w:tc>
        <w:tc>
          <w:tcPr>
            <w:tcW w:w="1709" w:type="dxa"/>
            <w:tcBorders>
              <w:top w:val="nil"/>
              <w:left w:val="nil"/>
              <w:bottom w:val="single" w:color="auto" w:sz="4" w:space="0"/>
              <w:right w:val="single" w:color="auto" w:sz="4" w:space="0"/>
            </w:tcBorders>
            <w:noWrap w:val="0"/>
            <w:vAlign w:val="center"/>
          </w:tcPr>
          <w:p w14:paraId="21024C30">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300≤Y＜6000</w:t>
            </w:r>
          </w:p>
        </w:tc>
        <w:tc>
          <w:tcPr>
            <w:tcW w:w="1098" w:type="dxa"/>
            <w:tcBorders>
              <w:top w:val="nil"/>
              <w:left w:val="nil"/>
              <w:bottom w:val="single" w:color="auto" w:sz="4" w:space="0"/>
              <w:right w:val="single" w:color="auto" w:sz="4" w:space="0"/>
            </w:tcBorders>
            <w:noWrap w:val="0"/>
            <w:vAlign w:val="center"/>
          </w:tcPr>
          <w:p w14:paraId="6E98138A">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Y＜300</w:t>
            </w:r>
          </w:p>
        </w:tc>
      </w:tr>
      <w:tr w14:paraId="59CAF314">
        <w:trPr>
          <w:trHeight w:val="336" w:hRule="atLeast"/>
          <w:jc w:val="center"/>
        </w:trPr>
        <w:tc>
          <w:tcPr>
            <w:tcW w:w="2020" w:type="dxa"/>
            <w:vMerge w:val="continue"/>
            <w:tcBorders>
              <w:top w:val="nil"/>
              <w:left w:val="single" w:color="auto" w:sz="4" w:space="0"/>
              <w:bottom w:val="single" w:color="auto" w:sz="4" w:space="0"/>
              <w:right w:val="single" w:color="auto" w:sz="4" w:space="0"/>
            </w:tcBorders>
            <w:noWrap w:val="0"/>
            <w:vAlign w:val="center"/>
          </w:tcPr>
          <w:p w14:paraId="5EA9018D">
            <w:pPr>
              <w:widowControl/>
              <w:jc w:val="left"/>
              <w:rPr>
                <w:rFonts w:hint="eastAsia" w:ascii="宋体" w:hAnsi="宋体" w:cs="宋体"/>
                <w:b/>
                <w:bCs/>
                <w:color w:val="auto"/>
                <w:kern w:val="0"/>
                <w:szCs w:val="21"/>
                <w:highlight w:val="none"/>
              </w:rPr>
            </w:pPr>
          </w:p>
        </w:tc>
        <w:tc>
          <w:tcPr>
            <w:tcW w:w="1642" w:type="dxa"/>
            <w:tcBorders>
              <w:top w:val="nil"/>
              <w:left w:val="nil"/>
              <w:bottom w:val="single" w:color="auto" w:sz="4" w:space="0"/>
              <w:right w:val="single" w:color="auto" w:sz="4" w:space="0"/>
            </w:tcBorders>
            <w:noWrap w:val="0"/>
            <w:vAlign w:val="center"/>
          </w:tcPr>
          <w:p w14:paraId="0487EC88">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资产总额（Z）</w:t>
            </w:r>
          </w:p>
        </w:tc>
        <w:tc>
          <w:tcPr>
            <w:tcW w:w="1084" w:type="dxa"/>
            <w:tcBorders>
              <w:top w:val="nil"/>
              <w:left w:val="nil"/>
              <w:bottom w:val="single" w:color="auto" w:sz="4" w:space="0"/>
              <w:right w:val="single" w:color="auto" w:sz="4" w:space="0"/>
            </w:tcBorders>
            <w:noWrap w:val="0"/>
            <w:vAlign w:val="center"/>
          </w:tcPr>
          <w:p w14:paraId="4EFBD411">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23" w:type="dxa"/>
            <w:tcBorders>
              <w:top w:val="nil"/>
              <w:left w:val="nil"/>
              <w:bottom w:val="single" w:color="auto" w:sz="4" w:space="0"/>
              <w:right w:val="single" w:color="auto" w:sz="4" w:space="0"/>
            </w:tcBorders>
            <w:noWrap w:val="0"/>
            <w:vAlign w:val="center"/>
          </w:tcPr>
          <w:p w14:paraId="00674688">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5000≤Z＜80000</w:t>
            </w:r>
          </w:p>
        </w:tc>
        <w:tc>
          <w:tcPr>
            <w:tcW w:w="1709" w:type="dxa"/>
            <w:tcBorders>
              <w:top w:val="nil"/>
              <w:left w:val="nil"/>
              <w:bottom w:val="single" w:color="auto" w:sz="4" w:space="0"/>
              <w:right w:val="single" w:color="auto" w:sz="4" w:space="0"/>
            </w:tcBorders>
            <w:noWrap w:val="0"/>
            <w:vAlign w:val="center"/>
          </w:tcPr>
          <w:p w14:paraId="056ADCCD">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300≤Z＜5000</w:t>
            </w:r>
          </w:p>
        </w:tc>
        <w:tc>
          <w:tcPr>
            <w:tcW w:w="1098" w:type="dxa"/>
            <w:tcBorders>
              <w:top w:val="nil"/>
              <w:left w:val="nil"/>
              <w:bottom w:val="single" w:color="auto" w:sz="4" w:space="0"/>
              <w:right w:val="single" w:color="auto" w:sz="4" w:space="0"/>
            </w:tcBorders>
            <w:noWrap w:val="0"/>
            <w:vAlign w:val="center"/>
          </w:tcPr>
          <w:p w14:paraId="425C11A5">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Z＜300</w:t>
            </w:r>
          </w:p>
        </w:tc>
      </w:tr>
      <w:tr w14:paraId="102D022A">
        <w:trPr>
          <w:trHeight w:val="336" w:hRule="atLeast"/>
          <w:jc w:val="center"/>
        </w:trPr>
        <w:tc>
          <w:tcPr>
            <w:tcW w:w="2020" w:type="dxa"/>
            <w:vMerge w:val="restart"/>
            <w:tcBorders>
              <w:top w:val="nil"/>
              <w:left w:val="single" w:color="auto" w:sz="4" w:space="0"/>
              <w:bottom w:val="single" w:color="auto" w:sz="4" w:space="0"/>
              <w:right w:val="single" w:color="auto" w:sz="4" w:space="0"/>
            </w:tcBorders>
            <w:noWrap w:val="0"/>
            <w:vAlign w:val="bottom"/>
          </w:tcPr>
          <w:p w14:paraId="5EE13793">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批发业</w:t>
            </w:r>
          </w:p>
        </w:tc>
        <w:tc>
          <w:tcPr>
            <w:tcW w:w="1642" w:type="dxa"/>
            <w:tcBorders>
              <w:top w:val="nil"/>
              <w:left w:val="nil"/>
              <w:bottom w:val="single" w:color="auto" w:sz="4" w:space="0"/>
              <w:right w:val="single" w:color="auto" w:sz="4" w:space="0"/>
            </w:tcBorders>
            <w:noWrap w:val="0"/>
            <w:vAlign w:val="center"/>
          </w:tcPr>
          <w:p w14:paraId="3DD1F0A3">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084" w:type="dxa"/>
            <w:tcBorders>
              <w:top w:val="nil"/>
              <w:left w:val="nil"/>
              <w:bottom w:val="single" w:color="auto" w:sz="4" w:space="0"/>
              <w:right w:val="single" w:color="auto" w:sz="4" w:space="0"/>
            </w:tcBorders>
            <w:noWrap w:val="0"/>
            <w:vAlign w:val="center"/>
          </w:tcPr>
          <w:p w14:paraId="7D4ABAAD">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人</w:t>
            </w:r>
          </w:p>
        </w:tc>
        <w:tc>
          <w:tcPr>
            <w:tcW w:w="1923" w:type="dxa"/>
            <w:tcBorders>
              <w:top w:val="nil"/>
              <w:left w:val="nil"/>
              <w:bottom w:val="single" w:color="auto" w:sz="4" w:space="0"/>
              <w:right w:val="single" w:color="auto" w:sz="4" w:space="0"/>
            </w:tcBorders>
            <w:noWrap w:val="0"/>
            <w:vAlign w:val="center"/>
          </w:tcPr>
          <w:p w14:paraId="55F49D53">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20≤X＜200</w:t>
            </w:r>
          </w:p>
        </w:tc>
        <w:tc>
          <w:tcPr>
            <w:tcW w:w="1709" w:type="dxa"/>
            <w:tcBorders>
              <w:top w:val="nil"/>
              <w:left w:val="nil"/>
              <w:bottom w:val="single" w:color="auto" w:sz="4" w:space="0"/>
              <w:right w:val="single" w:color="auto" w:sz="4" w:space="0"/>
            </w:tcBorders>
            <w:noWrap w:val="0"/>
            <w:vAlign w:val="center"/>
          </w:tcPr>
          <w:p w14:paraId="4DBC94F3">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5≤X＜20</w:t>
            </w:r>
          </w:p>
        </w:tc>
        <w:tc>
          <w:tcPr>
            <w:tcW w:w="1098" w:type="dxa"/>
            <w:tcBorders>
              <w:top w:val="nil"/>
              <w:left w:val="nil"/>
              <w:bottom w:val="single" w:color="auto" w:sz="4" w:space="0"/>
              <w:right w:val="single" w:color="auto" w:sz="4" w:space="0"/>
            </w:tcBorders>
            <w:noWrap w:val="0"/>
            <w:vAlign w:val="center"/>
          </w:tcPr>
          <w:p w14:paraId="10C429F3">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X＜5</w:t>
            </w:r>
          </w:p>
        </w:tc>
      </w:tr>
      <w:tr w14:paraId="785C9AF3">
        <w:trPr>
          <w:trHeight w:val="336" w:hRule="atLeast"/>
          <w:jc w:val="center"/>
        </w:trPr>
        <w:tc>
          <w:tcPr>
            <w:tcW w:w="2020" w:type="dxa"/>
            <w:vMerge w:val="continue"/>
            <w:tcBorders>
              <w:top w:val="nil"/>
              <w:left w:val="single" w:color="auto" w:sz="4" w:space="0"/>
              <w:bottom w:val="single" w:color="auto" w:sz="4" w:space="0"/>
              <w:right w:val="single" w:color="auto" w:sz="4" w:space="0"/>
            </w:tcBorders>
            <w:noWrap w:val="0"/>
            <w:vAlign w:val="center"/>
          </w:tcPr>
          <w:p w14:paraId="00062307">
            <w:pPr>
              <w:widowControl/>
              <w:jc w:val="left"/>
              <w:rPr>
                <w:rFonts w:hint="eastAsia" w:ascii="宋体" w:hAnsi="宋体" w:cs="宋体"/>
                <w:b/>
                <w:bCs/>
                <w:color w:val="auto"/>
                <w:kern w:val="0"/>
                <w:szCs w:val="21"/>
                <w:highlight w:val="none"/>
              </w:rPr>
            </w:pPr>
          </w:p>
        </w:tc>
        <w:tc>
          <w:tcPr>
            <w:tcW w:w="1642" w:type="dxa"/>
            <w:tcBorders>
              <w:top w:val="nil"/>
              <w:left w:val="nil"/>
              <w:bottom w:val="single" w:color="auto" w:sz="4" w:space="0"/>
              <w:right w:val="single" w:color="auto" w:sz="4" w:space="0"/>
            </w:tcBorders>
            <w:noWrap w:val="0"/>
            <w:vAlign w:val="center"/>
          </w:tcPr>
          <w:p w14:paraId="3285340C">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084" w:type="dxa"/>
            <w:tcBorders>
              <w:top w:val="nil"/>
              <w:left w:val="nil"/>
              <w:bottom w:val="single" w:color="auto" w:sz="4" w:space="0"/>
              <w:right w:val="single" w:color="auto" w:sz="4" w:space="0"/>
            </w:tcBorders>
            <w:noWrap w:val="0"/>
            <w:vAlign w:val="center"/>
          </w:tcPr>
          <w:p w14:paraId="2916DF9B">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23" w:type="dxa"/>
            <w:tcBorders>
              <w:top w:val="nil"/>
              <w:left w:val="nil"/>
              <w:bottom w:val="single" w:color="auto" w:sz="4" w:space="0"/>
              <w:right w:val="single" w:color="auto" w:sz="4" w:space="0"/>
            </w:tcBorders>
            <w:noWrap w:val="0"/>
            <w:vAlign w:val="center"/>
          </w:tcPr>
          <w:p w14:paraId="52A91D1E">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5000≤Y＜40000</w:t>
            </w:r>
          </w:p>
        </w:tc>
        <w:tc>
          <w:tcPr>
            <w:tcW w:w="1709" w:type="dxa"/>
            <w:tcBorders>
              <w:top w:val="nil"/>
              <w:left w:val="nil"/>
              <w:bottom w:val="single" w:color="auto" w:sz="4" w:space="0"/>
              <w:right w:val="single" w:color="auto" w:sz="4" w:space="0"/>
            </w:tcBorders>
            <w:noWrap w:val="0"/>
            <w:vAlign w:val="center"/>
          </w:tcPr>
          <w:p w14:paraId="6CA54C6E">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1000≤Y＜5000</w:t>
            </w:r>
          </w:p>
        </w:tc>
        <w:tc>
          <w:tcPr>
            <w:tcW w:w="1098" w:type="dxa"/>
            <w:tcBorders>
              <w:top w:val="nil"/>
              <w:left w:val="nil"/>
              <w:bottom w:val="single" w:color="auto" w:sz="4" w:space="0"/>
              <w:right w:val="single" w:color="auto" w:sz="4" w:space="0"/>
            </w:tcBorders>
            <w:noWrap w:val="0"/>
            <w:vAlign w:val="center"/>
          </w:tcPr>
          <w:p w14:paraId="14D6CB53">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Y＜1000</w:t>
            </w:r>
          </w:p>
        </w:tc>
      </w:tr>
      <w:tr w14:paraId="339785CD">
        <w:trPr>
          <w:trHeight w:val="336" w:hRule="atLeast"/>
          <w:jc w:val="center"/>
        </w:trPr>
        <w:tc>
          <w:tcPr>
            <w:tcW w:w="2020" w:type="dxa"/>
            <w:vMerge w:val="restart"/>
            <w:tcBorders>
              <w:top w:val="nil"/>
              <w:left w:val="single" w:color="auto" w:sz="4" w:space="0"/>
              <w:bottom w:val="single" w:color="auto" w:sz="4" w:space="0"/>
              <w:right w:val="single" w:color="auto" w:sz="4" w:space="0"/>
            </w:tcBorders>
            <w:noWrap w:val="0"/>
            <w:vAlign w:val="bottom"/>
          </w:tcPr>
          <w:p w14:paraId="45A045A0">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零售业</w:t>
            </w:r>
          </w:p>
        </w:tc>
        <w:tc>
          <w:tcPr>
            <w:tcW w:w="1642" w:type="dxa"/>
            <w:tcBorders>
              <w:top w:val="nil"/>
              <w:left w:val="nil"/>
              <w:bottom w:val="single" w:color="auto" w:sz="4" w:space="0"/>
              <w:right w:val="single" w:color="auto" w:sz="4" w:space="0"/>
            </w:tcBorders>
            <w:noWrap w:val="0"/>
            <w:vAlign w:val="center"/>
          </w:tcPr>
          <w:p w14:paraId="0AFEA843">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084" w:type="dxa"/>
            <w:tcBorders>
              <w:top w:val="nil"/>
              <w:left w:val="nil"/>
              <w:bottom w:val="single" w:color="auto" w:sz="4" w:space="0"/>
              <w:right w:val="single" w:color="auto" w:sz="4" w:space="0"/>
            </w:tcBorders>
            <w:noWrap w:val="0"/>
            <w:vAlign w:val="center"/>
          </w:tcPr>
          <w:p w14:paraId="73A50574">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人</w:t>
            </w:r>
          </w:p>
        </w:tc>
        <w:tc>
          <w:tcPr>
            <w:tcW w:w="1923" w:type="dxa"/>
            <w:tcBorders>
              <w:top w:val="nil"/>
              <w:left w:val="nil"/>
              <w:bottom w:val="single" w:color="auto" w:sz="4" w:space="0"/>
              <w:right w:val="single" w:color="auto" w:sz="4" w:space="0"/>
            </w:tcBorders>
            <w:noWrap w:val="0"/>
            <w:vAlign w:val="center"/>
          </w:tcPr>
          <w:p w14:paraId="36A65F8D">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50≤X＜300</w:t>
            </w:r>
          </w:p>
        </w:tc>
        <w:tc>
          <w:tcPr>
            <w:tcW w:w="1709" w:type="dxa"/>
            <w:tcBorders>
              <w:top w:val="nil"/>
              <w:left w:val="nil"/>
              <w:bottom w:val="single" w:color="auto" w:sz="4" w:space="0"/>
              <w:right w:val="single" w:color="auto" w:sz="4" w:space="0"/>
            </w:tcBorders>
            <w:noWrap w:val="0"/>
            <w:vAlign w:val="center"/>
          </w:tcPr>
          <w:p w14:paraId="389B612D">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10≤X＜50</w:t>
            </w:r>
          </w:p>
        </w:tc>
        <w:tc>
          <w:tcPr>
            <w:tcW w:w="1098" w:type="dxa"/>
            <w:tcBorders>
              <w:top w:val="nil"/>
              <w:left w:val="nil"/>
              <w:bottom w:val="single" w:color="auto" w:sz="4" w:space="0"/>
              <w:right w:val="single" w:color="auto" w:sz="4" w:space="0"/>
            </w:tcBorders>
            <w:noWrap w:val="0"/>
            <w:vAlign w:val="center"/>
          </w:tcPr>
          <w:p w14:paraId="4203019C">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X＜10</w:t>
            </w:r>
          </w:p>
        </w:tc>
      </w:tr>
      <w:tr w14:paraId="44E89B10">
        <w:trPr>
          <w:trHeight w:val="336" w:hRule="atLeast"/>
          <w:jc w:val="center"/>
        </w:trPr>
        <w:tc>
          <w:tcPr>
            <w:tcW w:w="2020" w:type="dxa"/>
            <w:vMerge w:val="continue"/>
            <w:tcBorders>
              <w:top w:val="nil"/>
              <w:left w:val="single" w:color="auto" w:sz="4" w:space="0"/>
              <w:bottom w:val="single" w:color="auto" w:sz="4" w:space="0"/>
              <w:right w:val="single" w:color="auto" w:sz="4" w:space="0"/>
            </w:tcBorders>
            <w:noWrap w:val="0"/>
            <w:vAlign w:val="center"/>
          </w:tcPr>
          <w:p w14:paraId="36826DE2">
            <w:pPr>
              <w:widowControl/>
              <w:jc w:val="left"/>
              <w:rPr>
                <w:rFonts w:hint="eastAsia" w:ascii="宋体" w:hAnsi="宋体" w:cs="宋体"/>
                <w:b/>
                <w:bCs/>
                <w:color w:val="auto"/>
                <w:kern w:val="0"/>
                <w:szCs w:val="21"/>
                <w:highlight w:val="none"/>
              </w:rPr>
            </w:pPr>
          </w:p>
        </w:tc>
        <w:tc>
          <w:tcPr>
            <w:tcW w:w="1642" w:type="dxa"/>
            <w:tcBorders>
              <w:top w:val="nil"/>
              <w:left w:val="nil"/>
              <w:bottom w:val="single" w:color="auto" w:sz="4" w:space="0"/>
              <w:right w:val="single" w:color="auto" w:sz="4" w:space="0"/>
            </w:tcBorders>
            <w:noWrap w:val="0"/>
            <w:vAlign w:val="center"/>
          </w:tcPr>
          <w:p w14:paraId="6DFFAF8B">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084" w:type="dxa"/>
            <w:tcBorders>
              <w:top w:val="nil"/>
              <w:left w:val="nil"/>
              <w:bottom w:val="single" w:color="auto" w:sz="4" w:space="0"/>
              <w:right w:val="single" w:color="auto" w:sz="4" w:space="0"/>
            </w:tcBorders>
            <w:noWrap w:val="0"/>
            <w:vAlign w:val="center"/>
          </w:tcPr>
          <w:p w14:paraId="606B41C0">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23" w:type="dxa"/>
            <w:tcBorders>
              <w:top w:val="nil"/>
              <w:left w:val="nil"/>
              <w:bottom w:val="single" w:color="auto" w:sz="4" w:space="0"/>
              <w:right w:val="single" w:color="auto" w:sz="4" w:space="0"/>
            </w:tcBorders>
            <w:noWrap w:val="0"/>
            <w:vAlign w:val="center"/>
          </w:tcPr>
          <w:p w14:paraId="1CE7AEF7">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500≤Y＜20000</w:t>
            </w:r>
          </w:p>
        </w:tc>
        <w:tc>
          <w:tcPr>
            <w:tcW w:w="1709" w:type="dxa"/>
            <w:tcBorders>
              <w:top w:val="nil"/>
              <w:left w:val="nil"/>
              <w:bottom w:val="single" w:color="auto" w:sz="4" w:space="0"/>
              <w:right w:val="single" w:color="auto" w:sz="4" w:space="0"/>
            </w:tcBorders>
            <w:noWrap w:val="0"/>
            <w:vAlign w:val="center"/>
          </w:tcPr>
          <w:p w14:paraId="4E6EAC5E">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100≤Y＜500</w:t>
            </w:r>
          </w:p>
        </w:tc>
        <w:tc>
          <w:tcPr>
            <w:tcW w:w="1098" w:type="dxa"/>
            <w:tcBorders>
              <w:top w:val="nil"/>
              <w:left w:val="nil"/>
              <w:bottom w:val="single" w:color="auto" w:sz="4" w:space="0"/>
              <w:right w:val="single" w:color="auto" w:sz="4" w:space="0"/>
            </w:tcBorders>
            <w:noWrap w:val="0"/>
            <w:vAlign w:val="center"/>
          </w:tcPr>
          <w:p w14:paraId="465197EC">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Y＜100</w:t>
            </w:r>
          </w:p>
        </w:tc>
      </w:tr>
      <w:tr w14:paraId="63910B55">
        <w:trPr>
          <w:trHeight w:val="336" w:hRule="atLeast"/>
          <w:jc w:val="center"/>
        </w:trPr>
        <w:tc>
          <w:tcPr>
            <w:tcW w:w="2020" w:type="dxa"/>
            <w:vMerge w:val="restart"/>
            <w:tcBorders>
              <w:top w:val="nil"/>
              <w:left w:val="single" w:color="auto" w:sz="4" w:space="0"/>
              <w:bottom w:val="single" w:color="auto" w:sz="4" w:space="0"/>
              <w:right w:val="single" w:color="auto" w:sz="4" w:space="0"/>
            </w:tcBorders>
            <w:noWrap w:val="0"/>
            <w:vAlign w:val="bottom"/>
          </w:tcPr>
          <w:p w14:paraId="7C19C9EB">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交通运输业</w:t>
            </w:r>
          </w:p>
        </w:tc>
        <w:tc>
          <w:tcPr>
            <w:tcW w:w="1642" w:type="dxa"/>
            <w:tcBorders>
              <w:top w:val="nil"/>
              <w:left w:val="nil"/>
              <w:bottom w:val="single" w:color="auto" w:sz="4" w:space="0"/>
              <w:right w:val="single" w:color="auto" w:sz="4" w:space="0"/>
            </w:tcBorders>
            <w:noWrap w:val="0"/>
            <w:vAlign w:val="center"/>
          </w:tcPr>
          <w:p w14:paraId="631141A0">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084" w:type="dxa"/>
            <w:tcBorders>
              <w:top w:val="nil"/>
              <w:left w:val="nil"/>
              <w:bottom w:val="single" w:color="auto" w:sz="4" w:space="0"/>
              <w:right w:val="single" w:color="auto" w:sz="4" w:space="0"/>
            </w:tcBorders>
            <w:noWrap w:val="0"/>
            <w:vAlign w:val="center"/>
          </w:tcPr>
          <w:p w14:paraId="654AADC8">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人</w:t>
            </w:r>
          </w:p>
        </w:tc>
        <w:tc>
          <w:tcPr>
            <w:tcW w:w="1923" w:type="dxa"/>
            <w:tcBorders>
              <w:top w:val="nil"/>
              <w:left w:val="nil"/>
              <w:bottom w:val="single" w:color="auto" w:sz="4" w:space="0"/>
              <w:right w:val="single" w:color="auto" w:sz="4" w:space="0"/>
            </w:tcBorders>
            <w:noWrap w:val="0"/>
            <w:vAlign w:val="center"/>
          </w:tcPr>
          <w:p w14:paraId="77BC61D0">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300≤X＜1000</w:t>
            </w:r>
          </w:p>
        </w:tc>
        <w:tc>
          <w:tcPr>
            <w:tcW w:w="1709" w:type="dxa"/>
            <w:tcBorders>
              <w:top w:val="nil"/>
              <w:left w:val="nil"/>
              <w:bottom w:val="single" w:color="auto" w:sz="4" w:space="0"/>
              <w:right w:val="single" w:color="auto" w:sz="4" w:space="0"/>
            </w:tcBorders>
            <w:noWrap w:val="0"/>
            <w:vAlign w:val="center"/>
          </w:tcPr>
          <w:p w14:paraId="1781272F">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20≤X＜300</w:t>
            </w:r>
          </w:p>
        </w:tc>
        <w:tc>
          <w:tcPr>
            <w:tcW w:w="1098" w:type="dxa"/>
            <w:tcBorders>
              <w:top w:val="nil"/>
              <w:left w:val="nil"/>
              <w:bottom w:val="single" w:color="auto" w:sz="4" w:space="0"/>
              <w:right w:val="single" w:color="auto" w:sz="4" w:space="0"/>
            </w:tcBorders>
            <w:noWrap w:val="0"/>
            <w:vAlign w:val="center"/>
          </w:tcPr>
          <w:p w14:paraId="2AAB9CC3">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X＜20</w:t>
            </w:r>
          </w:p>
        </w:tc>
      </w:tr>
      <w:tr w14:paraId="0B8026D8">
        <w:trPr>
          <w:trHeight w:val="336" w:hRule="atLeast"/>
          <w:jc w:val="center"/>
        </w:trPr>
        <w:tc>
          <w:tcPr>
            <w:tcW w:w="2020" w:type="dxa"/>
            <w:vMerge w:val="continue"/>
            <w:tcBorders>
              <w:top w:val="nil"/>
              <w:left w:val="single" w:color="auto" w:sz="4" w:space="0"/>
              <w:bottom w:val="single" w:color="auto" w:sz="4" w:space="0"/>
              <w:right w:val="single" w:color="auto" w:sz="4" w:space="0"/>
            </w:tcBorders>
            <w:noWrap w:val="0"/>
            <w:vAlign w:val="center"/>
          </w:tcPr>
          <w:p w14:paraId="1310DCC9">
            <w:pPr>
              <w:widowControl/>
              <w:jc w:val="left"/>
              <w:rPr>
                <w:rFonts w:hint="eastAsia" w:ascii="宋体" w:hAnsi="宋体" w:cs="宋体"/>
                <w:b/>
                <w:bCs/>
                <w:color w:val="auto"/>
                <w:kern w:val="0"/>
                <w:szCs w:val="21"/>
                <w:highlight w:val="none"/>
              </w:rPr>
            </w:pPr>
          </w:p>
        </w:tc>
        <w:tc>
          <w:tcPr>
            <w:tcW w:w="1642" w:type="dxa"/>
            <w:tcBorders>
              <w:top w:val="nil"/>
              <w:left w:val="nil"/>
              <w:bottom w:val="single" w:color="auto" w:sz="4" w:space="0"/>
              <w:right w:val="single" w:color="auto" w:sz="4" w:space="0"/>
            </w:tcBorders>
            <w:noWrap w:val="0"/>
            <w:vAlign w:val="center"/>
          </w:tcPr>
          <w:p w14:paraId="474F1685">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084" w:type="dxa"/>
            <w:tcBorders>
              <w:top w:val="nil"/>
              <w:left w:val="nil"/>
              <w:bottom w:val="single" w:color="auto" w:sz="4" w:space="0"/>
              <w:right w:val="single" w:color="auto" w:sz="4" w:space="0"/>
            </w:tcBorders>
            <w:noWrap w:val="0"/>
            <w:vAlign w:val="center"/>
          </w:tcPr>
          <w:p w14:paraId="382045F5">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23" w:type="dxa"/>
            <w:tcBorders>
              <w:top w:val="nil"/>
              <w:left w:val="nil"/>
              <w:bottom w:val="single" w:color="auto" w:sz="4" w:space="0"/>
              <w:right w:val="single" w:color="auto" w:sz="4" w:space="0"/>
            </w:tcBorders>
            <w:noWrap w:val="0"/>
            <w:vAlign w:val="center"/>
          </w:tcPr>
          <w:p w14:paraId="6A51621C">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3000≤Y＜30000</w:t>
            </w:r>
          </w:p>
        </w:tc>
        <w:tc>
          <w:tcPr>
            <w:tcW w:w="1709" w:type="dxa"/>
            <w:tcBorders>
              <w:top w:val="nil"/>
              <w:left w:val="nil"/>
              <w:bottom w:val="single" w:color="auto" w:sz="4" w:space="0"/>
              <w:right w:val="single" w:color="auto" w:sz="4" w:space="0"/>
            </w:tcBorders>
            <w:noWrap w:val="0"/>
            <w:vAlign w:val="center"/>
          </w:tcPr>
          <w:p w14:paraId="7D976DCC">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200≤Y＜3000</w:t>
            </w:r>
          </w:p>
        </w:tc>
        <w:tc>
          <w:tcPr>
            <w:tcW w:w="1098" w:type="dxa"/>
            <w:tcBorders>
              <w:top w:val="nil"/>
              <w:left w:val="nil"/>
              <w:bottom w:val="single" w:color="auto" w:sz="4" w:space="0"/>
              <w:right w:val="single" w:color="auto" w:sz="4" w:space="0"/>
            </w:tcBorders>
            <w:noWrap w:val="0"/>
            <w:vAlign w:val="center"/>
          </w:tcPr>
          <w:p w14:paraId="2BB2F6C4">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Y＜200</w:t>
            </w:r>
          </w:p>
        </w:tc>
      </w:tr>
      <w:tr w14:paraId="73EC4BB6">
        <w:trPr>
          <w:trHeight w:val="336" w:hRule="atLeast"/>
          <w:jc w:val="center"/>
        </w:trPr>
        <w:tc>
          <w:tcPr>
            <w:tcW w:w="2020" w:type="dxa"/>
            <w:vMerge w:val="restart"/>
            <w:tcBorders>
              <w:top w:val="nil"/>
              <w:left w:val="single" w:color="auto" w:sz="4" w:space="0"/>
              <w:bottom w:val="single" w:color="auto" w:sz="4" w:space="0"/>
              <w:right w:val="single" w:color="auto" w:sz="4" w:space="0"/>
            </w:tcBorders>
            <w:noWrap w:val="0"/>
            <w:vAlign w:val="bottom"/>
          </w:tcPr>
          <w:p w14:paraId="267A5EA8">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仓储业</w:t>
            </w:r>
          </w:p>
        </w:tc>
        <w:tc>
          <w:tcPr>
            <w:tcW w:w="1642" w:type="dxa"/>
            <w:tcBorders>
              <w:top w:val="nil"/>
              <w:left w:val="nil"/>
              <w:bottom w:val="single" w:color="auto" w:sz="4" w:space="0"/>
              <w:right w:val="single" w:color="auto" w:sz="4" w:space="0"/>
            </w:tcBorders>
            <w:noWrap w:val="0"/>
            <w:vAlign w:val="center"/>
          </w:tcPr>
          <w:p w14:paraId="38192D99">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084" w:type="dxa"/>
            <w:tcBorders>
              <w:top w:val="nil"/>
              <w:left w:val="nil"/>
              <w:bottom w:val="single" w:color="auto" w:sz="4" w:space="0"/>
              <w:right w:val="single" w:color="auto" w:sz="4" w:space="0"/>
            </w:tcBorders>
            <w:noWrap w:val="0"/>
            <w:vAlign w:val="center"/>
          </w:tcPr>
          <w:p w14:paraId="3659F5DD">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人</w:t>
            </w:r>
          </w:p>
        </w:tc>
        <w:tc>
          <w:tcPr>
            <w:tcW w:w="1923" w:type="dxa"/>
            <w:tcBorders>
              <w:top w:val="nil"/>
              <w:left w:val="nil"/>
              <w:bottom w:val="single" w:color="auto" w:sz="4" w:space="0"/>
              <w:right w:val="single" w:color="auto" w:sz="4" w:space="0"/>
            </w:tcBorders>
            <w:noWrap w:val="0"/>
            <w:vAlign w:val="center"/>
          </w:tcPr>
          <w:p w14:paraId="3C36B31C">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100≤X＜200</w:t>
            </w:r>
          </w:p>
        </w:tc>
        <w:tc>
          <w:tcPr>
            <w:tcW w:w="1709" w:type="dxa"/>
            <w:tcBorders>
              <w:top w:val="nil"/>
              <w:left w:val="nil"/>
              <w:bottom w:val="single" w:color="auto" w:sz="4" w:space="0"/>
              <w:right w:val="single" w:color="auto" w:sz="4" w:space="0"/>
            </w:tcBorders>
            <w:noWrap w:val="0"/>
            <w:vAlign w:val="center"/>
          </w:tcPr>
          <w:p w14:paraId="678B3664">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20≤X＜100</w:t>
            </w:r>
          </w:p>
        </w:tc>
        <w:tc>
          <w:tcPr>
            <w:tcW w:w="1098" w:type="dxa"/>
            <w:tcBorders>
              <w:top w:val="nil"/>
              <w:left w:val="nil"/>
              <w:bottom w:val="single" w:color="auto" w:sz="4" w:space="0"/>
              <w:right w:val="single" w:color="auto" w:sz="4" w:space="0"/>
            </w:tcBorders>
            <w:noWrap w:val="0"/>
            <w:vAlign w:val="center"/>
          </w:tcPr>
          <w:p w14:paraId="201EEA4F">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X＜20</w:t>
            </w:r>
          </w:p>
        </w:tc>
      </w:tr>
      <w:tr w14:paraId="4B3DCEA7">
        <w:trPr>
          <w:trHeight w:val="336" w:hRule="atLeast"/>
          <w:jc w:val="center"/>
        </w:trPr>
        <w:tc>
          <w:tcPr>
            <w:tcW w:w="2020" w:type="dxa"/>
            <w:vMerge w:val="continue"/>
            <w:tcBorders>
              <w:top w:val="nil"/>
              <w:left w:val="single" w:color="auto" w:sz="4" w:space="0"/>
              <w:bottom w:val="single" w:color="auto" w:sz="4" w:space="0"/>
              <w:right w:val="single" w:color="auto" w:sz="4" w:space="0"/>
            </w:tcBorders>
            <w:noWrap w:val="0"/>
            <w:vAlign w:val="center"/>
          </w:tcPr>
          <w:p w14:paraId="09ECB265">
            <w:pPr>
              <w:widowControl/>
              <w:jc w:val="left"/>
              <w:rPr>
                <w:rFonts w:hint="eastAsia" w:ascii="宋体" w:hAnsi="宋体" w:cs="宋体"/>
                <w:b/>
                <w:bCs/>
                <w:color w:val="auto"/>
                <w:kern w:val="0"/>
                <w:szCs w:val="21"/>
                <w:highlight w:val="none"/>
              </w:rPr>
            </w:pPr>
          </w:p>
        </w:tc>
        <w:tc>
          <w:tcPr>
            <w:tcW w:w="1642" w:type="dxa"/>
            <w:tcBorders>
              <w:top w:val="nil"/>
              <w:left w:val="nil"/>
              <w:bottom w:val="single" w:color="auto" w:sz="4" w:space="0"/>
              <w:right w:val="single" w:color="auto" w:sz="4" w:space="0"/>
            </w:tcBorders>
            <w:noWrap w:val="0"/>
            <w:vAlign w:val="center"/>
          </w:tcPr>
          <w:p w14:paraId="25EFC83D">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084" w:type="dxa"/>
            <w:tcBorders>
              <w:top w:val="nil"/>
              <w:left w:val="nil"/>
              <w:bottom w:val="single" w:color="auto" w:sz="4" w:space="0"/>
              <w:right w:val="single" w:color="auto" w:sz="4" w:space="0"/>
            </w:tcBorders>
            <w:noWrap w:val="0"/>
            <w:vAlign w:val="center"/>
          </w:tcPr>
          <w:p w14:paraId="012FE30D">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23" w:type="dxa"/>
            <w:tcBorders>
              <w:top w:val="nil"/>
              <w:left w:val="nil"/>
              <w:bottom w:val="single" w:color="auto" w:sz="4" w:space="0"/>
              <w:right w:val="single" w:color="auto" w:sz="4" w:space="0"/>
            </w:tcBorders>
            <w:noWrap w:val="0"/>
            <w:vAlign w:val="center"/>
          </w:tcPr>
          <w:p w14:paraId="1344770E">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1000≤Y＜30000</w:t>
            </w:r>
          </w:p>
        </w:tc>
        <w:tc>
          <w:tcPr>
            <w:tcW w:w="1709" w:type="dxa"/>
            <w:tcBorders>
              <w:top w:val="nil"/>
              <w:left w:val="nil"/>
              <w:bottom w:val="single" w:color="auto" w:sz="4" w:space="0"/>
              <w:right w:val="single" w:color="auto" w:sz="4" w:space="0"/>
            </w:tcBorders>
            <w:noWrap w:val="0"/>
            <w:vAlign w:val="center"/>
          </w:tcPr>
          <w:p w14:paraId="409D350B">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100≤Y＜1000</w:t>
            </w:r>
          </w:p>
        </w:tc>
        <w:tc>
          <w:tcPr>
            <w:tcW w:w="1098" w:type="dxa"/>
            <w:tcBorders>
              <w:top w:val="nil"/>
              <w:left w:val="nil"/>
              <w:bottom w:val="single" w:color="auto" w:sz="4" w:space="0"/>
              <w:right w:val="single" w:color="auto" w:sz="4" w:space="0"/>
            </w:tcBorders>
            <w:noWrap w:val="0"/>
            <w:vAlign w:val="center"/>
          </w:tcPr>
          <w:p w14:paraId="372F959E">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Y＜100</w:t>
            </w:r>
          </w:p>
        </w:tc>
      </w:tr>
      <w:tr w14:paraId="380B05D3">
        <w:trPr>
          <w:trHeight w:val="336" w:hRule="atLeast"/>
          <w:jc w:val="center"/>
        </w:trPr>
        <w:tc>
          <w:tcPr>
            <w:tcW w:w="2020" w:type="dxa"/>
            <w:vMerge w:val="restart"/>
            <w:tcBorders>
              <w:top w:val="nil"/>
              <w:left w:val="single" w:color="auto" w:sz="4" w:space="0"/>
              <w:bottom w:val="single" w:color="auto" w:sz="4" w:space="0"/>
              <w:right w:val="single" w:color="auto" w:sz="4" w:space="0"/>
            </w:tcBorders>
            <w:noWrap w:val="0"/>
            <w:vAlign w:val="bottom"/>
          </w:tcPr>
          <w:p w14:paraId="0B973B37">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邮政业</w:t>
            </w:r>
          </w:p>
        </w:tc>
        <w:tc>
          <w:tcPr>
            <w:tcW w:w="1642" w:type="dxa"/>
            <w:tcBorders>
              <w:top w:val="nil"/>
              <w:left w:val="nil"/>
              <w:bottom w:val="single" w:color="auto" w:sz="4" w:space="0"/>
              <w:right w:val="single" w:color="auto" w:sz="4" w:space="0"/>
            </w:tcBorders>
            <w:noWrap w:val="0"/>
            <w:vAlign w:val="center"/>
          </w:tcPr>
          <w:p w14:paraId="6364ED2D">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084" w:type="dxa"/>
            <w:tcBorders>
              <w:top w:val="nil"/>
              <w:left w:val="nil"/>
              <w:bottom w:val="single" w:color="auto" w:sz="4" w:space="0"/>
              <w:right w:val="single" w:color="auto" w:sz="4" w:space="0"/>
            </w:tcBorders>
            <w:noWrap w:val="0"/>
            <w:vAlign w:val="center"/>
          </w:tcPr>
          <w:p w14:paraId="3802029A">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人</w:t>
            </w:r>
          </w:p>
        </w:tc>
        <w:tc>
          <w:tcPr>
            <w:tcW w:w="1923" w:type="dxa"/>
            <w:tcBorders>
              <w:top w:val="nil"/>
              <w:left w:val="nil"/>
              <w:bottom w:val="single" w:color="auto" w:sz="4" w:space="0"/>
              <w:right w:val="single" w:color="auto" w:sz="4" w:space="0"/>
            </w:tcBorders>
            <w:noWrap w:val="0"/>
            <w:vAlign w:val="center"/>
          </w:tcPr>
          <w:p w14:paraId="36D99FE1">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300≤X＜1000</w:t>
            </w:r>
          </w:p>
        </w:tc>
        <w:tc>
          <w:tcPr>
            <w:tcW w:w="1709" w:type="dxa"/>
            <w:tcBorders>
              <w:top w:val="nil"/>
              <w:left w:val="nil"/>
              <w:bottom w:val="single" w:color="auto" w:sz="4" w:space="0"/>
              <w:right w:val="single" w:color="auto" w:sz="4" w:space="0"/>
            </w:tcBorders>
            <w:noWrap w:val="0"/>
            <w:vAlign w:val="center"/>
          </w:tcPr>
          <w:p w14:paraId="5DBC92E9">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20≤X＜300</w:t>
            </w:r>
          </w:p>
        </w:tc>
        <w:tc>
          <w:tcPr>
            <w:tcW w:w="1098" w:type="dxa"/>
            <w:tcBorders>
              <w:top w:val="nil"/>
              <w:left w:val="nil"/>
              <w:bottom w:val="single" w:color="auto" w:sz="4" w:space="0"/>
              <w:right w:val="single" w:color="auto" w:sz="4" w:space="0"/>
            </w:tcBorders>
            <w:noWrap w:val="0"/>
            <w:vAlign w:val="center"/>
          </w:tcPr>
          <w:p w14:paraId="7B908C22">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X＜20</w:t>
            </w:r>
          </w:p>
        </w:tc>
      </w:tr>
      <w:tr w14:paraId="796BC15F">
        <w:trPr>
          <w:trHeight w:val="336" w:hRule="atLeast"/>
          <w:jc w:val="center"/>
        </w:trPr>
        <w:tc>
          <w:tcPr>
            <w:tcW w:w="2020" w:type="dxa"/>
            <w:vMerge w:val="continue"/>
            <w:tcBorders>
              <w:top w:val="nil"/>
              <w:left w:val="single" w:color="auto" w:sz="4" w:space="0"/>
              <w:bottom w:val="single" w:color="auto" w:sz="4" w:space="0"/>
              <w:right w:val="single" w:color="auto" w:sz="4" w:space="0"/>
            </w:tcBorders>
            <w:noWrap w:val="0"/>
            <w:vAlign w:val="center"/>
          </w:tcPr>
          <w:p w14:paraId="7A855996">
            <w:pPr>
              <w:widowControl/>
              <w:jc w:val="left"/>
              <w:rPr>
                <w:rFonts w:hint="eastAsia" w:ascii="宋体" w:hAnsi="宋体" w:cs="宋体"/>
                <w:b/>
                <w:bCs/>
                <w:color w:val="auto"/>
                <w:kern w:val="0"/>
                <w:szCs w:val="21"/>
                <w:highlight w:val="none"/>
              </w:rPr>
            </w:pPr>
          </w:p>
        </w:tc>
        <w:tc>
          <w:tcPr>
            <w:tcW w:w="1642" w:type="dxa"/>
            <w:tcBorders>
              <w:top w:val="nil"/>
              <w:left w:val="nil"/>
              <w:bottom w:val="single" w:color="auto" w:sz="4" w:space="0"/>
              <w:right w:val="single" w:color="auto" w:sz="4" w:space="0"/>
            </w:tcBorders>
            <w:noWrap w:val="0"/>
            <w:vAlign w:val="center"/>
          </w:tcPr>
          <w:p w14:paraId="54DC88D1">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084" w:type="dxa"/>
            <w:tcBorders>
              <w:top w:val="nil"/>
              <w:left w:val="nil"/>
              <w:bottom w:val="single" w:color="auto" w:sz="4" w:space="0"/>
              <w:right w:val="single" w:color="auto" w:sz="4" w:space="0"/>
            </w:tcBorders>
            <w:noWrap w:val="0"/>
            <w:vAlign w:val="center"/>
          </w:tcPr>
          <w:p w14:paraId="2857E98A">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23" w:type="dxa"/>
            <w:tcBorders>
              <w:top w:val="nil"/>
              <w:left w:val="nil"/>
              <w:bottom w:val="single" w:color="auto" w:sz="4" w:space="0"/>
              <w:right w:val="single" w:color="auto" w:sz="4" w:space="0"/>
            </w:tcBorders>
            <w:noWrap w:val="0"/>
            <w:vAlign w:val="center"/>
          </w:tcPr>
          <w:p w14:paraId="79E2DAD2">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2000≤Y＜30000</w:t>
            </w:r>
          </w:p>
        </w:tc>
        <w:tc>
          <w:tcPr>
            <w:tcW w:w="1709" w:type="dxa"/>
            <w:tcBorders>
              <w:top w:val="nil"/>
              <w:left w:val="nil"/>
              <w:bottom w:val="single" w:color="auto" w:sz="4" w:space="0"/>
              <w:right w:val="single" w:color="auto" w:sz="4" w:space="0"/>
            </w:tcBorders>
            <w:noWrap w:val="0"/>
            <w:vAlign w:val="center"/>
          </w:tcPr>
          <w:p w14:paraId="348F8C33">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100≤Y＜2000</w:t>
            </w:r>
          </w:p>
        </w:tc>
        <w:tc>
          <w:tcPr>
            <w:tcW w:w="1098" w:type="dxa"/>
            <w:tcBorders>
              <w:top w:val="nil"/>
              <w:left w:val="nil"/>
              <w:bottom w:val="single" w:color="auto" w:sz="4" w:space="0"/>
              <w:right w:val="single" w:color="auto" w:sz="4" w:space="0"/>
            </w:tcBorders>
            <w:noWrap w:val="0"/>
            <w:vAlign w:val="center"/>
          </w:tcPr>
          <w:p w14:paraId="48F9D12A">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Y＜100</w:t>
            </w:r>
          </w:p>
        </w:tc>
      </w:tr>
      <w:tr w14:paraId="0069878A">
        <w:trPr>
          <w:trHeight w:val="336" w:hRule="atLeast"/>
          <w:jc w:val="center"/>
        </w:trPr>
        <w:tc>
          <w:tcPr>
            <w:tcW w:w="2020" w:type="dxa"/>
            <w:vMerge w:val="restart"/>
            <w:tcBorders>
              <w:top w:val="nil"/>
              <w:left w:val="single" w:color="auto" w:sz="4" w:space="0"/>
              <w:bottom w:val="single" w:color="auto" w:sz="4" w:space="0"/>
              <w:right w:val="single" w:color="auto" w:sz="4" w:space="0"/>
            </w:tcBorders>
            <w:noWrap w:val="0"/>
            <w:vAlign w:val="bottom"/>
          </w:tcPr>
          <w:p w14:paraId="7C8B4B76">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住宿业</w:t>
            </w:r>
          </w:p>
        </w:tc>
        <w:tc>
          <w:tcPr>
            <w:tcW w:w="1642" w:type="dxa"/>
            <w:tcBorders>
              <w:top w:val="nil"/>
              <w:left w:val="nil"/>
              <w:bottom w:val="single" w:color="auto" w:sz="4" w:space="0"/>
              <w:right w:val="single" w:color="auto" w:sz="4" w:space="0"/>
            </w:tcBorders>
            <w:noWrap w:val="0"/>
            <w:vAlign w:val="center"/>
          </w:tcPr>
          <w:p w14:paraId="73C434F4">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084" w:type="dxa"/>
            <w:tcBorders>
              <w:top w:val="nil"/>
              <w:left w:val="nil"/>
              <w:bottom w:val="single" w:color="auto" w:sz="4" w:space="0"/>
              <w:right w:val="single" w:color="auto" w:sz="4" w:space="0"/>
            </w:tcBorders>
            <w:noWrap w:val="0"/>
            <w:vAlign w:val="center"/>
          </w:tcPr>
          <w:p w14:paraId="69DE521A">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人</w:t>
            </w:r>
          </w:p>
        </w:tc>
        <w:tc>
          <w:tcPr>
            <w:tcW w:w="1923" w:type="dxa"/>
            <w:tcBorders>
              <w:top w:val="nil"/>
              <w:left w:val="nil"/>
              <w:bottom w:val="single" w:color="auto" w:sz="4" w:space="0"/>
              <w:right w:val="single" w:color="auto" w:sz="4" w:space="0"/>
            </w:tcBorders>
            <w:noWrap w:val="0"/>
            <w:vAlign w:val="center"/>
          </w:tcPr>
          <w:p w14:paraId="69D2D4C5">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100≤X＜300</w:t>
            </w:r>
          </w:p>
        </w:tc>
        <w:tc>
          <w:tcPr>
            <w:tcW w:w="1709" w:type="dxa"/>
            <w:tcBorders>
              <w:top w:val="nil"/>
              <w:left w:val="nil"/>
              <w:bottom w:val="single" w:color="auto" w:sz="4" w:space="0"/>
              <w:right w:val="single" w:color="auto" w:sz="4" w:space="0"/>
            </w:tcBorders>
            <w:noWrap w:val="0"/>
            <w:vAlign w:val="center"/>
          </w:tcPr>
          <w:p w14:paraId="42D94A8D">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10≤X＜100</w:t>
            </w:r>
          </w:p>
        </w:tc>
        <w:tc>
          <w:tcPr>
            <w:tcW w:w="1098" w:type="dxa"/>
            <w:tcBorders>
              <w:top w:val="nil"/>
              <w:left w:val="nil"/>
              <w:bottom w:val="single" w:color="auto" w:sz="4" w:space="0"/>
              <w:right w:val="single" w:color="auto" w:sz="4" w:space="0"/>
            </w:tcBorders>
            <w:noWrap w:val="0"/>
            <w:vAlign w:val="center"/>
          </w:tcPr>
          <w:p w14:paraId="7727DC24">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X＜10</w:t>
            </w:r>
          </w:p>
        </w:tc>
      </w:tr>
      <w:tr w14:paraId="28D3F04B">
        <w:trPr>
          <w:trHeight w:val="336" w:hRule="atLeast"/>
          <w:jc w:val="center"/>
        </w:trPr>
        <w:tc>
          <w:tcPr>
            <w:tcW w:w="2020" w:type="dxa"/>
            <w:vMerge w:val="continue"/>
            <w:tcBorders>
              <w:top w:val="nil"/>
              <w:left w:val="single" w:color="auto" w:sz="4" w:space="0"/>
              <w:bottom w:val="single" w:color="auto" w:sz="4" w:space="0"/>
              <w:right w:val="single" w:color="auto" w:sz="4" w:space="0"/>
            </w:tcBorders>
            <w:noWrap w:val="0"/>
            <w:vAlign w:val="center"/>
          </w:tcPr>
          <w:p w14:paraId="0E664576">
            <w:pPr>
              <w:widowControl/>
              <w:jc w:val="left"/>
              <w:rPr>
                <w:rFonts w:hint="eastAsia" w:ascii="宋体" w:hAnsi="宋体" w:cs="宋体"/>
                <w:b/>
                <w:bCs/>
                <w:color w:val="auto"/>
                <w:kern w:val="0"/>
                <w:szCs w:val="21"/>
                <w:highlight w:val="none"/>
              </w:rPr>
            </w:pPr>
          </w:p>
        </w:tc>
        <w:tc>
          <w:tcPr>
            <w:tcW w:w="1642" w:type="dxa"/>
            <w:tcBorders>
              <w:top w:val="nil"/>
              <w:left w:val="nil"/>
              <w:bottom w:val="single" w:color="auto" w:sz="4" w:space="0"/>
              <w:right w:val="single" w:color="auto" w:sz="4" w:space="0"/>
            </w:tcBorders>
            <w:noWrap w:val="0"/>
            <w:vAlign w:val="center"/>
          </w:tcPr>
          <w:p w14:paraId="283B4A13">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084" w:type="dxa"/>
            <w:tcBorders>
              <w:top w:val="nil"/>
              <w:left w:val="nil"/>
              <w:bottom w:val="single" w:color="auto" w:sz="4" w:space="0"/>
              <w:right w:val="single" w:color="auto" w:sz="4" w:space="0"/>
            </w:tcBorders>
            <w:noWrap w:val="0"/>
            <w:vAlign w:val="center"/>
          </w:tcPr>
          <w:p w14:paraId="33F1A20D">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23" w:type="dxa"/>
            <w:tcBorders>
              <w:top w:val="nil"/>
              <w:left w:val="nil"/>
              <w:bottom w:val="single" w:color="auto" w:sz="4" w:space="0"/>
              <w:right w:val="single" w:color="auto" w:sz="4" w:space="0"/>
            </w:tcBorders>
            <w:noWrap w:val="0"/>
            <w:vAlign w:val="center"/>
          </w:tcPr>
          <w:p w14:paraId="41603D44">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2000≤Y＜10000</w:t>
            </w:r>
          </w:p>
        </w:tc>
        <w:tc>
          <w:tcPr>
            <w:tcW w:w="1709" w:type="dxa"/>
            <w:tcBorders>
              <w:top w:val="nil"/>
              <w:left w:val="nil"/>
              <w:bottom w:val="single" w:color="auto" w:sz="4" w:space="0"/>
              <w:right w:val="single" w:color="auto" w:sz="4" w:space="0"/>
            </w:tcBorders>
            <w:noWrap w:val="0"/>
            <w:vAlign w:val="center"/>
          </w:tcPr>
          <w:p w14:paraId="2807CAF9">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100≤Y＜2000</w:t>
            </w:r>
          </w:p>
        </w:tc>
        <w:tc>
          <w:tcPr>
            <w:tcW w:w="1098" w:type="dxa"/>
            <w:tcBorders>
              <w:top w:val="nil"/>
              <w:left w:val="nil"/>
              <w:bottom w:val="single" w:color="auto" w:sz="4" w:space="0"/>
              <w:right w:val="single" w:color="auto" w:sz="4" w:space="0"/>
            </w:tcBorders>
            <w:noWrap w:val="0"/>
            <w:vAlign w:val="center"/>
          </w:tcPr>
          <w:p w14:paraId="05FCD1C2">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Y＜100</w:t>
            </w:r>
          </w:p>
        </w:tc>
      </w:tr>
      <w:tr w14:paraId="2538FED1">
        <w:trPr>
          <w:trHeight w:val="336" w:hRule="atLeast"/>
          <w:jc w:val="center"/>
        </w:trPr>
        <w:tc>
          <w:tcPr>
            <w:tcW w:w="2020" w:type="dxa"/>
            <w:vMerge w:val="restart"/>
            <w:tcBorders>
              <w:top w:val="nil"/>
              <w:left w:val="single" w:color="auto" w:sz="4" w:space="0"/>
              <w:bottom w:val="single" w:color="auto" w:sz="4" w:space="0"/>
              <w:right w:val="single" w:color="auto" w:sz="4" w:space="0"/>
            </w:tcBorders>
            <w:noWrap w:val="0"/>
            <w:vAlign w:val="bottom"/>
          </w:tcPr>
          <w:p w14:paraId="4060D732">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餐饮业</w:t>
            </w:r>
          </w:p>
        </w:tc>
        <w:tc>
          <w:tcPr>
            <w:tcW w:w="1642" w:type="dxa"/>
            <w:tcBorders>
              <w:top w:val="nil"/>
              <w:left w:val="nil"/>
              <w:bottom w:val="single" w:color="auto" w:sz="4" w:space="0"/>
              <w:right w:val="single" w:color="auto" w:sz="4" w:space="0"/>
            </w:tcBorders>
            <w:noWrap w:val="0"/>
            <w:vAlign w:val="center"/>
          </w:tcPr>
          <w:p w14:paraId="3213EAA5">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084" w:type="dxa"/>
            <w:tcBorders>
              <w:top w:val="nil"/>
              <w:left w:val="nil"/>
              <w:bottom w:val="single" w:color="auto" w:sz="4" w:space="0"/>
              <w:right w:val="single" w:color="auto" w:sz="4" w:space="0"/>
            </w:tcBorders>
            <w:noWrap w:val="0"/>
            <w:vAlign w:val="center"/>
          </w:tcPr>
          <w:p w14:paraId="35351BB2">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人</w:t>
            </w:r>
          </w:p>
        </w:tc>
        <w:tc>
          <w:tcPr>
            <w:tcW w:w="1923" w:type="dxa"/>
            <w:tcBorders>
              <w:top w:val="nil"/>
              <w:left w:val="nil"/>
              <w:bottom w:val="single" w:color="auto" w:sz="4" w:space="0"/>
              <w:right w:val="single" w:color="auto" w:sz="4" w:space="0"/>
            </w:tcBorders>
            <w:noWrap w:val="0"/>
            <w:vAlign w:val="center"/>
          </w:tcPr>
          <w:p w14:paraId="46FAAB10">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100≤X＜300</w:t>
            </w:r>
          </w:p>
        </w:tc>
        <w:tc>
          <w:tcPr>
            <w:tcW w:w="1709" w:type="dxa"/>
            <w:tcBorders>
              <w:top w:val="nil"/>
              <w:left w:val="nil"/>
              <w:bottom w:val="single" w:color="auto" w:sz="4" w:space="0"/>
              <w:right w:val="single" w:color="auto" w:sz="4" w:space="0"/>
            </w:tcBorders>
            <w:noWrap w:val="0"/>
            <w:vAlign w:val="center"/>
          </w:tcPr>
          <w:p w14:paraId="0C942C89">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10≤X＜100</w:t>
            </w:r>
          </w:p>
        </w:tc>
        <w:tc>
          <w:tcPr>
            <w:tcW w:w="1098" w:type="dxa"/>
            <w:tcBorders>
              <w:top w:val="nil"/>
              <w:left w:val="nil"/>
              <w:bottom w:val="single" w:color="auto" w:sz="4" w:space="0"/>
              <w:right w:val="single" w:color="auto" w:sz="4" w:space="0"/>
            </w:tcBorders>
            <w:noWrap w:val="0"/>
            <w:vAlign w:val="center"/>
          </w:tcPr>
          <w:p w14:paraId="63CE5047">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X＜10</w:t>
            </w:r>
          </w:p>
        </w:tc>
      </w:tr>
      <w:tr w14:paraId="517AA39B">
        <w:trPr>
          <w:trHeight w:val="336" w:hRule="atLeast"/>
          <w:jc w:val="center"/>
        </w:trPr>
        <w:tc>
          <w:tcPr>
            <w:tcW w:w="2020" w:type="dxa"/>
            <w:vMerge w:val="continue"/>
            <w:tcBorders>
              <w:top w:val="nil"/>
              <w:left w:val="single" w:color="auto" w:sz="4" w:space="0"/>
              <w:bottom w:val="single" w:color="auto" w:sz="4" w:space="0"/>
              <w:right w:val="single" w:color="auto" w:sz="4" w:space="0"/>
            </w:tcBorders>
            <w:noWrap w:val="0"/>
            <w:vAlign w:val="center"/>
          </w:tcPr>
          <w:p w14:paraId="2F4979D1">
            <w:pPr>
              <w:widowControl/>
              <w:jc w:val="left"/>
              <w:rPr>
                <w:rFonts w:hint="eastAsia" w:ascii="宋体" w:hAnsi="宋体" w:cs="宋体"/>
                <w:b/>
                <w:bCs/>
                <w:color w:val="auto"/>
                <w:kern w:val="0"/>
                <w:szCs w:val="21"/>
                <w:highlight w:val="none"/>
              </w:rPr>
            </w:pPr>
          </w:p>
        </w:tc>
        <w:tc>
          <w:tcPr>
            <w:tcW w:w="1642" w:type="dxa"/>
            <w:tcBorders>
              <w:top w:val="nil"/>
              <w:left w:val="nil"/>
              <w:bottom w:val="single" w:color="auto" w:sz="4" w:space="0"/>
              <w:right w:val="single" w:color="auto" w:sz="4" w:space="0"/>
            </w:tcBorders>
            <w:noWrap w:val="0"/>
            <w:vAlign w:val="center"/>
          </w:tcPr>
          <w:p w14:paraId="16179EBA">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084" w:type="dxa"/>
            <w:tcBorders>
              <w:top w:val="nil"/>
              <w:left w:val="nil"/>
              <w:bottom w:val="single" w:color="auto" w:sz="4" w:space="0"/>
              <w:right w:val="single" w:color="auto" w:sz="4" w:space="0"/>
            </w:tcBorders>
            <w:noWrap w:val="0"/>
            <w:vAlign w:val="center"/>
          </w:tcPr>
          <w:p w14:paraId="48C82874">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23" w:type="dxa"/>
            <w:tcBorders>
              <w:top w:val="nil"/>
              <w:left w:val="nil"/>
              <w:bottom w:val="single" w:color="auto" w:sz="4" w:space="0"/>
              <w:right w:val="single" w:color="auto" w:sz="4" w:space="0"/>
            </w:tcBorders>
            <w:noWrap w:val="0"/>
            <w:vAlign w:val="center"/>
          </w:tcPr>
          <w:p w14:paraId="0174ABD3">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2000≤Y＜10000</w:t>
            </w:r>
          </w:p>
        </w:tc>
        <w:tc>
          <w:tcPr>
            <w:tcW w:w="1709" w:type="dxa"/>
            <w:tcBorders>
              <w:top w:val="nil"/>
              <w:left w:val="nil"/>
              <w:bottom w:val="single" w:color="auto" w:sz="4" w:space="0"/>
              <w:right w:val="single" w:color="auto" w:sz="4" w:space="0"/>
            </w:tcBorders>
            <w:noWrap w:val="0"/>
            <w:vAlign w:val="center"/>
          </w:tcPr>
          <w:p w14:paraId="1579F98C">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100≤Y＜2000</w:t>
            </w:r>
          </w:p>
        </w:tc>
        <w:tc>
          <w:tcPr>
            <w:tcW w:w="1098" w:type="dxa"/>
            <w:tcBorders>
              <w:top w:val="nil"/>
              <w:left w:val="nil"/>
              <w:bottom w:val="single" w:color="auto" w:sz="4" w:space="0"/>
              <w:right w:val="single" w:color="auto" w:sz="4" w:space="0"/>
            </w:tcBorders>
            <w:noWrap w:val="0"/>
            <w:vAlign w:val="center"/>
          </w:tcPr>
          <w:p w14:paraId="373D8785">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Y＜100</w:t>
            </w:r>
          </w:p>
        </w:tc>
      </w:tr>
      <w:tr w14:paraId="7B2F8013">
        <w:trPr>
          <w:trHeight w:val="336" w:hRule="atLeast"/>
          <w:jc w:val="center"/>
        </w:trPr>
        <w:tc>
          <w:tcPr>
            <w:tcW w:w="2020" w:type="dxa"/>
            <w:vMerge w:val="restart"/>
            <w:tcBorders>
              <w:top w:val="nil"/>
              <w:left w:val="single" w:color="auto" w:sz="4" w:space="0"/>
              <w:bottom w:val="single" w:color="auto" w:sz="4" w:space="0"/>
              <w:right w:val="single" w:color="auto" w:sz="4" w:space="0"/>
            </w:tcBorders>
            <w:noWrap w:val="0"/>
            <w:vAlign w:val="bottom"/>
          </w:tcPr>
          <w:p w14:paraId="64E185B4">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信息传输业</w:t>
            </w:r>
          </w:p>
        </w:tc>
        <w:tc>
          <w:tcPr>
            <w:tcW w:w="1642" w:type="dxa"/>
            <w:tcBorders>
              <w:top w:val="nil"/>
              <w:left w:val="nil"/>
              <w:bottom w:val="single" w:color="auto" w:sz="4" w:space="0"/>
              <w:right w:val="single" w:color="auto" w:sz="4" w:space="0"/>
            </w:tcBorders>
            <w:noWrap w:val="0"/>
            <w:vAlign w:val="center"/>
          </w:tcPr>
          <w:p w14:paraId="4C49B7EF">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084" w:type="dxa"/>
            <w:tcBorders>
              <w:top w:val="nil"/>
              <w:left w:val="nil"/>
              <w:bottom w:val="single" w:color="auto" w:sz="4" w:space="0"/>
              <w:right w:val="single" w:color="auto" w:sz="4" w:space="0"/>
            </w:tcBorders>
            <w:noWrap w:val="0"/>
            <w:vAlign w:val="center"/>
          </w:tcPr>
          <w:p w14:paraId="7E4EEE26">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人</w:t>
            </w:r>
          </w:p>
        </w:tc>
        <w:tc>
          <w:tcPr>
            <w:tcW w:w="1923" w:type="dxa"/>
            <w:tcBorders>
              <w:top w:val="nil"/>
              <w:left w:val="nil"/>
              <w:bottom w:val="single" w:color="auto" w:sz="4" w:space="0"/>
              <w:right w:val="single" w:color="auto" w:sz="4" w:space="0"/>
            </w:tcBorders>
            <w:noWrap w:val="0"/>
            <w:vAlign w:val="center"/>
          </w:tcPr>
          <w:p w14:paraId="5DB47F04">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100≤X＜2000</w:t>
            </w:r>
          </w:p>
        </w:tc>
        <w:tc>
          <w:tcPr>
            <w:tcW w:w="1709" w:type="dxa"/>
            <w:tcBorders>
              <w:top w:val="nil"/>
              <w:left w:val="nil"/>
              <w:bottom w:val="single" w:color="auto" w:sz="4" w:space="0"/>
              <w:right w:val="single" w:color="auto" w:sz="4" w:space="0"/>
            </w:tcBorders>
            <w:noWrap w:val="0"/>
            <w:vAlign w:val="center"/>
          </w:tcPr>
          <w:p w14:paraId="3914114D">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10≤X＜100</w:t>
            </w:r>
          </w:p>
        </w:tc>
        <w:tc>
          <w:tcPr>
            <w:tcW w:w="1098" w:type="dxa"/>
            <w:tcBorders>
              <w:top w:val="nil"/>
              <w:left w:val="nil"/>
              <w:bottom w:val="single" w:color="auto" w:sz="4" w:space="0"/>
              <w:right w:val="single" w:color="auto" w:sz="4" w:space="0"/>
            </w:tcBorders>
            <w:noWrap w:val="0"/>
            <w:vAlign w:val="center"/>
          </w:tcPr>
          <w:p w14:paraId="520A97AE">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X＜10</w:t>
            </w:r>
          </w:p>
        </w:tc>
      </w:tr>
      <w:tr w14:paraId="0509DDB7">
        <w:trPr>
          <w:trHeight w:val="336" w:hRule="atLeast"/>
          <w:jc w:val="center"/>
        </w:trPr>
        <w:tc>
          <w:tcPr>
            <w:tcW w:w="2020" w:type="dxa"/>
            <w:vMerge w:val="continue"/>
            <w:tcBorders>
              <w:top w:val="nil"/>
              <w:left w:val="single" w:color="auto" w:sz="4" w:space="0"/>
              <w:bottom w:val="single" w:color="auto" w:sz="4" w:space="0"/>
              <w:right w:val="single" w:color="auto" w:sz="4" w:space="0"/>
            </w:tcBorders>
            <w:noWrap w:val="0"/>
            <w:vAlign w:val="center"/>
          </w:tcPr>
          <w:p w14:paraId="3609C876">
            <w:pPr>
              <w:widowControl/>
              <w:jc w:val="left"/>
              <w:rPr>
                <w:rFonts w:hint="eastAsia" w:ascii="宋体" w:hAnsi="宋体" w:cs="宋体"/>
                <w:b/>
                <w:bCs/>
                <w:color w:val="auto"/>
                <w:kern w:val="0"/>
                <w:szCs w:val="21"/>
                <w:highlight w:val="none"/>
              </w:rPr>
            </w:pPr>
          </w:p>
        </w:tc>
        <w:tc>
          <w:tcPr>
            <w:tcW w:w="1642" w:type="dxa"/>
            <w:tcBorders>
              <w:top w:val="nil"/>
              <w:left w:val="nil"/>
              <w:bottom w:val="single" w:color="auto" w:sz="4" w:space="0"/>
              <w:right w:val="single" w:color="auto" w:sz="4" w:space="0"/>
            </w:tcBorders>
            <w:noWrap w:val="0"/>
            <w:vAlign w:val="center"/>
          </w:tcPr>
          <w:p w14:paraId="43997F43">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084" w:type="dxa"/>
            <w:tcBorders>
              <w:top w:val="nil"/>
              <w:left w:val="nil"/>
              <w:bottom w:val="single" w:color="auto" w:sz="4" w:space="0"/>
              <w:right w:val="single" w:color="auto" w:sz="4" w:space="0"/>
            </w:tcBorders>
            <w:noWrap w:val="0"/>
            <w:vAlign w:val="center"/>
          </w:tcPr>
          <w:p w14:paraId="648048E0">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23" w:type="dxa"/>
            <w:tcBorders>
              <w:top w:val="nil"/>
              <w:left w:val="nil"/>
              <w:bottom w:val="single" w:color="auto" w:sz="4" w:space="0"/>
              <w:right w:val="single" w:color="auto" w:sz="4" w:space="0"/>
            </w:tcBorders>
            <w:noWrap w:val="0"/>
            <w:vAlign w:val="center"/>
          </w:tcPr>
          <w:p w14:paraId="70A446E1">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1000≤Y＜100000</w:t>
            </w:r>
          </w:p>
        </w:tc>
        <w:tc>
          <w:tcPr>
            <w:tcW w:w="1709" w:type="dxa"/>
            <w:tcBorders>
              <w:top w:val="nil"/>
              <w:left w:val="nil"/>
              <w:bottom w:val="single" w:color="auto" w:sz="4" w:space="0"/>
              <w:right w:val="single" w:color="auto" w:sz="4" w:space="0"/>
            </w:tcBorders>
            <w:noWrap w:val="0"/>
            <w:vAlign w:val="center"/>
          </w:tcPr>
          <w:p w14:paraId="41E166A6">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100≤Y＜1000</w:t>
            </w:r>
          </w:p>
        </w:tc>
        <w:tc>
          <w:tcPr>
            <w:tcW w:w="1098" w:type="dxa"/>
            <w:tcBorders>
              <w:top w:val="nil"/>
              <w:left w:val="nil"/>
              <w:bottom w:val="single" w:color="auto" w:sz="4" w:space="0"/>
              <w:right w:val="single" w:color="auto" w:sz="4" w:space="0"/>
            </w:tcBorders>
            <w:noWrap w:val="0"/>
            <w:vAlign w:val="center"/>
          </w:tcPr>
          <w:p w14:paraId="27E72D09">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Y＜100</w:t>
            </w:r>
          </w:p>
        </w:tc>
      </w:tr>
      <w:tr w14:paraId="70EC7663">
        <w:trPr>
          <w:trHeight w:val="336" w:hRule="atLeast"/>
          <w:jc w:val="center"/>
        </w:trPr>
        <w:tc>
          <w:tcPr>
            <w:tcW w:w="2020" w:type="dxa"/>
            <w:vMerge w:val="restart"/>
            <w:tcBorders>
              <w:top w:val="nil"/>
              <w:left w:val="single" w:color="auto" w:sz="4" w:space="0"/>
              <w:bottom w:val="single" w:color="auto" w:sz="4" w:space="0"/>
              <w:right w:val="single" w:color="auto" w:sz="4" w:space="0"/>
            </w:tcBorders>
            <w:noWrap w:val="0"/>
            <w:vAlign w:val="bottom"/>
          </w:tcPr>
          <w:p w14:paraId="63E7CABF">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软件和信息技术服务业</w:t>
            </w:r>
          </w:p>
        </w:tc>
        <w:tc>
          <w:tcPr>
            <w:tcW w:w="1642" w:type="dxa"/>
            <w:tcBorders>
              <w:top w:val="nil"/>
              <w:left w:val="nil"/>
              <w:bottom w:val="single" w:color="auto" w:sz="4" w:space="0"/>
              <w:right w:val="single" w:color="auto" w:sz="4" w:space="0"/>
            </w:tcBorders>
            <w:noWrap w:val="0"/>
            <w:vAlign w:val="center"/>
          </w:tcPr>
          <w:p w14:paraId="3EA56744">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084" w:type="dxa"/>
            <w:tcBorders>
              <w:top w:val="nil"/>
              <w:left w:val="nil"/>
              <w:bottom w:val="single" w:color="auto" w:sz="4" w:space="0"/>
              <w:right w:val="single" w:color="auto" w:sz="4" w:space="0"/>
            </w:tcBorders>
            <w:noWrap w:val="0"/>
            <w:vAlign w:val="center"/>
          </w:tcPr>
          <w:p w14:paraId="24F638B2">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人</w:t>
            </w:r>
          </w:p>
        </w:tc>
        <w:tc>
          <w:tcPr>
            <w:tcW w:w="1923" w:type="dxa"/>
            <w:tcBorders>
              <w:top w:val="nil"/>
              <w:left w:val="nil"/>
              <w:bottom w:val="single" w:color="auto" w:sz="4" w:space="0"/>
              <w:right w:val="single" w:color="auto" w:sz="4" w:space="0"/>
            </w:tcBorders>
            <w:noWrap w:val="0"/>
            <w:vAlign w:val="center"/>
          </w:tcPr>
          <w:p w14:paraId="36C0052F">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100≤X＜300</w:t>
            </w:r>
          </w:p>
        </w:tc>
        <w:tc>
          <w:tcPr>
            <w:tcW w:w="1709" w:type="dxa"/>
            <w:tcBorders>
              <w:top w:val="nil"/>
              <w:left w:val="nil"/>
              <w:bottom w:val="single" w:color="auto" w:sz="4" w:space="0"/>
              <w:right w:val="single" w:color="auto" w:sz="4" w:space="0"/>
            </w:tcBorders>
            <w:noWrap w:val="0"/>
            <w:vAlign w:val="center"/>
          </w:tcPr>
          <w:p w14:paraId="4C93D62A">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10≤X＜100</w:t>
            </w:r>
          </w:p>
        </w:tc>
        <w:tc>
          <w:tcPr>
            <w:tcW w:w="1098" w:type="dxa"/>
            <w:tcBorders>
              <w:top w:val="nil"/>
              <w:left w:val="nil"/>
              <w:bottom w:val="single" w:color="auto" w:sz="4" w:space="0"/>
              <w:right w:val="single" w:color="auto" w:sz="4" w:space="0"/>
            </w:tcBorders>
            <w:noWrap w:val="0"/>
            <w:vAlign w:val="center"/>
          </w:tcPr>
          <w:p w14:paraId="468FFB05">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X＜10</w:t>
            </w:r>
          </w:p>
        </w:tc>
      </w:tr>
      <w:tr w14:paraId="2632E841">
        <w:trPr>
          <w:trHeight w:val="336" w:hRule="atLeast"/>
          <w:jc w:val="center"/>
        </w:trPr>
        <w:tc>
          <w:tcPr>
            <w:tcW w:w="2020" w:type="dxa"/>
            <w:vMerge w:val="continue"/>
            <w:tcBorders>
              <w:top w:val="nil"/>
              <w:left w:val="single" w:color="auto" w:sz="4" w:space="0"/>
              <w:bottom w:val="single" w:color="auto" w:sz="4" w:space="0"/>
              <w:right w:val="single" w:color="auto" w:sz="4" w:space="0"/>
            </w:tcBorders>
            <w:noWrap w:val="0"/>
            <w:vAlign w:val="center"/>
          </w:tcPr>
          <w:p w14:paraId="26D26D7F">
            <w:pPr>
              <w:widowControl/>
              <w:jc w:val="left"/>
              <w:rPr>
                <w:rFonts w:hint="eastAsia" w:ascii="宋体" w:hAnsi="宋体" w:cs="宋体"/>
                <w:b/>
                <w:bCs/>
                <w:color w:val="auto"/>
                <w:kern w:val="0"/>
                <w:szCs w:val="21"/>
                <w:highlight w:val="none"/>
              </w:rPr>
            </w:pPr>
          </w:p>
        </w:tc>
        <w:tc>
          <w:tcPr>
            <w:tcW w:w="1642" w:type="dxa"/>
            <w:tcBorders>
              <w:top w:val="nil"/>
              <w:left w:val="nil"/>
              <w:bottom w:val="single" w:color="auto" w:sz="4" w:space="0"/>
              <w:right w:val="single" w:color="auto" w:sz="4" w:space="0"/>
            </w:tcBorders>
            <w:noWrap w:val="0"/>
            <w:vAlign w:val="center"/>
          </w:tcPr>
          <w:p w14:paraId="5B960C2C">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084" w:type="dxa"/>
            <w:tcBorders>
              <w:top w:val="nil"/>
              <w:left w:val="nil"/>
              <w:bottom w:val="single" w:color="auto" w:sz="4" w:space="0"/>
              <w:right w:val="single" w:color="auto" w:sz="4" w:space="0"/>
            </w:tcBorders>
            <w:noWrap w:val="0"/>
            <w:vAlign w:val="center"/>
          </w:tcPr>
          <w:p w14:paraId="7C139C49">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23" w:type="dxa"/>
            <w:tcBorders>
              <w:top w:val="nil"/>
              <w:left w:val="nil"/>
              <w:bottom w:val="single" w:color="auto" w:sz="4" w:space="0"/>
              <w:right w:val="single" w:color="auto" w:sz="4" w:space="0"/>
            </w:tcBorders>
            <w:noWrap w:val="0"/>
            <w:vAlign w:val="center"/>
          </w:tcPr>
          <w:p w14:paraId="73D98621">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1000≤Y＜10000</w:t>
            </w:r>
          </w:p>
        </w:tc>
        <w:tc>
          <w:tcPr>
            <w:tcW w:w="1709" w:type="dxa"/>
            <w:tcBorders>
              <w:top w:val="nil"/>
              <w:left w:val="nil"/>
              <w:bottom w:val="single" w:color="auto" w:sz="4" w:space="0"/>
              <w:right w:val="single" w:color="auto" w:sz="4" w:space="0"/>
            </w:tcBorders>
            <w:noWrap w:val="0"/>
            <w:vAlign w:val="center"/>
          </w:tcPr>
          <w:p w14:paraId="4D887055">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50≤Y＜1000</w:t>
            </w:r>
          </w:p>
        </w:tc>
        <w:tc>
          <w:tcPr>
            <w:tcW w:w="1098" w:type="dxa"/>
            <w:tcBorders>
              <w:top w:val="nil"/>
              <w:left w:val="nil"/>
              <w:bottom w:val="single" w:color="auto" w:sz="4" w:space="0"/>
              <w:right w:val="single" w:color="auto" w:sz="4" w:space="0"/>
            </w:tcBorders>
            <w:noWrap w:val="0"/>
            <w:vAlign w:val="center"/>
          </w:tcPr>
          <w:p w14:paraId="792A7421">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Y＜50</w:t>
            </w:r>
          </w:p>
        </w:tc>
      </w:tr>
      <w:tr w14:paraId="3337AE4D">
        <w:trPr>
          <w:trHeight w:val="336" w:hRule="atLeast"/>
          <w:jc w:val="center"/>
        </w:trPr>
        <w:tc>
          <w:tcPr>
            <w:tcW w:w="2020" w:type="dxa"/>
            <w:vMerge w:val="restart"/>
            <w:tcBorders>
              <w:top w:val="nil"/>
              <w:left w:val="single" w:color="auto" w:sz="4" w:space="0"/>
              <w:bottom w:val="single" w:color="auto" w:sz="4" w:space="0"/>
              <w:right w:val="single" w:color="auto" w:sz="4" w:space="0"/>
            </w:tcBorders>
            <w:noWrap w:val="0"/>
            <w:vAlign w:val="bottom"/>
          </w:tcPr>
          <w:p w14:paraId="3A12BF1B">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房地产开发经营</w:t>
            </w:r>
          </w:p>
        </w:tc>
        <w:tc>
          <w:tcPr>
            <w:tcW w:w="1642" w:type="dxa"/>
            <w:tcBorders>
              <w:top w:val="nil"/>
              <w:left w:val="nil"/>
              <w:bottom w:val="single" w:color="auto" w:sz="4" w:space="0"/>
              <w:right w:val="single" w:color="auto" w:sz="4" w:space="0"/>
            </w:tcBorders>
            <w:noWrap w:val="0"/>
            <w:vAlign w:val="center"/>
          </w:tcPr>
          <w:p w14:paraId="0CA95E5E">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084" w:type="dxa"/>
            <w:tcBorders>
              <w:top w:val="nil"/>
              <w:left w:val="nil"/>
              <w:bottom w:val="single" w:color="auto" w:sz="4" w:space="0"/>
              <w:right w:val="single" w:color="auto" w:sz="4" w:space="0"/>
            </w:tcBorders>
            <w:noWrap w:val="0"/>
            <w:vAlign w:val="center"/>
          </w:tcPr>
          <w:p w14:paraId="2C2CFA1A">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23" w:type="dxa"/>
            <w:tcBorders>
              <w:top w:val="nil"/>
              <w:left w:val="nil"/>
              <w:bottom w:val="single" w:color="auto" w:sz="4" w:space="0"/>
              <w:right w:val="single" w:color="auto" w:sz="4" w:space="0"/>
            </w:tcBorders>
            <w:noWrap w:val="0"/>
            <w:vAlign w:val="center"/>
          </w:tcPr>
          <w:p w14:paraId="40EF9169">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1000≤Y＜200000</w:t>
            </w:r>
          </w:p>
        </w:tc>
        <w:tc>
          <w:tcPr>
            <w:tcW w:w="1709" w:type="dxa"/>
            <w:tcBorders>
              <w:top w:val="nil"/>
              <w:left w:val="nil"/>
              <w:bottom w:val="single" w:color="auto" w:sz="4" w:space="0"/>
              <w:right w:val="single" w:color="auto" w:sz="4" w:space="0"/>
            </w:tcBorders>
            <w:noWrap w:val="0"/>
            <w:vAlign w:val="center"/>
          </w:tcPr>
          <w:p w14:paraId="20FCAFCE">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100≤X＜1000</w:t>
            </w:r>
          </w:p>
        </w:tc>
        <w:tc>
          <w:tcPr>
            <w:tcW w:w="1098" w:type="dxa"/>
            <w:tcBorders>
              <w:top w:val="nil"/>
              <w:left w:val="nil"/>
              <w:bottom w:val="single" w:color="auto" w:sz="4" w:space="0"/>
              <w:right w:val="single" w:color="auto" w:sz="4" w:space="0"/>
            </w:tcBorders>
            <w:noWrap w:val="0"/>
            <w:vAlign w:val="center"/>
          </w:tcPr>
          <w:p w14:paraId="0CA67B54">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X＜100</w:t>
            </w:r>
          </w:p>
        </w:tc>
      </w:tr>
      <w:tr w14:paraId="0063AB8B">
        <w:trPr>
          <w:trHeight w:val="336" w:hRule="atLeast"/>
          <w:jc w:val="center"/>
        </w:trPr>
        <w:tc>
          <w:tcPr>
            <w:tcW w:w="2020" w:type="dxa"/>
            <w:vMerge w:val="continue"/>
            <w:tcBorders>
              <w:top w:val="nil"/>
              <w:left w:val="single" w:color="auto" w:sz="4" w:space="0"/>
              <w:bottom w:val="single" w:color="auto" w:sz="4" w:space="0"/>
              <w:right w:val="single" w:color="auto" w:sz="4" w:space="0"/>
            </w:tcBorders>
            <w:noWrap w:val="0"/>
            <w:vAlign w:val="center"/>
          </w:tcPr>
          <w:p w14:paraId="3CE8B835">
            <w:pPr>
              <w:widowControl/>
              <w:jc w:val="left"/>
              <w:rPr>
                <w:rFonts w:hint="eastAsia" w:ascii="宋体" w:hAnsi="宋体" w:cs="宋体"/>
                <w:b/>
                <w:bCs/>
                <w:color w:val="auto"/>
                <w:kern w:val="0"/>
                <w:szCs w:val="21"/>
                <w:highlight w:val="none"/>
              </w:rPr>
            </w:pPr>
          </w:p>
        </w:tc>
        <w:tc>
          <w:tcPr>
            <w:tcW w:w="1642" w:type="dxa"/>
            <w:tcBorders>
              <w:top w:val="nil"/>
              <w:left w:val="nil"/>
              <w:bottom w:val="single" w:color="auto" w:sz="4" w:space="0"/>
              <w:right w:val="single" w:color="auto" w:sz="4" w:space="0"/>
            </w:tcBorders>
            <w:noWrap w:val="0"/>
            <w:vAlign w:val="center"/>
          </w:tcPr>
          <w:p w14:paraId="392CABCD">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资产总额（Z）</w:t>
            </w:r>
          </w:p>
        </w:tc>
        <w:tc>
          <w:tcPr>
            <w:tcW w:w="1084" w:type="dxa"/>
            <w:tcBorders>
              <w:top w:val="nil"/>
              <w:left w:val="nil"/>
              <w:bottom w:val="single" w:color="auto" w:sz="4" w:space="0"/>
              <w:right w:val="single" w:color="auto" w:sz="4" w:space="0"/>
            </w:tcBorders>
            <w:noWrap w:val="0"/>
            <w:vAlign w:val="center"/>
          </w:tcPr>
          <w:p w14:paraId="129D6B56">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23" w:type="dxa"/>
            <w:tcBorders>
              <w:top w:val="nil"/>
              <w:left w:val="nil"/>
              <w:bottom w:val="single" w:color="auto" w:sz="4" w:space="0"/>
              <w:right w:val="single" w:color="auto" w:sz="4" w:space="0"/>
            </w:tcBorders>
            <w:noWrap w:val="0"/>
            <w:vAlign w:val="center"/>
          </w:tcPr>
          <w:p w14:paraId="27ED20DB">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5000≤Z＜10000</w:t>
            </w:r>
          </w:p>
        </w:tc>
        <w:tc>
          <w:tcPr>
            <w:tcW w:w="1709" w:type="dxa"/>
            <w:tcBorders>
              <w:top w:val="nil"/>
              <w:left w:val="nil"/>
              <w:bottom w:val="single" w:color="auto" w:sz="4" w:space="0"/>
              <w:right w:val="single" w:color="auto" w:sz="4" w:space="0"/>
            </w:tcBorders>
            <w:noWrap w:val="0"/>
            <w:vAlign w:val="center"/>
          </w:tcPr>
          <w:p w14:paraId="6F868C2B">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2000≤Y＜5000</w:t>
            </w:r>
          </w:p>
        </w:tc>
        <w:tc>
          <w:tcPr>
            <w:tcW w:w="1098" w:type="dxa"/>
            <w:tcBorders>
              <w:top w:val="nil"/>
              <w:left w:val="nil"/>
              <w:bottom w:val="single" w:color="auto" w:sz="4" w:space="0"/>
              <w:right w:val="single" w:color="auto" w:sz="4" w:space="0"/>
            </w:tcBorders>
            <w:noWrap w:val="0"/>
            <w:vAlign w:val="center"/>
          </w:tcPr>
          <w:p w14:paraId="31599D21">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Y＜2000</w:t>
            </w:r>
          </w:p>
        </w:tc>
      </w:tr>
      <w:tr w14:paraId="062074FF">
        <w:trPr>
          <w:trHeight w:val="336" w:hRule="atLeast"/>
          <w:jc w:val="center"/>
        </w:trPr>
        <w:tc>
          <w:tcPr>
            <w:tcW w:w="2020" w:type="dxa"/>
            <w:vMerge w:val="restart"/>
            <w:tcBorders>
              <w:top w:val="nil"/>
              <w:left w:val="single" w:color="auto" w:sz="4" w:space="0"/>
              <w:bottom w:val="single" w:color="auto" w:sz="4" w:space="0"/>
              <w:right w:val="single" w:color="auto" w:sz="4" w:space="0"/>
            </w:tcBorders>
            <w:noWrap w:val="0"/>
            <w:vAlign w:val="bottom"/>
          </w:tcPr>
          <w:p w14:paraId="6935ED2D">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物业管理</w:t>
            </w:r>
          </w:p>
        </w:tc>
        <w:tc>
          <w:tcPr>
            <w:tcW w:w="1642" w:type="dxa"/>
            <w:tcBorders>
              <w:top w:val="nil"/>
              <w:left w:val="nil"/>
              <w:bottom w:val="single" w:color="auto" w:sz="4" w:space="0"/>
              <w:right w:val="single" w:color="auto" w:sz="4" w:space="0"/>
            </w:tcBorders>
            <w:noWrap w:val="0"/>
            <w:vAlign w:val="center"/>
          </w:tcPr>
          <w:p w14:paraId="1BFEE62A">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084" w:type="dxa"/>
            <w:tcBorders>
              <w:top w:val="nil"/>
              <w:left w:val="nil"/>
              <w:bottom w:val="single" w:color="auto" w:sz="4" w:space="0"/>
              <w:right w:val="single" w:color="auto" w:sz="4" w:space="0"/>
            </w:tcBorders>
            <w:noWrap w:val="0"/>
            <w:vAlign w:val="center"/>
          </w:tcPr>
          <w:p w14:paraId="75DCCC18">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人</w:t>
            </w:r>
          </w:p>
        </w:tc>
        <w:tc>
          <w:tcPr>
            <w:tcW w:w="1923" w:type="dxa"/>
            <w:tcBorders>
              <w:top w:val="nil"/>
              <w:left w:val="nil"/>
              <w:bottom w:val="single" w:color="auto" w:sz="4" w:space="0"/>
              <w:right w:val="single" w:color="auto" w:sz="4" w:space="0"/>
            </w:tcBorders>
            <w:noWrap w:val="0"/>
            <w:vAlign w:val="center"/>
          </w:tcPr>
          <w:p w14:paraId="7A8FCC76">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300≤X＜1000</w:t>
            </w:r>
          </w:p>
        </w:tc>
        <w:tc>
          <w:tcPr>
            <w:tcW w:w="1709" w:type="dxa"/>
            <w:tcBorders>
              <w:top w:val="nil"/>
              <w:left w:val="nil"/>
              <w:bottom w:val="single" w:color="auto" w:sz="4" w:space="0"/>
              <w:right w:val="single" w:color="auto" w:sz="4" w:space="0"/>
            </w:tcBorders>
            <w:noWrap w:val="0"/>
            <w:vAlign w:val="center"/>
          </w:tcPr>
          <w:p w14:paraId="082CEAE9">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100≤X＜300</w:t>
            </w:r>
          </w:p>
        </w:tc>
        <w:tc>
          <w:tcPr>
            <w:tcW w:w="1098" w:type="dxa"/>
            <w:tcBorders>
              <w:top w:val="nil"/>
              <w:left w:val="nil"/>
              <w:bottom w:val="single" w:color="auto" w:sz="4" w:space="0"/>
              <w:right w:val="single" w:color="auto" w:sz="4" w:space="0"/>
            </w:tcBorders>
            <w:noWrap w:val="0"/>
            <w:vAlign w:val="center"/>
          </w:tcPr>
          <w:p w14:paraId="46DF35ED">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X＜100</w:t>
            </w:r>
          </w:p>
        </w:tc>
      </w:tr>
      <w:tr w14:paraId="268BEAB8">
        <w:trPr>
          <w:trHeight w:val="336" w:hRule="atLeast"/>
          <w:jc w:val="center"/>
        </w:trPr>
        <w:tc>
          <w:tcPr>
            <w:tcW w:w="2020" w:type="dxa"/>
            <w:vMerge w:val="continue"/>
            <w:tcBorders>
              <w:top w:val="nil"/>
              <w:left w:val="single" w:color="auto" w:sz="4" w:space="0"/>
              <w:bottom w:val="single" w:color="auto" w:sz="4" w:space="0"/>
              <w:right w:val="single" w:color="auto" w:sz="4" w:space="0"/>
            </w:tcBorders>
            <w:noWrap w:val="0"/>
            <w:vAlign w:val="center"/>
          </w:tcPr>
          <w:p w14:paraId="4A096574">
            <w:pPr>
              <w:widowControl/>
              <w:jc w:val="left"/>
              <w:rPr>
                <w:rFonts w:hint="eastAsia" w:ascii="宋体" w:hAnsi="宋体" w:cs="宋体"/>
                <w:b/>
                <w:bCs/>
                <w:color w:val="auto"/>
                <w:kern w:val="0"/>
                <w:szCs w:val="21"/>
                <w:highlight w:val="none"/>
              </w:rPr>
            </w:pPr>
          </w:p>
        </w:tc>
        <w:tc>
          <w:tcPr>
            <w:tcW w:w="1642" w:type="dxa"/>
            <w:tcBorders>
              <w:top w:val="nil"/>
              <w:left w:val="nil"/>
              <w:bottom w:val="single" w:color="auto" w:sz="4" w:space="0"/>
              <w:right w:val="single" w:color="auto" w:sz="4" w:space="0"/>
            </w:tcBorders>
            <w:noWrap w:val="0"/>
            <w:vAlign w:val="center"/>
          </w:tcPr>
          <w:p w14:paraId="47432DD5">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084" w:type="dxa"/>
            <w:tcBorders>
              <w:top w:val="nil"/>
              <w:left w:val="nil"/>
              <w:bottom w:val="single" w:color="auto" w:sz="4" w:space="0"/>
              <w:right w:val="single" w:color="auto" w:sz="4" w:space="0"/>
            </w:tcBorders>
            <w:noWrap w:val="0"/>
            <w:vAlign w:val="center"/>
          </w:tcPr>
          <w:p w14:paraId="2B65F70D">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23" w:type="dxa"/>
            <w:tcBorders>
              <w:top w:val="nil"/>
              <w:left w:val="nil"/>
              <w:bottom w:val="single" w:color="auto" w:sz="4" w:space="0"/>
              <w:right w:val="single" w:color="auto" w:sz="4" w:space="0"/>
            </w:tcBorders>
            <w:noWrap w:val="0"/>
            <w:vAlign w:val="center"/>
          </w:tcPr>
          <w:p w14:paraId="78E85811">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1000≤Y＜5000</w:t>
            </w:r>
          </w:p>
        </w:tc>
        <w:tc>
          <w:tcPr>
            <w:tcW w:w="1709" w:type="dxa"/>
            <w:tcBorders>
              <w:top w:val="nil"/>
              <w:left w:val="nil"/>
              <w:bottom w:val="single" w:color="auto" w:sz="4" w:space="0"/>
              <w:right w:val="single" w:color="auto" w:sz="4" w:space="0"/>
            </w:tcBorders>
            <w:noWrap w:val="0"/>
            <w:vAlign w:val="center"/>
          </w:tcPr>
          <w:p w14:paraId="04F64182">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500≤Y＜1000</w:t>
            </w:r>
          </w:p>
        </w:tc>
        <w:tc>
          <w:tcPr>
            <w:tcW w:w="1098" w:type="dxa"/>
            <w:tcBorders>
              <w:top w:val="nil"/>
              <w:left w:val="nil"/>
              <w:bottom w:val="single" w:color="auto" w:sz="4" w:space="0"/>
              <w:right w:val="single" w:color="auto" w:sz="4" w:space="0"/>
            </w:tcBorders>
            <w:noWrap w:val="0"/>
            <w:vAlign w:val="center"/>
          </w:tcPr>
          <w:p w14:paraId="48B3E9AB">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Y＜500</w:t>
            </w:r>
          </w:p>
        </w:tc>
      </w:tr>
      <w:tr w14:paraId="7F5A9CE3">
        <w:trPr>
          <w:trHeight w:val="336" w:hRule="atLeast"/>
          <w:jc w:val="center"/>
        </w:trPr>
        <w:tc>
          <w:tcPr>
            <w:tcW w:w="2020" w:type="dxa"/>
            <w:vMerge w:val="restart"/>
            <w:tcBorders>
              <w:top w:val="nil"/>
              <w:left w:val="single" w:color="auto" w:sz="4" w:space="0"/>
              <w:bottom w:val="single" w:color="auto" w:sz="4" w:space="0"/>
              <w:right w:val="single" w:color="auto" w:sz="4" w:space="0"/>
            </w:tcBorders>
            <w:noWrap w:val="0"/>
            <w:vAlign w:val="bottom"/>
          </w:tcPr>
          <w:p w14:paraId="758B25A8">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租赁和商务服务业</w:t>
            </w:r>
          </w:p>
        </w:tc>
        <w:tc>
          <w:tcPr>
            <w:tcW w:w="1642" w:type="dxa"/>
            <w:tcBorders>
              <w:top w:val="nil"/>
              <w:left w:val="nil"/>
              <w:bottom w:val="single" w:color="auto" w:sz="4" w:space="0"/>
              <w:right w:val="single" w:color="auto" w:sz="4" w:space="0"/>
            </w:tcBorders>
            <w:noWrap w:val="0"/>
            <w:vAlign w:val="center"/>
          </w:tcPr>
          <w:p w14:paraId="4CF164AB">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084" w:type="dxa"/>
            <w:tcBorders>
              <w:top w:val="nil"/>
              <w:left w:val="nil"/>
              <w:bottom w:val="single" w:color="auto" w:sz="4" w:space="0"/>
              <w:right w:val="single" w:color="auto" w:sz="4" w:space="0"/>
            </w:tcBorders>
            <w:noWrap w:val="0"/>
            <w:vAlign w:val="center"/>
          </w:tcPr>
          <w:p w14:paraId="36479178">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人</w:t>
            </w:r>
          </w:p>
        </w:tc>
        <w:tc>
          <w:tcPr>
            <w:tcW w:w="1923" w:type="dxa"/>
            <w:tcBorders>
              <w:top w:val="nil"/>
              <w:left w:val="nil"/>
              <w:bottom w:val="single" w:color="auto" w:sz="4" w:space="0"/>
              <w:right w:val="single" w:color="auto" w:sz="4" w:space="0"/>
            </w:tcBorders>
            <w:noWrap w:val="0"/>
            <w:vAlign w:val="center"/>
          </w:tcPr>
          <w:p w14:paraId="50F7A06E">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100≤X＜300</w:t>
            </w:r>
          </w:p>
        </w:tc>
        <w:tc>
          <w:tcPr>
            <w:tcW w:w="1709" w:type="dxa"/>
            <w:tcBorders>
              <w:top w:val="nil"/>
              <w:left w:val="nil"/>
              <w:bottom w:val="single" w:color="auto" w:sz="4" w:space="0"/>
              <w:right w:val="single" w:color="auto" w:sz="4" w:space="0"/>
            </w:tcBorders>
            <w:noWrap w:val="0"/>
            <w:vAlign w:val="center"/>
          </w:tcPr>
          <w:p w14:paraId="303D89DE">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10≤X＜100</w:t>
            </w:r>
          </w:p>
        </w:tc>
        <w:tc>
          <w:tcPr>
            <w:tcW w:w="1098" w:type="dxa"/>
            <w:tcBorders>
              <w:top w:val="nil"/>
              <w:left w:val="nil"/>
              <w:bottom w:val="single" w:color="auto" w:sz="4" w:space="0"/>
              <w:right w:val="single" w:color="auto" w:sz="4" w:space="0"/>
            </w:tcBorders>
            <w:noWrap w:val="0"/>
            <w:vAlign w:val="center"/>
          </w:tcPr>
          <w:p w14:paraId="620F079E">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X＜10</w:t>
            </w:r>
          </w:p>
        </w:tc>
      </w:tr>
      <w:tr w14:paraId="461D538C">
        <w:trPr>
          <w:trHeight w:val="336" w:hRule="atLeast"/>
          <w:jc w:val="center"/>
        </w:trPr>
        <w:tc>
          <w:tcPr>
            <w:tcW w:w="2020" w:type="dxa"/>
            <w:vMerge w:val="continue"/>
            <w:tcBorders>
              <w:top w:val="nil"/>
              <w:left w:val="single" w:color="auto" w:sz="4" w:space="0"/>
              <w:bottom w:val="single" w:color="auto" w:sz="4" w:space="0"/>
              <w:right w:val="single" w:color="auto" w:sz="4" w:space="0"/>
            </w:tcBorders>
            <w:noWrap w:val="0"/>
            <w:vAlign w:val="center"/>
          </w:tcPr>
          <w:p w14:paraId="02106788">
            <w:pPr>
              <w:widowControl/>
              <w:jc w:val="left"/>
              <w:rPr>
                <w:rFonts w:hint="eastAsia" w:ascii="宋体" w:hAnsi="宋体" w:cs="宋体"/>
                <w:b/>
                <w:bCs/>
                <w:color w:val="auto"/>
                <w:kern w:val="0"/>
                <w:szCs w:val="21"/>
                <w:highlight w:val="none"/>
              </w:rPr>
            </w:pPr>
          </w:p>
        </w:tc>
        <w:tc>
          <w:tcPr>
            <w:tcW w:w="1642" w:type="dxa"/>
            <w:tcBorders>
              <w:top w:val="nil"/>
              <w:left w:val="nil"/>
              <w:bottom w:val="single" w:color="auto" w:sz="4" w:space="0"/>
              <w:right w:val="single" w:color="auto" w:sz="4" w:space="0"/>
            </w:tcBorders>
            <w:noWrap w:val="0"/>
            <w:vAlign w:val="center"/>
          </w:tcPr>
          <w:p w14:paraId="5C6B8BCF">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资产总额（Z）</w:t>
            </w:r>
          </w:p>
        </w:tc>
        <w:tc>
          <w:tcPr>
            <w:tcW w:w="1084" w:type="dxa"/>
            <w:tcBorders>
              <w:top w:val="nil"/>
              <w:left w:val="nil"/>
              <w:bottom w:val="single" w:color="auto" w:sz="4" w:space="0"/>
              <w:right w:val="single" w:color="auto" w:sz="4" w:space="0"/>
            </w:tcBorders>
            <w:noWrap w:val="0"/>
            <w:vAlign w:val="center"/>
          </w:tcPr>
          <w:p w14:paraId="02E2F414">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23" w:type="dxa"/>
            <w:tcBorders>
              <w:top w:val="nil"/>
              <w:left w:val="nil"/>
              <w:bottom w:val="single" w:color="auto" w:sz="4" w:space="0"/>
              <w:right w:val="single" w:color="auto" w:sz="4" w:space="0"/>
            </w:tcBorders>
            <w:noWrap w:val="0"/>
            <w:vAlign w:val="center"/>
          </w:tcPr>
          <w:p w14:paraId="36B960B6">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8000≤Z＜120000</w:t>
            </w:r>
          </w:p>
        </w:tc>
        <w:tc>
          <w:tcPr>
            <w:tcW w:w="1709" w:type="dxa"/>
            <w:tcBorders>
              <w:top w:val="nil"/>
              <w:left w:val="nil"/>
              <w:bottom w:val="single" w:color="auto" w:sz="4" w:space="0"/>
              <w:right w:val="single" w:color="auto" w:sz="4" w:space="0"/>
            </w:tcBorders>
            <w:noWrap w:val="0"/>
            <w:vAlign w:val="center"/>
          </w:tcPr>
          <w:p w14:paraId="4EFEE20E">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100≤Z＜8000</w:t>
            </w:r>
          </w:p>
        </w:tc>
        <w:tc>
          <w:tcPr>
            <w:tcW w:w="1098" w:type="dxa"/>
            <w:tcBorders>
              <w:top w:val="nil"/>
              <w:left w:val="nil"/>
              <w:bottom w:val="single" w:color="auto" w:sz="4" w:space="0"/>
              <w:right w:val="single" w:color="auto" w:sz="4" w:space="0"/>
            </w:tcBorders>
            <w:noWrap w:val="0"/>
            <w:vAlign w:val="center"/>
          </w:tcPr>
          <w:p w14:paraId="037A33CE">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Y＜100</w:t>
            </w:r>
          </w:p>
        </w:tc>
      </w:tr>
      <w:tr w14:paraId="236CEDE7">
        <w:trPr>
          <w:trHeight w:val="346" w:hRule="atLeast"/>
          <w:jc w:val="center"/>
        </w:trPr>
        <w:tc>
          <w:tcPr>
            <w:tcW w:w="2020" w:type="dxa"/>
            <w:tcBorders>
              <w:top w:val="nil"/>
              <w:left w:val="single" w:color="auto" w:sz="4" w:space="0"/>
              <w:bottom w:val="single" w:color="auto" w:sz="4" w:space="0"/>
              <w:right w:val="single" w:color="auto" w:sz="4" w:space="0"/>
            </w:tcBorders>
            <w:noWrap w:val="0"/>
            <w:vAlign w:val="bottom"/>
          </w:tcPr>
          <w:p w14:paraId="5247F046">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其他未列明行业</w:t>
            </w:r>
          </w:p>
        </w:tc>
        <w:tc>
          <w:tcPr>
            <w:tcW w:w="1642" w:type="dxa"/>
            <w:tcBorders>
              <w:top w:val="nil"/>
              <w:left w:val="nil"/>
              <w:bottom w:val="single" w:color="auto" w:sz="4" w:space="0"/>
              <w:right w:val="single" w:color="auto" w:sz="4" w:space="0"/>
            </w:tcBorders>
            <w:noWrap w:val="0"/>
            <w:vAlign w:val="center"/>
          </w:tcPr>
          <w:p w14:paraId="75C66CB3">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084" w:type="dxa"/>
            <w:tcBorders>
              <w:top w:val="nil"/>
              <w:left w:val="nil"/>
              <w:bottom w:val="single" w:color="auto" w:sz="4" w:space="0"/>
              <w:right w:val="single" w:color="auto" w:sz="4" w:space="0"/>
            </w:tcBorders>
            <w:noWrap w:val="0"/>
            <w:vAlign w:val="center"/>
          </w:tcPr>
          <w:p w14:paraId="6A5D72E3">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人</w:t>
            </w:r>
          </w:p>
        </w:tc>
        <w:tc>
          <w:tcPr>
            <w:tcW w:w="1923" w:type="dxa"/>
            <w:tcBorders>
              <w:top w:val="nil"/>
              <w:left w:val="nil"/>
              <w:bottom w:val="single" w:color="auto" w:sz="4" w:space="0"/>
              <w:right w:val="single" w:color="auto" w:sz="4" w:space="0"/>
            </w:tcBorders>
            <w:noWrap w:val="0"/>
            <w:vAlign w:val="center"/>
          </w:tcPr>
          <w:p w14:paraId="65657C07">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100≤X＜300</w:t>
            </w:r>
          </w:p>
        </w:tc>
        <w:tc>
          <w:tcPr>
            <w:tcW w:w="1709" w:type="dxa"/>
            <w:tcBorders>
              <w:top w:val="nil"/>
              <w:left w:val="nil"/>
              <w:bottom w:val="single" w:color="auto" w:sz="4" w:space="0"/>
              <w:right w:val="single" w:color="auto" w:sz="4" w:space="0"/>
            </w:tcBorders>
            <w:noWrap w:val="0"/>
            <w:vAlign w:val="center"/>
          </w:tcPr>
          <w:p w14:paraId="09C2ABA0">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10≤X＜100</w:t>
            </w:r>
          </w:p>
        </w:tc>
        <w:tc>
          <w:tcPr>
            <w:tcW w:w="1098" w:type="dxa"/>
            <w:tcBorders>
              <w:top w:val="nil"/>
              <w:left w:val="nil"/>
              <w:bottom w:val="single" w:color="auto" w:sz="4" w:space="0"/>
              <w:right w:val="single" w:color="auto" w:sz="4" w:space="0"/>
            </w:tcBorders>
            <w:noWrap w:val="0"/>
            <w:vAlign w:val="center"/>
          </w:tcPr>
          <w:p w14:paraId="40B5B812">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X＜10</w:t>
            </w:r>
          </w:p>
        </w:tc>
      </w:tr>
    </w:tbl>
    <w:p w14:paraId="7EAF5329">
      <w:pPr>
        <w:spacing w:line="360" w:lineRule="auto"/>
        <w:ind w:firstLine="525" w:firstLineChars="250"/>
        <w:rPr>
          <w:rFonts w:hint="eastAsia" w:ascii="宋体" w:hAnsi="宋体" w:cs="宋体"/>
          <w:color w:val="auto"/>
          <w:szCs w:val="21"/>
          <w:highlight w:val="none"/>
        </w:rPr>
      </w:pPr>
      <w:r>
        <w:rPr>
          <w:rFonts w:hint="eastAsia" w:ascii="宋体" w:hAnsi="宋体" w:cs="宋体"/>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58772C25">
      <w:pPr>
        <w:spacing w:line="400" w:lineRule="exact"/>
        <w:rPr>
          <w:rFonts w:hint="eastAsia" w:ascii="宋体" w:hAnsi="宋体" w:cs="宋体"/>
          <w:color w:val="auto"/>
          <w:szCs w:val="21"/>
          <w:highlight w:val="none"/>
        </w:rPr>
      </w:pPr>
    </w:p>
    <w:p w14:paraId="4067787B">
      <w:pPr>
        <w:pStyle w:val="25"/>
        <w:rPr>
          <w:rFonts w:hint="eastAsia"/>
          <w:color w:val="auto"/>
          <w:highlight w:val="none"/>
        </w:rPr>
      </w:pPr>
    </w:p>
    <w:p w14:paraId="3BC79F68">
      <w:pPr>
        <w:pStyle w:val="3"/>
        <w:keepNext w:val="0"/>
        <w:keepLines w:val="0"/>
        <w:tabs>
          <w:tab w:val="left" w:pos="0"/>
          <w:tab w:val="left" w:pos="3165"/>
          <w:tab w:val="center" w:pos="4153"/>
        </w:tabs>
        <w:autoSpaceDE w:val="0"/>
        <w:autoSpaceDN w:val="0"/>
        <w:adjustRightInd w:val="0"/>
        <w:spacing w:before="0" w:after="0" w:line="240" w:lineRule="auto"/>
        <w:jc w:val="center"/>
        <w:rPr>
          <w:rFonts w:hint="eastAsia" w:ascii="宋体" w:hAnsi="宋体" w:cs="宋体"/>
          <w:color w:val="auto"/>
          <w:highlight w:val="none"/>
        </w:rPr>
      </w:pPr>
      <w:bookmarkStart w:id="52" w:name="_Toc21295"/>
      <w:bookmarkStart w:id="53" w:name="_Toc6950"/>
      <w:bookmarkStart w:id="54" w:name="_Toc24453"/>
      <w:r>
        <w:rPr>
          <w:rFonts w:hint="eastAsia" w:ascii="宋体" w:hAnsi="宋体" w:cs="宋体"/>
          <w:color w:val="auto"/>
          <w:highlight w:val="none"/>
        </w:rPr>
        <w:t>第三章  投标人须知</w:t>
      </w:r>
      <w:bookmarkEnd w:id="52"/>
      <w:bookmarkEnd w:id="53"/>
      <w:bookmarkEnd w:id="54"/>
    </w:p>
    <w:p w14:paraId="79253C80">
      <w:pPr>
        <w:pStyle w:val="4"/>
        <w:spacing w:line="240" w:lineRule="auto"/>
        <w:jc w:val="center"/>
        <w:rPr>
          <w:rFonts w:hint="eastAsia" w:ascii="宋体" w:hAnsi="宋体" w:eastAsia="宋体" w:cs="宋体"/>
          <w:color w:val="auto"/>
          <w:sz w:val="36"/>
          <w:szCs w:val="36"/>
          <w:highlight w:val="none"/>
        </w:rPr>
      </w:pPr>
      <w:bookmarkStart w:id="55" w:name="_Toc254970526"/>
      <w:bookmarkStart w:id="56" w:name="_Toc254970667"/>
      <w:bookmarkStart w:id="57" w:name="_Toc25167"/>
      <w:bookmarkStart w:id="58" w:name="_Toc3016"/>
      <w:bookmarkStart w:id="59" w:name="_Toc4963"/>
      <w:r>
        <w:rPr>
          <w:rFonts w:hint="eastAsia" w:ascii="宋体" w:hAnsi="宋体" w:eastAsia="宋体" w:cs="宋体"/>
          <w:color w:val="auto"/>
          <w:sz w:val="36"/>
          <w:szCs w:val="36"/>
          <w:highlight w:val="none"/>
        </w:rPr>
        <w:t>投标人须知前附表</w:t>
      </w:r>
      <w:bookmarkEnd w:id="55"/>
      <w:bookmarkEnd w:id="56"/>
      <w:bookmarkEnd w:id="57"/>
      <w:bookmarkEnd w:id="58"/>
      <w:bookmarkEnd w:id="59"/>
    </w:p>
    <w:tbl>
      <w:tblPr>
        <w:tblStyle w:val="39"/>
        <w:tblW w:w="9153"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78"/>
        <w:gridCol w:w="8175"/>
      </w:tblGrid>
      <w:tr w14:paraId="48ED57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78" w:type="dxa"/>
            <w:tcBorders>
              <w:top w:val="single" w:color="auto" w:sz="4" w:space="0"/>
              <w:left w:val="single" w:color="auto" w:sz="4" w:space="0"/>
              <w:bottom w:val="single" w:color="auto" w:sz="4" w:space="0"/>
              <w:right w:val="single" w:color="auto" w:sz="4" w:space="0"/>
            </w:tcBorders>
            <w:noWrap w:val="0"/>
            <w:vAlign w:val="center"/>
          </w:tcPr>
          <w:p w14:paraId="7D0B3FC2">
            <w:pPr>
              <w:keepNext w:val="0"/>
              <w:keepLines w:val="0"/>
              <w:pageBreakBefore w:val="0"/>
              <w:widowControl w:val="0"/>
              <w:kinsoku/>
              <w:overflowPunct/>
              <w:topLinePunct w:val="0"/>
              <w:bidi w:val="0"/>
              <w:spacing w:before="120" w:beforeLines="50"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条款号</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64010208">
            <w:pPr>
              <w:keepNext w:val="0"/>
              <w:keepLines w:val="0"/>
              <w:pageBreakBefore w:val="0"/>
              <w:widowControl w:val="0"/>
              <w:kinsoku/>
              <w:overflowPunct/>
              <w:topLinePunct w:val="0"/>
              <w:bidi w:val="0"/>
              <w:spacing w:before="120" w:beforeLines="50"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编列内容</w:t>
            </w:r>
          </w:p>
        </w:tc>
      </w:tr>
      <w:tr w14:paraId="39DF9D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78" w:type="dxa"/>
            <w:tcBorders>
              <w:top w:val="single" w:color="auto" w:sz="4" w:space="0"/>
              <w:left w:val="single" w:color="auto" w:sz="4" w:space="0"/>
              <w:bottom w:val="single" w:color="auto" w:sz="4" w:space="0"/>
              <w:right w:val="single" w:color="auto" w:sz="4" w:space="0"/>
            </w:tcBorders>
            <w:noWrap w:val="0"/>
            <w:vAlign w:val="center"/>
          </w:tcPr>
          <w:p w14:paraId="740AB504">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3</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6A8B1F98">
            <w:pPr>
              <w:keepNext w:val="0"/>
              <w:keepLines w:val="0"/>
              <w:pageBreakBefore w:val="0"/>
              <w:widowControl w:val="0"/>
              <w:kinsoku/>
              <w:wordWrap w:val="0"/>
              <w:overflowPunct/>
              <w:topLinePunct w:val="0"/>
              <w:bidi w:val="0"/>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1.投标人的资格要求详见招标公告。</w:t>
            </w:r>
          </w:p>
          <w:p w14:paraId="234F80DD">
            <w:pPr>
              <w:keepNext w:val="0"/>
              <w:keepLines w:val="0"/>
              <w:pageBreakBefore w:val="0"/>
              <w:widowControl w:val="0"/>
              <w:kinsoku/>
              <w:wordWrap w:val="0"/>
              <w:overflowPunct/>
              <w:topLinePunct w:val="0"/>
              <w:bidi w:val="0"/>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2.投标人出现下列情形之一的，不得参加政府采购活动：</w:t>
            </w:r>
          </w:p>
          <w:p w14:paraId="76D71BB9">
            <w:pPr>
              <w:keepNext w:val="0"/>
              <w:keepLines w:val="0"/>
              <w:pageBreakBefore w:val="0"/>
              <w:widowControl w:val="0"/>
              <w:kinsoku/>
              <w:wordWrap w:val="0"/>
              <w:overflowPunct/>
              <w:topLinePunct w:val="0"/>
              <w:bidi w:val="0"/>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2542FEA1">
            <w:pPr>
              <w:keepNext w:val="0"/>
              <w:keepLines w:val="0"/>
              <w:pageBreakBefore w:val="0"/>
              <w:widowControl w:val="0"/>
              <w:kinsoku/>
              <w:wordWrap w:val="0"/>
              <w:overflowPunct/>
              <w:topLinePunct w:val="0"/>
              <w:bidi w:val="0"/>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2.2对在“信用中国”网站（www.creditchina.gov.cn）、中国政府采购网（www.ccgp.gov.cn）被列入失信被执行人、重大税收违法失信主体、政府采购严重违法失信行为记录名单及其他不符合《中华人民共和国政府采购法》第二十二条规定条件的供应商，不得参与政府采购活动。</w:t>
            </w:r>
          </w:p>
        </w:tc>
      </w:tr>
      <w:tr w14:paraId="62A859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78" w:type="dxa"/>
            <w:tcBorders>
              <w:top w:val="single" w:color="auto" w:sz="4" w:space="0"/>
              <w:left w:val="single" w:color="auto" w:sz="4" w:space="0"/>
              <w:bottom w:val="single" w:color="auto" w:sz="4" w:space="0"/>
              <w:right w:val="single" w:color="auto" w:sz="4" w:space="0"/>
            </w:tcBorders>
            <w:noWrap w:val="0"/>
            <w:vAlign w:val="center"/>
          </w:tcPr>
          <w:p w14:paraId="213BD8C4">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bookmarkStart w:id="60" w:name="_9.2"/>
            <w:bookmarkEnd w:id="60"/>
            <w:bookmarkStart w:id="61" w:name="_8.1"/>
            <w:bookmarkEnd w:id="61"/>
            <w:bookmarkStart w:id="62" w:name="_5"/>
            <w:bookmarkEnd w:id="62"/>
            <w:r>
              <w:rPr>
                <w:rFonts w:hint="eastAsia" w:ascii="宋体" w:hAnsi="宋体" w:cs="宋体"/>
                <w:color w:val="auto"/>
                <w:szCs w:val="21"/>
                <w:highlight w:val="none"/>
              </w:rPr>
              <w:t>6.1</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466E7ECC">
            <w:pPr>
              <w:pStyle w:val="13"/>
              <w:keepNext w:val="0"/>
              <w:keepLines w:val="0"/>
              <w:pageBreakBefore w:val="0"/>
              <w:widowControl w:val="0"/>
              <w:kinsoku/>
              <w:overflowPunct/>
              <w:topLinePunct w:val="0"/>
              <w:bidi w:val="0"/>
              <w:spacing w:line="400" w:lineRule="exact"/>
              <w:rPr>
                <w:rFonts w:hint="eastAsia" w:ascii="宋体" w:hAnsi="宋体" w:cs="宋体"/>
                <w:b/>
                <w:color w:val="auto"/>
                <w:szCs w:val="21"/>
                <w:highlight w:val="none"/>
              </w:rPr>
            </w:pPr>
            <w:r>
              <w:rPr>
                <w:rFonts w:hint="eastAsia" w:ascii="宋体" w:hAnsi="宋体" w:cs="宋体"/>
                <w:color w:val="auto"/>
                <w:szCs w:val="21"/>
                <w:highlight w:val="none"/>
              </w:rPr>
              <w:t>本项目是否接受联合体投标：详见招标公告。</w:t>
            </w:r>
          </w:p>
        </w:tc>
      </w:tr>
      <w:tr w14:paraId="1A302E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78" w:type="dxa"/>
            <w:tcBorders>
              <w:top w:val="single" w:color="auto" w:sz="4" w:space="0"/>
              <w:left w:val="single" w:color="auto" w:sz="4" w:space="0"/>
              <w:bottom w:val="single" w:color="auto" w:sz="4" w:space="0"/>
              <w:right w:val="single" w:color="auto" w:sz="4" w:space="0"/>
            </w:tcBorders>
            <w:noWrap w:val="0"/>
            <w:vAlign w:val="center"/>
          </w:tcPr>
          <w:p w14:paraId="37657A92">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6.2</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0C68A8D3">
            <w:pPr>
              <w:pStyle w:val="13"/>
              <w:keepNext w:val="0"/>
              <w:keepLines w:val="0"/>
              <w:pageBreakBefore w:val="0"/>
              <w:widowControl w:val="0"/>
              <w:kinsoku/>
              <w:overflowPunct/>
              <w:topLinePunct w:val="0"/>
              <w:bidi w:val="0"/>
              <w:spacing w:line="400" w:lineRule="exact"/>
              <w:rPr>
                <w:rFonts w:hint="eastAsia" w:ascii="宋体" w:hAnsi="宋体" w:cs="宋体"/>
                <w:color w:val="auto"/>
                <w:szCs w:val="21"/>
                <w:highlight w:val="none"/>
              </w:rPr>
            </w:pPr>
            <w:bookmarkStart w:id="63" w:name="_Hlk54105293"/>
            <w:r>
              <w:rPr>
                <w:rFonts w:hint="eastAsia" w:ascii="宋体" w:hAnsi="宋体" w:cs="宋体"/>
                <w:color w:val="auto"/>
                <w:szCs w:val="21"/>
                <w:highlight w:val="none"/>
              </w:rPr>
              <w:t>如接受联合体投标，</w:t>
            </w:r>
            <w:bookmarkEnd w:id="63"/>
            <w:r>
              <w:rPr>
                <w:rFonts w:hint="eastAsia" w:ascii="宋体" w:hAnsi="宋体" w:cs="宋体"/>
                <w:color w:val="auto"/>
                <w:szCs w:val="21"/>
                <w:highlight w:val="none"/>
              </w:rPr>
              <w:t>联合体投标要求如下：</w:t>
            </w:r>
          </w:p>
          <w:p w14:paraId="7D3E6CA5">
            <w:pPr>
              <w:pStyle w:val="13"/>
              <w:keepNext w:val="0"/>
              <w:keepLines w:val="0"/>
              <w:pageBreakBefore w:val="0"/>
              <w:widowControl w:val="0"/>
              <w:kinsoku/>
              <w:overflowPunct/>
              <w:topLinePunct w:val="0"/>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1.两个或两个以上投标人可以组成一个投标联合体，以一个投标人的身份共同参加投标。</w:t>
            </w:r>
            <w:r>
              <w:rPr>
                <w:rFonts w:hint="eastAsia" w:ascii="宋体" w:hAnsi="宋体" w:cs="宋体"/>
                <w:b/>
                <w:bCs/>
                <w:color w:val="auto"/>
                <w:szCs w:val="21"/>
                <w:highlight w:val="none"/>
              </w:rPr>
              <w:t>联合体投标人的名称应统一按“XXX公司与XXX公司的联合体”的规则填写</w:t>
            </w:r>
            <w:r>
              <w:rPr>
                <w:rFonts w:hint="eastAsia" w:ascii="宋体" w:hAnsi="宋体" w:cs="宋体"/>
                <w:color w:val="auto"/>
                <w:szCs w:val="21"/>
                <w:highlight w:val="none"/>
              </w:rPr>
              <w:t>。联合体投标的，须提供《联合体投标协议书》（格式后附）。</w:t>
            </w:r>
          </w:p>
          <w:p w14:paraId="3A6DABA7">
            <w:pPr>
              <w:pStyle w:val="13"/>
              <w:keepNext w:val="0"/>
              <w:keepLines w:val="0"/>
              <w:pageBreakBefore w:val="0"/>
              <w:widowControl w:val="0"/>
              <w:kinsoku/>
              <w:overflowPunct/>
              <w:topLinePunct w:val="0"/>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招标文件规定的特定条件。</w:t>
            </w:r>
          </w:p>
          <w:p w14:paraId="230D3D3D">
            <w:pPr>
              <w:pStyle w:val="13"/>
              <w:keepNext w:val="0"/>
              <w:keepLines w:val="0"/>
              <w:pageBreakBefore w:val="0"/>
              <w:widowControl w:val="0"/>
              <w:kinsoku/>
              <w:overflowPunct/>
              <w:topLinePunct w:val="0"/>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3.联合体各方之间必须签订联合投标协议，协议书必须明确主体方（或者牵头方）并明确约定联合体各方承担的工作和相应的责任（</w:t>
            </w:r>
            <w:r>
              <w:rPr>
                <w:rFonts w:hint="eastAsia" w:ascii="宋体" w:hAnsi="宋体" w:cs="宋体"/>
                <w:b/>
                <w:color w:val="auto"/>
                <w:szCs w:val="21"/>
                <w:highlight w:val="none"/>
              </w:rPr>
              <w:t>各方承担责任与义务的分工必须符合采购需求，否则，联合体投标无效</w:t>
            </w:r>
            <w:r>
              <w:rPr>
                <w:rFonts w:hint="eastAsia" w:ascii="宋体" w:hAnsi="宋体" w:cs="宋体"/>
                <w:color w:val="auto"/>
                <w:szCs w:val="21"/>
                <w:highlight w:val="none"/>
              </w:rPr>
              <w:t>），并将联合投标协议放入投标文件。联合体各方必须共同与采购人签订采购合同，就采购合同约定的事项对采购人承担连带责任。</w:t>
            </w:r>
          </w:p>
          <w:p w14:paraId="01C2C2F0">
            <w:pPr>
              <w:pStyle w:val="13"/>
              <w:keepNext w:val="0"/>
              <w:keepLines w:val="0"/>
              <w:pageBreakBefore w:val="0"/>
              <w:widowControl w:val="0"/>
              <w:kinsoku/>
              <w:overflowPunct/>
              <w:topLinePunct w:val="0"/>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4.以联合体形式参加政府采购活动的，联合体各方不得再单独参加或者与其他投标人另外组成联合体参加同一合同项下的政府采购活动。</w:t>
            </w:r>
          </w:p>
          <w:p w14:paraId="651FAE57">
            <w:pPr>
              <w:pStyle w:val="13"/>
              <w:keepNext w:val="0"/>
              <w:keepLines w:val="0"/>
              <w:pageBreakBefore w:val="0"/>
              <w:widowControl w:val="0"/>
              <w:kinsoku/>
              <w:overflowPunct/>
              <w:topLinePunct w:val="0"/>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5.联合体中有同类资质的投标人按照联合体分工承担相同工作的，应当按照资质等级较低的投标人确定资质等级。</w:t>
            </w:r>
          </w:p>
          <w:p w14:paraId="257B55FE">
            <w:pPr>
              <w:pStyle w:val="13"/>
              <w:keepNext w:val="0"/>
              <w:keepLines w:val="0"/>
              <w:pageBreakBefore w:val="0"/>
              <w:widowControl w:val="0"/>
              <w:kinsoku/>
              <w:overflowPunct/>
              <w:topLinePunct w:val="0"/>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6.联合体投标业绩、履约能力按照联合体各方其中较高的一方认定并计算（招标文件另有规定的除外）。</w:t>
            </w:r>
          </w:p>
          <w:p w14:paraId="648328A7">
            <w:pPr>
              <w:pStyle w:val="13"/>
              <w:keepNext w:val="0"/>
              <w:keepLines w:val="0"/>
              <w:pageBreakBefore w:val="0"/>
              <w:widowControl w:val="0"/>
              <w:kinsoku/>
              <w:overflowPunct/>
              <w:topLinePunct w:val="0"/>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7.投标人为联合体的，可以由联合体中的一方或者多方共同交纳投标保证金，其交纳的保证金对联合体各方均具有约束力。</w:t>
            </w:r>
          </w:p>
          <w:p w14:paraId="5E70BDFA">
            <w:pPr>
              <w:pStyle w:val="13"/>
              <w:keepNext w:val="0"/>
              <w:keepLines w:val="0"/>
              <w:pageBreakBefore w:val="0"/>
              <w:widowControl w:val="0"/>
              <w:kinsoku/>
              <w:overflowPunct/>
              <w:topLinePunct w:val="0"/>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8.联合体各方均应按照招标文件的规定提交资格证明文件。</w:t>
            </w:r>
          </w:p>
        </w:tc>
      </w:tr>
      <w:tr w14:paraId="2E7DDF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78" w:type="dxa"/>
            <w:tcBorders>
              <w:top w:val="single" w:color="auto" w:sz="4" w:space="0"/>
              <w:left w:val="single" w:color="auto" w:sz="4" w:space="0"/>
              <w:bottom w:val="single" w:color="auto" w:sz="4" w:space="0"/>
              <w:right w:val="single" w:color="auto" w:sz="4" w:space="0"/>
            </w:tcBorders>
            <w:noWrap w:val="0"/>
            <w:vAlign w:val="center"/>
          </w:tcPr>
          <w:p w14:paraId="51FE113D">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7.2</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5AF8E08B">
            <w:pPr>
              <w:pStyle w:val="13"/>
              <w:keepNext w:val="0"/>
              <w:keepLines w:val="0"/>
              <w:pageBreakBefore w:val="0"/>
              <w:widowControl w:val="0"/>
              <w:kinsoku/>
              <w:overflowPunct/>
              <w:topLinePunct w:val="0"/>
              <w:bidi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☑不允许分包</w:t>
            </w:r>
          </w:p>
          <w:p w14:paraId="5D9FE332">
            <w:pPr>
              <w:pStyle w:val="13"/>
              <w:keepNext w:val="0"/>
              <w:keepLines w:val="0"/>
              <w:pageBreakBefore w:val="0"/>
              <w:widowControl w:val="0"/>
              <w:kinsoku/>
              <w:overflowPunct/>
              <w:topLinePunct w:val="0"/>
              <w:bidi w:val="0"/>
              <w:spacing w:line="400" w:lineRule="exact"/>
              <w:rPr>
                <w:rFonts w:hint="eastAsia" w:ascii="宋体" w:hAnsi="宋体" w:cs="宋体"/>
                <w:color w:val="auto"/>
                <w:szCs w:val="21"/>
                <w:highlight w:val="none"/>
              </w:rPr>
            </w:pPr>
            <w:bookmarkStart w:id="64" w:name="OLE_LINK12"/>
            <w:r>
              <w:rPr>
                <w:rFonts w:hint="eastAsia" w:ascii="宋体" w:hAnsi="宋体" w:cs="宋体"/>
                <w:color w:val="auto"/>
                <w:szCs w:val="21"/>
                <w:highlight w:val="none"/>
              </w:rPr>
              <w:t>□</w:t>
            </w:r>
            <w:bookmarkEnd w:id="64"/>
            <w:r>
              <w:rPr>
                <w:rFonts w:hint="eastAsia" w:ascii="宋体" w:hAnsi="宋体" w:cs="宋体"/>
                <w:color w:val="auto"/>
                <w:szCs w:val="21"/>
                <w:highlight w:val="none"/>
              </w:rPr>
              <w:t>允许分包</w:t>
            </w:r>
          </w:p>
          <w:p w14:paraId="4BF667CD">
            <w:pPr>
              <w:pStyle w:val="13"/>
              <w:keepNext w:val="0"/>
              <w:keepLines w:val="0"/>
              <w:pageBreakBefore w:val="0"/>
              <w:widowControl w:val="0"/>
              <w:kinsoku/>
              <w:overflowPunct/>
              <w:topLinePunct w:val="0"/>
              <w:bidi w:val="0"/>
              <w:spacing w:line="400" w:lineRule="exact"/>
              <w:rPr>
                <w:rFonts w:hint="eastAsia" w:ascii="宋体" w:hAnsi="宋体" w:cs="宋体"/>
                <w:color w:val="auto"/>
                <w:szCs w:val="21"/>
                <w:highlight w:val="none"/>
                <w:u w:val="single"/>
              </w:rPr>
            </w:pPr>
            <w:r>
              <w:rPr>
                <w:rFonts w:hint="eastAsia" w:ascii="宋体" w:hAnsi="宋体" w:cs="宋体"/>
                <w:color w:val="auto"/>
                <w:szCs w:val="21"/>
                <w:highlight w:val="none"/>
              </w:rPr>
              <w:t>分包内容：</w:t>
            </w:r>
            <w:r>
              <w:rPr>
                <w:rFonts w:hint="eastAsia" w:ascii="宋体" w:hAnsi="宋体" w:cs="宋体"/>
                <w:color w:val="auto"/>
                <w:szCs w:val="21"/>
                <w:highlight w:val="none"/>
                <w:u w:val="single"/>
              </w:rPr>
              <w:t xml:space="preserve">                                     。</w:t>
            </w:r>
          </w:p>
          <w:p w14:paraId="32351911">
            <w:pPr>
              <w:pStyle w:val="13"/>
              <w:keepNext w:val="0"/>
              <w:keepLines w:val="0"/>
              <w:pageBreakBefore w:val="0"/>
              <w:widowControl w:val="0"/>
              <w:kinsoku/>
              <w:overflowPunct/>
              <w:topLinePunct w:val="0"/>
              <w:bidi w:val="0"/>
              <w:spacing w:line="400" w:lineRule="exact"/>
              <w:jc w:val="both"/>
              <w:rPr>
                <w:rFonts w:hint="eastAsia" w:ascii="宋体" w:hAnsi="宋体" w:cs="宋体"/>
                <w:color w:val="auto"/>
                <w:szCs w:val="21"/>
                <w:highlight w:val="none"/>
                <w:u w:val="single"/>
              </w:rPr>
            </w:pPr>
            <w:r>
              <w:rPr>
                <w:rFonts w:hint="eastAsia" w:ascii="宋体" w:hAnsi="宋体" w:cs="宋体"/>
                <w:color w:val="auto"/>
                <w:szCs w:val="21"/>
                <w:highlight w:val="none"/>
              </w:rPr>
              <w:t>分包金额或者比例：</w:t>
            </w:r>
            <w:r>
              <w:rPr>
                <w:rFonts w:hint="eastAsia" w:ascii="宋体" w:hAnsi="宋体" w:cs="宋体"/>
                <w:color w:val="auto"/>
                <w:szCs w:val="21"/>
                <w:highlight w:val="none"/>
                <w:u w:val="single"/>
              </w:rPr>
              <w:t xml:space="preserve">                                     。</w:t>
            </w:r>
          </w:p>
        </w:tc>
      </w:tr>
      <w:tr w14:paraId="198019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00" w:hRule="atLeast"/>
        </w:trPr>
        <w:tc>
          <w:tcPr>
            <w:tcW w:w="978" w:type="dxa"/>
            <w:vMerge w:val="restart"/>
            <w:tcBorders>
              <w:top w:val="single" w:color="auto" w:sz="4" w:space="0"/>
              <w:left w:val="single" w:color="auto" w:sz="4" w:space="0"/>
              <w:right w:val="single" w:color="auto" w:sz="4" w:space="0"/>
            </w:tcBorders>
            <w:noWrap w:val="0"/>
            <w:vAlign w:val="center"/>
          </w:tcPr>
          <w:p w14:paraId="3C7C4B98">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11.2</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03850D1C">
            <w:pPr>
              <w:keepNext w:val="0"/>
              <w:keepLines w:val="0"/>
              <w:pageBreakBefore w:val="0"/>
              <w:widowControl w:val="0"/>
              <w:kinsoku/>
              <w:overflowPunct/>
              <w:topLinePunct w:val="0"/>
              <w:bidi w:val="0"/>
              <w:snapToGrid w:val="0"/>
              <w:spacing w:line="400" w:lineRule="exact"/>
              <w:rPr>
                <w:rFonts w:hint="eastAsia" w:ascii="宋体" w:hAnsi="宋体" w:cs="宋体"/>
                <w:color w:val="auto"/>
                <w:szCs w:val="21"/>
                <w:highlight w:val="none"/>
              </w:rPr>
            </w:pPr>
            <w:bookmarkStart w:id="65" w:name="OLE_LINK13"/>
            <w:r>
              <w:rPr>
                <w:rFonts w:hint="eastAsia" w:ascii="宋体" w:hAnsi="宋体" w:cs="宋体"/>
                <w:color w:val="auto"/>
                <w:szCs w:val="21"/>
                <w:highlight w:val="none"/>
              </w:rPr>
              <w:t>☑</w:t>
            </w:r>
            <w:bookmarkEnd w:id="65"/>
            <w:r>
              <w:rPr>
                <w:rFonts w:hint="eastAsia" w:ascii="宋体" w:hAnsi="宋体" w:cs="宋体"/>
                <w:color w:val="auto"/>
                <w:szCs w:val="21"/>
                <w:highlight w:val="none"/>
              </w:rPr>
              <w:t>不组织现场考察</w:t>
            </w:r>
          </w:p>
        </w:tc>
      </w:tr>
      <w:tr w14:paraId="346479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33" w:hRule="atLeast"/>
        </w:trPr>
        <w:tc>
          <w:tcPr>
            <w:tcW w:w="978" w:type="dxa"/>
            <w:vMerge w:val="continue"/>
            <w:tcBorders>
              <w:left w:val="single" w:color="auto" w:sz="4" w:space="0"/>
              <w:bottom w:val="single" w:color="auto" w:sz="4" w:space="0"/>
              <w:right w:val="single" w:color="auto" w:sz="4" w:space="0"/>
            </w:tcBorders>
            <w:noWrap w:val="0"/>
            <w:vAlign w:val="center"/>
          </w:tcPr>
          <w:p w14:paraId="63F08370">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p>
        </w:tc>
        <w:tc>
          <w:tcPr>
            <w:tcW w:w="8175" w:type="dxa"/>
            <w:tcBorders>
              <w:top w:val="single" w:color="auto" w:sz="4" w:space="0"/>
              <w:left w:val="single" w:color="auto" w:sz="4" w:space="0"/>
              <w:bottom w:val="single" w:color="auto" w:sz="4" w:space="0"/>
              <w:right w:val="single" w:color="auto" w:sz="4" w:space="0"/>
            </w:tcBorders>
            <w:noWrap w:val="0"/>
            <w:vAlign w:val="center"/>
          </w:tcPr>
          <w:p w14:paraId="6A4C63A3">
            <w:pPr>
              <w:keepNext w:val="0"/>
              <w:keepLines w:val="0"/>
              <w:pageBreakBefore w:val="0"/>
              <w:widowControl w:val="0"/>
              <w:kinsoku/>
              <w:overflowPunct/>
              <w:topLinePunct w:val="0"/>
              <w:bidi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☑不组织召开开标前答疑会</w:t>
            </w:r>
          </w:p>
        </w:tc>
      </w:tr>
      <w:tr w14:paraId="629E7B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78" w:type="dxa"/>
            <w:vMerge w:val="restart"/>
            <w:tcBorders>
              <w:top w:val="single" w:color="auto" w:sz="4" w:space="0"/>
              <w:left w:val="single" w:color="auto" w:sz="4" w:space="0"/>
              <w:right w:val="single" w:color="auto" w:sz="4" w:space="0"/>
            </w:tcBorders>
            <w:noWrap w:val="0"/>
            <w:vAlign w:val="center"/>
          </w:tcPr>
          <w:p w14:paraId="4076AC1C">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bookmarkStart w:id="66" w:name="_13.1"/>
            <w:bookmarkEnd w:id="66"/>
            <w:r>
              <w:rPr>
                <w:rFonts w:hint="eastAsia" w:ascii="宋体" w:hAnsi="宋体" w:cs="宋体"/>
                <w:color w:val="auto"/>
                <w:szCs w:val="21"/>
                <w:highlight w:val="none"/>
              </w:rPr>
              <w:t>13</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222D699A">
            <w:pPr>
              <w:keepNext w:val="0"/>
              <w:keepLines w:val="0"/>
              <w:pageBreakBefore w:val="0"/>
              <w:widowControl w:val="0"/>
              <w:kinsoku/>
              <w:overflowPunct/>
              <w:topLinePunct w:val="0"/>
              <w:bidi w:val="0"/>
              <w:snapToGrid w:val="0"/>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报价文件：</w:t>
            </w:r>
          </w:p>
          <w:p w14:paraId="4596B456">
            <w:pPr>
              <w:keepNext w:val="0"/>
              <w:keepLines w:val="0"/>
              <w:pageBreakBefore w:val="0"/>
              <w:widowControl w:val="0"/>
              <w:tabs>
                <w:tab w:val="left" w:pos="459"/>
              </w:tabs>
              <w:kinsoku/>
              <w:overflowPunct/>
              <w:topLinePunct w:val="0"/>
              <w:bidi w:val="0"/>
              <w:snapToGrid w:val="0"/>
              <w:spacing w:line="400" w:lineRule="exact"/>
              <w:ind w:left="-2" w:leftChars="-1"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1.投标函（格式后附）；</w:t>
            </w:r>
            <w:r>
              <w:rPr>
                <w:rFonts w:hint="eastAsia" w:ascii="宋体" w:hAnsi="宋体" w:cs="宋体"/>
                <w:b/>
                <w:color w:val="auto"/>
                <w:szCs w:val="21"/>
                <w:highlight w:val="none"/>
              </w:rPr>
              <w:t>（必须提供，否则按无效投标处理）</w:t>
            </w:r>
          </w:p>
          <w:p w14:paraId="3B7BD9D2">
            <w:pPr>
              <w:keepNext w:val="0"/>
              <w:keepLines w:val="0"/>
              <w:pageBreakBefore w:val="0"/>
              <w:widowControl w:val="0"/>
              <w:tabs>
                <w:tab w:val="left" w:pos="459"/>
              </w:tabs>
              <w:kinsoku/>
              <w:overflowPunct/>
              <w:topLinePunct w:val="0"/>
              <w:bidi w:val="0"/>
              <w:snapToGrid w:val="0"/>
              <w:spacing w:line="400" w:lineRule="exact"/>
              <w:ind w:left="-2" w:leftChars="-1"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2.开标一览表（格式后附）；（</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752DB795">
            <w:pPr>
              <w:keepNext w:val="0"/>
              <w:keepLines w:val="0"/>
              <w:pageBreakBefore w:val="0"/>
              <w:widowControl w:val="0"/>
              <w:tabs>
                <w:tab w:val="left" w:pos="459"/>
              </w:tabs>
              <w:kinsoku/>
              <w:overflowPunct/>
              <w:topLinePunct w:val="0"/>
              <w:bidi w:val="0"/>
              <w:snapToGrid w:val="0"/>
              <w:spacing w:line="400" w:lineRule="exact"/>
              <w:ind w:left="-2" w:leftChars="-1"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3.中小企业声明函或监狱企业证明文件或残疾人福利性单位声明函；（如有请提供）</w:t>
            </w:r>
          </w:p>
          <w:p w14:paraId="09CB0365">
            <w:pPr>
              <w:keepNext w:val="0"/>
              <w:keepLines w:val="0"/>
              <w:pageBreakBefore w:val="0"/>
              <w:widowControl w:val="0"/>
              <w:tabs>
                <w:tab w:val="left" w:pos="459"/>
              </w:tabs>
              <w:kinsoku/>
              <w:overflowPunct/>
              <w:topLinePunct w:val="0"/>
              <w:bidi w:val="0"/>
              <w:snapToGrid w:val="0"/>
              <w:spacing w:line="400" w:lineRule="exact"/>
              <w:ind w:left="-2" w:leftChars="-1"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4.投标人针对报价需要说明的其他文件和说明（格式自拟）。（如有请提供）</w:t>
            </w:r>
          </w:p>
          <w:p w14:paraId="03B96D4D">
            <w:pPr>
              <w:keepNext w:val="0"/>
              <w:keepLines w:val="0"/>
              <w:pageBreakBefore w:val="0"/>
              <w:widowControl w:val="0"/>
              <w:tabs>
                <w:tab w:val="left" w:pos="459"/>
              </w:tabs>
              <w:kinsoku/>
              <w:overflowPunct/>
              <w:topLinePunct w:val="0"/>
              <w:bidi w:val="0"/>
              <w:snapToGrid w:val="0"/>
              <w:spacing w:line="400" w:lineRule="exact"/>
              <w:ind w:left="-2" w:leftChars="-1" w:firstLine="420" w:firstLineChars="200"/>
              <w:rPr>
                <w:rFonts w:hint="eastAsia" w:ascii="宋体" w:hAnsi="宋体" w:cs="宋体"/>
                <w:b/>
                <w:color w:val="auto"/>
                <w:szCs w:val="21"/>
                <w:highlight w:val="none"/>
              </w:rPr>
            </w:pPr>
            <w:r>
              <w:rPr>
                <w:rFonts w:hint="eastAsia" w:ascii="宋体" w:hAnsi="宋体" w:cs="宋体"/>
                <w:b/>
                <w:color w:val="auto"/>
                <w:szCs w:val="21"/>
                <w:highlight w:val="none"/>
              </w:rPr>
              <w:t>注：1.以上标明“必须提供”的材料的，必须加盖投标人电子签章，否则按无效投标处理；</w:t>
            </w:r>
          </w:p>
          <w:p w14:paraId="0B190DD2">
            <w:pPr>
              <w:keepNext w:val="0"/>
              <w:keepLines w:val="0"/>
              <w:pageBreakBefore w:val="0"/>
              <w:widowControl w:val="0"/>
              <w:tabs>
                <w:tab w:val="left" w:pos="459"/>
              </w:tabs>
              <w:kinsoku/>
              <w:overflowPunct/>
              <w:topLinePunct w:val="0"/>
              <w:bidi w:val="0"/>
              <w:snapToGrid w:val="0"/>
              <w:spacing w:line="400" w:lineRule="exact"/>
              <w:ind w:left="-2" w:leftChars="-1" w:firstLine="841" w:firstLineChars="400"/>
              <w:rPr>
                <w:rFonts w:hint="eastAsia" w:ascii="宋体" w:hAnsi="宋体" w:cs="宋体"/>
                <w:b/>
                <w:color w:val="auto"/>
                <w:szCs w:val="21"/>
                <w:highlight w:val="none"/>
              </w:rPr>
            </w:pPr>
            <w:r>
              <w:rPr>
                <w:rFonts w:hint="eastAsia" w:ascii="宋体" w:hAnsi="宋体" w:cs="宋体"/>
                <w:b/>
                <w:color w:val="auto"/>
                <w:szCs w:val="21"/>
                <w:highlight w:val="none"/>
              </w:rPr>
              <w:t>2.联合体投标时，盖章处须加盖联合体牵头人电子签章，规定签字处签字（或者电子签名），否则响应文件按无效处理。</w:t>
            </w:r>
          </w:p>
        </w:tc>
      </w:tr>
      <w:tr w14:paraId="734409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78" w:type="dxa"/>
            <w:vMerge w:val="continue"/>
            <w:tcBorders>
              <w:left w:val="single" w:color="auto" w:sz="4" w:space="0"/>
              <w:right w:val="single" w:color="auto" w:sz="4" w:space="0"/>
            </w:tcBorders>
            <w:noWrap w:val="0"/>
            <w:vAlign w:val="center"/>
          </w:tcPr>
          <w:p w14:paraId="67C99A82">
            <w:pPr>
              <w:keepNext w:val="0"/>
              <w:keepLines w:val="0"/>
              <w:pageBreakBefore w:val="0"/>
              <w:widowControl w:val="0"/>
              <w:kinsoku/>
              <w:overflowPunct/>
              <w:topLinePunct w:val="0"/>
              <w:bidi w:val="0"/>
              <w:spacing w:line="400" w:lineRule="exact"/>
              <w:rPr>
                <w:rFonts w:hint="eastAsia" w:ascii="宋体" w:hAnsi="宋体" w:cs="宋体"/>
                <w:color w:val="auto"/>
                <w:szCs w:val="21"/>
                <w:highlight w:val="none"/>
              </w:rPr>
            </w:pPr>
            <w:bookmarkStart w:id="67" w:name="_13.2"/>
            <w:bookmarkEnd w:id="67"/>
          </w:p>
        </w:tc>
        <w:tc>
          <w:tcPr>
            <w:tcW w:w="8175" w:type="dxa"/>
            <w:tcBorders>
              <w:top w:val="single" w:color="auto" w:sz="4" w:space="0"/>
              <w:left w:val="single" w:color="auto" w:sz="4" w:space="0"/>
              <w:bottom w:val="single" w:color="auto" w:sz="4" w:space="0"/>
              <w:right w:val="single" w:color="auto" w:sz="4" w:space="0"/>
            </w:tcBorders>
            <w:noWrap w:val="0"/>
            <w:vAlign w:val="center"/>
          </w:tcPr>
          <w:p w14:paraId="1CD319A4">
            <w:pPr>
              <w:keepNext w:val="0"/>
              <w:keepLines w:val="0"/>
              <w:pageBreakBefore w:val="0"/>
              <w:widowControl w:val="0"/>
              <w:kinsoku/>
              <w:overflowPunct/>
              <w:topLinePunct w:val="0"/>
              <w:bidi w:val="0"/>
              <w:snapToGrid w:val="0"/>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资格证明文件：</w:t>
            </w:r>
          </w:p>
          <w:p w14:paraId="11337818">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b/>
                <w:color w:val="auto"/>
                <w:szCs w:val="21"/>
                <w:highlight w:val="none"/>
              </w:rPr>
            </w:pPr>
            <w:r>
              <w:rPr>
                <w:rFonts w:hint="eastAsia" w:ascii="宋体" w:hAnsi="宋体" w:cs="宋体"/>
                <w:color w:val="auto"/>
                <w:szCs w:val="21"/>
                <w:highlight w:val="none"/>
              </w:rPr>
              <w:t>1.投标人为法人或者其他组织的，提供营业执照等证明文件（如营业执照或者事业单位法人证书或者</w:t>
            </w:r>
            <w:r>
              <w:rPr>
                <w:rStyle w:val="74"/>
                <w:rFonts w:hint="eastAsia"/>
                <w:color w:val="auto"/>
                <w:sz w:val="21"/>
                <w:szCs w:val="21"/>
                <w:highlight w:val="none"/>
              </w:rPr>
              <w:t>执业许可证</w:t>
            </w:r>
            <w:r>
              <w:rPr>
                <w:rFonts w:hint="eastAsia" w:ascii="宋体" w:hAnsi="宋体" w:cs="宋体"/>
                <w:color w:val="auto"/>
                <w:szCs w:val="21"/>
                <w:highlight w:val="none"/>
              </w:rPr>
              <w:t>或者登记证书等），投标人为自然人的，提供身份证复印件；（</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32D48AEE">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b/>
                <w:color w:val="auto"/>
                <w:szCs w:val="21"/>
                <w:highlight w:val="none"/>
              </w:rPr>
            </w:pPr>
            <w:r>
              <w:rPr>
                <w:rFonts w:hint="eastAsia" w:ascii="宋体" w:hAnsi="宋体" w:cs="宋体"/>
                <w:color w:val="auto"/>
                <w:szCs w:val="21"/>
                <w:highlight w:val="none"/>
              </w:rPr>
              <w:t>2.投标人依法缴纳税收的相关材料</w:t>
            </w:r>
            <w:r>
              <w:rPr>
                <w:rFonts w:hint="eastAsia" w:ascii="宋体" w:hAnsi="宋体" w:cs="宋体"/>
                <w:color w:val="auto"/>
                <w:szCs w:val="21"/>
                <w:highlight w:val="none"/>
                <w:lang w:val="en-US" w:eastAsia="zh-CN"/>
              </w:rPr>
              <w:t>[</w:t>
            </w:r>
            <w:r>
              <w:rPr>
                <w:rFonts w:hint="eastAsia" w:ascii="宋体" w:hAnsi="宋体" w:cs="宋体"/>
                <w:color w:val="auto"/>
                <w:szCs w:val="21"/>
                <w:highlight w:val="none"/>
                <w:u w:val="single"/>
                <w:lang w:eastAsia="zh-CN"/>
              </w:rPr>
              <w:t>2025年7月至2026年1月</w:t>
            </w:r>
            <w:r>
              <w:rPr>
                <w:rFonts w:hint="eastAsia" w:ascii="宋体" w:hAnsi="宋体" w:cs="宋体"/>
                <w:color w:val="auto"/>
                <w:szCs w:val="21"/>
                <w:highlight w:val="none"/>
              </w:rPr>
              <w:t>内任意连续</w:t>
            </w:r>
            <w:r>
              <w:rPr>
                <w:rFonts w:hint="eastAsia" w:ascii="宋体" w:hAnsi="宋体" w:cs="宋体"/>
                <w:color w:val="auto"/>
                <w:szCs w:val="21"/>
                <w:highlight w:val="none"/>
                <w:u w:val="single"/>
              </w:rPr>
              <w:t>3</w:t>
            </w:r>
            <w:r>
              <w:rPr>
                <w:rFonts w:hint="eastAsia" w:ascii="宋体" w:hAnsi="宋体" w:cs="宋体"/>
                <w:color w:val="auto"/>
                <w:szCs w:val="21"/>
                <w:highlight w:val="none"/>
              </w:rPr>
              <w:t>个月的依法缴纳税收的证明材料的凭据复印件；依法免税的投标人，必须提供相应文件证明其依法免税。从成立之</w:t>
            </w:r>
            <w:bookmarkStart w:id="269" w:name="_GoBack"/>
            <w:bookmarkEnd w:id="269"/>
            <w:r>
              <w:rPr>
                <w:rFonts w:hint="eastAsia" w:ascii="宋体" w:hAnsi="宋体" w:cs="宋体"/>
                <w:color w:val="auto"/>
                <w:szCs w:val="21"/>
                <w:highlight w:val="none"/>
              </w:rPr>
              <w:t>日起到投标文件提交截止时间止不足要求月数的，只需提供从成立之日起的依法缴纳税收相应证明文件</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（格式自拟）；（</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4F70E0C7">
            <w:pPr>
              <w:keepNext w:val="0"/>
              <w:keepLines w:val="0"/>
              <w:pageBreakBefore w:val="0"/>
              <w:widowControl w:val="0"/>
              <w:kinsoku/>
              <w:overflowPunct/>
              <w:topLinePunct w:val="0"/>
              <w:bidi w:val="0"/>
              <w:snapToGrid w:val="0"/>
              <w:spacing w:line="400" w:lineRule="exact"/>
              <w:ind w:firstLine="420" w:firstLineChars="200"/>
              <w:jc w:val="left"/>
              <w:rPr>
                <w:rFonts w:hint="eastAsia" w:ascii="宋体" w:hAnsi="宋体" w:cs="宋体"/>
                <w:b/>
                <w:color w:val="auto"/>
                <w:szCs w:val="21"/>
                <w:highlight w:val="none"/>
              </w:rPr>
            </w:pPr>
            <w:r>
              <w:rPr>
                <w:rFonts w:hint="eastAsia" w:ascii="宋体" w:hAnsi="宋体" w:cs="宋体"/>
                <w:color w:val="auto"/>
                <w:szCs w:val="21"/>
                <w:highlight w:val="none"/>
              </w:rPr>
              <w:t>3.投标人依法缴纳社会保障资金的相关材料[</w:t>
            </w:r>
            <w:r>
              <w:rPr>
                <w:rFonts w:hint="eastAsia" w:ascii="宋体" w:hAnsi="宋体" w:cs="宋体"/>
                <w:color w:val="auto"/>
                <w:szCs w:val="21"/>
                <w:highlight w:val="none"/>
                <w:u w:val="single"/>
                <w:lang w:eastAsia="zh-CN"/>
              </w:rPr>
              <w:t>2025年7月至2026年1月</w:t>
            </w:r>
            <w:r>
              <w:rPr>
                <w:rFonts w:hint="eastAsia" w:ascii="宋体" w:hAnsi="宋体" w:cs="宋体"/>
                <w:color w:val="auto"/>
                <w:szCs w:val="21"/>
                <w:highlight w:val="none"/>
              </w:rPr>
              <w:t>内任意连续</w:t>
            </w:r>
            <w:r>
              <w:rPr>
                <w:rFonts w:hint="eastAsia" w:ascii="宋体" w:hAnsi="宋体" w:cs="宋体"/>
                <w:color w:val="auto"/>
                <w:szCs w:val="21"/>
                <w:highlight w:val="none"/>
                <w:u w:val="single"/>
              </w:rPr>
              <w:t xml:space="preserve"> 3 </w:t>
            </w:r>
            <w:r>
              <w:rPr>
                <w:rFonts w:hint="eastAsia" w:ascii="宋体" w:hAnsi="宋体" w:cs="宋体"/>
                <w:color w:val="auto"/>
                <w:szCs w:val="21"/>
                <w:highlight w:val="none"/>
              </w:rPr>
              <w:t>个月的依法缴纳社会保障资金的缴费凭证（专用收据或者社会保险缴纳清单或者社保部门的证明）复印件；依法不需要缴纳社会保障资金的投标人，必须提供相应文件证明不需要缴纳社会保障资金。从成立之日起到投标文件提交截止时间止不足要求月数的只需提供从成立之日起的依法缴纳社会保障资金的相应证明文件]（格式自拟）；（</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14649DAB">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4.投标人财务状况报告【</w:t>
            </w:r>
            <w:r>
              <w:rPr>
                <w:rFonts w:hint="eastAsia" w:ascii="宋体" w:hAnsi="宋体" w:cs="宋体"/>
                <w:color w:val="auto"/>
                <w:szCs w:val="21"/>
                <w:highlight w:val="none"/>
                <w:u w:val="single"/>
              </w:rPr>
              <w:t>2024年度</w:t>
            </w:r>
            <w:r>
              <w:rPr>
                <w:rFonts w:hint="eastAsia" w:ascii="宋体" w:hAnsi="宋体" w:cs="宋体"/>
                <w:color w:val="auto"/>
                <w:szCs w:val="21"/>
                <w:highlight w:val="none"/>
              </w:rPr>
              <w:t>的财务审计报告（至少包括资产负债表、利润表、现金流量表）复印件，或者银行出具的资信证明，或者中国人民银行征信中心出具的信用报告（企业投标的提供企业信用报告，自然人投标的提供个人信用报告，投标人属于成立时间在规定年度之后的法人或其他组织，需提供成立之日起至投标截止时间前的月报表或银行出具的资信证明或者中国人民银行征信中心出具的企业信用报告；资信证明应在有效期内，未注明有效期的，银行出具时间至投标截止时间不超过一年）】；（</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5DF95287">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5.投标人直接控股、管理关系信息表（格式后附）；（</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6C3C8F5B">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6.投标声明（格式后附）；（</w:t>
            </w:r>
            <w:r>
              <w:rPr>
                <w:rFonts w:hint="eastAsia" w:ascii="宋体" w:hAnsi="宋体" w:cs="宋体"/>
                <w:b/>
                <w:color w:val="auto"/>
                <w:szCs w:val="21"/>
                <w:highlight w:val="none"/>
              </w:rPr>
              <w:t>需法定代表人签字或电子签名，必须提供，否则按无效投标处理</w:t>
            </w:r>
            <w:r>
              <w:rPr>
                <w:rFonts w:hint="eastAsia" w:ascii="宋体" w:hAnsi="宋体" w:cs="宋体"/>
                <w:color w:val="auto"/>
                <w:szCs w:val="21"/>
                <w:highlight w:val="none"/>
              </w:rPr>
              <w:t>）</w:t>
            </w:r>
          </w:p>
          <w:p w14:paraId="5E2F0B55">
            <w:pPr>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eastAsia="宋体" w:cs="宋体"/>
                <w:color w:val="auto"/>
                <w:szCs w:val="21"/>
                <w:highlight w:val="none"/>
                <w:u w:val="none"/>
                <w:lang w:val="en-US" w:eastAsia="zh-CN"/>
              </w:rPr>
              <w:t>7.</w:t>
            </w:r>
            <w:r>
              <w:rPr>
                <w:rFonts w:hint="eastAsia" w:ascii="宋体" w:hAnsi="宋体" w:eastAsia="宋体" w:cs="宋体"/>
                <w:color w:val="auto"/>
                <w:szCs w:val="21"/>
                <w:highlight w:val="none"/>
                <w:u w:val="none"/>
              </w:rPr>
              <w:t>投标人须取得有效的检验检测机构资质认定证书（CMA）</w:t>
            </w:r>
            <w:r>
              <w:rPr>
                <w:rFonts w:hint="eastAsia" w:ascii="宋体" w:hAnsi="宋体" w:eastAsia="宋体" w:cs="宋体"/>
                <w:color w:val="auto"/>
                <w:szCs w:val="21"/>
                <w:highlight w:val="none"/>
                <w:u w:val="none"/>
                <w:lang w:eastAsia="zh-CN"/>
              </w:rPr>
              <w:t>，</w:t>
            </w:r>
            <w:r>
              <w:rPr>
                <w:rFonts w:hint="eastAsia" w:ascii="宋体" w:hAnsi="宋体" w:eastAsia="宋体" w:cs="宋体"/>
                <w:color w:val="auto"/>
                <w:szCs w:val="21"/>
                <w:highlight w:val="none"/>
                <w:u w:val="none"/>
              </w:rPr>
              <w:t>检测资质认证检测能力附表中至少具有</w:t>
            </w:r>
            <w:r>
              <w:rPr>
                <w:rFonts w:hint="eastAsia" w:ascii="宋体" w:hAnsi="宋体" w:eastAsia="宋体" w:cs="宋体"/>
                <w:color w:val="auto"/>
                <w:szCs w:val="21"/>
                <w:highlight w:val="none"/>
                <w:u w:val="none"/>
                <w:lang w:val="en-US" w:eastAsia="zh-CN"/>
              </w:rPr>
              <w:t>固体废物类别，固体废物</w:t>
            </w:r>
            <w:r>
              <w:rPr>
                <w:rFonts w:hint="eastAsia" w:ascii="宋体" w:hAnsi="宋体" w:eastAsia="宋体" w:cs="宋体"/>
                <w:color w:val="auto"/>
                <w:szCs w:val="21"/>
                <w:highlight w:val="none"/>
                <w:u w:val="none"/>
              </w:rPr>
              <w:t>资质能力中至少具备铜、锌、镉、铅、汞、镍、银、砷、锰、铊、锑、钡、铝、铬、硒、苯、甲苯、乙苯、二甲苯</w:t>
            </w:r>
            <w:r>
              <w:rPr>
                <w:rFonts w:hint="eastAsia" w:ascii="宋体" w:hAnsi="宋体" w:eastAsia="宋体" w:cs="宋体"/>
                <w:color w:val="auto"/>
                <w:szCs w:val="21"/>
                <w:highlight w:val="none"/>
                <w:u w:val="none"/>
                <w:lang w:eastAsia="zh-CN"/>
              </w:rPr>
              <w:t>检测指标</w:t>
            </w:r>
            <w:r>
              <w:rPr>
                <w:rFonts w:hint="eastAsia" w:ascii="宋体" w:hAnsi="宋体" w:eastAsia="宋体" w:cs="宋体"/>
                <w:color w:val="auto"/>
                <w:szCs w:val="21"/>
                <w:highlight w:val="none"/>
                <w:lang w:eastAsia="zh-CN"/>
              </w:rPr>
              <w:t>（提供</w:t>
            </w:r>
            <w:r>
              <w:rPr>
                <w:rFonts w:hint="eastAsia" w:ascii="宋体" w:hAnsi="宋体" w:eastAsia="宋体" w:cs="宋体"/>
                <w:color w:val="auto"/>
                <w:szCs w:val="21"/>
                <w:highlight w:val="none"/>
                <w:lang w:val="en-US" w:eastAsia="zh-CN"/>
              </w:rPr>
              <w:t>CMA证书及能力附表</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u w:val="none"/>
                <w:lang w:val="en-US" w:eastAsia="zh-CN"/>
              </w:rPr>
              <w:t>。同时，投标人须</w:t>
            </w:r>
            <w:r>
              <w:rPr>
                <w:rFonts w:hint="eastAsia" w:ascii="宋体" w:hAnsi="宋体" w:eastAsia="宋体" w:cs="宋体"/>
                <w:color w:val="auto"/>
                <w:szCs w:val="21"/>
                <w:highlight w:val="none"/>
                <w:u w:val="none"/>
              </w:rPr>
              <w:t>是全国危险废物鉴别信息公开服务平台危废鉴别注册单位</w:t>
            </w:r>
            <w:r>
              <w:rPr>
                <w:rFonts w:hint="eastAsia" w:ascii="宋体" w:hAnsi="宋体" w:eastAsia="宋体" w:cs="宋体"/>
                <w:color w:val="auto"/>
                <w:szCs w:val="21"/>
                <w:highlight w:val="none"/>
                <w:lang w:eastAsia="zh-CN"/>
              </w:rPr>
              <w:t>（提供全国危险废物鉴别信息公开服务平台https://gfmh.meescc.cn/solidPortal/#/上的</w:t>
            </w:r>
            <w:r>
              <w:rPr>
                <w:rFonts w:hint="eastAsia" w:ascii="宋体" w:hAnsi="宋体" w:eastAsia="宋体" w:cs="宋体"/>
                <w:color w:val="auto"/>
                <w:szCs w:val="21"/>
                <w:highlight w:val="none"/>
              </w:rPr>
              <w:t>危废鉴别注册单位</w:t>
            </w:r>
            <w:r>
              <w:rPr>
                <w:rFonts w:hint="eastAsia" w:ascii="宋体" w:hAnsi="宋体" w:eastAsia="宋体" w:cs="宋体"/>
                <w:color w:val="auto"/>
                <w:szCs w:val="21"/>
                <w:highlight w:val="none"/>
                <w:lang w:eastAsia="zh-CN"/>
              </w:rPr>
              <w:t>截图）；</w:t>
            </w:r>
            <w:r>
              <w:rPr>
                <w:rFonts w:hint="eastAsia" w:ascii="宋体" w:hAnsi="宋体" w:eastAsia="宋体" w:cs="宋体"/>
                <w:b/>
                <w:bCs/>
                <w:color w:val="auto"/>
                <w:szCs w:val="21"/>
                <w:highlight w:val="none"/>
              </w:rPr>
              <w:t>（必须提供，否则按无效投标处理）</w:t>
            </w:r>
          </w:p>
          <w:p w14:paraId="3CF6AB59">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b/>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.联合体协议书（格式后附）；（</w:t>
            </w:r>
            <w:r>
              <w:rPr>
                <w:rFonts w:hint="eastAsia" w:ascii="宋体" w:hAnsi="宋体" w:cs="宋体"/>
                <w:b/>
                <w:color w:val="auto"/>
                <w:szCs w:val="21"/>
                <w:highlight w:val="none"/>
              </w:rPr>
              <w:t>联合体投标时必须提供，否则按无效投标处理</w:t>
            </w:r>
            <w:r>
              <w:rPr>
                <w:rFonts w:hint="eastAsia" w:ascii="宋体" w:hAnsi="宋体" w:cs="宋体"/>
                <w:color w:val="auto"/>
                <w:szCs w:val="21"/>
                <w:highlight w:val="none"/>
              </w:rPr>
              <w:t>）</w:t>
            </w:r>
          </w:p>
          <w:p w14:paraId="63816408">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b/>
                <w:color w:val="auto"/>
                <w:szCs w:val="21"/>
                <w:highlight w:val="none"/>
              </w:rPr>
            </w:pP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.除招标文件规定必须提供以外，投标人认为需要提供的其他证明材料。（如有请提供）</w:t>
            </w:r>
          </w:p>
          <w:p w14:paraId="64CAC824">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注：1.以上标明“必须提供”的材料的，必须加盖投标人电子签章，否则按无效投标处理。</w:t>
            </w:r>
            <w:r>
              <w:rPr>
                <w:rFonts w:hint="eastAsia" w:ascii="宋体" w:hAnsi="宋体" w:cs="宋体"/>
                <w:b/>
                <w:color w:val="auto"/>
                <w:szCs w:val="21"/>
                <w:highlight w:val="none"/>
              </w:rPr>
              <w:t>格式中有要求法定代表人或者委托代理人签字的，必须按要求签字（或是电子签名），并加盖供应商电子签章，否则响应文件按无效处理。</w:t>
            </w:r>
          </w:p>
          <w:p w14:paraId="0423C607">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b/>
                <w:bCs/>
                <w:color w:val="auto"/>
                <w:szCs w:val="21"/>
                <w:highlight w:val="none"/>
              </w:rPr>
              <w:t>2.联合体投标时，第1-5项资格证明文件联合体各方均必须分别提供，</w:t>
            </w:r>
            <w:r>
              <w:rPr>
                <w:rFonts w:hint="eastAsia" w:ascii="宋体" w:hAnsi="宋体" w:cs="宋体"/>
                <w:b/>
                <w:color w:val="auto"/>
                <w:szCs w:val="21"/>
                <w:highlight w:val="none"/>
              </w:rPr>
              <w:t>并由联合体牵头人加盖电子签章，规定签字处签字</w:t>
            </w:r>
            <w:r>
              <w:rPr>
                <w:rFonts w:hint="eastAsia" w:ascii="宋体" w:hAnsi="宋体" w:cs="宋体"/>
                <w:b/>
                <w:bCs/>
                <w:color w:val="auto"/>
                <w:szCs w:val="21"/>
                <w:highlight w:val="none"/>
              </w:rPr>
              <w:t>（或者电子签名），否则按无效投标</w:t>
            </w:r>
            <w:r>
              <w:rPr>
                <w:rFonts w:hint="eastAsia" w:ascii="宋体" w:hAnsi="宋体" w:cs="宋体"/>
                <w:b/>
                <w:color w:val="auto"/>
                <w:szCs w:val="21"/>
                <w:highlight w:val="none"/>
              </w:rPr>
              <w:t>处理</w:t>
            </w:r>
            <w:r>
              <w:rPr>
                <w:rFonts w:hint="eastAsia" w:ascii="宋体" w:hAnsi="宋体" w:cs="宋体"/>
                <w:b/>
                <w:bCs/>
                <w:color w:val="auto"/>
                <w:szCs w:val="21"/>
                <w:highlight w:val="none"/>
              </w:rPr>
              <w:t>。</w:t>
            </w:r>
          </w:p>
        </w:tc>
      </w:tr>
      <w:tr w14:paraId="342B80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78" w:type="dxa"/>
            <w:vMerge w:val="continue"/>
            <w:tcBorders>
              <w:left w:val="single" w:color="auto" w:sz="4" w:space="0"/>
              <w:right w:val="single" w:color="auto" w:sz="4" w:space="0"/>
            </w:tcBorders>
            <w:noWrap w:val="0"/>
            <w:vAlign w:val="center"/>
          </w:tcPr>
          <w:p w14:paraId="589DC458">
            <w:pPr>
              <w:keepNext w:val="0"/>
              <w:keepLines w:val="0"/>
              <w:pageBreakBefore w:val="0"/>
              <w:widowControl w:val="0"/>
              <w:kinsoku/>
              <w:overflowPunct/>
              <w:topLinePunct w:val="0"/>
              <w:bidi w:val="0"/>
              <w:spacing w:line="400" w:lineRule="exact"/>
              <w:rPr>
                <w:rFonts w:hint="eastAsia" w:ascii="宋体" w:hAnsi="宋体" w:cs="宋体"/>
                <w:color w:val="auto"/>
                <w:szCs w:val="21"/>
                <w:highlight w:val="none"/>
              </w:rPr>
            </w:pPr>
            <w:bookmarkStart w:id="68" w:name="_13.3"/>
            <w:bookmarkEnd w:id="68"/>
          </w:p>
        </w:tc>
        <w:tc>
          <w:tcPr>
            <w:tcW w:w="8175" w:type="dxa"/>
            <w:tcBorders>
              <w:top w:val="single" w:color="auto" w:sz="4" w:space="0"/>
              <w:left w:val="single" w:color="auto" w:sz="4" w:space="0"/>
              <w:bottom w:val="single" w:color="auto" w:sz="4" w:space="0"/>
              <w:right w:val="single" w:color="auto" w:sz="4" w:space="0"/>
            </w:tcBorders>
            <w:noWrap w:val="0"/>
            <w:vAlign w:val="center"/>
          </w:tcPr>
          <w:p w14:paraId="46A0373D">
            <w:pPr>
              <w:keepNext w:val="0"/>
              <w:keepLines w:val="0"/>
              <w:pageBreakBefore w:val="0"/>
              <w:widowControl w:val="0"/>
              <w:kinsoku/>
              <w:overflowPunct/>
              <w:topLinePunct w:val="0"/>
              <w:bidi w:val="0"/>
              <w:snapToGrid w:val="0"/>
              <w:spacing w:line="400" w:lineRule="exact"/>
              <w:rPr>
                <w:rFonts w:hint="eastAsia" w:ascii="宋体" w:hAnsi="宋体" w:cs="宋体"/>
                <w:b/>
                <w:color w:val="auto"/>
                <w:szCs w:val="21"/>
                <w:highlight w:val="none"/>
              </w:rPr>
            </w:pPr>
            <w:r>
              <w:rPr>
                <w:rFonts w:hint="eastAsia" w:ascii="宋体" w:hAnsi="宋体" w:cs="宋体"/>
                <w:b/>
                <w:color w:val="auto"/>
                <w:kern w:val="0"/>
                <w:szCs w:val="21"/>
                <w:highlight w:val="none"/>
              </w:rPr>
              <w:t>商务及技术文件</w:t>
            </w:r>
            <w:r>
              <w:rPr>
                <w:rFonts w:hint="eastAsia" w:ascii="宋体" w:hAnsi="宋体" w:cs="宋体"/>
                <w:b/>
                <w:color w:val="auto"/>
                <w:szCs w:val="21"/>
                <w:highlight w:val="none"/>
              </w:rPr>
              <w:t>：</w:t>
            </w:r>
          </w:p>
          <w:p w14:paraId="131D0BCA">
            <w:pPr>
              <w:pStyle w:val="34"/>
              <w:keepNext w:val="0"/>
              <w:keepLines w:val="0"/>
              <w:pageBreakBefore w:val="0"/>
              <w:widowControl w:val="0"/>
              <w:kinsoku/>
              <w:overflowPunct/>
              <w:topLinePunct w:val="0"/>
              <w:bidi w:val="0"/>
              <w:spacing w:line="400" w:lineRule="exact"/>
              <w:ind w:firstLine="422"/>
              <w:rPr>
                <w:rFonts w:hint="eastAsia" w:hAnsi="宋体" w:cs="宋体"/>
                <w:color w:val="auto"/>
                <w:szCs w:val="21"/>
                <w:highlight w:val="none"/>
              </w:rPr>
            </w:pPr>
            <w:r>
              <w:rPr>
                <w:rFonts w:hint="eastAsia" w:hAnsi="宋体" w:cs="宋体"/>
                <w:color w:val="auto"/>
                <w:szCs w:val="21"/>
                <w:highlight w:val="none"/>
              </w:rPr>
              <w:t>商务文件：</w:t>
            </w:r>
          </w:p>
          <w:p w14:paraId="5F9F099B">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1.无串通投标行为的承诺函（格式后附）；（</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6CA07AA8">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2.投标保证金缴纳证明；（</w:t>
            </w:r>
            <w:r>
              <w:rPr>
                <w:rFonts w:hint="eastAsia" w:ascii="宋体" w:hAnsi="宋体" w:cs="宋体"/>
                <w:b/>
                <w:bCs/>
                <w:color w:val="auto"/>
                <w:szCs w:val="21"/>
                <w:highlight w:val="none"/>
              </w:rPr>
              <w:t>如要求提交投标保证金的则必须提供</w:t>
            </w:r>
            <w:r>
              <w:rPr>
                <w:rFonts w:hint="eastAsia" w:ascii="宋体" w:hAnsi="宋体" w:cs="宋体"/>
                <w:b/>
                <w:color w:val="auto"/>
                <w:szCs w:val="21"/>
                <w:highlight w:val="none"/>
              </w:rPr>
              <w:t>，否则按无效投标处理</w:t>
            </w:r>
            <w:r>
              <w:rPr>
                <w:rFonts w:hint="eastAsia" w:ascii="宋体" w:hAnsi="宋体" w:cs="宋体"/>
                <w:color w:val="auto"/>
                <w:szCs w:val="21"/>
                <w:highlight w:val="none"/>
              </w:rPr>
              <w:t>）</w:t>
            </w:r>
          </w:p>
          <w:p w14:paraId="6282BAB4">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3.法定代表人身份证明及法定代表人有效身份证正反面复印件（格式后附）；（</w:t>
            </w:r>
            <w:r>
              <w:rPr>
                <w:rFonts w:hint="eastAsia" w:ascii="宋体" w:hAnsi="宋体" w:cs="宋体"/>
                <w:b/>
                <w:bCs/>
                <w:color w:val="auto"/>
                <w:szCs w:val="21"/>
                <w:highlight w:val="none"/>
              </w:rPr>
              <w:t>除自然人投标外</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4869DA40">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4.授权委托书及委托代理人有效身份证正反面复印件（格式后附）；（</w:t>
            </w:r>
            <w:r>
              <w:rPr>
                <w:rFonts w:hint="eastAsia" w:ascii="宋体" w:hAnsi="宋体" w:cs="宋体"/>
                <w:b/>
                <w:color w:val="auto"/>
                <w:szCs w:val="21"/>
                <w:highlight w:val="none"/>
              </w:rPr>
              <w:t>委托时必须提供，否则按无效投标处理</w:t>
            </w:r>
            <w:r>
              <w:rPr>
                <w:rFonts w:hint="eastAsia" w:ascii="宋体" w:hAnsi="宋体" w:cs="宋体"/>
                <w:color w:val="auto"/>
                <w:szCs w:val="21"/>
                <w:highlight w:val="none"/>
              </w:rPr>
              <w:t>）</w:t>
            </w:r>
          </w:p>
          <w:p w14:paraId="60316273">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5.商务要求偏离表（格式后附）；（</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5B91E6BA">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6.售后服务承诺（格式自拟）；（</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50C7B13C">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7.投标人情况介绍（格式自拟）；（如有请提供）</w:t>
            </w:r>
          </w:p>
          <w:p w14:paraId="52A591A1">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8.投标人业绩证明材料（格式后附）；（如有请提供）</w:t>
            </w:r>
          </w:p>
          <w:p w14:paraId="5ED54202">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9.除招标文件规定必须提供以外，投标人认为需要提供的其他证明材料（格式自拟）。（投标人根据“第二章 采购需求”及“第四章 评标方法及评标标准”提供有关证明材料）。（如有请提供）</w:t>
            </w:r>
          </w:p>
          <w:p w14:paraId="440558CF">
            <w:pPr>
              <w:pStyle w:val="34"/>
              <w:keepNext w:val="0"/>
              <w:keepLines w:val="0"/>
              <w:pageBreakBefore w:val="0"/>
              <w:widowControl w:val="0"/>
              <w:kinsoku/>
              <w:overflowPunct/>
              <w:topLinePunct w:val="0"/>
              <w:bidi w:val="0"/>
              <w:spacing w:line="400" w:lineRule="exact"/>
              <w:ind w:firstLine="422"/>
              <w:rPr>
                <w:rFonts w:hint="eastAsia" w:hAnsi="宋体" w:cs="宋体"/>
                <w:color w:val="auto"/>
                <w:szCs w:val="21"/>
                <w:highlight w:val="none"/>
              </w:rPr>
            </w:pPr>
            <w:r>
              <w:rPr>
                <w:rFonts w:hint="eastAsia" w:hAnsi="宋体" w:cs="宋体"/>
                <w:color w:val="auto"/>
                <w:szCs w:val="21"/>
                <w:highlight w:val="none"/>
              </w:rPr>
              <w:t>技术文件：</w:t>
            </w:r>
          </w:p>
          <w:p w14:paraId="4DBC4E55">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1.技术要求偏离表（格式后附）；（</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363F6957">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2.服务实施方案（格式自拟）；（</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344A9FBE">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3.项目实施人员一览表（格式后附）；（</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65180396">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4.投标人对本项目的合理化建议和改进措施（格式自拟）；（如有请提供）</w:t>
            </w:r>
          </w:p>
          <w:p w14:paraId="75FD26EE">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5.除招标文件规定必须提供以外，投标人认为需要提供的其他证明材料（格式自拟）。（投标人根据“第二章 采购需求”及“第四章 评标方法及评标标准”提供有关证明材料）。（如有请提供）</w:t>
            </w:r>
          </w:p>
          <w:p w14:paraId="67E6D574">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注：1.以上标明“必须提供”的材料的，必须加盖投标人电子签章，否则按无效投标处理；</w:t>
            </w:r>
          </w:p>
          <w:p w14:paraId="38F77C28">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b/>
                <w:bCs/>
                <w:color w:val="auto"/>
                <w:szCs w:val="21"/>
                <w:highlight w:val="none"/>
              </w:rPr>
              <w:t>2.联合体投标时，盖章处须加盖联合体牵头人电子签章，规定签字处签字（或者电子签名），否则响应文件按无效处理。</w:t>
            </w:r>
          </w:p>
        </w:tc>
      </w:tr>
      <w:tr w14:paraId="3EE6AD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78" w:type="dxa"/>
            <w:tcBorders>
              <w:top w:val="single" w:color="auto" w:sz="4" w:space="0"/>
              <w:left w:val="single" w:color="auto" w:sz="4" w:space="0"/>
              <w:bottom w:val="single" w:color="auto" w:sz="4" w:space="0"/>
              <w:right w:val="single" w:color="auto" w:sz="4" w:space="0"/>
            </w:tcBorders>
            <w:noWrap w:val="0"/>
            <w:vAlign w:val="center"/>
          </w:tcPr>
          <w:p w14:paraId="102969C9">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bookmarkStart w:id="69" w:name="_13.4"/>
            <w:bookmarkEnd w:id="69"/>
            <w:bookmarkStart w:id="70" w:name="_16.2"/>
            <w:bookmarkEnd w:id="70"/>
            <w:bookmarkStart w:id="71" w:name="_13.5"/>
            <w:bookmarkEnd w:id="71"/>
            <w:r>
              <w:rPr>
                <w:rFonts w:hint="eastAsia" w:ascii="宋体" w:hAnsi="宋体" w:cs="宋体"/>
                <w:color w:val="auto"/>
                <w:szCs w:val="21"/>
                <w:highlight w:val="none"/>
              </w:rPr>
              <w:t>16</w:t>
            </w:r>
            <w:bookmarkStart w:id="72" w:name="_Hlt19693759"/>
            <w:bookmarkStart w:id="73" w:name="_Hlt19194066"/>
            <w:bookmarkStart w:id="74" w:name="_Hlt19693758"/>
            <w:bookmarkStart w:id="75" w:name="_Hlt19194067"/>
            <w:r>
              <w:rPr>
                <w:rFonts w:hint="eastAsia" w:ascii="宋体" w:hAnsi="宋体" w:cs="宋体"/>
                <w:color w:val="auto"/>
                <w:szCs w:val="21"/>
                <w:highlight w:val="none"/>
              </w:rPr>
              <w:t>.</w:t>
            </w:r>
            <w:bookmarkEnd w:id="72"/>
            <w:bookmarkEnd w:id="73"/>
            <w:bookmarkEnd w:id="74"/>
            <w:bookmarkEnd w:id="75"/>
            <w:r>
              <w:rPr>
                <w:rFonts w:hint="eastAsia" w:ascii="宋体" w:hAnsi="宋体" w:cs="宋体"/>
                <w:color w:val="auto"/>
                <w:szCs w:val="21"/>
                <w:highlight w:val="none"/>
              </w:rPr>
              <w:t>2</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3C00764A">
            <w:pPr>
              <w:keepNext w:val="0"/>
              <w:keepLines w:val="0"/>
              <w:pageBreakBefore w:val="0"/>
              <w:widowControl w:val="0"/>
              <w:kinsoku/>
              <w:overflowPunct/>
              <w:topLinePunct w:val="0"/>
              <w:bidi w:val="0"/>
              <w:snapToGrid w:val="0"/>
              <w:spacing w:line="400" w:lineRule="exact"/>
              <w:rPr>
                <w:rFonts w:hint="eastAsia" w:ascii="宋体" w:hAnsi="宋体" w:cs="宋体"/>
                <w:b/>
                <w:i/>
                <w:color w:val="auto"/>
                <w:szCs w:val="21"/>
                <w:highlight w:val="none"/>
              </w:rPr>
            </w:pPr>
            <w:r>
              <w:rPr>
                <w:rFonts w:hint="eastAsia" w:ascii="宋体" w:hAnsi="宋体" w:cs="宋体"/>
                <w:color w:val="auto"/>
                <w:szCs w:val="21"/>
                <w:highlight w:val="none"/>
              </w:rPr>
              <w:t>投标报价是履行合同的最终价格。</w:t>
            </w:r>
          </w:p>
        </w:tc>
      </w:tr>
      <w:tr w14:paraId="451B44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78" w:type="dxa"/>
            <w:tcBorders>
              <w:top w:val="single" w:color="auto" w:sz="4" w:space="0"/>
              <w:left w:val="single" w:color="auto" w:sz="4" w:space="0"/>
              <w:bottom w:val="single" w:color="auto" w:sz="4" w:space="0"/>
              <w:right w:val="single" w:color="auto" w:sz="4" w:space="0"/>
            </w:tcBorders>
            <w:noWrap w:val="0"/>
            <w:vAlign w:val="center"/>
          </w:tcPr>
          <w:p w14:paraId="17EA2521">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bookmarkStart w:id="76" w:name="_17.1"/>
            <w:bookmarkEnd w:id="76"/>
            <w:r>
              <w:rPr>
                <w:rFonts w:hint="eastAsia" w:ascii="宋体" w:hAnsi="宋体" w:cs="宋体"/>
                <w:color w:val="auto"/>
                <w:szCs w:val="21"/>
                <w:highlight w:val="none"/>
              </w:rPr>
              <w:t>17.2</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7569E77F">
            <w:pPr>
              <w:keepNext w:val="0"/>
              <w:keepLines w:val="0"/>
              <w:pageBreakBefore w:val="0"/>
              <w:widowControl w:val="0"/>
              <w:kinsoku/>
              <w:overflowPunct/>
              <w:topLinePunct w:val="0"/>
              <w:bidi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投标有效期：自投标截止之日起</w:t>
            </w:r>
            <w:r>
              <w:rPr>
                <w:rFonts w:hint="eastAsia" w:ascii="宋体" w:hAnsi="宋体" w:cs="宋体"/>
                <w:color w:val="auto"/>
                <w:szCs w:val="21"/>
                <w:highlight w:val="none"/>
                <w:u w:val="single"/>
              </w:rPr>
              <w:t>90</w:t>
            </w:r>
            <w:r>
              <w:rPr>
                <w:rFonts w:hint="eastAsia" w:ascii="宋体" w:hAnsi="宋体" w:cs="宋体"/>
                <w:color w:val="auto"/>
                <w:szCs w:val="21"/>
                <w:highlight w:val="none"/>
              </w:rPr>
              <w:t>日。</w:t>
            </w:r>
          </w:p>
        </w:tc>
      </w:tr>
      <w:tr w14:paraId="640EAF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78" w:type="dxa"/>
            <w:tcBorders>
              <w:top w:val="single" w:color="auto" w:sz="4" w:space="0"/>
              <w:left w:val="single" w:color="auto" w:sz="4" w:space="0"/>
              <w:bottom w:val="single" w:color="auto" w:sz="4" w:space="0"/>
              <w:right w:val="single" w:color="auto" w:sz="4" w:space="0"/>
            </w:tcBorders>
            <w:noWrap w:val="0"/>
            <w:vAlign w:val="center"/>
          </w:tcPr>
          <w:p w14:paraId="3337E490">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bookmarkStart w:id="77" w:name="_18"/>
            <w:bookmarkEnd w:id="77"/>
            <w:r>
              <w:rPr>
                <w:rFonts w:hint="eastAsia" w:ascii="宋体" w:hAnsi="宋体" w:cs="宋体"/>
                <w:color w:val="auto"/>
                <w:szCs w:val="21"/>
                <w:highlight w:val="none"/>
              </w:rPr>
              <w:t>18.1</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2F6A59EA">
            <w:pPr>
              <w:keepNext w:val="0"/>
              <w:keepLines w:val="0"/>
              <w:pageBreakBefore w:val="0"/>
              <w:widowControl w:val="0"/>
              <w:kinsoku/>
              <w:overflowPunct/>
              <w:topLinePunct w:val="0"/>
              <w:autoSpaceDE w:val="0"/>
              <w:autoSpaceDN w:val="0"/>
              <w:bidi w:val="0"/>
              <w:snapToGrid w:val="0"/>
              <w:spacing w:line="40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rPr>
              <w:t>□本项目不收取投标保证金。</w:t>
            </w:r>
          </w:p>
          <w:p w14:paraId="71E128F8">
            <w:pPr>
              <w:keepNext w:val="0"/>
              <w:keepLines w:val="0"/>
              <w:pageBreakBefore w:val="0"/>
              <w:widowControl w:val="0"/>
              <w:kinsoku/>
              <w:overflowPunct/>
              <w:topLinePunct w:val="0"/>
              <w:bidi w:val="0"/>
              <w:snapToGrid w:val="0"/>
              <w:spacing w:line="400" w:lineRule="exac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w:t>
            </w:r>
            <w:r>
              <w:rPr>
                <w:rFonts w:hint="eastAsia" w:ascii="宋体" w:hAnsi="宋体" w:eastAsia="宋体" w:cs="宋体"/>
                <w:color w:val="auto"/>
                <w:szCs w:val="21"/>
                <w:highlight w:val="none"/>
              </w:rPr>
              <w:t>本项目收取投标保证金，具体规定</w:t>
            </w:r>
            <w:r>
              <w:rPr>
                <w:rFonts w:hint="eastAsia" w:ascii="宋体" w:hAnsi="宋体" w:eastAsia="宋体" w:cs="宋体"/>
                <w:color w:val="auto"/>
                <w:szCs w:val="21"/>
                <w:highlight w:val="none"/>
                <w:lang w:val="en-US" w:eastAsia="zh-CN"/>
              </w:rPr>
              <w:t>如下：</w:t>
            </w:r>
          </w:p>
          <w:p w14:paraId="74BBEFD6">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投标保证金人民币 </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lang w:eastAsia="zh-CN"/>
              </w:rPr>
              <w:t>000</w:t>
            </w:r>
            <w:r>
              <w:rPr>
                <w:rFonts w:hint="eastAsia" w:ascii="宋体" w:hAnsi="宋体" w:eastAsia="宋体" w:cs="宋体"/>
                <w:color w:val="auto"/>
                <w:szCs w:val="21"/>
                <w:highlight w:val="none"/>
                <w:lang w:val="en-US" w:eastAsia="zh-CN"/>
              </w:rPr>
              <w:t>.00</w:t>
            </w:r>
            <w:r>
              <w:rPr>
                <w:rFonts w:hint="eastAsia" w:ascii="宋体" w:hAnsi="宋体" w:eastAsia="宋体" w:cs="宋体"/>
                <w:color w:val="auto"/>
                <w:szCs w:val="21"/>
                <w:highlight w:val="none"/>
              </w:rPr>
              <w:t>元。</w:t>
            </w:r>
          </w:p>
          <w:p w14:paraId="50C100D2">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保证金的交纳方式：银行转账、支票、汇票、本票或者金融、担保机构出具的保函（包含电子保函），禁止采用现钞方式。采用银行转账方式的，在投标截止时间前从投标人账户交至指定账户并且到账【开户银行：招商银行南宁分行营业部，开户名称：</w:t>
            </w:r>
            <w:r>
              <w:rPr>
                <w:rFonts w:hint="eastAsia" w:ascii="宋体" w:hAnsi="宋体" w:eastAsia="宋体" w:cs="宋体"/>
                <w:color w:val="auto"/>
                <w:szCs w:val="21"/>
                <w:highlight w:val="none"/>
                <w:lang w:eastAsia="zh-CN"/>
              </w:rPr>
              <w:t>广西建设工程机电设备招标中心有限公司</w:t>
            </w:r>
            <w:r>
              <w:rPr>
                <w:rFonts w:hint="eastAsia" w:ascii="宋体" w:hAnsi="宋体" w:eastAsia="宋体" w:cs="宋体"/>
                <w:color w:val="auto"/>
                <w:szCs w:val="21"/>
                <w:highlight w:val="none"/>
              </w:rPr>
              <w:t>，银行账号：】；采用支票、汇票、本票或者保函等方式的，在投标截止时间前，投标人必须递交单独密封的支票、汇票、本票或者保函原件。否则视为无效投标保证金。</w:t>
            </w:r>
          </w:p>
          <w:p w14:paraId="4B595472">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相关要求：</w:t>
            </w:r>
          </w:p>
          <w:p w14:paraId="57306715">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1.投标保证金采用银行转账交纳方式的，在投标截止时间前交至指定账户并且到账，投标人应将银行转账底单的复印件作为投标保证金提交凭证，放置于商务及技术文件中，</w:t>
            </w:r>
            <w:r>
              <w:rPr>
                <w:rFonts w:hint="eastAsia" w:ascii="宋体" w:hAnsi="宋体" w:eastAsia="宋体" w:cs="宋体"/>
                <w:b/>
                <w:bCs/>
                <w:color w:val="auto"/>
                <w:szCs w:val="21"/>
                <w:highlight w:val="none"/>
                <w:lang w:val="en-US" w:eastAsia="zh-CN"/>
              </w:rPr>
              <w:t>否则投标无效</w:t>
            </w:r>
            <w:r>
              <w:rPr>
                <w:rFonts w:hint="eastAsia" w:ascii="宋体" w:hAnsi="宋体" w:eastAsia="宋体" w:cs="宋体"/>
                <w:color w:val="auto"/>
                <w:szCs w:val="21"/>
                <w:highlight w:val="none"/>
                <w:lang w:val="en-US" w:eastAsia="zh-CN"/>
              </w:rPr>
              <w:t>。</w:t>
            </w:r>
          </w:p>
          <w:p w14:paraId="52A06910">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投标保证金采用支票、汇票、本票或者银行、保险机构出具的保函（包含电子保函）交纳方式的，投标人应将支票、汇票、本票或者银行、保险机构出具的保函（包含电子保函）的复印件作为投标保证金提交凭证，放置于商务及技术文件中，</w:t>
            </w:r>
            <w:r>
              <w:rPr>
                <w:rFonts w:hint="eastAsia" w:ascii="宋体" w:hAnsi="宋体" w:eastAsia="宋体" w:cs="宋体"/>
                <w:b/>
                <w:bCs/>
                <w:color w:val="auto"/>
                <w:szCs w:val="21"/>
                <w:highlight w:val="none"/>
              </w:rPr>
              <w:t>否则投标无效</w:t>
            </w:r>
            <w:r>
              <w:rPr>
                <w:rFonts w:hint="eastAsia" w:ascii="宋体" w:hAnsi="宋体" w:eastAsia="宋体" w:cs="宋体"/>
                <w:color w:val="auto"/>
                <w:szCs w:val="21"/>
                <w:highlight w:val="none"/>
              </w:rPr>
              <w:t>。投标人必须在投标截止时间前采用现场或邮寄方式（现场提交地址：广西壮族自治区公共资源交易中心（广西南宁市青秀区</w:t>
            </w:r>
            <w:r>
              <w:rPr>
                <w:rFonts w:hint="eastAsia" w:ascii="宋体" w:hAnsi="宋体" w:eastAsia="宋体" w:cs="宋体"/>
                <w:color w:val="auto"/>
                <w:szCs w:val="21"/>
                <w:highlight w:val="none"/>
                <w:lang w:eastAsia="zh-CN"/>
              </w:rPr>
              <w:t>星湖路22号开标楼</w:t>
            </w:r>
            <w:r>
              <w:rPr>
                <w:rFonts w:hint="eastAsia" w:ascii="宋体" w:hAnsi="宋体" w:eastAsia="宋体" w:cs="宋体"/>
                <w:color w:val="auto"/>
                <w:szCs w:val="21"/>
                <w:highlight w:val="none"/>
              </w:rPr>
              <w:t>）（具体根据开标当日电子屏幕显示的安排）；邮寄地址：</w:t>
            </w:r>
            <w:r>
              <w:rPr>
                <w:rFonts w:hint="eastAsia" w:ascii="宋体" w:hAnsi="宋体" w:eastAsia="宋体" w:cs="宋体"/>
                <w:color w:val="auto"/>
                <w:szCs w:val="21"/>
                <w:highlight w:val="none"/>
                <w:lang w:eastAsia="zh-CN"/>
              </w:rPr>
              <w:t>南宁市青秀区枫林路18号广西国控集团（枫林路办公区）裙楼三层</w:t>
            </w:r>
            <w:r>
              <w:rPr>
                <w:rFonts w:hint="eastAsia" w:ascii="宋体" w:hAnsi="宋体" w:eastAsia="宋体" w:cs="宋体"/>
                <w:color w:val="auto"/>
                <w:szCs w:val="21"/>
                <w:highlight w:val="none"/>
              </w:rPr>
              <w:t>，收件人：</w:t>
            </w:r>
            <w:r>
              <w:rPr>
                <w:rFonts w:hint="eastAsia" w:ascii="宋体" w:hAnsi="宋体" w:eastAsia="宋体" w:cs="宋体"/>
                <w:color w:val="auto"/>
                <w:szCs w:val="21"/>
                <w:highlight w:val="none"/>
                <w:lang w:val="en-US" w:eastAsia="zh-CN"/>
              </w:rPr>
              <w:t>王剑</w:t>
            </w:r>
            <w:r>
              <w:rPr>
                <w:rFonts w:hint="eastAsia" w:ascii="宋体" w:hAnsi="宋体" w:eastAsia="宋体" w:cs="宋体"/>
                <w:color w:val="auto"/>
                <w:szCs w:val="21"/>
                <w:highlight w:val="none"/>
              </w:rPr>
              <w:t>，联系方式：0771-</w:t>
            </w:r>
            <w:r>
              <w:rPr>
                <w:rFonts w:hint="eastAsia" w:ascii="宋体" w:hAnsi="宋体" w:eastAsia="宋体" w:cs="宋体"/>
                <w:color w:val="auto"/>
                <w:szCs w:val="21"/>
                <w:highlight w:val="none"/>
                <w:lang w:val="en-US" w:eastAsia="zh-CN"/>
              </w:rPr>
              <w:t>5824250</w:t>
            </w:r>
            <w:r>
              <w:rPr>
                <w:rFonts w:hint="eastAsia" w:ascii="宋体" w:hAnsi="宋体" w:eastAsia="宋体" w:cs="宋体"/>
                <w:color w:val="auto"/>
                <w:szCs w:val="21"/>
                <w:highlight w:val="none"/>
              </w:rPr>
              <w:t>）将单独密封的支票、汇票、本票或者银行、保险机构出具的保函原件提交给采购人或者采购代理机构，未按时提交的，投标无效，由采购人或者采购代理机构向投标人出具回执（邮寄方式的除外），并妥善保管。</w:t>
            </w:r>
          </w:p>
          <w:p w14:paraId="72B1B52B">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3.</w:t>
            </w:r>
            <w:r>
              <w:rPr>
                <w:rFonts w:hint="eastAsia" w:ascii="宋体" w:hAnsi="宋体" w:eastAsia="宋体" w:cs="宋体"/>
                <w:color w:val="auto"/>
                <w:szCs w:val="21"/>
                <w:highlight w:val="none"/>
              </w:rPr>
              <w:t>投标人为联合体的，可以由联合体中的一方或者多方共同交纳投标保证金，其交纳的保证金对联合体各方均具有约束力。</w:t>
            </w:r>
          </w:p>
          <w:p w14:paraId="6A5CE58D">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 xml:space="preserve">备注： </w:t>
            </w:r>
          </w:p>
          <w:p w14:paraId="23D08E79">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1.投标保证金在投标截止时间后提交的，或者不按规定交纳方式交纳的，或者未足额交纳的（包含保函额度不足的），视为无效投标保证金。</w:t>
            </w:r>
          </w:p>
          <w:p w14:paraId="27F52B4F">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2.投标人采用现钞方式或者从个人账户（自然人投标除外）转出的投标保证金，视为无效投标保证金。</w:t>
            </w:r>
          </w:p>
          <w:p w14:paraId="7491FE47">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3.支票、汇票或者本票出现无效或者背书情形的，视为无效投标保证金。</w:t>
            </w:r>
          </w:p>
          <w:p w14:paraId="74630C23">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4.保函有效期低于投标有效期的，视为无效投标保证金。</w:t>
            </w:r>
          </w:p>
          <w:p w14:paraId="1629E5CE">
            <w:pPr>
              <w:keepNext w:val="0"/>
              <w:keepLines w:val="0"/>
              <w:pageBreakBefore w:val="0"/>
              <w:widowControl w:val="0"/>
              <w:kinsoku/>
              <w:overflowPunct/>
              <w:topLinePunct w:val="0"/>
              <w:bidi w:val="0"/>
              <w:snapToGrid w:val="0"/>
              <w:spacing w:line="400" w:lineRule="exact"/>
              <w:ind w:firstLine="420" w:firstLineChars="200"/>
              <w:rPr>
                <w:rFonts w:hint="eastAsia"/>
                <w:color w:val="auto"/>
                <w:highlight w:val="none"/>
              </w:rPr>
            </w:pPr>
            <w:r>
              <w:rPr>
                <w:rFonts w:hint="eastAsia" w:ascii="宋体" w:hAnsi="宋体" w:eastAsia="宋体" w:cs="宋体"/>
                <w:b/>
                <w:bCs/>
                <w:color w:val="auto"/>
                <w:szCs w:val="21"/>
                <w:highlight w:val="none"/>
              </w:rPr>
              <w:t>5.采用银行、保险机构出具保函的，必须为无条件保函，否则视为无效投标保证金。</w:t>
            </w:r>
          </w:p>
        </w:tc>
      </w:tr>
      <w:tr w14:paraId="491A8B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93" w:hRule="atLeast"/>
        </w:trPr>
        <w:tc>
          <w:tcPr>
            <w:tcW w:w="978" w:type="dxa"/>
            <w:tcBorders>
              <w:top w:val="single" w:color="auto" w:sz="4" w:space="0"/>
              <w:left w:val="single" w:color="auto" w:sz="4" w:space="0"/>
              <w:bottom w:val="single" w:color="auto" w:sz="4" w:space="0"/>
              <w:right w:val="single" w:color="auto" w:sz="4" w:space="0"/>
            </w:tcBorders>
            <w:noWrap w:val="0"/>
            <w:vAlign w:val="center"/>
          </w:tcPr>
          <w:p w14:paraId="5DD78DED">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bookmarkStart w:id="78" w:name="_19.2"/>
            <w:bookmarkEnd w:id="78"/>
            <w:bookmarkStart w:id="79" w:name="_21.1"/>
            <w:bookmarkEnd w:id="79"/>
            <w:r>
              <w:rPr>
                <w:rFonts w:hint="eastAsia" w:ascii="宋体" w:hAnsi="宋体" w:cs="宋体"/>
                <w:color w:val="auto"/>
                <w:szCs w:val="21"/>
                <w:highlight w:val="none"/>
              </w:rPr>
              <w:t>20</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3BBE4EF6">
            <w:pPr>
              <w:keepNext w:val="0"/>
              <w:keepLines w:val="0"/>
              <w:pageBreakBefore w:val="0"/>
              <w:widowControl w:val="0"/>
              <w:kinsoku/>
              <w:overflowPunct/>
              <w:topLinePunct w:val="0"/>
              <w:autoSpaceDE w:val="0"/>
              <w:autoSpaceDN w:val="0"/>
              <w:bidi w:val="0"/>
              <w:adjustRightInd w:val="0"/>
              <w:spacing w:line="40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rPr>
              <w:t xml:space="preserve">本项目不接受电子备份投标文件 </w:t>
            </w:r>
          </w:p>
        </w:tc>
      </w:tr>
      <w:tr w14:paraId="4D5465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876" w:hRule="atLeast"/>
        </w:trPr>
        <w:tc>
          <w:tcPr>
            <w:tcW w:w="978" w:type="dxa"/>
            <w:tcBorders>
              <w:top w:val="single" w:color="auto" w:sz="4" w:space="0"/>
              <w:left w:val="single" w:color="auto" w:sz="4" w:space="0"/>
              <w:bottom w:val="single" w:color="auto" w:sz="4" w:space="0"/>
              <w:right w:val="single" w:color="auto" w:sz="4" w:space="0"/>
            </w:tcBorders>
            <w:noWrap w:val="0"/>
            <w:vAlign w:val="center"/>
          </w:tcPr>
          <w:p w14:paraId="40241676">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21.1</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486C1EDF">
            <w:pPr>
              <w:keepNext w:val="0"/>
              <w:keepLines w:val="0"/>
              <w:pageBreakBefore w:val="0"/>
              <w:widowControl w:val="0"/>
              <w:kinsoku/>
              <w:overflowPunct/>
              <w:topLinePunct w:val="0"/>
              <w:bidi w:val="0"/>
              <w:snapToGrid w:val="0"/>
              <w:spacing w:line="400" w:lineRule="exact"/>
              <w:rPr>
                <w:rFonts w:hint="eastAsia" w:ascii="宋体" w:hAnsi="宋体" w:cs="宋体"/>
                <w:color w:val="auto"/>
                <w:szCs w:val="21"/>
                <w:highlight w:val="none"/>
                <w:u w:val="single"/>
              </w:rPr>
            </w:pPr>
            <w:r>
              <w:rPr>
                <w:rFonts w:hint="eastAsia" w:ascii="宋体" w:hAnsi="宋体" w:cs="宋体"/>
                <w:color w:val="auto"/>
                <w:szCs w:val="21"/>
                <w:highlight w:val="none"/>
              </w:rPr>
              <w:t>1.提交投标文件截止时间：详见招标公告</w:t>
            </w:r>
          </w:p>
          <w:p w14:paraId="58601536">
            <w:pPr>
              <w:keepNext w:val="0"/>
              <w:keepLines w:val="0"/>
              <w:pageBreakBefore w:val="0"/>
              <w:widowControl w:val="0"/>
              <w:kinsoku/>
              <w:overflowPunct/>
              <w:topLinePunct w:val="0"/>
              <w:bidi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2.投标地点：详见招标公告</w:t>
            </w:r>
          </w:p>
        </w:tc>
      </w:tr>
      <w:tr w14:paraId="7D7F0E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78" w:type="dxa"/>
            <w:tcBorders>
              <w:top w:val="single" w:color="auto" w:sz="4" w:space="0"/>
              <w:left w:val="single" w:color="auto" w:sz="4" w:space="0"/>
              <w:bottom w:val="single" w:color="auto" w:sz="4" w:space="0"/>
              <w:right w:val="single" w:color="auto" w:sz="4" w:space="0"/>
            </w:tcBorders>
            <w:noWrap w:val="0"/>
            <w:vAlign w:val="center"/>
          </w:tcPr>
          <w:p w14:paraId="383E402D">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bookmarkStart w:id="80" w:name="_23"/>
            <w:bookmarkEnd w:id="80"/>
            <w:r>
              <w:rPr>
                <w:rFonts w:hint="eastAsia" w:ascii="宋体" w:hAnsi="宋体" w:cs="宋体"/>
                <w:color w:val="auto"/>
                <w:szCs w:val="21"/>
                <w:highlight w:val="none"/>
              </w:rPr>
              <w:t>23</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2191CE63">
            <w:pPr>
              <w:keepNext w:val="0"/>
              <w:keepLines w:val="0"/>
              <w:pageBreakBefore w:val="0"/>
              <w:widowControl w:val="0"/>
              <w:kinsoku/>
              <w:overflowPunct/>
              <w:topLinePunct w:val="0"/>
              <w:bidi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1.开标时间：详见招标公告</w:t>
            </w:r>
          </w:p>
          <w:p w14:paraId="6C702DD0">
            <w:pPr>
              <w:keepNext w:val="0"/>
              <w:keepLines w:val="0"/>
              <w:pageBreakBefore w:val="0"/>
              <w:widowControl w:val="0"/>
              <w:kinsoku/>
              <w:overflowPunct/>
              <w:topLinePunct w:val="0"/>
              <w:bidi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2.开标地点：详见招标公告</w:t>
            </w:r>
          </w:p>
        </w:tc>
      </w:tr>
      <w:tr w14:paraId="40D9AE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78" w:type="dxa"/>
            <w:tcBorders>
              <w:top w:val="single" w:color="auto" w:sz="4" w:space="0"/>
              <w:left w:val="single" w:color="auto" w:sz="4" w:space="0"/>
              <w:bottom w:val="single" w:color="auto" w:sz="4" w:space="0"/>
              <w:right w:val="single" w:color="auto" w:sz="4" w:space="0"/>
            </w:tcBorders>
            <w:noWrap w:val="0"/>
            <w:vAlign w:val="center"/>
          </w:tcPr>
          <w:p w14:paraId="158AD45A">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24.3（1）</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43B80111">
            <w:pPr>
              <w:keepNext w:val="0"/>
              <w:keepLines w:val="0"/>
              <w:pageBreakBefore w:val="0"/>
              <w:widowControl w:val="0"/>
              <w:kinsoku/>
              <w:overflowPunct/>
              <w:topLinePunct w:val="0"/>
              <w:bidi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电子投标文件解密时间：</w:t>
            </w:r>
            <w:r>
              <w:rPr>
                <w:rFonts w:hint="eastAsia" w:ascii="宋体" w:hAnsi="宋体" w:cs="宋体"/>
                <w:color w:val="auto"/>
                <w:szCs w:val="21"/>
                <w:highlight w:val="none"/>
                <w:u w:val="single"/>
              </w:rPr>
              <w:t>30</w:t>
            </w:r>
            <w:r>
              <w:rPr>
                <w:rFonts w:hint="eastAsia" w:ascii="宋体" w:hAnsi="宋体" w:cs="宋体"/>
                <w:color w:val="auto"/>
                <w:szCs w:val="21"/>
                <w:highlight w:val="none"/>
              </w:rPr>
              <w:t>分钟</w:t>
            </w:r>
          </w:p>
        </w:tc>
      </w:tr>
      <w:tr w14:paraId="3FC55E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78" w:type="dxa"/>
            <w:tcBorders>
              <w:top w:val="single" w:color="auto" w:sz="4" w:space="0"/>
              <w:left w:val="single" w:color="auto" w:sz="4" w:space="0"/>
              <w:bottom w:val="single" w:color="auto" w:sz="4" w:space="0"/>
              <w:right w:val="single" w:color="auto" w:sz="4" w:space="0"/>
            </w:tcBorders>
            <w:noWrap w:val="0"/>
            <w:vAlign w:val="center"/>
          </w:tcPr>
          <w:p w14:paraId="3F249F3C">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bookmarkStart w:id="81" w:name="_25.3"/>
            <w:bookmarkEnd w:id="81"/>
            <w:r>
              <w:rPr>
                <w:rFonts w:hint="eastAsia" w:ascii="宋体" w:hAnsi="宋体" w:cs="宋体"/>
                <w:color w:val="auto"/>
                <w:szCs w:val="21"/>
                <w:highlight w:val="none"/>
              </w:rPr>
              <w:t>25.3（2）</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7BFFFDB3">
            <w:pPr>
              <w:keepNext w:val="0"/>
              <w:keepLines w:val="0"/>
              <w:pageBreakBefore w:val="0"/>
              <w:widowControl w:val="0"/>
              <w:kinsoku/>
              <w:wordWrap w:val="0"/>
              <w:overflowPunct/>
              <w:topLinePunct w:val="0"/>
              <w:bidi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采购人或者采购代理机构在资格审查结束前，对投标人进行信用查询。</w:t>
            </w:r>
          </w:p>
          <w:p w14:paraId="2A8F1A08">
            <w:pPr>
              <w:keepNext w:val="0"/>
              <w:keepLines w:val="0"/>
              <w:pageBreakBefore w:val="0"/>
              <w:widowControl w:val="0"/>
              <w:kinsoku/>
              <w:wordWrap w:val="0"/>
              <w:overflowPunct/>
              <w:topLinePunct w:val="0"/>
              <w:bidi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查询渠道：“信用中国”网站（www.creditchina.gov.cn）、中国政府采购网（www.ccgp.gov.cn）。</w:t>
            </w:r>
          </w:p>
          <w:p w14:paraId="6E4BD349">
            <w:pPr>
              <w:keepNext w:val="0"/>
              <w:keepLines w:val="0"/>
              <w:pageBreakBefore w:val="0"/>
              <w:widowControl w:val="0"/>
              <w:kinsoku/>
              <w:wordWrap w:val="0"/>
              <w:overflowPunct/>
              <w:topLinePunct w:val="0"/>
              <w:bidi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信用查询截止时点：资格审查结束前</w:t>
            </w:r>
          </w:p>
          <w:p w14:paraId="61633E9E">
            <w:pPr>
              <w:keepNext w:val="0"/>
              <w:keepLines w:val="0"/>
              <w:pageBreakBefore w:val="0"/>
              <w:widowControl w:val="0"/>
              <w:kinsoku/>
              <w:wordWrap w:val="0"/>
              <w:overflowPunct/>
              <w:topLinePunct w:val="0"/>
              <w:bidi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查询记录和证据留存方式：在查询网站中直接截图查询记录，截图作为在广西政府采购云平台（</w:t>
            </w:r>
            <w:r>
              <w:rPr>
                <w:rFonts w:hint="eastAsia" w:ascii="宋体" w:hAnsi="宋体" w:cs="宋体"/>
                <w:bCs/>
                <w:color w:val="auto"/>
                <w:szCs w:val="21"/>
                <w:highlight w:val="none"/>
              </w:rPr>
              <w:t>https://www.gcy.zfcg.gxzf.gov.cn/</w:t>
            </w:r>
            <w:r>
              <w:rPr>
                <w:rFonts w:hint="eastAsia" w:ascii="宋体" w:hAnsi="宋体" w:cs="宋体"/>
                <w:color w:val="auto"/>
                <w:szCs w:val="21"/>
                <w:highlight w:val="none"/>
              </w:rPr>
              <w:t>）作为附件上传保存。</w:t>
            </w:r>
          </w:p>
          <w:p w14:paraId="2D4022FB">
            <w:pPr>
              <w:keepNext w:val="0"/>
              <w:keepLines w:val="0"/>
              <w:pageBreakBefore w:val="0"/>
              <w:widowControl w:val="0"/>
              <w:kinsoku/>
              <w:wordWrap w:val="0"/>
              <w:overflowPunct/>
              <w:topLinePunct w:val="0"/>
              <w:bidi w:val="0"/>
              <w:snapToGrid w:val="0"/>
              <w:spacing w:line="400" w:lineRule="exact"/>
              <w:rPr>
                <w:rFonts w:hint="eastAsia" w:ascii="宋体" w:hAnsi="宋体" w:cs="宋体"/>
                <w:b/>
                <w:color w:val="auto"/>
                <w:szCs w:val="21"/>
                <w:highlight w:val="none"/>
              </w:rPr>
            </w:pPr>
            <w:r>
              <w:rPr>
                <w:rFonts w:hint="eastAsia" w:ascii="宋体" w:hAnsi="宋体" w:cs="宋体"/>
                <w:color w:val="auto"/>
                <w:szCs w:val="21"/>
                <w:highlight w:val="none"/>
              </w:rPr>
              <w:t>信用信息使用规则：对在“信用中国”网站（www.creditchina.gov.cn）、中国政府采购网（www.ccgp.gov.cn）被列入失信被执行人、重大税收违法失信主体、政府采购严重违法失信行为记录名单及其他不符合《中华人民共和国政府采购法》第二十二条规定条件的供应商，采购人或者采购代理机构应当拒绝其参与政府采购活动。两个或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p>
        </w:tc>
      </w:tr>
      <w:tr w14:paraId="622E6F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78" w:type="dxa"/>
            <w:tcBorders>
              <w:top w:val="single" w:color="auto" w:sz="4" w:space="0"/>
              <w:left w:val="single" w:color="auto" w:sz="4" w:space="0"/>
              <w:bottom w:val="single" w:color="auto" w:sz="4" w:space="0"/>
              <w:right w:val="single" w:color="auto" w:sz="4" w:space="0"/>
            </w:tcBorders>
            <w:noWrap w:val="0"/>
            <w:vAlign w:val="center"/>
          </w:tcPr>
          <w:p w14:paraId="60F97581">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bookmarkStart w:id="82" w:name="_26"/>
            <w:bookmarkEnd w:id="82"/>
            <w:r>
              <w:rPr>
                <w:rFonts w:hint="eastAsia" w:ascii="宋体" w:hAnsi="宋体" w:cs="宋体"/>
                <w:color w:val="auto"/>
                <w:szCs w:val="21"/>
                <w:highlight w:val="none"/>
              </w:rPr>
              <w:t>26.1</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36656C60">
            <w:pPr>
              <w:keepNext w:val="0"/>
              <w:keepLines w:val="0"/>
              <w:pageBreakBefore w:val="0"/>
              <w:widowControl w:val="0"/>
              <w:kinsoku/>
              <w:overflowPunct/>
              <w:topLinePunct w:val="0"/>
              <w:autoSpaceDE w:val="0"/>
              <w:autoSpaceDN w:val="0"/>
              <w:bidi w:val="0"/>
              <w:snapToGrid w:val="0"/>
              <w:spacing w:line="40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rPr>
              <w:t>评标委员会的人数：</w:t>
            </w:r>
            <w:r>
              <w:rPr>
                <w:rFonts w:hint="eastAsia" w:ascii="宋体" w:hAnsi="宋体" w:cs="宋体"/>
                <w:color w:val="auto"/>
                <w:szCs w:val="21"/>
                <w:highlight w:val="none"/>
                <w:u w:val="single"/>
              </w:rPr>
              <w:t>5</w:t>
            </w:r>
            <w:r>
              <w:rPr>
                <w:rFonts w:hint="eastAsia" w:ascii="宋体" w:hAnsi="宋体" w:cs="宋体"/>
                <w:color w:val="auto"/>
                <w:szCs w:val="21"/>
                <w:highlight w:val="none"/>
              </w:rPr>
              <w:t>人</w:t>
            </w:r>
          </w:p>
        </w:tc>
      </w:tr>
      <w:tr w14:paraId="4C07A6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78" w:type="dxa"/>
            <w:tcBorders>
              <w:top w:val="single" w:color="auto" w:sz="4" w:space="0"/>
              <w:left w:val="single" w:color="auto" w:sz="4" w:space="0"/>
              <w:bottom w:val="single" w:color="auto" w:sz="4" w:space="0"/>
              <w:right w:val="single" w:color="auto" w:sz="4" w:space="0"/>
            </w:tcBorders>
            <w:noWrap w:val="0"/>
            <w:vAlign w:val="center"/>
          </w:tcPr>
          <w:p w14:paraId="28E88DA2">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bookmarkStart w:id="83" w:name="_28.3"/>
            <w:bookmarkEnd w:id="83"/>
            <w:r>
              <w:rPr>
                <w:rFonts w:hint="eastAsia" w:ascii="宋体" w:hAnsi="宋体" w:cs="宋体"/>
                <w:color w:val="auto"/>
                <w:szCs w:val="21"/>
                <w:highlight w:val="none"/>
              </w:rPr>
              <w:t>29.1</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0F83A137">
            <w:pPr>
              <w:keepNext w:val="0"/>
              <w:keepLines w:val="0"/>
              <w:pageBreakBefore w:val="0"/>
              <w:widowControl w:val="0"/>
              <w:kinsoku/>
              <w:overflowPunct/>
              <w:topLinePunct w:val="0"/>
              <w:autoSpaceDE w:val="0"/>
              <w:autoSpaceDN w:val="0"/>
              <w:bidi w:val="0"/>
              <w:snapToGrid w:val="0"/>
              <w:spacing w:line="40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rPr>
              <w:t>评标方法：综合评分法</w:t>
            </w:r>
          </w:p>
        </w:tc>
      </w:tr>
      <w:tr w14:paraId="77960C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55" w:hRule="atLeast"/>
        </w:trPr>
        <w:tc>
          <w:tcPr>
            <w:tcW w:w="978" w:type="dxa"/>
            <w:tcBorders>
              <w:top w:val="single" w:color="auto" w:sz="4" w:space="0"/>
              <w:left w:val="single" w:color="auto" w:sz="4" w:space="0"/>
              <w:bottom w:val="single" w:color="auto" w:sz="4" w:space="0"/>
              <w:right w:val="single" w:color="auto" w:sz="4" w:space="0"/>
            </w:tcBorders>
            <w:noWrap w:val="0"/>
            <w:vAlign w:val="center"/>
          </w:tcPr>
          <w:p w14:paraId="52C03540">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bookmarkStart w:id="84" w:name="_29.2.2（2）"/>
            <w:bookmarkEnd w:id="84"/>
            <w:r>
              <w:rPr>
                <w:rFonts w:hint="eastAsia" w:ascii="宋体" w:hAnsi="宋体" w:cs="宋体"/>
                <w:color w:val="auto"/>
                <w:szCs w:val="21"/>
                <w:highlight w:val="none"/>
              </w:rPr>
              <w:t>29.2</w:t>
            </w:r>
          </w:p>
        </w:tc>
        <w:tc>
          <w:tcPr>
            <w:tcW w:w="8175" w:type="dxa"/>
            <w:tcBorders>
              <w:top w:val="single" w:color="auto" w:sz="4" w:space="0"/>
              <w:left w:val="single" w:color="auto" w:sz="4" w:space="0"/>
              <w:right w:val="single" w:color="auto" w:sz="4" w:space="0"/>
            </w:tcBorders>
            <w:noWrap w:val="0"/>
            <w:vAlign w:val="center"/>
          </w:tcPr>
          <w:p w14:paraId="46AFE5F7">
            <w:pPr>
              <w:keepNext w:val="0"/>
              <w:keepLines w:val="0"/>
              <w:pageBreakBefore w:val="0"/>
              <w:widowControl w:val="0"/>
              <w:kinsoku/>
              <w:overflowPunct/>
              <w:topLinePunct w:val="0"/>
              <w:bidi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商务要求评审中允许负偏离的条款数为</w:t>
            </w:r>
            <w:r>
              <w:rPr>
                <w:rFonts w:hint="eastAsia" w:ascii="宋体" w:hAnsi="宋体" w:cs="宋体"/>
                <w:color w:val="auto"/>
                <w:szCs w:val="21"/>
                <w:highlight w:val="none"/>
                <w:u w:val="single"/>
              </w:rPr>
              <w:t>0</w:t>
            </w:r>
            <w:r>
              <w:rPr>
                <w:rFonts w:hint="eastAsia" w:ascii="宋体" w:hAnsi="宋体" w:cs="宋体"/>
                <w:color w:val="auto"/>
                <w:szCs w:val="21"/>
                <w:highlight w:val="none"/>
              </w:rPr>
              <w:t>项。</w:t>
            </w:r>
          </w:p>
          <w:p w14:paraId="60E79121">
            <w:pPr>
              <w:keepNext w:val="0"/>
              <w:keepLines w:val="0"/>
              <w:pageBreakBefore w:val="0"/>
              <w:widowControl w:val="0"/>
              <w:kinsoku/>
              <w:overflowPunct/>
              <w:topLinePunct w:val="0"/>
              <w:bidi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技术要求评审中允许负偏离的条款数为</w:t>
            </w:r>
            <w:r>
              <w:rPr>
                <w:rFonts w:hint="eastAsia" w:ascii="宋体" w:hAnsi="宋体" w:cs="宋体"/>
                <w:color w:val="auto"/>
                <w:szCs w:val="21"/>
                <w:highlight w:val="none"/>
                <w:u w:val="single"/>
              </w:rPr>
              <w:t>0</w:t>
            </w:r>
            <w:r>
              <w:rPr>
                <w:rFonts w:hint="eastAsia" w:ascii="宋体" w:hAnsi="宋体" w:cs="宋体"/>
                <w:color w:val="auto"/>
                <w:szCs w:val="21"/>
                <w:highlight w:val="none"/>
              </w:rPr>
              <w:t>项。</w:t>
            </w:r>
          </w:p>
        </w:tc>
      </w:tr>
      <w:tr w14:paraId="1B3ABB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55" w:hRule="atLeast"/>
        </w:trPr>
        <w:tc>
          <w:tcPr>
            <w:tcW w:w="978" w:type="dxa"/>
            <w:tcBorders>
              <w:top w:val="single" w:color="auto" w:sz="4" w:space="0"/>
              <w:left w:val="single" w:color="auto" w:sz="4" w:space="0"/>
              <w:right w:val="single" w:color="auto" w:sz="4" w:space="0"/>
            </w:tcBorders>
            <w:noWrap w:val="0"/>
            <w:vAlign w:val="center"/>
          </w:tcPr>
          <w:p w14:paraId="101C76FA">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29.3</w:t>
            </w:r>
          </w:p>
        </w:tc>
        <w:tc>
          <w:tcPr>
            <w:tcW w:w="8175" w:type="dxa"/>
            <w:tcBorders>
              <w:top w:val="single" w:color="auto" w:sz="4" w:space="0"/>
              <w:left w:val="single" w:color="auto" w:sz="4" w:space="0"/>
              <w:right w:val="single" w:color="auto" w:sz="4" w:space="0"/>
            </w:tcBorders>
            <w:noWrap w:val="0"/>
            <w:vAlign w:val="center"/>
          </w:tcPr>
          <w:p w14:paraId="48F44C10">
            <w:pPr>
              <w:keepNext w:val="0"/>
              <w:keepLines w:val="0"/>
              <w:pageBreakBefore w:val="0"/>
              <w:widowControl w:val="0"/>
              <w:kinsoku/>
              <w:overflowPunct/>
              <w:topLinePunct w:val="0"/>
              <w:bidi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中标候选人推荐数量：</w:t>
            </w:r>
            <w:r>
              <w:rPr>
                <w:rFonts w:hint="eastAsia" w:ascii="宋体" w:hAnsi="宋体" w:cs="宋体"/>
                <w:color w:val="auto"/>
                <w:szCs w:val="21"/>
                <w:highlight w:val="none"/>
                <w:u w:val="single"/>
              </w:rPr>
              <w:t>3</w:t>
            </w:r>
            <w:r>
              <w:rPr>
                <w:rFonts w:hint="eastAsia" w:ascii="宋体" w:hAnsi="宋体" w:cs="宋体"/>
                <w:color w:val="auto"/>
                <w:szCs w:val="21"/>
                <w:highlight w:val="none"/>
              </w:rPr>
              <w:t>名</w:t>
            </w:r>
          </w:p>
        </w:tc>
      </w:tr>
      <w:tr w14:paraId="494ED5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78" w:type="dxa"/>
            <w:tcBorders>
              <w:top w:val="single" w:color="auto" w:sz="4" w:space="0"/>
              <w:left w:val="single" w:color="auto" w:sz="4" w:space="0"/>
              <w:bottom w:val="single" w:color="auto" w:sz="4" w:space="0"/>
              <w:right w:val="single" w:color="auto" w:sz="4" w:space="0"/>
            </w:tcBorders>
            <w:noWrap w:val="0"/>
            <w:vAlign w:val="center"/>
          </w:tcPr>
          <w:p w14:paraId="5CEA80F8">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30.1</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30FFF2A9">
            <w:pPr>
              <w:keepNext w:val="0"/>
              <w:keepLines w:val="0"/>
              <w:pageBreakBefore w:val="0"/>
              <w:widowControl w:val="0"/>
              <w:kinsoku/>
              <w:overflowPunct/>
              <w:topLinePunct w:val="0"/>
              <w:autoSpaceDE w:val="0"/>
              <w:autoSpaceDN w:val="0"/>
              <w:bidi w:val="0"/>
              <w:snapToGrid w:val="0"/>
              <w:spacing w:line="40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rPr>
              <w:t>采用综合评分法的采购项目，采购人确定中标人时，出现中标候选人并列的情形，采购人按以下的方式确定中标人：</w:t>
            </w:r>
            <w:r>
              <w:rPr>
                <w:rFonts w:hint="eastAsia" w:ascii="宋体" w:hAnsi="宋体" w:cs="宋体"/>
                <w:iCs/>
                <w:color w:val="auto"/>
                <w:szCs w:val="21"/>
                <w:highlight w:val="none"/>
              </w:rPr>
              <w:t>依次按投标报价低的优先、投标报价评分得分高的优先、服务方案评分高的顺序确定；按上述方式无法确定的，由采购人随机抽取。</w:t>
            </w:r>
          </w:p>
        </w:tc>
      </w:tr>
      <w:tr w14:paraId="388D21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60" w:hRule="atLeast"/>
        </w:trPr>
        <w:tc>
          <w:tcPr>
            <w:tcW w:w="978" w:type="dxa"/>
            <w:tcBorders>
              <w:top w:val="single" w:color="auto" w:sz="4" w:space="0"/>
              <w:left w:val="single" w:color="auto" w:sz="4" w:space="0"/>
              <w:bottom w:val="single" w:color="auto" w:sz="4" w:space="0"/>
              <w:right w:val="single" w:color="auto" w:sz="4" w:space="0"/>
            </w:tcBorders>
            <w:noWrap w:val="0"/>
            <w:vAlign w:val="center"/>
          </w:tcPr>
          <w:p w14:paraId="682F17EC">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bookmarkStart w:id="85" w:name="_39.1"/>
            <w:bookmarkEnd w:id="85"/>
            <w:r>
              <w:rPr>
                <w:rFonts w:hint="eastAsia" w:ascii="宋体" w:hAnsi="宋体" w:cs="宋体"/>
                <w:color w:val="auto"/>
                <w:szCs w:val="21"/>
                <w:highlight w:val="none"/>
              </w:rPr>
              <w:t>35.1</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6CEF8797">
            <w:pPr>
              <w:keepNext w:val="0"/>
              <w:keepLines w:val="0"/>
              <w:pageBreakBefore w:val="0"/>
              <w:widowControl w:val="0"/>
              <w:kinsoku/>
              <w:overflowPunct/>
              <w:topLinePunct w:val="0"/>
              <w:autoSpaceDE w:val="0"/>
              <w:autoSpaceDN w:val="0"/>
              <w:bidi w:val="0"/>
              <w:snapToGrid w:val="0"/>
              <w:spacing w:line="40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rPr>
              <w:t>本项目不收取履约保证金。</w:t>
            </w:r>
          </w:p>
          <w:p w14:paraId="70268901">
            <w:pPr>
              <w:keepNext w:val="0"/>
              <w:keepLines w:val="0"/>
              <w:pageBreakBefore w:val="0"/>
              <w:widowControl w:val="0"/>
              <w:kinsoku/>
              <w:overflowPunct/>
              <w:topLinePunct w:val="0"/>
              <w:autoSpaceDE w:val="0"/>
              <w:autoSpaceDN w:val="0"/>
              <w:bidi w:val="0"/>
              <w:snapToGrid w:val="0"/>
              <w:spacing w:line="400" w:lineRule="exact"/>
              <w:textAlignment w:val="bottom"/>
              <w:rPr>
                <w:rFonts w:hint="eastAsia" w:ascii="宋体" w:hAnsi="宋体" w:eastAsia="宋体" w:cs="宋体"/>
                <w:iCs/>
                <w:color w:val="auto"/>
                <w:szCs w:val="21"/>
                <w:highlight w:val="none"/>
                <w:lang w:eastAsia="zh-CN"/>
              </w:rPr>
            </w:pPr>
            <w:r>
              <w:rPr>
                <w:rFonts w:hint="eastAsia" w:ascii="宋体" w:hAnsi="宋体" w:cs="宋体"/>
                <w:color w:val="auto"/>
                <w:szCs w:val="21"/>
                <w:highlight w:val="none"/>
                <w:lang w:eastAsia="zh-CN"/>
              </w:rPr>
              <w:t>☑</w:t>
            </w:r>
            <w:r>
              <w:rPr>
                <w:rFonts w:hint="eastAsia" w:ascii="宋体" w:hAnsi="宋体" w:cs="宋体"/>
                <w:color w:val="auto"/>
                <w:szCs w:val="21"/>
                <w:highlight w:val="none"/>
              </w:rPr>
              <w:t>本项目收取履约保证金</w:t>
            </w:r>
            <w:r>
              <w:rPr>
                <w:rFonts w:hint="eastAsia" w:ascii="宋体" w:hAnsi="宋体" w:cs="宋体"/>
                <w:color w:val="auto"/>
                <w:szCs w:val="21"/>
                <w:highlight w:val="none"/>
                <w:lang w:eastAsia="zh-CN"/>
              </w:rPr>
              <w:t>：</w:t>
            </w:r>
            <w:r>
              <w:rPr>
                <w:rFonts w:hint="eastAsia" w:ascii="宋体" w:hAnsi="宋体" w:cs="宋体"/>
                <w:color w:val="auto"/>
                <w:szCs w:val="21"/>
                <w:highlight w:val="none"/>
              </w:rPr>
              <w:t>具体规定详见第</w:t>
            </w:r>
            <w:r>
              <w:rPr>
                <w:rFonts w:hint="eastAsia" w:ascii="宋体" w:hAnsi="宋体" w:cs="宋体"/>
                <w:color w:val="auto"/>
                <w:szCs w:val="21"/>
                <w:highlight w:val="none"/>
                <w:lang w:val="en-US" w:eastAsia="zh-CN"/>
              </w:rPr>
              <w:t>二</w:t>
            </w:r>
            <w:r>
              <w:rPr>
                <w:rFonts w:hint="eastAsia" w:ascii="宋体" w:hAnsi="宋体" w:cs="宋体"/>
                <w:color w:val="auto"/>
                <w:szCs w:val="21"/>
                <w:highlight w:val="none"/>
              </w:rPr>
              <w:t>章《</w:t>
            </w:r>
            <w:r>
              <w:rPr>
                <w:rFonts w:hint="eastAsia" w:ascii="宋体" w:hAnsi="宋体" w:cs="宋体"/>
                <w:color w:val="auto"/>
                <w:szCs w:val="21"/>
                <w:highlight w:val="none"/>
                <w:lang w:val="en-US" w:eastAsia="zh-CN"/>
              </w:rPr>
              <w:t>采购需求</w:t>
            </w:r>
            <w:r>
              <w:rPr>
                <w:rFonts w:hint="eastAsia" w:ascii="宋体" w:hAnsi="宋体" w:cs="宋体"/>
                <w:color w:val="auto"/>
                <w:szCs w:val="21"/>
                <w:highlight w:val="none"/>
              </w:rPr>
              <w:t>》的“</w:t>
            </w:r>
            <w:r>
              <w:rPr>
                <w:rFonts w:hint="eastAsia" w:ascii="宋体" w:hAnsi="宋体" w:cs="宋体"/>
                <w:color w:val="auto"/>
                <w:szCs w:val="21"/>
                <w:highlight w:val="none"/>
                <w:lang w:val="en-US" w:eastAsia="zh-CN"/>
              </w:rPr>
              <w:t>二</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商务要求</w:t>
            </w:r>
            <w:r>
              <w:rPr>
                <w:rFonts w:hint="eastAsia" w:ascii="宋体" w:hAnsi="宋体" w:cs="宋体"/>
                <w:color w:val="auto"/>
                <w:szCs w:val="21"/>
                <w:highlight w:val="none"/>
              </w:rPr>
              <w:t>”的“</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七</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履约</w:t>
            </w:r>
            <w:r>
              <w:rPr>
                <w:rFonts w:hint="eastAsia" w:ascii="宋体" w:hAnsi="宋体" w:cs="宋体"/>
                <w:color w:val="auto"/>
                <w:szCs w:val="21"/>
                <w:highlight w:val="none"/>
              </w:rPr>
              <w:t>保证金”的要求。</w:t>
            </w:r>
          </w:p>
          <w:p w14:paraId="3BDBBF60">
            <w:pPr>
              <w:keepNext w:val="0"/>
              <w:keepLines w:val="0"/>
              <w:pageBreakBefore w:val="0"/>
              <w:widowControl w:val="0"/>
              <w:kinsoku/>
              <w:overflowPunct/>
              <w:topLinePunct w:val="0"/>
              <w:autoSpaceDE w:val="0"/>
              <w:autoSpaceDN w:val="0"/>
              <w:bidi w:val="0"/>
              <w:snapToGrid w:val="0"/>
              <w:spacing w:line="400" w:lineRule="exact"/>
              <w:textAlignment w:val="bottom"/>
              <w:rPr>
                <w:rFonts w:hint="eastAsia" w:ascii="宋体" w:hAnsi="宋体" w:cs="宋体"/>
                <w:b/>
                <w:iCs/>
                <w:color w:val="auto"/>
                <w:szCs w:val="21"/>
                <w:highlight w:val="none"/>
              </w:rPr>
            </w:pPr>
            <w:r>
              <w:rPr>
                <w:rFonts w:hint="eastAsia" w:ascii="宋体" w:hAnsi="宋体" w:cs="宋体"/>
                <w:b/>
                <w:iCs/>
                <w:color w:val="auto"/>
                <w:szCs w:val="21"/>
                <w:highlight w:val="none"/>
              </w:rPr>
              <w:t>备注：</w:t>
            </w:r>
          </w:p>
          <w:p w14:paraId="3F592CB2">
            <w:pPr>
              <w:keepNext w:val="0"/>
              <w:keepLines w:val="0"/>
              <w:pageBreakBefore w:val="0"/>
              <w:widowControl w:val="0"/>
              <w:kinsoku/>
              <w:overflowPunct/>
              <w:topLinePunct w:val="0"/>
              <w:autoSpaceDE w:val="0"/>
              <w:autoSpaceDN w:val="0"/>
              <w:bidi w:val="0"/>
              <w:snapToGrid w:val="0"/>
              <w:spacing w:line="400" w:lineRule="exact"/>
              <w:textAlignment w:val="bottom"/>
              <w:rPr>
                <w:rFonts w:hint="eastAsia" w:ascii="宋体" w:hAnsi="宋体" w:cs="宋体"/>
                <w:b/>
                <w:iCs/>
                <w:color w:val="auto"/>
                <w:szCs w:val="21"/>
                <w:highlight w:val="none"/>
              </w:rPr>
            </w:pPr>
            <w:r>
              <w:rPr>
                <w:rFonts w:hint="eastAsia" w:ascii="宋体" w:hAnsi="宋体" w:cs="宋体"/>
                <w:b/>
                <w:iCs/>
                <w:color w:val="auto"/>
                <w:szCs w:val="21"/>
                <w:highlight w:val="none"/>
              </w:rPr>
              <w:t>1. 根据《广西壮族自治区财政厅关于贯彻落实政府采购优化营商环境百日攻坚行动方案的通知》（桂财采〔2020〕49号）规定、广西壮族自治区财政厅关于规范政府采购货物和服务项目保证金管理的通知（桂财规〔2022〕8号 ）和《广西壮族自治区财政厅关于持续优化政府采购营商环境推动高质量发展的通知》（桂财采〔2024〕55 号），采购文件要求中标或者中标人提交履约保证金的，履约保证金数额不得超过政府采购合同金额的5%，对中小企业收取的履约保证金数额不得超过政府采购合同金额的2%。采购人可根据供应商的资信等情况减免履约保证金。</w:t>
            </w:r>
          </w:p>
          <w:p w14:paraId="2E5B0B74">
            <w:pPr>
              <w:keepNext w:val="0"/>
              <w:keepLines w:val="0"/>
              <w:pageBreakBefore w:val="0"/>
              <w:widowControl w:val="0"/>
              <w:kinsoku/>
              <w:overflowPunct/>
              <w:topLinePunct w:val="0"/>
              <w:autoSpaceDE w:val="0"/>
              <w:autoSpaceDN w:val="0"/>
              <w:bidi w:val="0"/>
              <w:snapToGrid w:val="0"/>
              <w:spacing w:line="400" w:lineRule="exact"/>
              <w:textAlignment w:val="bottom"/>
              <w:rPr>
                <w:rFonts w:hint="eastAsia" w:ascii="宋体" w:hAnsi="宋体" w:cs="宋体"/>
                <w:b/>
                <w:iCs/>
                <w:color w:val="auto"/>
                <w:szCs w:val="21"/>
                <w:highlight w:val="none"/>
              </w:rPr>
            </w:pPr>
            <w:r>
              <w:rPr>
                <w:rFonts w:hint="eastAsia" w:ascii="宋体" w:hAnsi="宋体" w:cs="宋体"/>
                <w:b/>
                <w:iCs/>
                <w:color w:val="auto"/>
                <w:szCs w:val="21"/>
                <w:highlight w:val="none"/>
              </w:rPr>
              <w:t>2.履约保证金不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p>
          <w:p w14:paraId="4A6911C6">
            <w:pPr>
              <w:keepNext w:val="0"/>
              <w:keepLines w:val="0"/>
              <w:pageBreakBefore w:val="0"/>
              <w:widowControl w:val="0"/>
              <w:kinsoku/>
              <w:overflowPunct/>
              <w:topLinePunct w:val="0"/>
              <w:autoSpaceDE w:val="0"/>
              <w:autoSpaceDN w:val="0"/>
              <w:bidi w:val="0"/>
              <w:snapToGrid w:val="0"/>
              <w:spacing w:line="400" w:lineRule="exact"/>
              <w:textAlignment w:val="bottom"/>
              <w:rPr>
                <w:rFonts w:hint="eastAsia" w:ascii="宋体" w:hAnsi="宋体" w:cs="宋体"/>
                <w:b/>
                <w:iCs/>
                <w:color w:val="auto"/>
                <w:szCs w:val="21"/>
                <w:highlight w:val="none"/>
              </w:rPr>
            </w:pPr>
            <w:r>
              <w:rPr>
                <w:rFonts w:hint="eastAsia" w:ascii="宋体" w:hAnsi="宋体" w:cs="宋体"/>
                <w:b/>
                <w:iCs/>
                <w:color w:val="auto"/>
                <w:szCs w:val="21"/>
                <w:highlight w:val="none"/>
              </w:rPr>
              <w:t>3.采用银行、保险机构出具的保函的，必须为无条件保函，否则不予签订合同。</w:t>
            </w:r>
          </w:p>
          <w:p w14:paraId="1A33595F">
            <w:pPr>
              <w:keepNext w:val="0"/>
              <w:keepLines w:val="0"/>
              <w:pageBreakBefore w:val="0"/>
              <w:widowControl w:val="0"/>
              <w:kinsoku/>
              <w:overflowPunct/>
              <w:topLinePunct w:val="0"/>
              <w:autoSpaceDE w:val="0"/>
              <w:autoSpaceDN w:val="0"/>
              <w:bidi w:val="0"/>
              <w:snapToGrid w:val="0"/>
              <w:spacing w:line="400" w:lineRule="exact"/>
              <w:textAlignment w:val="bottom"/>
              <w:rPr>
                <w:rFonts w:hint="eastAsia" w:ascii="宋体" w:hAnsi="宋体" w:cs="宋体"/>
                <w:color w:val="auto"/>
                <w:szCs w:val="21"/>
                <w:highlight w:val="none"/>
              </w:rPr>
            </w:pPr>
            <w:r>
              <w:rPr>
                <w:rFonts w:hint="eastAsia" w:ascii="宋体" w:hAnsi="宋体" w:cs="宋体"/>
                <w:b/>
                <w:iCs/>
                <w:color w:val="auto"/>
                <w:szCs w:val="21"/>
                <w:highlight w:val="none"/>
              </w:rPr>
              <w:t>4.投标人为联合体的，由联合体其中一方按规定提交的履约保证金，视为有效履约保证金。</w:t>
            </w:r>
          </w:p>
        </w:tc>
      </w:tr>
      <w:tr w14:paraId="63CB1F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78" w:type="dxa"/>
            <w:tcBorders>
              <w:top w:val="single" w:color="auto" w:sz="4" w:space="0"/>
              <w:left w:val="single" w:color="auto" w:sz="4" w:space="0"/>
              <w:bottom w:val="single" w:color="auto" w:sz="4" w:space="0"/>
              <w:right w:val="single" w:color="auto" w:sz="4" w:space="0"/>
            </w:tcBorders>
            <w:noWrap w:val="0"/>
            <w:vAlign w:val="center"/>
          </w:tcPr>
          <w:p w14:paraId="1C362143">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bookmarkStart w:id="86" w:name="_40.1"/>
            <w:bookmarkEnd w:id="86"/>
            <w:r>
              <w:rPr>
                <w:rFonts w:hint="eastAsia" w:ascii="宋体" w:hAnsi="宋体" w:cs="宋体"/>
                <w:color w:val="auto"/>
                <w:szCs w:val="21"/>
                <w:highlight w:val="none"/>
              </w:rPr>
              <w:t>36.1</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15D78CDA">
            <w:pPr>
              <w:keepNext w:val="0"/>
              <w:keepLines w:val="0"/>
              <w:pageBreakBefore w:val="0"/>
              <w:widowControl w:val="0"/>
              <w:kinsoku/>
              <w:overflowPunct/>
              <w:topLinePunct w:val="0"/>
              <w:autoSpaceDE w:val="0"/>
              <w:autoSpaceDN w:val="0"/>
              <w:bidi w:val="0"/>
              <w:snapToGrid w:val="0"/>
              <w:spacing w:line="40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rPr>
              <w:t>签订合同携带的证明材料：</w:t>
            </w:r>
          </w:p>
          <w:p w14:paraId="33FA952E">
            <w:pPr>
              <w:keepNext w:val="0"/>
              <w:keepLines w:val="0"/>
              <w:pageBreakBefore w:val="0"/>
              <w:widowControl w:val="0"/>
              <w:kinsoku/>
              <w:overflowPunct/>
              <w:topLinePunct w:val="0"/>
              <w:autoSpaceDE w:val="0"/>
              <w:autoSpaceDN w:val="0"/>
              <w:bidi w:val="0"/>
              <w:snapToGrid w:val="0"/>
              <w:spacing w:line="40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rPr>
              <w:t>委托代理人负责签订合同的，须携带授权委托书及委托代理人身份证原件等其他资格证件。</w:t>
            </w:r>
          </w:p>
          <w:p w14:paraId="2149C883">
            <w:pPr>
              <w:keepNext w:val="0"/>
              <w:keepLines w:val="0"/>
              <w:pageBreakBefore w:val="0"/>
              <w:widowControl w:val="0"/>
              <w:kinsoku/>
              <w:overflowPunct/>
              <w:topLinePunct w:val="0"/>
              <w:autoSpaceDE w:val="0"/>
              <w:autoSpaceDN w:val="0"/>
              <w:bidi w:val="0"/>
              <w:snapToGrid w:val="0"/>
              <w:spacing w:line="40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rPr>
              <w:t>法定代表人负责签订合同的，须携带法定代表人身份证明原件及身份证原件等其他证明材料。</w:t>
            </w:r>
          </w:p>
        </w:tc>
      </w:tr>
      <w:tr w14:paraId="3BBC4F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78" w:type="dxa"/>
            <w:tcBorders>
              <w:top w:val="single" w:color="auto" w:sz="4" w:space="0"/>
              <w:left w:val="single" w:color="auto" w:sz="4" w:space="0"/>
              <w:bottom w:val="single" w:color="auto" w:sz="4" w:space="0"/>
              <w:right w:val="single" w:color="auto" w:sz="4" w:space="0"/>
            </w:tcBorders>
            <w:noWrap w:val="0"/>
            <w:vAlign w:val="center"/>
          </w:tcPr>
          <w:p w14:paraId="61A598A1">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38.2</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72509BC5">
            <w:pPr>
              <w:keepNext w:val="0"/>
              <w:keepLines w:val="0"/>
              <w:pageBreakBefore w:val="0"/>
              <w:widowControl w:val="0"/>
              <w:kinsoku/>
              <w:overflowPunct/>
              <w:topLinePunct w:val="0"/>
              <w:bidi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接收质疑函方式：以书面形式</w:t>
            </w:r>
          </w:p>
          <w:p w14:paraId="2716EF87">
            <w:pPr>
              <w:keepNext w:val="0"/>
              <w:keepLines w:val="0"/>
              <w:pageBreakBefore w:val="0"/>
              <w:widowControl w:val="0"/>
              <w:kinsoku/>
              <w:overflowPunct/>
              <w:topLinePunct w:val="0"/>
              <w:bidi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质疑联系部门及联系方式：</w:t>
            </w:r>
            <w:r>
              <w:rPr>
                <w:rFonts w:hint="eastAsia" w:ascii="宋体" w:hAnsi="宋体" w:cs="宋体"/>
                <w:color w:val="auto"/>
                <w:szCs w:val="21"/>
                <w:highlight w:val="none"/>
                <w:lang w:eastAsia="zh-CN"/>
              </w:rPr>
              <w:t>广西建设工程机电设备招标中心有限公司</w:t>
            </w:r>
            <w:r>
              <w:rPr>
                <w:rFonts w:hint="eastAsia" w:ascii="宋体" w:hAnsi="宋体" w:cs="宋体"/>
                <w:color w:val="auto"/>
                <w:szCs w:val="21"/>
                <w:highlight w:val="none"/>
              </w:rPr>
              <w:t>，联系电话：</w:t>
            </w:r>
            <w:r>
              <w:rPr>
                <w:rFonts w:hint="eastAsia" w:ascii="宋体" w:hAnsi="宋体" w:cs="宋体"/>
                <w:color w:val="auto"/>
                <w:szCs w:val="21"/>
                <w:highlight w:val="none"/>
                <w:lang w:eastAsia="zh-CN"/>
              </w:rPr>
              <w:t>0771-5824250</w:t>
            </w:r>
            <w:r>
              <w:rPr>
                <w:rFonts w:hint="eastAsia" w:ascii="宋体" w:hAnsi="宋体" w:cs="宋体"/>
                <w:color w:val="auto"/>
                <w:szCs w:val="21"/>
                <w:highlight w:val="none"/>
              </w:rPr>
              <w:t>，通讯地址：</w:t>
            </w:r>
            <w:r>
              <w:rPr>
                <w:rFonts w:hint="eastAsia" w:ascii="宋体" w:hAnsi="宋体" w:cs="宋体"/>
                <w:color w:val="auto"/>
                <w:szCs w:val="21"/>
                <w:highlight w:val="none"/>
                <w:lang w:eastAsia="zh-CN"/>
              </w:rPr>
              <w:t>广西建设工程机电设备招标中心有限公司</w:t>
            </w:r>
            <w:r>
              <w:rPr>
                <w:rFonts w:hint="eastAsia" w:ascii="宋体" w:hAnsi="宋体" w:cs="宋体"/>
                <w:color w:val="auto"/>
                <w:szCs w:val="21"/>
                <w:highlight w:val="none"/>
              </w:rPr>
              <w:t>（</w:t>
            </w:r>
            <w:r>
              <w:rPr>
                <w:rFonts w:hint="eastAsia" w:ascii="宋体" w:hAnsi="宋体" w:cs="宋体"/>
                <w:color w:val="auto"/>
                <w:szCs w:val="21"/>
                <w:highlight w:val="none"/>
                <w:lang w:eastAsia="zh-CN"/>
              </w:rPr>
              <w:t>广西南宁市青秀区枫林路18号广西国控大厦（枫林路办公区）裙楼三楼</w:t>
            </w:r>
            <w:r>
              <w:rPr>
                <w:rFonts w:hint="eastAsia" w:ascii="宋体" w:hAnsi="宋体" w:cs="宋体"/>
                <w:color w:val="auto"/>
                <w:szCs w:val="21"/>
                <w:highlight w:val="none"/>
              </w:rPr>
              <w:t>）</w:t>
            </w:r>
          </w:p>
          <w:p w14:paraId="57874987">
            <w:pPr>
              <w:keepNext w:val="0"/>
              <w:keepLines w:val="0"/>
              <w:pageBreakBefore w:val="0"/>
              <w:widowControl w:val="0"/>
              <w:kinsoku/>
              <w:overflowPunct/>
              <w:topLinePunct w:val="0"/>
              <w:bidi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业务时间：工作日每天上午8时30分到12时00分，下午</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时</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rPr>
              <w:t>0分到</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时</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rPr>
              <w:t>0分。</w:t>
            </w:r>
          </w:p>
        </w:tc>
      </w:tr>
      <w:tr w14:paraId="025272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78" w:type="dxa"/>
            <w:tcBorders>
              <w:top w:val="single" w:color="auto" w:sz="4" w:space="0"/>
              <w:left w:val="single" w:color="auto" w:sz="4" w:space="0"/>
              <w:bottom w:val="single" w:color="auto" w:sz="4" w:space="0"/>
              <w:right w:val="single" w:color="auto" w:sz="4" w:space="0"/>
            </w:tcBorders>
            <w:noWrap w:val="0"/>
            <w:vAlign w:val="center"/>
          </w:tcPr>
          <w:p w14:paraId="168C520D">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bookmarkStart w:id="87" w:name="_41"/>
            <w:bookmarkEnd w:id="87"/>
            <w:bookmarkStart w:id="88" w:name="_42"/>
            <w:bookmarkEnd w:id="88"/>
            <w:bookmarkStart w:id="89" w:name="_Hlt17709148"/>
            <w:r>
              <w:rPr>
                <w:rFonts w:hint="eastAsia" w:ascii="宋体" w:hAnsi="宋体" w:cs="宋体"/>
                <w:color w:val="auto"/>
                <w:szCs w:val="21"/>
                <w:highlight w:val="none"/>
              </w:rPr>
              <w:t>3</w:t>
            </w:r>
            <w:bookmarkEnd w:id="89"/>
            <w:r>
              <w:rPr>
                <w:rFonts w:hint="eastAsia" w:ascii="宋体" w:hAnsi="宋体" w:cs="宋体"/>
                <w:color w:val="auto"/>
                <w:szCs w:val="21"/>
                <w:highlight w:val="none"/>
              </w:rPr>
              <w:t>9.1</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2177E913">
            <w:pPr>
              <w:pStyle w:val="20"/>
              <w:keepNext w:val="0"/>
              <w:keepLines w:val="0"/>
              <w:pageBreakBefore w:val="0"/>
              <w:widowControl w:val="0"/>
              <w:kinsoku/>
              <w:overflowPunct/>
              <w:topLinePunct w:val="0"/>
              <w:bidi w:val="0"/>
              <w:snapToGrid w:val="0"/>
              <w:spacing w:line="400" w:lineRule="exact"/>
              <w:rPr>
                <w:rFonts w:hint="eastAsia" w:hAnsi="宋体" w:cs="宋体"/>
                <w:color w:val="auto"/>
                <w:highlight w:val="none"/>
              </w:rPr>
            </w:pPr>
            <w:r>
              <w:rPr>
                <w:rFonts w:hint="eastAsia" w:hAnsi="宋体" w:cs="宋体"/>
                <w:color w:val="auto"/>
                <w:highlight w:val="none"/>
              </w:rPr>
              <w:t>1.采购代理费支付方式：本项目代理服务费由</w:t>
            </w:r>
            <w:r>
              <w:rPr>
                <w:rFonts w:hint="eastAsia" w:hAnsi="宋体" w:cs="宋体"/>
                <w:color w:val="auto"/>
                <w:highlight w:val="none"/>
                <w:u w:val="single"/>
              </w:rPr>
              <w:t>中标人</w:t>
            </w:r>
            <w:r>
              <w:rPr>
                <w:rFonts w:hint="eastAsia" w:hAnsi="宋体" w:cs="宋体"/>
                <w:color w:val="auto"/>
                <w:highlight w:val="none"/>
              </w:rPr>
              <w:t>一次性向采购代理机构支付。</w:t>
            </w:r>
          </w:p>
          <w:p w14:paraId="62D5C4FC">
            <w:pPr>
              <w:pStyle w:val="20"/>
              <w:keepNext w:val="0"/>
              <w:keepLines w:val="0"/>
              <w:pageBreakBefore w:val="0"/>
              <w:widowControl w:val="0"/>
              <w:kinsoku/>
              <w:overflowPunct/>
              <w:topLinePunct w:val="0"/>
              <w:bidi w:val="0"/>
              <w:snapToGrid w:val="0"/>
              <w:spacing w:line="400" w:lineRule="exact"/>
              <w:rPr>
                <w:rFonts w:hint="eastAsia" w:hAnsi="宋体" w:cs="宋体"/>
                <w:color w:val="auto"/>
                <w:highlight w:val="none"/>
              </w:rPr>
            </w:pPr>
            <w:r>
              <w:rPr>
                <w:rFonts w:hint="eastAsia" w:hAnsi="宋体" w:cs="宋体"/>
                <w:color w:val="auto"/>
                <w:highlight w:val="none"/>
              </w:rPr>
              <w:t>2.采购代理费收取标准：</w:t>
            </w:r>
          </w:p>
          <w:p w14:paraId="4F91ABAE">
            <w:pPr>
              <w:pStyle w:val="20"/>
              <w:keepNext w:val="0"/>
              <w:keepLines w:val="0"/>
              <w:pageBreakBefore w:val="0"/>
              <w:widowControl w:val="0"/>
              <w:kinsoku/>
              <w:overflowPunct/>
              <w:topLinePunct w:val="0"/>
              <w:bidi w:val="0"/>
              <w:snapToGrid w:val="0"/>
              <w:spacing w:line="400" w:lineRule="exact"/>
              <w:rPr>
                <w:rFonts w:hint="eastAsia" w:hAnsi="宋体" w:cs="宋体"/>
                <w:color w:val="auto"/>
                <w:highlight w:val="none"/>
              </w:rPr>
            </w:pPr>
            <w:r>
              <w:rPr>
                <w:rFonts w:hint="eastAsia" w:hAnsi="宋体" w:cs="宋体"/>
                <w:color w:val="auto"/>
                <w:highlight w:val="none"/>
              </w:rPr>
              <w:t>以中标金额为计费额，按本须知正文第39.1条规定的收费计算标准（服务类）采用差额定率累进法计算出收费基准价格，采购代理收费以收费</w:t>
            </w:r>
            <w:r>
              <w:rPr>
                <w:rFonts w:hint="eastAsia" w:hAnsi="宋体" w:cs="宋体"/>
                <w:color w:val="auto"/>
                <w:highlight w:val="none"/>
                <w:lang w:val="en-US" w:eastAsia="zh-CN"/>
              </w:rPr>
              <w:t>标准</w:t>
            </w:r>
            <w:r>
              <w:rPr>
                <w:rFonts w:hint="eastAsia" w:hAnsi="宋体" w:cs="宋体"/>
                <w:color w:val="auto"/>
                <w:highlight w:val="none"/>
              </w:rPr>
              <w:t>收取。</w:t>
            </w:r>
          </w:p>
          <w:p w14:paraId="22E9969C">
            <w:pPr>
              <w:keepNext w:val="0"/>
              <w:keepLines w:val="0"/>
              <w:pageBreakBefore w:val="0"/>
              <w:widowControl w:val="0"/>
              <w:kinsoku/>
              <w:overflowPunct/>
              <w:topLinePunct w:val="0"/>
              <w:bidi w:val="0"/>
              <w:snapToGrid w:val="0"/>
              <w:spacing w:line="400" w:lineRule="exact"/>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3.账户名称：</w:t>
            </w:r>
            <w:r>
              <w:rPr>
                <w:rFonts w:hint="eastAsia" w:ascii="宋体" w:hAnsi="宋体" w:cs="宋体"/>
                <w:color w:val="auto"/>
                <w:kern w:val="0"/>
                <w:szCs w:val="21"/>
                <w:highlight w:val="none"/>
                <w:lang w:eastAsia="zh-CN"/>
              </w:rPr>
              <w:t>广西建设工程机电设备招标中心有限公司</w:t>
            </w:r>
          </w:p>
          <w:p w14:paraId="4562FCC0">
            <w:pPr>
              <w:pStyle w:val="20"/>
              <w:keepNext w:val="0"/>
              <w:keepLines w:val="0"/>
              <w:pageBreakBefore w:val="0"/>
              <w:widowControl w:val="0"/>
              <w:kinsoku/>
              <w:overflowPunct/>
              <w:topLinePunct w:val="0"/>
              <w:bidi w:val="0"/>
              <w:snapToGrid w:val="0"/>
              <w:spacing w:line="400" w:lineRule="exact"/>
              <w:rPr>
                <w:rFonts w:hint="eastAsia" w:hAnsi="宋体" w:cs="宋体"/>
                <w:color w:val="auto"/>
                <w:highlight w:val="none"/>
                <w:lang w:eastAsia="zh-CN"/>
              </w:rPr>
            </w:pPr>
            <w:r>
              <w:rPr>
                <w:rFonts w:hint="eastAsia" w:hAnsi="宋体" w:cs="宋体"/>
                <w:color w:val="auto"/>
                <w:highlight w:val="none"/>
              </w:rPr>
              <w:t>银行账号：</w:t>
            </w:r>
          </w:p>
          <w:p w14:paraId="718FC651">
            <w:pPr>
              <w:pStyle w:val="20"/>
              <w:keepNext w:val="0"/>
              <w:keepLines w:val="0"/>
              <w:pageBreakBefore w:val="0"/>
              <w:widowControl w:val="0"/>
              <w:kinsoku/>
              <w:overflowPunct/>
              <w:topLinePunct w:val="0"/>
              <w:bidi w:val="0"/>
              <w:snapToGrid w:val="0"/>
              <w:spacing w:line="400" w:lineRule="exact"/>
              <w:rPr>
                <w:rFonts w:hint="eastAsia" w:hAnsi="宋体" w:cs="宋体"/>
                <w:color w:val="auto"/>
                <w:highlight w:val="none"/>
              </w:rPr>
            </w:pPr>
            <w:r>
              <w:rPr>
                <w:rFonts w:hint="eastAsia" w:hAnsi="宋体" w:cs="宋体"/>
                <w:color w:val="auto"/>
                <w:highlight w:val="none"/>
              </w:rPr>
              <w:t>开户银行：</w:t>
            </w:r>
            <w:r>
              <w:rPr>
                <w:rFonts w:hint="eastAsia" w:hAnsi="宋体" w:cs="宋体"/>
                <w:color w:val="auto"/>
                <w:highlight w:val="none"/>
                <w:lang w:eastAsia="zh-CN"/>
              </w:rPr>
              <w:t>招商银行南宁分行营业部</w:t>
            </w:r>
          </w:p>
        </w:tc>
      </w:tr>
      <w:tr w14:paraId="1EFCC2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78" w:type="dxa"/>
            <w:tcBorders>
              <w:top w:val="single" w:color="auto" w:sz="4" w:space="0"/>
              <w:left w:val="single" w:color="auto" w:sz="4" w:space="0"/>
              <w:bottom w:val="single" w:color="auto" w:sz="4" w:space="0"/>
              <w:right w:val="single" w:color="auto" w:sz="4" w:space="0"/>
            </w:tcBorders>
            <w:noWrap w:val="0"/>
            <w:vAlign w:val="center"/>
          </w:tcPr>
          <w:p w14:paraId="7089CD82">
            <w:pPr>
              <w:keepNext w:val="0"/>
              <w:keepLines w:val="0"/>
              <w:pageBreakBefore w:val="0"/>
              <w:widowControl w:val="0"/>
              <w:kinsoku/>
              <w:overflowPunct/>
              <w:topLinePunct w:val="0"/>
              <w:bidi w:val="0"/>
              <w:snapToGrid w:val="0"/>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40.1</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019844C4">
            <w:pPr>
              <w:keepNext w:val="0"/>
              <w:keepLines w:val="0"/>
              <w:pageBreakBefore w:val="0"/>
              <w:widowControl w:val="0"/>
              <w:kinsoku/>
              <w:overflowPunct/>
              <w:topLinePunct w:val="0"/>
              <w:bidi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解释：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由采购人或者采购代理机构负责解释。</w:t>
            </w:r>
          </w:p>
        </w:tc>
      </w:tr>
      <w:tr w14:paraId="3CD263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78" w:type="dxa"/>
            <w:tcBorders>
              <w:top w:val="single" w:color="auto" w:sz="4" w:space="0"/>
              <w:left w:val="single" w:color="auto" w:sz="4" w:space="0"/>
              <w:bottom w:val="single" w:color="auto" w:sz="4" w:space="0"/>
              <w:right w:val="single" w:color="auto" w:sz="4" w:space="0"/>
            </w:tcBorders>
            <w:noWrap w:val="0"/>
            <w:vAlign w:val="center"/>
          </w:tcPr>
          <w:p w14:paraId="34A78756">
            <w:pPr>
              <w:keepNext w:val="0"/>
              <w:keepLines w:val="0"/>
              <w:pageBreakBefore w:val="0"/>
              <w:widowControl w:val="0"/>
              <w:kinsoku/>
              <w:overflowPunct/>
              <w:topLinePunct w:val="0"/>
              <w:bidi w:val="0"/>
              <w:snapToGrid w:val="0"/>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40.2</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412D1421">
            <w:pPr>
              <w:pStyle w:val="20"/>
              <w:keepNext w:val="0"/>
              <w:keepLines w:val="0"/>
              <w:pageBreakBefore w:val="0"/>
              <w:widowControl w:val="0"/>
              <w:kinsoku/>
              <w:overflowPunct/>
              <w:topLinePunct w:val="0"/>
              <w:bidi w:val="0"/>
              <w:snapToGrid w:val="0"/>
              <w:spacing w:line="400" w:lineRule="exact"/>
              <w:rPr>
                <w:rFonts w:hint="eastAsia" w:hAnsi="宋体" w:cs="宋体"/>
                <w:bCs/>
                <w:color w:val="auto"/>
                <w:highlight w:val="none"/>
              </w:rPr>
            </w:pPr>
            <w:r>
              <w:rPr>
                <w:rFonts w:hint="eastAsia" w:hAnsi="宋体" w:cs="宋体"/>
                <w:bCs/>
                <w:color w:val="auto"/>
                <w:highlight w:val="none"/>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14:paraId="346B75C6">
            <w:pPr>
              <w:pStyle w:val="20"/>
              <w:keepNext w:val="0"/>
              <w:keepLines w:val="0"/>
              <w:pageBreakBefore w:val="0"/>
              <w:widowControl w:val="0"/>
              <w:kinsoku/>
              <w:overflowPunct/>
              <w:topLinePunct w:val="0"/>
              <w:bidi w:val="0"/>
              <w:snapToGrid w:val="0"/>
              <w:spacing w:line="400" w:lineRule="exact"/>
              <w:rPr>
                <w:rFonts w:hint="eastAsia" w:hAnsi="宋体" w:cs="宋体"/>
                <w:bCs/>
                <w:color w:val="auto"/>
                <w:highlight w:val="none"/>
              </w:rPr>
            </w:pPr>
            <w:r>
              <w:rPr>
                <w:rFonts w:hint="eastAsia" w:hAnsi="宋体" w:cs="宋体"/>
                <w:bCs/>
                <w:color w:val="auto"/>
                <w:highlight w:val="none"/>
              </w:rPr>
              <w:t>2.本招标文件所称的“</w:t>
            </w:r>
            <w:r>
              <w:rPr>
                <w:rFonts w:hint="eastAsia" w:hAnsi="宋体" w:cs="宋体"/>
                <w:color w:val="auto"/>
                <w:highlight w:val="none"/>
              </w:rPr>
              <w:t>电子签章</w:t>
            </w:r>
            <w:r>
              <w:rPr>
                <w:rFonts w:hint="eastAsia" w:hAnsi="宋体" w:cs="宋体"/>
                <w:bCs/>
                <w:color w:val="auto"/>
                <w:highlight w:val="none"/>
              </w:rPr>
              <w:t>”、“电子签名”</w:t>
            </w:r>
            <w:r>
              <w:rPr>
                <w:rFonts w:hint="eastAsia" w:hAnsi="宋体" w:cs="宋体"/>
                <w:color w:val="auto"/>
                <w:highlight w:val="none"/>
              </w:rPr>
              <w:t>，是指经广西政府采购云平台认可的CA认证的电子签名数据为表现形式的印章，可用于签署电子投标文件，电子印章与实物印章具有同等法律效力，不因其采用电子化表现形式而否定其法律效力。</w:t>
            </w:r>
          </w:p>
          <w:p w14:paraId="45BBCA44">
            <w:pPr>
              <w:pStyle w:val="20"/>
              <w:keepNext w:val="0"/>
              <w:keepLines w:val="0"/>
              <w:pageBreakBefore w:val="0"/>
              <w:widowControl w:val="0"/>
              <w:kinsoku/>
              <w:overflowPunct/>
              <w:topLinePunct w:val="0"/>
              <w:bidi w:val="0"/>
              <w:snapToGrid w:val="0"/>
              <w:spacing w:line="400" w:lineRule="exact"/>
              <w:rPr>
                <w:rFonts w:hint="eastAsia" w:hAnsi="宋体" w:cs="宋体"/>
                <w:bCs/>
                <w:color w:val="auto"/>
                <w:highlight w:val="none"/>
              </w:rPr>
            </w:pPr>
            <w:r>
              <w:rPr>
                <w:rFonts w:hint="eastAsia" w:hAnsi="宋体" w:cs="宋体"/>
                <w:bCs/>
                <w:color w:val="auto"/>
                <w:highlight w:val="none"/>
              </w:rPr>
              <w:t>3.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0374D301">
            <w:pPr>
              <w:pStyle w:val="20"/>
              <w:keepNext w:val="0"/>
              <w:keepLines w:val="0"/>
              <w:pageBreakBefore w:val="0"/>
              <w:widowControl w:val="0"/>
              <w:kinsoku/>
              <w:overflowPunct/>
              <w:topLinePunct w:val="0"/>
              <w:bidi w:val="0"/>
              <w:snapToGrid w:val="0"/>
              <w:spacing w:line="400" w:lineRule="exact"/>
              <w:rPr>
                <w:rFonts w:hint="eastAsia" w:hAnsi="宋体" w:cs="宋体"/>
                <w:bCs/>
                <w:color w:val="auto"/>
                <w:highlight w:val="none"/>
              </w:rPr>
            </w:pPr>
            <w:r>
              <w:rPr>
                <w:rFonts w:hint="eastAsia" w:hAnsi="宋体" w:cs="宋体"/>
                <w:bCs/>
                <w:color w:val="auto"/>
                <w:highlight w:val="none"/>
              </w:rPr>
              <w:t>4.本招标文件中描述投标人的“签字”是指投标人的法定代表人或者委托代理人亲自在文件规定签字处亲笔写上个人的名字的行为，私章、签字章、印鉴、影印等其他形式均不能代替亲笔签字。</w:t>
            </w:r>
          </w:p>
          <w:p w14:paraId="2FF9C128">
            <w:pPr>
              <w:keepNext w:val="0"/>
              <w:keepLines w:val="0"/>
              <w:pageBreakBefore w:val="0"/>
              <w:widowControl w:val="0"/>
              <w:kinsoku/>
              <w:overflowPunct/>
              <w:topLinePunct w:val="0"/>
              <w:bidi w:val="0"/>
              <w:spacing w:line="400" w:lineRule="exact"/>
              <w:jc w:val="left"/>
              <w:rPr>
                <w:rFonts w:hint="eastAsia" w:ascii="宋体" w:hAnsi="宋体" w:cs="宋体"/>
                <w:color w:val="auto"/>
                <w:szCs w:val="21"/>
                <w:highlight w:val="none"/>
              </w:rPr>
            </w:pPr>
            <w:r>
              <w:rPr>
                <w:rFonts w:hint="eastAsia" w:ascii="宋体" w:hAnsi="宋体" w:cs="宋体"/>
                <w:bCs/>
                <w:color w:val="auto"/>
                <w:szCs w:val="21"/>
                <w:highlight w:val="none"/>
              </w:rPr>
              <w:t>5.</w:t>
            </w:r>
            <w:r>
              <w:rPr>
                <w:rFonts w:hint="eastAsia" w:ascii="宋体" w:hAnsi="宋体" w:cs="宋体"/>
                <w:bCs/>
                <w:color w:val="auto"/>
                <w:kern w:val="0"/>
                <w:szCs w:val="21"/>
                <w:highlight w:val="none"/>
              </w:rPr>
              <w:t>本招标文件所称的“以上”“以下”“以内”“届满”，包括本数；所称的“不满”“超过”“以外”，不包括本数。</w:t>
            </w:r>
          </w:p>
        </w:tc>
      </w:tr>
    </w:tbl>
    <w:p w14:paraId="0303A2CC">
      <w:pPr>
        <w:snapToGrid w:val="0"/>
        <w:rPr>
          <w:rFonts w:hint="eastAsia" w:ascii="宋体" w:hAnsi="宋体" w:cs="宋体"/>
          <w:color w:val="auto"/>
          <w:sz w:val="24"/>
          <w:szCs w:val="20"/>
          <w:highlight w:val="none"/>
        </w:rPr>
      </w:pPr>
    </w:p>
    <w:p w14:paraId="1A5F149D">
      <w:pPr>
        <w:snapToGrid w:val="0"/>
        <w:rPr>
          <w:rFonts w:hint="eastAsia" w:ascii="宋体" w:hAnsi="宋体" w:cs="宋体"/>
          <w:color w:val="auto"/>
          <w:sz w:val="24"/>
          <w:szCs w:val="20"/>
          <w:highlight w:val="none"/>
        </w:rPr>
      </w:pPr>
    </w:p>
    <w:p w14:paraId="2AF86159">
      <w:pPr>
        <w:pStyle w:val="4"/>
        <w:jc w:val="center"/>
        <w:rPr>
          <w:rFonts w:hint="eastAsia" w:ascii="宋体" w:hAnsi="宋体" w:eastAsia="宋体" w:cs="宋体"/>
          <w:color w:val="auto"/>
          <w:highlight w:val="none"/>
        </w:rPr>
      </w:pPr>
      <w:r>
        <w:rPr>
          <w:rFonts w:hint="eastAsia" w:ascii="宋体" w:hAnsi="宋体" w:eastAsia="宋体" w:cs="宋体"/>
          <w:color w:val="auto"/>
          <w:highlight w:val="none"/>
        </w:rPr>
        <w:br w:type="page"/>
      </w:r>
      <w:bookmarkStart w:id="90" w:name="_Toc4106"/>
      <w:bookmarkStart w:id="91" w:name="_Toc21607"/>
      <w:bookmarkStart w:id="92" w:name="_Toc978"/>
      <w:r>
        <w:rPr>
          <w:rFonts w:hint="eastAsia" w:ascii="宋体" w:hAnsi="宋体" w:eastAsia="宋体" w:cs="宋体"/>
          <w:color w:val="auto"/>
          <w:highlight w:val="none"/>
        </w:rPr>
        <w:t>投标人须知正文</w:t>
      </w:r>
      <w:bookmarkEnd w:id="90"/>
      <w:bookmarkEnd w:id="91"/>
      <w:bookmarkEnd w:id="92"/>
    </w:p>
    <w:p w14:paraId="360D546E">
      <w:pPr>
        <w:pStyle w:val="5"/>
        <w:keepNext w:val="0"/>
        <w:keepLines w:val="0"/>
        <w:jc w:val="center"/>
        <w:rPr>
          <w:rFonts w:hint="eastAsia" w:ascii="宋体" w:hAnsi="宋体" w:cs="宋体"/>
          <w:color w:val="auto"/>
          <w:highlight w:val="none"/>
        </w:rPr>
      </w:pPr>
      <w:bookmarkStart w:id="93" w:name="_Toc7551"/>
      <w:bookmarkStart w:id="94" w:name="_Toc1149"/>
      <w:r>
        <w:rPr>
          <w:rFonts w:hint="eastAsia" w:ascii="宋体" w:hAnsi="宋体" w:cs="宋体"/>
          <w:color w:val="auto"/>
          <w:highlight w:val="none"/>
        </w:rPr>
        <w:t>一、总  则</w:t>
      </w:r>
      <w:bookmarkEnd w:id="93"/>
      <w:bookmarkEnd w:id="94"/>
    </w:p>
    <w:p w14:paraId="44D0119A">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bookmarkStart w:id="95" w:name="_Toc254970668"/>
      <w:bookmarkStart w:id="96" w:name="_Toc254970527"/>
      <w:r>
        <w:rPr>
          <w:rFonts w:hint="eastAsia" w:ascii="宋体" w:hAnsi="宋体" w:cs="宋体"/>
          <w:b/>
          <w:color w:val="auto"/>
          <w:sz w:val="24"/>
          <w:highlight w:val="none"/>
        </w:rPr>
        <w:t>1.适用范围</w:t>
      </w:r>
      <w:bookmarkEnd w:id="95"/>
      <w:bookmarkEnd w:id="96"/>
    </w:p>
    <w:p w14:paraId="3D9544F8">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3670CF45">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1.2本招标文件</w:t>
      </w:r>
      <w:r>
        <w:rPr>
          <w:rFonts w:hint="eastAsia" w:ascii="宋体" w:hAnsi="宋体" w:cs="宋体"/>
          <w:color w:val="auto"/>
          <w:spacing w:val="-6"/>
          <w:szCs w:val="21"/>
          <w:highlight w:val="none"/>
        </w:rPr>
        <w:t>适用于本项目的所有采购程序和环节（法律、法规另有规定的，从其规定）。</w:t>
      </w:r>
    </w:p>
    <w:p w14:paraId="1456CE0E">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bookmarkStart w:id="97" w:name="_Toc254970669"/>
      <w:bookmarkStart w:id="98" w:name="_Toc254970528"/>
      <w:r>
        <w:rPr>
          <w:rFonts w:hint="eastAsia" w:ascii="宋体" w:hAnsi="宋体" w:cs="宋体"/>
          <w:b/>
          <w:color w:val="auto"/>
          <w:sz w:val="24"/>
          <w:highlight w:val="none"/>
        </w:rPr>
        <w:t>2.定义</w:t>
      </w:r>
      <w:bookmarkEnd w:id="97"/>
      <w:bookmarkEnd w:id="98"/>
    </w:p>
    <w:p w14:paraId="027FC2E0">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2.1“采购人”是指依法进行政府采购的国家机关、事业单位、团体组织。</w:t>
      </w:r>
    </w:p>
    <w:p w14:paraId="67D46151">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2.2“采购代理机构”是指政府采购集中采购机构和集中采购机构以外的采购代理机构。</w:t>
      </w:r>
    </w:p>
    <w:p w14:paraId="5AE915D0">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096C8450">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2.4“投标人”是指响应招标、参加投标竞争的法人、其他组织或者自然人。</w:t>
      </w:r>
    </w:p>
    <w:p w14:paraId="18088C1A">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2.5“服务”是指除货物和工程以外的其他政府采购对象。</w:t>
      </w:r>
    </w:p>
    <w:p w14:paraId="3BC64F0D">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2.6“书面形式”是指合同书、信件和数据电文（包括电报、电传、传真、电子数据交换和电子邮件）等可以有形地表现所载内容的形式。</w:t>
      </w:r>
    </w:p>
    <w:p w14:paraId="10F98326">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2.7“实质性要求”是指招标文件中已经指明不满足则投标无效的条款，或者不能负偏离的条款，或者采购需求中带“▲”的条款。</w:t>
      </w:r>
    </w:p>
    <w:p w14:paraId="33A44FA8">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2.8“正偏离”，是指投标文件对招标文件“采购需求”中有关条款作出的响应优于条款要求并有利于采购人的情形。</w:t>
      </w:r>
    </w:p>
    <w:p w14:paraId="030DD814">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2.9“负偏离”，是指投标文件对招标文件“采购需求”中有关条款作出的响应不满足条款要求，导致采购人要求不能得到满足的情形。</w:t>
      </w:r>
    </w:p>
    <w:p w14:paraId="70DF3E42">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2.10“允许负偏离的条款”是指采购需求中的不属于“实质性要求”的条款。</w:t>
      </w:r>
      <w:bookmarkStart w:id="99" w:name="_Toc254970670"/>
      <w:bookmarkStart w:id="100" w:name="_Toc254970529"/>
    </w:p>
    <w:p w14:paraId="67DF13E9">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3.</w:t>
      </w:r>
      <w:bookmarkEnd w:id="99"/>
      <w:bookmarkEnd w:id="100"/>
      <w:r>
        <w:rPr>
          <w:rFonts w:hint="eastAsia" w:ascii="宋体" w:hAnsi="宋体" w:cs="宋体"/>
          <w:b/>
          <w:color w:val="auto"/>
          <w:sz w:val="24"/>
          <w:highlight w:val="none"/>
        </w:rPr>
        <w:t>投标人的资格要求</w:t>
      </w:r>
    </w:p>
    <w:p w14:paraId="4FD16B51">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投标人的资格要求详见“投标人须知前附表”。</w:t>
      </w:r>
    </w:p>
    <w:p w14:paraId="340F859D">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bookmarkStart w:id="101" w:name="_Toc254970530"/>
      <w:bookmarkStart w:id="102" w:name="_Toc254970671"/>
      <w:r>
        <w:rPr>
          <w:rFonts w:hint="eastAsia" w:ascii="宋体" w:hAnsi="宋体" w:cs="宋体"/>
          <w:b/>
          <w:color w:val="auto"/>
          <w:sz w:val="24"/>
          <w:highlight w:val="none"/>
        </w:rPr>
        <w:t>4.投标委托</w:t>
      </w:r>
      <w:bookmarkEnd w:id="101"/>
      <w:bookmarkEnd w:id="102"/>
    </w:p>
    <w:p w14:paraId="4E55DA4C">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投标人代表参加投标活动过程中必须携带个人有效身份证件。如投标人代表不是法定代表人，须持有授权委托书（按第六章要求格式填写）。</w:t>
      </w:r>
    </w:p>
    <w:p w14:paraId="3B7937EC">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bookmarkStart w:id="103" w:name="_5.投标费用"/>
      <w:bookmarkEnd w:id="103"/>
      <w:bookmarkStart w:id="104" w:name="_Toc254970531"/>
      <w:bookmarkStart w:id="105" w:name="_Toc254970672"/>
      <w:r>
        <w:rPr>
          <w:rFonts w:hint="eastAsia" w:ascii="宋体" w:hAnsi="宋体" w:cs="宋体"/>
          <w:b/>
          <w:color w:val="auto"/>
          <w:sz w:val="24"/>
          <w:highlight w:val="none"/>
        </w:rPr>
        <w:t>5.投标费用</w:t>
      </w:r>
      <w:bookmarkEnd w:id="104"/>
      <w:bookmarkEnd w:id="105"/>
    </w:p>
    <w:p w14:paraId="070317C3">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投标费用：投标人应承担参与本次采购活动有关的所有费用，包括但不限于获取招标文件、勘查现场、编制和提交投标文件、参加澄清说明、签订合同等，不论投标结果如何，均应自行承担。</w:t>
      </w:r>
    </w:p>
    <w:p w14:paraId="131D6E9E">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6.联合体投标</w:t>
      </w:r>
    </w:p>
    <w:p w14:paraId="59A37C70">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6.1本项目是否接受联合体投标，详见“投标人须知前附表”。</w:t>
      </w:r>
    </w:p>
    <w:p w14:paraId="38862D23">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bCs/>
          <w:color w:val="auto"/>
          <w:szCs w:val="21"/>
          <w:highlight w:val="none"/>
        </w:rPr>
      </w:pPr>
      <w:r>
        <w:rPr>
          <w:rFonts w:hint="eastAsia" w:ascii="宋体" w:hAnsi="宋体" w:cs="宋体"/>
          <w:bCs/>
          <w:color w:val="auto"/>
          <w:szCs w:val="21"/>
          <w:highlight w:val="none"/>
        </w:rPr>
        <w:t>6.2如接受联合体投标，联合体投标要求详见“投标人须知前附表”。</w:t>
      </w:r>
    </w:p>
    <w:p w14:paraId="7CF19DAA">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bCs/>
          <w:color w:val="auto"/>
          <w:szCs w:val="21"/>
          <w:highlight w:val="none"/>
        </w:rPr>
        <w:t>6.3</w:t>
      </w:r>
      <w:r>
        <w:rPr>
          <w:rFonts w:hint="eastAsia" w:ascii="宋体" w:hAnsi="宋体" w:cs="宋体"/>
          <w:color w:val="auto"/>
          <w:szCs w:val="21"/>
          <w:highlight w:val="none"/>
        </w:rPr>
        <w:t>根据《政府采购促进中小企业发展管理办法》（财库〔2020〕46号）第九条第二款、《财政部关于进一步加大政府采购支持中小企业力度的通知》（财库〔2022〕19号）和《广西壮族自治区财政厅关于持续优化政府采购营商环境推动高质量发展的通知》（桂财采〔2024〕55号）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的扣除，用扣除后的价格参加评审。</w:t>
      </w:r>
    </w:p>
    <w:p w14:paraId="27F441C9">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7.转包与分包</w:t>
      </w:r>
    </w:p>
    <w:p w14:paraId="23B33970">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bookmarkStart w:id="106" w:name="_Toc254970673"/>
      <w:bookmarkStart w:id="107" w:name="_Toc254970532"/>
      <w:r>
        <w:rPr>
          <w:rFonts w:hint="eastAsia" w:ascii="宋体" w:hAnsi="宋体" w:cs="宋体"/>
          <w:color w:val="auto"/>
          <w:szCs w:val="21"/>
          <w:highlight w:val="none"/>
        </w:rPr>
        <w:t>7.1本项目不允许转包。</w:t>
      </w:r>
    </w:p>
    <w:p w14:paraId="7B0B12BE">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14:paraId="3FADF19D">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7.3投标人根据招标文件的规定和采购项目的实际情况，拟在中标后将中标项目的非主体、非关键性工作分包的，应当在投标文件中载明分包承担主体，分包承担主体应当具备相应资质条件且不得再次分包。</w:t>
      </w:r>
    </w:p>
    <w:p w14:paraId="483A58F3">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8.特别说明</w:t>
      </w:r>
      <w:bookmarkEnd w:id="106"/>
      <w:bookmarkEnd w:id="107"/>
    </w:p>
    <w:p w14:paraId="0EC9A7D2">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8.1如果本招标文件要求提供投标人或制造商的资格、信誉、荣誉、业绩与企业认证等材料的，资格、信誉、荣誉、业绩与企业认证等必须为投标人或者制造商所拥有或自身获得 。</w:t>
      </w:r>
    </w:p>
    <w:p w14:paraId="1BDE908A">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8.2投标人应仔细阅读招标文件的所有内容，按照招标文件的要求提交投标文件，并对所提供的全部资料的真实性承担法律责任。</w:t>
      </w:r>
    </w:p>
    <w:p w14:paraId="71AA2CE0">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8.3投标人在投标活动中提供任何虚假材料，将报监管部门查处；中标后发现的，中标人须依照《中华人民共和国消费者权益保护法》规定赔偿采购人，且民事赔偿并不免除违法投标人的行政与刑事责任。</w:t>
      </w:r>
    </w:p>
    <w:p w14:paraId="153A54B5">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9.回避与串通投标</w:t>
      </w:r>
    </w:p>
    <w:p w14:paraId="628FC75B">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9.1在政府采购活动中，采购人员及相关人员与供应商有下列利害关系之一的，应当回避：</w:t>
      </w:r>
    </w:p>
    <w:p w14:paraId="67D24C13">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14:paraId="77E6C1BF">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14:paraId="64A13E98">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14:paraId="794864F8">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14:paraId="25002E63">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（5）与供应商有其他可能影响政府采购活动公平、公正进行的关系。</w:t>
      </w:r>
    </w:p>
    <w:p w14:paraId="693686F2">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3EF39C82">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b/>
          <w:color w:val="auto"/>
          <w:szCs w:val="21"/>
          <w:highlight w:val="none"/>
        </w:rPr>
      </w:pPr>
      <w:r>
        <w:rPr>
          <w:rFonts w:hint="eastAsia" w:ascii="宋体" w:hAnsi="宋体" w:cs="宋体"/>
          <w:b/>
          <w:color w:val="auto"/>
          <w:szCs w:val="21"/>
          <w:highlight w:val="none"/>
        </w:rPr>
        <w:t>9.2有下列情形之一的视为投标人相互串通投标，投标文件将被视为无效：</w:t>
      </w:r>
    </w:p>
    <w:p w14:paraId="0A612D01">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b/>
          <w:color w:val="auto"/>
          <w:szCs w:val="21"/>
          <w:highlight w:val="none"/>
        </w:rPr>
      </w:pPr>
      <w:r>
        <w:rPr>
          <w:rFonts w:hint="eastAsia" w:ascii="宋体" w:hAnsi="宋体" w:cs="宋体"/>
          <w:b/>
          <w:color w:val="auto"/>
          <w:szCs w:val="21"/>
          <w:highlight w:val="none"/>
        </w:rPr>
        <w:t>（1）不同投标人的投标文件由同一单位或者个人编制；或者不同投标人报名的IP地址一致的；或者编制标书硬件设备CPU编号、硬盘编号、网卡地址一致的情况。</w:t>
      </w:r>
    </w:p>
    <w:p w14:paraId="37EA23FC">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b/>
          <w:color w:val="auto"/>
          <w:szCs w:val="21"/>
          <w:highlight w:val="none"/>
        </w:rPr>
      </w:pPr>
      <w:r>
        <w:rPr>
          <w:rFonts w:hint="eastAsia" w:ascii="宋体" w:hAnsi="宋体" w:cs="宋体"/>
          <w:b/>
          <w:color w:val="auto"/>
          <w:szCs w:val="21"/>
          <w:highlight w:val="none"/>
        </w:rPr>
        <w:t>（2）不同投标人委托同一单位或者个人办理投标事宜；</w:t>
      </w:r>
    </w:p>
    <w:p w14:paraId="03C75429">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b/>
          <w:color w:val="auto"/>
          <w:szCs w:val="21"/>
          <w:highlight w:val="none"/>
        </w:rPr>
      </w:pPr>
      <w:r>
        <w:rPr>
          <w:rFonts w:hint="eastAsia" w:ascii="宋体" w:hAnsi="宋体" w:cs="宋体"/>
          <w:b/>
          <w:color w:val="auto"/>
          <w:szCs w:val="21"/>
          <w:highlight w:val="none"/>
        </w:rPr>
        <w:t>（3）不同的投标人的投标文件载明的项目管理员为同一个人；</w:t>
      </w:r>
    </w:p>
    <w:p w14:paraId="10D060FB">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b/>
          <w:color w:val="auto"/>
          <w:szCs w:val="21"/>
          <w:highlight w:val="none"/>
        </w:rPr>
      </w:pPr>
      <w:r>
        <w:rPr>
          <w:rFonts w:hint="eastAsia" w:ascii="宋体" w:hAnsi="宋体" w:cs="宋体"/>
          <w:b/>
          <w:color w:val="auto"/>
          <w:szCs w:val="21"/>
          <w:highlight w:val="none"/>
        </w:rPr>
        <w:t>（4）不同投标人的投标文件异常一致或者投标报价呈规律性差异；</w:t>
      </w:r>
    </w:p>
    <w:p w14:paraId="74B64197">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b/>
          <w:color w:val="auto"/>
          <w:szCs w:val="21"/>
          <w:highlight w:val="none"/>
        </w:rPr>
      </w:pPr>
      <w:r>
        <w:rPr>
          <w:rFonts w:hint="eastAsia" w:ascii="宋体" w:hAnsi="宋体" w:cs="宋体"/>
          <w:b/>
          <w:color w:val="auto"/>
          <w:szCs w:val="21"/>
          <w:highlight w:val="none"/>
        </w:rPr>
        <w:t>（5）不同投标人的投标文件相互混装；</w:t>
      </w:r>
    </w:p>
    <w:p w14:paraId="6D4818C7">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b/>
          <w:color w:val="auto"/>
          <w:szCs w:val="21"/>
          <w:highlight w:val="none"/>
        </w:rPr>
      </w:pPr>
      <w:r>
        <w:rPr>
          <w:rFonts w:hint="eastAsia" w:ascii="宋体" w:hAnsi="宋体" w:cs="宋体"/>
          <w:b/>
          <w:color w:val="auto"/>
          <w:szCs w:val="21"/>
          <w:highlight w:val="none"/>
        </w:rPr>
        <w:t>（6）不同投标人的投标保证金从同一单位或者个人账户转出。</w:t>
      </w:r>
    </w:p>
    <w:p w14:paraId="692AC283">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9.3供应商有下列情形之一的，属于恶意串通行为，将报同级监督管理部门：</w:t>
      </w:r>
    </w:p>
    <w:p w14:paraId="4AB2338F">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（1）供应商直接或者间接从采购人或者采购代理机构处获得其他供应商的相关信息并修改其投标文件或者响应文件；</w:t>
      </w:r>
    </w:p>
    <w:p w14:paraId="7368FDFB">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（2）供应商按照采购人或者采购代理机构的授意撤换、修改投标文件或者响应文件；</w:t>
      </w:r>
    </w:p>
    <w:p w14:paraId="2B9EB03C">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（3）供应商之间协商报价、技术方案等投标文件或者响应文件的实质性内容；</w:t>
      </w:r>
    </w:p>
    <w:p w14:paraId="23932A3C">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14:paraId="00C84B0B">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（5）供应商之间事先约定一致抬高或者压低投标报价，或者在招标项目中事先约定轮流以高价位或者低价位中标，或者事先约定由某一特定供应商中标，然后再参加投标；</w:t>
      </w:r>
    </w:p>
    <w:p w14:paraId="2DF7EBF2">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（6）供应商之间商定部分供应商放弃参加政府采购活动或者放弃中标；</w:t>
      </w:r>
    </w:p>
    <w:p w14:paraId="2FEA891B">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（7）供应商与采购人或者采购代理机构之间、供应商相互之间，为谋求特定供应商中标或者排斥其他供应商的其他串通行为。</w:t>
      </w:r>
    </w:p>
    <w:p w14:paraId="0652FCDD">
      <w:pPr>
        <w:pStyle w:val="5"/>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highlight w:val="none"/>
        </w:rPr>
      </w:pPr>
      <w:bookmarkStart w:id="108" w:name="_Toc254970675"/>
      <w:bookmarkStart w:id="109" w:name="_Toc16733"/>
      <w:bookmarkStart w:id="110" w:name="_Toc30666"/>
      <w:bookmarkStart w:id="111" w:name="_Toc254970534"/>
      <w:r>
        <w:rPr>
          <w:rFonts w:hint="eastAsia" w:ascii="宋体" w:hAnsi="宋体" w:cs="宋体"/>
          <w:color w:val="auto"/>
          <w:highlight w:val="none"/>
        </w:rPr>
        <w:t>二、招标文件</w:t>
      </w:r>
      <w:bookmarkEnd w:id="108"/>
      <w:bookmarkEnd w:id="109"/>
      <w:bookmarkEnd w:id="110"/>
      <w:bookmarkEnd w:id="111"/>
    </w:p>
    <w:p w14:paraId="7172CD77">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10.招标文件的组成</w:t>
      </w:r>
    </w:p>
    <w:p w14:paraId="723F0006">
      <w:pPr>
        <w:keepNext w:val="0"/>
        <w:keepLines w:val="0"/>
        <w:pageBreakBefore w:val="0"/>
        <w:widowControl w:val="0"/>
        <w:kinsoku/>
        <w:wordWrap/>
        <w:overflowPunct/>
        <w:topLinePunct w:val="0"/>
        <w:autoSpaceDE/>
        <w:autoSpaceDN/>
        <w:bidi w:val="0"/>
        <w:snapToGrid w:val="0"/>
        <w:spacing w:line="400" w:lineRule="exact"/>
        <w:ind w:firstLine="42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（1）招标公告；</w:t>
      </w:r>
    </w:p>
    <w:p w14:paraId="53CE8293">
      <w:pPr>
        <w:keepNext w:val="0"/>
        <w:keepLines w:val="0"/>
        <w:pageBreakBefore w:val="0"/>
        <w:widowControl w:val="0"/>
        <w:kinsoku/>
        <w:wordWrap/>
        <w:overflowPunct/>
        <w:topLinePunct w:val="0"/>
        <w:autoSpaceDE/>
        <w:autoSpaceDN/>
        <w:bidi w:val="0"/>
        <w:snapToGrid w:val="0"/>
        <w:spacing w:line="400" w:lineRule="exact"/>
        <w:ind w:firstLine="42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（2）采购需求； </w:t>
      </w:r>
    </w:p>
    <w:p w14:paraId="47C6E36C">
      <w:pPr>
        <w:keepNext w:val="0"/>
        <w:keepLines w:val="0"/>
        <w:pageBreakBefore w:val="0"/>
        <w:widowControl w:val="0"/>
        <w:kinsoku/>
        <w:wordWrap/>
        <w:overflowPunct/>
        <w:topLinePunct w:val="0"/>
        <w:autoSpaceDE/>
        <w:autoSpaceDN/>
        <w:bidi w:val="0"/>
        <w:snapToGrid w:val="0"/>
        <w:spacing w:line="400" w:lineRule="exact"/>
        <w:ind w:firstLine="42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（3）投标人须知；</w:t>
      </w:r>
    </w:p>
    <w:p w14:paraId="3A323153">
      <w:pPr>
        <w:keepNext w:val="0"/>
        <w:keepLines w:val="0"/>
        <w:pageBreakBefore w:val="0"/>
        <w:widowControl w:val="0"/>
        <w:kinsoku/>
        <w:wordWrap/>
        <w:overflowPunct/>
        <w:topLinePunct w:val="0"/>
        <w:autoSpaceDE/>
        <w:autoSpaceDN/>
        <w:bidi w:val="0"/>
        <w:snapToGrid w:val="0"/>
        <w:spacing w:line="400" w:lineRule="exact"/>
        <w:ind w:firstLine="42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（4）评标方法及评标标准；</w:t>
      </w:r>
    </w:p>
    <w:p w14:paraId="09A9FC31">
      <w:pPr>
        <w:keepNext w:val="0"/>
        <w:keepLines w:val="0"/>
        <w:pageBreakBefore w:val="0"/>
        <w:widowControl w:val="0"/>
        <w:kinsoku/>
        <w:wordWrap/>
        <w:overflowPunct/>
        <w:topLinePunct w:val="0"/>
        <w:autoSpaceDE/>
        <w:autoSpaceDN/>
        <w:bidi w:val="0"/>
        <w:snapToGrid w:val="0"/>
        <w:spacing w:line="400" w:lineRule="exact"/>
        <w:ind w:firstLine="42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（5）拟签订的合同文本；</w:t>
      </w:r>
    </w:p>
    <w:p w14:paraId="5F23475E">
      <w:pPr>
        <w:keepNext w:val="0"/>
        <w:keepLines w:val="0"/>
        <w:pageBreakBefore w:val="0"/>
        <w:widowControl w:val="0"/>
        <w:kinsoku/>
        <w:wordWrap/>
        <w:overflowPunct/>
        <w:topLinePunct w:val="0"/>
        <w:autoSpaceDE/>
        <w:autoSpaceDN/>
        <w:bidi w:val="0"/>
        <w:snapToGrid w:val="0"/>
        <w:spacing w:line="400" w:lineRule="exact"/>
        <w:ind w:firstLine="42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（6）投标文件格式。</w:t>
      </w:r>
    </w:p>
    <w:p w14:paraId="02F121E8">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11.招标文件的澄清、修改 、现场考察和答疑会</w:t>
      </w:r>
    </w:p>
    <w:p w14:paraId="7A5D8013">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0446142C">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52F4559D">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ascii="宋体" w:hAnsi="宋体" w:cs="宋体"/>
          <w:color w:val="auto"/>
          <w:highlight w:val="none"/>
        </w:rPr>
      </w:pPr>
      <w:r>
        <w:rPr>
          <w:rFonts w:hint="eastAsia" w:hAnsi="宋体" w:cs="宋体"/>
          <w:color w:val="auto"/>
          <w:highlight w:val="none"/>
        </w:rPr>
        <w:t>11.2</w:t>
      </w:r>
      <w:bookmarkStart w:id="112" w:name="_Hlk53134511"/>
      <w:r>
        <w:rPr>
          <w:rFonts w:hint="eastAsia" w:hAnsi="宋体" w:cs="宋体"/>
          <w:color w:val="auto"/>
          <w:highlight w:val="none"/>
        </w:rPr>
        <w:t>采购人或者采购代理机构可以在招标文件提供期限截止后，组织已获取招标文件的潜在投标人现场考察或者召开开标前答疑会，具体详见“投标人须知前附表”。</w:t>
      </w:r>
      <w:bookmarkEnd w:id="112"/>
      <w:bookmarkStart w:id="113" w:name="_Toc11493"/>
      <w:bookmarkStart w:id="114" w:name="_Toc254970676"/>
      <w:bookmarkStart w:id="115" w:name="_Toc28609"/>
      <w:bookmarkStart w:id="116" w:name="_Toc254970535"/>
    </w:p>
    <w:p w14:paraId="05E4830D">
      <w:pPr>
        <w:pStyle w:val="5"/>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highlight w:val="none"/>
        </w:rPr>
      </w:pPr>
      <w:r>
        <w:rPr>
          <w:rFonts w:hint="eastAsia" w:ascii="宋体" w:hAnsi="宋体" w:cs="宋体"/>
          <w:color w:val="auto"/>
          <w:highlight w:val="none"/>
        </w:rPr>
        <w:t>三、投标文件的编制</w:t>
      </w:r>
      <w:bookmarkEnd w:id="113"/>
      <w:bookmarkEnd w:id="114"/>
      <w:bookmarkEnd w:id="115"/>
      <w:bookmarkEnd w:id="116"/>
    </w:p>
    <w:p w14:paraId="4390D571">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bookmarkStart w:id="117" w:name="_Toc254970677"/>
      <w:bookmarkStart w:id="118" w:name="_Toc254970536"/>
      <w:r>
        <w:rPr>
          <w:rFonts w:hint="eastAsia" w:ascii="宋体" w:hAnsi="宋体" w:cs="宋体"/>
          <w:b/>
          <w:color w:val="auto"/>
          <w:sz w:val="24"/>
          <w:highlight w:val="none"/>
        </w:rPr>
        <w:t>12.投标文件的编制原则</w:t>
      </w:r>
    </w:p>
    <w:p w14:paraId="25467F12">
      <w:pPr>
        <w:keepNext w:val="0"/>
        <w:keepLines w:val="0"/>
        <w:pageBreakBefore w:val="0"/>
        <w:widowControl w:val="0"/>
        <w:kinsoku/>
        <w:wordWrap/>
        <w:overflowPunct/>
        <w:topLinePunct w:val="0"/>
        <w:autoSpaceDE/>
        <w:autoSpaceDN/>
        <w:bidi w:val="0"/>
        <w:snapToGrid w:val="0"/>
        <w:spacing w:line="400" w:lineRule="exact"/>
        <w:ind w:firstLine="42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投标人必须按照招标文件的要求编制投标文件。投标文件必须对招标文件提出的要求和条件作出明确响应。</w:t>
      </w:r>
    </w:p>
    <w:p w14:paraId="555B5F89">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13.投标文件的组成</w:t>
      </w:r>
      <w:bookmarkEnd w:id="117"/>
      <w:bookmarkEnd w:id="118"/>
    </w:p>
    <w:p w14:paraId="44593AFE">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投标文件由报价文件、资格证明文件、商务及技术文件三部分组成。</w:t>
      </w:r>
    </w:p>
    <w:p w14:paraId="1633D26F">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bookmarkStart w:id="119" w:name="_13.1报价文件:_具体材料见“投标人须知前附表”。"/>
      <w:bookmarkEnd w:id="119"/>
      <w:r>
        <w:rPr>
          <w:rFonts w:hint="eastAsia" w:ascii="宋体" w:hAnsi="宋体" w:cs="宋体"/>
          <w:color w:val="auto"/>
          <w:szCs w:val="21"/>
          <w:highlight w:val="none"/>
        </w:rPr>
        <w:t>（1）报价文件：具体材料见“投标人须知前附表”。</w:t>
      </w:r>
    </w:p>
    <w:p w14:paraId="3F4BDAC5">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bookmarkStart w:id="120" w:name="_13.2资格证明文件：具体材料见“投标人须知前附表”。"/>
      <w:bookmarkEnd w:id="120"/>
      <w:r>
        <w:rPr>
          <w:rFonts w:hint="eastAsia" w:ascii="宋体" w:hAnsi="宋体" w:cs="宋体"/>
          <w:color w:val="auto"/>
          <w:szCs w:val="21"/>
          <w:highlight w:val="none"/>
        </w:rPr>
        <w:t>（2）资格证明文件：具体材料见“投标人须知前附表”。</w:t>
      </w:r>
    </w:p>
    <w:p w14:paraId="729DF7D9">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bookmarkStart w:id="121" w:name="_13.3商务文件:_具体材料见“投标人须知前附表”。"/>
      <w:bookmarkEnd w:id="121"/>
      <w:r>
        <w:rPr>
          <w:rFonts w:hint="eastAsia" w:ascii="宋体" w:hAnsi="宋体" w:cs="宋体"/>
          <w:color w:val="auto"/>
          <w:szCs w:val="21"/>
          <w:highlight w:val="none"/>
        </w:rPr>
        <w:t>（3）商务及技术文件：具体材料见“投标人须知前附表”。</w:t>
      </w:r>
    </w:p>
    <w:p w14:paraId="7A58667E">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bookmarkStart w:id="122" w:name="_13.5投标文件电子版：具体材料见“投标人须知前附表”。"/>
      <w:bookmarkEnd w:id="122"/>
      <w:bookmarkStart w:id="123" w:name="_13.4技术文件：具体材料见“投标人须知前附表”。"/>
      <w:bookmarkEnd w:id="123"/>
      <w:bookmarkStart w:id="124" w:name="_Toc254970537"/>
      <w:bookmarkStart w:id="125" w:name="_Toc254970678"/>
      <w:r>
        <w:rPr>
          <w:rFonts w:hint="eastAsia" w:ascii="宋体" w:hAnsi="宋体" w:cs="宋体"/>
          <w:b/>
          <w:color w:val="auto"/>
          <w:sz w:val="24"/>
          <w:highlight w:val="none"/>
        </w:rPr>
        <w:t>14.投标文件的语言及计量</w:t>
      </w:r>
      <w:bookmarkEnd w:id="124"/>
      <w:bookmarkEnd w:id="125"/>
    </w:p>
    <w:p w14:paraId="67CD4ED6">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14.1语言文字</w:t>
      </w:r>
    </w:p>
    <w:p w14:paraId="7CBBF1F5">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25E336FD">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14.2投标计量单位</w:t>
      </w:r>
    </w:p>
    <w:p w14:paraId="7C5B4098">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招标文件已有明确规定的，使用招标文件规定的计量单位；招标文件没有规定的，应采用中华人民共和国法定计量单位，货币种类为人民币，</w:t>
      </w:r>
      <w:r>
        <w:rPr>
          <w:rFonts w:hint="eastAsia" w:ascii="宋体" w:hAnsi="宋体" w:cs="宋体"/>
          <w:b/>
          <w:color w:val="auto"/>
          <w:szCs w:val="21"/>
          <w:highlight w:val="none"/>
        </w:rPr>
        <w:t>否则视同未响应</w:t>
      </w:r>
      <w:r>
        <w:rPr>
          <w:rFonts w:hint="eastAsia" w:ascii="宋体" w:hAnsi="宋体" w:cs="宋体"/>
          <w:color w:val="auto"/>
          <w:szCs w:val="21"/>
          <w:highlight w:val="none"/>
        </w:rPr>
        <w:t>。</w:t>
      </w:r>
    </w:p>
    <w:p w14:paraId="45C51D93">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15.投标的风险</w:t>
      </w:r>
    </w:p>
    <w:p w14:paraId="476EC79F">
      <w:pPr>
        <w:pStyle w:val="20"/>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hAnsi="宋体" w:cs="宋体"/>
          <w:color w:val="auto"/>
          <w:highlight w:val="none"/>
        </w:rPr>
      </w:pPr>
      <w:r>
        <w:rPr>
          <w:rFonts w:hint="eastAsia" w:hAnsi="宋体" w:cs="宋体"/>
          <w:color w:val="auto"/>
          <w:highlight w:val="none"/>
        </w:rPr>
        <w:t>投标人没有按照招标文件要求提供全部资料，或者投标人没有对招标文件作出实质性响应是投标人的风险，并可能导致其投标被拒绝。</w:t>
      </w:r>
    </w:p>
    <w:p w14:paraId="3BA94BE0">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bookmarkStart w:id="126" w:name="_Toc254970538"/>
      <w:bookmarkStart w:id="127" w:name="_Toc254970679"/>
      <w:r>
        <w:rPr>
          <w:rFonts w:hint="eastAsia" w:ascii="宋体" w:hAnsi="宋体" w:cs="宋体"/>
          <w:b/>
          <w:color w:val="auto"/>
          <w:sz w:val="24"/>
          <w:highlight w:val="none"/>
        </w:rPr>
        <w:t>16.投标报价</w:t>
      </w:r>
      <w:bookmarkEnd w:id="126"/>
      <w:bookmarkEnd w:id="127"/>
    </w:p>
    <w:p w14:paraId="73F08DDC">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16.1投标报价应按“第六章　投标文件格式”中“开标一览表”格式填写。</w:t>
      </w:r>
    </w:p>
    <w:p w14:paraId="0FFC5D63">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bookmarkStart w:id="128" w:name="_16.2投标报价具体定义见投标人须知前附表。"/>
      <w:bookmarkEnd w:id="128"/>
      <w:r>
        <w:rPr>
          <w:rFonts w:hint="eastAsia" w:ascii="宋体" w:hAnsi="宋体" w:cs="宋体"/>
          <w:color w:val="auto"/>
          <w:szCs w:val="21"/>
          <w:highlight w:val="none"/>
        </w:rPr>
        <w:t>16.2投标报价具体包括内容详见“投标人须知前附表”。</w:t>
      </w:r>
    </w:p>
    <w:p w14:paraId="7250F198">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16.3投标人必须就所投每个分标的全部内容分别作完整唯一总价报价，不得存在漏项报价；投标人必须就所投分标的单项内容作唯一报价。</w:t>
      </w:r>
    </w:p>
    <w:p w14:paraId="08EDFEB5">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17.投标有效期</w:t>
      </w:r>
    </w:p>
    <w:p w14:paraId="2314885D">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bookmarkStart w:id="129" w:name="_17.1投标有效期应按“投标人须知中的前附表”规定的期限。"/>
      <w:bookmarkEnd w:id="129"/>
      <w:r>
        <w:rPr>
          <w:rFonts w:hint="eastAsia" w:ascii="宋体" w:hAnsi="宋体" w:cs="宋体"/>
          <w:color w:val="auto"/>
          <w:szCs w:val="21"/>
          <w:highlight w:val="none"/>
        </w:rPr>
        <w:t>17.1投标有效期是指为保证采购人有足够的时间在开标后完成评标、定标、合同签订等工作而要求投标人提交的投标文件在一定时间内保持有效的期限。</w:t>
      </w:r>
    </w:p>
    <w:p w14:paraId="72F94451">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17.2</w:t>
      </w:r>
      <w:bookmarkStart w:id="130" w:name="_Toc254970681"/>
      <w:bookmarkStart w:id="131" w:name="_Toc254970540"/>
      <w:r>
        <w:rPr>
          <w:rFonts w:hint="eastAsia" w:ascii="宋体" w:hAnsi="宋体" w:cs="宋体"/>
          <w:color w:val="auto"/>
          <w:szCs w:val="21"/>
          <w:highlight w:val="none"/>
        </w:rPr>
        <w:t xml:space="preserve"> 投标有效期应按招标文件规定的期限作出承诺，具体详见“投标人须知前附表”。</w:t>
      </w:r>
      <w:r>
        <w:rPr>
          <w:rFonts w:hint="eastAsia" w:ascii="宋体" w:hAnsi="宋体" w:cs="宋体"/>
          <w:b/>
          <w:color w:val="auto"/>
          <w:szCs w:val="21"/>
          <w:highlight w:val="none"/>
        </w:rPr>
        <w:t>承诺的投标有效期低于招标文件规定期限的，按无效投标处理</w:t>
      </w:r>
      <w:r>
        <w:rPr>
          <w:rFonts w:hint="eastAsia" w:ascii="宋体" w:hAnsi="宋体" w:cs="宋体"/>
          <w:color w:val="auto"/>
          <w:szCs w:val="21"/>
          <w:highlight w:val="none"/>
        </w:rPr>
        <w:t>。</w:t>
      </w:r>
    </w:p>
    <w:p w14:paraId="47E350AE">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17.3投标人的投标文件在投标有效期内均保持有效。</w:t>
      </w:r>
      <w:bookmarkEnd w:id="130"/>
      <w:bookmarkEnd w:id="131"/>
    </w:p>
    <w:p w14:paraId="23A33108">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bookmarkStart w:id="132" w:name="_18.投标保证金"/>
      <w:bookmarkEnd w:id="132"/>
      <w:bookmarkStart w:id="133" w:name="_Toc254970682"/>
      <w:bookmarkStart w:id="134" w:name="_Toc254970541"/>
      <w:r>
        <w:rPr>
          <w:rFonts w:hint="eastAsia" w:ascii="宋体" w:hAnsi="宋体" w:cs="宋体"/>
          <w:b/>
          <w:color w:val="auto"/>
          <w:sz w:val="24"/>
          <w:highlight w:val="none"/>
        </w:rPr>
        <w:t>18.投标保证金</w:t>
      </w:r>
      <w:bookmarkEnd w:id="133"/>
      <w:bookmarkEnd w:id="134"/>
    </w:p>
    <w:p w14:paraId="5CB12742">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18.1投标人须按“投标人须知前附表” 的规定提交投标保证金。</w:t>
      </w:r>
    </w:p>
    <w:p w14:paraId="312541E0">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18.2投标保证金的退还</w:t>
      </w:r>
    </w:p>
    <w:p w14:paraId="0F6D3871">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未中标人的投标保证金自中标通知书发出之日起5个工作日内退还；中标人的投标保证金自政府采购合同签订之日起5个工作日内退还。 </w:t>
      </w:r>
    </w:p>
    <w:p w14:paraId="684687FE">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18.3除逾期退还投标保证金和终止招标的情形以外，投标保证金不计息。</w:t>
      </w:r>
    </w:p>
    <w:p w14:paraId="6F083CE2">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18.4投标人有下列情形之一的，投标保证金将不予退还：</w:t>
      </w:r>
    </w:p>
    <w:p w14:paraId="1A1152DB">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（1）投标人在投标有效期内撤销投标文件的；</w:t>
      </w:r>
    </w:p>
    <w:p w14:paraId="0412EA68">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（2）未按规定提交履约保证金的；</w:t>
      </w:r>
    </w:p>
    <w:p w14:paraId="3D614DC8">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（3）投标人在投标过程中弄虚作假，提供虚假材料的；</w:t>
      </w:r>
    </w:p>
    <w:p w14:paraId="64391C15">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（4）中标人无正当理由不与采购人签订合同的；</w:t>
      </w:r>
    </w:p>
    <w:p w14:paraId="7111590E">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bookmarkStart w:id="135" w:name="_Toc254970683"/>
      <w:bookmarkStart w:id="136" w:name="_Toc254970542"/>
      <w:r>
        <w:rPr>
          <w:rFonts w:hint="eastAsia" w:ascii="宋体" w:hAnsi="宋体" w:cs="宋体"/>
          <w:color w:val="auto"/>
          <w:szCs w:val="21"/>
          <w:highlight w:val="none"/>
        </w:rPr>
        <w:t>（5）投标人出现本章第9.2、9.3情形的；</w:t>
      </w:r>
    </w:p>
    <w:p w14:paraId="03D61309">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（6）法律法规规定的其他情形。</w:t>
      </w:r>
    </w:p>
    <w:bookmarkEnd w:id="135"/>
    <w:bookmarkEnd w:id="136"/>
    <w:p w14:paraId="3A7191F3">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19.投标文件的编制</w:t>
      </w:r>
    </w:p>
    <w:p w14:paraId="438ECFBF">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19.1投标人应先安装“广西政府采购云电子投标客户端”（请自行前往广西政府采购云平台进行下载），并按照本项目招标文件规定的格式和顺序和广西政府采购云平台的要求编制并加密。投标文件内容不完整、编排混乱导致投标文件被误读、漏读或者查找不到相关内容的，由此引发的后果由投标人承担。</w:t>
      </w:r>
    </w:p>
    <w:p w14:paraId="647B9595">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bookmarkStart w:id="137" w:name="_19.2投标文件应按报价文件、资格证明文件、商务文件、技术文件分别编制"/>
      <w:bookmarkEnd w:id="137"/>
      <w:r>
        <w:rPr>
          <w:rFonts w:hint="eastAsia" w:hAnsi="宋体" w:cs="宋体"/>
          <w:color w:val="auto"/>
          <w:highlight w:val="none"/>
        </w:rPr>
        <w:t>19.2为确保网上操作合法、有效和安全，投标人应当在投标截止时间前完成在广西政府采购云平台的身份认证，确保在电子投标过程中能够对相关数据电文进行加密和使用电子签章。</w:t>
      </w:r>
    </w:p>
    <w:p w14:paraId="1BBD792A">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19.3投标文件须由投标人在规定位置签字（或者电子签名）、盖章（具体以投标人须知前附表或投标文件格式规定为准），</w:t>
      </w:r>
      <w:r>
        <w:rPr>
          <w:rFonts w:hint="eastAsia" w:hAnsi="宋体" w:cs="宋体"/>
          <w:b/>
          <w:color w:val="auto"/>
          <w:highlight w:val="none"/>
        </w:rPr>
        <w:t>否则按无效投标处理</w:t>
      </w:r>
      <w:r>
        <w:rPr>
          <w:rFonts w:hint="eastAsia" w:hAnsi="宋体" w:cs="宋体"/>
          <w:color w:val="auto"/>
          <w:highlight w:val="none"/>
        </w:rPr>
        <w:t>。</w:t>
      </w:r>
    </w:p>
    <w:p w14:paraId="52094320">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19.4投标文件中标注的投标人名称应与主体资格证明（如营业执照或者事业单位法人证书或者执业许可证或者登记证书等）及公章一致，并与广西政府采购云平台中获取招标文件的投标人名称一致，投标人为自然人的，标注的投标人名称应与身份证姓名及签名一致，</w:t>
      </w:r>
      <w:r>
        <w:rPr>
          <w:rFonts w:hint="eastAsia" w:hAnsi="宋体" w:cs="宋体"/>
          <w:b/>
          <w:color w:val="auto"/>
          <w:highlight w:val="none"/>
        </w:rPr>
        <w:t>否则按无效投标处理</w:t>
      </w:r>
      <w:r>
        <w:rPr>
          <w:rFonts w:hint="eastAsia" w:hAnsi="宋体" w:cs="宋体"/>
          <w:color w:val="auto"/>
          <w:highlight w:val="none"/>
        </w:rPr>
        <w:t>。</w:t>
      </w:r>
    </w:p>
    <w:p w14:paraId="25245BF5">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19.5投标文件应尽量避免涂改、行间插字或者删除。如果出现上述情况，改动之处应由投标人的法定代表人或者其委托代理人签字（或者电子签名）或者加盖公章或者加盖电子签章。投标文件因字迹潦草或者表达不清所引起的后果由投标人承担。</w:t>
      </w:r>
    </w:p>
    <w:p w14:paraId="6036A3CD">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20.电子备份投标文件</w:t>
      </w:r>
    </w:p>
    <w:p w14:paraId="64FA36C8">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电子备份投标文件是指通过“广西政府采购云电子投标客户端”在线编制生成且后缀名为“bfbs”的文件，是否接受电子备份投标文件详见“投标人须知前附表”。</w:t>
      </w:r>
    </w:p>
    <w:p w14:paraId="49D006AF">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21.投标文件的提交</w:t>
      </w:r>
    </w:p>
    <w:p w14:paraId="0D7AA7C8">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ascii="宋体" w:hAnsi="宋体" w:cs="宋体"/>
          <w:b/>
          <w:color w:val="auto"/>
          <w:highlight w:val="none"/>
        </w:rPr>
      </w:pPr>
      <w:bookmarkStart w:id="138" w:name="_21.1投标人必须在“投标人须知中的前附表”规定的投标文件接收时间和投"/>
      <w:bookmarkEnd w:id="138"/>
      <w:r>
        <w:rPr>
          <w:rFonts w:hint="eastAsia" w:ascii="宋体" w:hAnsi="宋体" w:cs="宋体"/>
          <w:bCs/>
          <w:color w:val="auto"/>
          <w:szCs w:val="21"/>
          <w:highlight w:val="none"/>
        </w:rPr>
        <w:t>21.1投标人必须在“投标人须知前附表”规定的</w:t>
      </w:r>
      <w:r>
        <w:rPr>
          <w:rFonts w:hint="eastAsia" w:ascii="宋体" w:hAnsi="宋体" w:cs="宋体"/>
          <w:color w:val="auto"/>
          <w:szCs w:val="21"/>
          <w:highlight w:val="none"/>
        </w:rPr>
        <w:t>提交投标文件截止时间前将</w:t>
      </w:r>
      <w:r>
        <w:rPr>
          <w:rFonts w:hint="eastAsia" w:ascii="宋体" w:hAnsi="宋体" w:cs="宋体"/>
          <w:bCs/>
          <w:color w:val="auto"/>
          <w:szCs w:val="21"/>
          <w:highlight w:val="none"/>
        </w:rPr>
        <w:t>电子投标文件提交至投标地点。电子投标文件应在制作完成后，在投标截止时间前通过有效数字证书（CA认证锁）进行电子签章、加密，然后通过网络将加密的电子投标文件递交至</w:t>
      </w:r>
      <w:r>
        <w:rPr>
          <w:rFonts w:hint="eastAsia" w:ascii="宋体" w:hAnsi="宋体" w:cs="宋体"/>
          <w:b/>
          <w:color w:val="auto"/>
          <w:szCs w:val="21"/>
          <w:highlight w:val="none"/>
        </w:rPr>
        <w:t>广西政府采购云平台</w:t>
      </w:r>
      <w:r>
        <w:rPr>
          <w:rFonts w:hint="eastAsia" w:ascii="宋体" w:hAnsi="宋体" w:cs="宋体"/>
          <w:bCs/>
          <w:color w:val="auto"/>
          <w:szCs w:val="21"/>
          <w:highlight w:val="none"/>
        </w:rPr>
        <w:t>。</w:t>
      </w:r>
    </w:p>
    <w:p w14:paraId="18134194">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ascii="宋体" w:hAnsi="宋体" w:cs="宋体"/>
          <w:b/>
          <w:color w:val="auto"/>
          <w:szCs w:val="20"/>
          <w:highlight w:val="none"/>
        </w:rPr>
      </w:pPr>
      <w:r>
        <w:rPr>
          <w:rFonts w:hint="eastAsia" w:ascii="宋体" w:hAnsi="宋体" w:cs="宋体"/>
          <w:b/>
          <w:color w:val="auto"/>
          <w:szCs w:val="21"/>
          <w:highlight w:val="none"/>
        </w:rPr>
        <w:t>21.2未在规定时间内提交或者未按照招标文件要求加密的电子投标文件，广西政府采购云平台将拒收。</w:t>
      </w:r>
    </w:p>
    <w:p w14:paraId="63D1007B">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22. 投标文件的补充、修改、撤回与退回</w:t>
      </w:r>
    </w:p>
    <w:p w14:paraId="3B746722">
      <w:pPr>
        <w:keepNext w:val="0"/>
        <w:keepLines w:val="0"/>
        <w:pageBreakBefore w:val="0"/>
        <w:widowControl w:val="0"/>
        <w:kinsoku/>
        <w:wordWrap/>
        <w:overflowPunct/>
        <w:topLinePunct w:val="0"/>
        <w:autoSpaceDE/>
        <w:autoSpaceDN/>
        <w:bidi w:val="0"/>
        <w:snapToGrid w:val="0"/>
        <w:spacing w:line="400" w:lineRule="exact"/>
        <w:ind w:firstLine="420"/>
        <w:jc w:val="left"/>
        <w:textAlignment w:val="auto"/>
        <w:rPr>
          <w:rFonts w:hint="eastAsia" w:ascii="宋体" w:hAnsi="宋体" w:cs="宋体"/>
          <w:color w:val="auto"/>
          <w:szCs w:val="21"/>
          <w:highlight w:val="none"/>
        </w:rPr>
      </w:pPr>
      <w:bookmarkStart w:id="139" w:name="_Toc254970684"/>
      <w:bookmarkStart w:id="140" w:name="_Toc254970543"/>
      <w:r>
        <w:rPr>
          <w:rFonts w:hint="eastAsia" w:ascii="宋体" w:hAnsi="宋体" w:cs="宋体"/>
          <w:color w:val="auto"/>
          <w:szCs w:val="21"/>
          <w:highlight w:val="none"/>
        </w:rPr>
        <w:t>22.1</w:t>
      </w:r>
      <w:r>
        <w:rPr>
          <w:rFonts w:hint="eastAsia" w:ascii="宋体" w:hAnsi="宋体" w:cs="宋体"/>
          <w:bCs/>
          <w:color w:val="auto"/>
          <w:szCs w:val="21"/>
          <w:highlight w:val="none"/>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广西政府采购云平台将予以拒收。</w:t>
      </w:r>
      <w:r>
        <w:rPr>
          <w:rFonts w:hint="eastAsia" w:ascii="宋体" w:hAnsi="宋体" w:cs="宋体"/>
          <w:color w:val="auto"/>
          <w:szCs w:val="21"/>
          <w:highlight w:val="none"/>
        </w:rPr>
        <w:t>（补充、修改或者撤回方式可登录</w:t>
      </w:r>
      <w:r>
        <w:rPr>
          <w:rFonts w:hint="eastAsia" w:ascii="宋体" w:hAnsi="宋体" w:cs="宋体"/>
          <w:color w:val="auto"/>
          <w:kern w:val="0"/>
          <w:szCs w:val="21"/>
          <w:highlight w:val="none"/>
        </w:rPr>
        <w:t>广西政府采购云平台，</w:t>
      </w:r>
      <w:r>
        <w:rPr>
          <w:rFonts w:hint="eastAsia" w:ascii="宋体" w:hAnsi="宋体" w:cs="宋体"/>
          <w:color w:val="auto"/>
          <w:szCs w:val="21"/>
          <w:highlight w:val="none"/>
        </w:rPr>
        <w:t>依次进入“服务中心”中查看 “电子投标文件制作与投送教程”）</w:t>
      </w:r>
    </w:p>
    <w:bookmarkEnd w:id="139"/>
    <w:bookmarkEnd w:id="140"/>
    <w:p w14:paraId="4BDC8C5F">
      <w:pPr>
        <w:pStyle w:val="78"/>
        <w:keepNext w:val="0"/>
        <w:keepLines w:val="0"/>
        <w:pageBreakBefore w:val="0"/>
        <w:widowControl w:val="0"/>
        <w:kinsoku/>
        <w:wordWrap/>
        <w:overflowPunct/>
        <w:topLinePunct w:val="0"/>
        <w:autoSpaceDE/>
        <w:autoSpaceDN/>
        <w:bidi w:val="0"/>
        <w:spacing w:before="0" w:line="400" w:lineRule="exact"/>
        <w:ind w:firstLine="42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22.2广西政府采购云平台收到投标文件后向供应商发出确认回执通知。在投标截止时间前，除供应商补充、修改或者撤回投标文件外，任何单位和个人不得解密或提取投标文件。</w:t>
      </w:r>
    </w:p>
    <w:p w14:paraId="7260A2E6">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22.3在投标截止时间后，采购人和采购代理机构对已提交的投标文件概不退回。</w:t>
      </w:r>
    </w:p>
    <w:p w14:paraId="47D528F3">
      <w:pPr>
        <w:pStyle w:val="5"/>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highlight w:val="none"/>
        </w:rPr>
      </w:pPr>
      <w:bookmarkStart w:id="141" w:name="_Toc254970544"/>
      <w:bookmarkStart w:id="142" w:name="_Toc23160"/>
      <w:bookmarkStart w:id="143" w:name="_Toc21393"/>
      <w:bookmarkStart w:id="144" w:name="_Toc254970685"/>
      <w:r>
        <w:rPr>
          <w:rFonts w:hint="eastAsia" w:ascii="宋体" w:hAnsi="宋体" w:cs="宋体"/>
          <w:color w:val="auto"/>
          <w:highlight w:val="none"/>
        </w:rPr>
        <w:t>四、开  标</w:t>
      </w:r>
      <w:bookmarkEnd w:id="141"/>
      <w:bookmarkEnd w:id="142"/>
      <w:bookmarkEnd w:id="143"/>
      <w:bookmarkEnd w:id="144"/>
    </w:p>
    <w:p w14:paraId="09D45321">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bookmarkStart w:id="145" w:name="_23.开标时间和地点"/>
      <w:bookmarkEnd w:id="145"/>
      <w:r>
        <w:rPr>
          <w:rFonts w:hint="eastAsia" w:ascii="宋体" w:hAnsi="宋体" w:cs="宋体"/>
          <w:b/>
          <w:color w:val="auto"/>
          <w:sz w:val="24"/>
          <w:highlight w:val="none"/>
        </w:rPr>
        <w:t>23.开标时间和地点</w:t>
      </w:r>
    </w:p>
    <w:p w14:paraId="24751766">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ascii="宋体" w:hAnsi="宋体" w:cs="宋体"/>
          <w:bCs/>
          <w:color w:val="auto"/>
          <w:highlight w:val="none"/>
        </w:rPr>
      </w:pPr>
      <w:r>
        <w:rPr>
          <w:rFonts w:hint="eastAsia" w:ascii="宋体" w:hAnsi="宋体" w:cs="宋体"/>
          <w:bCs/>
          <w:color w:val="auto"/>
          <w:highlight w:val="none"/>
        </w:rPr>
        <w:t>开标时间及地点详见“投标人须知前附表”</w:t>
      </w:r>
    </w:p>
    <w:p w14:paraId="6D9F9D6D">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24.开标程序</w:t>
      </w:r>
    </w:p>
    <w:p w14:paraId="012E2C4D">
      <w:pPr>
        <w:pStyle w:val="10"/>
        <w:keepNext w:val="0"/>
        <w:keepLines w:val="0"/>
        <w:pageBreakBefore w:val="0"/>
        <w:widowControl w:val="0"/>
        <w:kinsoku/>
        <w:wordWrap/>
        <w:overflowPunct/>
        <w:topLinePunct w:val="0"/>
        <w:autoSpaceDE/>
        <w:autoSpaceDN/>
        <w:bidi w:val="0"/>
        <w:spacing w:line="400" w:lineRule="exact"/>
        <w:textAlignment w:val="auto"/>
        <w:rPr>
          <w:rFonts w:hint="eastAsia" w:ascii="宋体" w:hAnsi="宋体" w:cs="宋体"/>
          <w:color w:val="auto"/>
          <w:highlight w:val="none"/>
        </w:rPr>
      </w:pPr>
      <w:r>
        <w:rPr>
          <w:rFonts w:hint="eastAsia" w:ascii="宋体" w:hAnsi="宋体" w:cs="宋体"/>
          <w:color w:val="auto"/>
          <w:highlight w:val="none"/>
        </w:rPr>
        <w:t>24.1提交投标文件截止时间止，投标人不足3家的，不得开标。</w:t>
      </w:r>
    </w:p>
    <w:p w14:paraId="648828F1">
      <w:pPr>
        <w:pStyle w:val="10"/>
        <w:keepNext w:val="0"/>
        <w:keepLines w:val="0"/>
        <w:pageBreakBefore w:val="0"/>
        <w:widowControl w:val="0"/>
        <w:kinsoku/>
        <w:wordWrap/>
        <w:overflowPunct/>
        <w:topLinePunct w:val="0"/>
        <w:autoSpaceDE/>
        <w:autoSpaceDN/>
        <w:bidi w:val="0"/>
        <w:spacing w:line="400" w:lineRule="exact"/>
        <w:textAlignment w:val="auto"/>
        <w:rPr>
          <w:rFonts w:hint="eastAsia" w:ascii="宋体" w:hAnsi="宋体" w:cs="宋体"/>
          <w:color w:val="auto"/>
          <w:highlight w:val="none"/>
        </w:rPr>
      </w:pPr>
      <w:r>
        <w:rPr>
          <w:rFonts w:hint="eastAsia" w:ascii="宋体" w:hAnsi="宋体" w:cs="宋体"/>
          <w:color w:val="auto"/>
          <w:highlight w:val="none"/>
        </w:rPr>
        <w:t>24.2采购代理机构将按照招标文件规定的时间通过广西政府采购云平台组织线上开标活动，所有供应商均应当准时在线参加，投标人因未在线参加开标而导致投标文件无法按时解密等一切后果由投标人自己承担。</w:t>
      </w:r>
    </w:p>
    <w:p w14:paraId="676D91FF">
      <w:pPr>
        <w:pStyle w:val="10"/>
        <w:keepNext w:val="0"/>
        <w:keepLines w:val="0"/>
        <w:pageBreakBefore w:val="0"/>
        <w:widowControl w:val="0"/>
        <w:kinsoku/>
        <w:wordWrap/>
        <w:overflowPunct/>
        <w:topLinePunct w:val="0"/>
        <w:autoSpaceDE/>
        <w:autoSpaceDN/>
        <w:bidi w:val="0"/>
        <w:spacing w:line="400" w:lineRule="exact"/>
        <w:textAlignment w:val="auto"/>
        <w:rPr>
          <w:rFonts w:hint="eastAsia" w:ascii="宋体" w:hAnsi="宋体" w:cs="宋体"/>
          <w:color w:val="auto"/>
          <w:highlight w:val="none"/>
        </w:rPr>
      </w:pPr>
      <w:r>
        <w:rPr>
          <w:rFonts w:hint="eastAsia" w:ascii="宋体" w:hAnsi="宋体" w:cs="宋体"/>
          <w:color w:val="auto"/>
          <w:highlight w:val="none"/>
        </w:rPr>
        <w:t>24.3开标程序</w:t>
      </w:r>
    </w:p>
    <w:p w14:paraId="4AB58D35">
      <w:pPr>
        <w:pStyle w:val="10"/>
        <w:keepNext w:val="0"/>
        <w:keepLines w:val="0"/>
        <w:pageBreakBefore w:val="0"/>
        <w:widowControl w:val="0"/>
        <w:kinsoku/>
        <w:wordWrap/>
        <w:overflowPunct/>
        <w:topLinePunct w:val="0"/>
        <w:autoSpaceDE/>
        <w:autoSpaceDN/>
        <w:bidi w:val="0"/>
        <w:spacing w:line="400" w:lineRule="exact"/>
        <w:textAlignment w:val="auto"/>
        <w:rPr>
          <w:rFonts w:hint="eastAsia" w:ascii="宋体" w:hAnsi="宋体" w:cs="宋体"/>
          <w:color w:val="auto"/>
          <w:highlight w:val="none"/>
        </w:rPr>
      </w:pPr>
      <w:r>
        <w:rPr>
          <w:rFonts w:hint="eastAsia" w:ascii="宋体" w:hAnsi="宋体" w:cs="宋体"/>
          <w:color w:val="auto"/>
          <w:highlight w:val="none"/>
        </w:rPr>
        <w:t>（1）解密电子投标文件。广西政府采购云平台按开标时间自动提取所有投标文件。采购代理机构依托广西政府采购云平台向各投标人发出电子加密投标文件【开始解密】通知，由投标人按</w:t>
      </w:r>
      <w:r>
        <w:rPr>
          <w:rFonts w:hint="eastAsia" w:ascii="宋体" w:hAnsi="宋体" w:cs="宋体"/>
          <w:bCs/>
          <w:color w:val="auto"/>
          <w:szCs w:val="21"/>
          <w:highlight w:val="none"/>
        </w:rPr>
        <w:t>“投标人须知前附表”</w:t>
      </w:r>
      <w:r>
        <w:rPr>
          <w:rFonts w:hint="eastAsia" w:ascii="宋体" w:hAnsi="宋体" w:cs="宋体"/>
          <w:color w:val="auto"/>
          <w:highlight w:val="none"/>
        </w:rPr>
        <w:t>规定的时间内自行进行投标文件解密。投标人的法定代表人或其委托代理人须凭加密时所用的CA锁准时登录到广西政府采购云平台电子开标大厅签到并对电子投标文件解密。</w:t>
      </w:r>
      <w:r>
        <w:rPr>
          <w:rFonts w:hint="eastAsia" w:ascii="宋体" w:hAnsi="宋体" w:cs="宋体"/>
          <w:b/>
          <w:color w:val="auto"/>
          <w:highlight w:val="none"/>
        </w:rPr>
        <w:t>投标人未在规定的时间内解密投标文件或者解密失败的，</w:t>
      </w:r>
      <w:r>
        <w:rPr>
          <w:rFonts w:hint="eastAsia" w:ascii="宋体" w:hAnsi="宋体" w:cs="宋体"/>
          <w:b/>
          <w:color w:val="auto"/>
          <w:szCs w:val="21"/>
          <w:highlight w:val="none"/>
        </w:rPr>
        <w:t>投标人的投标文件作无效处理</w:t>
      </w:r>
      <w:r>
        <w:rPr>
          <w:rFonts w:hint="eastAsia" w:ascii="宋体" w:hAnsi="宋体" w:cs="宋体"/>
          <w:b/>
          <w:color w:val="auto"/>
          <w:highlight w:val="none"/>
        </w:rPr>
        <w:t>。</w:t>
      </w:r>
    </w:p>
    <w:p w14:paraId="50A0CA89">
      <w:pPr>
        <w:pStyle w:val="10"/>
        <w:keepNext w:val="0"/>
        <w:keepLines w:val="0"/>
        <w:pageBreakBefore w:val="0"/>
        <w:widowControl w:val="0"/>
        <w:kinsoku/>
        <w:wordWrap/>
        <w:overflowPunct/>
        <w:topLinePunct w:val="0"/>
        <w:autoSpaceDE/>
        <w:autoSpaceDN/>
        <w:bidi w:val="0"/>
        <w:spacing w:line="400" w:lineRule="exact"/>
        <w:textAlignment w:val="auto"/>
        <w:rPr>
          <w:rFonts w:hint="eastAsia" w:ascii="宋体" w:hAnsi="宋体" w:cs="宋体"/>
          <w:color w:val="auto"/>
          <w:highlight w:val="none"/>
        </w:rPr>
      </w:pPr>
      <w:r>
        <w:rPr>
          <w:rFonts w:hint="eastAsia" w:ascii="宋体" w:hAnsi="宋体" w:cs="宋体"/>
          <w:color w:val="auto"/>
          <w:highlight w:val="none"/>
        </w:rPr>
        <w:t>（2）电子唱标。投标文件解密结束，宣布的内容均在广西政府采购云平台远程开标大厅展示，具体详见</w:t>
      </w:r>
      <w:r>
        <w:rPr>
          <w:rFonts w:hint="eastAsia" w:ascii="宋体" w:hAnsi="宋体" w:cs="宋体"/>
          <w:bCs/>
          <w:color w:val="auto"/>
          <w:highlight w:val="none"/>
        </w:rPr>
        <w:t>“投标人须知前附表”</w:t>
      </w:r>
      <w:r>
        <w:rPr>
          <w:rFonts w:hint="eastAsia" w:ascii="宋体" w:hAnsi="宋体" w:cs="宋体"/>
          <w:color w:val="auto"/>
          <w:highlight w:val="none"/>
        </w:rPr>
        <w:t>；</w:t>
      </w:r>
    </w:p>
    <w:p w14:paraId="6F5C8F0A">
      <w:pPr>
        <w:pStyle w:val="10"/>
        <w:keepNext w:val="0"/>
        <w:keepLines w:val="0"/>
        <w:pageBreakBefore w:val="0"/>
        <w:widowControl w:val="0"/>
        <w:kinsoku/>
        <w:wordWrap/>
        <w:overflowPunct/>
        <w:topLinePunct w:val="0"/>
        <w:autoSpaceDE/>
        <w:autoSpaceDN/>
        <w:bidi w:val="0"/>
        <w:spacing w:line="400" w:lineRule="exact"/>
        <w:textAlignment w:val="auto"/>
        <w:rPr>
          <w:rFonts w:hint="eastAsia" w:ascii="宋体" w:hAnsi="宋体" w:cs="宋体"/>
          <w:color w:val="auto"/>
          <w:highlight w:val="none"/>
        </w:rPr>
      </w:pPr>
      <w:r>
        <w:rPr>
          <w:rFonts w:hint="eastAsia" w:ascii="宋体" w:hAnsi="宋体" w:cs="宋体"/>
          <w:color w:val="auto"/>
          <w:highlight w:val="none"/>
        </w:rPr>
        <w:t>（3）开标过程由采购代理机构如实记录，并电子留痕，由参加电子开标的各投标人代表对电子开标记录在开标记录公布后15分钟内进行当场校核及勘误，并线上确认是否有异议，未确认的视同认可开标结果。</w:t>
      </w:r>
    </w:p>
    <w:p w14:paraId="4D3B195D">
      <w:pPr>
        <w:pStyle w:val="10"/>
        <w:keepNext w:val="0"/>
        <w:keepLines w:val="0"/>
        <w:pageBreakBefore w:val="0"/>
        <w:widowControl w:val="0"/>
        <w:kinsoku/>
        <w:wordWrap/>
        <w:overflowPunct/>
        <w:topLinePunct w:val="0"/>
        <w:autoSpaceDE/>
        <w:autoSpaceDN/>
        <w:bidi w:val="0"/>
        <w:spacing w:line="400" w:lineRule="exact"/>
        <w:textAlignment w:val="auto"/>
        <w:rPr>
          <w:rFonts w:hint="eastAsia" w:ascii="宋体" w:hAnsi="宋体" w:cs="宋体"/>
          <w:color w:val="auto"/>
          <w:highlight w:val="none"/>
        </w:rPr>
      </w:pPr>
      <w:r>
        <w:rPr>
          <w:rFonts w:hint="eastAsia" w:ascii="宋体" w:hAnsi="宋体" w:cs="宋体"/>
          <w:color w:val="auto"/>
          <w:highlight w:val="none"/>
        </w:rPr>
        <w:t>（4）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661D889A">
      <w:pPr>
        <w:pStyle w:val="10"/>
        <w:keepNext w:val="0"/>
        <w:keepLines w:val="0"/>
        <w:pageBreakBefore w:val="0"/>
        <w:widowControl w:val="0"/>
        <w:kinsoku/>
        <w:wordWrap/>
        <w:overflowPunct/>
        <w:topLinePunct w:val="0"/>
        <w:autoSpaceDE/>
        <w:autoSpaceDN/>
        <w:bidi w:val="0"/>
        <w:spacing w:line="400" w:lineRule="exact"/>
        <w:textAlignment w:val="auto"/>
        <w:rPr>
          <w:rFonts w:hint="eastAsia" w:ascii="宋体" w:hAnsi="宋体" w:cs="宋体"/>
          <w:color w:val="auto"/>
          <w:szCs w:val="21"/>
          <w:highlight w:val="none"/>
        </w:rPr>
      </w:pPr>
      <w:r>
        <w:rPr>
          <w:rFonts w:hint="eastAsia" w:ascii="宋体" w:hAnsi="宋体" w:cs="宋体"/>
          <w:color w:val="auto"/>
          <w:szCs w:val="21"/>
          <w:highlight w:val="none"/>
        </w:rPr>
        <w:t>（5）开标结束。</w:t>
      </w:r>
    </w:p>
    <w:p w14:paraId="045F58E1">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特别说明：如遇广西政府采购云平台电子化开标或评审程序调整的，按调整后执行。</w:t>
      </w:r>
    </w:p>
    <w:p w14:paraId="196521DF">
      <w:pPr>
        <w:pStyle w:val="20"/>
        <w:keepNext w:val="0"/>
        <w:keepLines w:val="0"/>
        <w:pageBreakBefore w:val="0"/>
        <w:widowControl w:val="0"/>
        <w:kinsoku/>
        <w:wordWrap/>
        <w:overflowPunct/>
        <w:topLinePunct w:val="0"/>
        <w:autoSpaceDE/>
        <w:autoSpaceDN/>
        <w:bidi w:val="0"/>
        <w:snapToGrid w:val="0"/>
        <w:spacing w:line="400" w:lineRule="exact"/>
        <w:ind w:left="689" w:leftChars="228" w:hanging="210" w:hangingChars="100"/>
        <w:textAlignment w:val="auto"/>
        <w:rPr>
          <w:rFonts w:hint="eastAsia" w:hAnsi="宋体" w:cs="宋体"/>
          <w:color w:val="auto"/>
          <w:highlight w:val="none"/>
        </w:rPr>
      </w:pPr>
    </w:p>
    <w:p w14:paraId="63EAECDC">
      <w:pPr>
        <w:pStyle w:val="5"/>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highlight w:val="none"/>
        </w:rPr>
      </w:pPr>
      <w:bookmarkStart w:id="146" w:name="_Toc2525"/>
      <w:bookmarkStart w:id="147" w:name="_Toc6086"/>
      <w:r>
        <w:rPr>
          <w:rFonts w:hint="eastAsia" w:ascii="宋体" w:hAnsi="宋体" w:cs="宋体"/>
          <w:color w:val="auto"/>
          <w:highlight w:val="none"/>
        </w:rPr>
        <w:t>五、资格审查</w:t>
      </w:r>
      <w:bookmarkEnd w:id="146"/>
      <w:bookmarkEnd w:id="147"/>
    </w:p>
    <w:p w14:paraId="2B1C7642">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25.资格审查</w:t>
      </w:r>
    </w:p>
    <w:p w14:paraId="3AE4C8CE">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25.1开标结束后，采购人或者采购代理机构通过电子开评标系统依据招标文件对电子投标文件进行线上资格审查。</w:t>
      </w:r>
    </w:p>
    <w:p w14:paraId="0DABDB07">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25.2资格审查标准为本招标文件中载明对投标人资格要求的条件。本项目资格审查采用合格制，凡符合招标文件规定的投标人资格要求的投标人均通过资格审查。</w:t>
      </w:r>
    </w:p>
    <w:p w14:paraId="2838AEEA">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b/>
          <w:color w:val="auto"/>
          <w:highlight w:val="none"/>
        </w:rPr>
      </w:pPr>
      <w:bookmarkStart w:id="148" w:name="_25.3_投标人有下列情形之一的，资格审查不通过而导致其投标无效："/>
      <w:bookmarkEnd w:id="148"/>
      <w:r>
        <w:rPr>
          <w:rFonts w:hint="eastAsia" w:hAnsi="宋体" w:cs="宋体"/>
          <w:b/>
          <w:color w:val="auto"/>
          <w:highlight w:val="none"/>
        </w:rPr>
        <w:t>25.3 投标人有下列情形之一的，资格审查不通过，作无效投标处理：</w:t>
      </w:r>
    </w:p>
    <w:p w14:paraId="58CD1253">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b/>
          <w:color w:val="auto"/>
          <w:highlight w:val="none"/>
        </w:rPr>
      </w:pPr>
      <w:r>
        <w:rPr>
          <w:rFonts w:hint="eastAsia" w:hAnsi="宋体" w:cs="宋体"/>
          <w:b/>
          <w:color w:val="auto"/>
          <w:highlight w:val="none"/>
        </w:rPr>
        <w:t>（1）不具备招标文件中规定的资格要求的；</w:t>
      </w:r>
    </w:p>
    <w:p w14:paraId="432F5A0E">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b/>
          <w:color w:val="auto"/>
          <w:highlight w:val="none"/>
        </w:rPr>
      </w:pPr>
      <w:r>
        <w:rPr>
          <w:rFonts w:hint="eastAsia" w:hAnsi="宋体" w:cs="宋体"/>
          <w:b/>
          <w:color w:val="auto"/>
          <w:highlight w:val="none"/>
        </w:rPr>
        <w:t>（2）在“信用中国”网站（www.creditchina.gov.cn）、中国政府采购网（www.ccgp.gov.cn）被列入失信被执行人、重大税收违法失信主体、政府采购严重违法失信行为记录名单及其他不符合《中华人民共和国政府采购法》第二十二条规定条件的；（注：其中信用查询规则见“投标人须知前附表”）</w:t>
      </w:r>
    </w:p>
    <w:p w14:paraId="14D96888">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b/>
          <w:color w:val="auto"/>
          <w:highlight w:val="none"/>
        </w:rPr>
      </w:pPr>
      <w:r>
        <w:rPr>
          <w:rFonts w:hint="eastAsia" w:hAnsi="宋体" w:cs="宋体"/>
          <w:b/>
          <w:color w:val="auto"/>
          <w:highlight w:val="none"/>
        </w:rPr>
        <w:t>（3）同一合同项下的不同投标人，单位负责人为同一人或者存在直接控股、管理关系的；为本项目提供过整体设计、规范编制或者项目管理、监理、检测等服务的供应商，再参加该采购项目的其他采购活动的；</w:t>
      </w:r>
    </w:p>
    <w:p w14:paraId="5923CA7D">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b/>
          <w:color w:val="auto"/>
          <w:highlight w:val="none"/>
        </w:rPr>
      </w:pPr>
      <w:r>
        <w:rPr>
          <w:rFonts w:hint="eastAsia" w:hAnsi="宋体" w:cs="宋体"/>
          <w:b/>
          <w:color w:val="auto"/>
          <w:highlight w:val="none"/>
        </w:rPr>
        <w:t>（4）投标文件中的资格证明文件缺少任一项“投标人须知前附表”资格证明文件规定“必须提供”的文件资料的；</w:t>
      </w:r>
    </w:p>
    <w:p w14:paraId="0ED37DBF">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b/>
          <w:color w:val="auto"/>
          <w:highlight w:val="none"/>
        </w:rPr>
      </w:pPr>
      <w:r>
        <w:rPr>
          <w:rFonts w:hint="eastAsia" w:hAnsi="宋体" w:cs="宋体"/>
          <w:b/>
          <w:color w:val="auto"/>
          <w:highlight w:val="none"/>
        </w:rPr>
        <w:t>（5）投标文件中的资格证明文件出现任一项不符合“投标人须知前附表”资格证明文件规定“必须提供”的文件资料要求或者无效的。</w:t>
      </w:r>
    </w:p>
    <w:p w14:paraId="0E68BBBD">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b/>
          <w:color w:val="auto"/>
          <w:highlight w:val="none"/>
        </w:rPr>
      </w:pPr>
      <w:r>
        <w:rPr>
          <w:rFonts w:hint="eastAsia" w:hAnsi="宋体" w:cs="宋体"/>
          <w:b/>
          <w:color w:val="auto"/>
          <w:highlight w:val="none"/>
        </w:rPr>
        <w:t>25.4合格投标人不足3家的，不得评标。</w:t>
      </w:r>
    </w:p>
    <w:p w14:paraId="48EE4136">
      <w:pPr>
        <w:pStyle w:val="20"/>
        <w:keepNext w:val="0"/>
        <w:keepLines w:val="0"/>
        <w:pageBreakBefore w:val="0"/>
        <w:widowControl w:val="0"/>
        <w:kinsoku/>
        <w:wordWrap/>
        <w:overflowPunct/>
        <w:topLinePunct w:val="0"/>
        <w:autoSpaceDE/>
        <w:autoSpaceDN/>
        <w:bidi w:val="0"/>
        <w:snapToGrid w:val="0"/>
        <w:spacing w:line="400" w:lineRule="exact"/>
        <w:ind w:left="689" w:leftChars="228" w:hanging="210" w:hangingChars="100"/>
        <w:textAlignment w:val="auto"/>
        <w:rPr>
          <w:rFonts w:hint="eastAsia" w:hAnsi="宋体" w:cs="宋体"/>
          <w:color w:val="auto"/>
          <w:highlight w:val="none"/>
        </w:rPr>
      </w:pPr>
    </w:p>
    <w:p w14:paraId="764A4AC2">
      <w:pPr>
        <w:pStyle w:val="5"/>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highlight w:val="none"/>
        </w:rPr>
      </w:pPr>
      <w:bookmarkStart w:id="149" w:name="_Toc31107"/>
      <w:bookmarkStart w:id="150" w:name="_Toc17386"/>
      <w:r>
        <w:rPr>
          <w:rFonts w:hint="eastAsia" w:ascii="宋体" w:hAnsi="宋体" w:cs="宋体"/>
          <w:color w:val="auto"/>
          <w:highlight w:val="none"/>
        </w:rPr>
        <w:t>六、评  标</w:t>
      </w:r>
      <w:bookmarkEnd w:id="149"/>
      <w:bookmarkEnd w:id="150"/>
    </w:p>
    <w:p w14:paraId="3B198811">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bookmarkStart w:id="151" w:name="_26.组建评标委员会"/>
      <w:bookmarkEnd w:id="151"/>
      <w:r>
        <w:rPr>
          <w:rFonts w:hint="eastAsia" w:ascii="宋体" w:hAnsi="宋体" w:cs="宋体"/>
          <w:b/>
          <w:color w:val="auto"/>
          <w:sz w:val="24"/>
          <w:highlight w:val="none"/>
        </w:rPr>
        <w:t>26.组建评标委员会</w:t>
      </w:r>
    </w:p>
    <w:p w14:paraId="410C9913">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26.1评标委员会由采购人代表和评审专家组成，具体人数详见“投标人须知前附表”，其中评审专家不得少于成员总数的三分之二。</w:t>
      </w:r>
    </w:p>
    <w:p w14:paraId="2568D749">
      <w:pPr>
        <w:pStyle w:val="20"/>
        <w:keepNext w:val="0"/>
        <w:keepLines w:val="0"/>
        <w:pageBreakBefore w:val="0"/>
        <w:widowControl w:val="0"/>
        <w:kinsoku/>
        <w:wordWrap/>
        <w:overflowPunct/>
        <w:topLinePunct w:val="0"/>
        <w:autoSpaceDE/>
        <w:autoSpaceDN/>
        <w:bidi w:val="0"/>
        <w:snapToGrid w:val="0"/>
        <w:spacing w:line="400" w:lineRule="exact"/>
        <w:ind w:left="2" w:leftChars="1" w:firstLine="420" w:firstLineChars="200"/>
        <w:textAlignment w:val="auto"/>
        <w:rPr>
          <w:rFonts w:hint="eastAsia" w:hAnsi="宋体" w:cs="宋体"/>
          <w:color w:val="auto"/>
          <w:highlight w:val="none"/>
        </w:rPr>
      </w:pPr>
      <w:r>
        <w:rPr>
          <w:rFonts w:hint="eastAsia" w:hAnsi="宋体" w:cs="宋体"/>
          <w:color w:val="auto"/>
          <w:highlight w:val="none"/>
        </w:rPr>
        <w:t>26.2参加过采购项目前期咨询论证的专家，不得参加该采购项目的评审活动。</w:t>
      </w:r>
    </w:p>
    <w:p w14:paraId="2201360C">
      <w:pPr>
        <w:pStyle w:val="20"/>
        <w:keepNext w:val="0"/>
        <w:keepLines w:val="0"/>
        <w:pageBreakBefore w:val="0"/>
        <w:widowControl w:val="0"/>
        <w:kinsoku/>
        <w:wordWrap/>
        <w:overflowPunct/>
        <w:topLinePunct w:val="0"/>
        <w:autoSpaceDE/>
        <w:autoSpaceDN/>
        <w:bidi w:val="0"/>
        <w:snapToGrid w:val="0"/>
        <w:spacing w:line="400" w:lineRule="exact"/>
        <w:ind w:left="2" w:leftChars="1" w:firstLine="420" w:firstLineChars="200"/>
        <w:textAlignment w:val="auto"/>
        <w:rPr>
          <w:rFonts w:hint="eastAsia" w:hAnsi="宋体" w:cs="宋体"/>
          <w:color w:val="auto"/>
          <w:highlight w:val="none"/>
        </w:rPr>
      </w:pPr>
      <w:r>
        <w:rPr>
          <w:rFonts w:hint="eastAsia" w:hAnsi="宋体" w:cs="宋体"/>
          <w:color w:val="auto"/>
          <w:highlight w:val="none"/>
        </w:rPr>
        <w:t>26.3</w:t>
      </w:r>
      <w:r>
        <w:rPr>
          <w:rFonts w:hint="eastAsia" w:hAnsi="宋体" w:cs="宋体"/>
          <w:bCs/>
          <w:color w:val="auto"/>
          <w:highlight w:val="none"/>
        </w:rPr>
        <w:t>采购代理机构应当基于广西政府采购云平台抽（选）取评审专家。</w:t>
      </w:r>
    </w:p>
    <w:p w14:paraId="769EA0F8">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27.评标的依据</w:t>
      </w:r>
    </w:p>
    <w:p w14:paraId="11D2866C">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评标委员会以“第四章 评标方法和评标标准”为依据对投标文件进行评审，没有规定的方法、评审因素和标准，不作为评标依据。</w:t>
      </w:r>
    </w:p>
    <w:p w14:paraId="3C42D93A">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28.评标原则</w:t>
      </w:r>
    </w:p>
    <w:p w14:paraId="679272A3">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4ED97A52">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28.2</w:t>
      </w:r>
      <w:bookmarkStart w:id="152" w:name="_28.3评标方法。本项目将按须知前附表规定的评标办法进行评标，具体评标"/>
      <w:bookmarkEnd w:id="152"/>
      <w:r>
        <w:rPr>
          <w:rFonts w:hint="eastAsia" w:hAnsi="宋体" w:cs="宋体"/>
          <w:color w:val="auto"/>
          <w:highlight w:val="none"/>
        </w:rPr>
        <w:t>评委表决。评标委员会成员对需要共同认定的事项存在争议的，应当按照少数服从多数的原则作出结论。</w:t>
      </w:r>
    </w:p>
    <w:p w14:paraId="1626C550">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28.3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74FCD09E">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28.4评标过程的监控。本项目电子评标过程实行网上留痕、全程录音、录像监控，</w:t>
      </w:r>
      <w:r>
        <w:rPr>
          <w:rFonts w:hint="eastAsia" w:hAnsi="宋体" w:cs="宋体"/>
          <w:b/>
          <w:color w:val="auto"/>
          <w:highlight w:val="none"/>
        </w:rPr>
        <w:t>投标人在评标过程中所进行的试图影响评标结果的不公正活动，可能导致其投标按无效处理。</w:t>
      </w:r>
    </w:p>
    <w:p w14:paraId="1E6C9595">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29.评标方法及中标候选人推荐</w:t>
      </w:r>
    </w:p>
    <w:p w14:paraId="750AFCF3">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29.1本项目的评标方法详见“投标人须知前附表”。</w:t>
      </w:r>
    </w:p>
    <w:p w14:paraId="0238D0D1">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29.2 商务/技术要求允许负偏离的条款数详见“投标人须知前附表”。</w:t>
      </w:r>
    </w:p>
    <w:p w14:paraId="15635FFF">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29.3 中标候选人推荐数量详见“投标人须知前附表”。</w:t>
      </w:r>
    </w:p>
    <w:p w14:paraId="159A3DE7">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29.4 电子交易活动的中止。采购过程中出现以下情形，导致电子交易平台无法正常运行，或者无法保证电子交易的公平、公正和安全时，采购代理机构可以中止电子交易活动：</w:t>
      </w:r>
    </w:p>
    <w:p w14:paraId="025DBAC2">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（1）电子交易平台发生故障而无法登录访问的；</w:t>
      </w:r>
    </w:p>
    <w:p w14:paraId="635A4B82">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（2）电子交易平台应用或数据库出现错误，不能进行正常操作的；</w:t>
      </w:r>
    </w:p>
    <w:p w14:paraId="701C9FDE">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（3）电子交易平台发现严重安全漏洞，有潜在泄密危险的；</w:t>
      </w:r>
    </w:p>
    <w:p w14:paraId="16848AED">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（4）病毒发作导致不能进行正常操作的；</w:t>
      </w:r>
    </w:p>
    <w:p w14:paraId="5AC583AE">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（5）其他无法保证电子交易的公平、公正和安全的情况。</w:t>
      </w:r>
    </w:p>
    <w:p w14:paraId="386899D4">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作出妥善保密处理，并报财政部门备案。</w:t>
      </w:r>
    </w:p>
    <w:p w14:paraId="592B1CD9">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29.5出现下列情形之一的，应予废标：</w:t>
      </w:r>
    </w:p>
    <w:p w14:paraId="3480521E">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（1）符合专业条件的供应商或者对招标文件作实质响应的供应商不足三家的；</w:t>
      </w:r>
    </w:p>
    <w:p w14:paraId="5558B9EA">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（2）出现影响采购公正的违法、违规行为的；</w:t>
      </w:r>
    </w:p>
    <w:p w14:paraId="68A11DBC">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（3）投标人的报价均超过了采购预算，采购人不能支付的；</w:t>
      </w:r>
    </w:p>
    <w:p w14:paraId="031AAFF0">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（4）因重大变故，采购任务取消的。</w:t>
      </w:r>
    </w:p>
    <w:p w14:paraId="7A29E287">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废标后，采购人应当将废标理由通知所有投标人。</w:t>
      </w:r>
    </w:p>
    <w:p w14:paraId="44DB008D">
      <w:pPr>
        <w:pStyle w:val="20"/>
        <w:keepNext w:val="0"/>
        <w:keepLines w:val="0"/>
        <w:pageBreakBefore w:val="0"/>
        <w:widowControl w:val="0"/>
        <w:kinsoku/>
        <w:wordWrap/>
        <w:overflowPunct/>
        <w:topLinePunct w:val="0"/>
        <w:autoSpaceDE/>
        <w:autoSpaceDN/>
        <w:bidi w:val="0"/>
        <w:snapToGrid w:val="0"/>
        <w:spacing w:line="400" w:lineRule="exact"/>
        <w:textAlignment w:val="auto"/>
        <w:rPr>
          <w:rFonts w:hint="eastAsia" w:hAnsi="宋体" w:cs="宋体"/>
          <w:color w:val="auto"/>
          <w:highlight w:val="none"/>
        </w:rPr>
      </w:pPr>
    </w:p>
    <w:p w14:paraId="5D04B6A3">
      <w:pPr>
        <w:pStyle w:val="5"/>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highlight w:val="none"/>
        </w:rPr>
      </w:pPr>
      <w:bookmarkStart w:id="153" w:name="_Toc254970546"/>
      <w:bookmarkStart w:id="154" w:name="_Toc254970687"/>
      <w:bookmarkStart w:id="155" w:name="_Toc12517"/>
      <w:bookmarkStart w:id="156" w:name="_Toc3006"/>
      <w:r>
        <w:rPr>
          <w:rFonts w:hint="eastAsia" w:ascii="宋体" w:hAnsi="宋体" w:cs="宋体"/>
          <w:color w:val="auto"/>
          <w:highlight w:val="none"/>
        </w:rPr>
        <w:t>七、</w:t>
      </w:r>
      <w:bookmarkEnd w:id="153"/>
      <w:bookmarkEnd w:id="154"/>
      <w:r>
        <w:rPr>
          <w:rFonts w:hint="eastAsia" w:ascii="宋体" w:hAnsi="宋体" w:cs="宋体"/>
          <w:color w:val="auto"/>
          <w:highlight w:val="none"/>
        </w:rPr>
        <w:t>中标和合同</w:t>
      </w:r>
      <w:bookmarkEnd w:id="155"/>
      <w:bookmarkEnd w:id="156"/>
    </w:p>
    <w:p w14:paraId="3053E40B">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30 确定中标人</w:t>
      </w:r>
    </w:p>
    <w:p w14:paraId="4141719E">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30.1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14:paraId="23C4970F">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30.2采购人在收到评标报告5个工作日内未按评标报告推荐的中标候选人顺序确定中标人，又不能说明合法理由的，视同按评标报告推荐的顺序确定排名第一的中标候选人为中标人。</w:t>
      </w:r>
    </w:p>
    <w:p w14:paraId="791DDCC1">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31.结果公告</w:t>
      </w:r>
    </w:p>
    <w:p w14:paraId="02462D5B">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31.1采购人或者采购代理机构应当自中标人确定之日起2个工作日内，在省级以上财政部门指定的媒体上公告中标结果，招标文件应当随中标结果同时公告。采购人或者采购代理发出中标通知书前，应当对中标人信用进行查询，对列入失信被执行人、重大税收违法失信主体、政府采购严重违法失信行为记录名单及其他不符合《中华人民共和国政府采购法》第二十二条规定条件的投标人，取消其中标资格，并确定排名第二的中标候选人为中标人。排名第二的中标候选人因前款规定的同样原因被取消中标资格的，采购人可以确定排名第三的中标候选人为中标人，以此类推。</w:t>
      </w:r>
    </w:p>
    <w:p w14:paraId="7213F2D8">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以上信息查询记录及相关证据与招标文件一并保存。</w:t>
      </w:r>
    </w:p>
    <w:p w14:paraId="3A398A55">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31.2中标供应商享受《政府采购促进中小企业发展管理办法》（财库〔2020〕46号）规定的中小企业扶持政策的，采购人、采购代理机构应当随中标结果公开中标供应商的《中小企业声明函》。</w:t>
      </w:r>
    </w:p>
    <w:p w14:paraId="70212AE8">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32.发出中标通知书</w:t>
      </w:r>
    </w:p>
    <w:p w14:paraId="26D44E35">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在发布中标公告的同时，采购代理机构向中标人通过广西政府采购云平台发出电子中标通知书。对未通过资格审查的投标人，应当告知其未通过的原因；采用综合评分办法评审的，还应当告知未中标人本人的评审得分与排序。</w:t>
      </w:r>
    </w:p>
    <w:p w14:paraId="39A6E887">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33.无义务解释未中标原因</w:t>
      </w:r>
    </w:p>
    <w:p w14:paraId="35B6CFFD">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采购代理机构无义务向未中标的投标人解释未中标原因。</w:t>
      </w:r>
    </w:p>
    <w:p w14:paraId="45E3807E">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34.合同授予标准</w:t>
      </w:r>
    </w:p>
    <w:p w14:paraId="77CAC687">
      <w:pPr>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合同将授予被确定实质上响应招标文件要求，具备履行合同能力的中标人。</w:t>
      </w:r>
    </w:p>
    <w:p w14:paraId="6EF93116">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35.履约保证金</w:t>
      </w:r>
    </w:p>
    <w:p w14:paraId="61308024">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bookmarkStart w:id="157" w:name="_39.1中标人须于签订合同前按本须知前附表规定的金额转账或电汇到指定账"/>
      <w:bookmarkEnd w:id="157"/>
      <w:r>
        <w:rPr>
          <w:rFonts w:hint="eastAsia" w:hAnsi="宋体" w:cs="宋体"/>
          <w:color w:val="auto"/>
          <w:highlight w:val="none"/>
        </w:rPr>
        <w:t>35.1 履约保证金的金额、提交方式、缴纳期限、退付的时间和条件详见 “投标人须知前附表”。中标人未按规定提交履约保证金的，视为拒绝与采购人签订合同。</w:t>
      </w:r>
    </w:p>
    <w:p w14:paraId="21BDD4AB">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35.2在履约保证金退还日期前，若中标人的开户名称、开户银行、账号有变动的，请以书面形式通知履约保证金收取单位，否则由此产生的后果由中标人自行承担。</w:t>
      </w:r>
    </w:p>
    <w:p w14:paraId="7B4991DC">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36.签订合同</w:t>
      </w:r>
    </w:p>
    <w:p w14:paraId="1EDC8DE0">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bookmarkStart w:id="158" w:name="_40.1投标人接到中标通知书后，按须知前附表规定向采购人出示相关资格证"/>
      <w:bookmarkEnd w:id="158"/>
      <w:r>
        <w:rPr>
          <w:rFonts w:hint="eastAsia" w:hAnsi="宋体" w:cs="宋体"/>
          <w:color w:val="auto"/>
          <w:highlight w:val="none"/>
        </w:rPr>
        <w:t>36.1签订电子采购合同：中标人领取电子中标通知书后，在规定的日期、时间、地点，由法定代表人或其授权代表与采购人代表签订电子采购合同。如中标人为联合体的，由联合体成员各方法定代表人或其授权代表与采购人代表签订合同。</w:t>
      </w:r>
    </w:p>
    <w:p w14:paraId="40969F8E">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线下签订纸质合同：投标人领取中标通知书后，按“投标人须知前附表”规定向采购人出示相关证明材料，经采购人核验合格后方可签订合同。</w:t>
      </w:r>
    </w:p>
    <w:p w14:paraId="08A2FF36">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36.2签订合同时间：按中标通知书规定的时间与采购人签订合同。</w:t>
      </w:r>
    </w:p>
    <w:p w14:paraId="72B7EBA8">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36.3中标人拒绝签订政府采购合同（包括但不限于放弃中标、因不可抗力不能履行合同而放弃签订合同），采购人可以按照评审报告推荐的中标候选人名单排序，确定下一候选人为中标供应商，也可以重新开展政府采购活动。如采购人无正当理由拒签合同的，给中标供应商造成损失的，中标供应商可追究采购人承担相应的法律责任。</w:t>
      </w:r>
    </w:p>
    <w:p w14:paraId="0A28501B">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36.4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448168BF">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36.5采购人或中标供应商不得单方面向合同另一方提出任何招标文件没有约定的条件或不合理的要求，作为签订合同的条件；也不得协商另行订立背离招标文件和合同实质性内容的协议。</w:t>
      </w:r>
    </w:p>
    <w:p w14:paraId="1732262D">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36.6如签订合同并生效后，供应商无故拒绝或延期，除按照合同条款处理外，将承担相应的法律责任。</w:t>
      </w:r>
    </w:p>
    <w:p w14:paraId="6C6F60F0">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36.7政府采购合同履行中，采购人需追加与合同标的相同的货物、工程或者服务的，在不改变合同其他条款的前提下，可以与供应商协商签订补充合同，但所有补充合同的采购金额不得超过原合同采购金额的10%。</w:t>
      </w:r>
    </w:p>
    <w:p w14:paraId="0266275A">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bookmarkStart w:id="159" w:name="_41.政府采购合同公告"/>
      <w:bookmarkEnd w:id="159"/>
      <w:r>
        <w:rPr>
          <w:rFonts w:hint="eastAsia" w:ascii="宋体" w:hAnsi="宋体" w:cs="宋体"/>
          <w:b/>
          <w:color w:val="auto"/>
          <w:sz w:val="24"/>
          <w:highlight w:val="none"/>
        </w:rPr>
        <w:t>37.政府采购合同公告</w:t>
      </w:r>
    </w:p>
    <w:p w14:paraId="641E08DA">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采购人或者受托采购代理机构应当自政府采购合同签订之日起2个工作日内，将政府采购合同在省级以上人民政府财政部门指定的媒体上公告，但政府采购合同中涉及国家秘密、商业秘密的内容除外。</w:t>
      </w:r>
    </w:p>
    <w:p w14:paraId="3C3B34E2">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38.询问、质疑和投诉</w:t>
      </w:r>
    </w:p>
    <w:p w14:paraId="078BCA0D">
      <w:pPr>
        <w:pStyle w:val="10"/>
        <w:keepNext w:val="0"/>
        <w:keepLines w:val="0"/>
        <w:pageBreakBefore w:val="0"/>
        <w:widowControl w:val="0"/>
        <w:kinsoku/>
        <w:wordWrap/>
        <w:overflowPunct/>
        <w:topLinePunct w:val="0"/>
        <w:autoSpaceDE/>
        <w:autoSpaceDN/>
        <w:bidi w:val="0"/>
        <w:spacing w:line="400" w:lineRule="exact"/>
        <w:textAlignment w:val="auto"/>
        <w:rPr>
          <w:rFonts w:hint="eastAsia" w:ascii="宋体" w:hAnsi="宋体" w:cs="宋体"/>
          <w:color w:val="auto"/>
          <w:szCs w:val="21"/>
          <w:highlight w:val="none"/>
        </w:rPr>
      </w:pPr>
      <w:r>
        <w:rPr>
          <w:rFonts w:hint="eastAsia" w:ascii="宋体" w:hAnsi="宋体" w:cs="宋体"/>
          <w:color w:val="auto"/>
          <w:szCs w:val="21"/>
          <w:highlight w:val="none"/>
        </w:rPr>
        <w:t>38.1供应商对政府采购活动事项有疑问的，可以向采购人提出询问，采购人或者采购代理机构应当在3个工作日内对供应商依法提出的询问作出答复，但答复的内容不得涉及商业秘密。</w:t>
      </w:r>
    </w:p>
    <w:p w14:paraId="4D597BCB">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38.2供应商认为招标文件、采购过程或者中标结果使自己的合法权益受到损害的，必须在知道或者应知其权益受到损害之日起7个工作日内，以书面形式向采购人、采购代理机构提出质疑。采购人、采购代理机构接收质疑函的方式、联系部门、联系电话和通讯地址等信息详见“投标人须知前附表”。具体质疑起算时间如下：</w:t>
      </w:r>
    </w:p>
    <w:p w14:paraId="3F757197">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（1）对可以质疑的招标文件提出质疑的，为收到招标文件之日或者招标文件公告期限届满之日；</w:t>
      </w:r>
    </w:p>
    <w:p w14:paraId="62689C99">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（2）对采购过程提出质疑的，为各采购程序环节结束之日；</w:t>
      </w:r>
    </w:p>
    <w:p w14:paraId="7C917F64">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bCs/>
          <w:color w:val="auto"/>
          <w:highlight w:val="none"/>
        </w:rPr>
      </w:pPr>
      <w:r>
        <w:rPr>
          <w:rFonts w:hint="eastAsia" w:hAnsi="宋体" w:cs="宋体"/>
          <w:color w:val="auto"/>
          <w:highlight w:val="none"/>
        </w:rPr>
        <w:t>（3）对中标结果提出质疑的，为中标结果公告期限届满之日。</w:t>
      </w:r>
    </w:p>
    <w:p w14:paraId="4104A8FE">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bookmarkStart w:id="160" w:name="_9.2质疑、投诉应当采用书面形式，质疑函、投诉书均应明确阐述招标文件、"/>
      <w:bookmarkEnd w:id="160"/>
      <w:r>
        <w:rPr>
          <w:rFonts w:hint="eastAsia" w:hAnsi="宋体" w:cs="宋体"/>
          <w:color w:val="auto"/>
          <w:highlight w:val="none"/>
        </w:rPr>
        <w:t>38.3供应商提出质疑应当提交质疑函和必要的证明材料，针对同一采购程序环节的质疑必须在法定质疑期内一次性提出。质疑函应当包括下列内容（质疑函格式后附）：</w:t>
      </w:r>
    </w:p>
    <w:p w14:paraId="53F4BA10">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bCs/>
          <w:color w:val="auto"/>
          <w:highlight w:val="none"/>
        </w:rPr>
      </w:pPr>
      <w:r>
        <w:rPr>
          <w:rFonts w:hint="eastAsia" w:hAnsi="宋体" w:cs="宋体"/>
          <w:bCs/>
          <w:color w:val="auto"/>
          <w:highlight w:val="none"/>
        </w:rPr>
        <w:t>（1）供应商的姓名或者名称、地址、邮编、联系人及联系电话；</w:t>
      </w:r>
    </w:p>
    <w:p w14:paraId="70E46485">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bCs/>
          <w:color w:val="auto"/>
          <w:highlight w:val="none"/>
        </w:rPr>
      </w:pPr>
      <w:r>
        <w:rPr>
          <w:rFonts w:hint="eastAsia" w:hAnsi="宋体" w:cs="宋体"/>
          <w:bCs/>
          <w:color w:val="auto"/>
          <w:highlight w:val="none"/>
        </w:rPr>
        <w:t>（2）质疑项目的名称、编号；</w:t>
      </w:r>
    </w:p>
    <w:p w14:paraId="3D36AB17">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bCs/>
          <w:color w:val="auto"/>
          <w:highlight w:val="none"/>
        </w:rPr>
      </w:pPr>
      <w:r>
        <w:rPr>
          <w:rFonts w:hint="eastAsia" w:hAnsi="宋体" w:cs="宋体"/>
          <w:bCs/>
          <w:color w:val="auto"/>
          <w:highlight w:val="none"/>
        </w:rPr>
        <w:t>（3）具体、明确的质疑事项和与质疑事项相关的请求；</w:t>
      </w:r>
    </w:p>
    <w:p w14:paraId="0EEA2907">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bCs/>
          <w:color w:val="auto"/>
          <w:highlight w:val="none"/>
        </w:rPr>
      </w:pPr>
      <w:r>
        <w:rPr>
          <w:rFonts w:hint="eastAsia" w:hAnsi="宋体" w:cs="宋体"/>
          <w:bCs/>
          <w:color w:val="auto"/>
          <w:highlight w:val="none"/>
        </w:rPr>
        <w:t>（4）事实依据；</w:t>
      </w:r>
    </w:p>
    <w:p w14:paraId="3E99B4A8">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bCs/>
          <w:color w:val="auto"/>
          <w:highlight w:val="none"/>
        </w:rPr>
      </w:pPr>
      <w:r>
        <w:rPr>
          <w:rFonts w:hint="eastAsia" w:hAnsi="宋体" w:cs="宋体"/>
          <w:bCs/>
          <w:color w:val="auto"/>
          <w:highlight w:val="none"/>
        </w:rPr>
        <w:t>（5）必要的法律依据；</w:t>
      </w:r>
    </w:p>
    <w:p w14:paraId="74775901">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bCs/>
          <w:color w:val="auto"/>
          <w:highlight w:val="none"/>
        </w:rPr>
      </w:pPr>
      <w:r>
        <w:rPr>
          <w:rFonts w:hint="eastAsia" w:hAnsi="宋体" w:cs="宋体"/>
          <w:bCs/>
          <w:color w:val="auto"/>
          <w:highlight w:val="none"/>
        </w:rPr>
        <w:t>（6）提出质疑的日期。</w:t>
      </w:r>
    </w:p>
    <w:p w14:paraId="28139A8A">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bCs/>
          <w:color w:val="auto"/>
          <w:highlight w:val="none"/>
        </w:rPr>
      </w:pPr>
      <w:r>
        <w:rPr>
          <w:rFonts w:hint="eastAsia" w:hAnsi="宋体" w:cs="宋体"/>
          <w:bCs/>
          <w:color w:val="auto"/>
          <w:highlight w:val="none"/>
        </w:rPr>
        <w:t>供应商为自然人的，应当由本人签字；供应商为法人或者其他组织的，应当由法定代表人、主要负责人，或者其委托代理人签字或者盖章，并加盖公章。</w:t>
      </w:r>
    </w:p>
    <w:p w14:paraId="3ECE393E">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38.4采购人、采购代理机构认为供应商质疑不成立，或者成立但未对中标结果构成影响的，继续开展采购活动；认为供应商质疑成立且影响或者可能影响中标结果的，按照下列情况处理：</w:t>
      </w:r>
    </w:p>
    <w:p w14:paraId="653BD883">
      <w:pPr>
        <w:pStyle w:val="20"/>
        <w:keepNext w:val="0"/>
        <w:keepLines w:val="0"/>
        <w:pageBreakBefore w:val="0"/>
        <w:widowControl w:val="0"/>
        <w:kinsoku/>
        <w:wordWrap/>
        <w:overflowPunct/>
        <w:topLinePunct w:val="0"/>
        <w:autoSpaceDE/>
        <w:autoSpaceDN/>
        <w:bidi w:val="0"/>
        <w:snapToGrid w:val="0"/>
        <w:spacing w:line="400" w:lineRule="exact"/>
        <w:textAlignment w:val="auto"/>
        <w:rPr>
          <w:rFonts w:hint="eastAsia" w:hAnsi="宋体" w:cs="宋体"/>
          <w:bCs/>
          <w:color w:val="auto"/>
          <w:highlight w:val="none"/>
        </w:rPr>
      </w:pPr>
      <w:r>
        <w:rPr>
          <w:rFonts w:hint="eastAsia" w:hAnsi="宋体" w:cs="宋体"/>
          <w:bCs/>
          <w:color w:val="auto"/>
          <w:highlight w:val="none"/>
        </w:rPr>
        <w:t>　　（一）对招标文件提出的质疑，依法通过澄清或者修改可以继续开展采购活动的，澄清或者修改招标文件后继续开展采购活动；否则应当修改招标文件后重新开展采购活动。</w:t>
      </w:r>
    </w:p>
    <w:p w14:paraId="276DE83E">
      <w:pPr>
        <w:pStyle w:val="20"/>
        <w:keepNext w:val="0"/>
        <w:keepLines w:val="0"/>
        <w:pageBreakBefore w:val="0"/>
        <w:widowControl w:val="0"/>
        <w:kinsoku/>
        <w:wordWrap/>
        <w:overflowPunct/>
        <w:topLinePunct w:val="0"/>
        <w:autoSpaceDE/>
        <w:autoSpaceDN/>
        <w:bidi w:val="0"/>
        <w:snapToGrid w:val="0"/>
        <w:spacing w:line="400" w:lineRule="exact"/>
        <w:textAlignment w:val="auto"/>
        <w:rPr>
          <w:rFonts w:hint="eastAsia" w:hAnsi="宋体" w:cs="宋体"/>
          <w:bCs/>
          <w:color w:val="auto"/>
          <w:highlight w:val="none"/>
        </w:rPr>
      </w:pPr>
      <w:r>
        <w:rPr>
          <w:rFonts w:hint="eastAsia" w:hAnsi="宋体" w:cs="宋体"/>
          <w:bCs/>
          <w:color w:val="auto"/>
          <w:highlight w:val="none"/>
        </w:rPr>
        <w:t>　　（二）对采购过程、中标结果提出的质疑，合格供应商符合法定数量时，可以从合格的中标候选人中另行确定中标供应商的，应当依法另行确定中标供应商；否则应当重新开展采购活动。</w:t>
      </w:r>
    </w:p>
    <w:p w14:paraId="3C355DF1">
      <w:pPr>
        <w:pStyle w:val="20"/>
        <w:keepNext w:val="0"/>
        <w:keepLines w:val="0"/>
        <w:pageBreakBefore w:val="0"/>
        <w:widowControl w:val="0"/>
        <w:kinsoku/>
        <w:wordWrap/>
        <w:overflowPunct/>
        <w:topLinePunct w:val="0"/>
        <w:autoSpaceDE/>
        <w:autoSpaceDN/>
        <w:bidi w:val="0"/>
        <w:snapToGrid w:val="0"/>
        <w:spacing w:line="400" w:lineRule="exact"/>
        <w:ind w:firstLine="420"/>
        <w:textAlignment w:val="auto"/>
        <w:rPr>
          <w:rFonts w:hint="eastAsia" w:hAnsi="宋体" w:cs="宋体"/>
          <w:bCs/>
          <w:color w:val="auto"/>
          <w:highlight w:val="none"/>
        </w:rPr>
      </w:pPr>
      <w:r>
        <w:rPr>
          <w:rFonts w:hint="eastAsia" w:hAnsi="宋体" w:cs="宋体"/>
          <w:bCs/>
          <w:color w:val="auto"/>
          <w:highlight w:val="none"/>
        </w:rPr>
        <w:t>质疑答复导致中标结果改变的，采购人或者采购代理机构应当将有关情况书面报告本级财政部门。</w:t>
      </w:r>
    </w:p>
    <w:p w14:paraId="29D8163C">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38.5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1B2B78BC">
      <w:pPr>
        <w:pStyle w:val="5"/>
        <w:keepNext w:val="0"/>
        <w:keepLines w:val="0"/>
        <w:pageBreakBefore w:val="0"/>
        <w:widowControl w:val="0"/>
        <w:kinsoku/>
        <w:wordWrap/>
        <w:overflowPunct/>
        <w:topLinePunct w:val="0"/>
        <w:autoSpaceDE/>
        <w:autoSpaceDN/>
        <w:bidi w:val="0"/>
        <w:spacing w:before="240" w:after="240" w:line="400" w:lineRule="exact"/>
        <w:jc w:val="center"/>
        <w:textAlignment w:val="auto"/>
        <w:rPr>
          <w:rFonts w:hint="eastAsia" w:ascii="宋体" w:hAnsi="宋体" w:cs="宋体"/>
          <w:color w:val="auto"/>
          <w:highlight w:val="none"/>
        </w:rPr>
      </w:pPr>
      <w:bookmarkStart w:id="161" w:name="_八、其他事项"/>
      <w:bookmarkEnd w:id="161"/>
      <w:bookmarkStart w:id="162" w:name="_Toc24956"/>
      <w:bookmarkStart w:id="163" w:name="_Toc17072"/>
      <w:r>
        <w:rPr>
          <w:rFonts w:hint="eastAsia" w:ascii="宋体" w:hAnsi="宋体" w:cs="宋体"/>
          <w:color w:val="auto"/>
          <w:highlight w:val="none"/>
        </w:rPr>
        <w:t>八、其他事项</w:t>
      </w:r>
      <w:bookmarkEnd w:id="162"/>
      <w:bookmarkEnd w:id="163"/>
    </w:p>
    <w:p w14:paraId="7E8F7ABB">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bookmarkStart w:id="164" w:name="_42.代理服务费"/>
      <w:bookmarkEnd w:id="164"/>
      <w:r>
        <w:rPr>
          <w:rFonts w:hint="eastAsia" w:ascii="宋体" w:hAnsi="宋体" w:cs="宋体"/>
          <w:b/>
          <w:color w:val="auto"/>
          <w:sz w:val="24"/>
          <w:highlight w:val="none"/>
        </w:rPr>
        <w:t>39.代理服务费</w:t>
      </w:r>
    </w:p>
    <w:p w14:paraId="1CFCF30E">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39.1代理服务费收取标准参照国家发展计划委员会《招标代理服务费管理暂行办法》（计价格（2002）1980号、《国家发展改革委关于降低部分建设项目收费标准规范收费行为等有关问题的通知》（发改价格[2011]534号）收费标准（服务类）下浮20%向供应商收取，供应商为联合体的，可以由联合体中的一方或者多方共同交纳代理服务费。代理服务费缴费账户详见“投标人须知前附表”。</w:t>
      </w:r>
    </w:p>
    <w:p w14:paraId="3A22E1FE">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代理服务费收取标准附表：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99"/>
        <w:gridCol w:w="1720"/>
        <w:gridCol w:w="1749"/>
        <w:gridCol w:w="1454"/>
      </w:tblGrid>
      <w:tr w14:paraId="24736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12" w:type="pct"/>
            <w:tcBorders>
              <w:tl2br w:val="single" w:color="auto" w:sz="4" w:space="0"/>
            </w:tcBorders>
            <w:noWrap w:val="0"/>
            <w:vAlign w:val="center"/>
          </w:tcPr>
          <w:p w14:paraId="5CF6D214">
            <w:pPr>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费率</w:t>
            </w:r>
          </w:p>
          <w:p w14:paraId="5D298EC0">
            <w:pPr>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中标金额</w:t>
            </w:r>
          </w:p>
        </w:tc>
        <w:tc>
          <w:tcPr>
            <w:tcW w:w="1009" w:type="pct"/>
            <w:noWrap w:val="0"/>
            <w:vAlign w:val="center"/>
          </w:tcPr>
          <w:p w14:paraId="63D51DB5">
            <w:pPr>
              <w:keepNext w:val="0"/>
              <w:keepLines w:val="0"/>
              <w:pageBreakBefore w:val="0"/>
              <w:widowControl w:val="0"/>
              <w:kinsoku/>
              <w:wordWrap/>
              <w:overflowPunct/>
              <w:topLinePunct w:val="0"/>
              <w:autoSpaceDE/>
              <w:autoSpaceDN/>
              <w:bidi w:val="0"/>
              <w:spacing w:line="400" w:lineRule="exact"/>
              <w:ind w:firstLine="105" w:firstLineChars="50"/>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货物招标</w:t>
            </w:r>
          </w:p>
        </w:tc>
        <w:tc>
          <w:tcPr>
            <w:tcW w:w="1026" w:type="pct"/>
            <w:noWrap w:val="0"/>
            <w:vAlign w:val="center"/>
          </w:tcPr>
          <w:p w14:paraId="2E32148E">
            <w:pPr>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服务招标</w:t>
            </w:r>
          </w:p>
        </w:tc>
        <w:tc>
          <w:tcPr>
            <w:tcW w:w="853" w:type="pct"/>
            <w:noWrap w:val="0"/>
            <w:vAlign w:val="center"/>
          </w:tcPr>
          <w:p w14:paraId="11EE12CA">
            <w:pPr>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工程招标</w:t>
            </w:r>
          </w:p>
        </w:tc>
      </w:tr>
      <w:tr w14:paraId="2B78A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12" w:type="pct"/>
            <w:noWrap w:val="0"/>
            <w:vAlign w:val="center"/>
          </w:tcPr>
          <w:p w14:paraId="433E6EF9">
            <w:pPr>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100万元以下</w:t>
            </w:r>
          </w:p>
        </w:tc>
        <w:tc>
          <w:tcPr>
            <w:tcW w:w="1009" w:type="pct"/>
            <w:noWrap w:val="0"/>
            <w:vAlign w:val="center"/>
          </w:tcPr>
          <w:p w14:paraId="101BA9F3">
            <w:pPr>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szCs w:val="21"/>
                <w:highlight w:val="none"/>
              </w:rPr>
            </w:pPr>
            <w:r>
              <w:rPr>
                <w:rFonts w:hint="eastAsia" w:ascii="宋体" w:hAnsi="宋体" w:cs="宋体"/>
                <w:color w:val="auto"/>
                <w:kern w:val="0"/>
                <w:szCs w:val="21"/>
                <w:highlight w:val="none"/>
              </w:rPr>
              <w:t>1.5%</w:t>
            </w:r>
          </w:p>
        </w:tc>
        <w:tc>
          <w:tcPr>
            <w:tcW w:w="1026" w:type="pct"/>
            <w:noWrap w:val="0"/>
            <w:vAlign w:val="center"/>
          </w:tcPr>
          <w:p w14:paraId="2CD80913">
            <w:pPr>
              <w:keepNext w:val="0"/>
              <w:keepLines w:val="0"/>
              <w:pageBreakBefore w:val="0"/>
              <w:widowControl w:val="0"/>
              <w:kinsoku/>
              <w:wordWrap/>
              <w:overflowPunct/>
              <w:topLinePunct w:val="0"/>
              <w:autoSpaceDE/>
              <w:autoSpaceDN/>
              <w:bidi w:val="0"/>
              <w:spacing w:line="400" w:lineRule="exact"/>
              <w:ind w:firstLine="210" w:firstLineChars="100"/>
              <w:jc w:val="center"/>
              <w:textAlignment w:val="auto"/>
              <w:rPr>
                <w:rFonts w:hint="eastAsia" w:ascii="宋体" w:hAnsi="宋体" w:cs="宋体"/>
                <w:color w:val="auto"/>
                <w:szCs w:val="21"/>
                <w:highlight w:val="none"/>
              </w:rPr>
            </w:pPr>
            <w:r>
              <w:rPr>
                <w:rFonts w:hint="eastAsia" w:ascii="宋体" w:hAnsi="宋体" w:cs="宋体"/>
                <w:color w:val="auto"/>
                <w:kern w:val="0"/>
                <w:szCs w:val="21"/>
                <w:highlight w:val="none"/>
              </w:rPr>
              <w:t>1.5%</w:t>
            </w:r>
          </w:p>
        </w:tc>
        <w:tc>
          <w:tcPr>
            <w:tcW w:w="853" w:type="pct"/>
            <w:noWrap w:val="0"/>
            <w:vAlign w:val="center"/>
          </w:tcPr>
          <w:p w14:paraId="114762B2">
            <w:pPr>
              <w:keepNext w:val="0"/>
              <w:keepLines w:val="0"/>
              <w:pageBreakBefore w:val="0"/>
              <w:widowControl w:val="0"/>
              <w:kinsoku/>
              <w:wordWrap/>
              <w:overflowPunct/>
              <w:topLinePunct w:val="0"/>
              <w:autoSpaceDE/>
              <w:autoSpaceDN/>
              <w:bidi w:val="0"/>
              <w:spacing w:line="400" w:lineRule="exact"/>
              <w:ind w:firstLine="210" w:firstLineChars="100"/>
              <w:jc w:val="center"/>
              <w:textAlignment w:val="auto"/>
              <w:rPr>
                <w:rFonts w:hint="eastAsia" w:ascii="宋体" w:hAnsi="宋体" w:cs="宋体"/>
                <w:color w:val="auto"/>
                <w:szCs w:val="21"/>
                <w:highlight w:val="none"/>
              </w:rPr>
            </w:pPr>
            <w:r>
              <w:rPr>
                <w:rFonts w:hint="eastAsia" w:ascii="宋体" w:hAnsi="宋体" w:cs="宋体"/>
                <w:color w:val="auto"/>
                <w:kern w:val="0"/>
                <w:szCs w:val="21"/>
                <w:highlight w:val="none"/>
              </w:rPr>
              <w:t>1.0%</w:t>
            </w:r>
          </w:p>
        </w:tc>
      </w:tr>
      <w:tr w14:paraId="26D83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12" w:type="pct"/>
            <w:noWrap w:val="0"/>
            <w:vAlign w:val="center"/>
          </w:tcPr>
          <w:p w14:paraId="5F857B62">
            <w:pPr>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100万元～500万元</w:t>
            </w:r>
          </w:p>
        </w:tc>
        <w:tc>
          <w:tcPr>
            <w:tcW w:w="1009" w:type="pct"/>
            <w:noWrap w:val="0"/>
            <w:vAlign w:val="center"/>
          </w:tcPr>
          <w:p w14:paraId="6C691446">
            <w:pPr>
              <w:keepNext w:val="0"/>
              <w:keepLines w:val="0"/>
              <w:pageBreakBefore w:val="0"/>
              <w:widowControl w:val="0"/>
              <w:kinsoku/>
              <w:wordWrap/>
              <w:overflowPunct/>
              <w:topLinePunct w:val="0"/>
              <w:autoSpaceDE/>
              <w:autoSpaceDN/>
              <w:bidi w:val="0"/>
              <w:spacing w:line="400" w:lineRule="exact"/>
              <w:ind w:firstLine="210" w:firstLineChars="100"/>
              <w:jc w:val="center"/>
              <w:textAlignment w:val="auto"/>
              <w:rPr>
                <w:rFonts w:hint="eastAsia" w:ascii="宋体" w:hAnsi="宋体" w:cs="宋体"/>
                <w:color w:val="auto"/>
                <w:szCs w:val="21"/>
                <w:highlight w:val="none"/>
              </w:rPr>
            </w:pPr>
            <w:r>
              <w:rPr>
                <w:rFonts w:hint="eastAsia" w:ascii="宋体" w:hAnsi="宋体" w:cs="宋体"/>
                <w:color w:val="auto"/>
                <w:kern w:val="0"/>
                <w:szCs w:val="21"/>
                <w:highlight w:val="none"/>
              </w:rPr>
              <w:t>1.1%</w:t>
            </w:r>
          </w:p>
        </w:tc>
        <w:tc>
          <w:tcPr>
            <w:tcW w:w="1026" w:type="pct"/>
            <w:noWrap w:val="0"/>
            <w:vAlign w:val="center"/>
          </w:tcPr>
          <w:p w14:paraId="0FF66D45">
            <w:pPr>
              <w:keepNext w:val="0"/>
              <w:keepLines w:val="0"/>
              <w:pageBreakBefore w:val="0"/>
              <w:widowControl w:val="0"/>
              <w:kinsoku/>
              <w:wordWrap/>
              <w:overflowPunct/>
              <w:topLinePunct w:val="0"/>
              <w:autoSpaceDE/>
              <w:autoSpaceDN/>
              <w:bidi w:val="0"/>
              <w:spacing w:line="400" w:lineRule="exact"/>
              <w:ind w:firstLine="210" w:firstLineChars="100"/>
              <w:jc w:val="center"/>
              <w:textAlignment w:val="auto"/>
              <w:rPr>
                <w:rFonts w:hint="eastAsia" w:ascii="宋体" w:hAnsi="宋体" w:cs="宋体"/>
                <w:color w:val="auto"/>
                <w:szCs w:val="21"/>
                <w:highlight w:val="none"/>
              </w:rPr>
            </w:pPr>
            <w:r>
              <w:rPr>
                <w:rFonts w:hint="eastAsia" w:ascii="宋体" w:hAnsi="宋体" w:cs="宋体"/>
                <w:color w:val="auto"/>
                <w:kern w:val="0"/>
                <w:szCs w:val="21"/>
                <w:highlight w:val="none"/>
              </w:rPr>
              <w:t>0.8%</w:t>
            </w:r>
          </w:p>
        </w:tc>
        <w:tc>
          <w:tcPr>
            <w:tcW w:w="853" w:type="pct"/>
            <w:noWrap w:val="0"/>
            <w:vAlign w:val="center"/>
          </w:tcPr>
          <w:p w14:paraId="562EA864">
            <w:pPr>
              <w:keepNext w:val="0"/>
              <w:keepLines w:val="0"/>
              <w:pageBreakBefore w:val="0"/>
              <w:widowControl w:val="0"/>
              <w:kinsoku/>
              <w:wordWrap/>
              <w:overflowPunct/>
              <w:topLinePunct w:val="0"/>
              <w:autoSpaceDE/>
              <w:autoSpaceDN/>
              <w:bidi w:val="0"/>
              <w:spacing w:line="400" w:lineRule="exact"/>
              <w:ind w:firstLine="210" w:firstLineChars="100"/>
              <w:jc w:val="center"/>
              <w:textAlignment w:val="auto"/>
              <w:rPr>
                <w:rFonts w:hint="eastAsia" w:ascii="宋体" w:hAnsi="宋体" w:cs="宋体"/>
                <w:color w:val="auto"/>
                <w:szCs w:val="21"/>
                <w:highlight w:val="none"/>
              </w:rPr>
            </w:pPr>
            <w:r>
              <w:rPr>
                <w:rFonts w:hint="eastAsia" w:ascii="宋体" w:hAnsi="宋体" w:cs="宋体"/>
                <w:color w:val="auto"/>
                <w:kern w:val="0"/>
                <w:szCs w:val="21"/>
                <w:highlight w:val="none"/>
              </w:rPr>
              <w:t>0.7%</w:t>
            </w:r>
          </w:p>
        </w:tc>
      </w:tr>
      <w:tr w14:paraId="58456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12" w:type="pct"/>
            <w:noWrap w:val="0"/>
            <w:vAlign w:val="center"/>
          </w:tcPr>
          <w:p w14:paraId="3600A3C1">
            <w:pPr>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500万元～1000万元</w:t>
            </w:r>
          </w:p>
        </w:tc>
        <w:tc>
          <w:tcPr>
            <w:tcW w:w="1009" w:type="pct"/>
            <w:noWrap w:val="0"/>
            <w:vAlign w:val="center"/>
          </w:tcPr>
          <w:p w14:paraId="36B53CCA">
            <w:pPr>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szCs w:val="21"/>
                <w:highlight w:val="none"/>
              </w:rPr>
            </w:pPr>
            <w:r>
              <w:rPr>
                <w:rFonts w:hint="eastAsia" w:ascii="宋体" w:hAnsi="宋体" w:cs="宋体"/>
                <w:color w:val="auto"/>
                <w:kern w:val="0"/>
                <w:szCs w:val="21"/>
                <w:highlight w:val="none"/>
              </w:rPr>
              <w:t>0.8%</w:t>
            </w:r>
          </w:p>
        </w:tc>
        <w:tc>
          <w:tcPr>
            <w:tcW w:w="1026" w:type="pct"/>
            <w:noWrap w:val="0"/>
            <w:vAlign w:val="center"/>
          </w:tcPr>
          <w:p w14:paraId="6A9C791E">
            <w:pPr>
              <w:keepNext w:val="0"/>
              <w:keepLines w:val="0"/>
              <w:pageBreakBefore w:val="0"/>
              <w:widowControl w:val="0"/>
              <w:kinsoku/>
              <w:wordWrap/>
              <w:overflowPunct/>
              <w:topLinePunct w:val="0"/>
              <w:autoSpaceDE/>
              <w:autoSpaceDN/>
              <w:bidi w:val="0"/>
              <w:spacing w:line="400" w:lineRule="exact"/>
              <w:ind w:firstLine="210" w:firstLineChars="100"/>
              <w:jc w:val="center"/>
              <w:textAlignment w:val="auto"/>
              <w:rPr>
                <w:rFonts w:hint="eastAsia" w:ascii="宋体" w:hAnsi="宋体" w:cs="宋体"/>
                <w:color w:val="auto"/>
                <w:szCs w:val="21"/>
                <w:highlight w:val="none"/>
              </w:rPr>
            </w:pPr>
            <w:r>
              <w:rPr>
                <w:rFonts w:hint="eastAsia" w:ascii="宋体" w:hAnsi="宋体" w:cs="宋体"/>
                <w:color w:val="auto"/>
                <w:kern w:val="0"/>
                <w:szCs w:val="21"/>
                <w:highlight w:val="none"/>
              </w:rPr>
              <w:t>0.45%</w:t>
            </w:r>
          </w:p>
        </w:tc>
        <w:tc>
          <w:tcPr>
            <w:tcW w:w="853" w:type="pct"/>
            <w:noWrap w:val="0"/>
            <w:vAlign w:val="center"/>
          </w:tcPr>
          <w:p w14:paraId="5B2AEADC">
            <w:pPr>
              <w:keepNext w:val="0"/>
              <w:keepLines w:val="0"/>
              <w:pageBreakBefore w:val="0"/>
              <w:widowControl w:val="0"/>
              <w:kinsoku/>
              <w:wordWrap/>
              <w:overflowPunct/>
              <w:topLinePunct w:val="0"/>
              <w:autoSpaceDE/>
              <w:autoSpaceDN/>
              <w:bidi w:val="0"/>
              <w:spacing w:line="400" w:lineRule="exact"/>
              <w:ind w:firstLine="210" w:firstLineChars="100"/>
              <w:jc w:val="center"/>
              <w:textAlignment w:val="auto"/>
              <w:rPr>
                <w:rFonts w:hint="eastAsia" w:ascii="宋体" w:hAnsi="宋体" w:cs="宋体"/>
                <w:color w:val="auto"/>
                <w:szCs w:val="21"/>
                <w:highlight w:val="none"/>
              </w:rPr>
            </w:pPr>
            <w:r>
              <w:rPr>
                <w:rFonts w:hint="eastAsia" w:ascii="宋体" w:hAnsi="宋体" w:cs="宋体"/>
                <w:color w:val="auto"/>
                <w:kern w:val="0"/>
                <w:szCs w:val="21"/>
                <w:highlight w:val="none"/>
              </w:rPr>
              <w:t>0.55%</w:t>
            </w:r>
          </w:p>
        </w:tc>
      </w:tr>
      <w:tr w14:paraId="242B7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12" w:type="pct"/>
            <w:noWrap w:val="0"/>
            <w:vAlign w:val="center"/>
          </w:tcPr>
          <w:p w14:paraId="37B623CB">
            <w:pPr>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1000万元～5000万元</w:t>
            </w:r>
          </w:p>
        </w:tc>
        <w:tc>
          <w:tcPr>
            <w:tcW w:w="1009" w:type="pct"/>
            <w:noWrap w:val="0"/>
            <w:vAlign w:val="center"/>
          </w:tcPr>
          <w:p w14:paraId="443A8E32">
            <w:pPr>
              <w:keepNext w:val="0"/>
              <w:keepLines w:val="0"/>
              <w:pageBreakBefore w:val="0"/>
              <w:widowControl w:val="0"/>
              <w:kinsoku/>
              <w:wordWrap/>
              <w:overflowPunct/>
              <w:topLinePunct w:val="0"/>
              <w:autoSpaceDE/>
              <w:autoSpaceDN/>
              <w:bidi w:val="0"/>
              <w:spacing w:line="400" w:lineRule="exact"/>
              <w:ind w:firstLine="210" w:firstLineChars="100"/>
              <w:jc w:val="center"/>
              <w:textAlignment w:val="auto"/>
              <w:rPr>
                <w:rFonts w:hint="eastAsia" w:ascii="宋体" w:hAnsi="宋体" w:cs="宋体"/>
                <w:color w:val="auto"/>
                <w:szCs w:val="21"/>
                <w:highlight w:val="none"/>
              </w:rPr>
            </w:pPr>
            <w:r>
              <w:rPr>
                <w:rFonts w:hint="eastAsia" w:ascii="宋体" w:hAnsi="宋体" w:cs="宋体"/>
                <w:color w:val="auto"/>
                <w:kern w:val="0"/>
                <w:szCs w:val="21"/>
                <w:highlight w:val="none"/>
              </w:rPr>
              <w:t>0.5%</w:t>
            </w:r>
          </w:p>
        </w:tc>
        <w:tc>
          <w:tcPr>
            <w:tcW w:w="1026" w:type="pct"/>
            <w:noWrap w:val="0"/>
            <w:vAlign w:val="center"/>
          </w:tcPr>
          <w:p w14:paraId="71F80536">
            <w:pPr>
              <w:keepNext w:val="0"/>
              <w:keepLines w:val="0"/>
              <w:pageBreakBefore w:val="0"/>
              <w:widowControl w:val="0"/>
              <w:kinsoku/>
              <w:wordWrap/>
              <w:overflowPunct/>
              <w:topLinePunct w:val="0"/>
              <w:autoSpaceDE/>
              <w:autoSpaceDN/>
              <w:bidi w:val="0"/>
              <w:spacing w:line="400" w:lineRule="exact"/>
              <w:ind w:firstLine="210" w:firstLineChars="100"/>
              <w:jc w:val="center"/>
              <w:textAlignment w:val="auto"/>
              <w:rPr>
                <w:rFonts w:hint="eastAsia" w:ascii="宋体" w:hAnsi="宋体" w:cs="宋体"/>
                <w:color w:val="auto"/>
                <w:szCs w:val="21"/>
                <w:highlight w:val="none"/>
              </w:rPr>
            </w:pPr>
            <w:r>
              <w:rPr>
                <w:rFonts w:hint="eastAsia" w:ascii="宋体" w:hAnsi="宋体" w:cs="宋体"/>
                <w:color w:val="auto"/>
                <w:kern w:val="0"/>
                <w:szCs w:val="21"/>
                <w:highlight w:val="none"/>
              </w:rPr>
              <w:t>0.25%</w:t>
            </w:r>
          </w:p>
        </w:tc>
        <w:tc>
          <w:tcPr>
            <w:tcW w:w="853" w:type="pct"/>
            <w:noWrap w:val="0"/>
            <w:vAlign w:val="center"/>
          </w:tcPr>
          <w:p w14:paraId="6AE20DBD">
            <w:pPr>
              <w:keepNext w:val="0"/>
              <w:keepLines w:val="0"/>
              <w:pageBreakBefore w:val="0"/>
              <w:widowControl w:val="0"/>
              <w:kinsoku/>
              <w:wordWrap/>
              <w:overflowPunct/>
              <w:topLinePunct w:val="0"/>
              <w:autoSpaceDE/>
              <w:autoSpaceDN/>
              <w:bidi w:val="0"/>
              <w:spacing w:line="400" w:lineRule="exact"/>
              <w:ind w:firstLine="210" w:firstLineChars="100"/>
              <w:jc w:val="center"/>
              <w:textAlignment w:val="auto"/>
              <w:rPr>
                <w:rFonts w:hint="eastAsia" w:ascii="宋体" w:hAnsi="宋体" w:cs="宋体"/>
                <w:color w:val="auto"/>
                <w:szCs w:val="21"/>
                <w:highlight w:val="none"/>
              </w:rPr>
            </w:pPr>
            <w:r>
              <w:rPr>
                <w:rFonts w:hint="eastAsia" w:ascii="宋体" w:hAnsi="宋体" w:cs="宋体"/>
                <w:color w:val="auto"/>
                <w:kern w:val="0"/>
                <w:szCs w:val="21"/>
                <w:highlight w:val="none"/>
              </w:rPr>
              <w:t>0.35%</w:t>
            </w:r>
          </w:p>
        </w:tc>
      </w:tr>
      <w:tr w14:paraId="21FA9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12" w:type="pct"/>
            <w:noWrap w:val="0"/>
            <w:vAlign w:val="center"/>
          </w:tcPr>
          <w:p w14:paraId="40C0ECF1">
            <w:pPr>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5000万元～1亿元</w:t>
            </w:r>
          </w:p>
        </w:tc>
        <w:tc>
          <w:tcPr>
            <w:tcW w:w="1009" w:type="pct"/>
            <w:noWrap w:val="0"/>
            <w:vAlign w:val="center"/>
          </w:tcPr>
          <w:p w14:paraId="3A3096FD">
            <w:pPr>
              <w:keepNext w:val="0"/>
              <w:keepLines w:val="0"/>
              <w:pageBreakBefore w:val="0"/>
              <w:widowControl w:val="0"/>
              <w:kinsoku/>
              <w:wordWrap/>
              <w:overflowPunct/>
              <w:topLinePunct w:val="0"/>
              <w:autoSpaceDE/>
              <w:autoSpaceDN/>
              <w:bidi w:val="0"/>
              <w:spacing w:line="400" w:lineRule="exact"/>
              <w:ind w:firstLine="210" w:firstLineChars="100"/>
              <w:jc w:val="center"/>
              <w:textAlignment w:val="auto"/>
              <w:rPr>
                <w:rFonts w:hint="eastAsia" w:ascii="宋体" w:hAnsi="宋体" w:cs="宋体"/>
                <w:color w:val="auto"/>
                <w:szCs w:val="21"/>
                <w:highlight w:val="none"/>
              </w:rPr>
            </w:pPr>
            <w:r>
              <w:rPr>
                <w:rFonts w:hint="eastAsia" w:ascii="宋体" w:hAnsi="宋体" w:cs="宋体"/>
                <w:color w:val="auto"/>
                <w:kern w:val="0"/>
                <w:szCs w:val="21"/>
                <w:highlight w:val="none"/>
              </w:rPr>
              <w:t>0.25%</w:t>
            </w:r>
          </w:p>
        </w:tc>
        <w:tc>
          <w:tcPr>
            <w:tcW w:w="1026" w:type="pct"/>
            <w:noWrap w:val="0"/>
            <w:vAlign w:val="center"/>
          </w:tcPr>
          <w:p w14:paraId="12E0CF2F">
            <w:pPr>
              <w:keepNext w:val="0"/>
              <w:keepLines w:val="0"/>
              <w:pageBreakBefore w:val="0"/>
              <w:widowControl w:val="0"/>
              <w:kinsoku/>
              <w:wordWrap/>
              <w:overflowPunct/>
              <w:topLinePunct w:val="0"/>
              <w:autoSpaceDE/>
              <w:autoSpaceDN/>
              <w:bidi w:val="0"/>
              <w:spacing w:line="400" w:lineRule="exact"/>
              <w:ind w:firstLine="210" w:firstLineChars="100"/>
              <w:jc w:val="center"/>
              <w:textAlignment w:val="auto"/>
              <w:rPr>
                <w:rFonts w:hint="eastAsia" w:ascii="宋体" w:hAnsi="宋体" w:cs="宋体"/>
                <w:color w:val="auto"/>
                <w:szCs w:val="21"/>
                <w:highlight w:val="none"/>
              </w:rPr>
            </w:pPr>
            <w:r>
              <w:rPr>
                <w:rFonts w:hint="eastAsia" w:ascii="宋体" w:hAnsi="宋体" w:cs="宋体"/>
                <w:color w:val="auto"/>
                <w:kern w:val="0"/>
                <w:szCs w:val="21"/>
                <w:highlight w:val="none"/>
              </w:rPr>
              <w:t>0.1%</w:t>
            </w:r>
          </w:p>
        </w:tc>
        <w:tc>
          <w:tcPr>
            <w:tcW w:w="853" w:type="pct"/>
            <w:noWrap w:val="0"/>
            <w:vAlign w:val="center"/>
          </w:tcPr>
          <w:p w14:paraId="31203FEF">
            <w:pPr>
              <w:keepNext w:val="0"/>
              <w:keepLines w:val="0"/>
              <w:pageBreakBefore w:val="0"/>
              <w:widowControl w:val="0"/>
              <w:kinsoku/>
              <w:wordWrap/>
              <w:overflowPunct/>
              <w:topLinePunct w:val="0"/>
              <w:autoSpaceDE/>
              <w:autoSpaceDN/>
              <w:bidi w:val="0"/>
              <w:spacing w:line="400" w:lineRule="exact"/>
              <w:ind w:firstLine="210" w:firstLineChars="100"/>
              <w:jc w:val="center"/>
              <w:textAlignment w:val="auto"/>
              <w:rPr>
                <w:rFonts w:hint="eastAsia" w:ascii="宋体" w:hAnsi="宋体" w:cs="宋体"/>
                <w:color w:val="auto"/>
                <w:szCs w:val="21"/>
                <w:highlight w:val="none"/>
              </w:rPr>
            </w:pPr>
            <w:r>
              <w:rPr>
                <w:rFonts w:hint="eastAsia" w:ascii="宋体" w:hAnsi="宋体" w:cs="宋体"/>
                <w:color w:val="auto"/>
                <w:kern w:val="0"/>
                <w:szCs w:val="21"/>
                <w:highlight w:val="none"/>
              </w:rPr>
              <w:t>0.2%</w:t>
            </w:r>
          </w:p>
        </w:tc>
      </w:tr>
      <w:tr w14:paraId="3A1A6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12" w:type="pct"/>
            <w:noWrap w:val="0"/>
            <w:vAlign w:val="center"/>
          </w:tcPr>
          <w:p w14:paraId="7D48B509">
            <w:pPr>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1亿元～5亿元</w:t>
            </w:r>
          </w:p>
        </w:tc>
        <w:tc>
          <w:tcPr>
            <w:tcW w:w="1009" w:type="pct"/>
            <w:noWrap w:val="0"/>
            <w:vAlign w:val="center"/>
          </w:tcPr>
          <w:p w14:paraId="1B6F6A02">
            <w:pPr>
              <w:keepNext w:val="0"/>
              <w:keepLines w:val="0"/>
              <w:pageBreakBefore w:val="0"/>
              <w:widowControl w:val="0"/>
              <w:kinsoku/>
              <w:wordWrap/>
              <w:overflowPunct/>
              <w:topLinePunct w:val="0"/>
              <w:autoSpaceDE/>
              <w:autoSpaceDN/>
              <w:bidi w:val="0"/>
              <w:spacing w:line="400" w:lineRule="exact"/>
              <w:ind w:firstLine="210" w:firstLineChars="100"/>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0.05%</w:t>
            </w:r>
          </w:p>
        </w:tc>
        <w:tc>
          <w:tcPr>
            <w:tcW w:w="1026" w:type="pct"/>
            <w:noWrap w:val="0"/>
            <w:vAlign w:val="center"/>
          </w:tcPr>
          <w:p w14:paraId="29210C50">
            <w:pPr>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0.05%</w:t>
            </w:r>
          </w:p>
        </w:tc>
        <w:tc>
          <w:tcPr>
            <w:tcW w:w="853" w:type="pct"/>
            <w:noWrap w:val="0"/>
            <w:vAlign w:val="center"/>
          </w:tcPr>
          <w:p w14:paraId="29976F8A">
            <w:pPr>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0.05%</w:t>
            </w:r>
          </w:p>
        </w:tc>
      </w:tr>
      <w:tr w14:paraId="23A8C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12" w:type="pct"/>
            <w:noWrap w:val="0"/>
            <w:vAlign w:val="center"/>
          </w:tcPr>
          <w:p w14:paraId="54039895">
            <w:pPr>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5亿元～10亿元</w:t>
            </w:r>
          </w:p>
        </w:tc>
        <w:tc>
          <w:tcPr>
            <w:tcW w:w="1009" w:type="pct"/>
            <w:noWrap w:val="0"/>
            <w:vAlign w:val="center"/>
          </w:tcPr>
          <w:p w14:paraId="0565901D">
            <w:pPr>
              <w:keepNext w:val="0"/>
              <w:keepLines w:val="0"/>
              <w:pageBreakBefore w:val="0"/>
              <w:widowControl w:val="0"/>
              <w:kinsoku/>
              <w:wordWrap/>
              <w:overflowPunct/>
              <w:topLinePunct w:val="0"/>
              <w:autoSpaceDE/>
              <w:autoSpaceDN/>
              <w:bidi w:val="0"/>
              <w:spacing w:line="400" w:lineRule="exact"/>
              <w:ind w:firstLine="105" w:firstLineChars="50"/>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0.035%</w:t>
            </w:r>
          </w:p>
        </w:tc>
        <w:tc>
          <w:tcPr>
            <w:tcW w:w="1026" w:type="pct"/>
            <w:noWrap w:val="0"/>
            <w:vAlign w:val="center"/>
          </w:tcPr>
          <w:p w14:paraId="315BA92B">
            <w:pPr>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0.035%</w:t>
            </w:r>
          </w:p>
        </w:tc>
        <w:tc>
          <w:tcPr>
            <w:tcW w:w="853" w:type="pct"/>
            <w:noWrap w:val="0"/>
            <w:vAlign w:val="center"/>
          </w:tcPr>
          <w:p w14:paraId="33AD3CC0">
            <w:pPr>
              <w:keepNext w:val="0"/>
              <w:keepLines w:val="0"/>
              <w:pageBreakBefore w:val="0"/>
              <w:widowControl w:val="0"/>
              <w:kinsoku/>
              <w:wordWrap/>
              <w:overflowPunct/>
              <w:topLinePunct w:val="0"/>
              <w:autoSpaceDE/>
              <w:autoSpaceDN/>
              <w:bidi w:val="0"/>
              <w:spacing w:line="400" w:lineRule="exact"/>
              <w:ind w:firstLine="105" w:firstLineChars="50"/>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0.035%</w:t>
            </w:r>
          </w:p>
        </w:tc>
      </w:tr>
      <w:tr w14:paraId="5392D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12" w:type="pct"/>
            <w:noWrap w:val="0"/>
            <w:vAlign w:val="center"/>
          </w:tcPr>
          <w:p w14:paraId="2A7D1111">
            <w:pPr>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10亿元～50亿元</w:t>
            </w:r>
          </w:p>
        </w:tc>
        <w:tc>
          <w:tcPr>
            <w:tcW w:w="1009" w:type="pct"/>
            <w:noWrap w:val="0"/>
            <w:vAlign w:val="center"/>
          </w:tcPr>
          <w:p w14:paraId="522C2FEE">
            <w:pPr>
              <w:keepNext w:val="0"/>
              <w:keepLines w:val="0"/>
              <w:pageBreakBefore w:val="0"/>
              <w:widowControl w:val="0"/>
              <w:kinsoku/>
              <w:wordWrap/>
              <w:overflowPunct/>
              <w:topLinePunct w:val="0"/>
              <w:autoSpaceDE/>
              <w:autoSpaceDN/>
              <w:bidi w:val="0"/>
              <w:spacing w:line="400" w:lineRule="exact"/>
              <w:ind w:firstLine="105" w:firstLineChars="50"/>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0.008%</w:t>
            </w:r>
          </w:p>
        </w:tc>
        <w:tc>
          <w:tcPr>
            <w:tcW w:w="1026" w:type="pct"/>
            <w:noWrap w:val="0"/>
            <w:vAlign w:val="center"/>
          </w:tcPr>
          <w:p w14:paraId="05C3B79D">
            <w:pPr>
              <w:keepNext w:val="0"/>
              <w:keepLines w:val="0"/>
              <w:pageBreakBefore w:val="0"/>
              <w:widowControl w:val="0"/>
              <w:kinsoku/>
              <w:wordWrap/>
              <w:overflowPunct/>
              <w:topLinePunct w:val="0"/>
              <w:autoSpaceDE/>
              <w:autoSpaceDN/>
              <w:bidi w:val="0"/>
              <w:spacing w:line="400" w:lineRule="exact"/>
              <w:ind w:firstLine="210" w:firstLineChars="100"/>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0.008%</w:t>
            </w:r>
          </w:p>
        </w:tc>
        <w:tc>
          <w:tcPr>
            <w:tcW w:w="853" w:type="pct"/>
            <w:noWrap w:val="0"/>
            <w:vAlign w:val="center"/>
          </w:tcPr>
          <w:p w14:paraId="57C11069">
            <w:pPr>
              <w:keepNext w:val="0"/>
              <w:keepLines w:val="0"/>
              <w:pageBreakBefore w:val="0"/>
              <w:widowControl w:val="0"/>
              <w:kinsoku/>
              <w:wordWrap/>
              <w:overflowPunct/>
              <w:topLinePunct w:val="0"/>
              <w:autoSpaceDE/>
              <w:autoSpaceDN/>
              <w:bidi w:val="0"/>
              <w:spacing w:line="400" w:lineRule="exact"/>
              <w:ind w:firstLine="105" w:firstLineChars="50"/>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0.008%</w:t>
            </w:r>
          </w:p>
        </w:tc>
      </w:tr>
      <w:tr w14:paraId="11A68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12" w:type="pct"/>
            <w:noWrap w:val="0"/>
            <w:vAlign w:val="center"/>
          </w:tcPr>
          <w:p w14:paraId="3ACF565C">
            <w:pPr>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50亿元～100亿元</w:t>
            </w:r>
          </w:p>
        </w:tc>
        <w:tc>
          <w:tcPr>
            <w:tcW w:w="1009" w:type="pct"/>
            <w:noWrap w:val="0"/>
            <w:vAlign w:val="center"/>
          </w:tcPr>
          <w:p w14:paraId="5092354F">
            <w:pPr>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0.006%</w:t>
            </w:r>
          </w:p>
        </w:tc>
        <w:tc>
          <w:tcPr>
            <w:tcW w:w="1026" w:type="pct"/>
            <w:noWrap w:val="0"/>
            <w:vAlign w:val="center"/>
          </w:tcPr>
          <w:p w14:paraId="4F6DA74B">
            <w:pPr>
              <w:keepNext w:val="0"/>
              <w:keepLines w:val="0"/>
              <w:pageBreakBefore w:val="0"/>
              <w:widowControl w:val="0"/>
              <w:kinsoku/>
              <w:wordWrap/>
              <w:overflowPunct/>
              <w:topLinePunct w:val="0"/>
              <w:autoSpaceDE/>
              <w:autoSpaceDN/>
              <w:bidi w:val="0"/>
              <w:spacing w:line="400" w:lineRule="exact"/>
              <w:ind w:firstLine="210" w:firstLineChars="100"/>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0.006%</w:t>
            </w:r>
          </w:p>
        </w:tc>
        <w:tc>
          <w:tcPr>
            <w:tcW w:w="853" w:type="pct"/>
            <w:noWrap w:val="0"/>
            <w:vAlign w:val="center"/>
          </w:tcPr>
          <w:p w14:paraId="60C4E972">
            <w:pPr>
              <w:keepNext w:val="0"/>
              <w:keepLines w:val="0"/>
              <w:pageBreakBefore w:val="0"/>
              <w:widowControl w:val="0"/>
              <w:kinsoku/>
              <w:wordWrap/>
              <w:overflowPunct/>
              <w:topLinePunct w:val="0"/>
              <w:autoSpaceDE/>
              <w:autoSpaceDN/>
              <w:bidi w:val="0"/>
              <w:spacing w:line="400" w:lineRule="exact"/>
              <w:ind w:firstLine="105" w:firstLineChars="50"/>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0.006%</w:t>
            </w:r>
          </w:p>
        </w:tc>
      </w:tr>
      <w:tr w14:paraId="51970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12" w:type="pct"/>
            <w:noWrap w:val="0"/>
            <w:vAlign w:val="center"/>
          </w:tcPr>
          <w:p w14:paraId="5F869DB7">
            <w:pPr>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100亿以上</w:t>
            </w:r>
          </w:p>
        </w:tc>
        <w:tc>
          <w:tcPr>
            <w:tcW w:w="1009" w:type="pct"/>
            <w:noWrap w:val="0"/>
            <w:vAlign w:val="center"/>
          </w:tcPr>
          <w:p w14:paraId="393217F1">
            <w:pPr>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0.004%</w:t>
            </w:r>
          </w:p>
        </w:tc>
        <w:tc>
          <w:tcPr>
            <w:tcW w:w="1026" w:type="pct"/>
            <w:noWrap w:val="0"/>
            <w:vAlign w:val="center"/>
          </w:tcPr>
          <w:p w14:paraId="13F6A426">
            <w:pPr>
              <w:keepNext w:val="0"/>
              <w:keepLines w:val="0"/>
              <w:pageBreakBefore w:val="0"/>
              <w:widowControl w:val="0"/>
              <w:kinsoku/>
              <w:wordWrap/>
              <w:overflowPunct/>
              <w:topLinePunct w:val="0"/>
              <w:autoSpaceDE/>
              <w:autoSpaceDN/>
              <w:bidi w:val="0"/>
              <w:spacing w:line="400" w:lineRule="exact"/>
              <w:ind w:firstLine="210" w:firstLineChars="100"/>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0.004%</w:t>
            </w:r>
          </w:p>
        </w:tc>
        <w:tc>
          <w:tcPr>
            <w:tcW w:w="853" w:type="pct"/>
            <w:noWrap w:val="0"/>
            <w:vAlign w:val="center"/>
          </w:tcPr>
          <w:p w14:paraId="377A2609">
            <w:pPr>
              <w:keepNext w:val="0"/>
              <w:keepLines w:val="0"/>
              <w:pageBreakBefore w:val="0"/>
              <w:widowControl w:val="0"/>
              <w:kinsoku/>
              <w:wordWrap/>
              <w:overflowPunct/>
              <w:topLinePunct w:val="0"/>
              <w:autoSpaceDE/>
              <w:autoSpaceDN/>
              <w:bidi w:val="0"/>
              <w:spacing w:line="400" w:lineRule="exact"/>
              <w:ind w:firstLine="105" w:firstLineChars="50"/>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0.004%</w:t>
            </w:r>
          </w:p>
        </w:tc>
      </w:tr>
    </w:tbl>
    <w:p w14:paraId="4D010B6D">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注：</w:t>
      </w:r>
    </w:p>
    <w:p w14:paraId="2260786F">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（1）按本表费率计算的收费为采购代理的收费基准价格；</w:t>
      </w:r>
    </w:p>
    <w:p w14:paraId="2B148300">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（2）采购代理收费按差额定率累进法计算。</w:t>
      </w:r>
    </w:p>
    <w:p w14:paraId="2FDF22D4">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例如：某服务采购代理业务中标金额或者暂定价为200万元，计算采购代理收费额如下：</w:t>
      </w:r>
    </w:p>
    <w:p w14:paraId="0FB475A8">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100 万元×l.5 %＝ 1.5 万元</w:t>
      </w:r>
    </w:p>
    <w:p w14:paraId="1073017C">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（200－100）万元 ×0.8%＝0.8万元</w:t>
      </w:r>
    </w:p>
    <w:p w14:paraId="178EE60D">
      <w:pPr>
        <w:pStyle w:val="20"/>
        <w:keepNext w:val="0"/>
        <w:keepLines w:val="0"/>
        <w:pageBreakBefore w:val="0"/>
        <w:widowControl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合计收费＝ 1.5+0.8＝ 2.3（万元）</w:t>
      </w:r>
    </w:p>
    <w:p w14:paraId="61DA9CEF">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40. 需要补充的其他内容</w:t>
      </w:r>
    </w:p>
    <w:p w14:paraId="3307E224">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40.1本招标文件解释规则详见“投标人须知前附表”。</w:t>
      </w:r>
    </w:p>
    <w:p w14:paraId="72437108">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40.2 其他事项详见“投标人须知前附表”。</w:t>
      </w:r>
    </w:p>
    <w:p w14:paraId="2FAC04C5">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40.3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14:paraId="76227108">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（1）在货物采购项目中，货物由中小企业制造，即货物由中小企业生产且使用该中小企业商号或者注册商标，不对其中涉及的工程承建商和服务的承接商作出要求；</w:t>
      </w:r>
    </w:p>
    <w:p w14:paraId="7ABA1226">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（2）在工程采购项目中，工程由中小企业承建，即工程施工单位为中小企业，不对其中涉及的货物的制造商和服务的承接商作出要求；</w:t>
      </w:r>
    </w:p>
    <w:p w14:paraId="3258938E">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5D650C14">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p>
    <w:p w14:paraId="77DB4769">
      <w:pPr>
        <w:pStyle w:val="2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Ansi="宋体" w:cs="宋体"/>
          <w:color w:val="auto"/>
          <w:highlight w:val="none"/>
        </w:rPr>
      </w:pPr>
      <w:r>
        <w:rPr>
          <w:rFonts w:hint="eastAsia" w:hAnsi="宋体" w:cs="宋体"/>
          <w:color w:val="auto"/>
          <w:highlight w:val="none"/>
        </w:rPr>
        <w:t>依据本招标文件规定享受扶持政策获得政府采购合同的，小微企业不得将合同分包给大中型企业，中型企业不得将合同分包给大型企业。</w:t>
      </w:r>
    </w:p>
    <w:p w14:paraId="45D76C3C">
      <w:pPr>
        <w:pStyle w:val="2"/>
        <w:spacing w:line="360" w:lineRule="auto"/>
        <w:rPr>
          <w:rFonts w:hint="eastAsia" w:ascii="宋体" w:hAnsi="宋体" w:cs="宋体"/>
          <w:color w:val="auto"/>
          <w:highlight w:val="none"/>
        </w:rPr>
      </w:pPr>
      <w:r>
        <w:rPr>
          <w:color w:val="auto"/>
          <w:highlight w:val="none"/>
        </w:rPr>
        <w:br w:type="page"/>
      </w:r>
      <w:r>
        <w:rPr>
          <w:rFonts w:hint="eastAsia" w:ascii="宋体" w:hAnsi="宋体" w:cs="宋体"/>
          <w:b/>
          <w:bCs/>
          <w:color w:val="auto"/>
          <w:sz w:val="36"/>
          <w:szCs w:val="36"/>
          <w:highlight w:val="none"/>
        </w:rPr>
        <w:t>附件1：</w:t>
      </w:r>
    </w:p>
    <w:p w14:paraId="233A1B51">
      <w:pPr>
        <w:widowControl/>
        <w:shd w:val="clear" w:color="auto" w:fill="FFFFFF"/>
        <w:spacing w:line="360" w:lineRule="auto"/>
        <w:jc w:val="center"/>
        <w:rPr>
          <w:rFonts w:hint="eastAsia" w:ascii="宋体" w:hAnsi="宋体" w:cs="宋体"/>
          <w:color w:val="auto"/>
          <w:kern w:val="0"/>
          <w:sz w:val="44"/>
          <w:szCs w:val="44"/>
          <w:highlight w:val="none"/>
        </w:rPr>
      </w:pPr>
      <w:r>
        <w:rPr>
          <w:rFonts w:hint="eastAsia" w:ascii="宋体" w:hAnsi="宋体" w:cs="宋体"/>
          <w:color w:val="auto"/>
          <w:kern w:val="0"/>
          <w:sz w:val="44"/>
          <w:szCs w:val="44"/>
          <w:highlight w:val="none"/>
        </w:rPr>
        <w:t>广西壮族自治区政府采购项目合同验收书</w:t>
      </w:r>
    </w:p>
    <w:p w14:paraId="455F6D52">
      <w:pPr>
        <w:keepNext w:val="0"/>
        <w:keepLines w:val="0"/>
        <w:pageBreakBefore w:val="0"/>
        <w:widowControl/>
        <w:shd w:val="clear" w:color="auto" w:fill="FFFFFF"/>
        <w:kinsoku/>
        <w:wordWrap/>
        <w:overflowPunct/>
        <w:topLinePunct w:val="0"/>
        <w:autoSpaceDE/>
        <w:autoSpaceDN/>
        <w:bidi w:val="0"/>
        <w:adjustRightInd/>
        <w:spacing w:line="400" w:lineRule="exact"/>
        <w:jc w:val="center"/>
        <w:textAlignment w:val="auto"/>
        <w:rPr>
          <w:rFonts w:hint="eastAsia" w:ascii="宋体" w:hAnsi="宋体" w:cs="宋体"/>
          <w:color w:val="auto"/>
          <w:kern w:val="0"/>
          <w:sz w:val="32"/>
          <w:szCs w:val="32"/>
          <w:highlight w:val="none"/>
        </w:rPr>
      </w:pPr>
      <w:r>
        <w:rPr>
          <w:rFonts w:hint="eastAsia" w:ascii="宋体" w:hAnsi="宋体" w:cs="宋体"/>
          <w:color w:val="auto"/>
          <w:kern w:val="0"/>
          <w:sz w:val="32"/>
          <w:szCs w:val="32"/>
          <w:highlight w:val="none"/>
        </w:rPr>
        <w:t>（格式）</w:t>
      </w:r>
    </w:p>
    <w:p w14:paraId="22CAAF2E">
      <w:pPr>
        <w:keepNext w:val="0"/>
        <w:keepLines w:val="0"/>
        <w:pageBreakBefore w:val="0"/>
        <w:widowControl/>
        <w:shd w:val="clear" w:color="auto" w:fill="FFFFFF"/>
        <w:kinsoku/>
        <w:wordWrap/>
        <w:overflowPunct/>
        <w:topLinePunct w:val="0"/>
        <w:autoSpaceDE/>
        <w:autoSpaceDN/>
        <w:bidi w:val="0"/>
        <w:adjustRightInd/>
        <w:snapToGrid w:val="0"/>
        <w:spacing w:line="400" w:lineRule="exact"/>
        <w:ind w:firstLine="480"/>
        <w:jc w:val="left"/>
        <w:textAlignment w:val="auto"/>
        <w:rPr>
          <w:rFonts w:hint="eastAsia" w:ascii="宋体" w:hAnsi="宋体" w:cs="宋体"/>
          <w:color w:val="auto"/>
          <w:kern w:val="0"/>
          <w:szCs w:val="21"/>
          <w:highlight w:val="none"/>
        </w:rPr>
      </w:pPr>
      <w:r>
        <w:rPr>
          <w:rFonts w:hint="eastAsia" w:ascii="宋体" w:hAnsi="宋体" w:cs="宋体"/>
          <w:color w:val="auto"/>
          <w:kern w:val="0"/>
          <w:highlight w:val="none"/>
        </w:rPr>
        <w:t>根据政府采购项目（</w:t>
      </w:r>
      <w:r>
        <w:rPr>
          <w:rFonts w:hint="eastAsia" w:ascii="宋体" w:hAnsi="宋体" w:cs="宋体"/>
          <w:color w:val="auto"/>
          <w:kern w:val="0"/>
          <w:highlight w:val="none"/>
          <w:u w:val="single"/>
        </w:rPr>
        <w:t>采购合同编号：</w:t>
      </w:r>
      <w:r>
        <w:rPr>
          <w:rFonts w:hint="eastAsia" w:ascii="宋体" w:hAnsi="宋体" w:cs="宋体"/>
          <w:color w:val="auto"/>
          <w:kern w:val="0"/>
          <w:highlight w:val="none"/>
          <w:u w:val="single"/>
        </w:rPr>
        <w:softHyphen/>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）的约定，我单位对（</w:t>
      </w:r>
      <w:r>
        <w:rPr>
          <w:rFonts w:hint="eastAsia" w:ascii="宋体" w:hAnsi="宋体" w:cs="宋体"/>
          <w:color w:val="auto"/>
          <w:kern w:val="0"/>
          <w:highlight w:val="none"/>
          <w:u w:val="single"/>
        </w:rPr>
        <w:t xml:space="preserve"> 项目名称 </w:t>
      </w:r>
      <w:r>
        <w:rPr>
          <w:rFonts w:hint="eastAsia" w:ascii="宋体" w:hAnsi="宋体" w:cs="宋体"/>
          <w:color w:val="auto"/>
          <w:kern w:val="0"/>
          <w:highlight w:val="none"/>
        </w:rPr>
        <w:t>） 政府采购项目中标（或成交）供应商（</w:t>
      </w:r>
      <w:r>
        <w:rPr>
          <w:rFonts w:hint="eastAsia" w:ascii="宋体" w:hAnsi="宋体" w:cs="宋体"/>
          <w:color w:val="auto"/>
          <w:kern w:val="0"/>
          <w:highlight w:val="none"/>
          <w:u w:val="single"/>
        </w:rPr>
        <w:t xml:space="preserve"> 公司名称 </w:t>
      </w:r>
      <w:r>
        <w:rPr>
          <w:rFonts w:hint="eastAsia" w:ascii="宋体" w:hAnsi="宋体" w:cs="宋体"/>
          <w:color w:val="auto"/>
          <w:kern w:val="0"/>
          <w:highlight w:val="none"/>
        </w:rPr>
        <w:t>） 提供的货物（或工程、服务）进行了验收，验收情况如下：</w:t>
      </w:r>
    </w:p>
    <w:tbl>
      <w:tblPr>
        <w:tblStyle w:val="39"/>
        <w:tblW w:w="9371" w:type="dxa"/>
        <w:jc w:val="center"/>
        <w:tblLayout w:type="fixed"/>
        <w:tblCellMar>
          <w:top w:w="0" w:type="dxa"/>
          <w:left w:w="0" w:type="dxa"/>
          <w:bottom w:w="0" w:type="dxa"/>
          <w:right w:w="0" w:type="dxa"/>
        </w:tblCellMar>
      </w:tblPr>
      <w:tblGrid>
        <w:gridCol w:w="1486"/>
        <w:gridCol w:w="1766"/>
        <w:gridCol w:w="798"/>
        <w:gridCol w:w="102"/>
        <w:gridCol w:w="2002"/>
        <w:gridCol w:w="178"/>
        <w:gridCol w:w="685"/>
        <w:gridCol w:w="2354"/>
      </w:tblGrid>
      <w:tr w14:paraId="6C4CE9F6">
        <w:trPr>
          <w:trHeight w:val="382" w:hRule="atLeast"/>
          <w:jc w:val="center"/>
        </w:trPr>
        <w:tc>
          <w:tcPr>
            <w:tcW w:w="3252" w:type="dxa"/>
            <w:gridSpan w:val="2"/>
            <w:tcBorders>
              <w:top w:val="single" w:color="auto" w:sz="8" w:space="0"/>
              <w:left w:val="single" w:color="auto" w:sz="8" w:space="0"/>
              <w:bottom w:val="single" w:color="auto" w:sz="8" w:space="0"/>
              <w:right w:val="single" w:color="auto" w:sz="8" w:space="0"/>
            </w:tcBorders>
            <w:noWrap w:val="0"/>
            <w:vAlign w:val="center"/>
          </w:tcPr>
          <w:p w14:paraId="0EC1E85D">
            <w:pPr>
              <w:keepNext w:val="0"/>
              <w:keepLines w:val="0"/>
              <w:pageBreakBefore w:val="0"/>
              <w:widowControl/>
              <w:kinsoku/>
              <w:wordWrap/>
              <w:overflowPunct/>
              <w:topLinePunct w:val="0"/>
              <w:autoSpaceDE/>
              <w:autoSpaceDN/>
              <w:bidi w:val="0"/>
              <w:adjustRightInd/>
              <w:snapToGrid w:val="0"/>
              <w:spacing w:before="100" w:beforeAutospacing="1" w:after="100" w:afterAutospacing="1" w:line="400" w:lineRule="exact"/>
              <w:ind w:firstLine="5"/>
              <w:jc w:val="center"/>
              <w:textAlignment w:val="auto"/>
              <w:rPr>
                <w:rFonts w:hint="eastAsia" w:ascii="宋体" w:hAnsi="宋体" w:cs="宋体"/>
                <w:color w:val="auto"/>
                <w:kern w:val="0"/>
                <w:highlight w:val="none"/>
              </w:rPr>
            </w:pPr>
            <w:r>
              <w:rPr>
                <w:rFonts w:hint="eastAsia" w:ascii="宋体" w:hAnsi="宋体" w:cs="宋体"/>
                <w:color w:val="auto"/>
                <w:kern w:val="0"/>
                <w:highlight w:val="none"/>
              </w:rPr>
              <w:t>验收方式：</w:t>
            </w:r>
          </w:p>
        </w:tc>
        <w:tc>
          <w:tcPr>
            <w:tcW w:w="6119" w:type="dxa"/>
            <w:gridSpan w:val="6"/>
            <w:tcBorders>
              <w:top w:val="single" w:color="auto" w:sz="8" w:space="0"/>
              <w:left w:val="nil"/>
              <w:bottom w:val="single" w:color="auto" w:sz="8" w:space="0"/>
              <w:right w:val="single" w:color="auto" w:sz="8" w:space="0"/>
            </w:tcBorders>
            <w:noWrap w:val="0"/>
            <w:vAlign w:val="center"/>
          </w:tcPr>
          <w:p w14:paraId="67EEAD18">
            <w:pPr>
              <w:keepNext w:val="0"/>
              <w:keepLines w:val="0"/>
              <w:pageBreakBefore w:val="0"/>
              <w:widowControl/>
              <w:kinsoku/>
              <w:wordWrap/>
              <w:overflowPunct/>
              <w:topLinePunct w:val="0"/>
              <w:autoSpaceDE/>
              <w:autoSpaceDN/>
              <w:bidi w:val="0"/>
              <w:adjustRightInd/>
              <w:snapToGrid w:val="0"/>
              <w:spacing w:before="100" w:beforeAutospacing="1" w:after="100" w:afterAutospacing="1" w:line="400" w:lineRule="exact"/>
              <w:ind w:firstLine="480"/>
              <w:jc w:val="center"/>
              <w:textAlignment w:val="auto"/>
              <w:rPr>
                <w:rFonts w:hint="eastAsia" w:ascii="宋体" w:hAnsi="宋体" w:cs="宋体"/>
                <w:color w:val="auto"/>
                <w:kern w:val="0"/>
                <w:highlight w:val="none"/>
              </w:rPr>
            </w:pPr>
            <w:r>
              <w:rPr>
                <w:rFonts w:hint="eastAsia" w:ascii="宋体" w:hAnsi="宋体" w:cs="宋体"/>
                <w:color w:val="auto"/>
                <w:kern w:val="0"/>
                <w:highlight w:val="none"/>
              </w:rPr>
              <w:t>□自行验收 □委托验收</w:t>
            </w:r>
          </w:p>
        </w:tc>
      </w:tr>
      <w:tr w14:paraId="61164E80">
        <w:trPr>
          <w:trHeight w:val="622" w:hRule="atLeast"/>
          <w:jc w:val="center"/>
        </w:trPr>
        <w:tc>
          <w:tcPr>
            <w:tcW w:w="1486" w:type="dxa"/>
            <w:tcBorders>
              <w:top w:val="nil"/>
              <w:left w:val="single" w:color="auto" w:sz="8" w:space="0"/>
              <w:bottom w:val="single" w:color="auto" w:sz="8" w:space="0"/>
              <w:right w:val="single" w:color="auto" w:sz="8" w:space="0"/>
            </w:tcBorders>
            <w:noWrap w:val="0"/>
            <w:vAlign w:val="center"/>
          </w:tcPr>
          <w:p w14:paraId="2751361A">
            <w:pPr>
              <w:keepNext w:val="0"/>
              <w:keepLines w:val="0"/>
              <w:pageBreakBefore w:val="0"/>
              <w:widowControl/>
              <w:kinsoku/>
              <w:wordWrap/>
              <w:overflowPunct/>
              <w:topLinePunct w:val="0"/>
              <w:autoSpaceDE/>
              <w:autoSpaceDN/>
              <w:bidi w:val="0"/>
              <w:adjustRightInd/>
              <w:snapToGrid w:val="0"/>
              <w:spacing w:before="100" w:beforeAutospacing="1" w:after="100" w:afterAutospacing="1" w:line="400" w:lineRule="exact"/>
              <w:ind w:firstLine="2"/>
              <w:jc w:val="center"/>
              <w:textAlignment w:val="auto"/>
              <w:rPr>
                <w:rFonts w:hint="eastAsia" w:ascii="宋体" w:hAnsi="宋体" w:cs="宋体"/>
                <w:color w:val="auto"/>
                <w:kern w:val="0"/>
                <w:highlight w:val="none"/>
              </w:rPr>
            </w:pPr>
            <w:r>
              <w:rPr>
                <w:rFonts w:hint="eastAsia" w:ascii="宋体" w:hAnsi="宋体" w:cs="宋体"/>
                <w:color w:val="auto"/>
                <w:kern w:val="0"/>
                <w:highlight w:val="none"/>
              </w:rPr>
              <w:t>序号</w:t>
            </w:r>
          </w:p>
        </w:tc>
        <w:tc>
          <w:tcPr>
            <w:tcW w:w="1766" w:type="dxa"/>
            <w:tcBorders>
              <w:top w:val="nil"/>
              <w:left w:val="nil"/>
              <w:bottom w:val="single" w:color="auto" w:sz="8" w:space="0"/>
              <w:right w:val="single" w:color="auto" w:sz="8" w:space="0"/>
            </w:tcBorders>
            <w:noWrap w:val="0"/>
            <w:vAlign w:val="center"/>
          </w:tcPr>
          <w:p w14:paraId="583FF86B">
            <w:pPr>
              <w:keepNext w:val="0"/>
              <w:keepLines w:val="0"/>
              <w:pageBreakBefore w:val="0"/>
              <w:widowControl/>
              <w:kinsoku/>
              <w:wordWrap/>
              <w:overflowPunct/>
              <w:topLinePunct w:val="0"/>
              <w:autoSpaceDE/>
              <w:autoSpaceDN/>
              <w:bidi w:val="0"/>
              <w:adjustRightInd/>
              <w:snapToGrid w:val="0"/>
              <w:spacing w:before="100" w:beforeAutospacing="1" w:after="100" w:afterAutospacing="1" w:line="400" w:lineRule="exact"/>
              <w:ind w:firstLine="2"/>
              <w:jc w:val="center"/>
              <w:textAlignment w:val="auto"/>
              <w:rPr>
                <w:rFonts w:hint="eastAsia" w:ascii="宋体" w:hAnsi="宋体" w:cs="宋体"/>
                <w:color w:val="auto"/>
                <w:kern w:val="0"/>
                <w:highlight w:val="none"/>
              </w:rPr>
            </w:pPr>
            <w:r>
              <w:rPr>
                <w:rFonts w:hint="eastAsia" w:ascii="宋体" w:hAnsi="宋体" w:cs="宋体"/>
                <w:color w:val="auto"/>
                <w:kern w:val="0"/>
                <w:highlight w:val="none"/>
              </w:rPr>
              <w:t>名 称</w:t>
            </w:r>
          </w:p>
        </w:tc>
        <w:tc>
          <w:tcPr>
            <w:tcW w:w="2902" w:type="dxa"/>
            <w:gridSpan w:val="3"/>
            <w:tcBorders>
              <w:top w:val="nil"/>
              <w:left w:val="nil"/>
              <w:bottom w:val="single" w:color="auto" w:sz="8" w:space="0"/>
              <w:right w:val="single" w:color="auto" w:sz="8" w:space="0"/>
            </w:tcBorders>
            <w:noWrap w:val="0"/>
            <w:vAlign w:val="center"/>
          </w:tcPr>
          <w:p w14:paraId="47DCAB3E">
            <w:pPr>
              <w:keepNext w:val="0"/>
              <w:keepLines w:val="0"/>
              <w:pageBreakBefore w:val="0"/>
              <w:widowControl/>
              <w:kinsoku/>
              <w:wordWrap/>
              <w:overflowPunct/>
              <w:topLinePunct w:val="0"/>
              <w:autoSpaceDE/>
              <w:autoSpaceDN/>
              <w:bidi w:val="0"/>
              <w:adjustRightInd/>
              <w:snapToGrid w:val="0"/>
              <w:spacing w:before="100" w:beforeAutospacing="1" w:after="100" w:afterAutospacing="1" w:line="400" w:lineRule="exact"/>
              <w:ind w:firstLine="2"/>
              <w:jc w:val="center"/>
              <w:textAlignment w:val="auto"/>
              <w:rPr>
                <w:rFonts w:hint="eastAsia" w:ascii="宋体" w:hAnsi="宋体" w:cs="宋体"/>
                <w:color w:val="auto"/>
                <w:kern w:val="0"/>
                <w:highlight w:val="none"/>
              </w:rPr>
            </w:pPr>
            <w:r>
              <w:rPr>
                <w:rFonts w:hint="eastAsia" w:ascii="宋体" w:hAnsi="宋体" w:cs="宋体"/>
                <w:color w:val="auto"/>
                <w:kern w:val="0"/>
                <w:highlight w:val="none"/>
              </w:rPr>
              <w:t>货物型号规格、标准及配置等（或服务内容、标准）</w:t>
            </w:r>
          </w:p>
        </w:tc>
        <w:tc>
          <w:tcPr>
            <w:tcW w:w="863" w:type="dxa"/>
            <w:gridSpan w:val="2"/>
            <w:tcBorders>
              <w:top w:val="nil"/>
              <w:left w:val="nil"/>
              <w:bottom w:val="single" w:color="auto" w:sz="8" w:space="0"/>
              <w:right w:val="single" w:color="auto" w:sz="8" w:space="0"/>
            </w:tcBorders>
            <w:noWrap w:val="0"/>
            <w:vAlign w:val="center"/>
          </w:tcPr>
          <w:p w14:paraId="5BA39F15">
            <w:pPr>
              <w:keepNext w:val="0"/>
              <w:keepLines w:val="0"/>
              <w:pageBreakBefore w:val="0"/>
              <w:widowControl/>
              <w:kinsoku/>
              <w:wordWrap/>
              <w:overflowPunct/>
              <w:topLinePunct w:val="0"/>
              <w:autoSpaceDE/>
              <w:autoSpaceDN/>
              <w:bidi w:val="0"/>
              <w:adjustRightInd/>
              <w:snapToGrid w:val="0"/>
              <w:spacing w:before="100" w:beforeAutospacing="1" w:after="100" w:afterAutospacing="1" w:line="400" w:lineRule="exact"/>
              <w:jc w:val="center"/>
              <w:textAlignment w:val="auto"/>
              <w:rPr>
                <w:rFonts w:hint="eastAsia" w:ascii="宋体" w:hAnsi="宋体" w:cs="宋体"/>
                <w:color w:val="auto"/>
                <w:kern w:val="0"/>
                <w:highlight w:val="none"/>
              </w:rPr>
            </w:pPr>
            <w:r>
              <w:rPr>
                <w:rFonts w:hint="eastAsia" w:ascii="宋体" w:hAnsi="宋体" w:cs="宋体"/>
                <w:color w:val="auto"/>
                <w:kern w:val="0"/>
                <w:highlight w:val="none"/>
              </w:rPr>
              <w:t>数量</w:t>
            </w:r>
          </w:p>
        </w:tc>
        <w:tc>
          <w:tcPr>
            <w:tcW w:w="2354" w:type="dxa"/>
            <w:tcBorders>
              <w:top w:val="nil"/>
              <w:left w:val="nil"/>
              <w:bottom w:val="single" w:color="auto" w:sz="8" w:space="0"/>
              <w:right w:val="single" w:color="auto" w:sz="8" w:space="0"/>
            </w:tcBorders>
            <w:noWrap w:val="0"/>
            <w:vAlign w:val="center"/>
          </w:tcPr>
          <w:p w14:paraId="3C1034FA">
            <w:pPr>
              <w:keepNext w:val="0"/>
              <w:keepLines w:val="0"/>
              <w:pageBreakBefore w:val="0"/>
              <w:widowControl/>
              <w:kinsoku/>
              <w:wordWrap/>
              <w:overflowPunct/>
              <w:topLinePunct w:val="0"/>
              <w:autoSpaceDE/>
              <w:autoSpaceDN/>
              <w:bidi w:val="0"/>
              <w:adjustRightInd/>
              <w:snapToGrid w:val="0"/>
              <w:spacing w:before="100" w:beforeAutospacing="1" w:after="100" w:afterAutospacing="1" w:line="400" w:lineRule="exact"/>
              <w:ind w:firstLine="2"/>
              <w:jc w:val="center"/>
              <w:textAlignment w:val="auto"/>
              <w:rPr>
                <w:rFonts w:hint="eastAsia" w:ascii="宋体" w:hAnsi="宋体" w:cs="宋体"/>
                <w:color w:val="auto"/>
                <w:kern w:val="0"/>
                <w:highlight w:val="none"/>
              </w:rPr>
            </w:pPr>
            <w:r>
              <w:rPr>
                <w:rFonts w:hint="eastAsia" w:ascii="宋体" w:hAnsi="宋体" w:cs="宋体"/>
                <w:color w:val="auto"/>
                <w:kern w:val="0"/>
                <w:highlight w:val="none"/>
              </w:rPr>
              <w:t>金 额</w:t>
            </w:r>
          </w:p>
        </w:tc>
      </w:tr>
      <w:tr w14:paraId="55DECB21">
        <w:trPr>
          <w:trHeight w:val="487" w:hRule="atLeast"/>
          <w:jc w:val="center"/>
        </w:trPr>
        <w:tc>
          <w:tcPr>
            <w:tcW w:w="1486" w:type="dxa"/>
            <w:tcBorders>
              <w:top w:val="nil"/>
              <w:left w:val="single" w:color="auto" w:sz="8" w:space="0"/>
              <w:bottom w:val="single" w:color="auto" w:sz="8" w:space="0"/>
              <w:right w:val="single" w:color="auto" w:sz="8" w:space="0"/>
            </w:tcBorders>
            <w:noWrap w:val="0"/>
            <w:vAlign w:val="center"/>
          </w:tcPr>
          <w:p w14:paraId="432674F2">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center"/>
              <w:textAlignment w:val="auto"/>
              <w:rPr>
                <w:rFonts w:hint="eastAsia" w:ascii="宋体" w:hAnsi="宋体" w:cs="宋体"/>
                <w:color w:val="auto"/>
                <w:kern w:val="0"/>
                <w:highlight w:val="none"/>
              </w:rPr>
            </w:pPr>
          </w:p>
        </w:tc>
        <w:tc>
          <w:tcPr>
            <w:tcW w:w="1766" w:type="dxa"/>
            <w:tcBorders>
              <w:top w:val="nil"/>
              <w:left w:val="nil"/>
              <w:bottom w:val="single" w:color="auto" w:sz="8" w:space="0"/>
              <w:right w:val="single" w:color="auto" w:sz="8" w:space="0"/>
            </w:tcBorders>
            <w:noWrap w:val="0"/>
            <w:vAlign w:val="center"/>
          </w:tcPr>
          <w:p w14:paraId="1E71FEBE">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center"/>
              <w:textAlignment w:val="auto"/>
              <w:rPr>
                <w:rFonts w:hint="eastAsia" w:ascii="宋体" w:hAnsi="宋体" w:cs="宋体"/>
                <w:color w:val="auto"/>
                <w:kern w:val="0"/>
                <w:highlight w:val="none"/>
              </w:rPr>
            </w:pPr>
          </w:p>
        </w:tc>
        <w:tc>
          <w:tcPr>
            <w:tcW w:w="2902" w:type="dxa"/>
            <w:gridSpan w:val="3"/>
            <w:tcBorders>
              <w:top w:val="nil"/>
              <w:left w:val="nil"/>
              <w:bottom w:val="single" w:color="auto" w:sz="8" w:space="0"/>
              <w:right w:val="single" w:color="auto" w:sz="8" w:space="0"/>
            </w:tcBorders>
            <w:noWrap w:val="0"/>
            <w:vAlign w:val="center"/>
          </w:tcPr>
          <w:p w14:paraId="29279E4C">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center"/>
              <w:textAlignment w:val="auto"/>
              <w:rPr>
                <w:rFonts w:hint="eastAsia" w:ascii="宋体" w:hAnsi="宋体" w:cs="宋体"/>
                <w:color w:val="auto"/>
                <w:kern w:val="0"/>
                <w:highlight w:val="none"/>
              </w:rPr>
            </w:pPr>
          </w:p>
        </w:tc>
        <w:tc>
          <w:tcPr>
            <w:tcW w:w="863" w:type="dxa"/>
            <w:gridSpan w:val="2"/>
            <w:tcBorders>
              <w:top w:val="nil"/>
              <w:left w:val="nil"/>
              <w:bottom w:val="single" w:color="auto" w:sz="8" w:space="0"/>
              <w:right w:val="single" w:color="auto" w:sz="8" w:space="0"/>
            </w:tcBorders>
            <w:noWrap w:val="0"/>
            <w:vAlign w:val="center"/>
          </w:tcPr>
          <w:p w14:paraId="674BEF30">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center"/>
              <w:textAlignment w:val="auto"/>
              <w:rPr>
                <w:rFonts w:hint="eastAsia" w:ascii="宋体" w:hAnsi="宋体" w:cs="宋体"/>
                <w:color w:val="auto"/>
                <w:kern w:val="0"/>
                <w:highlight w:val="none"/>
              </w:rPr>
            </w:pPr>
          </w:p>
        </w:tc>
        <w:tc>
          <w:tcPr>
            <w:tcW w:w="2354" w:type="dxa"/>
            <w:tcBorders>
              <w:top w:val="nil"/>
              <w:left w:val="nil"/>
              <w:bottom w:val="single" w:color="auto" w:sz="8" w:space="0"/>
              <w:right w:val="single" w:color="auto" w:sz="8" w:space="0"/>
            </w:tcBorders>
            <w:noWrap w:val="0"/>
            <w:vAlign w:val="center"/>
          </w:tcPr>
          <w:p w14:paraId="17445398">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center"/>
              <w:textAlignment w:val="auto"/>
              <w:rPr>
                <w:rFonts w:hint="eastAsia" w:ascii="宋体" w:hAnsi="宋体" w:cs="宋体"/>
                <w:color w:val="auto"/>
                <w:kern w:val="0"/>
                <w:highlight w:val="none"/>
              </w:rPr>
            </w:pPr>
          </w:p>
        </w:tc>
      </w:tr>
      <w:tr w14:paraId="5778756C">
        <w:trPr>
          <w:trHeight w:val="487" w:hRule="atLeast"/>
          <w:jc w:val="center"/>
        </w:trPr>
        <w:tc>
          <w:tcPr>
            <w:tcW w:w="6154" w:type="dxa"/>
            <w:gridSpan w:val="5"/>
            <w:tcBorders>
              <w:top w:val="nil"/>
              <w:left w:val="single" w:color="auto" w:sz="8" w:space="0"/>
              <w:bottom w:val="single" w:color="auto" w:sz="8" w:space="0"/>
              <w:right w:val="single" w:color="auto" w:sz="8" w:space="0"/>
            </w:tcBorders>
            <w:noWrap w:val="0"/>
            <w:vAlign w:val="center"/>
          </w:tcPr>
          <w:p w14:paraId="269DBD04">
            <w:pPr>
              <w:keepNext w:val="0"/>
              <w:keepLines w:val="0"/>
              <w:pageBreakBefore w:val="0"/>
              <w:widowControl/>
              <w:kinsoku/>
              <w:wordWrap/>
              <w:overflowPunct/>
              <w:topLinePunct w:val="0"/>
              <w:autoSpaceDE/>
              <w:autoSpaceDN/>
              <w:bidi w:val="0"/>
              <w:adjustRightInd/>
              <w:snapToGrid w:val="0"/>
              <w:spacing w:before="100" w:beforeAutospacing="1" w:after="100" w:afterAutospacing="1" w:line="400" w:lineRule="exact"/>
              <w:ind w:firstLine="5"/>
              <w:jc w:val="center"/>
              <w:textAlignment w:val="auto"/>
              <w:rPr>
                <w:rFonts w:hint="eastAsia" w:ascii="宋体" w:hAnsi="宋体" w:cs="宋体"/>
                <w:color w:val="auto"/>
                <w:kern w:val="0"/>
                <w:highlight w:val="none"/>
              </w:rPr>
            </w:pPr>
            <w:r>
              <w:rPr>
                <w:rFonts w:hint="eastAsia" w:ascii="宋体" w:hAnsi="宋体" w:cs="宋体"/>
                <w:color w:val="auto"/>
                <w:kern w:val="0"/>
                <w:highlight w:val="none"/>
              </w:rPr>
              <w:t>合 计</w:t>
            </w:r>
          </w:p>
        </w:tc>
        <w:tc>
          <w:tcPr>
            <w:tcW w:w="863" w:type="dxa"/>
            <w:gridSpan w:val="2"/>
            <w:tcBorders>
              <w:top w:val="nil"/>
              <w:left w:val="nil"/>
              <w:bottom w:val="single" w:color="auto" w:sz="8" w:space="0"/>
              <w:right w:val="single" w:color="auto" w:sz="8" w:space="0"/>
            </w:tcBorders>
            <w:noWrap w:val="0"/>
            <w:vAlign w:val="center"/>
          </w:tcPr>
          <w:p w14:paraId="430A34BE">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center"/>
              <w:textAlignment w:val="auto"/>
              <w:rPr>
                <w:rFonts w:hint="eastAsia" w:ascii="宋体" w:hAnsi="宋体" w:cs="宋体"/>
                <w:color w:val="auto"/>
                <w:kern w:val="0"/>
                <w:highlight w:val="none"/>
              </w:rPr>
            </w:pPr>
          </w:p>
        </w:tc>
        <w:tc>
          <w:tcPr>
            <w:tcW w:w="2354" w:type="dxa"/>
            <w:tcBorders>
              <w:top w:val="nil"/>
              <w:left w:val="nil"/>
              <w:bottom w:val="single" w:color="auto" w:sz="8" w:space="0"/>
              <w:right w:val="single" w:color="auto" w:sz="8" w:space="0"/>
            </w:tcBorders>
            <w:noWrap w:val="0"/>
            <w:vAlign w:val="center"/>
          </w:tcPr>
          <w:p w14:paraId="142B4FE1">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center"/>
              <w:textAlignment w:val="auto"/>
              <w:rPr>
                <w:rFonts w:hint="eastAsia" w:ascii="宋体" w:hAnsi="宋体" w:cs="宋体"/>
                <w:color w:val="auto"/>
                <w:kern w:val="0"/>
                <w:highlight w:val="none"/>
              </w:rPr>
            </w:pPr>
          </w:p>
        </w:tc>
      </w:tr>
      <w:tr w14:paraId="0792302C">
        <w:trPr>
          <w:trHeight w:val="641" w:hRule="atLeast"/>
          <w:jc w:val="center"/>
        </w:trPr>
        <w:tc>
          <w:tcPr>
            <w:tcW w:w="9371" w:type="dxa"/>
            <w:gridSpan w:val="8"/>
            <w:tcBorders>
              <w:top w:val="nil"/>
              <w:left w:val="single" w:color="auto" w:sz="8" w:space="0"/>
              <w:bottom w:val="single" w:color="auto" w:sz="8" w:space="0"/>
              <w:right w:val="single" w:color="auto" w:sz="8" w:space="0"/>
            </w:tcBorders>
            <w:noWrap w:val="0"/>
            <w:vAlign w:val="center"/>
          </w:tcPr>
          <w:p w14:paraId="783C23F7">
            <w:pPr>
              <w:keepNext w:val="0"/>
              <w:keepLines w:val="0"/>
              <w:pageBreakBefore w:val="0"/>
              <w:widowControl/>
              <w:kinsoku/>
              <w:wordWrap/>
              <w:overflowPunct/>
              <w:topLinePunct w:val="0"/>
              <w:autoSpaceDE/>
              <w:autoSpaceDN/>
              <w:bidi w:val="0"/>
              <w:adjustRightInd/>
              <w:snapToGrid w:val="0"/>
              <w:spacing w:before="100" w:beforeAutospacing="1" w:after="100" w:afterAutospacing="1" w:line="400" w:lineRule="exact"/>
              <w:ind w:firstLine="2"/>
              <w:jc w:val="left"/>
              <w:textAlignment w:val="auto"/>
              <w:rPr>
                <w:rFonts w:hint="eastAsia" w:ascii="宋体" w:hAnsi="宋体" w:cs="宋体"/>
                <w:color w:val="auto"/>
                <w:kern w:val="0"/>
                <w:highlight w:val="none"/>
              </w:rPr>
            </w:pPr>
            <w:r>
              <w:rPr>
                <w:rFonts w:hint="eastAsia" w:ascii="宋体" w:hAnsi="宋体" w:cs="宋体"/>
                <w:color w:val="auto"/>
                <w:kern w:val="0"/>
                <w:highlight w:val="none"/>
              </w:rPr>
              <w:t>合计大写金额： 仟 佰 拾 万 仟 佰 拾 元</w:t>
            </w:r>
          </w:p>
        </w:tc>
      </w:tr>
      <w:tr w14:paraId="7371E1E1">
        <w:trPr>
          <w:trHeight w:val="491" w:hRule="atLeast"/>
          <w:jc w:val="center"/>
        </w:trPr>
        <w:tc>
          <w:tcPr>
            <w:tcW w:w="1486" w:type="dxa"/>
            <w:tcBorders>
              <w:top w:val="nil"/>
              <w:left w:val="single" w:color="auto" w:sz="8" w:space="0"/>
              <w:bottom w:val="single" w:color="auto" w:sz="8" w:space="0"/>
              <w:right w:val="single" w:color="auto" w:sz="8" w:space="0"/>
            </w:tcBorders>
            <w:noWrap w:val="0"/>
            <w:vAlign w:val="center"/>
          </w:tcPr>
          <w:p w14:paraId="4AFBAB4D">
            <w:pPr>
              <w:keepNext w:val="0"/>
              <w:keepLines w:val="0"/>
              <w:pageBreakBefore w:val="0"/>
              <w:widowControl/>
              <w:kinsoku/>
              <w:wordWrap/>
              <w:overflowPunct/>
              <w:topLinePunct w:val="0"/>
              <w:autoSpaceDE/>
              <w:autoSpaceDN/>
              <w:bidi w:val="0"/>
              <w:adjustRightInd/>
              <w:snapToGrid w:val="0"/>
              <w:spacing w:before="100" w:beforeAutospacing="1" w:after="100" w:afterAutospacing="1" w:line="400" w:lineRule="exact"/>
              <w:ind w:firstLine="2"/>
              <w:jc w:val="center"/>
              <w:textAlignment w:val="auto"/>
              <w:rPr>
                <w:rFonts w:hint="eastAsia" w:ascii="宋体" w:hAnsi="宋体" w:cs="宋体"/>
                <w:color w:val="auto"/>
                <w:kern w:val="0"/>
                <w:highlight w:val="none"/>
              </w:rPr>
            </w:pPr>
            <w:r>
              <w:rPr>
                <w:rFonts w:hint="eastAsia" w:ascii="宋体" w:hAnsi="宋体" w:cs="宋体"/>
                <w:color w:val="auto"/>
                <w:kern w:val="0"/>
                <w:highlight w:val="none"/>
              </w:rPr>
              <w:t>实际供货日期</w:t>
            </w:r>
          </w:p>
        </w:tc>
        <w:tc>
          <w:tcPr>
            <w:tcW w:w="2564" w:type="dxa"/>
            <w:gridSpan w:val="2"/>
            <w:tcBorders>
              <w:top w:val="nil"/>
              <w:left w:val="nil"/>
              <w:bottom w:val="single" w:color="auto" w:sz="8" w:space="0"/>
              <w:right w:val="single" w:color="auto" w:sz="8" w:space="0"/>
            </w:tcBorders>
            <w:noWrap w:val="0"/>
            <w:vAlign w:val="center"/>
          </w:tcPr>
          <w:p w14:paraId="30E75EE5">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center"/>
              <w:textAlignment w:val="auto"/>
              <w:rPr>
                <w:rFonts w:hint="eastAsia" w:ascii="宋体" w:hAnsi="宋体" w:cs="宋体"/>
                <w:color w:val="auto"/>
                <w:kern w:val="0"/>
                <w:highlight w:val="none"/>
              </w:rPr>
            </w:pPr>
          </w:p>
        </w:tc>
        <w:tc>
          <w:tcPr>
            <w:tcW w:w="2282" w:type="dxa"/>
            <w:gridSpan w:val="3"/>
            <w:tcBorders>
              <w:top w:val="nil"/>
              <w:left w:val="nil"/>
              <w:bottom w:val="single" w:color="auto" w:sz="8" w:space="0"/>
              <w:right w:val="single" w:color="auto" w:sz="8" w:space="0"/>
            </w:tcBorders>
            <w:noWrap w:val="0"/>
            <w:vAlign w:val="center"/>
          </w:tcPr>
          <w:p w14:paraId="2A96B4F2">
            <w:pPr>
              <w:keepNext w:val="0"/>
              <w:keepLines w:val="0"/>
              <w:pageBreakBefore w:val="0"/>
              <w:widowControl/>
              <w:kinsoku/>
              <w:wordWrap/>
              <w:overflowPunct/>
              <w:topLinePunct w:val="0"/>
              <w:autoSpaceDE/>
              <w:autoSpaceDN/>
              <w:bidi w:val="0"/>
              <w:adjustRightInd/>
              <w:snapToGrid w:val="0"/>
              <w:spacing w:before="100" w:beforeAutospacing="1" w:after="100" w:afterAutospacing="1" w:line="400" w:lineRule="exact"/>
              <w:ind w:firstLine="46"/>
              <w:jc w:val="center"/>
              <w:textAlignment w:val="auto"/>
              <w:rPr>
                <w:rFonts w:hint="eastAsia" w:ascii="宋体" w:hAnsi="宋体" w:cs="宋体"/>
                <w:color w:val="auto"/>
                <w:kern w:val="0"/>
                <w:highlight w:val="none"/>
              </w:rPr>
            </w:pPr>
            <w:r>
              <w:rPr>
                <w:rFonts w:hint="eastAsia" w:ascii="宋体" w:hAnsi="宋体" w:cs="宋体"/>
                <w:color w:val="auto"/>
                <w:kern w:val="0"/>
                <w:highlight w:val="none"/>
              </w:rPr>
              <w:t>合同交货验收日期</w:t>
            </w:r>
          </w:p>
        </w:tc>
        <w:tc>
          <w:tcPr>
            <w:tcW w:w="3039" w:type="dxa"/>
            <w:gridSpan w:val="2"/>
            <w:tcBorders>
              <w:top w:val="nil"/>
              <w:left w:val="nil"/>
              <w:bottom w:val="single" w:color="auto" w:sz="8" w:space="0"/>
              <w:right w:val="single" w:color="auto" w:sz="8" w:space="0"/>
            </w:tcBorders>
            <w:noWrap w:val="0"/>
            <w:vAlign w:val="center"/>
          </w:tcPr>
          <w:p w14:paraId="664DC825">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center"/>
              <w:textAlignment w:val="auto"/>
              <w:rPr>
                <w:rFonts w:hint="eastAsia" w:ascii="宋体" w:hAnsi="宋体" w:cs="宋体"/>
                <w:color w:val="auto"/>
                <w:kern w:val="0"/>
                <w:highlight w:val="none"/>
              </w:rPr>
            </w:pPr>
          </w:p>
        </w:tc>
      </w:tr>
      <w:tr w14:paraId="2E7F4EE9">
        <w:trPr>
          <w:trHeight w:val="394" w:hRule="atLeast"/>
          <w:jc w:val="center"/>
        </w:trPr>
        <w:tc>
          <w:tcPr>
            <w:tcW w:w="1486" w:type="dxa"/>
            <w:tcBorders>
              <w:top w:val="nil"/>
              <w:left w:val="single" w:color="auto" w:sz="8" w:space="0"/>
              <w:bottom w:val="single" w:color="auto" w:sz="8" w:space="0"/>
              <w:right w:val="single" w:color="auto" w:sz="8" w:space="0"/>
            </w:tcBorders>
            <w:noWrap w:val="0"/>
            <w:vAlign w:val="center"/>
          </w:tcPr>
          <w:p w14:paraId="00C0DCEE">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center"/>
              <w:textAlignment w:val="auto"/>
              <w:rPr>
                <w:rFonts w:hint="eastAsia" w:ascii="宋体" w:hAnsi="宋体" w:cs="宋体"/>
                <w:color w:val="auto"/>
                <w:kern w:val="0"/>
                <w:highlight w:val="none"/>
              </w:rPr>
            </w:pPr>
          </w:p>
        </w:tc>
        <w:tc>
          <w:tcPr>
            <w:tcW w:w="2564" w:type="dxa"/>
            <w:gridSpan w:val="2"/>
            <w:tcBorders>
              <w:top w:val="nil"/>
              <w:left w:val="nil"/>
              <w:bottom w:val="single" w:color="auto" w:sz="8" w:space="0"/>
              <w:right w:val="single" w:color="auto" w:sz="8" w:space="0"/>
            </w:tcBorders>
            <w:noWrap w:val="0"/>
            <w:vAlign w:val="center"/>
          </w:tcPr>
          <w:p w14:paraId="58BDDD49">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center"/>
              <w:textAlignment w:val="auto"/>
              <w:rPr>
                <w:rFonts w:hint="eastAsia" w:ascii="宋体" w:hAnsi="宋体" w:cs="宋体"/>
                <w:color w:val="auto"/>
                <w:kern w:val="0"/>
                <w:highlight w:val="none"/>
              </w:rPr>
            </w:pPr>
          </w:p>
        </w:tc>
        <w:tc>
          <w:tcPr>
            <w:tcW w:w="2282" w:type="dxa"/>
            <w:gridSpan w:val="3"/>
            <w:tcBorders>
              <w:top w:val="nil"/>
              <w:left w:val="nil"/>
              <w:bottom w:val="single" w:color="auto" w:sz="8" w:space="0"/>
              <w:right w:val="single" w:color="auto" w:sz="8" w:space="0"/>
            </w:tcBorders>
            <w:noWrap w:val="0"/>
            <w:vAlign w:val="center"/>
          </w:tcPr>
          <w:p w14:paraId="6A4AFFE2">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center"/>
              <w:textAlignment w:val="auto"/>
              <w:rPr>
                <w:rFonts w:hint="eastAsia" w:ascii="宋体" w:hAnsi="宋体" w:cs="宋体"/>
                <w:color w:val="auto"/>
                <w:kern w:val="0"/>
                <w:highlight w:val="none"/>
              </w:rPr>
            </w:pPr>
          </w:p>
        </w:tc>
        <w:tc>
          <w:tcPr>
            <w:tcW w:w="3039" w:type="dxa"/>
            <w:gridSpan w:val="2"/>
            <w:tcBorders>
              <w:top w:val="nil"/>
              <w:left w:val="nil"/>
              <w:bottom w:val="single" w:color="auto" w:sz="8" w:space="0"/>
              <w:right w:val="single" w:color="auto" w:sz="8" w:space="0"/>
            </w:tcBorders>
            <w:noWrap w:val="0"/>
            <w:vAlign w:val="center"/>
          </w:tcPr>
          <w:p w14:paraId="2C725BD5">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center"/>
              <w:textAlignment w:val="auto"/>
              <w:rPr>
                <w:rFonts w:hint="eastAsia" w:ascii="宋体" w:hAnsi="宋体" w:cs="宋体"/>
                <w:color w:val="auto"/>
                <w:kern w:val="0"/>
                <w:highlight w:val="none"/>
              </w:rPr>
            </w:pPr>
          </w:p>
        </w:tc>
      </w:tr>
      <w:tr w14:paraId="21AF339F">
        <w:trPr>
          <w:trHeight w:val="693" w:hRule="atLeast"/>
          <w:jc w:val="center"/>
        </w:trPr>
        <w:tc>
          <w:tcPr>
            <w:tcW w:w="1486"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0D9E5154">
            <w:pPr>
              <w:keepNext w:val="0"/>
              <w:keepLines w:val="0"/>
              <w:pageBreakBefore w:val="0"/>
              <w:widowControl/>
              <w:kinsoku/>
              <w:wordWrap/>
              <w:overflowPunct/>
              <w:topLinePunct w:val="0"/>
              <w:autoSpaceDE/>
              <w:autoSpaceDN/>
              <w:bidi w:val="0"/>
              <w:adjustRightInd/>
              <w:snapToGrid w:val="0"/>
              <w:spacing w:before="100" w:beforeAutospacing="1" w:after="100" w:afterAutospacing="1" w:line="400" w:lineRule="exact"/>
              <w:jc w:val="left"/>
              <w:textAlignment w:val="auto"/>
              <w:rPr>
                <w:rFonts w:hint="eastAsia" w:ascii="宋体" w:hAnsi="宋体" w:cs="宋体"/>
                <w:color w:val="auto"/>
                <w:kern w:val="0"/>
                <w:highlight w:val="none"/>
              </w:rPr>
            </w:pPr>
            <w:r>
              <w:rPr>
                <w:rFonts w:hint="eastAsia" w:ascii="宋体" w:hAnsi="宋体" w:cs="宋体"/>
                <w:color w:val="auto"/>
                <w:kern w:val="0"/>
                <w:highlight w:val="none"/>
              </w:rPr>
              <w:t>验收具体内容</w:t>
            </w:r>
          </w:p>
        </w:tc>
        <w:tc>
          <w:tcPr>
            <w:tcW w:w="7885" w:type="dxa"/>
            <w:gridSpan w:val="7"/>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6076C8AD">
            <w:pPr>
              <w:keepNext w:val="0"/>
              <w:keepLines w:val="0"/>
              <w:pageBreakBefore w:val="0"/>
              <w:widowControl/>
              <w:kinsoku/>
              <w:wordWrap/>
              <w:overflowPunct/>
              <w:topLinePunct w:val="0"/>
              <w:autoSpaceDE/>
              <w:autoSpaceDN/>
              <w:bidi w:val="0"/>
              <w:adjustRightInd/>
              <w:snapToGrid w:val="0"/>
              <w:spacing w:before="100" w:beforeAutospacing="1" w:after="100" w:afterAutospacing="1" w:line="400" w:lineRule="exact"/>
              <w:jc w:val="left"/>
              <w:textAlignment w:val="auto"/>
              <w:rPr>
                <w:rFonts w:hint="eastAsia" w:ascii="宋体" w:hAnsi="宋体" w:cs="宋体"/>
                <w:color w:val="auto"/>
                <w:kern w:val="0"/>
                <w:highlight w:val="none"/>
              </w:rPr>
            </w:pPr>
            <w:r>
              <w:rPr>
                <w:rFonts w:hint="eastAsia" w:ascii="宋体" w:hAnsi="宋体" w:cs="宋体"/>
                <w:color w:val="auto"/>
                <w:kern w:val="0"/>
                <w:highlight w:val="none"/>
              </w:rPr>
              <w:t>（应按采购合同、采购文件、投标响应文件及验收方案等进行验收；并核对中标或者中标人在安装调试等方面是否违反合同约定或服务规范要求、提供的质量保证证明材料是否齐全、应有的配件及附件是否达到合同约定等。可附件）</w:t>
            </w:r>
          </w:p>
        </w:tc>
      </w:tr>
      <w:tr w14:paraId="61A5BD9D">
        <w:trPr>
          <w:trHeight w:val="510" w:hRule="atLeast"/>
          <w:jc w:val="center"/>
        </w:trPr>
        <w:tc>
          <w:tcPr>
            <w:tcW w:w="1486" w:type="dxa"/>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7CBE7BC7">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left"/>
              <w:textAlignment w:val="auto"/>
              <w:rPr>
                <w:rFonts w:hint="eastAsia" w:ascii="宋体" w:hAnsi="宋体" w:cs="宋体"/>
                <w:color w:val="auto"/>
                <w:kern w:val="0"/>
                <w:highlight w:val="none"/>
              </w:rPr>
            </w:pPr>
            <w:r>
              <w:rPr>
                <w:rFonts w:hint="eastAsia" w:ascii="宋体" w:hAnsi="宋体" w:cs="宋体"/>
                <w:color w:val="auto"/>
                <w:kern w:val="0"/>
                <w:highlight w:val="none"/>
              </w:rPr>
              <w:t>验收小组意见</w:t>
            </w:r>
          </w:p>
        </w:tc>
        <w:tc>
          <w:tcPr>
            <w:tcW w:w="7885" w:type="dxa"/>
            <w:gridSpan w:val="7"/>
            <w:tcBorders>
              <w:top w:val="nil"/>
              <w:left w:val="nil"/>
              <w:bottom w:val="single" w:color="auto" w:sz="8" w:space="0"/>
              <w:right w:val="single" w:color="auto" w:sz="8" w:space="0"/>
            </w:tcBorders>
            <w:noWrap w:val="0"/>
            <w:vAlign w:val="center"/>
          </w:tcPr>
          <w:p w14:paraId="30085B95">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left"/>
              <w:textAlignment w:val="auto"/>
              <w:rPr>
                <w:rFonts w:hint="eastAsia" w:ascii="宋体" w:hAnsi="宋体" w:cs="宋体"/>
                <w:color w:val="auto"/>
                <w:kern w:val="0"/>
                <w:highlight w:val="none"/>
              </w:rPr>
            </w:pPr>
            <w:r>
              <w:rPr>
                <w:rFonts w:hint="eastAsia" w:ascii="宋体" w:hAnsi="宋体" w:cs="宋体"/>
                <w:color w:val="auto"/>
                <w:kern w:val="0"/>
                <w:highlight w:val="none"/>
              </w:rPr>
              <w:t>验收结论性意见：</w:t>
            </w:r>
          </w:p>
        </w:tc>
      </w:tr>
      <w:tr w14:paraId="02896FE3">
        <w:trPr>
          <w:trHeight w:val="424" w:hRule="atLeast"/>
          <w:jc w:val="center"/>
        </w:trPr>
        <w:tc>
          <w:tcPr>
            <w:tcW w:w="1486" w:type="dxa"/>
            <w:vMerge w:val="continue"/>
            <w:tcBorders>
              <w:top w:val="nil"/>
              <w:left w:val="single" w:color="auto" w:sz="8" w:space="0"/>
              <w:bottom w:val="single" w:color="auto" w:sz="8" w:space="0"/>
              <w:right w:val="single" w:color="auto" w:sz="8" w:space="0"/>
            </w:tcBorders>
            <w:noWrap w:val="0"/>
            <w:vAlign w:val="center"/>
          </w:tcPr>
          <w:p w14:paraId="550CA8E7">
            <w:pPr>
              <w:keepNext w:val="0"/>
              <w:keepLines w:val="0"/>
              <w:pageBreakBefore w:val="0"/>
              <w:widowControl/>
              <w:kinsoku/>
              <w:wordWrap/>
              <w:overflowPunct/>
              <w:topLinePunct w:val="0"/>
              <w:autoSpaceDE/>
              <w:autoSpaceDN/>
              <w:bidi w:val="0"/>
              <w:adjustRightInd/>
              <w:spacing w:line="400" w:lineRule="exact"/>
              <w:jc w:val="left"/>
              <w:textAlignment w:val="auto"/>
              <w:rPr>
                <w:rFonts w:hint="eastAsia" w:ascii="宋体" w:hAnsi="宋体" w:cs="宋体"/>
                <w:color w:val="auto"/>
                <w:kern w:val="0"/>
                <w:szCs w:val="21"/>
                <w:highlight w:val="none"/>
              </w:rPr>
            </w:pPr>
          </w:p>
        </w:tc>
        <w:tc>
          <w:tcPr>
            <w:tcW w:w="7885" w:type="dxa"/>
            <w:gridSpan w:val="7"/>
            <w:tcBorders>
              <w:top w:val="nil"/>
              <w:left w:val="nil"/>
              <w:bottom w:val="single" w:color="auto" w:sz="8" w:space="0"/>
              <w:right w:val="single" w:color="auto" w:sz="8" w:space="0"/>
            </w:tcBorders>
            <w:noWrap w:val="0"/>
            <w:vAlign w:val="center"/>
          </w:tcPr>
          <w:p w14:paraId="2710A233">
            <w:pPr>
              <w:keepNext w:val="0"/>
              <w:keepLines w:val="0"/>
              <w:pageBreakBefore w:val="0"/>
              <w:widowControl/>
              <w:kinsoku/>
              <w:wordWrap/>
              <w:overflowPunct/>
              <w:topLinePunct w:val="0"/>
              <w:autoSpaceDE/>
              <w:autoSpaceDN/>
              <w:bidi w:val="0"/>
              <w:adjustRightInd/>
              <w:spacing w:before="100" w:beforeAutospacing="1" w:after="100" w:afterAutospacing="1" w:line="400" w:lineRule="exact"/>
              <w:ind w:firstLine="96"/>
              <w:jc w:val="left"/>
              <w:textAlignment w:val="auto"/>
              <w:rPr>
                <w:rFonts w:hint="eastAsia" w:ascii="宋体" w:hAnsi="宋体" w:cs="宋体"/>
                <w:color w:val="auto"/>
                <w:kern w:val="0"/>
                <w:highlight w:val="none"/>
              </w:rPr>
            </w:pPr>
            <w:r>
              <w:rPr>
                <w:rFonts w:hint="eastAsia" w:ascii="宋体" w:hAnsi="宋体" w:cs="宋体"/>
                <w:color w:val="auto"/>
                <w:kern w:val="0"/>
                <w:highlight w:val="none"/>
              </w:rPr>
              <w:t>有异议的意见和说明理由：</w:t>
            </w:r>
          </w:p>
          <w:p w14:paraId="77CD4707">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left"/>
              <w:textAlignment w:val="auto"/>
              <w:rPr>
                <w:rFonts w:hint="eastAsia" w:ascii="宋体" w:hAnsi="宋体" w:cs="宋体"/>
                <w:color w:val="auto"/>
                <w:kern w:val="0"/>
                <w:highlight w:val="none"/>
              </w:rPr>
            </w:pPr>
            <w:r>
              <w:rPr>
                <w:rFonts w:hint="eastAsia" w:ascii="宋体" w:hAnsi="宋体" w:cs="宋体"/>
                <w:color w:val="auto"/>
                <w:kern w:val="0"/>
                <w:highlight w:val="none"/>
              </w:rPr>
              <w:t>签字：</w:t>
            </w:r>
          </w:p>
        </w:tc>
      </w:tr>
      <w:tr w14:paraId="741B1241">
        <w:trPr>
          <w:trHeight w:val="507" w:hRule="atLeast"/>
          <w:jc w:val="center"/>
        </w:trPr>
        <w:tc>
          <w:tcPr>
            <w:tcW w:w="9371" w:type="dxa"/>
            <w:gridSpan w:val="8"/>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7FD3CC10">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left"/>
              <w:textAlignment w:val="auto"/>
              <w:rPr>
                <w:rFonts w:hint="eastAsia" w:ascii="宋体" w:hAnsi="宋体" w:cs="宋体"/>
                <w:color w:val="auto"/>
                <w:kern w:val="0"/>
                <w:highlight w:val="none"/>
              </w:rPr>
            </w:pPr>
            <w:r>
              <w:rPr>
                <w:rFonts w:hint="eastAsia" w:ascii="宋体" w:hAnsi="宋体" w:cs="宋体"/>
                <w:color w:val="auto"/>
                <w:kern w:val="0"/>
                <w:highlight w:val="none"/>
              </w:rPr>
              <w:t>验收小组成员签字：</w:t>
            </w:r>
          </w:p>
        </w:tc>
      </w:tr>
      <w:tr w14:paraId="14E1B337">
        <w:trPr>
          <w:trHeight w:val="736" w:hRule="atLeast"/>
          <w:jc w:val="center"/>
        </w:trPr>
        <w:tc>
          <w:tcPr>
            <w:tcW w:w="9371" w:type="dxa"/>
            <w:gridSpan w:val="8"/>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2BB20F3B">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left"/>
              <w:textAlignment w:val="auto"/>
              <w:rPr>
                <w:rFonts w:hint="eastAsia" w:ascii="宋体" w:hAnsi="宋体" w:cs="宋体"/>
                <w:color w:val="auto"/>
                <w:kern w:val="0"/>
                <w:highlight w:val="none"/>
              </w:rPr>
            </w:pPr>
            <w:r>
              <w:rPr>
                <w:rFonts w:hint="eastAsia" w:ascii="宋体" w:hAnsi="宋体" w:cs="宋体"/>
                <w:color w:val="auto"/>
                <w:kern w:val="0"/>
                <w:highlight w:val="none"/>
              </w:rPr>
              <w:t>监督人员或其他相关人员签字：</w:t>
            </w:r>
          </w:p>
          <w:p w14:paraId="3B451F3E">
            <w:pPr>
              <w:keepNext w:val="0"/>
              <w:keepLines w:val="0"/>
              <w:pageBreakBefore w:val="0"/>
              <w:widowControl/>
              <w:kinsoku/>
              <w:wordWrap/>
              <w:overflowPunct/>
              <w:topLinePunct w:val="0"/>
              <w:autoSpaceDE/>
              <w:autoSpaceDN/>
              <w:bidi w:val="0"/>
              <w:adjustRightInd/>
              <w:spacing w:before="100" w:beforeAutospacing="1" w:after="100" w:afterAutospacing="1" w:line="400" w:lineRule="exact"/>
              <w:ind w:firstLine="74"/>
              <w:jc w:val="left"/>
              <w:textAlignment w:val="auto"/>
              <w:rPr>
                <w:rFonts w:hint="eastAsia" w:ascii="宋体" w:hAnsi="宋体" w:cs="宋体"/>
                <w:color w:val="auto"/>
                <w:kern w:val="0"/>
                <w:highlight w:val="none"/>
              </w:rPr>
            </w:pPr>
            <w:r>
              <w:rPr>
                <w:rFonts w:hint="eastAsia" w:ascii="宋体" w:hAnsi="宋体" w:cs="宋体"/>
                <w:color w:val="auto"/>
                <w:kern w:val="0"/>
                <w:highlight w:val="none"/>
              </w:rPr>
              <w:t>或受邀机构的意见（盖章）：</w:t>
            </w:r>
          </w:p>
        </w:tc>
      </w:tr>
      <w:tr w14:paraId="6DD3B728">
        <w:trPr>
          <w:trHeight w:val="986" w:hRule="atLeast"/>
          <w:jc w:val="center"/>
        </w:trPr>
        <w:tc>
          <w:tcPr>
            <w:tcW w:w="4152" w:type="dxa"/>
            <w:gridSpan w:val="4"/>
            <w:tcBorders>
              <w:top w:val="nil"/>
              <w:left w:val="single" w:color="auto" w:sz="8" w:space="0"/>
              <w:bottom w:val="single" w:color="auto" w:sz="8" w:space="0"/>
              <w:right w:val="nil"/>
            </w:tcBorders>
            <w:noWrap w:val="0"/>
            <w:tcMar>
              <w:top w:w="0" w:type="dxa"/>
              <w:left w:w="108" w:type="dxa"/>
              <w:bottom w:w="0" w:type="dxa"/>
              <w:right w:w="108" w:type="dxa"/>
            </w:tcMar>
            <w:vAlign w:val="center"/>
          </w:tcPr>
          <w:p w14:paraId="07CD251E">
            <w:pPr>
              <w:keepNext w:val="0"/>
              <w:keepLines w:val="0"/>
              <w:pageBreakBefore w:val="0"/>
              <w:widowControl/>
              <w:kinsoku/>
              <w:wordWrap/>
              <w:overflowPunct/>
              <w:topLinePunct w:val="0"/>
              <w:autoSpaceDE/>
              <w:autoSpaceDN/>
              <w:bidi w:val="0"/>
              <w:adjustRightInd/>
              <w:spacing w:before="100" w:beforeAutospacing="1" w:after="100" w:afterAutospacing="1" w:line="400" w:lineRule="exact"/>
              <w:ind w:firstLine="74"/>
              <w:jc w:val="left"/>
              <w:textAlignment w:val="auto"/>
              <w:rPr>
                <w:rFonts w:hint="eastAsia" w:ascii="宋体" w:hAnsi="宋体" w:cs="宋体"/>
                <w:color w:val="auto"/>
                <w:kern w:val="0"/>
                <w:highlight w:val="none"/>
              </w:rPr>
            </w:pPr>
            <w:r>
              <w:rPr>
                <w:rFonts w:hint="eastAsia" w:ascii="宋体" w:hAnsi="宋体" w:cs="宋体"/>
                <w:color w:val="auto"/>
                <w:kern w:val="0"/>
                <w:highlight w:val="none"/>
              </w:rPr>
              <w:t xml:space="preserve">中标或者成交供应商负责人签字或盖章：      </w:t>
            </w:r>
          </w:p>
          <w:p w14:paraId="4AD0505F">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left"/>
              <w:textAlignment w:val="auto"/>
              <w:rPr>
                <w:rFonts w:hint="eastAsia" w:ascii="宋体" w:hAnsi="宋体" w:cs="宋体"/>
                <w:color w:val="auto"/>
                <w:kern w:val="0"/>
                <w:highlight w:val="none"/>
              </w:rPr>
            </w:pPr>
            <w:r>
              <w:rPr>
                <w:rFonts w:hint="eastAsia" w:ascii="宋体" w:hAnsi="宋体" w:cs="宋体"/>
                <w:color w:val="auto"/>
                <w:kern w:val="0"/>
                <w:highlight w:val="none"/>
              </w:rPr>
              <w:t>联系电话： 年 月 日</w:t>
            </w:r>
          </w:p>
        </w:tc>
        <w:tc>
          <w:tcPr>
            <w:tcW w:w="5219" w:type="dxa"/>
            <w:gridSpan w:val="4"/>
            <w:tcBorders>
              <w:top w:val="nil"/>
              <w:left w:val="nil"/>
              <w:bottom w:val="single" w:color="auto" w:sz="8" w:space="0"/>
              <w:right w:val="single" w:color="auto" w:sz="8" w:space="0"/>
            </w:tcBorders>
            <w:noWrap w:val="0"/>
            <w:vAlign w:val="center"/>
          </w:tcPr>
          <w:p w14:paraId="162A92FC">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left"/>
              <w:textAlignment w:val="auto"/>
              <w:rPr>
                <w:rFonts w:hint="eastAsia" w:ascii="宋体" w:hAnsi="宋体" w:cs="宋体"/>
                <w:color w:val="auto"/>
                <w:kern w:val="0"/>
                <w:highlight w:val="none"/>
              </w:rPr>
            </w:pPr>
            <w:r>
              <w:rPr>
                <w:rFonts w:hint="eastAsia" w:ascii="宋体" w:hAnsi="宋体" w:cs="宋体"/>
                <w:color w:val="auto"/>
                <w:kern w:val="0"/>
                <w:highlight w:val="none"/>
              </w:rPr>
              <w:t>采购人或受托机构的意见（盖章）：</w:t>
            </w:r>
          </w:p>
          <w:p w14:paraId="6EA6506C">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left"/>
              <w:textAlignment w:val="auto"/>
              <w:rPr>
                <w:rFonts w:hint="eastAsia" w:ascii="宋体" w:hAnsi="宋体" w:cs="宋体"/>
                <w:color w:val="auto"/>
                <w:kern w:val="0"/>
                <w:highlight w:val="none"/>
              </w:rPr>
            </w:pPr>
            <w:r>
              <w:rPr>
                <w:rFonts w:hint="eastAsia" w:ascii="宋体" w:hAnsi="宋体" w:cs="宋体"/>
                <w:color w:val="auto"/>
                <w:kern w:val="0"/>
                <w:highlight w:val="none"/>
              </w:rPr>
              <w:t>联系电话： 年 月 日</w:t>
            </w:r>
          </w:p>
        </w:tc>
      </w:tr>
    </w:tbl>
    <w:p w14:paraId="2B1382D7">
      <w:pPr>
        <w:pStyle w:val="20"/>
        <w:snapToGrid w:val="0"/>
        <w:spacing w:before="120" w:after="120"/>
        <w:rPr>
          <w:rFonts w:hint="eastAsia" w:hAnsi="宋体" w:cs="宋体"/>
          <w:color w:val="auto"/>
          <w:highlight w:val="none"/>
        </w:rPr>
      </w:pPr>
    </w:p>
    <w:p w14:paraId="465BD7BA">
      <w:pPr>
        <w:spacing w:line="360" w:lineRule="auto"/>
        <w:jc w:val="left"/>
        <w:rPr>
          <w:rFonts w:hint="eastAsia" w:ascii="宋体" w:hAnsi="宋体" w:cs="宋体"/>
          <w:color w:val="auto"/>
          <w:sz w:val="18"/>
          <w:szCs w:val="18"/>
          <w:highlight w:val="none"/>
        </w:rPr>
      </w:pPr>
      <w:r>
        <w:rPr>
          <w:rFonts w:hint="eastAsia" w:ascii="宋体" w:hAnsi="宋体" w:cs="宋体"/>
          <w:color w:val="auto"/>
          <w:highlight w:val="none"/>
        </w:rPr>
        <w:br w:type="page"/>
      </w:r>
      <w:r>
        <w:rPr>
          <w:rFonts w:hint="eastAsia" w:ascii="宋体" w:hAnsi="宋体" w:cs="宋体"/>
          <w:b/>
          <w:bCs/>
          <w:color w:val="auto"/>
          <w:sz w:val="28"/>
          <w:szCs w:val="36"/>
          <w:highlight w:val="none"/>
        </w:rPr>
        <w:t>附件2：</w:t>
      </w:r>
    </w:p>
    <w:p w14:paraId="6B6561CD">
      <w:pPr>
        <w:widowControl/>
        <w:shd w:val="clear" w:color="auto" w:fill="FFFFFF"/>
        <w:spacing w:line="360" w:lineRule="auto"/>
        <w:jc w:val="center"/>
        <w:rPr>
          <w:rFonts w:hint="eastAsia" w:ascii="宋体" w:hAnsi="宋体" w:cs="宋体"/>
          <w:color w:val="auto"/>
          <w:kern w:val="0"/>
          <w:sz w:val="44"/>
          <w:szCs w:val="44"/>
          <w:highlight w:val="none"/>
        </w:rPr>
      </w:pPr>
      <w:r>
        <w:rPr>
          <w:rFonts w:hint="eastAsia" w:ascii="宋体" w:hAnsi="宋体" w:cs="宋体"/>
          <w:color w:val="auto"/>
          <w:kern w:val="0"/>
          <w:sz w:val="44"/>
          <w:szCs w:val="44"/>
          <w:highlight w:val="none"/>
        </w:rPr>
        <w:t>政府采购项目履约保证金退付意见书（参考）</w:t>
      </w:r>
    </w:p>
    <w:tbl>
      <w:tblPr>
        <w:tblStyle w:val="39"/>
        <w:tblW w:w="861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7610"/>
      </w:tblGrid>
      <w:tr w14:paraId="7C488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15" w:hRule="atLeast"/>
        </w:trPr>
        <w:tc>
          <w:tcPr>
            <w:tcW w:w="1008" w:type="dxa"/>
            <w:vMerge w:val="restart"/>
            <w:noWrap w:val="0"/>
            <w:vAlign w:val="center"/>
          </w:tcPr>
          <w:p w14:paraId="4792CB8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供</w:t>
            </w:r>
          </w:p>
          <w:p w14:paraId="796491E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应</w:t>
            </w:r>
          </w:p>
          <w:p w14:paraId="07D966D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商</w:t>
            </w:r>
          </w:p>
          <w:p w14:paraId="4902F60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申</w:t>
            </w:r>
          </w:p>
          <w:p w14:paraId="6C5F3EF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请</w:t>
            </w:r>
          </w:p>
        </w:tc>
        <w:tc>
          <w:tcPr>
            <w:tcW w:w="7610" w:type="dxa"/>
            <w:noWrap w:val="0"/>
            <w:vAlign w:val="center"/>
          </w:tcPr>
          <w:p w14:paraId="03CD6A8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 w:val="24"/>
                <w:highlight w:val="none"/>
              </w:rPr>
            </w:pPr>
            <w:r>
              <w:rPr>
                <w:rFonts w:hint="eastAsia" w:ascii="宋体" w:hAnsi="宋体" w:cs="宋体"/>
                <w:color w:val="auto"/>
                <w:sz w:val="24"/>
                <w:highlight w:val="none"/>
              </w:rPr>
              <w:t>项目编号：</w:t>
            </w:r>
          </w:p>
        </w:tc>
      </w:tr>
      <w:tr w14:paraId="2FAE3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08" w:hRule="atLeast"/>
        </w:trPr>
        <w:tc>
          <w:tcPr>
            <w:tcW w:w="1008" w:type="dxa"/>
            <w:vMerge w:val="continue"/>
            <w:noWrap w:val="0"/>
            <w:vAlign w:val="center"/>
          </w:tcPr>
          <w:p w14:paraId="1B70531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 w:val="24"/>
                <w:highlight w:val="none"/>
              </w:rPr>
            </w:pPr>
          </w:p>
        </w:tc>
        <w:tc>
          <w:tcPr>
            <w:tcW w:w="7610" w:type="dxa"/>
            <w:noWrap w:val="0"/>
            <w:vAlign w:val="center"/>
          </w:tcPr>
          <w:p w14:paraId="0CDFFF6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 w:val="24"/>
                <w:highlight w:val="none"/>
              </w:rPr>
            </w:pPr>
            <w:r>
              <w:rPr>
                <w:rFonts w:hint="eastAsia" w:ascii="宋体" w:hAnsi="宋体" w:cs="宋体"/>
                <w:color w:val="auto"/>
                <w:sz w:val="24"/>
                <w:highlight w:val="none"/>
              </w:rPr>
              <w:t>项目名称：</w:t>
            </w:r>
          </w:p>
        </w:tc>
      </w:tr>
      <w:tr w14:paraId="10F20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008" w:type="dxa"/>
            <w:vMerge w:val="continue"/>
            <w:noWrap w:val="0"/>
            <w:vAlign w:val="top"/>
          </w:tcPr>
          <w:p w14:paraId="008F655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 w:val="24"/>
                <w:highlight w:val="none"/>
              </w:rPr>
            </w:pPr>
          </w:p>
        </w:tc>
        <w:tc>
          <w:tcPr>
            <w:tcW w:w="7610" w:type="dxa"/>
            <w:noWrap w:val="0"/>
            <w:vAlign w:val="top"/>
          </w:tcPr>
          <w:p w14:paraId="47BF483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 w:val="24"/>
                <w:highlight w:val="none"/>
              </w:rPr>
            </w:pPr>
            <w:r>
              <w:rPr>
                <w:rFonts w:hint="eastAsia" w:ascii="宋体" w:hAnsi="宋体" w:cs="宋体"/>
                <w:color w:val="auto"/>
                <w:sz w:val="24"/>
                <w:highlight w:val="none"/>
              </w:rPr>
              <w:t xml:space="preserve">  </w:t>
            </w:r>
          </w:p>
          <w:p w14:paraId="03A0956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该项目已于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日验收并交付使用。根据合同规定，该项目的履约保证金期限于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日已满，请将履约保证金</w:t>
            </w:r>
          </w:p>
          <w:p w14:paraId="5D7F02F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 w:val="24"/>
                <w:highlight w:val="none"/>
              </w:rPr>
            </w:pP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（大写）¥</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（小写）退付到达以下账户。</w:t>
            </w:r>
          </w:p>
          <w:p w14:paraId="0D90B26C">
            <w:pPr>
              <w:keepNext w:val="0"/>
              <w:keepLines w:val="0"/>
              <w:pageBreakBefore w:val="0"/>
              <w:widowControl w:val="0"/>
              <w:kinsoku/>
              <w:wordWrap/>
              <w:overflowPunct/>
              <w:topLinePunct w:val="0"/>
              <w:autoSpaceDE/>
              <w:autoSpaceDN/>
              <w:bidi w:val="0"/>
              <w:adjustRightInd/>
              <w:snapToGrid/>
              <w:spacing w:line="400" w:lineRule="exact"/>
              <w:ind w:firstLine="705"/>
              <w:textAlignment w:val="auto"/>
              <w:rPr>
                <w:rFonts w:hint="eastAsia" w:ascii="宋体" w:hAnsi="宋体" w:cs="宋体"/>
                <w:color w:val="auto"/>
                <w:sz w:val="24"/>
                <w:highlight w:val="none"/>
              </w:rPr>
            </w:pPr>
            <w:r>
              <w:rPr>
                <w:rFonts w:hint="eastAsia" w:ascii="宋体" w:hAnsi="宋体" w:cs="宋体"/>
                <w:color w:val="auto"/>
                <w:sz w:val="24"/>
                <w:highlight w:val="none"/>
              </w:rPr>
              <w:t>单位名称：</w:t>
            </w:r>
          </w:p>
          <w:p w14:paraId="0FD7C6F2">
            <w:pPr>
              <w:keepNext w:val="0"/>
              <w:keepLines w:val="0"/>
              <w:pageBreakBefore w:val="0"/>
              <w:widowControl w:val="0"/>
              <w:kinsoku/>
              <w:wordWrap/>
              <w:overflowPunct/>
              <w:topLinePunct w:val="0"/>
              <w:autoSpaceDE/>
              <w:autoSpaceDN/>
              <w:bidi w:val="0"/>
              <w:adjustRightInd/>
              <w:snapToGrid/>
              <w:spacing w:line="400" w:lineRule="exact"/>
              <w:ind w:firstLine="705"/>
              <w:textAlignment w:val="auto"/>
              <w:rPr>
                <w:rFonts w:hint="eastAsia" w:ascii="宋体" w:hAnsi="宋体" w:cs="宋体"/>
                <w:color w:val="auto"/>
                <w:sz w:val="24"/>
                <w:highlight w:val="none"/>
              </w:rPr>
            </w:pPr>
            <w:r>
              <w:rPr>
                <w:rFonts w:hint="eastAsia" w:ascii="宋体" w:hAnsi="宋体" w:cs="宋体"/>
                <w:color w:val="auto"/>
                <w:sz w:val="24"/>
                <w:highlight w:val="none"/>
              </w:rPr>
              <w:t>开户银行：</w:t>
            </w:r>
          </w:p>
          <w:p w14:paraId="41FECE69">
            <w:pPr>
              <w:keepNext w:val="0"/>
              <w:keepLines w:val="0"/>
              <w:pageBreakBefore w:val="0"/>
              <w:widowControl w:val="0"/>
              <w:kinsoku/>
              <w:wordWrap/>
              <w:overflowPunct/>
              <w:topLinePunct w:val="0"/>
              <w:autoSpaceDE/>
              <w:autoSpaceDN/>
              <w:bidi w:val="0"/>
              <w:adjustRightInd/>
              <w:snapToGrid/>
              <w:spacing w:line="400" w:lineRule="exact"/>
              <w:ind w:firstLine="705"/>
              <w:textAlignment w:val="auto"/>
              <w:rPr>
                <w:rFonts w:hint="eastAsia" w:ascii="宋体" w:hAnsi="宋体" w:cs="宋体"/>
                <w:color w:val="auto"/>
                <w:sz w:val="24"/>
                <w:highlight w:val="none"/>
              </w:rPr>
            </w:pPr>
            <w:r>
              <w:rPr>
                <w:rFonts w:hint="eastAsia" w:ascii="宋体" w:hAnsi="宋体" w:cs="宋体"/>
                <w:color w:val="auto"/>
                <w:sz w:val="24"/>
                <w:highlight w:val="none"/>
              </w:rPr>
              <w:t>账   号：</w:t>
            </w:r>
          </w:p>
          <w:p w14:paraId="14DA30B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 w:val="24"/>
                <w:highlight w:val="none"/>
              </w:rPr>
            </w:pPr>
            <w:r>
              <w:rPr>
                <w:rFonts w:hint="eastAsia" w:ascii="宋体" w:hAnsi="宋体" w:cs="宋体"/>
                <w:color w:val="auto"/>
                <w:sz w:val="24"/>
                <w:highlight w:val="none"/>
              </w:rPr>
              <w:t>联系人及电话：</w:t>
            </w:r>
          </w:p>
          <w:p w14:paraId="57DA20D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 w:val="24"/>
                <w:highlight w:val="none"/>
              </w:rPr>
            </w:pPr>
          </w:p>
          <w:p w14:paraId="2A53F9C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 xml:space="preserve">         投标人签章：</w:t>
            </w:r>
          </w:p>
          <w:p w14:paraId="2D11FEB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 xml:space="preserve">                           年    月     日</w:t>
            </w:r>
          </w:p>
        </w:tc>
      </w:tr>
      <w:tr w14:paraId="316D7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26" w:hRule="atLeast"/>
        </w:trPr>
        <w:tc>
          <w:tcPr>
            <w:tcW w:w="1008" w:type="dxa"/>
            <w:noWrap w:val="0"/>
            <w:vAlign w:val="center"/>
          </w:tcPr>
          <w:p w14:paraId="1FDDABD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采</w:t>
            </w:r>
          </w:p>
          <w:p w14:paraId="56F87D8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购</w:t>
            </w:r>
          </w:p>
          <w:p w14:paraId="7DB06E6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人</w:t>
            </w:r>
          </w:p>
          <w:p w14:paraId="1B63532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意</w:t>
            </w:r>
          </w:p>
          <w:p w14:paraId="6375BC3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见</w:t>
            </w:r>
          </w:p>
        </w:tc>
        <w:tc>
          <w:tcPr>
            <w:tcW w:w="7610" w:type="dxa"/>
            <w:noWrap w:val="0"/>
            <w:vAlign w:val="top"/>
          </w:tcPr>
          <w:p w14:paraId="3133E39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 w:val="24"/>
                <w:highlight w:val="none"/>
              </w:rPr>
            </w:pPr>
          </w:p>
          <w:p w14:paraId="6DB4C7B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 w:val="24"/>
                <w:highlight w:val="none"/>
              </w:rPr>
            </w:pPr>
            <w:r>
              <w:rPr>
                <w:rFonts w:hint="eastAsia" w:ascii="宋体" w:hAnsi="宋体" w:cs="宋体"/>
                <w:color w:val="auto"/>
                <w:sz w:val="24"/>
                <w:highlight w:val="none"/>
              </w:rPr>
              <w:t>退付意见：（是否同意退付履约保证金及退付金额）</w:t>
            </w:r>
          </w:p>
          <w:p w14:paraId="01BEF0E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 w:val="24"/>
                <w:highlight w:val="none"/>
              </w:rPr>
            </w:pPr>
          </w:p>
          <w:p w14:paraId="6751914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 w:val="24"/>
                <w:highlight w:val="none"/>
              </w:rPr>
            </w:pPr>
          </w:p>
          <w:p w14:paraId="73AD221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 w:val="24"/>
                <w:highlight w:val="none"/>
              </w:rPr>
            </w:pPr>
          </w:p>
          <w:p w14:paraId="398D8F1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 w:val="24"/>
                <w:highlight w:val="none"/>
              </w:rPr>
            </w:pPr>
          </w:p>
          <w:p w14:paraId="308398C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 w:val="24"/>
                <w:highlight w:val="none"/>
              </w:rPr>
            </w:pPr>
            <w:r>
              <w:rPr>
                <w:rFonts w:hint="eastAsia" w:ascii="宋体" w:hAnsi="宋体" w:cs="宋体"/>
                <w:color w:val="auto"/>
                <w:sz w:val="24"/>
                <w:highlight w:val="none"/>
              </w:rPr>
              <w:t>联系人及电话：                         采购人签章</w:t>
            </w:r>
          </w:p>
          <w:p w14:paraId="2CD2146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 xml:space="preserve">                                        年    月     日</w:t>
            </w:r>
          </w:p>
        </w:tc>
      </w:tr>
      <w:tr w14:paraId="6C66A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25" w:hRule="atLeast"/>
        </w:trPr>
        <w:tc>
          <w:tcPr>
            <w:tcW w:w="1008" w:type="dxa"/>
            <w:noWrap w:val="0"/>
            <w:vAlign w:val="center"/>
          </w:tcPr>
          <w:p w14:paraId="7648ED8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备注</w:t>
            </w:r>
          </w:p>
        </w:tc>
        <w:tc>
          <w:tcPr>
            <w:tcW w:w="7610" w:type="dxa"/>
            <w:noWrap w:val="0"/>
            <w:vAlign w:val="top"/>
          </w:tcPr>
          <w:p w14:paraId="2DBA0B9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 w:val="24"/>
                <w:highlight w:val="none"/>
              </w:rPr>
            </w:pPr>
          </w:p>
        </w:tc>
      </w:tr>
    </w:tbl>
    <w:p w14:paraId="1BBF93AC">
      <w:pPr>
        <w:pStyle w:val="2"/>
        <w:keepNext w:val="0"/>
        <w:keepLines w:val="0"/>
        <w:pageBreakBefore w:val="0"/>
        <w:widowControl w:val="0"/>
        <w:kinsoku/>
        <w:wordWrap/>
        <w:overflowPunct/>
        <w:topLinePunct w:val="0"/>
        <w:autoSpaceDE/>
        <w:autoSpaceDN/>
        <w:bidi w:val="0"/>
        <w:adjustRightInd/>
        <w:snapToGrid/>
        <w:spacing w:line="400" w:lineRule="exact"/>
        <w:ind w:left="449" w:leftChars="114" w:hanging="210" w:hangingChars="100"/>
        <w:textAlignment w:val="auto"/>
        <w:rPr>
          <w:rFonts w:hint="eastAsia" w:ascii="宋体" w:hAnsi="宋体" w:cs="宋体"/>
          <w:b/>
          <w:bCs/>
          <w:color w:val="auto"/>
          <w:szCs w:val="21"/>
          <w:highlight w:val="none"/>
        </w:rPr>
      </w:pPr>
      <w:r>
        <w:rPr>
          <w:rFonts w:hint="eastAsia" w:ascii="宋体" w:hAnsi="宋体" w:cs="宋体"/>
          <w:b/>
          <w:bCs/>
          <w:color w:val="auto"/>
          <w:szCs w:val="21"/>
          <w:highlight w:val="none"/>
        </w:rPr>
        <w:t>注：投标人凭经采购人审批的退付意见书到保证金收取单位办理履约保证金退付事宜。</w:t>
      </w:r>
    </w:p>
    <w:p w14:paraId="08134522">
      <w:pPr>
        <w:pStyle w:val="20"/>
        <w:snapToGrid w:val="0"/>
        <w:spacing w:before="120" w:after="120"/>
        <w:rPr>
          <w:rFonts w:hint="eastAsia" w:hAnsi="宋体" w:cs="宋体"/>
          <w:color w:val="auto"/>
          <w:highlight w:val="none"/>
        </w:rPr>
      </w:pPr>
    </w:p>
    <w:p w14:paraId="776B30D1">
      <w:pPr>
        <w:pStyle w:val="3"/>
        <w:spacing w:before="0" w:after="0" w:line="360" w:lineRule="auto"/>
        <w:jc w:val="center"/>
        <w:rPr>
          <w:rFonts w:hint="eastAsia" w:ascii="宋体" w:hAnsi="宋体" w:cs="宋体"/>
          <w:color w:val="auto"/>
          <w:highlight w:val="none"/>
        </w:rPr>
      </w:pPr>
      <w:bookmarkStart w:id="165" w:name="_Toc254970548"/>
      <w:bookmarkStart w:id="166" w:name="_Toc15433"/>
      <w:bookmarkStart w:id="167" w:name="_Toc2178"/>
      <w:bookmarkStart w:id="168" w:name="_Toc254970689"/>
      <w:bookmarkStart w:id="169" w:name="_Toc330456896"/>
      <w:bookmarkStart w:id="170" w:name="_Toc27431"/>
      <w:r>
        <w:rPr>
          <w:rFonts w:hint="eastAsia" w:ascii="宋体" w:hAnsi="宋体" w:cs="宋体"/>
          <w:color w:val="auto"/>
          <w:highlight w:val="none"/>
        </w:rPr>
        <w:t>第四章  评标方法及评标标准</w:t>
      </w:r>
      <w:bookmarkEnd w:id="165"/>
      <w:bookmarkEnd w:id="166"/>
      <w:bookmarkEnd w:id="167"/>
      <w:bookmarkEnd w:id="168"/>
      <w:bookmarkEnd w:id="169"/>
      <w:bookmarkEnd w:id="170"/>
    </w:p>
    <w:p w14:paraId="40B2886B">
      <w:pPr>
        <w:pStyle w:val="4"/>
        <w:pageBreakBefore w:val="0"/>
        <w:kinsoku/>
        <w:wordWrap/>
        <w:overflowPunct/>
        <w:topLinePunct w:val="0"/>
        <w:autoSpaceDE/>
        <w:autoSpaceDN/>
        <w:bidi w:val="0"/>
        <w:spacing w:before="0" w:after="0" w:line="400" w:lineRule="exact"/>
        <w:jc w:val="center"/>
        <w:textAlignment w:val="auto"/>
        <w:rPr>
          <w:rFonts w:hint="eastAsia" w:ascii="宋体" w:hAnsi="宋体" w:eastAsia="宋体" w:cs="宋体"/>
          <w:color w:val="auto"/>
          <w:highlight w:val="none"/>
        </w:rPr>
      </w:pPr>
      <w:bookmarkStart w:id="171" w:name="_Toc23781"/>
      <w:bookmarkStart w:id="172" w:name="_Toc22273"/>
      <w:r>
        <w:rPr>
          <w:rFonts w:hint="eastAsia" w:ascii="宋体" w:hAnsi="宋体" w:eastAsia="宋体" w:cs="宋体"/>
          <w:color w:val="auto"/>
          <w:highlight w:val="none"/>
        </w:rPr>
        <w:t>一、评标方法</w:t>
      </w:r>
      <w:bookmarkEnd w:id="171"/>
      <w:bookmarkEnd w:id="172"/>
    </w:p>
    <w:p w14:paraId="334D762C">
      <w:pPr>
        <w:pStyle w:val="20"/>
        <w:pageBreakBefore w:val="0"/>
        <w:kinsoku/>
        <w:wordWrap/>
        <w:overflowPunct/>
        <w:topLinePunct w:val="0"/>
        <w:autoSpaceDE/>
        <w:autoSpaceDN/>
        <w:bidi w:val="0"/>
        <w:spacing w:line="400" w:lineRule="exact"/>
        <w:ind w:firstLine="420"/>
        <w:textAlignment w:val="auto"/>
        <w:rPr>
          <w:rFonts w:hint="eastAsia" w:hAnsi="宋体" w:cs="宋体"/>
          <w:color w:val="auto"/>
          <w:highlight w:val="none"/>
        </w:rPr>
      </w:pPr>
      <w:r>
        <w:rPr>
          <w:rFonts w:hint="eastAsia" w:hAnsi="宋体" w:cs="宋体"/>
          <w:color w:val="auto"/>
          <w:highlight w:val="none"/>
        </w:rPr>
        <w:t>综合评分法，是指投标文件满足招标文件全部实质性要求，且按照评审因素的量化指标评审得分最高的投标人为中标候选人的评标方法。</w:t>
      </w:r>
    </w:p>
    <w:p w14:paraId="649FDC23">
      <w:pPr>
        <w:pStyle w:val="4"/>
        <w:pageBreakBefore w:val="0"/>
        <w:kinsoku/>
        <w:wordWrap/>
        <w:overflowPunct/>
        <w:topLinePunct w:val="0"/>
        <w:autoSpaceDE/>
        <w:autoSpaceDN/>
        <w:bidi w:val="0"/>
        <w:spacing w:before="0" w:after="0" w:line="400" w:lineRule="exact"/>
        <w:jc w:val="center"/>
        <w:textAlignment w:val="auto"/>
        <w:rPr>
          <w:rFonts w:hint="eastAsia" w:ascii="宋体" w:hAnsi="宋体" w:eastAsia="宋体" w:cs="宋体"/>
          <w:color w:val="auto"/>
          <w:highlight w:val="none"/>
        </w:rPr>
      </w:pPr>
      <w:bookmarkStart w:id="173" w:name="_Toc29445"/>
      <w:bookmarkStart w:id="174" w:name="_Toc3353"/>
      <w:r>
        <w:rPr>
          <w:rFonts w:hint="eastAsia" w:ascii="宋体" w:hAnsi="宋体" w:eastAsia="宋体" w:cs="宋体"/>
          <w:color w:val="auto"/>
          <w:highlight w:val="none"/>
        </w:rPr>
        <w:t>二、评标程序</w:t>
      </w:r>
      <w:bookmarkEnd w:id="173"/>
      <w:bookmarkEnd w:id="174"/>
    </w:p>
    <w:p w14:paraId="00974253">
      <w:pPr>
        <w:pStyle w:val="20"/>
        <w:pageBreakBefore w:val="0"/>
        <w:kinsoku/>
        <w:wordWrap/>
        <w:overflowPunct/>
        <w:topLinePunct w:val="0"/>
        <w:autoSpaceDE/>
        <w:autoSpaceDN/>
        <w:bidi w:val="0"/>
        <w:snapToGrid w:val="0"/>
        <w:spacing w:line="400" w:lineRule="exact"/>
        <w:ind w:firstLine="420"/>
        <w:textAlignment w:val="auto"/>
        <w:rPr>
          <w:rFonts w:hint="eastAsia" w:hAnsi="宋体" w:cs="宋体"/>
          <w:b/>
          <w:color w:val="auto"/>
          <w:highlight w:val="none"/>
        </w:rPr>
      </w:pPr>
      <w:r>
        <w:rPr>
          <w:rFonts w:hint="eastAsia" w:hAnsi="宋体" w:cs="宋体"/>
          <w:b/>
          <w:color w:val="auto"/>
          <w:highlight w:val="none"/>
        </w:rPr>
        <w:t>1.符合性审查</w:t>
      </w:r>
    </w:p>
    <w:p w14:paraId="1FB4AFED">
      <w:pPr>
        <w:pStyle w:val="20"/>
        <w:pageBreakBefore w:val="0"/>
        <w:kinsoku/>
        <w:wordWrap/>
        <w:overflowPunct/>
        <w:topLinePunct w:val="0"/>
        <w:autoSpaceDE/>
        <w:autoSpaceDN/>
        <w:bidi w:val="0"/>
        <w:snapToGrid w:val="0"/>
        <w:spacing w:line="400" w:lineRule="exact"/>
        <w:ind w:firstLine="420"/>
        <w:textAlignment w:val="auto"/>
        <w:rPr>
          <w:rFonts w:hint="eastAsia" w:hAnsi="宋体" w:cs="宋体"/>
          <w:b/>
          <w:color w:val="auto"/>
          <w:highlight w:val="none"/>
        </w:rPr>
      </w:pPr>
      <w:r>
        <w:rPr>
          <w:rFonts w:hint="eastAsia" w:hAnsi="宋体" w:cs="宋体"/>
          <w:b/>
          <w:color w:val="auto"/>
          <w:highlight w:val="none"/>
        </w:rPr>
        <w:t>评标委员会应当对符合资格的投标人的投标文件进行投标报价、商务、技术等实质性内容符合性审查，以确定其是否满足招标文件的实质性要求。</w:t>
      </w:r>
    </w:p>
    <w:p w14:paraId="031E57A9">
      <w:pPr>
        <w:pStyle w:val="20"/>
        <w:pageBreakBefore w:val="0"/>
        <w:kinsoku/>
        <w:wordWrap/>
        <w:overflowPunct/>
        <w:topLinePunct w:val="0"/>
        <w:autoSpaceDE/>
        <w:autoSpaceDN/>
        <w:bidi w:val="0"/>
        <w:snapToGrid w:val="0"/>
        <w:spacing w:line="400" w:lineRule="exact"/>
        <w:ind w:firstLine="420"/>
        <w:textAlignment w:val="auto"/>
        <w:rPr>
          <w:rFonts w:hint="eastAsia" w:hAnsi="宋体" w:cs="宋体"/>
          <w:b/>
          <w:color w:val="auto"/>
          <w:highlight w:val="none"/>
        </w:rPr>
      </w:pPr>
      <w:r>
        <w:rPr>
          <w:rFonts w:hint="eastAsia" w:hAnsi="宋体" w:cs="宋体"/>
          <w:b/>
          <w:color w:val="auto"/>
          <w:highlight w:val="none"/>
        </w:rPr>
        <w:t>2.符合性审查不通过而导致投标无效的情形</w:t>
      </w:r>
    </w:p>
    <w:p w14:paraId="46ACB75C">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投标人的投标文件中存在对招标文件的任何实质性要求和条件的负偏离，将被视为投标无效。</w:t>
      </w:r>
    </w:p>
    <w:p w14:paraId="36BC4463">
      <w:pPr>
        <w:pStyle w:val="20"/>
        <w:pageBreakBefore w:val="0"/>
        <w:kinsoku/>
        <w:wordWrap/>
        <w:overflowPunct/>
        <w:topLinePunct w:val="0"/>
        <w:autoSpaceDE/>
        <w:autoSpaceDN/>
        <w:bidi w:val="0"/>
        <w:snapToGrid w:val="0"/>
        <w:spacing w:line="400" w:lineRule="exact"/>
        <w:ind w:firstLine="420"/>
        <w:textAlignment w:val="auto"/>
        <w:rPr>
          <w:rFonts w:hint="eastAsia" w:hAnsi="宋体" w:cs="宋体"/>
          <w:b/>
          <w:color w:val="auto"/>
          <w:highlight w:val="none"/>
        </w:rPr>
      </w:pPr>
      <w:r>
        <w:rPr>
          <w:rFonts w:hint="eastAsia" w:hAnsi="宋体" w:cs="宋体"/>
          <w:b/>
          <w:color w:val="auto"/>
          <w:highlight w:val="none"/>
        </w:rPr>
        <w:t>2.1在报价评审时，如发现下列情形之一的，将被视为投标无效：</w:t>
      </w:r>
    </w:p>
    <w:p w14:paraId="4D886E7D">
      <w:pPr>
        <w:pStyle w:val="10"/>
        <w:pageBreakBefore w:val="0"/>
        <w:numPr>
          <w:ilvl w:val="0"/>
          <w:numId w:val="1"/>
        </w:numPr>
        <w:kinsoku/>
        <w:wordWrap/>
        <w:overflowPunct/>
        <w:topLinePunct w:val="0"/>
        <w:autoSpaceDE/>
        <w:autoSpaceDN/>
        <w:bidi w:val="0"/>
        <w:spacing w:line="400" w:lineRule="exact"/>
        <w:ind w:firstLine="396" w:firstLineChars="200"/>
        <w:textAlignment w:val="auto"/>
        <w:rPr>
          <w:rFonts w:hint="eastAsia" w:ascii="宋体" w:hAnsi="宋体" w:cs="宋体"/>
          <w:b/>
          <w:color w:val="auto"/>
          <w:spacing w:val="-6"/>
          <w:szCs w:val="21"/>
          <w:highlight w:val="none"/>
        </w:rPr>
      </w:pPr>
      <w:r>
        <w:rPr>
          <w:rFonts w:hint="eastAsia" w:ascii="宋体" w:hAnsi="宋体" w:cs="宋体"/>
          <w:b/>
          <w:color w:val="auto"/>
          <w:spacing w:val="-6"/>
          <w:szCs w:val="21"/>
          <w:highlight w:val="none"/>
        </w:rPr>
        <w:t>报价文件未提供“投标人须知前附表”第13条</w:t>
      </w:r>
      <w:r>
        <w:rPr>
          <w:rFonts w:hint="eastAsia" w:ascii="宋体" w:hAnsi="宋体" w:cs="宋体"/>
          <w:b/>
          <w:color w:val="auto"/>
          <w:szCs w:val="21"/>
          <w:highlight w:val="none"/>
        </w:rPr>
        <w:t>“报价文件”</w:t>
      </w:r>
      <w:r>
        <w:rPr>
          <w:rFonts w:hint="eastAsia" w:ascii="宋体" w:hAnsi="宋体" w:cs="宋体"/>
          <w:b/>
          <w:color w:val="auto"/>
          <w:spacing w:val="-6"/>
          <w:szCs w:val="21"/>
          <w:highlight w:val="none"/>
        </w:rPr>
        <w:t>规定中“必须提供”的文件资料的；</w:t>
      </w:r>
    </w:p>
    <w:p w14:paraId="35ED8467">
      <w:pPr>
        <w:pStyle w:val="10"/>
        <w:pageBreakBefore w:val="0"/>
        <w:numPr>
          <w:ilvl w:val="0"/>
          <w:numId w:val="1"/>
        </w:numPr>
        <w:kinsoku/>
        <w:wordWrap/>
        <w:overflowPunct/>
        <w:topLinePunct w:val="0"/>
        <w:autoSpaceDE/>
        <w:autoSpaceDN/>
        <w:bidi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未采用人民币报价或者未按照招标文件标明的币种报价的；</w:t>
      </w:r>
    </w:p>
    <w:p w14:paraId="49F70FA3">
      <w:pPr>
        <w:pStyle w:val="10"/>
        <w:pageBreakBefore w:val="0"/>
        <w:numPr>
          <w:ilvl w:val="0"/>
          <w:numId w:val="1"/>
        </w:numPr>
        <w:kinsoku/>
        <w:wordWrap/>
        <w:overflowPunct/>
        <w:topLinePunct w:val="0"/>
        <w:autoSpaceDE/>
        <w:autoSpaceDN/>
        <w:bidi w:val="0"/>
        <w:spacing w:line="400" w:lineRule="exact"/>
        <w:ind w:firstLine="422"/>
        <w:textAlignment w:val="auto"/>
        <w:rPr>
          <w:rFonts w:hint="eastAsia" w:ascii="宋体" w:hAnsi="宋体" w:cs="宋体"/>
          <w:b/>
          <w:color w:val="auto"/>
          <w:spacing w:val="-6"/>
          <w:szCs w:val="21"/>
          <w:highlight w:val="none"/>
        </w:rPr>
      </w:pPr>
      <w:r>
        <w:rPr>
          <w:rFonts w:hint="eastAsia" w:ascii="宋体" w:hAnsi="宋体" w:cs="宋体"/>
          <w:b/>
          <w:color w:val="auto"/>
          <w:spacing w:val="-6"/>
          <w:szCs w:val="21"/>
          <w:highlight w:val="none"/>
        </w:rPr>
        <w:t>各分标报价超出招标文件相应分标规定最高限价，或者超出相应分标采购预算金额的；</w:t>
      </w:r>
    </w:p>
    <w:p w14:paraId="4EED864A">
      <w:pPr>
        <w:pStyle w:val="10"/>
        <w:pageBreakBefore w:val="0"/>
        <w:numPr>
          <w:ilvl w:val="0"/>
          <w:numId w:val="1"/>
        </w:numPr>
        <w:kinsoku/>
        <w:wordWrap/>
        <w:overflowPunct/>
        <w:topLinePunct w:val="0"/>
        <w:autoSpaceDE/>
        <w:autoSpaceDN/>
        <w:bidi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投标人未就所投分标进行报价或者存在漏项报价；投标人未就所投分标的单项内容作唯一报价；投标人未就所投分标的全部内容作完整唯一总价报价；存在有选择、有条件报价的（招标文件允许有备选方案或者其他约定的除外）；</w:t>
      </w:r>
    </w:p>
    <w:p w14:paraId="02F6101D">
      <w:pPr>
        <w:pStyle w:val="10"/>
        <w:pageBreakBefore w:val="0"/>
        <w:numPr>
          <w:ilvl w:val="0"/>
          <w:numId w:val="1"/>
        </w:numPr>
        <w:kinsoku/>
        <w:wordWrap/>
        <w:overflowPunct/>
        <w:topLinePunct w:val="0"/>
        <w:autoSpaceDE/>
        <w:autoSpaceDN/>
        <w:bidi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修正后的报价，投标人不确认的；</w:t>
      </w:r>
    </w:p>
    <w:p w14:paraId="120902FD">
      <w:pPr>
        <w:pStyle w:val="10"/>
        <w:pageBreakBefore w:val="0"/>
        <w:numPr>
          <w:ilvl w:val="0"/>
          <w:numId w:val="1"/>
        </w:numPr>
        <w:kinsoku/>
        <w:wordWrap/>
        <w:overflowPunct/>
        <w:topLinePunct w:val="0"/>
        <w:autoSpaceDE/>
        <w:autoSpaceDN/>
        <w:bidi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投标人属于本章第5.1条（2）项情形的。</w:t>
      </w:r>
    </w:p>
    <w:p w14:paraId="29F465C9">
      <w:pPr>
        <w:pStyle w:val="10"/>
        <w:pageBreakBefore w:val="0"/>
        <w:numPr>
          <w:ilvl w:val="0"/>
          <w:numId w:val="1"/>
        </w:numPr>
        <w:kinsoku/>
        <w:wordWrap/>
        <w:overflowPunct/>
        <w:topLinePunct w:val="0"/>
        <w:autoSpaceDE/>
        <w:autoSpaceDN/>
        <w:bidi w:val="0"/>
        <w:spacing w:line="400" w:lineRule="exact"/>
        <w:ind w:firstLine="396" w:firstLineChars="200"/>
        <w:textAlignment w:val="auto"/>
        <w:rPr>
          <w:rFonts w:hint="eastAsia" w:ascii="宋体" w:hAnsi="宋体" w:cs="宋体"/>
          <w:b/>
          <w:color w:val="auto"/>
          <w:szCs w:val="21"/>
          <w:highlight w:val="none"/>
        </w:rPr>
      </w:pPr>
      <w:r>
        <w:rPr>
          <w:rFonts w:hint="eastAsia" w:ascii="宋体" w:hAnsi="宋体" w:cs="宋体"/>
          <w:b/>
          <w:color w:val="auto"/>
          <w:spacing w:val="-6"/>
          <w:szCs w:val="21"/>
          <w:highlight w:val="none"/>
        </w:rPr>
        <w:t>报价文件</w:t>
      </w:r>
      <w:r>
        <w:rPr>
          <w:rFonts w:hint="eastAsia" w:ascii="宋体" w:hAnsi="宋体" w:cs="宋体"/>
          <w:b/>
          <w:color w:val="auto"/>
          <w:szCs w:val="21"/>
          <w:highlight w:val="none"/>
        </w:rPr>
        <w:t>响应的标的数量及单位与招标文件要求实质性不一致的。</w:t>
      </w:r>
    </w:p>
    <w:p w14:paraId="12D3B14A">
      <w:pPr>
        <w:pageBreakBefore w:val="0"/>
        <w:kinsoku/>
        <w:wordWrap/>
        <w:overflowPunct/>
        <w:topLinePunct w:val="0"/>
        <w:autoSpaceDE/>
        <w:autoSpaceDN/>
        <w:bidi w:val="0"/>
        <w:spacing w:line="400" w:lineRule="exact"/>
        <w:textAlignment w:val="auto"/>
        <w:rPr>
          <w:rFonts w:hint="eastAsia" w:ascii="宋体" w:hAnsi="宋体" w:cs="宋体"/>
          <w:color w:val="auto"/>
          <w:szCs w:val="21"/>
          <w:highlight w:val="none"/>
        </w:rPr>
      </w:pPr>
      <w:r>
        <w:rPr>
          <w:rFonts w:hint="eastAsia" w:ascii="宋体" w:hAnsi="宋体" w:cs="宋体"/>
          <w:color w:val="auto"/>
          <w:szCs w:val="21"/>
          <w:highlight w:val="none"/>
        </w:rPr>
        <w:t>2.2在商务评审时，如发现下列情形之一的，将被视为投标无效：</w:t>
      </w:r>
    </w:p>
    <w:p w14:paraId="4D43CF51">
      <w:pPr>
        <w:pageBreakBefore w:val="0"/>
        <w:numPr>
          <w:ilvl w:val="0"/>
          <w:numId w:val="2"/>
        </w:numPr>
        <w:kinsoku/>
        <w:wordWrap/>
        <w:overflowPunct/>
        <w:topLinePunct w:val="0"/>
        <w:autoSpaceDE/>
        <w:autoSpaceDN/>
        <w:bidi w:val="0"/>
        <w:snapToGrid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投标文件未按招标文件要求签署、盖章的；</w:t>
      </w:r>
    </w:p>
    <w:p w14:paraId="1B648CC3">
      <w:pPr>
        <w:pageBreakBefore w:val="0"/>
        <w:numPr>
          <w:ilvl w:val="0"/>
          <w:numId w:val="2"/>
        </w:numPr>
        <w:kinsoku/>
        <w:wordWrap/>
        <w:overflowPunct/>
        <w:topLinePunct w:val="0"/>
        <w:autoSpaceDE/>
        <w:autoSpaceDN/>
        <w:bidi w:val="0"/>
        <w:snapToGrid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 xml:space="preserve">委托代理人未能出具有效身份证或者出具的身份证与授权委托书中的信息不符的； </w:t>
      </w:r>
    </w:p>
    <w:p w14:paraId="069900F7">
      <w:pPr>
        <w:pageBreakBefore w:val="0"/>
        <w:numPr>
          <w:ilvl w:val="0"/>
          <w:numId w:val="2"/>
        </w:numPr>
        <w:kinsoku/>
        <w:wordWrap/>
        <w:overflowPunct/>
        <w:topLinePunct w:val="0"/>
        <w:autoSpaceDE/>
        <w:autoSpaceDN/>
        <w:bidi w:val="0"/>
        <w:snapToGrid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为无效投标保证金的或者未按照招标文件的规定提交投标保证金的；</w:t>
      </w:r>
    </w:p>
    <w:p w14:paraId="5BB0511C">
      <w:pPr>
        <w:pageBreakBefore w:val="0"/>
        <w:numPr>
          <w:ilvl w:val="0"/>
          <w:numId w:val="2"/>
        </w:numPr>
        <w:kinsoku/>
        <w:wordWrap/>
        <w:overflowPunct/>
        <w:topLinePunct w:val="0"/>
        <w:autoSpaceDE/>
        <w:autoSpaceDN/>
        <w:bidi w:val="0"/>
        <w:snapToGrid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投标文件未提供“投标人须知前附表”第13.1条规定中“必须提供”或者“委托时必须提供”的文件资料的；</w:t>
      </w:r>
    </w:p>
    <w:p w14:paraId="5F0F5135">
      <w:pPr>
        <w:pageBreakBefore w:val="0"/>
        <w:numPr>
          <w:ilvl w:val="0"/>
          <w:numId w:val="2"/>
        </w:numPr>
        <w:kinsoku/>
        <w:wordWrap/>
        <w:overflowPunct/>
        <w:topLinePunct w:val="0"/>
        <w:autoSpaceDE/>
        <w:autoSpaceDN/>
        <w:bidi w:val="0"/>
        <w:snapToGrid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商务要求评审允许负偏离的条款数超过“投标人须知前附表”规定项数的；</w:t>
      </w:r>
    </w:p>
    <w:p w14:paraId="3CDD2B71">
      <w:pPr>
        <w:pageBreakBefore w:val="0"/>
        <w:numPr>
          <w:ilvl w:val="0"/>
          <w:numId w:val="2"/>
        </w:numPr>
        <w:kinsoku/>
        <w:wordWrap/>
        <w:overflowPunct/>
        <w:topLinePunct w:val="0"/>
        <w:autoSpaceDE/>
        <w:autoSpaceDN/>
        <w:bidi w:val="0"/>
        <w:snapToGrid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投标文件的实质性内容未使用中文表述、使用计量单位不符合招标文件要求的；</w:t>
      </w:r>
    </w:p>
    <w:p w14:paraId="377A43BD">
      <w:pPr>
        <w:pageBreakBefore w:val="0"/>
        <w:numPr>
          <w:ilvl w:val="0"/>
          <w:numId w:val="2"/>
        </w:numPr>
        <w:kinsoku/>
        <w:wordWrap/>
        <w:overflowPunct/>
        <w:topLinePunct w:val="0"/>
        <w:autoSpaceDE/>
        <w:autoSpaceDN/>
        <w:bidi w:val="0"/>
        <w:snapToGrid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投标文件中的文件资料因填写不齐全或者内容虚假或者出现其他情形而导致被评标委员会认定无效的；</w:t>
      </w:r>
    </w:p>
    <w:p w14:paraId="50ED9700">
      <w:pPr>
        <w:pageBreakBefore w:val="0"/>
        <w:numPr>
          <w:ilvl w:val="0"/>
          <w:numId w:val="2"/>
        </w:numPr>
        <w:kinsoku/>
        <w:wordWrap/>
        <w:overflowPunct/>
        <w:topLinePunct w:val="0"/>
        <w:autoSpaceDE/>
        <w:autoSpaceDN/>
        <w:bidi w:val="0"/>
        <w:snapToGrid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投标文件含有采购人不能接受的附加条件的；</w:t>
      </w:r>
    </w:p>
    <w:p w14:paraId="51F12A90">
      <w:pPr>
        <w:pageBreakBefore w:val="0"/>
        <w:numPr>
          <w:ilvl w:val="0"/>
          <w:numId w:val="2"/>
        </w:numPr>
        <w:kinsoku/>
        <w:wordWrap/>
        <w:overflowPunct/>
        <w:topLinePunct w:val="0"/>
        <w:autoSpaceDE/>
        <w:autoSpaceDN/>
        <w:bidi w:val="0"/>
        <w:snapToGrid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属于投标人须知正文第9.2条情形的；</w:t>
      </w:r>
    </w:p>
    <w:p w14:paraId="5DF9F0AC">
      <w:pPr>
        <w:pageBreakBefore w:val="0"/>
        <w:numPr>
          <w:ilvl w:val="0"/>
          <w:numId w:val="2"/>
        </w:numPr>
        <w:kinsoku/>
        <w:wordWrap/>
        <w:overflowPunct/>
        <w:topLinePunct w:val="0"/>
        <w:autoSpaceDE/>
        <w:autoSpaceDN/>
        <w:bidi w:val="0"/>
        <w:snapToGrid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投标文件标注的项目名称或者项目编号与招标文件标注的项目名称或者项目编号不一致的；</w:t>
      </w:r>
    </w:p>
    <w:p w14:paraId="20E3B228">
      <w:pPr>
        <w:pageBreakBefore w:val="0"/>
        <w:numPr>
          <w:ilvl w:val="0"/>
          <w:numId w:val="2"/>
        </w:numPr>
        <w:kinsoku/>
        <w:wordWrap/>
        <w:overflowPunct/>
        <w:topLinePunct w:val="0"/>
        <w:autoSpaceDE/>
        <w:autoSpaceDN/>
        <w:bidi w:val="0"/>
        <w:snapToGrid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招标文件明确不允许分包，投标文件拟分包的；</w:t>
      </w:r>
    </w:p>
    <w:p w14:paraId="55B9C739">
      <w:pPr>
        <w:pageBreakBefore w:val="0"/>
        <w:numPr>
          <w:ilvl w:val="0"/>
          <w:numId w:val="2"/>
        </w:numPr>
        <w:kinsoku/>
        <w:wordWrap/>
        <w:overflowPunct/>
        <w:topLinePunct w:val="0"/>
        <w:autoSpaceDE/>
        <w:autoSpaceDN/>
        <w:bidi w:val="0"/>
        <w:snapToGrid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未响应招标文件实质性要求的；</w:t>
      </w:r>
    </w:p>
    <w:p w14:paraId="573C2DF9">
      <w:pPr>
        <w:pageBreakBefore w:val="0"/>
        <w:numPr>
          <w:ilvl w:val="0"/>
          <w:numId w:val="2"/>
        </w:numPr>
        <w:kinsoku/>
        <w:wordWrap/>
        <w:overflowPunct/>
        <w:topLinePunct w:val="0"/>
        <w:autoSpaceDE/>
        <w:autoSpaceDN/>
        <w:bidi w:val="0"/>
        <w:snapToGrid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法律、法规和招标文件规定的其他无效情形。</w:t>
      </w:r>
    </w:p>
    <w:p w14:paraId="7EB1232F">
      <w:pPr>
        <w:pageBreakBefore w:val="0"/>
        <w:kinsoku/>
        <w:wordWrap/>
        <w:overflowPunct/>
        <w:topLinePunct w:val="0"/>
        <w:autoSpaceDE/>
        <w:autoSpaceDN/>
        <w:bidi w:val="0"/>
        <w:spacing w:line="400" w:lineRule="exact"/>
        <w:textAlignment w:val="auto"/>
        <w:rPr>
          <w:rFonts w:hint="eastAsia" w:ascii="宋体" w:hAnsi="宋体" w:cs="宋体"/>
          <w:color w:val="auto"/>
          <w:szCs w:val="21"/>
          <w:highlight w:val="none"/>
        </w:rPr>
      </w:pPr>
      <w:r>
        <w:rPr>
          <w:rFonts w:hint="eastAsia" w:ascii="宋体" w:hAnsi="宋体" w:cs="宋体"/>
          <w:color w:val="auto"/>
          <w:szCs w:val="21"/>
          <w:highlight w:val="none"/>
        </w:rPr>
        <w:t>2.3在技术评审时，如发现下列情形之一的，将被视为投标无效：</w:t>
      </w:r>
    </w:p>
    <w:p w14:paraId="7CC226FD">
      <w:pPr>
        <w:pStyle w:val="16"/>
        <w:pageBreakBefore w:val="0"/>
        <w:kinsoku/>
        <w:wordWrap/>
        <w:overflowPunct/>
        <w:topLinePunct w:val="0"/>
        <w:autoSpaceDE/>
        <w:autoSpaceDN/>
        <w:bidi w:val="0"/>
        <w:snapToGrid w:val="0"/>
        <w:spacing w:line="400" w:lineRule="exact"/>
        <w:ind w:firstLine="396" w:firstLineChars="196"/>
        <w:textAlignment w:val="auto"/>
        <w:rPr>
          <w:rFonts w:hint="eastAsia" w:hAnsi="宋体" w:cs="宋体"/>
          <w:b/>
          <w:color w:val="auto"/>
          <w:sz w:val="21"/>
          <w:szCs w:val="21"/>
          <w:highlight w:val="none"/>
        </w:rPr>
      </w:pPr>
      <w:r>
        <w:rPr>
          <w:rFonts w:hint="eastAsia" w:hAnsi="宋体" w:cs="宋体"/>
          <w:b/>
          <w:color w:val="auto"/>
          <w:sz w:val="21"/>
          <w:szCs w:val="21"/>
          <w:highlight w:val="none"/>
        </w:rPr>
        <w:t>（1）技术要求评审允许负偏离的条款数超过“投标人须知前附表”规定项数的；</w:t>
      </w:r>
    </w:p>
    <w:p w14:paraId="3FFFF5FD">
      <w:pPr>
        <w:pStyle w:val="16"/>
        <w:pageBreakBefore w:val="0"/>
        <w:kinsoku/>
        <w:wordWrap/>
        <w:overflowPunct/>
        <w:topLinePunct w:val="0"/>
        <w:autoSpaceDE/>
        <w:autoSpaceDN/>
        <w:bidi w:val="0"/>
        <w:snapToGrid w:val="0"/>
        <w:spacing w:line="400" w:lineRule="exact"/>
        <w:ind w:firstLine="396" w:firstLineChars="196"/>
        <w:textAlignment w:val="auto"/>
        <w:rPr>
          <w:rFonts w:hint="eastAsia" w:hAnsi="宋体" w:cs="宋体"/>
          <w:b/>
          <w:color w:val="auto"/>
          <w:sz w:val="21"/>
          <w:szCs w:val="21"/>
          <w:highlight w:val="none"/>
        </w:rPr>
      </w:pPr>
      <w:r>
        <w:rPr>
          <w:rFonts w:hint="eastAsia" w:hAnsi="宋体" w:cs="宋体"/>
          <w:b/>
          <w:color w:val="auto"/>
          <w:sz w:val="21"/>
          <w:szCs w:val="21"/>
          <w:highlight w:val="none"/>
        </w:rPr>
        <w:t>（2）投标文件未提供“投标人须知前附表”第13.1条规定中“必须提供”的文件资料的；</w:t>
      </w:r>
    </w:p>
    <w:p w14:paraId="04560B01">
      <w:pPr>
        <w:pStyle w:val="16"/>
        <w:pageBreakBefore w:val="0"/>
        <w:kinsoku/>
        <w:wordWrap/>
        <w:overflowPunct/>
        <w:topLinePunct w:val="0"/>
        <w:autoSpaceDE/>
        <w:autoSpaceDN/>
        <w:bidi w:val="0"/>
        <w:snapToGrid w:val="0"/>
        <w:spacing w:line="400" w:lineRule="exact"/>
        <w:ind w:firstLine="396" w:firstLineChars="196"/>
        <w:textAlignment w:val="auto"/>
        <w:rPr>
          <w:rFonts w:hint="eastAsia" w:hAnsi="宋体" w:cs="宋体"/>
          <w:b/>
          <w:color w:val="auto"/>
          <w:sz w:val="21"/>
          <w:szCs w:val="21"/>
          <w:highlight w:val="none"/>
        </w:rPr>
      </w:pPr>
      <w:r>
        <w:rPr>
          <w:rFonts w:hint="eastAsia" w:hAnsi="宋体" w:cs="宋体"/>
          <w:b/>
          <w:color w:val="auto"/>
          <w:sz w:val="21"/>
          <w:szCs w:val="21"/>
          <w:highlight w:val="none"/>
        </w:rPr>
        <w:t>（3）虚假投标，或者出现其他情形而导致被评标委员会认定无效的；</w:t>
      </w:r>
    </w:p>
    <w:p w14:paraId="76361E18">
      <w:pPr>
        <w:pStyle w:val="16"/>
        <w:pageBreakBefore w:val="0"/>
        <w:kinsoku/>
        <w:wordWrap/>
        <w:overflowPunct/>
        <w:topLinePunct w:val="0"/>
        <w:autoSpaceDE/>
        <w:autoSpaceDN/>
        <w:bidi w:val="0"/>
        <w:snapToGrid w:val="0"/>
        <w:spacing w:line="400" w:lineRule="exact"/>
        <w:ind w:firstLine="396" w:firstLineChars="196"/>
        <w:textAlignment w:val="auto"/>
        <w:rPr>
          <w:rFonts w:hint="eastAsia" w:hAnsi="宋体" w:cs="宋体"/>
          <w:b/>
          <w:color w:val="auto"/>
          <w:sz w:val="21"/>
          <w:szCs w:val="21"/>
          <w:highlight w:val="none"/>
        </w:rPr>
      </w:pPr>
      <w:r>
        <w:rPr>
          <w:rFonts w:hint="eastAsia" w:hAnsi="宋体" w:cs="宋体"/>
          <w:b/>
          <w:color w:val="auto"/>
          <w:sz w:val="21"/>
          <w:szCs w:val="21"/>
          <w:highlight w:val="none"/>
        </w:rPr>
        <w:t>（4）</w:t>
      </w:r>
      <w:bookmarkStart w:id="175" w:name="_Hlk71706244"/>
      <w:r>
        <w:rPr>
          <w:rFonts w:hint="eastAsia" w:hAnsi="宋体" w:cs="宋体"/>
          <w:b/>
          <w:color w:val="auto"/>
          <w:sz w:val="21"/>
          <w:szCs w:val="21"/>
          <w:highlight w:val="none"/>
        </w:rPr>
        <w:t>招标文件未载明允许提供备选（替代）投标方案或明确不允许提供备选（替代）投标方案时，投标人提供了备选（替代）投标方案的；</w:t>
      </w:r>
      <w:bookmarkEnd w:id="175"/>
    </w:p>
    <w:p w14:paraId="0FE94871">
      <w:pPr>
        <w:pStyle w:val="16"/>
        <w:pageBreakBefore w:val="0"/>
        <w:kinsoku/>
        <w:wordWrap/>
        <w:overflowPunct/>
        <w:topLinePunct w:val="0"/>
        <w:autoSpaceDE/>
        <w:autoSpaceDN/>
        <w:bidi w:val="0"/>
        <w:snapToGrid w:val="0"/>
        <w:spacing w:line="400" w:lineRule="exact"/>
        <w:ind w:firstLine="396" w:firstLineChars="196"/>
        <w:textAlignment w:val="auto"/>
        <w:rPr>
          <w:rFonts w:hint="eastAsia" w:hAnsi="宋体" w:cs="宋体"/>
          <w:color w:val="auto"/>
          <w:highlight w:val="none"/>
        </w:rPr>
      </w:pPr>
      <w:r>
        <w:rPr>
          <w:rFonts w:hint="eastAsia" w:hAnsi="宋体" w:cs="宋体"/>
          <w:b/>
          <w:color w:val="auto"/>
          <w:sz w:val="21"/>
          <w:szCs w:val="21"/>
          <w:highlight w:val="none"/>
        </w:rPr>
        <w:t>（5）未响应招标文件实质性要求的。</w:t>
      </w:r>
    </w:p>
    <w:p w14:paraId="0E12D4CD">
      <w:pPr>
        <w:pStyle w:val="16"/>
        <w:pageBreakBefore w:val="0"/>
        <w:kinsoku/>
        <w:wordWrap/>
        <w:overflowPunct/>
        <w:topLinePunct w:val="0"/>
        <w:autoSpaceDE/>
        <w:autoSpaceDN/>
        <w:bidi w:val="0"/>
        <w:snapToGrid w:val="0"/>
        <w:spacing w:line="400" w:lineRule="exact"/>
        <w:ind w:firstLine="396" w:firstLineChars="196"/>
        <w:textAlignment w:val="auto"/>
        <w:rPr>
          <w:rFonts w:hint="eastAsia" w:hAnsi="宋体" w:cs="宋体"/>
          <w:b/>
          <w:color w:val="auto"/>
          <w:sz w:val="21"/>
          <w:szCs w:val="21"/>
          <w:highlight w:val="none"/>
        </w:rPr>
      </w:pPr>
      <w:r>
        <w:rPr>
          <w:rFonts w:hint="eastAsia" w:hAnsi="宋体" w:cs="宋体"/>
          <w:b/>
          <w:color w:val="auto"/>
          <w:sz w:val="21"/>
          <w:szCs w:val="21"/>
          <w:highlight w:val="none"/>
        </w:rPr>
        <w:t>2.4其他投标无效的情形：</w:t>
      </w:r>
    </w:p>
    <w:p w14:paraId="06A1617A">
      <w:pPr>
        <w:pStyle w:val="16"/>
        <w:pageBreakBefore w:val="0"/>
        <w:kinsoku/>
        <w:wordWrap/>
        <w:overflowPunct/>
        <w:topLinePunct w:val="0"/>
        <w:autoSpaceDE/>
        <w:autoSpaceDN/>
        <w:bidi w:val="0"/>
        <w:snapToGrid w:val="0"/>
        <w:spacing w:line="400" w:lineRule="exact"/>
        <w:ind w:firstLine="396" w:firstLineChars="196"/>
        <w:textAlignment w:val="auto"/>
        <w:rPr>
          <w:rFonts w:hint="eastAsia" w:hAnsi="宋体" w:cs="宋体"/>
          <w:b/>
          <w:color w:val="auto"/>
          <w:sz w:val="21"/>
          <w:szCs w:val="21"/>
          <w:highlight w:val="none"/>
        </w:rPr>
      </w:pPr>
      <w:r>
        <w:rPr>
          <w:rFonts w:hint="eastAsia" w:hAnsi="宋体" w:cs="宋体"/>
          <w:b/>
          <w:color w:val="auto"/>
          <w:sz w:val="21"/>
          <w:szCs w:val="21"/>
          <w:highlight w:val="none"/>
        </w:rPr>
        <w:t>（1）投标文件未按招标文件要求签署或CA电子签章的；</w:t>
      </w:r>
    </w:p>
    <w:p w14:paraId="7A3B5978">
      <w:pPr>
        <w:pStyle w:val="16"/>
        <w:pageBreakBefore w:val="0"/>
        <w:kinsoku/>
        <w:wordWrap/>
        <w:overflowPunct/>
        <w:topLinePunct w:val="0"/>
        <w:autoSpaceDE/>
        <w:autoSpaceDN/>
        <w:bidi w:val="0"/>
        <w:snapToGrid w:val="0"/>
        <w:spacing w:line="400" w:lineRule="exact"/>
        <w:ind w:firstLine="396" w:firstLineChars="196"/>
        <w:textAlignment w:val="auto"/>
        <w:rPr>
          <w:rFonts w:hint="eastAsia" w:hAnsi="宋体" w:cs="宋体"/>
          <w:b/>
          <w:color w:val="auto"/>
          <w:sz w:val="21"/>
          <w:szCs w:val="21"/>
          <w:highlight w:val="none"/>
        </w:rPr>
      </w:pPr>
      <w:r>
        <w:rPr>
          <w:rFonts w:hint="eastAsia" w:hAnsi="宋体" w:cs="宋体"/>
          <w:b/>
          <w:color w:val="auto"/>
          <w:sz w:val="21"/>
          <w:szCs w:val="21"/>
          <w:highlight w:val="none"/>
        </w:rPr>
        <w:t>（2）投标人提交两份或两份以上内容不同的投标文件；</w:t>
      </w:r>
    </w:p>
    <w:p w14:paraId="59DFCBDE">
      <w:pPr>
        <w:pStyle w:val="16"/>
        <w:pageBreakBefore w:val="0"/>
        <w:kinsoku/>
        <w:wordWrap/>
        <w:overflowPunct/>
        <w:topLinePunct w:val="0"/>
        <w:autoSpaceDE/>
        <w:autoSpaceDN/>
        <w:bidi w:val="0"/>
        <w:spacing w:line="400" w:lineRule="exact"/>
        <w:ind w:firstLine="396" w:firstLineChars="196"/>
        <w:textAlignment w:val="auto"/>
        <w:rPr>
          <w:rFonts w:hint="eastAsia" w:hAnsi="宋体" w:cs="宋体"/>
          <w:b/>
          <w:color w:val="auto"/>
          <w:sz w:val="21"/>
          <w:szCs w:val="21"/>
          <w:highlight w:val="none"/>
        </w:rPr>
      </w:pPr>
      <w:r>
        <w:rPr>
          <w:rFonts w:hint="eastAsia" w:hAnsi="宋体" w:cs="宋体"/>
          <w:b/>
          <w:color w:val="auto"/>
          <w:sz w:val="21"/>
          <w:szCs w:val="21"/>
          <w:highlight w:val="none"/>
        </w:rPr>
        <w:t>（3）投标人在线制作投标文件时填写的报价金额与解密后“电子加密投标文件”中《开标一览表》填写的金额不一致并拒绝按招标文件要求接受调整的；</w:t>
      </w:r>
    </w:p>
    <w:p w14:paraId="5C44BBE3">
      <w:pPr>
        <w:pStyle w:val="16"/>
        <w:pageBreakBefore w:val="0"/>
        <w:kinsoku/>
        <w:wordWrap/>
        <w:overflowPunct/>
        <w:topLinePunct w:val="0"/>
        <w:autoSpaceDE/>
        <w:autoSpaceDN/>
        <w:bidi w:val="0"/>
        <w:snapToGrid w:val="0"/>
        <w:spacing w:line="400" w:lineRule="exact"/>
        <w:ind w:firstLine="396" w:firstLineChars="196"/>
        <w:textAlignment w:val="auto"/>
        <w:rPr>
          <w:rFonts w:hint="eastAsia" w:hAnsi="宋体" w:cs="宋体"/>
          <w:b/>
          <w:color w:val="auto"/>
          <w:sz w:val="21"/>
          <w:szCs w:val="21"/>
          <w:highlight w:val="none"/>
        </w:rPr>
      </w:pPr>
      <w:r>
        <w:rPr>
          <w:rFonts w:hint="eastAsia" w:hAnsi="宋体" w:cs="宋体"/>
          <w:b/>
          <w:color w:val="auto"/>
          <w:sz w:val="21"/>
          <w:szCs w:val="21"/>
          <w:highlight w:val="none"/>
        </w:rPr>
        <w:t>（4）法律、法规和招标文件规定的其他无效情形（或出现重大偏差）。</w:t>
      </w:r>
    </w:p>
    <w:p w14:paraId="11634D77">
      <w:pPr>
        <w:pStyle w:val="20"/>
        <w:pageBreakBefore w:val="0"/>
        <w:kinsoku/>
        <w:wordWrap/>
        <w:overflowPunct/>
        <w:topLinePunct w:val="0"/>
        <w:autoSpaceDE/>
        <w:autoSpaceDN/>
        <w:bidi w:val="0"/>
        <w:snapToGrid w:val="0"/>
        <w:spacing w:line="400" w:lineRule="exact"/>
        <w:ind w:firstLine="420"/>
        <w:textAlignment w:val="auto"/>
        <w:rPr>
          <w:rFonts w:hint="eastAsia" w:hAnsi="宋体" w:cs="宋体"/>
          <w:b/>
          <w:color w:val="auto"/>
          <w:highlight w:val="none"/>
        </w:rPr>
      </w:pPr>
      <w:r>
        <w:rPr>
          <w:rFonts w:hint="eastAsia" w:hAnsi="宋体" w:cs="宋体"/>
          <w:b/>
          <w:color w:val="auto"/>
          <w:highlight w:val="none"/>
        </w:rPr>
        <w:t>3.澄清补正</w:t>
      </w:r>
    </w:p>
    <w:p w14:paraId="75B5848F">
      <w:pPr>
        <w:pageBreakBefore w:val="0"/>
        <w:kinsoku/>
        <w:wordWrap/>
        <w:overflowPunct/>
        <w:topLinePunct w:val="0"/>
        <w:autoSpaceDE/>
        <w:autoSpaceDN/>
        <w:bidi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color w:val="auto"/>
          <w:szCs w:val="21"/>
          <w:highlight w:val="none"/>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投标人电子签章后在线上传至评标委员会。投标人的澄清、说明或者补正不得超出投标文件的范围或者改变投标文件的实质性内容。</w:t>
      </w:r>
    </w:p>
    <w:p w14:paraId="0F10717B">
      <w:pPr>
        <w:pageBreakBefore w:val="0"/>
        <w:kinsoku/>
        <w:wordWrap/>
        <w:overflowPunct/>
        <w:topLinePunct w:val="0"/>
        <w:autoSpaceDE/>
        <w:autoSpaceDN/>
        <w:bidi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600CBE4F">
      <w:pPr>
        <w:pageBreakBefore w:val="0"/>
        <w:kinsoku/>
        <w:wordWrap/>
        <w:overflowPunct/>
        <w:topLinePunct w:val="0"/>
        <w:autoSpaceDE/>
        <w:autoSpaceDN/>
        <w:bidi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未按评标委员会的要求作出明确澄清、说明或者更正的投标人的投标文件将按照有利于采购人的原则由评标委员会进行判定。</w:t>
      </w:r>
    </w:p>
    <w:p w14:paraId="4BA1DEE6">
      <w:pPr>
        <w:pStyle w:val="20"/>
        <w:pageBreakBefore w:val="0"/>
        <w:kinsoku/>
        <w:wordWrap/>
        <w:overflowPunct/>
        <w:topLinePunct w:val="0"/>
        <w:autoSpaceDE/>
        <w:autoSpaceDN/>
        <w:bidi w:val="0"/>
        <w:snapToGrid w:val="0"/>
        <w:spacing w:line="400" w:lineRule="exact"/>
        <w:ind w:firstLine="420"/>
        <w:textAlignment w:val="auto"/>
        <w:rPr>
          <w:rFonts w:hint="eastAsia" w:hAnsi="宋体" w:cs="宋体"/>
          <w:b/>
          <w:color w:val="auto"/>
          <w:highlight w:val="none"/>
        </w:rPr>
      </w:pPr>
      <w:r>
        <w:rPr>
          <w:rFonts w:hint="eastAsia" w:hAnsi="宋体" w:cs="宋体"/>
          <w:b/>
          <w:color w:val="auto"/>
          <w:highlight w:val="none"/>
        </w:rPr>
        <w:t>4.投标文件修正</w:t>
      </w:r>
    </w:p>
    <w:p w14:paraId="34E13124">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4.1投标文件报价出现前后不一致的，按照下列规定修正：</w:t>
      </w:r>
    </w:p>
    <w:p w14:paraId="2596F79E">
      <w:pPr>
        <w:pStyle w:val="20"/>
        <w:pageBreakBefore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（1）投标文件中开标一览表（报价表）内容与投标文件中相应内容不一致的，以开标一览表（报价表）为准；</w:t>
      </w:r>
    </w:p>
    <w:p w14:paraId="68C0EB2B">
      <w:pPr>
        <w:pStyle w:val="20"/>
        <w:pageBreakBefore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（2）大写金额和小写金额不一致的，以大写金额为准；</w:t>
      </w:r>
    </w:p>
    <w:p w14:paraId="5F71BBD1">
      <w:pPr>
        <w:pStyle w:val="20"/>
        <w:pageBreakBefore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（3）单价金额小数点或者百分比有明显错位的，以开标一览表的总价为准，并修改单价；</w:t>
      </w:r>
    </w:p>
    <w:p w14:paraId="4F7CE3B9">
      <w:pPr>
        <w:pStyle w:val="20"/>
        <w:pageBreakBefore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（4）总价金额与按单价汇总金额不一致的，以单价金额计算结果为准。</w:t>
      </w:r>
    </w:p>
    <w:p w14:paraId="1B69EDBB">
      <w:pPr>
        <w:pStyle w:val="20"/>
        <w:pageBreakBefore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同时出现两种以上不一致的，按照以上（1）-（4）规定的顺序修正。修正后的报价经投标人确认后产生约束力，投标人不确认的，</w:t>
      </w:r>
      <w:r>
        <w:rPr>
          <w:rFonts w:hint="eastAsia" w:hAnsi="宋体" w:cs="宋体"/>
          <w:b/>
          <w:color w:val="auto"/>
          <w:highlight w:val="none"/>
        </w:rPr>
        <w:t>其投标无效</w:t>
      </w:r>
      <w:r>
        <w:rPr>
          <w:rFonts w:hint="eastAsia" w:hAnsi="宋体" w:cs="宋体"/>
          <w:color w:val="auto"/>
          <w:highlight w:val="none"/>
        </w:rPr>
        <w:t>。</w:t>
      </w:r>
    </w:p>
    <w:p w14:paraId="059E74AB">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4.2经投标人确认修正后的报价若超过采购预算金额或者最高限价，</w:t>
      </w:r>
      <w:r>
        <w:rPr>
          <w:rFonts w:hint="eastAsia" w:ascii="宋体" w:hAnsi="宋体" w:cs="宋体"/>
          <w:b/>
          <w:color w:val="auto"/>
          <w:szCs w:val="21"/>
          <w:highlight w:val="none"/>
        </w:rPr>
        <w:t>投标人的投标文件作无效投标处理</w:t>
      </w:r>
      <w:r>
        <w:rPr>
          <w:rFonts w:hint="eastAsia" w:ascii="宋体" w:hAnsi="宋体" w:cs="宋体"/>
          <w:color w:val="auto"/>
          <w:szCs w:val="21"/>
          <w:highlight w:val="none"/>
        </w:rPr>
        <w:t>。</w:t>
      </w:r>
    </w:p>
    <w:p w14:paraId="7C92C5F6">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4.3经投标人确认修正后的报价作为签订合同的依据，并以此报价计算价格分。</w:t>
      </w:r>
    </w:p>
    <w:p w14:paraId="7A271506">
      <w:pPr>
        <w:pStyle w:val="20"/>
        <w:pageBreakBefore w:val="0"/>
        <w:kinsoku/>
        <w:wordWrap/>
        <w:overflowPunct/>
        <w:topLinePunct w:val="0"/>
        <w:autoSpaceDE/>
        <w:autoSpaceDN/>
        <w:bidi w:val="0"/>
        <w:snapToGrid w:val="0"/>
        <w:spacing w:line="400" w:lineRule="exact"/>
        <w:ind w:firstLine="420"/>
        <w:textAlignment w:val="auto"/>
        <w:rPr>
          <w:rFonts w:hint="eastAsia" w:hAnsi="宋体" w:cs="宋体"/>
          <w:b/>
          <w:color w:val="auto"/>
          <w:highlight w:val="none"/>
        </w:rPr>
      </w:pPr>
      <w:r>
        <w:rPr>
          <w:rFonts w:hint="eastAsia" w:hAnsi="宋体" w:cs="宋体"/>
          <w:b/>
          <w:color w:val="auto"/>
          <w:highlight w:val="none"/>
        </w:rPr>
        <w:t>5.比较与评价</w:t>
      </w:r>
    </w:p>
    <w:p w14:paraId="19992D72">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5.1采用综合评分法的</w:t>
      </w:r>
    </w:p>
    <w:p w14:paraId="30B1179E">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（1）评标委员会按照招标文件中规定的评标方法及评标标准，对符合性审查合格的投标文件进行商务和技术评估，综合比较与评价。</w:t>
      </w:r>
    </w:p>
    <w:p w14:paraId="732C6541">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（2）评标委员会独立对每个投标人的投标文件进行评价，并汇总每个投标人的得分。</w:t>
      </w:r>
    </w:p>
    <w:p w14:paraId="2FB34FA3">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（3）评标委员会按照招标文件中规定的评标方法和标准计算各投标人的报价得分。在计算过程中，不得去掉最高报价或者最低报价。</w:t>
      </w:r>
    </w:p>
    <w:p w14:paraId="3A6F945B">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（4）各投标人的得分为所有评委的有效评分的算术平均数。</w:t>
      </w:r>
    </w:p>
    <w:p w14:paraId="73D19728">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（5）评标委员会按照招标文件中的规定推荐中标候选人。</w:t>
      </w:r>
    </w:p>
    <w:p w14:paraId="10CF23DE">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18DA6045">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 xml:space="preserve">6.异常低价审查 </w:t>
      </w:r>
    </w:p>
    <w:p w14:paraId="1489512E">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6.1</w:t>
      </w:r>
      <w:r>
        <w:rPr>
          <w:rFonts w:hint="eastAsia" w:ascii="宋体" w:hAnsi="宋体" w:eastAsia="宋体" w:cs="宋体"/>
          <w:color w:val="auto"/>
          <w:szCs w:val="21"/>
          <w:highlight w:val="none"/>
        </w:rPr>
        <w:t>依据规定</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"http://www.ccgp.gov.cn/news/202601/t20260122_26102509.htm" \t "_blank" \o "附件链接：《财政部关于推动解决政府采购异常低价问题的通知》（财库〔2026〕2号）"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《财政部关于推动解决政府采购异常低价问题的通知》（财库〔2026〕2号）</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规定，政府采购评审中出现以下异常低价情形，评标委员会应当启动异常低价投标审查程序：</w:t>
      </w:r>
    </w:p>
    <w:p w14:paraId="79DB9270">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（1）投标报价低于全部通过符合性审查供应商投标）报价平均值</w:t>
      </w:r>
      <w:r>
        <w:rPr>
          <w:rFonts w:hint="eastAsia" w:ascii="宋体" w:hAnsi="宋体" w:eastAsia="宋体" w:cs="宋体"/>
          <w:color w:val="auto"/>
          <w:szCs w:val="21"/>
          <w:highlight w:val="none"/>
          <w:u w:val="single"/>
        </w:rPr>
        <w:t> </w:t>
      </w:r>
      <w:r>
        <w:rPr>
          <w:rFonts w:hint="eastAsia" w:ascii="宋体" w:hAnsi="宋体" w:cs="宋体"/>
          <w:color w:val="auto"/>
          <w:szCs w:val="21"/>
          <w:highlight w:val="none"/>
          <w:u w:val="single"/>
          <w:lang w:val="en-US" w:eastAsia="zh-CN"/>
        </w:rPr>
        <w:t>50</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％的（注：此处由采购人根据项目实际情况填写，填写范围不得低于50％，最高不得超过65％）；</w:t>
      </w:r>
    </w:p>
    <w:p w14:paraId="1D559108">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（2）投标报价低于通过符合性审查的次低报价供应商投标报价</w:t>
      </w:r>
      <w:r>
        <w:rPr>
          <w:rFonts w:hint="eastAsia" w:ascii="宋体" w:hAnsi="宋体" w:eastAsia="宋体" w:cs="宋体"/>
          <w:color w:val="auto"/>
          <w:szCs w:val="21"/>
          <w:highlight w:val="none"/>
          <w:u w:val="single"/>
        </w:rPr>
        <w:t> </w:t>
      </w:r>
      <w:r>
        <w:rPr>
          <w:rFonts w:hint="eastAsia" w:ascii="宋体" w:hAnsi="宋体" w:cs="宋体"/>
          <w:color w:val="auto"/>
          <w:szCs w:val="21"/>
          <w:highlight w:val="none"/>
          <w:u w:val="single"/>
          <w:lang w:val="en-US" w:eastAsia="zh-CN"/>
        </w:rPr>
        <w:t>50</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％的（注：此处由采购人根据项目实际情况填写，填写范围不得低于50％，最高不得超过65％）；</w:t>
      </w:r>
    </w:p>
    <w:p w14:paraId="406DDF79">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（3）投标报价低于采购项目最高限价</w:t>
      </w:r>
      <w:r>
        <w:rPr>
          <w:rFonts w:hint="eastAsia" w:ascii="宋体" w:hAnsi="宋体" w:eastAsia="宋体" w:cs="宋体"/>
          <w:color w:val="auto"/>
          <w:szCs w:val="21"/>
          <w:highlight w:val="none"/>
          <w:u w:val="single"/>
        </w:rPr>
        <w:t> </w:t>
      </w:r>
      <w:r>
        <w:rPr>
          <w:rFonts w:hint="eastAsia" w:ascii="宋体" w:hAnsi="宋体" w:cs="宋体"/>
          <w:color w:val="auto"/>
          <w:szCs w:val="21"/>
          <w:highlight w:val="none"/>
          <w:u w:val="single"/>
          <w:lang w:val="en-US" w:eastAsia="zh-CN"/>
        </w:rPr>
        <w:t>45</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％的（注：此处由采购人根据项目实际情况填写，填写范围不得低于45％，最高不得超过65％）；</w:t>
      </w:r>
    </w:p>
    <w:p w14:paraId="3198B702">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（4）评标委员会基于专业判断，认为供应商报价过低，有可能影响产品质量或者不能诚信履约的其他情形。相关法律法规对供应商报价有规定的，从其规定。</w:t>
      </w:r>
    </w:p>
    <w:p w14:paraId="5066ABF7">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（5）相关法律法规对供应商报价有规定的，从其规定。</w:t>
      </w:r>
    </w:p>
    <w:p w14:paraId="6A928452">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6.2</w:t>
      </w:r>
      <w:r>
        <w:rPr>
          <w:rFonts w:hint="eastAsia" w:ascii="宋体" w:hAnsi="宋体" w:eastAsia="宋体" w:cs="宋体"/>
          <w:color w:val="auto"/>
          <w:szCs w:val="21"/>
          <w:highlight w:val="none"/>
        </w:rPr>
        <w:t>评标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4E49A261">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标委员会）应当将其作为无效投标（响应）处理。</w:t>
      </w:r>
    </w:p>
    <w:p w14:paraId="164020CF">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审组织: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682A193E">
      <w:pPr>
        <w:pageBreakBefore w:val="0"/>
        <w:kinsoku/>
        <w:wordWrap/>
        <w:overflowPunct/>
        <w:topLinePunct w:val="0"/>
        <w:autoSpaceDE/>
        <w:autoSpaceDN/>
        <w:bidi w:val="0"/>
        <w:snapToGrid w:val="0"/>
        <w:spacing w:line="400" w:lineRule="exact"/>
        <w:ind w:firstLine="420" w:firstLineChars="200"/>
        <w:textAlignment w:val="auto"/>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记录及归档:异常低价投标审查的启动原因、审查意见和审查结果应当在评审报告中记录，并随供应商提供的相关书面说明及证明材料，以及评审委员会有关互联网浏览、查询历史一并归档。</w:t>
      </w:r>
    </w:p>
    <w:p w14:paraId="183389D7">
      <w:pPr>
        <w:pStyle w:val="4"/>
        <w:pageBreakBefore w:val="0"/>
        <w:kinsoku/>
        <w:wordWrap/>
        <w:overflowPunct/>
        <w:topLinePunct w:val="0"/>
        <w:autoSpaceDE/>
        <w:autoSpaceDN/>
        <w:bidi w:val="0"/>
        <w:spacing w:before="0" w:after="0" w:line="400" w:lineRule="exact"/>
        <w:jc w:val="center"/>
        <w:textAlignment w:val="auto"/>
        <w:rPr>
          <w:rFonts w:hint="eastAsia" w:ascii="宋体" w:hAnsi="宋体" w:eastAsia="宋体" w:cs="宋体"/>
          <w:color w:val="auto"/>
          <w:highlight w:val="none"/>
        </w:rPr>
      </w:pPr>
      <w:bookmarkStart w:id="176" w:name="_Toc4705"/>
      <w:bookmarkStart w:id="177" w:name="_Toc5924"/>
      <w:r>
        <w:rPr>
          <w:rFonts w:hint="eastAsia" w:ascii="宋体" w:hAnsi="宋体" w:eastAsia="宋体" w:cs="宋体"/>
          <w:color w:val="auto"/>
          <w:highlight w:val="none"/>
        </w:rPr>
        <w:t>三、评标标准</w:t>
      </w:r>
      <w:bookmarkEnd w:id="176"/>
      <w:bookmarkEnd w:id="177"/>
    </w:p>
    <w:p w14:paraId="317C100F">
      <w:pPr>
        <w:pageBreakBefore w:val="0"/>
        <w:widowControl/>
        <w:kinsoku/>
        <w:wordWrap/>
        <w:overflowPunct/>
        <w:topLinePunct w:val="0"/>
        <w:autoSpaceDE/>
        <w:autoSpaceDN/>
        <w:bidi w:val="0"/>
        <w:adjustRightInd w:val="0"/>
        <w:snapToGrid w:val="0"/>
        <w:spacing w:line="400" w:lineRule="exact"/>
        <w:ind w:firstLine="42"/>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一、评标原则</w:t>
      </w:r>
    </w:p>
    <w:p w14:paraId="0DF923BE">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rPr>
        <w:t>（一）评委构成：《政府采购货物和服务招标投标管理办法》第四十七条 评标委员会由采购人代表和评审专家组成，成员人数应当为5人以上单数，其中评审专家不得少于成员总数的三分之二。采购项目符合下列情形之一的，评标委员会成员人数应当为7人以上单数：（1）采购预算金额在1000万元以上；（2）技术复杂；（3）社会影响较大。</w:t>
      </w:r>
    </w:p>
    <w:p w14:paraId="284E2AEA">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rPr>
        <w:t>（二）</w:t>
      </w:r>
      <w:r>
        <w:rPr>
          <w:rFonts w:hint="eastAsia" w:ascii="宋体" w:hAnsi="宋体" w:cs="宋体"/>
          <w:color w:val="auto"/>
          <w:kern w:val="0"/>
          <w:szCs w:val="21"/>
          <w:highlight w:val="none"/>
        </w:rPr>
        <w:t>评标依据：</w:t>
      </w:r>
      <w:r>
        <w:rPr>
          <w:rFonts w:hint="eastAsia" w:ascii="宋体" w:hAnsi="宋体" w:cs="宋体"/>
          <w:bCs/>
          <w:color w:val="auto"/>
          <w:kern w:val="0"/>
          <w:szCs w:val="21"/>
          <w:highlight w:val="none"/>
        </w:rPr>
        <w:t>评委将以招投标文件为评标依据，对投标人的内容按百分制打分。</w:t>
      </w:r>
    </w:p>
    <w:p w14:paraId="1C1C2118">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color w:val="auto"/>
          <w:szCs w:val="21"/>
          <w:highlight w:val="none"/>
        </w:rPr>
      </w:pPr>
      <w:r>
        <w:rPr>
          <w:rFonts w:hint="eastAsia" w:ascii="宋体" w:hAnsi="宋体" w:cs="宋体"/>
          <w:bCs/>
          <w:color w:val="auto"/>
          <w:szCs w:val="21"/>
          <w:highlight w:val="none"/>
        </w:rPr>
        <w:t>（三）评标方式：以封闭方式进行。</w:t>
      </w:r>
    </w:p>
    <w:p w14:paraId="65E2B104">
      <w:pPr>
        <w:pageBreakBefore w:val="0"/>
        <w:kinsoku/>
        <w:wordWrap/>
        <w:overflowPunct/>
        <w:topLinePunct w:val="0"/>
        <w:autoSpaceDE/>
        <w:autoSpaceDN/>
        <w:bidi w:val="0"/>
        <w:adjustRightInd w:val="0"/>
        <w:snapToGrid w:val="0"/>
        <w:spacing w:line="400" w:lineRule="exact"/>
        <w:ind w:firstLine="42" w:firstLineChars="20"/>
        <w:textAlignment w:val="auto"/>
        <w:rPr>
          <w:rFonts w:hint="eastAsia" w:ascii="宋体" w:hAnsi="宋体" w:cs="宋体"/>
          <w:b/>
          <w:color w:val="auto"/>
          <w:szCs w:val="21"/>
          <w:highlight w:val="none"/>
        </w:rPr>
      </w:pPr>
      <w:r>
        <w:rPr>
          <w:rFonts w:hint="eastAsia" w:ascii="宋体" w:hAnsi="宋体" w:cs="宋体"/>
          <w:b/>
          <w:color w:val="auto"/>
          <w:szCs w:val="21"/>
          <w:highlight w:val="none"/>
        </w:rPr>
        <w:t>二、评标方法</w:t>
      </w:r>
    </w:p>
    <w:p w14:paraId="04BB365E">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（一）对进入详评的，采用百分制综合评分法。</w:t>
      </w:r>
    </w:p>
    <w:p w14:paraId="57AA46AE">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（二）计分办法（按四舍五入取至百分位）：</w:t>
      </w:r>
    </w:p>
    <w:p w14:paraId="3BDCDA93">
      <w:pPr>
        <w:pStyle w:val="4"/>
        <w:pageBreakBefore w:val="0"/>
        <w:kinsoku/>
        <w:wordWrap/>
        <w:overflowPunct/>
        <w:topLinePunct w:val="0"/>
        <w:autoSpaceDE/>
        <w:autoSpaceDN/>
        <w:bidi w:val="0"/>
        <w:spacing w:before="0" w:after="0" w:line="400" w:lineRule="exact"/>
        <w:jc w:val="center"/>
        <w:textAlignment w:val="auto"/>
        <w:rPr>
          <w:rFonts w:hint="eastAsia" w:ascii="宋体" w:hAnsi="宋体" w:eastAsia="宋体" w:cs="宋体"/>
          <w:color w:val="auto"/>
          <w:highlight w:val="none"/>
        </w:rPr>
      </w:pPr>
      <w:bookmarkStart w:id="178" w:name="_Toc29253"/>
      <w:bookmarkStart w:id="179" w:name="_Toc26687"/>
      <w:bookmarkStart w:id="180" w:name="_Toc1515"/>
    </w:p>
    <w:p w14:paraId="657E1D4E">
      <w:pPr>
        <w:pStyle w:val="4"/>
        <w:pageBreakBefore w:val="0"/>
        <w:kinsoku/>
        <w:wordWrap/>
        <w:overflowPunct/>
        <w:topLinePunct w:val="0"/>
        <w:autoSpaceDE/>
        <w:autoSpaceDN/>
        <w:bidi w:val="0"/>
        <w:spacing w:before="0" w:after="0" w:line="400" w:lineRule="exact"/>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评分标准（综合评分法）</w:t>
      </w:r>
      <w:bookmarkEnd w:id="178"/>
      <w:bookmarkEnd w:id="179"/>
      <w:bookmarkEnd w:id="180"/>
    </w:p>
    <w:tbl>
      <w:tblPr>
        <w:tblStyle w:val="39"/>
        <w:tblW w:w="876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6"/>
        <w:gridCol w:w="781"/>
        <w:gridCol w:w="7142"/>
      </w:tblGrid>
      <w:tr w14:paraId="7FC705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77" w:hRule="atLeast"/>
          <w:jc w:val="center"/>
        </w:trPr>
        <w:tc>
          <w:tcPr>
            <w:tcW w:w="846" w:type="dxa"/>
            <w:noWrap w:val="0"/>
            <w:vAlign w:val="bottom"/>
          </w:tcPr>
          <w:p w14:paraId="29F5F8C0">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cs="宋体"/>
                <w:b/>
                <w:bCs w:val="0"/>
                <w:color w:val="auto"/>
                <w:kern w:val="0"/>
                <w:szCs w:val="21"/>
                <w:highlight w:val="none"/>
              </w:rPr>
            </w:pPr>
            <w:r>
              <w:rPr>
                <w:rFonts w:hint="eastAsia" w:ascii="宋体" w:hAnsi="宋体" w:cs="宋体"/>
                <w:b/>
                <w:bCs w:val="0"/>
                <w:color w:val="auto"/>
                <w:kern w:val="0"/>
                <w:szCs w:val="21"/>
                <w:highlight w:val="none"/>
              </w:rPr>
              <w:t>评标项目</w:t>
            </w:r>
          </w:p>
        </w:tc>
        <w:tc>
          <w:tcPr>
            <w:tcW w:w="781" w:type="dxa"/>
            <w:noWrap w:val="0"/>
            <w:vAlign w:val="bottom"/>
          </w:tcPr>
          <w:p w14:paraId="618980FB">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cs="宋体"/>
                <w:b/>
                <w:bCs w:val="0"/>
                <w:color w:val="auto"/>
                <w:kern w:val="0"/>
                <w:szCs w:val="21"/>
                <w:highlight w:val="none"/>
              </w:rPr>
            </w:pPr>
            <w:r>
              <w:rPr>
                <w:rFonts w:hint="eastAsia" w:ascii="宋体" w:hAnsi="宋体" w:cs="宋体"/>
                <w:b/>
                <w:bCs w:val="0"/>
                <w:color w:val="auto"/>
                <w:kern w:val="0"/>
                <w:szCs w:val="21"/>
                <w:highlight w:val="none"/>
              </w:rPr>
              <w:t>评标分值</w:t>
            </w:r>
          </w:p>
        </w:tc>
        <w:tc>
          <w:tcPr>
            <w:tcW w:w="7142" w:type="dxa"/>
            <w:noWrap w:val="0"/>
            <w:vAlign w:val="bottom"/>
          </w:tcPr>
          <w:p w14:paraId="091FE2F7">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cs="宋体"/>
                <w:b/>
                <w:bCs w:val="0"/>
                <w:color w:val="auto"/>
                <w:kern w:val="0"/>
                <w:szCs w:val="21"/>
                <w:highlight w:val="none"/>
              </w:rPr>
            </w:pPr>
            <w:r>
              <w:rPr>
                <w:rFonts w:hint="eastAsia" w:ascii="宋体" w:hAnsi="宋体" w:cs="宋体"/>
                <w:b/>
                <w:bCs w:val="0"/>
                <w:color w:val="auto"/>
                <w:kern w:val="0"/>
                <w:szCs w:val="21"/>
                <w:highlight w:val="none"/>
              </w:rPr>
              <w:t>评标方法描述</w:t>
            </w:r>
          </w:p>
        </w:tc>
      </w:tr>
      <w:tr w14:paraId="6EA5E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9" w:hRule="atLeast"/>
          <w:jc w:val="center"/>
        </w:trPr>
        <w:tc>
          <w:tcPr>
            <w:tcW w:w="8769" w:type="dxa"/>
            <w:gridSpan w:val="3"/>
            <w:noWrap w:val="0"/>
            <w:vAlign w:val="center"/>
          </w:tcPr>
          <w:p w14:paraId="714A23CC">
            <w:pPr>
              <w:pageBreakBefore w:val="0"/>
              <w:widowControl/>
              <w:kinsoku/>
              <w:wordWrap/>
              <w:overflowPunct/>
              <w:topLinePunct w:val="0"/>
              <w:autoSpaceDE/>
              <w:autoSpaceDN/>
              <w:bidi w:val="0"/>
              <w:adjustRightInd w:val="0"/>
              <w:snapToGrid w:val="0"/>
              <w:spacing w:line="400" w:lineRule="exact"/>
              <w:textAlignment w:val="auto"/>
              <w:rPr>
                <w:rFonts w:hint="eastAsia" w:ascii="宋体" w:hAnsi="宋体" w:cs="宋体"/>
                <w:b/>
                <w:bCs w:val="0"/>
                <w:color w:val="auto"/>
                <w:kern w:val="0"/>
                <w:szCs w:val="21"/>
                <w:highlight w:val="none"/>
                <w:lang w:val="en-US" w:eastAsia="zh-CN"/>
              </w:rPr>
            </w:pPr>
            <w:r>
              <w:rPr>
                <w:rFonts w:hint="eastAsia" w:ascii="宋体" w:hAnsi="宋体" w:cs="宋体"/>
                <w:b/>
                <w:bCs w:val="0"/>
                <w:color w:val="auto"/>
                <w:kern w:val="0"/>
                <w:szCs w:val="21"/>
                <w:highlight w:val="none"/>
                <w:lang w:val="en-US" w:eastAsia="zh-CN"/>
              </w:rPr>
              <w:t>（一）价格分（满分10分）</w:t>
            </w:r>
          </w:p>
        </w:tc>
      </w:tr>
      <w:tr w14:paraId="46D210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46" w:type="dxa"/>
            <w:noWrap w:val="0"/>
            <w:vAlign w:val="center"/>
          </w:tcPr>
          <w:p w14:paraId="6F9C47E2">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cs="宋体"/>
                <w:b/>
                <w:bCs w:val="0"/>
                <w:color w:val="auto"/>
                <w:kern w:val="0"/>
                <w:szCs w:val="21"/>
                <w:highlight w:val="none"/>
                <w:lang w:val="en-US" w:eastAsia="zh-CN"/>
              </w:rPr>
            </w:pPr>
            <w:r>
              <w:rPr>
                <w:rFonts w:hint="eastAsia" w:ascii="宋体" w:hAnsi="宋体" w:cs="宋体"/>
                <w:b/>
                <w:bCs w:val="0"/>
                <w:color w:val="auto"/>
                <w:kern w:val="0"/>
                <w:szCs w:val="21"/>
                <w:highlight w:val="none"/>
                <w:lang w:val="en-US" w:eastAsia="zh-CN"/>
              </w:rPr>
              <w:t>投标报价</w:t>
            </w:r>
          </w:p>
        </w:tc>
        <w:tc>
          <w:tcPr>
            <w:tcW w:w="781" w:type="dxa"/>
            <w:noWrap w:val="0"/>
            <w:vAlign w:val="center"/>
          </w:tcPr>
          <w:p w14:paraId="6032E083">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cs="宋体"/>
                <w:b/>
                <w:bCs w:val="0"/>
                <w:color w:val="auto"/>
                <w:kern w:val="0"/>
                <w:szCs w:val="21"/>
                <w:highlight w:val="none"/>
                <w:lang w:val="en-US" w:eastAsia="zh-CN"/>
              </w:rPr>
            </w:pPr>
            <w:r>
              <w:rPr>
                <w:rFonts w:hint="eastAsia" w:ascii="宋体" w:hAnsi="宋体" w:cs="宋体"/>
                <w:b/>
                <w:bCs w:val="0"/>
                <w:color w:val="auto"/>
                <w:kern w:val="0"/>
                <w:szCs w:val="21"/>
                <w:highlight w:val="none"/>
                <w:lang w:val="en-US" w:eastAsia="zh-CN"/>
              </w:rPr>
              <w:t>10分</w:t>
            </w:r>
          </w:p>
        </w:tc>
        <w:tc>
          <w:tcPr>
            <w:tcW w:w="7142" w:type="dxa"/>
            <w:noWrap w:val="0"/>
            <w:vAlign w:val="center"/>
          </w:tcPr>
          <w:p w14:paraId="62CCE826">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rPr>
              <w:t>（1）评标报价为投标人的投标报价进行政策性扣除后的价格，评标报价只是作为评标时使用。最终中标人的中标金额等于投标报价。</w:t>
            </w:r>
          </w:p>
          <w:p w14:paraId="7C3D2D7D">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rPr>
              <w:t>（2）按照《政府采购促进中小企业发展管理办法》（财库〔2020〕46号）的规定，投标人在其投标文件中提供《中小企业声明函》，且其服务为小型和微型企业承接的，按《关于进一步加大政府采购支持中小企业力度的通知》（财库〔2022〕19号）、《广西壮族自治区财政厅关于持续优化政府采购营商环境推动高质量发展的通知》（桂财采〔202</w:t>
            </w:r>
            <w:r>
              <w:rPr>
                <w:rFonts w:hint="eastAsia" w:ascii="宋体" w:hAnsi="宋体" w:cs="宋体"/>
                <w:bCs/>
                <w:color w:val="auto"/>
                <w:kern w:val="0"/>
                <w:szCs w:val="21"/>
                <w:highlight w:val="none"/>
                <w:lang w:val="en-US" w:eastAsia="zh-CN"/>
              </w:rPr>
              <w:t>4</w:t>
            </w:r>
            <w:r>
              <w:rPr>
                <w:rFonts w:hint="eastAsia" w:ascii="宋体" w:hAnsi="宋体" w:cs="宋体"/>
                <w:bCs/>
                <w:color w:val="auto"/>
                <w:kern w:val="0"/>
                <w:szCs w:val="21"/>
                <w:highlight w:val="none"/>
              </w:rPr>
              <w:t>〕</w:t>
            </w:r>
            <w:r>
              <w:rPr>
                <w:rFonts w:hint="eastAsia" w:ascii="宋体" w:hAnsi="宋体" w:cs="宋体"/>
                <w:bCs/>
                <w:color w:val="auto"/>
                <w:kern w:val="0"/>
                <w:szCs w:val="21"/>
                <w:highlight w:val="none"/>
                <w:lang w:val="en-US" w:eastAsia="zh-CN"/>
              </w:rPr>
              <w:t>55</w:t>
            </w:r>
            <w:r>
              <w:rPr>
                <w:rFonts w:hint="eastAsia" w:ascii="宋体" w:hAnsi="宋体" w:cs="宋体"/>
                <w:bCs/>
                <w:color w:val="auto"/>
                <w:kern w:val="0"/>
                <w:szCs w:val="21"/>
                <w:highlight w:val="none"/>
              </w:rPr>
              <w:t>号）的规定</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rPr>
              <w:t>对其最后报价给予</w:t>
            </w:r>
            <w:r>
              <w:rPr>
                <w:rFonts w:hint="eastAsia" w:ascii="宋体" w:hAnsi="宋体" w:cs="宋体"/>
                <w:bCs/>
                <w:color w:val="auto"/>
                <w:kern w:val="0"/>
                <w:szCs w:val="21"/>
                <w:highlight w:val="none"/>
                <w:lang w:val="en-US" w:eastAsia="zh-CN"/>
              </w:rPr>
              <w:t>1</w:t>
            </w:r>
            <w:r>
              <w:rPr>
                <w:rFonts w:hint="eastAsia" w:ascii="宋体" w:hAnsi="宋体" w:cs="宋体"/>
                <w:bCs/>
                <w:color w:val="auto"/>
                <w:kern w:val="0"/>
                <w:szCs w:val="21"/>
                <w:highlight w:val="none"/>
              </w:rPr>
              <w:t>0%</w:t>
            </w:r>
            <w:r>
              <w:rPr>
                <w:rFonts w:hint="eastAsia" w:ascii="宋体" w:hAnsi="宋体" w:cs="宋体"/>
                <w:bCs/>
                <w:color w:val="auto"/>
                <w:kern w:val="0"/>
                <w:szCs w:val="21"/>
                <w:highlight w:val="none"/>
                <w:lang w:eastAsia="zh-CN"/>
              </w:rPr>
              <w:t>（范围为</w:t>
            </w:r>
            <w:r>
              <w:rPr>
                <w:rFonts w:hint="eastAsia" w:ascii="宋体" w:hAnsi="宋体" w:cs="宋体"/>
                <w:bCs/>
                <w:color w:val="auto"/>
                <w:kern w:val="0"/>
                <w:szCs w:val="21"/>
                <w:highlight w:val="none"/>
                <w:lang w:val="en-US" w:eastAsia="zh-CN"/>
              </w:rPr>
              <w:t>10-20%）</w:t>
            </w:r>
            <w:r>
              <w:rPr>
                <w:rFonts w:hint="eastAsia" w:ascii="宋体" w:hAnsi="宋体" w:cs="宋体"/>
                <w:bCs/>
                <w:color w:val="auto"/>
                <w:kern w:val="0"/>
                <w:szCs w:val="21"/>
                <w:highlight w:val="none"/>
              </w:rPr>
              <w:t>的扣除。</w:t>
            </w:r>
          </w:p>
          <w:p w14:paraId="48F5798A">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14:paraId="7514AD3F">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5222F7A8">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rPr>
              <w:t>（5）政策性扣除计算方法。</w:t>
            </w:r>
          </w:p>
          <w:p w14:paraId="0BF837B4">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rPr>
              <w:t>在服务采购项目中，服务由小微企业承接；对符合上述要求的投标人的投标报价给予</w:t>
            </w:r>
            <w:r>
              <w:rPr>
                <w:rFonts w:hint="eastAsia" w:ascii="宋体" w:hAnsi="宋体" w:cs="宋体"/>
                <w:bCs/>
                <w:color w:val="auto"/>
                <w:kern w:val="0"/>
                <w:szCs w:val="21"/>
                <w:highlight w:val="none"/>
                <w:lang w:val="en-US" w:eastAsia="zh-CN"/>
              </w:rPr>
              <w:t>1</w:t>
            </w:r>
            <w:r>
              <w:rPr>
                <w:rFonts w:hint="eastAsia" w:ascii="宋体" w:hAnsi="宋体" w:cs="宋体"/>
                <w:bCs/>
                <w:color w:val="auto"/>
                <w:kern w:val="0"/>
                <w:szCs w:val="21"/>
                <w:highlight w:val="none"/>
              </w:rPr>
              <w:t>0%的扣除，扣除后的价格为评标报价，即评标报价=投标报价×（1-</w:t>
            </w:r>
            <w:r>
              <w:rPr>
                <w:rFonts w:hint="eastAsia" w:ascii="宋体" w:hAnsi="宋体" w:cs="宋体"/>
                <w:bCs/>
                <w:color w:val="auto"/>
                <w:kern w:val="0"/>
                <w:szCs w:val="21"/>
                <w:highlight w:val="none"/>
                <w:lang w:val="en-US" w:eastAsia="zh-CN"/>
              </w:rPr>
              <w:t>1</w:t>
            </w:r>
            <w:r>
              <w:rPr>
                <w:rFonts w:hint="eastAsia" w:ascii="宋体" w:hAnsi="宋体" w:cs="宋体"/>
                <w:bCs/>
                <w:color w:val="auto"/>
                <w:kern w:val="0"/>
                <w:szCs w:val="21"/>
                <w:highlight w:val="none"/>
              </w:rPr>
              <w:t>0%）。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Pr>
                <w:rFonts w:hint="eastAsia" w:ascii="宋体" w:hAnsi="宋体" w:cs="宋体"/>
                <w:bCs/>
                <w:color w:val="auto"/>
                <w:kern w:val="0"/>
                <w:szCs w:val="21"/>
                <w:highlight w:val="none"/>
                <w:lang w:val="en-US" w:eastAsia="zh-CN"/>
              </w:rPr>
              <w:t>4</w:t>
            </w:r>
            <w:r>
              <w:rPr>
                <w:rFonts w:hint="eastAsia" w:ascii="宋体" w:hAnsi="宋体" w:cs="宋体"/>
                <w:bCs/>
                <w:color w:val="auto"/>
                <w:kern w:val="0"/>
                <w:szCs w:val="21"/>
                <w:highlight w:val="none"/>
              </w:rPr>
              <w:t>%（范围为4%-6%）的扣除，用扣除后的价格参加评审，扣除后的价格为评标报价，即评标报价=投标报价×（1-</w:t>
            </w:r>
            <w:r>
              <w:rPr>
                <w:rFonts w:hint="eastAsia" w:ascii="宋体" w:hAnsi="宋体" w:cs="宋体"/>
                <w:bCs/>
                <w:color w:val="auto"/>
                <w:kern w:val="0"/>
                <w:szCs w:val="21"/>
                <w:highlight w:val="none"/>
                <w:lang w:val="en-US" w:eastAsia="zh-CN"/>
              </w:rPr>
              <w:t>4</w:t>
            </w:r>
            <w:r>
              <w:rPr>
                <w:rFonts w:hint="eastAsia" w:ascii="宋体" w:hAnsi="宋体" w:cs="宋体"/>
                <w:bCs/>
                <w:color w:val="auto"/>
                <w:kern w:val="0"/>
                <w:szCs w:val="21"/>
                <w:highlight w:val="none"/>
              </w:rPr>
              <w:t>%）。除上述情况外，评标报价=投标报价。</w:t>
            </w:r>
          </w:p>
          <w:p w14:paraId="23FAA7C8">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rPr>
              <w:t>（6）满足招标文件要求且评标报价最低的评标报价为评标基准价，其价格分为满分。</w:t>
            </w:r>
          </w:p>
          <w:p w14:paraId="52B3FC51">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rPr>
              <w:t>（7）价格分计算公式：</w:t>
            </w:r>
          </w:p>
          <w:p w14:paraId="346308D8">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lang w:eastAsia="zh-CN"/>
              </w:rPr>
            </w:pPr>
            <w:r>
              <w:rPr>
                <w:rFonts w:hint="eastAsia" w:ascii="宋体" w:hAnsi="宋体" w:cs="宋体"/>
                <w:bCs/>
                <w:color w:val="auto"/>
                <w:kern w:val="0"/>
                <w:szCs w:val="21"/>
                <w:highlight w:val="none"/>
              </w:rPr>
              <w:t>价格分=(评标基准价／评标报价)×10分</w:t>
            </w:r>
            <w:r>
              <w:rPr>
                <w:rFonts w:hint="eastAsia" w:ascii="宋体" w:hAnsi="宋体" w:cs="宋体"/>
                <w:bCs/>
                <w:color w:val="auto"/>
                <w:kern w:val="0"/>
                <w:szCs w:val="21"/>
                <w:highlight w:val="none"/>
                <w:lang w:eastAsia="zh-CN"/>
              </w:rPr>
              <w:t>。</w:t>
            </w:r>
          </w:p>
          <w:p w14:paraId="1C8421B8">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
                <w:bCs w:val="0"/>
                <w:color w:val="auto"/>
                <w:kern w:val="0"/>
                <w:szCs w:val="21"/>
                <w:highlight w:val="none"/>
                <w:lang w:val="en-US" w:eastAsia="zh-CN"/>
              </w:rPr>
            </w:pPr>
            <w:r>
              <w:rPr>
                <w:rFonts w:hint="eastAsia" w:ascii="宋体" w:hAnsi="宋体" w:cs="宋体"/>
                <w:b/>
                <w:bCs w:val="0"/>
                <w:color w:val="auto"/>
                <w:kern w:val="0"/>
                <w:szCs w:val="21"/>
                <w:highlight w:val="none"/>
                <w:lang w:eastAsia="zh-CN"/>
              </w:rPr>
              <w:t>（</w:t>
            </w:r>
            <w:r>
              <w:rPr>
                <w:rFonts w:hint="eastAsia" w:ascii="宋体" w:hAnsi="宋体" w:cs="宋体"/>
                <w:b/>
                <w:bCs w:val="0"/>
                <w:color w:val="auto"/>
                <w:kern w:val="0"/>
                <w:szCs w:val="21"/>
                <w:highlight w:val="none"/>
                <w:lang w:val="en-US" w:eastAsia="zh-CN"/>
              </w:rPr>
              <w:t>8）异常低价说明。</w:t>
            </w:r>
          </w:p>
          <w:p w14:paraId="3B337266">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lang w:eastAsia="zh-CN"/>
              </w:rPr>
            </w:pPr>
            <w:r>
              <w:rPr>
                <w:rFonts w:hint="eastAsia" w:ascii="宋体" w:hAnsi="宋体" w:cs="宋体"/>
                <w:b/>
                <w:bCs w:val="0"/>
                <w:color w:val="auto"/>
                <w:kern w:val="0"/>
                <w:szCs w:val="21"/>
                <w:highlight w:val="none"/>
                <w:lang w:val="en-US" w:eastAsia="zh-CN"/>
              </w:rPr>
              <w:t>投标人的报价出现《财政部关于推动解决政府采购异常低价问题的通知》（财库〔2026〕2号）规定的异常低价情形（具体详见招标文件第四章评标方法及评标标准二、评标程序6.异常低价审查），有可能影响服务质量或者不能诚信履约的，其应当在评标现场合理时间内（不少于30分钟）对报价作出解释，提供项目具体成本测算等与报价合理性相关的书面说明及必要证明材料；投标人不能提供相关说明、证明材料，或提供的材料无法证明其报价合理性的，评标委员会将其作为无效投标处理。</w:t>
            </w:r>
          </w:p>
        </w:tc>
      </w:tr>
      <w:tr w14:paraId="3D992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769" w:type="dxa"/>
            <w:gridSpan w:val="3"/>
            <w:noWrap w:val="0"/>
            <w:vAlign w:val="center"/>
          </w:tcPr>
          <w:p w14:paraId="638B7B81">
            <w:pPr>
              <w:pageBreakBefore w:val="0"/>
              <w:widowControl/>
              <w:kinsoku/>
              <w:wordWrap/>
              <w:overflowPunct/>
              <w:topLinePunct w:val="0"/>
              <w:autoSpaceDE/>
              <w:autoSpaceDN/>
              <w:bidi w:val="0"/>
              <w:adjustRightInd w:val="0"/>
              <w:snapToGrid w:val="0"/>
              <w:spacing w:line="400" w:lineRule="exact"/>
              <w:textAlignment w:val="auto"/>
              <w:rPr>
                <w:rFonts w:hint="eastAsia" w:ascii="宋体" w:hAnsi="宋体" w:cs="宋体"/>
                <w:b/>
                <w:bCs w:val="0"/>
                <w:color w:val="auto"/>
                <w:kern w:val="0"/>
                <w:szCs w:val="21"/>
                <w:highlight w:val="none"/>
                <w:lang w:val="en-US" w:eastAsia="zh-CN"/>
              </w:rPr>
            </w:pPr>
            <w:r>
              <w:rPr>
                <w:rFonts w:hint="eastAsia" w:ascii="宋体" w:hAnsi="宋体" w:cs="宋体"/>
                <w:b/>
                <w:bCs w:val="0"/>
                <w:color w:val="auto"/>
                <w:kern w:val="0"/>
                <w:szCs w:val="21"/>
                <w:highlight w:val="none"/>
                <w:lang w:eastAsia="zh-CN"/>
              </w:rPr>
              <w:t>（</w:t>
            </w:r>
            <w:r>
              <w:rPr>
                <w:rFonts w:hint="eastAsia" w:ascii="宋体" w:hAnsi="宋体" w:cs="宋体"/>
                <w:b/>
                <w:bCs w:val="0"/>
                <w:color w:val="auto"/>
                <w:kern w:val="0"/>
                <w:szCs w:val="21"/>
                <w:highlight w:val="none"/>
                <w:lang w:val="en-US" w:eastAsia="zh-CN"/>
              </w:rPr>
              <w:t>二</w:t>
            </w:r>
            <w:r>
              <w:rPr>
                <w:rFonts w:hint="eastAsia" w:ascii="宋体" w:hAnsi="宋体" w:cs="宋体"/>
                <w:b/>
                <w:bCs w:val="0"/>
                <w:color w:val="auto"/>
                <w:kern w:val="0"/>
                <w:szCs w:val="21"/>
                <w:highlight w:val="none"/>
                <w:lang w:eastAsia="zh-CN"/>
              </w:rPr>
              <w:t>）</w:t>
            </w:r>
            <w:r>
              <w:rPr>
                <w:rFonts w:hint="eastAsia" w:ascii="宋体" w:hAnsi="宋体" w:cs="宋体"/>
                <w:b/>
                <w:bCs w:val="0"/>
                <w:color w:val="auto"/>
                <w:kern w:val="0"/>
                <w:szCs w:val="21"/>
                <w:highlight w:val="none"/>
                <w:lang w:val="en-US" w:eastAsia="zh-CN"/>
              </w:rPr>
              <w:t>技术分（满分75分）</w:t>
            </w:r>
          </w:p>
        </w:tc>
      </w:tr>
      <w:tr w14:paraId="5156FF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46" w:type="dxa"/>
            <w:noWrap w:val="0"/>
            <w:vAlign w:val="center"/>
          </w:tcPr>
          <w:p w14:paraId="2B911206">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cs="宋体"/>
                <w:b/>
                <w:bCs w:val="0"/>
                <w:color w:val="auto"/>
                <w:kern w:val="0"/>
                <w:szCs w:val="21"/>
                <w:highlight w:val="none"/>
                <w:lang w:val="en-US" w:eastAsia="zh-CN"/>
              </w:rPr>
            </w:pPr>
            <w:r>
              <w:rPr>
                <w:rFonts w:hint="eastAsia" w:ascii="宋体" w:hAnsi="宋体" w:cs="宋体"/>
                <w:b/>
                <w:bCs w:val="0"/>
                <w:color w:val="auto"/>
                <w:kern w:val="0"/>
                <w:szCs w:val="21"/>
                <w:highlight w:val="none"/>
                <w:lang w:val="en-US" w:eastAsia="zh-CN"/>
              </w:rPr>
              <w:t>项目技术方案质量</w:t>
            </w:r>
          </w:p>
        </w:tc>
        <w:tc>
          <w:tcPr>
            <w:tcW w:w="781" w:type="dxa"/>
            <w:noWrap w:val="0"/>
            <w:vAlign w:val="center"/>
          </w:tcPr>
          <w:p w14:paraId="43B380E7">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cs="宋体"/>
                <w:b/>
                <w:bCs w:val="0"/>
                <w:color w:val="auto"/>
                <w:kern w:val="0"/>
                <w:szCs w:val="21"/>
                <w:highlight w:val="none"/>
                <w:lang w:val="en-US" w:eastAsia="zh-CN"/>
              </w:rPr>
            </w:pPr>
            <w:r>
              <w:rPr>
                <w:rFonts w:hint="eastAsia" w:ascii="宋体" w:hAnsi="宋体" w:cs="宋体"/>
                <w:b/>
                <w:bCs w:val="0"/>
                <w:color w:val="auto"/>
                <w:kern w:val="0"/>
                <w:szCs w:val="21"/>
                <w:highlight w:val="none"/>
                <w:lang w:val="en-US" w:eastAsia="zh-CN"/>
              </w:rPr>
              <w:t>30分</w:t>
            </w:r>
          </w:p>
        </w:tc>
        <w:tc>
          <w:tcPr>
            <w:tcW w:w="7142" w:type="dxa"/>
            <w:noWrap w:val="0"/>
            <w:vAlign w:val="center"/>
          </w:tcPr>
          <w:p w14:paraId="634A29A8">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lang w:val="en-US" w:eastAsia="zh-CN"/>
              </w:rPr>
              <w:t>由评标委员会对投标人提供的实施方案</w:t>
            </w:r>
            <w:r>
              <w:rPr>
                <w:rFonts w:hint="eastAsia" w:ascii="宋体" w:hAnsi="宋体" w:cs="宋体"/>
                <w:bCs/>
                <w:color w:val="auto"/>
                <w:kern w:val="0"/>
                <w:szCs w:val="21"/>
                <w:highlight w:val="none"/>
              </w:rPr>
              <w:t>（至少包括：工作计划、人员、进度安排，组织措施和保障方案）的合理性、科学性、可操作性，</w:t>
            </w:r>
            <w:r>
              <w:rPr>
                <w:rFonts w:hint="eastAsia" w:ascii="宋体" w:hAnsi="宋体" w:cs="宋体"/>
                <w:bCs/>
                <w:color w:val="auto"/>
                <w:kern w:val="0"/>
                <w:szCs w:val="21"/>
                <w:highlight w:val="none"/>
                <w:lang w:val="en-US" w:eastAsia="zh-CN"/>
              </w:rPr>
              <w:t>在相应档次内独立打分。</w:t>
            </w:r>
          </w:p>
          <w:p w14:paraId="1D43678E">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lang w:val="en-US" w:eastAsia="zh-CN"/>
              </w:rPr>
              <w:t xml:space="preserve">一档（0 分）：方案不完整，未针对本项目编写或存在其他无关本项目表述； </w:t>
            </w:r>
          </w:p>
          <w:p w14:paraId="09C148FF">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lang w:val="en-US" w:eastAsia="zh-CN"/>
              </w:rPr>
              <w:t>二档（10 分）：方案符合项目基本要求，</w:t>
            </w:r>
            <w:r>
              <w:rPr>
                <w:rFonts w:hint="eastAsia" w:ascii="宋体" w:hAnsi="宋体" w:cs="宋体"/>
                <w:bCs/>
                <w:color w:val="auto"/>
                <w:kern w:val="0"/>
                <w:szCs w:val="21"/>
                <w:highlight w:val="none"/>
              </w:rPr>
              <w:t>工作计划、人员、进度安排，组织措施和保障方案</w:t>
            </w:r>
            <w:r>
              <w:rPr>
                <w:rFonts w:hint="eastAsia" w:ascii="宋体" w:hAnsi="宋体" w:cs="宋体"/>
                <w:bCs/>
                <w:color w:val="auto"/>
                <w:kern w:val="0"/>
                <w:szCs w:val="21"/>
                <w:highlight w:val="none"/>
                <w:lang w:val="en-US" w:eastAsia="zh-CN"/>
              </w:rPr>
              <w:t xml:space="preserve">等各项工作内容按照项目需求制定且规范，对各项工作任务较简单，整体方案基本满足项目需求； </w:t>
            </w:r>
          </w:p>
          <w:p w14:paraId="16A3C487">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lang w:val="en-US" w:eastAsia="zh-CN"/>
              </w:rPr>
              <w:t>三档（20 分）：方案符合项目要求，</w:t>
            </w:r>
            <w:r>
              <w:rPr>
                <w:rFonts w:hint="eastAsia" w:ascii="宋体" w:hAnsi="宋体" w:cs="宋体"/>
                <w:bCs/>
                <w:color w:val="auto"/>
                <w:kern w:val="0"/>
                <w:szCs w:val="21"/>
                <w:highlight w:val="none"/>
              </w:rPr>
              <w:t>工作计划、人员、进度安排，组织措施和保障方案</w:t>
            </w:r>
            <w:r>
              <w:rPr>
                <w:rFonts w:hint="eastAsia" w:ascii="宋体" w:hAnsi="宋体" w:cs="宋体"/>
                <w:bCs/>
                <w:color w:val="auto"/>
                <w:kern w:val="0"/>
                <w:szCs w:val="21"/>
                <w:highlight w:val="none"/>
                <w:lang w:val="en-US" w:eastAsia="zh-CN"/>
              </w:rPr>
              <w:t xml:space="preserve">等各项工作内容按照项目需求制定且规范，对各项工作任务分析全面，分工明确，安全保证机制完整，整体方案满足项目需求； </w:t>
            </w:r>
          </w:p>
          <w:p w14:paraId="46E9005E">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lang w:val="en-US" w:eastAsia="zh-CN"/>
              </w:rPr>
              <w:t>四档（30 分）：方案符合项目要求，</w:t>
            </w:r>
            <w:r>
              <w:rPr>
                <w:rFonts w:hint="eastAsia" w:ascii="宋体" w:hAnsi="宋体" w:cs="宋体"/>
                <w:bCs/>
                <w:color w:val="auto"/>
                <w:kern w:val="0"/>
                <w:szCs w:val="21"/>
                <w:highlight w:val="none"/>
              </w:rPr>
              <w:t>对项目背景、需求理解、</w:t>
            </w:r>
            <w:r>
              <w:rPr>
                <w:rFonts w:hint="eastAsia" w:ascii="宋体" w:hAnsi="宋体" w:cs="宋体"/>
                <w:bCs/>
                <w:color w:val="auto"/>
                <w:kern w:val="0"/>
                <w:szCs w:val="21"/>
                <w:highlight w:val="none"/>
                <w:lang w:eastAsia="zh-CN"/>
              </w:rPr>
              <w:t>项目特点及</w:t>
            </w:r>
            <w:r>
              <w:rPr>
                <w:rFonts w:hint="eastAsia" w:ascii="宋体" w:hAnsi="宋体" w:cs="宋体"/>
                <w:bCs/>
                <w:color w:val="auto"/>
                <w:kern w:val="0"/>
                <w:szCs w:val="21"/>
                <w:highlight w:val="none"/>
              </w:rPr>
              <w:t>重难点分析准确</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rPr>
              <w:t>熟悉项目情况，且阐述符合实际现状；已有工作基础扎实、内容详细，符合项目需求；工作计划、人员、进度安排，组织措施和保障方案</w:t>
            </w:r>
            <w:r>
              <w:rPr>
                <w:rFonts w:hint="eastAsia" w:ascii="宋体" w:hAnsi="宋体" w:cs="宋体"/>
                <w:bCs/>
                <w:color w:val="auto"/>
                <w:kern w:val="0"/>
                <w:szCs w:val="21"/>
                <w:highlight w:val="none"/>
                <w:lang w:val="en-US" w:eastAsia="zh-CN"/>
              </w:rPr>
              <w:t>等各项工作内容按照项目需求制定且规范，对各项工作任务分析理解深刻、完全把握采购目的，满足相关标准规范要求、可操作性强，工作流程规划描述详细、工作计划合理，内容充分切合本项目特色，整体方案明显优于项目需求。</w:t>
            </w:r>
          </w:p>
        </w:tc>
      </w:tr>
      <w:tr w14:paraId="68987C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46" w:type="dxa"/>
            <w:noWrap w:val="0"/>
            <w:vAlign w:val="center"/>
          </w:tcPr>
          <w:p w14:paraId="4D72E270">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cs="宋体"/>
                <w:b/>
                <w:bCs w:val="0"/>
                <w:color w:val="auto"/>
                <w:kern w:val="0"/>
                <w:szCs w:val="21"/>
                <w:highlight w:val="none"/>
                <w:lang w:val="en-US" w:eastAsia="zh-CN"/>
              </w:rPr>
            </w:pPr>
            <w:r>
              <w:rPr>
                <w:rFonts w:hint="eastAsia" w:ascii="宋体" w:hAnsi="宋体" w:cs="宋体"/>
                <w:b/>
                <w:bCs w:val="0"/>
                <w:color w:val="auto"/>
                <w:kern w:val="0"/>
                <w:szCs w:val="21"/>
                <w:highlight w:val="none"/>
                <w:lang w:eastAsia="zh-CN"/>
              </w:rPr>
              <w:t>项目技术</w:t>
            </w:r>
            <w:r>
              <w:rPr>
                <w:rFonts w:hint="eastAsia" w:ascii="宋体" w:hAnsi="宋体" w:cs="宋体"/>
                <w:b/>
                <w:bCs w:val="0"/>
                <w:color w:val="auto"/>
                <w:kern w:val="0"/>
                <w:szCs w:val="21"/>
                <w:highlight w:val="none"/>
                <w:lang w:val="en-US" w:eastAsia="zh-CN"/>
              </w:rPr>
              <w:t>质量控制方案</w:t>
            </w:r>
          </w:p>
        </w:tc>
        <w:tc>
          <w:tcPr>
            <w:tcW w:w="781" w:type="dxa"/>
            <w:noWrap w:val="0"/>
            <w:vAlign w:val="center"/>
          </w:tcPr>
          <w:p w14:paraId="3F113E8C">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cs="宋体"/>
                <w:b/>
                <w:bCs w:val="0"/>
                <w:color w:val="auto"/>
                <w:kern w:val="0"/>
                <w:szCs w:val="21"/>
                <w:highlight w:val="none"/>
                <w:lang w:val="en-US" w:eastAsia="zh-CN"/>
              </w:rPr>
            </w:pPr>
            <w:r>
              <w:rPr>
                <w:rFonts w:hint="eastAsia" w:ascii="宋体" w:hAnsi="宋体" w:cs="宋体"/>
                <w:b/>
                <w:bCs w:val="0"/>
                <w:color w:val="auto"/>
                <w:kern w:val="0"/>
                <w:szCs w:val="21"/>
                <w:highlight w:val="none"/>
                <w:lang w:val="en-US" w:eastAsia="zh-CN"/>
              </w:rPr>
              <w:t>18分</w:t>
            </w:r>
          </w:p>
        </w:tc>
        <w:tc>
          <w:tcPr>
            <w:tcW w:w="7142" w:type="dxa"/>
            <w:noWrap w:val="0"/>
            <w:vAlign w:val="center"/>
          </w:tcPr>
          <w:p w14:paraId="3485A545">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lang w:val="en-US" w:eastAsia="zh-CN"/>
              </w:rPr>
            </w:pPr>
            <w:r>
              <w:rPr>
                <w:rFonts w:hint="eastAsia" w:ascii="宋体" w:hAnsi="宋体" w:cs="宋体"/>
                <w:bCs/>
                <w:color w:val="auto"/>
                <w:kern w:val="0"/>
                <w:szCs w:val="21"/>
                <w:highlight w:val="none"/>
                <w:lang w:val="en-US" w:eastAsia="zh-CN"/>
              </w:rPr>
              <w:t>由评标委员会对投标人提供的</w:t>
            </w:r>
            <w:r>
              <w:rPr>
                <w:rFonts w:hint="eastAsia" w:ascii="宋体" w:hAnsi="宋体" w:cs="宋体"/>
                <w:bCs/>
                <w:color w:val="auto"/>
                <w:kern w:val="0"/>
                <w:szCs w:val="21"/>
                <w:highlight w:val="none"/>
              </w:rPr>
              <w:t>质量控制方案（至少包括：控制项目、控制措施、控制环节、质量评价指标和标准、实施频次和时间、实施部门和人员、</w:t>
            </w:r>
            <w:r>
              <w:rPr>
                <w:rFonts w:hint="eastAsia" w:ascii="宋体" w:hAnsi="宋体" w:cs="宋体"/>
                <w:bCs/>
                <w:color w:val="auto"/>
                <w:kern w:val="0"/>
                <w:szCs w:val="21"/>
                <w:highlight w:val="none"/>
                <w:lang w:eastAsia="zh-CN"/>
              </w:rPr>
              <w:t>二次复核控制</w:t>
            </w:r>
            <w:r>
              <w:rPr>
                <w:rFonts w:hint="eastAsia" w:ascii="宋体" w:hAnsi="宋体" w:cs="宋体"/>
                <w:bCs/>
                <w:color w:val="auto"/>
                <w:kern w:val="0"/>
                <w:szCs w:val="21"/>
                <w:highlight w:val="none"/>
              </w:rPr>
              <w:t>等）的合理性、科学性，从以下方面进行评分：</w:t>
            </w:r>
          </w:p>
          <w:p w14:paraId="12251DD6">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lang w:val="en-US" w:eastAsia="zh-CN"/>
              </w:rPr>
            </w:pPr>
            <w:r>
              <w:rPr>
                <w:rFonts w:hint="eastAsia" w:ascii="宋体" w:hAnsi="宋体" w:cs="宋体"/>
                <w:bCs/>
                <w:color w:val="auto"/>
                <w:kern w:val="0"/>
                <w:szCs w:val="21"/>
                <w:highlight w:val="none"/>
                <w:lang w:val="en-US" w:eastAsia="zh-CN"/>
              </w:rPr>
              <w:t>一档（0分）：</w:t>
            </w:r>
            <w:r>
              <w:rPr>
                <w:rFonts w:hint="eastAsia" w:ascii="宋体" w:hAnsi="宋体" w:cs="宋体"/>
                <w:bCs/>
                <w:color w:val="auto"/>
                <w:kern w:val="0"/>
                <w:szCs w:val="21"/>
                <w:highlight w:val="none"/>
              </w:rPr>
              <w:t>方案在项目执行过程</w:t>
            </w:r>
            <w:r>
              <w:rPr>
                <w:rFonts w:hint="eastAsia" w:ascii="宋体" w:hAnsi="宋体" w:cs="宋体"/>
                <w:bCs/>
                <w:color w:val="auto"/>
                <w:kern w:val="0"/>
                <w:szCs w:val="21"/>
                <w:highlight w:val="none"/>
                <w:lang w:val="en-US" w:eastAsia="zh-CN"/>
              </w:rPr>
              <w:t>中</w:t>
            </w:r>
            <w:r>
              <w:rPr>
                <w:rFonts w:hint="eastAsia" w:ascii="宋体" w:hAnsi="宋体" w:cs="宋体"/>
                <w:bCs/>
                <w:color w:val="auto"/>
                <w:kern w:val="0"/>
                <w:szCs w:val="21"/>
                <w:highlight w:val="none"/>
              </w:rPr>
              <w:t>不具</w:t>
            </w:r>
            <w:r>
              <w:rPr>
                <w:rFonts w:hint="eastAsia" w:ascii="宋体" w:hAnsi="宋体" w:cs="宋体"/>
                <w:bCs/>
                <w:color w:val="auto"/>
                <w:kern w:val="0"/>
                <w:szCs w:val="21"/>
                <w:highlight w:val="none"/>
                <w:lang w:eastAsia="zh-CN"/>
              </w:rPr>
              <w:t>有</w:t>
            </w:r>
            <w:r>
              <w:rPr>
                <w:rFonts w:hint="eastAsia" w:ascii="宋体" w:hAnsi="宋体" w:cs="宋体"/>
                <w:bCs/>
                <w:color w:val="auto"/>
                <w:kern w:val="0"/>
                <w:szCs w:val="21"/>
                <w:highlight w:val="none"/>
              </w:rPr>
              <w:t>可实施性</w:t>
            </w:r>
            <w:r>
              <w:rPr>
                <w:rFonts w:hint="eastAsia" w:ascii="宋体" w:hAnsi="宋体" w:cs="宋体"/>
                <w:bCs/>
                <w:color w:val="auto"/>
                <w:kern w:val="0"/>
                <w:szCs w:val="21"/>
                <w:highlight w:val="none"/>
                <w:lang w:val="en-US" w:eastAsia="zh-CN"/>
              </w:rPr>
              <w:t>，未建立质量管理体系，或仅笼统描述“保证质量”而无具体方案；无质控样品、无数据审核流程；最终报告无附件或拒绝接受采购方核查。</w:t>
            </w:r>
          </w:p>
          <w:p w14:paraId="6B4655BC">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lang w:val="en-US" w:eastAsia="zh-CN"/>
              </w:rPr>
            </w:pPr>
            <w:r>
              <w:rPr>
                <w:rFonts w:hint="eastAsia" w:ascii="宋体" w:hAnsi="宋体" w:cs="宋体"/>
                <w:bCs/>
                <w:color w:val="auto"/>
                <w:kern w:val="0"/>
                <w:szCs w:val="21"/>
                <w:highlight w:val="none"/>
                <w:lang w:val="en-US" w:eastAsia="zh-CN"/>
              </w:rPr>
              <w:t>二档（6分）：体系框架初步建立但缺陷明显，未包含</w:t>
            </w:r>
            <w:r>
              <w:rPr>
                <w:rFonts w:hint="eastAsia" w:ascii="宋体" w:hAnsi="宋体" w:cs="宋体"/>
                <w:bCs/>
                <w:color w:val="auto"/>
                <w:kern w:val="0"/>
                <w:szCs w:val="21"/>
                <w:highlight w:val="none"/>
              </w:rPr>
              <w:t>控制项目、控制措施、控制环节、质量评价指标和标准、实施频次和时间、实施部门和人员、</w:t>
            </w:r>
            <w:r>
              <w:rPr>
                <w:rFonts w:hint="eastAsia" w:ascii="宋体" w:hAnsi="宋体" w:cs="宋体"/>
                <w:bCs/>
                <w:color w:val="auto"/>
                <w:kern w:val="0"/>
                <w:szCs w:val="21"/>
                <w:highlight w:val="none"/>
                <w:lang w:eastAsia="zh-CN"/>
              </w:rPr>
              <w:t>二次复核控制等内容</w:t>
            </w:r>
            <w:r>
              <w:rPr>
                <w:rFonts w:hint="eastAsia" w:ascii="宋体" w:hAnsi="宋体" w:cs="宋体"/>
                <w:bCs/>
                <w:color w:val="auto"/>
                <w:kern w:val="0"/>
                <w:szCs w:val="21"/>
                <w:highlight w:val="none"/>
                <w:lang w:val="en-US" w:eastAsia="zh-CN"/>
              </w:rPr>
              <w:t>：质量管理体系仅简单提及（无明确责任分工或关键环节制度缺失），部分环节不符合规范（如采样无记录、运输无防污染措施）；实施规范性不足：采样方案随意（无科学布点依据）；质控措施薄弱：质控样品设置不足（如无加标回收样），质控指标不达标（如平行样偏差＞15%），数据审核仅为一级（采样员自审）；风险控制与结果可靠性低：历史项目存在一般质量问题；最终报告附件缺失（如无质控报告），法律责任承诺模糊。</w:t>
            </w:r>
          </w:p>
          <w:p w14:paraId="1F2A84C8">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lang w:val="en-US" w:eastAsia="zh-CN"/>
              </w:rPr>
            </w:pPr>
            <w:r>
              <w:rPr>
                <w:rFonts w:hint="eastAsia" w:ascii="宋体" w:hAnsi="宋体" w:cs="宋体"/>
                <w:bCs/>
                <w:color w:val="auto"/>
                <w:kern w:val="0"/>
                <w:szCs w:val="21"/>
                <w:highlight w:val="none"/>
                <w:lang w:val="en-US" w:eastAsia="zh-CN"/>
              </w:rPr>
              <w:t>三档（12分）：体系基本完整但细节待完善，未包含</w:t>
            </w:r>
            <w:r>
              <w:rPr>
                <w:rFonts w:hint="eastAsia" w:ascii="宋体" w:hAnsi="宋体" w:cs="宋体"/>
                <w:bCs/>
                <w:color w:val="auto"/>
                <w:kern w:val="0"/>
                <w:szCs w:val="21"/>
                <w:highlight w:val="none"/>
              </w:rPr>
              <w:t>控制项目、控制措施、控制环节、质量评价指标和标准、实施频次和时间、实施部门和人员、</w:t>
            </w:r>
            <w:r>
              <w:rPr>
                <w:rFonts w:hint="eastAsia" w:ascii="宋体" w:hAnsi="宋体" w:cs="宋体"/>
                <w:bCs/>
                <w:color w:val="auto"/>
                <w:kern w:val="0"/>
                <w:szCs w:val="21"/>
                <w:highlight w:val="none"/>
                <w:lang w:eastAsia="zh-CN"/>
              </w:rPr>
              <w:t>二次复核控制等内容</w:t>
            </w:r>
            <w:r>
              <w:rPr>
                <w:rFonts w:hint="eastAsia" w:ascii="宋体" w:hAnsi="宋体" w:cs="宋体"/>
                <w:bCs/>
                <w:color w:val="auto"/>
                <w:kern w:val="0"/>
                <w:szCs w:val="21"/>
                <w:highlight w:val="none"/>
                <w:lang w:val="en-US" w:eastAsia="zh-CN"/>
              </w:rPr>
              <w:t>：有质量管理体系（可能缺少细化分工或部分环节制度），基本符合国家/行业规范；实施基本规范但存在不足：采样方案合理但布点/方法细节不足（如未分层取样），运输监控措施不全面（如无温湿度实时监控）；数据审核层级为二级（缺少技术负责人终审）；质控基本有效但覆盖有限：设置质控样品（如平行样比例≥5%）但类型或比例未完全达标，质控指标基本符合要求（如平行样偏差≤15%）；数据经二级审核，异常数据有调查但流程不够明确；风险控制与结果较可靠；历史项目无重大质量问题；最终报告附主要附件（如原始数据），由负责人签字但承诺法律责任表述较笼统。</w:t>
            </w:r>
          </w:p>
          <w:p w14:paraId="37B4183D">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lang w:val="en-US" w:eastAsia="zh-CN"/>
              </w:rPr>
            </w:pPr>
            <w:r>
              <w:rPr>
                <w:rFonts w:hint="eastAsia" w:ascii="宋体" w:hAnsi="宋体" w:cs="宋体"/>
                <w:bCs/>
                <w:color w:val="auto"/>
                <w:kern w:val="0"/>
                <w:szCs w:val="21"/>
                <w:highlight w:val="none"/>
                <w:lang w:val="en-US" w:eastAsia="zh-CN"/>
              </w:rPr>
              <w:t>四档（18分）：体系完整且严格合规，未包含</w:t>
            </w:r>
            <w:r>
              <w:rPr>
                <w:rFonts w:hint="eastAsia" w:ascii="宋体" w:hAnsi="宋体" w:cs="宋体"/>
                <w:bCs/>
                <w:color w:val="auto"/>
                <w:kern w:val="0"/>
                <w:szCs w:val="21"/>
                <w:highlight w:val="none"/>
              </w:rPr>
              <w:t>控制项目、控制措施、控制环节、质量评价指标和标准、实施频次和时间、实施部门和人员、</w:t>
            </w:r>
            <w:r>
              <w:rPr>
                <w:rFonts w:hint="eastAsia" w:ascii="宋体" w:hAnsi="宋体" w:cs="宋体"/>
                <w:bCs/>
                <w:color w:val="auto"/>
                <w:kern w:val="0"/>
                <w:szCs w:val="21"/>
                <w:highlight w:val="none"/>
                <w:lang w:eastAsia="zh-CN"/>
              </w:rPr>
              <w:t>二次复核控制等内容</w:t>
            </w:r>
            <w:r>
              <w:rPr>
                <w:rFonts w:hint="eastAsia" w:ascii="宋体" w:hAnsi="宋体" w:cs="宋体"/>
                <w:bCs/>
                <w:color w:val="auto"/>
                <w:kern w:val="0"/>
                <w:szCs w:val="21"/>
                <w:highlight w:val="none"/>
                <w:lang w:val="en-US" w:eastAsia="zh-CN"/>
              </w:rPr>
              <w:t>：建立覆盖“采样-运输-检测-分析-报告”全流程的三级质量管理体系（项目总负责人-技术组-质控组），明确各环节责任分工，制度符合国家/行业最新标准；实施科学规范：采样方案基于专业判断（如分区布点、分层取样），使用合规工具并全程记录（影像）；运输采用专用防污染容器，实时监控关键参数；质控严格有效：设置合理比例的平行样、空白样、加标回收样，质控指标（如平行样偏差≤10%）100%达标；数据经三级审核（采样员-分析员-技术负责人），异常数据启动溯源调查（如重新采样）；风险可控且结果可靠：，历史类似项目无重大质量问题；最终报告附完整原始数据等附件，由负责人签字并承诺法律责任，接受采购人抽查。</w:t>
            </w:r>
          </w:p>
        </w:tc>
      </w:tr>
      <w:tr w14:paraId="60A83E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33" w:hRule="atLeast"/>
          <w:jc w:val="center"/>
        </w:trPr>
        <w:tc>
          <w:tcPr>
            <w:tcW w:w="846" w:type="dxa"/>
            <w:noWrap w:val="0"/>
            <w:vAlign w:val="center"/>
          </w:tcPr>
          <w:p w14:paraId="25ADEF6F">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cs="宋体"/>
                <w:b/>
                <w:bCs w:val="0"/>
                <w:color w:val="auto"/>
                <w:kern w:val="0"/>
                <w:szCs w:val="21"/>
                <w:highlight w:val="none"/>
              </w:rPr>
            </w:pPr>
            <w:r>
              <w:rPr>
                <w:rFonts w:hint="eastAsia" w:ascii="宋体" w:hAnsi="宋体" w:cs="宋体"/>
                <w:b/>
                <w:bCs w:val="0"/>
                <w:color w:val="auto"/>
                <w:kern w:val="0"/>
                <w:szCs w:val="21"/>
                <w:highlight w:val="none"/>
                <w:lang w:val="en-US" w:eastAsia="zh-CN"/>
              </w:rPr>
              <w:t>服务承诺</w:t>
            </w:r>
          </w:p>
        </w:tc>
        <w:tc>
          <w:tcPr>
            <w:tcW w:w="781" w:type="dxa"/>
            <w:noWrap w:val="0"/>
            <w:vAlign w:val="center"/>
          </w:tcPr>
          <w:p w14:paraId="0704B3AA">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cs="宋体"/>
                <w:b/>
                <w:bCs w:val="0"/>
                <w:color w:val="auto"/>
                <w:kern w:val="0"/>
                <w:szCs w:val="21"/>
                <w:highlight w:val="none"/>
                <w:lang w:val="en-US" w:eastAsia="zh-CN"/>
              </w:rPr>
            </w:pPr>
            <w:r>
              <w:rPr>
                <w:rFonts w:hint="eastAsia" w:ascii="宋体" w:hAnsi="宋体" w:cs="宋体"/>
                <w:b/>
                <w:bCs w:val="0"/>
                <w:color w:val="auto"/>
                <w:kern w:val="0"/>
                <w:szCs w:val="21"/>
                <w:highlight w:val="none"/>
                <w:lang w:val="en-US" w:eastAsia="zh-CN"/>
              </w:rPr>
              <w:t>2分</w:t>
            </w:r>
          </w:p>
        </w:tc>
        <w:tc>
          <w:tcPr>
            <w:tcW w:w="7142" w:type="dxa"/>
            <w:noWrap w:val="0"/>
            <w:vAlign w:val="center"/>
          </w:tcPr>
          <w:p w14:paraId="0DEF7A85">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lang w:val="en-US" w:eastAsia="zh-CN"/>
              </w:rPr>
            </w:pPr>
            <w:r>
              <w:rPr>
                <w:rFonts w:hint="eastAsia" w:ascii="宋体" w:hAnsi="宋体" w:cs="宋体"/>
                <w:bCs/>
                <w:color w:val="auto"/>
                <w:kern w:val="0"/>
                <w:szCs w:val="21"/>
                <w:highlight w:val="none"/>
                <w:lang w:val="en-US" w:eastAsia="zh-CN"/>
              </w:rPr>
              <w:t>不提供或不满足一档要求不得分。</w:t>
            </w:r>
          </w:p>
          <w:p w14:paraId="30E5DB2A">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lang w:val="en-US" w:eastAsia="zh-CN"/>
              </w:rPr>
            </w:pPr>
            <w:r>
              <w:rPr>
                <w:rFonts w:hint="eastAsia" w:ascii="宋体" w:hAnsi="宋体" w:cs="宋体"/>
                <w:bCs/>
                <w:color w:val="auto"/>
                <w:kern w:val="0"/>
                <w:szCs w:val="21"/>
                <w:highlight w:val="none"/>
                <w:lang w:val="en-US" w:eastAsia="zh-CN"/>
              </w:rPr>
              <w:t>一档（0分）：供应商未提供有服务承诺，售后服务响应及承诺不能满足采购文件需求；</w:t>
            </w:r>
          </w:p>
          <w:p w14:paraId="6604DA04">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lang w:val="en-US" w:eastAsia="zh-CN"/>
              </w:rPr>
            </w:pPr>
            <w:r>
              <w:rPr>
                <w:rFonts w:hint="eastAsia" w:ascii="宋体" w:hAnsi="宋体" w:cs="宋体"/>
                <w:bCs/>
                <w:color w:val="auto"/>
                <w:kern w:val="0"/>
                <w:szCs w:val="21"/>
                <w:highlight w:val="none"/>
                <w:lang w:val="en-US" w:eastAsia="zh-CN"/>
              </w:rPr>
              <w:t>二档（1分）：供应商提供详细的服务承诺，并提供针对监测分析及监测结果有详细具体的承诺，承诺监测结果数据符合国家相关标准，并能按时向采购人提交相关监测调查结果材料，售后服务响应时间及承诺满足招标文件需求。</w:t>
            </w:r>
          </w:p>
          <w:p w14:paraId="182C2A15">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lang w:val="en-US" w:eastAsia="zh-CN"/>
              </w:rPr>
              <w:t>三档（2分）：供应商提供有详细完整的服务承诺，并提供针对监测分析及监测结果有详细具体的承诺，承诺监测结果数据符合国家相关标准，并能及时向采购人提交相关监测调查结果材料，以及承诺保证样品信息、监测数据的安全和保密性，确保不泄密。售后服务响应时间及承诺完全满足招标文件需求。</w:t>
            </w:r>
          </w:p>
        </w:tc>
      </w:tr>
      <w:tr w14:paraId="6E0F7E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57" w:hRule="atLeast"/>
          <w:jc w:val="center"/>
        </w:trPr>
        <w:tc>
          <w:tcPr>
            <w:tcW w:w="846" w:type="dxa"/>
            <w:noWrap w:val="0"/>
            <w:vAlign w:val="center"/>
          </w:tcPr>
          <w:p w14:paraId="4FA6454B">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cs="宋体"/>
                <w:b/>
                <w:bCs w:val="0"/>
                <w:color w:val="auto"/>
                <w:kern w:val="0"/>
                <w:szCs w:val="21"/>
                <w:highlight w:val="none"/>
                <w:lang w:val="en-US" w:eastAsia="zh-CN"/>
              </w:rPr>
            </w:pPr>
            <w:r>
              <w:rPr>
                <w:rFonts w:hint="eastAsia" w:ascii="宋体" w:hAnsi="宋体" w:cs="宋体"/>
                <w:b/>
                <w:bCs w:val="0"/>
                <w:color w:val="auto"/>
                <w:kern w:val="0"/>
                <w:szCs w:val="21"/>
                <w:highlight w:val="none"/>
              </w:rPr>
              <w:t>设备设施</w:t>
            </w:r>
          </w:p>
        </w:tc>
        <w:tc>
          <w:tcPr>
            <w:tcW w:w="781" w:type="dxa"/>
            <w:noWrap w:val="0"/>
            <w:vAlign w:val="center"/>
          </w:tcPr>
          <w:p w14:paraId="12B01C31">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cs="宋体"/>
                <w:b/>
                <w:bCs w:val="0"/>
                <w:color w:val="auto"/>
                <w:kern w:val="0"/>
                <w:szCs w:val="21"/>
                <w:highlight w:val="none"/>
                <w:lang w:val="en-US" w:eastAsia="zh-CN"/>
              </w:rPr>
            </w:pPr>
            <w:r>
              <w:rPr>
                <w:rFonts w:hint="eastAsia" w:ascii="宋体" w:hAnsi="宋体" w:cs="宋体"/>
                <w:b/>
                <w:bCs w:val="0"/>
                <w:color w:val="auto"/>
                <w:kern w:val="0"/>
                <w:szCs w:val="21"/>
                <w:highlight w:val="none"/>
                <w:lang w:val="en-US" w:eastAsia="zh-CN"/>
              </w:rPr>
              <w:t xml:space="preserve">5 </w:t>
            </w:r>
            <w:r>
              <w:rPr>
                <w:rFonts w:hint="eastAsia" w:ascii="宋体" w:hAnsi="宋体" w:cs="宋体"/>
                <w:b/>
                <w:bCs w:val="0"/>
                <w:color w:val="auto"/>
                <w:kern w:val="0"/>
                <w:szCs w:val="21"/>
                <w:highlight w:val="none"/>
              </w:rPr>
              <w:t>分</w:t>
            </w:r>
          </w:p>
        </w:tc>
        <w:tc>
          <w:tcPr>
            <w:tcW w:w="7142" w:type="dxa"/>
            <w:noWrap w:val="0"/>
            <w:vAlign w:val="center"/>
          </w:tcPr>
          <w:p w14:paraId="5C699E8D">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lang w:val="en-US" w:eastAsia="zh-CN"/>
              </w:rPr>
            </w:pPr>
            <w:r>
              <w:rPr>
                <w:rFonts w:hint="eastAsia" w:ascii="宋体" w:hAnsi="宋体" w:cs="宋体"/>
                <w:bCs/>
                <w:color w:val="auto"/>
                <w:kern w:val="0"/>
                <w:szCs w:val="21"/>
                <w:highlight w:val="none"/>
                <w:lang w:val="en-US" w:eastAsia="zh-CN"/>
              </w:rPr>
              <w:t>本项目的</w:t>
            </w:r>
            <w:r>
              <w:rPr>
                <w:rFonts w:hint="eastAsia" w:ascii="宋体" w:hAnsi="宋体" w:cs="宋体"/>
                <w:color w:val="auto"/>
                <w:szCs w:val="21"/>
                <w:highlight w:val="none"/>
              </w:rPr>
              <w:t>仪器设备要求</w:t>
            </w:r>
            <w:r>
              <w:rPr>
                <w:rFonts w:hint="eastAsia" w:ascii="宋体" w:hAnsi="宋体" w:cs="宋体"/>
                <w:bCs/>
                <w:color w:val="auto"/>
                <w:kern w:val="0"/>
                <w:szCs w:val="21"/>
                <w:highlight w:val="none"/>
                <w:lang w:val="en-US" w:eastAsia="zh-CN"/>
              </w:rPr>
              <w:t>含</w:t>
            </w:r>
            <w:r>
              <w:rPr>
                <w:rFonts w:hint="eastAsia" w:ascii="宋体" w:hAnsi="宋体" w:cs="宋体"/>
                <w:bCs/>
                <w:color w:val="auto"/>
                <w:kern w:val="0"/>
                <w:szCs w:val="21"/>
                <w:highlight w:val="none"/>
              </w:rPr>
              <w:t>电感耦合等离子体质谱（ICP-MS）、电感耦合等离子体发射光谱仪（ICP-OES）、</w:t>
            </w:r>
            <w:r>
              <w:rPr>
                <w:rFonts w:hint="eastAsia" w:ascii="宋体" w:hAnsi="宋体" w:cs="宋体"/>
                <w:bCs/>
                <w:color w:val="auto"/>
                <w:kern w:val="0"/>
                <w:szCs w:val="21"/>
                <w:highlight w:val="none"/>
                <w:lang w:val="en-US" w:eastAsia="zh-CN"/>
              </w:rPr>
              <w:t>原子荧光分光度计</w:t>
            </w:r>
            <w:r>
              <w:rPr>
                <w:rFonts w:hint="eastAsia" w:ascii="宋体" w:hAnsi="宋体" w:cs="宋体"/>
                <w:bCs/>
                <w:color w:val="auto"/>
                <w:kern w:val="0"/>
                <w:szCs w:val="21"/>
                <w:highlight w:val="none"/>
              </w:rPr>
              <w:t>、原子吸收分光光度计</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lang w:val="en-US" w:eastAsia="zh-CN"/>
              </w:rPr>
              <w:t>气质联用仪各1台外，在此基础上，投标人拟投入本项目的设备“手持式X荧光光谱仪、X射线荧光光谱仪（能谱）、便携式可挥发有机物测试仪”每增加1台加1分，满分5分。</w:t>
            </w:r>
          </w:p>
          <w:p w14:paraId="7C982C01">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lang w:val="en-US" w:eastAsia="zh-CN"/>
              </w:rPr>
            </w:pPr>
            <w:r>
              <w:rPr>
                <w:rFonts w:hint="eastAsia" w:ascii="宋体" w:hAnsi="宋体" w:cs="宋体"/>
                <w:bCs/>
                <w:color w:val="auto"/>
                <w:kern w:val="0"/>
                <w:szCs w:val="21"/>
                <w:highlight w:val="none"/>
                <w:lang w:val="en-US" w:eastAsia="zh-CN"/>
              </w:rPr>
              <w:t>注：</w:t>
            </w:r>
            <w:r>
              <w:rPr>
                <w:rFonts w:hint="eastAsia" w:ascii="宋体" w:hAnsi="宋体" w:cs="宋体"/>
                <w:bCs/>
                <w:color w:val="auto"/>
                <w:kern w:val="0"/>
                <w:szCs w:val="21"/>
                <w:highlight w:val="none"/>
              </w:rPr>
              <w:t>需</w:t>
            </w:r>
            <w:r>
              <w:rPr>
                <w:rFonts w:hint="eastAsia" w:ascii="宋体" w:hAnsi="宋体" w:cs="宋体"/>
                <w:bCs/>
                <w:color w:val="auto"/>
                <w:kern w:val="0"/>
                <w:szCs w:val="21"/>
                <w:highlight w:val="none"/>
                <w:lang w:val="en-US" w:eastAsia="zh-CN"/>
              </w:rPr>
              <w:t>提供</w:t>
            </w:r>
            <w:r>
              <w:rPr>
                <w:rFonts w:hint="eastAsia" w:ascii="宋体" w:hAnsi="宋体" w:cs="宋体"/>
                <w:bCs/>
                <w:color w:val="auto"/>
                <w:kern w:val="0"/>
                <w:szCs w:val="21"/>
                <w:highlight w:val="none"/>
              </w:rPr>
              <w:t>有效证明（属于供应商自有，租用不予计算），即提供仪器设备列表、设备的彩色照片、采购发票（发票抬头为投标人名字）和有效期限内的检定证书（校准证书）复印件等，并加盖公章，否则将其作为无效投标处理</w:t>
            </w:r>
            <w:r>
              <w:rPr>
                <w:rFonts w:hint="eastAsia" w:ascii="宋体" w:hAnsi="宋体" w:cs="宋体"/>
                <w:bCs/>
                <w:color w:val="auto"/>
                <w:kern w:val="0"/>
                <w:szCs w:val="21"/>
                <w:highlight w:val="none"/>
                <w:lang w:eastAsia="zh-CN"/>
              </w:rPr>
              <w:t>。</w:t>
            </w:r>
          </w:p>
        </w:tc>
      </w:tr>
      <w:tr w14:paraId="347178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57" w:hRule="atLeast"/>
          <w:jc w:val="center"/>
        </w:trPr>
        <w:tc>
          <w:tcPr>
            <w:tcW w:w="846" w:type="dxa"/>
            <w:noWrap w:val="0"/>
            <w:vAlign w:val="center"/>
          </w:tcPr>
          <w:p w14:paraId="5F16F873">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cs="宋体"/>
                <w:b/>
                <w:bCs w:val="0"/>
                <w:color w:val="auto"/>
                <w:kern w:val="0"/>
                <w:szCs w:val="21"/>
                <w:highlight w:val="none"/>
              </w:rPr>
            </w:pPr>
            <w:r>
              <w:rPr>
                <w:rFonts w:hint="eastAsia" w:ascii="宋体" w:hAnsi="宋体" w:cs="宋体"/>
                <w:b/>
                <w:bCs w:val="0"/>
                <w:color w:val="auto"/>
                <w:kern w:val="0"/>
                <w:szCs w:val="21"/>
                <w:highlight w:val="none"/>
                <w:lang w:val="en-US" w:eastAsia="zh-CN"/>
              </w:rPr>
              <w:t>项目负责人</w:t>
            </w:r>
          </w:p>
        </w:tc>
        <w:tc>
          <w:tcPr>
            <w:tcW w:w="781" w:type="dxa"/>
            <w:noWrap w:val="0"/>
            <w:vAlign w:val="center"/>
          </w:tcPr>
          <w:p w14:paraId="17E4B5BF">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cs="宋体"/>
                <w:b/>
                <w:bCs w:val="0"/>
                <w:color w:val="auto"/>
                <w:kern w:val="0"/>
                <w:szCs w:val="21"/>
                <w:highlight w:val="none"/>
                <w:lang w:val="en-US" w:eastAsia="zh-CN"/>
              </w:rPr>
            </w:pPr>
            <w:r>
              <w:rPr>
                <w:rFonts w:hint="eastAsia" w:ascii="宋体" w:hAnsi="宋体" w:cs="宋体"/>
                <w:b/>
                <w:bCs w:val="0"/>
                <w:color w:val="auto"/>
                <w:kern w:val="0"/>
                <w:szCs w:val="21"/>
                <w:highlight w:val="none"/>
                <w:lang w:val="en-US" w:eastAsia="zh-CN"/>
              </w:rPr>
              <w:t>5分</w:t>
            </w:r>
          </w:p>
        </w:tc>
        <w:tc>
          <w:tcPr>
            <w:tcW w:w="7142" w:type="dxa"/>
            <w:noWrap w:val="0"/>
            <w:vAlign w:val="center"/>
          </w:tcPr>
          <w:p w14:paraId="6BB8802A">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lang w:val="en-US" w:eastAsia="zh-CN"/>
              </w:rPr>
              <w:t>一档（2 分）：项目负责人具有正高级职称（职称专业为环境类、化学类、监测类相关专业）且具备硕士研究生学历，具有较丰富的实践经验，主持或参与过1个及以上涉及重金属类似项目，具备一定技术组织能力。</w:t>
            </w:r>
          </w:p>
          <w:p w14:paraId="07E9C746">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lang w:val="en-US" w:eastAsia="zh-CN"/>
              </w:rPr>
              <w:t xml:space="preserve">二档（5 分）：项目负责人具有正高级职称（职称专业为环境类、化学类、监测类相关专业）且具备博士研究生学历，具有丰富的行业经验，主持或负责过1个及以上涉及重金属类似项目，技术能力强，在业内有一定影响力或成功案例突出。 </w:t>
            </w:r>
          </w:p>
          <w:p w14:paraId="48B950FA">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lang w:val="en-US" w:eastAsia="zh-CN"/>
              </w:rPr>
            </w:pPr>
            <w:r>
              <w:rPr>
                <w:rFonts w:hint="eastAsia" w:ascii="宋体" w:hAnsi="宋体" w:cs="宋体"/>
                <w:bCs/>
                <w:color w:val="auto"/>
                <w:kern w:val="0"/>
                <w:szCs w:val="21"/>
                <w:highlight w:val="none"/>
                <w:lang w:val="en-US" w:eastAsia="zh-CN"/>
              </w:rPr>
              <w:t>注：拟投入本项目的项目负责人须是投标人正式员工（非退休），提供项目负责人相关学历或学位证书、职称证书复印件、相关项目业绩证明、劳动合同复印件或在职在编人员证明或事业单位编制证书复印件等相关证明材料，否则不计分。</w:t>
            </w:r>
          </w:p>
        </w:tc>
      </w:tr>
      <w:tr w14:paraId="0147CB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57" w:hRule="atLeast"/>
          <w:jc w:val="center"/>
        </w:trPr>
        <w:tc>
          <w:tcPr>
            <w:tcW w:w="846" w:type="dxa"/>
            <w:noWrap w:val="0"/>
            <w:vAlign w:val="center"/>
          </w:tcPr>
          <w:p w14:paraId="4A407EE2">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cs="宋体"/>
                <w:b/>
                <w:bCs w:val="0"/>
                <w:color w:val="auto"/>
                <w:kern w:val="0"/>
                <w:szCs w:val="21"/>
                <w:highlight w:val="none"/>
              </w:rPr>
            </w:pPr>
            <w:r>
              <w:rPr>
                <w:rFonts w:hint="eastAsia" w:ascii="宋体" w:hAnsi="宋体" w:cs="宋体"/>
                <w:b/>
                <w:bCs w:val="0"/>
                <w:color w:val="auto"/>
                <w:kern w:val="0"/>
                <w:szCs w:val="21"/>
                <w:highlight w:val="none"/>
                <w:lang w:val="en-US" w:eastAsia="zh-CN"/>
              </w:rPr>
              <w:t>投入本项目工作人员情况</w:t>
            </w:r>
          </w:p>
        </w:tc>
        <w:tc>
          <w:tcPr>
            <w:tcW w:w="781" w:type="dxa"/>
            <w:noWrap w:val="0"/>
            <w:vAlign w:val="center"/>
          </w:tcPr>
          <w:p w14:paraId="154E0289">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cs="宋体"/>
                <w:b/>
                <w:bCs w:val="0"/>
                <w:color w:val="auto"/>
                <w:kern w:val="0"/>
                <w:szCs w:val="21"/>
                <w:highlight w:val="none"/>
                <w:lang w:val="en-US" w:eastAsia="zh-CN"/>
              </w:rPr>
            </w:pPr>
            <w:r>
              <w:rPr>
                <w:rFonts w:hint="eastAsia" w:ascii="宋体" w:hAnsi="宋体" w:cs="宋体"/>
                <w:b/>
                <w:bCs w:val="0"/>
                <w:color w:val="auto"/>
                <w:kern w:val="0"/>
                <w:szCs w:val="21"/>
                <w:highlight w:val="none"/>
                <w:lang w:val="en-US" w:eastAsia="zh-CN"/>
              </w:rPr>
              <w:t>15分</w:t>
            </w:r>
          </w:p>
        </w:tc>
        <w:tc>
          <w:tcPr>
            <w:tcW w:w="7142" w:type="dxa"/>
            <w:noWrap w:val="0"/>
            <w:vAlign w:val="center"/>
          </w:tcPr>
          <w:p w14:paraId="0CAF50CE">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lang w:val="en-US" w:eastAsia="zh-CN"/>
              </w:rPr>
              <w:t xml:space="preserve">一档（5 分）：明确投入到本项目的技术人员不少于 22 人，且拟投入人员中具有中级职称不少于 8 人，副高级职称不少于 4 人，正高级职称不少于1人，职称专业为环境类、化学类、监测类相关专业。 </w:t>
            </w:r>
          </w:p>
          <w:p w14:paraId="1A0F595C">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lang w:val="en-US" w:eastAsia="zh-CN"/>
              </w:rPr>
              <w:t xml:space="preserve">二档（10 分）：明确投入到本项目的技术人员不少于 26 人，且拟投入人员中具有中级职称不少于 10人，副高级职称不少于 5 人，正高级职称不少于2人，职称专业为环境类、化学类、监测类相关专业。 </w:t>
            </w:r>
          </w:p>
          <w:p w14:paraId="08BE4AD6">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lang w:val="en-US" w:eastAsia="zh-CN"/>
              </w:rPr>
              <w:t xml:space="preserve">三档（15 分）：明确投入到本项目的技术人员不少于 30 人，且拟投入人员中具有中级职称不少于 12 人，副高级职称不少于 6 人，正高级职称不少于3人，职称专业为环境类、化学类、监测类相关专业。 </w:t>
            </w:r>
          </w:p>
          <w:p w14:paraId="645F37E4">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lang w:val="en-US" w:eastAsia="zh-CN"/>
              </w:rPr>
            </w:pPr>
            <w:r>
              <w:rPr>
                <w:rFonts w:hint="eastAsia" w:ascii="宋体" w:hAnsi="宋体" w:cs="宋体"/>
                <w:bCs/>
                <w:color w:val="auto"/>
                <w:kern w:val="0"/>
                <w:szCs w:val="21"/>
                <w:highlight w:val="none"/>
                <w:lang w:val="en-US" w:eastAsia="zh-CN"/>
              </w:rPr>
              <w:t>注：拟投入本项目的以上人员是投标人在职在岗正式员工（非退休，不含项目负责人），投标文件需提供人员职称证书证明材料复印件，劳动合同复印件或在职在编人员证明或事业单位编制证书复印件等相关证明材料，否则不计分。</w:t>
            </w:r>
          </w:p>
        </w:tc>
      </w:tr>
      <w:tr w14:paraId="2DF44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769" w:type="dxa"/>
            <w:gridSpan w:val="3"/>
            <w:noWrap w:val="0"/>
            <w:vAlign w:val="center"/>
          </w:tcPr>
          <w:p w14:paraId="1BDB4151">
            <w:pPr>
              <w:pageBreakBefore w:val="0"/>
              <w:widowControl/>
              <w:kinsoku/>
              <w:wordWrap/>
              <w:overflowPunct/>
              <w:topLinePunct w:val="0"/>
              <w:autoSpaceDE/>
              <w:autoSpaceDN/>
              <w:bidi w:val="0"/>
              <w:adjustRightInd w:val="0"/>
              <w:snapToGrid w:val="0"/>
              <w:spacing w:line="400" w:lineRule="exact"/>
              <w:textAlignment w:val="auto"/>
              <w:rPr>
                <w:rFonts w:hint="eastAsia" w:ascii="宋体" w:hAnsi="宋体" w:cs="宋体"/>
                <w:b/>
                <w:bCs w:val="0"/>
                <w:color w:val="auto"/>
                <w:kern w:val="0"/>
                <w:szCs w:val="21"/>
                <w:highlight w:val="none"/>
                <w:lang w:val="en-US" w:eastAsia="zh-CN"/>
              </w:rPr>
            </w:pPr>
            <w:r>
              <w:rPr>
                <w:rFonts w:hint="eastAsia" w:ascii="宋体" w:hAnsi="宋体" w:cs="宋体"/>
                <w:b/>
                <w:bCs w:val="0"/>
                <w:color w:val="auto"/>
                <w:kern w:val="0"/>
                <w:szCs w:val="21"/>
                <w:highlight w:val="none"/>
                <w:lang w:val="en-US" w:eastAsia="zh-CN"/>
              </w:rPr>
              <w:t>（三）商务分（满分15分）</w:t>
            </w:r>
          </w:p>
        </w:tc>
      </w:tr>
      <w:tr w14:paraId="36F83A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46" w:type="dxa"/>
            <w:noWrap w:val="0"/>
            <w:vAlign w:val="center"/>
          </w:tcPr>
          <w:p w14:paraId="026FD8B6">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cs="宋体"/>
                <w:b/>
                <w:bCs w:val="0"/>
                <w:color w:val="auto"/>
                <w:kern w:val="0"/>
                <w:szCs w:val="21"/>
                <w:highlight w:val="none"/>
                <w:lang w:val="en-US" w:eastAsia="zh-CN"/>
              </w:rPr>
            </w:pPr>
            <w:bookmarkStart w:id="181" w:name="_Toc9520"/>
            <w:r>
              <w:rPr>
                <w:rFonts w:hint="eastAsia" w:ascii="宋体" w:hAnsi="宋体" w:cs="宋体"/>
                <w:b/>
                <w:bCs w:val="0"/>
                <w:color w:val="auto"/>
                <w:kern w:val="0"/>
                <w:szCs w:val="21"/>
                <w:highlight w:val="none"/>
                <w:lang w:val="en-US" w:eastAsia="zh-CN"/>
              </w:rPr>
              <w:t>业绩分</w:t>
            </w:r>
          </w:p>
        </w:tc>
        <w:tc>
          <w:tcPr>
            <w:tcW w:w="781" w:type="dxa"/>
            <w:noWrap w:val="0"/>
            <w:vAlign w:val="center"/>
          </w:tcPr>
          <w:p w14:paraId="261AD847">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cs="宋体"/>
                <w:b/>
                <w:bCs w:val="0"/>
                <w:color w:val="auto"/>
                <w:kern w:val="0"/>
                <w:szCs w:val="21"/>
                <w:highlight w:val="none"/>
                <w:lang w:val="en-US" w:eastAsia="zh-CN"/>
              </w:rPr>
            </w:pPr>
            <w:r>
              <w:rPr>
                <w:rFonts w:hint="eastAsia" w:ascii="宋体" w:hAnsi="宋体" w:cs="宋体"/>
                <w:b/>
                <w:bCs w:val="0"/>
                <w:color w:val="auto"/>
                <w:kern w:val="0"/>
                <w:szCs w:val="21"/>
                <w:highlight w:val="none"/>
                <w:lang w:val="en-US" w:eastAsia="zh-CN"/>
              </w:rPr>
              <w:t>10分</w:t>
            </w:r>
          </w:p>
        </w:tc>
        <w:tc>
          <w:tcPr>
            <w:tcW w:w="7142" w:type="dxa"/>
            <w:noWrap w:val="0"/>
            <w:vAlign w:val="center"/>
          </w:tcPr>
          <w:p w14:paraId="3B9D8470">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lang w:val="en-US" w:eastAsia="zh-CN"/>
              </w:rPr>
            </w:pPr>
            <w:r>
              <w:rPr>
                <w:rFonts w:hint="eastAsia" w:ascii="宋体" w:hAnsi="宋体" w:cs="宋体"/>
                <w:bCs/>
                <w:color w:val="auto"/>
                <w:kern w:val="0"/>
                <w:szCs w:val="21"/>
                <w:highlight w:val="none"/>
                <w:lang w:val="en-US" w:eastAsia="zh-CN"/>
              </w:rPr>
              <w:t>投标人提供 2021 年 1 月 1 日以来开展过同类（危险特性鉴别、土壤污染调查等）项目业绩的，每个业绩得 1 分，本项满分 10 分。</w:t>
            </w:r>
          </w:p>
          <w:p w14:paraId="2170AE43">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lang w:val="en-US" w:eastAsia="zh-CN"/>
              </w:rPr>
            </w:pPr>
            <w:r>
              <w:rPr>
                <w:rFonts w:hint="eastAsia" w:ascii="宋体" w:hAnsi="宋体" w:cs="宋体"/>
                <w:bCs/>
                <w:color w:val="auto"/>
                <w:kern w:val="0"/>
                <w:szCs w:val="21"/>
                <w:highlight w:val="none"/>
                <w:lang w:val="en-US" w:eastAsia="zh-CN"/>
              </w:rPr>
              <w:t xml:space="preserve">注：提供签订合同首页、 签字盖章所在页复印件或中标（成交）通知书或项目下达文件复印件等证明材料，证明材料须经评标委员会认可为准，否则不计分。 </w:t>
            </w:r>
          </w:p>
        </w:tc>
      </w:tr>
      <w:tr w14:paraId="2D61A6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46" w:type="dxa"/>
            <w:noWrap w:val="0"/>
            <w:vAlign w:val="center"/>
          </w:tcPr>
          <w:p w14:paraId="47FDA8C5">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cs="宋体"/>
                <w:b/>
                <w:bCs w:val="0"/>
                <w:color w:val="auto"/>
                <w:kern w:val="0"/>
                <w:szCs w:val="21"/>
                <w:highlight w:val="none"/>
                <w:lang w:val="en-US" w:eastAsia="zh-CN"/>
              </w:rPr>
            </w:pPr>
            <w:r>
              <w:rPr>
                <w:rFonts w:hint="eastAsia" w:ascii="宋体" w:hAnsi="宋体" w:cs="宋体"/>
                <w:b/>
                <w:bCs w:val="0"/>
                <w:color w:val="auto"/>
                <w:kern w:val="0"/>
                <w:szCs w:val="21"/>
                <w:highlight w:val="none"/>
                <w:lang w:val="en-US" w:eastAsia="zh-CN"/>
              </w:rPr>
              <w:t>信誉分</w:t>
            </w:r>
          </w:p>
        </w:tc>
        <w:tc>
          <w:tcPr>
            <w:tcW w:w="781" w:type="dxa"/>
            <w:noWrap w:val="0"/>
            <w:vAlign w:val="center"/>
          </w:tcPr>
          <w:p w14:paraId="41587209">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cs="宋体"/>
                <w:b/>
                <w:bCs w:val="0"/>
                <w:color w:val="auto"/>
                <w:kern w:val="0"/>
                <w:szCs w:val="21"/>
                <w:highlight w:val="none"/>
                <w:lang w:val="en-US" w:eastAsia="zh-CN"/>
              </w:rPr>
            </w:pPr>
            <w:r>
              <w:rPr>
                <w:rFonts w:hint="eastAsia" w:ascii="宋体" w:hAnsi="宋体" w:cs="宋体"/>
                <w:b/>
                <w:bCs w:val="0"/>
                <w:color w:val="auto"/>
                <w:kern w:val="0"/>
                <w:szCs w:val="21"/>
                <w:highlight w:val="none"/>
                <w:lang w:val="en-US" w:eastAsia="zh-CN"/>
              </w:rPr>
              <w:t>3分</w:t>
            </w:r>
          </w:p>
        </w:tc>
        <w:tc>
          <w:tcPr>
            <w:tcW w:w="7142" w:type="dxa"/>
            <w:noWrap w:val="0"/>
            <w:vAlign w:val="center"/>
          </w:tcPr>
          <w:p w14:paraId="3780778F">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lang w:val="en-US" w:eastAsia="zh-CN"/>
              </w:rPr>
            </w:pPr>
            <w:r>
              <w:rPr>
                <w:rFonts w:hint="eastAsia" w:ascii="宋体" w:hAnsi="宋体" w:cs="宋体"/>
                <w:bCs/>
                <w:color w:val="auto"/>
                <w:kern w:val="0"/>
                <w:szCs w:val="21"/>
                <w:highlight w:val="none"/>
              </w:rPr>
              <w:t>投标人自2021年1月1日起</w:t>
            </w:r>
            <w:r>
              <w:rPr>
                <w:rFonts w:hint="eastAsia" w:ascii="宋体" w:hAnsi="宋体" w:cs="宋体"/>
                <w:bCs/>
                <w:color w:val="auto"/>
                <w:kern w:val="0"/>
                <w:szCs w:val="21"/>
                <w:highlight w:val="none"/>
                <w:lang w:eastAsia="zh-CN"/>
              </w:rPr>
              <w:t>参与</w:t>
            </w:r>
            <w:r>
              <w:rPr>
                <w:rFonts w:hint="eastAsia" w:ascii="宋体" w:hAnsi="宋体" w:cs="宋体"/>
                <w:bCs/>
                <w:color w:val="auto"/>
                <w:kern w:val="0"/>
                <w:szCs w:val="21"/>
                <w:highlight w:val="none"/>
              </w:rPr>
              <w:t>编制生态环境相关标准、技术指南、技术要求或方案的，每项得1分，本项满分</w:t>
            </w:r>
            <w:r>
              <w:rPr>
                <w:rFonts w:hint="eastAsia" w:ascii="宋体" w:hAnsi="宋体" w:cs="宋体"/>
                <w:bCs/>
                <w:color w:val="auto"/>
                <w:kern w:val="0"/>
                <w:szCs w:val="21"/>
                <w:highlight w:val="none"/>
                <w:lang w:val="en-US" w:eastAsia="zh-CN"/>
              </w:rPr>
              <w:t>3</w:t>
            </w:r>
            <w:r>
              <w:rPr>
                <w:rFonts w:hint="eastAsia" w:ascii="宋体" w:hAnsi="宋体" w:cs="宋体"/>
                <w:bCs/>
                <w:color w:val="auto"/>
                <w:kern w:val="0"/>
                <w:szCs w:val="21"/>
                <w:highlight w:val="none"/>
              </w:rPr>
              <w:t>分。【必须提供相关标准正式发布稿（以发布日期为准）</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rPr>
              <w:t>技术指南、技术要求、方案正式发布稿（以发布日期为准）及委托合同或委托单位出具的证明材料等相关证明文件复印件并加盖公章，否则不得分。】</w:t>
            </w:r>
          </w:p>
        </w:tc>
      </w:tr>
      <w:tr w14:paraId="0FE36F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46" w:type="dxa"/>
            <w:noWrap w:val="0"/>
            <w:vAlign w:val="center"/>
          </w:tcPr>
          <w:p w14:paraId="2C1E93BF">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cs="宋体"/>
                <w:b/>
                <w:bCs w:val="0"/>
                <w:color w:val="auto"/>
                <w:kern w:val="0"/>
                <w:szCs w:val="21"/>
                <w:highlight w:val="none"/>
                <w:lang w:val="en-US" w:eastAsia="zh-CN"/>
              </w:rPr>
            </w:pPr>
            <w:r>
              <w:rPr>
                <w:rFonts w:hint="eastAsia" w:ascii="宋体" w:hAnsi="宋体" w:cs="宋体"/>
                <w:b/>
                <w:bCs w:val="0"/>
                <w:color w:val="auto"/>
                <w:kern w:val="0"/>
                <w:szCs w:val="21"/>
                <w:highlight w:val="none"/>
                <w:lang w:val="en-US" w:eastAsia="zh-CN"/>
              </w:rPr>
              <w:t>能力验证分</w:t>
            </w:r>
          </w:p>
        </w:tc>
        <w:tc>
          <w:tcPr>
            <w:tcW w:w="781" w:type="dxa"/>
            <w:noWrap w:val="0"/>
            <w:vAlign w:val="center"/>
          </w:tcPr>
          <w:p w14:paraId="3F4F7075">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cs="宋体"/>
                <w:b/>
                <w:bCs w:val="0"/>
                <w:color w:val="auto"/>
                <w:kern w:val="0"/>
                <w:szCs w:val="21"/>
                <w:highlight w:val="none"/>
                <w:lang w:val="en-US" w:eastAsia="zh-CN"/>
              </w:rPr>
            </w:pPr>
            <w:r>
              <w:rPr>
                <w:rFonts w:hint="eastAsia" w:ascii="宋体" w:hAnsi="宋体" w:cs="宋体"/>
                <w:b/>
                <w:bCs w:val="0"/>
                <w:color w:val="auto"/>
                <w:kern w:val="0"/>
                <w:szCs w:val="21"/>
                <w:highlight w:val="none"/>
                <w:lang w:val="en-US" w:eastAsia="zh-CN"/>
              </w:rPr>
              <w:t>2分</w:t>
            </w:r>
          </w:p>
        </w:tc>
        <w:tc>
          <w:tcPr>
            <w:tcW w:w="7142" w:type="dxa"/>
            <w:noWrap w:val="0"/>
            <w:vAlign w:val="center"/>
          </w:tcPr>
          <w:p w14:paraId="62476ABF">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rPr>
              <w:t>自202</w:t>
            </w:r>
            <w:r>
              <w:rPr>
                <w:rFonts w:hint="eastAsia" w:ascii="宋体" w:hAnsi="宋体" w:cs="宋体"/>
                <w:bCs/>
                <w:color w:val="auto"/>
                <w:kern w:val="0"/>
                <w:szCs w:val="21"/>
                <w:highlight w:val="none"/>
                <w:lang w:val="en-US" w:eastAsia="zh-CN"/>
              </w:rPr>
              <w:t>1</w:t>
            </w:r>
            <w:r>
              <w:rPr>
                <w:rFonts w:hint="eastAsia" w:ascii="宋体" w:hAnsi="宋体" w:cs="宋体"/>
                <w:bCs/>
                <w:color w:val="auto"/>
                <w:kern w:val="0"/>
                <w:szCs w:val="21"/>
                <w:highlight w:val="none"/>
              </w:rPr>
              <w:t>年1月1日以来，投标人</w:t>
            </w:r>
            <w:r>
              <w:rPr>
                <w:rFonts w:hint="eastAsia" w:ascii="宋体" w:hAnsi="宋体" w:cs="宋体"/>
                <w:bCs/>
                <w:color w:val="auto"/>
                <w:kern w:val="0"/>
                <w:szCs w:val="21"/>
                <w:highlight w:val="none"/>
                <w:lang w:eastAsia="zh-CN"/>
              </w:rPr>
              <w:t>重金属</w:t>
            </w:r>
            <w:r>
              <w:rPr>
                <w:rFonts w:hint="eastAsia" w:ascii="宋体" w:hAnsi="宋体" w:cs="宋体"/>
                <w:bCs/>
                <w:color w:val="auto"/>
                <w:kern w:val="0"/>
                <w:szCs w:val="21"/>
                <w:highlight w:val="none"/>
              </w:rPr>
              <w:t>分析指标通过国家级环境监测实验室能力验证或能力考核的，每提供1次得1分，满分</w:t>
            </w:r>
            <w:r>
              <w:rPr>
                <w:rFonts w:hint="eastAsia" w:ascii="宋体" w:hAnsi="宋体" w:cs="宋体"/>
                <w:bCs/>
                <w:color w:val="auto"/>
                <w:kern w:val="0"/>
                <w:szCs w:val="21"/>
                <w:highlight w:val="none"/>
                <w:lang w:val="en-US" w:eastAsia="zh-CN"/>
              </w:rPr>
              <w:t>2</w:t>
            </w:r>
            <w:r>
              <w:rPr>
                <w:rFonts w:hint="eastAsia" w:ascii="宋体" w:hAnsi="宋体" w:cs="宋体"/>
                <w:bCs/>
                <w:color w:val="auto"/>
                <w:kern w:val="0"/>
                <w:szCs w:val="21"/>
                <w:highlight w:val="none"/>
              </w:rPr>
              <w:t>分。（提供相关佐证材料复印件并加盖公章）。</w:t>
            </w:r>
          </w:p>
        </w:tc>
      </w:tr>
      <w:tr w14:paraId="1782FB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769" w:type="dxa"/>
            <w:gridSpan w:val="3"/>
            <w:noWrap w:val="0"/>
            <w:vAlign w:val="center"/>
          </w:tcPr>
          <w:p w14:paraId="2D3C3A08">
            <w:pPr>
              <w:pageBreakBefore w:val="0"/>
              <w:widowControl/>
              <w:kinsoku/>
              <w:wordWrap/>
              <w:overflowPunct/>
              <w:topLinePunct w:val="0"/>
              <w:autoSpaceDE/>
              <w:autoSpaceDN/>
              <w:bidi w:val="0"/>
              <w:adjustRightInd w:val="0"/>
              <w:snapToGrid w:val="0"/>
              <w:spacing w:line="400" w:lineRule="exact"/>
              <w:textAlignment w:val="auto"/>
              <w:rPr>
                <w:rFonts w:hint="eastAsia" w:ascii="宋体" w:hAnsi="宋体" w:cs="宋体"/>
                <w:b/>
                <w:bCs w:val="0"/>
                <w:color w:val="auto"/>
                <w:kern w:val="0"/>
                <w:szCs w:val="21"/>
                <w:highlight w:val="none"/>
              </w:rPr>
            </w:pPr>
            <w:r>
              <w:rPr>
                <w:rFonts w:hint="eastAsia" w:ascii="宋体" w:hAnsi="宋体" w:cs="宋体"/>
                <w:b/>
                <w:bCs w:val="0"/>
                <w:color w:val="auto"/>
                <w:kern w:val="0"/>
                <w:szCs w:val="21"/>
                <w:highlight w:val="none"/>
                <w:lang w:val="en-US" w:eastAsia="zh-CN"/>
              </w:rPr>
              <w:t>总得分=（一）+（二）+</w:t>
            </w:r>
            <w:bookmarkEnd w:id="181"/>
            <w:r>
              <w:rPr>
                <w:rFonts w:hint="eastAsia" w:ascii="宋体" w:hAnsi="宋体" w:cs="宋体"/>
                <w:b/>
                <w:bCs w:val="0"/>
                <w:color w:val="auto"/>
                <w:kern w:val="0"/>
                <w:szCs w:val="21"/>
                <w:highlight w:val="none"/>
                <w:lang w:val="en-US" w:eastAsia="zh-CN"/>
              </w:rPr>
              <w:t>（三）</w:t>
            </w:r>
          </w:p>
        </w:tc>
      </w:tr>
    </w:tbl>
    <w:p w14:paraId="1BC59B1E">
      <w:pPr>
        <w:rPr>
          <w:rFonts w:hint="eastAsia" w:ascii="宋体" w:hAnsi="宋体" w:eastAsia="宋体" w:cs="宋体"/>
          <w:color w:val="auto"/>
          <w:highlight w:val="none"/>
        </w:rPr>
      </w:pPr>
      <w:bookmarkStart w:id="182" w:name="_Toc13030"/>
      <w:bookmarkStart w:id="183" w:name="_Toc4130"/>
      <w:r>
        <w:rPr>
          <w:rFonts w:hint="eastAsia" w:ascii="宋体" w:hAnsi="宋体" w:eastAsia="宋体" w:cs="宋体"/>
          <w:color w:val="auto"/>
          <w:highlight w:val="none"/>
        </w:rPr>
        <w:br w:type="page"/>
      </w:r>
    </w:p>
    <w:p w14:paraId="49597533">
      <w:pPr>
        <w:pStyle w:val="4"/>
        <w:pageBreakBefore w:val="0"/>
        <w:kinsoku/>
        <w:wordWrap/>
        <w:overflowPunct/>
        <w:topLinePunct w:val="0"/>
        <w:autoSpaceDE/>
        <w:autoSpaceDN/>
        <w:bidi w:val="0"/>
        <w:spacing w:before="0" w:after="0" w:line="400" w:lineRule="exact"/>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四、中标候选人推荐原则</w:t>
      </w:r>
      <w:bookmarkEnd w:id="182"/>
      <w:bookmarkEnd w:id="183"/>
    </w:p>
    <w:p w14:paraId="60C711B9">
      <w:pPr>
        <w:pStyle w:val="20"/>
        <w:pageBreakBefore w:val="0"/>
        <w:kinsoku/>
        <w:wordWrap/>
        <w:overflowPunct/>
        <w:topLinePunct w:val="0"/>
        <w:autoSpaceDE/>
        <w:autoSpaceDN/>
        <w:bidi w:val="0"/>
        <w:spacing w:line="400" w:lineRule="exact"/>
        <w:ind w:firstLine="420" w:firstLineChars="200"/>
        <w:contextualSpacing/>
        <w:textAlignment w:val="auto"/>
        <w:rPr>
          <w:rFonts w:hint="eastAsia" w:hAnsi="宋体" w:cs="宋体"/>
          <w:color w:val="auto"/>
          <w:highlight w:val="none"/>
        </w:rPr>
      </w:pPr>
      <w:r>
        <w:rPr>
          <w:rFonts w:hint="eastAsia" w:hAnsi="宋体" w:cs="宋体"/>
          <w:color w:val="auto"/>
          <w:highlight w:val="none"/>
        </w:rPr>
        <w:t>1.评标委员会根据原始评标记录和评标结果编写评标报告，并通过电子交易平台向采购人、采购代理机构提交。</w:t>
      </w:r>
    </w:p>
    <w:p w14:paraId="67E3E06C">
      <w:pPr>
        <w:pStyle w:val="20"/>
        <w:pageBreakBefore w:val="0"/>
        <w:kinsoku/>
        <w:wordWrap/>
        <w:overflowPunct/>
        <w:topLinePunct w:val="0"/>
        <w:autoSpaceDE/>
        <w:autoSpaceDN/>
        <w:bidi w:val="0"/>
        <w:spacing w:line="400" w:lineRule="exact"/>
        <w:ind w:firstLine="420" w:firstLineChars="200"/>
        <w:contextualSpacing/>
        <w:textAlignment w:val="auto"/>
        <w:rPr>
          <w:rFonts w:hint="eastAsia" w:hAnsi="宋体" w:cs="宋体"/>
          <w:color w:val="auto"/>
          <w:highlight w:val="none"/>
        </w:rPr>
      </w:pPr>
      <w:r>
        <w:rPr>
          <w:rFonts w:hint="eastAsia" w:hAnsi="宋体" w:cs="宋体"/>
          <w:color w:val="auto"/>
          <w:highlight w:val="none"/>
        </w:rPr>
        <w:t>2.评标委员会将根据总得分由高到低排列次序并推荐中标候选人。得分相同的，以投标报价由低到高顺序排列。得分相同且投标报价相同的并列，投标文件满足招标文件全部实质性要求，且按照评审因素的量化指标评审【详见投标人须知前附表30.1条】得分最高的投标人为排名第一的中标候选人。</w:t>
      </w:r>
    </w:p>
    <w:p w14:paraId="20ED94FF">
      <w:pPr>
        <w:pStyle w:val="20"/>
        <w:spacing w:line="440" w:lineRule="exact"/>
        <w:ind w:firstLine="420" w:firstLineChars="200"/>
        <w:contextualSpacing/>
        <w:rPr>
          <w:rFonts w:hint="eastAsia" w:hAnsi="宋体" w:cs="宋体"/>
          <w:b/>
          <w:color w:val="auto"/>
          <w:sz w:val="24"/>
          <w:highlight w:val="none"/>
        </w:rPr>
      </w:pPr>
      <w:r>
        <w:rPr>
          <w:rFonts w:hint="eastAsia" w:hAnsi="宋体" w:cs="宋体"/>
          <w:color w:val="auto"/>
          <w:highlight w:val="none"/>
        </w:rPr>
        <w:br w:type="page"/>
      </w:r>
    </w:p>
    <w:p w14:paraId="1D094321">
      <w:pPr>
        <w:pStyle w:val="3"/>
        <w:jc w:val="center"/>
        <w:rPr>
          <w:rFonts w:hint="eastAsia" w:ascii="宋体" w:hAnsi="宋体" w:cs="宋体"/>
          <w:color w:val="auto"/>
          <w:highlight w:val="none"/>
        </w:rPr>
      </w:pPr>
      <w:bookmarkStart w:id="184" w:name="_Toc25693"/>
      <w:bookmarkStart w:id="185" w:name="_Toc5182"/>
      <w:bookmarkStart w:id="186" w:name="_Toc22428"/>
      <w:r>
        <w:rPr>
          <w:rFonts w:hint="eastAsia" w:ascii="宋体" w:hAnsi="宋体" w:cs="宋体"/>
          <w:color w:val="auto"/>
          <w:highlight w:val="none"/>
        </w:rPr>
        <w:t>第五章  拟签订的合同文本</w:t>
      </w:r>
      <w:bookmarkEnd w:id="184"/>
      <w:bookmarkEnd w:id="185"/>
      <w:bookmarkEnd w:id="186"/>
    </w:p>
    <w:p w14:paraId="697DAC7B">
      <w:pPr>
        <w:spacing w:line="400" w:lineRule="exact"/>
        <w:jc w:val="center"/>
        <w:rPr>
          <w:rFonts w:hint="eastAsia" w:ascii="宋体" w:hAnsi="宋体" w:eastAsia="宋体" w:cs="宋体"/>
          <w:b/>
          <w:bCs/>
          <w:color w:val="auto"/>
          <w:sz w:val="24"/>
          <w:szCs w:val="24"/>
          <w:highlight w:val="none"/>
        </w:rPr>
      </w:pPr>
    </w:p>
    <w:p w14:paraId="6C23F2BE">
      <w:pPr>
        <w:spacing w:line="400" w:lineRule="exact"/>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广西壮族自治区政府采购项目合同</w:t>
      </w:r>
    </w:p>
    <w:p w14:paraId="64F2FA4D">
      <w:pPr>
        <w:spacing w:line="400" w:lineRule="exact"/>
        <w:jc w:val="center"/>
        <w:rPr>
          <w:rFonts w:hint="eastAsia" w:ascii="宋体" w:hAnsi="宋体" w:eastAsia="宋体" w:cs="宋体"/>
          <w:b/>
          <w:bCs/>
          <w:color w:val="auto"/>
          <w:sz w:val="24"/>
          <w:szCs w:val="24"/>
          <w:highlight w:val="none"/>
        </w:rPr>
      </w:pPr>
    </w:p>
    <w:p w14:paraId="7E898E02">
      <w:pPr>
        <w:spacing w:line="400" w:lineRule="exact"/>
        <w:ind w:firstLine="1908" w:firstLineChars="794"/>
        <w:rPr>
          <w:rFonts w:hint="eastAsia" w:ascii="宋体" w:hAnsi="宋体" w:eastAsia="宋体" w:cs="宋体"/>
          <w:b/>
          <w:bCs/>
          <w:color w:val="auto"/>
          <w:sz w:val="24"/>
          <w:szCs w:val="24"/>
          <w:highlight w:val="none"/>
        </w:rPr>
      </w:pPr>
    </w:p>
    <w:p w14:paraId="0043F2AD">
      <w:pPr>
        <w:tabs>
          <w:tab w:val="left" w:pos="7200"/>
        </w:tabs>
        <w:spacing w:line="400" w:lineRule="exact"/>
        <w:ind w:left="1839" w:leftChars="304" w:hanging="1201" w:hangingChars="500"/>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rPr>
        <w:t xml:space="preserve">     </w:t>
      </w:r>
      <w:r>
        <w:rPr>
          <w:rFonts w:hint="eastAsia" w:ascii="宋体" w:hAnsi="宋体" w:eastAsia="宋体" w:cs="宋体"/>
          <w:b/>
          <w:bCs w:val="0"/>
          <w:color w:val="auto"/>
          <w:sz w:val="24"/>
          <w:szCs w:val="24"/>
          <w:highlight w:val="none"/>
          <w:lang w:val="en-US" w:eastAsia="zh-CN"/>
        </w:rPr>
        <w:t xml:space="preserve">        </w:t>
      </w:r>
    </w:p>
    <w:p w14:paraId="2A9FF0C3">
      <w:pPr>
        <w:tabs>
          <w:tab w:val="left" w:pos="7200"/>
        </w:tabs>
        <w:spacing w:line="400" w:lineRule="exact"/>
        <w:ind w:left="1839" w:leftChars="304" w:hanging="1201" w:hangingChars="500"/>
        <w:rPr>
          <w:rFonts w:hint="eastAsia" w:ascii="宋体" w:hAnsi="宋体" w:eastAsia="宋体" w:cs="宋体"/>
          <w:b/>
          <w:bCs w:val="0"/>
          <w:color w:val="auto"/>
          <w:sz w:val="24"/>
          <w:szCs w:val="24"/>
          <w:highlight w:val="none"/>
          <w:lang w:val="en-US" w:eastAsia="zh-CN"/>
        </w:rPr>
      </w:pPr>
    </w:p>
    <w:p w14:paraId="292E5A00">
      <w:pPr>
        <w:tabs>
          <w:tab w:val="left" w:pos="7200"/>
        </w:tabs>
        <w:spacing w:line="400" w:lineRule="exact"/>
        <w:ind w:left="1896" w:leftChars="903" w:firstLine="0" w:firstLineChars="0"/>
        <w:rPr>
          <w:rFonts w:hint="default" w:ascii="宋体" w:hAnsi="宋体" w:eastAsia="宋体" w:cs="宋体"/>
          <w:b/>
          <w:bCs w:val="0"/>
          <w:color w:val="auto"/>
          <w:sz w:val="24"/>
          <w:szCs w:val="24"/>
          <w:highlight w:val="none"/>
          <w:u w:val="single"/>
          <w:lang w:val="en-US" w:eastAsia="zh-CN"/>
        </w:rPr>
      </w:pPr>
      <w:r>
        <w:rPr>
          <w:rFonts w:hint="eastAsia" w:ascii="宋体" w:hAnsi="宋体" w:eastAsia="宋体" w:cs="宋体"/>
          <w:b/>
          <w:bCs w:val="0"/>
          <w:color w:val="auto"/>
          <w:spacing w:val="7"/>
          <w:kern w:val="0"/>
          <w:sz w:val="24"/>
          <w:szCs w:val="24"/>
          <w:highlight w:val="none"/>
          <w:fitText w:val="1260" w:id="531653632"/>
        </w:rPr>
        <w:t>项目名称</w:t>
      </w:r>
      <w:r>
        <w:rPr>
          <w:rFonts w:hint="eastAsia" w:ascii="宋体" w:hAnsi="宋体" w:eastAsia="宋体" w:cs="宋体"/>
          <w:b/>
          <w:bCs w:val="0"/>
          <w:color w:val="auto"/>
          <w:spacing w:val="2"/>
          <w:kern w:val="0"/>
          <w:sz w:val="24"/>
          <w:szCs w:val="24"/>
          <w:highlight w:val="none"/>
          <w:u w:val="none"/>
          <w:fitText w:val="1260" w:id="531653632"/>
        </w:rPr>
        <w:t>：</w:t>
      </w:r>
      <w:r>
        <w:rPr>
          <w:rFonts w:hint="eastAsia" w:ascii="宋体" w:hAnsi="宋体" w:cs="宋体"/>
          <w:b/>
          <w:bCs w:val="0"/>
          <w:color w:val="auto"/>
          <w:sz w:val="24"/>
          <w:szCs w:val="24"/>
          <w:highlight w:val="none"/>
          <w:u w:val="single"/>
          <w:lang w:val="en-US" w:eastAsia="zh-CN"/>
        </w:rPr>
        <w:t xml:space="preserve"> 全区非法堆存、转移涉重固体废物危险特性鉴别及污染释放能力评估项目   </w:t>
      </w:r>
    </w:p>
    <w:p w14:paraId="542A866A">
      <w:pPr>
        <w:spacing w:line="400" w:lineRule="exact"/>
        <w:ind w:left="1896" w:leftChars="903" w:firstLine="0" w:firstLineChars="0"/>
        <w:rPr>
          <w:rFonts w:hint="eastAsia" w:ascii="宋体" w:hAnsi="宋体" w:eastAsia="宋体" w:cs="宋体"/>
          <w:b/>
          <w:bCs w:val="0"/>
          <w:color w:val="auto"/>
          <w:sz w:val="24"/>
          <w:szCs w:val="24"/>
          <w:highlight w:val="none"/>
        </w:rPr>
      </w:pPr>
    </w:p>
    <w:p w14:paraId="1CDF74F8">
      <w:pPr>
        <w:pStyle w:val="25"/>
        <w:rPr>
          <w:rFonts w:hint="eastAsia"/>
          <w:color w:val="auto"/>
          <w:sz w:val="24"/>
          <w:szCs w:val="24"/>
          <w:highlight w:val="none"/>
        </w:rPr>
      </w:pPr>
    </w:p>
    <w:p w14:paraId="4BFA640E">
      <w:pPr>
        <w:spacing w:line="400" w:lineRule="exact"/>
        <w:ind w:left="1896" w:leftChars="903" w:firstLine="0" w:firstLineChars="0"/>
        <w:rPr>
          <w:rFonts w:hint="eastAsia" w:ascii="宋体" w:hAnsi="宋体" w:cs="宋体"/>
          <w:b/>
          <w:bCs w:val="0"/>
          <w:color w:val="auto"/>
          <w:sz w:val="24"/>
          <w:szCs w:val="24"/>
          <w:highlight w:val="none"/>
          <w:u w:val="single"/>
          <w:lang w:val="en-US" w:eastAsia="zh-CN"/>
        </w:rPr>
      </w:pPr>
      <w:r>
        <w:rPr>
          <w:rFonts w:hint="eastAsia" w:ascii="宋体" w:hAnsi="宋体" w:eastAsia="宋体" w:cs="宋体"/>
          <w:b/>
          <w:bCs w:val="0"/>
          <w:color w:val="auto"/>
          <w:spacing w:val="7"/>
          <w:kern w:val="0"/>
          <w:sz w:val="24"/>
          <w:szCs w:val="24"/>
          <w:highlight w:val="none"/>
          <w:fitText w:val="1260" w:id="658901547"/>
        </w:rPr>
        <w:t>计划编号</w:t>
      </w:r>
      <w:r>
        <w:rPr>
          <w:rFonts w:hint="eastAsia" w:ascii="宋体" w:hAnsi="宋体" w:eastAsia="宋体" w:cs="宋体"/>
          <w:b/>
          <w:bCs w:val="0"/>
          <w:color w:val="auto"/>
          <w:spacing w:val="2"/>
          <w:kern w:val="0"/>
          <w:sz w:val="24"/>
          <w:szCs w:val="24"/>
          <w:highlight w:val="none"/>
          <w:fitText w:val="1260" w:id="658901547"/>
        </w:rPr>
        <w:t>：</w:t>
      </w:r>
      <w:r>
        <w:rPr>
          <w:rFonts w:hint="eastAsia" w:ascii="宋体" w:hAnsi="宋体" w:eastAsia="宋体" w:cs="宋体"/>
          <w:b/>
          <w:bCs w:val="0"/>
          <w:color w:val="auto"/>
          <w:sz w:val="24"/>
          <w:szCs w:val="24"/>
          <w:highlight w:val="none"/>
          <w:u w:val="single"/>
          <w:lang w:val="en-US" w:eastAsia="zh-CN"/>
        </w:rPr>
        <w:t xml:space="preserve"> </w:t>
      </w:r>
      <w:r>
        <w:rPr>
          <w:rFonts w:hint="eastAsia" w:ascii="宋体" w:hAnsi="宋体" w:cs="宋体"/>
          <w:b/>
          <w:bCs w:val="0"/>
          <w:color w:val="auto"/>
          <w:sz w:val="24"/>
          <w:szCs w:val="24"/>
          <w:highlight w:val="none"/>
          <w:u w:val="single"/>
          <w:lang w:val="en-US" w:eastAsia="zh-CN"/>
        </w:rPr>
        <w:t xml:space="preserve">                     </w:t>
      </w:r>
    </w:p>
    <w:p w14:paraId="43C132D5">
      <w:pPr>
        <w:pStyle w:val="25"/>
        <w:rPr>
          <w:rFonts w:hint="default"/>
          <w:color w:val="auto"/>
          <w:highlight w:val="none"/>
          <w:lang w:val="en-US" w:eastAsia="zh-CN"/>
        </w:rPr>
      </w:pPr>
    </w:p>
    <w:p w14:paraId="5EA23B24">
      <w:pPr>
        <w:pStyle w:val="25"/>
        <w:rPr>
          <w:rFonts w:hint="default"/>
          <w:color w:val="auto"/>
          <w:sz w:val="24"/>
          <w:szCs w:val="24"/>
          <w:highlight w:val="none"/>
          <w:lang w:val="en-US" w:eastAsia="zh-CN"/>
        </w:rPr>
      </w:pPr>
    </w:p>
    <w:p w14:paraId="4DC7F7B8">
      <w:pPr>
        <w:tabs>
          <w:tab w:val="left" w:pos="7200"/>
        </w:tabs>
        <w:spacing w:line="400" w:lineRule="exact"/>
        <w:ind w:left="1896" w:leftChars="903" w:firstLine="0" w:firstLineChars="0"/>
        <w:rPr>
          <w:rFonts w:hint="eastAsia" w:ascii="宋体" w:hAnsi="宋体" w:eastAsia="宋体" w:cs="宋体"/>
          <w:b/>
          <w:bCs w:val="0"/>
          <w:color w:val="auto"/>
          <w:sz w:val="24"/>
          <w:szCs w:val="24"/>
          <w:highlight w:val="none"/>
          <w:u w:val="single"/>
          <w:lang w:val="en-US" w:eastAsia="zh-CN"/>
        </w:rPr>
      </w:pPr>
      <w:r>
        <w:rPr>
          <w:rFonts w:hint="eastAsia" w:ascii="宋体" w:hAnsi="宋体" w:eastAsia="宋体" w:cs="宋体"/>
          <w:b/>
          <w:bCs w:val="0"/>
          <w:color w:val="auto"/>
          <w:spacing w:val="50"/>
          <w:kern w:val="0"/>
          <w:sz w:val="24"/>
          <w:szCs w:val="24"/>
          <w:highlight w:val="none"/>
          <w:fitText w:val="1260" w:id="2125224639"/>
        </w:rPr>
        <w:t>采购人</w:t>
      </w:r>
      <w:r>
        <w:rPr>
          <w:rFonts w:hint="eastAsia" w:ascii="宋体" w:hAnsi="宋体" w:eastAsia="宋体" w:cs="宋体"/>
          <w:b/>
          <w:bCs w:val="0"/>
          <w:color w:val="auto"/>
          <w:spacing w:val="0"/>
          <w:kern w:val="0"/>
          <w:sz w:val="24"/>
          <w:szCs w:val="24"/>
          <w:highlight w:val="none"/>
          <w:fitText w:val="1260" w:id="2125224639"/>
        </w:rPr>
        <w:t>：</w:t>
      </w:r>
      <w:r>
        <w:rPr>
          <w:rFonts w:hint="eastAsia" w:ascii="宋体" w:hAnsi="宋体" w:eastAsia="宋体" w:cs="宋体"/>
          <w:b/>
          <w:bCs w:val="0"/>
          <w:color w:val="auto"/>
          <w:sz w:val="24"/>
          <w:szCs w:val="24"/>
          <w:highlight w:val="none"/>
          <w:u w:val="single"/>
          <w:lang w:val="en-US" w:eastAsia="zh-CN"/>
        </w:rPr>
        <w:t xml:space="preserve"> 广西壮族自治区生态环境厅</w:t>
      </w:r>
      <w:r>
        <w:rPr>
          <w:rFonts w:hint="eastAsia" w:ascii="宋体" w:hAnsi="宋体" w:cs="宋体"/>
          <w:b/>
          <w:bCs w:val="0"/>
          <w:color w:val="auto"/>
          <w:sz w:val="24"/>
          <w:szCs w:val="24"/>
          <w:highlight w:val="none"/>
          <w:u w:val="single"/>
          <w:lang w:val="en-US" w:eastAsia="zh-CN"/>
        </w:rPr>
        <w:t xml:space="preserve">  </w:t>
      </w:r>
      <w:r>
        <w:rPr>
          <w:rFonts w:hint="eastAsia" w:ascii="宋体" w:hAnsi="宋体" w:eastAsia="宋体" w:cs="宋体"/>
          <w:b/>
          <w:bCs w:val="0"/>
          <w:color w:val="auto"/>
          <w:sz w:val="24"/>
          <w:szCs w:val="24"/>
          <w:highlight w:val="none"/>
          <w:u w:val="single"/>
          <w:lang w:val="en-US" w:eastAsia="zh-CN"/>
        </w:rPr>
        <w:t xml:space="preserve">   </w:t>
      </w:r>
    </w:p>
    <w:p w14:paraId="17D06DFD">
      <w:pPr>
        <w:tabs>
          <w:tab w:val="left" w:pos="7200"/>
        </w:tabs>
        <w:spacing w:line="400" w:lineRule="exact"/>
        <w:ind w:left="1896" w:leftChars="903" w:firstLine="0" w:firstLineChars="0"/>
        <w:rPr>
          <w:rFonts w:hint="eastAsia" w:ascii="宋体" w:hAnsi="宋体" w:eastAsia="宋体" w:cs="宋体"/>
          <w:b/>
          <w:bCs w:val="0"/>
          <w:color w:val="auto"/>
          <w:sz w:val="24"/>
          <w:szCs w:val="24"/>
          <w:highlight w:val="none"/>
          <w:u w:val="single"/>
          <w:lang w:val="en-US" w:eastAsia="zh-CN"/>
        </w:rPr>
      </w:pPr>
    </w:p>
    <w:p w14:paraId="27922611">
      <w:pPr>
        <w:pStyle w:val="25"/>
        <w:rPr>
          <w:rFonts w:hint="eastAsia"/>
          <w:color w:val="auto"/>
          <w:sz w:val="24"/>
          <w:szCs w:val="24"/>
          <w:highlight w:val="none"/>
          <w:lang w:val="en-US" w:eastAsia="zh-CN"/>
        </w:rPr>
      </w:pPr>
    </w:p>
    <w:p w14:paraId="1C3AFC91">
      <w:pPr>
        <w:tabs>
          <w:tab w:val="left" w:pos="7200"/>
        </w:tabs>
        <w:spacing w:line="400" w:lineRule="exact"/>
        <w:ind w:left="1896" w:leftChars="903" w:firstLine="0" w:firstLineChars="0"/>
        <w:rPr>
          <w:rFonts w:hint="default"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pacing w:val="1"/>
          <w:w w:val="87"/>
          <w:kern w:val="0"/>
          <w:sz w:val="24"/>
          <w:szCs w:val="24"/>
          <w:highlight w:val="none"/>
          <w:fitText w:val="1260" w:id="501840843"/>
        </w:rPr>
        <w:t>中标供应商</w:t>
      </w:r>
      <w:r>
        <w:rPr>
          <w:rFonts w:hint="eastAsia" w:ascii="宋体" w:hAnsi="宋体" w:eastAsia="宋体" w:cs="宋体"/>
          <w:b/>
          <w:bCs w:val="0"/>
          <w:color w:val="auto"/>
          <w:spacing w:val="0"/>
          <w:w w:val="87"/>
          <w:kern w:val="0"/>
          <w:sz w:val="24"/>
          <w:szCs w:val="24"/>
          <w:highlight w:val="none"/>
          <w:fitText w:val="1260" w:id="501840843"/>
        </w:rPr>
        <w:t>：</w:t>
      </w:r>
      <w:r>
        <w:rPr>
          <w:rFonts w:hint="eastAsia" w:ascii="宋体" w:hAnsi="宋体" w:cs="宋体"/>
          <w:b/>
          <w:bCs w:val="0"/>
          <w:color w:val="auto"/>
          <w:sz w:val="24"/>
          <w:szCs w:val="24"/>
          <w:highlight w:val="none"/>
          <w:u w:val="single"/>
          <w:lang w:val="en-US" w:eastAsia="zh-CN"/>
        </w:rPr>
        <w:t xml:space="preserve">   </w:t>
      </w:r>
      <w:r>
        <w:rPr>
          <w:rFonts w:hint="eastAsia" w:ascii="宋体" w:hAnsi="宋体" w:eastAsia="宋体" w:cs="宋体"/>
          <w:b/>
          <w:bCs w:val="0"/>
          <w:color w:val="auto"/>
          <w:sz w:val="24"/>
          <w:szCs w:val="24"/>
          <w:highlight w:val="none"/>
          <w:u w:val="single"/>
        </w:rPr>
        <w:t xml:space="preserve"> </w:t>
      </w:r>
      <w:r>
        <w:rPr>
          <w:rFonts w:hint="eastAsia" w:ascii="宋体" w:hAnsi="宋体" w:cs="宋体"/>
          <w:b/>
          <w:bCs w:val="0"/>
          <w:color w:val="auto"/>
          <w:sz w:val="24"/>
          <w:szCs w:val="24"/>
          <w:highlight w:val="none"/>
          <w:u w:val="single"/>
          <w:lang w:val="en-US" w:eastAsia="zh-CN"/>
        </w:rPr>
        <w:t xml:space="preserve">                    </w:t>
      </w:r>
    </w:p>
    <w:p w14:paraId="49A622F2">
      <w:pPr>
        <w:tabs>
          <w:tab w:val="left" w:pos="7380"/>
        </w:tabs>
        <w:spacing w:line="400" w:lineRule="exact"/>
        <w:rPr>
          <w:rFonts w:hint="eastAsia" w:ascii="宋体" w:hAnsi="宋体" w:eastAsia="宋体" w:cs="宋体"/>
          <w:b/>
          <w:bCs/>
          <w:color w:val="auto"/>
          <w:sz w:val="24"/>
          <w:szCs w:val="24"/>
          <w:highlight w:val="none"/>
        </w:rPr>
      </w:pPr>
    </w:p>
    <w:p w14:paraId="652389E1">
      <w:pPr>
        <w:spacing w:line="400" w:lineRule="exact"/>
        <w:ind w:firstLine="960" w:firstLineChars="400"/>
        <w:rPr>
          <w:rFonts w:hint="eastAsia" w:ascii="宋体" w:hAnsi="宋体" w:eastAsia="宋体" w:cs="宋体"/>
          <w:color w:val="auto"/>
          <w:sz w:val="24"/>
          <w:szCs w:val="24"/>
          <w:highlight w:val="none"/>
        </w:rPr>
      </w:pPr>
    </w:p>
    <w:p w14:paraId="67A49BBF">
      <w:pPr>
        <w:spacing w:line="400" w:lineRule="exact"/>
        <w:ind w:firstLine="2160" w:firstLineChars="900"/>
        <w:rPr>
          <w:rFonts w:hint="eastAsia" w:ascii="宋体" w:hAnsi="宋体" w:eastAsia="宋体" w:cs="宋体"/>
          <w:color w:val="auto"/>
          <w:sz w:val="24"/>
          <w:szCs w:val="24"/>
          <w:highlight w:val="none"/>
        </w:rPr>
      </w:pPr>
    </w:p>
    <w:p w14:paraId="672BE4D0">
      <w:pPr>
        <w:spacing w:line="400" w:lineRule="exact"/>
        <w:ind w:firstLine="2160" w:firstLineChars="900"/>
        <w:rPr>
          <w:rFonts w:hint="eastAsia" w:ascii="宋体" w:hAnsi="宋体" w:eastAsia="宋体" w:cs="宋体"/>
          <w:color w:val="auto"/>
          <w:sz w:val="24"/>
          <w:szCs w:val="24"/>
          <w:highlight w:val="none"/>
        </w:rPr>
      </w:pPr>
    </w:p>
    <w:p w14:paraId="1EA5704B">
      <w:pPr>
        <w:spacing w:line="400" w:lineRule="exact"/>
        <w:ind w:firstLine="2160" w:firstLineChars="900"/>
        <w:rPr>
          <w:rFonts w:hint="eastAsia" w:ascii="宋体" w:hAnsi="宋体" w:eastAsia="宋体" w:cs="宋体"/>
          <w:color w:val="auto"/>
          <w:sz w:val="24"/>
          <w:szCs w:val="24"/>
          <w:highlight w:val="none"/>
        </w:rPr>
      </w:pPr>
    </w:p>
    <w:p w14:paraId="1880E575">
      <w:pPr>
        <w:spacing w:line="400" w:lineRule="exact"/>
        <w:ind w:firstLine="2160" w:firstLineChars="900"/>
        <w:rPr>
          <w:rFonts w:hint="eastAsia" w:ascii="宋体" w:hAnsi="宋体" w:eastAsia="宋体" w:cs="宋体"/>
          <w:color w:val="auto"/>
          <w:sz w:val="24"/>
          <w:szCs w:val="24"/>
          <w:highlight w:val="none"/>
        </w:rPr>
      </w:pPr>
    </w:p>
    <w:p w14:paraId="308C174A">
      <w:pPr>
        <w:spacing w:line="400" w:lineRule="exact"/>
        <w:ind w:firstLine="2160" w:firstLineChars="900"/>
        <w:rPr>
          <w:rFonts w:hint="eastAsia" w:ascii="宋体" w:hAnsi="宋体" w:eastAsia="宋体" w:cs="宋体"/>
          <w:color w:val="auto"/>
          <w:sz w:val="24"/>
          <w:szCs w:val="24"/>
          <w:highlight w:val="none"/>
        </w:rPr>
      </w:pPr>
    </w:p>
    <w:p w14:paraId="470920BC">
      <w:pPr>
        <w:spacing w:line="400" w:lineRule="exact"/>
        <w:ind w:firstLine="2160" w:firstLineChars="900"/>
        <w:rPr>
          <w:rFonts w:hint="eastAsia" w:ascii="宋体" w:hAnsi="宋体" w:eastAsia="宋体" w:cs="宋体"/>
          <w:color w:val="auto"/>
          <w:sz w:val="24"/>
          <w:szCs w:val="24"/>
          <w:highlight w:val="none"/>
        </w:rPr>
      </w:pPr>
    </w:p>
    <w:p w14:paraId="14843932">
      <w:pPr>
        <w:spacing w:line="400" w:lineRule="exact"/>
        <w:ind w:firstLine="2160" w:firstLineChars="900"/>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签订日期：</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2026</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3B93E492">
      <w:pPr>
        <w:spacing w:line="400" w:lineRule="exact"/>
        <w:ind w:firstLine="2160" w:firstLineChars="900"/>
        <w:rPr>
          <w:rFonts w:hint="eastAsia" w:ascii="宋体" w:hAnsi="宋体" w:eastAsia="宋体" w:cs="宋体"/>
          <w:bCs/>
          <w:color w:val="auto"/>
          <w:sz w:val="24"/>
          <w:szCs w:val="24"/>
          <w:highlight w:val="none"/>
        </w:rPr>
      </w:pPr>
    </w:p>
    <w:p w14:paraId="6C9243E2">
      <w:pPr>
        <w:spacing w:line="400" w:lineRule="exact"/>
        <w:ind w:firstLine="2160" w:firstLineChars="900"/>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rPr>
        <w:t>合同编号：</w:t>
      </w:r>
      <w:r>
        <w:rPr>
          <w:rFonts w:hint="eastAsia" w:ascii="宋体" w:hAnsi="宋体" w:eastAsia="宋体" w:cs="宋体"/>
          <w:bCs/>
          <w:color w:val="auto"/>
          <w:sz w:val="24"/>
          <w:szCs w:val="24"/>
          <w:highlight w:val="none"/>
          <w:u w:val="single"/>
          <w:lang w:val="en-US" w:eastAsia="zh-CN"/>
        </w:rPr>
        <w:t xml:space="preserve"> </w:t>
      </w:r>
      <w:r>
        <w:rPr>
          <w:rFonts w:hint="eastAsia" w:ascii="宋体" w:hAnsi="宋体" w:cs="宋体"/>
          <w:bCs/>
          <w:color w:val="auto"/>
          <w:sz w:val="24"/>
          <w:szCs w:val="24"/>
          <w:highlight w:val="none"/>
          <w:u w:val="single"/>
          <w:lang w:val="en-US" w:eastAsia="zh-CN"/>
        </w:rPr>
        <w:t xml:space="preserve">                </w:t>
      </w:r>
    </w:p>
    <w:p w14:paraId="2A416F89">
      <w:pPr>
        <w:spacing w:line="400" w:lineRule="exact"/>
        <w:jc w:val="center"/>
        <w:rPr>
          <w:rFonts w:hint="eastAsia" w:ascii="宋体" w:hAnsi="宋体" w:eastAsia="宋体" w:cs="宋体"/>
          <w:color w:val="auto"/>
          <w:kern w:val="0"/>
          <w:sz w:val="24"/>
          <w:szCs w:val="24"/>
          <w:highlight w:val="none"/>
        </w:rPr>
      </w:pPr>
    </w:p>
    <w:p w14:paraId="4AD8CD94">
      <w:pPr>
        <w:rPr>
          <w:rFonts w:hint="eastAsia" w:ascii="宋体" w:hAnsi="宋体" w:eastAsia="宋体" w:cs="宋体"/>
          <w:color w:val="auto"/>
          <w:kern w:val="0"/>
          <w:sz w:val="24"/>
          <w:szCs w:val="24"/>
          <w:highlight w:val="none"/>
        </w:rPr>
        <w:sectPr>
          <w:footerReference r:id="rId8" w:type="default"/>
          <w:pgSz w:w="11906" w:h="16838"/>
          <w:pgMar w:top="1440" w:right="1800" w:bottom="1440" w:left="1800" w:header="851" w:footer="992" w:gutter="0"/>
          <w:pgNumType w:fmt="decimal" w:start="1"/>
          <w:cols w:space="720" w:num="1"/>
          <w:docGrid w:type="lines" w:linePitch="312" w:charSpace="0"/>
        </w:sectPr>
      </w:pPr>
    </w:p>
    <w:p w14:paraId="39699C7C">
      <w:pPr>
        <w:pStyle w:val="25"/>
        <w:rPr>
          <w:rFonts w:hint="eastAsia"/>
          <w:color w:val="auto"/>
          <w:highlight w:val="none"/>
        </w:rPr>
      </w:pPr>
    </w:p>
    <w:p w14:paraId="483E30AD">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_GBK" w:hAnsi="方正小标宋_GBK" w:eastAsia="方正小标宋_GBK" w:cs="方正小标宋_GBK"/>
          <w:color w:val="auto"/>
          <w:kern w:val="0"/>
          <w:sz w:val="28"/>
          <w:szCs w:val="28"/>
          <w:highlight w:val="none"/>
        </w:rPr>
      </w:pPr>
      <w:r>
        <w:rPr>
          <w:rFonts w:hint="eastAsia" w:ascii="方正小标宋_GBK" w:hAnsi="方正小标宋_GBK" w:eastAsia="方正小标宋_GBK" w:cs="方正小标宋_GBK"/>
          <w:color w:val="auto"/>
          <w:kern w:val="0"/>
          <w:sz w:val="28"/>
          <w:szCs w:val="28"/>
          <w:highlight w:val="none"/>
        </w:rPr>
        <w:t>政府采购技术服务合同</w:t>
      </w:r>
    </w:p>
    <w:p w14:paraId="1F5AF363">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color w:val="auto"/>
          <w:kern w:val="0"/>
          <w:sz w:val="24"/>
          <w:szCs w:val="24"/>
          <w:highlight w:val="none"/>
        </w:rPr>
      </w:pPr>
    </w:p>
    <w:p w14:paraId="23DD8A1E">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color w:val="auto"/>
          <w:kern w:val="0"/>
          <w:sz w:val="24"/>
          <w:szCs w:val="24"/>
          <w:highlight w:val="none"/>
        </w:rPr>
        <w:t>采购计划号：</w:t>
      </w:r>
      <w:r>
        <w:rPr>
          <w:rFonts w:hint="eastAsia" w:ascii="宋体" w:hAnsi="宋体" w:cs="宋体"/>
          <w:b w:val="0"/>
          <w:bCs/>
          <w:color w:val="auto"/>
          <w:sz w:val="24"/>
          <w:szCs w:val="24"/>
          <w:highlight w:val="none"/>
          <w:u w:val="single"/>
          <w:lang w:val="en-US" w:eastAsia="zh-CN"/>
        </w:rPr>
        <w:t xml:space="preserve">                      </w:t>
      </w:r>
    </w:p>
    <w:p w14:paraId="1F778701">
      <w:pPr>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textAlignment w:val="auto"/>
        <w:rPr>
          <w:rFonts w:hint="eastAsia" w:ascii="宋体" w:hAnsi="宋体" w:eastAsia="宋体" w:cs="宋体"/>
          <w:color w:val="auto"/>
          <w:kern w:val="0"/>
          <w:sz w:val="24"/>
          <w:szCs w:val="24"/>
          <w:highlight w:val="none"/>
          <w:u w:val="single"/>
          <w:lang w:val="en-US" w:eastAsia="zh-CN"/>
        </w:rPr>
      </w:pPr>
      <w:r>
        <w:rPr>
          <w:rFonts w:hint="eastAsia" w:ascii="宋体" w:hAnsi="宋体" w:eastAsia="宋体" w:cs="宋体"/>
          <w:b w:val="0"/>
          <w:bCs/>
          <w:color w:val="auto"/>
          <w:kern w:val="0"/>
          <w:sz w:val="24"/>
          <w:szCs w:val="24"/>
          <w:highlight w:val="none"/>
        </w:rPr>
        <w:t>项目名称：</w:t>
      </w:r>
      <w:r>
        <w:rPr>
          <w:rFonts w:hint="eastAsia" w:ascii="宋体" w:hAnsi="宋体" w:cs="宋体"/>
          <w:b w:val="0"/>
          <w:bCs/>
          <w:color w:val="auto"/>
          <w:sz w:val="24"/>
          <w:szCs w:val="24"/>
          <w:highlight w:val="none"/>
          <w:u w:val="single"/>
          <w:lang w:val="en-US" w:eastAsia="zh-CN"/>
        </w:rPr>
        <w:t>全区非法堆存、转移涉重固体废物危险特性鉴别及污染释放能力评估项目</w:t>
      </w:r>
      <w:r>
        <w:rPr>
          <w:rFonts w:hint="eastAsia" w:ascii="宋体" w:hAnsi="宋体" w:eastAsia="宋体" w:cs="宋体"/>
          <w:color w:val="auto"/>
          <w:kern w:val="0"/>
          <w:sz w:val="24"/>
          <w:szCs w:val="24"/>
          <w:highlight w:val="none"/>
          <w:u w:val="single"/>
          <w:lang w:val="en-US" w:eastAsia="zh-CN"/>
        </w:rPr>
        <w:t xml:space="preserve">  </w:t>
      </w:r>
    </w:p>
    <w:p w14:paraId="0862EE5D">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b/>
          <w:color w:val="auto"/>
          <w:sz w:val="24"/>
          <w:szCs w:val="24"/>
          <w:highlight w:val="none"/>
          <w:u w:val="single"/>
        </w:rPr>
      </w:pPr>
      <w:r>
        <w:rPr>
          <w:rFonts w:hint="eastAsia" w:ascii="宋体" w:hAnsi="宋体" w:eastAsia="宋体" w:cs="宋体"/>
          <w:color w:val="auto"/>
          <w:kern w:val="0"/>
          <w:sz w:val="24"/>
          <w:szCs w:val="24"/>
          <w:highlight w:val="none"/>
        </w:rPr>
        <w:t>项目编号：</w:t>
      </w:r>
      <w:r>
        <w:rPr>
          <w:rFonts w:hint="eastAsia" w:ascii="宋体" w:hAnsi="宋体" w:cs="宋体"/>
          <w:b w:val="0"/>
          <w:bCs/>
          <w:color w:val="auto"/>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lang w:val="en-US" w:eastAsia="zh-CN"/>
        </w:rPr>
        <w:t xml:space="preserve">             </w:t>
      </w:r>
    </w:p>
    <w:p w14:paraId="12383A65">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签订地点：</w:t>
      </w:r>
      <w:r>
        <w:rPr>
          <w:rFonts w:hint="eastAsia" w:ascii="宋体" w:hAnsi="宋体" w:eastAsia="宋体" w:cs="宋体"/>
          <w:color w:val="auto"/>
          <w:kern w:val="0"/>
          <w:sz w:val="24"/>
          <w:szCs w:val="24"/>
          <w:highlight w:val="none"/>
          <w:u w:val="single"/>
        </w:rPr>
        <w:t xml:space="preserve">广西壮族自治区生态环境厅 </w:t>
      </w:r>
      <w:r>
        <w:rPr>
          <w:rFonts w:hint="eastAsia" w:ascii="宋体" w:hAnsi="宋体" w:eastAsia="宋体" w:cs="宋体"/>
          <w:color w:val="auto"/>
          <w:kern w:val="0"/>
          <w:sz w:val="24"/>
          <w:szCs w:val="24"/>
          <w:highlight w:val="none"/>
          <w:u w:val="single"/>
          <w:lang w:val="en-US" w:eastAsia="zh-CN"/>
        </w:rPr>
        <w:t xml:space="preserve">                     </w:t>
      </w:r>
    </w:p>
    <w:p w14:paraId="698F0D83">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签订时间：</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年</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月</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日</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p>
    <w:p w14:paraId="3220F52D">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甲方（采购人）：</w:t>
      </w:r>
      <w:r>
        <w:rPr>
          <w:rFonts w:hint="eastAsia" w:ascii="宋体" w:hAnsi="宋体" w:eastAsia="宋体" w:cs="宋体"/>
          <w:color w:val="auto"/>
          <w:kern w:val="0"/>
          <w:sz w:val="24"/>
          <w:szCs w:val="24"/>
          <w:highlight w:val="none"/>
          <w:u w:val="single"/>
        </w:rPr>
        <w:t xml:space="preserve">广西壮族自治区生态环境厅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w:t>
      </w:r>
    </w:p>
    <w:p w14:paraId="45E59159">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住所地：</w:t>
      </w:r>
      <w:r>
        <w:rPr>
          <w:rFonts w:hint="eastAsia" w:ascii="宋体" w:hAnsi="宋体" w:eastAsia="宋体" w:cs="宋体"/>
          <w:color w:val="auto"/>
          <w:kern w:val="0"/>
          <w:sz w:val="24"/>
          <w:szCs w:val="24"/>
          <w:highlight w:val="none"/>
          <w:u w:val="single"/>
        </w:rPr>
        <w:t xml:space="preserve">广西南宁市青秀区佛子岭路16号             </w:t>
      </w:r>
      <w:r>
        <w:rPr>
          <w:rFonts w:hint="eastAsia" w:ascii="宋体" w:hAnsi="宋体" w:eastAsia="宋体" w:cs="宋体"/>
          <w:color w:val="auto"/>
          <w:kern w:val="0"/>
          <w:sz w:val="24"/>
          <w:szCs w:val="24"/>
          <w:highlight w:val="none"/>
          <w:u w:val="single"/>
          <w:lang w:val="en-US" w:eastAsia="zh-CN"/>
        </w:rPr>
        <w:t xml:space="preserve">      </w:t>
      </w:r>
    </w:p>
    <w:p w14:paraId="009ABE8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法定代表人：</w:t>
      </w:r>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rPr>
        <w:t xml:space="preserve">                                    </w:t>
      </w:r>
      <w:r>
        <w:rPr>
          <w:rFonts w:hint="eastAsia" w:ascii="宋体" w:hAnsi="宋体" w:eastAsia="宋体" w:cs="宋体"/>
          <w:color w:val="auto"/>
          <w:kern w:val="0"/>
          <w:sz w:val="24"/>
          <w:szCs w:val="24"/>
          <w:highlight w:val="none"/>
          <w:u w:val="single"/>
        </w:rPr>
        <w:t xml:space="preserve">     </w:t>
      </w:r>
    </w:p>
    <w:p w14:paraId="64F8953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通讯地址：</w:t>
      </w:r>
      <w:r>
        <w:rPr>
          <w:rFonts w:hint="eastAsia" w:ascii="宋体" w:hAnsi="宋体" w:eastAsia="宋体" w:cs="宋体"/>
          <w:color w:val="auto"/>
          <w:kern w:val="0"/>
          <w:sz w:val="24"/>
          <w:szCs w:val="24"/>
          <w:highlight w:val="none"/>
          <w:u w:val="single"/>
        </w:rPr>
        <w:t xml:space="preserve">广西南宁市青秀区佛子岭路16号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p>
    <w:p w14:paraId="04195213">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电子邮箱：</w:t>
      </w:r>
      <w:r>
        <w:rPr>
          <w:rFonts w:hint="eastAsia" w:ascii="宋体" w:hAnsi="宋体" w:eastAsia="宋体" w:cs="宋体"/>
          <w:color w:val="auto"/>
          <w:kern w:val="0"/>
          <w:sz w:val="24"/>
          <w:szCs w:val="24"/>
          <w:highlight w:val="none"/>
          <w:u w:val="single"/>
        </w:rPr>
        <w:t xml:space="preserve">cgb@sthjt.gxzf.gov.cn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rPr>
        <w:t xml:space="preserve">                          </w:t>
      </w:r>
      <w:r>
        <w:rPr>
          <w:rFonts w:hint="eastAsia" w:ascii="宋体" w:hAnsi="宋体" w:eastAsia="宋体" w:cs="宋体"/>
          <w:color w:val="auto"/>
          <w:kern w:val="0"/>
          <w:sz w:val="24"/>
          <w:szCs w:val="24"/>
          <w:highlight w:val="none"/>
          <w:u w:val="single"/>
        </w:rPr>
        <w:t xml:space="preserve">  </w:t>
      </w:r>
    </w:p>
    <w:p w14:paraId="12EFDE9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bCs/>
          <w:color w:val="auto"/>
          <w:kern w:val="0"/>
          <w:sz w:val="24"/>
          <w:szCs w:val="24"/>
          <w:highlight w:val="none"/>
          <w:u w:val="single"/>
        </w:rPr>
      </w:pPr>
      <w:r>
        <w:rPr>
          <w:rFonts w:hint="eastAsia" w:ascii="宋体" w:hAnsi="宋体" w:eastAsia="宋体" w:cs="宋体"/>
          <w:color w:val="auto"/>
          <w:kern w:val="0"/>
          <w:sz w:val="24"/>
          <w:szCs w:val="24"/>
          <w:highlight w:val="none"/>
        </w:rPr>
        <w:t>乙方（牵头人）：</w:t>
      </w:r>
      <w:r>
        <w:rPr>
          <w:rFonts w:hint="eastAsia" w:ascii="宋体" w:hAnsi="宋体" w:cs="宋体"/>
          <w:b w:val="0"/>
          <w:bCs/>
          <w:color w:val="auto"/>
          <w:sz w:val="24"/>
          <w:szCs w:val="24"/>
          <w:highlight w:val="none"/>
          <w:u w:val="single"/>
          <w:lang w:val="en-US" w:eastAsia="zh-CN"/>
        </w:rPr>
        <w:t xml:space="preserve">      </w:t>
      </w:r>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p>
    <w:p w14:paraId="661EC22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bCs/>
          <w:color w:val="auto"/>
          <w:kern w:val="0"/>
          <w:sz w:val="24"/>
          <w:szCs w:val="24"/>
          <w:highlight w:val="none"/>
          <w:u w:val="single"/>
        </w:rPr>
      </w:pPr>
      <w:r>
        <w:rPr>
          <w:rFonts w:hint="eastAsia" w:ascii="宋体" w:hAnsi="宋体" w:eastAsia="宋体" w:cs="宋体"/>
          <w:bCs/>
          <w:color w:val="auto"/>
          <w:kern w:val="0"/>
          <w:sz w:val="24"/>
          <w:szCs w:val="24"/>
          <w:highlight w:val="none"/>
        </w:rPr>
        <w:t>住所地：</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bCs/>
          <w:color w:val="auto"/>
          <w:kern w:val="0"/>
          <w:sz w:val="24"/>
          <w:szCs w:val="24"/>
          <w:highlight w:val="none"/>
          <w:u w:val="single"/>
        </w:rPr>
        <w:t xml:space="preserve"> </w:t>
      </w:r>
    </w:p>
    <w:p w14:paraId="77F01012">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bCs/>
          <w:color w:val="auto"/>
          <w:kern w:val="0"/>
          <w:sz w:val="24"/>
          <w:szCs w:val="24"/>
          <w:highlight w:val="none"/>
          <w:u w:val="single"/>
        </w:rPr>
      </w:pPr>
      <w:r>
        <w:rPr>
          <w:rFonts w:hint="eastAsia" w:ascii="宋体" w:hAnsi="宋体" w:eastAsia="宋体" w:cs="宋体"/>
          <w:bCs/>
          <w:color w:val="auto"/>
          <w:kern w:val="0"/>
          <w:sz w:val="24"/>
          <w:szCs w:val="24"/>
          <w:highlight w:val="none"/>
        </w:rPr>
        <w:t>法定代表人：</w:t>
      </w:r>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bCs/>
          <w:color w:val="auto"/>
          <w:kern w:val="0"/>
          <w:sz w:val="24"/>
          <w:szCs w:val="24"/>
          <w:highlight w:val="none"/>
          <w:u w:val="single"/>
        </w:rPr>
        <w:t xml:space="preserve"> </w:t>
      </w:r>
    </w:p>
    <w:p w14:paraId="14252C4E">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rPr>
        <w:t>通讯地址：</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bCs/>
          <w:color w:val="auto"/>
          <w:kern w:val="0"/>
          <w:sz w:val="24"/>
          <w:szCs w:val="24"/>
          <w:highlight w:val="none"/>
          <w:u w:val="single"/>
        </w:rPr>
        <w:t xml:space="preserve">  </w:t>
      </w:r>
      <w:r>
        <w:rPr>
          <w:rFonts w:hint="eastAsia" w:ascii="宋体" w:hAnsi="宋体" w:cs="宋体"/>
          <w:bCs/>
          <w:color w:val="auto"/>
          <w:kern w:val="0"/>
          <w:sz w:val="24"/>
          <w:szCs w:val="24"/>
          <w:highlight w:val="none"/>
          <w:u w:val="single"/>
          <w:lang w:val="en-US" w:eastAsia="zh-CN"/>
        </w:rPr>
        <w:t xml:space="preserve"> </w:t>
      </w:r>
    </w:p>
    <w:p w14:paraId="7198B67D">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联系电话：</w:t>
      </w:r>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bCs/>
          <w:color w:val="auto"/>
          <w:kern w:val="0"/>
          <w:sz w:val="24"/>
          <w:szCs w:val="24"/>
          <w:highlight w:val="none"/>
          <w:u w:val="single"/>
        </w:rPr>
        <w:t xml:space="preserve">     </w:t>
      </w:r>
    </w:p>
    <w:p w14:paraId="187475DE">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bCs/>
          <w:color w:val="auto"/>
          <w:kern w:val="0"/>
          <w:sz w:val="24"/>
          <w:szCs w:val="24"/>
          <w:highlight w:val="none"/>
        </w:rPr>
        <w:t>电子邮箱：</w:t>
      </w:r>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bCs/>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rPr>
        <w:t xml:space="preserve">    </w:t>
      </w:r>
    </w:p>
    <w:p w14:paraId="18C4FF4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楷体" w:eastAsia="仿宋_GB2312"/>
          <w:color w:val="auto"/>
          <w:sz w:val="24"/>
          <w:szCs w:val="24"/>
          <w:highlight w:val="none"/>
        </w:rPr>
      </w:pPr>
    </w:p>
    <w:p w14:paraId="52E7C787">
      <w:pPr>
        <w:spacing w:line="360" w:lineRule="auto"/>
        <w:rPr>
          <w:rFonts w:hint="eastAsia" w:ascii="宋体" w:hAnsi="宋体" w:eastAsia="宋体" w:cs="宋体"/>
          <w:color w:val="auto"/>
          <w:sz w:val="21"/>
          <w:szCs w:val="21"/>
          <w:highlight w:val="none"/>
        </w:rPr>
      </w:pPr>
      <w:r>
        <w:rPr>
          <w:rFonts w:hint="eastAsia" w:ascii="方正小标宋_GBK" w:hAnsi="方正小标宋_GBK" w:eastAsia="方正小标宋_GBK" w:cs="方正小标宋_GBK"/>
          <w:color w:val="auto"/>
          <w:sz w:val="24"/>
          <w:szCs w:val="24"/>
          <w:highlight w:val="none"/>
        </w:rPr>
        <w:br w:type="page"/>
      </w:r>
    </w:p>
    <w:p w14:paraId="634AD6F6">
      <w:pPr>
        <w:pStyle w:val="5"/>
        <w:bidi w:val="0"/>
        <w:jc w:val="center"/>
        <w:rPr>
          <w:rFonts w:hint="eastAsia"/>
          <w:color w:val="auto"/>
          <w:highlight w:val="none"/>
          <w:lang w:val="en-US" w:eastAsia="zh-CN"/>
        </w:rPr>
      </w:pPr>
      <w:r>
        <w:rPr>
          <w:rFonts w:hint="eastAsia"/>
          <w:color w:val="auto"/>
          <w:highlight w:val="none"/>
          <w:lang w:val="en-US" w:eastAsia="zh-CN"/>
        </w:rPr>
        <w:t>合同正文</w:t>
      </w:r>
    </w:p>
    <w:p w14:paraId="44C5E9C2">
      <w:pPr>
        <w:rPr>
          <w:rFonts w:hint="eastAsia"/>
          <w:color w:val="auto"/>
          <w:highlight w:val="none"/>
          <w:lang w:val="en-US" w:eastAsia="zh-CN"/>
        </w:rPr>
      </w:pPr>
    </w:p>
    <w:p w14:paraId="42720F86">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根据《中华人民共和国政府采购法》《中华人民共和国民法典》等法律、法规规定，按照招标文件（采购文件）规定条款和投标文件及承诺，采购人（甲方）与中标人（乙方）双方签订本合同。</w:t>
      </w:r>
    </w:p>
    <w:p w14:paraId="398A8B74">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第一条　合同标的</w:t>
      </w:r>
    </w:p>
    <w:p w14:paraId="74B6E548">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1.服务一览表</w:t>
      </w:r>
    </w:p>
    <w:tbl>
      <w:tblPr>
        <w:tblStyle w:val="3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3"/>
        <w:gridCol w:w="1569"/>
        <w:gridCol w:w="2027"/>
        <w:gridCol w:w="911"/>
        <w:gridCol w:w="737"/>
        <w:gridCol w:w="1353"/>
        <w:gridCol w:w="1361"/>
      </w:tblGrid>
      <w:tr w14:paraId="43A45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20" w:hRule="atLeast"/>
        </w:trPr>
        <w:tc>
          <w:tcPr>
            <w:tcW w:w="325" w:type="pct"/>
            <w:tcBorders>
              <w:top w:val="single" w:color="auto" w:sz="4" w:space="0"/>
              <w:left w:val="single" w:color="auto" w:sz="4" w:space="0"/>
              <w:bottom w:val="single" w:color="auto" w:sz="4" w:space="0"/>
              <w:right w:val="single" w:color="auto" w:sz="4" w:space="0"/>
            </w:tcBorders>
            <w:noWrap w:val="0"/>
            <w:vAlign w:val="center"/>
          </w:tcPr>
          <w:p w14:paraId="2555578F">
            <w:pPr>
              <w:keepNext w:val="0"/>
              <w:keepLines w:val="0"/>
              <w:pageBreakBefore w:val="0"/>
              <w:widowControl w:val="0"/>
              <w:kinsoku/>
              <w:wordWrap/>
              <w:overflowPunct/>
              <w:topLinePunct w:val="0"/>
              <w:autoSpaceDE/>
              <w:autoSpaceDN/>
              <w:bidi w:val="0"/>
              <w:adjustRightInd/>
              <w:snapToGrid/>
              <w:spacing w:beforeLines="0" w:afterLines="0" w:line="400" w:lineRule="exact"/>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序号</w:t>
            </w:r>
          </w:p>
        </w:tc>
        <w:tc>
          <w:tcPr>
            <w:tcW w:w="922" w:type="pct"/>
            <w:tcBorders>
              <w:top w:val="single" w:color="auto" w:sz="4" w:space="0"/>
              <w:left w:val="single" w:color="auto" w:sz="4" w:space="0"/>
              <w:bottom w:val="single" w:color="auto" w:sz="4" w:space="0"/>
              <w:right w:val="single" w:color="auto" w:sz="4" w:space="0"/>
            </w:tcBorders>
            <w:noWrap w:val="0"/>
            <w:vAlign w:val="center"/>
          </w:tcPr>
          <w:p w14:paraId="0ECEEF70">
            <w:pPr>
              <w:keepNext w:val="0"/>
              <w:keepLines w:val="0"/>
              <w:pageBreakBefore w:val="0"/>
              <w:widowControl w:val="0"/>
              <w:kinsoku/>
              <w:wordWrap/>
              <w:overflowPunct/>
              <w:topLinePunct w:val="0"/>
              <w:autoSpaceDE/>
              <w:autoSpaceDN/>
              <w:bidi w:val="0"/>
              <w:adjustRightInd/>
              <w:snapToGrid/>
              <w:spacing w:beforeLines="0" w:afterLines="0" w:line="400" w:lineRule="exact"/>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名称</w:t>
            </w:r>
          </w:p>
        </w:tc>
        <w:tc>
          <w:tcPr>
            <w:tcW w:w="1191" w:type="pct"/>
            <w:tcBorders>
              <w:top w:val="single" w:color="auto" w:sz="4" w:space="0"/>
              <w:left w:val="single" w:color="auto" w:sz="4" w:space="0"/>
              <w:bottom w:val="single" w:color="auto" w:sz="4" w:space="0"/>
              <w:right w:val="single" w:color="auto" w:sz="4" w:space="0"/>
            </w:tcBorders>
            <w:noWrap w:val="0"/>
            <w:vAlign w:val="center"/>
          </w:tcPr>
          <w:p w14:paraId="1C3DFB28">
            <w:pPr>
              <w:keepNext w:val="0"/>
              <w:keepLines w:val="0"/>
              <w:pageBreakBefore w:val="0"/>
              <w:widowControl w:val="0"/>
              <w:kinsoku/>
              <w:wordWrap/>
              <w:overflowPunct/>
              <w:topLinePunct w:val="0"/>
              <w:autoSpaceDE/>
              <w:autoSpaceDN/>
              <w:bidi w:val="0"/>
              <w:adjustRightInd/>
              <w:snapToGrid/>
              <w:spacing w:beforeLines="0" w:afterLines="0" w:line="400" w:lineRule="exact"/>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服务内容</w:t>
            </w:r>
          </w:p>
        </w:tc>
        <w:tc>
          <w:tcPr>
            <w:tcW w:w="535" w:type="pct"/>
            <w:tcBorders>
              <w:top w:val="single" w:color="auto" w:sz="4" w:space="0"/>
              <w:left w:val="single" w:color="auto" w:sz="4" w:space="0"/>
              <w:bottom w:val="single" w:color="auto" w:sz="4" w:space="0"/>
              <w:right w:val="single" w:color="auto" w:sz="4" w:space="0"/>
            </w:tcBorders>
            <w:noWrap w:val="0"/>
            <w:vAlign w:val="center"/>
          </w:tcPr>
          <w:p w14:paraId="5911D05B">
            <w:pPr>
              <w:keepNext w:val="0"/>
              <w:keepLines w:val="0"/>
              <w:pageBreakBefore w:val="0"/>
              <w:widowControl w:val="0"/>
              <w:kinsoku/>
              <w:wordWrap/>
              <w:overflowPunct/>
              <w:topLinePunct w:val="0"/>
              <w:autoSpaceDE/>
              <w:autoSpaceDN/>
              <w:bidi w:val="0"/>
              <w:adjustRightInd/>
              <w:snapToGrid/>
              <w:spacing w:beforeLines="0" w:afterLines="0" w:line="400" w:lineRule="exact"/>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数量</w:t>
            </w:r>
          </w:p>
        </w:tc>
        <w:tc>
          <w:tcPr>
            <w:tcW w:w="433" w:type="pct"/>
            <w:tcBorders>
              <w:top w:val="single" w:color="auto" w:sz="4" w:space="0"/>
              <w:left w:val="single" w:color="auto" w:sz="4" w:space="0"/>
              <w:bottom w:val="single" w:color="auto" w:sz="4" w:space="0"/>
              <w:right w:val="single" w:color="auto" w:sz="4" w:space="0"/>
            </w:tcBorders>
            <w:noWrap w:val="0"/>
            <w:vAlign w:val="center"/>
          </w:tcPr>
          <w:p w14:paraId="13CE772F">
            <w:pPr>
              <w:keepNext w:val="0"/>
              <w:keepLines w:val="0"/>
              <w:pageBreakBefore w:val="0"/>
              <w:widowControl w:val="0"/>
              <w:kinsoku/>
              <w:wordWrap/>
              <w:overflowPunct/>
              <w:topLinePunct w:val="0"/>
              <w:autoSpaceDE/>
              <w:autoSpaceDN/>
              <w:bidi w:val="0"/>
              <w:adjustRightInd/>
              <w:snapToGrid/>
              <w:spacing w:beforeLines="0" w:afterLines="0" w:line="400" w:lineRule="exact"/>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单位</w:t>
            </w:r>
          </w:p>
        </w:tc>
        <w:tc>
          <w:tcPr>
            <w:tcW w:w="795" w:type="pct"/>
            <w:tcBorders>
              <w:top w:val="single" w:color="auto" w:sz="4" w:space="0"/>
              <w:left w:val="single" w:color="auto" w:sz="4" w:space="0"/>
              <w:bottom w:val="single" w:color="auto" w:sz="4" w:space="0"/>
              <w:right w:val="single" w:color="auto" w:sz="4" w:space="0"/>
            </w:tcBorders>
            <w:noWrap w:val="0"/>
            <w:vAlign w:val="center"/>
          </w:tcPr>
          <w:p w14:paraId="5D136E6F">
            <w:pPr>
              <w:keepNext w:val="0"/>
              <w:keepLines w:val="0"/>
              <w:pageBreakBefore w:val="0"/>
              <w:widowControl w:val="0"/>
              <w:kinsoku/>
              <w:wordWrap/>
              <w:overflowPunct/>
              <w:topLinePunct w:val="0"/>
              <w:autoSpaceDE/>
              <w:autoSpaceDN/>
              <w:bidi w:val="0"/>
              <w:adjustRightInd/>
              <w:snapToGrid/>
              <w:spacing w:beforeLines="0" w:afterLines="0" w:line="400" w:lineRule="exact"/>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单  价</w:t>
            </w:r>
          </w:p>
          <w:p w14:paraId="2B667F1E">
            <w:pPr>
              <w:keepNext w:val="0"/>
              <w:keepLines w:val="0"/>
              <w:pageBreakBefore w:val="0"/>
              <w:widowControl w:val="0"/>
              <w:kinsoku/>
              <w:wordWrap/>
              <w:overflowPunct/>
              <w:topLinePunct w:val="0"/>
              <w:autoSpaceDE/>
              <w:autoSpaceDN/>
              <w:bidi w:val="0"/>
              <w:adjustRightInd/>
              <w:snapToGrid/>
              <w:spacing w:beforeLines="0" w:afterLines="0" w:line="400" w:lineRule="exact"/>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（元）</w:t>
            </w:r>
          </w:p>
        </w:tc>
        <w:tc>
          <w:tcPr>
            <w:tcW w:w="795" w:type="pct"/>
            <w:tcBorders>
              <w:top w:val="single" w:color="auto" w:sz="4" w:space="0"/>
              <w:left w:val="single" w:color="auto" w:sz="4" w:space="0"/>
              <w:bottom w:val="single" w:color="auto" w:sz="4" w:space="0"/>
              <w:right w:val="single" w:color="auto" w:sz="4" w:space="0"/>
            </w:tcBorders>
            <w:noWrap w:val="0"/>
            <w:vAlign w:val="center"/>
          </w:tcPr>
          <w:p w14:paraId="03379FE2">
            <w:pPr>
              <w:keepNext w:val="0"/>
              <w:keepLines w:val="0"/>
              <w:pageBreakBefore w:val="0"/>
              <w:widowControl w:val="0"/>
              <w:kinsoku/>
              <w:wordWrap/>
              <w:overflowPunct/>
              <w:topLinePunct w:val="0"/>
              <w:autoSpaceDE/>
              <w:autoSpaceDN/>
              <w:bidi w:val="0"/>
              <w:adjustRightInd/>
              <w:snapToGrid/>
              <w:spacing w:beforeLines="0" w:afterLines="0" w:line="400" w:lineRule="exact"/>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总  价</w:t>
            </w:r>
          </w:p>
          <w:p w14:paraId="5362EF61">
            <w:pPr>
              <w:keepNext w:val="0"/>
              <w:keepLines w:val="0"/>
              <w:pageBreakBefore w:val="0"/>
              <w:widowControl w:val="0"/>
              <w:kinsoku/>
              <w:wordWrap/>
              <w:overflowPunct/>
              <w:topLinePunct w:val="0"/>
              <w:autoSpaceDE/>
              <w:autoSpaceDN/>
              <w:bidi w:val="0"/>
              <w:adjustRightInd/>
              <w:snapToGrid/>
              <w:spacing w:beforeLines="0" w:afterLines="0" w:line="400" w:lineRule="exact"/>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（元）</w:t>
            </w:r>
          </w:p>
        </w:tc>
      </w:tr>
      <w:tr w14:paraId="26D57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20" w:hRule="atLeast"/>
        </w:trPr>
        <w:tc>
          <w:tcPr>
            <w:tcW w:w="325" w:type="pct"/>
            <w:tcBorders>
              <w:top w:val="single" w:color="auto" w:sz="4" w:space="0"/>
              <w:left w:val="single" w:color="auto" w:sz="4" w:space="0"/>
              <w:bottom w:val="single" w:color="auto" w:sz="4" w:space="0"/>
              <w:right w:val="single" w:color="auto" w:sz="4" w:space="0"/>
            </w:tcBorders>
            <w:noWrap w:val="0"/>
            <w:vAlign w:val="center"/>
          </w:tcPr>
          <w:p w14:paraId="1B08CD58">
            <w:pPr>
              <w:keepNext w:val="0"/>
              <w:keepLines w:val="0"/>
              <w:pageBreakBefore w:val="0"/>
              <w:widowControl w:val="0"/>
              <w:kinsoku/>
              <w:wordWrap/>
              <w:overflowPunct/>
              <w:topLinePunct w:val="0"/>
              <w:autoSpaceDE/>
              <w:autoSpaceDN/>
              <w:bidi w:val="0"/>
              <w:adjustRightInd/>
              <w:snapToGrid/>
              <w:spacing w:beforeLines="0" w:afterLines="0" w:line="400" w:lineRule="exact"/>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1</w:t>
            </w:r>
          </w:p>
        </w:tc>
        <w:tc>
          <w:tcPr>
            <w:tcW w:w="922" w:type="pct"/>
            <w:tcBorders>
              <w:top w:val="single" w:color="auto" w:sz="4" w:space="0"/>
              <w:left w:val="single" w:color="auto" w:sz="4" w:space="0"/>
              <w:bottom w:val="single" w:color="auto" w:sz="4" w:space="0"/>
              <w:right w:val="single" w:color="auto" w:sz="4" w:space="0"/>
            </w:tcBorders>
            <w:noWrap w:val="0"/>
            <w:vAlign w:val="center"/>
          </w:tcPr>
          <w:p w14:paraId="73926DB4">
            <w:pPr>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color w:val="auto"/>
                <w:sz w:val="21"/>
                <w:szCs w:val="21"/>
                <w:highlight w:val="none"/>
                <w:u w:val="none"/>
                <w:lang w:val="en-US" w:eastAsia="zh-CN"/>
              </w:rPr>
            </w:pPr>
          </w:p>
        </w:tc>
        <w:tc>
          <w:tcPr>
            <w:tcW w:w="1191" w:type="pct"/>
            <w:tcBorders>
              <w:top w:val="single" w:color="auto" w:sz="4" w:space="0"/>
              <w:left w:val="single" w:color="auto" w:sz="4" w:space="0"/>
              <w:bottom w:val="single" w:color="auto" w:sz="4" w:space="0"/>
              <w:right w:val="single" w:color="auto" w:sz="4" w:space="0"/>
            </w:tcBorders>
            <w:noWrap w:val="0"/>
            <w:vAlign w:val="center"/>
          </w:tcPr>
          <w:p w14:paraId="1BC312AE">
            <w:pPr>
              <w:keepNext w:val="0"/>
              <w:keepLines w:val="0"/>
              <w:pageBreakBefore w:val="0"/>
              <w:widowControl w:val="0"/>
              <w:kinsoku/>
              <w:wordWrap/>
              <w:overflowPunct/>
              <w:topLinePunct w:val="0"/>
              <w:autoSpaceDE/>
              <w:autoSpaceDN/>
              <w:bidi w:val="0"/>
              <w:adjustRightInd/>
              <w:snapToGrid/>
              <w:spacing w:beforeLines="0" w:afterLines="0" w:line="400" w:lineRule="exact"/>
              <w:ind w:left="0" w:leftChars="0" w:firstLine="0" w:firstLineChars="0"/>
              <w:jc w:val="both"/>
              <w:textAlignment w:val="auto"/>
              <w:rPr>
                <w:rFonts w:hint="eastAsia" w:ascii="宋体" w:hAnsi="宋体" w:eastAsia="宋体" w:cs="宋体"/>
                <w:color w:val="auto"/>
                <w:sz w:val="21"/>
                <w:szCs w:val="21"/>
                <w:highlight w:val="none"/>
                <w:u w:val="none"/>
                <w:lang w:val="en-US" w:eastAsia="zh-CN"/>
              </w:rPr>
            </w:pPr>
          </w:p>
        </w:tc>
        <w:tc>
          <w:tcPr>
            <w:tcW w:w="535" w:type="pct"/>
            <w:tcBorders>
              <w:top w:val="single" w:color="auto" w:sz="4" w:space="0"/>
              <w:left w:val="single" w:color="auto" w:sz="4" w:space="0"/>
              <w:bottom w:val="single" w:color="auto" w:sz="4" w:space="0"/>
              <w:right w:val="single" w:color="auto" w:sz="4" w:space="0"/>
            </w:tcBorders>
            <w:noWrap w:val="0"/>
            <w:vAlign w:val="center"/>
          </w:tcPr>
          <w:p w14:paraId="2E3ED099">
            <w:pPr>
              <w:keepNext w:val="0"/>
              <w:keepLines w:val="0"/>
              <w:pageBreakBefore w:val="0"/>
              <w:widowControl w:val="0"/>
              <w:kinsoku/>
              <w:wordWrap/>
              <w:overflowPunct/>
              <w:topLinePunct w:val="0"/>
              <w:autoSpaceDE/>
              <w:autoSpaceDN/>
              <w:bidi w:val="0"/>
              <w:adjustRightInd/>
              <w:snapToGrid/>
              <w:spacing w:beforeLines="0" w:afterLines="0" w:line="400" w:lineRule="exact"/>
              <w:ind w:left="0" w:leftChars="0" w:firstLine="0" w:firstLineChars="0"/>
              <w:jc w:val="both"/>
              <w:textAlignment w:val="auto"/>
              <w:rPr>
                <w:rFonts w:hint="eastAsia" w:ascii="宋体" w:hAnsi="宋体" w:eastAsia="宋体" w:cs="宋体"/>
                <w:color w:val="auto"/>
                <w:sz w:val="21"/>
                <w:szCs w:val="21"/>
                <w:highlight w:val="none"/>
                <w:u w:val="none"/>
                <w:lang w:val="en-US" w:eastAsia="zh-CN"/>
              </w:rPr>
            </w:pPr>
          </w:p>
        </w:tc>
        <w:tc>
          <w:tcPr>
            <w:tcW w:w="433" w:type="pct"/>
            <w:tcBorders>
              <w:top w:val="single" w:color="auto" w:sz="4" w:space="0"/>
              <w:left w:val="single" w:color="auto" w:sz="4" w:space="0"/>
              <w:bottom w:val="single" w:color="auto" w:sz="4" w:space="0"/>
              <w:right w:val="single" w:color="auto" w:sz="4" w:space="0"/>
            </w:tcBorders>
            <w:noWrap w:val="0"/>
            <w:vAlign w:val="center"/>
          </w:tcPr>
          <w:p w14:paraId="00816501">
            <w:pPr>
              <w:keepNext w:val="0"/>
              <w:keepLines w:val="0"/>
              <w:pageBreakBefore w:val="0"/>
              <w:widowControl w:val="0"/>
              <w:kinsoku/>
              <w:wordWrap/>
              <w:overflowPunct/>
              <w:topLinePunct w:val="0"/>
              <w:autoSpaceDE/>
              <w:autoSpaceDN/>
              <w:bidi w:val="0"/>
              <w:adjustRightInd/>
              <w:snapToGrid/>
              <w:spacing w:beforeLines="0" w:afterLines="0" w:line="400" w:lineRule="exact"/>
              <w:ind w:left="0" w:leftChars="0" w:firstLine="0" w:firstLineChars="0"/>
              <w:jc w:val="both"/>
              <w:textAlignment w:val="auto"/>
              <w:rPr>
                <w:rFonts w:hint="eastAsia" w:ascii="宋体" w:hAnsi="宋体" w:eastAsia="宋体" w:cs="宋体"/>
                <w:color w:val="auto"/>
                <w:sz w:val="21"/>
                <w:szCs w:val="21"/>
                <w:highlight w:val="none"/>
                <w:u w:val="none"/>
                <w:lang w:val="en-US" w:eastAsia="zh-CN"/>
              </w:rPr>
            </w:pPr>
          </w:p>
        </w:tc>
        <w:tc>
          <w:tcPr>
            <w:tcW w:w="795" w:type="pct"/>
            <w:tcBorders>
              <w:top w:val="single" w:color="auto" w:sz="4" w:space="0"/>
              <w:left w:val="single" w:color="auto" w:sz="4" w:space="0"/>
              <w:bottom w:val="single" w:color="auto" w:sz="4" w:space="0"/>
              <w:right w:val="single" w:color="auto" w:sz="4" w:space="0"/>
            </w:tcBorders>
            <w:noWrap w:val="0"/>
            <w:vAlign w:val="center"/>
          </w:tcPr>
          <w:p w14:paraId="6EF8F9D9">
            <w:pPr>
              <w:keepNext w:val="0"/>
              <w:keepLines w:val="0"/>
              <w:pageBreakBefore w:val="0"/>
              <w:widowControl w:val="0"/>
              <w:kinsoku/>
              <w:wordWrap/>
              <w:overflowPunct/>
              <w:topLinePunct w:val="0"/>
              <w:autoSpaceDE/>
              <w:autoSpaceDN/>
              <w:bidi w:val="0"/>
              <w:adjustRightInd/>
              <w:snapToGrid/>
              <w:spacing w:beforeLines="0" w:afterLines="0" w:line="400" w:lineRule="exact"/>
              <w:ind w:left="0" w:leftChars="0" w:firstLine="0" w:firstLineChars="0"/>
              <w:jc w:val="both"/>
              <w:textAlignment w:val="auto"/>
              <w:rPr>
                <w:rFonts w:hint="eastAsia" w:ascii="宋体" w:hAnsi="宋体" w:eastAsia="宋体" w:cs="宋体"/>
                <w:color w:val="auto"/>
                <w:sz w:val="21"/>
                <w:szCs w:val="21"/>
                <w:highlight w:val="none"/>
                <w:u w:val="none"/>
                <w:lang w:val="en-US" w:eastAsia="zh-CN"/>
              </w:rPr>
            </w:pPr>
          </w:p>
        </w:tc>
        <w:tc>
          <w:tcPr>
            <w:tcW w:w="795" w:type="pct"/>
            <w:tcBorders>
              <w:top w:val="single" w:color="auto" w:sz="4" w:space="0"/>
              <w:left w:val="single" w:color="auto" w:sz="4" w:space="0"/>
              <w:bottom w:val="single" w:color="auto" w:sz="4" w:space="0"/>
              <w:right w:val="single" w:color="auto" w:sz="4" w:space="0"/>
            </w:tcBorders>
            <w:noWrap w:val="0"/>
            <w:vAlign w:val="center"/>
          </w:tcPr>
          <w:p w14:paraId="5B1FE735">
            <w:pPr>
              <w:keepNext w:val="0"/>
              <w:keepLines w:val="0"/>
              <w:pageBreakBefore w:val="0"/>
              <w:widowControl w:val="0"/>
              <w:kinsoku/>
              <w:wordWrap/>
              <w:overflowPunct/>
              <w:topLinePunct w:val="0"/>
              <w:autoSpaceDE/>
              <w:autoSpaceDN/>
              <w:bidi w:val="0"/>
              <w:adjustRightInd/>
              <w:snapToGrid/>
              <w:spacing w:beforeLines="0" w:afterLines="0" w:line="400" w:lineRule="exact"/>
              <w:ind w:left="0" w:leftChars="0" w:firstLine="0" w:firstLineChars="0"/>
              <w:jc w:val="both"/>
              <w:textAlignment w:val="auto"/>
              <w:rPr>
                <w:rFonts w:hint="eastAsia" w:ascii="宋体" w:hAnsi="宋体" w:eastAsia="宋体" w:cs="宋体"/>
                <w:color w:val="auto"/>
                <w:sz w:val="21"/>
                <w:szCs w:val="21"/>
                <w:highlight w:val="none"/>
                <w:u w:val="none"/>
                <w:lang w:val="en-US" w:eastAsia="zh-CN"/>
              </w:rPr>
            </w:pPr>
          </w:p>
        </w:tc>
      </w:tr>
      <w:tr w14:paraId="66E1F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31" w:hRule="atLeast"/>
        </w:trPr>
        <w:tc>
          <w:tcPr>
            <w:tcW w:w="5000" w:type="pct"/>
            <w:gridSpan w:val="7"/>
            <w:tcBorders>
              <w:top w:val="single" w:color="auto" w:sz="4" w:space="0"/>
              <w:left w:val="single" w:color="auto" w:sz="4" w:space="0"/>
              <w:bottom w:val="single" w:color="auto" w:sz="4" w:space="0"/>
              <w:right w:val="single" w:color="auto" w:sz="4" w:space="0"/>
            </w:tcBorders>
            <w:noWrap w:val="0"/>
            <w:vAlign w:val="center"/>
          </w:tcPr>
          <w:p w14:paraId="3474D6A8">
            <w:pPr>
              <w:keepNext w:val="0"/>
              <w:keepLines w:val="0"/>
              <w:pageBreakBefore w:val="0"/>
              <w:widowControl w:val="0"/>
              <w:kinsoku/>
              <w:wordWrap/>
              <w:overflowPunct/>
              <w:topLinePunct w:val="0"/>
              <w:autoSpaceDE/>
              <w:autoSpaceDN/>
              <w:bidi w:val="0"/>
              <w:adjustRightInd/>
              <w:snapToGrid/>
              <w:spacing w:beforeLines="0" w:afterLines="0" w:line="400" w:lineRule="exact"/>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合同合计金额（人民币，大写）：</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元整（</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w:t>
            </w:r>
          </w:p>
        </w:tc>
      </w:tr>
    </w:tbl>
    <w:p w14:paraId="769ED876">
      <w:pPr>
        <w:keepNext w:val="0"/>
        <w:keepLines w:val="0"/>
        <w:pageBreakBefore w:val="0"/>
        <w:widowControl w:val="0"/>
        <w:kinsoku/>
        <w:wordWrap/>
        <w:overflowPunct/>
        <w:topLinePunct w:val="0"/>
        <w:autoSpaceDE/>
        <w:autoSpaceDN/>
        <w:bidi w:val="0"/>
        <w:adjustRightInd/>
        <w:snapToGrid/>
        <w:spacing w:before="0"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none"/>
          <w:lang w:val="en-US" w:eastAsia="zh-CN"/>
        </w:rPr>
        <w:t>2.合同合计金额包括但不限于满足本次招标全部采购需求所应提供的服务，以及伴随的货物和工程（如有）的价格，包括但不限于服务、货物、工程的成本、运输（含保险）、安装（如有）、调试、检验、技术服务、培训、税费、版权使用费（如有）等所有费用。</w:t>
      </w:r>
    </w:p>
    <w:p w14:paraId="44CE7D68">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第二条　质量保证</w:t>
      </w:r>
    </w:p>
    <w:p w14:paraId="20D750CB">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1. 乙方应建立和完善履行合同的内部质量保证体系，并提供相关内部规章制度给甲方，以便甲方进行监督检查；</w:t>
      </w:r>
    </w:p>
    <w:p w14:paraId="4E177892">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 乙方应保证履行合同的人员数量和素质、软件和硬件设备的配置、场地、环境和设施等满足全面履行合同的要求，并应接受甲方的监督检查。</w:t>
      </w:r>
    </w:p>
    <w:p w14:paraId="438CBC33">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3.乙方所提供的服务、服务质量及服务内容必须与合同、招标文件、投标文件及承诺相一致。有国家强制性标准的，还必须符合国家强制性标准的规定；没有国家强制性标准但有其他标准的，必须符合其他标准的规定。</w:t>
      </w:r>
    </w:p>
    <w:p w14:paraId="16250688">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第三条　权利保证</w:t>
      </w:r>
    </w:p>
    <w:p w14:paraId="7A083629">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1.甲方有权随时向乙方了解服务进度和对服务资金使用情况进行监督、检查，并要求乙方提供相关资料。</w:t>
      </w:r>
    </w:p>
    <w:p w14:paraId="0C7A317C">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甲方有权按照合同约定或有关法律法规、政府管理的相关职能规定，对乙方服务进行监督和检查，有权要求乙方按照监督检查情况制定相应措施并加以整改。甲方不因行使该监督和检查权而承担任何责任，也不因此而减轻或免除乙方根据合同约定或相关法律法规规定应承担的任何义务或责任。</w:t>
      </w:r>
    </w:p>
    <w:p w14:paraId="4A1CBEAC">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3.乙方应保证所提供服务在使用时不会侵犯任何第三方的专利权、商标权、工业设计权等知识产权及其他合法权利，且所有权、处分权等没有受到任何限制。</w:t>
      </w:r>
    </w:p>
    <w:p w14:paraId="30D2E532">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4.没有甲方事先书面同意，乙方不得将由甲方提供的有关合同或者任何合同条文、规格、计划、图纸、样品或者资料提供给与履行本合同无关的任何其他人。即使向履行合同有关的人员提供，也应注意保密并限于履行合同的必需范围。乙方的保密义务持续有效，不因为本合同履行终止、解除或者无效而解除。</w:t>
      </w:r>
    </w:p>
    <w:p w14:paraId="0CE83EA4">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5.乙方保证所交付的服务成果的所有权完全属于乙方且无任何抵押、质押、查封等产权瑕疵。如乙方所交付服务成果有产权瑕疵的，视为乙方违约。但在已经全部支付完合同款后才发现有产权瑕疵的，乙方除了支付违约金，还应负担甲方由此产生的一切损失。</w:t>
      </w:r>
    </w:p>
    <w:p w14:paraId="1089C62A">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第四条　交付和验收</w:t>
      </w:r>
    </w:p>
    <w:p w14:paraId="4C08346E">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1.服务时间</w:t>
      </w:r>
      <w:r>
        <w:rPr>
          <w:rFonts w:hint="eastAsia"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u w:val="single"/>
        </w:rPr>
        <w:t>签订合同之日起至</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止</w:t>
      </w:r>
      <w:r>
        <w:rPr>
          <w:rFonts w:hint="eastAsia" w:ascii="宋体" w:hAnsi="宋体" w:eastAsia="宋体" w:cs="宋体"/>
          <w:color w:val="auto"/>
          <w:sz w:val="21"/>
          <w:szCs w:val="21"/>
          <w:highlight w:val="none"/>
          <w:u w:val="none"/>
        </w:rPr>
        <w:t>。</w:t>
      </w:r>
    </w:p>
    <w:p w14:paraId="4301B871">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2.服务地点：</w:t>
      </w:r>
      <w:r>
        <w:rPr>
          <w:rFonts w:hint="eastAsia" w:ascii="宋体" w:hAnsi="宋体" w:eastAsia="宋体" w:cs="宋体"/>
          <w:color w:val="auto"/>
          <w:sz w:val="21"/>
          <w:szCs w:val="21"/>
          <w:highlight w:val="none"/>
          <w:u w:val="single"/>
          <w:lang w:eastAsia="zh-CN"/>
        </w:rPr>
        <w:t>甲方</w:t>
      </w:r>
      <w:r>
        <w:rPr>
          <w:rFonts w:hint="eastAsia" w:ascii="宋体" w:hAnsi="宋体" w:eastAsia="宋体" w:cs="宋体"/>
          <w:color w:val="auto"/>
          <w:sz w:val="21"/>
          <w:szCs w:val="21"/>
          <w:highlight w:val="none"/>
          <w:u w:val="single"/>
        </w:rPr>
        <w:t>指定地点</w:t>
      </w:r>
      <w:r>
        <w:rPr>
          <w:rFonts w:hint="eastAsia" w:ascii="宋体" w:hAnsi="宋体" w:eastAsia="宋体" w:cs="宋体"/>
          <w:color w:val="auto"/>
          <w:sz w:val="21"/>
          <w:szCs w:val="21"/>
          <w:highlight w:val="none"/>
        </w:rPr>
        <w:t>。</w:t>
      </w:r>
    </w:p>
    <w:p w14:paraId="6BEBD4A7">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3.乙方应按合同、招标文件、投标文件及承诺向甲方提供相应的服务，并提供服务质量和服务内容的相关技术资料。</w:t>
      </w:r>
    </w:p>
    <w:p w14:paraId="61C1B081">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4.乙方提供不符合合同、招标文件、投标文件规定的服务成果，甲方有权拒绝接受。</w:t>
      </w:r>
    </w:p>
    <w:p w14:paraId="215A14A4">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5.乙方在完成服务前应对服务作出全面检查和对验收文件进行整理，并列出清单，作为甲方服务验收的技术依据，清单应随提交的服务成果交给甲方。</w:t>
      </w:r>
    </w:p>
    <w:p w14:paraId="541C1A2B">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6.乙方完成服务后应及时书面通知甲方进行验收，甲方应在收到通知后七个工作日内进行验收，逾期不开始验收的，乙方可视同验收合格。</w:t>
      </w:r>
    </w:p>
    <w:p w14:paraId="18B3243C">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甲乙双方应按照《广西壮族自治区政府采购项目履约验收管理办法》、合同、招标文件、投标文件验收，验收时乙方必须在现场，验收费用由乙方负责。服务质量和服务内容符合合同、招标文件、投标文件规定的要求的，由甲乙双方签署验收合格单并加盖甲方公章，甲乙双方各执一份。</w:t>
      </w:r>
    </w:p>
    <w:p w14:paraId="7DC2E7B9">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甲方在初步验收或者最终验收过程中发现乙方提供的服务、服务质量或服务内容不满足合同、招标文件、投标文件规定的，可暂缓向乙方付款，直到乙方及时完善并提交相应的服务成果且经甲方验收合格后，方可办理付款。</w:t>
      </w:r>
    </w:p>
    <w:p w14:paraId="7022F27D">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甲方验收时发现乙方提供的服务、服务质量或服务内容不满足合同、招标文件、投标文件规定并以书面形式提出异议的，乙方应自收到甲方书面异议后五个工作日内予以解决，否则甲方有权不出具验收合格单。乙方因解决异议问题而造成逾期的，按乙方逾期交付处理。</w:t>
      </w:r>
    </w:p>
    <w:p w14:paraId="5A471A8E">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第五条　售后服务、服务质量保证期及培训</w:t>
      </w:r>
    </w:p>
    <w:p w14:paraId="5903FFC2">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1.乙方应按照国家有关法律法规、合同、招标文件、投标文件所附的《服务承诺》要求为甲方提供相应的服务。</w:t>
      </w:r>
    </w:p>
    <w:p w14:paraId="4EB53181">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2.乙方提供服务的质量保证期按交付服务成果验收合格并签署验收合格单之日起计算，为</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日，在质量保证期内因服务成果本身的技术问题，乙方应对服务出现的问题负责处理解决，并承担一切费用。</w:t>
      </w:r>
    </w:p>
    <w:p w14:paraId="4A129411">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3.在质量保证期内发生技术服务问题，乙方应在接到甲方通知后24小时内到达甲方现场，在甲方指定的期限内解决问题。</w:t>
      </w:r>
    </w:p>
    <w:p w14:paraId="3C7E115A">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4.乙方负责甲方有关人员的培训。</w:t>
      </w:r>
    </w:p>
    <w:p w14:paraId="04BDC8EA">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培训时间：</w:t>
      </w:r>
      <w:r>
        <w:rPr>
          <w:rFonts w:hint="eastAsia" w:ascii="宋体" w:hAnsi="宋体" w:eastAsia="宋体" w:cs="宋体"/>
          <w:color w:val="auto"/>
          <w:sz w:val="21"/>
          <w:szCs w:val="21"/>
          <w:highlight w:val="none"/>
          <w:u w:val="single"/>
        </w:rPr>
        <w:t>甲方另行指定时间。</w:t>
      </w:r>
    </w:p>
    <w:p w14:paraId="74326502">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培训地点：</w:t>
      </w:r>
      <w:r>
        <w:rPr>
          <w:rFonts w:hint="eastAsia" w:ascii="宋体" w:hAnsi="宋体" w:eastAsia="宋体" w:cs="宋体"/>
          <w:color w:val="auto"/>
          <w:sz w:val="21"/>
          <w:szCs w:val="21"/>
          <w:highlight w:val="none"/>
          <w:u w:val="single"/>
        </w:rPr>
        <w:t>广西区内（甲方指定地点）。</w:t>
      </w:r>
    </w:p>
    <w:p w14:paraId="4FA10057">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第六条　付款方式</w:t>
      </w:r>
    </w:p>
    <w:p w14:paraId="70C6AAA1">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1.资金性质：</w:t>
      </w:r>
      <w:r>
        <w:rPr>
          <w:rFonts w:hint="eastAsia" w:ascii="宋体" w:hAnsi="宋体" w:eastAsia="宋体" w:cs="宋体"/>
          <w:color w:val="auto"/>
          <w:sz w:val="21"/>
          <w:szCs w:val="21"/>
          <w:highlight w:val="none"/>
          <w:u w:val="single"/>
        </w:rPr>
        <w:t>财政资金</w:t>
      </w:r>
      <w:r>
        <w:rPr>
          <w:rFonts w:hint="eastAsia" w:ascii="宋体" w:hAnsi="宋体" w:eastAsia="宋体" w:cs="宋体"/>
          <w:color w:val="auto"/>
          <w:sz w:val="21"/>
          <w:szCs w:val="21"/>
          <w:highlight w:val="none"/>
        </w:rPr>
        <w:t>。</w:t>
      </w:r>
    </w:p>
    <w:p w14:paraId="3CC3FD77">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2.付款方式</w:t>
      </w:r>
    </w:p>
    <w:p w14:paraId="5BEAB37D">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本合同总金额为人民币</w:t>
      </w:r>
      <w:r>
        <w:rPr>
          <w:rFonts w:hint="eastAsia" w:ascii="宋体" w:hAnsi="宋体" w:eastAsia="宋体" w:cs="宋体"/>
          <w:color w:val="auto"/>
          <w:sz w:val="21"/>
          <w:szCs w:val="21"/>
          <w:highlight w:val="none"/>
          <w:u w:val="single"/>
          <w:lang w:val="en-US" w:eastAsia="zh-CN"/>
        </w:rPr>
        <w:t xml:space="preserve">       元</w:t>
      </w:r>
      <w:r>
        <w:rPr>
          <w:rFonts w:hint="eastAsia" w:ascii="宋体" w:hAnsi="宋体" w:eastAsia="宋体" w:cs="宋体"/>
          <w:color w:val="auto"/>
          <w:sz w:val="21"/>
          <w:szCs w:val="21"/>
          <w:highlight w:val="none"/>
          <w:u w:val="single"/>
        </w:rPr>
        <w:t>整</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元)</w:t>
      </w:r>
      <w:r>
        <w:rPr>
          <w:rFonts w:hint="eastAsia"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rPr>
        <w:t>甲乙双方同意按以下方式支付合同合计金额：</w:t>
      </w:r>
    </w:p>
    <w:p w14:paraId="159AF08F">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rPr>
        <w:t>（1）自合同签订之日起</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个工作日内，</w:t>
      </w:r>
      <w:r>
        <w:rPr>
          <w:rFonts w:hint="eastAsia" w:ascii="宋体" w:hAnsi="宋体" w:eastAsia="宋体" w:cs="宋体"/>
          <w:color w:val="auto"/>
          <w:sz w:val="21"/>
          <w:szCs w:val="21"/>
          <w:highlight w:val="none"/>
          <w:lang w:val="en-US" w:eastAsia="zh-CN"/>
        </w:rPr>
        <w:t>甲方</w:t>
      </w:r>
      <w:r>
        <w:rPr>
          <w:rFonts w:hint="eastAsia" w:ascii="宋体" w:hAnsi="宋体" w:eastAsia="宋体" w:cs="宋体"/>
          <w:color w:val="auto"/>
          <w:sz w:val="21"/>
          <w:szCs w:val="21"/>
          <w:highlight w:val="none"/>
        </w:rPr>
        <w:t>向</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支付</w:t>
      </w: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%合同款</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u w:val="single"/>
          <w:lang w:eastAsia="zh-CN"/>
        </w:rPr>
        <w:t>人民币</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eastAsia="zh-CN"/>
        </w:rPr>
        <w:t>元整(</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eastAsia="zh-CN"/>
        </w:rPr>
        <w:t>元)</w:t>
      </w:r>
      <w:r>
        <w:rPr>
          <w:rFonts w:hint="eastAsia" w:ascii="宋体" w:hAnsi="宋体" w:eastAsia="宋体" w:cs="宋体"/>
          <w:color w:val="auto"/>
          <w:sz w:val="21"/>
          <w:szCs w:val="21"/>
          <w:highlight w:val="none"/>
          <w:u w:val="none"/>
          <w:lang w:eastAsia="zh-CN"/>
        </w:rPr>
        <w:t>；</w:t>
      </w:r>
    </w:p>
    <w:p w14:paraId="5CB06FDB">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乙方</w:t>
      </w:r>
      <w:r>
        <w:rPr>
          <w:rFonts w:hint="eastAsia" w:ascii="宋体" w:hAnsi="宋体" w:eastAsia="宋体" w:cs="宋体"/>
          <w:color w:val="auto"/>
          <w:sz w:val="21"/>
          <w:szCs w:val="21"/>
          <w:highlight w:val="none"/>
        </w:rPr>
        <w:t>按照合同要求出具危险特性鉴别报告和处置建议、出具非法堆存、转移涉重固体废物的污染释放能力研究报告和危废处置后场地土壤遗留污染物评估报告后，并经</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确认合格后，</w:t>
      </w:r>
      <w:r>
        <w:rPr>
          <w:rFonts w:hint="eastAsia" w:ascii="宋体" w:hAnsi="宋体" w:eastAsia="宋体" w:cs="宋体"/>
          <w:color w:val="auto"/>
          <w:sz w:val="21"/>
          <w:szCs w:val="21"/>
          <w:highlight w:val="none"/>
          <w:lang w:val="en-US" w:eastAsia="zh-CN"/>
        </w:rPr>
        <w:t>甲方</w:t>
      </w:r>
      <w:r>
        <w:rPr>
          <w:rFonts w:hint="eastAsia" w:ascii="宋体" w:hAnsi="宋体" w:eastAsia="宋体" w:cs="宋体"/>
          <w:color w:val="auto"/>
          <w:sz w:val="21"/>
          <w:szCs w:val="21"/>
          <w:highlight w:val="none"/>
        </w:rPr>
        <w:t>于</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个工作日内支付</w:t>
      </w:r>
      <w:r>
        <w:rPr>
          <w:rFonts w:hint="eastAsia" w:ascii="宋体" w:hAnsi="宋体" w:eastAsia="宋体" w:cs="宋体"/>
          <w:color w:val="auto"/>
          <w:sz w:val="21"/>
          <w:szCs w:val="21"/>
          <w:highlight w:val="none"/>
          <w:lang w:val="en-US" w:eastAsia="zh-CN"/>
        </w:rPr>
        <w:t>50</w:t>
      </w:r>
      <w:r>
        <w:rPr>
          <w:rFonts w:hint="eastAsia" w:ascii="宋体" w:hAnsi="宋体" w:eastAsia="宋体" w:cs="宋体"/>
          <w:color w:val="auto"/>
          <w:sz w:val="21"/>
          <w:szCs w:val="21"/>
          <w:highlight w:val="none"/>
        </w:rPr>
        <w:t>%合同款</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u w:val="single"/>
          <w:lang w:eastAsia="zh-CN"/>
        </w:rPr>
        <w:t>人民币</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eastAsia="zh-CN"/>
        </w:rPr>
        <w:t>元整(</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eastAsia="zh-CN"/>
        </w:rPr>
        <w:t>元)</w:t>
      </w:r>
      <w:r>
        <w:rPr>
          <w:rFonts w:hint="eastAsia" w:ascii="宋体" w:hAnsi="宋体" w:eastAsia="宋体" w:cs="宋体"/>
          <w:color w:val="auto"/>
          <w:sz w:val="21"/>
          <w:szCs w:val="21"/>
          <w:highlight w:val="none"/>
          <w:u w:val="none"/>
          <w:lang w:eastAsia="zh-CN"/>
        </w:rPr>
        <w:t>；</w:t>
      </w:r>
    </w:p>
    <w:p w14:paraId="41E292BC">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按照合同要求提交所有服务成果并经</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验收合格后，</w:t>
      </w:r>
      <w:r>
        <w:rPr>
          <w:rFonts w:hint="eastAsia" w:ascii="宋体" w:hAnsi="宋体" w:eastAsia="宋体" w:cs="宋体"/>
          <w:color w:val="auto"/>
          <w:sz w:val="21"/>
          <w:szCs w:val="21"/>
          <w:highlight w:val="none"/>
          <w:lang w:val="en-US" w:eastAsia="zh-CN"/>
        </w:rPr>
        <w:t>甲方</w:t>
      </w:r>
      <w:r>
        <w:rPr>
          <w:rFonts w:hint="eastAsia" w:ascii="宋体" w:hAnsi="宋体" w:eastAsia="宋体" w:cs="宋体"/>
          <w:color w:val="auto"/>
          <w:sz w:val="21"/>
          <w:szCs w:val="21"/>
          <w:highlight w:val="none"/>
        </w:rPr>
        <w:t>于</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个工作日内支付剩余</w:t>
      </w:r>
      <w:r>
        <w:rPr>
          <w:rFonts w:hint="eastAsia" w:ascii="宋体" w:hAns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rPr>
        <w:t>%合同款</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u w:val="single"/>
          <w:lang w:eastAsia="zh-CN"/>
        </w:rPr>
        <w:t>人民币</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eastAsia="zh-CN"/>
        </w:rPr>
        <w:t>元整(</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eastAsia="zh-CN"/>
        </w:rPr>
        <w:t>元)</w:t>
      </w:r>
      <w:r>
        <w:rPr>
          <w:rFonts w:hint="eastAsia" w:ascii="宋体" w:hAnsi="宋体" w:eastAsia="宋体" w:cs="宋体"/>
          <w:color w:val="auto"/>
          <w:sz w:val="21"/>
          <w:szCs w:val="21"/>
          <w:highlight w:val="none"/>
          <w:u w:val="none"/>
          <w:lang w:eastAsia="zh-CN"/>
        </w:rPr>
        <w:t>；</w:t>
      </w:r>
    </w:p>
    <w:p w14:paraId="3CA6E00B">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）乙方未在规定时间内完成任务，或经抽查发现服务质量不符合要求的，按照合同约定扣减相应费用。</w:t>
      </w:r>
    </w:p>
    <w:p w14:paraId="28D7B4D7">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如乙方为联合体的，应在合同签订前向甲方提交加盖所有成员公章的《联合体收款账户确认函》，明确其内部款项分配约定（即统一支付至牵头人账户或按比例分别支付至各成员账户）、收款账户信息等。甲方按该确认函的约定完成支付后，即视为已完全履行了对乙方（联合体）的付款义务。因联合体内部款项分配产生的任何纠纷，由联合体各方自行解决，与甲方无关。</w:t>
      </w:r>
    </w:p>
    <w:p w14:paraId="2199297F">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3.乙方指定以下账户为接受本合同价款的账户，并对其指定的下列账户信息真实性、安全性、准确性负责。</w:t>
      </w:r>
    </w:p>
    <w:p w14:paraId="43B3141B">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账户名称：</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w:t>
      </w:r>
    </w:p>
    <w:p w14:paraId="23F73702">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开户银行：</w:t>
      </w:r>
      <w:r>
        <w:rPr>
          <w:rFonts w:hint="eastAsia" w:ascii="宋体" w:hAnsi="宋体" w:eastAsia="宋体" w:cs="宋体"/>
          <w:color w:val="auto"/>
          <w:sz w:val="21"/>
          <w:szCs w:val="21"/>
          <w:highlight w:val="none"/>
          <w:u w:val="single"/>
          <w:lang w:val="en-US" w:eastAsia="zh-CN"/>
        </w:rPr>
        <w:t>　         　　</w:t>
      </w:r>
      <w:r>
        <w:rPr>
          <w:rFonts w:hint="eastAsia" w:ascii="宋体" w:hAnsi="宋体" w:eastAsia="宋体" w:cs="宋体"/>
          <w:color w:val="auto"/>
          <w:sz w:val="21"/>
          <w:szCs w:val="21"/>
          <w:highlight w:val="none"/>
          <w:lang w:val="en-US" w:eastAsia="zh-CN"/>
        </w:rPr>
        <w:t>；</w:t>
      </w:r>
    </w:p>
    <w:p w14:paraId="77A15A95">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银行账号：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w:t>
      </w:r>
    </w:p>
    <w:p w14:paraId="56E9FA0C">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联系人：</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w:t>
      </w:r>
    </w:p>
    <w:p w14:paraId="6DD70888">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联系电话：</w:t>
      </w:r>
      <w:r>
        <w:rPr>
          <w:rFonts w:hint="eastAsia" w:ascii="宋体" w:hAnsi="宋体" w:eastAsia="宋体" w:cs="宋体"/>
          <w:color w:val="auto"/>
          <w:sz w:val="21"/>
          <w:szCs w:val="21"/>
          <w:highlight w:val="none"/>
          <w:u w:val="single"/>
          <w:lang w:val="en-US" w:eastAsia="zh-CN"/>
        </w:rPr>
        <w:t>　       　　　</w:t>
      </w:r>
      <w:r>
        <w:rPr>
          <w:rFonts w:hint="eastAsia" w:ascii="宋体" w:hAnsi="宋体" w:eastAsia="宋体" w:cs="宋体"/>
          <w:color w:val="auto"/>
          <w:sz w:val="21"/>
          <w:szCs w:val="21"/>
          <w:highlight w:val="none"/>
          <w:lang w:val="en-US" w:eastAsia="zh-CN"/>
        </w:rPr>
        <w:t>。</w:t>
      </w:r>
    </w:p>
    <w:p w14:paraId="57A99497">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如乙方上述账户信息发生变更，乙方应提前向甲方发送书面通知，未能提前书面通知而产生的不利后果由乙方自行承担。</w:t>
      </w:r>
    </w:p>
    <w:p w14:paraId="33735EC1">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甲方在支付每笔款项前，乙方应当提供可供政府审计并且符合税务规定的正式发票，否则甲方有权拒付相应款项直至乙方能提供符合规定的发票为止，因乙方提供不符合甲方要求的发票导致付款逾期，甲方不构成违约，相应的付款期限自甲方收到乙方符合要求发票重新计算。</w:t>
      </w:r>
    </w:p>
    <w:p w14:paraId="55D4FA6F">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第七条　履约保证金</w:t>
      </w:r>
    </w:p>
    <w:p w14:paraId="1F6537FB">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1.乙方须在签订合同后</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个工作日内缴纳履约保证金。</w:t>
      </w:r>
    </w:p>
    <w:p w14:paraId="1C6CA7AD">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2.乙方提供的履约保证金金额为：</w:t>
      </w:r>
      <w:r>
        <w:rPr>
          <w:rFonts w:hint="eastAsia" w:ascii="宋体" w:hAnsi="宋体" w:eastAsia="宋体" w:cs="宋体"/>
          <w:bCs/>
          <w:color w:val="auto"/>
          <w:sz w:val="21"/>
          <w:szCs w:val="21"/>
          <w:highlight w:val="none"/>
        </w:rPr>
        <w:t>履约保证金金额为</w:t>
      </w:r>
      <w:r>
        <w:rPr>
          <w:rFonts w:hint="eastAsia" w:ascii="宋体" w:hAnsi="宋体" w:eastAsia="宋体" w:cs="宋体"/>
          <w:color w:val="auto"/>
          <w:sz w:val="21"/>
          <w:szCs w:val="21"/>
          <w:highlight w:val="none"/>
        </w:rPr>
        <w:t>本项目</w:t>
      </w:r>
      <w:r>
        <w:rPr>
          <w:rFonts w:hint="eastAsia" w:ascii="宋体" w:hAnsi="宋体" w:eastAsia="宋体" w:cs="宋体"/>
          <w:color w:val="auto"/>
          <w:sz w:val="21"/>
          <w:szCs w:val="21"/>
          <w:highlight w:val="none"/>
          <w:lang w:eastAsia="zh-CN"/>
        </w:rPr>
        <w:t>中标</w:t>
      </w:r>
      <w:r>
        <w:rPr>
          <w:rFonts w:hint="eastAsia" w:ascii="宋体" w:hAnsi="宋体" w:eastAsia="宋体" w:cs="宋体"/>
          <w:color w:val="auto"/>
          <w:sz w:val="21"/>
          <w:szCs w:val="21"/>
          <w:highlight w:val="none"/>
        </w:rPr>
        <w:t>总金额</w:t>
      </w:r>
      <w:r>
        <w:rPr>
          <w:rFonts w:hint="eastAsia" w:ascii="宋体" w:hAnsi="宋体" w:eastAsia="宋体" w:cs="宋体"/>
          <w:color w:val="auto"/>
          <w:sz w:val="21"/>
          <w:szCs w:val="21"/>
          <w:highlight w:val="none"/>
          <w:u w:val="none"/>
          <w:lang w:val="en-US" w:eastAsia="zh-CN"/>
        </w:rPr>
        <w:t>2%，</w:t>
      </w:r>
      <w:r>
        <w:rPr>
          <w:rFonts w:hint="eastAsia" w:ascii="宋体" w:hAnsi="宋体" w:eastAsia="宋体" w:cs="宋体"/>
          <w:color w:val="auto"/>
          <w:sz w:val="21"/>
          <w:szCs w:val="21"/>
          <w:highlight w:val="none"/>
        </w:rPr>
        <w:t>即</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u w:val="single"/>
          <w:lang w:val="en-US" w:eastAsia="zh-CN"/>
        </w:rPr>
        <w:t xml:space="preserve"> 2 </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元。</w:t>
      </w:r>
    </w:p>
    <w:p w14:paraId="0F8A457F">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开户名称：</w:t>
      </w:r>
      <w:r>
        <w:rPr>
          <w:rFonts w:hint="eastAsia" w:ascii="宋体" w:hAnsi="宋体" w:eastAsia="宋体" w:cs="宋体"/>
          <w:i w:val="0"/>
          <w:iCs w:val="0"/>
          <w:color w:val="auto"/>
          <w:sz w:val="21"/>
          <w:szCs w:val="21"/>
          <w:highlight w:val="none"/>
          <w:u w:val="single"/>
        </w:rPr>
        <w:t>广西壮族自治区生态环境厅</w:t>
      </w:r>
    </w:p>
    <w:p w14:paraId="5D47A8F1">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rPr>
        <w:t>开户银行：</w:t>
      </w:r>
      <w:r>
        <w:rPr>
          <w:rFonts w:hint="eastAsia" w:ascii="宋体" w:hAnsi="宋体" w:eastAsia="宋体" w:cs="宋体"/>
          <w:color w:val="auto"/>
          <w:sz w:val="21"/>
          <w:szCs w:val="21"/>
          <w:highlight w:val="none"/>
          <w:u w:val="single"/>
        </w:rPr>
        <w:t>工行南宁银杉支行</w:t>
      </w:r>
      <w:r>
        <w:rPr>
          <w:rFonts w:hint="eastAsia" w:ascii="宋体" w:hAnsi="宋体" w:eastAsia="宋体" w:cs="宋体"/>
          <w:color w:val="auto"/>
          <w:sz w:val="21"/>
          <w:szCs w:val="21"/>
          <w:highlight w:val="none"/>
          <w:u w:val="single"/>
          <w:lang w:val="en-US" w:eastAsia="zh-CN"/>
        </w:rPr>
        <w:t xml:space="preserve">        </w:t>
      </w:r>
    </w:p>
    <w:p w14:paraId="73754F6E">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银行账号：</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7351D220">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3.履约保证金递交方式：支票、汇票、本票或者金融机构出具的保函等非现金方式</w:t>
      </w:r>
      <w:r>
        <w:rPr>
          <w:rFonts w:hint="eastAsia" w:ascii="宋体" w:hAnsi="宋体" w:eastAsia="宋体" w:cs="宋体"/>
          <w:color w:val="auto"/>
          <w:sz w:val="21"/>
          <w:szCs w:val="21"/>
          <w:highlight w:val="none"/>
          <w:u w:val="none"/>
          <w:lang w:eastAsia="zh-CN"/>
        </w:rPr>
        <w:t>，转账时请备注“项目名称（可简写）+履约保证金”</w:t>
      </w:r>
      <w:r>
        <w:rPr>
          <w:rFonts w:hint="eastAsia" w:ascii="宋体" w:hAnsi="宋体" w:eastAsia="宋体" w:cs="宋体"/>
          <w:color w:val="auto"/>
          <w:sz w:val="21"/>
          <w:szCs w:val="21"/>
          <w:highlight w:val="none"/>
        </w:rPr>
        <w:t>。</w:t>
      </w:r>
    </w:p>
    <w:p w14:paraId="5280208C">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4.履约保证金退付方式、时间及条件：由乙方向甲方提供《广西壮族自治区政府采购项目合同验收书》</w:t>
      </w:r>
      <w:r>
        <w:rPr>
          <w:rFonts w:hint="eastAsia" w:ascii="宋体" w:hAnsi="宋体" w:cs="宋体"/>
          <w:color w:val="auto"/>
          <w:sz w:val="21"/>
          <w:szCs w:val="21"/>
          <w:lang w:eastAsia="zh-CN"/>
        </w:rPr>
        <w:t>、履约保证金退付函和乙方履约保证金支付凭证</w:t>
      </w:r>
      <w:r>
        <w:rPr>
          <w:rFonts w:hint="eastAsia" w:ascii="宋体" w:hAnsi="宋体" w:eastAsia="宋体" w:cs="宋体"/>
          <w:color w:val="auto"/>
          <w:sz w:val="21"/>
          <w:szCs w:val="21"/>
          <w:highlight w:val="none"/>
        </w:rPr>
        <w:t>，甲方在收到合格材料后五个工作日内办理退还手续（不计利息）。</w:t>
      </w:r>
    </w:p>
    <w:p w14:paraId="7777DDBD">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第八条　税费</w:t>
      </w:r>
    </w:p>
    <w:p w14:paraId="154AE037">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合同执行中相关的一切税费均由乙方负担。</w:t>
      </w:r>
    </w:p>
    <w:p w14:paraId="07216923">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第九条　违约责任</w:t>
      </w:r>
    </w:p>
    <w:p w14:paraId="3016524F">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乙方没有按照合同、招标文件、投标文件规定的时间或期限提供服务的，每逾期一日，应按合同合计金额的3‰向甲方支付逾期提供服务的违约金；逾期超过十日的，甲方有权单方解除合同，并要求乙方退还已收取的款项，同时乙方应按照合同合计金额的10%向甲方支付违约金并承担因此给甲方造成的经济损失。</w:t>
      </w:r>
    </w:p>
    <w:p w14:paraId="05467F2A">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乙方所提供的服务、服务质量、服务内容等不符合合同、招标文件、投标文件规定的要求的，应按甲方的要求，在甲方指定的期限内予以更换或改进，未在甲方指定的期限内更换或改进的，按乙方逾期提供服务承担违约责任。</w:t>
      </w:r>
    </w:p>
    <w:p w14:paraId="1CC8D015">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乙方提供的服务如侵犯了第三方合法权益而引发的任何纠纷或者诉讼，均由乙方负责交涉并承担全部责任。如甲方为解决纠纷矛盾先期支付了费用的，乙方应当自收到甲方要求偿还费用的函之日起五日内向甲方偿还完毕，逾期未偿还，乙方承担应向甲方支付合同合计金额20％的违约金并赔偿甲方经济损失。</w:t>
      </w:r>
    </w:p>
    <w:p w14:paraId="22BF0205">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4.乙方因履行合同所发生的其他违约行为，每违约一次，应按合同合计金额的5%向甲方支付违约金，并赔偿甲方因此所造成全部损失。</w:t>
      </w:r>
    </w:p>
    <w:p w14:paraId="478FE91B">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5.乙方支付的违约金不足以弥补甲方损失的，应承担赔偿责任，甲方有权继续向乙方追偿。乙方应支付给甲方的任何款项，甲方有权从任何应支付未支付给乙方的款项中直接抵扣。</w:t>
      </w:r>
    </w:p>
    <w:p w14:paraId="5CB7AF5C">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6.本合同所称的甲方经济损失或者甲方损失，包括甲方遭受的全部直接经济损失及为此支出的合理费用（包括但不限于为此支出的调查费、诉讼费、保全费、保全保险费、垫付资金占用费、律师费、差旅费等）。</w:t>
      </w:r>
    </w:p>
    <w:p w14:paraId="1785FFA8">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7.甲方延期付款的，每天向乙方偿付延期款额3‰的违约金，但违约金累计不得超过延期款额的5%。</w:t>
      </w:r>
    </w:p>
    <w:p w14:paraId="24B227B1">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第十条　知识产权归属</w:t>
      </w:r>
    </w:p>
    <w:p w14:paraId="42295DD1">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乙方保证，甲乙双方在本合同执行中形成的任何成果或知识产权的所有权，归甲方所有，而且乙方应当完成甲方知识产权所有权确认所必需的全部行为、证书和文件等，并提供相应的支持和协助。</w:t>
      </w:r>
    </w:p>
    <w:p w14:paraId="3B302396">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第十一条　保密条款</w:t>
      </w:r>
    </w:p>
    <w:p w14:paraId="51AC56F2">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1.甲乙双方都负有保守对方的单位机密或商业秘密的义务，保密范围包括但不限于技术情报、数据资料及其他公开后对对方造成影响或损失的秘密。</w:t>
      </w:r>
    </w:p>
    <w:p w14:paraId="2BD3D57B">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2.任何一方违反保密条款，给对方造成损失，应按对方的实际损失承担赔偿责任。</w:t>
      </w:r>
    </w:p>
    <w:p w14:paraId="6B55CBAF">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3.本条款不因合同的变更、解除和终止而失效。</w:t>
      </w:r>
    </w:p>
    <w:p w14:paraId="65AB387A">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第十二条　不可抗力事件处理</w:t>
      </w:r>
    </w:p>
    <w:p w14:paraId="29960278">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1.在合同有效期内，任何一方因不可抗力事件导致不能履行合同，则合同履行期可延长，其延长期与不可抗力影响期相同。</w:t>
      </w:r>
    </w:p>
    <w:p w14:paraId="2E059CC5">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2.不可抗力事件发生后，应立即通知对方，并寄送有关权威机构出具的证明。</w:t>
      </w:r>
    </w:p>
    <w:p w14:paraId="7AC7C1A2">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3.不可抗力事件延续一百二十天以上，双方应通过友好协商，确定是否继续履行合同。</w:t>
      </w:r>
    </w:p>
    <w:p w14:paraId="4BEE12A9">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4.合同履行过程中，因接受政府行政指令而无法履行的，接受政府行政指令的一方可以免除责任。</w:t>
      </w:r>
    </w:p>
    <w:p w14:paraId="673828B4">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第十三条　合同争议解决</w:t>
      </w:r>
    </w:p>
    <w:p w14:paraId="437C1141">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1.因服务质量问题发生争议的，甲方应提交具有相应资质的机构进行鉴定。服务符合标准的，鉴定费由甲方承担；服务不符合标准的，鉴定费由乙方承担。</w:t>
      </w:r>
    </w:p>
    <w:p w14:paraId="123D7399">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2.因履行本合同引起的或者与本合同有关的争议，甲乙双方应首先通过友好协商解决，如果协商不能解决，可向甲方所在地有管辖权人民法院提起诉讼。</w:t>
      </w:r>
    </w:p>
    <w:p w14:paraId="5FE4EE4B">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第十四条　合同生效及其他</w:t>
      </w:r>
    </w:p>
    <w:p w14:paraId="1618BB8A">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1.合同经甲乙双方法定代表人或者授权代表签字并加盖单位公章后生效。</w:t>
      </w:r>
    </w:p>
    <w:p w14:paraId="159F2020">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2.合同执行中涉及采购资金和采购内容修改或者补充的，须经政府采购监管部门审批，并签书面补充协议报政府采购监管部门备案，方可作为主合同不可分割的一部分。</w:t>
      </w:r>
    </w:p>
    <w:p w14:paraId="6E4C363C">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3.合同未尽事宜，遵照《中华人民共和国民法典》等相关法律、法规规定有关条文执行。</w:t>
      </w:r>
    </w:p>
    <w:p w14:paraId="15586EFA">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第十五条　合同的变更、终止与转让</w:t>
      </w:r>
    </w:p>
    <w:p w14:paraId="6DB7863C">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1.除《中华人民共和国政府采购法》第五十条规定的情形外，本合同一经签订，甲乙双方不得擅自变更、中止或者终止。</w:t>
      </w:r>
    </w:p>
    <w:p w14:paraId="3F68B7E7">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2.未经甲方书面同意，乙方不得擅自转让其应履行的合同义务。</w:t>
      </w:r>
    </w:p>
    <w:p w14:paraId="10E7F637">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第十六条　本合同与下列文件一起构成合同文件</w:t>
      </w:r>
    </w:p>
    <w:p w14:paraId="619FFD82">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1.保密协议；</w:t>
      </w:r>
    </w:p>
    <w:p w14:paraId="53A9FF07">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2.中标通知书；</w:t>
      </w:r>
    </w:p>
    <w:p w14:paraId="405F8CAC">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竞标报价</w:t>
      </w:r>
      <w:r>
        <w:rPr>
          <w:rFonts w:hint="eastAsia" w:ascii="宋体" w:hAnsi="宋体" w:eastAsia="宋体" w:cs="宋体"/>
          <w:color w:val="auto"/>
          <w:sz w:val="21"/>
          <w:szCs w:val="21"/>
          <w:highlight w:val="none"/>
        </w:rPr>
        <w:t>表；</w:t>
      </w:r>
    </w:p>
    <w:p w14:paraId="6F7A824F">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4.采购需求；</w:t>
      </w:r>
    </w:p>
    <w:p w14:paraId="01080A7B">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.商务条款偏离表和服务需求偏离表；</w:t>
      </w:r>
    </w:p>
    <w:p w14:paraId="0A48FA11">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.投标文件中的其他相关文件。</w:t>
      </w:r>
    </w:p>
    <w:p w14:paraId="4AB53303">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上述合同文件互相补充和解释。如果合同文件之间存在矛盾或者不一致之处，以本合同、上述文件的排列顺序在先者为准。</w:t>
      </w:r>
    </w:p>
    <w:p w14:paraId="33250DB1">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第十七条　其他约定事项</w:t>
      </w:r>
    </w:p>
    <w:p w14:paraId="0D31C47B">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1.本合同所有附件及相关文件均为本合同的有效组成部分，与本合同具有同等法律效力。若合同附件与本合同存在不一致的，则以本合同为准。</w:t>
      </w:r>
    </w:p>
    <w:p w14:paraId="3FFC3B19">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2.在履行本合同过程中，所有经甲乙双方签署确认的文件（包括会议纪要、补充协议、往来信函、电子邮件等）即成为本合同的有效组成部分。</w:t>
      </w:r>
    </w:p>
    <w:p w14:paraId="50FB2C7F">
      <w:pPr>
        <w:pStyle w:val="95"/>
        <w:keepNext w:val="0"/>
        <w:keepLines w:val="0"/>
        <w:pageBreakBefore w:val="0"/>
        <w:kinsoku/>
        <w:wordWrap/>
        <w:overflowPunct/>
        <w:topLinePunct w:val="0"/>
        <w:autoSpaceDE/>
        <w:autoSpaceDN/>
        <w:bidi w:val="0"/>
        <w:adjustRightInd/>
        <w:snapToGrid/>
        <w:spacing w:beforeLines="0" w:afterLines="0" w:line="400" w:lineRule="exact"/>
        <w:ind w:left="0" w:leftChars="0" w:firstLine="404"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3.合同履行期间所有产生费用，包括评审费，劳务费等，由乙方负责，甲方不承担任何费用。</w:t>
      </w:r>
    </w:p>
    <w:p w14:paraId="59BF90C0">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4.甲乙双方确认，以下为各方真实有效通讯地址：</w:t>
      </w:r>
    </w:p>
    <w:p w14:paraId="7F467BE1">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甲方：</w:t>
      </w:r>
      <w:r>
        <w:rPr>
          <w:rFonts w:hint="eastAsia" w:ascii="宋体" w:hAnsi="宋体" w:eastAsia="宋体" w:cs="宋体"/>
          <w:color w:val="auto"/>
          <w:sz w:val="21"/>
          <w:szCs w:val="21"/>
          <w:highlight w:val="none"/>
          <w:u w:val="single"/>
          <w:lang w:val="en-US" w:eastAsia="zh-CN"/>
        </w:rPr>
        <w:t>　</w:t>
      </w:r>
      <w:r>
        <w:rPr>
          <w:rFonts w:hint="eastAsia" w:ascii="宋体" w:hAnsi="宋体" w:eastAsia="宋体" w:cs="宋体"/>
          <w:b w:val="0"/>
          <w:bCs/>
          <w:color w:val="auto"/>
          <w:sz w:val="21"/>
          <w:szCs w:val="21"/>
          <w:highlight w:val="none"/>
          <w:u w:val="single"/>
        </w:rPr>
        <w:t>广西壮族自治区生态环境厅</w:t>
      </w:r>
      <w:r>
        <w:rPr>
          <w:rFonts w:hint="eastAsia" w:ascii="宋体" w:hAnsi="宋体" w:eastAsia="宋体" w:cs="宋体"/>
          <w:color w:val="auto"/>
          <w:sz w:val="21"/>
          <w:szCs w:val="21"/>
          <w:highlight w:val="none"/>
          <w:u w:val="single"/>
          <w:lang w:val="en-US" w:eastAsia="zh-CN"/>
        </w:rPr>
        <w:t>　　　　</w:t>
      </w:r>
      <w:r>
        <w:rPr>
          <w:rFonts w:hint="eastAsia" w:ascii="宋体" w:hAnsi="宋体" w:eastAsia="宋体" w:cs="宋体"/>
          <w:color w:val="auto"/>
          <w:sz w:val="21"/>
          <w:szCs w:val="21"/>
          <w:highlight w:val="none"/>
          <w:u w:val="none"/>
          <w:lang w:val="en-US" w:eastAsia="zh-CN"/>
        </w:rPr>
        <w:t>，</w:t>
      </w:r>
    </w:p>
    <w:p w14:paraId="4BF70B24">
      <w:pPr>
        <w:keepNext w:val="0"/>
        <w:keepLines w:val="0"/>
        <w:pageBreakBefore w:val="0"/>
        <w:widowControl/>
        <w:suppressLineNumbers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地址：</w:t>
      </w:r>
      <w:r>
        <w:rPr>
          <w:rFonts w:hint="eastAsia" w:ascii="宋体" w:hAnsi="宋体" w:eastAsia="宋体" w:cs="宋体"/>
          <w:color w:val="auto"/>
          <w:sz w:val="21"/>
          <w:szCs w:val="21"/>
          <w:highlight w:val="none"/>
          <w:u w:val="single"/>
          <w:lang w:val="en-US" w:eastAsia="zh-CN"/>
        </w:rPr>
        <w:t>　</w:t>
      </w:r>
      <w:r>
        <w:rPr>
          <w:rFonts w:hint="eastAsia" w:ascii="宋体" w:hAnsi="宋体" w:eastAsia="宋体" w:cs="宋体"/>
          <w:color w:val="auto"/>
          <w:kern w:val="0"/>
          <w:sz w:val="21"/>
          <w:szCs w:val="21"/>
          <w:highlight w:val="none"/>
          <w:u w:val="single"/>
          <w:lang w:val="en-US" w:eastAsia="zh-CN" w:bidi="ar"/>
        </w:rPr>
        <w:t>广西南宁市青秀区佛子岭路 16 号</w:t>
      </w:r>
      <w:r>
        <w:rPr>
          <w:rFonts w:hint="eastAsia" w:ascii="宋体" w:hAnsi="宋体" w:eastAsia="宋体" w:cs="宋体"/>
          <w:color w:val="auto"/>
          <w:sz w:val="21"/>
          <w:szCs w:val="21"/>
          <w:highlight w:val="none"/>
          <w:u w:val="single"/>
          <w:lang w:val="en-US" w:eastAsia="zh-CN"/>
        </w:rPr>
        <w:t>　</w:t>
      </w:r>
      <w:r>
        <w:rPr>
          <w:rFonts w:hint="eastAsia" w:ascii="宋体" w:hAnsi="宋体" w:eastAsia="宋体" w:cs="宋体"/>
          <w:color w:val="auto"/>
          <w:sz w:val="21"/>
          <w:szCs w:val="21"/>
          <w:highlight w:val="none"/>
          <w:u w:val="none"/>
          <w:lang w:val="en-US" w:eastAsia="zh-CN"/>
        </w:rPr>
        <w:t xml:space="preserve">， </w:t>
      </w:r>
    </w:p>
    <w:p w14:paraId="077FB60C">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right="0" w:firstLine="420" w:firstLineChars="200"/>
        <w:jc w:val="both"/>
        <w:textAlignment w:val="auto"/>
        <w:rPr>
          <w:rFonts w:hint="eastAsia" w:ascii="宋体" w:hAnsi="宋体" w:eastAsia="宋体" w:cs="宋体"/>
          <w:color w:val="auto"/>
          <w:sz w:val="21"/>
          <w:szCs w:val="21"/>
          <w:highlight w:val="none"/>
          <w:u w:val="none"/>
          <w:lang w:val="en-US"/>
        </w:rPr>
      </w:pPr>
      <w:r>
        <w:rPr>
          <w:rFonts w:hint="eastAsia" w:ascii="宋体" w:hAnsi="宋体" w:eastAsia="宋体" w:cs="宋体"/>
          <w:color w:val="auto"/>
          <w:sz w:val="21"/>
          <w:szCs w:val="21"/>
          <w:highlight w:val="none"/>
          <w:u w:val="none"/>
          <w:lang w:val="en-US" w:eastAsia="zh-CN"/>
        </w:rPr>
        <w:t>收件人：</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w:t>
      </w:r>
    </w:p>
    <w:p w14:paraId="25B42EA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right="0" w:firstLine="420" w:firstLineChars="200"/>
        <w:jc w:val="both"/>
        <w:textAlignment w:val="auto"/>
        <w:rPr>
          <w:rFonts w:hint="eastAsia" w:ascii="宋体" w:hAnsi="宋体" w:eastAsia="宋体" w:cs="宋体"/>
          <w:color w:val="auto"/>
          <w:sz w:val="21"/>
          <w:szCs w:val="21"/>
          <w:highlight w:val="none"/>
          <w:u w:val="none"/>
          <w:lang w:val="en-US"/>
        </w:rPr>
      </w:pPr>
      <w:r>
        <w:rPr>
          <w:rFonts w:hint="eastAsia" w:ascii="宋体" w:hAnsi="宋体" w:eastAsia="宋体" w:cs="宋体"/>
          <w:color w:val="auto"/>
          <w:sz w:val="21"/>
          <w:szCs w:val="21"/>
          <w:highlight w:val="none"/>
          <w:u w:val="none"/>
          <w:lang w:val="en-US" w:eastAsia="zh-CN"/>
        </w:rPr>
        <w:t>联系电话：</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w:t>
      </w:r>
    </w:p>
    <w:p w14:paraId="7F87CB2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u w:val="none"/>
          <w:lang w:val="en-US" w:eastAsia="zh-CN"/>
        </w:rPr>
        <w:t>电子邮箱：</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kern w:val="2"/>
          <w:sz w:val="21"/>
          <w:szCs w:val="21"/>
          <w:highlight w:val="none"/>
          <w:lang w:val="en-US" w:eastAsia="zh-CN" w:bidi="ar"/>
        </w:rPr>
        <w:t>。</w:t>
      </w:r>
    </w:p>
    <w:p w14:paraId="43B2165D">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乙方：</w:t>
      </w:r>
      <w:r>
        <w:rPr>
          <w:rFonts w:hint="eastAsia" w:ascii="宋体" w:hAnsi="宋体" w:eastAsia="宋体" w:cs="宋体"/>
          <w:color w:val="auto"/>
          <w:sz w:val="21"/>
          <w:szCs w:val="21"/>
          <w:highlight w:val="none"/>
          <w:u w:val="single"/>
          <w:lang w:val="en-US" w:eastAsia="zh-CN"/>
        </w:rPr>
        <w:t>　                 　</w:t>
      </w:r>
      <w:r>
        <w:rPr>
          <w:rFonts w:hint="eastAsia" w:ascii="宋体" w:hAnsi="宋体" w:eastAsia="宋体" w:cs="宋体"/>
          <w:color w:val="auto"/>
          <w:sz w:val="21"/>
          <w:szCs w:val="21"/>
          <w:highlight w:val="none"/>
          <w:u w:val="none"/>
          <w:lang w:val="en-US" w:eastAsia="zh-CN"/>
        </w:rPr>
        <w:t>，</w:t>
      </w:r>
    </w:p>
    <w:p w14:paraId="264D3D81">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地址：</w:t>
      </w:r>
      <w:r>
        <w:rPr>
          <w:rFonts w:hint="eastAsia" w:ascii="宋体" w:hAnsi="宋体" w:eastAsia="宋体" w:cs="宋体"/>
          <w:color w:val="auto"/>
          <w:sz w:val="21"/>
          <w:szCs w:val="21"/>
          <w:highlight w:val="none"/>
          <w:u w:val="single"/>
          <w:lang w:val="en-US" w:eastAsia="zh-CN"/>
        </w:rPr>
        <w:t>　                 　</w:t>
      </w:r>
      <w:r>
        <w:rPr>
          <w:rFonts w:hint="eastAsia" w:ascii="宋体" w:hAnsi="宋体" w:eastAsia="宋体" w:cs="宋体"/>
          <w:color w:val="auto"/>
          <w:sz w:val="21"/>
          <w:szCs w:val="21"/>
          <w:highlight w:val="none"/>
          <w:u w:val="none"/>
          <w:lang w:val="en-US" w:eastAsia="zh-CN"/>
        </w:rPr>
        <w:t>，</w:t>
      </w:r>
    </w:p>
    <w:p w14:paraId="63B03E5B">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收件人：</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w:t>
      </w:r>
    </w:p>
    <w:p w14:paraId="629DF9E5">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联系电话：</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w:t>
      </w:r>
    </w:p>
    <w:p w14:paraId="73CDFC1B">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电子邮箱：</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w:t>
      </w:r>
    </w:p>
    <w:p w14:paraId="25D48E7B">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方向对方发出的任何通知、信函和文件，以挂号信函或快递信函方式向对方地址邮寄有关通知、信函和文件的，自发出之日起第三日视为送达对方，挂号信函或快递信函的邮寄凭证即视为成功送达的有效凭证。一方地址变更的，应及时书面通知对方，否则上述地址仍为真实有效通讯地址。</w:t>
      </w:r>
    </w:p>
    <w:p w14:paraId="11B25072">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5.本合同一式</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u w:val="single"/>
          <w:lang w:val="en-US" w:eastAsia="zh-CN"/>
        </w:rPr>
        <w:t>柒</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份，具有同等法律效力，政府采购监管部门、采购代理机构各</w:t>
      </w:r>
      <w:r>
        <w:rPr>
          <w:rFonts w:hint="eastAsia" w:ascii="宋体" w:hAnsi="宋体" w:eastAsia="宋体" w:cs="宋体"/>
          <w:color w:val="auto"/>
          <w:sz w:val="21"/>
          <w:szCs w:val="21"/>
          <w:highlight w:val="none"/>
          <w:u w:val="single"/>
        </w:rPr>
        <w:t>壹</w:t>
      </w:r>
      <w:r>
        <w:rPr>
          <w:rFonts w:hint="eastAsia" w:ascii="宋体" w:hAnsi="宋体" w:eastAsia="宋体" w:cs="宋体"/>
          <w:color w:val="auto"/>
          <w:sz w:val="21"/>
          <w:szCs w:val="21"/>
          <w:highlight w:val="none"/>
        </w:rPr>
        <w:t>份，甲方</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u w:val="single"/>
          <w:lang w:val="en-US" w:eastAsia="zh-CN"/>
        </w:rPr>
        <w:t>叁</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份，乙方</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u w:val="single"/>
          <w:lang w:val="en-US" w:eastAsia="zh-CN"/>
        </w:rPr>
        <w:t>贰</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份。</w:t>
      </w:r>
    </w:p>
    <w:p w14:paraId="068CC2A3">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本条款不因合同的变更、解除和终止而失效。</w:t>
      </w:r>
    </w:p>
    <w:p w14:paraId="748E82B9">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第十八条　合同附件</w:t>
      </w:r>
    </w:p>
    <w:p w14:paraId="45B646AB">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附件一：保密协议</w:t>
      </w:r>
    </w:p>
    <w:p w14:paraId="5B297001">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附件二：采购需求</w:t>
      </w:r>
    </w:p>
    <w:p w14:paraId="71AC9501">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附件三：</w:t>
      </w:r>
      <w:r>
        <w:rPr>
          <w:rFonts w:hint="eastAsia" w:ascii="宋体" w:hAnsi="宋体" w:eastAsia="宋体" w:cs="宋体"/>
          <w:color w:val="auto"/>
          <w:sz w:val="21"/>
          <w:szCs w:val="21"/>
          <w:highlight w:val="none"/>
          <w:lang w:eastAsia="zh-CN"/>
        </w:rPr>
        <w:t>竞标报价表</w:t>
      </w:r>
    </w:p>
    <w:p w14:paraId="3D1017DB">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附件四：开标一览表</w:t>
      </w:r>
    </w:p>
    <w:p w14:paraId="7109F395">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w:t>
      </w:r>
      <w:r>
        <w:rPr>
          <w:rFonts w:hint="eastAsia" w:ascii="宋体" w:hAnsi="宋体" w:eastAsia="宋体" w:cs="宋体"/>
          <w:color w:val="auto"/>
          <w:sz w:val="21"/>
          <w:szCs w:val="21"/>
          <w:highlight w:val="none"/>
          <w:lang w:eastAsia="zh-CN"/>
        </w:rPr>
        <w:t>五</w:t>
      </w:r>
      <w:r>
        <w:rPr>
          <w:rFonts w:hint="eastAsia" w:ascii="宋体" w:hAnsi="宋体" w:eastAsia="宋体" w:cs="宋体"/>
          <w:color w:val="auto"/>
          <w:sz w:val="21"/>
          <w:szCs w:val="21"/>
          <w:highlight w:val="none"/>
        </w:rPr>
        <w:t>：服务要求偏离表</w:t>
      </w:r>
    </w:p>
    <w:p w14:paraId="61D7E2F4">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w:t>
      </w:r>
      <w:r>
        <w:rPr>
          <w:rFonts w:hint="eastAsia" w:ascii="宋体" w:hAnsi="宋体" w:eastAsia="宋体" w:cs="宋体"/>
          <w:color w:val="auto"/>
          <w:sz w:val="21"/>
          <w:szCs w:val="21"/>
          <w:highlight w:val="none"/>
          <w:lang w:eastAsia="zh-CN"/>
        </w:rPr>
        <w:t>六</w:t>
      </w:r>
      <w:r>
        <w:rPr>
          <w:rFonts w:hint="eastAsia" w:ascii="宋体" w:hAnsi="宋体" w:eastAsia="宋体" w:cs="宋体"/>
          <w:color w:val="auto"/>
          <w:sz w:val="21"/>
          <w:szCs w:val="21"/>
          <w:highlight w:val="none"/>
        </w:rPr>
        <w:t>：中标通知书</w:t>
      </w:r>
    </w:p>
    <w:p w14:paraId="43D2EB4D">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附件七：</w:t>
      </w:r>
      <w:r>
        <w:rPr>
          <w:rFonts w:hint="eastAsia" w:ascii="宋体" w:hAnsi="宋体" w:eastAsia="宋体" w:cs="宋体"/>
          <w:color w:val="auto"/>
          <w:sz w:val="21"/>
          <w:szCs w:val="21"/>
          <w:highlight w:val="none"/>
          <w:lang w:val="en-US" w:eastAsia="zh-CN"/>
        </w:rPr>
        <w:t xml:space="preserve">中小企业声明函（如有）   </w:t>
      </w:r>
    </w:p>
    <w:p w14:paraId="1E54B105">
      <w:pPr>
        <w:keepNext w:val="0"/>
        <w:keepLines w:val="0"/>
        <w:pageBreakBefore w:val="0"/>
        <w:kinsoku/>
        <w:wordWrap/>
        <w:overflowPunct/>
        <w:topLinePunct w:val="0"/>
        <w:autoSpaceDE/>
        <w:autoSpaceDN/>
        <w:bidi w:val="0"/>
        <w:adjustRightInd/>
        <w:snapToGrid/>
        <w:spacing w:beforeLines="0" w:afterLines="0" w:line="400" w:lineRule="exact"/>
        <w:textAlignment w:val="auto"/>
        <w:rPr>
          <w:rFonts w:hint="eastAsia" w:ascii="宋体" w:hAnsi="宋体" w:eastAsia="宋体" w:cs="宋体"/>
          <w:color w:val="auto"/>
          <w:sz w:val="21"/>
          <w:szCs w:val="21"/>
          <w:highlight w:val="none"/>
        </w:rPr>
      </w:pPr>
    </w:p>
    <w:tbl>
      <w:tblPr>
        <w:tblStyle w:val="39"/>
        <w:tblW w:w="0" w:type="auto"/>
        <w:tblInd w:w="122" w:type="dxa"/>
        <w:tblLayout w:type="fixed"/>
        <w:tblCellMar>
          <w:top w:w="0" w:type="dxa"/>
          <w:left w:w="108" w:type="dxa"/>
          <w:bottom w:w="0" w:type="dxa"/>
          <w:right w:w="108" w:type="dxa"/>
        </w:tblCellMar>
      </w:tblPr>
      <w:tblGrid>
        <w:gridCol w:w="4165"/>
        <w:gridCol w:w="4105"/>
      </w:tblGrid>
      <w:tr w14:paraId="2C8AA3FA">
        <w:trPr>
          <w:trHeight w:val="981" w:hRule="atLeast"/>
        </w:trPr>
        <w:tc>
          <w:tcPr>
            <w:tcW w:w="4165" w:type="dxa"/>
            <w:noWrap w:val="0"/>
            <w:vAlign w:val="top"/>
          </w:tcPr>
          <w:p w14:paraId="3926CB49">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甲方：广西壮族自治区生态环境厅</w:t>
            </w:r>
          </w:p>
        </w:tc>
        <w:tc>
          <w:tcPr>
            <w:tcW w:w="4105" w:type="dxa"/>
            <w:noWrap w:val="0"/>
            <w:vAlign w:val="top"/>
          </w:tcPr>
          <w:p w14:paraId="10C709E0">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rPr>
              <w:t>乙方：</w:t>
            </w:r>
            <w:r>
              <w:rPr>
                <w:rFonts w:hint="eastAsia" w:ascii="宋体" w:hAnsi="宋体" w:eastAsia="宋体" w:cs="宋体"/>
                <w:b/>
                <w:bCs/>
                <w:color w:val="auto"/>
                <w:sz w:val="21"/>
                <w:szCs w:val="21"/>
                <w:highlight w:val="none"/>
                <w:lang w:val="en-US" w:eastAsia="zh-CN"/>
              </w:rPr>
              <w:t xml:space="preserve"> </w:t>
            </w:r>
          </w:p>
        </w:tc>
      </w:tr>
      <w:tr w14:paraId="37F97AB8">
        <w:trPr>
          <w:trHeight w:val="1050" w:hRule="atLeast"/>
        </w:trPr>
        <w:tc>
          <w:tcPr>
            <w:tcW w:w="4165" w:type="dxa"/>
            <w:noWrap w:val="0"/>
            <w:vAlign w:val="top"/>
          </w:tcPr>
          <w:p w14:paraId="317BC0C6">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法定代表人（负责人）</w:t>
            </w:r>
            <w:r>
              <w:rPr>
                <w:rFonts w:hint="eastAsia" w:ascii="宋体" w:hAnsi="宋体" w:eastAsia="宋体" w:cs="宋体"/>
                <w:b/>
                <w:bCs/>
                <w:color w:val="auto"/>
                <w:sz w:val="21"/>
                <w:szCs w:val="21"/>
                <w:highlight w:val="none"/>
                <w:lang w:eastAsia="zh-CN"/>
              </w:rPr>
              <w:t>或授权代表</w:t>
            </w:r>
            <w:r>
              <w:rPr>
                <w:rFonts w:hint="eastAsia" w:ascii="宋体" w:hAnsi="宋体" w:eastAsia="宋体" w:cs="宋体"/>
                <w:b/>
                <w:bCs/>
                <w:color w:val="auto"/>
                <w:sz w:val="21"/>
                <w:szCs w:val="21"/>
                <w:highlight w:val="none"/>
              </w:rPr>
              <w:t>：</w:t>
            </w:r>
          </w:p>
          <w:p w14:paraId="6E923B92">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b/>
                <w:bCs/>
                <w:color w:val="auto"/>
                <w:sz w:val="21"/>
                <w:szCs w:val="21"/>
                <w:highlight w:val="none"/>
              </w:rPr>
            </w:pPr>
          </w:p>
          <w:p w14:paraId="4CFBAD4F">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b/>
                <w:bCs/>
                <w:color w:val="auto"/>
                <w:sz w:val="21"/>
                <w:szCs w:val="21"/>
                <w:highlight w:val="none"/>
              </w:rPr>
            </w:pPr>
          </w:p>
        </w:tc>
        <w:tc>
          <w:tcPr>
            <w:tcW w:w="4105" w:type="dxa"/>
            <w:noWrap w:val="0"/>
            <w:vAlign w:val="top"/>
          </w:tcPr>
          <w:p w14:paraId="6E24EF15">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法定代表人（负责人）</w:t>
            </w:r>
            <w:r>
              <w:rPr>
                <w:rFonts w:hint="eastAsia" w:ascii="宋体" w:hAnsi="宋体" w:eastAsia="宋体" w:cs="宋体"/>
                <w:b/>
                <w:bCs/>
                <w:color w:val="auto"/>
                <w:sz w:val="21"/>
                <w:szCs w:val="21"/>
                <w:highlight w:val="none"/>
                <w:lang w:eastAsia="zh-CN"/>
              </w:rPr>
              <w:t>或授权代表</w:t>
            </w:r>
            <w:r>
              <w:rPr>
                <w:rFonts w:hint="eastAsia" w:ascii="宋体" w:hAnsi="宋体" w:eastAsia="宋体" w:cs="宋体"/>
                <w:b/>
                <w:bCs/>
                <w:color w:val="auto"/>
                <w:sz w:val="21"/>
                <w:szCs w:val="21"/>
                <w:highlight w:val="none"/>
              </w:rPr>
              <w:t>：</w:t>
            </w:r>
          </w:p>
          <w:p w14:paraId="7452BD93">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b/>
                <w:bCs/>
                <w:color w:val="auto"/>
                <w:sz w:val="21"/>
                <w:szCs w:val="21"/>
                <w:highlight w:val="none"/>
                <w:lang w:val="en-US" w:eastAsia="zh-CN"/>
              </w:rPr>
            </w:pPr>
          </w:p>
          <w:p w14:paraId="70D93FA7">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b/>
                <w:bCs/>
                <w:color w:val="auto"/>
                <w:sz w:val="21"/>
                <w:szCs w:val="21"/>
                <w:highlight w:val="none"/>
                <w:lang w:val="en-US" w:eastAsia="zh-CN"/>
              </w:rPr>
            </w:pPr>
          </w:p>
        </w:tc>
      </w:tr>
      <w:tr w14:paraId="140F758C">
        <w:trPr>
          <w:trHeight w:val="921" w:hRule="atLeast"/>
        </w:trPr>
        <w:tc>
          <w:tcPr>
            <w:tcW w:w="4165" w:type="dxa"/>
            <w:noWrap w:val="0"/>
            <w:vAlign w:val="top"/>
          </w:tcPr>
          <w:p w14:paraId="3E58A5FA">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 xml:space="preserve">年 </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 xml:space="preserve"> 月 </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 xml:space="preserve"> 日</w:t>
            </w:r>
          </w:p>
        </w:tc>
        <w:tc>
          <w:tcPr>
            <w:tcW w:w="4105" w:type="dxa"/>
            <w:noWrap w:val="0"/>
            <w:vAlign w:val="top"/>
          </w:tcPr>
          <w:p w14:paraId="37279315">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 xml:space="preserve">年 </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 xml:space="preserve"> 月</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 xml:space="preserve"> 日</w:t>
            </w:r>
          </w:p>
        </w:tc>
      </w:tr>
    </w:tbl>
    <w:p w14:paraId="70C745D3">
      <w:pPr>
        <w:pageBreakBefore w:val="0"/>
        <w:kinsoku/>
        <w:wordWrap/>
        <w:overflowPunct/>
        <w:topLinePunct w:val="0"/>
        <w:autoSpaceDE/>
        <w:autoSpaceDN/>
        <w:bidi w:val="0"/>
        <w:spacing w:beforeLines="0" w:afterLines="0" w:line="400" w:lineRule="exact"/>
        <w:textAlignment w:val="auto"/>
        <w:rPr>
          <w:rFonts w:hint="eastAsia" w:ascii="宋体" w:hAnsi="宋体" w:eastAsia="宋体" w:cs="宋体"/>
          <w:b/>
          <w:bCs/>
          <w:color w:val="auto"/>
          <w:sz w:val="21"/>
          <w:szCs w:val="21"/>
          <w:highlight w:val="none"/>
        </w:rPr>
      </w:pPr>
      <w:bookmarkStart w:id="187" w:name="_Toc1070"/>
      <w:bookmarkStart w:id="188" w:name="_Toc13132"/>
      <w:r>
        <w:rPr>
          <w:rFonts w:hint="eastAsia" w:ascii="宋体" w:hAnsi="宋体" w:eastAsia="宋体" w:cs="宋体"/>
          <w:b/>
          <w:bCs/>
          <w:color w:val="auto"/>
          <w:sz w:val="21"/>
          <w:szCs w:val="21"/>
          <w:highlight w:val="none"/>
        </w:rPr>
        <w:br w:type="page"/>
      </w:r>
      <w:r>
        <w:rPr>
          <w:rFonts w:hint="eastAsia" w:ascii="宋体" w:hAnsi="宋体" w:eastAsia="宋体" w:cs="宋体"/>
          <w:b/>
          <w:bCs/>
          <w:color w:val="auto"/>
          <w:sz w:val="21"/>
          <w:szCs w:val="21"/>
          <w:highlight w:val="none"/>
        </w:rPr>
        <w:t>附件一：保密协议</w:t>
      </w:r>
      <w:bookmarkEnd w:id="187"/>
      <w:bookmarkEnd w:id="188"/>
    </w:p>
    <w:p w14:paraId="7E56C160">
      <w:pPr>
        <w:pStyle w:val="4"/>
        <w:pageBreakBefore w:val="0"/>
        <w:kinsoku/>
        <w:wordWrap/>
        <w:overflowPunct/>
        <w:topLinePunct w:val="0"/>
        <w:autoSpaceDE/>
        <w:autoSpaceDN/>
        <w:bidi w:val="0"/>
        <w:spacing w:line="400" w:lineRule="exact"/>
        <w:jc w:val="center"/>
        <w:textAlignment w:val="auto"/>
        <w:rPr>
          <w:rFonts w:hint="eastAsia"/>
          <w:color w:val="auto"/>
          <w:highlight w:val="none"/>
        </w:rPr>
      </w:pPr>
      <w:bookmarkStart w:id="189" w:name="_Toc132707357"/>
      <w:bookmarkStart w:id="190" w:name="_Toc19167"/>
      <w:r>
        <w:rPr>
          <w:rFonts w:hint="eastAsia"/>
          <w:color w:val="auto"/>
          <w:highlight w:val="none"/>
        </w:rPr>
        <w:t>保密协议</w:t>
      </w:r>
      <w:bookmarkEnd w:id="189"/>
      <w:bookmarkEnd w:id="190"/>
    </w:p>
    <w:p w14:paraId="253047C9">
      <w:pPr>
        <w:pageBreakBefore w:val="0"/>
        <w:kinsoku/>
        <w:wordWrap/>
        <w:overflowPunct/>
        <w:topLinePunct w:val="0"/>
        <w:autoSpaceDE/>
        <w:autoSpaceDN/>
        <w:bidi w:val="0"/>
        <w:adjustRightInd w:val="0"/>
        <w:snapToGrid w:val="0"/>
        <w:spacing w:beforeLines="0" w:afterLines="0" w:line="400" w:lineRule="exac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甲方：广西壮族自治区生态环境厅</w:t>
      </w:r>
    </w:p>
    <w:p w14:paraId="4CFDACAF">
      <w:pPr>
        <w:pageBreakBefore w:val="0"/>
        <w:kinsoku/>
        <w:wordWrap/>
        <w:overflowPunct/>
        <w:topLinePunct w:val="0"/>
        <w:autoSpaceDE/>
        <w:autoSpaceDN/>
        <w:bidi w:val="0"/>
        <w:adjustRightInd w:val="0"/>
        <w:snapToGrid w:val="0"/>
        <w:spacing w:beforeLines="0" w:afterLines="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负责人：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地址：广西南宁市青秀区佛子岭路16号</w:t>
      </w:r>
    </w:p>
    <w:p w14:paraId="3FE640D7">
      <w:pPr>
        <w:pageBreakBefore w:val="0"/>
        <w:kinsoku/>
        <w:wordWrap/>
        <w:overflowPunct/>
        <w:topLinePunct w:val="0"/>
        <w:autoSpaceDE/>
        <w:autoSpaceDN/>
        <w:bidi w:val="0"/>
        <w:adjustRightInd w:val="0"/>
        <w:snapToGrid w:val="0"/>
        <w:spacing w:beforeLines="0" w:afterLines="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 xml:space="preserve">    乙方：</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w:t>
      </w:r>
    </w:p>
    <w:p w14:paraId="440C6C38">
      <w:pPr>
        <w:pageBreakBefore w:val="0"/>
        <w:kinsoku/>
        <w:wordWrap/>
        <w:overflowPunct/>
        <w:topLinePunct w:val="0"/>
        <w:autoSpaceDE/>
        <w:autoSpaceDN/>
        <w:bidi w:val="0"/>
        <w:adjustRightInd w:val="0"/>
        <w:snapToGrid w:val="0"/>
        <w:spacing w:beforeLines="0" w:afterLines="0" w:line="40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法定代表人： </w:t>
      </w:r>
      <w:r>
        <w:rPr>
          <w:rFonts w:hint="eastAsia" w:ascii="宋体" w:hAnsi="宋体" w:eastAsia="宋体" w:cs="宋体"/>
          <w:color w:val="auto"/>
          <w:sz w:val="21"/>
          <w:szCs w:val="21"/>
          <w:highlight w:val="none"/>
          <w:lang w:val="en-US" w:eastAsia="zh-CN"/>
        </w:rPr>
        <w:t xml:space="preserve"> </w:t>
      </w:r>
    </w:p>
    <w:p w14:paraId="1CD1413F">
      <w:pPr>
        <w:pageBreakBefore w:val="0"/>
        <w:kinsoku/>
        <w:wordWrap/>
        <w:overflowPunct/>
        <w:topLinePunct w:val="0"/>
        <w:autoSpaceDE/>
        <w:autoSpaceDN/>
        <w:bidi w:val="0"/>
        <w:spacing w:beforeLines="0" w:afterLines="0"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lang w:val="en-US" w:eastAsia="zh-CN"/>
        </w:rPr>
        <w:t xml:space="preserve">  </w:t>
      </w:r>
    </w:p>
    <w:p w14:paraId="13FC4DE9">
      <w:pPr>
        <w:pageBreakBefore w:val="0"/>
        <w:kinsoku/>
        <w:wordWrap/>
        <w:overflowPunct/>
        <w:topLinePunct w:val="0"/>
        <w:autoSpaceDE/>
        <w:autoSpaceDN/>
        <w:bidi w:val="0"/>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鉴于本协议甲乙双方就双方签订的编号为</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eastAsia="zh-CN"/>
        </w:rPr>
        <w:t>项目</w:t>
      </w:r>
      <w:r>
        <w:rPr>
          <w:rFonts w:hint="eastAsia" w:ascii="宋体" w:hAnsi="宋体" w:eastAsia="宋体" w:cs="宋体"/>
          <w:color w:val="auto"/>
          <w:sz w:val="21"/>
          <w:szCs w:val="21"/>
          <w:highlight w:val="none"/>
        </w:rPr>
        <w:t>等开展业务/合作；在开展业务/合作的过程中，预计甲方将为上述之目的向乙方披露甲方的专有信息且此等信息均被视为保密信息；因此，双方在此达成如下保密协议：</w:t>
      </w:r>
    </w:p>
    <w:p w14:paraId="18743D7B">
      <w:pPr>
        <w:pStyle w:val="127"/>
        <w:pageBreakBefore w:val="0"/>
        <w:widowControl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b/>
          <w:color w:val="auto"/>
          <w:sz w:val="21"/>
          <w:szCs w:val="21"/>
          <w:highlight w:val="none"/>
          <w:lang w:eastAsia="zh-CN"/>
        </w:rPr>
      </w:pPr>
      <w:bookmarkStart w:id="191" w:name="_Toc132707358"/>
      <w:bookmarkStart w:id="192" w:name="_Toc22190"/>
      <w:bookmarkStart w:id="193" w:name="_Toc1584680693"/>
      <w:r>
        <w:rPr>
          <w:rFonts w:hint="eastAsia" w:ascii="宋体" w:hAnsi="宋体" w:eastAsia="宋体" w:cs="宋体"/>
          <w:b/>
          <w:color w:val="auto"/>
          <w:sz w:val="21"/>
          <w:szCs w:val="21"/>
          <w:highlight w:val="none"/>
          <w:lang w:eastAsia="zh-CN"/>
        </w:rPr>
        <w:t>一、本协议保密信息的界定</w:t>
      </w:r>
      <w:bookmarkEnd w:id="191"/>
      <w:bookmarkEnd w:id="192"/>
      <w:bookmarkEnd w:id="193"/>
    </w:p>
    <w:p w14:paraId="40D738D3">
      <w:pPr>
        <w:pStyle w:val="127"/>
        <w:pageBreakBefore w:val="0"/>
        <w:widowControl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color w:val="auto"/>
          <w:kern w:val="2"/>
          <w:sz w:val="21"/>
          <w:szCs w:val="21"/>
          <w:highlight w:val="none"/>
          <w:lang w:eastAsia="zh-CN"/>
        </w:rPr>
      </w:pPr>
      <w:bookmarkStart w:id="194" w:name="_Toc1710318546"/>
      <w:bookmarkStart w:id="195" w:name="_Toc132707359"/>
      <w:bookmarkStart w:id="196" w:name="_Toc8357"/>
      <w:r>
        <w:rPr>
          <w:rFonts w:hint="eastAsia" w:ascii="宋体" w:hAnsi="宋体" w:eastAsia="宋体" w:cs="宋体"/>
          <w:color w:val="auto"/>
          <w:sz w:val="21"/>
          <w:szCs w:val="21"/>
          <w:highlight w:val="none"/>
          <w:lang w:eastAsia="zh-CN"/>
        </w:rPr>
        <w:t>（一）为本协议之目的，“保密信息”是指为实现前述业务/合作目的,甲方向乙方提供或披露的任何甲方不欲公开的机密信息，或者任何其它非公开或专有的信息、数据、设想或概念、标准，和/或其中的任何知识产权，无论该等信息或数据的载体形式、也不论披露是在本协议生效之前或之后。</w:t>
      </w:r>
      <w:r>
        <w:rPr>
          <w:rFonts w:hint="eastAsia" w:ascii="宋体" w:hAnsi="宋体" w:eastAsia="宋体" w:cs="宋体"/>
          <w:color w:val="auto"/>
          <w:kern w:val="2"/>
          <w:sz w:val="21"/>
          <w:szCs w:val="21"/>
          <w:highlight w:val="none"/>
          <w:lang w:eastAsia="zh-CN"/>
        </w:rPr>
        <w:t>本协议所指保密信息包括但不限于以下内容：</w:t>
      </w:r>
      <w:bookmarkEnd w:id="194"/>
      <w:bookmarkEnd w:id="195"/>
      <w:bookmarkEnd w:id="196"/>
    </w:p>
    <w:p w14:paraId="56D703E2">
      <w:pPr>
        <w:pStyle w:val="127"/>
        <w:pageBreakBefore w:val="0"/>
        <w:widowControl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color w:val="auto"/>
          <w:kern w:val="2"/>
          <w:sz w:val="21"/>
          <w:szCs w:val="21"/>
          <w:highlight w:val="none"/>
          <w:lang w:eastAsia="zh-CN"/>
        </w:rPr>
      </w:pPr>
      <w:bookmarkStart w:id="197" w:name="_Toc13086"/>
      <w:bookmarkStart w:id="198" w:name="_Toc132707360"/>
      <w:bookmarkStart w:id="199" w:name="_Toc1676583173"/>
      <w:r>
        <w:rPr>
          <w:rFonts w:hint="eastAsia" w:ascii="宋体" w:hAnsi="宋体" w:eastAsia="宋体" w:cs="宋体"/>
          <w:b/>
          <w:bCs/>
          <w:color w:val="auto"/>
          <w:kern w:val="2"/>
          <w:sz w:val="21"/>
          <w:szCs w:val="21"/>
          <w:highlight w:val="none"/>
          <w:lang w:eastAsia="zh-CN"/>
        </w:rPr>
        <w:t>技术信息</w:t>
      </w:r>
      <w:r>
        <w:rPr>
          <w:rFonts w:hint="eastAsia" w:ascii="宋体" w:hAnsi="宋体" w:eastAsia="宋体" w:cs="宋体"/>
          <w:color w:val="auto"/>
          <w:kern w:val="2"/>
          <w:sz w:val="21"/>
          <w:szCs w:val="21"/>
          <w:highlight w:val="none"/>
          <w:lang w:eastAsia="zh-CN"/>
        </w:rPr>
        <w:t>：包括甲方专有的技术方案、网络组织、系统及应用软件、数据库、未公开的具有国内先进水平以上的科技成果、技术文档、商务合同、招标方案、评标结果、涉及商业秘密的业务函电等。</w:t>
      </w:r>
      <w:bookmarkEnd w:id="197"/>
      <w:bookmarkEnd w:id="198"/>
      <w:bookmarkEnd w:id="199"/>
    </w:p>
    <w:p w14:paraId="290AE5AA">
      <w:pPr>
        <w:pStyle w:val="127"/>
        <w:pageBreakBefore w:val="0"/>
        <w:widowControl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color w:val="auto"/>
          <w:kern w:val="2"/>
          <w:sz w:val="21"/>
          <w:szCs w:val="21"/>
          <w:highlight w:val="none"/>
          <w:lang w:eastAsia="zh-CN"/>
        </w:rPr>
      </w:pPr>
      <w:bookmarkStart w:id="200" w:name="_Toc17544"/>
      <w:bookmarkStart w:id="201" w:name="_Toc132707361"/>
      <w:bookmarkStart w:id="202" w:name="_Toc1177140318"/>
      <w:r>
        <w:rPr>
          <w:rFonts w:hint="eastAsia" w:ascii="宋体" w:hAnsi="宋体" w:eastAsia="宋体" w:cs="宋体"/>
          <w:b/>
          <w:bCs/>
          <w:color w:val="auto"/>
          <w:kern w:val="2"/>
          <w:sz w:val="21"/>
          <w:szCs w:val="21"/>
          <w:highlight w:val="none"/>
          <w:lang w:eastAsia="zh-CN"/>
        </w:rPr>
        <w:t>经营信息：</w:t>
      </w:r>
      <w:r>
        <w:rPr>
          <w:rFonts w:hint="eastAsia" w:ascii="宋体" w:hAnsi="宋体" w:eastAsia="宋体" w:cs="宋体"/>
          <w:color w:val="auto"/>
          <w:kern w:val="2"/>
          <w:sz w:val="21"/>
          <w:szCs w:val="21"/>
          <w:highlight w:val="none"/>
          <w:lang w:eastAsia="zh-CN"/>
        </w:rPr>
        <w:t>包括甲方发展战略规划、投资计划及年度计划；甲方策略、资料、重大活动计划及安排、暂不公开或不公开的对接单位、合作伙伴相关信息；甲方重要会议内容及记录、以及管理相关文件。</w:t>
      </w:r>
      <w:bookmarkEnd w:id="200"/>
      <w:bookmarkEnd w:id="201"/>
      <w:bookmarkEnd w:id="202"/>
    </w:p>
    <w:p w14:paraId="4687AF08">
      <w:pPr>
        <w:pStyle w:val="127"/>
        <w:pageBreakBefore w:val="0"/>
        <w:widowControl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color w:val="auto"/>
          <w:kern w:val="2"/>
          <w:sz w:val="21"/>
          <w:szCs w:val="21"/>
          <w:highlight w:val="none"/>
          <w:lang w:eastAsia="zh-CN"/>
        </w:rPr>
      </w:pPr>
      <w:bookmarkStart w:id="203" w:name="_Toc132707362"/>
      <w:bookmarkStart w:id="204" w:name="_Toc10231"/>
      <w:bookmarkStart w:id="205" w:name="_Toc2119817172"/>
      <w:r>
        <w:rPr>
          <w:rFonts w:hint="eastAsia" w:ascii="宋体" w:hAnsi="宋体" w:eastAsia="宋体" w:cs="宋体"/>
          <w:b/>
          <w:bCs/>
          <w:color w:val="auto"/>
          <w:kern w:val="2"/>
          <w:sz w:val="21"/>
          <w:szCs w:val="21"/>
          <w:highlight w:val="none"/>
          <w:lang w:eastAsia="zh-CN"/>
        </w:rPr>
        <w:t>其他：</w:t>
      </w:r>
      <w:r>
        <w:rPr>
          <w:rFonts w:hint="eastAsia" w:ascii="宋体" w:hAnsi="宋体" w:eastAsia="宋体" w:cs="宋体"/>
          <w:color w:val="auto"/>
          <w:kern w:val="2"/>
          <w:sz w:val="21"/>
          <w:szCs w:val="21"/>
          <w:highlight w:val="none"/>
          <w:lang w:eastAsia="zh-CN"/>
        </w:rPr>
        <w:t>针对</w:t>
      </w:r>
      <w:r>
        <w:rPr>
          <w:rFonts w:hint="eastAsia" w:ascii="宋体" w:hAnsi="宋体" w:eastAsia="宋体" w:cs="宋体"/>
          <w:color w:val="auto"/>
          <w:sz w:val="21"/>
          <w:szCs w:val="21"/>
          <w:highlight w:val="none"/>
          <w:lang w:eastAsia="zh-CN"/>
        </w:rPr>
        <w:t>业务/合作</w:t>
      </w:r>
      <w:r>
        <w:rPr>
          <w:rFonts w:hint="eastAsia" w:ascii="宋体" w:hAnsi="宋体" w:eastAsia="宋体" w:cs="宋体"/>
          <w:color w:val="auto"/>
          <w:kern w:val="2"/>
          <w:sz w:val="21"/>
          <w:szCs w:val="21"/>
          <w:highlight w:val="none"/>
          <w:lang w:eastAsia="zh-CN"/>
        </w:rPr>
        <w:t>需要，甲方向乙方提供的所有相关资料和数据。</w:t>
      </w:r>
      <w:bookmarkEnd w:id="203"/>
      <w:bookmarkEnd w:id="204"/>
      <w:bookmarkEnd w:id="205"/>
    </w:p>
    <w:p w14:paraId="413159B7">
      <w:pPr>
        <w:pageBreakBefore w:val="0"/>
        <w:kinsoku/>
        <w:wordWrap/>
        <w:overflowPunct/>
        <w:topLinePunct w:val="0"/>
        <w:autoSpaceDE/>
        <w:autoSpaceDN/>
        <w:bidi w:val="0"/>
        <w:adjustRightInd w:val="0"/>
        <w:snapToGrid w:val="0"/>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（二）上述保密信息的披露，包括但不限于以数据、文字、录音及记载上述内容的文档、光盘、软件、图书等有形介质体现，也可通过口头等视听方式传递。</w:t>
      </w:r>
    </w:p>
    <w:p w14:paraId="77A9302C">
      <w:pPr>
        <w:pStyle w:val="127"/>
        <w:pageBreakBefore w:val="0"/>
        <w:widowControl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b/>
          <w:color w:val="auto"/>
          <w:kern w:val="2"/>
          <w:sz w:val="21"/>
          <w:szCs w:val="21"/>
          <w:highlight w:val="none"/>
          <w:lang w:eastAsia="zh-CN"/>
        </w:rPr>
      </w:pPr>
      <w:bookmarkStart w:id="206" w:name="_Toc1121355855"/>
      <w:bookmarkStart w:id="207" w:name="_Toc8214"/>
      <w:bookmarkStart w:id="208" w:name="_Toc132707363"/>
      <w:r>
        <w:rPr>
          <w:rFonts w:hint="eastAsia" w:ascii="宋体" w:hAnsi="宋体" w:eastAsia="宋体" w:cs="宋体"/>
          <w:b/>
          <w:color w:val="auto"/>
          <w:kern w:val="2"/>
          <w:sz w:val="21"/>
          <w:szCs w:val="21"/>
          <w:highlight w:val="none"/>
          <w:lang w:eastAsia="zh-CN"/>
        </w:rPr>
        <w:t>二、以下信息不属于本协议所定义的保密信息，不受本协议的约束：</w:t>
      </w:r>
      <w:bookmarkEnd w:id="206"/>
      <w:bookmarkEnd w:id="207"/>
      <w:bookmarkEnd w:id="208"/>
    </w:p>
    <w:p w14:paraId="2DE99F72">
      <w:pPr>
        <w:pStyle w:val="127"/>
        <w:pageBreakBefore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color w:val="auto"/>
          <w:kern w:val="2"/>
          <w:sz w:val="21"/>
          <w:szCs w:val="21"/>
          <w:highlight w:val="none"/>
          <w:lang w:eastAsia="zh-CN"/>
        </w:rPr>
      </w:pPr>
      <w:bookmarkStart w:id="209" w:name="_Toc132707364"/>
      <w:bookmarkStart w:id="210" w:name="_Toc1638646153"/>
      <w:bookmarkStart w:id="211" w:name="_Toc21538"/>
      <w:r>
        <w:rPr>
          <w:rFonts w:hint="eastAsia" w:ascii="宋体" w:hAnsi="宋体" w:eastAsia="宋体" w:cs="宋体"/>
          <w:color w:val="auto"/>
          <w:kern w:val="2"/>
          <w:sz w:val="21"/>
          <w:szCs w:val="21"/>
          <w:highlight w:val="none"/>
          <w:lang w:eastAsia="zh-CN"/>
        </w:rPr>
        <w:t>（一）乙方能够证明已处于公开状态或并不违反本协议即可获得的任何信息；</w:t>
      </w:r>
      <w:bookmarkEnd w:id="209"/>
      <w:bookmarkEnd w:id="210"/>
      <w:bookmarkEnd w:id="211"/>
    </w:p>
    <w:p w14:paraId="30B76E8C">
      <w:pPr>
        <w:pStyle w:val="127"/>
        <w:pageBreakBefore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color w:val="auto"/>
          <w:sz w:val="21"/>
          <w:szCs w:val="21"/>
          <w:highlight w:val="none"/>
          <w:lang w:eastAsia="zh-CN"/>
        </w:rPr>
      </w:pPr>
      <w:bookmarkStart w:id="212" w:name="_Toc132707365"/>
      <w:bookmarkStart w:id="213" w:name="_Toc6067"/>
      <w:bookmarkStart w:id="214" w:name="_Toc1676986016"/>
      <w:r>
        <w:rPr>
          <w:rFonts w:hint="eastAsia" w:ascii="宋体" w:hAnsi="宋体" w:eastAsia="宋体" w:cs="宋体"/>
          <w:color w:val="auto"/>
          <w:sz w:val="21"/>
          <w:szCs w:val="21"/>
          <w:highlight w:val="none"/>
          <w:lang w:eastAsia="zh-CN"/>
        </w:rPr>
        <w:t>（二）书面记录能够证明从甲方收到前乙方已经掌握的信息；</w:t>
      </w:r>
      <w:bookmarkEnd w:id="212"/>
      <w:bookmarkEnd w:id="213"/>
      <w:bookmarkEnd w:id="214"/>
    </w:p>
    <w:p w14:paraId="080CF494">
      <w:pPr>
        <w:pStyle w:val="127"/>
        <w:pageBreakBefore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color w:val="auto"/>
          <w:kern w:val="2"/>
          <w:sz w:val="21"/>
          <w:szCs w:val="21"/>
          <w:highlight w:val="none"/>
          <w:lang w:eastAsia="zh-CN"/>
        </w:rPr>
      </w:pPr>
      <w:bookmarkStart w:id="215" w:name="_Toc20237"/>
      <w:bookmarkStart w:id="216" w:name="_Toc1259475693"/>
      <w:bookmarkStart w:id="217" w:name="_Toc132707366"/>
      <w:r>
        <w:rPr>
          <w:rFonts w:hint="eastAsia" w:ascii="宋体" w:hAnsi="宋体" w:eastAsia="宋体" w:cs="宋体"/>
          <w:color w:val="auto"/>
          <w:kern w:val="2"/>
          <w:sz w:val="21"/>
          <w:szCs w:val="21"/>
          <w:highlight w:val="none"/>
          <w:lang w:eastAsia="zh-CN"/>
        </w:rPr>
        <w:t>（三）经甲方书面同意披露或许可使用的信息。</w:t>
      </w:r>
      <w:bookmarkEnd w:id="215"/>
      <w:bookmarkEnd w:id="216"/>
      <w:bookmarkEnd w:id="217"/>
    </w:p>
    <w:p w14:paraId="49A9B665">
      <w:pPr>
        <w:pStyle w:val="127"/>
        <w:pageBreakBefore w:val="0"/>
        <w:widowControl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b/>
          <w:color w:val="auto"/>
          <w:kern w:val="2"/>
          <w:sz w:val="21"/>
          <w:szCs w:val="21"/>
          <w:highlight w:val="none"/>
          <w:lang w:eastAsia="zh-CN"/>
        </w:rPr>
      </w:pPr>
      <w:bookmarkStart w:id="218" w:name="_Toc132707367"/>
      <w:bookmarkStart w:id="219" w:name="_Toc32588"/>
      <w:bookmarkStart w:id="220" w:name="_Toc1364483399"/>
      <w:r>
        <w:rPr>
          <w:rFonts w:hint="eastAsia" w:ascii="宋体" w:hAnsi="宋体" w:eastAsia="宋体" w:cs="宋体"/>
          <w:b/>
          <w:color w:val="auto"/>
          <w:kern w:val="2"/>
          <w:sz w:val="21"/>
          <w:szCs w:val="21"/>
          <w:highlight w:val="none"/>
          <w:lang w:eastAsia="zh-CN"/>
        </w:rPr>
        <w:t>三、保密义务及具体要求</w:t>
      </w:r>
      <w:bookmarkEnd w:id="218"/>
      <w:bookmarkEnd w:id="219"/>
      <w:bookmarkEnd w:id="220"/>
    </w:p>
    <w:p w14:paraId="0C244315">
      <w:pPr>
        <w:pStyle w:val="127"/>
        <w:pageBreakBefore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color w:val="auto"/>
          <w:kern w:val="2"/>
          <w:sz w:val="21"/>
          <w:szCs w:val="21"/>
          <w:highlight w:val="none"/>
          <w:lang w:eastAsia="zh-CN"/>
        </w:rPr>
      </w:pPr>
      <w:bookmarkStart w:id="221" w:name="_Toc5726"/>
      <w:bookmarkStart w:id="222" w:name="_Toc132707368"/>
      <w:bookmarkStart w:id="223" w:name="_Toc1861507462"/>
      <w:r>
        <w:rPr>
          <w:rFonts w:hint="eastAsia" w:ascii="宋体" w:hAnsi="宋体" w:eastAsia="宋体" w:cs="宋体"/>
          <w:color w:val="auto"/>
          <w:kern w:val="2"/>
          <w:sz w:val="21"/>
          <w:szCs w:val="21"/>
          <w:highlight w:val="none"/>
          <w:lang w:eastAsia="zh-CN"/>
        </w:rPr>
        <w:t>（一）乙方应以对待自己同等重要的保密文件一样的谨慎态度对待甲方提供的保密信息，乙方应要求其获悉保密信息的所有人员采取必要的措施对收到的保密信息进行存档和保密，避免任何其他第三方及乙方的无关人员以任何方式获得此保密信息；</w:t>
      </w:r>
      <w:bookmarkEnd w:id="221"/>
      <w:bookmarkEnd w:id="222"/>
      <w:bookmarkEnd w:id="223"/>
    </w:p>
    <w:p w14:paraId="2A87A7AB">
      <w:pPr>
        <w:pStyle w:val="127"/>
        <w:pageBreakBefore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color w:val="auto"/>
          <w:kern w:val="2"/>
          <w:sz w:val="21"/>
          <w:szCs w:val="21"/>
          <w:highlight w:val="none"/>
          <w:lang w:eastAsia="zh-CN"/>
        </w:rPr>
      </w:pPr>
      <w:bookmarkStart w:id="224" w:name="_Toc6568"/>
      <w:bookmarkStart w:id="225" w:name="_Toc32822840"/>
      <w:bookmarkStart w:id="226" w:name="_Toc132707369"/>
      <w:r>
        <w:rPr>
          <w:rFonts w:hint="eastAsia" w:ascii="宋体" w:hAnsi="宋体" w:eastAsia="宋体" w:cs="宋体"/>
          <w:color w:val="auto"/>
          <w:kern w:val="2"/>
          <w:sz w:val="21"/>
          <w:szCs w:val="21"/>
          <w:highlight w:val="none"/>
          <w:lang w:eastAsia="zh-CN"/>
        </w:rPr>
        <w:t>（二）乙方保证该保密信息仅用于与业务/合作有关的用途。未经甲方书面同意，乙方不得将保密信息用于业务/合作以外的任何用途、不得对保密信息进行复制、或利用保密信息进行新的研究或开发；</w:t>
      </w:r>
      <w:bookmarkEnd w:id="224"/>
      <w:bookmarkEnd w:id="225"/>
      <w:bookmarkEnd w:id="226"/>
    </w:p>
    <w:p w14:paraId="16BB6AB0">
      <w:pPr>
        <w:pStyle w:val="127"/>
        <w:pageBreakBefore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color w:val="auto"/>
          <w:kern w:val="2"/>
          <w:sz w:val="21"/>
          <w:szCs w:val="21"/>
          <w:highlight w:val="none"/>
          <w:lang w:eastAsia="zh-CN"/>
        </w:rPr>
      </w:pPr>
      <w:bookmarkStart w:id="227" w:name="_Toc132707370"/>
      <w:bookmarkStart w:id="228" w:name="_Toc1692559735"/>
      <w:bookmarkStart w:id="229" w:name="_Toc13939"/>
      <w:r>
        <w:rPr>
          <w:rFonts w:hint="eastAsia" w:ascii="宋体" w:hAnsi="宋体" w:eastAsia="宋体" w:cs="宋体"/>
          <w:color w:val="auto"/>
          <w:kern w:val="2"/>
          <w:sz w:val="21"/>
          <w:szCs w:val="21"/>
          <w:highlight w:val="none"/>
          <w:lang w:eastAsia="zh-CN"/>
        </w:rPr>
        <w:t>（三）乙方保证仅为与甲方业务/合作的目的向乙方确有知悉必要的雇员、董事、顾问和/或咨询人员披露保密信息，且对保密信息的披露及利用符合甲方的利益。在乙方上述人员知悉该保密信息前，应向其说明保密信息的保密性及其应承担的义务，保证上述人员同意接收本协议条款的约束，并对上述人员的保密行为进行有效的监督管理。因前述人员违背上述承诺，向第三方披露保密信息，或依据该等保密信息向第三方做出任何建议，都被视为乙方违反本协议，乙方应承担全部责任，且乙方应采取有效措施防止泄密进一步扩大，并及时告知甲方；</w:t>
      </w:r>
      <w:bookmarkEnd w:id="227"/>
      <w:bookmarkEnd w:id="228"/>
      <w:bookmarkEnd w:id="229"/>
    </w:p>
    <w:p w14:paraId="60D5AF0F">
      <w:pPr>
        <w:pStyle w:val="127"/>
        <w:pageBreakBefore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color w:val="auto"/>
          <w:kern w:val="2"/>
          <w:sz w:val="21"/>
          <w:szCs w:val="21"/>
          <w:highlight w:val="none"/>
          <w:lang w:eastAsia="zh-CN"/>
        </w:rPr>
      </w:pPr>
      <w:bookmarkStart w:id="230" w:name="_Toc132707371"/>
      <w:bookmarkStart w:id="231" w:name="_Toc915692807"/>
      <w:bookmarkStart w:id="232" w:name="_Toc11143"/>
      <w:r>
        <w:rPr>
          <w:rFonts w:hint="eastAsia" w:ascii="宋体" w:hAnsi="宋体" w:eastAsia="宋体" w:cs="宋体"/>
          <w:color w:val="auto"/>
          <w:kern w:val="2"/>
          <w:sz w:val="21"/>
          <w:szCs w:val="21"/>
          <w:highlight w:val="none"/>
          <w:lang w:eastAsia="zh-CN"/>
        </w:rPr>
        <w:t>（四）甲方的保密信息的部分或个别要素虽被披露成为公知信息，但该信息的其它部分或整体尚未成为公知信息的，乙方仍应按本协议约定对未公开部分的信息履行保密义务；</w:t>
      </w:r>
      <w:bookmarkEnd w:id="230"/>
      <w:bookmarkEnd w:id="231"/>
      <w:bookmarkEnd w:id="232"/>
    </w:p>
    <w:p w14:paraId="4206D275">
      <w:pPr>
        <w:pStyle w:val="127"/>
        <w:pageBreakBefore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color w:val="auto"/>
          <w:kern w:val="2"/>
          <w:sz w:val="21"/>
          <w:szCs w:val="21"/>
          <w:highlight w:val="none"/>
          <w:lang w:eastAsia="zh-CN"/>
        </w:rPr>
      </w:pPr>
      <w:bookmarkStart w:id="233" w:name="_Toc132707372"/>
      <w:bookmarkStart w:id="234" w:name="_Toc27551"/>
      <w:bookmarkStart w:id="235" w:name="_Toc1707662881"/>
      <w:r>
        <w:rPr>
          <w:rFonts w:hint="eastAsia" w:ascii="宋体" w:hAnsi="宋体" w:eastAsia="宋体" w:cs="宋体"/>
          <w:color w:val="auto"/>
          <w:kern w:val="2"/>
          <w:sz w:val="21"/>
          <w:szCs w:val="21"/>
          <w:highlight w:val="none"/>
          <w:lang w:eastAsia="zh-CN"/>
        </w:rPr>
        <w:t>（五）对于本协议签署前、签署过程及履行等过程中，乙方所接触到的甲方及甲方关联单位的保密信息，乙方应依据本协议约定履行保密义务。</w:t>
      </w:r>
      <w:bookmarkEnd w:id="233"/>
      <w:bookmarkEnd w:id="234"/>
      <w:bookmarkEnd w:id="235"/>
    </w:p>
    <w:p w14:paraId="57FEEB91">
      <w:pPr>
        <w:pStyle w:val="127"/>
        <w:pageBreakBefore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color w:val="auto"/>
          <w:kern w:val="2"/>
          <w:sz w:val="21"/>
          <w:szCs w:val="21"/>
          <w:highlight w:val="none"/>
          <w:lang w:eastAsia="zh-CN"/>
        </w:rPr>
      </w:pPr>
      <w:bookmarkStart w:id="236" w:name="_Toc132707373"/>
      <w:bookmarkStart w:id="237" w:name="_Toc2129"/>
      <w:bookmarkStart w:id="238" w:name="_Toc1925938929"/>
      <w:r>
        <w:rPr>
          <w:rFonts w:hint="eastAsia" w:ascii="宋体" w:hAnsi="宋体" w:eastAsia="宋体" w:cs="宋体"/>
          <w:bCs/>
          <w:color w:val="auto"/>
          <w:kern w:val="2"/>
          <w:sz w:val="21"/>
          <w:szCs w:val="21"/>
          <w:highlight w:val="none"/>
          <w:lang w:eastAsia="zh-CN"/>
        </w:rPr>
        <w:t>（六）</w:t>
      </w:r>
      <w:r>
        <w:rPr>
          <w:rFonts w:hint="eastAsia" w:ascii="宋体" w:hAnsi="宋体" w:eastAsia="宋体" w:cs="宋体"/>
          <w:color w:val="auto"/>
          <w:kern w:val="2"/>
          <w:sz w:val="21"/>
          <w:szCs w:val="21"/>
          <w:highlight w:val="none"/>
          <w:lang w:eastAsia="zh-CN"/>
        </w:rPr>
        <w:t>甲方如发现乙方存在涉及保密信息保护措施缺失、数据滥用、严重泄露等问题，甲方有权按照本协议相关条款进行处理，并且对于已产生的实际损失和不良影响，由乙方全责承担。</w:t>
      </w:r>
      <w:bookmarkEnd w:id="236"/>
      <w:bookmarkEnd w:id="237"/>
      <w:bookmarkEnd w:id="238"/>
    </w:p>
    <w:p w14:paraId="206583DC">
      <w:pPr>
        <w:pStyle w:val="127"/>
        <w:pageBreakBefore w:val="0"/>
        <w:widowControl w:val="0"/>
        <w:tabs>
          <w:tab w:val="left" w:pos="709"/>
        </w:tabs>
        <w:kinsoku/>
        <w:wordWrap/>
        <w:overflowPunct/>
        <w:topLinePunct w:val="0"/>
        <w:autoSpaceDE/>
        <w:autoSpaceDN/>
        <w:bidi w:val="0"/>
        <w:adjustRightInd w:val="0"/>
        <w:snapToGrid w:val="0"/>
        <w:spacing w:beforeLines="0" w:after="0" w:afterLines="0" w:line="400" w:lineRule="exact"/>
        <w:ind w:firstLine="425" w:firstLineChars="202"/>
        <w:jc w:val="both"/>
        <w:textAlignment w:val="auto"/>
        <w:outlineLvl w:val="9"/>
        <w:rPr>
          <w:rFonts w:hint="eastAsia" w:ascii="宋体" w:hAnsi="宋体" w:eastAsia="宋体" w:cs="宋体"/>
          <w:b/>
          <w:color w:val="auto"/>
          <w:kern w:val="2"/>
          <w:sz w:val="21"/>
          <w:szCs w:val="21"/>
          <w:highlight w:val="none"/>
          <w:lang w:eastAsia="zh-CN"/>
        </w:rPr>
      </w:pPr>
      <w:bookmarkStart w:id="239" w:name="_Toc132707374"/>
      <w:bookmarkStart w:id="240" w:name="_Toc1127185982"/>
      <w:bookmarkStart w:id="241" w:name="_Toc10877"/>
      <w:r>
        <w:rPr>
          <w:rFonts w:hint="eastAsia" w:ascii="宋体" w:hAnsi="宋体" w:eastAsia="宋体" w:cs="宋体"/>
          <w:b/>
          <w:color w:val="auto"/>
          <w:kern w:val="2"/>
          <w:sz w:val="21"/>
          <w:szCs w:val="21"/>
          <w:highlight w:val="none"/>
          <w:lang w:eastAsia="zh-CN"/>
        </w:rPr>
        <w:t>四、保密期限</w:t>
      </w:r>
      <w:bookmarkEnd w:id="239"/>
      <w:bookmarkEnd w:id="240"/>
      <w:bookmarkEnd w:id="241"/>
    </w:p>
    <w:p w14:paraId="594F5D68">
      <w:pPr>
        <w:pStyle w:val="127"/>
        <w:pageBreakBefore w:val="0"/>
        <w:tabs>
          <w:tab w:val="left" w:pos="0"/>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color w:val="auto"/>
          <w:kern w:val="2"/>
          <w:sz w:val="21"/>
          <w:szCs w:val="21"/>
          <w:highlight w:val="none"/>
          <w:lang w:eastAsia="zh-CN"/>
        </w:rPr>
      </w:pPr>
      <w:bookmarkStart w:id="242" w:name="_Toc28068"/>
      <w:bookmarkStart w:id="243" w:name="_Toc132707375"/>
      <w:bookmarkStart w:id="244" w:name="_Toc1266928463"/>
      <w:r>
        <w:rPr>
          <w:rFonts w:hint="eastAsia" w:ascii="宋体" w:hAnsi="宋体" w:eastAsia="宋体" w:cs="宋体"/>
          <w:color w:val="auto"/>
          <w:kern w:val="2"/>
          <w:sz w:val="21"/>
          <w:szCs w:val="21"/>
          <w:highlight w:val="none"/>
          <w:lang w:eastAsia="zh-CN"/>
        </w:rPr>
        <w:t>（一）乙方保密的义务长期有效。无论双方业务/合作协议是否成立、届满、终止或被取代，乙方的保密义务应持续有效，直到甲方以书面形式明确说明解除乙方此项义务，或事实上不会因违反保密义务而给甲方造成任何形式的损害时为止；</w:t>
      </w:r>
      <w:bookmarkEnd w:id="242"/>
      <w:bookmarkEnd w:id="243"/>
      <w:bookmarkEnd w:id="244"/>
    </w:p>
    <w:p w14:paraId="0A427F28">
      <w:pPr>
        <w:pStyle w:val="127"/>
        <w:pageBreakBefore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color w:val="auto"/>
          <w:kern w:val="2"/>
          <w:sz w:val="21"/>
          <w:szCs w:val="21"/>
          <w:highlight w:val="none"/>
          <w:lang w:eastAsia="zh-CN"/>
        </w:rPr>
      </w:pPr>
      <w:bookmarkStart w:id="245" w:name="_Toc12255"/>
      <w:bookmarkStart w:id="246" w:name="_Toc914130467"/>
      <w:bookmarkStart w:id="247" w:name="_Toc132707376"/>
      <w:r>
        <w:rPr>
          <w:rFonts w:hint="eastAsia" w:ascii="宋体" w:hAnsi="宋体" w:eastAsia="宋体" w:cs="宋体"/>
          <w:color w:val="auto"/>
          <w:kern w:val="2"/>
          <w:sz w:val="21"/>
          <w:szCs w:val="21"/>
          <w:highlight w:val="none"/>
          <w:lang w:eastAsia="zh-CN"/>
        </w:rPr>
        <w:t>（二）双方业务/合作终止后，乙方应及时将承载保密信息的介质原件及复制件全部返还甲方，或对复制件进行彻底销毁，或按甲方要求的其他形式处理。最迟不得超过甲方发出交还或处理通知之日起三十日。</w:t>
      </w:r>
      <w:bookmarkEnd w:id="245"/>
      <w:bookmarkEnd w:id="246"/>
      <w:bookmarkEnd w:id="247"/>
    </w:p>
    <w:p w14:paraId="697A33F9">
      <w:pPr>
        <w:pStyle w:val="127"/>
        <w:pageBreakBefore w:val="0"/>
        <w:widowControl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b/>
          <w:color w:val="auto"/>
          <w:kern w:val="2"/>
          <w:sz w:val="21"/>
          <w:szCs w:val="21"/>
          <w:highlight w:val="none"/>
          <w:lang w:eastAsia="zh-CN"/>
        </w:rPr>
      </w:pPr>
      <w:bookmarkStart w:id="248" w:name="_Toc27660"/>
      <w:bookmarkStart w:id="249" w:name="_Toc132707377"/>
      <w:bookmarkStart w:id="250" w:name="_Toc512442950"/>
      <w:r>
        <w:rPr>
          <w:rFonts w:hint="eastAsia" w:ascii="宋体" w:hAnsi="宋体" w:eastAsia="宋体" w:cs="宋体"/>
          <w:b/>
          <w:color w:val="auto"/>
          <w:kern w:val="2"/>
          <w:sz w:val="21"/>
          <w:szCs w:val="21"/>
          <w:highlight w:val="none"/>
          <w:lang w:eastAsia="zh-CN"/>
        </w:rPr>
        <w:t>五、违约责任</w:t>
      </w:r>
      <w:bookmarkEnd w:id="248"/>
      <w:bookmarkEnd w:id="249"/>
      <w:bookmarkEnd w:id="250"/>
    </w:p>
    <w:p w14:paraId="59796A81">
      <w:pPr>
        <w:pageBreakBefore w:val="0"/>
        <w:widowControl/>
        <w:kinsoku/>
        <w:wordWrap/>
        <w:overflowPunct/>
        <w:topLinePunct w:val="0"/>
        <w:autoSpaceDE/>
        <w:autoSpaceDN/>
        <w:bidi w:val="0"/>
        <w:adjustRightInd w:val="0"/>
        <w:snapToGrid w:val="0"/>
        <w:spacing w:beforeLines="0" w:afterLines="0" w:line="400" w:lineRule="exact"/>
        <w:ind w:firstLine="424" w:firstLineChars="202"/>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（一）如乙方有违反本协议的情形，无论故意与过失，应当立即停止侵害，并在第一时间采取一切必要措施防止保密信息的扩散，尽最大可能消除影响；</w:t>
      </w:r>
    </w:p>
    <w:p w14:paraId="35384FA7">
      <w:pPr>
        <w:pageBreakBefore w:val="0"/>
        <w:widowControl/>
        <w:kinsoku/>
        <w:wordWrap/>
        <w:overflowPunct/>
        <w:topLinePunct w:val="0"/>
        <w:autoSpaceDE/>
        <w:autoSpaceDN/>
        <w:bidi w:val="0"/>
        <w:adjustRightInd w:val="0"/>
        <w:snapToGrid w:val="0"/>
        <w:spacing w:beforeLines="0" w:afterLines="0" w:line="400" w:lineRule="exact"/>
        <w:ind w:firstLine="424" w:firstLineChars="202"/>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（二）乙方未履行或未完全履行本协议项下的条款均构成违约，乙方应赔偿因此而给甲方造成的一切损失，包括但不限于甲方因调查违约行为、仲裁、诉讼、聘请律师、保全等而支付的合理费用和开支。</w:t>
      </w:r>
    </w:p>
    <w:p w14:paraId="16675B7F">
      <w:pPr>
        <w:pageBreakBefore w:val="0"/>
        <w:kinsoku/>
        <w:wordWrap/>
        <w:overflowPunct/>
        <w:topLinePunct w:val="0"/>
        <w:autoSpaceDE/>
        <w:autoSpaceDN/>
        <w:bidi w:val="0"/>
        <w:adjustRightInd w:val="0"/>
        <w:snapToGrid w:val="0"/>
        <w:spacing w:beforeLines="0" w:afterLines="0" w:line="400" w:lineRule="exact"/>
        <w:ind w:firstLine="420"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六、其他</w:t>
      </w:r>
    </w:p>
    <w:p w14:paraId="5BDB0248">
      <w:pPr>
        <w:pageBreakBefore w:val="0"/>
        <w:kinsoku/>
        <w:wordWrap/>
        <w:overflowPunct/>
        <w:topLinePunct w:val="0"/>
        <w:autoSpaceDE/>
        <w:autoSpaceDN/>
        <w:bidi w:val="0"/>
        <w:adjustRightInd w:val="0"/>
        <w:snapToGrid w:val="0"/>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（一）本协议适用中华人民共和国法律法规的规定，凡因本协议引起的或与本协议有关的任何争议，双方可通过协商解决。协商不成则将争议提交甲方所在地有管辖权的人民法院通过诉讼方式解决。</w:t>
      </w:r>
    </w:p>
    <w:p w14:paraId="7FA0A4A9">
      <w:pPr>
        <w:pageBreakBefore w:val="0"/>
        <w:kinsoku/>
        <w:wordWrap/>
        <w:overflowPunct/>
        <w:topLinePunct w:val="0"/>
        <w:autoSpaceDE/>
        <w:autoSpaceDN/>
        <w:bidi w:val="0"/>
        <w:adjustRightInd w:val="0"/>
        <w:snapToGrid w:val="0"/>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合作过程中，甲方披露的保密信息的权属可能归属于甲方的关联公司，乙方同意该等信息的保密按本协议约定履行。本协议所指甲方关联公司为：甲方在签订本协议时或将来直接或间接控制该方、或由该方控制、或与该方共同受他方控制的任何实体。</w:t>
      </w:r>
    </w:p>
    <w:p w14:paraId="52F148A6">
      <w:pPr>
        <w:pageBreakBefore w:val="0"/>
        <w:kinsoku/>
        <w:wordWrap/>
        <w:overflowPunct/>
        <w:topLinePunct w:val="0"/>
        <w:autoSpaceDE/>
        <w:autoSpaceDN/>
        <w:bidi w:val="0"/>
        <w:adjustRightInd w:val="0"/>
        <w:snapToGrid w:val="0"/>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（三）本协议之条款非经双方签署书面文件不得加以修改、放弃。</w:t>
      </w:r>
    </w:p>
    <w:p w14:paraId="37C2E195">
      <w:pPr>
        <w:pageBreakBefore w:val="0"/>
        <w:kinsoku/>
        <w:wordWrap/>
        <w:overflowPunct/>
        <w:topLinePunct w:val="0"/>
        <w:autoSpaceDE/>
        <w:autoSpaceDN/>
        <w:bidi w:val="0"/>
        <w:adjustRightInd w:val="0"/>
        <w:snapToGrid w:val="0"/>
        <w:spacing w:beforeLines="0" w:afterLines="0" w:line="400" w:lineRule="exact"/>
        <w:ind w:firstLine="420" w:firstLineChars="200"/>
        <w:textAlignment w:val="auto"/>
        <w:rPr>
          <w:rFonts w:hint="eastAsia" w:ascii="宋体" w:hAnsi="宋体" w:eastAsia="宋体" w:cs="宋体"/>
          <w:color w:val="auto"/>
          <w:sz w:val="21"/>
          <w:szCs w:val="21"/>
          <w:highlight w:val="none"/>
        </w:rPr>
      </w:pPr>
    </w:p>
    <w:tbl>
      <w:tblPr>
        <w:tblStyle w:val="39"/>
        <w:tblW w:w="0" w:type="auto"/>
        <w:tblInd w:w="122" w:type="dxa"/>
        <w:tblLayout w:type="fixed"/>
        <w:tblCellMar>
          <w:top w:w="0" w:type="dxa"/>
          <w:left w:w="108" w:type="dxa"/>
          <w:bottom w:w="0" w:type="dxa"/>
          <w:right w:w="108" w:type="dxa"/>
        </w:tblCellMar>
      </w:tblPr>
      <w:tblGrid>
        <w:gridCol w:w="4070"/>
        <w:gridCol w:w="4213"/>
      </w:tblGrid>
      <w:tr w14:paraId="4F17F05E">
        <w:trPr>
          <w:trHeight w:val="981" w:hRule="atLeast"/>
        </w:trPr>
        <w:tc>
          <w:tcPr>
            <w:tcW w:w="4070" w:type="dxa"/>
            <w:noWrap w:val="0"/>
            <w:vAlign w:val="top"/>
          </w:tcPr>
          <w:p w14:paraId="5B4E2ACD">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甲方：广西壮族自治区生态环境厅</w:t>
            </w:r>
          </w:p>
        </w:tc>
        <w:tc>
          <w:tcPr>
            <w:tcW w:w="4213" w:type="dxa"/>
            <w:noWrap w:val="0"/>
            <w:vAlign w:val="top"/>
          </w:tcPr>
          <w:p w14:paraId="5535437C">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rPr>
              <w:t>乙方：</w:t>
            </w:r>
            <w:r>
              <w:rPr>
                <w:rFonts w:hint="eastAsia" w:ascii="宋体" w:hAnsi="宋体" w:eastAsia="宋体" w:cs="宋体"/>
                <w:b/>
                <w:bCs/>
                <w:color w:val="auto"/>
                <w:sz w:val="21"/>
                <w:szCs w:val="21"/>
                <w:highlight w:val="none"/>
                <w:lang w:val="en-US" w:eastAsia="zh-CN"/>
              </w:rPr>
              <w:t xml:space="preserve"> </w:t>
            </w:r>
          </w:p>
        </w:tc>
      </w:tr>
      <w:tr w14:paraId="1A196CD7">
        <w:trPr>
          <w:trHeight w:val="1050" w:hRule="atLeast"/>
        </w:trPr>
        <w:tc>
          <w:tcPr>
            <w:tcW w:w="4070" w:type="dxa"/>
            <w:noWrap w:val="0"/>
            <w:vAlign w:val="top"/>
          </w:tcPr>
          <w:p w14:paraId="4769E209">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法定代表人（负责人）</w:t>
            </w:r>
            <w:r>
              <w:rPr>
                <w:rFonts w:hint="eastAsia" w:ascii="宋体" w:hAnsi="宋体" w:eastAsia="宋体" w:cs="宋体"/>
                <w:b/>
                <w:bCs/>
                <w:color w:val="auto"/>
                <w:sz w:val="21"/>
                <w:szCs w:val="21"/>
                <w:highlight w:val="none"/>
                <w:lang w:eastAsia="zh-CN"/>
              </w:rPr>
              <w:t>或授权代表</w:t>
            </w:r>
            <w:r>
              <w:rPr>
                <w:rFonts w:hint="eastAsia" w:ascii="宋体" w:hAnsi="宋体" w:eastAsia="宋体" w:cs="宋体"/>
                <w:b/>
                <w:bCs/>
                <w:color w:val="auto"/>
                <w:sz w:val="21"/>
                <w:szCs w:val="21"/>
                <w:highlight w:val="none"/>
              </w:rPr>
              <w:t>：</w:t>
            </w:r>
          </w:p>
          <w:p w14:paraId="2A78C027">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b/>
                <w:bCs/>
                <w:color w:val="auto"/>
                <w:sz w:val="21"/>
                <w:szCs w:val="21"/>
                <w:highlight w:val="none"/>
              </w:rPr>
            </w:pPr>
          </w:p>
          <w:p w14:paraId="6B9754E9">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b/>
                <w:bCs/>
                <w:color w:val="auto"/>
                <w:sz w:val="21"/>
                <w:szCs w:val="21"/>
                <w:highlight w:val="none"/>
              </w:rPr>
            </w:pPr>
          </w:p>
        </w:tc>
        <w:tc>
          <w:tcPr>
            <w:tcW w:w="4213" w:type="dxa"/>
            <w:noWrap w:val="0"/>
            <w:vAlign w:val="top"/>
          </w:tcPr>
          <w:p w14:paraId="5663C4DC">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法定代表人（负责人）</w:t>
            </w:r>
            <w:r>
              <w:rPr>
                <w:rFonts w:hint="eastAsia" w:ascii="宋体" w:hAnsi="宋体" w:eastAsia="宋体" w:cs="宋体"/>
                <w:b/>
                <w:bCs/>
                <w:color w:val="auto"/>
                <w:sz w:val="21"/>
                <w:szCs w:val="21"/>
                <w:highlight w:val="none"/>
                <w:lang w:eastAsia="zh-CN"/>
              </w:rPr>
              <w:t>或授权代表</w:t>
            </w:r>
            <w:r>
              <w:rPr>
                <w:rFonts w:hint="eastAsia" w:ascii="宋体" w:hAnsi="宋体" w:eastAsia="宋体" w:cs="宋体"/>
                <w:b/>
                <w:bCs/>
                <w:color w:val="auto"/>
                <w:sz w:val="21"/>
                <w:szCs w:val="21"/>
                <w:highlight w:val="none"/>
              </w:rPr>
              <w:t>：</w:t>
            </w:r>
          </w:p>
          <w:p w14:paraId="3990B855">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b/>
                <w:bCs/>
                <w:color w:val="auto"/>
                <w:sz w:val="21"/>
                <w:szCs w:val="21"/>
                <w:highlight w:val="none"/>
                <w:lang w:val="en-US" w:eastAsia="zh-CN"/>
              </w:rPr>
            </w:pPr>
          </w:p>
          <w:p w14:paraId="2469A29E">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b/>
                <w:bCs/>
                <w:color w:val="auto"/>
                <w:sz w:val="21"/>
                <w:szCs w:val="21"/>
                <w:highlight w:val="none"/>
                <w:lang w:val="en-US" w:eastAsia="zh-CN"/>
              </w:rPr>
            </w:pPr>
          </w:p>
        </w:tc>
      </w:tr>
      <w:tr w14:paraId="600DDDE6">
        <w:trPr>
          <w:trHeight w:val="601" w:hRule="atLeast"/>
        </w:trPr>
        <w:tc>
          <w:tcPr>
            <w:tcW w:w="4070" w:type="dxa"/>
            <w:noWrap w:val="0"/>
            <w:vAlign w:val="top"/>
          </w:tcPr>
          <w:p w14:paraId="0C22AEE7">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年</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 xml:space="preserve">  月 </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 xml:space="preserve"> 日</w:t>
            </w:r>
          </w:p>
        </w:tc>
        <w:tc>
          <w:tcPr>
            <w:tcW w:w="4213" w:type="dxa"/>
            <w:noWrap w:val="0"/>
            <w:vAlign w:val="top"/>
          </w:tcPr>
          <w:p w14:paraId="3A8B9AE2">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 xml:space="preserve">年  </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 xml:space="preserve">月 </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 xml:space="preserve"> 日</w:t>
            </w:r>
          </w:p>
        </w:tc>
      </w:tr>
    </w:tbl>
    <w:p w14:paraId="3E6C5C5B">
      <w:pPr>
        <w:rPr>
          <w:rFonts w:hint="eastAsia" w:ascii="宋体" w:hAnsi="宋体" w:eastAsia="宋体" w:cs="宋体"/>
          <w:color w:val="auto"/>
          <w:sz w:val="21"/>
          <w:szCs w:val="21"/>
          <w:highlight w:val="none"/>
        </w:rPr>
      </w:pPr>
    </w:p>
    <w:p w14:paraId="5EABB75F">
      <w:pPr>
        <w:pageBreakBefore w:val="0"/>
        <w:kinsoku/>
        <w:wordWrap/>
        <w:overflowPunct/>
        <w:topLinePunct w:val="0"/>
        <w:autoSpaceDE/>
        <w:autoSpaceDN/>
        <w:bidi w:val="0"/>
        <w:spacing w:beforeLines="0" w:afterLines="0" w:line="400" w:lineRule="exact"/>
        <w:textAlignment w:val="auto"/>
        <w:rPr>
          <w:rFonts w:hint="eastAsia" w:ascii="宋体" w:hAnsi="宋体" w:eastAsia="宋体" w:cs="宋体"/>
          <w:color w:val="auto"/>
          <w:sz w:val="21"/>
          <w:szCs w:val="21"/>
          <w:highlight w:val="none"/>
        </w:rPr>
      </w:pPr>
    </w:p>
    <w:p w14:paraId="508DA496">
      <w:pPr>
        <w:keepNext w:val="0"/>
        <w:keepLines w:val="0"/>
        <w:pageBreakBefore w:val="0"/>
        <w:widowControl w:val="0"/>
        <w:kinsoku/>
        <w:wordWrap/>
        <w:overflowPunct/>
        <w:topLinePunct w:val="0"/>
        <w:autoSpaceDE/>
        <w:autoSpaceDN/>
        <w:bidi w:val="0"/>
        <w:adjustRightInd/>
        <w:snapToGrid/>
        <w:spacing w:beforeLines="0" w:afterLines="0" w:line="360" w:lineRule="auto"/>
        <w:ind w:firstLine="420" w:firstLineChars="200"/>
        <w:jc w:val="both"/>
        <w:textAlignment w:val="auto"/>
        <w:rPr>
          <w:rFonts w:hint="eastAsia" w:ascii="宋体" w:hAnsi="宋体" w:eastAsia="宋体" w:cs="宋体"/>
          <w:b/>
          <w:bCs/>
          <w:color w:val="auto"/>
          <w:sz w:val="21"/>
          <w:szCs w:val="21"/>
          <w:highlight w:val="none"/>
        </w:rPr>
      </w:pPr>
    </w:p>
    <w:p w14:paraId="477653E9">
      <w:pPr>
        <w:pStyle w:val="46"/>
        <w:spacing w:beforeLines="0" w:after="0" w:afterLines="0" w:line="600" w:lineRule="exact"/>
        <w:rPr>
          <w:rFonts w:hint="eastAsia" w:ascii="仿宋" w:hAnsi="仿宋" w:eastAsia="仿宋" w:cs="仿宋"/>
          <w:b/>
          <w:bCs/>
          <w:color w:val="auto"/>
          <w:sz w:val="32"/>
          <w:szCs w:val="32"/>
          <w:highlight w:val="none"/>
        </w:rPr>
      </w:pPr>
    </w:p>
    <w:p w14:paraId="2CEE5039">
      <w:pPr>
        <w:snapToGrid w:val="0"/>
        <w:spacing w:line="360" w:lineRule="auto"/>
        <w:jc w:val="center"/>
        <w:rPr>
          <w:rFonts w:hint="eastAsia" w:ascii="宋体" w:hAnsi="宋体" w:cs="宋体"/>
          <w:bCs/>
          <w:color w:val="auto"/>
          <w:sz w:val="32"/>
          <w:szCs w:val="32"/>
          <w:highlight w:val="none"/>
        </w:rPr>
      </w:pPr>
      <w:r>
        <w:rPr>
          <w:rFonts w:hint="eastAsia" w:ascii="宋体" w:hAnsi="宋体" w:cs="宋体"/>
          <w:b/>
          <w:color w:val="auto"/>
          <w:szCs w:val="21"/>
          <w:highlight w:val="none"/>
        </w:rPr>
        <w:br w:type="page"/>
      </w:r>
    </w:p>
    <w:p w14:paraId="617FC525">
      <w:pPr>
        <w:pStyle w:val="3"/>
        <w:jc w:val="center"/>
        <w:rPr>
          <w:rFonts w:hint="eastAsia" w:ascii="宋体" w:hAnsi="宋体" w:cs="宋体"/>
          <w:color w:val="auto"/>
          <w:highlight w:val="none"/>
        </w:rPr>
      </w:pPr>
      <w:bookmarkStart w:id="251" w:name="_Toc30294"/>
      <w:bookmarkStart w:id="252" w:name="_Toc20718"/>
      <w:bookmarkStart w:id="253" w:name="_Toc25427"/>
    </w:p>
    <w:p w14:paraId="192A34D2">
      <w:pPr>
        <w:pStyle w:val="3"/>
        <w:jc w:val="center"/>
        <w:rPr>
          <w:rFonts w:hint="eastAsia" w:ascii="宋体" w:hAnsi="宋体" w:cs="宋体"/>
          <w:color w:val="auto"/>
          <w:highlight w:val="none"/>
        </w:rPr>
      </w:pPr>
      <w:r>
        <w:rPr>
          <w:rFonts w:hint="eastAsia" w:ascii="宋体" w:hAnsi="宋体" w:cs="宋体"/>
          <w:color w:val="auto"/>
          <w:highlight w:val="none"/>
        </w:rPr>
        <w:t>第六章　投标文件格式</w:t>
      </w:r>
      <w:bookmarkEnd w:id="251"/>
      <w:bookmarkEnd w:id="252"/>
      <w:bookmarkEnd w:id="253"/>
    </w:p>
    <w:p w14:paraId="20F2819B">
      <w:pPr>
        <w:snapToGrid w:val="0"/>
        <w:spacing w:before="50" w:after="50"/>
        <w:rPr>
          <w:rFonts w:hint="eastAsia" w:ascii="宋体" w:hAnsi="宋体" w:cs="宋体"/>
          <w:color w:val="auto"/>
          <w:sz w:val="32"/>
          <w:szCs w:val="20"/>
          <w:highlight w:val="none"/>
        </w:rPr>
      </w:pPr>
    </w:p>
    <w:p w14:paraId="5684AE93">
      <w:pPr>
        <w:snapToGrid w:val="0"/>
        <w:spacing w:before="50" w:after="50"/>
        <w:rPr>
          <w:rFonts w:hint="eastAsia" w:ascii="宋体" w:hAnsi="宋体" w:cs="宋体"/>
          <w:color w:val="auto"/>
          <w:sz w:val="32"/>
          <w:szCs w:val="20"/>
          <w:highlight w:val="none"/>
        </w:rPr>
      </w:pPr>
    </w:p>
    <w:p w14:paraId="69B4E796">
      <w:pPr>
        <w:snapToGrid w:val="0"/>
        <w:spacing w:before="50" w:after="50"/>
        <w:rPr>
          <w:rFonts w:hint="eastAsia" w:ascii="宋体" w:hAnsi="宋体" w:cs="宋体"/>
          <w:color w:val="auto"/>
          <w:sz w:val="32"/>
          <w:szCs w:val="20"/>
          <w:highlight w:val="none"/>
        </w:rPr>
      </w:pPr>
    </w:p>
    <w:p w14:paraId="622E724D">
      <w:pPr>
        <w:snapToGrid w:val="0"/>
        <w:spacing w:before="50" w:after="50"/>
        <w:rPr>
          <w:rFonts w:hint="eastAsia" w:ascii="宋体" w:hAnsi="宋体" w:cs="宋体"/>
          <w:color w:val="auto"/>
          <w:sz w:val="32"/>
          <w:szCs w:val="20"/>
          <w:highlight w:val="none"/>
        </w:rPr>
      </w:pPr>
    </w:p>
    <w:p w14:paraId="6AC39249">
      <w:pPr>
        <w:snapToGrid w:val="0"/>
        <w:spacing w:before="50" w:after="50"/>
        <w:rPr>
          <w:rFonts w:hint="eastAsia" w:ascii="宋体" w:hAnsi="宋体" w:cs="宋体"/>
          <w:color w:val="auto"/>
          <w:sz w:val="32"/>
          <w:szCs w:val="20"/>
          <w:highlight w:val="none"/>
        </w:rPr>
      </w:pPr>
    </w:p>
    <w:p w14:paraId="1E91AD27">
      <w:pPr>
        <w:snapToGrid w:val="0"/>
        <w:spacing w:before="50" w:after="50"/>
        <w:rPr>
          <w:rFonts w:hint="eastAsia" w:ascii="宋体" w:hAnsi="宋体" w:cs="宋体"/>
          <w:color w:val="auto"/>
          <w:sz w:val="32"/>
          <w:szCs w:val="20"/>
          <w:highlight w:val="none"/>
        </w:rPr>
      </w:pPr>
    </w:p>
    <w:p w14:paraId="58F9D42E">
      <w:pPr>
        <w:snapToGrid w:val="0"/>
        <w:spacing w:before="50" w:after="50"/>
        <w:rPr>
          <w:rFonts w:hint="eastAsia" w:ascii="宋体" w:hAnsi="宋体" w:cs="宋体"/>
          <w:color w:val="auto"/>
          <w:sz w:val="32"/>
          <w:szCs w:val="20"/>
          <w:highlight w:val="none"/>
        </w:rPr>
      </w:pPr>
    </w:p>
    <w:p w14:paraId="2BB5C806">
      <w:pPr>
        <w:snapToGrid w:val="0"/>
        <w:spacing w:before="50" w:after="50"/>
        <w:rPr>
          <w:rFonts w:hint="eastAsia" w:ascii="宋体" w:hAnsi="宋体" w:cs="宋体"/>
          <w:color w:val="auto"/>
          <w:sz w:val="32"/>
          <w:szCs w:val="20"/>
          <w:highlight w:val="none"/>
        </w:rPr>
      </w:pPr>
    </w:p>
    <w:p w14:paraId="7E77AFF8">
      <w:pPr>
        <w:outlineLvl w:val="1"/>
        <w:rPr>
          <w:rFonts w:hint="eastAsia" w:ascii="宋体" w:hAnsi="宋体" w:cs="宋体"/>
          <w:b/>
          <w:color w:val="auto"/>
          <w:sz w:val="28"/>
          <w:szCs w:val="28"/>
          <w:highlight w:val="none"/>
        </w:rPr>
      </w:pPr>
      <w:r>
        <w:rPr>
          <w:rFonts w:hint="eastAsia" w:ascii="宋体" w:hAnsi="宋体" w:cs="宋体"/>
          <w:color w:val="auto"/>
          <w:sz w:val="32"/>
          <w:szCs w:val="20"/>
          <w:highlight w:val="none"/>
        </w:rPr>
        <w:br w:type="page"/>
      </w:r>
      <w:bookmarkStart w:id="254" w:name="_Toc7400"/>
      <w:bookmarkStart w:id="255" w:name="_Toc19686836"/>
      <w:bookmarkStart w:id="256" w:name="_Toc2369"/>
      <w:bookmarkStart w:id="257" w:name="_Toc254970698"/>
      <w:bookmarkStart w:id="258" w:name="_Toc254970557"/>
      <w:r>
        <w:rPr>
          <w:rFonts w:hint="eastAsia" w:ascii="宋体" w:hAnsi="宋体" w:cs="宋体"/>
          <w:b/>
          <w:color w:val="auto"/>
          <w:sz w:val="28"/>
          <w:szCs w:val="28"/>
          <w:highlight w:val="none"/>
        </w:rPr>
        <w:t>一、报价文件格式</w:t>
      </w:r>
      <w:bookmarkEnd w:id="254"/>
      <w:bookmarkEnd w:id="255"/>
      <w:bookmarkEnd w:id="256"/>
    </w:p>
    <w:p w14:paraId="6B714A9C">
      <w:pPr>
        <w:snapToGrid w:val="0"/>
        <w:spacing w:before="120" w:beforeLines="50" w:after="50" w:line="360" w:lineRule="auto"/>
        <w:ind w:left="142"/>
        <w:jc w:val="left"/>
        <w:rPr>
          <w:rFonts w:hint="eastAsia" w:ascii="宋体" w:hAnsi="宋体" w:cs="宋体"/>
          <w:color w:val="auto"/>
          <w:sz w:val="24"/>
          <w:szCs w:val="20"/>
          <w:highlight w:val="none"/>
        </w:rPr>
      </w:pPr>
      <w:r>
        <w:rPr>
          <w:rFonts w:hint="eastAsia" w:ascii="宋体" w:hAnsi="宋体" w:cs="宋体"/>
          <w:b/>
          <w:color w:val="auto"/>
          <w:sz w:val="24"/>
          <w:highlight w:val="none"/>
        </w:rPr>
        <w:t xml:space="preserve">1. 报价文件封面格式： </w:t>
      </w:r>
    </w:p>
    <w:p w14:paraId="0D9A6E23">
      <w:pPr>
        <w:snapToGrid w:val="0"/>
        <w:spacing w:before="120" w:beforeLines="50" w:after="50" w:line="360" w:lineRule="auto"/>
        <w:ind w:left="142"/>
        <w:jc w:val="center"/>
        <w:rPr>
          <w:rFonts w:hint="eastAsia" w:ascii="宋体" w:hAnsi="宋体" w:cs="宋体"/>
          <w:bCs/>
          <w:color w:val="auto"/>
          <w:sz w:val="48"/>
          <w:szCs w:val="48"/>
          <w:highlight w:val="none"/>
        </w:rPr>
      </w:pPr>
      <w:r>
        <w:rPr>
          <w:rFonts w:hint="eastAsia" w:ascii="宋体" w:hAnsi="宋体" w:cs="宋体"/>
          <w:bCs/>
          <w:color w:val="auto"/>
          <w:sz w:val="48"/>
          <w:szCs w:val="48"/>
          <w:highlight w:val="none"/>
        </w:rPr>
        <w:t>电子投标文件</w:t>
      </w:r>
    </w:p>
    <w:p w14:paraId="467E215D">
      <w:pPr>
        <w:snapToGrid w:val="0"/>
        <w:spacing w:before="120" w:beforeLines="50" w:after="50" w:line="400" w:lineRule="exact"/>
        <w:rPr>
          <w:rFonts w:hint="eastAsia" w:ascii="宋体" w:hAnsi="宋体" w:cs="宋体"/>
          <w:bCs/>
          <w:color w:val="auto"/>
          <w:sz w:val="32"/>
          <w:szCs w:val="20"/>
          <w:highlight w:val="none"/>
        </w:rPr>
      </w:pPr>
      <w:r>
        <w:rPr>
          <w:rFonts w:hint="eastAsia" w:ascii="宋体" w:hAnsi="宋体" w:cs="宋体"/>
          <w:color w:val="auto"/>
          <w:sz w:val="24"/>
          <w:highlight w:val="none"/>
        </w:rPr>
        <w:t xml:space="preserve">                 </w:t>
      </w:r>
    </w:p>
    <w:p w14:paraId="4522CD2B">
      <w:pPr>
        <w:snapToGrid w:val="0"/>
        <w:spacing w:before="120" w:beforeLines="50" w:after="50" w:line="400" w:lineRule="exact"/>
        <w:jc w:val="center"/>
        <w:rPr>
          <w:rFonts w:hint="eastAsia" w:ascii="宋体" w:hAnsi="宋体" w:cs="宋体"/>
          <w:bCs/>
          <w:color w:val="auto"/>
          <w:sz w:val="24"/>
          <w:szCs w:val="20"/>
          <w:highlight w:val="none"/>
        </w:rPr>
      </w:pPr>
    </w:p>
    <w:p w14:paraId="6AF96BE4">
      <w:pPr>
        <w:snapToGrid w:val="0"/>
        <w:spacing w:before="120" w:beforeLines="50" w:after="50" w:line="400" w:lineRule="exact"/>
        <w:jc w:val="cente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报价文件</w:t>
      </w:r>
    </w:p>
    <w:p w14:paraId="1DD4B84F">
      <w:pPr>
        <w:snapToGrid w:val="0"/>
        <w:spacing w:before="120" w:beforeLines="50" w:after="50" w:line="400" w:lineRule="exact"/>
        <w:rPr>
          <w:rFonts w:hint="eastAsia" w:ascii="宋体" w:hAnsi="宋体" w:cs="宋体"/>
          <w:bCs/>
          <w:color w:val="auto"/>
          <w:sz w:val="24"/>
          <w:szCs w:val="20"/>
          <w:highlight w:val="none"/>
        </w:rPr>
      </w:pPr>
    </w:p>
    <w:p w14:paraId="6B41922A">
      <w:pPr>
        <w:snapToGrid w:val="0"/>
        <w:spacing w:before="120" w:beforeLines="50" w:after="50" w:line="400" w:lineRule="exact"/>
        <w:rPr>
          <w:rFonts w:hint="eastAsia" w:ascii="宋体" w:hAnsi="宋体" w:cs="宋体"/>
          <w:bCs/>
          <w:color w:val="auto"/>
          <w:sz w:val="24"/>
          <w:szCs w:val="20"/>
          <w:highlight w:val="none"/>
        </w:rPr>
      </w:pPr>
    </w:p>
    <w:p w14:paraId="6BFA5E51">
      <w:pPr>
        <w:snapToGrid w:val="0"/>
        <w:spacing w:before="120" w:beforeLines="50" w:after="50" w:line="400" w:lineRule="exact"/>
        <w:rPr>
          <w:rFonts w:hint="eastAsia" w:ascii="宋体" w:hAnsi="宋体" w:cs="宋体"/>
          <w:bCs/>
          <w:color w:val="auto"/>
          <w:sz w:val="24"/>
          <w:szCs w:val="20"/>
          <w:highlight w:val="none"/>
        </w:rPr>
      </w:pPr>
    </w:p>
    <w:p w14:paraId="50A331C3">
      <w:pPr>
        <w:snapToGrid w:val="0"/>
        <w:spacing w:before="120" w:beforeLines="50" w:after="50" w:line="400" w:lineRule="exact"/>
        <w:rPr>
          <w:rFonts w:hint="eastAsia" w:ascii="宋体" w:hAnsi="宋体" w:cs="宋体"/>
          <w:bCs/>
          <w:color w:val="auto"/>
          <w:sz w:val="24"/>
          <w:szCs w:val="20"/>
          <w:highlight w:val="none"/>
        </w:rPr>
      </w:pPr>
    </w:p>
    <w:p w14:paraId="0E008AE9">
      <w:pPr>
        <w:snapToGrid w:val="0"/>
        <w:spacing w:before="120" w:beforeLines="50" w:after="50" w:line="400" w:lineRule="exact"/>
        <w:ind w:firstLine="360" w:firstLineChars="150"/>
        <w:rPr>
          <w:rFonts w:hint="eastAsia" w:ascii="宋体" w:hAnsi="宋体" w:cs="宋体"/>
          <w:bCs/>
          <w:color w:val="auto"/>
          <w:sz w:val="24"/>
          <w:highlight w:val="none"/>
        </w:rPr>
      </w:pPr>
      <w:r>
        <w:rPr>
          <w:rFonts w:hint="eastAsia" w:ascii="宋体" w:hAnsi="宋体" w:cs="宋体"/>
          <w:bCs/>
          <w:color w:val="auto"/>
          <w:sz w:val="24"/>
          <w:highlight w:val="none"/>
        </w:rPr>
        <w:t xml:space="preserve">项目名称： </w:t>
      </w:r>
    </w:p>
    <w:p w14:paraId="5E56B636">
      <w:pPr>
        <w:snapToGrid w:val="0"/>
        <w:spacing w:before="120" w:beforeLines="50" w:after="50" w:line="400" w:lineRule="exact"/>
        <w:ind w:firstLine="360" w:firstLineChars="150"/>
        <w:rPr>
          <w:rFonts w:hint="eastAsia" w:ascii="宋体" w:hAnsi="宋体" w:cs="宋体"/>
          <w:bCs/>
          <w:color w:val="auto"/>
          <w:sz w:val="24"/>
          <w:highlight w:val="none"/>
        </w:rPr>
      </w:pPr>
    </w:p>
    <w:p w14:paraId="7CF29F11">
      <w:pPr>
        <w:snapToGrid w:val="0"/>
        <w:spacing w:before="120" w:beforeLines="50" w:after="50" w:line="400" w:lineRule="exact"/>
        <w:ind w:firstLine="360" w:firstLineChars="150"/>
        <w:rPr>
          <w:rFonts w:hint="eastAsia" w:ascii="宋体" w:hAnsi="宋体" w:cs="宋体"/>
          <w:bCs/>
          <w:color w:val="auto"/>
          <w:sz w:val="24"/>
          <w:highlight w:val="none"/>
        </w:rPr>
      </w:pPr>
      <w:r>
        <w:rPr>
          <w:rFonts w:hint="eastAsia" w:ascii="宋体" w:hAnsi="宋体" w:cs="宋体"/>
          <w:bCs/>
          <w:color w:val="auto"/>
          <w:sz w:val="24"/>
          <w:highlight w:val="none"/>
        </w:rPr>
        <w:t xml:space="preserve">项目编号： </w:t>
      </w:r>
    </w:p>
    <w:p w14:paraId="43C0A92B">
      <w:pPr>
        <w:snapToGrid w:val="0"/>
        <w:spacing w:before="120" w:beforeLines="50" w:after="50" w:line="400" w:lineRule="exact"/>
        <w:ind w:firstLine="360" w:firstLineChars="150"/>
        <w:rPr>
          <w:rFonts w:hint="eastAsia" w:ascii="宋体" w:hAnsi="宋体" w:cs="宋体"/>
          <w:bCs/>
          <w:color w:val="auto"/>
          <w:sz w:val="24"/>
          <w:highlight w:val="none"/>
        </w:rPr>
      </w:pPr>
    </w:p>
    <w:p w14:paraId="5A63D3A7">
      <w:pPr>
        <w:snapToGrid w:val="0"/>
        <w:spacing w:before="120" w:beforeLines="50" w:after="50" w:line="400" w:lineRule="exact"/>
        <w:ind w:firstLine="360" w:firstLineChars="150"/>
        <w:rPr>
          <w:rFonts w:hint="eastAsia" w:ascii="宋体" w:hAnsi="宋体" w:cs="宋体"/>
          <w:bCs/>
          <w:color w:val="auto"/>
          <w:sz w:val="24"/>
          <w:highlight w:val="none"/>
        </w:rPr>
      </w:pPr>
      <w:r>
        <w:rPr>
          <w:rFonts w:hint="eastAsia" w:ascii="宋体" w:hAnsi="宋体" w:cs="宋体"/>
          <w:bCs/>
          <w:color w:val="auto"/>
          <w:sz w:val="24"/>
          <w:highlight w:val="none"/>
        </w:rPr>
        <w:t>所投分标：</w:t>
      </w:r>
    </w:p>
    <w:p w14:paraId="3FC876A5">
      <w:pPr>
        <w:snapToGrid w:val="0"/>
        <w:spacing w:before="120" w:beforeLines="50" w:after="50" w:line="400" w:lineRule="exact"/>
        <w:ind w:firstLine="360" w:firstLineChars="150"/>
        <w:rPr>
          <w:rFonts w:hint="eastAsia" w:ascii="宋体" w:hAnsi="宋体" w:cs="宋体"/>
          <w:bCs/>
          <w:color w:val="auto"/>
          <w:sz w:val="24"/>
          <w:highlight w:val="none"/>
        </w:rPr>
      </w:pPr>
    </w:p>
    <w:p w14:paraId="627FBFA9">
      <w:pPr>
        <w:snapToGrid w:val="0"/>
        <w:spacing w:before="120" w:beforeLines="50" w:after="50" w:line="400" w:lineRule="exact"/>
        <w:ind w:firstLine="360" w:firstLineChars="150"/>
        <w:rPr>
          <w:rFonts w:hint="eastAsia" w:ascii="宋体" w:hAnsi="宋体" w:cs="宋体"/>
          <w:bCs/>
          <w:color w:val="auto"/>
          <w:sz w:val="24"/>
          <w:highlight w:val="none"/>
        </w:rPr>
      </w:pPr>
      <w:r>
        <w:rPr>
          <w:rFonts w:hint="eastAsia" w:ascii="宋体" w:hAnsi="宋体" w:cs="宋体"/>
          <w:bCs/>
          <w:color w:val="auto"/>
          <w:sz w:val="24"/>
          <w:highlight w:val="none"/>
        </w:rPr>
        <w:t>投标人名称：</w:t>
      </w:r>
    </w:p>
    <w:p w14:paraId="74866F94">
      <w:pPr>
        <w:snapToGrid w:val="0"/>
        <w:spacing w:before="120" w:beforeLines="50" w:after="50" w:line="400" w:lineRule="exact"/>
        <w:ind w:firstLine="360" w:firstLineChars="150"/>
        <w:rPr>
          <w:rFonts w:hint="eastAsia" w:ascii="宋体" w:hAnsi="宋体" w:cs="宋体"/>
          <w:bCs/>
          <w:color w:val="auto"/>
          <w:sz w:val="24"/>
          <w:highlight w:val="none"/>
        </w:rPr>
      </w:pPr>
    </w:p>
    <w:p w14:paraId="5DDB6866">
      <w:pPr>
        <w:snapToGrid w:val="0"/>
        <w:spacing w:before="120" w:beforeLines="50" w:after="50" w:line="400" w:lineRule="exact"/>
        <w:ind w:firstLine="360" w:firstLineChars="150"/>
        <w:rPr>
          <w:rFonts w:hint="eastAsia" w:ascii="宋体" w:hAnsi="宋体" w:cs="宋体"/>
          <w:bCs/>
          <w:color w:val="auto"/>
          <w:sz w:val="24"/>
          <w:highlight w:val="none"/>
        </w:rPr>
      </w:pPr>
      <w:r>
        <w:rPr>
          <w:rFonts w:hint="eastAsia" w:ascii="宋体" w:hAnsi="宋体" w:cs="宋体"/>
          <w:bCs/>
          <w:color w:val="auto"/>
          <w:sz w:val="24"/>
          <w:highlight w:val="none"/>
        </w:rPr>
        <w:t>投标人地址：</w:t>
      </w:r>
    </w:p>
    <w:p w14:paraId="1962BB55">
      <w:pPr>
        <w:pStyle w:val="10"/>
        <w:snapToGrid w:val="0"/>
        <w:spacing w:before="50" w:after="50" w:line="400" w:lineRule="exact"/>
        <w:ind w:firstLine="960" w:firstLineChars="400"/>
        <w:rPr>
          <w:rFonts w:hint="eastAsia" w:ascii="宋体" w:hAnsi="宋体" w:cs="宋体"/>
          <w:bCs/>
          <w:color w:val="auto"/>
          <w:sz w:val="24"/>
          <w:szCs w:val="24"/>
          <w:highlight w:val="none"/>
        </w:rPr>
      </w:pPr>
    </w:p>
    <w:p w14:paraId="43931896">
      <w:pPr>
        <w:snapToGrid w:val="0"/>
        <w:spacing w:before="120" w:beforeLines="50" w:after="50" w:line="400" w:lineRule="exact"/>
        <w:rPr>
          <w:rFonts w:hint="eastAsia" w:ascii="宋体" w:hAnsi="宋体" w:cs="宋体"/>
          <w:color w:val="auto"/>
          <w:sz w:val="30"/>
          <w:szCs w:val="20"/>
          <w:highlight w:val="none"/>
        </w:rPr>
      </w:pPr>
      <w:r>
        <w:rPr>
          <w:rFonts w:hint="eastAsia" w:ascii="宋体" w:hAnsi="宋体" w:cs="宋体"/>
          <w:color w:val="auto"/>
          <w:sz w:val="24"/>
          <w:highlight w:val="none"/>
        </w:rPr>
        <w:t xml:space="preserve">                                   年  月  日</w:t>
      </w:r>
    </w:p>
    <w:p w14:paraId="5CD265E3">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left"/>
        <w:textAlignment w:val="auto"/>
        <w:rPr>
          <w:rFonts w:hint="eastAsia" w:ascii="宋体" w:hAnsi="宋体" w:cs="宋体"/>
          <w:color w:val="auto"/>
          <w:sz w:val="24"/>
          <w:szCs w:val="20"/>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2.</w:t>
      </w:r>
      <w:r>
        <w:rPr>
          <w:rFonts w:hint="eastAsia" w:ascii="宋体" w:hAnsi="宋体" w:cs="宋体"/>
          <w:b/>
          <w:bCs/>
          <w:color w:val="auto"/>
          <w:sz w:val="24"/>
          <w:highlight w:val="none"/>
        </w:rPr>
        <w:t>报价文件目录</w:t>
      </w:r>
    </w:p>
    <w:p w14:paraId="633D9070">
      <w:pPr>
        <w:keepNext w:val="0"/>
        <w:keepLines w:val="0"/>
        <w:pageBreakBefore w:val="0"/>
        <w:widowControl w:val="0"/>
        <w:kinsoku/>
        <w:wordWrap/>
        <w:overflowPunct/>
        <w:topLinePunct w:val="0"/>
        <w:autoSpaceDE/>
        <w:autoSpaceDN/>
        <w:bidi w:val="0"/>
        <w:adjustRightInd/>
        <w:snapToGrid w:val="0"/>
        <w:spacing w:before="50" w:after="120" w:afterLines="50" w:line="400" w:lineRule="exact"/>
        <w:jc w:val="left"/>
        <w:textAlignment w:val="auto"/>
        <w:rPr>
          <w:rFonts w:hint="eastAsia" w:ascii="宋体" w:hAnsi="宋体" w:cs="宋体"/>
          <w:b/>
          <w:color w:val="auto"/>
          <w:sz w:val="24"/>
          <w:highlight w:val="none"/>
        </w:rPr>
      </w:pPr>
      <w:r>
        <w:rPr>
          <w:rFonts w:hint="eastAsia" w:ascii="宋体" w:hAnsi="宋体" w:cs="宋体"/>
          <w:color w:val="auto"/>
          <w:szCs w:val="21"/>
          <w:highlight w:val="none"/>
        </w:rPr>
        <w:t>根据招标文件规定及投标人提供的材料自行编写目录。</w:t>
      </w:r>
    </w:p>
    <w:p w14:paraId="3619BCEE">
      <w:pPr>
        <w:snapToGrid w:val="0"/>
        <w:spacing w:before="120" w:beforeLines="50" w:after="50"/>
        <w:rPr>
          <w:rFonts w:hint="eastAsia" w:ascii="宋体" w:hAnsi="宋体" w:cs="宋体"/>
          <w:b/>
          <w:color w:val="auto"/>
          <w:sz w:val="24"/>
          <w:highlight w:val="none"/>
        </w:rPr>
      </w:pPr>
    </w:p>
    <w:p w14:paraId="6587A41D">
      <w:pPr>
        <w:snapToGrid w:val="0"/>
        <w:spacing w:before="120" w:beforeLines="50" w:after="50"/>
        <w:rPr>
          <w:rFonts w:hint="eastAsia" w:ascii="宋体" w:hAnsi="宋体" w:cs="宋体"/>
          <w:b/>
          <w:color w:val="auto"/>
          <w:sz w:val="24"/>
          <w:highlight w:val="none"/>
        </w:rPr>
      </w:pPr>
    </w:p>
    <w:p w14:paraId="590DB7AD">
      <w:pPr>
        <w:snapToGrid w:val="0"/>
        <w:spacing w:before="120" w:beforeLines="50" w:after="50"/>
        <w:rPr>
          <w:rFonts w:hint="eastAsia" w:ascii="宋体" w:hAnsi="宋体" w:cs="宋体"/>
          <w:b/>
          <w:color w:val="auto"/>
          <w:sz w:val="24"/>
          <w:highlight w:val="none"/>
        </w:rPr>
      </w:pPr>
    </w:p>
    <w:p w14:paraId="012AE2EB">
      <w:pPr>
        <w:snapToGrid w:val="0"/>
        <w:spacing w:before="120" w:beforeLines="50" w:after="50"/>
        <w:ind w:left="142"/>
        <w:jc w:val="left"/>
        <w:rPr>
          <w:rFonts w:hint="eastAsia"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3. 投标函格式：</w:t>
      </w:r>
    </w:p>
    <w:p w14:paraId="1D18C58C">
      <w:pPr>
        <w:snapToGrid w:val="0"/>
        <w:spacing w:before="120" w:beforeLines="50" w:after="50"/>
        <w:ind w:left="420"/>
        <w:jc w:val="center"/>
        <w:rPr>
          <w:rFonts w:hint="eastAsia" w:ascii="宋体" w:hAnsi="宋体" w:cs="宋体"/>
          <w:b/>
          <w:bCs/>
          <w:color w:val="auto"/>
          <w:spacing w:val="-17"/>
          <w:sz w:val="30"/>
          <w:szCs w:val="30"/>
          <w:highlight w:val="none"/>
        </w:rPr>
      </w:pPr>
      <w:r>
        <w:rPr>
          <w:rFonts w:hint="eastAsia" w:ascii="宋体" w:hAnsi="宋体" w:cs="宋体"/>
          <w:b/>
          <w:bCs/>
          <w:color w:val="auto"/>
          <w:spacing w:val="-17"/>
          <w:sz w:val="30"/>
          <w:szCs w:val="30"/>
          <w:highlight w:val="none"/>
        </w:rPr>
        <w:t>投 标 函</w:t>
      </w:r>
    </w:p>
    <w:p w14:paraId="4F21EF8A">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cs="宋体"/>
          <w:color w:val="auto"/>
          <w:szCs w:val="21"/>
          <w:highlight w:val="none"/>
        </w:rPr>
      </w:pPr>
      <w:r>
        <w:rPr>
          <w:rFonts w:hint="eastAsia" w:ascii="宋体" w:hAnsi="宋体" w:cs="宋体"/>
          <w:color w:val="auto"/>
          <w:szCs w:val="21"/>
          <w:highlight w:val="none"/>
        </w:rPr>
        <w:t>致：</w:t>
      </w:r>
      <w:r>
        <w:rPr>
          <w:rFonts w:hint="eastAsia" w:ascii="宋体" w:hAnsi="宋体" w:cs="宋体"/>
          <w:color w:val="auto"/>
          <w:szCs w:val="21"/>
          <w:highlight w:val="none"/>
          <w:u w:val="single"/>
        </w:rPr>
        <w:t>采购人名称</w:t>
      </w:r>
    </w:p>
    <w:p w14:paraId="59F894B1">
      <w:pPr>
        <w:keepNext w:val="0"/>
        <w:keepLines w:val="0"/>
        <w:pageBreakBefore w:val="0"/>
        <w:widowControl w:val="0"/>
        <w:kinsoku/>
        <w:wordWrap/>
        <w:overflowPunct/>
        <w:topLinePunct w:val="0"/>
        <w:autoSpaceDE/>
        <w:autoSpaceDN/>
        <w:bidi w:val="0"/>
        <w:adjustRightInd/>
        <w:snapToGrid w:val="0"/>
        <w:spacing w:line="400" w:lineRule="exact"/>
        <w:ind w:firstLine="480"/>
        <w:textAlignment w:val="auto"/>
        <w:rPr>
          <w:rFonts w:hint="eastAsia" w:ascii="宋体" w:hAnsi="宋体" w:cs="宋体"/>
          <w:color w:val="auto"/>
          <w:szCs w:val="21"/>
          <w:highlight w:val="none"/>
        </w:rPr>
      </w:pPr>
      <w:r>
        <w:rPr>
          <w:rFonts w:hint="eastAsia" w:ascii="宋体" w:hAnsi="宋体" w:cs="宋体"/>
          <w:color w:val="auto"/>
          <w:szCs w:val="21"/>
          <w:highlight w:val="none"/>
        </w:rPr>
        <w:t>根据贵方</w:t>
      </w:r>
      <w:r>
        <w:rPr>
          <w:rFonts w:hint="eastAsia" w:ascii="宋体" w:hAnsi="宋体" w:cs="宋体"/>
          <w:color w:val="auto"/>
          <w:szCs w:val="21"/>
          <w:highlight w:val="none"/>
          <w:u w:val="single"/>
        </w:rPr>
        <w:t xml:space="preserve">     项目名称  </w:t>
      </w:r>
      <w:r>
        <w:rPr>
          <w:rFonts w:hint="eastAsia" w:ascii="宋体" w:hAnsi="宋体" w:cs="宋体"/>
          <w:color w:val="auto"/>
          <w:szCs w:val="21"/>
          <w:highlight w:val="none"/>
        </w:rPr>
        <w:t>（项目编号：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）的招标文件，签字代表</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（姓名）经正式授权并代表投标人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（投标人名称）提交投标文件。</w:t>
      </w:r>
    </w:p>
    <w:p w14:paraId="07CECB73">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据此函，我方宣布同意如下：</w:t>
      </w:r>
    </w:p>
    <w:p w14:paraId="35330A9E">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1.我方已详细审查全部“招标文件”，包括修改文件（如有的话）以及全部参考资料和有关附件，已经了解我方对于招标文件、采购过程、采购结果有依法进行询问、质疑、投诉的权利及相关渠道和要求。</w:t>
      </w:r>
    </w:p>
    <w:p w14:paraId="6AC323C8">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2.我方在投标之前已经完全理解并接受招标文件的各项规定和要求，对招标文件的合理性、合法性不再有异议。</w:t>
      </w:r>
    </w:p>
    <w:p w14:paraId="10413EE6">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3.本投标有效期自投标截止之日起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7DF7B1ED">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4.如中标，本投标文件至本项目合同履行完毕止均保持有效，我方将按“招标文件”及政府采购法律、法规的规定履行合同责任和义务。</w:t>
      </w:r>
    </w:p>
    <w:p w14:paraId="094C8CFC">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5.我方同意按照贵方要求提供与投标有关的一切数据或者资料。</w:t>
      </w:r>
    </w:p>
    <w:p w14:paraId="5B2497BF">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6.我方向贵方提交的所有投标文件、资料都是准确的和真实的。</w:t>
      </w:r>
    </w:p>
    <w:p w14:paraId="66CBA18C">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7.以上事项如有虚假或者隐瞒，我方愿意承担一切后果，并不再寻求任何旨在减轻或者免除法律责任的辩解。</w:t>
      </w:r>
    </w:p>
    <w:p w14:paraId="7EEA0B93">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8.根据《中华人民共和国政府采购法实施条例》第五十条要求对政府采购合同进行公告，但政府采购合同中涉及国家秘密、商业秘密的内容除外。我方就对本次投标文件进行注明如下：（两项内容中必须选择一项）</w:t>
      </w:r>
    </w:p>
    <w:p w14:paraId="7C62E427">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□我方本次投标文件</w:t>
      </w:r>
      <w:r>
        <w:rPr>
          <w:rFonts w:hint="eastAsia" w:ascii="宋体" w:hAnsi="宋体" w:cs="宋体"/>
          <w:color w:val="auto"/>
          <w:kern w:val="0"/>
          <w:szCs w:val="21"/>
          <w:highlight w:val="none"/>
        </w:rPr>
        <w:t>内容中</w:t>
      </w:r>
      <w:r>
        <w:rPr>
          <w:rFonts w:hint="eastAsia" w:ascii="宋体" w:hAnsi="宋体" w:cs="宋体"/>
          <w:color w:val="auto"/>
          <w:szCs w:val="21"/>
          <w:highlight w:val="none"/>
        </w:rPr>
        <w:t>未</w:t>
      </w:r>
      <w:r>
        <w:rPr>
          <w:rFonts w:hint="eastAsia" w:ascii="宋体" w:hAnsi="宋体" w:cs="宋体"/>
          <w:color w:val="auto"/>
          <w:kern w:val="0"/>
          <w:szCs w:val="21"/>
          <w:highlight w:val="none"/>
        </w:rPr>
        <w:t>涉及商业秘密；</w:t>
      </w:r>
    </w:p>
    <w:p w14:paraId="7F342A05">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□我方本次投标文件</w:t>
      </w:r>
      <w:r>
        <w:rPr>
          <w:rFonts w:hint="eastAsia" w:ascii="宋体" w:hAnsi="宋体" w:cs="宋体"/>
          <w:color w:val="auto"/>
          <w:kern w:val="0"/>
          <w:szCs w:val="21"/>
          <w:highlight w:val="none"/>
        </w:rPr>
        <w:t>涉及商业秘密的内容有：</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41FAC180">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9.与本项目有关的一切正式往来信函请寄：</w:t>
      </w:r>
    </w:p>
    <w:p w14:paraId="4C5BDBA3">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ascii="宋体" w:hAnsi="宋体" w:cs="宋体"/>
          <w:color w:val="auto"/>
          <w:szCs w:val="21"/>
          <w:highlight w:val="none"/>
          <w:u w:val="single"/>
        </w:rPr>
      </w:pPr>
      <w:r>
        <w:rPr>
          <w:rFonts w:hint="eastAsia" w:ascii="宋体" w:hAnsi="宋体" w:cs="宋体"/>
          <w:color w:val="auto"/>
          <w:szCs w:val="21"/>
          <w:highlight w:val="none"/>
        </w:rPr>
        <w:t>地址：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single"/>
        </w:rPr>
        <w:t xml:space="preserve">            </w:t>
      </w:r>
    </w:p>
    <w:p w14:paraId="6BBCA894">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电话：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传真：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电子邮箱：</w:t>
      </w:r>
      <w:r>
        <w:rPr>
          <w:rFonts w:hint="eastAsia" w:ascii="宋体" w:hAnsi="宋体" w:cs="宋体"/>
          <w:color w:val="auto"/>
          <w:szCs w:val="21"/>
          <w:highlight w:val="none"/>
          <w:u w:val="single"/>
        </w:rPr>
        <w:t xml:space="preserve">         </w:t>
      </w:r>
    </w:p>
    <w:p w14:paraId="44D9BF9B">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投标人名称：</w:t>
      </w:r>
      <w:r>
        <w:rPr>
          <w:rFonts w:hint="eastAsia" w:ascii="宋体" w:hAnsi="宋体" w:cs="宋体"/>
          <w:color w:val="auto"/>
          <w:szCs w:val="21"/>
          <w:highlight w:val="none"/>
          <w:u w:val="single"/>
        </w:rPr>
        <w:t xml:space="preserve">                </w:t>
      </w:r>
    </w:p>
    <w:p w14:paraId="305DC2F1">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开户银行：</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银行账号：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2BDDD89B">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                </w:t>
      </w:r>
    </w:p>
    <w:p w14:paraId="792841A5">
      <w:pPr>
        <w:keepNext w:val="0"/>
        <w:keepLines w:val="0"/>
        <w:pageBreakBefore w:val="0"/>
        <w:widowControl w:val="0"/>
        <w:kinsoku/>
        <w:wordWrap/>
        <w:overflowPunct/>
        <w:topLinePunct w:val="0"/>
        <w:autoSpaceDE/>
        <w:autoSpaceDN/>
        <w:bidi w:val="0"/>
        <w:adjustRightInd/>
        <w:snapToGrid w:val="0"/>
        <w:spacing w:line="400" w:lineRule="exact"/>
        <w:ind w:firstLine="3045" w:firstLineChars="1450"/>
        <w:jc w:val="left"/>
        <w:textAlignment w:val="auto"/>
        <w:rPr>
          <w:rFonts w:hint="eastAsia" w:ascii="宋体" w:hAnsi="宋体" w:cs="宋体"/>
          <w:color w:val="auto"/>
          <w:szCs w:val="21"/>
          <w:highlight w:val="none"/>
        </w:rPr>
      </w:pPr>
    </w:p>
    <w:p w14:paraId="180B6D91">
      <w:pPr>
        <w:keepNext w:val="0"/>
        <w:keepLines w:val="0"/>
        <w:pageBreakBefore w:val="0"/>
        <w:widowControl w:val="0"/>
        <w:kinsoku/>
        <w:wordWrap/>
        <w:overflowPunct/>
        <w:topLinePunct w:val="0"/>
        <w:autoSpaceDE/>
        <w:autoSpaceDN/>
        <w:bidi w:val="0"/>
        <w:adjustRightInd/>
        <w:snapToGrid w:val="0"/>
        <w:spacing w:line="400" w:lineRule="exact"/>
        <w:ind w:firstLine="3045" w:firstLineChars="145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法定代表人或者委托代理人（签字或者电子签名）：</w:t>
      </w:r>
      <w:r>
        <w:rPr>
          <w:rFonts w:hint="eastAsia" w:ascii="宋体" w:hAnsi="宋体" w:cs="宋体"/>
          <w:color w:val="auto"/>
          <w:szCs w:val="21"/>
          <w:highlight w:val="none"/>
          <w:u w:val="single"/>
        </w:rPr>
        <w:t xml:space="preserve">          </w:t>
      </w:r>
    </w:p>
    <w:p w14:paraId="678C6291">
      <w:pPr>
        <w:pStyle w:val="20"/>
        <w:keepNext w:val="0"/>
        <w:keepLines w:val="0"/>
        <w:pageBreakBefore w:val="0"/>
        <w:widowControl w:val="0"/>
        <w:kinsoku/>
        <w:wordWrap/>
        <w:overflowPunct/>
        <w:topLinePunct w:val="0"/>
        <w:autoSpaceDE/>
        <w:autoSpaceDN/>
        <w:bidi w:val="0"/>
        <w:adjustRightInd/>
        <w:snapToGrid w:val="0"/>
        <w:spacing w:before="295" w:after="295" w:line="400" w:lineRule="exact"/>
        <w:jc w:val="center"/>
        <w:textAlignment w:val="auto"/>
        <w:rPr>
          <w:rFonts w:hint="eastAsia" w:hAnsi="宋体" w:cs="宋体"/>
          <w:color w:val="auto"/>
          <w:highlight w:val="none"/>
          <w:u w:val="single"/>
        </w:rPr>
      </w:pPr>
      <w:r>
        <w:rPr>
          <w:rFonts w:hint="eastAsia" w:hAnsi="宋体" w:cs="宋体"/>
          <w:color w:val="auto"/>
          <w:highlight w:val="none"/>
        </w:rPr>
        <w:t xml:space="preserve">                                     投标人名称（电子签章）：</w:t>
      </w:r>
      <w:r>
        <w:rPr>
          <w:rFonts w:hint="eastAsia" w:hAnsi="宋体" w:cs="宋体"/>
          <w:color w:val="auto"/>
          <w:highlight w:val="none"/>
          <w:u w:val="single"/>
        </w:rPr>
        <w:t xml:space="preserve">          </w:t>
      </w:r>
    </w:p>
    <w:p w14:paraId="0719530F">
      <w:pPr>
        <w:pStyle w:val="20"/>
        <w:keepNext w:val="0"/>
        <w:keepLines w:val="0"/>
        <w:pageBreakBefore w:val="0"/>
        <w:widowControl w:val="0"/>
        <w:kinsoku/>
        <w:wordWrap/>
        <w:overflowPunct/>
        <w:topLinePunct w:val="0"/>
        <w:autoSpaceDE/>
        <w:autoSpaceDN/>
        <w:bidi w:val="0"/>
        <w:adjustRightInd/>
        <w:snapToGrid w:val="0"/>
        <w:spacing w:before="295" w:after="295" w:line="400" w:lineRule="exact"/>
        <w:textAlignment w:val="auto"/>
        <w:rPr>
          <w:rFonts w:hint="eastAsia" w:hAnsi="宋体" w:cs="宋体"/>
          <w:color w:val="auto"/>
          <w:highlight w:val="none"/>
        </w:rPr>
      </w:pPr>
      <w:r>
        <w:rPr>
          <w:rFonts w:hint="eastAsia" w:hAnsi="宋体" w:cs="宋体"/>
          <w:color w:val="auto"/>
          <w:highlight w:val="none"/>
        </w:rPr>
        <w:t xml:space="preserve">                                                </w:t>
      </w:r>
      <w:r>
        <w:rPr>
          <w:rFonts w:hint="eastAsia" w:hAnsi="宋体" w:cs="宋体"/>
          <w:color w:val="auto"/>
          <w:highlight w:val="none"/>
          <w:u w:val="single"/>
        </w:rPr>
        <w:t xml:space="preserve">      </w:t>
      </w:r>
      <w:r>
        <w:rPr>
          <w:rFonts w:hint="eastAsia" w:hAnsi="宋体" w:cs="宋体"/>
          <w:color w:val="auto"/>
          <w:highlight w:val="none"/>
        </w:rPr>
        <w:t>年</w:t>
      </w:r>
      <w:r>
        <w:rPr>
          <w:rFonts w:hint="eastAsia" w:hAnsi="宋体" w:cs="宋体"/>
          <w:color w:val="auto"/>
          <w:highlight w:val="none"/>
          <w:u w:val="single"/>
        </w:rPr>
        <w:t xml:space="preserve">    </w:t>
      </w:r>
      <w:r>
        <w:rPr>
          <w:rFonts w:hint="eastAsia" w:hAnsi="宋体" w:cs="宋体"/>
          <w:color w:val="auto"/>
          <w:highlight w:val="none"/>
        </w:rPr>
        <w:t>月</w:t>
      </w:r>
      <w:r>
        <w:rPr>
          <w:rFonts w:hint="eastAsia" w:hAnsi="宋体" w:cs="宋体"/>
          <w:color w:val="auto"/>
          <w:highlight w:val="none"/>
          <w:u w:val="single"/>
        </w:rPr>
        <w:t xml:space="preserve">     </w:t>
      </w:r>
      <w:r>
        <w:rPr>
          <w:rFonts w:hint="eastAsia" w:hAnsi="宋体" w:cs="宋体"/>
          <w:color w:val="auto"/>
          <w:highlight w:val="none"/>
        </w:rPr>
        <w:t>日</w:t>
      </w:r>
    </w:p>
    <w:p w14:paraId="0F76CBBE">
      <w:pPr>
        <w:snapToGrid w:val="0"/>
        <w:spacing w:before="120" w:beforeLines="50" w:after="50"/>
        <w:jc w:val="left"/>
        <w:rPr>
          <w:rFonts w:hint="eastAsia" w:ascii="宋体" w:hAnsi="宋体" w:cs="宋体"/>
          <w:b/>
          <w:color w:val="auto"/>
          <w:sz w:val="24"/>
          <w:szCs w:val="20"/>
          <w:highlight w:val="none"/>
        </w:rPr>
      </w:pPr>
      <w:r>
        <w:rPr>
          <w:rFonts w:hint="eastAsia" w:ascii="宋体" w:hAnsi="宋体" w:cs="宋体"/>
          <w:color w:val="auto"/>
          <w:highlight w:val="none"/>
          <w:u w:val="single"/>
        </w:rPr>
        <w:br w:type="page"/>
      </w:r>
      <w:r>
        <w:rPr>
          <w:rFonts w:hint="eastAsia" w:ascii="宋体" w:hAnsi="宋体" w:cs="宋体"/>
          <w:b/>
          <w:color w:val="auto"/>
          <w:sz w:val="24"/>
          <w:highlight w:val="none"/>
        </w:rPr>
        <w:t>4.开标一览表（服务类格式）</w:t>
      </w:r>
    </w:p>
    <w:p w14:paraId="4785B577">
      <w:pPr>
        <w:snapToGrid w:val="0"/>
        <w:spacing w:before="120" w:beforeLines="50" w:after="50"/>
        <w:ind w:left="420"/>
        <w:jc w:val="center"/>
        <w:rPr>
          <w:rFonts w:hint="eastAsia" w:ascii="宋体" w:hAnsi="宋体" w:cs="宋体"/>
          <w:b/>
          <w:bCs/>
          <w:color w:val="auto"/>
          <w:spacing w:val="-17"/>
          <w:sz w:val="30"/>
          <w:szCs w:val="30"/>
          <w:highlight w:val="none"/>
        </w:rPr>
      </w:pPr>
      <w:r>
        <w:rPr>
          <w:rFonts w:hint="eastAsia" w:ascii="宋体" w:hAnsi="宋体" w:cs="宋体"/>
          <w:b/>
          <w:bCs/>
          <w:color w:val="auto"/>
          <w:spacing w:val="-17"/>
          <w:sz w:val="30"/>
          <w:szCs w:val="30"/>
          <w:highlight w:val="none"/>
        </w:rPr>
        <w:t>开标一览表</w:t>
      </w:r>
    </w:p>
    <w:p w14:paraId="222D63C2">
      <w:pPr>
        <w:keepNext w:val="0"/>
        <w:keepLines w:val="0"/>
        <w:pageBreakBefore w:val="0"/>
        <w:wordWrap/>
        <w:overflowPunct/>
        <w:topLinePunct w:val="0"/>
        <w:bidi w:val="0"/>
        <w:snapToGrid w:val="0"/>
        <w:spacing w:before="50" w:after="50" w:line="400" w:lineRule="exact"/>
        <w:rPr>
          <w:rFonts w:hint="eastAsia" w:ascii="宋体" w:hAnsi="宋体" w:cs="宋体"/>
          <w:color w:val="auto"/>
          <w:szCs w:val="21"/>
          <w:highlight w:val="none"/>
          <w:u w:val="single"/>
        </w:rPr>
      </w:pPr>
      <w:r>
        <w:rPr>
          <w:rFonts w:hint="eastAsia" w:ascii="宋体" w:hAnsi="宋体" w:cs="宋体"/>
          <w:color w:val="auto"/>
          <w:szCs w:val="21"/>
          <w:highlight w:val="none"/>
        </w:rPr>
        <w:t>项目名称：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分标：</w:t>
      </w:r>
      <w:r>
        <w:rPr>
          <w:rFonts w:hint="eastAsia" w:ascii="宋体" w:hAnsi="宋体" w:cs="宋体"/>
          <w:color w:val="auto"/>
          <w:szCs w:val="21"/>
          <w:highlight w:val="none"/>
          <w:u w:val="single"/>
        </w:rPr>
        <w:t xml:space="preserve">           </w:t>
      </w:r>
    </w:p>
    <w:p w14:paraId="49503ABA">
      <w:pPr>
        <w:keepNext w:val="0"/>
        <w:keepLines w:val="0"/>
        <w:pageBreakBefore w:val="0"/>
        <w:wordWrap/>
        <w:overflowPunct/>
        <w:topLinePunct w:val="0"/>
        <w:bidi w:val="0"/>
        <w:snapToGrid w:val="0"/>
        <w:spacing w:before="50" w:after="50" w:line="400" w:lineRule="exact"/>
        <w:rPr>
          <w:rFonts w:hint="eastAsia" w:ascii="宋体" w:hAnsi="宋体" w:cs="宋体"/>
          <w:color w:val="auto"/>
          <w:szCs w:val="21"/>
          <w:highlight w:val="none"/>
          <w:u w:val="single"/>
        </w:rPr>
      </w:pPr>
      <w:r>
        <w:rPr>
          <w:rFonts w:hint="eastAsia" w:ascii="宋体" w:hAnsi="宋体" w:cs="宋体"/>
          <w:color w:val="auto"/>
          <w:szCs w:val="21"/>
          <w:highlight w:val="none"/>
        </w:rPr>
        <w:t>投标人名称：</w:t>
      </w:r>
      <w:r>
        <w:rPr>
          <w:rFonts w:hint="eastAsia" w:ascii="宋体" w:hAnsi="宋体" w:cs="宋体"/>
          <w:color w:val="auto"/>
          <w:szCs w:val="21"/>
          <w:highlight w:val="none"/>
          <w:u w:val="single"/>
        </w:rPr>
        <w:t xml:space="preserve">                  </w:t>
      </w:r>
    </w:p>
    <w:tbl>
      <w:tblPr>
        <w:tblStyle w:val="39"/>
        <w:tblW w:w="957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8"/>
        <w:gridCol w:w="2657"/>
        <w:gridCol w:w="993"/>
        <w:gridCol w:w="992"/>
        <w:gridCol w:w="2835"/>
        <w:gridCol w:w="1460"/>
      </w:tblGrid>
      <w:tr w14:paraId="0A8A85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16" w:hRule="atLeast"/>
          <w:jc w:val="center"/>
        </w:trPr>
        <w:tc>
          <w:tcPr>
            <w:tcW w:w="638" w:type="dxa"/>
            <w:tcBorders>
              <w:top w:val="single" w:color="000000" w:sz="2" w:space="0"/>
              <w:left w:val="single" w:color="000000" w:sz="2" w:space="0"/>
              <w:bottom w:val="single" w:color="000000" w:sz="2" w:space="0"/>
              <w:right w:val="single" w:color="000000" w:sz="2" w:space="0"/>
            </w:tcBorders>
            <w:noWrap w:val="0"/>
            <w:vAlign w:val="top"/>
          </w:tcPr>
          <w:p w14:paraId="40FB0049">
            <w:pPr>
              <w:pStyle w:val="125"/>
              <w:keepNext w:val="0"/>
              <w:keepLines w:val="0"/>
              <w:pageBreakBefore w:val="0"/>
              <w:wordWrap/>
              <w:overflowPunct/>
              <w:topLinePunct w:val="0"/>
              <w:bidi w:val="0"/>
              <w:snapToGrid w:val="0"/>
              <w:spacing w:before="210" w:line="400" w:lineRule="exact"/>
              <w:jc w:val="center"/>
              <w:rPr>
                <w:rFonts w:hint="eastAsia"/>
                <w:color w:val="auto"/>
                <w:highlight w:val="none"/>
              </w:rPr>
            </w:pPr>
            <w:r>
              <w:rPr>
                <w:rFonts w:hint="eastAsia"/>
                <w:color w:val="auto"/>
                <w:spacing w:val="1"/>
                <w:highlight w:val="none"/>
              </w:rPr>
              <w:t>序号</w:t>
            </w:r>
          </w:p>
        </w:tc>
        <w:tc>
          <w:tcPr>
            <w:tcW w:w="2657" w:type="dxa"/>
            <w:tcBorders>
              <w:top w:val="single" w:color="000000" w:sz="2" w:space="0"/>
              <w:left w:val="single" w:color="000000" w:sz="2" w:space="0"/>
              <w:bottom w:val="single" w:color="000000" w:sz="2" w:space="0"/>
              <w:right w:val="single" w:color="000000" w:sz="2" w:space="0"/>
            </w:tcBorders>
            <w:noWrap w:val="0"/>
            <w:vAlign w:val="top"/>
          </w:tcPr>
          <w:p w14:paraId="2975C104">
            <w:pPr>
              <w:pStyle w:val="125"/>
              <w:keepNext w:val="0"/>
              <w:keepLines w:val="0"/>
              <w:pageBreakBefore w:val="0"/>
              <w:wordWrap/>
              <w:overflowPunct/>
              <w:topLinePunct w:val="0"/>
              <w:bidi w:val="0"/>
              <w:snapToGrid w:val="0"/>
              <w:spacing w:before="210" w:line="400" w:lineRule="exact"/>
              <w:jc w:val="center"/>
              <w:rPr>
                <w:rFonts w:hint="eastAsia"/>
                <w:color w:val="auto"/>
                <w:spacing w:val="1"/>
                <w:highlight w:val="none"/>
              </w:rPr>
            </w:pPr>
            <w:r>
              <w:rPr>
                <w:rFonts w:hint="eastAsia"/>
                <w:color w:val="auto"/>
                <w:spacing w:val="1"/>
                <w:highlight w:val="none"/>
              </w:rPr>
              <w:t>标的名称</w:t>
            </w:r>
          </w:p>
        </w:tc>
        <w:tc>
          <w:tcPr>
            <w:tcW w:w="993" w:type="dxa"/>
            <w:tcBorders>
              <w:top w:val="single" w:color="000000" w:sz="2" w:space="0"/>
              <w:left w:val="single" w:color="000000" w:sz="2" w:space="0"/>
              <w:bottom w:val="single" w:color="000000" w:sz="2" w:space="0"/>
              <w:right w:val="single" w:color="000000" w:sz="2" w:space="0"/>
            </w:tcBorders>
            <w:noWrap w:val="0"/>
            <w:vAlign w:val="top"/>
          </w:tcPr>
          <w:p w14:paraId="26673AD8">
            <w:pPr>
              <w:pStyle w:val="125"/>
              <w:keepNext w:val="0"/>
              <w:keepLines w:val="0"/>
              <w:pageBreakBefore w:val="0"/>
              <w:wordWrap/>
              <w:overflowPunct/>
              <w:topLinePunct w:val="0"/>
              <w:bidi w:val="0"/>
              <w:snapToGrid w:val="0"/>
              <w:spacing w:before="210" w:line="400" w:lineRule="exact"/>
              <w:jc w:val="center"/>
              <w:rPr>
                <w:rFonts w:hint="eastAsia"/>
                <w:color w:val="auto"/>
                <w:spacing w:val="1"/>
                <w:highlight w:val="none"/>
              </w:rPr>
            </w:pPr>
            <w:r>
              <w:rPr>
                <w:rFonts w:hint="eastAsia"/>
                <w:color w:val="auto"/>
                <w:spacing w:val="1"/>
                <w:highlight w:val="none"/>
              </w:rPr>
              <w:t>数量</w:t>
            </w:r>
          </w:p>
        </w:tc>
        <w:tc>
          <w:tcPr>
            <w:tcW w:w="992" w:type="dxa"/>
            <w:tcBorders>
              <w:top w:val="single" w:color="000000" w:sz="2" w:space="0"/>
              <w:left w:val="single" w:color="000000" w:sz="2" w:space="0"/>
              <w:bottom w:val="single" w:color="000000" w:sz="2" w:space="0"/>
              <w:right w:val="single" w:color="000000" w:sz="2" w:space="0"/>
            </w:tcBorders>
            <w:noWrap w:val="0"/>
            <w:vAlign w:val="top"/>
          </w:tcPr>
          <w:p w14:paraId="676DDE3C">
            <w:pPr>
              <w:pStyle w:val="125"/>
              <w:keepNext w:val="0"/>
              <w:keepLines w:val="0"/>
              <w:pageBreakBefore w:val="0"/>
              <w:wordWrap/>
              <w:overflowPunct/>
              <w:topLinePunct w:val="0"/>
              <w:bidi w:val="0"/>
              <w:snapToGrid w:val="0"/>
              <w:spacing w:before="210" w:line="400" w:lineRule="exact"/>
              <w:jc w:val="center"/>
              <w:rPr>
                <w:rFonts w:hint="eastAsia"/>
                <w:color w:val="auto"/>
                <w:spacing w:val="1"/>
                <w:highlight w:val="none"/>
              </w:rPr>
            </w:pPr>
            <w:r>
              <w:rPr>
                <w:rFonts w:hint="eastAsia"/>
                <w:color w:val="auto"/>
                <w:spacing w:val="1"/>
                <w:highlight w:val="none"/>
              </w:rPr>
              <w:t>单位</w:t>
            </w:r>
          </w:p>
        </w:tc>
        <w:tc>
          <w:tcPr>
            <w:tcW w:w="2835" w:type="dxa"/>
            <w:tcBorders>
              <w:top w:val="single" w:color="000000" w:sz="2" w:space="0"/>
              <w:left w:val="single" w:color="000000" w:sz="2" w:space="0"/>
              <w:bottom w:val="single" w:color="000000" w:sz="2" w:space="0"/>
              <w:right w:val="single" w:color="000000" w:sz="2" w:space="0"/>
            </w:tcBorders>
            <w:noWrap w:val="0"/>
            <w:vAlign w:val="top"/>
          </w:tcPr>
          <w:p w14:paraId="3FE8FF27">
            <w:pPr>
              <w:pStyle w:val="125"/>
              <w:keepNext w:val="0"/>
              <w:keepLines w:val="0"/>
              <w:pageBreakBefore w:val="0"/>
              <w:wordWrap/>
              <w:overflowPunct/>
              <w:topLinePunct w:val="0"/>
              <w:bidi w:val="0"/>
              <w:snapToGrid w:val="0"/>
              <w:spacing w:before="210" w:line="400" w:lineRule="exact"/>
              <w:jc w:val="center"/>
              <w:rPr>
                <w:rFonts w:hint="eastAsia"/>
                <w:color w:val="auto"/>
                <w:spacing w:val="1"/>
                <w:highlight w:val="none"/>
              </w:rPr>
            </w:pPr>
            <w:r>
              <w:rPr>
                <w:rFonts w:hint="eastAsia"/>
                <w:color w:val="auto"/>
                <w:sz w:val="24"/>
                <w:highlight w:val="none"/>
              </w:rPr>
              <w:t>投标总报价（元）</w:t>
            </w:r>
            <w:r>
              <w:rPr>
                <w:rFonts w:hint="eastAsia"/>
                <w:color w:val="auto"/>
                <w:spacing w:val="1"/>
                <w:highlight w:val="none"/>
              </w:rPr>
              <w:t xml:space="preserve"> </w:t>
            </w:r>
          </w:p>
        </w:tc>
        <w:tc>
          <w:tcPr>
            <w:tcW w:w="1460" w:type="dxa"/>
            <w:tcBorders>
              <w:top w:val="single" w:color="000000" w:sz="2" w:space="0"/>
              <w:left w:val="single" w:color="000000" w:sz="2" w:space="0"/>
              <w:bottom w:val="single" w:color="000000" w:sz="2" w:space="0"/>
              <w:right w:val="single" w:color="000000" w:sz="2" w:space="0"/>
            </w:tcBorders>
            <w:noWrap w:val="0"/>
            <w:vAlign w:val="top"/>
          </w:tcPr>
          <w:p w14:paraId="073008F1">
            <w:pPr>
              <w:pStyle w:val="125"/>
              <w:keepNext w:val="0"/>
              <w:keepLines w:val="0"/>
              <w:pageBreakBefore w:val="0"/>
              <w:wordWrap/>
              <w:overflowPunct/>
              <w:topLinePunct w:val="0"/>
              <w:bidi w:val="0"/>
              <w:snapToGrid w:val="0"/>
              <w:spacing w:before="210" w:line="400" w:lineRule="exact"/>
              <w:jc w:val="center"/>
              <w:rPr>
                <w:rFonts w:hint="eastAsia"/>
                <w:color w:val="auto"/>
                <w:spacing w:val="1"/>
                <w:highlight w:val="none"/>
              </w:rPr>
            </w:pPr>
            <w:r>
              <w:rPr>
                <w:rFonts w:hint="eastAsia"/>
                <w:color w:val="auto"/>
                <w:spacing w:val="1"/>
                <w:highlight w:val="none"/>
              </w:rPr>
              <w:t>备注</w:t>
            </w:r>
          </w:p>
        </w:tc>
      </w:tr>
      <w:tr w14:paraId="3B95D8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51" w:hRule="atLeast"/>
          <w:jc w:val="center"/>
        </w:trPr>
        <w:tc>
          <w:tcPr>
            <w:tcW w:w="638" w:type="dxa"/>
            <w:tcBorders>
              <w:top w:val="single" w:color="000000" w:sz="2" w:space="0"/>
              <w:left w:val="single" w:color="000000" w:sz="2" w:space="0"/>
              <w:bottom w:val="single" w:color="000000" w:sz="2" w:space="0"/>
              <w:right w:val="single" w:color="000000" w:sz="2" w:space="0"/>
            </w:tcBorders>
            <w:noWrap w:val="0"/>
            <w:vAlign w:val="center"/>
          </w:tcPr>
          <w:p w14:paraId="7B369F24">
            <w:pPr>
              <w:keepNext w:val="0"/>
              <w:keepLines w:val="0"/>
              <w:pageBreakBefore w:val="0"/>
              <w:kinsoku w:val="0"/>
              <w:wordWrap/>
              <w:overflowPunct/>
              <w:topLinePunct w:val="0"/>
              <w:autoSpaceDE w:val="0"/>
              <w:autoSpaceDN w:val="0"/>
              <w:bidi w:val="0"/>
              <w:adjustRightInd w:val="0"/>
              <w:snapToGrid w:val="0"/>
              <w:spacing w:before="60" w:line="400" w:lineRule="exact"/>
              <w:ind w:left="288"/>
              <w:textAlignment w:val="baseline"/>
              <w:rPr>
                <w:rFonts w:hint="eastAsia" w:ascii="宋体" w:hAnsi="宋体" w:cs="宋体"/>
                <w:color w:val="auto"/>
                <w:szCs w:val="21"/>
                <w:highlight w:val="none"/>
              </w:rPr>
            </w:pPr>
          </w:p>
        </w:tc>
        <w:tc>
          <w:tcPr>
            <w:tcW w:w="2657" w:type="dxa"/>
            <w:tcBorders>
              <w:top w:val="single" w:color="000000" w:sz="2" w:space="0"/>
              <w:left w:val="single" w:color="000000" w:sz="2" w:space="0"/>
              <w:bottom w:val="single" w:color="000000" w:sz="2" w:space="0"/>
              <w:right w:val="single" w:color="000000" w:sz="2" w:space="0"/>
            </w:tcBorders>
            <w:noWrap w:val="0"/>
            <w:vAlign w:val="center"/>
          </w:tcPr>
          <w:p w14:paraId="0868D79C">
            <w:pPr>
              <w:pStyle w:val="125"/>
              <w:keepNext w:val="0"/>
              <w:keepLines w:val="0"/>
              <w:pageBreakBefore w:val="0"/>
              <w:wordWrap/>
              <w:overflowPunct/>
              <w:topLinePunct w:val="0"/>
              <w:bidi w:val="0"/>
              <w:snapToGrid w:val="0"/>
              <w:spacing w:before="107" w:line="400" w:lineRule="exact"/>
              <w:ind w:left="205" w:right="195"/>
              <w:jc w:val="center"/>
              <w:rPr>
                <w:rFonts w:hint="eastAsia"/>
                <w:color w:val="auto"/>
                <w:highlight w:val="none"/>
              </w:rPr>
            </w:pPr>
          </w:p>
        </w:tc>
        <w:tc>
          <w:tcPr>
            <w:tcW w:w="993" w:type="dxa"/>
            <w:tcBorders>
              <w:top w:val="single" w:color="000000" w:sz="2" w:space="0"/>
              <w:left w:val="single" w:color="000000" w:sz="2" w:space="0"/>
              <w:bottom w:val="single" w:color="000000" w:sz="2" w:space="0"/>
              <w:right w:val="single" w:color="000000" w:sz="2" w:space="0"/>
            </w:tcBorders>
            <w:noWrap w:val="0"/>
            <w:vAlign w:val="center"/>
          </w:tcPr>
          <w:p w14:paraId="18E2C663">
            <w:pPr>
              <w:keepNext w:val="0"/>
              <w:keepLines w:val="0"/>
              <w:pageBreakBefore w:val="0"/>
              <w:kinsoku w:val="0"/>
              <w:wordWrap/>
              <w:overflowPunct/>
              <w:topLinePunct w:val="0"/>
              <w:autoSpaceDE w:val="0"/>
              <w:autoSpaceDN w:val="0"/>
              <w:bidi w:val="0"/>
              <w:adjustRightInd w:val="0"/>
              <w:snapToGrid w:val="0"/>
              <w:spacing w:before="60" w:line="400" w:lineRule="exact"/>
              <w:ind w:left="452"/>
              <w:textAlignment w:val="baseline"/>
              <w:rPr>
                <w:rFonts w:hint="eastAsia" w:ascii="宋体" w:hAnsi="宋体" w:cs="宋体"/>
                <w:color w:val="auto"/>
                <w:szCs w:val="21"/>
                <w:highlight w:val="none"/>
              </w:rPr>
            </w:pPr>
          </w:p>
        </w:tc>
        <w:tc>
          <w:tcPr>
            <w:tcW w:w="992" w:type="dxa"/>
            <w:tcBorders>
              <w:top w:val="single" w:color="000000" w:sz="2" w:space="0"/>
              <w:left w:val="single" w:color="000000" w:sz="2" w:space="0"/>
              <w:bottom w:val="single" w:color="000000" w:sz="2" w:space="0"/>
              <w:right w:val="single" w:color="000000" w:sz="2" w:space="0"/>
            </w:tcBorders>
            <w:noWrap w:val="0"/>
            <w:vAlign w:val="center"/>
          </w:tcPr>
          <w:p w14:paraId="12CEEA7C">
            <w:pPr>
              <w:pStyle w:val="125"/>
              <w:keepNext w:val="0"/>
              <w:keepLines w:val="0"/>
              <w:pageBreakBefore w:val="0"/>
              <w:wordWrap/>
              <w:overflowPunct/>
              <w:topLinePunct w:val="0"/>
              <w:bidi w:val="0"/>
              <w:snapToGrid w:val="0"/>
              <w:spacing w:before="68" w:line="400" w:lineRule="exact"/>
              <w:jc w:val="center"/>
              <w:rPr>
                <w:rFonts w:hint="eastAsia"/>
                <w:color w:val="auto"/>
                <w:highlight w:val="none"/>
              </w:rPr>
            </w:pPr>
          </w:p>
        </w:tc>
        <w:tc>
          <w:tcPr>
            <w:tcW w:w="2835" w:type="dxa"/>
            <w:tcBorders>
              <w:top w:val="single" w:color="000000" w:sz="2" w:space="0"/>
              <w:left w:val="single" w:color="000000" w:sz="2" w:space="0"/>
              <w:bottom w:val="single" w:color="000000" w:sz="2" w:space="0"/>
              <w:right w:val="single" w:color="000000" w:sz="2" w:space="0"/>
            </w:tcBorders>
            <w:noWrap w:val="0"/>
            <w:vAlign w:val="center"/>
          </w:tcPr>
          <w:p w14:paraId="042DAB21">
            <w:pPr>
              <w:keepNext w:val="0"/>
              <w:keepLines w:val="0"/>
              <w:pageBreakBefore w:val="0"/>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cs="宋体"/>
                <w:color w:val="auto"/>
                <w:szCs w:val="21"/>
                <w:highlight w:val="none"/>
              </w:rPr>
            </w:pPr>
          </w:p>
        </w:tc>
        <w:tc>
          <w:tcPr>
            <w:tcW w:w="1460" w:type="dxa"/>
            <w:tcBorders>
              <w:top w:val="single" w:color="000000" w:sz="2" w:space="0"/>
              <w:left w:val="single" w:color="000000" w:sz="2" w:space="0"/>
              <w:bottom w:val="single" w:color="000000" w:sz="2" w:space="0"/>
              <w:right w:val="single" w:color="000000" w:sz="2" w:space="0"/>
            </w:tcBorders>
            <w:noWrap w:val="0"/>
            <w:vAlign w:val="center"/>
          </w:tcPr>
          <w:p w14:paraId="060FE573">
            <w:pPr>
              <w:keepNext w:val="0"/>
              <w:keepLines w:val="0"/>
              <w:pageBreakBefore w:val="0"/>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cs="宋体"/>
                <w:color w:val="auto"/>
                <w:szCs w:val="21"/>
                <w:highlight w:val="none"/>
              </w:rPr>
            </w:pPr>
          </w:p>
        </w:tc>
      </w:tr>
      <w:tr w14:paraId="7672B0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55" w:hRule="atLeast"/>
          <w:jc w:val="center"/>
        </w:trPr>
        <w:tc>
          <w:tcPr>
            <w:tcW w:w="9575" w:type="dxa"/>
            <w:gridSpan w:val="6"/>
            <w:tcBorders>
              <w:top w:val="single" w:color="000000" w:sz="2" w:space="0"/>
              <w:left w:val="single" w:color="000000" w:sz="2" w:space="0"/>
              <w:right w:val="single" w:color="000000" w:sz="2" w:space="0"/>
            </w:tcBorders>
            <w:noWrap w:val="0"/>
            <w:vAlign w:val="top"/>
          </w:tcPr>
          <w:p w14:paraId="7F3D6CD0">
            <w:pPr>
              <w:keepNext w:val="0"/>
              <w:keepLines w:val="0"/>
              <w:pageBreakBefore w:val="0"/>
              <w:wordWrap/>
              <w:overflowPunct/>
              <w:topLinePunct w:val="0"/>
              <w:bidi w:val="0"/>
              <w:snapToGrid w:val="0"/>
              <w:spacing w:before="50" w:after="50" w:line="400" w:lineRule="exact"/>
              <w:ind w:firstLine="601" w:firstLineChars="250"/>
              <w:rPr>
                <w:rFonts w:hint="eastAsia" w:ascii="宋体" w:hAnsi="宋体" w:cs="宋体"/>
                <w:b/>
                <w:bCs/>
                <w:color w:val="auto"/>
                <w:sz w:val="24"/>
                <w:highlight w:val="none"/>
              </w:rPr>
            </w:pPr>
            <w:r>
              <w:rPr>
                <w:rFonts w:hint="eastAsia" w:ascii="宋体" w:hAnsi="宋体" w:cs="宋体"/>
                <w:b/>
                <w:color w:val="auto"/>
                <w:sz w:val="24"/>
                <w:highlight w:val="none"/>
              </w:rPr>
              <w:t>投标总报价：</w:t>
            </w:r>
            <w:r>
              <w:rPr>
                <w:rFonts w:hint="eastAsia" w:ascii="宋体" w:hAnsi="宋体" w:cs="宋体"/>
                <w:b/>
                <w:bCs/>
                <w:color w:val="auto"/>
                <w:sz w:val="24"/>
                <w:highlight w:val="none"/>
              </w:rPr>
              <w:t xml:space="preserve">（大写）人民币 </w:t>
            </w:r>
            <w:r>
              <w:rPr>
                <w:rFonts w:hint="eastAsia" w:ascii="宋体" w:hAnsi="宋体" w:cs="宋体"/>
                <w:b/>
                <w:bCs/>
                <w:color w:val="auto"/>
                <w:sz w:val="24"/>
                <w:highlight w:val="none"/>
                <w:u w:val="single"/>
              </w:rPr>
              <w:t xml:space="preserve">          </w:t>
            </w:r>
            <w:r>
              <w:rPr>
                <w:rFonts w:hint="eastAsia" w:ascii="宋体" w:hAnsi="宋体" w:cs="宋体"/>
                <w:b/>
                <w:bCs/>
                <w:color w:val="auto"/>
                <w:sz w:val="24"/>
                <w:highlight w:val="none"/>
              </w:rPr>
              <w:t>。</w:t>
            </w:r>
          </w:p>
          <w:p w14:paraId="18AD43E8">
            <w:pPr>
              <w:pStyle w:val="125"/>
              <w:keepNext w:val="0"/>
              <w:keepLines w:val="0"/>
              <w:pageBreakBefore w:val="0"/>
              <w:wordWrap/>
              <w:overflowPunct/>
              <w:topLinePunct w:val="0"/>
              <w:bidi w:val="0"/>
              <w:snapToGrid w:val="0"/>
              <w:spacing w:before="161" w:line="400" w:lineRule="exact"/>
              <w:ind w:left="117" w:firstLine="480" w:firstLineChars="200"/>
              <w:jc w:val="both"/>
              <w:rPr>
                <w:rFonts w:hint="eastAsia"/>
                <w:color w:val="auto"/>
                <w:highlight w:val="none"/>
              </w:rPr>
            </w:pPr>
            <w:r>
              <w:rPr>
                <w:rFonts w:hint="eastAsia"/>
                <w:b/>
                <w:color w:val="auto"/>
                <w:sz w:val="24"/>
                <w:szCs w:val="24"/>
                <w:highlight w:val="none"/>
              </w:rPr>
              <w:t>服务期限：</w:t>
            </w:r>
            <w:r>
              <w:rPr>
                <w:rFonts w:hint="eastAsia"/>
                <w:b/>
                <w:color w:val="auto"/>
                <w:sz w:val="24"/>
                <w:szCs w:val="24"/>
                <w:highlight w:val="none"/>
                <w:u w:val="single"/>
              </w:rPr>
              <w:t xml:space="preserve">                            </w:t>
            </w:r>
          </w:p>
        </w:tc>
      </w:tr>
    </w:tbl>
    <w:p w14:paraId="309E96AE">
      <w:pPr>
        <w:keepNext w:val="0"/>
        <w:keepLines w:val="0"/>
        <w:pageBreakBefore w:val="0"/>
        <w:wordWrap/>
        <w:overflowPunct/>
        <w:topLinePunct w:val="0"/>
        <w:bidi w:val="0"/>
        <w:snapToGrid w:val="0"/>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 xml:space="preserve">注： </w:t>
      </w:r>
    </w:p>
    <w:p w14:paraId="22F3D958">
      <w:pPr>
        <w:keepNext w:val="0"/>
        <w:keepLines w:val="0"/>
        <w:pageBreakBefore w:val="0"/>
        <w:wordWrap/>
        <w:overflowPunct/>
        <w:topLinePunct w:val="0"/>
        <w:bidi w:val="0"/>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1.投标人的开标一览表必须加盖投标人电子签章并由法定代表人或者委托代理人签字或者电子签名，</w:t>
      </w:r>
      <w:r>
        <w:rPr>
          <w:rFonts w:hint="eastAsia" w:ascii="宋体" w:hAnsi="宋体" w:cs="宋体"/>
          <w:b/>
          <w:color w:val="auto"/>
          <w:szCs w:val="21"/>
          <w:highlight w:val="none"/>
        </w:rPr>
        <w:t>否则其投标作无效标处理</w:t>
      </w:r>
      <w:r>
        <w:rPr>
          <w:rFonts w:hint="eastAsia" w:ascii="宋体" w:hAnsi="宋体" w:cs="宋体"/>
          <w:color w:val="auto"/>
          <w:szCs w:val="21"/>
          <w:highlight w:val="none"/>
        </w:rPr>
        <w:t>。</w:t>
      </w:r>
    </w:p>
    <w:p w14:paraId="406473FD">
      <w:pPr>
        <w:keepNext w:val="0"/>
        <w:keepLines w:val="0"/>
        <w:pageBreakBefore w:val="0"/>
        <w:wordWrap/>
        <w:overflowPunct/>
        <w:topLinePunct w:val="0"/>
        <w:bidi w:val="0"/>
        <w:snapToGrid w:val="0"/>
        <w:spacing w:line="400" w:lineRule="exact"/>
        <w:ind w:firstLine="420" w:firstLineChars="200"/>
        <w:jc w:val="left"/>
        <w:rPr>
          <w:rFonts w:hint="eastAsia" w:ascii="宋体" w:hAnsi="宋体" w:cs="宋体"/>
          <w:b/>
          <w:color w:val="auto"/>
          <w:szCs w:val="21"/>
          <w:highlight w:val="none"/>
        </w:rPr>
      </w:pPr>
      <w:r>
        <w:rPr>
          <w:rFonts w:hint="eastAsia" w:ascii="宋体" w:hAnsi="宋体" w:cs="宋体"/>
          <w:bCs/>
          <w:color w:val="auto"/>
          <w:szCs w:val="21"/>
          <w:highlight w:val="none"/>
        </w:rPr>
        <w:t>2.</w:t>
      </w:r>
      <w:r>
        <w:rPr>
          <w:rFonts w:hint="eastAsia" w:ascii="宋体" w:hAnsi="宋体" w:cs="宋体"/>
          <w:color w:val="auto"/>
          <w:szCs w:val="21"/>
          <w:highlight w:val="none"/>
        </w:rPr>
        <w:t>报价一经涂改，应在涂改处加盖投标人公章或者加盖电子签章或者由法定代表人或者委托代理人签字（或者电子签名）</w:t>
      </w:r>
      <w:r>
        <w:rPr>
          <w:rFonts w:hint="eastAsia" w:ascii="宋体" w:hAnsi="宋体" w:cs="宋体"/>
          <w:b/>
          <w:color w:val="auto"/>
          <w:szCs w:val="21"/>
          <w:highlight w:val="none"/>
        </w:rPr>
        <w:t>，否则其投标作无效标处理。</w:t>
      </w:r>
    </w:p>
    <w:p w14:paraId="531D999F">
      <w:pPr>
        <w:keepNext w:val="0"/>
        <w:keepLines w:val="0"/>
        <w:pageBreakBefore w:val="0"/>
        <w:wordWrap/>
        <w:overflowPunct/>
        <w:topLinePunct w:val="0"/>
        <w:bidi w:val="0"/>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3.如为联合体投标，“投标人名称”处必须列明联合体各方名称，并标注联合体牵头人名称，</w:t>
      </w:r>
      <w:r>
        <w:rPr>
          <w:rFonts w:hint="eastAsia" w:ascii="宋体" w:hAnsi="宋体" w:cs="宋体"/>
          <w:b/>
          <w:color w:val="auto"/>
          <w:szCs w:val="21"/>
          <w:highlight w:val="none"/>
        </w:rPr>
        <w:t>否则其投标作无效标处理。</w:t>
      </w:r>
    </w:p>
    <w:p w14:paraId="55B21D46">
      <w:pPr>
        <w:keepNext w:val="0"/>
        <w:keepLines w:val="0"/>
        <w:pageBreakBefore w:val="0"/>
        <w:wordWrap/>
        <w:overflowPunct/>
        <w:topLinePunct w:val="0"/>
        <w:bidi w:val="0"/>
        <w:snapToGrid w:val="0"/>
        <w:spacing w:line="400" w:lineRule="exact"/>
        <w:ind w:firstLine="396" w:firstLineChars="200"/>
        <w:jc w:val="left"/>
        <w:rPr>
          <w:rFonts w:hint="eastAsia" w:ascii="宋体" w:hAnsi="宋体" w:cs="宋体"/>
          <w:color w:val="auto"/>
          <w:spacing w:val="-6"/>
          <w:szCs w:val="21"/>
          <w:highlight w:val="none"/>
        </w:rPr>
      </w:pPr>
      <w:r>
        <w:rPr>
          <w:rFonts w:hint="eastAsia" w:ascii="宋体" w:hAnsi="宋体" w:cs="宋体"/>
          <w:color w:val="auto"/>
          <w:spacing w:val="-6"/>
          <w:szCs w:val="21"/>
          <w:highlight w:val="none"/>
        </w:rPr>
        <w:t>4.如为联合体投标，盖章处须加盖联合体牵头人电子签章，</w:t>
      </w:r>
      <w:r>
        <w:rPr>
          <w:rFonts w:hint="eastAsia" w:ascii="宋体" w:hAnsi="宋体" w:cs="宋体"/>
          <w:b/>
          <w:color w:val="auto"/>
          <w:spacing w:val="-6"/>
          <w:szCs w:val="21"/>
          <w:highlight w:val="none"/>
        </w:rPr>
        <w:t>否则其投标作无效标处理。</w:t>
      </w:r>
    </w:p>
    <w:p w14:paraId="0949BB71">
      <w:pPr>
        <w:keepNext w:val="0"/>
        <w:keepLines w:val="0"/>
        <w:pageBreakBefore w:val="0"/>
        <w:wordWrap/>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5.如有多分标，按分标分别提供开标一览表，</w:t>
      </w:r>
      <w:r>
        <w:rPr>
          <w:rFonts w:hint="eastAsia" w:ascii="宋体" w:hAnsi="宋体" w:cs="宋体"/>
          <w:b/>
          <w:color w:val="auto"/>
          <w:szCs w:val="21"/>
          <w:highlight w:val="none"/>
        </w:rPr>
        <w:t>否则投标无效。</w:t>
      </w:r>
    </w:p>
    <w:p w14:paraId="54311296">
      <w:pPr>
        <w:keepNext w:val="0"/>
        <w:keepLines w:val="0"/>
        <w:pageBreakBefore w:val="0"/>
        <w:wordWrap/>
        <w:overflowPunct/>
        <w:topLinePunct w:val="0"/>
        <w:bidi w:val="0"/>
        <w:snapToGrid w:val="0"/>
        <w:spacing w:line="400" w:lineRule="exact"/>
        <w:ind w:left="-2" w:leftChars="-1" w:right="-817" w:rightChars="-389"/>
        <w:rPr>
          <w:rFonts w:hint="eastAsia" w:ascii="宋体" w:hAnsi="宋体" w:cs="宋体"/>
          <w:color w:val="auto"/>
          <w:szCs w:val="21"/>
          <w:highlight w:val="none"/>
        </w:rPr>
      </w:pPr>
    </w:p>
    <w:p w14:paraId="5433BBC9">
      <w:pPr>
        <w:keepNext w:val="0"/>
        <w:keepLines w:val="0"/>
        <w:pageBreakBefore w:val="0"/>
        <w:wordWrap/>
        <w:overflowPunct/>
        <w:topLinePunct w:val="0"/>
        <w:bidi w:val="0"/>
        <w:snapToGrid w:val="0"/>
        <w:spacing w:line="400" w:lineRule="exact"/>
        <w:ind w:left="-2" w:leftChars="-1" w:right="-817" w:rightChars="-389"/>
        <w:rPr>
          <w:rFonts w:hint="eastAsia" w:ascii="宋体" w:hAnsi="宋体" w:cs="宋体"/>
          <w:color w:val="auto"/>
          <w:szCs w:val="21"/>
          <w:highlight w:val="none"/>
        </w:rPr>
      </w:pPr>
      <w:r>
        <w:rPr>
          <w:rFonts w:hint="eastAsia" w:ascii="宋体" w:hAnsi="宋体" w:cs="宋体"/>
          <w:color w:val="auto"/>
          <w:szCs w:val="21"/>
          <w:highlight w:val="none"/>
        </w:rPr>
        <w:t xml:space="preserve">                           法定代表人或者委托代理人（签字或者电子签名）： </w:t>
      </w:r>
    </w:p>
    <w:p w14:paraId="44F7EA91">
      <w:pPr>
        <w:keepNext w:val="0"/>
        <w:keepLines w:val="0"/>
        <w:pageBreakBefore w:val="0"/>
        <w:wordWrap/>
        <w:overflowPunct/>
        <w:topLinePunct w:val="0"/>
        <w:bidi w:val="0"/>
        <w:snapToGrid w:val="0"/>
        <w:spacing w:line="400" w:lineRule="exact"/>
        <w:ind w:left="-6" w:leftChars="-15" w:right="-817" w:rightChars="-389" w:hanging="25" w:hangingChars="12"/>
        <w:rPr>
          <w:rFonts w:hint="eastAsia" w:ascii="宋体" w:hAnsi="宋体" w:cs="宋体"/>
          <w:color w:val="auto"/>
          <w:szCs w:val="21"/>
          <w:highlight w:val="none"/>
        </w:rPr>
      </w:pPr>
      <w:r>
        <w:rPr>
          <w:rFonts w:hint="eastAsia" w:ascii="宋体" w:hAnsi="宋体" w:cs="宋体"/>
          <w:color w:val="auto"/>
          <w:szCs w:val="21"/>
          <w:highlight w:val="none"/>
        </w:rPr>
        <w:t xml:space="preserve">                                  投标人名称（电子签章）：</w:t>
      </w:r>
    </w:p>
    <w:p w14:paraId="67BC9422">
      <w:pPr>
        <w:keepNext w:val="0"/>
        <w:keepLines w:val="0"/>
        <w:pageBreakBefore w:val="0"/>
        <w:wordWrap/>
        <w:overflowPunct/>
        <w:topLinePunct w:val="0"/>
        <w:bidi w:val="0"/>
        <w:snapToGrid w:val="0"/>
        <w:spacing w:line="400" w:lineRule="exact"/>
        <w:ind w:left="-6" w:leftChars="-15" w:right="-817" w:rightChars="-389" w:hanging="25" w:hangingChars="12"/>
        <w:rPr>
          <w:rFonts w:hint="eastAsia" w:ascii="宋体" w:hAnsi="宋体" w:cs="宋体"/>
          <w:color w:val="auto"/>
          <w:szCs w:val="21"/>
          <w:highlight w:val="none"/>
        </w:rPr>
      </w:pPr>
      <w:r>
        <w:rPr>
          <w:rFonts w:hint="eastAsia" w:ascii="宋体" w:hAnsi="宋体" w:cs="宋体"/>
          <w:color w:val="auto"/>
          <w:szCs w:val="21"/>
          <w:highlight w:val="none"/>
        </w:rPr>
        <w:t xml:space="preserve">                                  日期：    年   月   日</w:t>
      </w:r>
    </w:p>
    <w:p w14:paraId="3CE0B1F9">
      <w:pPr>
        <w:rPr>
          <w:rFonts w:hint="eastAsia" w:ascii="宋体" w:hAnsi="宋体" w:cs="宋体"/>
          <w:color w:val="auto"/>
          <w:highlight w:val="none"/>
        </w:rPr>
      </w:pPr>
      <w:r>
        <w:rPr>
          <w:rFonts w:hint="eastAsia" w:ascii="宋体" w:hAnsi="宋体" w:cs="宋体"/>
          <w:b/>
          <w:bCs/>
          <w:color w:val="auto"/>
          <w:sz w:val="24"/>
          <w:highlight w:val="none"/>
        </w:rPr>
        <w:br w:type="page"/>
      </w:r>
      <w:bookmarkStart w:id="259" w:name="_Toc19686837"/>
      <w:r>
        <w:rPr>
          <w:rFonts w:hint="eastAsia" w:ascii="宋体" w:hAnsi="宋体" w:cs="宋体"/>
          <w:b/>
          <w:color w:val="auto"/>
          <w:sz w:val="24"/>
          <w:highlight w:val="none"/>
        </w:rPr>
        <w:t>3.中小企业声明函格式</w:t>
      </w:r>
    </w:p>
    <w:p w14:paraId="33A5ED70">
      <w:pPr>
        <w:rPr>
          <w:rFonts w:hint="eastAsia" w:ascii="宋体" w:hAnsi="宋体" w:cs="宋体"/>
          <w:color w:val="auto"/>
          <w:highlight w:val="none"/>
        </w:rPr>
      </w:pPr>
    </w:p>
    <w:p w14:paraId="0C6F697D">
      <w:pPr>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中小企业声明函（服务）</w:t>
      </w:r>
    </w:p>
    <w:p w14:paraId="6E349563">
      <w:pPr>
        <w:spacing w:before="2" w:line="500" w:lineRule="exact"/>
        <w:rPr>
          <w:rFonts w:hint="eastAsia" w:ascii="宋体" w:hAnsi="宋体" w:cs="宋体"/>
          <w:b/>
          <w:bCs/>
          <w:color w:val="auto"/>
          <w:szCs w:val="21"/>
          <w:highlight w:val="none"/>
        </w:rPr>
      </w:pPr>
    </w:p>
    <w:p w14:paraId="54B92466">
      <w:pPr>
        <w:pStyle w:val="2"/>
        <w:keepNext w:val="0"/>
        <w:keepLines w:val="0"/>
        <w:pageBreakBefore w:val="0"/>
        <w:widowControl w:val="0"/>
        <w:kinsoku/>
        <w:wordWrap/>
        <w:overflowPunct/>
        <w:topLinePunct w:val="0"/>
        <w:autoSpaceDE/>
        <w:autoSpaceDN/>
        <w:bidi w:val="0"/>
        <w:adjustRightInd/>
        <w:snapToGrid/>
        <w:spacing w:line="400" w:lineRule="exact"/>
        <w:ind w:right="142"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本公司（联合体）郑重声明，根据《政府采购促进中小企业发展管理办法》（财库﹝2020﹞46号）的规定，本公司（联合体）参加</w:t>
      </w:r>
      <w:r>
        <w:rPr>
          <w:rFonts w:hint="eastAsia" w:ascii="宋体" w:hAnsi="宋体" w:cs="宋体"/>
          <w:color w:val="auto"/>
          <w:szCs w:val="21"/>
          <w:highlight w:val="none"/>
          <w:u w:val="single"/>
        </w:rPr>
        <w:t>（单位名称）</w:t>
      </w:r>
      <w:r>
        <w:rPr>
          <w:rFonts w:hint="eastAsia" w:ascii="宋体" w:hAnsi="宋体" w:cs="宋体"/>
          <w:color w:val="auto"/>
          <w:szCs w:val="21"/>
          <w:highlight w:val="none"/>
        </w:rPr>
        <w:t>的</w:t>
      </w:r>
      <w:r>
        <w:rPr>
          <w:rFonts w:hint="eastAsia" w:ascii="宋体" w:hAnsi="宋体" w:cs="宋体"/>
          <w:color w:val="auto"/>
          <w:szCs w:val="21"/>
          <w:highlight w:val="none"/>
          <w:u w:val="single"/>
        </w:rPr>
        <w:t>（项目名称）</w:t>
      </w:r>
      <w:r>
        <w:rPr>
          <w:rFonts w:hint="eastAsia" w:ascii="宋体" w:hAnsi="宋体" w:cs="宋体"/>
          <w:color w:val="auto"/>
          <w:szCs w:val="21"/>
          <w:highlight w:val="none"/>
        </w:rPr>
        <w:t>采购活动，服务全部由符合政策要求的中小企业承接。相关企业（含联合体中的中小企业、签订分包意向协议的中小企业）的具体情况如下：</w:t>
      </w:r>
    </w:p>
    <w:p w14:paraId="3F87A083">
      <w:pPr>
        <w:keepNext w:val="0"/>
        <w:keepLines w:val="0"/>
        <w:pageBreakBefore w:val="0"/>
        <w:widowControl w:val="0"/>
        <w:tabs>
          <w:tab w:val="left" w:pos="1384"/>
          <w:tab w:val="left" w:pos="4562"/>
          <w:tab w:val="left" w:pos="6803"/>
        </w:tabs>
        <w:kinsoku/>
        <w:wordWrap/>
        <w:overflowPunct/>
        <w:topLinePunct w:val="0"/>
        <w:autoSpaceDE/>
        <w:autoSpaceDN/>
        <w:bidi w:val="0"/>
        <w:adjustRightInd/>
        <w:snapToGrid/>
        <w:spacing w:before="13" w:line="400" w:lineRule="exact"/>
        <w:ind w:right="142" w:firstLine="600" w:firstLineChars="286"/>
        <w:textAlignment w:val="auto"/>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u w:val="single"/>
        </w:rPr>
        <w:t>（标的名称）</w:t>
      </w:r>
      <w:r>
        <w:rPr>
          <w:rFonts w:hint="eastAsia" w:ascii="宋体" w:hAnsi="宋体" w:cs="宋体"/>
          <w:color w:val="auto"/>
          <w:szCs w:val="21"/>
          <w:highlight w:val="none"/>
        </w:rPr>
        <w:t>，属于</w:t>
      </w:r>
      <w:r>
        <w:rPr>
          <w:rFonts w:hint="eastAsia" w:ascii="宋体" w:hAnsi="宋体" w:cs="宋体"/>
          <w:color w:val="auto"/>
          <w:szCs w:val="21"/>
          <w:highlight w:val="none"/>
          <w:u w:val="single"/>
        </w:rPr>
        <w:t>（采购文件中明确的所属行业）</w:t>
      </w:r>
      <w:r>
        <w:rPr>
          <w:rFonts w:hint="eastAsia" w:ascii="宋体" w:hAnsi="宋体" w:cs="宋体"/>
          <w:color w:val="auto"/>
          <w:szCs w:val="21"/>
          <w:highlight w:val="none"/>
        </w:rPr>
        <w:t>；承接企业为</w:t>
      </w:r>
      <w:r>
        <w:rPr>
          <w:rFonts w:hint="eastAsia" w:ascii="宋体" w:hAnsi="宋体" w:cs="宋体"/>
          <w:color w:val="auto"/>
          <w:szCs w:val="21"/>
          <w:highlight w:val="none"/>
          <w:u w:val="single"/>
        </w:rPr>
        <w:t>（企业名称）</w:t>
      </w:r>
      <w:r>
        <w:rPr>
          <w:rFonts w:hint="eastAsia" w:ascii="宋体" w:hAnsi="宋体" w:cs="宋体"/>
          <w:color w:val="auto"/>
          <w:szCs w:val="21"/>
          <w:highlight w:val="none"/>
        </w:rPr>
        <w:t>，从业人员</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人，营业收入为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万元，资产总额为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万元，属于</w:t>
      </w:r>
      <w:r>
        <w:rPr>
          <w:rFonts w:hint="eastAsia" w:ascii="宋体" w:hAnsi="宋体" w:cs="宋体"/>
          <w:color w:val="auto"/>
          <w:szCs w:val="21"/>
          <w:highlight w:val="none"/>
          <w:u w:val="single"/>
        </w:rPr>
        <w:t>（中型企业、小型企业、微型企业）</w:t>
      </w:r>
      <w:r>
        <w:rPr>
          <w:rFonts w:hint="eastAsia" w:ascii="宋体" w:hAnsi="宋体" w:cs="宋体"/>
          <w:color w:val="auto"/>
          <w:szCs w:val="21"/>
          <w:highlight w:val="none"/>
        </w:rPr>
        <w:t>；</w:t>
      </w:r>
    </w:p>
    <w:p w14:paraId="01BDA9B7">
      <w:pPr>
        <w:pStyle w:val="2"/>
        <w:keepNext w:val="0"/>
        <w:keepLines w:val="0"/>
        <w:pageBreakBefore w:val="0"/>
        <w:widowControl w:val="0"/>
        <w:kinsoku/>
        <w:wordWrap/>
        <w:overflowPunct/>
        <w:topLinePunct w:val="0"/>
        <w:autoSpaceDE/>
        <w:autoSpaceDN/>
        <w:bidi w:val="0"/>
        <w:adjustRightInd/>
        <w:snapToGrid/>
        <w:spacing w:before="34" w:line="400" w:lineRule="exact"/>
        <w:ind w:left="765" w:right="142" w:hanging="5"/>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 </w:t>
      </w:r>
    </w:p>
    <w:p w14:paraId="021CB364">
      <w:pPr>
        <w:pStyle w:val="2"/>
        <w:keepNext w:val="0"/>
        <w:keepLines w:val="0"/>
        <w:pageBreakBefore w:val="0"/>
        <w:widowControl w:val="0"/>
        <w:kinsoku/>
        <w:wordWrap/>
        <w:overflowPunct/>
        <w:topLinePunct w:val="0"/>
        <w:autoSpaceDE/>
        <w:autoSpaceDN/>
        <w:bidi w:val="0"/>
        <w:adjustRightInd/>
        <w:snapToGrid/>
        <w:spacing w:before="34" w:line="400" w:lineRule="exact"/>
        <w:ind w:right="142"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以上企业，不属于大企业的分支机构，不存在控股股东为大企业的情形，也不存在与大企业的负责人为同一人的情形。</w:t>
      </w:r>
    </w:p>
    <w:p w14:paraId="62F4CB24">
      <w:pPr>
        <w:pStyle w:val="2"/>
        <w:keepNext w:val="0"/>
        <w:keepLines w:val="0"/>
        <w:pageBreakBefore w:val="0"/>
        <w:widowControl w:val="0"/>
        <w:kinsoku/>
        <w:wordWrap/>
        <w:overflowPunct/>
        <w:topLinePunct w:val="0"/>
        <w:autoSpaceDE/>
        <w:autoSpaceDN/>
        <w:bidi w:val="0"/>
        <w:adjustRightInd/>
        <w:snapToGrid/>
        <w:spacing w:before="34" w:line="400" w:lineRule="exact"/>
        <w:ind w:right="142"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本企业对上述声明内容的真实性负责。如有虚假，将依法承担相应责任。</w:t>
      </w:r>
    </w:p>
    <w:p w14:paraId="3A7AA23B">
      <w:pPr>
        <w:pStyle w:val="2"/>
        <w:keepNext w:val="0"/>
        <w:keepLines w:val="0"/>
        <w:pageBreakBefore w:val="0"/>
        <w:widowControl w:val="0"/>
        <w:kinsoku/>
        <w:wordWrap/>
        <w:overflowPunct/>
        <w:topLinePunct w:val="0"/>
        <w:autoSpaceDE/>
        <w:autoSpaceDN/>
        <w:bidi w:val="0"/>
        <w:adjustRightInd/>
        <w:snapToGrid/>
        <w:spacing w:before="56" w:line="400" w:lineRule="exact"/>
        <w:ind w:left="3960" w:right="1808"/>
        <w:textAlignment w:val="auto"/>
        <w:rPr>
          <w:rFonts w:hint="eastAsia" w:ascii="宋体" w:hAnsi="宋体" w:cs="宋体"/>
          <w:color w:val="auto"/>
          <w:szCs w:val="21"/>
          <w:highlight w:val="none"/>
        </w:rPr>
      </w:pPr>
      <w:r>
        <w:rPr>
          <w:rFonts w:hint="eastAsia" w:ascii="宋体" w:hAnsi="宋体" w:cs="宋体"/>
          <w:color w:val="auto"/>
          <w:kern w:val="24"/>
          <w:szCs w:val="21"/>
          <w:highlight w:val="none"/>
        </w:rPr>
        <w:t>企业名称（电子签章）：</w:t>
      </w:r>
      <w:r>
        <w:rPr>
          <w:rFonts w:hint="eastAsia" w:ascii="宋体" w:hAnsi="宋体" w:cs="宋体"/>
          <w:color w:val="auto"/>
          <w:szCs w:val="21"/>
          <w:highlight w:val="none"/>
        </w:rPr>
        <w:t xml:space="preserve"> </w:t>
      </w:r>
    </w:p>
    <w:p w14:paraId="09EC9B14">
      <w:pPr>
        <w:pStyle w:val="2"/>
        <w:keepNext w:val="0"/>
        <w:keepLines w:val="0"/>
        <w:pageBreakBefore w:val="0"/>
        <w:widowControl w:val="0"/>
        <w:kinsoku/>
        <w:wordWrap/>
        <w:overflowPunct/>
        <w:topLinePunct w:val="0"/>
        <w:autoSpaceDE/>
        <w:autoSpaceDN/>
        <w:bidi w:val="0"/>
        <w:adjustRightInd/>
        <w:snapToGrid/>
        <w:spacing w:before="56" w:line="400" w:lineRule="exact"/>
        <w:ind w:left="3960" w:right="1808"/>
        <w:textAlignment w:val="auto"/>
        <w:rPr>
          <w:rFonts w:hint="eastAsia" w:ascii="宋体" w:hAnsi="宋体" w:cs="宋体"/>
          <w:color w:val="auto"/>
          <w:szCs w:val="21"/>
          <w:highlight w:val="none"/>
        </w:rPr>
      </w:pPr>
      <w:r>
        <w:rPr>
          <w:rFonts w:hint="eastAsia" w:ascii="宋体" w:hAnsi="宋体" w:cs="宋体"/>
          <w:color w:val="auto"/>
          <w:szCs w:val="21"/>
          <w:highlight w:val="none"/>
        </w:rPr>
        <w:t>日 期：</w:t>
      </w:r>
    </w:p>
    <w:p w14:paraId="56DBA02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Cs w:val="21"/>
          <w:highlight w:val="none"/>
        </w:rPr>
      </w:pPr>
      <w:r>
        <w:rPr>
          <w:rFonts w:hint="eastAsia" w:ascii="宋体" w:hAnsi="宋体" w:cs="宋体"/>
          <w:color w:val="auto"/>
          <w:spacing w:val="6"/>
          <w:szCs w:val="21"/>
          <w:highlight w:val="none"/>
        </w:rPr>
        <w:t xml:space="preserve"> </w:t>
      </w:r>
    </w:p>
    <w:p w14:paraId="464F975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b/>
          <w:color w:val="auto"/>
          <w:sz w:val="24"/>
          <w:highlight w:val="none"/>
        </w:rPr>
      </w:pPr>
      <w:r>
        <w:rPr>
          <w:rFonts w:hint="eastAsia" w:ascii="宋体" w:hAnsi="宋体" w:cs="宋体"/>
          <w:color w:val="auto"/>
          <w:szCs w:val="21"/>
          <w:highlight w:val="none"/>
        </w:rPr>
        <w:t>注：享受《政府采购促进中小企业发展管理办法》（财库〔2020〕46号）规定的中小企业扶持政策的，采购人、采购代理机构应当随中标结果公开中标供应商的《中小企业声明函》。从业人员、营业收入、资产总额填报上一年度数据，无上一年度数据的新成立企业可不填报。</w:t>
      </w:r>
      <w:r>
        <w:rPr>
          <w:rFonts w:hint="eastAsia" w:ascii="宋体" w:hAnsi="宋体" w:cs="宋体"/>
          <w:color w:val="auto"/>
          <w:highlight w:val="none"/>
        </w:rPr>
        <w:br w:type="page"/>
      </w:r>
      <w:r>
        <w:rPr>
          <w:rFonts w:hint="eastAsia" w:ascii="宋体" w:hAnsi="宋体" w:cs="宋体"/>
          <w:color w:val="auto"/>
          <w:highlight w:val="none"/>
        </w:rPr>
        <w:t>4</w:t>
      </w:r>
      <w:r>
        <w:rPr>
          <w:rFonts w:hint="eastAsia" w:ascii="宋体" w:hAnsi="宋体" w:cs="宋体"/>
          <w:b/>
          <w:color w:val="auto"/>
          <w:sz w:val="24"/>
          <w:highlight w:val="none"/>
        </w:rPr>
        <w:t>.残疾人福利性单位声明函格式</w:t>
      </w:r>
    </w:p>
    <w:p w14:paraId="60114535">
      <w:pPr>
        <w:spacing w:line="588" w:lineRule="exact"/>
        <w:jc w:val="center"/>
        <w:rPr>
          <w:rFonts w:hint="eastAsia" w:ascii="宋体" w:hAnsi="宋体" w:cs="宋体"/>
          <w:b/>
          <w:color w:val="auto"/>
          <w:spacing w:val="6"/>
          <w:sz w:val="32"/>
          <w:szCs w:val="32"/>
          <w:highlight w:val="none"/>
        </w:rPr>
      </w:pPr>
    </w:p>
    <w:p w14:paraId="4B0B162E">
      <w:pPr>
        <w:spacing w:line="588" w:lineRule="exact"/>
        <w:jc w:val="center"/>
        <w:rPr>
          <w:rFonts w:hint="eastAsia" w:ascii="宋体" w:hAnsi="宋体" w:cs="宋体"/>
          <w:b/>
          <w:bCs/>
          <w:color w:val="auto"/>
          <w:spacing w:val="6"/>
          <w:sz w:val="30"/>
          <w:szCs w:val="30"/>
          <w:highlight w:val="none"/>
        </w:rPr>
      </w:pPr>
      <w:r>
        <w:rPr>
          <w:rFonts w:hint="eastAsia" w:ascii="宋体" w:hAnsi="宋体" w:cs="宋体"/>
          <w:b/>
          <w:bCs/>
          <w:color w:val="auto"/>
          <w:spacing w:val="6"/>
          <w:sz w:val="30"/>
          <w:szCs w:val="30"/>
          <w:highlight w:val="none"/>
        </w:rPr>
        <w:t>残疾人福利性单位声明函</w:t>
      </w:r>
    </w:p>
    <w:p w14:paraId="019EB9D1">
      <w:pPr>
        <w:spacing w:line="588" w:lineRule="exact"/>
        <w:rPr>
          <w:rFonts w:hint="eastAsia" w:ascii="宋体" w:hAnsi="宋体" w:cs="宋体"/>
          <w:b/>
          <w:color w:val="auto"/>
          <w:spacing w:val="6"/>
          <w:sz w:val="30"/>
          <w:szCs w:val="30"/>
          <w:highlight w:val="none"/>
        </w:rPr>
      </w:pPr>
    </w:p>
    <w:p w14:paraId="57D3CA52">
      <w:pPr>
        <w:keepNext w:val="0"/>
        <w:keepLines w:val="0"/>
        <w:pageBreakBefore w:val="0"/>
        <w:widowControl w:val="0"/>
        <w:kinsoku/>
        <w:wordWrap/>
        <w:overflowPunct/>
        <w:topLinePunct w:val="0"/>
        <w:autoSpaceDE/>
        <w:autoSpaceDN/>
        <w:bidi w:val="0"/>
        <w:adjustRightInd/>
        <w:snapToGrid/>
        <w:spacing w:line="400" w:lineRule="exact"/>
        <w:ind w:firstLine="444" w:firstLineChars="200"/>
        <w:textAlignment w:val="auto"/>
        <w:rPr>
          <w:rFonts w:hint="eastAsia" w:ascii="宋体" w:hAnsi="宋体" w:cs="宋体"/>
          <w:color w:val="auto"/>
          <w:spacing w:val="6"/>
          <w:szCs w:val="21"/>
          <w:highlight w:val="none"/>
        </w:rPr>
      </w:pPr>
      <w:r>
        <w:rPr>
          <w:rFonts w:hint="eastAsia" w:ascii="宋体" w:hAnsi="宋体" w:cs="宋体"/>
          <w:color w:val="auto"/>
          <w:spacing w:val="6"/>
          <w:szCs w:val="21"/>
          <w:highlight w:val="none"/>
        </w:rPr>
        <w:t>本单位郑重声明，根据《财政部 民政部 中国残疾人联合会关于促进残疾人就业政府采购政策的通知》（财库</w:t>
      </w:r>
      <w:r>
        <w:rPr>
          <w:rFonts w:hint="eastAsia" w:ascii="宋体" w:hAnsi="宋体" w:cs="宋体"/>
          <w:color w:val="auto"/>
          <w:szCs w:val="21"/>
          <w:highlight w:val="none"/>
        </w:rPr>
        <w:t>〔2017〕 141</w:t>
      </w:r>
      <w:r>
        <w:rPr>
          <w:rFonts w:hint="eastAsia" w:ascii="宋体" w:hAnsi="宋体" w:cs="宋体"/>
          <w:color w:val="auto"/>
          <w:spacing w:val="6"/>
          <w:szCs w:val="21"/>
          <w:highlight w:val="none"/>
        </w:rPr>
        <w:t>号）的规定，本单位为符合条件的残疾人福利性单位，且本单位参加______单位的______项目采购活动提供本单位制造的货物（由本单位承担工程/提供服务），或者提供其他残</w:t>
      </w:r>
      <w:r>
        <w:rPr>
          <w:rFonts w:hint="eastAsia" w:ascii="宋体" w:hAnsi="宋体" w:cs="宋体"/>
          <w:color w:val="auto"/>
          <w:spacing w:val="-6"/>
          <w:szCs w:val="21"/>
          <w:highlight w:val="none"/>
        </w:rPr>
        <w:t>疾人福利性单位制造的货物（不包括使用非残疾人福利性单位注册商标的货物）。</w:t>
      </w:r>
    </w:p>
    <w:p w14:paraId="7B07B277">
      <w:pPr>
        <w:keepNext w:val="0"/>
        <w:keepLines w:val="0"/>
        <w:pageBreakBefore w:val="0"/>
        <w:widowControl w:val="0"/>
        <w:kinsoku/>
        <w:wordWrap/>
        <w:overflowPunct/>
        <w:topLinePunct w:val="0"/>
        <w:autoSpaceDE/>
        <w:autoSpaceDN/>
        <w:bidi w:val="0"/>
        <w:adjustRightInd/>
        <w:snapToGrid/>
        <w:spacing w:line="400" w:lineRule="exact"/>
        <w:ind w:firstLine="444" w:firstLineChars="200"/>
        <w:textAlignment w:val="auto"/>
        <w:rPr>
          <w:rFonts w:hint="eastAsia" w:ascii="宋体" w:hAnsi="宋体" w:cs="宋体"/>
          <w:color w:val="auto"/>
          <w:spacing w:val="6"/>
          <w:szCs w:val="21"/>
          <w:highlight w:val="none"/>
        </w:rPr>
      </w:pPr>
      <w:r>
        <w:rPr>
          <w:rFonts w:hint="eastAsia" w:ascii="宋体" w:hAnsi="宋体" w:cs="宋体"/>
          <w:color w:val="auto"/>
          <w:spacing w:val="6"/>
          <w:szCs w:val="21"/>
          <w:highlight w:val="none"/>
        </w:rPr>
        <w:t>本单位对上述声明的真实性负责。如有虚假，将依法承担相应责任。</w:t>
      </w:r>
    </w:p>
    <w:p w14:paraId="3F980F4F">
      <w:pPr>
        <w:keepNext w:val="0"/>
        <w:keepLines w:val="0"/>
        <w:pageBreakBefore w:val="0"/>
        <w:widowControl w:val="0"/>
        <w:kinsoku/>
        <w:wordWrap/>
        <w:overflowPunct/>
        <w:topLinePunct w:val="0"/>
        <w:autoSpaceDE/>
        <w:autoSpaceDN/>
        <w:bidi w:val="0"/>
        <w:adjustRightInd/>
        <w:snapToGrid/>
        <w:spacing w:line="400" w:lineRule="exact"/>
        <w:ind w:firstLine="444" w:firstLineChars="200"/>
        <w:textAlignment w:val="auto"/>
        <w:rPr>
          <w:rFonts w:hint="eastAsia" w:ascii="宋体" w:hAnsi="宋体" w:cs="宋体"/>
          <w:color w:val="auto"/>
          <w:spacing w:val="6"/>
          <w:szCs w:val="21"/>
          <w:highlight w:val="none"/>
        </w:rPr>
      </w:pPr>
    </w:p>
    <w:p w14:paraId="03099BF6">
      <w:pPr>
        <w:keepNext w:val="0"/>
        <w:keepLines w:val="0"/>
        <w:pageBreakBefore w:val="0"/>
        <w:widowControl w:val="0"/>
        <w:kinsoku/>
        <w:wordWrap/>
        <w:overflowPunct/>
        <w:topLinePunct w:val="0"/>
        <w:autoSpaceDE/>
        <w:autoSpaceDN/>
        <w:bidi w:val="0"/>
        <w:adjustRightInd/>
        <w:snapToGrid/>
        <w:spacing w:line="400" w:lineRule="exact"/>
        <w:ind w:firstLine="444" w:firstLineChars="200"/>
        <w:textAlignment w:val="auto"/>
        <w:rPr>
          <w:rFonts w:hint="eastAsia" w:ascii="宋体" w:hAnsi="宋体" w:cs="宋体"/>
          <w:color w:val="auto"/>
          <w:spacing w:val="6"/>
          <w:szCs w:val="21"/>
          <w:highlight w:val="none"/>
        </w:rPr>
      </w:pPr>
    </w:p>
    <w:p w14:paraId="536BFE2A">
      <w:pPr>
        <w:keepNext w:val="0"/>
        <w:keepLines w:val="0"/>
        <w:pageBreakBefore w:val="0"/>
        <w:widowControl w:val="0"/>
        <w:tabs>
          <w:tab w:val="left" w:pos="4860"/>
        </w:tabs>
        <w:kinsoku/>
        <w:wordWrap/>
        <w:overflowPunct/>
        <w:topLinePunct w:val="0"/>
        <w:autoSpaceDE/>
        <w:autoSpaceDN/>
        <w:bidi w:val="0"/>
        <w:adjustRightInd/>
        <w:snapToGrid/>
        <w:spacing w:line="400" w:lineRule="exact"/>
        <w:ind w:right="1560" w:firstLine="444" w:firstLineChars="200"/>
        <w:contextualSpacing/>
        <w:jc w:val="center"/>
        <w:textAlignment w:val="auto"/>
        <w:rPr>
          <w:rFonts w:hint="eastAsia" w:ascii="宋体" w:hAnsi="宋体" w:cs="宋体"/>
          <w:color w:val="auto"/>
          <w:spacing w:val="6"/>
          <w:szCs w:val="21"/>
          <w:highlight w:val="none"/>
        </w:rPr>
      </w:pPr>
      <w:r>
        <w:rPr>
          <w:rFonts w:hint="eastAsia" w:ascii="宋体" w:hAnsi="宋体" w:cs="宋体"/>
          <w:color w:val="auto"/>
          <w:spacing w:val="6"/>
          <w:szCs w:val="21"/>
          <w:highlight w:val="none"/>
        </w:rPr>
        <w:t>单位名称（电子签章）：</w:t>
      </w:r>
    </w:p>
    <w:p w14:paraId="385D7120">
      <w:pPr>
        <w:keepNext w:val="0"/>
        <w:keepLines w:val="0"/>
        <w:pageBreakBefore w:val="0"/>
        <w:widowControl w:val="0"/>
        <w:tabs>
          <w:tab w:val="left" w:pos="4860"/>
        </w:tabs>
        <w:kinsoku/>
        <w:wordWrap/>
        <w:overflowPunct/>
        <w:topLinePunct w:val="0"/>
        <w:autoSpaceDE/>
        <w:autoSpaceDN/>
        <w:bidi w:val="0"/>
        <w:adjustRightInd/>
        <w:snapToGrid/>
        <w:spacing w:line="400" w:lineRule="exact"/>
        <w:ind w:right="1560" w:firstLine="444" w:firstLineChars="200"/>
        <w:contextualSpacing/>
        <w:jc w:val="center"/>
        <w:textAlignment w:val="auto"/>
        <w:rPr>
          <w:rFonts w:hint="eastAsia" w:ascii="宋体" w:hAnsi="宋体" w:cs="宋体"/>
          <w:color w:val="auto"/>
          <w:spacing w:val="6"/>
          <w:szCs w:val="21"/>
          <w:highlight w:val="none"/>
        </w:rPr>
      </w:pPr>
      <w:r>
        <w:rPr>
          <w:rFonts w:hint="eastAsia" w:ascii="宋体" w:hAnsi="宋体" w:cs="宋体"/>
          <w:color w:val="auto"/>
          <w:spacing w:val="6"/>
          <w:szCs w:val="21"/>
          <w:highlight w:val="none"/>
        </w:rPr>
        <w:t>日  期：</w:t>
      </w:r>
    </w:p>
    <w:p w14:paraId="11F87CE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Cs w:val="21"/>
          <w:highlight w:val="none"/>
        </w:rPr>
      </w:pPr>
    </w:p>
    <w:p w14:paraId="6A962AA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Cs w:val="21"/>
          <w:highlight w:val="none"/>
        </w:rPr>
      </w:pPr>
    </w:p>
    <w:p w14:paraId="1E34280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Cs w:val="21"/>
          <w:highlight w:val="none"/>
        </w:rPr>
      </w:pPr>
    </w:p>
    <w:p w14:paraId="027E4BB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Cs w:val="21"/>
          <w:highlight w:val="none"/>
        </w:rPr>
      </w:pPr>
      <w:r>
        <w:rPr>
          <w:rFonts w:hint="eastAsia" w:ascii="宋体" w:hAnsi="宋体" w:cs="宋体"/>
          <w:color w:val="auto"/>
          <w:szCs w:val="21"/>
          <w:highlight w:val="none"/>
        </w:rPr>
        <w:t>注：请根据自己的真实情况出具《残疾人福利性单位声明函》。依法享受中小企业优惠政策的，采购人或者采购代理机构在公告中标结果时，同时公告其《残疾人福利性单位声明函》，接受社会监督。</w:t>
      </w:r>
    </w:p>
    <w:p w14:paraId="5A5214E6">
      <w:pPr>
        <w:ind w:firstLine="3990" w:firstLineChars="1900"/>
        <w:rPr>
          <w:rFonts w:hint="eastAsia" w:ascii="宋体" w:hAnsi="宋体" w:cs="宋体"/>
          <w:color w:val="auto"/>
          <w:szCs w:val="21"/>
          <w:highlight w:val="none"/>
        </w:rPr>
      </w:pPr>
    </w:p>
    <w:p w14:paraId="4E2EC5D0">
      <w:pPr>
        <w:spacing w:line="360" w:lineRule="auto"/>
        <w:rPr>
          <w:rFonts w:hint="eastAsia"/>
          <w:color w:val="auto"/>
          <w:szCs w:val="21"/>
          <w:highlight w:val="none"/>
        </w:rPr>
      </w:pPr>
    </w:p>
    <w:p w14:paraId="3D98601C">
      <w:pPr>
        <w:rPr>
          <w:rFonts w:hint="eastAsia"/>
          <w:color w:val="auto"/>
          <w:szCs w:val="21"/>
          <w:highlight w:val="none"/>
        </w:rPr>
      </w:pPr>
    </w:p>
    <w:p w14:paraId="00E4B4B5">
      <w:pPr>
        <w:spacing w:line="360" w:lineRule="auto"/>
        <w:rPr>
          <w:rFonts w:hint="eastAsia"/>
          <w:color w:val="auto"/>
          <w:highlight w:val="none"/>
        </w:rPr>
      </w:pPr>
    </w:p>
    <w:p w14:paraId="4768B9BE">
      <w:pPr>
        <w:spacing w:line="360" w:lineRule="auto"/>
        <w:rPr>
          <w:rFonts w:hint="eastAsia"/>
          <w:color w:val="auto"/>
          <w:highlight w:val="none"/>
        </w:rPr>
      </w:pPr>
    </w:p>
    <w:p w14:paraId="281CEF25">
      <w:pPr>
        <w:rPr>
          <w:rFonts w:hint="eastAsia" w:ascii="宋体" w:hAnsi="宋体" w:cs="宋体"/>
          <w:color w:val="auto"/>
          <w:sz w:val="24"/>
          <w:highlight w:val="none"/>
        </w:rPr>
      </w:pPr>
    </w:p>
    <w:p w14:paraId="1165BF1C">
      <w:pPr>
        <w:pStyle w:val="4"/>
        <w:rPr>
          <w:rFonts w:hint="eastAsia"/>
          <w:color w:val="auto"/>
          <w:highlight w:val="none"/>
        </w:rPr>
      </w:pPr>
      <w:r>
        <w:rPr>
          <w:rFonts w:hint="eastAsia"/>
          <w:color w:val="auto"/>
          <w:highlight w:val="none"/>
        </w:rPr>
        <w:br w:type="page"/>
      </w:r>
      <w:bookmarkStart w:id="260" w:name="_Toc560"/>
      <w:bookmarkStart w:id="261" w:name="_Toc23452"/>
      <w:r>
        <w:rPr>
          <w:rFonts w:hint="eastAsia"/>
          <w:color w:val="auto"/>
          <w:highlight w:val="none"/>
        </w:rPr>
        <w:t>二、资格证明文件格式</w:t>
      </w:r>
      <w:bookmarkEnd w:id="257"/>
      <w:bookmarkEnd w:id="258"/>
      <w:bookmarkEnd w:id="259"/>
      <w:bookmarkEnd w:id="260"/>
      <w:bookmarkEnd w:id="261"/>
    </w:p>
    <w:p w14:paraId="64B61697">
      <w:pPr>
        <w:snapToGrid w:val="0"/>
        <w:spacing w:before="120" w:beforeLines="50" w:after="50" w:line="360" w:lineRule="auto"/>
        <w:jc w:val="left"/>
        <w:rPr>
          <w:rFonts w:hint="eastAsia" w:ascii="宋体" w:hAnsi="宋体" w:cs="宋体"/>
          <w:b/>
          <w:color w:val="auto"/>
          <w:sz w:val="24"/>
          <w:highlight w:val="none"/>
        </w:rPr>
      </w:pPr>
      <w:r>
        <w:rPr>
          <w:rFonts w:hint="eastAsia" w:ascii="宋体" w:hAnsi="宋体" w:cs="宋体"/>
          <w:b/>
          <w:color w:val="auto"/>
          <w:sz w:val="24"/>
          <w:highlight w:val="none"/>
        </w:rPr>
        <w:t xml:space="preserve">1.资格证明文件封面格式： </w:t>
      </w:r>
    </w:p>
    <w:p w14:paraId="6C76BF23">
      <w:pPr>
        <w:snapToGrid w:val="0"/>
        <w:spacing w:before="120" w:beforeLines="50" w:after="50"/>
        <w:jc w:val="center"/>
        <w:rPr>
          <w:rFonts w:hint="eastAsia" w:ascii="宋体" w:hAnsi="宋体" w:cs="宋体"/>
          <w:bCs/>
          <w:color w:val="auto"/>
          <w:sz w:val="48"/>
          <w:szCs w:val="48"/>
          <w:highlight w:val="none"/>
        </w:rPr>
      </w:pPr>
    </w:p>
    <w:p w14:paraId="249C6EA8">
      <w:pPr>
        <w:snapToGrid w:val="0"/>
        <w:spacing w:before="120" w:beforeLines="50" w:after="50"/>
        <w:jc w:val="center"/>
        <w:rPr>
          <w:rFonts w:hint="eastAsia" w:ascii="宋体" w:hAnsi="宋体" w:cs="宋体"/>
          <w:bCs/>
          <w:color w:val="auto"/>
          <w:sz w:val="48"/>
          <w:szCs w:val="48"/>
          <w:highlight w:val="none"/>
        </w:rPr>
      </w:pPr>
    </w:p>
    <w:p w14:paraId="2CB833E1">
      <w:pPr>
        <w:snapToGrid w:val="0"/>
        <w:spacing w:before="120" w:beforeLines="50" w:after="50"/>
        <w:jc w:val="center"/>
        <w:rPr>
          <w:rFonts w:hint="eastAsia" w:ascii="宋体" w:hAnsi="宋体" w:cs="宋体"/>
          <w:bCs/>
          <w:color w:val="auto"/>
          <w:sz w:val="48"/>
          <w:szCs w:val="48"/>
          <w:highlight w:val="none"/>
        </w:rPr>
      </w:pPr>
      <w:r>
        <w:rPr>
          <w:rFonts w:hint="eastAsia" w:ascii="宋体" w:hAnsi="宋体" w:cs="宋体"/>
          <w:bCs/>
          <w:color w:val="auto"/>
          <w:sz w:val="48"/>
          <w:szCs w:val="48"/>
          <w:highlight w:val="none"/>
        </w:rPr>
        <w:t>电子投标文件</w:t>
      </w:r>
    </w:p>
    <w:p w14:paraId="6BB22754">
      <w:pPr>
        <w:snapToGrid w:val="0"/>
        <w:spacing w:before="120" w:beforeLines="50" w:after="50"/>
        <w:rPr>
          <w:rFonts w:hint="eastAsia" w:ascii="宋体" w:hAnsi="宋体" w:cs="宋体"/>
          <w:color w:val="auto"/>
          <w:sz w:val="24"/>
          <w:szCs w:val="20"/>
          <w:highlight w:val="none"/>
        </w:rPr>
      </w:pPr>
      <w:r>
        <w:rPr>
          <w:rFonts w:hint="eastAsia" w:ascii="宋体" w:hAnsi="宋体" w:cs="宋体"/>
          <w:color w:val="auto"/>
          <w:sz w:val="24"/>
          <w:highlight w:val="none"/>
        </w:rPr>
        <w:t xml:space="preserve">                 </w:t>
      </w:r>
    </w:p>
    <w:p w14:paraId="5376D341">
      <w:pPr>
        <w:snapToGrid w:val="0"/>
        <w:spacing w:before="120" w:beforeLines="50" w:after="50"/>
        <w:jc w:val="center"/>
        <w:rPr>
          <w:rFonts w:hint="eastAsia" w:ascii="宋体" w:hAnsi="宋体" w:cs="宋体"/>
          <w:b/>
          <w:color w:val="auto"/>
          <w:sz w:val="24"/>
          <w:szCs w:val="20"/>
          <w:highlight w:val="none"/>
        </w:rPr>
      </w:pPr>
      <w:r>
        <w:rPr>
          <w:rFonts w:hint="eastAsia" w:ascii="宋体" w:hAnsi="宋体" w:cs="宋体"/>
          <w:b/>
          <w:color w:val="auto"/>
          <w:sz w:val="32"/>
          <w:szCs w:val="32"/>
          <w:highlight w:val="none"/>
        </w:rPr>
        <w:t>资格证明文件</w:t>
      </w:r>
    </w:p>
    <w:p w14:paraId="711FE49B">
      <w:pPr>
        <w:snapToGrid w:val="0"/>
        <w:spacing w:before="120" w:beforeLines="50" w:after="50"/>
        <w:rPr>
          <w:rFonts w:hint="eastAsia" w:ascii="宋体" w:hAnsi="宋体" w:cs="宋体"/>
          <w:bCs/>
          <w:color w:val="auto"/>
          <w:sz w:val="24"/>
          <w:szCs w:val="20"/>
          <w:highlight w:val="none"/>
        </w:rPr>
      </w:pPr>
    </w:p>
    <w:p w14:paraId="65891198">
      <w:pPr>
        <w:snapToGrid w:val="0"/>
        <w:spacing w:before="120" w:beforeLines="50" w:after="50"/>
        <w:rPr>
          <w:rFonts w:hint="eastAsia" w:ascii="宋体" w:hAnsi="宋体" w:cs="宋体"/>
          <w:bCs/>
          <w:color w:val="auto"/>
          <w:sz w:val="24"/>
          <w:szCs w:val="20"/>
          <w:highlight w:val="none"/>
        </w:rPr>
      </w:pPr>
    </w:p>
    <w:p w14:paraId="331043EC">
      <w:pPr>
        <w:snapToGrid w:val="0"/>
        <w:spacing w:before="120" w:beforeLines="50" w:after="50"/>
        <w:rPr>
          <w:rFonts w:hint="eastAsia" w:ascii="宋体" w:hAnsi="宋体" w:cs="宋体"/>
          <w:bCs/>
          <w:color w:val="auto"/>
          <w:sz w:val="24"/>
          <w:szCs w:val="20"/>
          <w:highlight w:val="none"/>
        </w:rPr>
      </w:pPr>
    </w:p>
    <w:p w14:paraId="1C9A6474">
      <w:pPr>
        <w:snapToGrid w:val="0"/>
        <w:spacing w:before="120" w:beforeLines="50" w:after="50"/>
        <w:rPr>
          <w:rFonts w:hint="eastAsia" w:ascii="宋体" w:hAnsi="宋体" w:cs="宋体"/>
          <w:bCs/>
          <w:color w:val="auto"/>
          <w:sz w:val="24"/>
          <w:szCs w:val="20"/>
          <w:highlight w:val="none"/>
        </w:rPr>
      </w:pPr>
    </w:p>
    <w:p w14:paraId="2034999B">
      <w:pPr>
        <w:snapToGrid w:val="0"/>
        <w:spacing w:before="120" w:beforeLines="50" w:after="50"/>
        <w:rPr>
          <w:rFonts w:hint="eastAsia" w:ascii="宋体" w:hAnsi="宋体" w:cs="宋体"/>
          <w:bCs/>
          <w:color w:val="auto"/>
          <w:sz w:val="24"/>
          <w:szCs w:val="20"/>
          <w:highlight w:val="none"/>
        </w:rPr>
      </w:pPr>
    </w:p>
    <w:p w14:paraId="6E28ADB4">
      <w:pPr>
        <w:snapToGrid w:val="0"/>
        <w:spacing w:before="120" w:beforeLines="50" w:after="50"/>
        <w:rPr>
          <w:rFonts w:hint="eastAsia" w:ascii="宋体" w:hAnsi="宋体" w:cs="宋体"/>
          <w:bCs/>
          <w:color w:val="auto"/>
          <w:sz w:val="24"/>
          <w:szCs w:val="20"/>
          <w:highlight w:val="none"/>
        </w:rPr>
      </w:pPr>
    </w:p>
    <w:p w14:paraId="6B49D852">
      <w:pPr>
        <w:snapToGrid w:val="0"/>
        <w:spacing w:before="120" w:beforeLines="50" w:after="50"/>
        <w:rPr>
          <w:rFonts w:hint="eastAsia" w:ascii="宋体" w:hAnsi="宋体" w:cs="宋体"/>
          <w:bCs/>
          <w:color w:val="auto"/>
          <w:sz w:val="24"/>
          <w:szCs w:val="20"/>
          <w:highlight w:val="none"/>
        </w:rPr>
      </w:pPr>
    </w:p>
    <w:p w14:paraId="762129F9">
      <w:pPr>
        <w:snapToGrid w:val="0"/>
        <w:spacing w:before="120" w:beforeLines="50" w:after="50"/>
        <w:ind w:firstLine="540" w:firstLineChars="225"/>
        <w:rPr>
          <w:rFonts w:hint="eastAsia" w:ascii="宋体" w:hAnsi="宋体" w:cs="宋体"/>
          <w:bCs/>
          <w:color w:val="auto"/>
          <w:sz w:val="24"/>
          <w:highlight w:val="none"/>
        </w:rPr>
      </w:pPr>
      <w:r>
        <w:rPr>
          <w:rFonts w:hint="eastAsia" w:ascii="宋体" w:hAnsi="宋体" w:cs="宋体"/>
          <w:bCs/>
          <w:color w:val="auto"/>
          <w:sz w:val="24"/>
          <w:highlight w:val="none"/>
        </w:rPr>
        <w:t>项目名称：</w:t>
      </w:r>
    </w:p>
    <w:p w14:paraId="6A929033">
      <w:pPr>
        <w:snapToGrid w:val="0"/>
        <w:spacing w:before="120" w:beforeLines="50" w:after="50"/>
        <w:ind w:firstLine="540" w:firstLineChars="225"/>
        <w:rPr>
          <w:rFonts w:hint="eastAsia" w:ascii="宋体" w:hAnsi="宋体" w:cs="宋体"/>
          <w:bCs/>
          <w:color w:val="auto"/>
          <w:sz w:val="24"/>
          <w:szCs w:val="20"/>
          <w:highlight w:val="none"/>
        </w:rPr>
      </w:pPr>
    </w:p>
    <w:p w14:paraId="176B7EAF">
      <w:pPr>
        <w:snapToGrid w:val="0"/>
        <w:spacing w:before="120" w:beforeLines="50" w:after="50"/>
        <w:ind w:firstLine="540" w:firstLineChars="225"/>
        <w:rPr>
          <w:rFonts w:hint="eastAsia" w:ascii="宋体" w:hAnsi="宋体" w:cs="宋体"/>
          <w:bCs/>
          <w:color w:val="auto"/>
          <w:sz w:val="24"/>
          <w:highlight w:val="none"/>
        </w:rPr>
      </w:pPr>
      <w:r>
        <w:rPr>
          <w:rFonts w:hint="eastAsia" w:ascii="宋体" w:hAnsi="宋体" w:cs="宋体"/>
          <w:bCs/>
          <w:color w:val="auto"/>
          <w:sz w:val="24"/>
          <w:highlight w:val="none"/>
        </w:rPr>
        <w:t>项目编号：</w:t>
      </w:r>
    </w:p>
    <w:p w14:paraId="1384C439">
      <w:pPr>
        <w:snapToGrid w:val="0"/>
        <w:spacing w:before="120" w:beforeLines="50" w:after="50"/>
        <w:ind w:firstLine="540" w:firstLineChars="225"/>
        <w:rPr>
          <w:rFonts w:hint="eastAsia" w:ascii="宋体" w:hAnsi="宋体" w:cs="宋体"/>
          <w:bCs/>
          <w:color w:val="auto"/>
          <w:sz w:val="24"/>
          <w:szCs w:val="20"/>
          <w:highlight w:val="none"/>
        </w:rPr>
      </w:pPr>
    </w:p>
    <w:p w14:paraId="0D3CD219">
      <w:pPr>
        <w:snapToGrid w:val="0"/>
        <w:spacing w:before="120" w:beforeLines="50" w:after="50"/>
        <w:ind w:firstLine="540" w:firstLineChars="225"/>
        <w:rPr>
          <w:rFonts w:hint="eastAsia" w:ascii="宋体" w:hAnsi="宋体" w:cs="宋体"/>
          <w:bCs/>
          <w:color w:val="auto"/>
          <w:sz w:val="24"/>
          <w:highlight w:val="none"/>
        </w:rPr>
      </w:pPr>
      <w:r>
        <w:rPr>
          <w:rFonts w:hint="eastAsia" w:ascii="宋体" w:hAnsi="宋体" w:cs="宋体"/>
          <w:bCs/>
          <w:color w:val="auto"/>
          <w:sz w:val="24"/>
          <w:highlight w:val="none"/>
        </w:rPr>
        <w:t>所投分标：</w:t>
      </w:r>
    </w:p>
    <w:p w14:paraId="44EDE92B">
      <w:pPr>
        <w:pStyle w:val="10"/>
        <w:snapToGrid w:val="0"/>
        <w:spacing w:before="50" w:after="50"/>
        <w:ind w:firstLine="540" w:firstLineChars="225"/>
        <w:rPr>
          <w:rFonts w:hint="eastAsia" w:ascii="宋体" w:hAnsi="宋体" w:cs="宋体"/>
          <w:bCs/>
          <w:color w:val="auto"/>
          <w:sz w:val="24"/>
          <w:szCs w:val="24"/>
          <w:highlight w:val="none"/>
        </w:rPr>
      </w:pPr>
    </w:p>
    <w:p w14:paraId="4777482B">
      <w:pPr>
        <w:pStyle w:val="10"/>
        <w:snapToGrid w:val="0"/>
        <w:spacing w:before="50" w:after="50"/>
        <w:ind w:firstLine="540" w:firstLineChars="225"/>
        <w:rPr>
          <w:rFonts w:hint="eastAsia" w:ascii="宋体" w:hAnsi="宋体" w:cs="宋体"/>
          <w:bCs/>
          <w:color w:val="auto"/>
          <w:sz w:val="24"/>
          <w:szCs w:val="24"/>
          <w:highlight w:val="none"/>
        </w:rPr>
      </w:pPr>
      <w:r>
        <w:rPr>
          <w:rFonts w:hint="eastAsia" w:ascii="宋体" w:hAnsi="宋体" w:cs="宋体"/>
          <w:bCs/>
          <w:color w:val="auto"/>
          <w:sz w:val="24"/>
          <w:szCs w:val="24"/>
          <w:highlight w:val="none"/>
        </w:rPr>
        <w:t>投标人名称：</w:t>
      </w:r>
    </w:p>
    <w:p w14:paraId="580DE809">
      <w:pPr>
        <w:pStyle w:val="10"/>
        <w:snapToGrid w:val="0"/>
        <w:spacing w:before="50" w:after="50"/>
        <w:ind w:firstLine="540" w:firstLineChars="225"/>
        <w:rPr>
          <w:rFonts w:hint="eastAsia" w:ascii="宋体" w:hAnsi="宋体" w:cs="宋体"/>
          <w:bCs/>
          <w:color w:val="auto"/>
          <w:sz w:val="24"/>
          <w:szCs w:val="24"/>
          <w:highlight w:val="none"/>
        </w:rPr>
      </w:pPr>
    </w:p>
    <w:p w14:paraId="0B17E512">
      <w:pPr>
        <w:pStyle w:val="10"/>
        <w:snapToGrid w:val="0"/>
        <w:spacing w:before="50" w:after="50"/>
        <w:ind w:firstLine="960" w:firstLineChars="400"/>
        <w:rPr>
          <w:rFonts w:hint="eastAsia" w:ascii="宋体" w:hAnsi="宋体" w:cs="宋体"/>
          <w:bCs/>
          <w:color w:val="auto"/>
          <w:sz w:val="24"/>
          <w:szCs w:val="24"/>
          <w:highlight w:val="none"/>
        </w:rPr>
      </w:pPr>
    </w:p>
    <w:p w14:paraId="6FACC8B2">
      <w:pPr>
        <w:snapToGrid w:val="0"/>
        <w:spacing w:before="120" w:beforeLines="50" w:after="50"/>
        <w:ind w:firstLine="645"/>
        <w:jc w:val="center"/>
        <w:rPr>
          <w:rFonts w:hint="eastAsia" w:ascii="宋体" w:hAnsi="宋体" w:cs="宋体"/>
          <w:color w:val="auto"/>
          <w:sz w:val="24"/>
          <w:highlight w:val="none"/>
        </w:rPr>
      </w:pPr>
      <w:r>
        <w:rPr>
          <w:rFonts w:hint="eastAsia" w:ascii="宋体" w:hAnsi="宋体" w:cs="宋体"/>
          <w:color w:val="auto"/>
          <w:sz w:val="24"/>
          <w:highlight w:val="none"/>
        </w:rPr>
        <w:t>年  月  日</w:t>
      </w:r>
    </w:p>
    <w:p w14:paraId="0364144D">
      <w:pPr>
        <w:snapToGrid w:val="0"/>
        <w:spacing w:before="120" w:beforeLines="50" w:after="50"/>
        <w:rPr>
          <w:rFonts w:hint="eastAsia" w:ascii="宋体" w:hAnsi="宋体" w:cs="宋体"/>
          <w:color w:val="auto"/>
          <w:sz w:val="24"/>
          <w:szCs w:val="20"/>
          <w:highlight w:val="none"/>
        </w:rPr>
      </w:pPr>
      <w:r>
        <w:rPr>
          <w:rFonts w:hint="eastAsia" w:ascii="宋体" w:hAnsi="宋体" w:cs="宋体"/>
          <w:color w:val="auto"/>
          <w:sz w:val="24"/>
          <w:szCs w:val="20"/>
          <w:highlight w:val="none"/>
        </w:rPr>
        <w:t xml:space="preserve"> </w:t>
      </w:r>
    </w:p>
    <w:p w14:paraId="4547304A">
      <w:pPr>
        <w:snapToGrid w:val="0"/>
        <w:spacing w:before="120" w:beforeLines="50" w:after="50"/>
        <w:rPr>
          <w:rFonts w:hint="eastAsia" w:ascii="宋体" w:hAnsi="宋体" w:cs="宋体"/>
          <w:color w:val="auto"/>
          <w:sz w:val="24"/>
          <w:szCs w:val="20"/>
          <w:highlight w:val="none"/>
        </w:rPr>
      </w:pPr>
    </w:p>
    <w:p w14:paraId="45CE8D77">
      <w:pPr>
        <w:snapToGrid w:val="0"/>
        <w:spacing w:before="120" w:beforeLines="50" w:after="50" w:line="360" w:lineRule="auto"/>
        <w:ind w:firstLine="120" w:firstLineChars="50"/>
        <w:jc w:val="left"/>
        <w:rPr>
          <w:rFonts w:hint="eastAsia" w:ascii="宋体" w:hAnsi="宋体" w:cs="宋体"/>
          <w:color w:val="auto"/>
          <w:sz w:val="24"/>
          <w:szCs w:val="20"/>
          <w:highlight w:val="none"/>
        </w:rPr>
      </w:pPr>
      <w:r>
        <w:rPr>
          <w:rFonts w:hint="eastAsia" w:ascii="宋体" w:hAnsi="宋体" w:cs="宋体"/>
          <w:b/>
          <w:bCs/>
          <w:color w:val="auto"/>
          <w:sz w:val="24"/>
          <w:highlight w:val="none"/>
        </w:rPr>
        <w:br w:type="page"/>
      </w:r>
      <w:r>
        <w:rPr>
          <w:rFonts w:hint="eastAsia" w:ascii="宋体" w:hAnsi="宋体" w:cs="宋体"/>
          <w:b/>
          <w:bCs/>
          <w:color w:val="auto"/>
          <w:sz w:val="24"/>
          <w:highlight w:val="none"/>
        </w:rPr>
        <w:t>2.资格证明文件目录</w:t>
      </w:r>
    </w:p>
    <w:p w14:paraId="3B106173">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根据招标文件规定及投标人提供的材料自行编写目录。</w:t>
      </w:r>
    </w:p>
    <w:p w14:paraId="3054FA1D">
      <w:pPr>
        <w:snapToGrid w:val="0"/>
        <w:spacing w:before="50" w:after="120" w:afterLines="50"/>
        <w:jc w:val="left"/>
        <w:rPr>
          <w:rFonts w:hint="eastAsia" w:ascii="宋体" w:hAnsi="宋体" w:cs="宋体"/>
          <w:color w:val="auto"/>
          <w:sz w:val="24"/>
          <w:highlight w:val="none"/>
        </w:rPr>
      </w:pPr>
    </w:p>
    <w:p w14:paraId="07FCBE9B">
      <w:pPr>
        <w:snapToGrid w:val="0"/>
        <w:spacing w:before="50" w:after="120" w:afterLines="50"/>
        <w:jc w:val="left"/>
        <w:rPr>
          <w:rFonts w:hint="eastAsia" w:ascii="宋体" w:hAnsi="宋体" w:cs="宋体"/>
          <w:color w:val="auto"/>
          <w:sz w:val="24"/>
          <w:highlight w:val="none"/>
        </w:rPr>
      </w:pPr>
    </w:p>
    <w:p w14:paraId="7FDD8D2A">
      <w:pPr>
        <w:snapToGrid w:val="0"/>
        <w:spacing w:before="120" w:beforeLines="50" w:after="50"/>
        <w:jc w:val="left"/>
        <w:rPr>
          <w:rFonts w:hint="eastAsia"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3.</w:t>
      </w:r>
      <w:r>
        <w:rPr>
          <w:rFonts w:hint="eastAsia" w:ascii="宋体" w:hAnsi="宋体" w:cs="宋体"/>
          <w:b/>
          <w:color w:val="auto"/>
          <w:sz w:val="28"/>
          <w:szCs w:val="28"/>
          <w:highlight w:val="none"/>
        </w:rPr>
        <w:t>投标人直接控股、管理关系信息表</w:t>
      </w:r>
    </w:p>
    <w:p w14:paraId="29899F23">
      <w:pPr>
        <w:snapToGrid w:val="0"/>
        <w:spacing w:before="50" w:after="120" w:afterLines="50"/>
        <w:jc w:val="center"/>
        <w:rPr>
          <w:rFonts w:hint="eastAsia" w:ascii="宋体" w:hAnsi="宋体" w:cs="宋体"/>
          <w:b/>
          <w:color w:val="auto"/>
          <w:sz w:val="28"/>
          <w:szCs w:val="28"/>
          <w:highlight w:val="none"/>
        </w:rPr>
      </w:pPr>
    </w:p>
    <w:p w14:paraId="3766D9DC">
      <w:pPr>
        <w:snapToGrid w:val="0"/>
        <w:spacing w:before="120" w:beforeLines="50" w:after="50"/>
        <w:ind w:left="420"/>
        <w:jc w:val="center"/>
        <w:rPr>
          <w:rFonts w:hint="eastAsia" w:ascii="宋体" w:hAnsi="宋体" w:cs="宋体"/>
          <w:bCs/>
          <w:color w:val="auto"/>
          <w:spacing w:val="-17"/>
          <w:sz w:val="44"/>
          <w:szCs w:val="44"/>
          <w:highlight w:val="none"/>
        </w:rPr>
      </w:pPr>
      <w:r>
        <w:rPr>
          <w:rFonts w:hint="eastAsia" w:ascii="宋体" w:hAnsi="宋体" w:cs="宋体"/>
          <w:bCs/>
          <w:color w:val="auto"/>
          <w:spacing w:val="-17"/>
          <w:sz w:val="44"/>
          <w:szCs w:val="44"/>
          <w:highlight w:val="none"/>
        </w:rPr>
        <w:t>供应商直接控股、管理关系信息表</w:t>
      </w:r>
    </w:p>
    <w:tbl>
      <w:tblPr>
        <w:tblStyle w:val="39"/>
        <w:tblW w:w="506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1049"/>
        <w:gridCol w:w="803"/>
        <w:gridCol w:w="1484"/>
        <w:gridCol w:w="4510"/>
      </w:tblGrid>
      <w:tr w14:paraId="519DB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62" w:hRule="atLeast"/>
        </w:trPr>
        <w:tc>
          <w:tcPr>
            <w:tcW w:w="2386" w:type="pct"/>
            <w:gridSpan w:val="4"/>
            <w:shd w:val="clear" w:color="auto" w:fill="F2DBDB"/>
            <w:noWrap w:val="0"/>
            <w:vAlign w:val="center"/>
          </w:tcPr>
          <w:p w14:paraId="2FC83A82">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center"/>
              <w:textAlignment w:val="auto"/>
              <w:rPr>
                <w:rFonts w:hint="eastAsia" w:ascii="宋体" w:hAnsi="宋体" w:cs="宋体"/>
                <w:b/>
                <w:color w:val="auto"/>
                <w:szCs w:val="21"/>
                <w:highlight w:val="none"/>
              </w:rPr>
            </w:pPr>
            <w:r>
              <w:rPr>
                <w:rFonts w:hint="eastAsia" w:ascii="宋体" w:hAnsi="宋体" w:cs="宋体"/>
                <w:b/>
                <w:color w:val="auto"/>
                <w:szCs w:val="21"/>
                <w:highlight w:val="none"/>
              </w:rPr>
              <w:t>投标人直接控股股东信息表</w:t>
            </w:r>
          </w:p>
        </w:tc>
        <w:tc>
          <w:tcPr>
            <w:tcW w:w="2613" w:type="pct"/>
            <w:shd w:val="clear" w:color="auto" w:fill="F2DBDB"/>
            <w:noWrap w:val="0"/>
            <w:vAlign w:val="center"/>
          </w:tcPr>
          <w:p w14:paraId="1B949A91">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center"/>
              <w:textAlignment w:val="auto"/>
              <w:rPr>
                <w:rFonts w:hint="eastAsia" w:ascii="宋体" w:hAnsi="宋体" w:cs="宋体"/>
                <w:b/>
                <w:color w:val="auto"/>
                <w:szCs w:val="21"/>
                <w:highlight w:val="none"/>
              </w:rPr>
            </w:pPr>
            <w:r>
              <w:rPr>
                <w:rFonts w:hint="eastAsia" w:ascii="宋体" w:hAnsi="宋体" w:cs="宋体"/>
                <w:b/>
                <w:color w:val="auto"/>
                <w:szCs w:val="21"/>
                <w:highlight w:val="none"/>
              </w:rPr>
              <w:t>说明</w:t>
            </w:r>
          </w:p>
        </w:tc>
      </w:tr>
      <w:tr w14:paraId="764F3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4" w:type="pct"/>
            <w:noWrap w:val="0"/>
            <w:vAlign w:val="center"/>
          </w:tcPr>
          <w:p w14:paraId="5FFD33ED">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序号</w:t>
            </w:r>
          </w:p>
        </w:tc>
        <w:tc>
          <w:tcPr>
            <w:tcW w:w="608" w:type="pct"/>
            <w:noWrap w:val="0"/>
            <w:vAlign w:val="center"/>
          </w:tcPr>
          <w:p w14:paraId="69305F0F">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直接控股股东名称</w:t>
            </w:r>
          </w:p>
        </w:tc>
        <w:tc>
          <w:tcPr>
            <w:tcW w:w="464" w:type="pct"/>
            <w:noWrap w:val="0"/>
            <w:vAlign w:val="center"/>
          </w:tcPr>
          <w:p w14:paraId="07F6DDDF">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出资比例</w:t>
            </w:r>
          </w:p>
        </w:tc>
        <w:tc>
          <w:tcPr>
            <w:tcW w:w="858" w:type="pct"/>
            <w:noWrap w:val="0"/>
            <w:vAlign w:val="center"/>
          </w:tcPr>
          <w:p w14:paraId="0EE1943A">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身份证号码或者统一社会信用代码</w:t>
            </w:r>
          </w:p>
        </w:tc>
        <w:tc>
          <w:tcPr>
            <w:tcW w:w="2613" w:type="pct"/>
            <w:vMerge w:val="restart"/>
            <w:noWrap w:val="0"/>
            <w:vAlign w:val="center"/>
          </w:tcPr>
          <w:p w14:paraId="0DB5DC0E">
            <w:pPr>
              <w:keepNext w:val="0"/>
              <w:keepLines w:val="0"/>
              <w:pageBreakBefore w:val="0"/>
              <w:widowControl w:val="0"/>
              <w:kinsoku/>
              <w:wordWrap/>
              <w:overflowPunct/>
              <w:topLinePunct w:val="0"/>
              <w:autoSpaceDE/>
              <w:autoSpaceDN/>
              <w:bidi w:val="0"/>
              <w:adjustRightInd/>
              <w:snapToGrid w:val="0"/>
              <w:spacing w:line="400" w:lineRule="exact"/>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45E2D718">
            <w:pPr>
              <w:keepNext w:val="0"/>
              <w:keepLines w:val="0"/>
              <w:pageBreakBefore w:val="0"/>
              <w:widowControl w:val="0"/>
              <w:kinsoku/>
              <w:wordWrap/>
              <w:overflowPunct/>
              <w:topLinePunct w:val="0"/>
              <w:autoSpaceDE/>
              <w:autoSpaceDN/>
              <w:bidi w:val="0"/>
              <w:adjustRightInd/>
              <w:snapToGrid w:val="0"/>
              <w:spacing w:line="400" w:lineRule="exact"/>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2.本表所指的控股关系仅限于直接控股关系，不包括间接的控股关系。公司实际控制人与公司之间的关系不属于本表所指的直接控股关系。</w:t>
            </w:r>
          </w:p>
          <w:p w14:paraId="45455176">
            <w:pPr>
              <w:keepNext w:val="0"/>
              <w:keepLines w:val="0"/>
              <w:pageBreakBefore w:val="0"/>
              <w:widowControl w:val="0"/>
              <w:kinsoku/>
              <w:wordWrap/>
              <w:overflowPunct/>
              <w:topLinePunct w:val="0"/>
              <w:autoSpaceDE/>
              <w:autoSpaceDN/>
              <w:bidi w:val="0"/>
              <w:adjustRightInd/>
              <w:snapToGrid w:val="0"/>
              <w:spacing w:line="400" w:lineRule="exact"/>
              <w:jc w:val="left"/>
              <w:textAlignment w:val="auto"/>
              <w:rPr>
                <w:rFonts w:hint="eastAsia" w:ascii="宋体" w:hAnsi="宋体" w:cs="宋体"/>
                <w:b/>
                <w:bCs/>
                <w:color w:val="auto"/>
                <w:kern w:val="0"/>
                <w:szCs w:val="21"/>
                <w:highlight w:val="none"/>
              </w:rPr>
            </w:pPr>
            <w:r>
              <w:rPr>
                <w:rFonts w:hint="eastAsia" w:ascii="宋体" w:hAnsi="宋体" w:cs="宋体"/>
                <w:color w:val="auto"/>
                <w:szCs w:val="21"/>
                <w:highlight w:val="none"/>
              </w:rPr>
              <w:t>3.供应商不存在直接控股股东的，则填“无”。</w:t>
            </w:r>
          </w:p>
        </w:tc>
      </w:tr>
      <w:tr w14:paraId="5F914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4" w:type="pct"/>
            <w:noWrap w:val="0"/>
            <w:vAlign w:val="top"/>
          </w:tcPr>
          <w:p w14:paraId="27812626">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left"/>
              <w:textAlignment w:val="auto"/>
              <w:rPr>
                <w:rFonts w:hint="eastAsia" w:ascii="宋体" w:hAnsi="宋体" w:cs="宋体"/>
                <w:b/>
                <w:color w:val="auto"/>
                <w:szCs w:val="21"/>
                <w:highlight w:val="none"/>
              </w:rPr>
            </w:pPr>
            <w:r>
              <w:rPr>
                <w:rFonts w:hint="eastAsia" w:ascii="宋体" w:hAnsi="宋体" w:cs="宋体"/>
                <w:b/>
                <w:color w:val="auto"/>
                <w:szCs w:val="21"/>
                <w:highlight w:val="none"/>
              </w:rPr>
              <w:t>1</w:t>
            </w:r>
          </w:p>
        </w:tc>
        <w:tc>
          <w:tcPr>
            <w:tcW w:w="608" w:type="pct"/>
            <w:noWrap w:val="0"/>
            <w:vAlign w:val="top"/>
          </w:tcPr>
          <w:p w14:paraId="1DA7635C">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left"/>
              <w:textAlignment w:val="auto"/>
              <w:rPr>
                <w:rFonts w:hint="eastAsia" w:ascii="宋体" w:hAnsi="宋体" w:cs="宋体"/>
                <w:b/>
                <w:color w:val="auto"/>
                <w:szCs w:val="21"/>
                <w:highlight w:val="none"/>
              </w:rPr>
            </w:pPr>
          </w:p>
        </w:tc>
        <w:tc>
          <w:tcPr>
            <w:tcW w:w="464" w:type="pct"/>
            <w:noWrap w:val="0"/>
            <w:vAlign w:val="top"/>
          </w:tcPr>
          <w:p w14:paraId="3236112F">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left"/>
              <w:textAlignment w:val="auto"/>
              <w:rPr>
                <w:rFonts w:hint="eastAsia" w:ascii="宋体" w:hAnsi="宋体" w:cs="宋体"/>
                <w:b/>
                <w:color w:val="auto"/>
                <w:szCs w:val="21"/>
                <w:highlight w:val="none"/>
              </w:rPr>
            </w:pPr>
          </w:p>
        </w:tc>
        <w:tc>
          <w:tcPr>
            <w:tcW w:w="858" w:type="pct"/>
            <w:noWrap w:val="0"/>
            <w:vAlign w:val="top"/>
          </w:tcPr>
          <w:p w14:paraId="1F07F73D">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left"/>
              <w:textAlignment w:val="auto"/>
              <w:rPr>
                <w:rFonts w:hint="eastAsia" w:ascii="宋体" w:hAnsi="宋体" w:cs="宋体"/>
                <w:b/>
                <w:color w:val="auto"/>
                <w:szCs w:val="21"/>
                <w:highlight w:val="none"/>
              </w:rPr>
            </w:pPr>
          </w:p>
        </w:tc>
        <w:tc>
          <w:tcPr>
            <w:tcW w:w="2613" w:type="pct"/>
            <w:vMerge w:val="continue"/>
            <w:noWrap w:val="0"/>
            <w:vAlign w:val="top"/>
          </w:tcPr>
          <w:p w14:paraId="765ED47D">
            <w:pPr>
              <w:keepNext w:val="0"/>
              <w:keepLines w:val="0"/>
              <w:pageBreakBefore w:val="0"/>
              <w:widowControl w:val="0"/>
              <w:kinsoku/>
              <w:wordWrap/>
              <w:overflowPunct/>
              <w:topLinePunct w:val="0"/>
              <w:autoSpaceDE/>
              <w:autoSpaceDN/>
              <w:bidi w:val="0"/>
              <w:adjustRightInd/>
              <w:snapToGrid w:val="0"/>
              <w:spacing w:line="400" w:lineRule="exact"/>
              <w:jc w:val="left"/>
              <w:textAlignment w:val="auto"/>
              <w:rPr>
                <w:rFonts w:hint="eastAsia" w:ascii="宋体" w:hAnsi="宋体" w:cs="宋体"/>
                <w:color w:val="auto"/>
                <w:szCs w:val="21"/>
                <w:highlight w:val="none"/>
              </w:rPr>
            </w:pPr>
          </w:p>
        </w:tc>
      </w:tr>
      <w:tr w14:paraId="7D9FE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4" w:type="pct"/>
            <w:noWrap w:val="0"/>
            <w:vAlign w:val="top"/>
          </w:tcPr>
          <w:p w14:paraId="57E2E48C">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left"/>
              <w:textAlignment w:val="auto"/>
              <w:rPr>
                <w:rFonts w:hint="eastAsia" w:ascii="宋体" w:hAnsi="宋体" w:cs="宋体"/>
                <w:b/>
                <w:color w:val="auto"/>
                <w:szCs w:val="21"/>
                <w:highlight w:val="none"/>
              </w:rPr>
            </w:pPr>
            <w:r>
              <w:rPr>
                <w:rFonts w:hint="eastAsia" w:ascii="宋体" w:hAnsi="宋体" w:cs="宋体"/>
                <w:b/>
                <w:color w:val="auto"/>
                <w:szCs w:val="21"/>
                <w:highlight w:val="none"/>
              </w:rPr>
              <w:t>2</w:t>
            </w:r>
          </w:p>
        </w:tc>
        <w:tc>
          <w:tcPr>
            <w:tcW w:w="608" w:type="pct"/>
            <w:noWrap w:val="0"/>
            <w:vAlign w:val="top"/>
          </w:tcPr>
          <w:p w14:paraId="6B566034">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left"/>
              <w:textAlignment w:val="auto"/>
              <w:rPr>
                <w:rFonts w:hint="eastAsia" w:ascii="宋体" w:hAnsi="宋体" w:cs="宋体"/>
                <w:b/>
                <w:color w:val="auto"/>
                <w:szCs w:val="21"/>
                <w:highlight w:val="none"/>
              </w:rPr>
            </w:pPr>
          </w:p>
        </w:tc>
        <w:tc>
          <w:tcPr>
            <w:tcW w:w="464" w:type="pct"/>
            <w:noWrap w:val="0"/>
            <w:vAlign w:val="top"/>
          </w:tcPr>
          <w:p w14:paraId="6FE9F778">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left"/>
              <w:textAlignment w:val="auto"/>
              <w:rPr>
                <w:rFonts w:hint="eastAsia" w:ascii="宋体" w:hAnsi="宋体" w:cs="宋体"/>
                <w:b/>
                <w:color w:val="auto"/>
                <w:szCs w:val="21"/>
                <w:highlight w:val="none"/>
              </w:rPr>
            </w:pPr>
          </w:p>
        </w:tc>
        <w:tc>
          <w:tcPr>
            <w:tcW w:w="858" w:type="pct"/>
            <w:noWrap w:val="0"/>
            <w:vAlign w:val="top"/>
          </w:tcPr>
          <w:p w14:paraId="42E8E6CE">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left"/>
              <w:textAlignment w:val="auto"/>
              <w:rPr>
                <w:rFonts w:hint="eastAsia" w:ascii="宋体" w:hAnsi="宋体" w:cs="宋体"/>
                <w:b/>
                <w:color w:val="auto"/>
                <w:szCs w:val="21"/>
                <w:highlight w:val="none"/>
              </w:rPr>
            </w:pPr>
          </w:p>
        </w:tc>
        <w:tc>
          <w:tcPr>
            <w:tcW w:w="2613" w:type="pct"/>
            <w:vMerge w:val="continue"/>
            <w:noWrap w:val="0"/>
            <w:vAlign w:val="top"/>
          </w:tcPr>
          <w:p w14:paraId="40040D67">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left"/>
              <w:textAlignment w:val="auto"/>
              <w:rPr>
                <w:rFonts w:hint="eastAsia" w:ascii="宋体" w:hAnsi="宋体" w:cs="宋体"/>
                <w:b/>
                <w:color w:val="auto"/>
                <w:szCs w:val="21"/>
                <w:highlight w:val="none"/>
              </w:rPr>
            </w:pPr>
          </w:p>
        </w:tc>
      </w:tr>
      <w:tr w14:paraId="6C7BD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4" w:type="pct"/>
            <w:tcBorders>
              <w:bottom w:val="single" w:color="auto" w:sz="4" w:space="0"/>
            </w:tcBorders>
            <w:noWrap w:val="0"/>
            <w:vAlign w:val="top"/>
          </w:tcPr>
          <w:p w14:paraId="3FDA6427">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left"/>
              <w:textAlignment w:val="auto"/>
              <w:rPr>
                <w:rFonts w:hint="eastAsia" w:ascii="宋体" w:hAnsi="宋体" w:cs="宋体"/>
                <w:b/>
                <w:color w:val="auto"/>
                <w:szCs w:val="21"/>
                <w:highlight w:val="none"/>
              </w:rPr>
            </w:pPr>
            <w:r>
              <w:rPr>
                <w:rFonts w:hint="eastAsia" w:ascii="宋体" w:hAnsi="宋体" w:cs="宋体"/>
                <w:color w:val="auto"/>
                <w:kern w:val="0"/>
                <w:szCs w:val="21"/>
                <w:highlight w:val="none"/>
              </w:rPr>
              <w:t>……</w:t>
            </w:r>
          </w:p>
        </w:tc>
        <w:tc>
          <w:tcPr>
            <w:tcW w:w="608" w:type="pct"/>
            <w:tcBorders>
              <w:bottom w:val="single" w:color="auto" w:sz="4" w:space="0"/>
            </w:tcBorders>
            <w:noWrap w:val="0"/>
            <w:vAlign w:val="top"/>
          </w:tcPr>
          <w:p w14:paraId="2B8F145A">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left"/>
              <w:textAlignment w:val="auto"/>
              <w:rPr>
                <w:rFonts w:hint="eastAsia" w:ascii="宋体" w:hAnsi="宋体" w:cs="宋体"/>
                <w:b/>
                <w:color w:val="auto"/>
                <w:szCs w:val="21"/>
                <w:highlight w:val="none"/>
              </w:rPr>
            </w:pPr>
          </w:p>
        </w:tc>
        <w:tc>
          <w:tcPr>
            <w:tcW w:w="464" w:type="pct"/>
            <w:tcBorders>
              <w:bottom w:val="single" w:color="auto" w:sz="4" w:space="0"/>
            </w:tcBorders>
            <w:noWrap w:val="0"/>
            <w:vAlign w:val="top"/>
          </w:tcPr>
          <w:p w14:paraId="6ADFEBF5">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left"/>
              <w:textAlignment w:val="auto"/>
              <w:rPr>
                <w:rFonts w:hint="eastAsia" w:ascii="宋体" w:hAnsi="宋体" w:cs="宋体"/>
                <w:b/>
                <w:color w:val="auto"/>
                <w:szCs w:val="21"/>
                <w:highlight w:val="none"/>
              </w:rPr>
            </w:pPr>
          </w:p>
        </w:tc>
        <w:tc>
          <w:tcPr>
            <w:tcW w:w="858" w:type="pct"/>
            <w:tcBorders>
              <w:bottom w:val="single" w:color="auto" w:sz="4" w:space="0"/>
            </w:tcBorders>
            <w:noWrap w:val="0"/>
            <w:vAlign w:val="top"/>
          </w:tcPr>
          <w:p w14:paraId="7C8AC108">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left"/>
              <w:textAlignment w:val="auto"/>
              <w:rPr>
                <w:rFonts w:hint="eastAsia" w:ascii="宋体" w:hAnsi="宋体" w:cs="宋体"/>
                <w:b/>
                <w:color w:val="auto"/>
                <w:szCs w:val="21"/>
                <w:highlight w:val="none"/>
              </w:rPr>
            </w:pPr>
          </w:p>
        </w:tc>
        <w:tc>
          <w:tcPr>
            <w:tcW w:w="2613" w:type="pct"/>
            <w:vMerge w:val="continue"/>
            <w:tcBorders>
              <w:bottom w:val="single" w:color="auto" w:sz="4" w:space="0"/>
            </w:tcBorders>
            <w:noWrap w:val="0"/>
            <w:vAlign w:val="top"/>
          </w:tcPr>
          <w:p w14:paraId="59F11082">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left"/>
              <w:textAlignment w:val="auto"/>
              <w:rPr>
                <w:rFonts w:hint="eastAsia" w:ascii="宋体" w:hAnsi="宋体" w:cs="宋体"/>
                <w:b/>
                <w:color w:val="auto"/>
                <w:szCs w:val="21"/>
                <w:highlight w:val="none"/>
              </w:rPr>
            </w:pPr>
          </w:p>
        </w:tc>
      </w:tr>
      <w:tr w14:paraId="2999C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90" w:hRule="atLeast"/>
        </w:trPr>
        <w:tc>
          <w:tcPr>
            <w:tcW w:w="2386" w:type="pct"/>
            <w:gridSpan w:val="4"/>
            <w:shd w:val="clear" w:color="auto" w:fill="F2DBDB"/>
            <w:noWrap w:val="0"/>
            <w:vAlign w:val="center"/>
          </w:tcPr>
          <w:p w14:paraId="2C5AB6AF">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center"/>
              <w:textAlignment w:val="auto"/>
              <w:rPr>
                <w:rFonts w:hint="eastAsia" w:ascii="宋体" w:hAnsi="宋体" w:cs="宋体"/>
                <w:b/>
                <w:color w:val="auto"/>
                <w:szCs w:val="21"/>
                <w:highlight w:val="none"/>
              </w:rPr>
            </w:pPr>
            <w:r>
              <w:rPr>
                <w:rFonts w:hint="eastAsia" w:ascii="宋体" w:hAnsi="宋体" w:cs="宋体"/>
                <w:b/>
                <w:color w:val="auto"/>
                <w:szCs w:val="21"/>
                <w:highlight w:val="none"/>
              </w:rPr>
              <w:t>投标人直接管理关系信息表</w:t>
            </w:r>
          </w:p>
        </w:tc>
        <w:tc>
          <w:tcPr>
            <w:tcW w:w="2613" w:type="pct"/>
            <w:shd w:val="clear" w:color="auto" w:fill="F2DBDB"/>
            <w:noWrap w:val="0"/>
            <w:vAlign w:val="center"/>
          </w:tcPr>
          <w:p w14:paraId="0103FC6F">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center"/>
              <w:textAlignment w:val="auto"/>
              <w:rPr>
                <w:rFonts w:hint="eastAsia" w:ascii="宋体" w:hAnsi="宋体" w:cs="宋体"/>
                <w:b/>
                <w:color w:val="auto"/>
                <w:szCs w:val="21"/>
                <w:highlight w:val="none"/>
              </w:rPr>
            </w:pPr>
            <w:r>
              <w:rPr>
                <w:rFonts w:hint="eastAsia" w:ascii="宋体" w:hAnsi="宋体" w:cs="宋体"/>
                <w:b/>
                <w:color w:val="auto"/>
                <w:szCs w:val="21"/>
                <w:highlight w:val="none"/>
              </w:rPr>
              <w:t>说明</w:t>
            </w:r>
          </w:p>
        </w:tc>
      </w:tr>
      <w:tr w14:paraId="2A14B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4" w:type="pct"/>
            <w:noWrap w:val="0"/>
            <w:vAlign w:val="center"/>
          </w:tcPr>
          <w:p w14:paraId="76D8387D">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center"/>
              <w:textAlignment w:val="auto"/>
              <w:rPr>
                <w:rFonts w:hint="eastAsia" w:ascii="宋体" w:hAnsi="宋体" w:cs="宋体"/>
                <w:b/>
                <w:color w:val="auto"/>
                <w:szCs w:val="21"/>
                <w:highlight w:val="none"/>
              </w:rPr>
            </w:pPr>
            <w:r>
              <w:rPr>
                <w:rFonts w:hint="eastAsia" w:ascii="宋体" w:hAnsi="宋体" w:cs="宋体"/>
                <w:b/>
                <w:bCs/>
                <w:color w:val="auto"/>
                <w:kern w:val="0"/>
                <w:szCs w:val="21"/>
                <w:highlight w:val="none"/>
              </w:rPr>
              <w:t>序号</w:t>
            </w:r>
          </w:p>
        </w:tc>
        <w:tc>
          <w:tcPr>
            <w:tcW w:w="1073" w:type="pct"/>
            <w:gridSpan w:val="2"/>
            <w:noWrap w:val="0"/>
            <w:vAlign w:val="center"/>
          </w:tcPr>
          <w:p w14:paraId="501437ED">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center"/>
              <w:textAlignment w:val="auto"/>
              <w:rPr>
                <w:rFonts w:hint="eastAsia" w:ascii="宋体" w:hAnsi="宋体" w:cs="宋体"/>
                <w:b/>
                <w:color w:val="auto"/>
                <w:szCs w:val="21"/>
                <w:highlight w:val="none"/>
              </w:rPr>
            </w:pPr>
            <w:r>
              <w:rPr>
                <w:rFonts w:hint="eastAsia" w:ascii="宋体" w:hAnsi="宋体" w:cs="宋体"/>
                <w:b/>
                <w:bCs/>
                <w:color w:val="auto"/>
                <w:kern w:val="0"/>
                <w:szCs w:val="21"/>
                <w:highlight w:val="none"/>
              </w:rPr>
              <w:t>直接管理关系单位名称</w:t>
            </w:r>
          </w:p>
        </w:tc>
        <w:tc>
          <w:tcPr>
            <w:tcW w:w="858" w:type="pct"/>
            <w:noWrap w:val="0"/>
            <w:vAlign w:val="center"/>
          </w:tcPr>
          <w:p w14:paraId="77980DE1">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center"/>
              <w:textAlignment w:val="auto"/>
              <w:rPr>
                <w:rFonts w:hint="eastAsia" w:ascii="宋体" w:hAnsi="宋体" w:cs="宋体"/>
                <w:b/>
                <w:color w:val="auto"/>
                <w:szCs w:val="21"/>
                <w:highlight w:val="none"/>
              </w:rPr>
            </w:pPr>
            <w:r>
              <w:rPr>
                <w:rFonts w:hint="eastAsia" w:ascii="宋体" w:hAnsi="宋体" w:cs="宋体"/>
                <w:b/>
                <w:bCs/>
                <w:color w:val="auto"/>
                <w:kern w:val="0"/>
                <w:szCs w:val="21"/>
                <w:highlight w:val="none"/>
              </w:rPr>
              <w:t>统一社会信用代码</w:t>
            </w:r>
          </w:p>
        </w:tc>
        <w:tc>
          <w:tcPr>
            <w:tcW w:w="2613" w:type="pct"/>
            <w:vMerge w:val="restart"/>
            <w:noWrap w:val="0"/>
            <w:vAlign w:val="center"/>
          </w:tcPr>
          <w:p w14:paraId="256DA5CA">
            <w:pPr>
              <w:keepNext w:val="0"/>
              <w:keepLines w:val="0"/>
              <w:pageBreakBefore w:val="0"/>
              <w:widowControl w:val="0"/>
              <w:kinsoku/>
              <w:wordWrap/>
              <w:overflowPunct/>
              <w:topLinePunct w:val="0"/>
              <w:autoSpaceDE/>
              <w:autoSpaceDN/>
              <w:bidi w:val="0"/>
              <w:adjustRightInd/>
              <w:snapToGrid w:val="0"/>
              <w:spacing w:line="400" w:lineRule="exact"/>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1.管理关系：是指不具有出资持股关系的其他单位之间存在的管理与被管理关系，如一些上下级关系的事业单位和团体组织。</w:t>
            </w:r>
          </w:p>
          <w:p w14:paraId="64EB7A2B">
            <w:pPr>
              <w:keepNext w:val="0"/>
              <w:keepLines w:val="0"/>
              <w:pageBreakBefore w:val="0"/>
              <w:widowControl w:val="0"/>
              <w:kinsoku/>
              <w:wordWrap/>
              <w:overflowPunct/>
              <w:topLinePunct w:val="0"/>
              <w:autoSpaceDE/>
              <w:autoSpaceDN/>
              <w:bidi w:val="0"/>
              <w:adjustRightInd/>
              <w:snapToGrid w:val="0"/>
              <w:spacing w:line="400" w:lineRule="exact"/>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2.本表所指的管理关系仅限于直接管理关系，不包括间接的管理关系。</w:t>
            </w:r>
          </w:p>
          <w:p w14:paraId="14F70D02">
            <w:pPr>
              <w:keepNext w:val="0"/>
              <w:keepLines w:val="0"/>
              <w:pageBreakBefore w:val="0"/>
              <w:widowControl w:val="0"/>
              <w:kinsoku/>
              <w:wordWrap/>
              <w:overflowPunct/>
              <w:topLinePunct w:val="0"/>
              <w:autoSpaceDE/>
              <w:autoSpaceDN/>
              <w:bidi w:val="0"/>
              <w:adjustRightInd/>
              <w:snapToGrid w:val="0"/>
              <w:spacing w:line="400" w:lineRule="exact"/>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3.供应商不存在直接管理关系的，则填“无”。</w:t>
            </w:r>
          </w:p>
        </w:tc>
      </w:tr>
      <w:tr w14:paraId="6E574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4" w:type="pct"/>
            <w:noWrap w:val="0"/>
            <w:vAlign w:val="center"/>
          </w:tcPr>
          <w:p w14:paraId="4495AD2E">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1</w:t>
            </w:r>
          </w:p>
        </w:tc>
        <w:tc>
          <w:tcPr>
            <w:tcW w:w="1073" w:type="pct"/>
            <w:gridSpan w:val="2"/>
            <w:noWrap w:val="0"/>
            <w:vAlign w:val="center"/>
          </w:tcPr>
          <w:p w14:paraId="016805CD">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center"/>
              <w:textAlignment w:val="auto"/>
              <w:rPr>
                <w:rFonts w:hint="eastAsia" w:ascii="宋体" w:hAnsi="宋体" w:cs="宋体"/>
                <w:b/>
                <w:bCs/>
                <w:color w:val="auto"/>
                <w:kern w:val="0"/>
                <w:szCs w:val="21"/>
                <w:highlight w:val="none"/>
              </w:rPr>
            </w:pPr>
          </w:p>
        </w:tc>
        <w:tc>
          <w:tcPr>
            <w:tcW w:w="858" w:type="pct"/>
            <w:noWrap w:val="0"/>
            <w:vAlign w:val="center"/>
          </w:tcPr>
          <w:p w14:paraId="4B9C35F2">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center"/>
              <w:textAlignment w:val="auto"/>
              <w:rPr>
                <w:rFonts w:hint="eastAsia" w:ascii="宋体" w:hAnsi="宋体" w:cs="宋体"/>
                <w:b/>
                <w:bCs/>
                <w:color w:val="auto"/>
                <w:kern w:val="0"/>
                <w:szCs w:val="21"/>
                <w:highlight w:val="none"/>
              </w:rPr>
            </w:pPr>
          </w:p>
        </w:tc>
        <w:tc>
          <w:tcPr>
            <w:tcW w:w="2613" w:type="pct"/>
            <w:vMerge w:val="continue"/>
            <w:noWrap w:val="0"/>
            <w:vAlign w:val="center"/>
          </w:tcPr>
          <w:p w14:paraId="19B2CE06">
            <w:pPr>
              <w:keepNext w:val="0"/>
              <w:keepLines w:val="0"/>
              <w:pageBreakBefore w:val="0"/>
              <w:widowControl w:val="0"/>
              <w:kinsoku/>
              <w:wordWrap/>
              <w:overflowPunct/>
              <w:topLinePunct w:val="0"/>
              <w:autoSpaceDE/>
              <w:autoSpaceDN/>
              <w:bidi w:val="0"/>
              <w:adjustRightInd/>
              <w:snapToGrid w:val="0"/>
              <w:spacing w:line="400" w:lineRule="exact"/>
              <w:jc w:val="left"/>
              <w:textAlignment w:val="auto"/>
              <w:rPr>
                <w:rFonts w:hint="eastAsia" w:ascii="宋体" w:hAnsi="宋体" w:cs="宋体"/>
                <w:color w:val="auto"/>
                <w:szCs w:val="21"/>
                <w:highlight w:val="none"/>
              </w:rPr>
            </w:pPr>
          </w:p>
        </w:tc>
      </w:tr>
      <w:tr w14:paraId="3BC37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4" w:type="pct"/>
            <w:noWrap w:val="0"/>
            <w:vAlign w:val="center"/>
          </w:tcPr>
          <w:p w14:paraId="6B4B5E61">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center"/>
              <w:textAlignment w:val="auto"/>
              <w:rPr>
                <w:rFonts w:ascii="宋体" w:hAnsi="宋体" w:cs="宋体"/>
                <w:b/>
                <w:bCs/>
                <w:color w:val="auto"/>
                <w:kern w:val="0"/>
                <w:szCs w:val="21"/>
                <w:highlight w:val="none"/>
              </w:rPr>
            </w:pPr>
            <w:r>
              <w:rPr>
                <w:rFonts w:hint="eastAsia" w:ascii="宋体" w:hAnsi="宋体" w:cs="宋体"/>
                <w:b/>
                <w:bCs/>
                <w:color w:val="auto"/>
                <w:kern w:val="0"/>
                <w:szCs w:val="21"/>
                <w:highlight w:val="none"/>
              </w:rPr>
              <w:t>2</w:t>
            </w:r>
          </w:p>
        </w:tc>
        <w:tc>
          <w:tcPr>
            <w:tcW w:w="1073" w:type="pct"/>
            <w:gridSpan w:val="2"/>
            <w:noWrap w:val="0"/>
            <w:vAlign w:val="center"/>
          </w:tcPr>
          <w:p w14:paraId="46C3D18D">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center"/>
              <w:textAlignment w:val="auto"/>
              <w:rPr>
                <w:rFonts w:hint="eastAsia" w:ascii="宋体" w:hAnsi="宋体" w:cs="宋体"/>
                <w:b/>
                <w:bCs/>
                <w:color w:val="auto"/>
                <w:kern w:val="0"/>
                <w:szCs w:val="21"/>
                <w:highlight w:val="none"/>
              </w:rPr>
            </w:pPr>
          </w:p>
        </w:tc>
        <w:tc>
          <w:tcPr>
            <w:tcW w:w="858" w:type="pct"/>
            <w:noWrap w:val="0"/>
            <w:vAlign w:val="center"/>
          </w:tcPr>
          <w:p w14:paraId="50B83454">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center"/>
              <w:textAlignment w:val="auto"/>
              <w:rPr>
                <w:rFonts w:hint="eastAsia" w:ascii="宋体" w:hAnsi="宋体" w:cs="宋体"/>
                <w:b/>
                <w:bCs/>
                <w:color w:val="auto"/>
                <w:kern w:val="0"/>
                <w:szCs w:val="21"/>
                <w:highlight w:val="none"/>
              </w:rPr>
            </w:pPr>
          </w:p>
        </w:tc>
        <w:tc>
          <w:tcPr>
            <w:tcW w:w="2613" w:type="pct"/>
            <w:vMerge w:val="continue"/>
            <w:noWrap w:val="0"/>
            <w:vAlign w:val="center"/>
          </w:tcPr>
          <w:p w14:paraId="16E39BC5">
            <w:pPr>
              <w:keepNext w:val="0"/>
              <w:keepLines w:val="0"/>
              <w:pageBreakBefore w:val="0"/>
              <w:widowControl w:val="0"/>
              <w:kinsoku/>
              <w:wordWrap/>
              <w:overflowPunct/>
              <w:topLinePunct w:val="0"/>
              <w:autoSpaceDE/>
              <w:autoSpaceDN/>
              <w:bidi w:val="0"/>
              <w:adjustRightInd/>
              <w:snapToGrid w:val="0"/>
              <w:spacing w:line="400" w:lineRule="exact"/>
              <w:jc w:val="left"/>
              <w:textAlignment w:val="auto"/>
              <w:rPr>
                <w:rFonts w:hint="eastAsia" w:ascii="宋体" w:hAnsi="宋体" w:cs="宋体"/>
                <w:color w:val="auto"/>
                <w:szCs w:val="21"/>
                <w:highlight w:val="none"/>
              </w:rPr>
            </w:pPr>
          </w:p>
        </w:tc>
      </w:tr>
      <w:tr w14:paraId="03FD6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4" w:type="pct"/>
            <w:noWrap w:val="0"/>
            <w:vAlign w:val="center"/>
          </w:tcPr>
          <w:p w14:paraId="7BAC4E53">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center"/>
              <w:textAlignment w:val="auto"/>
              <w:rPr>
                <w:rFonts w:hint="eastAsia" w:ascii="宋体" w:hAnsi="宋体" w:cs="宋体"/>
                <w:b/>
                <w:bCs/>
                <w:color w:val="auto"/>
                <w:kern w:val="0"/>
                <w:szCs w:val="21"/>
                <w:highlight w:val="none"/>
              </w:rPr>
            </w:pPr>
            <w:r>
              <w:rPr>
                <w:rFonts w:hint="eastAsia" w:ascii="宋体" w:hAnsi="宋体" w:cs="宋体"/>
                <w:color w:val="auto"/>
                <w:kern w:val="0"/>
                <w:szCs w:val="21"/>
                <w:highlight w:val="none"/>
              </w:rPr>
              <w:t>……</w:t>
            </w:r>
          </w:p>
        </w:tc>
        <w:tc>
          <w:tcPr>
            <w:tcW w:w="1073" w:type="pct"/>
            <w:gridSpan w:val="2"/>
            <w:noWrap w:val="0"/>
            <w:vAlign w:val="center"/>
          </w:tcPr>
          <w:p w14:paraId="4F8DA26F">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center"/>
              <w:textAlignment w:val="auto"/>
              <w:rPr>
                <w:rFonts w:hint="eastAsia" w:ascii="宋体" w:hAnsi="宋体" w:cs="宋体"/>
                <w:b/>
                <w:bCs/>
                <w:color w:val="auto"/>
                <w:kern w:val="0"/>
                <w:szCs w:val="21"/>
                <w:highlight w:val="none"/>
              </w:rPr>
            </w:pPr>
          </w:p>
        </w:tc>
        <w:tc>
          <w:tcPr>
            <w:tcW w:w="858" w:type="pct"/>
            <w:noWrap w:val="0"/>
            <w:vAlign w:val="center"/>
          </w:tcPr>
          <w:p w14:paraId="4F3FD7FD">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center"/>
              <w:textAlignment w:val="auto"/>
              <w:rPr>
                <w:rFonts w:hint="eastAsia" w:ascii="宋体" w:hAnsi="宋体" w:cs="宋体"/>
                <w:b/>
                <w:bCs/>
                <w:color w:val="auto"/>
                <w:kern w:val="0"/>
                <w:szCs w:val="21"/>
                <w:highlight w:val="none"/>
              </w:rPr>
            </w:pPr>
          </w:p>
        </w:tc>
        <w:tc>
          <w:tcPr>
            <w:tcW w:w="2613" w:type="pct"/>
            <w:vMerge w:val="continue"/>
            <w:noWrap w:val="0"/>
            <w:vAlign w:val="center"/>
          </w:tcPr>
          <w:p w14:paraId="614AFD17">
            <w:pPr>
              <w:keepNext w:val="0"/>
              <w:keepLines w:val="0"/>
              <w:pageBreakBefore w:val="0"/>
              <w:widowControl w:val="0"/>
              <w:kinsoku/>
              <w:wordWrap/>
              <w:overflowPunct/>
              <w:topLinePunct w:val="0"/>
              <w:autoSpaceDE/>
              <w:autoSpaceDN/>
              <w:bidi w:val="0"/>
              <w:adjustRightInd/>
              <w:snapToGrid w:val="0"/>
              <w:spacing w:line="400" w:lineRule="exact"/>
              <w:jc w:val="left"/>
              <w:textAlignment w:val="auto"/>
              <w:rPr>
                <w:rFonts w:hint="eastAsia" w:ascii="宋体" w:hAnsi="宋体" w:cs="宋体"/>
                <w:color w:val="auto"/>
                <w:szCs w:val="21"/>
                <w:highlight w:val="none"/>
              </w:rPr>
            </w:pPr>
          </w:p>
        </w:tc>
      </w:tr>
    </w:tbl>
    <w:p w14:paraId="7B9DA0C1">
      <w:pPr>
        <w:snapToGrid w:val="0"/>
        <w:spacing w:line="400" w:lineRule="exact"/>
        <w:jc w:val="left"/>
        <w:rPr>
          <w:rFonts w:hint="eastAsia" w:ascii="宋体" w:hAnsi="宋体" w:cs="宋体"/>
          <w:color w:val="auto"/>
          <w:szCs w:val="21"/>
          <w:highlight w:val="none"/>
        </w:rPr>
      </w:pPr>
    </w:p>
    <w:p w14:paraId="46B4E539">
      <w:pPr>
        <w:snapToGrid w:val="0"/>
        <w:spacing w:line="400" w:lineRule="exact"/>
        <w:ind w:left="-2" w:leftChars="-1" w:right="-817" w:rightChars="-389"/>
        <w:rPr>
          <w:rFonts w:hint="eastAsia" w:ascii="宋体" w:hAnsi="宋体" w:cs="宋体"/>
          <w:color w:val="auto"/>
          <w:szCs w:val="21"/>
          <w:highlight w:val="none"/>
        </w:rPr>
      </w:pPr>
      <w:r>
        <w:rPr>
          <w:rFonts w:hint="eastAsia" w:ascii="宋体" w:hAnsi="宋体" w:cs="宋体"/>
          <w:color w:val="auto"/>
          <w:szCs w:val="21"/>
          <w:highlight w:val="none"/>
        </w:rPr>
        <w:t xml:space="preserve">          </w:t>
      </w:r>
    </w:p>
    <w:p w14:paraId="50B2218C">
      <w:pPr>
        <w:snapToGrid w:val="0"/>
        <w:spacing w:line="400" w:lineRule="exact"/>
        <w:ind w:left="-6" w:leftChars="-15" w:right="-817" w:rightChars="-389" w:hanging="25" w:hangingChars="12"/>
        <w:rPr>
          <w:rFonts w:hint="eastAsia" w:ascii="宋体" w:hAnsi="宋体" w:cs="宋体"/>
          <w:color w:val="auto"/>
          <w:szCs w:val="21"/>
          <w:highlight w:val="none"/>
        </w:rPr>
      </w:pPr>
      <w:r>
        <w:rPr>
          <w:rFonts w:hint="eastAsia" w:ascii="宋体" w:hAnsi="宋体" w:cs="宋体"/>
          <w:color w:val="auto"/>
          <w:szCs w:val="21"/>
          <w:highlight w:val="none"/>
        </w:rPr>
        <w:t xml:space="preserve">                                    投标人名称（电子签章）：</w:t>
      </w:r>
    </w:p>
    <w:p w14:paraId="69C55B7D">
      <w:pPr>
        <w:snapToGrid w:val="0"/>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 xml:space="preserve">                                    日期：    年   月   日</w:t>
      </w:r>
    </w:p>
    <w:p w14:paraId="3F6FF82F">
      <w:pPr>
        <w:snapToGrid w:val="0"/>
        <w:jc w:val="center"/>
        <w:rPr>
          <w:rFonts w:hint="eastAsia" w:ascii="宋体" w:hAnsi="宋体" w:cs="宋体"/>
          <w:b/>
          <w:color w:val="auto"/>
          <w:sz w:val="28"/>
          <w:szCs w:val="28"/>
          <w:highlight w:val="none"/>
        </w:rPr>
      </w:pPr>
    </w:p>
    <w:p w14:paraId="44A10FB0">
      <w:pPr>
        <w:snapToGrid w:val="0"/>
        <w:spacing w:before="120" w:beforeLines="50" w:after="50"/>
        <w:jc w:val="left"/>
        <w:rPr>
          <w:rFonts w:hint="eastAsia"/>
          <w:color w:val="auto"/>
          <w:szCs w:val="20"/>
          <w:highlight w:val="none"/>
        </w:rPr>
      </w:pPr>
      <w:r>
        <w:rPr>
          <w:rFonts w:hint="eastAsia" w:ascii="宋体" w:hAnsi="宋体" w:cs="宋体"/>
          <w:b/>
          <w:color w:val="auto"/>
          <w:sz w:val="32"/>
          <w:szCs w:val="32"/>
          <w:highlight w:val="none"/>
        </w:rPr>
        <w:br w:type="page"/>
      </w:r>
      <w:r>
        <w:rPr>
          <w:rFonts w:hint="eastAsia" w:ascii="宋体" w:hAnsi="宋体" w:cs="宋体"/>
          <w:b/>
          <w:color w:val="auto"/>
          <w:sz w:val="28"/>
          <w:szCs w:val="28"/>
          <w:highlight w:val="none"/>
        </w:rPr>
        <w:t>4.投标声明</w:t>
      </w:r>
    </w:p>
    <w:p w14:paraId="04D7C332">
      <w:pPr>
        <w:snapToGrid w:val="0"/>
        <w:spacing w:before="50" w:after="120" w:afterLines="50"/>
        <w:jc w:val="left"/>
        <w:rPr>
          <w:rFonts w:hint="eastAsia" w:ascii="宋体" w:hAnsi="宋体" w:cs="宋体"/>
          <w:color w:val="auto"/>
          <w:highlight w:val="none"/>
        </w:rPr>
      </w:pPr>
    </w:p>
    <w:p w14:paraId="140E41DD">
      <w:pPr>
        <w:snapToGrid w:val="0"/>
        <w:spacing w:before="120" w:beforeLines="50" w:after="50"/>
        <w:ind w:left="420"/>
        <w:jc w:val="center"/>
        <w:rPr>
          <w:rFonts w:hint="eastAsia" w:ascii="宋体" w:hAnsi="宋体" w:cs="宋体"/>
          <w:b/>
          <w:bCs/>
          <w:color w:val="auto"/>
          <w:spacing w:val="-17"/>
          <w:sz w:val="30"/>
          <w:szCs w:val="30"/>
          <w:highlight w:val="none"/>
        </w:rPr>
      </w:pPr>
      <w:r>
        <w:rPr>
          <w:rFonts w:hint="eastAsia" w:ascii="宋体" w:hAnsi="宋体" w:cs="宋体"/>
          <w:b/>
          <w:bCs/>
          <w:color w:val="auto"/>
          <w:spacing w:val="-17"/>
          <w:sz w:val="30"/>
          <w:szCs w:val="30"/>
          <w:highlight w:val="none"/>
        </w:rPr>
        <w:t>投标声明</w:t>
      </w:r>
    </w:p>
    <w:p w14:paraId="6EBFDF3A">
      <w:pPr>
        <w:keepNext w:val="0"/>
        <w:keepLines w:val="0"/>
        <w:pageBreakBefore w:val="0"/>
        <w:widowControl w:val="0"/>
        <w:kinsoku/>
        <w:wordWrap/>
        <w:overflowPunct/>
        <w:topLinePunct w:val="0"/>
        <w:autoSpaceDE/>
        <w:autoSpaceDN/>
        <w:bidi w:val="0"/>
        <w:adjustRightInd/>
        <w:spacing w:line="400" w:lineRule="exact"/>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（采购人名称）：</w:t>
      </w:r>
    </w:p>
    <w:p w14:paraId="7B8AE100">
      <w:pPr>
        <w:keepNext w:val="0"/>
        <w:keepLines w:val="0"/>
        <w:pageBreakBefore w:val="0"/>
        <w:widowControl w:val="0"/>
        <w:kinsoku/>
        <w:wordWrap/>
        <w:overflowPunct/>
        <w:topLinePunct w:val="0"/>
        <w:autoSpaceDE/>
        <w:autoSpaceDN/>
        <w:bidi w:val="0"/>
        <w:adjustRightInd/>
        <w:spacing w:line="400" w:lineRule="exact"/>
        <w:ind w:firstLine="457" w:firstLineChars="218"/>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我方参加贵单位组织</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项目（项目编号：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）的政府采购活动。我方在此郑重声明：</w:t>
      </w:r>
    </w:p>
    <w:p w14:paraId="30875DFA">
      <w:pPr>
        <w:keepNext w:val="0"/>
        <w:keepLines w:val="0"/>
        <w:pageBreakBefore w:val="0"/>
        <w:widowControl w:val="0"/>
        <w:kinsoku/>
        <w:wordWrap/>
        <w:overflowPunct/>
        <w:topLinePunct w:val="0"/>
        <w:autoSpaceDE/>
        <w:autoSpaceDN/>
        <w:bidi w:val="0"/>
        <w:adjustRightInd/>
        <w:spacing w:line="400" w:lineRule="exact"/>
        <w:ind w:firstLine="420" w:firstLineChars="200"/>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5207D7B7">
      <w:pPr>
        <w:keepNext w:val="0"/>
        <w:keepLines w:val="0"/>
        <w:pageBreakBefore w:val="0"/>
        <w:widowControl w:val="0"/>
        <w:kinsoku/>
        <w:wordWrap/>
        <w:overflowPunct/>
        <w:topLinePunct w:val="0"/>
        <w:autoSpaceDE/>
        <w:autoSpaceDN/>
        <w:bidi w:val="0"/>
        <w:adjustRightInd/>
        <w:spacing w:line="400" w:lineRule="exact"/>
        <w:ind w:firstLine="420" w:firstLineChars="200"/>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2.我方不是为本次采购项目提供整体设计、规范编制或者项目管理、监理、检测等服务的供应商。</w:t>
      </w:r>
    </w:p>
    <w:p w14:paraId="539515B6">
      <w:pPr>
        <w:keepNext w:val="0"/>
        <w:keepLines w:val="0"/>
        <w:pageBreakBefore w:val="0"/>
        <w:widowControl w:val="0"/>
        <w:kinsoku/>
        <w:wordWrap/>
        <w:overflowPunct/>
        <w:topLinePunct w:val="0"/>
        <w:autoSpaceDE/>
        <w:autoSpaceDN/>
        <w:bidi w:val="0"/>
        <w:adjustRightInd/>
        <w:spacing w:line="400" w:lineRule="exact"/>
        <w:ind w:firstLine="420" w:firstLineChars="200"/>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3.我方承诺符合《中华人民共和国政府采购法》第二十二条规定：</w:t>
      </w:r>
    </w:p>
    <w:p w14:paraId="0DD7105A">
      <w:pPr>
        <w:keepNext w:val="0"/>
        <w:keepLines w:val="0"/>
        <w:pageBreakBefore w:val="0"/>
        <w:widowControl w:val="0"/>
        <w:kinsoku/>
        <w:wordWrap/>
        <w:overflowPunct/>
        <w:topLinePunct w:val="0"/>
        <w:autoSpaceDE/>
        <w:autoSpaceDN/>
        <w:bidi w:val="0"/>
        <w:adjustRightInd/>
        <w:spacing w:line="400" w:lineRule="exact"/>
        <w:ind w:firstLine="420" w:firstLineChars="200"/>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（一）具有独立承担民事责任的能力；</w:t>
      </w:r>
    </w:p>
    <w:p w14:paraId="07671473">
      <w:pPr>
        <w:keepNext w:val="0"/>
        <w:keepLines w:val="0"/>
        <w:pageBreakBefore w:val="0"/>
        <w:widowControl w:val="0"/>
        <w:kinsoku/>
        <w:wordWrap/>
        <w:overflowPunct/>
        <w:topLinePunct w:val="0"/>
        <w:autoSpaceDE/>
        <w:autoSpaceDN/>
        <w:bidi w:val="0"/>
        <w:adjustRightInd/>
        <w:spacing w:line="400" w:lineRule="exact"/>
        <w:ind w:firstLine="420" w:firstLineChars="200"/>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（二）具有良好的商业信誉和健全的财务会计制度；</w:t>
      </w:r>
    </w:p>
    <w:p w14:paraId="180116B2">
      <w:pPr>
        <w:keepNext w:val="0"/>
        <w:keepLines w:val="0"/>
        <w:pageBreakBefore w:val="0"/>
        <w:widowControl w:val="0"/>
        <w:kinsoku/>
        <w:wordWrap/>
        <w:overflowPunct/>
        <w:topLinePunct w:val="0"/>
        <w:autoSpaceDE/>
        <w:autoSpaceDN/>
        <w:bidi w:val="0"/>
        <w:adjustRightInd/>
        <w:spacing w:line="400" w:lineRule="exact"/>
        <w:ind w:firstLine="420" w:firstLineChars="200"/>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（三）具有履行合同所必需的设备和专业技术能力；</w:t>
      </w:r>
    </w:p>
    <w:p w14:paraId="2DBA749D">
      <w:pPr>
        <w:keepNext w:val="0"/>
        <w:keepLines w:val="0"/>
        <w:pageBreakBefore w:val="0"/>
        <w:widowControl w:val="0"/>
        <w:kinsoku/>
        <w:wordWrap/>
        <w:overflowPunct/>
        <w:topLinePunct w:val="0"/>
        <w:autoSpaceDE/>
        <w:autoSpaceDN/>
        <w:bidi w:val="0"/>
        <w:adjustRightInd/>
        <w:spacing w:line="400" w:lineRule="exact"/>
        <w:ind w:firstLine="420" w:firstLineChars="200"/>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（四）有依法缴纳税收和社会保障资金的良好记录；</w:t>
      </w:r>
    </w:p>
    <w:p w14:paraId="1CCAC286">
      <w:pPr>
        <w:keepNext w:val="0"/>
        <w:keepLines w:val="0"/>
        <w:pageBreakBefore w:val="0"/>
        <w:widowControl w:val="0"/>
        <w:kinsoku/>
        <w:wordWrap/>
        <w:overflowPunct/>
        <w:topLinePunct w:val="0"/>
        <w:autoSpaceDE/>
        <w:autoSpaceDN/>
        <w:bidi w:val="0"/>
        <w:adjustRightInd/>
        <w:spacing w:line="400" w:lineRule="exact"/>
        <w:ind w:firstLine="420" w:firstLineChars="200"/>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（五）参加政府采购活动前三年内，在经营活动中没有重大违法记录；</w:t>
      </w:r>
    </w:p>
    <w:p w14:paraId="0EB823E3">
      <w:pPr>
        <w:keepNext w:val="0"/>
        <w:keepLines w:val="0"/>
        <w:pageBreakBefore w:val="0"/>
        <w:widowControl w:val="0"/>
        <w:kinsoku/>
        <w:wordWrap/>
        <w:overflowPunct/>
        <w:topLinePunct w:val="0"/>
        <w:autoSpaceDE/>
        <w:autoSpaceDN/>
        <w:bidi w:val="0"/>
        <w:adjustRightInd/>
        <w:spacing w:line="400" w:lineRule="exact"/>
        <w:ind w:firstLine="420" w:firstLineChars="200"/>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（六）法律、行政法规规定的其他条件。</w:t>
      </w:r>
    </w:p>
    <w:p w14:paraId="44BD205D">
      <w:pPr>
        <w:keepNext w:val="0"/>
        <w:keepLines w:val="0"/>
        <w:pageBreakBefore w:val="0"/>
        <w:widowControl w:val="0"/>
        <w:kinsoku/>
        <w:wordWrap/>
        <w:overflowPunct/>
        <w:topLinePunct w:val="0"/>
        <w:autoSpaceDE/>
        <w:autoSpaceDN/>
        <w:bidi w:val="0"/>
        <w:adjustRightInd/>
        <w:spacing w:line="400" w:lineRule="exact"/>
        <w:ind w:firstLine="420" w:firstLineChars="200"/>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4.以上事项如有虚假或者隐瞒，我方愿意承担一切后果，并不再寻求任何旨在减轻或者免除法律责任的辩解。</w:t>
      </w:r>
    </w:p>
    <w:p w14:paraId="3E76833E">
      <w:pPr>
        <w:keepNext w:val="0"/>
        <w:keepLines w:val="0"/>
        <w:pageBreakBefore w:val="0"/>
        <w:widowControl w:val="0"/>
        <w:kinsoku/>
        <w:wordWrap/>
        <w:overflowPunct/>
        <w:topLinePunct w:val="0"/>
        <w:autoSpaceDE/>
        <w:autoSpaceDN/>
        <w:bidi w:val="0"/>
        <w:adjustRightInd/>
        <w:spacing w:line="400" w:lineRule="exact"/>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    特此承诺。</w:t>
      </w:r>
    </w:p>
    <w:p w14:paraId="57E33E92">
      <w:pPr>
        <w:keepNext w:val="0"/>
        <w:keepLines w:val="0"/>
        <w:pageBreakBefore w:val="0"/>
        <w:widowControl w:val="0"/>
        <w:kinsoku/>
        <w:wordWrap/>
        <w:overflowPunct/>
        <w:topLinePunct w:val="0"/>
        <w:autoSpaceDE/>
        <w:autoSpaceDN/>
        <w:bidi w:val="0"/>
        <w:adjustRightInd/>
        <w:snapToGrid w:val="0"/>
        <w:spacing w:before="50" w:after="50" w:line="400" w:lineRule="exact"/>
        <w:ind w:firstLine="927" w:firstLineChars="441"/>
        <w:textAlignment w:val="auto"/>
        <w:rPr>
          <w:rFonts w:hint="eastAsia" w:ascii="宋体" w:hAnsi="宋体" w:cs="宋体"/>
          <w:color w:val="auto"/>
          <w:spacing w:val="20"/>
          <w:szCs w:val="21"/>
          <w:highlight w:val="none"/>
          <w:u w:val="single"/>
        </w:rPr>
      </w:pPr>
      <w:r>
        <w:rPr>
          <w:rFonts w:hint="eastAsia" w:ascii="宋体" w:hAnsi="宋体" w:cs="宋体"/>
          <w:b/>
          <w:color w:val="auto"/>
          <w:szCs w:val="21"/>
          <w:highlight w:val="none"/>
        </w:rPr>
        <w:t xml:space="preserve">                 </w:t>
      </w:r>
      <w:r>
        <w:rPr>
          <w:rFonts w:hint="eastAsia" w:ascii="宋体" w:hAnsi="宋体" w:cs="宋体"/>
          <w:color w:val="auto"/>
          <w:szCs w:val="21"/>
          <w:highlight w:val="none"/>
        </w:rPr>
        <w:t>法定代表人</w:t>
      </w:r>
      <w:r>
        <w:rPr>
          <w:rFonts w:hint="eastAsia" w:ascii="宋体" w:hAnsi="宋体" w:cs="宋体"/>
          <w:color w:val="auto"/>
          <w:spacing w:val="20"/>
          <w:szCs w:val="21"/>
          <w:highlight w:val="none"/>
        </w:rPr>
        <w:t>（签字或者电子签名）：</w:t>
      </w:r>
      <w:r>
        <w:rPr>
          <w:rFonts w:hint="eastAsia" w:ascii="宋体" w:hAnsi="宋体" w:cs="宋体"/>
          <w:color w:val="auto"/>
          <w:spacing w:val="20"/>
          <w:szCs w:val="21"/>
          <w:highlight w:val="none"/>
          <w:u w:val="single"/>
        </w:rPr>
        <w:t xml:space="preserve">        </w:t>
      </w:r>
    </w:p>
    <w:p w14:paraId="3BAF43F1">
      <w:pPr>
        <w:keepNext w:val="0"/>
        <w:keepLines w:val="0"/>
        <w:pageBreakBefore w:val="0"/>
        <w:widowControl w:val="0"/>
        <w:kinsoku/>
        <w:wordWrap/>
        <w:overflowPunct/>
        <w:topLinePunct w:val="0"/>
        <w:autoSpaceDE/>
        <w:autoSpaceDN/>
        <w:bidi w:val="0"/>
        <w:adjustRightInd/>
        <w:spacing w:line="400" w:lineRule="exact"/>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                             投标人名称（电子签章）：</w:t>
      </w:r>
      <w:r>
        <w:rPr>
          <w:rFonts w:hint="eastAsia" w:ascii="宋体" w:hAnsi="宋体" w:cs="宋体"/>
          <w:color w:val="auto"/>
          <w:szCs w:val="21"/>
          <w:highlight w:val="none"/>
          <w:u w:val="single"/>
        </w:rPr>
        <w:t xml:space="preserve">                 </w:t>
      </w:r>
    </w:p>
    <w:p w14:paraId="60C29640">
      <w:pPr>
        <w:keepNext w:val="0"/>
        <w:keepLines w:val="0"/>
        <w:pageBreakBefore w:val="0"/>
        <w:widowControl w:val="0"/>
        <w:kinsoku/>
        <w:wordWrap/>
        <w:overflowPunct/>
        <w:topLinePunct w:val="0"/>
        <w:autoSpaceDE/>
        <w:autoSpaceDN/>
        <w:bidi w:val="0"/>
        <w:adjustRightInd/>
        <w:spacing w:line="400" w:lineRule="exact"/>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                                                  年    月    日</w:t>
      </w:r>
    </w:p>
    <w:p w14:paraId="185C361A">
      <w:pPr>
        <w:keepNext w:val="0"/>
        <w:keepLines w:val="0"/>
        <w:pageBreakBefore w:val="0"/>
        <w:widowControl w:val="0"/>
        <w:kinsoku/>
        <w:wordWrap/>
        <w:overflowPunct/>
        <w:topLinePunct w:val="0"/>
        <w:autoSpaceDE/>
        <w:autoSpaceDN/>
        <w:bidi w:val="0"/>
        <w:adjustRightInd/>
        <w:spacing w:line="400" w:lineRule="exact"/>
        <w:contextualSpacing/>
        <w:textAlignment w:val="auto"/>
        <w:rPr>
          <w:rFonts w:hint="eastAsia" w:ascii="宋体" w:hAnsi="宋体" w:cs="宋体"/>
          <w:b/>
          <w:color w:val="auto"/>
          <w:szCs w:val="21"/>
          <w:highlight w:val="none"/>
        </w:rPr>
      </w:pPr>
      <w:r>
        <w:rPr>
          <w:rFonts w:hint="eastAsia" w:ascii="宋体" w:hAnsi="宋体" w:cs="宋体"/>
          <w:b/>
          <w:color w:val="auto"/>
          <w:szCs w:val="21"/>
          <w:highlight w:val="none"/>
        </w:rPr>
        <w:t>注：如为联合体投标，盖章处须加盖联合体牵头人电子签章并由联合体牵头人法定代表人分别签字或者盖章或者电子签名，否则投标无效。</w:t>
      </w:r>
    </w:p>
    <w:p w14:paraId="4568E55D">
      <w:pPr>
        <w:snapToGrid w:val="0"/>
        <w:spacing w:before="120" w:beforeLines="50" w:after="50"/>
        <w:jc w:val="left"/>
        <w:rPr>
          <w:rFonts w:ascii="宋体" w:hAnsi="宋体" w:cs="宋体"/>
          <w:b/>
          <w:color w:val="auto"/>
          <w:sz w:val="28"/>
          <w:szCs w:val="28"/>
          <w:highlight w:val="none"/>
        </w:rPr>
      </w:pPr>
    </w:p>
    <w:p w14:paraId="7201A7E1">
      <w:pPr>
        <w:snapToGrid w:val="0"/>
        <w:spacing w:before="120" w:beforeLines="50" w:after="50"/>
        <w:jc w:val="left"/>
        <w:rPr>
          <w:rFonts w:hint="eastAsia"/>
          <w:color w:val="auto"/>
          <w:spacing w:val="20"/>
          <w:sz w:val="24"/>
          <w:highlight w:val="none"/>
        </w:rPr>
      </w:pPr>
      <w:r>
        <w:rPr>
          <w:b/>
          <w:color w:val="auto"/>
          <w:highlight w:val="none"/>
        </w:rPr>
        <w:br w:type="page"/>
      </w:r>
      <w:r>
        <w:rPr>
          <w:rFonts w:hint="eastAsia" w:ascii="宋体" w:hAnsi="宋体" w:cs="宋体"/>
          <w:b/>
          <w:color w:val="auto"/>
          <w:sz w:val="28"/>
          <w:szCs w:val="28"/>
          <w:highlight w:val="none"/>
        </w:rPr>
        <w:t>5.联合投标协议书格式</w:t>
      </w:r>
    </w:p>
    <w:p w14:paraId="6445AC4B">
      <w:pPr>
        <w:pStyle w:val="10"/>
        <w:overflowPunct w:val="0"/>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联合体协议书</w:t>
      </w:r>
    </w:p>
    <w:p w14:paraId="06018F51">
      <w:pPr>
        <w:pStyle w:val="10"/>
        <w:overflowPunct w:val="0"/>
        <w:spacing w:line="360" w:lineRule="auto"/>
        <w:ind w:firstLine="0"/>
        <w:contextualSpacing/>
        <w:rPr>
          <w:rFonts w:hint="eastAsia" w:ascii="宋体" w:hAnsi="宋体" w:cs="宋体"/>
          <w:color w:val="auto"/>
          <w:sz w:val="24"/>
          <w:highlight w:val="none"/>
        </w:rPr>
      </w:pPr>
    </w:p>
    <w:p w14:paraId="2DB86274">
      <w:pPr>
        <w:pStyle w:val="10"/>
        <w:keepNext w:val="0"/>
        <w:keepLines w:val="0"/>
        <w:pageBreakBefore w:val="0"/>
        <w:widowControl w:val="0"/>
        <w:kinsoku/>
        <w:wordWrap/>
        <w:overflowPunct w:val="0"/>
        <w:topLinePunct w:val="0"/>
        <w:autoSpaceDE/>
        <w:autoSpaceDN/>
        <w:bidi w:val="0"/>
        <w:adjustRightInd/>
        <w:snapToGrid/>
        <w:spacing w:line="400" w:lineRule="exact"/>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（所有成员单位名称）自愿组成</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（联合体名称）联合体，共同参加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（项目名称）   </w:t>
      </w:r>
      <w:r>
        <w:rPr>
          <w:rFonts w:hint="eastAsia" w:ascii="宋体" w:cs="宋体"/>
          <w:color w:val="auto"/>
          <w:kern w:val="0"/>
          <w:szCs w:val="21"/>
          <w:highlight w:val="none"/>
        </w:rPr>
        <w:t>（项目编号：</w:t>
      </w:r>
      <w:r>
        <w:rPr>
          <w:rFonts w:hint="eastAsia" w:ascii="宋体" w:cs="宋体"/>
          <w:color w:val="auto"/>
          <w:kern w:val="0"/>
          <w:szCs w:val="21"/>
          <w:highlight w:val="none"/>
          <w:u w:val="single"/>
        </w:rPr>
        <w:t xml:space="preserve">     </w:t>
      </w:r>
      <w:r>
        <w:rPr>
          <w:rFonts w:hint="eastAsia" w:ascii="宋体" w:cs="宋体"/>
          <w:color w:val="auto"/>
          <w:kern w:val="0"/>
          <w:szCs w:val="21"/>
          <w:highlight w:val="none"/>
        </w:rPr>
        <w:t>）</w:t>
      </w:r>
      <w:r>
        <w:rPr>
          <w:rFonts w:hint="eastAsia" w:ascii="宋体" w:cs="宋体"/>
          <w:color w:val="auto"/>
          <w:kern w:val="0"/>
          <w:szCs w:val="21"/>
          <w:highlight w:val="none"/>
          <w:u w:val="single"/>
        </w:rPr>
        <w:t xml:space="preserve">   </w:t>
      </w:r>
      <w:r>
        <w:rPr>
          <w:rFonts w:hint="eastAsia" w:ascii="宋体" w:hAnsi="宋体" w:cs="宋体"/>
          <w:color w:val="auto"/>
          <w:szCs w:val="21"/>
          <w:highlight w:val="none"/>
        </w:rPr>
        <w:t>分标采购招标项目投标。现就联合体投标事宜订立如下协议。</w:t>
      </w:r>
    </w:p>
    <w:p w14:paraId="3CDB49AC">
      <w:pPr>
        <w:pStyle w:val="10"/>
        <w:keepNext w:val="0"/>
        <w:keepLines w:val="0"/>
        <w:pageBreakBefore w:val="0"/>
        <w:widowControl w:val="0"/>
        <w:kinsoku/>
        <w:wordWrap/>
        <w:overflowPunct w:val="0"/>
        <w:topLinePunct w:val="0"/>
        <w:autoSpaceDE/>
        <w:autoSpaceDN/>
        <w:bidi w:val="0"/>
        <w:adjustRightInd/>
        <w:snapToGrid/>
        <w:spacing w:line="400" w:lineRule="exact"/>
        <w:ind w:firstLine="367" w:firstLineChars="175"/>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1.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（某成员单位名称）为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（联合体名称）牵头人。</w:t>
      </w:r>
    </w:p>
    <w:p w14:paraId="592785CB">
      <w:pPr>
        <w:pStyle w:val="10"/>
        <w:keepNext w:val="0"/>
        <w:keepLines w:val="0"/>
        <w:pageBreakBefore w:val="0"/>
        <w:widowControl w:val="0"/>
        <w:kinsoku/>
        <w:wordWrap/>
        <w:overflowPunct w:val="0"/>
        <w:topLinePunct w:val="0"/>
        <w:autoSpaceDE/>
        <w:autoSpaceDN/>
        <w:bidi w:val="0"/>
        <w:adjustRightInd/>
        <w:snapToGrid/>
        <w:spacing w:line="400" w:lineRule="exact"/>
        <w:ind w:firstLine="367" w:firstLineChars="175"/>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rPr>
        <w:t>2.联合体各成员授权牵头人代表联合体参加投标活动，签署文件及对文件的盖章，提交和接收相关的资料、 信息及指示，进行合同谈判活动，负责合同实施阶段的组织和协调工作，以及处理与本招标项 目有关的一切事宜。</w:t>
      </w:r>
    </w:p>
    <w:p w14:paraId="74FF7769">
      <w:pPr>
        <w:pStyle w:val="10"/>
        <w:keepNext w:val="0"/>
        <w:keepLines w:val="0"/>
        <w:pageBreakBefore w:val="0"/>
        <w:widowControl w:val="0"/>
        <w:kinsoku/>
        <w:wordWrap/>
        <w:overflowPunct w:val="0"/>
        <w:topLinePunct w:val="0"/>
        <w:autoSpaceDE/>
        <w:autoSpaceDN/>
        <w:bidi w:val="0"/>
        <w:adjustRightInd/>
        <w:snapToGrid/>
        <w:spacing w:line="400" w:lineRule="exact"/>
        <w:ind w:firstLine="367" w:firstLineChars="175"/>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rPr>
        <w:t>3.联合体牵头人在本项目中签署和盖章的一切文件和处理的一切事宜，联合体各成员均予以承认。 联合体各成员将严格按照招标文件、投标文件和合同的要求全面履行义务，并向招标人承担连带责任。</w:t>
      </w:r>
    </w:p>
    <w:p w14:paraId="6BD7625C">
      <w:pPr>
        <w:pStyle w:val="10"/>
        <w:keepNext w:val="0"/>
        <w:keepLines w:val="0"/>
        <w:pageBreakBefore w:val="0"/>
        <w:widowControl w:val="0"/>
        <w:kinsoku/>
        <w:wordWrap/>
        <w:overflowPunct w:val="0"/>
        <w:topLinePunct w:val="0"/>
        <w:autoSpaceDE/>
        <w:autoSpaceDN/>
        <w:bidi w:val="0"/>
        <w:adjustRightInd/>
        <w:snapToGrid/>
        <w:spacing w:line="400" w:lineRule="exact"/>
        <w:ind w:firstLine="367" w:firstLineChars="175"/>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rPr>
        <w:t>4.联合体各成员单位内部的职责分工如下：</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3383580">
      <w:pPr>
        <w:keepNext w:val="0"/>
        <w:keepLines w:val="0"/>
        <w:pageBreakBefore w:val="0"/>
        <w:widowControl w:val="0"/>
        <w:kinsoku/>
        <w:wordWrap/>
        <w:topLinePunct w:val="0"/>
        <w:autoSpaceDE/>
        <w:autoSpaceDN/>
        <w:bidi w:val="0"/>
        <w:adjustRightInd/>
        <w:snapToGrid/>
        <w:spacing w:line="400" w:lineRule="exact"/>
        <w:ind w:firstLine="420" w:firstLineChars="200"/>
        <w:textAlignment w:val="auto"/>
        <w:rPr>
          <w:rFonts w:hint="eastAsia"/>
          <w:color w:val="auto"/>
          <w:szCs w:val="21"/>
          <w:highlight w:val="none"/>
        </w:rPr>
      </w:pPr>
      <w:r>
        <w:rPr>
          <w:rFonts w:hint="eastAsia" w:ascii="宋体" w:hAnsi="宋体" w:cs="宋体"/>
          <w:color w:val="auto"/>
          <w:kern w:val="0"/>
          <w:szCs w:val="20"/>
          <w:highlight w:val="none"/>
        </w:rPr>
        <w:t>5.本联合体中，</w:t>
      </w:r>
      <w:r>
        <w:rPr>
          <w:rFonts w:hint="eastAsia" w:ascii="宋体" w:hAnsi="宋体" w:cs="宋体"/>
          <w:color w:val="auto"/>
          <w:kern w:val="0"/>
          <w:szCs w:val="20"/>
          <w:highlight w:val="none"/>
          <w:u w:val="single"/>
        </w:rPr>
        <w:t xml:space="preserve"> （某成员单位名称） </w:t>
      </w:r>
      <w:r>
        <w:rPr>
          <w:rFonts w:hint="eastAsia" w:ascii="宋体" w:hAnsi="宋体" w:cs="宋体"/>
          <w:color w:val="auto"/>
          <w:kern w:val="0"/>
          <w:szCs w:val="20"/>
          <w:highlight w:val="none"/>
        </w:rPr>
        <w:t>为</w:t>
      </w:r>
      <w:r>
        <w:rPr>
          <w:rFonts w:hint="eastAsia" w:ascii="宋体" w:hAnsi="Courier New"/>
          <w:color w:val="auto"/>
          <w:szCs w:val="20"/>
          <w:highlight w:val="none"/>
          <w:u w:val="single"/>
        </w:rPr>
        <w:t xml:space="preserve">        </w:t>
      </w:r>
      <w:r>
        <w:rPr>
          <w:rFonts w:hint="eastAsia" w:ascii="宋体" w:hAnsi="Courier New"/>
          <w:color w:val="auto"/>
          <w:szCs w:val="20"/>
          <w:highlight w:val="none"/>
        </w:rPr>
        <w:t>（请填写：中型、小型、微型）企业，其协议合同金额占联合体协议合同总金额的</w:t>
      </w:r>
      <w:r>
        <w:rPr>
          <w:rFonts w:hint="eastAsia" w:ascii="宋体" w:hAnsi="Courier New"/>
          <w:color w:val="auto"/>
          <w:szCs w:val="20"/>
          <w:highlight w:val="none"/>
          <w:u w:val="single"/>
        </w:rPr>
        <w:t xml:space="preserve">           </w:t>
      </w:r>
      <w:r>
        <w:rPr>
          <w:rFonts w:hint="eastAsia" w:ascii="宋体" w:hAnsi="Courier New"/>
          <w:color w:val="auto"/>
          <w:szCs w:val="20"/>
          <w:highlight w:val="none"/>
        </w:rPr>
        <w:t>%。【如联合体成员中有小型、微型企业的，请填写此条，否则无需填写；如联合体成员中有多个小型、微型企业的，请逐一列出。】</w:t>
      </w:r>
    </w:p>
    <w:p w14:paraId="21B3E2ED">
      <w:pPr>
        <w:pStyle w:val="10"/>
        <w:keepNext w:val="0"/>
        <w:keepLines w:val="0"/>
        <w:pageBreakBefore w:val="0"/>
        <w:widowControl w:val="0"/>
        <w:kinsoku/>
        <w:wordWrap/>
        <w:overflowPunct w:val="0"/>
        <w:topLinePunct w:val="0"/>
        <w:autoSpaceDE/>
        <w:autoSpaceDN/>
        <w:bidi w:val="0"/>
        <w:adjustRightInd/>
        <w:snapToGrid/>
        <w:spacing w:line="400" w:lineRule="exact"/>
        <w:ind w:firstLine="367" w:firstLineChars="175"/>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rPr>
        <w:t>6.本协议书自所有成员单位法定代表人或者其委托代理人签字（或者电子签名）或者盖公章之日起生效，合同履行完毕后自动失效。</w:t>
      </w:r>
    </w:p>
    <w:p w14:paraId="6E08149B">
      <w:pPr>
        <w:pStyle w:val="10"/>
        <w:keepNext w:val="0"/>
        <w:keepLines w:val="0"/>
        <w:pageBreakBefore w:val="0"/>
        <w:widowControl w:val="0"/>
        <w:kinsoku/>
        <w:wordWrap/>
        <w:overflowPunct w:val="0"/>
        <w:topLinePunct w:val="0"/>
        <w:autoSpaceDE/>
        <w:autoSpaceDN/>
        <w:bidi w:val="0"/>
        <w:adjustRightInd/>
        <w:snapToGrid/>
        <w:spacing w:line="400" w:lineRule="exact"/>
        <w:ind w:firstLine="367" w:firstLineChars="175"/>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rPr>
        <w:t>7.本协议书一式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份，联合体成员和招标人各执一份。</w:t>
      </w:r>
    </w:p>
    <w:p w14:paraId="35202210">
      <w:pPr>
        <w:pStyle w:val="10"/>
        <w:keepNext w:val="0"/>
        <w:keepLines w:val="0"/>
        <w:pageBreakBefore w:val="0"/>
        <w:widowControl w:val="0"/>
        <w:kinsoku/>
        <w:wordWrap/>
        <w:overflowPunct w:val="0"/>
        <w:topLinePunct w:val="0"/>
        <w:autoSpaceDE/>
        <w:autoSpaceDN/>
        <w:bidi w:val="0"/>
        <w:adjustRightInd/>
        <w:snapToGrid/>
        <w:spacing w:line="400" w:lineRule="exact"/>
        <w:ind w:firstLine="367" w:firstLineChars="175"/>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rPr>
        <w:t>注：本协议书应附法定代表人身份证明；有委托代理的，应附授权委托书（格式自拟）。</w:t>
      </w:r>
    </w:p>
    <w:p w14:paraId="6A34D66B">
      <w:pPr>
        <w:pStyle w:val="10"/>
        <w:keepNext w:val="0"/>
        <w:keepLines w:val="0"/>
        <w:pageBreakBefore w:val="0"/>
        <w:widowControl w:val="0"/>
        <w:kinsoku/>
        <w:wordWrap/>
        <w:overflowPunct w:val="0"/>
        <w:topLinePunct w:val="0"/>
        <w:autoSpaceDE/>
        <w:autoSpaceDN/>
        <w:bidi w:val="0"/>
        <w:adjustRightInd/>
        <w:snapToGrid/>
        <w:spacing w:line="400" w:lineRule="exact"/>
        <w:ind w:firstLine="367" w:firstLineChars="175"/>
        <w:contextualSpacing/>
        <w:textAlignment w:val="auto"/>
        <w:rPr>
          <w:rFonts w:hint="eastAsia" w:ascii="宋体" w:hAnsi="宋体" w:cs="宋体"/>
          <w:color w:val="auto"/>
          <w:szCs w:val="21"/>
          <w:highlight w:val="none"/>
        </w:rPr>
      </w:pPr>
    </w:p>
    <w:p w14:paraId="4A8EB08E">
      <w:pPr>
        <w:pStyle w:val="10"/>
        <w:keepNext w:val="0"/>
        <w:keepLines w:val="0"/>
        <w:pageBreakBefore w:val="0"/>
        <w:widowControl w:val="0"/>
        <w:kinsoku/>
        <w:wordWrap/>
        <w:overflowPunct w:val="0"/>
        <w:topLinePunct w:val="0"/>
        <w:autoSpaceDE/>
        <w:autoSpaceDN/>
        <w:bidi w:val="0"/>
        <w:adjustRightInd/>
        <w:snapToGrid/>
        <w:spacing w:line="400" w:lineRule="exact"/>
        <w:ind w:firstLine="367" w:firstLineChars="175"/>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rPr>
        <w:t>联合体牵头人名称（电子签章）：</w:t>
      </w:r>
    </w:p>
    <w:p w14:paraId="2E2ED4EA">
      <w:pPr>
        <w:pStyle w:val="10"/>
        <w:keepNext w:val="0"/>
        <w:keepLines w:val="0"/>
        <w:pageBreakBefore w:val="0"/>
        <w:widowControl w:val="0"/>
        <w:kinsoku/>
        <w:wordWrap/>
        <w:overflowPunct w:val="0"/>
        <w:topLinePunct w:val="0"/>
        <w:autoSpaceDE/>
        <w:autoSpaceDN/>
        <w:bidi w:val="0"/>
        <w:adjustRightInd/>
        <w:snapToGrid/>
        <w:spacing w:line="400" w:lineRule="exact"/>
        <w:ind w:firstLine="367" w:firstLineChars="175"/>
        <w:contextualSpacing/>
        <w:textAlignment w:val="auto"/>
        <w:rPr>
          <w:rFonts w:hint="eastAsia" w:ascii="宋体" w:hAnsi="宋体" w:cs="宋体"/>
          <w:color w:val="auto"/>
          <w:szCs w:val="21"/>
          <w:highlight w:val="none"/>
          <w:u w:val="single"/>
        </w:rPr>
      </w:pPr>
      <w:r>
        <w:rPr>
          <w:rFonts w:hint="eastAsia" w:ascii="宋体" w:hAnsi="宋体" w:cs="宋体"/>
          <w:color w:val="auto"/>
          <w:szCs w:val="21"/>
          <w:highlight w:val="none"/>
        </w:rPr>
        <w:t>法定代表人或者其委托代理人：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（签字或者电子签名）</w:t>
      </w:r>
    </w:p>
    <w:p w14:paraId="49F46F24">
      <w:pPr>
        <w:pStyle w:val="10"/>
        <w:keepNext w:val="0"/>
        <w:keepLines w:val="0"/>
        <w:pageBreakBefore w:val="0"/>
        <w:widowControl w:val="0"/>
        <w:kinsoku/>
        <w:wordWrap/>
        <w:overflowPunct w:val="0"/>
        <w:topLinePunct w:val="0"/>
        <w:autoSpaceDE/>
        <w:autoSpaceDN/>
        <w:bidi w:val="0"/>
        <w:adjustRightInd/>
        <w:snapToGrid/>
        <w:spacing w:line="400" w:lineRule="exact"/>
        <w:ind w:firstLine="367" w:firstLineChars="175"/>
        <w:contextualSpacing/>
        <w:textAlignment w:val="auto"/>
        <w:rPr>
          <w:rFonts w:hint="eastAsia" w:ascii="宋体" w:hAnsi="宋体" w:cs="宋体"/>
          <w:color w:val="auto"/>
          <w:szCs w:val="21"/>
          <w:highlight w:val="none"/>
        </w:rPr>
      </w:pPr>
    </w:p>
    <w:p w14:paraId="602CDBDC">
      <w:pPr>
        <w:pStyle w:val="10"/>
        <w:keepNext w:val="0"/>
        <w:keepLines w:val="0"/>
        <w:pageBreakBefore w:val="0"/>
        <w:widowControl w:val="0"/>
        <w:kinsoku/>
        <w:wordWrap/>
        <w:overflowPunct w:val="0"/>
        <w:topLinePunct w:val="0"/>
        <w:autoSpaceDE/>
        <w:autoSpaceDN/>
        <w:bidi w:val="0"/>
        <w:adjustRightInd/>
        <w:snapToGrid/>
        <w:spacing w:line="400" w:lineRule="exact"/>
        <w:ind w:firstLine="367" w:firstLineChars="175"/>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rPr>
        <w:t>联合体成员名称（盖公章或者电子签章）：</w:t>
      </w:r>
    </w:p>
    <w:p w14:paraId="0FFB2D77">
      <w:pPr>
        <w:pStyle w:val="10"/>
        <w:keepNext w:val="0"/>
        <w:keepLines w:val="0"/>
        <w:pageBreakBefore w:val="0"/>
        <w:widowControl w:val="0"/>
        <w:kinsoku/>
        <w:wordWrap/>
        <w:overflowPunct w:val="0"/>
        <w:topLinePunct w:val="0"/>
        <w:autoSpaceDE/>
        <w:autoSpaceDN/>
        <w:bidi w:val="0"/>
        <w:adjustRightInd/>
        <w:snapToGrid/>
        <w:spacing w:line="400" w:lineRule="exact"/>
        <w:ind w:firstLine="367" w:firstLineChars="175"/>
        <w:contextualSpacing/>
        <w:textAlignment w:val="auto"/>
        <w:rPr>
          <w:rFonts w:hint="eastAsia" w:ascii="宋体" w:hAnsi="宋体" w:cs="宋体"/>
          <w:color w:val="auto"/>
          <w:szCs w:val="21"/>
          <w:highlight w:val="none"/>
          <w:u w:val="single"/>
        </w:rPr>
      </w:pPr>
      <w:r>
        <w:rPr>
          <w:rFonts w:hint="eastAsia" w:ascii="宋体" w:hAnsi="宋体" w:cs="宋体"/>
          <w:color w:val="auto"/>
          <w:szCs w:val="21"/>
          <w:highlight w:val="none"/>
        </w:rPr>
        <w:t>法定代表人或者其委托代理人：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（签字或者电子签名）</w:t>
      </w:r>
    </w:p>
    <w:p w14:paraId="1B9ACF03">
      <w:pPr>
        <w:pStyle w:val="10"/>
        <w:overflowPunct w:val="0"/>
        <w:spacing w:line="360" w:lineRule="auto"/>
        <w:ind w:firstLine="367" w:firstLineChars="175"/>
        <w:contextualSpacing/>
        <w:rPr>
          <w:rFonts w:hint="eastAsia" w:ascii="宋体" w:hAnsi="宋体" w:cs="宋体"/>
          <w:color w:val="auto"/>
          <w:szCs w:val="21"/>
          <w:highlight w:val="none"/>
        </w:rPr>
      </w:pPr>
      <w:r>
        <w:rPr>
          <w:rFonts w:hint="eastAsia" w:ascii="宋体" w:hAnsi="宋体" w:cs="宋体"/>
          <w:color w:val="auto"/>
          <w:szCs w:val="21"/>
          <w:highlight w:val="none"/>
        </w:rPr>
        <w:t>……</w:t>
      </w:r>
    </w:p>
    <w:p w14:paraId="6BC8832D">
      <w:pPr>
        <w:pStyle w:val="4"/>
        <w:rPr>
          <w:rFonts w:hint="eastAsia" w:ascii="宋体" w:hAnsi="宋体" w:cs="宋体"/>
          <w:color w:val="auto"/>
          <w:sz w:val="28"/>
          <w:szCs w:val="28"/>
          <w:highlight w:val="none"/>
        </w:rPr>
      </w:pPr>
      <w:r>
        <w:rPr>
          <w:color w:val="auto"/>
          <w:sz w:val="21"/>
          <w:szCs w:val="21"/>
          <w:highlight w:val="none"/>
        </w:rPr>
        <w:br w:type="page"/>
      </w:r>
      <w:bookmarkStart w:id="262" w:name="_Toc7619"/>
      <w:bookmarkStart w:id="263" w:name="_Toc19686838"/>
      <w:bookmarkStart w:id="264" w:name="_Toc6222"/>
      <w:r>
        <w:rPr>
          <w:rFonts w:hint="eastAsia" w:ascii="宋体" w:hAnsi="宋体" w:cs="宋体"/>
          <w:color w:val="auto"/>
          <w:sz w:val="28"/>
          <w:szCs w:val="28"/>
          <w:highlight w:val="none"/>
        </w:rPr>
        <w:t>三、商务及技术文件格式</w:t>
      </w:r>
      <w:bookmarkEnd w:id="262"/>
      <w:bookmarkEnd w:id="263"/>
      <w:bookmarkEnd w:id="264"/>
    </w:p>
    <w:p w14:paraId="35AEB949">
      <w:pPr>
        <w:snapToGrid w:val="0"/>
        <w:spacing w:before="120" w:beforeLines="50" w:after="50" w:line="360" w:lineRule="auto"/>
        <w:jc w:val="left"/>
        <w:rPr>
          <w:rFonts w:hint="eastAsia" w:ascii="宋体" w:hAnsi="宋体" w:cs="宋体"/>
          <w:b/>
          <w:color w:val="auto"/>
          <w:sz w:val="24"/>
          <w:highlight w:val="none"/>
        </w:rPr>
      </w:pPr>
      <w:r>
        <w:rPr>
          <w:rFonts w:hint="eastAsia" w:ascii="宋体" w:hAnsi="宋体" w:cs="宋体"/>
          <w:b/>
          <w:color w:val="auto"/>
          <w:sz w:val="24"/>
          <w:highlight w:val="none"/>
        </w:rPr>
        <w:t xml:space="preserve">（一）商务文件封面格式： </w:t>
      </w:r>
    </w:p>
    <w:p w14:paraId="682FA8E4">
      <w:pPr>
        <w:snapToGrid w:val="0"/>
        <w:spacing w:before="120" w:beforeLines="50" w:after="50"/>
        <w:jc w:val="center"/>
        <w:rPr>
          <w:rFonts w:hint="eastAsia" w:ascii="宋体" w:hAnsi="宋体" w:cs="宋体"/>
          <w:color w:val="auto"/>
          <w:sz w:val="24"/>
          <w:highlight w:val="none"/>
        </w:rPr>
      </w:pPr>
      <w:r>
        <w:rPr>
          <w:rFonts w:hint="eastAsia" w:ascii="宋体" w:hAnsi="宋体" w:cs="宋体"/>
          <w:bCs/>
          <w:color w:val="auto"/>
          <w:sz w:val="48"/>
          <w:szCs w:val="48"/>
          <w:highlight w:val="none"/>
        </w:rPr>
        <w:t>电子投标文件</w:t>
      </w:r>
    </w:p>
    <w:p w14:paraId="57640C0B">
      <w:pPr>
        <w:snapToGrid w:val="0"/>
        <w:spacing w:before="120" w:beforeLines="50" w:after="50"/>
        <w:rPr>
          <w:rFonts w:hint="eastAsia" w:ascii="宋体" w:hAnsi="宋体" w:cs="宋体"/>
          <w:color w:val="auto"/>
          <w:sz w:val="24"/>
          <w:highlight w:val="none"/>
        </w:rPr>
      </w:pPr>
      <w:r>
        <w:rPr>
          <w:rFonts w:hint="eastAsia" w:ascii="宋体" w:hAnsi="宋体" w:cs="宋体"/>
          <w:color w:val="auto"/>
          <w:sz w:val="24"/>
          <w:highlight w:val="none"/>
        </w:rPr>
        <w:t xml:space="preserve">                </w:t>
      </w:r>
    </w:p>
    <w:p w14:paraId="773F36C9">
      <w:pPr>
        <w:rPr>
          <w:rFonts w:hint="eastAsia" w:ascii="宋体" w:hAnsi="宋体" w:cs="宋体"/>
          <w:color w:val="auto"/>
          <w:sz w:val="24"/>
          <w:highlight w:val="none"/>
        </w:rPr>
      </w:pPr>
    </w:p>
    <w:p w14:paraId="0B24F3AA">
      <w:pPr>
        <w:rPr>
          <w:rFonts w:hint="eastAsia"/>
          <w:color w:val="auto"/>
          <w:highlight w:val="none"/>
        </w:rPr>
      </w:pPr>
    </w:p>
    <w:p w14:paraId="082C6DFE">
      <w:pPr>
        <w:snapToGrid w:val="0"/>
        <w:spacing w:before="120" w:beforeLines="50" w:after="50"/>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商务文件</w:t>
      </w:r>
    </w:p>
    <w:p w14:paraId="3C140D0A">
      <w:pPr>
        <w:rPr>
          <w:rFonts w:hint="eastAsia" w:ascii="宋体" w:hAnsi="宋体" w:cs="宋体"/>
          <w:b/>
          <w:color w:val="auto"/>
          <w:sz w:val="32"/>
          <w:szCs w:val="32"/>
          <w:highlight w:val="none"/>
        </w:rPr>
      </w:pPr>
    </w:p>
    <w:p w14:paraId="284CBE47">
      <w:pPr>
        <w:rPr>
          <w:rFonts w:hint="eastAsia"/>
          <w:color w:val="auto"/>
          <w:highlight w:val="none"/>
        </w:rPr>
      </w:pPr>
    </w:p>
    <w:p w14:paraId="60C5AE28">
      <w:pPr>
        <w:snapToGrid w:val="0"/>
        <w:spacing w:before="120" w:beforeLines="50" w:after="50"/>
        <w:rPr>
          <w:rFonts w:hint="eastAsia" w:ascii="宋体" w:hAnsi="宋体" w:cs="宋体"/>
          <w:bCs/>
          <w:color w:val="auto"/>
          <w:sz w:val="24"/>
          <w:szCs w:val="20"/>
          <w:highlight w:val="none"/>
        </w:rPr>
      </w:pPr>
    </w:p>
    <w:p w14:paraId="4CEA1DD2">
      <w:pPr>
        <w:snapToGrid w:val="0"/>
        <w:spacing w:before="120" w:beforeLines="50" w:after="50"/>
        <w:ind w:firstLine="540" w:firstLineChars="225"/>
        <w:rPr>
          <w:rFonts w:hint="eastAsia" w:ascii="宋体" w:hAnsi="宋体" w:cs="宋体"/>
          <w:bCs/>
          <w:color w:val="auto"/>
          <w:sz w:val="24"/>
          <w:highlight w:val="none"/>
        </w:rPr>
      </w:pPr>
      <w:r>
        <w:rPr>
          <w:rFonts w:hint="eastAsia" w:ascii="宋体" w:hAnsi="宋体" w:cs="宋体"/>
          <w:bCs/>
          <w:color w:val="auto"/>
          <w:sz w:val="24"/>
          <w:highlight w:val="none"/>
        </w:rPr>
        <w:t>项目名称：</w:t>
      </w:r>
    </w:p>
    <w:p w14:paraId="4A361037">
      <w:pPr>
        <w:snapToGrid w:val="0"/>
        <w:spacing w:before="120" w:beforeLines="50" w:after="50"/>
        <w:ind w:firstLine="540" w:firstLineChars="225"/>
        <w:rPr>
          <w:rFonts w:hint="eastAsia" w:ascii="宋体" w:hAnsi="宋体" w:cs="宋体"/>
          <w:bCs/>
          <w:color w:val="auto"/>
          <w:sz w:val="24"/>
          <w:szCs w:val="20"/>
          <w:highlight w:val="none"/>
        </w:rPr>
      </w:pPr>
    </w:p>
    <w:p w14:paraId="27339D99">
      <w:pPr>
        <w:snapToGrid w:val="0"/>
        <w:spacing w:before="120" w:beforeLines="50" w:after="50"/>
        <w:ind w:firstLine="540" w:firstLineChars="225"/>
        <w:rPr>
          <w:rFonts w:hint="eastAsia" w:ascii="宋体" w:hAnsi="宋体" w:cs="宋体"/>
          <w:bCs/>
          <w:color w:val="auto"/>
          <w:sz w:val="24"/>
          <w:highlight w:val="none"/>
        </w:rPr>
      </w:pPr>
      <w:r>
        <w:rPr>
          <w:rFonts w:hint="eastAsia" w:ascii="宋体" w:hAnsi="宋体" w:cs="宋体"/>
          <w:bCs/>
          <w:color w:val="auto"/>
          <w:sz w:val="24"/>
          <w:highlight w:val="none"/>
        </w:rPr>
        <w:t>项目编号：</w:t>
      </w:r>
    </w:p>
    <w:p w14:paraId="78BA5F04">
      <w:pPr>
        <w:snapToGrid w:val="0"/>
        <w:spacing w:before="120" w:beforeLines="50" w:after="50"/>
        <w:ind w:firstLine="540" w:firstLineChars="225"/>
        <w:rPr>
          <w:rFonts w:hint="eastAsia" w:ascii="宋体" w:hAnsi="宋体" w:cs="宋体"/>
          <w:bCs/>
          <w:color w:val="auto"/>
          <w:sz w:val="24"/>
          <w:szCs w:val="20"/>
          <w:highlight w:val="none"/>
        </w:rPr>
      </w:pPr>
      <w:r>
        <w:rPr>
          <w:rFonts w:hint="eastAsia" w:ascii="宋体" w:hAnsi="宋体" w:cs="宋体"/>
          <w:bCs/>
          <w:color w:val="auto"/>
          <w:sz w:val="24"/>
          <w:highlight w:val="none"/>
        </w:rPr>
        <w:t xml:space="preserve"> </w:t>
      </w:r>
    </w:p>
    <w:p w14:paraId="537E9763">
      <w:pPr>
        <w:snapToGrid w:val="0"/>
        <w:spacing w:before="120" w:beforeLines="50" w:after="50"/>
        <w:ind w:firstLine="540" w:firstLineChars="225"/>
        <w:rPr>
          <w:rFonts w:hint="eastAsia" w:ascii="宋体" w:hAnsi="宋体" w:cs="宋体"/>
          <w:bCs/>
          <w:color w:val="auto"/>
          <w:sz w:val="24"/>
          <w:highlight w:val="none"/>
        </w:rPr>
      </w:pPr>
      <w:r>
        <w:rPr>
          <w:rFonts w:hint="eastAsia" w:ascii="宋体" w:hAnsi="宋体" w:cs="宋体"/>
          <w:bCs/>
          <w:color w:val="auto"/>
          <w:sz w:val="24"/>
          <w:highlight w:val="none"/>
        </w:rPr>
        <w:t>所投分标：</w:t>
      </w:r>
    </w:p>
    <w:p w14:paraId="1487F3BC">
      <w:pPr>
        <w:snapToGrid w:val="0"/>
        <w:spacing w:before="120" w:beforeLines="50" w:after="50"/>
        <w:ind w:firstLine="540" w:firstLineChars="225"/>
        <w:rPr>
          <w:rFonts w:hint="eastAsia" w:ascii="宋体" w:hAnsi="宋体" w:cs="宋体"/>
          <w:bCs/>
          <w:color w:val="auto"/>
          <w:sz w:val="24"/>
          <w:szCs w:val="20"/>
          <w:highlight w:val="none"/>
        </w:rPr>
      </w:pPr>
    </w:p>
    <w:p w14:paraId="191586AF">
      <w:pPr>
        <w:pStyle w:val="10"/>
        <w:snapToGrid w:val="0"/>
        <w:spacing w:before="50" w:after="50"/>
        <w:ind w:firstLine="540" w:firstLineChars="225"/>
        <w:rPr>
          <w:rFonts w:hint="eastAsia" w:ascii="宋体" w:hAnsi="宋体" w:cs="宋体"/>
          <w:bCs/>
          <w:color w:val="auto"/>
          <w:sz w:val="24"/>
          <w:szCs w:val="24"/>
          <w:highlight w:val="none"/>
        </w:rPr>
      </w:pPr>
      <w:r>
        <w:rPr>
          <w:rFonts w:hint="eastAsia" w:ascii="宋体" w:hAnsi="宋体" w:cs="宋体"/>
          <w:bCs/>
          <w:color w:val="auto"/>
          <w:sz w:val="24"/>
          <w:szCs w:val="24"/>
          <w:highlight w:val="none"/>
        </w:rPr>
        <w:t>投标人名称：</w:t>
      </w:r>
    </w:p>
    <w:p w14:paraId="425A1056">
      <w:pPr>
        <w:pStyle w:val="10"/>
        <w:snapToGrid w:val="0"/>
        <w:spacing w:before="50" w:after="50"/>
        <w:ind w:firstLine="540" w:firstLineChars="225"/>
        <w:rPr>
          <w:rFonts w:hint="eastAsia" w:ascii="宋体" w:hAnsi="宋体" w:cs="宋体"/>
          <w:bCs/>
          <w:color w:val="auto"/>
          <w:sz w:val="24"/>
          <w:szCs w:val="24"/>
          <w:highlight w:val="none"/>
        </w:rPr>
      </w:pPr>
    </w:p>
    <w:p w14:paraId="73D6CF70">
      <w:pPr>
        <w:pStyle w:val="10"/>
        <w:snapToGrid w:val="0"/>
        <w:spacing w:before="50" w:after="50"/>
        <w:ind w:firstLine="540" w:firstLineChars="225"/>
        <w:rPr>
          <w:rFonts w:hint="eastAsia" w:ascii="宋体" w:hAnsi="宋体" w:cs="宋体"/>
          <w:bCs/>
          <w:color w:val="auto"/>
          <w:sz w:val="24"/>
          <w:szCs w:val="24"/>
          <w:highlight w:val="none"/>
        </w:rPr>
      </w:pPr>
      <w:r>
        <w:rPr>
          <w:rFonts w:hint="eastAsia" w:ascii="宋体" w:hAnsi="宋体" w:cs="宋体"/>
          <w:bCs/>
          <w:color w:val="auto"/>
          <w:sz w:val="24"/>
          <w:szCs w:val="24"/>
          <w:highlight w:val="none"/>
        </w:rPr>
        <w:t>投标人地址：</w:t>
      </w:r>
    </w:p>
    <w:p w14:paraId="6CF05E2F">
      <w:pPr>
        <w:pStyle w:val="10"/>
        <w:snapToGrid w:val="0"/>
        <w:spacing w:before="50" w:after="50"/>
        <w:ind w:firstLine="960" w:firstLineChars="400"/>
        <w:rPr>
          <w:rFonts w:hint="eastAsia" w:ascii="宋体" w:hAnsi="宋体" w:cs="宋体"/>
          <w:bCs/>
          <w:color w:val="auto"/>
          <w:sz w:val="24"/>
          <w:szCs w:val="24"/>
          <w:highlight w:val="none"/>
        </w:rPr>
      </w:pPr>
    </w:p>
    <w:p w14:paraId="67E48A09">
      <w:pPr>
        <w:snapToGrid w:val="0"/>
        <w:spacing w:before="120" w:beforeLines="50" w:after="50"/>
        <w:ind w:firstLine="645"/>
        <w:rPr>
          <w:rFonts w:hint="eastAsia" w:ascii="宋体" w:hAnsi="宋体" w:cs="宋体"/>
          <w:color w:val="auto"/>
          <w:sz w:val="24"/>
          <w:highlight w:val="none"/>
        </w:rPr>
      </w:pPr>
      <w:r>
        <w:rPr>
          <w:rFonts w:hint="eastAsia" w:ascii="宋体" w:hAnsi="宋体" w:cs="宋体"/>
          <w:color w:val="auto"/>
          <w:sz w:val="24"/>
          <w:highlight w:val="none"/>
        </w:rPr>
        <w:t xml:space="preserve">                        年  月  日</w:t>
      </w:r>
    </w:p>
    <w:p w14:paraId="433B0B56">
      <w:pPr>
        <w:snapToGrid w:val="0"/>
        <w:spacing w:before="120" w:beforeLines="50" w:after="50"/>
        <w:rPr>
          <w:rFonts w:hint="eastAsia" w:ascii="宋体" w:hAnsi="宋体" w:cs="宋体"/>
          <w:color w:val="auto"/>
          <w:sz w:val="24"/>
          <w:szCs w:val="20"/>
          <w:highlight w:val="none"/>
        </w:rPr>
      </w:pPr>
      <w:r>
        <w:rPr>
          <w:rFonts w:hint="eastAsia" w:ascii="宋体" w:hAnsi="宋体" w:cs="宋体"/>
          <w:color w:val="auto"/>
          <w:sz w:val="24"/>
          <w:szCs w:val="20"/>
          <w:highlight w:val="none"/>
        </w:rPr>
        <w:t xml:space="preserve"> </w:t>
      </w:r>
    </w:p>
    <w:p w14:paraId="4F05AF32">
      <w:pPr>
        <w:snapToGrid w:val="0"/>
        <w:spacing w:line="360" w:lineRule="auto"/>
        <w:jc w:val="center"/>
        <w:rPr>
          <w:rFonts w:hint="eastAsia" w:ascii="宋体" w:hAnsi="宋体" w:cs="宋体"/>
          <w:b/>
          <w:bCs/>
          <w:color w:val="auto"/>
          <w:sz w:val="28"/>
          <w:szCs w:val="28"/>
          <w:highlight w:val="none"/>
        </w:rPr>
      </w:pPr>
      <w:r>
        <w:rPr>
          <w:rFonts w:hint="eastAsia" w:ascii="宋体" w:hAnsi="宋体" w:cs="宋体"/>
          <w:color w:val="auto"/>
          <w:sz w:val="24"/>
          <w:szCs w:val="20"/>
          <w:highlight w:val="none"/>
        </w:rPr>
        <w:br w:type="page"/>
      </w:r>
      <w:r>
        <w:rPr>
          <w:rFonts w:hint="eastAsia" w:ascii="宋体" w:hAnsi="宋体" w:cs="宋体"/>
          <w:b/>
          <w:bCs/>
          <w:color w:val="auto"/>
          <w:sz w:val="28"/>
          <w:szCs w:val="28"/>
          <w:highlight w:val="none"/>
        </w:rPr>
        <w:t>商务文件目录</w:t>
      </w:r>
    </w:p>
    <w:p w14:paraId="773179EA">
      <w:pPr>
        <w:snapToGrid w:val="0"/>
        <w:spacing w:before="50" w:after="120" w:afterLines="50" w:line="360" w:lineRule="auto"/>
        <w:jc w:val="center"/>
        <w:rPr>
          <w:rFonts w:hint="eastAsia" w:ascii="宋体" w:hAnsi="宋体" w:cs="宋体"/>
          <w:b/>
          <w:bCs/>
          <w:color w:val="auto"/>
          <w:sz w:val="24"/>
          <w:highlight w:val="none"/>
        </w:rPr>
      </w:pPr>
      <w:r>
        <w:rPr>
          <w:rFonts w:hint="eastAsia" w:ascii="宋体" w:hAnsi="宋体" w:cs="宋体"/>
          <w:color w:val="auto"/>
          <w:szCs w:val="21"/>
          <w:highlight w:val="none"/>
        </w:rPr>
        <w:t>根据招标文件规定及投标人提供的材料自行编写目录。</w:t>
      </w:r>
    </w:p>
    <w:p w14:paraId="29609BEF">
      <w:pPr>
        <w:snapToGrid w:val="0"/>
        <w:spacing w:before="50" w:after="120" w:afterLines="50"/>
        <w:jc w:val="left"/>
        <w:rPr>
          <w:rFonts w:hint="eastAsia" w:ascii="宋体" w:hAnsi="宋体" w:cs="宋体"/>
          <w:color w:val="auto"/>
          <w:highlight w:val="none"/>
        </w:rPr>
      </w:pPr>
    </w:p>
    <w:p w14:paraId="3B1A5D9F">
      <w:pPr>
        <w:snapToGrid w:val="0"/>
        <w:spacing w:before="120" w:beforeLines="50" w:after="50"/>
        <w:jc w:val="left"/>
        <w:rPr>
          <w:rFonts w:hint="eastAsia"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1. 无串通投标行为的承诺函</w:t>
      </w:r>
    </w:p>
    <w:p w14:paraId="48E52DEA">
      <w:pPr>
        <w:snapToGrid w:val="0"/>
        <w:spacing w:before="120" w:beforeLines="50" w:after="50"/>
        <w:jc w:val="left"/>
        <w:rPr>
          <w:rFonts w:hint="eastAsia" w:ascii="宋体" w:hAnsi="宋体" w:cs="宋体"/>
          <w:b/>
          <w:color w:val="auto"/>
          <w:sz w:val="24"/>
          <w:highlight w:val="none"/>
        </w:rPr>
      </w:pPr>
    </w:p>
    <w:p w14:paraId="092C192F">
      <w:pPr>
        <w:snapToGrid w:val="0"/>
        <w:spacing w:before="120" w:beforeLines="50" w:after="50"/>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无串通投标行为的承诺函</w:t>
      </w:r>
    </w:p>
    <w:p w14:paraId="3AE702D8">
      <w:pPr>
        <w:keepNext w:val="0"/>
        <w:keepLines w:val="0"/>
        <w:pageBreakBefore w:val="0"/>
        <w:widowControl w:val="0"/>
        <w:kinsoku/>
        <w:wordWrap/>
        <w:overflowPunct/>
        <w:topLinePunct w:val="0"/>
        <w:autoSpaceDE/>
        <w:autoSpaceDN/>
        <w:bidi w:val="0"/>
        <w:adjustRightInd/>
        <w:snapToGrid/>
        <w:spacing w:line="400" w:lineRule="exact"/>
        <w:contextualSpacing/>
        <w:jc w:val="left"/>
        <w:textAlignment w:val="auto"/>
        <w:rPr>
          <w:rFonts w:hint="eastAsia" w:ascii="宋体" w:hAnsi="宋体" w:cs="宋体"/>
          <w:b/>
          <w:color w:val="auto"/>
          <w:szCs w:val="21"/>
          <w:highlight w:val="none"/>
        </w:rPr>
      </w:pPr>
      <w:r>
        <w:rPr>
          <w:rFonts w:hint="eastAsia" w:ascii="宋体" w:hAnsi="宋体" w:cs="宋体"/>
          <w:b/>
          <w:color w:val="auto"/>
          <w:szCs w:val="21"/>
          <w:highlight w:val="none"/>
        </w:rPr>
        <w:t>一、我方承诺无下列相互串通投标的情形：</w:t>
      </w:r>
    </w:p>
    <w:p w14:paraId="59877BBB">
      <w:pPr>
        <w:keepNext w:val="0"/>
        <w:keepLines w:val="0"/>
        <w:pageBreakBefore w:val="0"/>
        <w:widowControl w:val="0"/>
        <w:kinsoku/>
        <w:wordWrap/>
        <w:overflowPunct/>
        <w:topLinePunct w:val="0"/>
        <w:autoSpaceDE/>
        <w:autoSpaceDN/>
        <w:bidi w:val="0"/>
        <w:adjustRightInd/>
        <w:snapToGrid/>
        <w:spacing w:line="400" w:lineRule="exact"/>
        <w:ind w:firstLine="411" w:firstLineChars="196"/>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1.不同投标人的投标文件由同一单位或者个人编制；或者不同投标人报名的IP地址一致的；或者编制标书硬件设备CPU编号、硬盘编号、网卡地址一致的情况。</w:t>
      </w:r>
    </w:p>
    <w:p w14:paraId="29FFB19E">
      <w:pPr>
        <w:keepNext w:val="0"/>
        <w:keepLines w:val="0"/>
        <w:pageBreakBefore w:val="0"/>
        <w:widowControl w:val="0"/>
        <w:kinsoku/>
        <w:wordWrap/>
        <w:overflowPunct/>
        <w:topLinePunct w:val="0"/>
        <w:autoSpaceDE/>
        <w:autoSpaceDN/>
        <w:bidi w:val="0"/>
        <w:adjustRightInd/>
        <w:snapToGrid/>
        <w:spacing w:line="400" w:lineRule="exact"/>
        <w:ind w:firstLine="411" w:firstLineChars="196"/>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2.不同投标人委托同一单位或者个人办理投标事宜；</w:t>
      </w:r>
    </w:p>
    <w:p w14:paraId="31A7E8D8">
      <w:pPr>
        <w:keepNext w:val="0"/>
        <w:keepLines w:val="0"/>
        <w:pageBreakBefore w:val="0"/>
        <w:widowControl w:val="0"/>
        <w:kinsoku/>
        <w:wordWrap/>
        <w:overflowPunct/>
        <w:topLinePunct w:val="0"/>
        <w:autoSpaceDE/>
        <w:autoSpaceDN/>
        <w:bidi w:val="0"/>
        <w:adjustRightInd/>
        <w:snapToGrid/>
        <w:spacing w:line="400" w:lineRule="exact"/>
        <w:ind w:firstLine="411" w:firstLineChars="196"/>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3.不同的投标人的投标文件载明的项目管理员为同一个人；</w:t>
      </w:r>
    </w:p>
    <w:p w14:paraId="0805759A">
      <w:pPr>
        <w:keepNext w:val="0"/>
        <w:keepLines w:val="0"/>
        <w:pageBreakBefore w:val="0"/>
        <w:widowControl w:val="0"/>
        <w:kinsoku/>
        <w:wordWrap/>
        <w:overflowPunct/>
        <w:topLinePunct w:val="0"/>
        <w:autoSpaceDE/>
        <w:autoSpaceDN/>
        <w:bidi w:val="0"/>
        <w:adjustRightInd/>
        <w:snapToGrid/>
        <w:spacing w:line="400" w:lineRule="exact"/>
        <w:ind w:firstLine="411" w:firstLineChars="196"/>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4.不同投标人的投标文件异常一致或者投标报价呈规律性差异；</w:t>
      </w:r>
    </w:p>
    <w:p w14:paraId="0949F551">
      <w:pPr>
        <w:keepNext w:val="0"/>
        <w:keepLines w:val="0"/>
        <w:pageBreakBefore w:val="0"/>
        <w:widowControl w:val="0"/>
        <w:kinsoku/>
        <w:wordWrap/>
        <w:overflowPunct/>
        <w:topLinePunct w:val="0"/>
        <w:autoSpaceDE/>
        <w:autoSpaceDN/>
        <w:bidi w:val="0"/>
        <w:adjustRightInd/>
        <w:snapToGrid/>
        <w:spacing w:line="400" w:lineRule="exact"/>
        <w:ind w:firstLine="411" w:firstLineChars="196"/>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5.不同投标人的投标文件相互混装；</w:t>
      </w:r>
    </w:p>
    <w:p w14:paraId="35429497">
      <w:pPr>
        <w:keepNext w:val="0"/>
        <w:keepLines w:val="0"/>
        <w:pageBreakBefore w:val="0"/>
        <w:widowControl w:val="0"/>
        <w:kinsoku/>
        <w:wordWrap/>
        <w:overflowPunct/>
        <w:topLinePunct w:val="0"/>
        <w:autoSpaceDE/>
        <w:autoSpaceDN/>
        <w:bidi w:val="0"/>
        <w:adjustRightInd/>
        <w:snapToGrid/>
        <w:spacing w:line="400" w:lineRule="exact"/>
        <w:ind w:firstLine="411" w:firstLineChars="196"/>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6.不同投标人的投标保证金从同一单位或者个人账户转出。</w:t>
      </w:r>
    </w:p>
    <w:p w14:paraId="7FEB53DA">
      <w:pPr>
        <w:keepNext w:val="0"/>
        <w:keepLines w:val="0"/>
        <w:pageBreakBefore w:val="0"/>
        <w:widowControl w:val="0"/>
        <w:kinsoku/>
        <w:wordWrap/>
        <w:overflowPunct/>
        <w:topLinePunct w:val="0"/>
        <w:autoSpaceDE/>
        <w:autoSpaceDN/>
        <w:bidi w:val="0"/>
        <w:adjustRightInd/>
        <w:snapToGrid/>
        <w:spacing w:line="400" w:lineRule="exact"/>
        <w:contextualSpacing/>
        <w:jc w:val="left"/>
        <w:textAlignment w:val="auto"/>
        <w:rPr>
          <w:rFonts w:hint="eastAsia" w:ascii="宋体" w:hAnsi="宋体" w:cs="宋体"/>
          <w:color w:val="auto"/>
          <w:szCs w:val="21"/>
          <w:highlight w:val="none"/>
        </w:rPr>
      </w:pPr>
      <w:r>
        <w:rPr>
          <w:rFonts w:hint="eastAsia" w:ascii="宋体" w:hAnsi="宋体" w:cs="宋体"/>
          <w:b/>
          <w:color w:val="auto"/>
          <w:szCs w:val="21"/>
          <w:highlight w:val="none"/>
        </w:rPr>
        <w:t>二、我方承诺无下列恶意串通的情形：</w:t>
      </w:r>
    </w:p>
    <w:p w14:paraId="13D912F8">
      <w:pPr>
        <w:keepNext w:val="0"/>
        <w:keepLines w:val="0"/>
        <w:pageBreakBefore w:val="0"/>
        <w:widowControl w:val="0"/>
        <w:kinsoku/>
        <w:wordWrap/>
        <w:overflowPunct/>
        <w:topLinePunct w:val="0"/>
        <w:autoSpaceDE/>
        <w:autoSpaceDN/>
        <w:bidi w:val="0"/>
        <w:adjustRightInd/>
        <w:snapToGrid/>
        <w:spacing w:line="400" w:lineRule="exact"/>
        <w:ind w:firstLine="411" w:firstLineChars="196"/>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1.投标人直接或者间接从采购人或者采购代理机构处获得其他投标人的相关信息并修改其投标文件或者响应文件；</w:t>
      </w:r>
    </w:p>
    <w:p w14:paraId="6B91FAC7">
      <w:pPr>
        <w:keepNext w:val="0"/>
        <w:keepLines w:val="0"/>
        <w:pageBreakBefore w:val="0"/>
        <w:widowControl w:val="0"/>
        <w:kinsoku/>
        <w:wordWrap/>
        <w:overflowPunct/>
        <w:topLinePunct w:val="0"/>
        <w:autoSpaceDE/>
        <w:autoSpaceDN/>
        <w:bidi w:val="0"/>
        <w:adjustRightInd/>
        <w:snapToGrid/>
        <w:spacing w:line="400" w:lineRule="exact"/>
        <w:ind w:firstLine="411" w:firstLineChars="196"/>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2.投标人按照采购人或者采购代理机构的授意撤换、修改投标文件或者响应文件；</w:t>
      </w:r>
    </w:p>
    <w:p w14:paraId="20E00ECC">
      <w:pPr>
        <w:keepNext w:val="0"/>
        <w:keepLines w:val="0"/>
        <w:pageBreakBefore w:val="0"/>
        <w:widowControl w:val="0"/>
        <w:kinsoku/>
        <w:wordWrap/>
        <w:overflowPunct/>
        <w:topLinePunct w:val="0"/>
        <w:autoSpaceDE/>
        <w:autoSpaceDN/>
        <w:bidi w:val="0"/>
        <w:adjustRightInd/>
        <w:snapToGrid/>
        <w:spacing w:line="400" w:lineRule="exact"/>
        <w:ind w:firstLine="411" w:firstLineChars="196"/>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3.投标人之间协商报价、技术方案等投标文件或者响应文件的实质性内容；</w:t>
      </w:r>
    </w:p>
    <w:p w14:paraId="6EC9E142">
      <w:pPr>
        <w:keepNext w:val="0"/>
        <w:keepLines w:val="0"/>
        <w:pageBreakBefore w:val="0"/>
        <w:widowControl w:val="0"/>
        <w:kinsoku/>
        <w:wordWrap/>
        <w:overflowPunct/>
        <w:topLinePunct w:val="0"/>
        <w:autoSpaceDE/>
        <w:autoSpaceDN/>
        <w:bidi w:val="0"/>
        <w:adjustRightInd/>
        <w:snapToGrid/>
        <w:spacing w:line="400" w:lineRule="exact"/>
        <w:ind w:firstLine="411" w:firstLineChars="196"/>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4.属于同一集团、协会、商会等组织成员的投标人按照该组织要求协同参加政府采购活动；</w:t>
      </w:r>
    </w:p>
    <w:p w14:paraId="2F95A699">
      <w:pPr>
        <w:keepNext w:val="0"/>
        <w:keepLines w:val="0"/>
        <w:pageBreakBefore w:val="0"/>
        <w:widowControl w:val="0"/>
        <w:kinsoku/>
        <w:wordWrap/>
        <w:overflowPunct/>
        <w:topLinePunct w:val="0"/>
        <w:autoSpaceDE/>
        <w:autoSpaceDN/>
        <w:bidi w:val="0"/>
        <w:adjustRightInd/>
        <w:snapToGrid/>
        <w:spacing w:line="400" w:lineRule="exact"/>
        <w:ind w:firstLine="411" w:firstLineChars="196"/>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5.投标人之间事先约定一致抬高或者压低投标报价，或者在招标项目中事先约定轮流以高价位或者低价位中标，或者事先约定由某一特定投标人中标，然后再参加投标；</w:t>
      </w:r>
    </w:p>
    <w:p w14:paraId="5D45135A">
      <w:pPr>
        <w:keepNext w:val="0"/>
        <w:keepLines w:val="0"/>
        <w:pageBreakBefore w:val="0"/>
        <w:widowControl w:val="0"/>
        <w:kinsoku/>
        <w:wordWrap/>
        <w:overflowPunct/>
        <w:topLinePunct w:val="0"/>
        <w:autoSpaceDE/>
        <w:autoSpaceDN/>
        <w:bidi w:val="0"/>
        <w:adjustRightInd/>
        <w:snapToGrid/>
        <w:spacing w:line="400" w:lineRule="exact"/>
        <w:ind w:firstLine="411" w:firstLineChars="196"/>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6.投标人之间商定部分投标人放弃参加政府采购活动或者放弃中标；</w:t>
      </w:r>
    </w:p>
    <w:p w14:paraId="1F2BEBAB">
      <w:pPr>
        <w:keepNext w:val="0"/>
        <w:keepLines w:val="0"/>
        <w:pageBreakBefore w:val="0"/>
        <w:widowControl w:val="0"/>
        <w:kinsoku/>
        <w:wordWrap/>
        <w:overflowPunct/>
        <w:topLinePunct w:val="0"/>
        <w:autoSpaceDE/>
        <w:autoSpaceDN/>
        <w:bidi w:val="0"/>
        <w:adjustRightInd/>
        <w:snapToGrid/>
        <w:spacing w:line="400" w:lineRule="exact"/>
        <w:ind w:firstLine="411" w:firstLineChars="196"/>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7.投标人与采购人或者采购代理机构之间、投标人相互之间，为谋求特定投标人中标或者排斥其他投标人的其他串通行为。</w:t>
      </w:r>
    </w:p>
    <w:p w14:paraId="3A2C2484">
      <w:pPr>
        <w:keepNext w:val="0"/>
        <w:keepLines w:val="0"/>
        <w:pageBreakBefore w:val="0"/>
        <w:widowControl w:val="0"/>
        <w:kinsoku/>
        <w:wordWrap/>
        <w:overflowPunct/>
        <w:topLinePunct w:val="0"/>
        <w:autoSpaceDE/>
        <w:autoSpaceDN/>
        <w:bidi w:val="0"/>
        <w:adjustRightInd/>
        <w:snapToGrid/>
        <w:spacing w:line="400" w:lineRule="exact"/>
        <w:ind w:firstLine="412" w:firstLineChars="196"/>
        <w:contextualSpacing/>
        <w:jc w:val="left"/>
        <w:textAlignment w:val="auto"/>
        <w:rPr>
          <w:rFonts w:hint="eastAsia" w:ascii="宋体" w:hAnsi="宋体" w:cs="宋体"/>
          <w:b/>
          <w:color w:val="auto"/>
          <w:szCs w:val="21"/>
          <w:highlight w:val="none"/>
        </w:rPr>
      </w:pPr>
      <w:r>
        <w:rPr>
          <w:rFonts w:hint="eastAsia" w:ascii="宋体" w:hAnsi="宋体" w:cs="宋体"/>
          <w:b/>
          <w:color w:val="auto"/>
          <w:szCs w:val="21"/>
          <w:highlight w:val="none"/>
        </w:rPr>
        <w:t>以上情形一经核查属实，我方愿意承担一切后果，并不再寻求任何旨在减轻或者免除法律责任的辩解。</w:t>
      </w:r>
    </w:p>
    <w:p w14:paraId="4C6E3FD7">
      <w:pPr>
        <w:pStyle w:val="20"/>
        <w:keepNext w:val="0"/>
        <w:keepLines w:val="0"/>
        <w:pageBreakBefore w:val="0"/>
        <w:widowControl w:val="0"/>
        <w:kinsoku/>
        <w:wordWrap/>
        <w:overflowPunct/>
        <w:topLinePunct w:val="0"/>
        <w:autoSpaceDE/>
        <w:autoSpaceDN/>
        <w:bidi w:val="0"/>
        <w:adjustRightInd/>
        <w:snapToGrid/>
        <w:spacing w:line="400" w:lineRule="exact"/>
        <w:ind w:firstLine="840" w:firstLineChars="400"/>
        <w:textAlignment w:val="auto"/>
        <w:rPr>
          <w:rFonts w:hint="eastAsia" w:hAnsi="宋体" w:cs="宋体"/>
          <w:color w:val="auto"/>
          <w:highlight w:val="none"/>
        </w:rPr>
      </w:pPr>
      <w:r>
        <w:rPr>
          <w:rFonts w:hint="eastAsia" w:hAnsi="宋体" w:cs="宋体"/>
          <w:color w:val="auto"/>
          <w:highlight w:val="none"/>
        </w:rPr>
        <w:t xml:space="preserve"> </w:t>
      </w:r>
    </w:p>
    <w:p w14:paraId="6B4A33C4">
      <w:pPr>
        <w:pStyle w:val="20"/>
        <w:keepNext w:val="0"/>
        <w:keepLines w:val="0"/>
        <w:pageBreakBefore w:val="0"/>
        <w:widowControl w:val="0"/>
        <w:kinsoku/>
        <w:wordWrap/>
        <w:overflowPunct/>
        <w:topLinePunct w:val="0"/>
        <w:autoSpaceDE/>
        <w:autoSpaceDN/>
        <w:bidi w:val="0"/>
        <w:adjustRightInd/>
        <w:snapToGrid/>
        <w:spacing w:line="400" w:lineRule="exact"/>
        <w:contextualSpacing/>
        <w:jc w:val="center"/>
        <w:textAlignment w:val="auto"/>
        <w:rPr>
          <w:rFonts w:hint="eastAsia" w:hAnsi="宋体" w:cs="宋体"/>
          <w:color w:val="auto"/>
          <w:highlight w:val="none"/>
        </w:rPr>
      </w:pPr>
      <w:r>
        <w:rPr>
          <w:rFonts w:hint="eastAsia" w:hAnsi="宋体" w:cs="宋体"/>
          <w:color w:val="auto"/>
          <w:highlight w:val="none"/>
        </w:rPr>
        <w:t xml:space="preserve">                                    投标人名称（电子签章）:</w:t>
      </w:r>
      <w:r>
        <w:rPr>
          <w:rFonts w:hint="eastAsia" w:hAnsi="宋体" w:cs="宋体"/>
          <w:color w:val="auto"/>
          <w:spacing w:val="20"/>
          <w:highlight w:val="none"/>
          <w:u w:val="single"/>
        </w:rPr>
        <w:t xml:space="preserve">            </w:t>
      </w:r>
      <w:r>
        <w:rPr>
          <w:rFonts w:hint="eastAsia" w:hAnsi="宋体" w:cs="宋体"/>
          <w:color w:val="auto"/>
          <w:spacing w:val="20"/>
          <w:highlight w:val="none"/>
        </w:rPr>
        <w:t xml:space="preserve"> </w:t>
      </w:r>
    </w:p>
    <w:p w14:paraId="72A6EA7D">
      <w:pPr>
        <w:pStyle w:val="20"/>
        <w:keepNext w:val="0"/>
        <w:keepLines w:val="0"/>
        <w:pageBreakBefore w:val="0"/>
        <w:widowControl w:val="0"/>
        <w:kinsoku/>
        <w:wordWrap/>
        <w:overflowPunct/>
        <w:topLinePunct w:val="0"/>
        <w:autoSpaceDE/>
        <w:autoSpaceDN/>
        <w:bidi w:val="0"/>
        <w:adjustRightInd/>
        <w:snapToGrid/>
        <w:spacing w:line="400" w:lineRule="exact"/>
        <w:contextualSpacing/>
        <w:jc w:val="right"/>
        <w:textAlignment w:val="auto"/>
        <w:rPr>
          <w:rFonts w:hint="eastAsia" w:hAnsi="宋体" w:cs="宋体"/>
          <w:color w:val="auto"/>
          <w:highlight w:val="none"/>
        </w:rPr>
      </w:pPr>
      <w:r>
        <w:rPr>
          <w:rFonts w:hint="eastAsia" w:hAnsi="宋体" w:cs="宋体"/>
          <w:color w:val="auto"/>
          <w:highlight w:val="none"/>
        </w:rPr>
        <w:t xml:space="preserve">                                                </w:t>
      </w:r>
      <w:r>
        <w:rPr>
          <w:rFonts w:hint="eastAsia" w:hAnsi="宋体" w:cs="宋体"/>
          <w:color w:val="auto"/>
          <w:highlight w:val="none"/>
          <w:u w:val="single"/>
        </w:rPr>
        <w:t xml:space="preserve">      </w:t>
      </w:r>
      <w:r>
        <w:rPr>
          <w:rFonts w:hint="eastAsia" w:hAnsi="宋体" w:cs="宋体"/>
          <w:color w:val="auto"/>
          <w:highlight w:val="none"/>
        </w:rPr>
        <w:t>年</w:t>
      </w:r>
      <w:r>
        <w:rPr>
          <w:rFonts w:hint="eastAsia" w:hAnsi="宋体" w:cs="宋体"/>
          <w:color w:val="auto"/>
          <w:highlight w:val="none"/>
          <w:u w:val="single"/>
        </w:rPr>
        <w:t xml:space="preserve">    </w:t>
      </w:r>
      <w:r>
        <w:rPr>
          <w:rFonts w:hint="eastAsia" w:hAnsi="宋体" w:cs="宋体"/>
          <w:color w:val="auto"/>
          <w:highlight w:val="none"/>
        </w:rPr>
        <w:t>月</w:t>
      </w:r>
      <w:r>
        <w:rPr>
          <w:rFonts w:hint="eastAsia" w:hAnsi="宋体" w:cs="宋体"/>
          <w:color w:val="auto"/>
          <w:highlight w:val="none"/>
          <w:u w:val="single"/>
        </w:rPr>
        <w:t xml:space="preserve">     </w:t>
      </w:r>
      <w:r>
        <w:rPr>
          <w:rFonts w:hint="eastAsia" w:hAnsi="宋体" w:cs="宋体"/>
          <w:color w:val="auto"/>
          <w:highlight w:val="none"/>
        </w:rPr>
        <w:t>日</w:t>
      </w:r>
    </w:p>
    <w:p w14:paraId="10CBAB06">
      <w:pPr>
        <w:snapToGrid w:val="0"/>
        <w:spacing w:before="120" w:beforeLines="50" w:after="50" w:line="360" w:lineRule="auto"/>
        <w:ind w:firstLine="471" w:firstLineChars="196"/>
        <w:jc w:val="left"/>
        <w:rPr>
          <w:rFonts w:hint="eastAsia"/>
          <w:color w:val="auto"/>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2.投标保证金缴纳证明</w:t>
      </w:r>
    </w:p>
    <w:p w14:paraId="4EE84A06">
      <w:pPr>
        <w:spacing w:line="360" w:lineRule="auto"/>
        <w:jc w:val="center"/>
        <w:rPr>
          <w:rFonts w:hint="eastAsia" w:ascii="宋体" w:cs="宋体"/>
          <w:b/>
          <w:color w:val="auto"/>
          <w:sz w:val="36"/>
          <w:szCs w:val="36"/>
          <w:highlight w:val="none"/>
          <w:lang w:val="ru-RU"/>
        </w:rPr>
      </w:pPr>
    </w:p>
    <w:p w14:paraId="364D3B82">
      <w:pPr>
        <w:spacing w:line="360" w:lineRule="auto"/>
        <w:jc w:val="center"/>
        <w:rPr>
          <w:rFonts w:hint="eastAsia" w:ascii="宋体" w:cs="宋体"/>
          <w:b/>
          <w:color w:val="auto"/>
          <w:sz w:val="36"/>
          <w:szCs w:val="36"/>
          <w:highlight w:val="none"/>
        </w:rPr>
      </w:pPr>
      <w:r>
        <w:rPr>
          <w:rFonts w:hint="eastAsia" w:ascii="宋体" w:cs="宋体"/>
          <w:b/>
          <w:color w:val="auto"/>
          <w:sz w:val="36"/>
          <w:szCs w:val="36"/>
          <w:highlight w:val="none"/>
        </w:rPr>
        <w:t>保证金交款、退款函</w:t>
      </w:r>
    </w:p>
    <w:p w14:paraId="70825EE9">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致：</w:t>
      </w:r>
      <w:r>
        <w:rPr>
          <w:rFonts w:hint="eastAsia" w:ascii="宋体" w:hAnsi="宋体" w:cs="宋体"/>
          <w:color w:val="auto"/>
          <w:szCs w:val="21"/>
          <w:highlight w:val="none"/>
          <w:lang w:eastAsia="zh-CN"/>
        </w:rPr>
        <w:t>广西建设工程机电设备招标中心有限公司</w:t>
      </w:r>
    </w:p>
    <w:p w14:paraId="399A17FC">
      <w:pPr>
        <w:keepNext w:val="0"/>
        <w:keepLines w:val="0"/>
        <w:pageBreakBefore w:val="0"/>
        <w:kinsoku/>
        <w:wordWrap/>
        <w:overflowPunct/>
        <w:topLinePunct w:val="0"/>
        <w:autoSpaceDE/>
        <w:autoSpaceDN/>
        <w:bidi w:val="0"/>
        <w:adjustRightInd/>
        <w:snapToGrid/>
        <w:spacing w:line="400" w:lineRule="exact"/>
        <w:ind w:firstLine="411" w:firstLineChars="196"/>
        <w:contextualSpacing/>
        <w:jc w:val="left"/>
        <w:textAlignment w:val="auto"/>
        <w:rPr>
          <w:rFonts w:ascii="宋体" w:hAnsi="宋体"/>
          <w:color w:val="auto"/>
          <w:szCs w:val="21"/>
          <w:highlight w:val="none"/>
        </w:rPr>
      </w:pPr>
      <w:r>
        <w:rPr>
          <w:rFonts w:hint="eastAsia" w:ascii="宋体" w:hAnsi="宋体"/>
          <w:color w:val="auto"/>
          <w:szCs w:val="21"/>
          <w:highlight w:val="none"/>
        </w:rPr>
        <w:t>1.我方为</w:t>
      </w:r>
      <w:r>
        <w:rPr>
          <w:rFonts w:ascii="宋体" w:hAnsi="宋体"/>
          <w:color w:val="auto"/>
          <w:szCs w:val="21"/>
          <w:highlight w:val="none"/>
        </w:rPr>
        <w:t>____________(</w:t>
      </w:r>
      <w:r>
        <w:rPr>
          <w:rFonts w:hint="eastAsia" w:ascii="宋体" w:hAnsi="宋体"/>
          <w:color w:val="auto"/>
          <w:szCs w:val="21"/>
          <w:highlight w:val="none"/>
        </w:rPr>
        <w:t>项目名称</w:t>
      </w:r>
      <w:r>
        <w:rPr>
          <w:rFonts w:ascii="宋体" w:hAnsi="宋体"/>
          <w:color w:val="auto"/>
          <w:szCs w:val="21"/>
          <w:highlight w:val="none"/>
        </w:rPr>
        <w:t>)(</w:t>
      </w:r>
      <w:r>
        <w:rPr>
          <w:rFonts w:hint="eastAsia" w:ascii="宋体" w:hAnsi="宋体"/>
          <w:color w:val="auto"/>
          <w:szCs w:val="21"/>
          <w:highlight w:val="none"/>
        </w:rPr>
        <w:t>项目编号：</w:t>
      </w:r>
      <w:r>
        <w:rPr>
          <w:rFonts w:ascii="宋体" w:hAnsi="宋体"/>
          <w:color w:val="auto"/>
          <w:szCs w:val="21"/>
          <w:highlight w:val="none"/>
        </w:rPr>
        <w:t>________)</w:t>
      </w:r>
      <w:r>
        <w:rPr>
          <w:rFonts w:hint="eastAsia" w:ascii="宋体" w:hAnsi="宋体"/>
          <w:color w:val="auto"/>
          <w:szCs w:val="21"/>
          <w:highlight w:val="none"/>
        </w:rPr>
        <w:t>已于</w:t>
      </w:r>
      <w:r>
        <w:rPr>
          <w:rFonts w:ascii="宋体" w:hAnsi="宋体"/>
          <w:color w:val="auto"/>
          <w:szCs w:val="21"/>
          <w:highlight w:val="none"/>
        </w:rPr>
        <w:t>______</w:t>
      </w:r>
      <w:r>
        <w:rPr>
          <w:rFonts w:hint="eastAsia" w:ascii="宋体" w:hAnsi="宋体"/>
          <w:color w:val="auto"/>
          <w:szCs w:val="21"/>
          <w:highlight w:val="none"/>
        </w:rPr>
        <w:t>年</w:t>
      </w:r>
      <w:r>
        <w:rPr>
          <w:rFonts w:ascii="宋体" w:hAnsi="宋体"/>
          <w:color w:val="auto"/>
          <w:szCs w:val="21"/>
          <w:highlight w:val="none"/>
        </w:rPr>
        <w:t>____</w:t>
      </w:r>
      <w:r>
        <w:rPr>
          <w:rFonts w:hint="eastAsia" w:ascii="宋体" w:hAnsi="宋体"/>
          <w:color w:val="auto"/>
          <w:szCs w:val="21"/>
          <w:highlight w:val="none"/>
        </w:rPr>
        <w:t>月</w:t>
      </w:r>
      <w:r>
        <w:rPr>
          <w:rFonts w:ascii="宋体" w:hAnsi="宋体"/>
          <w:color w:val="auto"/>
          <w:szCs w:val="21"/>
          <w:highlight w:val="none"/>
        </w:rPr>
        <w:t>____</w:t>
      </w:r>
      <w:r>
        <w:rPr>
          <w:rFonts w:hint="eastAsia" w:ascii="宋体" w:hAnsi="宋体"/>
          <w:color w:val="auto"/>
          <w:szCs w:val="21"/>
          <w:highlight w:val="none"/>
        </w:rPr>
        <w:t>日以</w:t>
      </w:r>
      <w:r>
        <w:rPr>
          <w:rFonts w:hint="eastAsia" w:ascii="宋体" w:hAnsi="宋体"/>
          <w:color w:val="auto"/>
          <w:szCs w:val="21"/>
          <w:highlight w:val="none"/>
          <w:u w:val="single"/>
        </w:rPr>
        <w:t xml:space="preserve">         （银行转账、支票、汇票、本票或者金融、担保金融、担保机构出具的保函）</w:t>
      </w:r>
      <w:r>
        <w:rPr>
          <w:rFonts w:hint="eastAsia" w:ascii="宋体" w:hAnsi="宋体"/>
          <w:color w:val="auto"/>
          <w:szCs w:val="21"/>
          <w:highlight w:val="none"/>
        </w:rPr>
        <w:t>方式递交保证金人民币大写</w:t>
      </w:r>
      <w:r>
        <w:rPr>
          <w:rFonts w:ascii="宋体" w:hAnsi="宋体"/>
          <w:color w:val="auto"/>
          <w:szCs w:val="21"/>
          <w:highlight w:val="none"/>
        </w:rPr>
        <w:t>________(</w:t>
      </w:r>
      <w:r>
        <w:rPr>
          <w:rFonts w:hint="eastAsia" w:ascii="宋体" w:hAnsi="宋体"/>
          <w:color w:val="auto"/>
          <w:szCs w:val="21"/>
          <w:highlight w:val="none"/>
        </w:rPr>
        <w:t>¥       ）。</w:t>
      </w:r>
    </w:p>
    <w:p w14:paraId="69F9DB12">
      <w:pPr>
        <w:keepNext w:val="0"/>
        <w:keepLines w:val="0"/>
        <w:pageBreakBefore w:val="0"/>
        <w:kinsoku/>
        <w:wordWrap/>
        <w:overflowPunct/>
        <w:topLinePunct w:val="0"/>
        <w:autoSpaceDE/>
        <w:autoSpaceDN/>
        <w:bidi w:val="0"/>
        <w:adjustRightInd/>
        <w:snapToGrid/>
        <w:spacing w:line="400" w:lineRule="exact"/>
        <w:ind w:firstLine="411" w:firstLineChars="196"/>
        <w:contextualSpacing/>
        <w:jc w:val="left"/>
        <w:textAlignment w:val="auto"/>
        <w:rPr>
          <w:rFonts w:hint="eastAsia" w:ascii="宋体" w:hAnsi="宋体"/>
          <w:color w:val="auto"/>
          <w:szCs w:val="21"/>
          <w:highlight w:val="none"/>
        </w:rPr>
      </w:pPr>
      <w:r>
        <w:rPr>
          <w:rFonts w:hint="eastAsia" w:ascii="宋体" w:hAnsi="宋体"/>
          <w:color w:val="auto"/>
          <w:szCs w:val="21"/>
          <w:highlight w:val="none"/>
        </w:rPr>
        <w:t>2.退还保证金时请按以下内容划入我方账户：</w:t>
      </w:r>
    </w:p>
    <w:tbl>
      <w:tblPr>
        <w:tblStyle w:val="39"/>
        <w:tblW w:w="8940" w:type="dxa"/>
        <w:jc w:val="center"/>
        <w:tblLayout w:type="fixed"/>
        <w:tblCellMar>
          <w:top w:w="0" w:type="dxa"/>
          <w:left w:w="108" w:type="dxa"/>
          <w:bottom w:w="0" w:type="dxa"/>
          <w:right w:w="108" w:type="dxa"/>
        </w:tblCellMar>
      </w:tblPr>
      <w:tblGrid>
        <w:gridCol w:w="1355"/>
        <w:gridCol w:w="2394"/>
        <w:gridCol w:w="1984"/>
        <w:gridCol w:w="3207"/>
      </w:tblGrid>
      <w:tr w14:paraId="4B0BC43A">
        <w:trPr>
          <w:trHeight w:val="699" w:hRule="atLeast"/>
          <w:jc w:val="center"/>
        </w:trPr>
        <w:tc>
          <w:tcPr>
            <w:tcW w:w="1355" w:type="dxa"/>
            <w:tcBorders>
              <w:top w:val="single" w:color="auto" w:sz="4" w:space="0"/>
              <w:left w:val="single" w:color="auto" w:sz="4" w:space="0"/>
              <w:bottom w:val="single" w:color="auto" w:sz="4" w:space="0"/>
              <w:right w:val="single" w:color="auto" w:sz="4" w:space="0"/>
            </w:tcBorders>
            <w:noWrap w:val="0"/>
            <w:vAlign w:val="center"/>
          </w:tcPr>
          <w:p w14:paraId="6027E69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宋体"/>
                <w:bCs/>
                <w:color w:val="auto"/>
                <w:kern w:val="0"/>
                <w:szCs w:val="21"/>
                <w:highlight w:val="none"/>
              </w:rPr>
            </w:pPr>
            <w:r>
              <w:rPr>
                <w:rFonts w:hint="eastAsia" w:ascii="宋体" w:hAnsi="宋体" w:cs="宋体"/>
                <w:bCs/>
                <w:color w:val="auto"/>
                <w:kern w:val="0"/>
                <w:szCs w:val="21"/>
                <w:highlight w:val="none"/>
              </w:rPr>
              <w:t>项目名称</w:t>
            </w:r>
          </w:p>
        </w:tc>
        <w:tc>
          <w:tcPr>
            <w:tcW w:w="2394" w:type="dxa"/>
            <w:tcBorders>
              <w:top w:val="single" w:color="auto" w:sz="4" w:space="0"/>
              <w:left w:val="single" w:color="auto" w:sz="4" w:space="0"/>
              <w:bottom w:val="single" w:color="auto" w:sz="4" w:space="0"/>
              <w:right w:val="single" w:color="auto" w:sz="4" w:space="0"/>
            </w:tcBorders>
            <w:noWrap w:val="0"/>
            <w:vAlign w:val="center"/>
          </w:tcPr>
          <w:p w14:paraId="4C92BAD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671DB6A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宋体"/>
                <w:bCs/>
                <w:color w:val="auto"/>
                <w:kern w:val="0"/>
                <w:szCs w:val="21"/>
                <w:highlight w:val="none"/>
              </w:rPr>
            </w:pPr>
            <w:r>
              <w:rPr>
                <w:rFonts w:hint="eastAsia" w:ascii="宋体" w:hAnsi="宋体" w:cs="宋体"/>
                <w:bCs/>
                <w:color w:val="auto"/>
                <w:kern w:val="0"/>
                <w:szCs w:val="21"/>
                <w:highlight w:val="none"/>
              </w:rPr>
              <w:t>项目编号</w:t>
            </w:r>
          </w:p>
        </w:tc>
        <w:tc>
          <w:tcPr>
            <w:tcW w:w="3207" w:type="dxa"/>
            <w:tcBorders>
              <w:top w:val="single" w:color="auto" w:sz="4" w:space="0"/>
              <w:left w:val="single" w:color="auto" w:sz="4" w:space="0"/>
              <w:bottom w:val="single" w:color="auto" w:sz="4" w:space="0"/>
              <w:right w:val="single" w:color="auto" w:sz="4" w:space="0"/>
            </w:tcBorders>
            <w:noWrap w:val="0"/>
            <w:vAlign w:val="center"/>
          </w:tcPr>
          <w:p w14:paraId="19A003B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0867472B">
        <w:trPr>
          <w:trHeight w:val="654" w:hRule="atLeast"/>
          <w:jc w:val="center"/>
        </w:trPr>
        <w:tc>
          <w:tcPr>
            <w:tcW w:w="1355" w:type="dxa"/>
            <w:tcBorders>
              <w:top w:val="single" w:color="auto" w:sz="4" w:space="0"/>
              <w:left w:val="single" w:color="auto" w:sz="4" w:space="0"/>
              <w:bottom w:val="single" w:color="auto" w:sz="4" w:space="0"/>
              <w:right w:val="single" w:color="auto" w:sz="4" w:space="0"/>
            </w:tcBorders>
            <w:noWrap w:val="0"/>
            <w:vAlign w:val="center"/>
          </w:tcPr>
          <w:p w14:paraId="2DB319C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宋体"/>
                <w:bCs/>
                <w:color w:val="auto"/>
                <w:kern w:val="0"/>
                <w:szCs w:val="21"/>
                <w:highlight w:val="none"/>
              </w:rPr>
            </w:pPr>
            <w:r>
              <w:rPr>
                <w:rFonts w:hint="eastAsia" w:ascii="宋体" w:hAnsi="宋体" w:cs="宋体"/>
                <w:bCs/>
                <w:color w:val="auto"/>
                <w:kern w:val="0"/>
                <w:szCs w:val="21"/>
                <w:highlight w:val="none"/>
              </w:rPr>
              <w:t>交款单位</w:t>
            </w:r>
          </w:p>
        </w:tc>
        <w:tc>
          <w:tcPr>
            <w:tcW w:w="2394" w:type="dxa"/>
            <w:tcBorders>
              <w:top w:val="single" w:color="auto" w:sz="4" w:space="0"/>
              <w:left w:val="single" w:color="auto" w:sz="4" w:space="0"/>
              <w:bottom w:val="single" w:color="auto" w:sz="4" w:space="0"/>
              <w:right w:val="single" w:color="auto" w:sz="4" w:space="0"/>
            </w:tcBorders>
            <w:noWrap w:val="0"/>
            <w:vAlign w:val="center"/>
          </w:tcPr>
          <w:p w14:paraId="68587B1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宋体"/>
                <w:bCs/>
                <w:color w:val="auto"/>
                <w:kern w:val="0"/>
                <w:szCs w:val="21"/>
                <w:highlight w:val="none"/>
              </w:rPr>
            </w:pPr>
            <w:r>
              <w:rPr>
                <w:rFonts w:hint="eastAsia" w:ascii="宋体" w:hAnsi="宋体" w:cs="宋体"/>
                <w:bCs/>
                <w:color w:val="auto"/>
                <w:kern w:val="0"/>
                <w:szCs w:val="21"/>
                <w:highlight w:val="none"/>
              </w:rPr>
              <w:t>　</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684094F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宋体"/>
                <w:bCs/>
                <w:color w:val="auto"/>
                <w:kern w:val="0"/>
                <w:szCs w:val="21"/>
                <w:highlight w:val="none"/>
              </w:rPr>
            </w:pPr>
            <w:r>
              <w:rPr>
                <w:rFonts w:hint="eastAsia" w:ascii="宋体" w:hAnsi="宋体" w:cs="宋体"/>
                <w:bCs/>
                <w:color w:val="auto"/>
                <w:kern w:val="0"/>
                <w:szCs w:val="21"/>
                <w:highlight w:val="none"/>
              </w:rPr>
              <w:t>联系人及电话</w:t>
            </w:r>
          </w:p>
        </w:tc>
        <w:tc>
          <w:tcPr>
            <w:tcW w:w="3207" w:type="dxa"/>
            <w:tcBorders>
              <w:top w:val="single" w:color="auto" w:sz="4" w:space="0"/>
              <w:left w:val="single" w:color="auto" w:sz="4" w:space="0"/>
              <w:bottom w:val="single" w:color="auto" w:sz="4" w:space="0"/>
              <w:right w:val="single" w:color="auto" w:sz="4" w:space="0"/>
            </w:tcBorders>
            <w:noWrap w:val="0"/>
            <w:vAlign w:val="center"/>
          </w:tcPr>
          <w:p w14:paraId="70300A2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ascii="宋体" w:hAnsi="宋体" w:cs="宋体"/>
                <w:bCs/>
                <w:color w:val="auto"/>
                <w:kern w:val="0"/>
                <w:szCs w:val="21"/>
                <w:highlight w:val="none"/>
              </w:rPr>
            </w:pPr>
            <w:r>
              <w:rPr>
                <w:rFonts w:hint="eastAsia" w:ascii="宋体" w:hAnsi="宋体" w:cs="宋体"/>
                <w:bCs/>
                <w:color w:val="auto"/>
                <w:kern w:val="0"/>
                <w:szCs w:val="21"/>
                <w:highlight w:val="none"/>
              </w:rPr>
              <w:t>　</w:t>
            </w:r>
          </w:p>
        </w:tc>
      </w:tr>
      <w:tr w14:paraId="616F5DF8">
        <w:trPr>
          <w:trHeight w:val="749" w:hRule="atLeast"/>
          <w:jc w:val="center"/>
        </w:trPr>
        <w:tc>
          <w:tcPr>
            <w:tcW w:w="1355" w:type="dxa"/>
            <w:tcBorders>
              <w:top w:val="single" w:color="auto" w:sz="4" w:space="0"/>
              <w:left w:val="single" w:color="auto" w:sz="4" w:space="0"/>
              <w:bottom w:val="single" w:color="auto" w:sz="4" w:space="0"/>
              <w:right w:val="single" w:color="auto" w:sz="4" w:space="0"/>
            </w:tcBorders>
            <w:noWrap w:val="0"/>
            <w:vAlign w:val="center"/>
          </w:tcPr>
          <w:p w14:paraId="5167576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ascii="宋体" w:hAnsi="宋体" w:cs="宋体"/>
                <w:bCs/>
                <w:color w:val="auto"/>
                <w:kern w:val="0"/>
                <w:szCs w:val="21"/>
                <w:highlight w:val="none"/>
              </w:rPr>
            </w:pPr>
            <w:r>
              <w:rPr>
                <w:rFonts w:hint="eastAsia" w:ascii="宋体" w:hAnsi="宋体" w:cs="宋体"/>
                <w:bCs/>
                <w:color w:val="auto"/>
                <w:kern w:val="0"/>
                <w:szCs w:val="21"/>
                <w:highlight w:val="none"/>
              </w:rPr>
              <w:t>保证金金额</w:t>
            </w:r>
          </w:p>
        </w:tc>
        <w:tc>
          <w:tcPr>
            <w:tcW w:w="2394" w:type="dxa"/>
            <w:tcBorders>
              <w:top w:val="single" w:color="auto" w:sz="4" w:space="0"/>
              <w:left w:val="single" w:color="auto" w:sz="4" w:space="0"/>
              <w:bottom w:val="single" w:color="auto" w:sz="4" w:space="0"/>
              <w:right w:val="single" w:color="auto" w:sz="4" w:space="0"/>
            </w:tcBorders>
            <w:noWrap w:val="0"/>
            <w:vAlign w:val="center"/>
          </w:tcPr>
          <w:p w14:paraId="43B5295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ascii="宋体" w:hAnsi="宋体" w:cs="宋体"/>
                <w:bCs/>
                <w:color w:val="auto"/>
                <w:kern w:val="0"/>
                <w:szCs w:val="21"/>
                <w:highlight w:val="none"/>
              </w:rPr>
            </w:pPr>
            <w:r>
              <w:rPr>
                <w:rFonts w:hint="eastAsia" w:ascii="宋体" w:hAnsi="宋体" w:cs="宋体"/>
                <w:bCs/>
                <w:color w:val="auto"/>
                <w:kern w:val="0"/>
                <w:szCs w:val="21"/>
                <w:highlight w:val="none"/>
              </w:rPr>
              <w:t>¥</w:t>
            </w:r>
          </w:p>
        </w:tc>
        <w:tc>
          <w:tcPr>
            <w:tcW w:w="5191" w:type="dxa"/>
            <w:gridSpan w:val="2"/>
            <w:vMerge w:val="restart"/>
            <w:tcBorders>
              <w:top w:val="single" w:color="auto" w:sz="4" w:space="0"/>
              <w:left w:val="single" w:color="auto" w:sz="4" w:space="0"/>
              <w:bottom w:val="single" w:color="auto" w:sz="4" w:space="0"/>
              <w:right w:val="single" w:color="auto" w:sz="4" w:space="0"/>
            </w:tcBorders>
            <w:noWrap w:val="0"/>
            <w:vAlign w:val="top"/>
          </w:tcPr>
          <w:p w14:paraId="33BD7277">
            <w:pPr>
              <w:keepNext w:val="0"/>
              <w:keepLines w:val="0"/>
              <w:pageBreakBefore w:val="0"/>
              <w:kinsoku/>
              <w:wordWrap/>
              <w:overflowPunct/>
              <w:topLinePunct w:val="0"/>
              <w:autoSpaceDE/>
              <w:autoSpaceDN/>
              <w:bidi w:val="0"/>
              <w:adjustRightInd/>
              <w:snapToGrid/>
              <w:spacing w:line="400" w:lineRule="exact"/>
              <w:contextualSpacing/>
              <w:jc w:val="left"/>
              <w:textAlignment w:val="auto"/>
              <w:rPr>
                <w:rFonts w:ascii="宋体" w:hAnsi="宋体"/>
                <w:color w:val="auto"/>
                <w:szCs w:val="21"/>
                <w:highlight w:val="none"/>
              </w:rPr>
            </w:pPr>
            <w:r>
              <w:rPr>
                <w:rFonts w:hint="eastAsia" w:ascii="宋体" w:hAnsi="宋体"/>
                <w:color w:val="auto"/>
                <w:szCs w:val="21"/>
                <w:highlight w:val="none"/>
              </w:rPr>
              <w:t xml:space="preserve">1. 若我单位未中标请采购人或采购代理机构于该项目中标通知书发出后5个工作日内将保证金退回原交款人。 </w:t>
            </w:r>
          </w:p>
          <w:p w14:paraId="4E176A37">
            <w:pPr>
              <w:keepNext w:val="0"/>
              <w:keepLines w:val="0"/>
              <w:pageBreakBefore w:val="0"/>
              <w:kinsoku/>
              <w:wordWrap/>
              <w:overflowPunct/>
              <w:topLinePunct w:val="0"/>
              <w:autoSpaceDE/>
              <w:autoSpaceDN/>
              <w:bidi w:val="0"/>
              <w:adjustRightInd/>
              <w:snapToGrid/>
              <w:spacing w:line="400" w:lineRule="exact"/>
              <w:contextualSpacing/>
              <w:jc w:val="left"/>
              <w:textAlignment w:val="auto"/>
              <w:rPr>
                <w:rFonts w:ascii="宋体" w:hAnsi="宋体"/>
                <w:color w:val="auto"/>
                <w:szCs w:val="21"/>
                <w:highlight w:val="none"/>
              </w:rPr>
            </w:pPr>
            <w:r>
              <w:rPr>
                <w:rFonts w:hint="eastAsia" w:ascii="宋体" w:hAnsi="宋体"/>
                <w:color w:val="auto"/>
                <w:szCs w:val="21"/>
                <w:highlight w:val="none"/>
              </w:rPr>
              <w:t xml:space="preserve">2. 若我单位中标，请采购人或采购代理机构收到我单位提交的合同后5个工作日内将保证金退回原交款人。                                     </w:t>
            </w:r>
          </w:p>
          <w:p w14:paraId="240AE055">
            <w:pPr>
              <w:keepNext w:val="0"/>
              <w:keepLines w:val="0"/>
              <w:pageBreakBefore w:val="0"/>
              <w:kinsoku/>
              <w:wordWrap/>
              <w:overflowPunct/>
              <w:topLinePunct w:val="0"/>
              <w:autoSpaceDE/>
              <w:autoSpaceDN/>
              <w:bidi w:val="0"/>
              <w:adjustRightInd/>
              <w:snapToGrid/>
              <w:spacing w:line="400" w:lineRule="exact"/>
              <w:contextualSpacing/>
              <w:jc w:val="left"/>
              <w:textAlignment w:val="auto"/>
              <w:rPr>
                <w:rFonts w:ascii="宋体" w:hAnsi="宋体"/>
                <w:color w:val="auto"/>
                <w:szCs w:val="21"/>
                <w:highlight w:val="none"/>
              </w:rPr>
            </w:pPr>
            <w:r>
              <w:rPr>
                <w:rFonts w:hint="eastAsia" w:ascii="宋体" w:hAnsi="宋体"/>
                <w:color w:val="auto"/>
                <w:szCs w:val="21"/>
                <w:highlight w:val="none"/>
              </w:rPr>
              <w:t>3.若因内容不全、错误、字迹潦草模糊导致该项目保证金未能及时退还或退还过程中发生错误，我方将承担全部责任和损失。</w:t>
            </w:r>
          </w:p>
          <w:p w14:paraId="0D9CCA74">
            <w:pPr>
              <w:keepNext w:val="0"/>
              <w:keepLines w:val="0"/>
              <w:pageBreakBefore w:val="0"/>
              <w:kinsoku/>
              <w:wordWrap/>
              <w:overflowPunct/>
              <w:topLinePunct w:val="0"/>
              <w:autoSpaceDE/>
              <w:autoSpaceDN/>
              <w:bidi w:val="0"/>
              <w:adjustRightInd/>
              <w:snapToGrid/>
              <w:spacing w:line="400" w:lineRule="exact"/>
              <w:contextualSpacing/>
              <w:jc w:val="left"/>
              <w:textAlignment w:val="auto"/>
              <w:rPr>
                <w:rFonts w:hint="eastAsia" w:hAnsi="宋体" w:cs="宋体"/>
                <w:color w:val="auto"/>
                <w:highlight w:val="none"/>
              </w:rPr>
            </w:pPr>
          </w:p>
          <w:p w14:paraId="65C774F8">
            <w:pPr>
              <w:keepNext w:val="0"/>
              <w:keepLines w:val="0"/>
              <w:pageBreakBefore w:val="0"/>
              <w:kinsoku/>
              <w:wordWrap/>
              <w:overflowPunct/>
              <w:topLinePunct w:val="0"/>
              <w:autoSpaceDE/>
              <w:autoSpaceDN/>
              <w:bidi w:val="0"/>
              <w:adjustRightInd/>
              <w:snapToGrid/>
              <w:spacing w:line="400" w:lineRule="exact"/>
              <w:contextualSpacing/>
              <w:jc w:val="left"/>
              <w:textAlignment w:val="auto"/>
              <w:rPr>
                <w:rFonts w:ascii="宋体" w:hAnsi="宋体"/>
                <w:color w:val="auto"/>
                <w:szCs w:val="21"/>
                <w:highlight w:val="none"/>
              </w:rPr>
            </w:pPr>
            <w:r>
              <w:rPr>
                <w:rFonts w:hint="eastAsia" w:hAnsi="宋体" w:cs="宋体"/>
                <w:color w:val="auto"/>
                <w:highlight w:val="none"/>
              </w:rPr>
              <w:t>投标人名称</w:t>
            </w:r>
            <w:r>
              <w:rPr>
                <w:rFonts w:hint="eastAsia" w:ascii="宋体" w:hAnsi="宋体"/>
                <w:color w:val="auto"/>
                <w:szCs w:val="21"/>
                <w:highlight w:val="none"/>
              </w:rPr>
              <w:t>（电子签章）：</w:t>
            </w:r>
          </w:p>
          <w:p w14:paraId="1DA5C649">
            <w:pPr>
              <w:keepNext w:val="0"/>
              <w:keepLines w:val="0"/>
              <w:pageBreakBefore w:val="0"/>
              <w:kinsoku/>
              <w:wordWrap/>
              <w:overflowPunct/>
              <w:topLinePunct w:val="0"/>
              <w:autoSpaceDE/>
              <w:autoSpaceDN/>
              <w:bidi w:val="0"/>
              <w:adjustRightInd/>
              <w:snapToGrid/>
              <w:spacing w:line="400" w:lineRule="exact"/>
              <w:ind w:firstLine="411" w:firstLineChars="196"/>
              <w:contextualSpacing/>
              <w:jc w:val="left"/>
              <w:textAlignment w:val="auto"/>
              <w:rPr>
                <w:rFonts w:ascii="宋体" w:hAnsi="宋体" w:cs="宋体"/>
                <w:bCs/>
                <w:color w:val="auto"/>
                <w:kern w:val="0"/>
                <w:szCs w:val="21"/>
                <w:highlight w:val="none"/>
              </w:rPr>
            </w:pPr>
            <w:r>
              <w:rPr>
                <w:rFonts w:hint="eastAsia" w:ascii="宋体" w:hAnsi="宋体"/>
                <w:color w:val="auto"/>
                <w:szCs w:val="21"/>
                <w:highlight w:val="none"/>
              </w:rPr>
              <w:t xml:space="preserve">                       年   月   日</w:t>
            </w:r>
            <w:r>
              <w:rPr>
                <w:rFonts w:hint="eastAsia" w:ascii="宋体" w:hAnsi="宋体" w:cs="宋体"/>
                <w:bCs/>
                <w:color w:val="auto"/>
                <w:kern w:val="0"/>
                <w:szCs w:val="21"/>
                <w:highlight w:val="none"/>
              </w:rPr>
              <w:t xml:space="preserve"> </w:t>
            </w:r>
          </w:p>
        </w:tc>
      </w:tr>
      <w:tr w14:paraId="167423EB">
        <w:trPr>
          <w:trHeight w:val="689" w:hRule="atLeast"/>
          <w:jc w:val="center"/>
        </w:trPr>
        <w:tc>
          <w:tcPr>
            <w:tcW w:w="3749" w:type="dxa"/>
            <w:gridSpan w:val="2"/>
            <w:tcBorders>
              <w:top w:val="single" w:color="auto" w:sz="4" w:space="0"/>
              <w:left w:val="single" w:color="auto" w:sz="4" w:space="0"/>
              <w:bottom w:val="single" w:color="auto" w:sz="4" w:space="0"/>
              <w:right w:val="single" w:color="auto" w:sz="4" w:space="0"/>
            </w:tcBorders>
            <w:noWrap w:val="0"/>
            <w:vAlign w:val="center"/>
          </w:tcPr>
          <w:p w14:paraId="16CC3F2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宋体"/>
                <w:bCs/>
                <w:color w:val="auto"/>
                <w:kern w:val="0"/>
                <w:szCs w:val="21"/>
                <w:highlight w:val="none"/>
              </w:rPr>
            </w:pPr>
            <w:r>
              <w:rPr>
                <w:rFonts w:hint="eastAsia" w:ascii="宋体" w:hAnsi="宋体" w:cs="宋体"/>
                <w:bCs/>
                <w:color w:val="auto"/>
                <w:kern w:val="0"/>
                <w:szCs w:val="21"/>
                <w:highlight w:val="none"/>
              </w:rPr>
              <w:t>退款信息</w:t>
            </w:r>
          </w:p>
        </w:tc>
        <w:tc>
          <w:tcPr>
            <w:tcW w:w="5191"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5F1278B0">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bCs/>
                <w:color w:val="auto"/>
                <w:kern w:val="0"/>
                <w:szCs w:val="21"/>
                <w:highlight w:val="none"/>
              </w:rPr>
            </w:pPr>
          </w:p>
        </w:tc>
      </w:tr>
      <w:tr w14:paraId="001255C9">
        <w:trPr>
          <w:trHeight w:val="744" w:hRule="atLeast"/>
          <w:jc w:val="center"/>
        </w:trPr>
        <w:tc>
          <w:tcPr>
            <w:tcW w:w="1355" w:type="dxa"/>
            <w:tcBorders>
              <w:top w:val="single" w:color="auto" w:sz="4" w:space="0"/>
              <w:left w:val="single" w:color="auto" w:sz="4" w:space="0"/>
              <w:bottom w:val="single" w:color="auto" w:sz="4" w:space="0"/>
              <w:right w:val="single" w:color="auto" w:sz="4" w:space="0"/>
            </w:tcBorders>
            <w:noWrap w:val="0"/>
            <w:vAlign w:val="center"/>
          </w:tcPr>
          <w:p w14:paraId="2588671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宋体"/>
                <w:bCs/>
                <w:color w:val="auto"/>
                <w:kern w:val="0"/>
                <w:szCs w:val="21"/>
                <w:highlight w:val="none"/>
              </w:rPr>
            </w:pPr>
            <w:r>
              <w:rPr>
                <w:rFonts w:hint="eastAsia" w:ascii="宋体" w:hAnsi="宋体" w:cs="宋体"/>
                <w:bCs/>
                <w:color w:val="auto"/>
                <w:kern w:val="0"/>
                <w:szCs w:val="21"/>
                <w:highlight w:val="none"/>
              </w:rPr>
              <w:t>户  名</w:t>
            </w:r>
          </w:p>
        </w:tc>
        <w:tc>
          <w:tcPr>
            <w:tcW w:w="2394" w:type="dxa"/>
            <w:tcBorders>
              <w:top w:val="single" w:color="auto" w:sz="4" w:space="0"/>
              <w:left w:val="single" w:color="auto" w:sz="4" w:space="0"/>
              <w:bottom w:val="single" w:color="auto" w:sz="4" w:space="0"/>
              <w:right w:val="single" w:color="auto" w:sz="4" w:space="0"/>
            </w:tcBorders>
            <w:noWrap w:val="0"/>
            <w:vAlign w:val="center"/>
          </w:tcPr>
          <w:p w14:paraId="67DBBCA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宋体"/>
                <w:bCs/>
                <w:color w:val="auto"/>
                <w:kern w:val="0"/>
                <w:szCs w:val="21"/>
                <w:highlight w:val="none"/>
              </w:rPr>
            </w:pPr>
            <w:r>
              <w:rPr>
                <w:rFonts w:hint="eastAsia" w:ascii="宋体" w:hAnsi="宋体" w:cs="宋体"/>
                <w:bCs/>
                <w:color w:val="auto"/>
                <w:kern w:val="0"/>
                <w:szCs w:val="21"/>
                <w:highlight w:val="none"/>
              </w:rPr>
              <w:t>　</w:t>
            </w:r>
          </w:p>
        </w:tc>
        <w:tc>
          <w:tcPr>
            <w:tcW w:w="5191" w:type="dxa"/>
            <w:gridSpan w:val="2"/>
            <w:vMerge w:val="continue"/>
            <w:tcBorders>
              <w:top w:val="single" w:color="auto" w:sz="4" w:space="0"/>
              <w:left w:val="single" w:color="auto" w:sz="4" w:space="0"/>
              <w:bottom w:val="single" w:color="auto" w:sz="4" w:space="0"/>
              <w:right w:val="single" w:color="auto" w:sz="4" w:space="0"/>
            </w:tcBorders>
            <w:noWrap w:val="0"/>
            <w:vAlign w:val="top"/>
          </w:tcPr>
          <w:p w14:paraId="50E62129">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bCs/>
                <w:color w:val="auto"/>
                <w:kern w:val="0"/>
                <w:szCs w:val="21"/>
                <w:highlight w:val="none"/>
              </w:rPr>
            </w:pPr>
          </w:p>
        </w:tc>
      </w:tr>
      <w:tr w14:paraId="1339619D">
        <w:trPr>
          <w:trHeight w:val="759" w:hRule="atLeast"/>
          <w:jc w:val="center"/>
        </w:trPr>
        <w:tc>
          <w:tcPr>
            <w:tcW w:w="1355" w:type="dxa"/>
            <w:tcBorders>
              <w:top w:val="single" w:color="auto" w:sz="4" w:space="0"/>
              <w:left w:val="single" w:color="auto" w:sz="4" w:space="0"/>
              <w:bottom w:val="single" w:color="auto" w:sz="4" w:space="0"/>
              <w:right w:val="single" w:color="auto" w:sz="4" w:space="0"/>
            </w:tcBorders>
            <w:noWrap w:val="0"/>
            <w:vAlign w:val="center"/>
          </w:tcPr>
          <w:p w14:paraId="1143098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宋体"/>
                <w:bCs/>
                <w:color w:val="auto"/>
                <w:kern w:val="0"/>
                <w:szCs w:val="21"/>
                <w:highlight w:val="none"/>
              </w:rPr>
            </w:pPr>
            <w:r>
              <w:rPr>
                <w:rFonts w:hint="eastAsia" w:ascii="宋体" w:hAnsi="宋体" w:cs="宋体"/>
                <w:bCs/>
                <w:color w:val="auto"/>
                <w:kern w:val="0"/>
                <w:szCs w:val="21"/>
                <w:highlight w:val="none"/>
              </w:rPr>
              <w:t>账  号</w:t>
            </w:r>
          </w:p>
        </w:tc>
        <w:tc>
          <w:tcPr>
            <w:tcW w:w="2394" w:type="dxa"/>
            <w:tcBorders>
              <w:top w:val="single" w:color="auto" w:sz="4" w:space="0"/>
              <w:left w:val="single" w:color="auto" w:sz="4" w:space="0"/>
              <w:bottom w:val="single" w:color="auto" w:sz="4" w:space="0"/>
              <w:right w:val="single" w:color="auto" w:sz="4" w:space="0"/>
            </w:tcBorders>
            <w:noWrap w:val="0"/>
            <w:vAlign w:val="center"/>
          </w:tcPr>
          <w:p w14:paraId="44790A7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宋体"/>
                <w:bCs/>
                <w:color w:val="auto"/>
                <w:kern w:val="0"/>
                <w:szCs w:val="21"/>
                <w:highlight w:val="none"/>
              </w:rPr>
            </w:pPr>
            <w:r>
              <w:rPr>
                <w:rFonts w:hint="eastAsia" w:ascii="宋体" w:hAnsi="宋体" w:cs="宋体"/>
                <w:bCs/>
                <w:color w:val="auto"/>
                <w:kern w:val="0"/>
                <w:szCs w:val="21"/>
                <w:highlight w:val="none"/>
              </w:rPr>
              <w:t>　</w:t>
            </w:r>
          </w:p>
        </w:tc>
        <w:tc>
          <w:tcPr>
            <w:tcW w:w="5191"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221DBF54">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bCs/>
                <w:color w:val="auto"/>
                <w:kern w:val="0"/>
                <w:szCs w:val="21"/>
                <w:highlight w:val="none"/>
              </w:rPr>
            </w:pPr>
          </w:p>
        </w:tc>
      </w:tr>
      <w:tr w14:paraId="59258126">
        <w:trPr>
          <w:trHeight w:val="789" w:hRule="atLeast"/>
          <w:jc w:val="center"/>
        </w:trPr>
        <w:tc>
          <w:tcPr>
            <w:tcW w:w="1355" w:type="dxa"/>
            <w:tcBorders>
              <w:top w:val="single" w:color="auto" w:sz="4" w:space="0"/>
              <w:left w:val="single" w:color="auto" w:sz="4" w:space="0"/>
              <w:bottom w:val="single" w:color="auto" w:sz="4" w:space="0"/>
              <w:right w:val="single" w:color="auto" w:sz="4" w:space="0"/>
            </w:tcBorders>
            <w:noWrap w:val="0"/>
            <w:vAlign w:val="center"/>
          </w:tcPr>
          <w:p w14:paraId="327D548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宋体"/>
                <w:bCs/>
                <w:color w:val="auto"/>
                <w:kern w:val="0"/>
                <w:szCs w:val="21"/>
                <w:highlight w:val="none"/>
              </w:rPr>
            </w:pPr>
            <w:r>
              <w:rPr>
                <w:rFonts w:hint="eastAsia" w:ascii="宋体" w:hAnsi="宋体" w:cs="宋体"/>
                <w:bCs/>
                <w:color w:val="auto"/>
                <w:kern w:val="0"/>
                <w:szCs w:val="21"/>
                <w:highlight w:val="none"/>
              </w:rPr>
              <w:t>汇入地点</w:t>
            </w:r>
          </w:p>
        </w:tc>
        <w:tc>
          <w:tcPr>
            <w:tcW w:w="2394" w:type="dxa"/>
            <w:tcBorders>
              <w:top w:val="single" w:color="auto" w:sz="4" w:space="0"/>
              <w:left w:val="single" w:color="auto" w:sz="4" w:space="0"/>
              <w:bottom w:val="single" w:color="auto" w:sz="4" w:space="0"/>
              <w:right w:val="single" w:color="auto" w:sz="4" w:space="0"/>
            </w:tcBorders>
            <w:noWrap w:val="0"/>
            <w:vAlign w:val="center"/>
          </w:tcPr>
          <w:p w14:paraId="0F986094">
            <w:pPr>
              <w:keepNext w:val="0"/>
              <w:keepLines w:val="0"/>
              <w:pageBreakBefore w:val="0"/>
              <w:widowControl/>
              <w:kinsoku/>
              <w:wordWrap/>
              <w:overflowPunct/>
              <w:topLinePunct w:val="0"/>
              <w:autoSpaceDE/>
              <w:autoSpaceDN/>
              <w:bidi w:val="0"/>
              <w:adjustRightInd/>
              <w:snapToGrid/>
              <w:spacing w:line="400" w:lineRule="exact"/>
              <w:jc w:val="right"/>
              <w:textAlignment w:val="auto"/>
              <w:rPr>
                <w:rFonts w:ascii="宋体" w:hAnsi="宋体" w:cs="宋体"/>
                <w:bCs/>
                <w:color w:val="auto"/>
                <w:kern w:val="0"/>
                <w:szCs w:val="21"/>
                <w:highlight w:val="none"/>
              </w:rPr>
            </w:pPr>
            <w:r>
              <w:rPr>
                <w:rFonts w:hint="eastAsia" w:ascii="宋体" w:hAnsi="宋体" w:cs="宋体"/>
                <w:bCs/>
                <w:color w:val="auto"/>
                <w:kern w:val="0"/>
                <w:szCs w:val="21"/>
                <w:highlight w:val="none"/>
              </w:rPr>
              <w:t xml:space="preserve">省       市（县）  </w:t>
            </w:r>
          </w:p>
        </w:tc>
        <w:tc>
          <w:tcPr>
            <w:tcW w:w="5191"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341EF5C9">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bCs/>
                <w:color w:val="auto"/>
                <w:kern w:val="0"/>
                <w:szCs w:val="21"/>
                <w:highlight w:val="none"/>
              </w:rPr>
            </w:pPr>
          </w:p>
        </w:tc>
      </w:tr>
      <w:tr w14:paraId="525AF894">
        <w:trPr>
          <w:trHeight w:val="699" w:hRule="atLeast"/>
          <w:jc w:val="center"/>
        </w:trPr>
        <w:tc>
          <w:tcPr>
            <w:tcW w:w="1355" w:type="dxa"/>
            <w:tcBorders>
              <w:top w:val="single" w:color="auto" w:sz="4" w:space="0"/>
              <w:left w:val="single" w:color="auto" w:sz="4" w:space="0"/>
              <w:bottom w:val="single" w:color="auto" w:sz="4" w:space="0"/>
              <w:right w:val="single" w:color="auto" w:sz="4" w:space="0"/>
            </w:tcBorders>
            <w:noWrap w:val="0"/>
            <w:vAlign w:val="center"/>
          </w:tcPr>
          <w:p w14:paraId="7A27B8E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宋体"/>
                <w:bCs/>
                <w:color w:val="auto"/>
                <w:kern w:val="0"/>
                <w:szCs w:val="21"/>
                <w:highlight w:val="none"/>
              </w:rPr>
            </w:pPr>
            <w:r>
              <w:rPr>
                <w:rFonts w:hint="eastAsia" w:ascii="宋体" w:hAnsi="宋体" w:cs="宋体"/>
                <w:bCs/>
                <w:color w:val="auto"/>
                <w:kern w:val="0"/>
                <w:szCs w:val="21"/>
                <w:highlight w:val="none"/>
              </w:rPr>
              <w:t>开户银行</w:t>
            </w:r>
          </w:p>
        </w:tc>
        <w:tc>
          <w:tcPr>
            <w:tcW w:w="2394" w:type="dxa"/>
            <w:tcBorders>
              <w:top w:val="single" w:color="auto" w:sz="4" w:space="0"/>
              <w:left w:val="single" w:color="auto" w:sz="4" w:space="0"/>
              <w:bottom w:val="single" w:color="auto" w:sz="4" w:space="0"/>
              <w:right w:val="single" w:color="auto" w:sz="4" w:space="0"/>
            </w:tcBorders>
            <w:noWrap w:val="0"/>
            <w:vAlign w:val="center"/>
          </w:tcPr>
          <w:p w14:paraId="223B555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宋体"/>
                <w:bCs/>
                <w:color w:val="auto"/>
                <w:kern w:val="0"/>
                <w:szCs w:val="21"/>
                <w:highlight w:val="none"/>
              </w:rPr>
            </w:pPr>
            <w:r>
              <w:rPr>
                <w:rFonts w:hint="eastAsia" w:ascii="宋体" w:hAnsi="宋体" w:cs="宋体"/>
                <w:bCs/>
                <w:color w:val="auto"/>
                <w:kern w:val="0"/>
                <w:szCs w:val="21"/>
                <w:highlight w:val="none"/>
              </w:rPr>
              <w:t>　</w:t>
            </w:r>
          </w:p>
        </w:tc>
        <w:tc>
          <w:tcPr>
            <w:tcW w:w="5191"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5E9834E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宋体"/>
                <w:bCs/>
                <w:color w:val="auto"/>
                <w:kern w:val="0"/>
                <w:szCs w:val="21"/>
                <w:highlight w:val="none"/>
              </w:rPr>
            </w:pPr>
          </w:p>
        </w:tc>
      </w:tr>
    </w:tbl>
    <w:p w14:paraId="7B4EF03C">
      <w:pPr>
        <w:keepNext w:val="0"/>
        <w:keepLines w:val="0"/>
        <w:pageBreakBefore w:val="0"/>
        <w:kinsoku/>
        <w:wordWrap/>
        <w:overflowPunct/>
        <w:topLinePunct w:val="0"/>
        <w:autoSpaceDE/>
        <w:autoSpaceDN/>
        <w:bidi w:val="0"/>
        <w:adjustRightInd/>
        <w:snapToGrid/>
        <w:spacing w:line="400" w:lineRule="exact"/>
        <w:ind w:firstLine="411" w:firstLineChars="196"/>
        <w:contextualSpacing/>
        <w:jc w:val="left"/>
        <w:textAlignment w:val="auto"/>
        <w:rPr>
          <w:rFonts w:hint="eastAsia" w:ascii="宋体" w:hAnsi="宋体" w:cs="宋体"/>
          <w:color w:val="auto"/>
          <w:szCs w:val="21"/>
          <w:highlight w:val="none"/>
        </w:rPr>
      </w:pPr>
    </w:p>
    <w:p w14:paraId="00017548">
      <w:pPr>
        <w:keepNext w:val="0"/>
        <w:keepLines w:val="0"/>
        <w:pageBreakBefore w:val="0"/>
        <w:kinsoku/>
        <w:wordWrap/>
        <w:overflowPunct/>
        <w:topLinePunct w:val="0"/>
        <w:autoSpaceDE/>
        <w:autoSpaceDN/>
        <w:bidi w:val="0"/>
        <w:adjustRightInd/>
        <w:snapToGrid/>
        <w:spacing w:line="400" w:lineRule="exact"/>
        <w:ind w:firstLine="411" w:firstLineChars="196"/>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3.投标保证金银行保函原件，请按以下信息寄回</w:t>
      </w:r>
    </w:p>
    <w:tbl>
      <w:tblPr>
        <w:tblStyle w:val="39"/>
        <w:tblW w:w="89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3"/>
        <w:gridCol w:w="5431"/>
      </w:tblGrid>
      <w:tr w14:paraId="072B9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72" w:hRule="atLeast"/>
          <w:jc w:val="center"/>
        </w:trPr>
        <w:tc>
          <w:tcPr>
            <w:tcW w:w="3533" w:type="dxa"/>
            <w:noWrap w:val="0"/>
            <w:vAlign w:val="center"/>
          </w:tcPr>
          <w:p w14:paraId="61048250">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收件地址</w:t>
            </w:r>
          </w:p>
        </w:tc>
        <w:tc>
          <w:tcPr>
            <w:tcW w:w="5431" w:type="dxa"/>
            <w:noWrap w:val="0"/>
            <w:vAlign w:val="center"/>
          </w:tcPr>
          <w:p w14:paraId="67592D1E">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Cs w:val="21"/>
                <w:highlight w:val="none"/>
              </w:rPr>
            </w:pPr>
          </w:p>
        </w:tc>
      </w:tr>
      <w:tr w14:paraId="012A4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72" w:hRule="atLeast"/>
          <w:jc w:val="center"/>
        </w:trPr>
        <w:tc>
          <w:tcPr>
            <w:tcW w:w="3533" w:type="dxa"/>
            <w:noWrap w:val="0"/>
            <w:vAlign w:val="center"/>
          </w:tcPr>
          <w:p w14:paraId="124A25B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收件人</w:t>
            </w:r>
          </w:p>
        </w:tc>
        <w:tc>
          <w:tcPr>
            <w:tcW w:w="5431" w:type="dxa"/>
            <w:noWrap w:val="0"/>
            <w:vAlign w:val="center"/>
          </w:tcPr>
          <w:p w14:paraId="66219F7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Cs w:val="21"/>
                <w:highlight w:val="none"/>
              </w:rPr>
            </w:pPr>
          </w:p>
        </w:tc>
      </w:tr>
      <w:tr w14:paraId="65128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72" w:hRule="atLeast"/>
          <w:jc w:val="center"/>
        </w:trPr>
        <w:tc>
          <w:tcPr>
            <w:tcW w:w="3533" w:type="dxa"/>
            <w:noWrap w:val="0"/>
            <w:vAlign w:val="center"/>
          </w:tcPr>
          <w:p w14:paraId="47B1E770">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收件人手机号码</w:t>
            </w:r>
          </w:p>
        </w:tc>
        <w:tc>
          <w:tcPr>
            <w:tcW w:w="5431" w:type="dxa"/>
            <w:noWrap w:val="0"/>
            <w:vAlign w:val="center"/>
          </w:tcPr>
          <w:p w14:paraId="23F73ED8">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Cs w:val="21"/>
                <w:highlight w:val="none"/>
              </w:rPr>
            </w:pPr>
          </w:p>
        </w:tc>
      </w:tr>
    </w:tbl>
    <w:p w14:paraId="6DE856B8">
      <w:pPr>
        <w:pStyle w:val="20"/>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Ansi="宋体"/>
          <w:color w:val="auto"/>
          <w:sz w:val="24"/>
          <w:szCs w:val="24"/>
          <w:highlight w:val="none"/>
        </w:rPr>
      </w:pPr>
    </w:p>
    <w:p w14:paraId="161D1F2A">
      <w:pPr>
        <w:keepNext w:val="0"/>
        <w:keepLines w:val="0"/>
        <w:pageBreakBefore w:val="0"/>
        <w:kinsoku/>
        <w:wordWrap/>
        <w:overflowPunct/>
        <w:topLinePunct w:val="0"/>
        <w:autoSpaceDE/>
        <w:autoSpaceDN/>
        <w:bidi w:val="0"/>
        <w:adjustRightInd/>
        <w:snapToGrid/>
        <w:spacing w:line="400" w:lineRule="exact"/>
        <w:ind w:firstLine="411" w:firstLineChars="196"/>
        <w:contextualSpacing/>
        <w:jc w:val="left"/>
        <w:textAlignment w:val="auto"/>
        <w:rPr>
          <w:rFonts w:hint="eastAsia" w:ascii="宋体" w:hAnsi="宋体"/>
          <w:color w:val="auto"/>
          <w:szCs w:val="21"/>
          <w:highlight w:val="none"/>
        </w:rPr>
      </w:pPr>
    </w:p>
    <w:p w14:paraId="014AC5E1">
      <w:pPr>
        <w:keepNext w:val="0"/>
        <w:keepLines w:val="0"/>
        <w:pageBreakBefore w:val="0"/>
        <w:kinsoku/>
        <w:wordWrap/>
        <w:overflowPunct/>
        <w:topLinePunct w:val="0"/>
        <w:autoSpaceDE/>
        <w:autoSpaceDN/>
        <w:bidi w:val="0"/>
        <w:adjustRightInd/>
        <w:snapToGrid/>
        <w:spacing w:line="400" w:lineRule="exact"/>
        <w:ind w:firstLine="411" w:firstLineChars="196"/>
        <w:contextualSpacing/>
        <w:jc w:val="left"/>
        <w:textAlignment w:val="auto"/>
        <w:rPr>
          <w:rFonts w:hint="eastAsia" w:ascii="宋体" w:hAnsi="宋体"/>
          <w:color w:val="auto"/>
          <w:szCs w:val="21"/>
          <w:highlight w:val="none"/>
        </w:rPr>
      </w:pPr>
      <w:r>
        <w:rPr>
          <w:rFonts w:hint="eastAsia" w:ascii="宋体" w:hAnsi="宋体"/>
          <w:color w:val="auto"/>
          <w:szCs w:val="21"/>
          <w:highlight w:val="none"/>
        </w:rPr>
        <w:t>附：银行出具的汇款单或转账凭证扫描件或保函扫描件。</w:t>
      </w:r>
    </w:p>
    <w:p w14:paraId="706F2186">
      <w:pPr>
        <w:rPr>
          <w:rFonts w:hint="eastAsia"/>
          <w:color w:val="auto"/>
          <w:highlight w:val="none"/>
        </w:rPr>
      </w:pPr>
    </w:p>
    <w:p w14:paraId="16E03044">
      <w:pPr>
        <w:spacing w:line="520" w:lineRule="exact"/>
        <w:ind w:left="239" w:leftChars="114" w:firstLine="6126" w:firstLineChars="2550"/>
        <w:jc w:val="left"/>
        <w:rPr>
          <w:rFonts w:hint="eastAsia" w:ascii="宋体" w:hAnsi="宋体" w:cs="宋体"/>
          <w:b/>
          <w:color w:val="auto"/>
          <w:kern w:val="0"/>
          <w:sz w:val="24"/>
          <w:highlight w:val="none"/>
        </w:rPr>
      </w:pPr>
    </w:p>
    <w:p w14:paraId="33B8897B">
      <w:pPr>
        <w:snapToGrid w:val="0"/>
        <w:spacing w:before="120" w:beforeLines="50" w:after="50"/>
        <w:ind w:firstLine="471" w:firstLineChars="196"/>
        <w:jc w:val="left"/>
        <w:rPr>
          <w:rFonts w:hint="eastAsia" w:ascii="宋体" w:hAnsi="宋体" w:cs="宋体"/>
          <w:b/>
          <w:color w:val="auto"/>
          <w:sz w:val="24"/>
          <w:szCs w:val="20"/>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3.法定代表人身份证明</w:t>
      </w:r>
    </w:p>
    <w:p w14:paraId="4BAECEAB">
      <w:pPr>
        <w:spacing w:before="240" w:beforeLines="100" w:after="120" w:afterLines="50"/>
        <w:ind w:left="540"/>
        <w:jc w:val="center"/>
        <w:rPr>
          <w:rFonts w:hint="eastAsia" w:ascii="宋体" w:hAnsi="宋体" w:cs="宋体"/>
          <w:b/>
          <w:color w:val="auto"/>
          <w:sz w:val="32"/>
          <w:szCs w:val="32"/>
          <w:highlight w:val="none"/>
        </w:rPr>
      </w:pPr>
    </w:p>
    <w:p w14:paraId="629D46BB">
      <w:pPr>
        <w:spacing w:before="240" w:beforeLines="100" w:after="120" w:afterLines="50"/>
        <w:ind w:left="540"/>
        <w:jc w:val="center"/>
        <w:rPr>
          <w:rFonts w:hint="eastAsia" w:ascii="宋体" w:hAnsi="宋体" w:cs="宋体"/>
          <w:b/>
          <w:bCs/>
          <w:color w:val="auto"/>
          <w:sz w:val="30"/>
          <w:szCs w:val="30"/>
          <w:highlight w:val="none"/>
        </w:rPr>
      </w:pPr>
      <w:r>
        <w:rPr>
          <w:rFonts w:hint="eastAsia" w:ascii="宋体" w:hAnsi="宋体" w:cs="宋体"/>
          <w:b/>
          <w:bCs/>
          <w:color w:val="auto"/>
          <w:sz w:val="30"/>
          <w:szCs w:val="30"/>
          <w:highlight w:val="none"/>
        </w:rPr>
        <w:t>法定代表人身份证明</w:t>
      </w:r>
    </w:p>
    <w:p w14:paraId="234218E7">
      <w:pPr>
        <w:keepNext w:val="0"/>
        <w:keepLines w:val="0"/>
        <w:pageBreakBefore w:val="0"/>
        <w:widowControl w:val="0"/>
        <w:kinsoku/>
        <w:wordWrap/>
        <w:overflowPunct/>
        <w:topLinePunct w:val="0"/>
        <w:autoSpaceDE/>
        <w:autoSpaceDN/>
        <w:bidi w:val="0"/>
        <w:adjustRightInd/>
        <w:spacing w:line="400" w:lineRule="exact"/>
        <w:ind w:left="540"/>
        <w:textAlignment w:val="auto"/>
        <w:rPr>
          <w:rFonts w:hint="eastAsia" w:ascii="宋体" w:hAnsi="宋体" w:cs="宋体"/>
          <w:color w:val="auto"/>
          <w:szCs w:val="21"/>
          <w:highlight w:val="none"/>
        </w:rPr>
      </w:pPr>
      <w:r>
        <w:rPr>
          <w:rFonts w:hint="eastAsia" w:ascii="宋体" w:hAnsi="宋体" w:cs="宋体"/>
          <w:color w:val="auto"/>
          <w:szCs w:val="21"/>
          <w:highlight w:val="none"/>
        </w:rPr>
        <w:t>投 标 人：</w:t>
      </w:r>
      <w:r>
        <w:rPr>
          <w:rFonts w:hint="eastAsia" w:ascii="宋体" w:hAnsi="宋体" w:cs="宋体"/>
          <w:color w:val="auto"/>
          <w:szCs w:val="21"/>
          <w:highlight w:val="none"/>
          <w:u w:val="single"/>
        </w:rPr>
        <w:t xml:space="preserve">                                                        </w:t>
      </w:r>
    </w:p>
    <w:p w14:paraId="40F72481">
      <w:pPr>
        <w:keepNext w:val="0"/>
        <w:keepLines w:val="0"/>
        <w:pageBreakBefore w:val="0"/>
        <w:widowControl w:val="0"/>
        <w:kinsoku/>
        <w:wordWrap/>
        <w:overflowPunct/>
        <w:topLinePunct w:val="0"/>
        <w:autoSpaceDE/>
        <w:autoSpaceDN/>
        <w:bidi w:val="0"/>
        <w:adjustRightInd/>
        <w:spacing w:line="400" w:lineRule="exact"/>
        <w:ind w:left="540"/>
        <w:textAlignment w:val="auto"/>
        <w:rPr>
          <w:rFonts w:hint="eastAsia"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w:t>
      </w:r>
    </w:p>
    <w:p w14:paraId="74B2D3CD">
      <w:pPr>
        <w:keepNext w:val="0"/>
        <w:keepLines w:val="0"/>
        <w:pageBreakBefore w:val="0"/>
        <w:widowControl w:val="0"/>
        <w:kinsoku/>
        <w:wordWrap/>
        <w:overflowPunct/>
        <w:topLinePunct w:val="0"/>
        <w:autoSpaceDE/>
        <w:autoSpaceDN/>
        <w:bidi w:val="0"/>
        <w:adjustRightInd/>
        <w:spacing w:line="400" w:lineRule="exact"/>
        <w:ind w:left="540"/>
        <w:textAlignment w:val="auto"/>
        <w:rPr>
          <w:rFonts w:hint="eastAsia" w:ascii="宋体" w:hAnsi="宋体" w:cs="宋体"/>
          <w:color w:val="auto"/>
          <w:szCs w:val="21"/>
          <w:highlight w:val="none"/>
        </w:rPr>
      </w:pPr>
      <w:r>
        <w:rPr>
          <w:rFonts w:hint="eastAsia" w:ascii="宋体" w:hAnsi="宋体" w:cs="宋体"/>
          <w:color w:val="auto"/>
          <w:szCs w:val="21"/>
          <w:highlight w:val="none"/>
        </w:rPr>
        <w:t>姓    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性      别：</w:t>
      </w:r>
      <w:r>
        <w:rPr>
          <w:rFonts w:hint="eastAsia" w:ascii="宋体" w:hAnsi="宋体" w:cs="宋体"/>
          <w:color w:val="auto"/>
          <w:szCs w:val="21"/>
          <w:highlight w:val="none"/>
          <w:u w:val="single"/>
        </w:rPr>
        <w:t xml:space="preserve">                </w:t>
      </w:r>
    </w:p>
    <w:p w14:paraId="6C5C73EA">
      <w:pPr>
        <w:keepNext w:val="0"/>
        <w:keepLines w:val="0"/>
        <w:pageBreakBefore w:val="0"/>
        <w:widowControl w:val="0"/>
        <w:kinsoku/>
        <w:wordWrap/>
        <w:overflowPunct/>
        <w:topLinePunct w:val="0"/>
        <w:autoSpaceDE/>
        <w:autoSpaceDN/>
        <w:bidi w:val="0"/>
        <w:adjustRightInd/>
        <w:spacing w:line="400" w:lineRule="exact"/>
        <w:ind w:left="540"/>
        <w:textAlignment w:val="auto"/>
        <w:rPr>
          <w:rFonts w:hint="eastAsia" w:ascii="宋体" w:hAnsi="宋体" w:cs="宋体"/>
          <w:color w:val="auto"/>
          <w:szCs w:val="21"/>
          <w:highlight w:val="none"/>
          <w:u w:val="single"/>
        </w:rPr>
      </w:pPr>
      <w:r>
        <w:rPr>
          <w:rFonts w:hint="eastAsia" w:ascii="宋体" w:hAnsi="宋体" w:cs="宋体"/>
          <w:color w:val="auto"/>
          <w:szCs w:val="21"/>
          <w:highlight w:val="none"/>
        </w:rPr>
        <w:t>年    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职      务：</w:t>
      </w:r>
      <w:r>
        <w:rPr>
          <w:rFonts w:hint="eastAsia" w:ascii="宋体" w:hAnsi="宋体" w:cs="宋体"/>
          <w:color w:val="auto"/>
          <w:szCs w:val="21"/>
          <w:highlight w:val="none"/>
          <w:u w:val="single"/>
        </w:rPr>
        <w:t xml:space="preserve">                </w:t>
      </w:r>
    </w:p>
    <w:p w14:paraId="1DE8B7C8">
      <w:pPr>
        <w:keepNext w:val="0"/>
        <w:keepLines w:val="0"/>
        <w:pageBreakBefore w:val="0"/>
        <w:widowControl w:val="0"/>
        <w:kinsoku/>
        <w:wordWrap/>
        <w:overflowPunct/>
        <w:topLinePunct w:val="0"/>
        <w:autoSpaceDE/>
        <w:autoSpaceDN/>
        <w:bidi w:val="0"/>
        <w:adjustRightInd/>
        <w:spacing w:line="400" w:lineRule="exact"/>
        <w:ind w:left="540"/>
        <w:textAlignment w:val="auto"/>
        <w:rPr>
          <w:rFonts w:hint="eastAsia" w:ascii="宋体" w:hAnsi="宋体" w:cs="宋体"/>
          <w:color w:val="auto"/>
          <w:szCs w:val="21"/>
          <w:highlight w:val="none"/>
        </w:rPr>
      </w:pPr>
      <w:r>
        <w:rPr>
          <w:rFonts w:hint="eastAsia" w:ascii="宋体" w:hAnsi="宋体" w:cs="宋体"/>
          <w:color w:val="auto"/>
          <w:szCs w:val="21"/>
          <w:highlight w:val="none"/>
        </w:rPr>
        <w:t>身份证号码：</w:t>
      </w:r>
      <w:r>
        <w:rPr>
          <w:rFonts w:hint="eastAsia" w:ascii="宋体" w:hAnsi="宋体" w:cs="宋体"/>
          <w:color w:val="auto"/>
          <w:szCs w:val="21"/>
          <w:highlight w:val="none"/>
          <w:u w:val="single"/>
        </w:rPr>
        <w:t xml:space="preserve">                                 </w:t>
      </w:r>
    </w:p>
    <w:p w14:paraId="43AA769F">
      <w:pPr>
        <w:keepNext w:val="0"/>
        <w:keepLines w:val="0"/>
        <w:pageBreakBefore w:val="0"/>
        <w:widowControl w:val="0"/>
        <w:kinsoku/>
        <w:wordWrap/>
        <w:overflowPunct/>
        <w:topLinePunct w:val="0"/>
        <w:autoSpaceDE/>
        <w:autoSpaceDN/>
        <w:bidi w:val="0"/>
        <w:adjustRightInd/>
        <w:spacing w:line="400" w:lineRule="exact"/>
        <w:ind w:left="540"/>
        <w:textAlignment w:val="auto"/>
        <w:rPr>
          <w:rFonts w:hint="eastAsia" w:ascii="宋体" w:hAnsi="宋体" w:cs="宋体"/>
          <w:color w:val="auto"/>
          <w:szCs w:val="21"/>
          <w:highlight w:val="none"/>
        </w:rPr>
      </w:pPr>
      <w:r>
        <w:rPr>
          <w:rFonts w:hint="eastAsia" w:ascii="宋体" w:hAnsi="宋体" w:cs="宋体"/>
          <w:color w:val="auto"/>
          <w:szCs w:val="21"/>
          <w:highlight w:val="none"/>
        </w:rPr>
        <w:t>系</w:t>
      </w:r>
      <w:r>
        <w:rPr>
          <w:rFonts w:hint="eastAsia" w:ascii="宋体" w:hAnsi="宋体" w:cs="宋体"/>
          <w:color w:val="auto"/>
          <w:szCs w:val="21"/>
          <w:highlight w:val="none"/>
          <w:u w:val="single"/>
        </w:rPr>
        <w:t xml:space="preserve">            （投标人名称）              </w:t>
      </w:r>
      <w:r>
        <w:rPr>
          <w:rFonts w:hint="eastAsia" w:ascii="宋体" w:hAnsi="宋体" w:cs="宋体"/>
          <w:color w:val="auto"/>
          <w:szCs w:val="21"/>
          <w:highlight w:val="none"/>
        </w:rPr>
        <w:t>的法定代表人。</w:t>
      </w:r>
    </w:p>
    <w:p w14:paraId="0FA08873">
      <w:pPr>
        <w:keepNext w:val="0"/>
        <w:keepLines w:val="0"/>
        <w:pageBreakBefore w:val="0"/>
        <w:widowControl w:val="0"/>
        <w:kinsoku/>
        <w:wordWrap/>
        <w:overflowPunct/>
        <w:topLinePunct w:val="0"/>
        <w:autoSpaceDE/>
        <w:autoSpaceDN/>
        <w:bidi w:val="0"/>
        <w:adjustRightInd/>
        <w:spacing w:line="400" w:lineRule="exact"/>
        <w:ind w:left="540"/>
        <w:textAlignment w:val="auto"/>
        <w:rPr>
          <w:rFonts w:hint="eastAsia" w:ascii="宋体" w:hAnsi="宋体" w:cs="宋体"/>
          <w:color w:val="auto"/>
          <w:szCs w:val="21"/>
          <w:highlight w:val="none"/>
        </w:rPr>
      </w:pPr>
      <w:r>
        <w:rPr>
          <w:rFonts w:hint="eastAsia" w:ascii="宋体" w:hAnsi="宋体" w:cs="宋体"/>
          <w:color w:val="auto"/>
          <w:szCs w:val="21"/>
          <w:highlight w:val="none"/>
        </w:rPr>
        <w:t>特此证明。</w:t>
      </w:r>
    </w:p>
    <w:p w14:paraId="316F67A0">
      <w:pPr>
        <w:keepNext w:val="0"/>
        <w:keepLines w:val="0"/>
        <w:pageBreakBefore w:val="0"/>
        <w:widowControl w:val="0"/>
        <w:kinsoku/>
        <w:wordWrap/>
        <w:overflowPunct/>
        <w:topLinePunct w:val="0"/>
        <w:autoSpaceDE/>
        <w:autoSpaceDN/>
        <w:bidi w:val="0"/>
        <w:adjustRightInd/>
        <w:spacing w:line="400" w:lineRule="exact"/>
        <w:ind w:left="540"/>
        <w:textAlignment w:val="auto"/>
        <w:rPr>
          <w:rFonts w:hint="eastAsia" w:ascii="宋体" w:hAnsi="宋体" w:cs="宋体"/>
          <w:color w:val="auto"/>
          <w:szCs w:val="21"/>
          <w:highlight w:val="none"/>
        </w:rPr>
      </w:pPr>
    </w:p>
    <w:p w14:paraId="3B3C32C0">
      <w:pPr>
        <w:keepNext w:val="0"/>
        <w:keepLines w:val="0"/>
        <w:pageBreakBefore w:val="0"/>
        <w:widowControl w:val="0"/>
        <w:kinsoku/>
        <w:wordWrap/>
        <w:overflowPunct/>
        <w:topLinePunct w:val="0"/>
        <w:autoSpaceDE/>
        <w:autoSpaceDN/>
        <w:bidi w:val="0"/>
        <w:adjustRightInd/>
        <w:spacing w:line="400" w:lineRule="exact"/>
        <w:ind w:left="540"/>
        <w:textAlignment w:val="auto"/>
        <w:rPr>
          <w:rFonts w:hint="eastAsia" w:ascii="宋体" w:hAnsi="宋体" w:cs="宋体"/>
          <w:color w:val="auto"/>
          <w:szCs w:val="21"/>
          <w:highlight w:val="none"/>
        </w:rPr>
      </w:pPr>
    </w:p>
    <w:p w14:paraId="2E886650">
      <w:pPr>
        <w:keepNext w:val="0"/>
        <w:keepLines w:val="0"/>
        <w:pageBreakBefore w:val="0"/>
        <w:widowControl w:val="0"/>
        <w:kinsoku/>
        <w:wordWrap/>
        <w:overflowPunct/>
        <w:topLinePunct w:val="0"/>
        <w:autoSpaceDE/>
        <w:autoSpaceDN/>
        <w:bidi w:val="0"/>
        <w:adjustRightInd/>
        <w:spacing w:line="400" w:lineRule="exact"/>
        <w:ind w:left="540"/>
        <w:textAlignment w:val="auto"/>
        <w:rPr>
          <w:rFonts w:hint="eastAsia" w:ascii="宋体" w:hAnsi="宋体" w:cs="宋体"/>
          <w:color w:val="auto"/>
          <w:szCs w:val="21"/>
          <w:highlight w:val="none"/>
        </w:rPr>
      </w:pPr>
      <w:r>
        <w:rPr>
          <w:rFonts w:hint="eastAsia" w:ascii="宋体" w:hAnsi="宋体" w:cs="宋体"/>
          <w:color w:val="auto"/>
          <w:szCs w:val="21"/>
          <w:highlight w:val="none"/>
        </w:rPr>
        <w:t>附件：法定代表人有效身份证正反面复印件</w:t>
      </w:r>
    </w:p>
    <w:p w14:paraId="32C2A9EC">
      <w:pPr>
        <w:keepNext w:val="0"/>
        <w:keepLines w:val="0"/>
        <w:pageBreakBefore w:val="0"/>
        <w:widowControl w:val="0"/>
        <w:kinsoku/>
        <w:wordWrap/>
        <w:overflowPunct/>
        <w:topLinePunct w:val="0"/>
        <w:autoSpaceDE/>
        <w:autoSpaceDN/>
        <w:bidi w:val="0"/>
        <w:adjustRightInd/>
        <w:spacing w:line="400" w:lineRule="exact"/>
        <w:ind w:left="540"/>
        <w:textAlignment w:val="auto"/>
        <w:rPr>
          <w:rFonts w:hint="eastAsia" w:ascii="宋体" w:hAnsi="宋体" w:cs="宋体"/>
          <w:color w:val="auto"/>
          <w:szCs w:val="21"/>
          <w:highlight w:val="none"/>
        </w:rPr>
      </w:pPr>
    </w:p>
    <w:p w14:paraId="2855C1A3">
      <w:pPr>
        <w:keepNext w:val="0"/>
        <w:keepLines w:val="0"/>
        <w:pageBreakBefore w:val="0"/>
        <w:widowControl w:val="0"/>
        <w:kinsoku/>
        <w:wordWrap/>
        <w:overflowPunct/>
        <w:topLinePunct w:val="0"/>
        <w:autoSpaceDE/>
        <w:autoSpaceDN/>
        <w:bidi w:val="0"/>
        <w:adjustRightInd/>
        <w:spacing w:line="400" w:lineRule="exact"/>
        <w:ind w:right="420" w:firstLine="4620" w:firstLineChars="2200"/>
        <w:textAlignment w:val="auto"/>
        <w:rPr>
          <w:rFonts w:hint="eastAsia" w:ascii="宋体" w:hAnsi="宋体" w:cs="宋体"/>
          <w:color w:val="auto"/>
          <w:szCs w:val="21"/>
          <w:highlight w:val="none"/>
        </w:rPr>
      </w:pPr>
      <w:r>
        <w:rPr>
          <w:rFonts w:hint="eastAsia" w:ascii="宋体" w:hAnsi="宋体" w:cs="宋体"/>
          <w:color w:val="auto"/>
          <w:szCs w:val="21"/>
          <w:highlight w:val="none"/>
        </w:rPr>
        <w:t>投标人名称（电子签章）:</w:t>
      </w:r>
      <w:r>
        <w:rPr>
          <w:rFonts w:hint="eastAsia" w:ascii="宋体" w:hAnsi="宋体" w:cs="宋体"/>
          <w:color w:val="auto"/>
          <w:spacing w:val="20"/>
          <w:szCs w:val="21"/>
          <w:highlight w:val="none"/>
          <w:u w:val="single"/>
        </w:rPr>
        <w:t xml:space="preserve">            </w:t>
      </w:r>
      <w:r>
        <w:rPr>
          <w:rFonts w:hint="eastAsia" w:ascii="宋体" w:hAnsi="宋体" w:cs="宋体"/>
          <w:color w:val="auto"/>
          <w:spacing w:val="20"/>
          <w:szCs w:val="21"/>
          <w:highlight w:val="none"/>
        </w:rPr>
        <w:t xml:space="preserve"> </w:t>
      </w:r>
    </w:p>
    <w:p w14:paraId="180E7230">
      <w:pPr>
        <w:keepNext w:val="0"/>
        <w:keepLines w:val="0"/>
        <w:pageBreakBefore w:val="0"/>
        <w:widowControl w:val="0"/>
        <w:kinsoku/>
        <w:wordWrap/>
        <w:overflowPunct/>
        <w:topLinePunct w:val="0"/>
        <w:autoSpaceDE/>
        <w:autoSpaceDN/>
        <w:bidi w:val="0"/>
        <w:adjustRightInd/>
        <w:snapToGrid w:val="0"/>
        <w:spacing w:before="120" w:beforeLines="50" w:after="50" w:line="400" w:lineRule="exact"/>
        <w:ind w:left="540" w:right="420"/>
        <w:jc w:val="right"/>
        <w:textAlignment w:val="auto"/>
        <w:rPr>
          <w:rFonts w:hint="eastAsia"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5204ABAD">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center"/>
        <w:textAlignment w:val="auto"/>
        <w:rPr>
          <w:rFonts w:hint="eastAsia" w:ascii="宋体" w:hAnsi="宋体" w:cs="宋体"/>
          <w:b/>
          <w:color w:val="auto"/>
          <w:szCs w:val="21"/>
          <w:highlight w:val="none"/>
        </w:rPr>
      </w:pPr>
    </w:p>
    <w:p w14:paraId="52067E48">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left"/>
        <w:textAlignment w:val="auto"/>
        <w:rPr>
          <w:rFonts w:hint="eastAsia" w:ascii="宋体" w:hAnsi="宋体" w:cs="宋体"/>
          <w:b/>
          <w:color w:val="auto"/>
          <w:szCs w:val="21"/>
          <w:highlight w:val="none"/>
        </w:rPr>
      </w:pPr>
      <w:r>
        <w:rPr>
          <w:rFonts w:hint="eastAsia" w:ascii="宋体" w:hAnsi="宋体" w:cs="宋体"/>
          <w:color w:val="auto"/>
          <w:szCs w:val="21"/>
          <w:highlight w:val="none"/>
        </w:rPr>
        <w:t>注：自然人投标的无需提供</w:t>
      </w:r>
    </w:p>
    <w:p w14:paraId="66CAB43A">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left"/>
        <w:textAlignment w:val="auto"/>
        <w:rPr>
          <w:rFonts w:hint="eastAsia" w:ascii="宋体" w:hAnsi="宋体" w:cs="宋体"/>
          <w:b/>
          <w:color w:val="auto"/>
          <w:sz w:val="24"/>
          <w:szCs w:val="20"/>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4.授权委托书格式</w:t>
      </w:r>
    </w:p>
    <w:p w14:paraId="1C4BCE88">
      <w:pPr>
        <w:snapToGrid w:val="0"/>
        <w:spacing w:before="120" w:beforeLines="50" w:after="50"/>
        <w:jc w:val="center"/>
        <w:rPr>
          <w:rFonts w:hint="eastAsia" w:ascii="宋体" w:hAnsi="宋体" w:cs="宋体"/>
          <w:b/>
          <w:bCs/>
          <w:color w:val="auto"/>
          <w:sz w:val="30"/>
          <w:szCs w:val="30"/>
          <w:highlight w:val="none"/>
        </w:rPr>
      </w:pPr>
      <w:r>
        <w:rPr>
          <w:rFonts w:hint="eastAsia" w:ascii="宋体" w:hAnsi="宋体" w:cs="宋体"/>
          <w:b/>
          <w:bCs/>
          <w:color w:val="auto"/>
          <w:sz w:val="30"/>
          <w:szCs w:val="30"/>
          <w:highlight w:val="none"/>
        </w:rPr>
        <w:t>授权委托书</w:t>
      </w:r>
    </w:p>
    <w:p w14:paraId="524FD4D3">
      <w:pPr>
        <w:snapToGrid w:val="0"/>
        <w:spacing w:before="120" w:beforeLines="50" w:after="50"/>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（非联合体投标格式）</w:t>
      </w:r>
    </w:p>
    <w:p w14:paraId="7D3EC16A">
      <w:pPr>
        <w:snapToGrid w:val="0"/>
        <w:spacing w:before="120" w:beforeLines="50" w:after="50"/>
        <w:jc w:val="center"/>
        <w:rPr>
          <w:rFonts w:hint="eastAsia" w:ascii="宋体" w:hAnsi="宋体" w:cs="宋体"/>
          <w:b/>
          <w:color w:val="auto"/>
          <w:sz w:val="24"/>
          <w:highlight w:val="none"/>
        </w:rPr>
      </w:pPr>
      <w:r>
        <w:rPr>
          <w:rFonts w:hint="eastAsia" w:ascii="宋体" w:hAnsi="宋体" w:cs="宋体"/>
          <w:b/>
          <w:color w:val="auto"/>
          <w:sz w:val="32"/>
          <w:szCs w:val="32"/>
          <w:highlight w:val="none"/>
        </w:rPr>
        <w:t>（如有委托时）</w:t>
      </w:r>
    </w:p>
    <w:p w14:paraId="7F9E673F">
      <w:pPr>
        <w:keepNext w:val="0"/>
        <w:keepLines w:val="0"/>
        <w:pageBreakBefore w:val="0"/>
        <w:widowControl w:val="0"/>
        <w:kinsoku/>
        <w:wordWrap/>
        <w:overflowPunct/>
        <w:topLinePunct w:val="0"/>
        <w:autoSpaceDE/>
        <w:autoSpaceDN/>
        <w:bidi w:val="0"/>
        <w:adjustRightInd/>
        <w:spacing w:line="400" w:lineRule="exact"/>
        <w:contextualSpacing/>
        <w:textAlignment w:val="auto"/>
        <w:rPr>
          <w:rFonts w:hint="eastAsia" w:ascii="宋体" w:hAnsi="宋体" w:cs="宋体"/>
          <w:b/>
          <w:bCs/>
          <w:color w:val="auto"/>
          <w:szCs w:val="21"/>
          <w:highlight w:val="none"/>
        </w:rPr>
      </w:pPr>
      <w:r>
        <w:rPr>
          <w:rFonts w:hint="eastAsia" w:ascii="宋体" w:hAnsi="宋体" w:cs="宋体"/>
          <w:bCs/>
          <w:color w:val="auto"/>
          <w:szCs w:val="21"/>
          <w:highlight w:val="none"/>
        </w:rPr>
        <w:t>致：</w:t>
      </w:r>
      <w:r>
        <w:rPr>
          <w:rFonts w:hint="eastAsia" w:ascii="宋体" w:hAnsi="宋体" w:cs="宋体"/>
          <w:color w:val="auto"/>
          <w:szCs w:val="21"/>
          <w:highlight w:val="none"/>
          <w:u w:val="single"/>
        </w:rPr>
        <w:t>采购人名称</w:t>
      </w:r>
    </w:p>
    <w:p w14:paraId="1952A81A">
      <w:pPr>
        <w:keepNext w:val="0"/>
        <w:keepLines w:val="0"/>
        <w:pageBreakBefore w:val="0"/>
        <w:widowControl w:val="0"/>
        <w:kinsoku/>
        <w:wordWrap/>
        <w:overflowPunct/>
        <w:topLinePunct w:val="0"/>
        <w:autoSpaceDE/>
        <w:autoSpaceDN/>
        <w:bidi w:val="0"/>
        <w:adjustRightInd/>
        <w:spacing w:line="400" w:lineRule="exact"/>
        <w:ind w:firstLine="495" w:firstLineChars="236"/>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rPr>
        <w:t>我</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（姓名）系</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（投标人名称）的法定代表人，现授权委托</w:t>
      </w:r>
      <w:r>
        <w:rPr>
          <w:rFonts w:hint="eastAsia" w:ascii="宋体" w:hAnsi="宋体" w:cs="宋体"/>
          <w:color w:val="auto"/>
          <w:szCs w:val="21"/>
          <w:highlight w:val="none"/>
          <w:u w:val="single"/>
        </w:rPr>
        <w:t xml:space="preserve">              （姓名）</w:t>
      </w:r>
      <w:r>
        <w:rPr>
          <w:rFonts w:hint="eastAsia" w:ascii="宋体" w:hAnsi="宋体" w:cs="宋体"/>
          <w:color w:val="auto"/>
          <w:szCs w:val="21"/>
          <w:highlight w:val="none"/>
        </w:rPr>
        <w:t>以我方的名义参加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项目的投标活动，并代表我方全权办理针对上述项目的所有采购程序和环节的具体事务和签署相关文件。</w:t>
      </w:r>
    </w:p>
    <w:p w14:paraId="13D942CB">
      <w:pPr>
        <w:keepNext w:val="0"/>
        <w:keepLines w:val="0"/>
        <w:pageBreakBefore w:val="0"/>
        <w:widowControl w:val="0"/>
        <w:kinsoku/>
        <w:wordWrap/>
        <w:overflowPunct/>
        <w:topLinePunct w:val="0"/>
        <w:autoSpaceDE/>
        <w:autoSpaceDN/>
        <w:bidi w:val="0"/>
        <w:adjustRightInd/>
        <w:spacing w:line="400" w:lineRule="exact"/>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    我方对委托代理人的签字或者电子签名事项负全部责任。</w:t>
      </w:r>
    </w:p>
    <w:p w14:paraId="278B7805">
      <w:pPr>
        <w:keepNext w:val="0"/>
        <w:keepLines w:val="0"/>
        <w:pageBreakBefore w:val="0"/>
        <w:widowControl w:val="0"/>
        <w:kinsoku/>
        <w:wordWrap/>
        <w:overflowPunct/>
        <w:topLinePunct w:val="0"/>
        <w:autoSpaceDE/>
        <w:autoSpaceDN/>
        <w:bidi w:val="0"/>
        <w:adjustRightInd/>
        <w:spacing w:line="400" w:lineRule="exact"/>
        <w:ind w:firstLine="480"/>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u w:val="single"/>
        </w:rPr>
        <w:t>本授权书自签署之日起生效，在撤销授权的书面通知以前，本授权书一直有效。委托代理人在授权书有效期内签署的所有文件不因授权的撤销而失效。</w:t>
      </w:r>
    </w:p>
    <w:p w14:paraId="7A825AD0">
      <w:pPr>
        <w:keepNext w:val="0"/>
        <w:keepLines w:val="0"/>
        <w:pageBreakBefore w:val="0"/>
        <w:widowControl w:val="0"/>
        <w:kinsoku/>
        <w:wordWrap/>
        <w:overflowPunct/>
        <w:topLinePunct w:val="0"/>
        <w:autoSpaceDE/>
        <w:autoSpaceDN/>
        <w:bidi w:val="0"/>
        <w:adjustRightInd/>
        <w:spacing w:line="400" w:lineRule="exact"/>
        <w:ind w:firstLine="480"/>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rPr>
        <w:t>委托代理人无转委托权，特此委托。</w:t>
      </w:r>
    </w:p>
    <w:p w14:paraId="3D5DE1EA">
      <w:pPr>
        <w:keepNext w:val="0"/>
        <w:keepLines w:val="0"/>
        <w:pageBreakBefore w:val="0"/>
        <w:widowControl w:val="0"/>
        <w:kinsoku/>
        <w:wordWrap/>
        <w:overflowPunct/>
        <w:topLinePunct w:val="0"/>
        <w:autoSpaceDE/>
        <w:autoSpaceDN/>
        <w:bidi w:val="0"/>
        <w:adjustRightInd/>
        <w:spacing w:line="400" w:lineRule="exact"/>
        <w:ind w:firstLine="480"/>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rPr>
        <w:t>附：法定代表人身份证明及委托代理人有效身份证正反面复印件</w:t>
      </w:r>
    </w:p>
    <w:p w14:paraId="3D309282">
      <w:pPr>
        <w:keepNext w:val="0"/>
        <w:keepLines w:val="0"/>
        <w:pageBreakBefore w:val="0"/>
        <w:widowControl w:val="0"/>
        <w:kinsoku/>
        <w:wordWrap/>
        <w:overflowPunct/>
        <w:topLinePunct w:val="0"/>
        <w:autoSpaceDE/>
        <w:autoSpaceDN/>
        <w:bidi w:val="0"/>
        <w:adjustRightInd/>
        <w:spacing w:line="400" w:lineRule="exact"/>
        <w:contextualSpacing/>
        <w:textAlignment w:val="auto"/>
        <w:rPr>
          <w:rFonts w:hint="eastAsia" w:ascii="宋体" w:hAnsi="宋体" w:cs="宋体"/>
          <w:color w:val="auto"/>
          <w:szCs w:val="21"/>
          <w:highlight w:val="none"/>
        </w:rPr>
      </w:pPr>
    </w:p>
    <w:p w14:paraId="15BC6682">
      <w:pPr>
        <w:keepNext w:val="0"/>
        <w:keepLines w:val="0"/>
        <w:pageBreakBefore w:val="0"/>
        <w:widowControl w:val="0"/>
        <w:kinsoku/>
        <w:wordWrap/>
        <w:overflowPunct/>
        <w:topLinePunct w:val="0"/>
        <w:autoSpaceDE/>
        <w:autoSpaceDN/>
        <w:bidi w:val="0"/>
        <w:adjustRightInd/>
        <w:spacing w:line="400" w:lineRule="exact"/>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rPr>
        <w:t>委托代理人（签字或者电子签名）：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1062E482">
      <w:pPr>
        <w:keepNext w:val="0"/>
        <w:keepLines w:val="0"/>
        <w:pageBreakBefore w:val="0"/>
        <w:widowControl w:val="0"/>
        <w:kinsoku/>
        <w:wordWrap/>
        <w:overflowPunct/>
        <w:topLinePunct w:val="0"/>
        <w:autoSpaceDE/>
        <w:autoSpaceDN/>
        <w:bidi w:val="0"/>
        <w:adjustRightInd/>
        <w:spacing w:line="400" w:lineRule="exact"/>
        <w:contextualSpacing/>
        <w:textAlignment w:val="auto"/>
        <w:rPr>
          <w:rFonts w:hint="eastAsia" w:ascii="宋体" w:hAnsi="宋体" w:cs="宋体"/>
          <w:color w:val="auto"/>
          <w:szCs w:val="21"/>
          <w:highlight w:val="none"/>
          <w:u w:val="single"/>
        </w:rPr>
      </w:pPr>
      <w:r>
        <w:rPr>
          <w:rFonts w:hint="eastAsia" w:ascii="宋体" w:hAnsi="宋体" w:cs="宋体"/>
          <w:color w:val="auto"/>
          <w:szCs w:val="21"/>
          <w:highlight w:val="none"/>
        </w:rPr>
        <w:t>委托代理人身份证号码：</w:t>
      </w:r>
      <w:r>
        <w:rPr>
          <w:rFonts w:hint="eastAsia" w:ascii="宋体" w:hAnsi="宋体" w:cs="宋体"/>
          <w:color w:val="auto"/>
          <w:szCs w:val="21"/>
          <w:highlight w:val="none"/>
          <w:u w:val="single"/>
        </w:rPr>
        <w:t xml:space="preserve">                             </w:t>
      </w:r>
    </w:p>
    <w:p w14:paraId="75EC1FB7">
      <w:pPr>
        <w:keepNext w:val="0"/>
        <w:keepLines w:val="0"/>
        <w:pageBreakBefore w:val="0"/>
        <w:widowControl w:val="0"/>
        <w:kinsoku/>
        <w:wordWrap/>
        <w:overflowPunct/>
        <w:topLinePunct w:val="0"/>
        <w:autoSpaceDE/>
        <w:autoSpaceDN/>
        <w:bidi w:val="0"/>
        <w:adjustRightInd/>
        <w:spacing w:line="400" w:lineRule="exact"/>
        <w:contextualSpacing/>
        <w:textAlignment w:val="auto"/>
        <w:rPr>
          <w:rFonts w:hint="eastAsia" w:ascii="宋体" w:hAnsi="宋体" w:cs="宋体"/>
          <w:color w:val="auto"/>
          <w:szCs w:val="21"/>
          <w:highlight w:val="none"/>
          <w:u w:val="single"/>
        </w:rPr>
      </w:pPr>
      <w:r>
        <w:rPr>
          <w:rFonts w:hint="eastAsia" w:ascii="宋体" w:hAnsi="宋体" w:cs="宋体"/>
          <w:color w:val="auto"/>
          <w:szCs w:val="21"/>
          <w:highlight w:val="none"/>
        </w:rPr>
        <w:t>法定代表人（签字或者盖章或者电子签名）：</w:t>
      </w:r>
      <w:r>
        <w:rPr>
          <w:rFonts w:hint="eastAsia" w:ascii="宋体" w:hAnsi="宋体" w:cs="宋体"/>
          <w:color w:val="auto"/>
          <w:szCs w:val="21"/>
          <w:highlight w:val="none"/>
          <w:u w:val="single"/>
        </w:rPr>
        <w:t xml:space="preserve">              </w:t>
      </w:r>
    </w:p>
    <w:p w14:paraId="592CDE15">
      <w:pPr>
        <w:keepNext w:val="0"/>
        <w:keepLines w:val="0"/>
        <w:pageBreakBefore w:val="0"/>
        <w:widowControl w:val="0"/>
        <w:kinsoku/>
        <w:wordWrap/>
        <w:overflowPunct/>
        <w:topLinePunct w:val="0"/>
        <w:autoSpaceDE/>
        <w:autoSpaceDN/>
        <w:bidi w:val="0"/>
        <w:adjustRightInd/>
        <w:spacing w:line="400" w:lineRule="exact"/>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 </w:t>
      </w:r>
    </w:p>
    <w:p w14:paraId="74D10CF3">
      <w:pPr>
        <w:keepNext w:val="0"/>
        <w:keepLines w:val="0"/>
        <w:pageBreakBefore w:val="0"/>
        <w:widowControl w:val="0"/>
        <w:kinsoku/>
        <w:wordWrap/>
        <w:overflowPunct/>
        <w:topLinePunct w:val="0"/>
        <w:autoSpaceDE/>
        <w:autoSpaceDN/>
        <w:bidi w:val="0"/>
        <w:adjustRightInd/>
        <w:spacing w:line="400" w:lineRule="exact"/>
        <w:contextualSpacing/>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                               投标人名称（电子签章）：</w:t>
      </w:r>
      <w:r>
        <w:rPr>
          <w:rFonts w:hint="eastAsia" w:ascii="宋体" w:hAnsi="宋体" w:cs="宋体"/>
          <w:color w:val="auto"/>
          <w:spacing w:val="20"/>
          <w:szCs w:val="21"/>
          <w:highlight w:val="none"/>
          <w:u w:val="single"/>
        </w:rPr>
        <w:t xml:space="preserve">            </w:t>
      </w:r>
      <w:r>
        <w:rPr>
          <w:rFonts w:hint="eastAsia" w:ascii="宋体" w:hAnsi="宋体" w:cs="宋体"/>
          <w:color w:val="auto"/>
          <w:spacing w:val="20"/>
          <w:szCs w:val="21"/>
          <w:highlight w:val="none"/>
        </w:rPr>
        <w:t xml:space="preserve"> </w:t>
      </w:r>
    </w:p>
    <w:p w14:paraId="5B00A977">
      <w:pPr>
        <w:keepNext w:val="0"/>
        <w:keepLines w:val="0"/>
        <w:pageBreakBefore w:val="0"/>
        <w:widowControl w:val="0"/>
        <w:kinsoku/>
        <w:wordWrap/>
        <w:overflowPunct/>
        <w:topLinePunct w:val="0"/>
        <w:autoSpaceDE/>
        <w:autoSpaceDN/>
        <w:bidi w:val="0"/>
        <w:adjustRightInd/>
        <w:snapToGrid w:val="0"/>
        <w:spacing w:before="120" w:beforeLines="50" w:after="50" w:line="400" w:lineRule="exact"/>
        <w:ind w:left="540" w:right="420"/>
        <w:jc w:val="right"/>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44E61026">
      <w:pPr>
        <w:keepNext w:val="0"/>
        <w:keepLines w:val="0"/>
        <w:pageBreakBefore w:val="0"/>
        <w:widowControl w:val="0"/>
        <w:kinsoku/>
        <w:wordWrap/>
        <w:overflowPunct/>
        <w:topLinePunct w:val="0"/>
        <w:autoSpaceDE/>
        <w:autoSpaceDN/>
        <w:bidi w:val="0"/>
        <w:adjustRightInd/>
        <w:spacing w:line="400" w:lineRule="exact"/>
        <w:contextualSpacing/>
        <w:jc w:val="center"/>
        <w:textAlignment w:val="auto"/>
        <w:rPr>
          <w:rFonts w:hint="eastAsia" w:ascii="宋体" w:hAnsi="宋体" w:cs="宋体"/>
          <w:color w:val="auto"/>
          <w:szCs w:val="21"/>
          <w:highlight w:val="none"/>
        </w:rPr>
      </w:pPr>
    </w:p>
    <w:p w14:paraId="0A9E25C2">
      <w:pPr>
        <w:keepNext w:val="0"/>
        <w:keepLines w:val="0"/>
        <w:pageBreakBefore w:val="0"/>
        <w:widowControl w:val="0"/>
        <w:kinsoku/>
        <w:wordWrap/>
        <w:overflowPunct/>
        <w:topLinePunct w:val="0"/>
        <w:autoSpaceDE/>
        <w:autoSpaceDN/>
        <w:bidi w:val="0"/>
        <w:adjustRightInd/>
        <w:spacing w:line="400" w:lineRule="exact"/>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rPr>
        <w:t>注：1.</w:t>
      </w:r>
      <w:bookmarkStart w:id="265" w:name="_Hlk65851555"/>
      <w:bookmarkStart w:id="266" w:name="_Hlk65851620"/>
      <w:r>
        <w:rPr>
          <w:rFonts w:hint="eastAsia" w:ascii="宋体" w:hAnsi="宋体" w:cs="宋体"/>
          <w:color w:val="auto"/>
          <w:szCs w:val="21"/>
          <w:highlight w:val="none"/>
        </w:rPr>
        <w:t>法定代表人必须在授权委托书上签字或者盖章或者电子签名，</w:t>
      </w:r>
      <w:bookmarkEnd w:id="265"/>
      <w:r>
        <w:rPr>
          <w:rFonts w:hint="eastAsia" w:ascii="宋体" w:hAnsi="宋体" w:cs="宋体"/>
          <w:color w:val="auto"/>
          <w:szCs w:val="21"/>
          <w:highlight w:val="none"/>
        </w:rPr>
        <w:t>委托代理人必须在授权委托书上签字或者电子签名，</w:t>
      </w:r>
      <w:r>
        <w:rPr>
          <w:rFonts w:hint="eastAsia" w:ascii="宋体" w:hAnsi="宋体" w:cs="宋体"/>
          <w:b/>
          <w:bCs/>
          <w:color w:val="auto"/>
          <w:szCs w:val="21"/>
          <w:highlight w:val="none"/>
        </w:rPr>
        <w:t>否则按无效投标处理</w:t>
      </w:r>
      <w:r>
        <w:rPr>
          <w:rFonts w:hint="eastAsia" w:ascii="宋体" w:hAnsi="宋体" w:cs="宋体"/>
          <w:color w:val="auto"/>
          <w:szCs w:val="21"/>
          <w:highlight w:val="none"/>
        </w:rPr>
        <w:t>；</w:t>
      </w:r>
      <w:bookmarkEnd w:id="266"/>
    </w:p>
    <w:p w14:paraId="7787FC3D">
      <w:pPr>
        <w:keepNext w:val="0"/>
        <w:keepLines w:val="0"/>
        <w:pageBreakBefore w:val="0"/>
        <w:widowControl w:val="0"/>
        <w:kinsoku/>
        <w:wordWrap/>
        <w:overflowPunct/>
        <w:topLinePunct w:val="0"/>
        <w:autoSpaceDE/>
        <w:autoSpaceDN/>
        <w:bidi w:val="0"/>
        <w:adjustRightInd/>
        <w:spacing w:line="400" w:lineRule="exact"/>
        <w:ind w:firstLine="420" w:firstLineChars="200"/>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2.法人、其他组织投标时“我方”是指“我单位”，自然人投标时“我方”是指“本人”。</w:t>
      </w:r>
    </w:p>
    <w:p w14:paraId="7D31BEDF">
      <w:pPr>
        <w:keepNext w:val="0"/>
        <w:keepLines w:val="0"/>
        <w:pageBreakBefore w:val="0"/>
        <w:widowControl w:val="0"/>
        <w:kinsoku/>
        <w:wordWrap/>
        <w:overflowPunct/>
        <w:topLinePunct w:val="0"/>
        <w:autoSpaceDE/>
        <w:autoSpaceDN/>
        <w:bidi w:val="0"/>
        <w:adjustRightInd/>
        <w:snapToGrid w:val="0"/>
        <w:spacing w:before="120" w:beforeLines="50" w:after="50" w:line="400" w:lineRule="exact"/>
        <w:ind w:firstLine="566" w:firstLineChars="236"/>
        <w:jc w:val="center"/>
        <w:textAlignment w:val="auto"/>
        <w:rPr>
          <w:rFonts w:hint="eastAsia" w:ascii="宋体" w:hAnsi="宋体" w:cs="宋体"/>
          <w:b/>
          <w:color w:val="auto"/>
          <w:sz w:val="30"/>
          <w:szCs w:val="30"/>
          <w:highlight w:val="none"/>
        </w:rPr>
      </w:pPr>
      <w:r>
        <w:rPr>
          <w:rFonts w:hint="eastAsia" w:ascii="宋体" w:hAnsi="宋体" w:cs="宋体"/>
          <w:color w:val="auto"/>
          <w:sz w:val="24"/>
          <w:highlight w:val="none"/>
        </w:rPr>
        <w:br w:type="page"/>
      </w:r>
      <w:r>
        <w:rPr>
          <w:rFonts w:hint="eastAsia" w:ascii="宋体" w:hAnsi="宋体" w:cs="宋体"/>
          <w:b/>
          <w:color w:val="auto"/>
          <w:sz w:val="30"/>
          <w:szCs w:val="30"/>
          <w:highlight w:val="none"/>
        </w:rPr>
        <w:t>授权委托书</w:t>
      </w:r>
    </w:p>
    <w:p w14:paraId="6FD3A827">
      <w:pPr>
        <w:snapToGrid w:val="0"/>
        <w:spacing w:before="120" w:beforeLines="50" w:after="50"/>
        <w:ind w:firstLine="756" w:firstLineChars="236"/>
        <w:jc w:val="cente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（联合体投标格式）</w:t>
      </w:r>
    </w:p>
    <w:p w14:paraId="4E9A35E5">
      <w:pPr>
        <w:snapToGrid w:val="0"/>
        <w:spacing w:before="120" w:beforeLines="50" w:after="50"/>
        <w:ind w:firstLine="756" w:firstLineChars="236"/>
        <w:jc w:val="center"/>
        <w:rPr>
          <w:rFonts w:hint="eastAsia" w:ascii="宋体" w:hAnsi="宋体" w:cs="宋体"/>
          <w:color w:val="auto"/>
          <w:sz w:val="24"/>
          <w:highlight w:val="none"/>
        </w:rPr>
      </w:pPr>
      <w:r>
        <w:rPr>
          <w:rFonts w:hint="eastAsia" w:ascii="宋体" w:hAnsi="宋体" w:cs="宋体"/>
          <w:b/>
          <w:bCs/>
          <w:color w:val="auto"/>
          <w:sz w:val="32"/>
          <w:szCs w:val="32"/>
          <w:highlight w:val="none"/>
        </w:rPr>
        <w:t>（如有委托时）</w:t>
      </w:r>
    </w:p>
    <w:p w14:paraId="25B1E52F">
      <w:pPr>
        <w:keepNext w:val="0"/>
        <w:keepLines w:val="0"/>
        <w:pageBreakBefore w:val="0"/>
        <w:widowControl w:val="0"/>
        <w:kinsoku/>
        <w:wordWrap/>
        <w:overflowPunct/>
        <w:topLinePunct w:val="0"/>
        <w:autoSpaceDE/>
        <w:autoSpaceDN/>
        <w:bidi w:val="0"/>
        <w:adjustRightInd/>
        <w:spacing w:line="400" w:lineRule="exact"/>
        <w:contextualSpacing/>
        <w:jc w:val="left"/>
        <w:textAlignment w:val="auto"/>
        <w:rPr>
          <w:rFonts w:hint="eastAsia" w:ascii="宋体" w:hAnsi="宋体" w:cs="宋体"/>
          <w:color w:val="auto"/>
          <w:szCs w:val="21"/>
          <w:highlight w:val="none"/>
        </w:rPr>
      </w:pPr>
      <w:r>
        <w:rPr>
          <w:rFonts w:hint="eastAsia" w:ascii="宋体" w:hAnsi="宋体" w:cs="宋体"/>
          <w:bCs/>
          <w:color w:val="auto"/>
          <w:szCs w:val="21"/>
          <w:highlight w:val="none"/>
        </w:rPr>
        <w:t>致：</w:t>
      </w:r>
      <w:r>
        <w:rPr>
          <w:rFonts w:hint="eastAsia" w:ascii="宋体" w:hAnsi="宋体" w:cs="宋体"/>
          <w:color w:val="auto"/>
          <w:szCs w:val="21"/>
          <w:highlight w:val="none"/>
          <w:u w:val="single"/>
        </w:rPr>
        <w:t>采购人名称</w:t>
      </w:r>
    </w:p>
    <w:p w14:paraId="13410334">
      <w:pPr>
        <w:keepNext w:val="0"/>
        <w:keepLines w:val="0"/>
        <w:pageBreakBefore w:val="0"/>
        <w:widowControl w:val="0"/>
        <w:kinsoku/>
        <w:wordWrap/>
        <w:overflowPunct/>
        <w:topLinePunct w:val="0"/>
        <w:autoSpaceDE/>
        <w:autoSpaceDN/>
        <w:bidi w:val="0"/>
        <w:adjustRightInd/>
        <w:spacing w:line="400" w:lineRule="exact"/>
        <w:ind w:firstLine="495" w:firstLineChars="236"/>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根据 </w:t>
      </w:r>
      <w:r>
        <w:rPr>
          <w:rFonts w:hint="eastAsia" w:ascii="宋体" w:hAnsi="宋体" w:cs="宋体"/>
          <w:color w:val="auto"/>
          <w:szCs w:val="21"/>
          <w:highlight w:val="none"/>
          <w:u w:val="single"/>
        </w:rPr>
        <w:t xml:space="preserve"> （牵头人名称）</w:t>
      </w:r>
      <w:r>
        <w:rPr>
          <w:rFonts w:hint="eastAsia" w:ascii="宋体" w:hAnsi="宋体" w:cs="宋体"/>
          <w:color w:val="auto"/>
          <w:szCs w:val="21"/>
          <w:highlight w:val="none"/>
        </w:rPr>
        <w:t>与</w:t>
      </w:r>
      <w:r>
        <w:rPr>
          <w:rFonts w:hint="eastAsia" w:ascii="宋体" w:hAnsi="宋体" w:cs="宋体"/>
          <w:color w:val="auto"/>
          <w:szCs w:val="21"/>
          <w:highlight w:val="none"/>
          <w:u w:val="single"/>
        </w:rPr>
        <w:t>（联合体其他成员名称）</w:t>
      </w:r>
      <w:r>
        <w:rPr>
          <w:rFonts w:hint="eastAsia" w:ascii="宋体" w:hAnsi="宋体" w:cs="宋体"/>
          <w:color w:val="auto"/>
          <w:szCs w:val="21"/>
          <w:highlight w:val="none"/>
        </w:rPr>
        <w:t>签订的《联合体投标协议书》的内容，</w:t>
      </w:r>
      <w:r>
        <w:rPr>
          <w:rFonts w:hint="eastAsia" w:ascii="宋体" w:hAnsi="宋体" w:cs="宋体"/>
          <w:color w:val="auto"/>
          <w:szCs w:val="21"/>
          <w:highlight w:val="none"/>
          <w:u w:val="single"/>
        </w:rPr>
        <w:t>（牵头人名称）</w:t>
      </w:r>
      <w:r>
        <w:rPr>
          <w:rFonts w:hint="eastAsia" w:ascii="宋体" w:hAnsi="宋体" w:cs="宋体"/>
          <w:color w:val="auto"/>
          <w:szCs w:val="21"/>
          <w:highlight w:val="none"/>
        </w:rPr>
        <w:t>的法定代表人</w:t>
      </w:r>
      <w:r>
        <w:rPr>
          <w:rFonts w:hint="eastAsia" w:ascii="宋体" w:hAnsi="宋体" w:cs="宋体"/>
          <w:color w:val="auto"/>
          <w:szCs w:val="21"/>
          <w:highlight w:val="none"/>
          <w:u w:val="single"/>
        </w:rPr>
        <w:t>（姓名）</w:t>
      </w:r>
      <w:r>
        <w:rPr>
          <w:rFonts w:hint="eastAsia" w:ascii="宋体" w:hAnsi="宋体" w:cs="宋体"/>
          <w:color w:val="auto"/>
          <w:szCs w:val="21"/>
          <w:highlight w:val="none"/>
        </w:rPr>
        <w:t>现授权委托</w:t>
      </w:r>
      <w:r>
        <w:rPr>
          <w:rFonts w:hint="eastAsia" w:ascii="宋体" w:hAnsi="宋体" w:cs="宋体"/>
          <w:color w:val="auto"/>
          <w:szCs w:val="21"/>
          <w:highlight w:val="none"/>
          <w:u w:val="single"/>
        </w:rPr>
        <w:t xml:space="preserve">          （姓名）</w:t>
      </w:r>
      <w:r>
        <w:rPr>
          <w:rFonts w:hint="eastAsia" w:ascii="宋体" w:hAnsi="宋体" w:cs="宋体"/>
          <w:color w:val="auto"/>
          <w:szCs w:val="21"/>
          <w:highlight w:val="none"/>
        </w:rPr>
        <w:t>以我方的名义参加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项目的投标活动，并代表我方全权办理针对上述项目的所有采购程序和环节的具体事务和签署相关文件。</w:t>
      </w:r>
    </w:p>
    <w:p w14:paraId="7E36C04D">
      <w:pPr>
        <w:keepNext w:val="0"/>
        <w:keepLines w:val="0"/>
        <w:pageBreakBefore w:val="0"/>
        <w:widowControl w:val="0"/>
        <w:kinsoku/>
        <w:wordWrap/>
        <w:overflowPunct/>
        <w:topLinePunct w:val="0"/>
        <w:autoSpaceDE/>
        <w:autoSpaceDN/>
        <w:bidi w:val="0"/>
        <w:adjustRightInd/>
        <w:spacing w:line="400" w:lineRule="exact"/>
        <w:ind w:firstLine="495" w:firstLineChars="236"/>
        <w:contextualSpacing/>
        <w:textAlignment w:val="auto"/>
        <w:rPr>
          <w:rFonts w:hint="eastAsia" w:ascii="宋体" w:hAnsi="宋体" w:cs="宋体"/>
          <w:color w:val="auto"/>
          <w:szCs w:val="21"/>
          <w:highlight w:val="none"/>
        </w:rPr>
      </w:pPr>
      <w:bookmarkStart w:id="267" w:name="_Hlk65852658"/>
      <w:r>
        <w:rPr>
          <w:rFonts w:hint="eastAsia" w:ascii="宋体" w:hAnsi="宋体" w:cs="宋体"/>
          <w:color w:val="auto"/>
          <w:szCs w:val="21"/>
          <w:highlight w:val="none"/>
        </w:rPr>
        <w:t>我方对委托代理人的签字或者电子签名事项负全部责任。</w:t>
      </w:r>
    </w:p>
    <w:p w14:paraId="04969BE3">
      <w:pPr>
        <w:keepNext w:val="0"/>
        <w:keepLines w:val="0"/>
        <w:pageBreakBefore w:val="0"/>
        <w:widowControl w:val="0"/>
        <w:kinsoku/>
        <w:wordWrap/>
        <w:overflowPunct/>
        <w:topLinePunct w:val="0"/>
        <w:autoSpaceDE/>
        <w:autoSpaceDN/>
        <w:bidi w:val="0"/>
        <w:adjustRightInd/>
        <w:spacing w:line="400" w:lineRule="exact"/>
        <w:ind w:firstLine="495" w:firstLineChars="236"/>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rPr>
        <w:t>本授权书自签署之日起生效，在撤销授权的书面通知以前，本授权书一直有效。委托代理人在授权书有效期内签署的所有文件不因授权的撤销而失效。</w:t>
      </w:r>
    </w:p>
    <w:p w14:paraId="3E1AA23D">
      <w:pPr>
        <w:keepNext w:val="0"/>
        <w:keepLines w:val="0"/>
        <w:pageBreakBefore w:val="0"/>
        <w:widowControl w:val="0"/>
        <w:kinsoku/>
        <w:wordWrap/>
        <w:overflowPunct/>
        <w:topLinePunct w:val="0"/>
        <w:autoSpaceDE/>
        <w:autoSpaceDN/>
        <w:bidi w:val="0"/>
        <w:adjustRightInd/>
        <w:spacing w:line="400" w:lineRule="exact"/>
        <w:ind w:firstLine="495" w:firstLineChars="236"/>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rPr>
        <w:t>委托代理人无转委托权，特此委托。</w:t>
      </w:r>
    </w:p>
    <w:p w14:paraId="60E77D35">
      <w:pPr>
        <w:keepNext w:val="0"/>
        <w:keepLines w:val="0"/>
        <w:pageBreakBefore w:val="0"/>
        <w:widowControl w:val="0"/>
        <w:kinsoku/>
        <w:wordWrap/>
        <w:overflowPunct/>
        <w:topLinePunct w:val="0"/>
        <w:autoSpaceDE/>
        <w:autoSpaceDN/>
        <w:bidi w:val="0"/>
        <w:adjustRightInd/>
        <w:spacing w:line="400" w:lineRule="exact"/>
        <w:ind w:firstLine="495" w:firstLineChars="236"/>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rPr>
        <w:t>附：牵头人法定代表人身份证明及委托代理人有效身份证正反面复印件</w:t>
      </w:r>
    </w:p>
    <w:p w14:paraId="357AFC27">
      <w:pPr>
        <w:keepNext w:val="0"/>
        <w:keepLines w:val="0"/>
        <w:pageBreakBefore w:val="0"/>
        <w:widowControl w:val="0"/>
        <w:kinsoku/>
        <w:wordWrap/>
        <w:overflowPunct/>
        <w:topLinePunct w:val="0"/>
        <w:autoSpaceDE/>
        <w:autoSpaceDN/>
        <w:bidi w:val="0"/>
        <w:adjustRightInd/>
        <w:spacing w:line="400" w:lineRule="exact"/>
        <w:ind w:firstLine="495" w:firstLineChars="236"/>
        <w:contextualSpacing/>
        <w:textAlignment w:val="auto"/>
        <w:rPr>
          <w:rFonts w:hint="eastAsia" w:ascii="宋体" w:hAnsi="宋体" w:cs="宋体"/>
          <w:color w:val="auto"/>
          <w:szCs w:val="21"/>
          <w:highlight w:val="none"/>
        </w:rPr>
      </w:pPr>
    </w:p>
    <w:p w14:paraId="286C489B">
      <w:pPr>
        <w:keepNext w:val="0"/>
        <w:keepLines w:val="0"/>
        <w:pageBreakBefore w:val="0"/>
        <w:widowControl w:val="0"/>
        <w:kinsoku/>
        <w:wordWrap/>
        <w:overflowPunct/>
        <w:topLinePunct w:val="0"/>
        <w:autoSpaceDE/>
        <w:autoSpaceDN/>
        <w:bidi w:val="0"/>
        <w:adjustRightInd/>
        <w:spacing w:line="400" w:lineRule="exact"/>
        <w:ind w:firstLine="495" w:firstLineChars="236"/>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rPr>
        <w:t>牵头人法定代表人（签字或者盖章或者电子签名）：</w:t>
      </w:r>
      <w:r>
        <w:rPr>
          <w:rFonts w:hint="eastAsia" w:ascii="宋体" w:hAnsi="宋体" w:cs="宋体"/>
          <w:color w:val="auto"/>
          <w:spacing w:val="20"/>
          <w:szCs w:val="21"/>
          <w:highlight w:val="none"/>
          <w:u w:val="single"/>
        </w:rPr>
        <w:t xml:space="preserve">            </w:t>
      </w:r>
      <w:r>
        <w:rPr>
          <w:rFonts w:hint="eastAsia" w:ascii="宋体" w:hAnsi="宋体" w:cs="宋体"/>
          <w:color w:val="auto"/>
          <w:spacing w:val="20"/>
          <w:szCs w:val="21"/>
          <w:highlight w:val="none"/>
        </w:rPr>
        <w:t xml:space="preserve"> </w:t>
      </w:r>
    </w:p>
    <w:p w14:paraId="370D9E2F">
      <w:pPr>
        <w:keepNext w:val="0"/>
        <w:keepLines w:val="0"/>
        <w:pageBreakBefore w:val="0"/>
        <w:widowControl w:val="0"/>
        <w:kinsoku/>
        <w:wordWrap/>
        <w:overflowPunct/>
        <w:topLinePunct w:val="0"/>
        <w:autoSpaceDE/>
        <w:autoSpaceDN/>
        <w:bidi w:val="0"/>
        <w:adjustRightInd/>
        <w:spacing w:line="400" w:lineRule="exact"/>
        <w:ind w:firstLine="495" w:firstLineChars="236"/>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rPr>
        <w:t>牵头人（电子签章）：</w:t>
      </w:r>
      <w:r>
        <w:rPr>
          <w:rFonts w:hint="eastAsia" w:ascii="宋体" w:hAnsi="宋体" w:cs="宋体"/>
          <w:color w:val="auto"/>
          <w:spacing w:val="20"/>
          <w:szCs w:val="21"/>
          <w:highlight w:val="none"/>
          <w:u w:val="single"/>
        </w:rPr>
        <w:t xml:space="preserve">            </w:t>
      </w:r>
      <w:r>
        <w:rPr>
          <w:rFonts w:hint="eastAsia" w:ascii="宋体" w:hAnsi="宋体" w:cs="宋体"/>
          <w:color w:val="auto"/>
          <w:spacing w:val="20"/>
          <w:szCs w:val="21"/>
          <w:highlight w:val="none"/>
        </w:rPr>
        <w:t xml:space="preserve"> </w:t>
      </w:r>
    </w:p>
    <w:p w14:paraId="0EB9D35D">
      <w:pPr>
        <w:keepNext w:val="0"/>
        <w:keepLines w:val="0"/>
        <w:pageBreakBefore w:val="0"/>
        <w:widowControl w:val="0"/>
        <w:kinsoku/>
        <w:wordWrap/>
        <w:overflowPunct/>
        <w:topLinePunct w:val="0"/>
        <w:autoSpaceDE/>
        <w:autoSpaceDN/>
        <w:bidi w:val="0"/>
        <w:adjustRightInd/>
        <w:spacing w:line="400" w:lineRule="exact"/>
        <w:ind w:firstLine="495" w:firstLineChars="236"/>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rPr>
        <w:t>日期：    年   月   日</w:t>
      </w:r>
    </w:p>
    <w:p w14:paraId="7454EF81">
      <w:pPr>
        <w:keepNext w:val="0"/>
        <w:keepLines w:val="0"/>
        <w:pageBreakBefore w:val="0"/>
        <w:widowControl w:val="0"/>
        <w:kinsoku/>
        <w:wordWrap/>
        <w:overflowPunct/>
        <w:topLinePunct w:val="0"/>
        <w:autoSpaceDE/>
        <w:autoSpaceDN/>
        <w:bidi w:val="0"/>
        <w:adjustRightInd/>
        <w:spacing w:line="400" w:lineRule="exact"/>
        <w:ind w:firstLine="495" w:firstLineChars="236"/>
        <w:contextualSpacing/>
        <w:textAlignment w:val="auto"/>
        <w:rPr>
          <w:rFonts w:hint="eastAsia" w:ascii="宋体" w:hAnsi="宋体" w:cs="宋体"/>
          <w:color w:val="auto"/>
          <w:szCs w:val="21"/>
          <w:highlight w:val="none"/>
        </w:rPr>
      </w:pPr>
    </w:p>
    <w:p w14:paraId="0282D610">
      <w:pPr>
        <w:keepNext w:val="0"/>
        <w:keepLines w:val="0"/>
        <w:pageBreakBefore w:val="0"/>
        <w:widowControl w:val="0"/>
        <w:kinsoku/>
        <w:wordWrap/>
        <w:overflowPunct/>
        <w:topLinePunct w:val="0"/>
        <w:autoSpaceDE/>
        <w:autoSpaceDN/>
        <w:bidi w:val="0"/>
        <w:adjustRightInd/>
        <w:spacing w:line="400" w:lineRule="exact"/>
        <w:ind w:firstLine="495" w:firstLineChars="236"/>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rPr>
        <w:t>被授权人（签字或者电子签名）：</w:t>
      </w:r>
      <w:r>
        <w:rPr>
          <w:rFonts w:hint="eastAsia" w:ascii="宋体" w:hAnsi="宋体" w:cs="宋体"/>
          <w:color w:val="auto"/>
          <w:spacing w:val="20"/>
          <w:szCs w:val="21"/>
          <w:highlight w:val="none"/>
          <w:u w:val="single"/>
        </w:rPr>
        <w:t xml:space="preserve">            </w:t>
      </w:r>
      <w:r>
        <w:rPr>
          <w:rFonts w:hint="eastAsia" w:ascii="宋体" w:hAnsi="宋体" w:cs="宋体"/>
          <w:color w:val="auto"/>
          <w:spacing w:val="20"/>
          <w:szCs w:val="21"/>
          <w:highlight w:val="none"/>
        </w:rPr>
        <w:t xml:space="preserve"> </w:t>
      </w:r>
    </w:p>
    <w:p w14:paraId="6F2656C5">
      <w:pPr>
        <w:keepNext w:val="0"/>
        <w:keepLines w:val="0"/>
        <w:pageBreakBefore w:val="0"/>
        <w:widowControl w:val="0"/>
        <w:kinsoku/>
        <w:wordWrap/>
        <w:overflowPunct/>
        <w:topLinePunct w:val="0"/>
        <w:autoSpaceDE/>
        <w:autoSpaceDN/>
        <w:bidi w:val="0"/>
        <w:adjustRightInd/>
        <w:spacing w:line="400" w:lineRule="exact"/>
        <w:ind w:firstLine="495" w:firstLineChars="236"/>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rPr>
        <w:t>日期：    年   月   日</w:t>
      </w:r>
    </w:p>
    <w:p w14:paraId="684E375C">
      <w:pPr>
        <w:keepNext w:val="0"/>
        <w:keepLines w:val="0"/>
        <w:pageBreakBefore w:val="0"/>
        <w:widowControl w:val="0"/>
        <w:kinsoku/>
        <w:wordWrap/>
        <w:overflowPunct/>
        <w:topLinePunct w:val="0"/>
        <w:autoSpaceDE/>
        <w:autoSpaceDN/>
        <w:bidi w:val="0"/>
        <w:adjustRightInd/>
        <w:spacing w:line="400" w:lineRule="exact"/>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rPr>
        <w:t>注：1.法定代表人必须在授权委托书上签字或者盖章或者电子签名，委托代理人必须在授权委托书上签字或者电子签名，</w:t>
      </w:r>
      <w:r>
        <w:rPr>
          <w:rFonts w:hint="eastAsia" w:ascii="宋体" w:hAnsi="宋体" w:cs="宋体"/>
          <w:b/>
          <w:bCs/>
          <w:color w:val="auto"/>
          <w:szCs w:val="21"/>
          <w:highlight w:val="none"/>
        </w:rPr>
        <w:t>否则按无效投标处理</w:t>
      </w:r>
      <w:r>
        <w:rPr>
          <w:rFonts w:hint="eastAsia" w:ascii="宋体" w:hAnsi="宋体" w:cs="宋体"/>
          <w:color w:val="auto"/>
          <w:szCs w:val="21"/>
          <w:highlight w:val="none"/>
        </w:rPr>
        <w:t>；</w:t>
      </w:r>
    </w:p>
    <w:p w14:paraId="3104B8DE">
      <w:pPr>
        <w:keepNext w:val="0"/>
        <w:keepLines w:val="0"/>
        <w:pageBreakBefore w:val="0"/>
        <w:widowControl w:val="0"/>
        <w:kinsoku/>
        <w:wordWrap/>
        <w:overflowPunct/>
        <w:topLinePunct w:val="0"/>
        <w:autoSpaceDE/>
        <w:autoSpaceDN/>
        <w:bidi w:val="0"/>
        <w:adjustRightInd/>
        <w:spacing w:line="400" w:lineRule="exact"/>
        <w:ind w:firstLine="420" w:firstLineChars="200"/>
        <w:contextualSpacing/>
        <w:jc w:val="left"/>
        <w:textAlignment w:val="auto"/>
        <w:rPr>
          <w:rFonts w:hint="eastAsia" w:ascii="宋体" w:hAnsi="宋体" w:cs="宋体"/>
          <w:color w:val="auto"/>
          <w:sz w:val="24"/>
          <w:highlight w:val="none"/>
        </w:rPr>
      </w:pPr>
      <w:r>
        <w:rPr>
          <w:rFonts w:hint="eastAsia" w:ascii="宋体" w:hAnsi="宋体" w:cs="宋体"/>
          <w:color w:val="auto"/>
          <w:szCs w:val="21"/>
          <w:highlight w:val="none"/>
        </w:rPr>
        <w:t>2.法人、其他组织投标时“我方”是指“我单位”，自然人投标时“我方”是指“本人”。</w:t>
      </w:r>
    </w:p>
    <w:p w14:paraId="4A947FD9">
      <w:pPr>
        <w:keepNext w:val="0"/>
        <w:keepLines w:val="0"/>
        <w:pageBreakBefore w:val="0"/>
        <w:widowControl w:val="0"/>
        <w:kinsoku/>
        <w:wordWrap/>
        <w:overflowPunct/>
        <w:topLinePunct w:val="0"/>
        <w:autoSpaceDE/>
        <w:autoSpaceDN/>
        <w:bidi w:val="0"/>
        <w:adjustRightInd/>
        <w:spacing w:line="400" w:lineRule="exact"/>
        <w:contextualSpacing/>
        <w:textAlignment w:val="auto"/>
        <w:rPr>
          <w:rFonts w:hint="eastAsia" w:ascii="宋体" w:hAnsi="宋体" w:cs="宋体"/>
          <w:color w:val="auto"/>
          <w:sz w:val="24"/>
          <w:highlight w:val="none"/>
        </w:rPr>
      </w:pPr>
    </w:p>
    <w:bookmarkEnd w:id="267"/>
    <w:p w14:paraId="79FF367D">
      <w:pPr>
        <w:keepNext w:val="0"/>
        <w:keepLines w:val="0"/>
        <w:pageBreakBefore w:val="0"/>
        <w:widowControl w:val="0"/>
        <w:kinsoku/>
        <w:wordWrap/>
        <w:overflowPunct/>
        <w:topLinePunct w:val="0"/>
        <w:autoSpaceDE/>
        <w:autoSpaceDN/>
        <w:bidi w:val="0"/>
        <w:adjustRightInd/>
        <w:snapToGrid w:val="0"/>
        <w:spacing w:before="50" w:after="120" w:afterLines="50" w:line="400" w:lineRule="exact"/>
        <w:ind w:firstLine="480" w:firstLineChars="200"/>
        <w:jc w:val="left"/>
        <w:textAlignment w:val="auto"/>
        <w:rPr>
          <w:rFonts w:hint="eastAsia" w:ascii="宋体" w:hAnsi="宋体" w:cs="宋体"/>
          <w:color w:val="auto"/>
          <w:sz w:val="24"/>
          <w:highlight w:val="none"/>
        </w:rPr>
        <w:sectPr>
          <w:footerReference r:id="rId10" w:type="first"/>
          <w:footerReference r:id="rId9" w:type="default"/>
          <w:pgSz w:w="11906" w:h="16838"/>
          <w:pgMar w:top="1440" w:right="1803" w:bottom="1440" w:left="1803" w:header="850" w:footer="850" w:gutter="0"/>
          <w:pgNumType w:fmt="decimal"/>
          <w:cols w:space="720" w:num="1"/>
          <w:docGrid w:linePitch="312" w:charSpace="0"/>
        </w:sectPr>
      </w:pPr>
    </w:p>
    <w:p w14:paraId="6897B251">
      <w:pPr>
        <w:rPr>
          <w:rFonts w:hint="eastAsia" w:ascii="宋体" w:hAnsi="宋体" w:cs="宋体"/>
          <w:color w:val="auto"/>
          <w:sz w:val="24"/>
          <w:highlight w:val="none"/>
        </w:rPr>
      </w:pPr>
    </w:p>
    <w:p w14:paraId="6535FF51">
      <w:pPr>
        <w:rPr>
          <w:rFonts w:hint="eastAsia" w:ascii="宋体" w:hAnsi="宋体" w:cs="宋体"/>
          <w:b/>
          <w:color w:val="auto"/>
          <w:sz w:val="24"/>
          <w:szCs w:val="20"/>
          <w:highlight w:val="none"/>
        </w:rPr>
      </w:pPr>
      <w:r>
        <w:rPr>
          <w:rFonts w:hint="eastAsia" w:ascii="宋体" w:hAnsi="宋体" w:cs="宋体"/>
          <w:b/>
          <w:color w:val="auto"/>
          <w:sz w:val="24"/>
          <w:highlight w:val="none"/>
        </w:rPr>
        <w:t>5.商务要求偏离表格式（注：按项目需求表具体项目修改）</w:t>
      </w:r>
    </w:p>
    <w:p w14:paraId="46C1C423">
      <w:pPr>
        <w:snapToGrid w:val="0"/>
        <w:spacing w:before="50"/>
        <w:jc w:val="left"/>
        <w:rPr>
          <w:rFonts w:hint="eastAsia" w:ascii="宋体" w:hAnsi="宋体" w:cs="宋体"/>
          <w:color w:val="auto"/>
          <w:sz w:val="24"/>
          <w:highlight w:val="none"/>
        </w:rPr>
      </w:pPr>
    </w:p>
    <w:p w14:paraId="05164BB9">
      <w:pPr>
        <w:pStyle w:val="20"/>
        <w:spacing w:line="440" w:lineRule="exact"/>
        <w:rPr>
          <w:rFonts w:hint="eastAsia" w:hAnsi="宋体" w:cs="宋体"/>
          <w:color w:val="auto"/>
          <w:highlight w:val="none"/>
        </w:rPr>
      </w:pPr>
      <w:r>
        <w:rPr>
          <w:rFonts w:hint="eastAsia" w:hAnsi="宋体" w:cs="宋体"/>
          <w:color w:val="auto"/>
          <w:highlight w:val="none"/>
        </w:rPr>
        <w:t>所投分标：</w:t>
      </w:r>
      <w:r>
        <w:rPr>
          <w:rFonts w:hint="eastAsia" w:hAnsi="宋体" w:cs="宋体"/>
          <w:color w:val="auto"/>
          <w:highlight w:val="none"/>
          <w:u w:val="single"/>
        </w:rPr>
        <w:t xml:space="preserve">     </w:t>
      </w:r>
      <w:r>
        <w:rPr>
          <w:rFonts w:hint="eastAsia" w:hAnsi="宋体" w:cs="宋体"/>
          <w:color w:val="auto"/>
          <w:highlight w:val="none"/>
        </w:rPr>
        <w:t>分标</w:t>
      </w:r>
    </w:p>
    <w:p w14:paraId="3CB2E376">
      <w:pPr>
        <w:snapToGrid w:val="0"/>
        <w:spacing w:before="50" w:line="440" w:lineRule="exact"/>
        <w:jc w:val="left"/>
        <w:rPr>
          <w:rFonts w:hint="eastAsia" w:ascii="宋体" w:hAnsi="宋体" w:cs="宋体"/>
          <w:color w:val="auto"/>
          <w:szCs w:val="21"/>
          <w:highlight w:val="none"/>
          <w:u w:val="single"/>
        </w:rPr>
      </w:pPr>
    </w:p>
    <w:tbl>
      <w:tblPr>
        <w:tblStyle w:val="39"/>
        <w:tblW w:w="0" w:type="auto"/>
        <w:tblInd w:w="9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53"/>
        <w:gridCol w:w="2776"/>
        <w:gridCol w:w="1760"/>
        <w:gridCol w:w="2853"/>
      </w:tblGrid>
      <w:tr w14:paraId="457DA1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42" w:hRule="atLeast"/>
        </w:trPr>
        <w:tc>
          <w:tcPr>
            <w:tcW w:w="1853" w:type="dxa"/>
            <w:tcBorders>
              <w:top w:val="single" w:color="auto" w:sz="4" w:space="0"/>
              <w:left w:val="single" w:color="auto" w:sz="4" w:space="0"/>
              <w:bottom w:val="single" w:color="auto" w:sz="4" w:space="0"/>
              <w:right w:val="single" w:color="auto" w:sz="4" w:space="0"/>
            </w:tcBorders>
            <w:noWrap w:val="0"/>
            <w:vAlign w:val="top"/>
          </w:tcPr>
          <w:p w14:paraId="3E5F2B3A">
            <w:pPr>
              <w:snapToGrid w:val="0"/>
              <w:spacing w:before="120" w:beforeLines="50"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项目</w:t>
            </w:r>
          </w:p>
        </w:tc>
        <w:tc>
          <w:tcPr>
            <w:tcW w:w="2776" w:type="dxa"/>
            <w:tcBorders>
              <w:top w:val="single" w:color="auto" w:sz="4" w:space="0"/>
              <w:left w:val="single" w:color="auto" w:sz="4" w:space="0"/>
              <w:bottom w:val="single" w:color="auto" w:sz="4" w:space="0"/>
              <w:right w:val="single" w:color="auto" w:sz="4" w:space="0"/>
            </w:tcBorders>
            <w:noWrap w:val="0"/>
            <w:vAlign w:val="top"/>
          </w:tcPr>
          <w:p w14:paraId="52BD6685">
            <w:pPr>
              <w:snapToGrid w:val="0"/>
              <w:spacing w:before="120" w:beforeLines="50"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招标文件商务要求</w:t>
            </w:r>
          </w:p>
        </w:tc>
        <w:tc>
          <w:tcPr>
            <w:tcW w:w="1760" w:type="dxa"/>
            <w:tcBorders>
              <w:top w:val="single" w:color="auto" w:sz="4" w:space="0"/>
              <w:left w:val="single" w:color="auto" w:sz="4" w:space="0"/>
              <w:bottom w:val="single" w:color="auto" w:sz="4" w:space="0"/>
              <w:right w:val="single" w:color="auto" w:sz="4" w:space="0"/>
            </w:tcBorders>
            <w:noWrap w:val="0"/>
            <w:vAlign w:val="top"/>
          </w:tcPr>
          <w:p w14:paraId="3F33B55F">
            <w:pPr>
              <w:snapToGrid w:val="0"/>
              <w:spacing w:before="120" w:beforeLines="50"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投标人的承诺</w:t>
            </w:r>
          </w:p>
        </w:tc>
        <w:tc>
          <w:tcPr>
            <w:tcW w:w="2853" w:type="dxa"/>
            <w:tcBorders>
              <w:top w:val="single" w:color="auto" w:sz="4" w:space="0"/>
              <w:left w:val="single" w:color="auto" w:sz="4" w:space="0"/>
              <w:bottom w:val="single" w:color="auto" w:sz="4" w:space="0"/>
              <w:right w:val="single" w:color="auto" w:sz="4" w:space="0"/>
            </w:tcBorders>
            <w:noWrap w:val="0"/>
            <w:vAlign w:val="top"/>
          </w:tcPr>
          <w:p w14:paraId="6E983B03">
            <w:pPr>
              <w:snapToGrid w:val="0"/>
              <w:spacing w:before="120" w:beforeLines="50"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偏离说明</w:t>
            </w:r>
          </w:p>
        </w:tc>
      </w:tr>
      <w:tr w14:paraId="7655B5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719" w:hRule="atLeast"/>
        </w:trPr>
        <w:tc>
          <w:tcPr>
            <w:tcW w:w="1853" w:type="dxa"/>
            <w:tcBorders>
              <w:top w:val="single" w:color="auto" w:sz="4" w:space="0"/>
              <w:left w:val="single" w:color="auto" w:sz="4" w:space="0"/>
              <w:bottom w:val="single" w:color="auto" w:sz="4" w:space="0"/>
              <w:right w:val="single" w:color="auto" w:sz="4" w:space="0"/>
            </w:tcBorders>
            <w:noWrap w:val="0"/>
            <w:vAlign w:val="center"/>
          </w:tcPr>
          <w:p w14:paraId="35B0D37F">
            <w:pPr>
              <w:spacing w:line="440" w:lineRule="exact"/>
              <w:jc w:val="center"/>
              <w:rPr>
                <w:rFonts w:hint="eastAsia" w:ascii="宋体" w:hAnsi="宋体" w:cs="宋体"/>
                <w:color w:val="auto"/>
                <w:szCs w:val="21"/>
                <w:highlight w:val="none"/>
              </w:rPr>
            </w:pPr>
          </w:p>
        </w:tc>
        <w:tc>
          <w:tcPr>
            <w:tcW w:w="2776" w:type="dxa"/>
            <w:tcBorders>
              <w:top w:val="single" w:color="auto" w:sz="4" w:space="0"/>
              <w:left w:val="single" w:color="auto" w:sz="4" w:space="0"/>
              <w:bottom w:val="single" w:color="auto" w:sz="4" w:space="0"/>
              <w:right w:val="single" w:color="auto" w:sz="4" w:space="0"/>
            </w:tcBorders>
            <w:noWrap w:val="0"/>
            <w:vAlign w:val="center"/>
          </w:tcPr>
          <w:p w14:paraId="32E71C79">
            <w:pPr>
              <w:spacing w:line="440" w:lineRule="exact"/>
              <w:jc w:val="left"/>
              <w:rPr>
                <w:rFonts w:hint="eastAsia" w:ascii="宋体" w:hAnsi="宋体" w:cs="宋体"/>
                <w:color w:val="auto"/>
                <w:szCs w:val="21"/>
                <w:highlight w:val="none"/>
              </w:rPr>
            </w:pPr>
          </w:p>
        </w:tc>
        <w:tc>
          <w:tcPr>
            <w:tcW w:w="1760" w:type="dxa"/>
            <w:tcBorders>
              <w:top w:val="single" w:color="auto" w:sz="4" w:space="0"/>
              <w:left w:val="single" w:color="auto" w:sz="4" w:space="0"/>
              <w:bottom w:val="single" w:color="auto" w:sz="4" w:space="0"/>
              <w:right w:val="single" w:color="auto" w:sz="4" w:space="0"/>
            </w:tcBorders>
            <w:noWrap w:val="0"/>
            <w:vAlign w:val="top"/>
          </w:tcPr>
          <w:p w14:paraId="5DE4C10E">
            <w:pPr>
              <w:snapToGrid w:val="0"/>
              <w:spacing w:before="120" w:beforeLines="50" w:line="440" w:lineRule="exact"/>
              <w:jc w:val="center"/>
              <w:rPr>
                <w:rFonts w:hint="eastAsia" w:ascii="宋体" w:hAnsi="宋体" w:cs="宋体"/>
                <w:color w:val="auto"/>
                <w:szCs w:val="21"/>
                <w:highlight w:val="none"/>
              </w:rPr>
            </w:pPr>
          </w:p>
        </w:tc>
        <w:tc>
          <w:tcPr>
            <w:tcW w:w="2853" w:type="dxa"/>
            <w:tcBorders>
              <w:top w:val="single" w:color="auto" w:sz="4" w:space="0"/>
              <w:left w:val="single" w:color="auto" w:sz="4" w:space="0"/>
              <w:bottom w:val="single" w:color="auto" w:sz="4" w:space="0"/>
              <w:right w:val="single" w:color="auto" w:sz="4" w:space="0"/>
            </w:tcBorders>
            <w:noWrap w:val="0"/>
            <w:vAlign w:val="top"/>
          </w:tcPr>
          <w:p w14:paraId="2B488140">
            <w:pPr>
              <w:snapToGrid w:val="0"/>
              <w:spacing w:before="120" w:beforeLines="50" w:line="440" w:lineRule="exact"/>
              <w:jc w:val="center"/>
              <w:rPr>
                <w:rFonts w:hint="eastAsia" w:ascii="宋体" w:hAnsi="宋体" w:cs="宋体"/>
                <w:color w:val="auto"/>
                <w:szCs w:val="21"/>
                <w:highlight w:val="none"/>
              </w:rPr>
            </w:pPr>
          </w:p>
        </w:tc>
      </w:tr>
      <w:tr w14:paraId="3408AD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938" w:hRule="atLeast"/>
        </w:trPr>
        <w:tc>
          <w:tcPr>
            <w:tcW w:w="1853" w:type="dxa"/>
            <w:tcBorders>
              <w:top w:val="single" w:color="auto" w:sz="4" w:space="0"/>
              <w:left w:val="single" w:color="auto" w:sz="4" w:space="0"/>
              <w:bottom w:val="single" w:color="auto" w:sz="4" w:space="0"/>
              <w:right w:val="single" w:color="auto" w:sz="4" w:space="0"/>
            </w:tcBorders>
            <w:noWrap w:val="0"/>
            <w:vAlign w:val="center"/>
          </w:tcPr>
          <w:p w14:paraId="0D9137FD">
            <w:pPr>
              <w:spacing w:line="440" w:lineRule="exact"/>
              <w:jc w:val="center"/>
              <w:rPr>
                <w:rFonts w:hint="eastAsia" w:ascii="宋体" w:hAnsi="宋体" w:cs="宋体"/>
                <w:color w:val="auto"/>
                <w:szCs w:val="21"/>
                <w:highlight w:val="none"/>
              </w:rPr>
            </w:pPr>
          </w:p>
        </w:tc>
        <w:tc>
          <w:tcPr>
            <w:tcW w:w="2776" w:type="dxa"/>
            <w:tcBorders>
              <w:top w:val="single" w:color="auto" w:sz="4" w:space="0"/>
              <w:left w:val="single" w:color="auto" w:sz="4" w:space="0"/>
              <w:bottom w:val="single" w:color="auto" w:sz="4" w:space="0"/>
              <w:right w:val="single" w:color="auto" w:sz="4" w:space="0"/>
            </w:tcBorders>
            <w:noWrap w:val="0"/>
            <w:vAlign w:val="center"/>
          </w:tcPr>
          <w:p w14:paraId="4050FF37">
            <w:pPr>
              <w:spacing w:line="440" w:lineRule="exact"/>
              <w:jc w:val="left"/>
              <w:rPr>
                <w:rFonts w:hint="eastAsia" w:ascii="宋体" w:hAnsi="宋体" w:cs="宋体"/>
                <w:color w:val="auto"/>
                <w:szCs w:val="21"/>
                <w:highlight w:val="none"/>
              </w:rPr>
            </w:pPr>
          </w:p>
        </w:tc>
        <w:tc>
          <w:tcPr>
            <w:tcW w:w="1760" w:type="dxa"/>
            <w:tcBorders>
              <w:top w:val="single" w:color="auto" w:sz="4" w:space="0"/>
              <w:left w:val="single" w:color="auto" w:sz="4" w:space="0"/>
              <w:bottom w:val="single" w:color="auto" w:sz="4" w:space="0"/>
              <w:right w:val="single" w:color="auto" w:sz="4" w:space="0"/>
            </w:tcBorders>
            <w:noWrap w:val="0"/>
            <w:vAlign w:val="top"/>
          </w:tcPr>
          <w:p w14:paraId="6E341F0D">
            <w:pPr>
              <w:snapToGrid w:val="0"/>
              <w:spacing w:before="120" w:beforeLines="50" w:line="440" w:lineRule="exact"/>
              <w:ind w:left="43"/>
              <w:jc w:val="center"/>
              <w:rPr>
                <w:rFonts w:hint="eastAsia" w:ascii="宋体" w:hAnsi="宋体" w:cs="宋体"/>
                <w:color w:val="auto"/>
                <w:szCs w:val="21"/>
                <w:highlight w:val="none"/>
              </w:rPr>
            </w:pPr>
          </w:p>
        </w:tc>
        <w:tc>
          <w:tcPr>
            <w:tcW w:w="2853" w:type="dxa"/>
            <w:tcBorders>
              <w:top w:val="single" w:color="auto" w:sz="4" w:space="0"/>
              <w:left w:val="single" w:color="auto" w:sz="4" w:space="0"/>
              <w:bottom w:val="single" w:color="auto" w:sz="4" w:space="0"/>
              <w:right w:val="single" w:color="auto" w:sz="4" w:space="0"/>
            </w:tcBorders>
            <w:noWrap w:val="0"/>
            <w:vAlign w:val="top"/>
          </w:tcPr>
          <w:p w14:paraId="4AC652E4">
            <w:pPr>
              <w:snapToGrid w:val="0"/>
              <w:spacing w:before="120" w:beforeLines="50" w:line="440" w:lineRule="exact"/>
              <w:ind w:left="43"/>
              <w:jc w:val="center"/>
              <w:rPr>
                <w:rFonts w:hint="eastAsia" w:ascii="宋体" w:hAnsi="宋体" w:cs="宋体"/>
                <w:color w:val="auto"/>
                <w:szCs w:val="21"/>
                <w:highlight w:val="none"/>
              </w:rPr>
            </w:pPr>
          </w:p>
        </w:tc>
      </w:tr>
      <w:tr w14:paraId="074C26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853" w:type="dxa"/>
            <w:tcBorders>
              <w:top w:val="single" w:color="auto" w:sz="4" w:space="0"/>
              <w:left w:val="single" w:color="auto" w:sz="4" w:space="0"/>
              <w:bottom w:val="single" w:color="auto" w:sz="4" w:space="0"/>
              <w:right w:val="single" w:color="auto" w:sz="4" w:space="0"/>
            </w:tcBorders>
            <w:noWrap w:val="0"/>
            <w:vAlign w:val="top"/>
          </w:tcPr>
          <w:p w14:paraId="2E82048A">
            <w:pPr>
              <w:snapToGrid w:val="0"/>
              <w:spacing w:before="120" w:beforeLines="50"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w:t>
            </w:r>
          </w:p>
        </w:tc>
        <w:tc>
          <w:tcPr>
            <w:tcW w:w="2776" w:type="dxa"/>
            <w:tcBorders>
              <w:top w:val="single" w:color="auto" w:sz="4" w:space="0"/>
              <w:left w:val="single" w:color="auto" w:sz="4" w:space="0"/>
              <w:bottom w:val="single" w:color="auto" w:sz="4" w:space="0"/>
              <w:right w:val="single" w:color="auto" w:sz="4" w:space="0"/>
            </w:tcBorders>
            <w:noWrap w:val="0"/>
            <w:vAlign w:val="top"/>
          </w:tcPr>
          <w:p w14:paraId="6DF281E4">
            <w:pPr>
              <w:snapToGrid w:val="0"/>
              <w:spacing w:before="120" w:beforeLines="50" w:line="440" w:lineRule="exact"/>
              <w:jc w:val="center"/>
              <w:rPr>
                <w:rFonts w:hint="eastAsia" w:ascii="宋体" w:hAnsi="宋体" w:cs="宋体"/>
                <w:color w:val="auto"/>
                <w:szCs w:val="21"/>
                <w:highlight w:val="none"/>
              </w:rPr>
            </w:pPr>
          </w:p>
        </w:tc>
        <w:tc>
          <w:tcPr>
            <w:tcW w:w="1760" w:type="dxa"/>
            <w:tcBorders>
              <w:top w:val="single" w:color="auto" w:sz="4" w:space="0"/>
              <w:left w:val="single" w:color="auto" w:sz="4" w:space="0"/>
              <w:bottom w:val="single" w:color="auto" w:sz="4" w:space="0"/>
              <w:right w:val="single" w:color="auto" w:sz="4" w:space="0"/>
            </w:tcBorders>
            <w:noWrap w:val="0"/>
            <w:vAlign w:val="top"/>
          </w:tcPr>
          <w:p w14:paraId="4F71C6E1">
            <w:pPr>
              <w:snapToGrid w:val="0"/>
              <w:spacing w:before="120" w:beforeLines="50" w:line="440" w:lineRule="exact"/>
              <w:jc w:val="center"/>
              <w:rPr>
                <w:rFonts w:hint="eastAsia" w:ascii="宋体" w:hAnsi="宋体" w:cs="宋体"/>
                <w:color w:val="auto"/>
                <w:szCs w:val="21"/>
                <w:highlight w:val="none"/>
              </w:rPr>
            </w:pPr>
          </w:p>
        </w:tc>
        <w:tc>
          <w:tcPr>
            <w:tcW w:w="2853" w:type="dxa"/>
            <w:tcBorders>
              <w:top w:val="single" w:color="auto" w:sz="4" w:space="0"/>
              <w:left w:val="single" w:color="auto" w:sz="4" w:space="0"/>
              <w:bottom w:val="single" w:color="auto" w:sz="4" w:space="0"/>
              <w:right w:val="single" w:color="auto" w:sz="4" w:space="0"/>
            </w:tcBorders>
            <w:noWrap w:val="0"/>
            <w:vAlign w:val="top"/>
          </w:tcPr>
          <w:p w14:paraId="709542B3">
            <w:pPr>
              <w:snapToGrid w:val="0"/>
              <w:spacing w:before="120" w:beforeLines="50" w:line="440" w:lineRule="exact"/>
              <w:jc w:val="center"/>
              <w:rPr>
                <w:rFonts w:hint="eastAsia" w:ascii="宋体" w:hAnsi="宋体" w:cs="宋体"/>
                <w:color w:val="auto"/>
                <w:szCs w:val="21"/>
                <w:highlight w:val="none"/>
              </w:rPr>
            </w:pPr>
          </w:p>
        </w:tc>
      </w:tr>
    </w:tbl>
    <w:p w14:paraId="3C1F2DC3">
      <w:pPr>
        <w:pStyle w:val="15"/>
        <w:keepNext w:val="0"/>
        <w:keepLines w:val="0"/>
        <w:pageBreakBefore w:val="0"/>
        <w:widowControl w:val="0"/>
        <w:kinsoku/>
        <w:wordWrap/>
        <w:overflowPunct/>
        <w:topLinePunct w:val="0"/>
        <w:autoSpaceDE/>
        <w:autoSpaceDN/>
        <w:bidi w:val="0"/>
        <w:adjustRightInd/>
        <w:spacing w:line="400" w:lineRule="exac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注：</w:t>
      </w:r>
    </w:p>
    <w:p w14:paraId="37BF010D">
      <w:pPr>
        <w:pStyle w:val="16"/>
        <w:keepNext w:val="0"/>
        <w:keepLines w:val="0"/>
        <w:pageBreakBefore w:val="0"/>
        <w:widowControl w:val="0"/>
        <w:kinsoku/>
        <w:wordWrap/>
        <w:overflowPunct/>
        <w:topLinePunct w:val="0"/>
        <w:autoSpaceDE/>
        <w:autoSpaceDN/>
        <w:bidi w:val="0"/>
        <w:adjustRightInd/>
        <w:spacing w:line="400" w:lineRule="exact"/>
        <w:ind w:firstLine="0"/>
        <w:textAlignment w:val="auto"/>
        <w:rPr>
          <w:rFonts w:hint="eastAsia" w:hAnsi="宋体" w:cs="宋体"/>
          <w:color w:val="auto"/>
          <w:sz w:val="21"/>
          <w:szCs w:val="21"/>
          <w:highlight w:val="none"/>
        </w:rPr>
      </w:pPr>
      <w:r>
        <w:rPr>
          <w:rFonts w:hint="eastAsia" w:hAnsi="宋体" w:cs="宋体"/>
          <w:color w:val="auto"/>
          <w:sz w:val="21"/>
          <w:szCs w:val="21"/>
          <w:highlight w:val="none"/>
        </w:rPr>
        <w:t>1. 说明：应对照招标文件“第二章 采购需求”中的商务要求逐条作明确的投标响应，并作出偏离说明。</w:t>
      </w:r>
    </w:p>
    <w:p w14:paraId="206FE657">
      <w:pPr>
        <w:pStyle w:val="15"/>
        <w:keepNext w:val="0"/>
        <w:keepLines w:val="0"/>
        <w:pageBreakBefore w:val="0"/>
        <w:widowControl w:val="0"/>
        <w:kinsoku/>
        <w:wordWrap/>
        <w:overflowPunct/>
        <w:topLinePunct w:val="0"/>
        <w:autoSpaceDE/>
        <w:autoSpaceDN/>
        <w:bidi w:val="0"/>
        <w:adjustRightInd/>
        <w:spacing w:line="400" w:lineRule="exac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2.投标人应根据自身的承诺，对照招标文件要求在“偏离说明”中注明“正偏离”、“负偏离”或者“无偏离”。既不属于“正偏离”也不属于“负偏离”即为“无偏离”。</w:t>
      </w:r>
    </w:p>
    <w:p w14:paraId="59490AD1">
      <w:pPr>
        <w:keepNext w:val="0"/>
        <w:keepLines w:val="0"/>
        <w:pageBreakBefore w:val="0"/>
        <w:widowControl w:val="0"/>
        <w:kinsoku/>
        <w:wordWrap/>
        <w:overflowPunct/>
        <w:topLinePunct w:val="0"/>
        <w:autoSpaceDE/>
        <w:autoSpaceDN/>
        <w:bidi w:val="0"/>
        <w:adjustRightInd/>
        <w:snapToGrid w:val="0"/>
        <w:spacing w:before="50" w:after="50" w:line="400" w:lineRule="exact"/>
        <w:textAlignment w:val="auto"/>
        <w:rPr>
          <w:rFonts w:hint="eastAsia" w:ascii="宋体" w:hAnsi="宋体" w:cs="宋体"/>
          <w:color w:val="auto"/>
          <w:szCs w:val="21"/>
          <w:highlight w:val="none"/>
        </w:rPr>
      </w:pPr>
    </w:p>
    <w:p w14:paraId="3BC2C683">
      <w:pPr>
        <w:keepNext w:val="0"/>
        <w:keepLines w:val="0"/>
        <w:pageBreakBefore w:val="0"/>
        <w:widowControl w:val="0"/>
        <w:kinsoku/>
        <w:wordWrap/>
        <w:overflowPunct/>
        <w:topLinePunct w:val="0"/>
        <w:autoSpaceDE/>
        <w:autoSpaceDN/>
        <w:bidi w:val="0"/>
        <w:adjustRightInd/>
        <w:snapToGrid w:val="0"/>
        <w:spacing w:before="50" w:after="50" w:line="400" w:lineRule="exact"/>
        <w:textAlignment w:val="auto"/>
        <w:rPr>
          <w:rFonts w:hint="eastAsia" w:ascii="宋体" w:hAnsi="宋体" w:cs="宋体"/>
          <w:color w:val="auto"/>
          <w:szCs w:val="21"/>
          <w:highlight w:val="none"/>
        </w:rPr>
      </w:pPr>
    </w:p>
    <w:p w14:paraId="68B0086A">
      <w:pPr>
        <w:keepNext w:val="0"/>
        <w:keepLines w:val="0"/>
        <w:pageBreakBefore w:val="0"/>
        <w:widowControl w:val="0"/>
        <w:kinsoku/>
        <w:wordWrap/>
        <w:overflowPunct/>
        <w:topLinePunct w:val="0"/>
        <w:autoSpaceDE/>
        <w:autoSpaceDN/>
        <w:bidi w:val="0"/>
        <w:adjustRightInd/>
        <w:snapToGrid w:val="0"/>
        <w:spacing w:before="50" w:after="50" w:line="400" w:lineRule="exact"/>
        <w:textAlignment w:val="auto"/>
        <w:rPr>
          <w:rFonts w:hint="eastAsia" w:ascii="宋体" w:hAnsi="宋体" w:cs="宋体"/>
          <w:color w:val="auto"/>
          <w:spacing w:val="20"/>
          <w:szCs w:val="21"/>
          <w:highlight w:val="none"/>
          <w:u w:val="single"/>
        </w:rPr>
      </w:pPr>
      <w:r>
        <w:rPr>
          <w:rFonts w:hint="eastAsia" w:ascii="宋体" w:hAnsi="宋体" w:cs="宋体"/>
          <w:color w:val="auto"/>
          <w:szCs w:val="21"/>
          <w:highlight w:val="none"/>
        </w:rPr>
        <w:t>法定代表人或者委托代理人</w:t>
      </w:r>
      <w:r>
        <w:rPr>
          <w:rFonts w:hint="eastAsia" w:ascii="宋体" w:hAnsi="宋体" w:cs="宋体"/>
          <w:color w:val="auto"/>
          <w:spacing w:val="20"/>
          <w:szCs w:val="21"/>
          <w:highlight w:val="none"/>
        </w:rPr>
        <w:t>（签字或者电子签名）：</w:t>
      </w:r>
      <w:r>
        <w:rPr>
          <w:rFonts w:hint="eastAsia" w:ascii="宋体" w:hAnsi="宋体" w:cs="宋体"/>
          <w:color w:val="auto"/>
          <w:spacing w:val="20"/>
          <w:szCs w:val="21"/>
          <w:highlight w:val="none"/>
          <w:u w:val="single"/>
        </w:rPr>
        <w:t xml:space="preserve">        </w:t>
      </w:r>
    </w:p>
    <w:p w14:paraId="1078BC15">
      <w:pPr>
        <w:keepNext w:val="0"/>
        <w:keepLines w:val="0"/>
        <w:pageBreakBefore w:val="0"/>
        <w:widowControl w:val="0"/>
        <w:kinsoku/>
        <w:wordWrap/>
        <w:overflowPunct/>
        <w:topLinePunct w:val="0"/>
        <w:autoSpaceDE/>
        <w:autoSpaceDN/>
        <w:bidi w:val="0"/>
        <w:adjustRightInd/>
        <w:snapToGrid w:val="0"/>
        <w:spacing w:before="120" w:beforeLines="50" w:line="400" w:lineRule="exact"/>
        <w:textAlignment w:val="auto"/>
        <w:rPr>
          <w:rFonts w:hint="eastAsia" w:ascii="宋体" w:hAnsi="宋体" w:cs="宋体"/>
          <w:color w:val="auto"/>
          <w:spacing w:val="20"/>
          <w:szCs w:val="21"/>
          <w:highlight w:val="none"/>
        </w:rPr>
      </w:pPr>
      <w:r>
        <w:rPr>
          <w:rFonts w:hint="eastAsia" w:ascii="宋体" w:hAnsi="宋体" w:cs="宋体"/>
          <w:color w:val="auto"/>
          <w:spacing w:val="20"/>
          <w:szCs w:val="21"/>
          <w:highlight w:val="none"/>
        </w:rPr>
        <w:t>投标人名称（电子签章）：</w:t>
      </w:r>
      <w:r>
        <w:rPr>
          <w:rFonts w:hint="eastAsia" w:ascii="宋体" w:hAnsi="宋体" w:cs="宋体"/>
          <w:color w:val="auto"/>
          <w:spacing w:val="20"/>
          <w:szCs w:val="21"/>
          <w:highlight w:val="none"/>
          <w:u w:val="single"/>
        </w:rPr>
        <w:t xml:space="preserve">            </w:t>
      </w:r>
      <w:r>
        <w:rPr>
          <w:rFonts w:hint="eastAsia" w:ascii="宋体" w:hAnsi="宋体" w:cs="宋体"/>
          <w:color w:val="auto"/>
          <w:spacing w:val="20"/>
          <w:szCs w:val="21"/>
          <w:highlight w:val="none"/>
        </w:rPr>
        <w:t xml:space="preserve">   </w:t>
      </w:r>
    </w:p>
    <w:p w14:paraId="53503A86">
      <w:pPr>
        <w:keepNext w:val="0"/>
        <w:keepLines w:val="0"/>
        <w:pageBreakBefore w:val="0"/>
        <w:widowControl w:val="0"/>
        <w:kinsoku/>
        <w:wordWrap/>
        <w:overflowPunct/>
        <w:topLinePunct w:val="0"/>
        <w:autoSpaceDE/>
        <w:autoSpaceDN/>
        <w:bidi w:val="0"/>
        <w:adjustRightInd/>
        <w:snapToGrid w:val="0"/>
        <w:spacing w:before="120" w:beforeLines="50" w:after="50" w:line="400" w:lineRule="exact"/>
        <w:ind w:right="920"/>
        <w:textAlignment w:val="auto"/>
        <w:rPr>
          <w:rFonts w:hint="eastAsia" w:ascii="宋体" w:hAnsi="宋体" w:cs="宋体"/>
          <w:color w:val="auto"/>
          <w:szCs w:val="21"/>
          <w:highlight w:val="none"/>
        </w:rPr>
      </w:pPr>
      <w:r>
        <w:rPr>
          <w:rFonts w:hint="eastAsia" w:ascii="宋体" w:hAnsi="宋体" w:cs="宋体"/>
          <w:color w:val="auto"/>
          <w:spacing w:val="20"/>
          <w:szCs w:val="21"/>
          <w:highlight w:val="none"/>
        </w:rPr>
        <w:t>日  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63AD188D">
      <w:pPr>
        <w:keepNext w:val="0"/>
        <w:keepLines w:val="0"/>
        <w:pageBreakBefore w:val="0"/>
        <w:widowControl w:val="0"/>
        <w:kinsoku/>
        <w:wordWrap/>
        <w:overflowPunct/>
        <w:topLinePunct w:val="0"/>
        <w:autoSpaceDE/>
        <w:autoSpaceDN/>
        <w:bidi w:val="0"/>
        <w:adjustRightInd/>
        <w:spacing w:line="400" w:lineRule="exact"/>
        <w:contextualSpacing/>
        <w:textAlignment w:val="auto"/>
        <w:rPr>
          <w:rFonts w:hint="eastAsia" w:ascii="宋体" w:hAnsi="宋体" w:cs="宋体"/>
          <w:color w:val="auto"/>
          <w:szCs w:val="21"/>
          <w:highlight w:val="none"/>
        </w:rPr>
      </w:pPr>
    </w:p>
    <w:p w14:paraId="704E753F">
      <w:pPr>
        <w:snapToGrid w:val="0"/>
        <w:spacing w:before="120" w:beforeLines="50" w:line="440" w:lineRule="exact"/>
        <w:rPr>
          <w:rFonts w:hint="eastAsia" w:ascii="宋体" w:hAnsi="宋体" w:cs="宋体"/>
          <w:color w:val="auto"/>
          <w:szCs w:val="21"/>
          <w:highlight w:val="none"/>
        </w:rPr>
      </w:pPr>
    </w:p>
    <w:p w14:paraId="3E49E625">
      <w:pPr>
        <w:snapToGrid w:val="0"/>
        <w:spacing w:before="120" w:beforeLines="50"/>
        <w:rPr>
          <w:rFonts w:hint="eastAsia" w:ascii="宋体" w:hAnsi="宋体" w:cs="宋体"/>
          <w:color w:val="auto"/>
          <w:sz w:val="24"/>
          <w:szCs w:val="20"/>
          <w:highlight w:val="none"/>
        </w:rPr>
      </w:pPr>
    </w:p>
    <w:p w14:paraId="5C6D84C7">
      <w:pPr>
        <w:snapToGrid w:val="0"/>
        <w:spacing w:before="120" w:beforeLines="50" w:after="50"/>
        <w:jc w:val="left"/>
        <w:rPr>
          <w:rFonts w:hint="eastAsia" w:ascii="宋体" w:hAnsi="宋体" w:cs="宋体"/>
          <w:color w:val="auto"/>
          <w:sz w:val="24"/>
          <w:szCs w:val="20"/>
          <w:highlight w:val="none"/>
        </w:rPr>
        <w:sectPr>
          <w:footerReference r:id="rId14" w:type="first"/>
          <w:headerReference r:id="rId11" w:type="default"/>
          <w:footerReference r:id="rId12" w:type="default"/>
          <w:footerReference r:id="rId13" w:type="even"/>
          <w:pgSz w:w="11906" w:h="16838"/>
          <w:pgMar w:top="1134" w:right="1247" w:bottom="1134" w:left="1417" w:header="850" w:footer="850" w:gutter="0"/>
          <w:pgNumType w:fmt="decimal"/>
          <w:cols w:space="720" w:num="1"/>
          <w:titlePg/>
          <w:docGrid w:linePitch="312" w:charSpace="0"/>
        </w:sectPr>
      </w:pPr>
    </w:p>
    <w:p w14:paraId="696EB727">
      <w:pPr>
        <w:snapToGrid w:val="0"/>
        <w:spacing w:before="165" w:beforeLines="50" w:after="50"/>
        <w:jc w:val="left"/>
        <w:rPr>
          <w:rFonts w:hint="eastAsia" w:ascii="宋体" w:hAnsi="宋体" w:cs="宋体"/>
          <w:b/>
          <w:color w:val="auto"/>
          <w:sz w:val="24"/>
          <w:highlight w:val="none"/>
        </w:rPr>
      </w:pPr>
      <w:r>
        <w:rPr>
          <w:rFonts w:hint="eastAsia" w:ascii="宋体" w:hAnsi="宋体" w:cs="宋体"/>
          <w:b/>
          <w:color w:val="auto"/>
          <w:sz w:val="24"/>
          <w:highlight w:val="none"/>
        </w:rPr>
        <w:t>6.投标人业绩证明材料</w:t>
      </w:r>
    </w:p>
    <w:p w14:paraId="7139FDFC">
      <w:pPr>
        <w:pStyle w:val="29"/>
        <w:snapToGrid w:val="0"/>
        <w:ind w:left="480" w:hanging="480"/>
        <w:rPr>
          <w:rFonts w:hint="eastAsia" w:ascii="宋体" w:hAnsi="宋体" w:cs="宋体"/>
          <w:color w:val="auto"/>
          <w:sz w:val="24"/>
          <w:highlight w:val="none"/>
        </w:rPr>
      </w:pPr>
    </w:p>
    <w:p w14:paraId="3BA48A99">
      <w:pPr>
        <w:pStyle w:val="29"/>
        <w:snapToGrid w:val="0"/>
        <w:spacing w:line="440" w:lineRule="exact"/>
        <w:ind w:left="600" w:hanging="600"/>
        <w:jc w:val="center"/>
        <w:rPr>
          <w:rFonts w:hint="eastAsia" w:ascii="宋体" w:hAnsi="宋体" w:cs="宋体"/>
          <w:color w:val="auto"/>
          <w:sz w:val="30"/>
          <w:szCs w:val="30"/>
          <w:highlight w:val="none"/>
        </w:rPr>
      </w:pPr>
      <w:r>
        <w:rPr>
          <w:rFonts w:hint="eastAsia" w:ascii="宋体" w:hAnsi="宋体" w:cs="宋体"/>
          <w:color w:val="auto"/>
          <w:sz w:val="30"/>
          <w:szCs w:val="30"/>
          <w:highlight w:val="none"/>
        </w:rPr>
        <w:t xml:space="preserve">投标人业绩情况一览表格式 </w:t>
      </w:r>
    </w:p>
    <w:tbl>
      <w:tblPr>
        <w:tblStyle w:val="39"/>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365"/>
        <w:gridCol w:w="1963"/>
        <w:gridCol w:w="1963"/>
        <w:gridCol w:w="3167"/>
      </w:tblGrid>
      <w:tr w14:paraId="47CD50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487" w:hRule="atLeast"/>
        </w:trPr>
        <w:tc>
          <w:tcPr>
            <w:tcW w:w="1250" w:type="pct"/>
            <w:vMerge w:val="restart"/>
            <w:tcBorders>
              <w:top w:val="single" w:color="auto" w:sz="4" w:space="0"/>
              <w:left w:val="single" w:color="auto" w:sz="4" w:space="0"/>
              <w:bottom w:val="single" w:color="auto" w:sz="4" w:space="0"/>
              <w:right w:val="single" w:color="auto" w:sz="4" w:space="0"/>
            </w:tcBorders>
            <w:noWrap w:val="0"/>
            <w:vAlign w:val="center"/>
          </w:tcPr>
          <w:p w14:paraId="0F0B6D78">
            <w:pPr>
              <w:snapToGrid w:val="0"/>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采购人名称</w:t>
            </w:r>
          </w:p>
        </w:tc>
        <w:tc>
          <w:tcPr>
            <w:tcW w:w="1038" w:type="pct"/>
            <w:vMerge w:val="restart"/>
            <w:tcBorders>
              <w:top w:val="single" w:color="auto" w:sz="4" w:space="0"/>
              <w:left w:val="single" w:color="auto" w:sz="4" w:space="0"/>
              <w:bottom w:val="single" w:color="auto" w:sz="4" w:space="0"/>
              <w:right w:val="single" w:color="auto" w:sz="4" w:space="0"/>
            </w:tcBorders>
            <w:noWrap w:val="0"/>
            <w:vAlign w:val="center"/>
          </w:tcPr>
          <w:p w14:paraId="77B3A5D9">
            <w:pPr>
              <w:snapToGrid w:val="0"/>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项目名称</w:t>
            </w:r>
          </w:p>
        </w:tc>
        <w:tc>
          <w:tcPr>
            <w:tcW w:w="1038" w:type="pct"/>
            <w:vMerge w:val="restart"/>
            <w:tcBorders>
              <w:top w:val="single" w:color="auto" w:sz="4" w:space="0"/>
              <w:left w:val="single" w:color="auto" w:sz="4" w:space="0"/>
              <w:bottom w:val="single" w:color="auto" w:sz="4" w:space="0"/>
              <w:right w:val="single" w:color="auto" w:sz="4" w:space="0"/>
            </w:tcBorders>
            <w:noWrap w:val="0"/>
            <w:vAlign w:val="center"/>
          </w:tcPr>
          <w:p w14:paraId="182F6683">
            <w:pPr>
              <w:snapToGrid w:val="0"/>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合同金额</w:t>
            </w:r>
          </w:p>
          <w:p w14:paraId="23BFC3F9">
            <w:pPr>
              <w:snapToGrid w:val="0"/>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（万元）</w:t>
            </w:r>
          </w:p>
        </w:tc>
        <w:tc>
          <w:tcPr>
            <w:tcW w:w="1674" w:type="pct"/>
            <w:vMerge w:val="restart"/>
            <w:tcBorders>
              <w:top w:val="single" w:color="auto" w:sz="4" w:space="0"/>
              <w:left w:val="single" w:color="auto" w:sz="4" w:space="0"/>
              <w:bottom w:val="single" w:color="auto" w:sz="4" w:space="0"/>
              <w:right w:val="single" w:color="auto" w:sz="4" w:space="0"/>
            </w:tcBorders>
            <w:noWrap w:val="0"/>
            <w:vAlign w:val="center"/>
          </w:tcPr>
          <w:p w14:paraId="7D391A7F">
            <w:pPr>
              <w:snapToGrid w:val="0"/>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采购人联系人及</w:t>
            </w:r>
          </w:p>
          <w:p w14:paraId="135E7B5A">
            <w:pPr>
              <w:snapToGrid w:val="0"/>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联系电话</w:t>
            </w:r>
          </w:p>
        </w:tc>
      </w:tr>
      <w:tr w14:paraId="2DBED3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836" w:hRule="atLeast"/>
        </w:trPr>
        <w:tc>
          <w:tcPr>
            <w:tcW w:w="1250" w:type="pct"/>
            <w:vMerge w:val="continue"/>
            <w:tcBorders>
              <w:top w:val="single" w:color="auto" w:sz="4" w:space="0"/>
              <w:left w:val="single" w:color="auto" w:sz="4" w:space="0"/>
              <w:bottom w:val="single" w:color="auto" w:sz="4" w:space="0"/>
              <w:right w:val="single" w:color="auto" w:sz="4" w:space="0"/>
            </w:tcBorders>
            <w:noWrap w:val="0"/>
            <w:vAlign w:val="center"/>
          </w:tcPr>
          <w:p w14:paraId="5F29E96E">
            <w:pPr>
              <w:spacing w:line="440" w:lineRule="exact"/>
              <w:jc w:val="left"/>
              <w:rPr>
                <w:rFonts w:hint="eastAsia" w:ascii="宋体" w:hAnsi="宋体" w:cs="宋体"/>
                <w:color w:val="auto"/>
                <w:szCs w:val="21"/>
                <w:highlight w:val="none"/>
              </w:rPr>
            </w:pPr>
          </w:p>
        </w:tc>
        <w:tc>
          <w:tcPr>
            <w:tcW w:w="1038" w:type="pct"/>
            <w:vMerge w:val="continue"/>
            <w:tcBorders>
              <w:top w:val="single" w:color="auto" w:sz="4" w:space="0"/>
              <w:left w:val="single" w:color="auto" w:sz="4" w:space="0"/>
              <w:bottom w:val="single" w:color="auto" w:sz="4" w:space="0"/>
              <w:right w:val="single" w:color="auto" w:sz="4" w:space="0"/>
            </w:tcBorders>
            <w:noWrap w:val="0"/>
            <w:vAlign w:val="center"/>
          </w:tcPr>
          <w:p w14:paraId="6A17196B">
            <w:pPr>
              <w:spacing w:line="440" w:lineRule="exact"/>
              <w:jc w:val="left"/>
              <w:rPr>
                <w:rFonts w:hint="eastAsia" w:ascii="宋体" w:hAnsi="宋体" w:cs="宋体"/>
                <w:color w:val="auto"/>
                <w:szCs w:val="21"/>
                <w:highlight w:val="none"/>
              </w:rPr>
            </w:pPr>
          </w:p>
        </w:tc>
        <w:tc>
          <w:tcPr>
            <w:tcW w:w="1038" w:type="pct"/>
            <w:vMerge w:val="continue"/>
            <w:tcBorders>
              <w:top w:val="single" w:color="auto" w:sz="4" w:space="0"/>
              <w:left w:val="single" w:color="auto" w:sz="4" w:space="0"/>
              <w:bottom w:val="single" w:color="auto" w:sz="4" w:space="0"/>
              <w:right w:val="single" w:color="auto" w:sz="4" w:space="0"/>
            </w:tcBorders>
            <w:noWrap w:val="0"/>
            <w:vAlign w:val="center"/>
          </w:tcPr>
          <w:p w14:paraId="6098F388">
            <w:pPr>
              <w:spacing w:line="440" w:lineRule="exact"/>
              <w:jc w:val="left"/>
              <w:rPr>
                <w:rFonts w:hint="eastAsia" w:ascii="宋体" w:hAnsi="宋体" w:cs="宋体"/>
                <w:color w:val="auto"/>
                <w:szCs w:val="21"/>
                <w:highlight w:val="none"/>
              </w:rPr>
            </w:pPr>
          </w:p>
        </w:tc>
        <w:tc>
          <w:tcPr>
            <w:tcW w:w="1674" w:type="pct"/>
            <w:vMerge w:val="continue"/>
            <w:tcBorders>
              <w:top w:val="single" w:color="auto" w:sz="4" w:space="0"/>
              <w:left w:val="single" w:color="auto" w:sz="4" w:space="0"/>
              <w:bottom w:val="single" w:color="auto" w:sz="4" w:space="0"/>
              <w:right w:val="single" w:color="auto" w:sz="4" w:space="0"/>
            </w:tcBorders>
            <w:noWrap w:val="0"/>
            <w:vAlign w:val="center"/>
          </w:tcPr>
          <w:p w14:paraId="40DF06A9">
            <w:pPr>
              <w:spacing w:line="440" w:lineRule="exact"/>
              <w:jc w:val="left"/>
              <w:rPr>
                <w:rFonts w:hint="eastAsia" w:ascii="宋体" w:hAnsi="宋体" w:cs="宋体"/>
                <w:color w:val="auto"/>
                <w:szCs w:val="21"/>
                <w:highlight w:val="none"/>
              </w:rPr>
            </w:pPr>
          </w:p>
        </w:tc>
      </w:tr>
      <w:tr w14:paraId="2230B1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49" w:hRule="atLeast"/>
        </w:trPr>
        <w:tc>
          <w:tcPr>
            <w:tcW w:w="1250" w:type="pct"/>
            <w:tcBorders>
              <w:top w:val="single" w:color="auto" w:sz="4" w:space="0"/>
              <w:left w:val="single" w:color="auto" w:sz="4" w:space="0"/>
              <w:bottom w:val="single" w:color="auto" w:sz="4" w:space="0"/>
              <w:right w:val="single" w:color="auto" w:sz="4" w:space="0"/>
            </w:tcBorders>
            <w:noWrap w:val="0"/>
            <w:vAlign w:val="top"/>
          </w:tcPr>
          <w:p w14:paraId="4DE22938">
            <w:pPr>
              <w:snapToGrid w:val="0"/>
              <w:spacing w:line="440" w:lineRule="exact"/>
              <w:jc w:val="left"/>
              <w:rPr>
                <w:rFonts w:hint="eastAsia"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1E89CB97">
            <w:pPr>
              <w:snapToGrid w:val="0"/>
              <w:spacing w:line="440" w:lineRule="exact"/>
              <w:jc w:val="left"/>
              <w:rPr>
                <w:rFonts w:hint="eastAsia"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108BDDEE">
            <w:pPr>
              <w:snapToGrid w:val="0"/>
              <w:spacing w:line="440" w:lineRule="exact"/>
              <w:jc w:val="left"/>
              <w:rPr>
                <w:rFonts w:hint="eastAsia" w:ascii="宋体" w:hAnsi="宋体" w:cs="宋体"/>
                <w:color w:val="auto"/>
                <w:szCs w:val="21"/>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2771466E">
            <w:pPr>
              <w:snapToGrid w:val="0"/>
              <w:spacing w:line="440" w:lineRule="exact"/>
              <w:jc w:val="left"/>
              <w:rPr>
                <w:rFonts w:hint="eastAsia" w:ascii="宋体" w:hAnsi="宋体" w:cs="宋体"/>
                <w:color w:val="auto"/>
                <w:szCs w:val="21"/>
                <w:highlight w:val="none"/>
              </w:rPr>
            </w:pPr>
          </w:p>
        </w:tc>
      </w:tr>
      <w:tr w14:paraId="39961C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250" w:type="pct"/>
            <w:tcBorders>
              <w:top w:val="single" w:color="auto" w:sz="4" w:space="0"/>
              <w:left w:val="single" w:color="auto" w:sz="4" w:space="0"/>
              <w:bottom w:val="single" w:color="auto" w:sz="4" w:space="0"/>
              <w:right w:val="single" w:color="auto" w:sz="4" w:space="0"/>
            </w:tcBorders>
            <w:noWrap w:val="0"/>
            <w:vAlign w:val="top"/>
          </w:tcPr>
          <w:p w14:paraId="7587AC88">
            <w:pPr>
              <w:snapToGrid w:val="0"/>
              <w:spacing w:before="50" w:after="165" w:afterLines="50" w:line="440" w:lineRule="exact"/>
              <w:jc w:val="left"/>
              <w:rPr>
                <w:rFonts w:hint="eastAsia"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529FE064">
            <w:pPr>
              <w:snapToGrid w:val="0"/>
              <w:spacing w:before="50" w:after="165" w:afterLines="50" w:line="440" w:lineRule="exact"/>
              <w:jc w:val="left"/>
              <w:rPr>
                <w:rFonts w:hint="eastAsia"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576E99E8">
            <w:pPr>
              <w:snapToGrid w:val="0"/>
              <w:spacing w:before="50" w:after="165" w:afterLines="50" w:line="440" w:lineRule="exact"/>
              <w:jc w:val="left"/>
              <w:rPr>
                <w:rFonts w:hint="eastAsia" w:ascii="宋体" w:hAnsi="宋体" w:cs="宋体"/>
                <w:color w:val="auto"/>
                <w:szCs w:val="21"/>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5216E56A">
            <w:pPr>
              <w:snapToGrid w:val="0"/>
              <w:spacing w:before="50" w:after="165" w:afterLines="50" w:line="440" w:lineRule="exact"/>
              <w:jc w:val="left"/>
              <w:rPr>
                <w:rFonts w:hint="eastAsia" w:ascii="宋体" w:hAnsi="宋体" w:cs="宋体"/>
                <w:color w:val="auto"/>
                <w:szCs w:val="21"/>
                <w:highlight w:val="none"/>
              </w:rPr>
            </w:pPr>
          </w:p>
        </w:tc>
      </w:tr>
      <w:tr w14:paraId="1B2B90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710" w:hRule="atLeast"/>
        </w:trPr>
        <w:tc>
          <w:tcPr>
            <w:tcW w:w="1250" w:type="pct"/>
            <w:tcBorders>
              <w:top w:val="single" w:color="auto" w:sz="4" w:space="0"/>
              <w:left w:val="single" w:color="auto" w:sz="4" w:space="0"/>
              <w:bottom w:val="single" w:color="auto" w:sz="4" w:space="0"/>
              <w:right w:val="single" w:color="auto" w:sz="4" w:space="0"/>
            </w:tcBorders>
            <w:noWrap w:val="0"/>
            <w:vAlign w:val="top"/>
          </w:tcPr>
          <w:p w14:paraId="2E6E745D">
            <w:pPr>
              <w:snapToGrid w:val="0"/>
              <w:spacing w:before="50" w:after="165" w:afterLines="50" w:line="440" w:lineRule="exact"/>
              <w:jc w:val="left"/>
              <w:rPr>
                <w:rFonts w:hint="eastAsia"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2EB29FA1">
            <w:pPr>
              <w:snapToGrid w:val="0"/>
              <w:spacing w:before="50" w:after="165" w:afterLines="50" w:line="440" w:lineRule="exact"/>
              <w:jc w:val="left"/>
              <w:rPr>
                <w:rFonts w:hint="eastAsia"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73A306F3">
            <w:pPr>
              <w:snapToGrid w:val="0"/>
              <w:spacing w:before="50" w:after="165" w:afterLines="50" w:line="440" w:lineRule="exact"/>
              <w:jc w:val="left"/>
              <w:rPr>
                <w:rFonts w:hint="eastAsia" w:ascii="宋体" w:hAnsi="宋体" w:cs="宋体"/>
                <w:color w:val="auto"/>
                <w:szCs w:val="21"/>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07A8A0E3">
            <w:pPr>
              <w:snapToGrid w:val="0"/>
              <w:spacing w:before="50" w:after="165" w:afterLines="50" w:line="440" w:lineRule="exact"/>
              <w:jc w:val="left"/>
              <w:rPr>
                <w:rFonts w:hint="eastAsia" w:ascii="宋体" w:hAnsi="宋体" w:cs="宋体"/>
                <w:color w:val="auto"/>
                <w:szCs w:val="21"/>
                <w:highlight w:val="none"/>
              </w:rPr>
            </w:pPr>
          </w:p>
        </w:tc>
      </w:tr>
      <w:tr w14:paraId="500755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250" w:type="pct"/>
            <w:tcBorders>
              <w:top w:val="single" w:color="auto" w:sz="4" w:space="0"/>
              <w:left w:val="single" w:color="auto" w:sz="4" w:space="0"/>
              <w:bottom w:val="single" w:color="auto" w:sz="4" w:space="0"/>
              <w:right w:val="single" w:color="auto" w:sz="4" w:space="0"/>
            </w:tcBorders>
            <w:noWrap w:val="0"/>
            <w:vAlign w:val="top"/>
          </w:tcPr>
          <w:p w14:paraId="550626C0">
            <w:pPr>
              <w:snapToGrid w:val="0"/>
              <w:spacing w:before="50" w:after="165" w:afterLines="50" w:line="440" w:lineRule="exact"/>
              <w:jc w:val="left"/>
              <w:rPr>
                <w:rFonts w:hint="eastAsia"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2DC2C229">
            <w:pPr>
              <w:snapToGrid w:val="0"/>
              <w:spacing w:before="50" w:after="165" w:afterLines="50" w:line="440" w:lineRule="exact"/>
              <w:jc w:val="left"/>
              <w:rPr>
                <w:rFonts w:hint="eastAsia"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6CF13017">
            <w:pPr>
              <w:snapToGrid w:val="0"/>
              <w:spacing w:before="50" w:after="165" w:afterLines="50" w:line="440" w:lineRule="exact"/>
              <w:jc w:val="left"/>
              <w:rPr>
                <w:rFonts w:hint="eastAsia" w:ascii="宋体" w:hAnsi="宋体" w:cs="宋体"/>
                <w:color w:val="auto"/>
                <w:szCs w:val="21"/>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1A1CA097">
            <w:pPr>
              <w:snapToGrid w:val="0"/>
              <w:spacing w:before="50" w:after="165" w:afterLines="50" w:line="440" w:lineRule="exact"/>
              <w:jc w:val="left"/>
              <w:rPr>
                <w:rFonts w:hint="eastAsia" w:ascii="宋体" w:hAnsi="宋体" w:cs="宋体"/>
                <w:color w:val="auto"/>
                <w:szCs w:val="21"/>
                <w:highlight w:val="none"/>
              </w:rPr>
            </w:pPr>
          </w:p>
        </w:tc>
      </w:tr>
      <w:tr w14:paraId="72680E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250" w:type="pct"/>
            <w:tcBorders>
              <w:top w:val="single" w:color="auto" w:sz="4" w:space="0"/>
              <w:left w:val="single" w:color="auto" w:sz="4" w:space="0"/>
              <w:bottom w:val="single" w:color="auto" w:sz="4" w:space="0"/>
              <w:right w:val="single" w:color="auto" w:sz="4" w:space="0"/>
            </w:tcBorders>
            <w:noWrap w:val="0"/>
            <w:vAlign w:val="top"/>
          </w:tcPr>
          <w:p w14:paraId="36644257">
            <w:pPr>
              <w:snapToGrid w:val="0"/>
              <w:spacing w:before="50" w:after="165" w:afterLines="50" w:line="440" w:lineRule="exact"/>
              <w:jc w:val="left"/>
              <w:rPr>
                <w:rFonts w:hint="eastAsia"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375153E4">
            <w:pPr>
              <w:snapToGrid w:val="0"/>
              <w:spacing w:before="50" w:after="165" w:afterLines="50" w:line="440" w:lineRule="exact"/>
              <w:jc w:val="left"/>
              <w:rPr>
                <w:rFonts w:hint="eastAsia"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35FF4EB9">
            <w:pPr>
              <w:snapToGrid w:val="0"/>
              <w:spacing w:before="50" w:after="165" w:afterLines="50" w:line="440" w:lineRule="exact"/>
              <w:jc w:val="left"/>
              <w:rPr>
                <w:rFonts w:hint="eastAsia" w:ascii="宋体" w:hAnsi="宋体" w:cs="宋体"/>
                <w:color w:val="auto"/>
                <w:szCs w:val="21"/>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5183888D">
            <w:pPr>
              <w:snapToGrid w:val="0"/>
              <w:spacing w:before="50" w:after="165" w:afterLines="50" w:line="440" w:lineRule="exact"/>
              <w:jc w:val="left"/>
              <w:rPr>
                <w:rFonts w:hint="eastAsia" w:ascii="宋体" w:hAnsi="宋体" w:cs="宋体"/>
                <w:color w:val="auto"/>
                <w:szCs w:val="21"/>
                <w:highlight w:val="none"/>
              </w:rPr>
            </w:pPr>
          </w:p>
        </w:tc>
      </w:tr>
    </w:tbl>
    <w:p w14:paraId="70D6FBA8">
      <w:pPr>
        <w:pStyle w:val="11"/>
        <w:spacing w:before="0" w:after="0" w:line="440" w:lineRule="exact"/>
        <w:contextualSpacing/>
        <w:rPr>
          <w:rFonts w:hint="eastAsia" w:ascii="宋体" w:hAnsi="宋体" w:eastAsia="宋体" w:cs="宋体"/>
          <w:color w:val="auto"/>
          <w:sz w:val="21"/>
          <w:szCs w:val="21"/>
          <w:highlight w:val="none"/>
        </w:rPr>
      </w:pPr>
    </w:p>
    <w:p w14:paraId="7D8082CB">
      <w:pPr>
        <w:pStyle w:val="11"/>
        <w:spacing w:before="0" w:after="0" w:line="440" w:lineRule="exact"/>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注：投标人根据评标标准具体要求附业绩证明材料。</w:t>
      </w:r>
    </w:p>
    <w:p w14:paraId="481A436F">
      <w:pPr>
        <w:pStyle w:val="11"/>
        <w:spacing w:before="0" w:after="0" w:line="440" w:lineRule="exact"/>
        <w:contextualSpacing/>
        <w:jc w:val="left"/>
        <w:rPr>
          <w:rFonts w:hint="eastAsia" w:ascii="宋体" w:hAnsi="宋体" w:eastAsia="宋体" w:cs="宋体"/>
          <w:color w:val="auto"/>
          <w:sz w:val="21"/>
          <w:szCs w:val="21"/>
          <w:highlight w:val="none"/>
        </w:rPr>
      </w:pPr>
    </w:p>
    <w:p w14:paraId="6D5ACE30">
      <w:pPr>
        <w:pStyle w:val="11"/>
        <w:spacing w:before="0" w:after="0" w:line="440" w:lineRule="exact"/>
        <w:contextualSpacing/>
        <w:jc w:val="left"/>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法定代表人或者委托代理人（签字或者电子签名）：</w:t>
      </w:r>
      <w:r>
        <w:rPr>
          <w:rFonts w:hint="eastAsia" w:ascii="宋体" w:hAnsi="宋体" w:eastAsia="宋体" w:cs="宋体"/>
          <w:color w:val="auto"/>
          <w:sz w:val="21"/>
          <w:szCs w:val="21"/>
          <w:highlight w:val="none"/>
          <w:u w:val="single"/>
        </w:rPr>
        <w:t xml:space="preserve">             </w:t>
      </w:r>
    </w:p>
    <w:p w14:paraId="532DAE5D">
      <w:pPr>
        <w:spacing w:line="440" w:lineRule="exact"/>
        <w:ind w:right="480"/>
        <w:contextualSpacing/>
        <w:jc w:val="left"/>
        <w:rPr>
          <w:rFonts w:hint="eastAsia" w:ascii="宋体" w:hAnsi="宋体" w:cs="宋体"/>
          <w:color w:val="auto"/>
          <w:szCs w:val="21"/>
          <w:highlight w:val="none"/>
          <w:u w:val="single"/>
        </w:rPr>
      </w:pPr>
      <w:r>
        <w:rPr>
          <w:rFonts w:hint="eastAsia" w:ascii="宋体" w:hAnsi="宋体" w:cs="宋体"/>
          <w:color w:val="auto"/>
          <w:szCs w:val="21"/>
          <w:highlight w:val="none"/>
        </w:rPr>
        <w:t xml:space="preserve">投标人名称（电子签章）： </w:t>
      </w:r>
      <w:r>
        <w:rPr>
          <w:rFonts w:hint="eastAsia" w:ascii="宋体" w:hAnsi="宋体" w:cs="宋体"/>
          <w:color w:val="auto"/>
          <w:szCs w:val="21"/>
          <w:highlight w:val="none"/>
          <w:u w:val="single"/>
        </w:rPr>
        <w:t xml:space="preserve">                </w:t>
      </w:r>
    </w:p>
    <w:p w14:paraId="116154CC">
      <w:pPr>
        <w:snapToGrid w:val="0"/>
        <w:spacing w:before="165" w:beforeLines="50" w:after="50"/>
        <w:ind w:right="840"/>
        <w:rPr>
          <w:rFonts w:hint="eastAsia"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6C4B16E9">
      <w:pPr>
        <w:snapToGrid w:val="0"/>
        <w:spacing w:before="165" w:beforeLines="50" w:after="50"/>
        <w:jc w:val="left"/>
        <w:rPr>
          <w:rFonts w:hint="eastAsia" w:ascii="宋体" w:hAnsi="宋体" w:cs="宋体"/>
          <w:b/>
          <w:color w:val="auto"/>
          <w:sz w:val="24"/>
          <w:highlight w:val="none"/>
        </w:rPr>
      </w:pPr>
      <w:r>
        <w:rPr>
          <w:rFonts w:hint="eastAsia" w:ascii="宋体" w:hAnsi="宋体" w:cs="宋体"/>
          <w:color w:val="auto"/>
          <w:sz w:val="24"/>
          <w:highlight w:val="none"/>
        </w:rPr>
        <w:br w:type="page"/>
      </w:r>
      <w:r>
        <w:rPr>
          <w:rFonts w:hint="eastAsia" w:ascii="宋体" w:hAnsi="宋体" w:cs="宋体"/>
          <w:b/>
          <w:color w:val="auto"/>
          <w:sz w:val="24"/>
          <w:highlight w:val="none"/>
        </w:rPr>
        <w:t xml:space="preserve">（二）技术文件封面格式： </w:t>
      </w:r>
    </w:p>
    <w:p w14:paraId="06DA8003">
      <w:pPr>
        <w:snapToGrid w:val="0"/>
        <w:spacing w:before="165" w:beforeLines="50" w:after="50"/>
        <w:jc w:val="center"/>
        <w:rPr>
          <w:rFonts w:hint="eastAsia" w:ascii="宋体" w:hAnsi="宋体" w:cs="宋体"/>
          <w:color w:val="auto"/>
          <w:sz w:val="24"/>
          <w:highlight w:val="none"/>
        </w:rPr>
      </w:pPr>
      <w:r>
        <w:rPr>
          <w:rFonts w:hint="eastAsia" w:ascii="宋体" w:hAnsi="宋体" w:cs="宋体"/>
          <w:bCs/>
          <w:color w:val="auto"/>
          <w:sz w:val="48"/>
          <w:szCs w:val="48"/>
          <w:highlight w:val="none"/>
        </w:rPr>
        <w:t>电子投标文件</w:t>
      </w:r>
    </w:p>
    <w:p w14:paraId="174F5C67">
      <w:pPr>
        <w:snapToGrid w:val="0"/>
        <w:spacing w:before="165" w:beforeLines="50" w:after="50"/>
        <w:rPr>
          <w:rFonts w:hint="eastAsia" w:ascii="宋体" w:hAnsi="宋体" w:cs="宋体"/>
          <w:color w:val="auto"/>
          <w:sz w:val="24"/>
          <w:highlight w:val="none"/>
        </w:rPr>
      </w:pPr>
      <w:r>
        <w:rPr>
          <w:rFonts w:hint="eastAsia" w:ascii="宋体" w:hAnsi="宋体" w:cs="宋体"/>
          <w:color w:val="auto"/>
          <w:sz w:val="24"/>
          <w:highlight w:val="none"/>
        </w:rPr>
        <w:t xml:space="preserve">                </w:t>
      </w:r>
    </w:p>
    <w:p w14:paraId="5BFB3AFD">
      <w:pPr>
        <w:rPr>
          <w:rFonts w:hint="eastAsia" w:ascii="宋体" w:hAnsi="宋体" w:cs="宋体"/>
          <w:color w:val="auto"/>
          <w:sz w:val="24"/>
          <w:highlight w:val="none"/>
        </w:rPr>
      </w:pPr>
    </w:p>
    <w:p w14:paraId="46D351DE">
      <w:pPr>
        <w:rPr>
          <w:rFonts w:hint="eastAsia"/>
          <w:color w:val="auto"/>
          <w:highlight w:val="none"/>
        </w:rPr>
      </w:pPr>
    </w:p>
    <w:p w14:paraId="5465629B">
      <w:pPr>
        <w:snapToGrid w:val="0"/>
        <w:spacing w:before="165" w:beforeLines="50" w:after="50"/>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技术文件</w:t>
      </w:r>
    </w:p>
    <w:p w14:paraId="584FBBCF">
      <w:pPr>
        <w:rPr>
          <w:rFonts w:hint="eastAsia" w:ascii="宋体" w:hAnsi="宋体" w:cs="宋体"/>
          <w:b/>
          <w:color w:val="auto"/>
          <w:sz w:val="32"/>
          <w:szCs w:val="32"/>
          <w:highlight w:val="none"/>
        </w:rPr>
      </w:pPr>
    </w:p>
    <w:p w14:paraId="5C541E62">
      <w:pPr>
        <w:rPr>
          <w:rFonts w:hint="eastAsia"/>
          <w:color w:val="auto"/>
          <w:highlight w:val="none"/>
        </w:rPr>
      </w:pPr>
    </w:p>
    <w:p w14:paraId="331FBA40">
      <w:pPr>
        <w:snapToGrid w:val="0"/>
        <w:spacing w:before="165" w:beforeLines="50" w:after="50"/>
        <w:rPr>
          <w:rFonts w:hint="eastAsia" w:ascii="宋体" w:hAnsi="宋体" w:cs="宋体"/>
          <w:bCs/>
          <w:color w:val="auto"/>
          <w:sz w:val="24"/>
          <w:szCs w:val="20"/>
          <w:highlight w:val="none"/>
        </w:rPr>
      </w:pPr>
    </w:p>
    <w:p w14:paraId="3BC5FABB">
      <w:pPr>
        <w:snapToGrid w:val="0"/>
        <w:spacing w:before="165" w:beforeLines="50" w:after="50"/>
        <w:ind w:firstLine="540" w:firstLineChars="225"/>
        <w:rPr>
          <w:rFonts w:hint="eastAsia" w:ascii="宋体" w:hAnsi="宋体" w:cs="宋体"/>
          <w:bCs/>
          <w:color w:val="auto"/>
          <w:sz w:val="24"/>
          <w:highlight w:val="none"/>
        </w:rPr>
      </w:pPr>
      <w:r>
        <w:rPr>
          <w:rFonts w:hint="eastAsia" w:ascii="宋体" w:hAnsi="宋体" w:cs="宋体"/>
          <w:bCs/>
          <w:color w:val="auto"/>
          <w:sz w:val="24"/>
          <w:highlight w:val="none"/>
        </w:rPr>
        <w:t>项目名称：</w:t>
      </w:r>
    </w:p>
    <w:p w14:paraId="56D6DDE6">
      <w:pPr>
        <w:snapToGrid w:val="0"/>
        <w:spacing w:before="165" w:beforeLines="50" w:after="50"/>
        <w:ind w:firstLine="540" w:firstLineChars="225"/>
        <w:rPr>
          <w:rFonts w:hint="eastAsia" w:ascii="宋体" w:hAnsi="宋体" w:cs="宋体"/>
          <w:bCs/>
          <w:color w:val="auto"/>
          <w:sz w:val="24"/>
          <w:szCs w:val="20"/>
          <w:highlight w:val="none"/>
        </w:rPr>
      </w:pPr>
    </w:p>
    <w:p w14:paraId="2FED3B1E">
      <w:pPr>
        <w:snapToGrid w:val="0"/>
        <w:spacing w:before="165" w:beforeLines="50" w:after="50"/>
        <w:ind w:firstLine="540" w:firstLineChars="225"/>
        <w:rPr>
          <w:rFonts w:hint="eastAsia" w:ascii="宋体" w:hAnsi="宋体" w:cs="宋体"/>
          <w:bCs/>
          <w:color w:val="auto"/>
          <w:sz w:val="24"/>
          <w:highlight w:val="none"/>
        </w:rPr>
      </w:pPr>
      <w:r>
        <w:rPr>
          <w:rFonts w:hint="eastAsia" w:ascii="宋体" w:hAnsi="宋体" w:cs="宋体"/>
          <w:bCs/>
          <w:color w:val="auto"/>
          <w:sz w:val="24"/>
          <w:highlight w:val="none"/>
        </w:rPr>
        <w:t>项目编号：</w:t>
      </w:r>
    </w:p>
    <w:p w14:paraId="06488620">
      <w:pPr>
        <w:snapToGrid w:val="0"/>
        <w:spacing w:before="165" w:beforeLines="50" w:after="50"/>
        <w:ind w:firstLine="540" w:firstLineChars="225"/>
        <w:rPr>
          <w:rFonts w:hint="eastAsia" w:ascii="宋体" w:hAnsi="宋体" w:cs="宋体"/>
          <w:bCs/>
          <w:color w:val="auto"/>
          <w:sz w:val="24"/>
          <w:szCs w:val="20"/>
          <w:highlight w:val="none"/>
        </w:rPr>
      </w:pPr>
      <w:r>
        <w:rPr>
          <w:rFonts w:hint="eastAsia" w:ascii="宋体" w:hAnsi="宋体" w:cs="宋体"/>
          <w:bCs/>
          <w:color w:val="auto"/>
          <w:sz w:val="24"/>
          <w:highlight w:val="none"/>
        </w:rPr>
        <w:t xml:space="preserve"> </w:t>
      </w:r>
    </w:p>
    <w:p w14:paraId="06E824D0">
      <w:pPr>
        <w:snapToGrid w:val="0"/>
        <w:spacing w:before="165" w:beforeLines="50" w:after="50"/>
        <w:ind w:firstLine="540" w:firstLineChars="225"/>
        <w:rPr>
          <w:rFonts w:hint="eastAsia" w:ascii="宋体" w:hAnsi="宋体" w:cs="宋体"/>
          <w:bCs/>
          <w:color w:val="auto"/>
          <w:sz w:val="24"/>
          <w:highlight w:val="none"/>
        </w:rPr>
      </w:pPr>
      <w:r>
        <w:rPr>
          <w:rFonts w:hint="eastAsia" w:ascii="宋体" w:hAnsi="宋体" w:cs="宋体"/>
          <w:bCs/>
          <w:color w:val="auto"/>
          <w:sz w:val="24"/>
          <w:highlight w:val="none"/>
        </w:rPr>
        <w:t>所投分标：</w:t>
      </w:r>
    </w:p>
    <w:p w14:paraId="5CECBEB5">
      <w:pPr>
        <w:snapToGrid w:val="0"/>
        <w:spacing w:before="165" w:beforeLines="50" w:after="50"/>
        <w:ind w:firstLine="540" w:firstLineChars="225"/>
        <w:rPr>
          <w:rFonts w:hint="eastAsia" w:ascii="宋体" w:hAnsi="宋体" w:cs="宋体"/>
          <w:bCs/>
          <w:color w:val="auto"/>
          <w:sz w:val="24"/>
          <w:szCs w:val="20"/>
          <w:highlight w:val="none"/>
        </w:rPr>
      </w:pPr>
    </w:p>
    <w:p w14:paraId="4A918ED1">
      <w:pPr>
        <w:pStyle w:val="10"/>
        <w:snapToGrid w:val="0"/>
        <w:spacing w:before="50" w:after="50"/>
        <w:ind w:firstLine="540" w:firstLineChars="225"/>
        <w:rPr>
          <w:rFonts w:hint="eastAsia" w:ascii="宋体" w:hAnsi="宋体" w:cs="宋体"/>
          <w:bCs/>
          <w:color w:val="auto"/>
          <w:sz w:val="24"/>
          <w:szCs w:val="24"/>
          <w:highlight w:val="none"/>
        </w:rPr>
      </w:pPr>
      <w:r>
        <w:rPr>
          <w:rFonts w:hint="eastAsia" w:ascii="宋体" w:hAnsi="宋体" w:cs="宋体"/>
          <w:bCs/>
          <w:color w:val="auto"/>
          <w:sz w:val="24"/>
          <w:szCs w:val="24"/>
          <w:highlight w:val="none"/>
        </w:rPr>
        <w:t>投标人名称：</w:t>
      </w:r>
    </w:p>
    <w:p w14:paraId="1D93B97D">
      <w:pPr>
        <w:pStyle w:val="10"/>
        <w:snapToGrid w:val="0"/>
        <w:spacing w:before="50" w:after="50"/>
        <w:ind w:firstLine="540" w:firstLineChars="225"/>
        <w:rPr>
          <w:rFonts w:hint="eastAsia" w:ascii="宋体" w:hAnsi="宋体" w:cs="宋体"/>
          <w:bCs/>
          <w:color w:val="auto"/>
          <w:sz w:val="24"/>
          <w:szCs w:val="24"/>
          <w:highlight w:val="none"/>
        </w:rPr>
      </w:pPr>
    </w:p>
    <w:p w14:paraId="7528120A">
      <w:pPr>
        <w:pStyle w:val="10"/>
        <w:snapToGrid w:val="0"/>
        <w:spacing w:before="50" w:after="50"/>
        <w:ind w:firstLine="540" w:firstLineChars="225"/>
        <w:rPr>
          <w:rFonts w:hint="eastAsia" w:ascii="宋体" w:hAnsi="宋体" w:cs="宋体"/>
          <w:bCs/>
          <w:color w:val="auto"/>
          <w:sz w:val="24"/>
          <w:szCs w:val="24"/>
          <w:highlight w:val="none"/>
        </w:rPr>
      </w:pPr>
      <w:r>
        <w:rPr>
          <w:rFonts w:hint="eastAsia" w:ascii="宋体" w:hAnsi="宋体" w:cs="宋体"/>
          <w:bCs/>
          <w:color w:val="auto"/>
          <w:sz w:val="24"/>
          <w:szCs w:val="24"/>
          <w:highlight w:val="none"/>
        </w:rPr>
        <w:t>投标人地址：</w:t>
      </w:r>
    </w:p>
    <w:p w14:paraId="28559FB3">
      <w:pPr>
        <w:pStyle w:val="10"/>
        <w:snapToGrid w:val="0"/>
        <w:spacing w:before="50" w:after="50"/>
        <w:ind w:firstLine="960" w:firstLineChars="400"/>
        <w:rPr>
          <w:rFonts w:hint="eastAsia" w:ascii="宋体" w:hAnsi="宋体" w:cs="宋体"/>
          <w:bCs/>
          <w:color w:val="auto"/>
          <w:sz w:val="24"/>
          <w:szCs w:val="24"/>
          <w:highlight w:val="none"/>
        </w:rPr>
      </w:pPr>
    </w:p>
    <w:p w14:paraId="5155A249">
      <w:pPr>
        <w:snapToGrid w:val="0"/>
        <w:spacing w:before="165" w:beforeLines="50" w:after="50"/>
        <w:ind w:firstLine="645"/>
        <w:rPr>
          <w:rFonts w:hint="eastAsia" w:ascii="宋体" w:hAnsi="宋体" w:cs="宋体"/>
          <w:color w:val="auto"/>
          <w:sz w:val="24"/>
          <w:highlight w:val="none"/>
        </w:rPr>
      </w:pPr>
      <w:r>
        <w:rPr>
          <w:rFonts w:hint="eastAsia" w:ascii="宋体" w:hAnsi="宋体" w:cs="宋体"/>
          <w:color w:val="auto"/>
          <w:sz w:val="24"/>
          <w:highlight w:val="none"/>
        </w:rPr>
        <w:t xml:space="preserve">                        年  月  日</w:t>
      </w:r>
    </w:p>
    <w:p w14:paraId="5D50C429">
      <w:pPr>
        <w:snapToGrid w:val="0"/>
        <w:spacing w:before="165" w:beforeLines="50" w:after="50"/>
        <w:rPr>
          <w:rFonts w:hint="eastAsia" w:ascii="宋体" w:hAnsi="宋体" w:cs="宋体"/>
          <w:color w:val="auto"/>
          <w:sz w:val="24"/>
          <w:szCs w:val="20"/>
          <w:highlight w:val="none"/>
        </w:rPr>
      </w:pPr>
      <w:r>
        <w:rPr>
          <w:rFonts w:hint="eastAsia" w:ascii="宋体" w:hAnsi="宋体" w:cs="宋体"/>
          <w:color w:val="auto"/>
          <w:sz w:val="24"/>
          <w:szCs w:val="20"/>
          <w:highlight w:val="none"/>
        </w:rPr>
        <w:t xml:space="preserve"> </w:t>
      </w:r>
    </w:p>
    <w:p w14:paraId="3BFF6936">
      <w:pPr>
        <w:snapToGrid w:val="0"/>
        <w:spacing w:line="360" w:lineRule="auto"/>
        <w:ind w:firstLine="120" w:firstLineChars="50"/>
        <w:jc w:val="center"/>
        <w:rPr>
          <w:rFonts w:hint="eastAsia" w:ascii="宋体" w:hAnsi="宋体" w:cs="宋体"/>
          <w:b/>
          <w:bCs/>
          <w:color w:val="auto"/>
          <w:sz w:val="28"/>
          <w:szCs w:val="28"/>
          <w:highlight w:val="none"/>
        </w:rPr>
      </w:pPr>
      <w:r>
        <w:rPr>
          <w:rFonts w:hint="eastAsia" w:ascii="宋体" w:hAnsi="宋体" w:cs="宋体"/>
          <w:color w:val="auto"/>
          <w:sz w:val="24"/>
          <w:szCs w:val="20"/>
          <w:highlight w:val="none"/>
        </w:rPr>
        <w:br w:type="page"/>
      </w:r>
      <w:r>
        <w:rPr>
          <w:rFonts w:hint="eastAsia" w:ascii="宋体" w:hAnsi="宋体" w:cs="宋体"/>
          <w:b/>
          <w:bCs/>
          <w:color w:val="auto"/>
          <w:sz w:val="28"/>
          <w:szCs w:val="28"/>
          <w:highlight w:val="none"/>
        </w:rPr>
        <w:t>商务及技术文件目录</w:t>
      </w:r>
    </w:p>
    <w:p w14:paraId="1C5B19A0">
      <w:pPr>
        <w:snapToGrid w:val="0"/>
        <w:spacing w:before="50" w:after="165" w:afterLines="50" w:line="360" w:lineRule="auto"/>
        <w:jc w:val="center"/>
        <w:rPr>
          <w:rFonts w:ascii="宋体" w:hAnsi="宋体" w:cs="宋体"/>
          <w:color w:val="auto"/>
          <w:szCs w:val="21"/>
          <w:highlight w:val="none"/>
        </w:rPr>
      </w:pPr>
      <w:r>
        <w:rPr>
          <w:rFonts w:hint="eastAsia" w:ascii="宋体" w:hAnsi="宋体" w:cs="宋体"/>
          <w:color w:val="auto"/>
          <w:szCs w:val="21"/>
          <w:highlight w:val="none"/>
        </w:rPr>
        <w:t>根据招标文件规定及投标人提供的材料自行编写目录。</w:t>
      </w:r>
    </w:p>
    <w:p w14:paraId="52BB63CC">
      <w:pPr>
        <w:snapToGrid w:val="0"/>
        <w:spacing w:before="165" w:beforeLines="50" w:after="50"/>
        <w:ind w:left="142"/>
        <w:jc w:val="left"/>
        <w:rPr>
          <w:rFonts w:hint="eastAsia"/>
          <w:b/>
          <w:color w:val="auto"/>
          <w:highlight w:val="none"/>
        </w:rPr>
      </w:pPr>
      <w:r>
        <w:rPr>
          <w:color w:val="auto"/>
          <w:highlight w:val="none"/>
        </w:rPr>
        <w:br w:type="page"/>
      </w:r>
      <w:r>
        <w:rPr>
          <w:rFonts w:hint="eastAsia" w:ascii="宋体" w:hAnsi="宋体" w:cs="宋体"/>
          <w:b/>
          <w:color w:val="auto"/>
          <w:sz w:val="24"/>
          <w:highlight w:val="none"/>
        </w:rPr>
        <w:t>1.技术要求偏离表格式</w:t>
      </w:r>
    </w:p>
    <w:p w14:paraId="10B142F5">
      <w:pPr>
        <w:snapToGrid w:val="0"/>
        <w:spacing w:before="165" w:beforeLines="50" w:after="50"/>
        <w:ind w:left="142"/>
        <w:jc w:val="left"/>
        <w:rPr>
          <w:rFonts w:hint="eastAsia" w:ascii="宋体" w:hAnsi="宋体" w:cs="宋体"/>
          <w:b/>
          <w:color w:val="auto"/>
          <w:sz w:val="24"/>
          <w:highlight w:val="none"/>
        </w:rPr>
      </w:pPr>
    </w:p>
    <w:p w14:paraId="144BFD7F">
      <w:pPr>
        <w:snapToGrid w:val="0"/>
        <w:spacing w:before="165" w:beforeLines="50" w:after="50"/>
        <w:ind w:left="142"/>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技术要求偏离表</w:t>
      </w:r>
    </w:p>
    <w:p w14:paraId="7C72175D">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r>
        <w:rPr>
          <w:rFonts w:hint="eastAsia" w:hAnsi="宋体" w:cs="宋体"/>
          <w:color w:val="auto"/>
          <w:highlight w:val="none"/>
        </w:rPr>
        <w:t>所投分标：</w:t>
      </w:r>
      <w:r>
        <w:rPr>
          <w:rFonts w:hint="eastAsia" w:hAnsi="宋体" w:cs="宋体"/>
          <w:color w:val="auto"/>
          <w:highlight w:val="none"/>
          <w:u w:val="single"/>
        </w:rPr>
        <w:t xml:space="preserve">     </w:t>
      </w:r>
      <w:r>
        <w:rPr>
          <w:rFonts w:hint="eastAsia" w:hAnsi="宋体" w:cs="宋体"/>
          <w:color w:val="auto"/>
          <w:highlight w:val="none"/>
        </w:rPr>
        <w:t>分标</w:t>
      </w:r>
    </w:p>
    <w:tbl>
      <w:tblPr>
        <w:tblStyle w:val="39"/>
        <w:tblW w:w="91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2143"/>
        <w:gridCol w:w="1834"/>
        <w:gridCol w:w="2181"/>
        <w:gridCol w:w="2084"/>
      </w:tblGrid>
      <w:tr w14:paraId="304A2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3" w:hRule="atLeast"/>
          <w:jc w:val="center"/>
        </w:trPr>
        <w:tc>
          <w:tcPr>
            <w:tcW w:w="925" w:type="dxa"/>
            <w:noWrap w:val="0"/>
            <w:vAlign w:val="center"/>
          </w:tcPr>
          <w:p w14:paraId="4FCFB4DA">
            <w:pPr>
              <w:pStyle w:val="20"/>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hAnsi="宋体" w:cs="宋体"/>
                <w:color w:val="auto"/>
                <w:highlight w:val="none"/>
              </w:rPr>
            </w:pPr>
            <w:r>
              <w:rPr>
                <w:rFonts w:hint="eastAsia" w:hAnsi="宋体" w:cs="宋体"/>
                <w:color w:val="auto"/>
                <w:highlight w:val="none"/>
              </w:rPr>
              <w:t>项号</w:t>
            </w:r>
          </w:p>
        </w:tc>
        <w:tc>
          <w:tcPr>
            <w:tcW w:w="2143" w:type="dxa"/>
            <w:noWrap w:val="0"/>
            <w:vAlign w:val="center"/>
          </w:tcPr>
          <w:p w14:paraId="19503388">
            <w:pPr>
              <w:pStyle w:val="20"/>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hAnsi="宋体" w:cs="宋体"/>
                <w:color w:val="auto"/>
                <w:highlight w:val="none"/>
              </w:rPr>
            </w:pPr>
            <w:r>
              <w:rPr>
                <w:rFonts w:hint="eastAsia" w:hAnsi="宋体" w:cs="宋体"/>
                <w:color w:val="auto"/>
                <w:highlight w:val="none"/>
              </w:rPr>
              <w:t>标的名称</w:t>
            </w:r>
          </w:p>
        </w:tc>
        <w:tc>
          <w:tcPr>
            <w:tcW w:w="1834" w:type="dxa"/>
            <w:noWrap w:val="0"/>
            <w:vAlign w:val="center"/>
          </w:tcPr>
          <w:p w14:paraId="42C6310F">
            <w:pPr>
              <w:pStyle w:val="20"/>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hAnsi="宋体" w:cs="宋体"/>
                <w:color w:val="auto"/>
                <w:highlight w:val="none"/>
              </w:rPr>
            </w:pPr>
            <w:r>
              <w:rPr>
                <w:rFonts w:hint="eastAsia" w:hAnsi="宋体" w:cs="宋体"/>
                <w:color w:val="auto"/>
                <w:highlight w:val="none"/>
              </w:rPr>
              <w:t>项目要求及技术需求</w:t>
            </w:r>
          </w:p>
        </w:tc>
        <w:tc>
          <w:tcPr>
            <w:tcW w:w="2181" w:type="dxa"/>
            <w:noWrap w:val="0"/>
            <w:vAlign w:val="center"/>
          </w:tcPr>
          <w:p w14:paraId="33710FFC">
            <w:pPr>
              <w:pStyle w:val="20"/>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hAnsi="宋体" w:cs="宋体"/>
                <w:color w:val="auto"/>
                <w:highlight w:val="none"/>
              </w:rPr>
            </w:pPr>
            <w:r>
              <w:rPr>
                <w:rFonts w:hint="eastAsia" w:hAnsi="宋体" w:cs="宋体"/>
                <w:color w:val="auto"/>
                <w:highlight w:val="none"/>
              </w:rPr>
              <w:t>投标响应</w:t>
            </w:r>
          </w:p>
        </w:tc>
        <w:tc>
          <w:tcPr>
            <w:tcW w:w="2084" w:type="dxa"/>
            <w:noWrap w:val="0"/>
            <w:vAlign w:val="center"/>
          </w:tcPr>
          <w:p w14:paraId="10E6382A">
            <w:pPr>
              <w:pStyle w:val="20"/>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hAnsi="宋体" w:cs="宋体"/>
                <w:color w:val="auto"/>
                <w:highlight w:val="none"/>
              </w:rPr>
            </w:pPr>
            <w:r>
              <w:rPr>
                <w:rFonts w:hint="eastAsia" w:hAnsi="宋体" w:cs="宋体"/>
                <w:color w:val="auto"/>
                <w:highlight w:val="none"/>
              </w:rPr>
              <w:t>偏离说明</w:t>
            </w:r>
          </w:p>
        </w:tc>
      </w:tr>
      <w:tr w14:paraId="0B6C0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25" w:type="dxa"/>
            <w:noWrap w:val="0"/>
            <w:vAlign w:val="top"/>
          </w:tcPr>
          <w:p w14:paraId="4E614730">
            <w:pPr>
              <w:pStyle w:val="20"/>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hAnsi="宋体" w:cs="宋体"/>
                <w:color w:val="auto"/>
                <w:highlight w:val="none"/>
              </w:rPr>
            </w:pPr>
          </w:p>
        </w:tc>
        <w:tc>
          <w:tcPr>
            <w:tcW w:w="2143" w:type="dxa"/>
            <w:noWrap w:val="0"/>
            <w:vAlign w:val="center"/>
          </w:tcPr>
          <w:p w14:paraId="28D65749">
            <w:pPr>
              <w:pStyle w:val="20"/>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hAnsi="宋体" w:cs="宋体"/>
                <w:color w:val="auto"/>
                <w:highlight w:val="none"/>
              </w:rPr>
            </w:pPr>
          </w:p>
        </w:tc>
        <w:tc>
          <w:tcPr>
            <w:tcW w:w="1834" w:type="dxa"/>
            <w:noWrap w:val="0"/>
            <w:vAlign w:val="center"/>
          </w:tcPr>
          <w:p w14:paraId="50AA2367">
            <w:pPr>
              <w:pStyle w:val="20"/>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hAnsi="宋体" w:cs="宋体"/>
                <w:color w:val="auto"/>
                <w:highlight w:val="none"/>
              </w:rPr>
            </w:pPr>
          </w:p>
        </w:tc>
        <w:tc>
          <w:tcPr>
            <w:tcW w:w="2181" w:type="dxa"/>
            <w:noWrap w:val="0"/>
            <w:vAlign w:val="center"/>
          </w:tcPr>
          <w:p w14:paraId="71AFC007">
            <w:pPr>
              <w:pStyle w:val="20"/>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hAnsi="宋体" w:cs="宋体"/>
                <w:color w:val="auto"/>
                <w:highlight w:val="none"/>
              </w:rPr>
            </w:pPr>
          </w:p>
        </w:tc>
        <w:tc>
          <w:tcPr>
            <w:tcW w:w="2084" w:type="dxa"/>
            <w:noWrap w:val="0"/>
            <w:vAlign w:val="center"/>
          </w:tcPr>
          <w:p w14:paraId="522F5313">
            <w:pPr>
              <w:pStyle w:val="20"/>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hAnsi="宋体" w:cs="宋体"/>
                <w:color w:val="auto"/>
                <w:highlight w:val="none"/>
              </w:rPr>
            </w:pPr>
          </w:p>
        </w:tc>
      </w:tr>
      <w:tr w14:paraId="63353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25" w:type="dxa"/>
            <w:noWrap w:val="0"/>
            <w:vAlign w:val="top"/>
          </w:tcPr>
          <w:p w14:paraId="2C05AFEF">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c>
          <w:tcPr>
            <w:tcW w:w="2143" w:type="dxa"/>
            <w:noWrap w:val="0"/>
            <w:vAlign w:val="top"/>
          </w:tcPr>
          <w:p w14:paraId="79CCE38F">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c>
          <w:tcPr>
            <w:tcW w:w="1834" w:type="dxa"/>
            <w:noWrap w:val="0"/>
            <w:vAlign w:val="top"/>
          </w:tcPr>
          <w:p w14:paraId="2F2C19FB">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c>
          <w:tcPr>
            <w:tcW w:w="2181" w:type="dxa"/>
            <w:noWrap w:val="0"/>
            <w:vAlign w:val="top"/>
          </w:tcPr>
          <w:p w14:paraId="68CF7B08">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c>
          <w:tcPr>
            <w:tcW w:w="2084" w:type="dxa"/>
            <w:noWrap w:val="0"/>
            <w:vAlign w:val="top"/>
          </w:tcPr>
          <w:p w14:paraId="04B3EADF">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r>
      <w:tr w14:paraId="5C5D0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25" w:type="dxa"/>
            <w:noWrap w:val="0"/>
            <w:vAlign w:val="top"/>
          </w:tcPr>
          <w:p w14:paraId="47DE820B">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c>
          <w:tcPr>
            <w:tcW w:w="2143" w:type="dxa"/>
            <w:noWrap w:val="0"/>
            <w:vAlign w:val="top"/>
          </w:tcPr>
          <w:p w14:paraId="515CDA63">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c>
          <w:tcPr>
            <w:tcW w:w="1834" w:type="dxa"/>
            <w:noWrap w:val="0"/>
            <w:vAlign w:val="top"/>
          </w:tcPr>
          <w:p w14:paraId="16406693">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c>
          <w:tcPr>
            <w:tcW w:w="2181" w:type="dxa"/>
            <w:noWrap w:val="0"/>
            <w:vAlign w:val="top"/>
          </w:tcPr>
          <w:p w14:paraId="4D5197F2">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c>
          <w:tcPr>
            <w:tcW w:w="2084" w:type="dxa"/>
            <w:noWrap w:val="0"/>
            <w:vAlign w:val="top"/>
          </w:tcPr>
          <w:p w14:paraId="0C590346">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r>
      <w:tr w14:paraId="30AB6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25" w:type="dxa"/>
            <w:noWrap w:val="0"/>
            <w:vAlign w:val="top"/>
          </w:tcPr>
          <w:p w14:paraId="0EBD72F5">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c>
          <w:tcPr>
            <w:tcW w:w="2143" w:type="dxa"/>
            <w:noWrap w:val="0"/>
            <w:vAlign w:val="top"/>
          </w:tcPr>
          <w:p w14:paraId="5A863C74">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c>
          <w:tcPr>
            <w:tcW w:w="1834" w:type="dxa"/>
            <w:noWrap w:val="0"/>
            <w:vAlign w:val="top"/>
          </w:tcPr>
          <w:p w14:paraId="10FE54B9">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c>
          <w:tcPr>
            <w:tcW w:w="2181" w:type="dxa"/>
            <w:noWrap w:val="0"/>
            <w:vAlign w:val="top"/>
          </w:tcPr>
          <w:p w14:paraId="22F04665">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c>
          <w:tcPr>
            <w:tcW w:w="2084" w:type="dxa"/>
            <w:noWrap w:val="0"/>
            <w:vAlign w:val="top"/>
          </w:tcPr>
          <w:p w14:paraId="2B5BF119">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r>
      <w:tr w14:paraId="35E84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25" w:type="dxa"/>
            <w:noWrap w:val="0"/>
            <w:vAlign w:val="top"/>
          </w:tcPr>
          <w:p w14:paraId="67233ED2">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c>
          <w:tcPr>
            <w:tcW w:w="2143" w:type="dxa"/>
            <w:noWrap w:val="0"/>
            <w:vAlign w:val="top"/>
          </w:tcPr>
          <w:p w14:paraId="4BF6C111">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c>
          <w:tcPr>
            <w:tcW w:w="1834" w:type="dxa"/>
            <w:noWrap w:val="0"/>
            <w:vAlign w:val="top"/>
          </w:tcPr>
          <w:p w14:paraId="4309FEA6">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c>
          <w:tcPr>
            <w:tcW w:w="2181" w:type="dxa"/>
            <w:noWrap w:val="0"/>
            <w:vAlign w:val="top"/>
          </w:tcPr>
          <w:p w14:paraId="7C58567B">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c>
          <w:tcPr>
            <w:tcW w:w="2084" w:type="dxa"/>
            <w:noWrap w:val="0"/>
            <w:vAlign w:val="top"/>
          </w:tcPr>
          <w:p w14:paraId="10B36CAE">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r>
      <w:tr w14:paraId="1D445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25" w:type="dxa"/>
            <w:noWrap w:val="0"/>
            <w:vAlign w:val="top"/>
          </w:tcPr>
          <w:p w14:paraId="24460BF1">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c>
          <w:tcPr>
            <w:tcW w:w="2143" w:type="dxa"/>
            <w:noWrap w:val="0"/>
            <w:vAlign w:val="top"/>
          </w:tcPr>
          <w:p w14:paraId="5C1003CA">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c>
          <w:tcPr>
            <w:tcW w:w="1834" w:type="dxa"/>
            <w:noWrap w:val="0"/>
            <w:vAlign w:val="top"/>
          </w:tcPr>
          <w:p w14:paraId="5F7144DA">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c>
          <w:tcPr>
            <w:tcW w:w="2181" w:type="dxa"/>
            <w:noWrap w:val="0"/>
            <w:vAlign w:val="top"/>
          </w:tcPr>
          <w:p w14:paraId="16049060">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c>
          <w:tcPr>
            <w:tcW w:w="2084" w:type="dxa"/>
            <w:noWrap w:val="0"/>
            <w:vAlign w:val="top"/>
          </w:tcPr>
          <w:p w14:paraId="2DE352A1">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r>
      <w:tr w14:paraId="0AFE9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25" w:type="dxa"/>
            <w:noWrap w:val="0"/>
            <w:vAlign w:val="top"/>
          </w:tcPr>
          <w:p w14:paraId="219506DE">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c>
          <w:tcPr>
            <w:tcW w:w="2143" w:type="dxa"/>
            <w:noWrap w:val="0"/>
            <w:vAlign w:val="top"/>
          </w:tcPr>
          <w:p w14:paraId="0A51AE6B">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c>
          <w:tcPr>
            <w:tcW w:w="1834" w:type="dxa"/>
            <w:noWrap w:val="0"/>
            <w:vAlign w:val="top"/>
          </w:tcPr>
          <w:p w14:paraId="226E8980">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c>
          <w:tcPr>
            <w:tcW w:w="2181" w:type="dxa"/>
            <w:noWrap w:val="0"/>
            <w:vAlign w:val="top"/>
          </w:tcPr>
          <w:p w14:paraId="28C9CAA9">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c>
          <w:tcPr>
            <w:tcW w:w="2084" w:type="dxa"/>
            <w:noWrap w:val="0"/>
            <w:vAlign w:val="top"/>
          </w:tcPr>
          <w:p w14:paraId="263253AA">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hAnsi="宋体" w:cs="宋体"/>
                <w:color w:val="auto"/>
                <w:highlight w:val="none"/>
              </w:rPr>
            </w:pPr>
          </w:p>
        </w:tc>
      </w:tr>
    </w:tbl>
    <w:p w14:paraId="4627C66E">
      <w:pPr>
        <w:pStyle w:val="15"/>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注：</w:t>
      </w:r>
    </w:p>
    <w:p w14:paraId="6934E05E">
      <w:pPr>
        <w:pStyle w:val="16"/>
        <w:keepNext w:val="0"/>
        <w:keepLines w:val="0"/>
        <w:pageBreakBefore w:val="0"/>
        <w:widowControl w:val="0"/>
        <w:kinsoku/>
        <w:wordWrap/>
        <w:overflowPunct/>
        <w:topLinePunct w:val="0"/>
        <w:autoSpaceDE/>
        <w:autoSpaceDN/>
        <w:bidi w:val="0"/>
        <w:adjustRightInd/>
        <w:snapToGrid/>
        <w:spacing w:line="400" w:lineRule="exact"/>
        <w:ind w:firstLine="0"/>
        <w:contextualSpacing/>
        <w:textAlignment w:val="auto"/>
        <w:rPr>
          <w:rFonts w:hint="eastAsia" w:hAnsi="宋体" w:cs="宋体"/>
          <w:color w:val="auto"/>
          <w:sz w:val="21"/>
          <w:szCs w:val="21"/>
          <w:highlight w:val="none"/>
        </w:rPr>
      </w:pPr>
      <w:r>
        <w:rPr>
          <w:rFonts w:hint="eastAsia" w:hAnsi="宋体" w:cs="宋体"/>
          <w:color w:val="auto"/>
          <w:sz w:val="21"/>
          <w:szCs w:val="21"/>
          <w:highlight w:val="none"/>
        </w:rPr>
        <w:t>1. 说明：应对照招标文件“第二章 采购需求”中的项目要求及技术需求逐条作明确的投标响应，并作出偏离说明。</w:t>
      </w:r>
    </w:p>
    <w:p w14:paraId="6151D101">
      <w:pPr>
        <w:pStyle w:val="15"/>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2.投标人应根据自身的承诺，对照招标文件要求，在“偏离说明”中注明“正偏离”、“负偏离”或者“无偏离”。既不属于“正偏离”也不属于“负偏离”即为“无偏离”。</w:t>
      </w:r>
    </w:p>
    <w:p w14:paraId="6584660D">
      <w:pPr>
        <w:pStyle w:val="15"/>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cs="宋体"/>
          <w:color w:val="auto"/>
          <w:spacing w:val="20"/>
          <w:sz w:val="21"/>
          <w:szCs w:val="21"/>
          <w:highlight w:val="none"/>
        </w:rPr>
      </w:pPr>
    </w:p>
    <w:p w14:paraId="6C74854F">
      <w:pPr>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cs="宋体"/>
          <w:color w:val="auto"/>
          <w:spacing w:val="20"/>
          <w:szCs w:val="21"/>
          <w:highlight w:val="none"/>
          <w:u w:val="single"/>
        </w:rPr>
      </w:pPr>
      <w:r>
        <w:rPr>
          <w:rFonts w:hint="eastAsia" w:ascii="宋体" w:hAnsi="宋体" w:cs="宋体"/>
          <w:color w:val="auto"/>
          <w:szCs w:val="21"/>
          <w:highlight w:val="none"/>
        </w:rPr>
        <w:t>法定代表人或者委托代理人</w:t>
      </w:r>
      <w:r>
        <w:rPr>
          <w:rFonts w:hint="eastAsia" w:ascii="宋体" w:hAnsi="宋体" w:cs="宋体"/>
          <w:color w:val="auto"/>
          <w:spacing w:val="20"/>
          <w:szCs w:val="21"/>
          <w:highlight w:val="none"/>
        </w:rPr>
        <w:t>（签字或者电子签名）：</w:t>
      </w:r>
      <w:r>
        <w:rPr>
          <w:rFonts w:hint="eastAsia" w:ascii="宋体" w:hAnsi="宋体" w:cs="宋体"/>
          <w:color w:val="auto"/>
          <w:spacing w:val="20"/>
          <w:szCs w:val="21"/>
          <w:highlight w:val="none"/>
          <w:u w:val="single"/>
        </w:rPr>
        <w:t xml:space="preserve">        </w:t>
      </w:r>
    </w:p>
    <w:p w14:paraId="6448D76E">
      <w:pPr>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cs="宋体"/>
          <w:color w:val="auto"/>
          <w:spacing w:val="20"/>
          <w:szCs w:val="21"/>
          <w:highlight w:val="none"/>
        </w:rPr>
      </w:pPr>
      <w:r>
        <w:rPr>
          <w:rFonts w:hint="eastAsia" w:ascii="宋体" w:hAnsi="宋体" w:cs="宋体"/>
          <w:color w:val="auto"/>
          <w:spacing w:val="20"/>
          <w:szCs w:val="21"/>
          <w:highlight w:val="none"/>
        </w:rPr>
        <w:t>投标人名称（电子签章）：</w:t>
      </w:r>
      <w:r>
        <w:rPr>
          <w:rFonts w:hint="eastAsia" w:ascii="宋体" w:hAnsi="宋体" w:cs="宋体"/>
          <w:color w:val="auto"/>
          <w:spacing w:val="20"/>
          <w:szCs w:val="21"/>
          <w:highlight w:val="none"/>
          <w:u w:val="single"/>
        </w:rPr>
        <w:t xml:space="preserve">            </w:t>
      </w:r>
      <w:r>
        <w:rPr>
          <w:rFonts w:hint="eastAsia" w:ascii="宋体" w:hAnsi="宋体" w:cs="宋体"/>
          <w:color w:val="auto"/>
          <w:spacing w:val="20"/>
          <w:szCs w:val="21"/>
          <w:highlight w:val="none"/>
        </w:rPr>
        <w:t xml:space="preserve">              </w:t>
      </w:r>
    </w:p>
    <w:p w14:paraId="7E5E5F77">
      <w:pPr>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cs="宋体"/>
          <w:color w:val="auto"/>
          <w:spacing w:val="20"/>
          <w:szCs w:val="21"/>
          <w:highlight w:val="none"/>
          <w:u w:val="single"/>
        </w:rPr>
      </w:pPr>
      <w:r>
        <w:rPr>
          <w:rFonts w:hint="eastAsia" w:ascii="宋体" w:hAnsi="宋体" w:cs="宋体"/>
          <w:color w:val="auto"/>
          <w:spacing w:val="20"/>
          <w:szCs w:val="21"/>
          <w:highlight w:val="none"/>
        </w:rPr>
        <w:t>日  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57662F33">
      <w:pPr>
        <w:spacing w:line="360" w:lineRule="auto"/>
        <w:contextualSpacing/>
        <w:rPr>
          <w:rFonts w:hint="eastAsia" w:ascii="宋体" w:hAnsi="宋体" w:cs="宋体"/>
          <w:color w:val="auto"/>
          <w:sz w:val="24"/>
          <w:szCs w:val="20"/>
          <w:highlight w:val="none"/>
        </w:rPr>
      </w:pPr>
    </w:p>
    <w:p w14:paraId="44C60F2C">
      <w:pPr>
        <w:snapToGrid w:val="0"/>
        <w:spacing w:before="165" w:beforeLines="50" w:after="50"/>
        <w:ind w:left="142"/>
        <w:jc w:val="left"/>
        <w:rPr>
          <w:rFonts w:hint="eastAsia"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2.项目实施人员一览表格式</w:t>
      </w:r>
    </w:p>
    <w:p w14:paraId="124FEE67">
      <w:pPr>
        <w:snapToGrid w:val="0"/>
        <w:spacing w:before="165" w:beforeLines="50" w:after="50"/>
        <w:ind w:left="142"/>
        <w:jc w:val="left"/>
        <w:rPr>
          <w:rFonts w:hint="eastAsia" w:ascii="宋体" w:hAnsi="宋体" w:cs="宋体"/>
          <w:b/>
          <w:color w:val="auto"/>
          <w:sz w:val="24"/>
          <w:highlight w:val="none"/>
        </w:rPr>
      </w:pPr>
    </w:p>
    <w:p w14:paraId="2CC569F7">
      <w:pPr>
        <w:snapToGrid w:val="0"/>
        <w:spacing w:before="165" w:beforeLines="50" w:after="50"/>
        <w:ind w:left="142"/>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项目实施人员一览表</w:t>
      </w:r>
    </w:p>
    <w:p w14:paraId="2504E11A">
      <w:pPr>
        <w:pStyle w:val="20"/>
        <w:keepNext w:val="0"/>
        <w:keepLines w:val="0"/>
        <w:pageBreakBefore w:val="0"/>
        <w:widowControl w:val="0"/>
        <w:kinsoku/>
        <w:overflowPunct/>
        <w:topLinePunct w:val="0"/>
        <w:autoSpaceDE/>
        <w:autoSpaceDN/>
        <w:bidi w:val="0"/>
        <w:adjustRightInd/>
        <w:spacing w:line="400" w:lineRule="exact"/>
        <w:textAlignment w:val="auto"/>
        <w:rPr>
          <w:rFonts w:hint="eastAsia" w:hAnsi="宋体" w:cs="宋体"/>
          <w:color w:val="auto"/>
          <w:highlight w:val="none"/>
        </w:rPr>
      </w:pPr>
      <w:r>
        <w:rPr>
          <w:rFonts w:hint="eastAsia" w:hAnsi="宋体" w:cs="宋体"/>
          <w:color w:val="auto"/>
          <w:highlight w:val="none"/>
        </w:rPr>
        <w:t>所投分标：</w:t>
      </w:r>
      <w:r>
        <w:rPr>
          <w:rFonts w:hint="eastAsia" w:hAnsi="宋体" w:cs="宋体"/>
          <w:color w:val="auto"/>
          <w:highlight w:val="none"/>
          <w:u w:val="single"/>
        </w:rPr>
        <w:t xml:space="preserve">     </w:t>
      </w:r>
      <w:r>
        <w:rPr>
          <w:rFonts w:hint="eastAsia" w:hAnsi="宋体" w:cs="宋体"/>
          <w:color w:val="auto"/>
          <w:highlight w:val="none"/>
        </w:rPr>
        <w:t>分标</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777"/>
        <w:gridCol w:w="1865"/>
        <w:gridCol w:w="1557"/>
        <w:gridCol w:w="1862"/>
        <w:gridCol w:w="2406"/>
      </w:tblGrid>
      <w:tr w14:paraId="5FCE6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30" w:hRule="atLeast"/>
        </w:trPr>
        <w:tc>
          <w:tcPr>
            <w:tcW w:w="896" w:type="dxa"/>
            <w:noWrap w:val="0"/>
            <w:vAlign w:val="center"/>
          </w:tcPr>
          <w:p w14:paraId="143A1F32">
            <w:pPr>
              <w:keepNext w:val="0"/>
              <w:keepLines w:val="0"/>
              <w:pageBreakBefore w:val="0"/>
              <w:widowControl w:val="0"/>
              <w:kinsoku/>
              <w:overflowPunct/>
              <w:topLinePunct w:val="0"/>
              <w:autoSpaceDE/>
              <w:autoSpaceDN/>
              <w:bidi w:val="0"/>
              <w:adjustRightInd/>
              <w:snapToGrid w:val="0"/>
              <w:spacing w:before="50" w:after="165" w:afterLines="50"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姓名</w:t>
            </w:r>
          </w:p>
        </w:tc>
        <w:tc>
          <w:tcPr>
            <w:tcW w:w="777" w:type="dxa"/>
            <w:noWrap w:val="0"/>
            <w:vAlign w:val="center"/>
          </w:tcPr>
          <w:p w14:paraId="48E64A3E">
            <w:pPr>
              <w:keepNext w:val="0"/>
              <w:keepLines w:val="0"/>
              <w:pageBreakBefore w:val="0"/>
              <w:widowControl w:val="0"/>
              <w:kinsoku/>
              <w:overflowPunct/>
              <w:topLinePunct w:val="0"/>
              <w:autoSpaceDE/>
              <w:autoSpaceDN/>
              <w:bidi w:val="0"/>
              <w:adjustRightInd/>
              <w:snapToGrid w:val="0"/>
              <w:spacing w:before="50" w:after="165" w:afterLines="50"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职务</w:t>
            </w:r>
          </w:p>
        </w:tc>
        <w:tc>
          <w:tcPr>
            <w:tcW w:w="1865" w:type="dxa"/>
            <w:noWrap w:val="0"/>
            <w:vAlign w:val="center"/>
          </w:tcPr>
          <w:p w14:paraId="629C88EF">
            <w:pPr>
              <w:keepNext w:val="0"/>
              <w:keepLines w:val="0"/>
              <w:pageBreakBefore w:val="0"/>
              <w:widowControl w:val="0"/>
              <w:kinsoku/>
              <w:overflowPunct/>
              <w:topLinePunct w:val="0"/>
              <w:autoSpaceDE/>
              <w:autoSpaceDN/>
              <w:bidi w:val="0"/>
              <w:adjustRightInd/>
              <w:snapToGrid w:val="0"/>
              <w:spacing w:before="50" w:after="165" w:afterLines="50"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专业技术资格（职称）或者职业资格或者执业资格证或者其他证书</w:t>
            </w:r>
          </w:p>
        </w:tc>
        <w:tc>
          <w:tcPr>
            <w:tcW w:w="1557" w:type="dxa"/>
            <w:noWrap w:val="0"/>
            <w:vAlign w:val="center"/>
          </w:tcPr>
          <w:p w14:paraId="1F7B03AD">
            <w:pPr>
              <w:keepNext w:val="0"/>
              <w:keepLines w:val="0"/>
              <w:pageBreakBefore w:val="0"/>
              <w:widowControl w:val="0"/>
              <w:kinsoku/>
              <w:overflowPunct/>
              <w:topLinePunct w:val="0"/>
              <w:autoSpaceDE/>
              <w:autoSpaceDN/>
              <w:bidi w:val="0"/>
              <w:adjustRightInd/>
              <w:snapToGrid w:val="0"/>
              <w:spacing w:before="50" w:after="165" w:afterLines="50"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证书编号</w:t>
            </w:r>
          </w:p>
        </w:tc>
        <w:tc>
          <w:tcPr>
            <w:tcW w:w="1862" w:type="dxa"/>
            <w:noWrap w:val="0"/>
            <w:vAlign w:val="center"/>
          </w:tcPr>
          <w:p w14:paraId="3E3CB563">
            <w:pPr>
              <w:keepNext w:val="0"/>
              <w:keepLines w:val="0"/>
              <w:pageBreakBefore w:val="0"/>
              <w:widowControl w:val="0"/>
              <w:kinsoku/>
              <w:overflowPunct/>
              <w:topLinePunct w:val="0"/>
              <w:autoSpaceDE/>
              <w:autoSpaceDN/>
              <w:bidi w:val="0"/>
              <w:adjustRightInd/>
              <w:snapToGrid w:val="0"/>
              <w:spacing w:before="50" w:after="165" w:afterLines="50"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参加本单位</w:t>
            </w:r>
          </w:p>
          <w:p w14:paraId="1D662536">
            <w:pPr>
              <w:keepNext w:val="0"/>
              <w:keepLines w:val="0"/>
              <w:pageBreakBefore w:val="0"/>
              <w:widowControl w:val="0"/>
              <w:kinsoku/>
              <w:overflowPunct/>
              <w:topLinePunct w:val="0"/>
              <w:autoSpaceDE/>
              <w:autoSpaceDN/>
              <w:bidi w:val="0"/>
              <w:adjustRightInd/>
              <w:snapToGrid w:val="0"/>
              <w:spacing w:before="50" w:after="165" w:afterLines="50"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工作时间</w:t>
            </w:r>
          </w:p>
        </w:tc>
        <w:tc>
          <w:tcPr>
            <w:tcW w:w="2406" w:type="dxa"/>
            <w:noWrap w:val="0"/>
            <w:vAlign w:val="center"/>
          </w:tcPr>
          <w:p w14:paraId="1BB06FD2">
            <w:pPr>
              <w:keepNext w:val="0"/>
              <w:keepLines w:val="0"/>
              <w:pageBreakBefore w:val="0"/>
              <w:widowControl w:val="0"/>
              <w:kinsoku/>
              <w:overflowPunct/>
              <w:topLinePunct w:val="0"/>
              <w:autoSpaceDE/>
              <w:autoSpaceDN/>
              <w:bidi w:val="0"/>
              <w:adjustRightInd/>
              <w:snapToGrid w:val="0"/>
              <w:spacing w:before="50" w:after="165" w:afterLines="50"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劳动合同编号</w:t>
            </w:r>
          </w:p>
        </w:tc>
      </w:tr>
      <w:tr w14:paraId="12DA7EA3">
        <w:trPr>
          <w:trHeight w:val="607" w:hRule="atLeast"/>
        </w:trPr>
        <w:tc>
          <w:tcPr>
            <w:tcW w:w="896" w:type="dxa"/>
            <w:noWrap w:val="0"/>
            <w:vAlign w:val="center"/>
          </w:tcPr>
          <w:p w14:paraId="68452873">
            <w:pPr>
              <w:keepNext w:val="0"/>
              <w:keepLines w:val="0"/>
              <w:pageBreakBefore w:val="0"/>
              <w:widowControl w:val="0"/>
              <w:kinsoku/>
              <w:overflowPunct/>
              <w:topLinePunct w:val="0"/>
              <w:autoSpaceDE/>
              <w:autoSpaceDN/>
              <w:bidi w:val="0"/>
              <w:adjustRightInd/>
              <w:snapToGrid w:val="0"/>
              <w:spacing w:before="50" w:after="165" w:afterLines="50" w:line="400" w:lineRule="exact"/>
              <w:jc w:val="center"/>
              <w:textAlignment w:val="auto"/>
              <w:rPr>
                <w:rFonts w:hint="eastAsia" w:ascii="宋体" w:hAnsi="宋体" w:cs="宋体"/>
                <w:color w:val="auto"/>
                <w:szCs w:val="21"/>
                <w:highlight w:val="none"/>
              </w:rPr>
            </w:pPr>
          </w:p>
        </w:tc>
        <w:tc>
          <w:tcPr>
            <w:tcW w:w="777" w:type="dxa"/>
            <w:noWrap w:val="0"/>
            <w:vAlign w:val="center"/>
          </w:tcPr>
          <w:p w14:paraId="108C1425">
            <w:pPr>
              <w:keepNext w:val="0"/>
              <w:keepLines w:val="0"/>
              <w:pageBreakBefore w:val="0"/>
              <w:widowControl w:val="0"/>
              <w:kinsoku/>
              <w:overflowPunct/>
              <w:topLinePunct w:val="0"/>
              <w:autoSpaceDE/>
              <w:autoSpaceDN/>
              <w:bidi w:val="0"/>
              <w:adjustRightInd/>
              <w:snapToGrid w:val="0"/>
              <w:spacing w:before="50" w:after="165" w:afterLines="50" w:line="400" w:lineRule="exact"/>
              <w:jc w:val="center"/>
              <w:textAlignment w:val="auto"/>
              <w:rPr>
                <w:rFonts w:hint="eastAsia" w:ascii="宋体" w:hAnsi="宋体" w:cs="宋体"/>
                <w:color w:val="auto"/>
                <w:szCs w:val="21"/>
                <w:highlight w:val="none"/>
              </w:rPr>
            </w:pPr>
          </w:p>
        </w:tc>
        <w:tc>
          <w:tcPr>
            <w:tcW w:w="1865" w:type="dxa"/>
            <w:noWrap w:val="0"/>
            <w:vAlign w:val="center"/>
          </w:tcPr>
          <w:p w14:paraId="7891938F">
            <w:pPr>
              <w:keepNext w:val="0"/>
              <w:keepLines w:val="0"/>
              <w:pageBreakBefore w:val="0"/>
              <w:widowControl w:val="0"/>
              <w:kinsoku/>
              <w:overflowPunct/>
              <w:topLinePunct w:val="0"/>
              <w:autoSpaceDE/>
              <w:autoSpaceDN/>
              <w:bidi w:val="0"/>
              <w:adjustRightInd/>
              <w:snapToGrid w:val="0"/>
              <w:spacing w:before="50" w:after="165" w:afterLines="50" w:line="400" w:lineRule="exact"/>
              <w:jc w:val="center"/>
              <w:textAlignment w:val="auto"/>
              <w:rPr>
                <w:rFonts w:hint="eastAsia" w:ascii="宋体" w:hAnsi="宋体" w:cs="宋体"/>
                <w:color w:val="auto"/>
                <w:szCs w:val="21"/>
                <w:highlight w:val="none"/>
              </w:rPr>
            </w:pPr>
          </w:p>
        </w:tc>
        <w:tc>
          <w:tcPr>
            <w:tcW w:w="1557" w:type="dxa"/>
            <w:noWrap w:val="0"/>
            <w:vAlign w:val="center"/>
          </w:tcPr>
          <w:p w14:paraId="44A73F63">
            <w:pPr>
              <w:keepNext w:val="0"/>
              <w:keepLines w:val="0"/>
              <w:pageBreakBefore w:val="0"/>
              <w:widowControl w:val="0"/>
              <w:kinsoku/>
              <w:overflowPunct/>
              <w:topLinePunct w:val="0"/>
              <w:autoSpaceDE/>
              <w:autoSpaceDN/>
              <w:bidi w:val="0"/>
              <w:adjustRightInd/>
              <w:snapToGrid w:val="0"/>
              <w:spacing w:before="50" w:after="165" w:afterLines="50" w:line="400" w:lineRule="exact"/>
              <w:jc w:val="center"/>
              <w:textAlignment w:val="auto"/>
              <w:rPr>
                <w:rFonts w:hint="eastAsia" w:ascii="宋体" w:hAnsi="宋体" w:cs="宋体"/>
                <w:color w:val="auto"/>
                <w:szCs w:val="21"/>
                <w:highlight w:val="none"/>
              </w:rPr>
            </w:pPr>
          </w:p>
        </w:tc>
        <w:tc>
          <w:tcPr>
            <w:tcW w:w="1862" w:type="dxa"/>
            <w:noWrap w:val="0"/>
            <w:vAlign w:val="center"/>
          </w:tcPr>
          <w:p w14:paraId="7C83C4B1">
            <w:pPr>
              <w:keepNext w:val="0"/>
              <w:keepLines w:val="0"/>
              <w:pageBreakBefore w:val="0"/>
              <w:widowControl w:val="0"/>
              <w:kinsoku/>
              <w:overflowPunct/>
              <w:topLinePunct w:val="0"/>
              <w:autoSpaceDE/>
              <w:autoSpaceDN/>
              <w:bidi w:val="0"/>
              <w:adjustRightInd/>
              <w:snapToGrid w:val="0"/>
              <w:spacing w:before="50" w:after="165" w:afterLines="50" w:line="400" w:lineRule="exact"/>
              <w:jc w:val="center"/>
              <w:textAlignment w:val="auto"/>
              <w:rPr>
                <w:rFonts w:hint="eastAsia" w:ascii="宋体" w:hAnsi="宋体" w:cs="宋体"/>
                <w:color w:val="auto"/>
                <w:szCs w:val="21"/>
                <w:highlight w:val="none"/>
              </w:rPr>
            </w:pPr>
          </w:p>
        </w:tc>
        <w:tc>
          <w:tcPr>
            <w:tcW w:w="2406" w:type="dxa"/>
            <w:noWrap w:val="0"/>
            <w:vAlign w:val="center"/>
          </w:tcPr>
          <w:p w14:paraId="74E26D66">
            <w:pPr>
              <w:keepNext w:val="0"/>
              <w:keepLines w:val="0"/>
              <w:pageBreakBefore w:val="0"/>
              <w:widowControl w:val="0"/>
              <w:kinsoku/>
              <w:overflowPunct/>
              <w:topLinePunct w:val="0"/>
              <w:autoSpaceDE/>
              <w:autoSpaceDN/>
              <w:bidi w:val="0"/>
              <w:adjustRightInd/>
              <w:snapToGrid w:val="0"/>
              <w:spacing w:before="50" w:after="165" w:afterLines="50" w:line="400" w:lineRule="exact"/>
              <w:jc w:val="center"/>
              <w:textAlignment w:val="auto"/>
              <w:rPr>
                <w:rFonts w:hint="eastAsia" w:ascii="宋体" w:hAnsi="宋体" w:cs="宋体"/>
                <w:color w:val="auto"/>
                <w:szCs w:val="21"/>
                <w:highlight w:val="none"/>
              </w:rPr>
            </w:pPr>
          </w:p>
        </w:tc>
      </w:tr>
      <w:tr w14:paraId="6A75B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7" w:hRule="atLeast"/>
        </w:trPr>
        <w:tc>
          <w:tcPr>
            <w:tcW w:w="896" w:type="dxa"/>
            <w:noWrap w:val="0"/>
            <w:vAlign w:val="center"/>
          </w:tcPr>
          <w:p w14:paraId="5A11EE1A">
            <w:pPr>
              <w:keepNext w:val="0"/>
              <w:keepLines w:val="0"/>
              <w:pageBreakBefore w:val="0"/>
              <w:widowControl w:val="0"/>
              <w:kinsoku/>
              <w:overflowPunct/>
              <w:topLinePunct w:val="0"/>
              <w:autoSpaceDE/>
              <w:autoSpaceDN/>
              <w:bidi w:val="0"/>
              <w:adjustRightInd/>
              <w:snapToGrid w:val="0"/>
              <w:spacing w:before="50" w:after="165" w:afterLines="50" w:line="400" w:lineRule="exact"/>
              <w:jc w:val="center"/>
              <w:textAlignment w:val="auto"/>
              <w:rPr>
                <w:rFonts w:hint="eastAsia" w:ascii="宋体" w:hAnsi="宋体" w:cs="宋体"/>
                <w:color w:val="auto"/>
                <w:szCs w:val="21"/>
                <w:highlight w:val="none"/>
              </w:rPr>
            </w:pPr>
          </w:p>
        </w:tc>
        <w:tc>
          <w:tcPr>
            <w:tcW w:w="777" w:type="dxa"/>
            <w:noWrap w:val="0"/>
            <w:vAlign w:val="center"/>
          </w:tcPr>
          <w:p w14:paraId="52B24C17">
            <w:pPr>
              <w:keepNext w:val="0"/>
              <w:keepLines w:val="0"/>
              <w:pageBreakBefore w:val="0"/>
              <w:widowControl w:val="0"/>
              <w:kinsoku/>
              <w:overflowPunct/>
              <w:topLinePunct w:val="0"/>
              <w:autoSpaceDE/>
              <w:autoSpaceDN/>
              <w:bidi w:val="0"/>
              <w:adjustRightInd/>
              <w:snapToGrid w:val="0"/>
              <w:spacing w:before="50" w:after="165" w:afterLines="50" w:line="400" w:lineRule="exact"/>
              <w:jc w:val="center"/>
              <w:textAlignment w:val="auto"/>
              <w:rPr>
                <w:rFonts w:hint="eastAsia" w:ascii="宋体" w:hAnsi="宋体" w:cs="宋体"/>
                <w:color w:val="auto"/>
                <w:szCs w:val="21"/>
                <w:highlight w:val="none"/>
              </w:rPr>
            </w:pPr>
          </w:p>
        </w:tc>
        <w:tc>
          <w:tcPr>
            <w:tcW w:w="1865" w:type="dxa"/>
            <w:noWrap w:val="0"/>
            <w:vAlign w:val="center"/>
          </w:tcPr>
          <w:p w14:paraId="1BF96424">
            <w:pPr>
              <w:keepNext w:val="0"/>
              <w:keepLines w:val="0"/>
              <w:pageBreakBefore w:val="0"/>
              <w:widowControl w:val="0"/>
              <w:kinsoku/>
              <w:overflowPunct/>
              <w:topLinePunct w:val="0"/>
              <w:autoSpaceDE/>
              <w:autoSpaceDN/>
              <w:bidi w:val="0"/>
              <w:adjustRightInd/>
              <w:snapToGrid w:val="0"/>
              <w:spacing w:before="50" w:after="165" w:afterLines="50" w:line="400" w:lineRule="exact"/>
              <w:jc w:val="center"/>
              <w:textAlignment w:val="auto"/>
              <w:rPr>
                <w:rFonts w:hint="eastAsia" w:ascii="宋体" w:hAnsi="宋体" w:cs="宋体"/>
                <w:color w:val="auto"/>
                <w:szCs w:val="21"/>
                <w:highlight w:val="none"/>
              </w:rPr>
            </w:pPr>
          </w:p>
        </w:tc>
        <w:tc>
          <w:tcPr>
            <w:tcW w:w="1557" w:type="dxa"/>
            <w:noWrap w:val="0"/>
            <w:vAlign w:val="center"/>
          </w:tcPr>
          <w:p w14:paraId="1AC0A161">
            <w:pPr>
              <w:keepNext w:val="0"/>
              <w:keepLines w:val="0"/>
              <w:pageBreakBefore w:val="0"/>
              <w:widowControl w:val="0"/>
              <w:kinsoku/>
              <w:overflowPunct/>
              <w:topLinePunct w:val="0"/>
              <w:autoSpaceDE/>
              <w:autoSpaceDN/>
              <w:bidi w:val="0"/>
              <w:adjustRightInd/>
              <w:snapToGrid w:val="0"/>
              <w:spacing w:before="50" w:after="165" w:afterLines="50" w:line="400" w:lineRule="exact"/>
              <w:jc w:val="center"/>
              <w:textAlignment w:val="auto"/>
              <w:rPr>
                <w:rFonts w:hint="eastAsia" w:ascii="宋体" w:hAnsi="宋体" w:cs="宋体"/>
                <w:color w:val="auto"/>
                <w:szCs w:val="21"/>
                <w:highlight w:val="none"/>
              </w:rPr>
            </w:pPr>
          </w:p>
        </w:tc>
        <w:tc>
          <w:tcPr>
            <w:tcW w:w="1862" w:type="dxa"/>
            <w:noWrap w:val="0"/>
            <w:vAlign w:val="center"/>
          </w:tcPr>
          <w:p w14:paraId="4A29A999">
            <w:pPr>
              <w:keepNext w:val="0"/>
              <w:keepLines w:val="0"/>
              <w:pageBreakBefore w:val="0"/>
              <w:widowControl w:val="0"/>
              <w:kinsoku/>
              <w:overflowPunct/>
              <w:topLinePunct w:val="0"/>
              <w:autoSpaceDE/>
              <w:autoSpaceDN/>
              <w:bidi w:val="0"/>
              <w:adjustRightInd/>
              <w:snapToGrid w:val="0"/>
              <w:spacing w:before="50" w:after="165" w:afterLines="50" w:line="400" w:lineRule="exact"/>
              <w:jc w:val="center"/>
              <w:textAlignment w:val="auto"/>
              <w:rPr>
                <w:rFonts w:hint="eastAsia" w:ascii="宋体" w:hAnsi="宋体" w:cs="宋体"/>
                <w:color w:val="auto"/>
                <w:szCs w:val="21"/>
                <w:highlight w:val="none"/>
              </w:rPr>
            </w:pPr>
          </w:p>
        </w:tc>
        <w:tc>
          <w:tcPr>
            <w:tcW w:w="2406" w:type="dxa"/>
            <w:noWrap w:val="0"/>
            <w:vAlign w:val="center"/>
          </w:tcPr>
          <w:p w14:paraId="146826CC">
            <w:pPr>
              <w:keepNext w:val="0"/>
              <w:keepLines w:val="0"/>
              <w:pageBreakBefore w:val="0"/>
              <w:widowControl w:val="0"/>
              <w:kinsoku/>
              <w:overflowPunct/>
              <w:topLinePunct w:val="0"/>
              <w:autoSpaceDE/>
              <w:autoSpaceDN/>
              <w:bidi w:val="0"/>
              <w:adjustRightInd/>
              <w:snapToGrid w:val="0"/>
              <w:spacing w:before="50" w:after="165" w:afterLines="50" w:line="400" w:lineRule="exact"/>
              <w:jc w:val="center"/>
              <w:textAlignment w:val="auto"/>
              <w:rPr>
                <w:rFonts w:hint="eastAsia" w:ascii="宋体" w:hAnsi="宋体" w:cs="宋体"/>
                <w:color w:val="auto"/>
                <w:szCs w:val="21"/>
                <w:highlight w:val="none"/>
              </w:rPr>
            </w:pPr>
          </w:p>
        </w:tc>
      </w:tr>
      <w:tr w14:paraId="686EC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7" w:hRule="atLeast"/>
        </w:trPr>
        <w:tc>
          <w:tcPr>
            <w:tcW w:w="896" w:type="dxa"/>
            <w:noWrap w:val="0"/>
            <w:vAlign w:val="center"/>
          </w:tcPr>
          <w:p w14:paraId="2795AB49">
            <w:pPr>
              <w:keepNext w:val="0"/>
              <w:keepLines w:val="0"/>
              <w:pageBreakBefore w:val="0"/>
              <w:widowControl w:val="0"/>
              <w:kinsoku/>
              <w:overflowPunct/>
              <w:topLinePunct w:val="0"/>
              <w:autoSpaceDE/>
              <w:autoSpaceDN/>
              <w:bidi w:val="0"/>
              <w:adjustRightInd/>
              <w:snapToGrid w:val="0"/>
              <w:spacing w:before="50" w:after="165" w:afterLines="50" w:line="400" w:lineRule="exact"/>
              <w:jc w:val="center"/>
              <w:textAlignment w:val="auto"/>
              <w:rPr>
                <w:rFonts w:hint="eastAsia" w:ascii="宋体" w:hAnsi="宋体" w:cs="宋体"/>
                <w:color w:val="auto"/>
                <w:szCs w:val="21"/>
                <w:highlight w:val="none"/>
              </w:rPr>
            </w:pPr>
          </w:p>
        </w:tc>
        <w:tc>
          <w:tcPr>
            <w:tcW w:w="777" w:type="dxa"/>
            <w:noWrap w:val="0"/>
            <w:vAlign w:val="center"/>
          </w:tcPr>
          <w:p w14:paraId="4ED4F4A1">
            <w:pPr>
              <w:keepNext w:val="0"/>
              <w:keepLines w:val="0"/>
              <w:pageBreakBefore w:val="0"/>
              <w:widowControl w:val="0"/>
              <w:kinsoku/>
              <w:overflowPunct/>
              <w:topLinePunct w:val="0"/>
              <w:autoSpaceDE/>
              <w:autoSpaceDN/>
              <w:bidi w:val="0"/>
              <w:adjustRightInd/>
              <w:snapToGrid w:val="0"/>
              <w:spacing w:before="50" w:after="165" w:afterLines="50" w:line="400" w:lineRule="exact"/>
              <w:jc w:val="center"/>
              <w:textAlignment w:val="auto"/>
              <w:rPr>
                <w:rFonts w:hint="eastAsia" w:ascii="宋体" w:hAnsi="宋体" w:cs="宋体"/>
                <w:color w:val="auto"/>
                <w:szCs w:val="21"/>
                <w:highlight w:val="none"/>
              </w:rPr>
            </w:pPr>
          </w:p>
        </w:tc>
        <w:tc>
          <w:tcPr>
            <w:tcW w:w="1865" w:type="dxa"/>
            <w:noWrap w:val="0"/>
            <w:vAlign w:val="center"/>
          </w:tcPr>
          <w:p w14:paraId="46340420">
            <w:pPr>
              <w:keepNext w:val="0"/>
              <w:keepLines w:val="0"/>
              <w:pageBreakBefore w:val="0"/>
              <w:widowControl w:val="0"/>
              <w:kinsoku/>
              <w:overflowPunct/>
              <w:topLinePunct w:val="0"/>
              <w:autoSpaceDE/>
              <w:autoSpaceDN/>
              <w:bidi w:val="0"/>
              <w:adjustRightInd/>
              <w:snapToGrid w:val="0"/>
              <w:spacing w:before="50" w:after="165" w:afterLines="50" w:line="400" w:lineRule="exact"/>
              <w:jc w:val="center"/>
              <w:textAlignment w:val="auto"/>
              <w:rPr>
                <w:rFonts w:hint="eastAsia" w:ascii="宋体" w:hAnsi="宋体" w:cs="宋体"/>
                <w:color w:val="auto"/>
                <w:szCs w:val="21"/>
                <w:highlight w:val="none"/>
              </w:rPr>
            </w:pPr>
          </w:p>
        </w:tc>
        <w:tc>
          <w:tcPr>
            <w:tcW w:w="1557" w:type="dxa"/>
            <w:noWrap w:val="0"/>
            <w:vAlign w:val="center"/>
          </w:tcPr>
          <w:p w14:paraId="3C8F351F">
            <w:pPr>
              <w:keepNext w:val="0"/>
              <w:keepLines w:val="0"/>
              <w:pageBreakBefore w:val="0"/>
              <w:widowControl w:val="0"/>
              <w:kinsoku/>
              <w:overflowPunct/>
              <w:topLinePunct w:val="0"/>
              <w:autoSpaceDE/>
              <w:autoSpaceDN/>
              <w:bidi w:val="0"/>
              <w:adjustRightInd/>
              <w:snapToGrid w:val="0"/>
              <w:spacing w:before="50" w:after="165" w:afterLines="50" w:line="400" w:lineRule="exact"/>
              <w:jc w:val="center"/>
              <w:textAlignment w:val="auto"/>
              <w:rPr>
                <w:rFonts w:hint="eastAsia" w:ascii="宋体" w:hAnsi="宋体" w:cs="宋体"/>
                <w:color w:val="auto"/>
                <w:szCs w:val="21"/>
                <w:highlight w:val="none"/>
              </w:rPr>
            </w:pPr>
          </w:p>
        </w:tc>
        <w:tc>
          <w:tcPr>
            <w:tcW w:w="1862" w:type="dxa"/>
            <w:noWrap w:val="0"/>
            <w:vAlign w:val="center"/>
          </w:tcPr>
          <w:p w14:paraId="32C0F01C">
            <w:pPr>
              <w:keepNext w:val="0"/>
              <w:keepLines w:val="0"/>
              <w:pageBreakBefore w:val="0"/>
              <w:widowControl w:val="0"/>
              <w:kinsoku/>
              <w:overflowPunct/>
              <w:topLinePunct w:val="0"/>
              <w:autoSpaceDE/>
              <w:autoSpaceDN/>
              <w:bidi w:val="0"/>
              <w:adjustRightInd/>
              <w:snapToGrid w:val="0"/>
              <w:spacing w:before="50" w:after="165" w:afterLines="50" w:line="400" w:lineRule="exact"/>
              <w:jc w:val="center"/>
              <w:textAlignment w:val="auto"/>
              <w:rPr>
                <w:rFonts w:hint="eastAsia" w:ascii="宋体" w:hAnsi="宋体" w:cs="宋体"/>
                <w:color w:val="auto"/>
                <w:szCs w:val="21"/>
                <w:highlight w:val="none"/>
              </w:rPr>
            </w:pPr>
          </w:p>
        </w:tc>
        <w:tc>
          <w:tcPr>
            <w:tcW w:w="2406" w:type="dxa"/>
            <w:noWrap w:val="0"/>
            <w:vAlign w:val="center"/>
          </w:tcPr>
          <w:p w14:paraId="22A315E6">
            <w:pPr>
              <w:keepNext w:val="0"/>
              <w:keepLines w:val="0"/>
              <w:pageBreakBefore w:val="0"/>
              <w:widowControl w:val="0"/>
              <w:kinsoku/>
              <w:overflowPunct/>
              <w:topLinePunct w:val="0"/>
              <w:autoSpaceDE/>
              <w:autoSpaceDN/>
              <w:bidi w:val="0"/>
              <w:adjustRightInd/>
              <w:snapToGrid w:val="0"/>
              <w:spacing w:before="50" w:after="165" w:afterLines="50" w:line="400" w:lineRule="exact"/>
              <w:jc w:val="center"/>
              <w:textAlignment w:val="auto"/>
              <w:rPr>
                <w:rFonts w:hint="eastAsia" w:ascii="宋体" w:hAnsi="宋体" w:cs="宋体"/>
                <w:color w:val="auto"/>
                <w:szCs w:val="21"/>
                <w:highlight w:val="none"/>
              </w:rPr>
            </w:pPr>
          </w:p>
        </w:tc>
      </w:tr>
    </w:tbl>
    <w:p w14:paraId="245FA82C">
      <w:pPr>
        <w:keepNext w:val="0"/>
        <w:keepLines w:val="0"/>
        <w:pageBreakBefore w:val="0"/>
        <w:widowControl w:val="0"/>
        <w:kinsoku/>
        <w:overflowPunct/>
        <w:topLinePunct w:val="0"/>
        <w:autoSpaceDE/>
        <w:autoSpaceDN/>
        <w:bidi w:val="0"/>
        <w:adjustRightInd/>
        <w:snapToGrid w:val="0"/>
        <w:spacing w:before="50" w:after="165" w:afterLines="50" w:line="400" w:lineRule="exact"/>
        <w:jc w:val="left"/>
        <w:textAlignment w:val="auto"/>
        <w:rPr>
          <w:rFonts w:hint="eastAsia" w:ascii="宋体" w:hAnsi="宋体" w:cs="宋体"/>
          <w:color w:val="auto"/>
          <w:szCs w:val="21"/>
          <w:highlight w:val="none"/>
        </w:rPr>
      </w:pPr>
    </w:p>
    <w:p w14:paraId="0AD56B3E">
      <w:pPr>
        <w:keepNext w:val="0"/>
        <w:keepLines w:val="0"/>
        <w:pageBreakBefore w:val="0"/>
        <w:widowControl w:val="0"/>
        <w:kinsoku/>
        <w:overflowPunct/>
        <w:topLinePunct w:val="0"/>
        <w:autoSpaceDE/>
        <w:autoSpaceDN/>
        <w:bidi w:val="0"/>
        <w:adjustRightInd/>
        <w:spacing w:line="400" w:lineRule="exact"/>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注：</w:t>
      </w:r>
    </w:p>
    <w:p w14:paraId="729C7C2C">
      <w:pPr>
        <w:keepNext w:val="0"/>
        <w:keepLines w:val="0"/>
        <w:pageBreakBefore w:val="0"/>
        <w:widowControl w:val="0"/>
        <w:kinsoku/>
        <w:overflowPunct/>
        <w:topLinePunct w:val="0"/>
        <w:autoSpaceDE/>
        <w:autoSpaceDN/>
        <w:bidi w:val="0"/>
        <w:adjustRightInd/>
        <w:spacing w:line="400" w:lineRule="exact"/>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1.在填写时，如本表格不适合投标单位的实际情况，可根据本表格式自行制表填写。</w:t>
      </w:r>
    </w:p>
    <w:p w14:paraId="0573E7E2">
      <w:pPr>
        <w:keepNext w:val="0"/>
        <w:keepLines w:val="0"/>
        <w:pageBreakBefore w:val="0"/>
        <w:widowControl w:val="0"/>
        <w:kinsoku/>
        <w:overflowPunct/>
        <w:topLinePunct w:val="0"/>
        <w:autoSpaceDE/>
        <w:autoSpaceDN/>
        <w:bidi w:val="0"/>
        <w:adjustRightInd/>
        <w:spacing w:line="400" w:lineRule="exact"/>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2.投标人应当附本表所列证书的复印件并加盖投标人电子签章。</w:t>
      </w:r>
    </w:p>
    <w:p w14:paraId="695F3662">
      <w:pPr>
        <w:keepNext w:val="0"/>
        <w:keepLines w:val="0"/>
        <w:pageBreakBefore w:val="0"/>
        <w:widowControl w:val="0"/>
        <w:kinsoku/>
        <w:wordWrap w:val="0"/>
        <w:overflowPunct/>
        <w:topLinePunct w:val="0"/>
        <w:autoSpaceDE/>
        <w:autoSpaceDN/>
        <w:bidi w:val="0"/>
        <w:adjustRightInd/>
        <w:spacing w:line="400" w:lineRule="exact"/>
        <w:contextualSpacing/>
        <w:jc w:val="left"/>
        <w:textAlignment w:val="auto"/>
        <w:rPr>
          <w:rFonts w:hint="eastAsia" w:ascii="宋体" w:hAnsi="宋体" w:cs="宋体"/>
          <w:color w:val="auto"/>
          <w:szCs w:val="21"/>
          <w:highlight w:val="none"/>
        </w:rPr>
      </w:pPr>
    </w:p>
    <w:p w14:paraId="7E3DC191">
      <w:pPr>
        <w:keepNext w:val="0"/>
        <w:keepLines w:val="0"/>
        <w:pageBreakBefore w:val="0"/>
        <w:widowControl w:val="0"/>
        <w:kinsoku/>
        <w:wordWrap w:val="0"/>
        <w:overflowPunct/>
        <w:topLinePunct w:val="0"/>
        <w:autoSpaceDE/>
        <w:autoSpaceDN/>
        <w:bidi w:val="0"/>
        <w:adjustRightInd/>
        <w:spacing w:line="400" w:lineRule="exact"/>
        <w:contextualSpacing/>
        <w:textAlignment w:val="auto"/>
        <w:rPr>
          <w:rFonts w:hint="eastAsia" w:ascii="宋体" w:hAnsi="宋体" w:cs="宋体"/>
          <w:color w:val="auto"/>
          <w:spacing w:val="20"/>
          <w:szCs w:val="21"/>
          <w:highlight w:val="none"/>
          <w:u w:val="single"/>
        </w:rPr>
      </w:pPr>
      <w:r>
        <w:rPr>
          <w:rFonts w:hint="eastAsia" w:ascii="宋体" w:hAnsi="宋体" w:cs="宋体"/>
          <w:color w:val="auto"/>
          <w:szCs w:val="21"/>
          <w:highlight w:val="none"/>
        </w:rPr>
        <w:t>法定代表人或者委托代理人</w:t>
      </w:r>
      <w:r>
        <w:rPr>
          <w:rFonts w:hint="eastAsia" w:ascii="宋体" w:hAnsi="宋体" w:cs="宋体"/>
          <w:color w:val="auto"/>
          <w:spacing w:val="20"/>
          <w:szCs w:val="21"/>
          <w:highlight w:val="none"/>
        </w:rPr>
        <w:t>（签字或者电子签名）：</w:t>
      </w:r>
      <w:r>
        <w:rPr>
          <w:rFonts w:hint="eastAsia" w:ascii="宋体" w:hAnsi="宋体" w:cs="宋体"/>
          <w:color w:val="auto"/>
          <w:spacing w:val="20"/>
          <w:szCs w:val="21"/>
          <w:highlight w:val="none"/>
          <w:u w:val="single"/>
        </w:rPr>
        <w:t xml:space="preserve">        </w:t>
      </w:r>
    </w:p>
    <w:p w14:paraId="21C6D0EF">
      <w:pPr>
        <w:keepNext w:val="0"/>
        <w:keepLines w:val="0"/>
        <w:pageBreakBefore w:val="0"/>
        <w:widowControl w:val="0"/>
        <w:kinsoku/>
        <w:wordWrap w:val="0"/>
        <w:overflowPunct/>
        <w:topLinePunct w:val="0"/>
        <w:autoSpaceDE/>
        <w:autoSpaceDN/>
        <w:bidi w:val="0"/>
        <w:adjustRightInd/>
        <w:spacing w:line="400" w:lineRule="exact"/>
        <w:contextualSpacing/>
        <w:jc w:val="left"/>
        <w:textAlignment w:val="auto"/>
        <w:rPr>
          <w:rFonts w:hint="eastAsia" w:ascii="宋体" w:hAnsi="宋体" w:cs="宋体"/>
          <w:color w:val="auto"/>
          <w:spacing w:val="20"/>
          <w:szCs w:val="21"/>
          <w:highlight w:val="none"/>
        </w:rPr>
      </w:pPr>
      <w:r>
        <w:rPr>
          <w:rFonts w:hint="eastAsia" w:ascii="宋体" w:hAnsi="宋体" w:cs="宋体"/>
          <w:color w:val="auto"/>
          <w:spacing w:val="20"/>
          <w:szCs w:val="21"/>
          <w:highlight w:val="none"/>
        </w:rPr>
        <w:t>投标人名称（电子签章）：</w:t>
      </w:r>
      <w:r>
        <w:rPr>
          <w:rFonts w:hint="eastAsia" w:ascii="宋体" w:hAnsi="宋体" w:cs="宋体"/>
          <w:color w:val="auto"/>
          <w:spacing w:val="20"/>
          <w:szCs w:val="21"/>
          <w:highlight w:val="none"/>
          <w:u w:val="single"/>
        </w:rPr>
        <w:t xml:space="preserve">            </w:t>
      </w:r>
      <w:r>
        <w:rPr>
          <w:rFonts w:hint="eastAsia" w:ascii="宋体" w:hAnsi="宋体" w:cs="宋体"/>
          <w:color w:val="auto"/>
          <w:spacing w:val="20"/>
          <w:szCs w:val="21"/>
          <w:highlight w:val="none"/>
        </w:rPr>
        <w:t xml:space="preserve">              </w:t>
      </w:r>
    </w:p>
    <w:p w14:paraId="49B30968">
      <w:pPr>
        <w:keepNext w:val="0"/>
        <w:keepLines w:val="0"/>
        <w:pageBreakBefore w:val="0"/>
        <w:widowControl w:val="0"/>
        <w:kinsoku/>
        <w:wordWrap w:val="0"/>
        <w:overflowPunct/>
        <w:topLinePunct w:val="0"/>
        <w:autoSpaceDE/>
        <w:autoSpaceDN/>
        <w:bidi w:val="0"/>
        <w:adjustRightInd/>
        <w:spacing w:line="400" w:lineRule="exact"/>
        <w:contextualSpacing/>
        <w:jc w:val="left"/>
        <w:textAlignment w:val="auto"/>
        <w:rPr>
          <w:rFonts w:hint="eastAsia" w:ascii="宋体" w:hAnsi="宋体" w:cs="宋体"/>
          <w:color w:val="auto"/>
          <w:szCs w:val="21"/>
          <w:highlight w:val="none"/>
        </w:rPr>
      </w:pPr>
      <w:r>
        <w:rPr>
          <w:rFonts w:hint="eastAsia" w:ascii="宋体" w:hAnsi="宋体" w:cs="宋体"/>
          <w:color w:val="auto"/>
          <w:spacing w:val="20"/>
          <w:szCs w:val="21"/>
          <w:highlight w:val="none"/>
        </w:rPr>
        <w:t>日 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64CBA946">
      <w:pPr>
        <w:spacing w:line="360" w:lineRule="auto"/>
        <w:contextualSpacing/>
        <w:jc w:val="left"/>
        <w:rPr>
          <w:rFonts w:hint="eastAsia" w:ascii="宋体" w:hAnsi="宋体" w:cs="宋体"/>
          <w:color w:val="auto"/>
          <w:sz w:val="24"/>
          <w:szCs w:val="20"/>
          <w:highlight w:val="none"/>
        </w:rPr>
      </w:pPr>
    </w:p>
    <w:p w14:paraId="6A70128A">
      <w:pPr>
        <w:snapToGrid w:val="0"/>
        <w:spacing w:before="50" w:after="165" w:afterLines="50"/>
        <w:jc w:val="left"/>
        <w:rPr>
          <w:rFonts w:hint="eastAsia" w:ascii="宋体" w:hAnsi="宋体" w:cs="宋体"/>
          <w:color w:val="auto"/>
          <w:sz w:val="24"/>
          <w:szCs w:val="20"/>
          <w:highlight w:val="none"/>
        </w:rPr>
      </w:pPr>
    </w:p>
    <w:p w14:paraId="2164FA82">
      <w:pPr>
        <w:snapToGrid w:val="0"/>
        <w:spacing w:before="165" w:beforeLines="50" w:after="50"/>
        <w:jc w:val="left"/>
        <w:rPr>
          <w:rFonts w:hint="eastAsia" w:ascii="宋体" w:hAnsi="宋体" w:cs="宋体"/>
          <w:color w:val="auto"/>
          <w:sz w:val="24"/>
          <w:szCs w:val="20"/>
          <w:highlight w:val="none"/>
        </w:rPr>
      </w:pPr>
    </w:p>
    <w:p w14:paraId="0AADEBE9">
      <w:pPr>
        <w:snapToGrid w:val="0"/>
        <w:spacing w:before="50" w:after="165" w:afterLines="50"/>
        <w:jc w:val="left"/>
        <w:rPr>
          <w:rFonts w:hint="eastAsia" w:ascii="宋体" w:hAnsi="宋体" w:cs="宋体"/>
          <w:color w:val="auto"/>
          <w:sz w:val="24"/>
          <w:szCs w:val="20"/>
          <w:highlight w:val="none"/>
        </w:rPr>
      </w:pPr>
    </w:p>
    <w:p w14:paraId="048EA3FC">
      <w:pPr>
        <w:rPr>
          <w:rFonts w:hint="eastAsia" w:ascii="宋体" w:hAnsi="宋体" w:cs="宋体"/>
          <w:b/>
          <w:color w:val="auto"/>
          <w:sz w:val="28"/>
          <w:szCs w:val="28"/>
          <w:highlight w:val="none"/>
        </w:rPr>
      </w:pPr>
      <w:r>
        <w:rPr>
          <w:rFonts w:hint="eastAsia" w:ascii="宋体" w:hAnsi="宋体" w:cs="宋体"/>
          <w:b/>
          <w:bCs/>
          <w:color w:val="auto"/>
          <w:sz w:val="24"/>
          <w:highlight w:val="none"/>
        </w:rPr>
        <w:br w:type="page"/>
      </w:r>
      <w:bookmarkStart w:id="268" w:name="_Toc19686840"/>
      <w:r>
        <w:rPr>
          <w:rFonts w:hint="eastAsia" w:ascii="宋体" w:hAnsi="宋体" w:cs="宋体"/>
          <w:b/>
          <w:color w:val="auto"/>
          <w:sz w:val="28"/>
          <w:szCs w:val="28"/>
          <w:highlight w:val="none"/>
        </w:rPr>
        <w:t>四、其他文书、文件格式</w:t>
      </w:r>
      <w:bookmarkEnd w:id="268"/>
    </w:p>
    <w:p w14:paraId="4712E090">
      <w:pPr>
        <w:spacing w:line="360" w:lineRule="auto"/>
        <w:jc w:val="left"/>
        <w:rPr>
          <w:rFonts w:hint="eastAsia" w:ascii="宋体" w:hAnsi="宋体" w:cs="宋体"/>
          <w:b/>
          <w:bCs/>
          <w:color w:val="auto"/>
          <w:sz w:val="32"/>
          <w:szCs w:val="32"/>
          <w:highlight w:val="none"/>
        </w:rPr>
      </w:pPr>
      <w:r>
        <w:rPr>
          <w:rFonts w:hint="eastAsia" w:ascii="宋体" w:hAnsi="宋体" w:cs="宋体"/>
          <w:b/>
          <w:color w:val="auto"/>
          <w:sz w:val="24"/>
          <w:highlight w:val="none"/>
        </w:rPr>
        <w:t>1.质疑函（格式）</w:t>
      </w:r>
    </w:p>
    <w:p w14:paraId="4BB3AA39">
      <w:pPr>
        <w:spacing w:line="360" w:lineRule="auto"/>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质疑函（格式）</w:t>
      </w:r>
    </w:p>
    <w:p w14:paraId="522BDDAC">
      <w:pPr>
        <w:pStyle w:val="20"/>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hAnsi="宋体" w:cs="宋体"/>
          <w:b/>
          <w:bCs/>
          <w:color w:val="auto"/>
          <w:highlight w:val="none"/>
        </w:rPr>
      </w:pPr>
      <w:r>
        <w:rPr>
          <w:rFonts w:hint="eastAsia" w:hAnsi="宋体" w:cs="宋体"/>
          <w:b/>
          <w:bCs/>
          <w:color w:val="auto"/>
          <w:highlight w:val="none"/>
        </w:rPr>
        <w:t>一、质疑供应商基本信息：</w:t>
      </w:r>
    </w:p>
    <w:p w14:paraId="7076CA5D">
      <w:pPr>
        <w:pStyle w:val="20"/>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hAnsi="宋体" w:cs="宋体"/>
          <w:bCs/>
          <w:color w:val="auto"/>
          <w:highlight w:val="none"/>
          <w:u w:val="single"/>
        </w:rPr>
      </w:pPr>
      <w:r>
        <w:rPr>
          <w:rFonts w:hint="eastAsia" w:hAnsi="宋体" w:cs="宋体"/>
          <w:bCs/>
          <w:color w:val="auto"/>
          <w:highlight w:val="none"/>
        </w:rPr>
        <w:t>质疑供应商：</w:t>
      </w:r>
      <w:r>
        <w:rPr>
          <w:rFonts w:hint="eastAsia" w:hAnsi="宋体" w:cs="宋体"/>
          <w:bCs/>
          <w:color w:val="auto"/>
          <w:highlight w:val="none"/>
          <w:u w:val="single"/>
        </w:rPr>
        <w:t xml:space="preserve">                                       </w:t>
      </w:r>
      <w:r>
        <w:rPr>
          <w:rFonts w:hint="eastAsia" w:hAnsi="宋体" w:cs="宋体"/>
          <w:bCs/>
          <w:color w:val="auto"/>
          <w:highlight w:val="none"/>
        </w:rPr>
        <w:t xml:space="preserve">                 </w:t>
      </w:r>
    </w:p>
    <w:p w14:paraId="5018D20A">
      <w:pPr>
        <w:pStyle w:val="20"/>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hAnsi="宋体" w:cs="宋体"/>
          <w:bCs/>
          <w:color w:val="auto"/>
          <w:highlight w:val="none"/>
        </w:rPr>
      </w:pPr>
      <w:r>
        <w:rPr>
          <w:rFonts w:hint="eastAsia" w:hAnsi="宋体" w:cs="宋体"/>
          <w:bCs/>
          <w:color w:val="auto"/>
          <w:highlight w:val="none"/>
        </w:rPr>
        <w:t>地址：</w:t>
      </w:r>
      <w:r>
        <w:rPr>
          <w:rFonts w:hint="eastAsia" w:hAnsi="宋体" w:cs="宋体"/>
          <w:bCs/>
          <w:color w:val="auto"/>
          <w:highlight w:val="none"/>
          <w:u w:val="single"/>
        </w:rPr>
        <w:t xml:space="preserve">                                          </w:t>
      </w:r>
      <w:r>
        <w:rPr>
          <w:rFonts w:hint="eastAsia" w:hAnsi="宋体" w:cs="宋体"/>
          <w:bCs/>
          <w:color w:val="auto"/>
          <w:highlight w:val="none"/>
        </w:rPr>
        <w:t>邮编：</w:t>
      </w:r>
      <w:r>
        <w:rPr>
          <w:rFonts w:hint="eastAsia" w:hAnsi="宋体" w:cs="宋体"/>
          <w:bCs/>
          <w:color w:val="auto"/>
          <w:highlight w:val="none"/>
          <w:u w:val="single"/>
        </w:rPr>
        <w:t xml:space="preserve">                  </w:t>
      </w:r>
      <w:r>
        <w:rPr>
          <w:rFonts w:hint="eastAsia" w:hAnsi="宋体" w:cs="宋体"/>
          <w:bCs/>
          <w:color w:val="auto"/>
          <w:highlight w:val="none"/>
        </w:rPr>
        <w:t xml:space="preserve"> </w:t>
      </w:r>
    </w:p>
    <w:p w14:paraId="0D6CDC69">
      <w:pPr>
        <w:pStyle w:val="20"/>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hAnsi="宋体" w:cs="宋体"/>
          <w:bCs/>
          <w:color w:val="auto"/>
          <w:highlight w:val="none"/>
        </w:rPr>
      </w:pPr>
      <w:r>
        <w:rPr>
          <w:rFonts w:hint="eastAsia" w:hAnsi="宋体" w:cs="宋体"/>
          <w:bCs/>
          <w:color w:val="auto"/>
          <w:highlight w:val="none"/>
        </w:rPr>
        <w:t>联系人：</w:t>
      </w:r>
      <w:r>
        <w:rPr>
          <w:rFonts w:hint="eastAsia" w:hAnsi="宋体" w:cs="宋体"/>
          <w:bCs/>
          <w:color w:val="auto"/>
          <w:highlight w:val="none"/>
          <w:u w:val="single"/>
        </w:rPr>
        <w:t xml:space="preserve">                     </w:t>
      </w:r>
      <w:r>
        <w:rPr>
          <w:rFonts w:hint="eastAsia" w:hAnsi="宋体" w:cs="宋体"/>
          <w:bCs/>
          <w:color w:val="auto"/>
          <w:highlight w:val="none"/>
        </w:rPr>
        <w:t>联系电话：</w:t>
      </w:r>
      <w:r>
        <w:rPr>
          <w:rFonts w:hint="eastAsia" w:hAnsi="宋体" w:cs="宋体"/>
          <w:bCs/>
          <w:color w:val="auto"/>
          <w:highlight w:val="none"/>
          <w:u w:val="single"/>
        </w:rPr>
        <w:t xml:space="preserve">                 </w:t>
      </w:r>
    </w:p>
    <w:p w14:paraId="4C7DDB10">
      <w:pPr>
        <w:pStyle w:val="20"/>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hAnsi="宋体" w:cs="宋体"/>
          <w:bCs/>
          <w:color w:val="auto"/>
          <w:highlight w:val="none"/>
        </w:rPr>
      </w:pPr>
      <w:r>
        <w:rPr>
          <w:rFonts w:hint="eastAsia" w:hAnsi="宋体" w:cs="宋体"/>
          <w:bCs/>
          <w:color w:val="auto"/>
          <w:highlight w:val="none"/>
        </w:rPr>
        <w:t>授权代表：</w:t>
      </w:r>
      <w:r>
        <w:rPr>
          <w:rFonts w:hint="eastAsia" w:hAnsi="宋体" w:cs="宋体"/>
          <w:bCs/>
          <w:color w:val="auto"/>
          <w:highlight w:val="none"/>
          <w:u w:val="single"/>
        </w:rPr>
        <w:t xml:space="preserve">                      </w:t>
      </w:r>
    </w:p>
    <w:p w14:paraId="1AF4216E">
      <w:pPr>
        <w:pStyle w:val="20"/>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hAnsi="宋体" w:cs="宋体"/>
          <w:bCs/>
          <w:color w:val="auto"/>
          <w:highlight w:val="none"/>
          <w:u w:val="single"/>
        </w:rPr>
      </w:pPr>
      <w:r>
        <w:rPr>
          <w:rFonts w:hint="eastAsia" w:hAnsi="宋体" w:cs="宋体"/>
          <w:bCs/>
          <w:color w:val="auto"/>
          <w:highlight w:val="none"/>
        </w:rPr>
        <w:t>联系电话：</w:t>
      </w:r>
      <w:r>
        <w:rPr>
          <w:rFonts w:hint="eastAsia" w:hAnsi="宋体" w:cs="宋体"/>
          <w:bCs/>
          <w:color w:val="auto"/>
          <w:highlight w:val="none"/>
          <w:u w:val="single"/>
        </w:rPr>
        <w:t xml:space="preserve">                      </w:t>
      </w:r>
    </w:p>
    <w:p w14:paraId="3186388B">
      <w:pPr>
        <w:pStyle w:val="20"/>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hAnsi="宋体" w:cs="宋体"/>
          <w:bCs/>
          <w:color w:val="auto"/>
          <w:highlight w:val="none"/>
        </w:rPr>
      </w:pPr>
      <w:r>
        <w:rPr>
          <w:rFonts w:hint="eastAsia" w:hAnsi="宋体" w:cs="宋体"/>
          <w:bCs/>
          <w:color w:val="auto"/>
          <w:highlight w:val="none"/>
        </w:rPr>
        <w:t>地址：</w:t>
      </w:r>
      <w:r>
        <w:rPr>
          <w:rFonts w:hint="eastAsia" w:hAnsi="宋体" w:cs="宋体"/>
          <w:bCs/>
          <w:color w:val="auto"/>
          <w:highlight w:val="none"/>
          <w:u w:val="single"/>
        </w:rPr>
        <w:t xml:space="preserve">                 </w:t>
      </w:r>
      <w:r>
        <w:rPr>
          <w:rFonts w:hint="eastAsia" w:hAnsi="宋体" w:cs="宋体"/>
          <w:bCs/>
          <w:color w:val="auto"/>
          <w:highlight w:val="none"/>
        </w:rPr>
        <w:t>邮编：</w:t>
      </w:r>
      <w:r>
        <w:rPr>
          <w:rFonts w:hint="eastAsia" w:hAnsi="宋体" w:cs="宋体"/>
          <w:bCs/>
          <w:color w:val="auto"/>
          <w:highlight w:val="none"/>
          <w:u w:val="single"/>
        </w:rPr>
        <w:t xml:space="preserve">                  </w:t>
      </w:r>
      <w:r>
        <w:rPr>
          <w:rFonts w:hint="eastAsia" w:hAnsi="宋体" w:cs="宋体"/>
          <w:bCs/>
          <w:color w:val="auto"/>
          <w:highlight w:val="none"/>
        </w:rPr>
        <w:t xml:space="preserve">     </w:t>
      </w:r>
    </w:p>
    <w:p w14:paraId="72F1919F">
      <w:pPr>
        <w:pStyle w:val="20"/>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hAnsi="宋体" w:cs="宋体"/>
          <w:b/>
          <w:bCs/>
          <w:color w:val="auto"/>
          <w:highlight w:val="none"/>
        </w:rPr>
      </w:pPr>
      <w:r>
        <w:rPr>
          <w:rFonts w:hint="eastAsia" w:hAnsi="宋体" w:cs="宋体"/>
          <w:b/>
          <w:bCs/>
          <w:color w:val="auto"/>
          <w:highlight w:val="none"/>
        </w:rPr>
        <w:t>二、质疑项目基本情况：</w:t>
      </w:r>
    </w:p>
    <w:p w14:paraId="3985296E">
      <w:pPr>
        <w:pStyle w:val="20"/>
        <w:keepNext w:val="0"/>
        <w:keepLines w:val="0"/>
        <w:pageBreakBefore w:val="0"/>
        <w:widowControl w:val="0"/>
        <w:kinsoku/>
        <w:wordWrap/>
        <w:overflowPunct/>
        <w:topLinePunct w:val="0"/>
        <w:autoSpaceDE/>
        <w:autoSpaceDN/>
        <w:bidi w:val="0"/>
        <w:adjustRightInd/>
        <w:spacing w:line="400" w:lineRule="exact"/>
        <w:ind w:left="25" w:leftChars="12" w:firstLine="413" w:firstLineChars="197"/>
        <w:textAlignment w:val="auto"/>
        <w:rPr>
          <w:rFonts w:hint="eastAsia" w:hAnsi="宋体" w:cs="宋体"/>
          <w:color w:val="auto"/>
          <w:highlight w:val="none"/>
        </w:rPr>
      </w:pPr>
      <w:r>
        <w:rPr>
          <w:rFonts w:hint="eastAsia" w:hAnsi="宋体" w:cs="宋体"/>
          <w:bCs/>
          <w:color w:val="auto"/>
          <w:highlight w:val="none"/>
        </w:rPr>
        <w:t>质疑</w:t>
      </w:r>
      <w:r>
        <w:rPr>
          <w:rFonts w:hint="eastAsia" w:hAnsi="宋体" w:cs="宋体"/>
          <w:color w:val="auto"/>
          <w:highlight w:val="none"/>
        </w:rPr>
        <w:t>项目的名称：</w:t>
      </w:r>
      <w:r>
        <w:rPr>
          <w:rFonts w:hint="eastAsia" w:hAnsi="宋体" w:cs="宋体"/>
          <w:bCs/>
          <w:color w:val="auto"/>
          <w:highlight w:val="none"/>
          <w:u w:val="single"/>
        </w:rPr>
        <w:t xml:space="preserve">                                     </w:t>
      </w:r>
    </w:p>
    <w:p w14:paraId="673C56FF">
      <w:pPr>
        <w:pStyle w:val="20"/>
        <w:keepNext w:val="0"/>
        <w:keepLines w:val="0"/>
        <w:pageBreakBefore w:val="0"/>
        <w:widowControl w:val="0"/>
        <w:kinsoku/>
        <w:wordWrap/>
        <w:overflowPunct/>
        <w:topLinePunct w:val="0"/>
        <w:autoSpaceDE/>
        <w:autoSpaceDN/>
        <w:bidi w:val="0"/>
        <w:adjustRightInd/>
        <w:spacing w:line="400" w:lineRule="exact"/>
        <w:ind w:left="25" w:leftChars="12" w:firstLine="413" w:firstLineChars="197"/>
        <w:textAlignment w:val="auto"/>
        <w:rPr>
          <w:rFonts w:hint="eastAsia" w:hAnsi="宋体" w:cs="宋体"/>
          <w:color w:val="auto"/>
          <w:highlight w:val="none"/>
        </w:rPr>
      </w:pPr>
      <w:r>
        <w:rPr>
          <w:rFonts w:hint="eastAsia" w:hAnsi="宋体" w:cs="宋体"/>
          <w:bCs/>
          <w:color w:val="auto"/>
          <w:highlight w:val="none"/>
        </w:rPr>
        <w:t>质疑</w:t>
      </w:r>
      <w:r>
        <w:rPr>
          <w:rFonts w:hint="eastAsia" w:hAnsi="宋体" w:cs="宋体"/>
          <w:color w:val="auto"/>
          <w:highlight w:val="none"/>
        </w:rPr>
        <w:t>项目的编号：</w:t>
      </w:r>
      <w:r>
        <w:rPr>
          <w:rFonts w:hint="eastAsia" w:hAnsi="宋体" w:cs="宋体"/>
          <w:bCs/>
          <w:color w:val="auto"/>
          <w:highlight w:val="none"/>
          <w:u w:val="single"/>
        </w:rPr>
        <w:t xml:space="preserve">                                     </w:t>
      </w:r>
    </w:p>
    <w:p w14:paraId="48A982C6">
      <w:pPr>
        <w:pStyle w:val="20"/>
        <w:keepNext w:val="0"/>
        <w:keepLines w:val="0"/>
        <w:pageBreakBefore w:val="0"/>
        <w:widowControl w:val="0"/>
        <w:kinsoku/>
        <w:wordWrap/>
        <w:overflowPunct/>
        <w:topLinePunct w:val="0"/>
        <w:autoSpaceDE/>
        <w:autoSpaceDN/>
        <w:bidi w:val="0"/>
        <w:adjustRightInd/>
        <w:spacing w:line="400" w:lineRule="exact"/>
        <w:ind w:left="25" w:leftChars="12" w:firstLine="413" w:firstLineChars="197"/>
        <w:textAlignment w:val="auto"/>
        <w:rPr>
          <w:rFonts w:hint="eastAsia" w:hAnsi="宋体" w:cs="宋体"/>
          <w:color w:val="auto"/>
          <w:highlight w:val="none"/>
        </w:rPr>
      </w:pPr>
      <w:r>
        <w:rPr>
          <w:rFonts w:hint="eastAsia" w:hAnsi="宋体" w:cs="宋体"/>
          <w:color w:val="auto"/>
          <w:highlight w:val="none"/>
        </w:rPr>
        <w:t>采购人名称：</w:t>
      </w:r>
      <w:r>
        <w:rPr>
          <w:rFonts w:hint="eastAsia" w:hAnsi="宋体" w:cs="宋体"/>
          <w:bCs/>
          <w:color w:val="auto"/>
          <w:highlight w:val="none"/>
          <w:u w:val="single"/>
        </w:rPr>
        <w:t xml:space="preserve">                                         </w:t>
      </w:r>
    </w:p>
    <w:p w14:paraId="571A0A46">
      <w:pPr>
        <w:pStyle w:val="20"/>
        <w:keepNext w:val="0"/>
        <w:keepLines w:val="0"/>
        <w:pageBreakBefore w:val="0"/>
        <w:widowControl w:val="0"/>
        <w:kinsoku/>
        <w:wordWrap/>
        <w:overflowPunct/>
        <w:topLinePunct w:val="0"/>
        <w:autoSpaceDE/>
        <w:autoSpaceDN/>
        <w:bidi w:val="0"/>
        <w:adjustRightInd/>
        <w:spacing w:line="400" w:lineRule="exact"/>
        <w:ind w:left="25" w:leftChars="12" w:firstLine="413" w:firstLineChars="197"/>
        <w:textAlignment w:val="auto"/>
        <w:rPr>
          <w:rFonts w:hint="eastAsia" w:hAnsi="宋体" w:cs="宋体"/>
          <w:color w:val="auto"/>
          <w:highlight w:val="none"/>
        </w:rPr>
      </w:pPr>
      <w:r>
        <w:rPr>
          <w:rFonts w:hint="eastAsia" w:hAnsi="宋体" w:cs="宋体"/>
          <w:color w:val="auto"/>
          <w:highlight w:val="none"/>
        </w:rPr>
        <w:t>质疑事项：</w:t>
      </w:r>
    </w:p>
    <w:p w14:paraId="17CBAC31">
      <w:pPr>
        <w:pStyle w:val="20"/>
        <w:keepNext w:val="0"/>
        <w:keepLines w:val="0"/>
        <w:pageBreakBefore w:val="0"/>
        <w:widowControl w:val="0"/>
        <w:kinsoku/>
        <w:wordWrap/>
        <w:overflowPunct/>
        <w:topLinePunct w:val="0"/>
        <w:autoSpaceDE/>
        <w:autoSpaceDN/>
        <w:bidi w:val="0"/>
        <w:adjustRightInd/>
        <w:spacing w:line="400" w:lineRule="exact"/>
        <w:ind w:left="25" w:leftChars="12" w:firstLine="308" w:firstLineChars="147"/>
        <w:textAlignment w:val="auto"/>
        <w:rPr>
          <w:rFonts w:hint="eastAsia" w:hAnsi="宋体" w:cs="宋体"/>
          <w:color w:val="auto"/>
          <w:highlight w:val="none"/>
        </w:rPr>
      </w:pPr>
      <w:r>
        <w:rPr>
          <w:rFonts w:hint="eastAsia" w:hAnsi="宋体" w:cs="宋体"/>
          <w:color w:val="auto"/>
          <w:highlight w:val="none"/>
        </w:rPr>
        <w:t>□招标文件   招标文件获取日期：</w:t>
      </w:r>
      <w:r>
        <w:rPr>
          <w:rFonts w:hint="eastAsia" w:hAnsi="宋体" w:cs="宋体"/>
          <w:bCs/>
          <w:color w:val="auto"/>
          <w:highlight w:val="none"/>
          <w:u w:val="single"/>
        </w:rPr>
        <w:t xml:space="preserve">                                   </w:t>
      </w:r>
    </w:p>
    <w:p w14:paraId="049751C5">
      <w:pPr>
        <w:pStyle w:val="20"/>
        <w:keepNext w:val="0"/>
        <w:keepLines w:val="0"/>
        <w:pageBreakBefore w:val="0"/>
        <w:widowControl w:val="0"/>
        <w:kinsoku/>
        <w:wordWrap/>
        <w:overflowPunct/>
        <w:topLinePunct w:val="0"/>
        <w:autoSpaceDE/>
        <w:autoSpaceDN/>
        <w:bidi w:val="0"/>
        <w:adjustRightInd/>
        <w:spacing w:line="400" w:lineRule="exact"/>
        <w:ind w:left="25" w:leftChars="12" w:firstLine="308" w:firstLineChars="147"/>
        <w:textAlignment w:val="auto"/>
        <w:rPr>
          <w:rFonts w:hint="eastAsia" w:hAnsi="宋体" w:cs="宋体"/>
          <w:color w:val="auto"/>
          <w:highlight w:val="none"/>
        </w:rPr>
      </w:pPr>
      <w:r>
        <w:rPr>
          <w:rFonts w:hint="eastAsia" w:hAnsi="宋体" w:cs="宋体"/>
          <w:color w:val="auto"/>
          <w:highlight w:val="none"/>
        </w:rPr>
        <w:t xml:space="preserve">□招标过程   </w:t>
      </w:r>
    </w:p>
    <w:p w14:paraId="4AB5C70F">
      <w:pPr>
        <w:pStyle w:val="20"/>
        <w:keepNext w:val="0"/>
        <w:keepLines w:val="0"/>
        <w:pageBreakBefore w:val="0"/>
        <w:widowControl w:val="0"/>
        <w:kinsoku/>
        <w:wordWrap/>
        <w:overflowPunct/>
        <w:topLinePunct w:val="0"/>
        <w:autoSpaceDE/>
        <w:autoSpaceDN/>
        <w:bidi w:val="0"/>
        <w:adjustRightInd/>
        <w:spacing w:line="400" w:lineRule="exact"/>
        <w:ind w:left="25" w:leftChars="12" w:firstLine="308" w:firstLineChars="147"/>
        <w:textAlignment w:val="auto"/>
        <w:rPr>
          <w:rFonts w:hint="eastAsia" w:hAnsi="宋体" w:cs="宋体"/>
          <w:bCs/>
          <w:color w:val="auto"/>
          <w:highlight w:val="none"/>
          <w:u w:val="single"/>
        </w:rPr>
      </w:pPr>
      <w:r>
        <w:rPr>
          <w:rFonts w:hint="eastAsia" w:hAnsi="宋体" w:cs="宋体"/>
          <w:color w:val="auto"/>
          <w:highlight w:val="none"/>
        </w:rPr>
        <w:t xml:space="preserve">□招标结果   </w:t>
      </w:r>
    </w:p>
    <w:p w14:paraId="20AE6D5B">
      <w:pPr>
        <w:pStyle w:val="20"/>
        <w:keepNext w:val="0"/>
        <w:keepLines w:val="0"/>
        <w:pageBreakBefore w:val="0"/>
        <w:widowControl w:val="0"/>
        <w:kinsoku/>
        <w:wordWrap/>
        <w:overflowPunct/>
        <w:topLinePunct w:val="0"/>
        <w:autoSpaceDE/>
        <w:autoSpaceDN/>
        <w:bidi w:val="0"/>
        <w:adjustRightInd/>
        <w:spacing w:line="400" w:lineRule="exact"/>
        <w:ind w:left="25" w:leftChars="12" w:firstLine="412" w:firstLineChars="196"/>
        <w:textAlignment w:val="auto"/>
        <w:rPr>
          <w:rFonts w:hint="eastAsia" w:hAnsi="宋体" w:cs="宋体"/>
          <w:b/>
          <w:color w:val="auto"/>
          <w:highlight w:val="none"/>
        </w:rPr>
      </w:pPr>
      <w:r>
        <w:rPr>
          <w:rFonts w:hint="eastAsia" w:hAnsi="宋体" w:cs="宋体"/>
          <w:b/>
          <w:color w:val="auto"/>
          <w:highlight w:val="none"/>
        </w:rPr>
        <w:t>三、质疑事项具体内容</w:t>
      </w:r>
    </w:p>
    <w:p w14:paraId="038519E4">
      <w:pPr>
        <w:pStyle w:val="20"/>
        <w:keepNext w:val="0"/>
        <w:keepLines w:val="0"/>
        <w:pageBreakBefore w:val="0"/>
        <w:widowControl w:val="0"/>
        <w:kinsoku/>
        <w:wordWrap/>
        <w:overflowPunct/>
        <w:topLinePunct w:val="0"/>
        <w:autoSpaceDE/>
        <w:autoSpaceDN/>
        <w:bidi w:val="0"/>
        <w:adjustRightInd/>
        <w:spacing w:line="400" w:lineRule="exact"/>
        <w:ind w:left="25" w:leftChars="12" w:firstLine="413" w:firstLineChars="197"/>
        <w:textAlignment w:val="auto"/>
        <w:rPr>
          <w:rFonts w:hint="eastAsia" w:hAnsi="宋体" w:cs="宋体"/>
          <w:color w:val="auto"/>
          <w:highlight w:val="none"/>
        </w:rPr>
      </w:pPr>
      <w:r>
        <w:rPr>
          <w:rFonts w:hint="eastAsia" w:hAnsi="宋体" w:cs="宋体"/>
          <w:color w:val="auto"/>
          <w:highlight w:val="none"/>
        </w:rPr>
        <w:t>质疑事项1：</w:t>
      </w:r>
      <w:r>
        <w:rPr>
          <w:rFonts w:hint="eastAsia" w:hAnsi="宋体" w:cs="宋体"/>
          <w:bCs/>
          <w:color w:val="auto"/>
          <w:highlight w:val="none"/>
          <w:u w:val="single"/>
        </w:rPr>
        <w:t xml:space="preserve">                                                                    </w:t>
      </w:r>
    </w:p>
    <w:p w14:paraId="5E46ED91">
      <w:pPr>
        <w:pStyle w:val="20"/>
        <w:keepNext w:val="0"/>
        <w:keepLines w:val="0"/>
        <w:pageBreakBefore w:val="0"/>
        <w:widowControl w:val="0"/>
        <w:kinsoku/>
        <w:wordWrap/>
        <w:overflowPunct/>
        <w:topLinePunct w:val="0"/>
        <w:autoSpaceDE/>
        <w:autoSpaceDN/>
        <w:bidi w:val="0"/>
        <w:adjustRightInd/>
        <w:spacing w:line="400" w:lineRule="exact"/>
        <w:ind w:left="25" w:leftChars="12" w:firstLine="413" w:firstLineChars="197"/>
        <w:textAlignment w:val="auto"/>
        <w:rPr>
          <w:rFonts w:hint="eastAsia" w:hAnsi="宋体" w:cs="宋体"/>
          <w:color w:val="auto"/>
          <w:highlight w:val="none"/>
        </w:rPr>
      </w:pPr>
      <w:r>
        <w:rPr>
          <w:rFonts w:hint="eastAsia" w:hAnsi="宋体" w:cs="宋体"/>
          <w:color w:val="auto"/>
          <w:highlight w:val="none"/>
        </w:rPr>
        <w:t>事实依据：</w:t>
      </w:r>
      <w:r>
        <w:rPr>
          <w:rFonts w:hint="eastAsia" w:hAnsi="宋体" w:cs="宋体"/>
          <w:bCs/>
          <w:color w:val="auto"/>
          <w:highlight w:val="none"/>
          <w:u w:val="single"/>
        </w:rPr>
        <w:t xml:space="preserve">                                                                      </w:t>
      </w:r>
    </w:p>
    <w:p w14:paraId="5DF46D93">
      <w:pPr>
        <w:pStyle w:val="20"/>
        <w:keepNext w:val="0"/>
        <w:keepLines w:val="0"/>
        <w:pageBreakBefore w:val="0"/>
        <w:widowControl w:val="0"/>
        <w:kinsoku/>
        <w:wordWrap/>
        <w:overflowPunct/>
        <w:topLinePunct w:val="0"/>
        <w:autoSpaceDE/>
        <w:autoSpaceDN/>
        <w:bidi w:val="0"/>
        <w:adjustRightInd/>
        <w:spacing w:line="400" w:lineRule="exact"/>
        <w:ind w:left="25" w:leftChars="12" w:firstLine="413" w:firstLineChars="197"/>
        <w:textAlignment w:val="auto"/>
        <w:rPr>
          <w:rFonts w:hint="eastAsia" w:hAnsi="宋体" w:cs="宋体"/>
          <w:color w:val="auto"/>
          <w:highlight w:val="none"/>
        </w:rPr>
      </w:pPr>
      <w:r>
        <w:rPr>
          <w:rFonts w:hint="eastAsia" w:hAnsi="宋体" w:cs="宋体"/>
          <w:color w:val="auto"/>
          <w:highlight w:val="none"/>
        </w:rPr>
        <w:t>法律依据：</w:t>
      </w:r>
      <w:r>
        <w:rPr>
          <w:rFonts w:hint="eastAsia" w:hAnsi="宋体" w:cs="宋体"/>
          <w:color w:val="auto"/>
          <w:highlight w:val="none"/>
          <w:u w:val="single"/>
        </w:rPr>
        <w:t xml:space="preserve">                                                        </w:t>
      </w:r>
      <w:r>
        <w:rPr>
          <w:rFonts w:hint="eastAsia" w:hAnsi="宋体" w:cs="宋体"/>
          <w:bCs/>
          <w:color w:val="auto"/>
          <w:highlight w:val="none"/>
          <w:u w:val="single"/>
        </w:rPr>
        <w:t xml:space="preserve">               </w:t>
      </w:r>
    </w:p>
    <w:p w14:paraId="0A908578">
      <w:pPr>
        <w:pStyle w:val="20"/>
        <w:keepNext w:val="0"/>
        <w:keepLines w:val="0"/>
        <w:pageBreakBefore w:val="0"/>
        <w:widowControl w:val="0"/>
        <w:kinsoku/>
        <w:wordWrap/>
        <w:overflowPunct/>
        <w:topLinePunct w:val="0"/>
        <w:autoSpaceDE/>
        <w:autoSpaceDN/>
        <w:bidi w:val="0"/>
        <w:adjustRightInd/>
        <w:spacing w:line="400" w:lineRule="exact"/>
        <w:ind w:left="25" w:leftChars="12" w:firstLine="413" w:firstLineChars="197"/>
        <w:textAlignment w:val="auto"/>
        <w:rPr>
          <w:rFonts w:hint="eastAsia" w:hAnsi="宋体" w:cs="宋体"/>
          <w:color w:val="auto"/>
          <w:highlight w:val="none"/>
        </w:rPr>
      </w:pPr>
      <w:r>
        <w:rPr>
          <w:rFonts w:hint="eastAsia" w:hAnsi="宋体" w:cs="宋体"/>
          <w:color w:val="auto"/>
          <w:highlight w:val="none"/>
        </w:rPr>
        <w:t>质疑事项2</w:t>
      </w:r>
    </w:p>
    <w:p w14:paraId="37DE7A85">
      <w:pPr>
        <w:pStyle w:val="20"/>
        <w:keepNext w:val="0"/>
        <w:keepLines w:val="0"/>
        <w:pageBreakBefore w:val="0"/>
        <w:widowControl w:val="0"/>
        <w:kinsoku/>
        <w:wordWrap/>
        <w:overflowPunct/>
        <w:topLinePunct w:val="0"/>
        <w:autoSpaceDE/>
        <w:autoSpaceDN/>
        <w:bidi w:val="0"/>
        <w:adjustRightInd/>
        <w:spacing w:line="400" w:lineRule="exact"/>
        <w:ind w:left="25" w:leftChars="12" w:firstLine="413" w:firstLineChars="197"/>
        <w:textAlignment w:val="auto"/>
        <w:rPr>
          <w:rFonts w:hint="eastAsia" w:hAnsi="宋体" w:cs="宋体"/>
          <w:color w:val="auto"/>
          <w:highlight w:val="none"/>
        </w:rPr>
      </w:pPr>
      <w:r>
        <w:rPr>
          <w:rFonts w:hint="eastAsia" w:hAnsi="宋体" w:cs="宋体"/>
          <w:color w:val="auto"/>
          <w:highlight w:val="none"/>
        </w:rPr>
        <w:t>……</w:t>
      </w:r>
    </w:p>
    <w:p w14:paraId="187C895C">
      <w:pPr>
        <w:pStyle w:val="20"/>
        <w:keepNext w:val="0"/>
        <w:keepLines w:val="0"/>
        <w:pageBreakBefore w:val="0"/>
        <w:widowControl w:val="0"/>
        <w:kinsoku/>
        <w:wordWrap/>
        <w:overflowPunct/>
        <w:topLinePunct w:val="0"/>
        <w:autoSpaceDE/>
        <w:autoSpaceDN/>
        <w:bidi w:val="0"/>
        <w:adjustRightInd/>
        <w:spacing w:line="400" w:lineRule="exact"/>
        <w:ind w:left="25" w:leftChars="12" w:firstLine="413" w:firstLineChars="197"/>
        <w:textAlignment w:val="auto"/>
        <w:rPr>
          <w:rFonts w:hint="eastAsia" w:hAnsi="宋体" w:cs="宋体"/>
          <w:color w:val="auto"/>
          <w:highlight w:val="none"/>
        </w:rPr>
      </w:pPr>
      <w:r>
        <w:rPr>
          <w:rFonts w:hint="eastAsia" w:hAnsi="宋体" w:cs="宋体"/>
          <w:color w:val="auto"/>
          <w:highlight w:val="none"/>
        </w:rPr>
        <w:t>四、与质疑事项相关的质疑请求：</w:t>
      </w:r>
    </w:p>
    <w:p w14:paraId="7194B85C">
      <w:pPr>
        <w:pStyle w:val="20"/>
        <w:keepNext w:val="0"/>
        <w:keepLines w:val="0"/>
        <w:pageBreakBefore w:val="0"/>
        <w:widowControl w:val="0"/>
        <w:kinsoku/>
        <w:wordWrap/>
        <w:overflowPunct/>
        <w:topLinePunct w:val="0"/>
        <w:autoSpaceDE/>
        <w:autoSpaceDN/>
        <w:bidi w:val="0"/>
        <w:adjustRightInd/>
        <w:spacing w:line="400" w:lineRule="exact"/>
        <w:ind w:left="25" w:leftChars="12" w:firstLine="413" w:firstLineChars="197"/>
        <w:textAlignment w:val="auto"/>
        <w:rPr>
          <w:rFonts w:hint="eastAsia" w:hAnsi="宋体" w:cs="宋体"/>
          <w:color w:val="auto"/>
          <w:highlight w:val="none"/>
        </w:rPr>
      </w:pPr>
      <w:r>
        <w:rPr>
          <w:rFonts w:hint="eastAsia" w:hAnsi="宋体" w:cs="宋体"/>
          <w:color w:val="auto"/>
          <w:highlight w:val="none"/>
        </w:rPr>
        <w:t>请求：</w:t>
      </w:r>
      <w:r>
        <w:rPr>
          <w:rFonts w:hint="eastAsia" w:hAnsi="宋体" w:cs="宋体"/>
          <w:bCs/>
          <w:color w:val="auto"/>
          <w:highlight w:val="none"/>
          <w:u w:val="single"/>
        </w:rPr>
        <w:t xml:space="preserve">                                                                </w:t>
      </w:r>
    </w:p>
    <w:p w14:paraId="5C98CE64">
      <w:pPr>
        <w:pStyle w:val="20"/>
        <w:keepNext w:val="0"/>
        <w:keepLines w:val="0"/>
        <w:pageBreakBefore w:val="0"/>
        <w:widowControl w:val="0"/>
        <w:kinsoku/>
        <w:wordWrap/>
        <w:overflowPunct/>
        <w:topLinePunct w:val="0"/>
        <w:autoSpaceDE/>
        <w:autoSpaceDN/>
        <w:bidi w:val="0"/>
        <w:adjustRightInd/>
        <w:spacing w:line="400" w:lineRule="exact"/>
        <w:ind w:left="25" w:leftChars="12" w:firstLine="308" w:firstLineChars="147"/>
        <w:textAlignment w:val="auto"/>
        <w:rPr>
          <w:rFonts w:hint="eastAsia" w:hAnsi="宋体" w:cs="宋体"/>
          <w:color w:val="auto"/>
          <w:highlight w:val="none"/>
        </w:rPr>
      </w:pPr>
    </w:p>
    <w:p w14:paraId="286FEEEB">
      <w:pPr>
        <w:pStyle w:val="20"/>
        <w:keepNext w:val="0"/>
        <w:keepLines w:val="0"/>
        <w:pageBreakBefore w:val="0"/>
        <w:widowControl w:val="0"/>
        <w:kinsoku/>
        <w:wordWrap/>
        <w:overflowPunct/>
        <w:topLinePunct w:val="0"/>
        <w:autoSpaceDE/>
        <w:autoSpaceDN/>
        <w:bidi w:val="0"/>
        <w:adjustRightInd/>
        <w:spacing w:line="400" w:lineRule="exact"/>
        <w:ind w:left="25" w:leftChars="12" w:firstLine="413" w:firstLineChars="197"/>
        <w:textAlignment w:val="auto"/>
        <w:rPr>
          <w:rFonts w:hint="eastAsia" w:hAnsi="宋体" w:cs="宋体"/>
          <w:color w:val="auto"/>
          <w:highlight w:val="none"/>
        </w:rPr>
      </w:pPr>
      <w:r>
        <w:rPr>
          <w:rFonts w:hint="eastAsia" w:hAnsi="宋体" w:cs="宋体"/>
          <w:color w:val="auto"/>
          <w:highlight w:val="none"/>
        </w:rPr>
        <w:t>签字（签章）：                                       公章：</w:t>
      </w:r>
    </w:p>
    <w:p w14:paraId="11B54CD7">
      <w:pPr>
        <w:pStyle w:val="20"/>
        <w:keepNext w:val="0"/>
        <w:keepLines w:val="0"/>
        <w:pageBreakBefore w:val="0"/>
        <w:widowControl w:val="0"/>
        <w:kinsoku/>
        <w:wordWrap/>
        <w:overflowPunct/>
        <w:topLinePunct w:val="0"/>
        <w:autoSpaceDE/>
        <w:autoSpaceDN/>
        <w:bidi w:val="0"/>
        <w:adjustRightInd/>
        <w:spacing w:line="400" w:lineRule="exact"/>
        <w:ind w:left="25" w:leftChars="12" w:firstLine="413" w:firstLineChars="197"/>
        <w:textAlignment w:val="auto"/>
        <w:rPr>
          <w:rFonts w:hint="eastAsia" w:hAnsi="宋体" w:cs="宋体"/>
          <w:color w:val="auto"/>
          <w:highlight w:val="none"/>
        </w:rPr>
      </w:pPr>
      <w:r>
        <w:rPr>
          <w:rFonts w:hint="eastAsia" w:hAnsi="宋体" w:cs="宋体"/>
          <w:color w:val="auto"/>
          <w:highlight w:val="none"/>
        </w:rPr>
        <w:t>日期：</w:t>
      </w:r>
    </w:p>
    <w:p w14:paraId="7D83ADBA">
      <w:pPr>
        <w:pStyle w:val="20"/>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hAnsi="宋体" w:cs="宋体"/>
          <w:b/>
          <w:color w:val="auto"/>
          <w:highlight w:val="none"/>
        </w:rPr>
      </w:pPr>
      <w:r>
        <w:rPr>
          <w:rFonts w:hint="eastAsia" w:hAnsi="宋体" w:cs="宋体"/>
          <w:b/>
          <w:color w:val="auto"/>
          <w:highlight w:val="none"/>
        </w:rPr>
        <w:t>说明：</w:t>
      </w:r>
    </w:p>
    <w:p w14:paraId="192F01E8">
      <w:pPr>
        <w:pStyle w:val="20"/>
        <w:keepNext w:val="0"/>
        <w:keepLines w:val="0"/>
        <w:pageBreakBefore w:val="0"/>
        <w:widowControl w:val="0"/>
        <w:kinsoku/>
        <w:wordWrap/>
        <w:overflowPunct/>
        <w:topLinePunct w:val="0"/>
        <w:autoSpaceDE/>
        <w:autoSpaceDN/>
        <w:bidi w:val="0"/>
        <w:adjustRightInd/>
        <w:spacing w:line="400" w:lineRule="exact"/>
        <w:ind w:left="25" w:leftChars="12" w:firstLine="309" w:firstLineChars="147"/>
        <w:textAlignment w:val="auto"/>
        <w:rPr>
          <w:rFonts w:hint="eastAsia" w:hAnsi="宋体" w:cs="宋体"/>
          <w:b/>
          <w:bCs/>
          <w:color w:val="auto"/>
          <w:highlight w:val="none"/>
        </w:rPr>
      </w:pPr>
      <w:r>
        <w:rPr>
          <w:rFonts w:hint="eastAsia" w:hAnsi="宋体" w:cs="宋体"/>
          <w:b/>
          <w:color w:val="auto"/>
          <w:highlight w:val="none"/>
        </w:rPr>
        <w:t>1.供应商提出质疑时，应提交质疑函和必要的证明材料</w:t>
      </w:r>
      <w:r>
        <w:rPr>
          <w:rFonts w:hint="eastAsia" w:hAnsi="宋体" w:cs="宋体"/>
          <w:b/>
          <w:bCs/>
          <w:color w:val="auto"/>
          <w:highlight w:val="none"/>
        </w:rPr>
        <w:t>。</w:t>
      </w:r>
    </w:p>
    <w:p w14:paraId="297FAFF2">
      <w:pPr>
        <w:pStyle w:val="20"/>
        <w:keepNext w:val="0"/>
        <w:keepLines w:val="0"/>
        <w:pageBreakBefore w:val="0"/>
        <w:widowControl w:val="0"/>
        <w:kinsoku/>
        <w:wordWrap/>
        <w:overflowPunct/>
        <w:topLinePunct w:val="0"/>
        <w:autoSpaceDE/>
        <w:autoSpaceDN/>
        <w:bidi w:val="0"/>
        <w:adjustRightInd/>
        <w:spacing w:line="400" w:lineRule="exact"/>
        <w:ind w:left="25" w:leftChars="12" w:firstLine="309" w:firstLineChars="147"/>
        <w:textAlignment w:val="auto"/>
        <w:rPr>
          <w:rFonts w:hint="eastAsia" w:hAnsi="宋体" w:cs="宋体"/>
          <w:b/>
          <w:color w:val="auto"/>
          <w:highlight w:val="none"/>
        </w:rPr>
      </w:pPr>
      <w:r>
        <w:rPr>
          <w:rFonts w:hint="eastAsia" w:hAnsi="宋体" w:cs="宋体"/>
          <w:b/>
          <w:color w:val="auto"/>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25FF2A87">
      <w:pPr>
        <w:pStyle w:val="20"/>
        <w:keepNext w:val="0"/>
        <w:keepLines w:val="0"/>
        <w:pageBreakBefore w:val="0"/>
        <w:widowControl w:val="0"/>
        <w:kinsoku/>
        <w:wordWrap/>
        <w:overflowPunct/>
        <w:topLinePunct w:val="0"/>
        <w:autoSpaceDE/>
        <w:autoSpaceDN/>
        <w:bidi w:val="0"/>
        <w:adjustRightInd/>
        <w:spacing w:line="400" w:lineRule="exact"/>
        <w:ind w:left="25" w:leftChars="12" w:firstLine="309" w:firstLineChars="147"/>
        <w:textAlignment w:val="auto"/>
        <w:rPr>
          <w:rFonts w:hint="eastAsia" w:hAnsi="宋体" w:cs="宋体"/>
          <w:b/>
          <w:color w:val="auto"/>
          <w:highlight w:val="none"/>
        </w:rPr>
      </w:pPr>
      <w:r>
        <w:rPr>
          <w:rFonts w:hint="eastAsia" w:hAnsi="宋体" w:cs="宋体"/>
          <w:b/>
          <w:color w:val="auto"/>
          <w:highlight w:val="none"/>
        </w:rPr>
        <w:t>3.质疑函的质疑事项应具体、明确，并有必要的事实依据和法律依据。</w:t>
      </w:r>
    </w:p>
    <w:p w14:paraId="1762465C">
      <w:pPr>
        <w:pStyle w:val="20"/>
        <w:keepNext w:val="0"/>
        <w:keepLines w:val="0"/>
        <w:pageBreakBefore w:val="0"/>
        <w:widowControl w:val="0"/>
        <w:kinsoku/>
        <w:wordWrap/>
        <w:overflowPunct/>
        <w:topLinePunct w:val="0"/>
        <w:autoSpaceDE/>
        <w:autoSpaceDN/>
        <w:bidi w:val="0"/>
        <w:adjustRightInd/>
        <w:spacing w:line="400" w:lineRule="exact"/>
        <w:ind w:left="25" w:leftChars="12" w:firstLine="309" w:firstLineChars="147"/>
        <w:textAlignment w:val="auto"/>
        <w:rPr>
          <w:rFonts w:hint="eastAsia" w:hAnsi="宋体" w:cs="宋体"/>
          <w:b/>
          <w:color w:val="auto"/>
          <w:highlight w:val="none"/>
        </w:rPr>
      </w:pPr>
      <w:r>
        <w:rPr>
          <w:rFonts w:hint="eastAsia" w:hAnsi="宋体" w:cs="宋体"/>
          <w:b/>
          <w:color w:val="auto"/>
          <w:highlight w:val="none"/>
        </w:rPr>
        <w:t>4.质疑函的质疑请求应与质疑事项相关。</w:t>
      </w:r>
    </w:p>
    <w:p w14:paraId="05E5BEF0">
      <w:pPr>
        <w:pStyle w:val="20"/>
        <w:keepNext w:val="0"/>
        <w:keepLines w:val="0"/>
        <w:pageBreakBefore w:val="0"/>
        <w:widowControl w:val="0"/>
        <w:kinsoku/>
        <w:wordWrap/>
        <w:overflowPunct/>
        <w:topLinePunct w:val="0"/>
        <w:autoSpaceDE/>
        <w:autoSpaceDN/>
        <w:bidi w:val="0"/>
        <w:adjustRightInd/>
        <w:spacing w:line="400" w:lineRule="exact"/>
        <w:ind w:left="25" w:leftChars="12" w:firstLine="309" w:firstLineChars="147"/>
        <w:textAlignment w:val="auto"/>
        <w:rPr>
          <w:rFonts w:hint="eastAsia" w:hAnsi="宋体" w:cs="宋体"/>
          <w:b/>
          <w:color w:val="auto"/>
          <w:highlight w:val="none"/>
        </w:rPr>
      </w:pPr>
      <w:r>
        <w:rPr>
          <w:rFonts w:hint="eastAsia" w:hAnsi="宋体" w:cs="宋体"/>
          <w:b/>
          <w:color w:val="auto"/>
          <w:highlight w:val="none"/>
        </w:rPr>
        <w:t>5.质疑供应商为法人或者其他组织的，质疑函应由法定代表人、主要负责人，或者其授权代表签字或者盖章，并加盖公章。</w:t>
      </w:r>
    </w:p>
    <w:p w14:paraId="43D5C313">
      <w:pPr>
        <w:spacing w:line="460" w:lineRule="exact"/>
        <w:rPr>
          <w:rFonts w:hint="eastAsia" w:ascii="宋体" w:hAnsi="宋体" w:cs="宋体"/>
          <w:color w:val="auto"/>
          <w:sz w:val="44"/>
          <w:highlight w:val="none"/>
        </w:rPr>
      </w:pPr>
    </w:p>
    <w:p w14:paraId="50EABAF7">
      <w:pPr>
        <w:spacing w:line="360" w:lineRule="auto"/>
        <w:jc w:val="left"/>
        <w:rPr>
          <w:rFonts w:hint="eastAsia"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2.投诉书（格式）</w:t>
      </w:r>
    </w:p>
    <w:p w14:paraId="7043DF4C">
      <w:pPr>
        <w:spacing w:line="360" w:lineRule="auto"/>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投诉书（格式）</w:t>
      </w:r>
    </w:p>
    <w:p w14:paraId="3A420C6A">
      <w:pPr>
        <w:pStyle w:val="20"/>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hAnsi="宋体" w:cs="宋体"/>
          <w:b/>
          <w:bCs/>
          <w:color w:val="auto"/>
          <w:highlight w:val="none"/>
        </w:rPr>
      </w:pPr>
      <w:r>
        <w:rPr>
          <w:rFonts w:hint="eastAsia" w:hAnsi="宋体" w:cs="宋体"/>
          <w:b/>
          <w:bCs/>
          <w:color w:val="auto"/>
          <w:highlight w:val="none"/>
        </w:rPr>
        <w:t>一、投诉相关主体基本情况：</w:t>
      </w:r>
    </w:p>
    <w:p w14:paraId="37AE40FA">
      <w:pPr>
        <w:pStyle w:val="20"/>
        <w:keepNext w:val="0"/>
        <w:keepLines w:val="0"/>
        <w:pageBreakBefore w:val="0"/>
        <w:widowControl w:val="0"/>
        <w:kinsoku/>
        <w:wordWrap/>
        <w:overflowPunct/>
        <w:topLinePunct w:val="0"/>
        <w:autoSpaceDE/>
        <w:autoSpaceDN/>
        <w:bidi w:val="0"/>
        <w:adjustRightInd/>
        <w:snapToGrid w:val="0"/>
        <w:spacing w:line="400" w:lineRule="exact"/>
        <w:ind w:firstLine="420" w:firstLineChars="200"/>
        <w:jc w:val="left"/>
        <w:textAlignment w:val="auto"/>
        <w:rPr>
          <w:rFonts w:hint="eastAsia" w:hAnsi="宋体" w:cs="宋体"/>
          <w:bCs/>
          <w:color w:val="auto"/>
          <w:highlight w:val="none"/>
          <w:u w:val="single"/>
        </w:rPr>
      </w:pPr>
      <w:r>
        <w:rPr>
          <w:rFonts w:hint="eastAsia" w:hAnsi="宋体" w:cs="宋体"/>
          <w:bCs/>
          <w:color w:val="auto"/>
          <w:highlight w:val="none"/>
        </w:rPr>
        <w:t>投标人：</w:t>
      </w:r>
      <w:r>
        <w:rPr>
          <w:rFonts w:hint="eastAsia" w:hAnsi="宋体" w:cs="宋体"/>
          <w:bCs/>
          <w:color w:val="auto"/>
          <w:highlight w:val="none"/>
          <w:u w:val="single"/>
        </w:rPr>
        <w:t xml:space="preserve">                                                                        </w:t>
      </w:r>
    </w:p>
    <w:p w14:paraId="1CC29447">
      <w:pPr>
        <w:pStyle w:val="20"/>
        <w:keepNext w:val="0"/>
        <w:keepLines w:val="0"/>
        <w:pageBreakBefore w:val="0"/>
        <w:widowControl w:val="0"/>
        <w:kinsoku/>
        <w:wordWrap/>
        <w:overflowPunct/>
        <w:topLinePunct w:val="0"/>
        <w:autoSpaceDE/>
        <w:autoSpaceDN/>
        <w:bidi w:val="0"/>
        <w:adjustRightInd/>
        <w:snapToGrid w:val="0"/>
        <w:spacing w:line="400" w:lineRule="exact"/>
        <w:ind w:firstLine="420" w:firstLineChars="200"/>
        <w:jc w:val="left"/>
        <w:textAlignment w:val="auto"/>
        <w:rPr>
          <w:rFonts w:hint="eastAsia" w:hAnsi="宋体" w:cs="宋体"/>
          <w:bCs/>
          <w:color w:val="auto"/>
          <w:highlight w:val="none"/>
        </w:rPr>
      </w:pPr>
      <w:r>
        <w:rPr>
          <w:rFonts w:hint="eastAsia" w:hAnsi="宋体" w:cs="宋体"/>
          <w:bCs/>
          <w:color w:val="auto"/>
          <w:highlight w:val="none"/>
        </w:rPr>
        <w:t>地址：</w:t>
      </w:r>
      <w:r>
        <w:rPr>
          <w:rFonts w:hint="eastAsia" w:hAnsi="宋体" w:cs="宋体"/>
          <w:bCs/>
          <w:color w:val="auto"/>
          <w:highlight w:val="none"/>
          <w:u w:val="single"/>
        </w:rPr>
        <w:t xml:space="preserve">                                          </w:t>
      </w:r>
      <w:r>
        <w:rPr>
          <w:rFonts w:hint="eastAsia" w:hAnsi="宋体" w:cs="宋体"/>
          <w:bCs/>
          <w:color w:val="auto"/>
          <w:highlight w:val="none"/>
        </w:rPr>
        <w:t>邮编：</w:t>
      </w:r>
      <w:r>
        <w:rPr>
          <w:rFonts w:hint="eastAsia" w:hAnsi="宋体" w:cs="宋体"/>
          <w:bCs/>
          <w:color w:val="auto"/>
          <w:highlight w:val="none"/>
          <w:u w:val="single"/>
        </w:rPr>
        <w:t xml:space="preserve">                          </w:t>
      </w:r>
    </w:p>
    <w:p w14:paraId="29A6335A">
      <w:pPr>
        <w:pStyle w:val="20"/>
        <w:keepNext w:val="0"/>
        <w:keepLines w:val="0"/>
        <w:pageBreakBefore w:val="0"/>
        <w:widowControl w:val="0"/>
        <w:kinsoku/>
        <w:wordWrap/>
        <w:overflowPunct/>
        <w:topLinePunct w:val="0"/>
        <w:autoSpaceDE/>
        <w:autoSpaceDN/>
        <w:bidi w:val="0"/>
        <w:adjustRightInd/>
        <w:snapToGrid w:val="0"/>
        <w:spacing w:line="400" w:lineRule="exact"/>
        <w:ind w:firstLine="420" w:firstLineChars="200"/>
        <w:jc w:val="left"/>
        <w:textAlignment w:val="auto"/>
        <w:rPr>
          <w:rFonts w:hint="eastAsia" w:hAnsi="宋体" w:cs="宋体"/>
          <w:bCs/>
          <w:color w:val="auto"/>
          <w:highlight w:val="none"/>
          <w:u w:val="single"/>
        </w:rPr>
      </w:pPr>
      <w:r>
        <w:rPr>
          <w:rFonts w:hint="eastAsia" w:hAnsi="宋体" w:cs="宋体"/>
          <w:bCs/>
          <w:color w:val="auto"/>
          <w:highlight w:val="none"/>
        </w:rPr>
        <w:t>法定代表人/主要负责人：</w:t>
      </w:r>
      <w:r>
        <w:rPr>
          <w:rFonts w:hint="eastAsia" w:hAnsi="宋体" w:cs="宋体"/>
          <w:bCs/>
          <w:color w:val="auto"/>
          <w:highlight w:val="none"/>
          <w:u w:val="single"/>
        </w:rPr>
        <w:t xml:space="preserve">                                                         </w:t>
      </w:r>
    </w:p>
    <w:p w14:paraId="645E21F5">
      <w:pPr>
        <w:pStyle w:val="20"/>
        <w:keepNext w:val="0"/>
        <w:keepLines w:val="0"/>
        <w:pageBreakBefore w:val="0"/>
        <w:widowControl w:val="0"/>
        <w:kinsoku/>
        <w:wordWrap/>
        <w:overflowPunct/>
        <w:topLinePunct w:val="0"/>
        <w:autoSpaceDE/>
        <w:autoSpaceDN/>
        <w:bidi w:val="0"/>
        <w:adjustRightInd/>
        <w:snapToGrid w:val="0"/>
        <w:spacing w:line="400" w:lineRule="exact"/>
        <w:ind w:firstLine="420" w:firstLineChars="200"/>
        <w:jc w:val="left"/>
        <w:textAlignment w:val="auto"/>
        <w:rPr>
          <w:rFonts w:hint="eastAsia" w:hAnsi="宋体" w:cs="宋体"/>
          <w:bCs/>
          <w:color w:val="auto"/>
          <w:highlight w:val="none"/>
        </w:rPr>
      </w:pPr>
      <w:r>
        <w:rPr>
          <w:rFonts w:hint="eastAsia" w:hAnsi="宋体" w:cs="宋体"/>
          <w:bCs/>
          <w:color w:val="auto"/>
          <w:highlight w:val="none"/>
        </w:rPr>
        <w:t>联系电话：</w:t>
      </w:r>
      <w:r>
        <w:rPr>
          <w:rFonts w:hint="eastAsia" w:hAnsi="宋体" w:cs="宋体"/>
          <w:bCs/>
          <w:color w:val="auto"/>
          <w:highlight w:val="none"/>
          <w:u w:val="single"/>
        </w:rPr>
        <w:t xml:space="preserve">                                         </w:t>
      </w:r>
    </w:p>
    <w:p w14:paraId="209AB98E">
      <w:pPr>
        <w:pStyle w:val="20"/>
        <w:keepNext w:val="0"/>
        <w:keepLines w:val="0"/>
        <w:pageBreakBefore w:val="0"/>
        <w:widowControl w:val="0"/>
        <w:kinsoku/>
        <w:wordWrap/>
        <w:overflowPunct/>
        <w:topLinePunct w:val="0"/>
        <w:autoSpaceDE/>
        <w:autoSpaceDN/>
        <w:bidi w:val="0"/>
        <w:adjustRightInd/>
        <w:snapToGrid w:val="0"/>
        <w:spacing w:line="400" w:lineRule="exact"/>
        <w:ind w:firstLine="420" w:firstLineChars="200"/>
        <w:jc w:val="left"/>
        <w:textAlignment w:val="auto"/>
        <w:rPr>
          <w:rFonts w:hint="eastAsia" w:hAnsi="宋体" w:cs="宋体"/>
          <w:bCs/>
          <w:color w:val="auto"/>
          <w:highlight w:val="none"/>
          <w:u w:val="single"/>
        </w:rPr>
      </w:pPr>
      <w:r>
        <w:rPr>
          <w:rFonts w:hint="eastAsia" w:hAnsi="宋体" w:cs="宋体"/>
          <w:bCs/>
          <w:color w:val="auto"/>
          <w:highlight w:val="none"/>
        </w:rPr>
        <w:t>授权代表：</w:t>
      </w:r>
      <w:r>
        <w:rPr>
          <w:rFonts w:hint="eastAsia" w:hAnsi="宋体" w:cs="宋体"/>
          <w:bCs/>
          <w:color w:val="auto"/>
          <w:highlight w:val="none"/>
          <w:u w:val="single"/>
        </w:rPr>
        <w:t xml:space="preserve">                                         </w:t>
      </w:r>
      <w:r>
        <w:rPr>
          <w:rFonts w:hint="eastAsia" w:hAnsi="宋体" w:cs="宋体"/>
          <w:bCs/>
          <w:color w:val="auto"/>
          <w:highlight w:val="none"/>
        </w:rPr>
        <w:t>联系电话：</w:t>
      </w:r>
      <w:r>
        <w:rPr>
          <w:rFonts w:hint="eastAsia" w:hAnsi="宋体" w:cs="宋体"/>
          <w:bCs/>
          <w:color w:val="auto"/>
          <w:highlight w:val="none"/>
          <w:u w:val="single"/>
        </w:rPr>
        <w:t xml:space="preserve">                   </w:t>
      </w:r>
    </w:p>
    <w:p w14:paraId="4D1F9A82">
      <w:pPr>
        <w:pStyle w:val="20"/>
        <w:keepNext w:val="0"/>
        <w:keepLines w:val="0"/>
        <w:pageBreakBefore w:val="0"/>
        <w:widowControl w:val="0"/>
        <w:kinsoku/>
        <w:wordWrap/>
        <w:overflowPunct/>
        <w:topLinePunct w:val="0"/>
        <w:autoSpaceDE/>
        <w:autoSpaceDN/>
        <w:bidi w:val="0"/>
        <w:adjustRightInd/>
        <w:snapToGrid w:val="0"/>
        <w:spacing w:line="400" w:lineRule="exact"/>
        <w:ind w:firstLine="420" w:firstLineChars="200"/>
        <w:jc w:val="left"/>
        <w:textAlignment w:val="auto"/>
        <w:rPr>
          <w:rFonts w:hint="eastAsia" w:hAnsi="宋体" w:cs="宋体"/>
          <w:bCs/>
          <w:color w:val="auto"/>
          <w:highlight w:val="none"/>
          <w:u w:val="single"/>
        </w:rPr>
      </w:pPr>
      <w:r>
        <w:rPr>
          <w:rFonts w:hint="eastAsia" w:hAnsi="宋体" w:cs="宋体"/>
          <w:bCs/>
          <w:color w:val="auto"/>
          <w:highlight w:val="none"/>
        </w:rPr>
        <w:t>地址：</w:t>
      </w:r>
      <w:r>
        <w:rPr>
          <w:rFonts w:hint="eastAsia" w:hAnsi="宋体" w:cs="宋体"/>
          <w:bCs/>
          <w:color w:val="auto"/>
          <w:highlight w:val="none"/>
          <w:u w:val="single"/>
        </w:rPr>
        <w:t xml:space="preserve">                                                            </w:t>
      </w:r>
    </w:p>
    <w:p w14:paraId="709286B5">
      <w:pPr>
        <w:pStyle w:val="20"/>
        <w:keepNext w:val="0"/>
        <w:keepLines w:val="0"/>
        <w:pageBreakBefore w:val="0"/>
        <w:widowControl w:val="0"/>
        <w:kinsoku/>
        <w:wordWrap/>
        <w:overflowPunct/>
        <w:topLinePunct w:val="0"/>
        <w:autoSpaceDE/>
        <w:autoSpaceDN/>
        <w:bidi w:val="0"/>
        <w:adjustRightInd/>
        <w:snapToGrid w:val="0"/>
        <w:spacing w:line="400" w:lineRule="exact"/>
        <w:ind w:firstLine="420" w:firstLineChars="200"/>
        <w:jc w:val="left"/>
        <w:textAlignment w:val="auto"/>
        <w:rPr>
          <w:rFonts w:hint="eastAsia" w:hAnsi="宋体" w:cs="宋体"/>
          <w:bCs/>
          <w:color w:val="auto"/>
          <w:highlight w:val="none"/>
        </w:rPr>
      </w:pPr>
      <w:r>
        <w:rPr>
          <w:rFonts w:hint="eastAsia" w:hAnsi="宋体" w:cs="宋体"/>
          <w:bCs/>
          <w:color w:val="auto"/>
          <w:highlight w:val="none"/>
        </w:rPr>
        <w:t>邮编：</w:t>
      </w:r>
      <w:r>
        <w:rPr>
          <w:rFonts w:hint="eastAsia" w:hAnsi="宋体" w:cs="宋体"/>
          <w:bCs/>
          <w:color w:val="auto"/>
          <w:highlight w:val="none"/>
          <w:u w:val="single"/>
        </w:rPr>
        <w:t xml:space="preserve">         </w:t>
      </w:r>
      <w:r>
        <w:rPr>
          <w:rFonts w:hint="eastAsia" w:hAnsi="宋体" w:cs="宋体"/>
          <w:bCs/>
          <w:color w:val="auto"/>
          <w:highlight w:val="none"/>
        </w:rPr>
        <w:t xml:space="preserve">   </w:t>
      </w:r>
    </w:p>
    <w:p w14:paraId="1545363F">
      <w:pPr>
        <w:pStyle w:val="20"/>
        <w:keepNext w:val="0"/>
        <w:keepLines w:val="0"/>
        <w:pageBreakBefore w:val="0"/>
        <w:widowControl w:val="0"/>
        <w:kinsoku/>
        <w:wordWrap/>
        <w:overflowPunct/>
        <w:topLinePunct w:val="0"/>
        <w:autoSpaceDE/>
        <w:autoSpaceDN/>
        <w:bidi w:val="0"/>
        <w:adjustRightInd/>
        <w:snapToGrid w:val="0"/>
        <w:spacing w:line="400" w:lineRule="exact"/>
        <w:ind w:firstLine="420" w:firstLineChars="200"/>
        <w:jc w:val="left"/>
        <w:textAlignment w:val="auto"/>
        <w:rPr>
          <w:rFonts w:hint="eastAsia" w:hAnsi="宋体" w:cs="宋体"/>
          <w:bCs/>
          <w:color w:val="auto"/>
          <w:highlight w:val="none"/>
        </w:rPr>
      </w:pPr>
      <w:r>
        <w:rPr>
          <w:rFonts w:hint="eastAsia" w:hAnsi="宋体" w:cs="宋体"/>
          <w:bCs/>
          <w:color w:val="auto"/>
          <w:highlight w:val="none"/>
        </w:rPr>
        <w:t>被投诉人1：</w:t>
      </w:r>
    </w:p>
    <w:p w14:paraId="1B41B203">
      <w:pPr>
        <w:pStyle w:val="20"/>
        <w:keepNext w:val="0"/>
        <w:keepLines w:val="0"/>
        <w:pageBreakBefore w:val="0"/>
        <w:widowControl w:val="0"/>
        <w:kinsoku/>
        <w:wordWrap/>
        <w:overflowPunct/>
        <w:topLinePunct w:val="0"/>
        <w:autoSpaceDE/>
        <w:autoSpaceDN/>
        <w:bidi w:val="0"/>
        <w:adjustRightInd/>
        <w:snapToGrid w:val="0"/>
        <w:spacing w:line="400" w:lineRule="exact"/>
        <w:ind w:firstLine="420" w:firstLineChars="200"/>
        <w:jc w:val="left"/>
        <w:textAlignment w:val="auto"/>
        <w:rPr>
          <w:rFonts w:hint="eastAsia" w:hAnsi="宋体" w:cs="宋体"/>
          <w:bCs/>
          <w:color w:val="auto"/>
          <w:highlight w:val="none"/>
          <w:u w:val="single"/>
        </w:rPr>
      </w:pPr>
      <w:r>
        <w:rPr>
          <w:rFonts w:hint="eastAsia" w:hAnsi="宋体" w:cs="宋体"/>
          <w:bCs/>
          <w:color w:val="auto"/>
          <w:highlight w:val="none"/>
        </w:rPr>
        <w:t>地址：</w:t>
      </w:r>
      <w:r>
        <w:rPr>
          <w:rFonts w:hint="eastAsia" w:hAnsi="宋体" w:cs="宋体"/>
          <w:bCs/>
          <w:color w:val="auto"/>
          <w:highlight w:val="none"/>
          <w:u w:val="single"/>
        </w:rPr>
        <w:t xml:space="preserve">                                                            </w:t>
      </w:r>
    </w:p>
    <w:p w14:paraId="0648173A">
      <w:pPr>
        <w:pStyle w:val="20"/>
        <w:keepNext w:val="0"/>
        <w:keepLines w:val="0"/>
        <w:pageBreakBefore w:val="0"/>
        <w:widowControl w:val="0"/>
        <w:kinsoku/>
        <w:wordWrap/>
        <w:overflowPunct/>
        <w:topLinePunct w:val="0"/>
        <w:autoSpaceDE/>
        <w:autoSpaceDN/>
        <w:bidi w:val="0"/>
        <w:adjustRightInd/>
        <w:snapToGrid w:val="0"/>
        <w:spacing w:line="400" w:lineRule="exact"/>
        <w:ind w:firstLine="420" w:firstLineChars="200"/>
        <w:jc w:val="left"/>
        <w:textAlignment w:val="auto"/>
        <w:rPr>
          <w:rFonts w:hint="eastAsia" w:hAnsi="宋体" w:cs="宋体"/>
          <w:bCs/>
          <w:color w:val="auto"/>
          <w:highlight w:val="none"/>
        </w:rPr>
      </w:pPr>
      <w:r>
        <w:rPr>
          <w:rFonts w:hint="eastAsia" w:hAnsi="宋体" w:cs="宋体"/>
          <w:bCs/>
          <w:color w:val="auto"/>
          <w:highlight w:val="none"/>
        </w:rPr>
        <w:t>邮编：</w:t>
      </w:r>
      <w:r>
        <w:rPr>
          <w:rFonts w:hint="eastAsia" w:hAnsi="宋体" w:cs="宋体"/>
          <w:bCs/>
          <w:color w:val="auto"/>
          <w:highlight w:val="none"/>
          <w:u w:val="single"/>
        </w:rPr>
        <w:t xml:space="preserve">         </w:t>
      </w:r>
      <w:r>
        <w:rPr>
          <w:rFonts w:hint="eastAsia" w:hAnsi="宋体" w:cs="宋体"/>
          <w:bCs/>
          <w:color w:val="auto"/>
          <w:highlight w:val="none"/>
        </w:rPr>
        <w:t xml:space="preserve">  </w:t>
      </w:r>
    </w:p>
    <w:p w14:paraId="576DE462">
      <w:pPr>
        <w:pStyle w:val="20"/>
        <w:keepNext w:val="0"/>
        <w:keepLines w:val="0"/>
        <w:pageBreakBefore w:val="0"/>
        <w:widowControl w:val="0"/>
        <w:kinsoku/>
        <w:wordWrap/>
        <w:overflowPunct/>
        <w:topLinePunct w:val="0"/>
        <w:autoSpaceDE/>
        <w:autoSpaceDN/>
        <w:bidi w:val="0"/>
        <w:adjustRightInd/>
        <w:snapToGrid w:val="0"/>
        <w:spacing w:line="400" w:lineRule="exact"/>
        <w:ind w:firstLine="420" w:firstLineChars="200"/>
        <w:jc w:val="left"/>
        <w:textAlignment w:val="auto"/>
        <w:rPr>
          <w:rFonts w:hint="eastAsia" w:hAnsi="宋体" w:cs="宋体"/>
          <w:bCs/>
          <w:color w:val="auto"/>
          <w:highlight w:val="none"/>
          <w:u w:val="single"/>
        </w:rPr>
      </w:pPr>
      <w:r>
        <w:rPr>
          <w:rFonts w:hint="eastAsia" w:hAnsi="宋体" w:cs="宋体"/>
          <w:bCs/>
          <w:color w:val="auto"/>
          <w:highlight w:val="none"/>
        </w:rPr>
        <w:t>联系人：</w:t>
      </w:r>
      <w:r>
        <w:rPr>
          <w:rFonts w:hint="eastAsia" w:hAnsi="宋体" w:cs="宋体"/>
          <w:bCs/>
          <w:color w:val="auto"/>
          <w:highlight w:val="none"/>
          <w:u w:val="single"/>
        </w:rPr>
        <w:t xml:space="preserve">                                </w:t>
      </w:r>
      <w:r>
        <w:rPr>
          <w:rFonts w:hint="eastAsia" w:hAnsi="宋体" w:cs="宋体"/>
          <w:bCs/>
          <w:color w:val="auto"/>
          <w:highlight w:val="none"/>
        </w:rPr>
        <w:t>联系电话：</w:t>
      </w:r>
      <w:r>
        <w:rPr>
          <w:rFonts w:hint="eastAsia" w:hAnsi="宋体" w:cs="宋体"/>
          <w:bCs/>
          <w:color w:val="auto"/>
          <w:highlight w:val="none"/>
          <w:u w:val="single"/>
        </w:rPr>
        <w:t xml:space="preserve">                </w:t>
      </w:r>
    </w:p>
    <w:p w14:paraId="7162BBC8">
      <w:pPr>
        <w:pStyle w:val="20"/>
        <w:keepNext w:val="0"/>
        <w:keepLines w:val="0"/>
        <w:pageBreakBefore w:val="0"/>
        <w:widowControl w:val="0"/>
        <w:kinsoku/>
        <w:wordWrap/>
        <w:overflowPunct/>
        <w:topLinePunct w:val="0"/>
        <w:autoSpaceDE/>
        <w:autoSpaceDN/>
        <w:bidi w:val="0"/>
        <w:adjustRightInd/>
        <w:snapToGrid w:val="0"/>
        <w:spacing w:line="400" w:lineRule="exact"/>
        <w:ind w:firstLine="420" w:firstLineChars="200"/>
        <w:jc w:val="left"/>
        <w:textAlignment w:val="auto"/>
        <w:rPr>
          <w:rFonts w:hint="eastAsia" w:hAnsi="宋体" w:cs="宋体"/>
          <w:bCs/>
          <w:color w:val="auto"/>
          <w:highlight w:val="none"/>
        </w:rPr>
      </w:pPr>
      <w:r>
        <w:rPr>
          <w:rFonts w:hint="eastAsia" w:hAnsi="宋体" w:cs="宋体"/>
          <w:bCs/>
          <w:color w:val="auto"/>
          <w:highlight w:val="none"/>
        </w:rPr>
        <w:t>被投诉人2：</w:t>
      </w:r>
    </w:p>
    <w:p w14:paraId="0CE3BC53">
      <w:pPr>
        <w:pStyle w:val="20"/>
        <w:keepNext w:val="0"/>
        <w:keepLines w:val="0"/>
        <w:pageBreakBefore w:val="0"/>
        <w:widowControl w:val="0"/>
        <w:kinsoku/>
        <w:wordWrap/>
        <w:overflowPunct/>
        <w:topLinePunct w:val="0"/>
        <w:autoSpaceDE/>
        <w:autoSpaceDN/>
        <w:bidi w:val="0"/>
        <w:adjustRightInd/>
        <w:snapToGrid w:val="0"/>
        <w:spacing w:line="400" w:lineRule="exact"/>
        <w:ind w:firstLine="420" w:firstLineChars="200"/>
        <w:jc w:val="left"/>
        <w:textAlignment w:val="auto"/>
        <w:rPr>
          <w:rFonts w:hint="eastAsia" w:hAnsi="宋体" w:cs="宋体"/>
          <w:bCs/>
          <w:color w:val="auto"/>
          <w:highlight w:val="none"/>
        </w:rPr>
      </w:pPr>
      <w:r>
        <w:rPr>
          <w:rFonts w:hint="eastAsia" w:hAnsi="宋体" w:cs="宋体"/>
          <w:bCs/>
          <w:color w:val="auto"/>
          <w:highlight w:val="none"/>
        </w:rPr>
        <w:t>……</w:t>
      </w:r>
    </w:p>
    <w:p w14:paraId="2E5B04D3">
      <w:pPr>
        <w:pStyle w:val="20"/>
        <w:keepNext w:val="0"/>
        <w:keepLines w:val="0"/>
        <w:pageBreakBefore w:val="0"/>
        <w:widowControl w:val="0"/>
        <w:kinsoku/>
        <w:wordWrap/>
        <w:overflowPunct/>
        <w:topLinePunct w:val="0"/>
        <w:autoSpaceDE/>
        <w:autoSpaceDN/>
        <w:bidi w:val="0"/>
        <w:adjustRightInd/>
        <w:snapToGrid w:val="0"/>
        <w:spacing w:line="400" w:lineRule="exact"/>
        <w:ind w:firstLine="420" w:firstLineChars="200"/>
        <w:jc w:val="left"/>
        <w:textAlignment w:val="auto"/>
        <w:rPr>
          <w:rFonts w:hint="eastAsia" w:hAnsi="宋体" w:cs="宋体"/>
          <w:bCs/>
          <w:color w:val="auto"/>
          <w:highlight w:val="none"/>
          <w:u w:val="single"/>
        </w:rPr>
      </w:pPr>
      <w:r>
        <w:rPr>
          <w:rFonts w:hint="eastAsia" w:hAnsi="宋体" w:cs="宋体"/>
          <w:bCs/>
          <w:color w:val="auto"/>
          <w:highlight w:val="none"/>
        </w:rPr>
        <w:t>相关供应商：</w:t>
      </w:r>
      <w:r>
        <w:rPr>
          <w:rFonts w:hint="eastAsia" w:hAnsi="宋体" w:cs="宋体"/>
          <w:bCs/>
          <w:color w:val="auto"/>
          <w:highlight w:val="none"/>
          <w:u w:val="single"/>
        </w:rPr>
        <w:t xml:space="preserve">                                                                       </w:t>
      </w:r>
    </w:p>
    <w:p w14:paraId="35BD3505">
      <w:pPr>
        <w:pStyle w:val="20"/>
        <w:keepNext w:val="0"/>
        <w:keepLines w:val="0"/>
        <w:pageBreakBefore w:val="0"/>
        <w:widowControl w:val="0"/>
        <w:kinsoku/>
        <w:wordWrap/>
        <w:overflowPunct/>
        <w:topLinePunct w:val="0"/>
        <w:autoSpaceDE/>
        <w:autoSpaceDN/>
        <w:bidi w:val="0"/>
        <w:adjustRightInd/>
        <w:snapToGrid w:val="0"/>
        <w:spacing w:line="400" w:lineRule="exact"/>
        <w:ind w:firstLine="420" w:firstLineChars="200"/>
        <w:jc w:val="left"/>
        <w:textAlignment w:val="auto"/>
        <w:rPr>
          <w:rFonts w:hint="eastAsia" w:hAnsi="宋体" w:cs="宋体"/>
          <w:bCs/>
          <w:color w:val="auto"/>
          <w:highlight w:val="none"/>
          <w:u w:val="single"/>
        </w:rPr>
      </w:pPr>
      <w:r>
        <w:rPr>
          <w:rFonts w:hint="eastAsia" w:hAnsi="宋体" w:cs="宋体"/>
          <w:bCs/>
          <w:color w:val="auto"/>
          <w:highlight w:val="none"/>
        </w:rPr>
        <w:t>地址：</w:t>
      </w:r>
      <w:r>
        <w:rPr>
          <w:rFonts w:hint="eastAsia" w:hAnsi="宋体" w:cs="宋体"/>
          <w:bCs/>
          <w:color w:val="auto"/>
          <w:highlight w:val="none"/>
          <w:u w:val="single"/>
        </w:rPr>
        <w:t xml:space="preserve">                                              </w:t>
      </w:r>
      <w:r>
        <w:rPr>
          <w:rFonts w:hint="eastAsia" w:hAnsi="宋体" w:cs="宋体"/>
          <w:bCs/>
          <w:color w:val="auto"/>
          <w:highlight w:val="none"/>
        </w:rPr>
        <w:t>邮编：</w:t>
      </w:r>
      <w:r>
        <w:rPr>
          <w:rFonts w:hint="eastAsia" w:hAnsi="宋体" w:cs="宋体"/>
          <w:bCs/>
          <w:color w:val="auto"/>
          <w:highlight w:val="none"/>
          <w:u w:val="single"/>
        </w:rPr>
        <w:t xml:space="preserve">                         </w:t>
      </w:r>
    </w:p>
    <w:p w14:paraId="323EEF3B">
      <w:pPr>
        <w:pStyle w:val="20"/>
        <w:keepNext w:val="0"/>
        <w:keepLines w:val="0"/>
        <w:pageBreakBefore w:val="0"/>
        <w:widowControl w:val="0"/>
        <w:kinsoku/>
        <w:wordWrap/>
        <w:overflowPunct/>
        <w:topLinePunct w:val="0"/>
        <w:autoSpaceDE/>
        <w:autoSpaceDN/>
        <w:bidi w:val="0"/>
        <w:adjustRightInd/>
        <w:snapToGrid w:val="0"/>
        <w:spacing w:line="400" w:lineRule="exact"/>
        <w:ind w:firstLine="420" w:firstLineChars="200"/>
        <w:jc w:val="left"/>
        <w:textAlignment w:val="auto"/>
        <w:rPr>
          <w:rFonts w:hint="eastAsia" w:hAnsi="宋体" w:cs="宋体"/>
          <w:bCs/>
          <w:color w:val="auto"/>
          <w:highlight w:val="none"/>
        </w:rPr>
      </w:pPr>
      <w:r>
        <w:rPr>
          <w:rFonts w:hint="eastAsia" w:hAnsi="宋体" w:cs="宋体"/>
          <w:bCs/>
          <w:color w:val="auto"/>
          <w:highlight w:val="none"/>
        </w:rPr>
        <w:t>联系人：</w:t>
      </w:r>
      <w:r>
        <w:rPr>
          <w:rFonts w:hint="eastAsia" w:hAnsi="宋体" w:cs="宋体"/>
          <w:bCs/>
          <w:color w:val="auto"/>
          <w:highlight w:val="none"/>
          <w:u w:val="single"/>
        </w:rPr>
        <w:t xml:space="preserve">                                            </w:t>
      </w:r>
      <w:r>
        <w:rPr>
          <w:rFonts w:hint="eastAsia" w:hAnsi="宋体" w:cs="宋体"/>
          <w:bCs/>
          <w:color w:val="auto"/>
          <w:highlight w:val="none"/>
        </w:rPr>
        <w:t>联系电话：</w:t>
      </w:r>
      <w:r>
        <w:rPr>
          <w:rFonts w:hint="eastAsia" w:hAnsi="宋体" w:cs="宋体"/>
          <w:bCs/>
          <w:color w:val="auto"/>
          <w:highlight w:val="none"/>
          <w:u w:val="single"/>
        </w:rPr>
        <w:t xml:space="preserve">                     </w:t>
      </w:r>
      <w:r>
        <w:rPr>
          <w:rFonts w:hint="eastAsia" w:hAnsi="宋体" w:cs="宋体"/>
          <w:bCs/>
          <w:color w:val="auto"/>
          <w:highlight w:val="none"/>
        </w:rPr>
        <w:t xml:space="preserve">                </w:t>
      </w:r>
    </w:p>
    <w:p w14:paraId="2F61BABA">
      <w:pPr>
        <w:pStyle w:val="20"/>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hAnsi="宋体" w:cs="宋体"/>
          <w:b/>
          <w:bCs/>
          <w:color w:val="auto"/>
          <w:highlight w:val="none"/>
        </w:rPr>
      </w:pPr>
      <w:r>
        <w:rPr>
          <w:rFonts w:hint="eastAsia" w:hAnsi="宋体" w:cs="宋体"/>
          <w:b/>
          <w:bCs/>
          <w:color w:val="auto"/>
          <w:highlight w:val="none"/>
        </w:rPr>
        <w:t>二、投诉项目基本情况：</w:t>
      </w:r>
    </w:p>
    <w:p w14:paraId="65402765">
      <w:pPr>
        <w:pStyle w:val="20"/>
        <w:keepNext w:val="0"/>
        <w:keepLines w:val="0"/>
        <w:pageBreakBefore w:val="0"/>
        <w:widowControl w:val="0"/>
        <w:kinsoku/>
        <w:wordWrap/>
        <w:overflowPunct/>
        <w:topLinePunct w:val="0"/>
        <w:autoSpaceDE/>
        <w:autoSpaceDN/>
        <w:bidi w:val="0"/>
        <w:adjustRightInd/>
        <w:spacing w:line="400" w:lineRule="exact"/>
        <w:ind w:left="25" w:leftChars="12" w:firstLine="413" w:firstLineChars="197"/>
        <w:textAlignment w:val="auto"/>
        <w:rPr>
          <w:rFonts w:hint="eastAsia" w:hAnsi="宋体" w:cs="宋体"/>
          <w:color w:val="auto"/>
          <w:highlight w:val="none"/>
        </w:rPr>
      </w:pPr>
      <w:r>
        <w:rPr>
          <w:rFonts w:hint="eastAsia" w:hAnsi="宋体" w:cs="宋体"/>
          <w:color w:val="auto"/>
          <w:highlight w:val="none"/>
        </w:rPr>
        <w:t>招标项目的名称：</w:t>
      </w:r>
      <w:r>
        <w:rPr>
          <w:rFonts w:hint="eastAsia" w:hAnsi="宋体" w:cs="宋体"/>
          <w:bCs/>
          <w:color w:val="auto"/>
          <w:highlight w:val="none"/>
          <w:u w:val="single"/>
        </w:rPr>
        <w:t xml:space="preserve">                                                                   </w:t>
      </w:r>
    </w:p>
    <w:p w14:paraId="5E6FE23F">
      <w:pPr>
        <w:pStyle w:val="20"/>
        <w:keepNext w:val="0"/>
        <w:keepLines w:val="0"/>
        <w:pageBreakBefore w:val="0"/>
        <w:widowControl w:val="0"/>
        <w:kinsoku/>
        <w:wordWrap/>
        <w:overflowPunct/>
        <w:topLinePunct w:val="0"/>
        <w:autoSpaceDE/>
        <w:autoSpaceDN/>
        <w:bidi w:val="0"/>
        <w:adjustRightInd/>
        <w:spacing w:line="400" w:lineRule="exact"/>
        <w:ind w:left="25" w:leftChars="12" w:firstLine="413" w:firstLineChars="197"/>
        <w:textAlignment w:val="auto"/>
        <w:rPr>
          <w:rFonts w:hint="eastAsia" w:hAnsi="宋体" w:cs="宋体"/>
          <w:color w:val="auto"/>
          <w:highlight w:val="none"/>
        </w:rPr>
      </w:pPr>
      <w:r>
        <w:rPr>
          <w:rFonts w:hint="eastAsia" w:hAnsi="宋体" w:cs="宋体"/>
          <w:color w:val="auto"/>
          <w:highlight w:val="none"/>
        </w:rPr>
        <w:t>招标项目的编号：</w:t>
      </w:r>
      <w:r>
        <w:rPr>
          <w:rFonts w:hint="eastAsia" w:hAnsi="宋体" w:cs="宋体"/>
          <w:bCs/>
          <w:color w:val="auto"/>
          <w:highlight w:val="none"/>
          <w:u w:val="single"/>
        </w:rPr>
        <w:t xml:space="preserve">                                          </w:t>
      </w:r>
    </w:p>
    <w:p w14:paraId="6CFACB0B">
      <w:pPr>
        <w:pStyle w:val="20"/>
        <w:keepNext w:val="0"/>
        <w:keepLines w:val="0"/>
        <w:pageBreakBefore w:val="0"/>
        <w:widowControl w:val="0"/>
        <w:kinsoku/>
        <w:wordWrap/>
        <w:overflowPunct/>
        <w:topLinePunct w:val="0"/>
        <w:autoSpaceDE/>
        <w:autoSpaceDN/>
        <w:bidi w:val="0"/>
        <w:adjustRightInd/>
        <w:spacing w:line="400" w:lineRule="exact"/>
        <w:ind w:left="25" w:leftChars="12" w:firstLine="413" w:firstLineChars="197"/>
        <w:textAlignment w:val="auto"/>
        <w:rPr>
          <w:rFonts w:hint="eastAsia" w:hAnsi="宋体" w:cs="宋体"/>
          <w:bCs/>
          <w:color w:val="auto"/>
          <w:highlight w:val="none"/>
          <w:u w:val="single"/>
        </w:rPr>
      </w:pPr>
      <w:r>
        <w:rPr>
          <w:rFonts w:hint="eastAsia" w:hAnsi="宋体" w:cs="宋体"/>
          <w:color w:val="auto"/>
          <w:highlight w:val="none"/>
        </w:rPr>
        <w:t>采购人名称：</w:t>
      </w:r>
      <w:r>
        <w:rPr>
          <w:rFonts w:hint="eastAsia" w:hAnsi="宋体" w:cs="宋体"/>
          <w:bCs/>
          <w:color w:val="auto"/>
          <w:highlight w:val="none"/>
          <w:u w:val="single"/>
        </w:rPr>
        <w:t xml:space="preserve">                                                                        </w:t>
      </w:r>
    </w:p>
    <w:p w14:paraId="5EB7FED3">
      <w:pPr>
        <w:pStyle w:val="20"/>
        <w:keepNext w:val="0"/>
        <w:keepLines w:val="0"/>
        <w:pageBreakBefore w:val="0"/>
        <w:widowControl w:val="0"/>
        <w:kinsoku/>
        <w:wordWrap/>
        <w:overflowPunct/>
        <w:topLinePunct w:val="0"/>
        <w:autoSpaceDE/>
        <w:autoSpaceDN/>
        <w:bidi w:val="0"/>
        <w:adjustRightInd/>
        <w:spacing w:line="400" w:lineRule="exact"/>
        <w:ind w:left="25" w:leftChars="12" w:firstLine="413" w:firstLineChars="197"/>
        <w:textAlignment w:val="auto"/>
        <w:rPr>
          <w:rFonts w:hint="eastAsia" w:hAnsi="宋体" w:cs="宋体"/>
          <w:bCs/>
          <w:color w:val="auto"/>
          <w:highlight w:val="none"/>
          <w:u w:val="single"/>
        </w:rPr>
      </w:pPr>
      <w:r>
        <w:rPr>
          <w:rFonts w:hint="eastAsia" w:hAnsi="宋体" w:cs="宋体"/>
          <w:color w:val="auto"/>
          <w:highlight w:val="none"/>
        </w:rPr>
        <w:t>代理机构名称：</w:t>
      </w:r>
      <w:r>
        <w:rPr>
          <w:rFonts w:hint="eastAsia" w:hAnsi="宋体" w:cs="宋体"/>
          <w:bCs/>
          <w:color w:val="auto"/>
          <w:highlight w:val="none"/>
          <w:u w:val="single"/>
        </w:rPr>
        <w:t xml:space="preserve">                                                                      </w:t>
      </w:r>
    </w:p>
    <w:p w14:paraId="5DAE6FAE">
      <w:pPr>
        <w:pStyle w:val="20"/>
        <w:keepNext w:val="0"/>
        <w:keepLines w:val="0"/>
        <w:pageBreakBefore w:val="0"/>
        <w:widowControl w:val="0"/>
        <w:kinsoku/>
        <w:wordWrap/>
        <w:overflowPunct/>
        <w:topLinePunct w:val="0"/>
        <w:autoSpaceDE/>
        <w:autoSpaceDN/>
        <w:bidi w:val="0"/>
        <w:adjustRightInd/>
        <w:spacing w:line="400" w:lineRule="exact"/>
        <w:ind w:left="25" w:leftChars="12" w:firstLine="413" w:firstLineChars="197"/>
        <w:textAlignment w:val="auto"/>
        <w:rPr>
          <w:rFonts w:hint="eastAsia" w:hAnsi="宋体" w:cs="宋体"/>
          <w:bCs/>
          <w:color w:val="auto"/>
          <w:highlight w:val="none"/>
          <w:u w:val="single"/>
        </w:rPr>
      </w:pPr>
      <w:r>
        <w:rPr>
          <w:rFonts w:hint="eastAsia" w:hAnsi="宋体" w:cs="宋体"/>
          <w:color w:val="auto"/>
          <w:highlight w:val="none"/>
        </w:rPr>
        <w:t>招标</w:t>
      </w:r>
      <w:r>
        <w:rPr>
          <w:rFonts w:hint="eastAsia" w:hAnsi="宋体" w:cs="宋体"/>
          <w:bCs/>
          <w:color w:val="auto"/>
          <w:highlight w:val="none"/>
        </w:rPr>
        <w:t>文件公告：</w:t>
      </w:r>
      <w:r>
        <w:rPr>
          <w:rFonts w:hint="eastAsia" w:hAnsi="宋体" w:cs="宋体"/>
          <w:bCs/>
          <w:color w:val="auto"/>
          <w:highlight w:val="none"/>
          <w:u w:val="single"/>
        </w:rPr>
        <w:t>是/否</w:t>
      </w:r>
      <w:r>
        <w:rPr>
          <w:rFonts w:hint="eastAsia" w:hAnsi="宋体" w:cs="宋体"/>
          <w:bCs/>
          <w:color w:val="auto"/>
          <w:highlight w:val="none"/>
        </w:rPr>
        <w:t>公告期限：</w:t>
      </w:r>
      <w:r>
        <w:rPr>
          <w:rFonts w:hint="eastAsia" w:hAnsi="宋体" w:cs="宋体"/>
          <w:bCs/>
          <w:color w:val="auto"/>
          <w:highlight w:val="none"/>
          <w:u w:val="single"/>
        </w:rPr>
        <w:t xml:space="preserve">                                                       </w:t>
      </w:r>
    </w:p>
    <w:p w14:paraId="1F339F37">
      <w:pPr>
        <w:pStyle w:val="20"/>
        <w:keepNext w:val="0"/>
        <w:keepLines w:val="0"/>
        <w:pageBreakBefore w:val="0"/>
        <w:widowControl w:val="0"/>
        <w:kinsoku/>
        <w:wordWrap/>
        <w:overflowPunct/>
        <w:topLinePunct w:val="0"/>
        <w:autoSpaceDE/>
        <w:autoSpaceDN/>
        <w:bidi w:val="0"/>
        <w:adjustRightInd/>
        <w:spacing w:line="400" w:lineRule="exact"/>
        <w:ind w:left="25" w:leftChars="12" w:firstLine="413" w:firstLineChars="197"/>
        <w:textAlignment w:val="auto"/>
        <w:rPr>
          <w:rFonts w:hint="eastAsia" w:hAnsi="宋体" w:cs="宋体"/>
          <w:b/>
          <w:color w:val="auto"/>
          <w:highlight w:val="none"/>
        </w:rPr>
      </w:pPr>
      <w:r>
        <w:rPr>
          <w:rFonts w:hint="eastAsia" w:hAnsi="宋体" w:cs="宋体"/>
          <w:color w:val="auto"/>
          <w:highlight w:val="none"/>
        </w:rPr>
        <w:t>招标</w:t>
      </w:r>
      <w:r>
        <w:rPr>
          <w:rFonts w:hint="eastAsia" w:hAnsi="宋体" w:cs="宋体"/>
          <w:bCs/>
          <w:color w:val="auto"/>
          <w:highlight w:val="none"/>
        </w:rPr>
        <w:t>结果公告：</w:t>
      </w:r>
      <w:r>
        <w:rPr>
          <w:rFonts w:hint="eastAsia" w:hAnsi="宋体" w:cs="宋体"/>
          <w:bCs/>
          <w:color w:val="auto"/>
          <w:highlight w:val="none"/>
          <w:u w:val="single"/>
        </w:rPr>
        <w:t>是/否</w:t>
      </w:r>
      <w:r>
        <w:rPr>
          <w:rFonts w:hint="eastAsia" w:hAnsi="宋体" w:cs="宋体"/>
          <w:bCs/>
          <w:color w:val="auto"/>
          <w:highlight w:val="none"/>
        </w:rPr>
        <w:t>公告期限：</w:t>
      </w:r>
      <w:r>
        <w:rPr>
          <w:rFonts w:hint="eastAsia" w:hAnsi="宋体" w:cs="宋体"/>
          <w:bCs/>
          <w:color w:val="auto"/>
          <w:highlight w:val="none"/>
          <w:u w:val="single"/>
        </w:rPr>
        <w:t xml:space="preserve">                                                    </w:t>
      </w:r>
    </w:p>
    <w:p w14:paraId="3DE88DAC">
      <w:pPr>
        <w:pStyle w:val="20"/>
        <w:keepNext w:val="0"/>
        <w:keepLines w:val="0"/>
        <w:pageBreakBefore w:val="0"/>
        <w:widowControl w:val="0"/>
        <w:kinsoku/>
        <w:wordWrap/>
        <w:overflowPunct/>
        <w:topLinePunct w:val="0"/>
        <w:autoSpaceDE/>
        <w:autoSpaceDN/>
        <w:bidi w:val="0"/>
        <w:adjustRightInd/>
        <w:spacing w:line="400" w:lineRule="exact"/>
        <w:ind w:left="25" w:leftChars="12" w:firstLine="412" w:firstLineChars="196"/>
        <w:textAlignment w:val="auto"/>
        <w:rPr>
          <w:rFonts w:hint="eastAsia" w:hAnsi="宋体" w:cs="宋体"/>
          <w:b/>
          <w:color w:val="auto"/>
          <w:highlight w:val="none"/>
        </w:rPr>
      </w:pPr>
      <w:r>
        <w:rPr>
          <w:rFonts w:hint="eastAsia" w:hAnsi="宋体" w:cs="宋体"/>
          <w:b/>
          <w:color w:val="auto"/>
          <w:highlight w:val="none"/>
        </w:rPr>
        <w:t>三、质疑基本情况</w:t>
      </w:r>
    </w:p>
    <w:p w14:paraId="709302DD">
      <w:pPr>
        <w:pStyle w:val="20"/>
        <w:keepNext w:val="0"/>
        <w:keepLines w:val="0"/>
        <w:pageBreakBefore w:val="0"/>
        <w:widowControl w:val="0"/>
        <w:kinsoku/>
        <w:wordWrap/>
        <w:overflowPunct/>
        <w:topLinePunct w:val="0"/>
        <w:autoSpaceDE/>
        <w:autoSpaceDN/>
        <w:bidi w:val="0"/>
        <w:adjustRightInd/>
        <w:spacing w:line="400" w:lineRule="exact"/>
        <w:ind w:left="25" w:leftChars="12" w:firstLine="420" w:firstLineChars="200"/>
        <w:textAlignment w:val="auto"/>
        <w:rPr>
          <w:rFonts w:hint="eastAsia" w:hAnsi="宋体" w:cs="宋体"/>
          <w:color w:val="auto"/>
          <w:highlight w:val="none"/>
        </w:rPr>
      </w:pPr>
      <w:r>
        <w:rPr>
          <w:rFonts w:hint="eastAsia" w:hAnsi="宋体" w:cs="宋体"/>
          <w:color w:val="auto"/>
          <w:highlight w:val="none"/>
        </w:rPr>
        <w:t>投诉人于</w:t>
      </w:r>
      <w:r>
        <w:rPr>
          <w:rFonts w:hint="eastAsia" w:hAnsi="宋体" w:cs="宋体"/>
          <w:color w:val="auto"/>
          <w:highlight w:val="none"/>
          <w:u w:val="single"/>
        </w:rPr>
        <w:t xml:space="preserve">      </w:t>
      </w:r>
      <w:r>
        <w:rPr>
          <w:rFonts w:hint="eastAsia" w:hAnsi="宋体" w:cs="宋体"/>
          <w:color w:val="auto"/>
          <w:highlight w:val="none"/>
        </w:rPr>
        <w:t>年</w:t>
      </w:r>
      <w:r>
        <w:rPr>
          <w:rFonts w:hint="eastAsia" w:hAnsi="宋体" w:cs="宋体"/>
          <w:color w:val="auto"/>
          <w:highlight w:val="none"/>
          <w:u w:val="single"/>
        </w:rPr>
        <w:t xml:space="preserve">   </w:t>
      </w:r>
      <w:r>
        <w:rPr>
          <w:rFonts w:hint="eastAsia" w:hAnsi="宋体" w:cs="宋体"/>
          <w:color w:val="auto"/>
          <w:highlight w:val="none"/>
        </w:rPr>
        <w:t>月</w:t>
      </w:r>
      <w:r>
        <w:rPr>
          <w:rFonts w:hint="eastAsia" w:hAnsi="宋体" w:cs="宋体"/>
          <w:color w:val="auto"/>
          <w:highlight w:val="none"/>
          <w:u w:val="single"/>
        </w:rPr>
        <w:t xml:space="preserve">   </w:t>
      </w:r>
      <w:r>
        <w:rPr>
          <w:rFonts w:hint="eastAsia" w:hAnsi="宋体" w:cs="宋体"/>
          <w:color w:val="auto"/>
          <w:highlight w:val="none"/>
        </w:rPr>
        <w:t>日，向</w:t>
      </w:r>
      <w:r>
        <w:rPr>
          <w:rFonts w:hint="eastAsia" w:hAnsi="宋体" w:cs="宋体"/>
          <w:color w:val="auto"/>
          <w:highlight w:val="none"/>
          <w:u w:val="single"/>
        </w:rPr>
        <w:t xml:space="preserve">                                </w:t>
      </w:r>
      <w:r>
        <w:rPr>
          <w:rFonts w:hint="eastAsia" w:hAnsi="宋体" w:cs="宋体"/>
          <w:color w:val="auto"/>
          <w:highlight w:val="none"/>
        </w:rPr>
        <w:t>提出质疑，质疑事项为：</w:t>
      </w:r>
    </w:p>
    <w:p w14:paraId="6F6003C5">
      <w:pPr>
        <w:pStyle w:val="20"/>
        <w:keepNext w:val="0"/>
        <w:keepLines w:val="0"/>
        <w:pageBreakBefore w:val="0"/>
        <w:widowControl w:val="0"/>
        <w:kinsoku/>
        <w:wordWrap/>
        <w:overflowPunct/>
        <w:topLinePunct w:val="0"/>
        <w:autoSpaceDE/>
        <w:autoSpaceDN/>
        <w:bidi w:val="0"/>
        <w:adjustRightInd/>
        <w:spacing w:line="400" w:lineRule="exact"/>
        <w:ind w:firstLine="241"/>
        <w:textAlignment w:val="auto"/>
        <w:rPr>
          <w:rFonts w:hint="eastAsia" w:hAnsi="宋体" w:cs="宋体"/>
          <w:bCs/>
          <w:color w:val="auto"/>
          <w:highlight w:val="none"/>
          <w:u w:val="single"/>
        </w:rPr>
      </w:pPr>
      <w:r>
        <w:rPr>
          <w:rFonts w:hint="eastAsia" w:hAnsi="宋体" w:cs="宋体"/>
          <w:color w:val="auto"/>
          <w:highlight w:val="none"/>
        </w:rPr>
        <w:t xml:space="preserve">    </w:t>
      </w:r>
      <w:r>
        <w:rPr>
          <w:rFonts w:hint="eastAsia" w:hAnsi="宋体" w:cs="宋体"/>
          <w:bCs/>
          <w:color w:val="auto"/>
          <w:highlight w:val="none"/>
          <w:u w:val="single"/>
        </w:rPr>
        <w:t xml:space="preserve">                                                                                      </w:t>
      </w:r>
    </w:p>
    <w:p w14:paraId="0875DFFF">
      <w:pPr>
        <w:pStyle w:val="20"/>
        <w:keepNext w:val="0"/>
        <w:keepLines w:val="0"/>
        <w:pageBreakBefore w:val="0"/>
        <w:widowControl w:val="0"/>
        <w:kinsoku/>
        <w:wordWrap/>
        <w:overflowPunct/>
        <w:topLinePunct w:val="0"/>
        <w:autoSpaceDE/>
        <w:autoSpaceDN/>
        <w:bidi w:val="0"/>
        <w:adjustRightInd/>
        <w:spacing w:line="400" w:lineRule="exact"/>
        <w:ind w:firstLine="241"/>
        <w:textAlignment w:val="auto"/>
        <w:rPr>
          <w:rFonts w:hint="eastAsia" w:hAnsi="宋体" w:cs="宋体"/>
          <w:bCs/>
          <w:color w:val="auto"/>
          <w:highlight w:val="none"/>
          <w:u w:val="single"/>
        </w:rPr>
      </w:pPr>
      <w:r>
        <w:rPr>
          <w:rFonts w:hint="eastAsia" w:hAnsi="宋体" w:cs="宋体"/>
          <w:bCs/>
          <w:color w:val="auto"/>
          <w:highlight w:val="none"/>
        </w:rPr>
        <w:t xml:space="preserve">    </w:t>
      </w:r>
      <w:r>
        <w:rPr>
          <w:rFonts w:hint="eastAsia" w:hAnsi="宋体" w:cs="宋体"/>
          <w:bCs/>
          <w:color w:val="auto"/>
          <w:highlight w:val="none"/>
          <w:u w:val="single"/>
        </w:rPr>
        <w:t xml:space="preserve">                                                                                      </w:t>
      </w:r>
    </w:p>
    <w:p w14:paraId="17652FE2">
      <w:pPr>
        <w:pStyle w:val="20"/>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hint="eastAsia" w:hAnsi="宋体" w:cs="宋体"/>
          <w:color w:val="auto"/>
          <w:highlight w:val="none"/>
        </w:rPr>
      </w:pPr>
      <w:r>
        <w:rPr>
          <w:rFonts w:hint="eastAsia" w:hAnsi="宋体" w:cs="宋体"/>
          <w:bCs/>
          <w:color w:val="auto"/>
          <w:highlight w:val="none"/>
          <w:u w:val="single"/>
        </w:rPr>
        <w:t>采购人/代理机构</w:t>
      </w:r>
      <w:r>
        <w:rPr>
          <w:rFonts w:hint="eastAsia" w:hAnsi="宋体" w:cs="宋体"/>
          <w:bCs/>
          <w:color w:val="auto"/>
          <w:highlight w:val="none"/>
        </w:rPr>
        <w:t>于</w:t>
      </w:r>
      <w:r>
        <w:rPr>
          <w:rFonts w:hint="eastAsia" w:hAnsi="宋体" w:cs="宋体"/>
          <w:color w:val="auto"/>
          <w:highlight w:val="none"/>
          <w:u w:val="single"/>
        </w:rPr>
        <w:t xml:space="preserve">      </w:t>
      </w:r>
      <w:r>
        <w:rPr>
          <w:rFonts w:hint="eastAsia" w:hAnsi="宋体" w:cs="宋体"/>
          <w:color w:val="auto"/>
          <w:highlight w:val="none"/>
        </w:rPr>
        <w:t>年</w:t>
      </w:r>
      <w:r>
        <w:rPr>
          <w:rFonts w:hint="eastAsia" w:hAnsi="宋体" w:cs="宋体"/>
          <w:color w:val="auto"/>
          <w:highlight w:val="none"/>
          <w:u w:val="single"/>
        </w:rPr>
        <w:t xml:space="preserve">   </w:t>
      </w:r>
      <w:r>
        <w:rPr>
          <w:rFonts w:hint="eastAsia" w:hAnsi="宋体" w:cs="宋体"/>
          <w:color w:val="auto"/>
          <w:highlight w:val="none"/>
        </w:rPr>
        <w:t>月</w:t>
      </w:r>
      <w:r>
        <w:rPr>
          <w:rFonts w:hint="eastAsia" w:hAnsi="宋体" w:cs="宋体"/>
          <w:color w:val="auto"/>
          <w:highlight w:val="none"/>
          <w:u w:val="single"/>
        </w:rPr>
        <w:t xml:space="preserve">   </w:t>
      </w:r>
      <w:r>
        <w:rPr>
          <w:rFonts w:hint="eastAsia" w:hAnsi="宋体" w:cs="宋体"/>
          <w:color w:val="auto"/>
          <w:highlight w:val="none"/>
        </w:rPr>
        <w:t>日，</w:t>
      </w:r>
      <w:r>
        <w:rPr>
          <w:rFonts w:hint="eastAsia" w:hAnsi="宋体" w:cs="宋体"/>
          <w:bCs/>
          <w:color w:val="auto"/>
          <w:highlight w:val="none"/>
        </w:rPr>
        <w:t xml:space="preserve">就质疑事项作出了答复/没有在法定期限内作出答复。                                                                                             </w:t>
      </w:r>
    </w:p>
    <w:p w14:paraId="5767ED93">
      <w:pPr>
        <w:pStyle w:val="20"/>
        <w:keepNext w:val="0"/>
        <w:keepLines w:val="0"/>
        <w:pageBreakBefore w:val="0"/>
        <w:widowControl w:val="0"/>
        <w:kinsoku/>
        <w:wordWrap/>
        <w:overflowPunct/>
        <w:topLinePunct w:val="0"/>
        <w:autoSpaceDE/>
        <w:autoSpaceDN/>
        <w:bidi w:val="0"/>
        <w:adjustRightInd/>
        <w:spacing w:line="400" w:lineRule="exact"/>
        <w:ind w:left="25" w:leftChars="12" w:firstLine="412" w:firstLineChars="196"/>
        <w:textAlignment w:val="auto"/>
        <w:rPr>
          <w:rFonts w:hint="eastAsia" w:hAnsi="宋体" w:cs="宋体"/>
          <w:b/>
          <w:color w:val="auto"/>
          <w:highlight w:val="none"/>
        </w:rPr>
      </w:pPr>
      <w:r>
        <w:rPr>
          <w:rFonts w:hint="eastAsia" w:hAnsi="宋体" w:cs="宋体"/>
          <w:b/>
          <w:color w:val="auto"/>
          <w:highlight w:val="none"/>
        </w:rPr>
        <w:t>四、投诉事项具体内容</w:t>
      </w:r>
    </w:p>
    <w:p w14:paraId="560DE7DC">
      <w:pPr>
        <w:pStyle w:val="20"/>
        <w:keepNext w:val="0"/>
        <w:keepLines w:val="0"/>
        <w:pageBreakBefore w:val="0"/>
        <w:widowControl w:val="0"/>
        <w:kinsoku/>
        <w:wordWrap/>
        <w:overflowPunct/>
        <w:topLinePunct w:val="0"/>
        <w:autoSpaceDE/>
        <w:autoSpaceDN/>
        <w:bidi w:val="0"/>
        <w:adjustRightInd/>
        <w:spacing w:line="400" w:lineRule="exact"/>
        <w:ind w:left="25" w:leftChars="12" w:firstLine="413" w:firstLineChars="197"/>
        <w:textAlignment w:val="auto"/>
        <w:rPr>
          <w:rFonts w:hint="eastAsia" w:hAnsi="宋体" w:cs="宋体"/>
          <w:bCs/>
          <w:color w:val="auto"/>
          <w:highlight w:val="none"/>
          <w:u w:val="single"/>
        </w:rPr>
      </w:pPr>
      <w:r>
        <w:rPr>
          <w:rFonts w:hint="eastAsia" w:hAnsi="宋体" w:cs="宋体"/>
          <w:color w:val="auto"/>
          <w:highlight w:val="none"/>
        </w:rPr>
        <w:t>投诉事项1：</w:t>
      </w:r>
      <w:r>
        <w:rPr>
          <w:rFonts w:hint="eastAsia" w:hAnsi="宋体" w:cs="宋体"/>
          <w:bCs/>
          <w:color w:val="auto"/>
          <w:highlight w:val="none"/>
          <w:u w:val="single"/>
        </w:rPr>
        <w:t xml:space="preserve">                                                                           </w:t>
      </w:r>
    </w:p>
    <w:p w14:paraId="47F2EB39">
      <w:pPr>
        <w:pStyle w:val="20"/>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hint="eastAsia" w:hAnsi="宋体" w:cs="宋体"/>
          <w:bCs/>
          <w:color w:val="auto"/>
          <w:highlight w:val="none"/>
          <w:u w:val="single"/>
        </w:rPr>
      </w:pPr>
      <w:r>
        <w:rPr>
          <w:rFonts w:hint="eastAsia" w:hAnsi="宋体" w:cs="宋体"/>
          <w:bCs/>
          <w:color w:val="auto"/>
          <w:highlight w:val="none"/>
        </w:rPr>
        <w:t>事实依据：</w:t>
      </w:r>
      <w:r>
        <w:rPr>
          <w:rFonts w:hint="eastAsia" w:hAnsi="宋体" w:cs="宋体"/>
          <w:color w:val="auto"/>
          <w:highlight w:val="none"/>
        </w:rPr>
        <w:t xml:space="preserve"> </w:t>
      </w:r>
      <w:r>
        <w:rPr>
          <w:rFonts w:hint="eastAsia" w:hAnsi="宋体" w:cs="宋体"/>
          <w:bCs/>
          <w:color w:val="auto"/>
          <w:highlight w:val="none"/>
          <w:u w:val="single"/>
        </w:rPr>
        <w:t xml:space="preserve">                                                                                      </w:t>
      </w:r>
    </w:p>
    <w:p w14:paraId="1D82E6B0">
      <w:pPr>
        <w:pStyle w:val="20"/>
        <w:keepNext w:val="0"/>
        <w:keepLines w:val="0"/>
        <w:pageBreakBefore w:val="0"/>
        <w:widowControl w:val="0"/>
        <w:kinsoku/>
        <w:wordWrap/>
        <w:overflowPunct/>
        <w:topLinePunct w:val="0"/>
        <w:autoSpaceDE/>
        <w:autoSpaceDN/>
        <w:bidi w:val="0"/>
        <w:adjustRightInd/>
        <w:spacing w:line="400" w:lineRule="exact"/>
        <w:ind w:left="25" w:leftChars="12" w:firstLine="413" w:firstLineChars="197"/>
        <w:textAlignment w:val="auto"/>
        <w:rPr>
          <w:rFonts w:hint="eastAsia" w:hAnsi="宋体" w:cs="宋体"/>
          <w:color w:val="auto"/>
          <w:highlight w:val="none"/>
        </w:rPr>
      </w:pPr>
      <w:r>
        <w:rPr>
          <w:rFonts w:hint="eastAsia" w:hAnsi="宋体" w:cs="宋体"/>
          <w:bCs/>
          <w:color w:val="auto"/>
          <w:highlight w:val="none"/>
          <w:u w:val="single"/>
        </w:rPr>
        <w:t xml:space="preserve">                                                                                        </w:t>
      </w:r>
    </w:p>
    <w:p w14:paraId="24876F71">
      <w:pPr>
        <w:pStyle w:val="20"/>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hint="eastAsia" w:hAnsi="宋体" w:cs="宋体"/>
          <w:bCs/>
          <w:color w:val="auto"/>
          <w:highlight w:val="none"/>
          <w:u w:val="single"/>
        </w:rPr>
      </w:pPr>
      <w:r>
        <w:rPr>
          <w:rFonts w:hint="eastAsia" w:hAnsi="宋体" w:cs="宋体"/>
          <w:bCs/>
          <w:color w:val="auto"/>
          <w:highlight w:val="none"/>
        </w:rPr>
        <w:t>法律依据：</w:t>
      </w:r>
      <w:r>
        <w:rPr>
          <w:rFonts w:hint="eastAsia" w:hAnsi="宋体" w:cs="宋体"/>
          <w:color w:val="auto"/>
          <w:highlight w:val="none"/>
        </w:rPr>
        <w:t xml:space="preserve"> </w:t>
      </w:r>
      <w:r>
        <w:rPr>
          <w:rFonts w:hint="eastAsia" w:hAnsi="宋体" w:cs="宋体"/>
          <w:bCs/>
          <w:color w:val="auto"/>
          <w:highlight w:val="none"/>
          <w:u w:val="single"/>
        </w:rPr>
        <w:t xml:space="preserve">                                                                                      </w:t>
      </w:r>
    </w:p>
    <w:p w14:paraId="7308747A">
      <w:pPr>
        <w:pStyle w:val="20"/>
        <w:keepNext w:val="0"/>
        <w:keepLines w:val="0"/>
        <w:pageBreakBefore w:val="0"/>
        <w:widowControl w:val="0"/>
        <w:kinsoku/>
        <w:wordWrap/>
        <w:overflowPunct/>
        <w:topLinePunct w:val="0"/>
        <w:autoSpaceDE/>
        <w:autoSpaceDN/>
        <w:bidi w:val="0"/>
        <w:adjustRightInd/>
        <w:spacing w:line="400" w:lineRule="exact"/>
        <w:ind w:left="25" w:leftChars="12" w:firstLine="308" w:firstLineChars="147"/>
        <w:textAlignment w:val="auto"/>
        <w:rPr>
          <w:rFonts w:hint="eastAsia" w:hAnsi="宋体" w:cs="宋体"/>
          <w:bCs/>
          <w:color w:val="auto"/>
          <w:highlight w:val="none"/>
          <w:u w:val="single"/>
        </w:rPr>
      </w:pPr>
      <w:r>
        <w:rPr>
          <w:rFonts w:hint="eastAsia" w:hAnsi="宋体" w:cs="宋体"/>
          <w:bCs/>
          <w:color w:val="auto"/>
          <w:highlight w:val="none"/>
        </w:rPr>
        <w:t xml:space="preserve"> </w:t>
      </w:r>
      <w:r>
        <w:rPr>
          <w:rFonts w:hint="eastAsia" w:hAnsi="宋体" w:cs="宋体"/>
          <w:bCs/>
          <w:color w:val="auto"/>
          <w:highlight w:val="none"/>
          <w:u w:val="single"/>
        </w:rPr>
        <w:t xml:space="preserve">                                                                                        </w:t>
      </w:r>
    </w:p>
    <w:p w14:paraId="183AA67D">
      <w:pPr>
        <w:pStyle w:val="20"/>
        <w:keepNext w:val="0"/>
        <w:keepLines w:val="0"/>
        <w:pageBreakBefore w:val="0"/>
        <w:widowControl w:val="0"/>
        <w:kinsoku/>
        <w:wordWrap/>
        <w:overflowPunct/>
        <w:topLinePunct w:val="0"/>
        <w:autoSpaceDE/>
        <w:autoSpaceDN/>
        <w:bidi w:val="0"/>
        <w:adjustRightInd/>
        <w:spacing w:line="400" w:lineRule="exact"/>
        <w:ind w:left="25" w:leftChars="12" w:firstLine="413" w:firstLineChars="197"/>
        <w:textAlignment w:val="auto"/>
        <w:rPr>
          <w:rFonts w:hint="eastAsia" w:hAnsi="宋体" w:cs="宋体"/>
          <w:bCs/>
          <w:color w:val="auto"/>
          <w:highlight w:val="none"/>
        </w:rPr>
      </w:pPr>
      <w:r>
        <w:rPr>
          <w:rFonts w:hint="eastAsia" w:hAnsi="宋体" w:cs="宋体"/>
          <w:color w:val="auto"/>
          <w:highlight w:val="none"/>
        </w:rPr>
        <w:t xml:space="preserve">投诉事项2  </w:t>
      </w:r>
      <w:r>
        <w:rPr>
          <w:rFonts w:hint="eastAsia" w:hAnsi="宋体" w:cs="宋体"/>
          <w:bCs/>
          <w:color w:val="auto"/>
          <w:highlight w:val="none"/>
        </w:rPr>
        <w:t xml:space="preserve">   </w:t>
      </w:r>
    </w:p>
    <w:p w14:paraId="09D0949C">
      <w:pPr>
        <w:pStyle w:val="20"/>
        <w:keepNext w:val="0"/>
        <w:keepLines w:val="0"/>
        <w:pageBreakBefore w:val="0"/>
        <w:widowControl w:val="0"/>
        <w:kinsoku/>
        <w:wordWrap/>
        <w:overflowPunct/>
        <w:topLinePunct w:val="0"/>
        <w:autoSpaceDE/>
        <w:autoSpaceDN/>
        <w:bidi w:val="0"/>
        <w:adjustRightInd/>
        <w:spacing w:line="400" w:lineRule="exact"/>
        <w:ind w:left="25" w:leftChars="12" w:firstLine="413" w:firstLineChars="197"/>
        <w:textAlignment w:val="auto"/>
        <w:rPr>
          <w:rFonts w:hint="eastAsia" w:hAnsi="宋体" w:cs="宋体"/>
          <w:bCs/>
          <w:color w:val="auto"/>
          <w:highlight w:val="none"/>
        </w:rPr>
      </w:pPr>
      <w:r>
        <w:rPr>
          <w:rFonts w:hint="eastAsia" w:hAnsi="宋体" w:cs="宋体"/>
          <w:bCs/>
          <w:color w:val="auto"/>
          <w:highlight w:val="none"/>
        </w:rPr>
        <w:t>……</w:t>
      </w:r>
    </w:p>
    <w:p w14:paraId="3966FF32">
      <w:pPr>
        <w:pStyle w:val="20"/>
        <w:keepNext w:val="0"/>
        <w:keepLines w:val="0"/>
        <w:pageBreakBefore w:val="0"/>
        <w:widowControl w:val="0"/>
        <w:kinsoku/>
        <w:wordWrap/>
        <w:overflowPunct/>
        <w:topLinePunct w:val="0"/>
        <w:autoSpaceDE/>
        <w:autoSpaceDN/>
        <w:bidi w:val="0"/>
        <w:adjustRightInd/>
        <w:spacing w:line="400" w:lineRule="exact"/>
        <w:ind w:left="25" w:leftChars="12" w:firstLine="412" w:firstLineChars="196"/>
        <w:textAlignment w:val="auto"/>
        <w:rPr>
          <w:rFonts w:hint="eastAsia" w:hAnsi="宋体" w:cs="宋体"/>
          <w:b/>
          <w:color w:val="auto"/>
          <w:highlight w:val="none"/>
        </w:rPr>
      </w:pPr>
      <w:r>
        <w:rPr>
          <w:rFonts w:hint="eastAsia" w:hAnsi="宋体" w:cs="宋体"/>
          <w:b/>
          <w:color w:val="auto"/>
          <w:highlight w:val="none"/>
        </w:rPr>
        <w:t>五、与投诉事项相关的投诉请求：</w:t>
      </w:r>
    </w:p>
    <w:p w14:paraId="797C432F">
      <w:pPr>
        <w:pStyle w:val="20"/>
        <w:keepNext w:val="0"/>
        <w:keepLines w:val="0"/>
        <w:pageBreakBefore w:val="0"/>
        <w:widowControl w:val="0"/>
        <w:kinsoku/>
        <w:wordWrap/>
        <w:overflowPunct/>
        <w:topLinePunct w:val="0"/>
        <w:autoSpaceDE/>
        <w:autoSpaceDN/>
        <w:bidi w:val="0"/>
        <w:adjustRightInd/>
        <w:spacing w:line="400" w:lineRule="exact"/>
        <w:ind w:left="25" w:leftChars="12" w:firstLine="413" w:firstLineChars="197"/>
        <w:textAlignment w:val="auto"/>
        <w:rPr>
          <w:rFonts w:hint="eastAsia" w:hAnsi="宋体" w:cs="宋体"/>
          <w:color w:val="auto"/>
          <w:highlight w:val="none"/>
        </w:rPr>
      </w:pPr>
      <w:r>
        <w:rPr>
          <w:rFonts w:hint="eastAsia" w:hAnsi="宋体" w:cs="宋体"/>
          <w:color w:val="auto"/>
          <w:highlight w:val="none"/>
        </w:rPr>
        <w:t>请求：</w:t>
      </w:r>
      <w:r>
        <w:rPr>
          <w:rFonts w:hint="eastAsia" w:hAnsi="宋体" w:cs="宋体"/>
          <w:bCs/>
          <w:color w:val="auto"/>
          <w:highlight w:val="none"/>
          <w:u w:val="single"/>
        </w:rPr>
        <w:t xml:space="preserve">                                                                                 </w:t>
      </w:r>
    </w:p>
    <w:p w14:paraId="445055AA">
      <w:pPr>
        <w:pStyle w:val="20"/>
        <w:keepNext w:val="0"/>
        <w:keepLines w:val="0"/>
        <w:pageBreakBefore w:val="0"/>
        <w:widowControl w:val="0"/>
        <w:kinsoku/>
        <w:wordWrap/>
        <w:overflowPunct/>
        <w:topLinePunct w:val="0"/>
        <w:autoSpaceDE/>
        <w:autoSpaceDN/>
        <w:bidi w:val="0"/>
        <w:adjustRightInd/>
        <w:spacing w:line="400" w:lineRule="exact"/>
        <w:ind w:left="25" w:leftChars="12" w:firstLine="308" w:firstLineChars="147"/>
        <w:textAlignment w:val="auto"/>
        <w:rPr>
          <w:rFonts w:hint="eastAsia" w:hAnsi="宋体" w:cs="宋体"/>
          <w:color w:val="auto"/>
          <w:highlight w:val="none"/>
        </w:rPr>
      </w:pPr>
    </w:p>
    <w:p w14:paraId="3002675F">
      <w:pPr>
        <w:pStyle w:val="20"/>
        <w:keepNext w:val="0"/>
        <w:keepLines w:val="0"/>
        <w:pageBreakBefore w:val="0"/>
        <w:widowControl w:val="0"/>
        <w:kinsoku/>
        <w:wordWrap/>
        <w:overflowPunct/>
        <w:topLinePunct w:val="0"/>
        <w:autoSpaceDE/>
        <w:autoSpaceDN/>
        <w:bidi w:val="0"/>
        <w:adjustRightInd/>
        <w:spacing w:line="400" w:lineRule="exact"/>
        <w:ind w:left="25" w:leftChars="12" w:firstLine="413" w:firstLineChars="197"/>
        <w:textAlignment w:val="auto"/>
        <w:rPr>
          <w:rFonts w:hint="eastAsia" w:hAnsi="宋体" w:cs="宋体"/>
          <w:color w:val="auto"/>
          <w:highlight w:val="none"/>
        </w:rPr>
      </w:pPr>
      <w:r>
        <w:rPr>
          <w:rFonts w:hint="eastAsia" w:hAnsi="宋体" w:cs="宋体"/>
          <w:color w:val="auto"/>
          <w:highlight w:val="none"/>
        </w:rPr>
        <w:t>签字（签章）：                                       公章：</w:t>
      </w:r>
    </w:p>
    <w:p w14:paraId="55FD3CFC">
      <w:pPr>
        <w:pStyle w:val="20"/>
        <w:keepNext w:val="0"/>
        <w:keepLines w:val="0"/>
        <w:pageBreakBefore w:val="0"/>
        <w:widowControl w:val="0"/>
        <w:kinsoku/>
        <w:wordWrap/>
        <w:overflowPunct/>
        <w:topLinePunct w:val="0"/>
        <w:autoSpaceDE/>
        <w:autoSpaceDN/>
        <w:bidi w:val="0"/>
        <w:adjustRightInd/>
        <w:spacing w:line="400" w:lineRule="exact"/>
        <w:ind w:left="25" w:leftChars="12" w:firstLine="308" w:firstLineChars="147"/>
        <w:textAlignment w:val="auto"/>
        <w:rPr>
          <w:rFonts w:hint="eastAsia" w:hAnsi="宋体" w:cs="宋体"/>
          <w:color w:val="auto"/>
          <w:highlight w:val="none"/>
        </w:rPr>
      </w:pPr>
    </w:p>
    <w:p w14:paraId="7711F5DA">
      <w:pPr>
        <w:pStyle w:val="20"/>
        <w:keepNext w:val="0"/>
        <w:keepLines w:val="0"/>
        <w:pageBreakBefore w:val="0"/>
        <w:widowControl w:val="0"/>
        <w:kinsoku/>
        <w:wordWrap/>
        <w:overflowPunct/>
        <w:topLinePunct w:val="0"/>
        <w:autoSpaceDE/>
        <w:autoSpaceDN/>
        <w:bidi w:val="0"/>
        <w:adjustRightInd/>
        <w:spacing w:line="400" w:lineRule="exact"/>
        <w:ind w:left="25" w:leftChars="12" w:firstLine="413" w:firstLineChars="197"/>
        <w:textAlignment w:val="auto"/>
        <w:rPr>
          <w:rFonts w:hint="eastAsia" w:hAnsi="宋体" w:cs="宋体"/>
          <w:color w:val="auto"/>
          <w:highlight w:val="none"/>
        </w:rPr>
      </w:pPr>
      <w:r>
        <w:rPr>
          <w:rFonts w:hint="eastAsia" w:hAnsi="宋体" w:cs="宋体"/>
          <w:color w:val="auto"/>
          <w:highlight w:val="none"/>
        </w:rPr>
        <w:t>日期：</w:t>
      </w:r>
    </w:p>
    <w:p w14:paraId="4A0DC678">
      <w:pPr>
        <w:pStyle w:val="20"/>
        <w:keepNext w:val="0"/>
        <w:keepLines w:val="0"/>
        <w:pageBreakBefore w:val="0"/>
        <w:widowControl w:val="0"/>
        <w:kinsoku/>
        <w:wordWrap/>
        <w:overflowPunct/>
        <w:topLinePunct w:val="0"/>
        <w:autoSpaceDE/>
        <w:autoSpaceDN/>
        <w:bidi w:val="0"/>
        <w:adjustRightInd/>
        <w:spacing w:line="400" w:lineRule="exact"/>
        <w:ind w:left="25" w:leftChars="12" w:firstLine="414" w:firstLineChars="197"/>
        <w:textAlignment w:val="auto"/>
        <w:rPr>
          <w:rFonts w:hint="eastAsia" w:hAnsi="宋体" w:cs="宋体"/>
          <w:b/>
          <w:color w:val="auto"/>
          <w:highlight w:val="none"/>
        </w:rPr>
      </w:pPr>
      <w:r>
        <w:rPr>
          <w:rFonts w:hint="eastAsia" w:hAnsi="宋体" w:cs="宋体"/>
          <w:b/>
          <w:color w:val="auto"/>
          <w:highlight w:val="none"/>
        </w:rPr>
        <w:t>说明：</w:t>
      </w:r>
    </w:p>
    <w:p w14:paraId="67A9F61B">
      <w:pPr>
        <w:pStyle w:val="20"/>
        <w:keepNext w:val="0"/>
        <w:keepLines w:val="0"/>
        <w:pageBreakBefore w:val="0"/>
        <w:widowControl w:val="0"/>
        <w:kinsoku/>
        <w:wordWrap/>
        <w:overflowPunct/>
        <w:topLinePunct w:val="0"/>
        <w:autoSpaceDE/>
        <w:autoSpaceDN/>
        <w:bidi w:val="0"/>
        <w:adjustRightInd/>
        <w:spacing w:line="400" w:lineRule="exact"/>
        <w:ind w:left="25" w:leftChars="12" w:firstLine="309" w:firstLineChars="147"/>
        <w:textAlignment w:val="auto"/>
        <w:rPr>
          <w:rFonts w:hint="eastAsia" w:hAnsi="宋体" w:cs="宋体"/>
          <w:b/>
          <w:bCs/>
          <w:color w:val="auto"/>
          <w:highlight w:val="none"/>
        </w:rPr>
      </w:pPr>
      <w:r>
        <w:rPr>
          <w:rFonts w:hint="eastAsia" w:hAnsi="宋体" w:cs="宋体"/>
          <w:b/>
          <w:color w:val="auto"/>
          <w:highlight w:val="none"/>
        </w:rPr>
        <w:t>1.投诉人提起投诉时，应当提交投诉书和必要的证明材料，并按照被投诉人和与投诉事项有关的供应商数量提供投诉书副本</w:t>
      </w:r>
      <w:r>
        <w:rPr>
          <w:rFonts w:hint="eastAsia" w:hAnsi="宋体" w:cs="宋体"/>
          <w:b/>
          <w:bCs/>
          <w:color w:val="auto"/>
          <w:highlight w:val="none"/>
        </w:rPr>
        <w:t>。</w:t>
      </w:r>
    </w:p>
    <w:p w14:paraId="62865AF3">
      <w:pPr>
        <w:pStyle w:val="20"/>
        <w:keepNext w:val="0"/>
        <w:keepLines w:val="0"/>
        <w:pageBreakBefore w:val="0"/>
        <w:widowControl w:val="0"/>
        <w:kinsoku/>
        <w:wordWrap/>
        <w:overflowPunct/>
        <w:topLinePunct w:val="0"/>
        <w:autoSpaceDE/>
        <w:autoSpaceDN/>
        <w:bidi w:val="0"/>
        <w:adjustRightInd/>
        <w:spacing w:line="400" w:lineRule="exact"/>
        <w:ind w:left="25" w:leftChars="12" w:firstLine="309" w:firstLineChars="147"/>
        <w:textAlignment w:val="auto"/>
        <w:rPr>
          <w:rFonts w:hint="eastAsia" w:hAnsi="宋体" w:cs="宋体"/>
          <w:b/>
          <w:color w:val="auto"/>
          <w:highlight w:val="none"/>
        </w:rPr>
      </w:pPr>
      <w:r>
        <w:rPr>
          <w:rFonts w:hint="eastAsia" w:hAnsi="宋体" w:cs="宋体"/>
          <w:b/>
          <w:color w:val="auto"/>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6F238839">
      <w:pPr>
        <w:pStyle w:val="20"/>
        <w:keepNext w:val="0"/>
        <w:keepLines w:val="0"/>
        <w:pageBreakBefore w:val="0"/>
        <w:widowControl w:val="0"/>
        <w:kinsoku/>
        <w:wordWrap/>
        <w:overflowPunct/>
        <w:topLinePunct w:val="0"/>
        <w:autoSpaceDE/>
        <w:autoSpaceDN/>
        <w:bidi w:val="0"/>
        <w:adjustRightInd/>
        <w:spacing w:line="400" w:lineRule="exact"/>
        <w:ind w:left="25" w:leftChars="12" w:firstLine="309" w:firstLineChars="147"/>
        <w:textAlignment w:val="auto"/>
        <w:rPr>
          <w:rFonts w:hint="eastAsia" w:hAnsi="宋体" w:cs="宋体"/>
          <w:b/>
          <w:color w:val="auto"/>
          <w:highlight w:val="none"/>
        </w:rPr>
      </w:pPr>
      <w:r>
        <w:rPr>
          <w:rFonts w:hint="eastAsia" w:hAnsi="宋体" w:cs="宋体"/>
          <w:b/>
          <w:color w:val="auto"/>
          <w:highlight w:val="none"/>
        </w:rPr>
        <w:t>3.投诉书应简要列明质疑事项，质疑函、质疑答复等作为附件材料提供。</w:t>
      </w:r>
    </w:p>
    <w:p w14:paraId="68439676">
      <w:pPr>
        <w:pStyle w:val="20"/>
        <w:keepNext w:val="0"/>
        <w:keepLines w:val="0"/>
        <w:pageBreakBefore w:val="0"/>
        <w:widowControl w:val="0"/>
        <w:kinsoku/>
        <w:wordWrap/>
        <w:overflowPunct/>
        <w:topLinePunct w:val="0"/>
        <w:autoSpaceDE/>
        <w:autoSpaceDN/>
        <w:bidi w:val="0"/>
        <w:adjustRightInd/>
        <w:spacing w:line="400" w:lineRule="exact"/>
        <w:ind w:left="25" w:leftChars="12" w:firstLine="309" w:firstLineChars="147"/>
        <w:textAlignment w:val="auto"/>
        <w:rPr>
          <w:rFonts w:hint="eastAsia" w:hAnsi="宋体" w:cs="宋体"/>
          <w:b/>
          <w:color w:val="auto"/>
          <w:highlight w:val="none"/>
        </w:rPr>
      </w:pPr>
      <w:r>
        <w:rPr>
          <w:rFonts w:hint="eastAsia" w:hAnsi="宋体" w:cs="宋体"/>
          <w:b/>
          <w:color w:val="auto"/>
          <w:highlight w:val="none"/>
        </w:rPr>
        <w:t>4.投诉书的投诉事项应具体、明确，并有必要的事实依据和法律依据。</w:t>
      </w:r>
    </w:p>
    <w:p w14:paraId="6250A117">
      <w:pPr>
        <w:pStyle w:val="20"/>
        <w:keepNext w:val="0"/>
        <w:keepLines w:val="0"/>
        <w:pageBreakBefore w:val="0"/>
        <w:widowControl w:val="0"/>
        <w:kinsoku/>
        <w:wordWrap/>
        <w:overflowPunct/>
        <w:topLinePunct w:val="0"/>
        <w:autoSpaceDE/>
        <w:autoSpaceDN/>
        <w:bidi w:val="0"/>
        <w:adjustRightInd/>
        <w:spacing w:line="400" w:lineRule="exact"/>
        <w:ind w:left="25" w:leftChars="12" w:firstLine="309" w:firstLineChars="147"/>
        <w:textAlignment w:val="auto"/>
        <w:rPr>
          <w:rFonts w:hint="eastAsia" w:hAnsi="宋体" w:cs="宋体"/>
          <w:b/>
          <w:color w:val="auto"/>
          <w:highlight w:val="none"/>
        </w:rPr>
      </w:pPr>
      <w:r>
        <w:rPr>
          <w:rFonts w:hint="eastAsia" w:hAnsi="宋体" w:cs="宋体"/>
          <w:b/>
          <w:color w:val="auto"/>
          <w:highlight w:val="none"/>
        </w:rPr>
        <w:t>5.投诉书的投诉请求应与投诉事项相关。</w:t>
      </w:r>
    </w:p>
    <w:p w14:paraId="66A67A3D">
      <w:pPr>
        <w:pStyle w:val="20"/>
        <w:keepNext w:val="0"/>
        <w:keepLines w:val="0"/>
        <w:pageBreakBefore w:val="0"/>
        <w:widowControl w:val="0"/>
        <w:kinsoku/>
        <w:wordWrap/>
        <w:overflowPunct/>
        <w:topLinePunct w:val="0"/>
        <w:autoSpaceDE/>
        <w:autoSpaceDN/>
        <w:bidi w:val="0"/>
        <w:adjustRightInd/>
        <w:spacing w:line="400" w:lineRule="exact"/>
        <w:ind w:left="25" w:leftChars="12" w:firstLine="309" w:firstLineChars="147"/>
        <w:textAlignment w:val="auto"/>
        <w:rPr>
          <w:rFonts w:hint="eastAsia" w:hAnsi="宋体" w:cs="宋体"/>
          <w:b/>
          <w:color w:val="auto"/>
          <w:highlight w:val="none"/>
        </w:rPr>
      </w:pPr>
      <w:r>
        <w:rPr>
          <w:rFonts w:hint="eastAsia" w:hAnsi="宋体" w:cs="宋体"/>
          <w:b/>
          <w:color w:val="auto"/>
          <w:highlight w:val="none"/>
        </w:rPr>
        <w:t>6.投诉人为法人或者其他组织的，投诉书应由法定代表人、主要负责人，或者其授权代表签字或者盖章，并加盖公章。</w:t>
      </w:r>
      <w:bookmarkEnd w:id="1"/>
      <w:bookmarkEnd w:id="2"/>
      <w:bookmarkEnd w:id="3"/>
      <w:bookmarkEnd w:id="4"/>
    </w:p>
    <w:p w14:paraId="0C6ED87B">
      <w:pPr>
        <w:rPr>
          <w:rFonts w:hint="eastAsia"/>
          <w:color w:val="auto"/>
          <w:highlight w:val="none"/>
        </w:rPr>
      </w:pPr>
    </w:p>
    <w:sectPr>
      <w:footerReference r:id="rId17" w:type="first"/>
      <w:footerReference r:id="rId15" w:type="default"/>
      <w:footerReference r:id="rId16" w:type="even"/>
      <w:pgSz w:w="11906" w:h="16838"/>
      <w:pgMar w:top="1134" w:right="1247" w:bottom="1134" w:left="1417" w:header="720" w:footer="720" w:gutter="0"/>
      <w:pgNumType w:fmt="decimal"/>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CC"/>
    <w:family w:val="roman"/>
    <w:pitch w:val="default"/>
    <w:sig w:usb0="E0000AFF" w:usb1="00007843" w:usb2="00000001" w:usb3="00000000" w:csb0="400001BF" w:csb1="DFF70000"/>
    <w:embedRegular r:id="rId1" w:fontKey="{BA6F3051-BFA9-5132-3AF1-89695E82E7F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embedRegular r:id="rId2" w:fontKey="{7412B906-50D3-8F78-3AF1-8969180020B8}"/>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embedRegular r:id="rId3" w:fontKey="{60363497-0110-D867-3AF1-89690BC64C5B}"/>
  </w:font>
  <w:font w:name="仿宋_GB2312">
    <w:altName w:val="方正仿宋_GBK"/>
    <w:panose1 w:val="02010609030101010101"/>
    <w:charset w:val="86"/>
    <w:family w:val="modern"/>
    <w:pitch w:val="default"/>
    <w:sig w:usb0="00000000" w:usb1="00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MingLiU">
    <w:altName w:val="宋体-繁"/>
    <w:panose1 w:val="02010609000101010101"/>
    <w:charset w:val="88"/>
    <w:family w:val="modern"/>
    <w:pitch w:val="default"/>
    <w:sig w:usb0="00000000" w:usb1="00000000" w:usb2="00000010" w:usb3="00000000" w:csb0="00100000" w:csb1="00000000"/>
  </w:font>
  <w:font w:name="PMingLiU-ExtB">
    <w:altName w:val="宋体-繁"/>
    <w:panose1 w:val="02020500000000000000"/>
    <w:charset w:val="88"/>
    <w:family w:val="auto"/>
    <w:pitch w:val="default"/>
    <w:sig w:usb0="00000000" w:usb1="00000000" w:usb2="00000000" w:usb3="00000000" w:csb0="00100001" w:csb1="00000000"/>
  </w:font>
  <w:font w:name="Cambria">
    <w:altName w:val="苹方-简"/>
    <w:panose1 w:val="02040503050406030204"/>
    <w:charset w:val="00"/>
    <w:family w:val="roman"/>
    <w:pitch w:val="default"/>
    <w:sig w:usb0="00000000" w:usb1="00000000" w:usb2="02000000" w:usb3="00000000" w:csb0="2000019F" w:csb1="00000000"/>
  </w:font>
  <w:font w:name="Tahoma">
    <w:panose1 w:val="020B0604030504040204"/>
    <w:charset w:val="00"/>
    <w:family w:val="swiss"/>
    <w:pitch w:val="default"/>
    <w:sig w:usb0="E1002AFF" w:usb1="C000605B" w:usb2="00000029" w:usb3="00000000" w:csb0="200101FF" w:csb1="20280000"/>
  </w:font>
  <w:font w:name="方正仿宋_GBK">
    <w:panose1 w:val="02000000000000000000"/>
    <w:charset w:val="86"/>
    <w:family w:val="script"/>
    <w:pitch w:val="default"/>
    <w:sig w:usb0="A00002BF" w:usb1="38CF7CFA" w:usb2="00082016" w:usb3="00000000" w:csb0="00040001" w:csb1="00000000"/>
  </w:font>
  <w:font w:name="方正小标宋_GBK">
    <w:panose1 w:val="02000000000000000000"/>
    <w:charset w:val="86"/>
    <w:family w:val="script"/>
    <w:pitch w:val="default"/>
    <w:sig w:usb0="A00002BF" w:usb1="38CF7CFA" w:usb2="00082016" w:usb3="00000000" w:csb0="00040001" w:csb1="00000000"/>
    <w:embedRegular r:id="rId4" w:fontKey="{3292F8C9-D2A3-48F2-3AF1-8969340F1A96}"/>
  </w:font>
  <w:font w:name="楷体">
    <w:altName w:val="汉仪楷体KW"/>
    <w:panose1 w:val="02010609060101010101"/>
    <w:charset w:val="86"/>
    <w:family w:val="modern"/>
    <w:pitch w:val="default"/>
    <w:sig w:usb0="00000000" w:usb1="00000000" w:usb2="00000016" w:usb3="00000000" w:csb0="00040001"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宋体-繁">
    <w:panose1 w:val="02010600040101010101"/>
    <w:charset w:val="86"/>
    <w:family w:val="auto"/>
    <w:pitch w:val="default"/>
    <w:sig w:usb0="00000287" w:usb1="080F0000" w:usb2="00000000" w:usb3="00000000" w:csb0="0004009F" w:csb1="DFD70000"/>
  </w:font>
  <w:font w:name="苹方-简">
    <w:panose1 w:val="020B0400000000000000"/>
    <w:charset w:val="86"/>
    <w:family w:val="auto"/>
    <w:pitch w:val="default"/>
    <w:sig w:usb0="A00002FF" w:usb1="7ACFFDFB" w:usb2="00000017" w:usb3="00000000" w:csb0="00040001" w:csb1="00000000"/>
  </w:font>
  <w:font w:name="汉仪楷体KW">
    <w:panose1 w:val="00020600040101010101"/>
    <w:charset w:val="86"/>
    <w:family w:val="auto"/>
    <w:pitch w:val="default"/>
    <w:sig w:usb0="A00002BF" w:usb1="18EF7CFA" w:usb2="00000016" w:usb3="00000000" w:csb0="00040000" w:csb1="00000000"/>
  </w:font>
  <w:font w:name="Arial Unicode MS">
    <w:panose1 w:val="020B0604020202020204"/>
    <w:charset w:val="86"/>
    <w:family w:val="auto"/>
    <w:pitch w:val="default"/>
    <w:sig w:usb0="FFFFFFFF" w:usb1="E9FFFFFF" w:usb2="0000003F" w:usb3="00000000" w:csb0="603F01FF" w:csb1="FFFF0000"/>
  </w:font>
  <w:font w:name="宋体-简">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AA5990">
    <w:pPr>
      <w:pStyle w:val="25"/>
      <w:jc w:val="center"/>
    </w:pPr>
  </w:p>
  <w:p w14:paraId="42B98F77">
    <w:pPr>
      <w:pStyle w:val="2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28B95">
    <w:pPr>
      <w:pStyle w:val="25"/>
      <w:ind w:right="360"/>
      <w:jc w:val="both"/>
      <w:rPr>
        <w:rFonts w:hint="eastAsia"/>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2A8313">
                          <w:pPr>
                            <w:pStyle w:val="25"/>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92A8313">
                    <w:pPr>
                      <w:pStyle w:val="25"/>
                    </w:pPr>
                    <w:r>
                      <w:fldChar w:fldCharType="begin"/>
                    </w:r>
                    <w:r>
                      <w:instrText xml:space="preserve"> PAGE  \* MERGEFORMAT </w:instrText>
                    </w:r>
                    <w:r>
                      <w:fldChar w:fldCharType="separate"/>
                    </w:r>
                    <w:r>
                      <w:t>76</w:t>
                    </w:r>
                    <w:r>
                      <w:fldChar w:fldCharType="end"/>
                    </w:r>
                  </w:p>
                </w:txbxContent>
              </v:textbox>
            </v:shape>
          </w:pict>
        </mc:Fallback>
      </mc:AlternateContent>
    </w:r>
    <w:r>
      <w:rPr>
        <w:rFonts w:hint="eastAsia"/>
      </w:rPr>
      <w:t>121</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2951A">
    <w:pPr>
      <w:pStyle w:val="25"/>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7A1CCD">
                          <w:pPr>
                            <w:pStyle w:val="25"/>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637A1CCD">
                    <w:pPr>
                      <w:pStyle w:val="25"/>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1207B">
    <w:pPr>
      <w:pStyle w:val="25"/>
      <w:framePr w:wrap="around" w:vAnchor="text" w:hAnchor="margin" w:xAlign="center" w:y="1"/>
      <w:rPr>
        <w:rStyle w:val="42"/>
      </w:rPr>
    </w:pPr>
    <w:r>
      <w:fldChar w:fldCharType="begin"/>
    </w:r>
    <w:r>
      <w:rPr>
        <w:rStyle w:val="42"/>
      </w:rPr>
      <w:instrText xml:space="preserve">PAGE  </w:instrText>
    </w:r>
    <w:r>
      <w:fldChar w:fldCharType="end"/>
    </w:r>
  </w:p>
  <w:p w14:paraId="57695A03">
    <w:pPr>
      <w:pStyle w:val="2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7E090">
    <w:pPr>
      <w:pStyle w:val="25"/>
      <w:framePr w:wrap="around" w:vAnchor="text" w:hAnchor="margin" w:xAlign="right" w:y="1"/>
      <w:rPr>
        <w:rStyle w:val="42"/>
      </w:rPr>
    </w:pPr>
    <w:r>
      <w:fldChar w:fldCharType="begin"/>
    </w:r>
    <w:r>
      <w:rPr>
        <w:rStyle w:val="42"/>
      </w:rPr>
      <w:instrText xml:space="preserve">PAGE  </w:instrText>
    </w:r>
    <w:r>
      <w:fldChar w:fldCharType="separate"/>
    </w:r>
    <w:r>
      <w:rPr>
        <w:rStyle w:val="42"/>
      </w:rPr>
      <w:t>122</w:t>
    </w:r>
    <w:r>
      <w:fldChar w:fldCharType="end"/>
    </w:r>
  </w:p>
  <w:p w14:paraId="6B84741A">
    <w:pPr>
      <w:pStyle w:val="25"/>
      <w:ind w:right="360"/>
      <w:jc w:val="both"/>
      <w:rPr>
        <w:rFonts w:hint="eastAsia"/>
      </w:rPr>
    </w:pPr>
    <w:r>
      <w:rPr>
        <w:rFonts w:hint="eastAsia"/>
      </w:rPr>
      <w:t>121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D6F03">
    <w:pPr>
      <w:pStyle w:val="25"/>
      <w:framePr w:wrap="around" w:vAnchor="text" w:hAnchor="margin" w:xAlign="center" w:y="1"/>
      <w:rPr>
        <w:rStyle w:val="42"/>
      </w:rPr>
    </w:pPr>
    <w:r>
      <w:fldChar w:fldCharType="begin"/>
    </w:r>
    <w:r>
      <w:rPr>
        <w:rStyle w:val="42"/>
      </w:rPr>
      <w:instrText xml:space="preserve">PAGE  </w:instrText>
    </w:r>
    <w:r>
      <w:fldChar w:fldCharType="end"/>
    </w:r>
  </w:p>
  <w:p w14:paraId="6B623762">
    <w:pPr>
      <w:pStyle w:val="2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54829">
    <w:pPr>
      <w:pStyle w:val="25"/>
      <w:ind w:right="360"/>
      <w:jc w:val="both"/>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44A58">
    <w:pPr>
      <w:pStyle w:val="25"/>
      <w:jc w:val="center"/>
    </w:pPr>
  </w:p>
  <w:p w14:paraId="2CCFF38E">
    <w:pPr>
      <w:pStyle w:val="2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1E2A6">
    <w:pPr>
      <w:pStyle w:val="25"/>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F3D671">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BF3D671">
                    <w:pPr>
                      <w:pStyle w:val="25"/>
                    </w:pPr>
                    <w:r>
                      <w:fldChar w:fldCharType="begin"/>
                    </w:r>
                    <w:r>
                      <w:instrText xml:space="preserve"> PAGE  \* MERGEFORMAT </w:instrText>
                    </w:r>
                    <w:r>
                      <w:fldChar w:fldCharType="separate"/>
                    </w:r>
                    <w:r>
                      <w:t>1</w:t>
                    </w:r>
                    <w:r>
                      <w:fldChar w:fldCharType="end"/>
                    </w:r>
                  </w:p>
                </w:txbxContent>
              </v:textbox>
            </v:shape>
          </w:pict>
        </mc:Fallback>
      </mc:AlternateContent>
    </w:r>
  </w:p>
  <w:p w14:paraId="65438CCC">
    <w:pPr>
      <w:pStyle w:val="2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3CB1D">
    <w:pPr>
      <w:pStyle w:val="25"/>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F80A34">
                          <w:pPr>
                            <w:pStyle w:val="25"/>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EF80A34">
                    <w:pPr>
                      <w:pStyle w:val="25"/>
                    </w:pPr>
                    <w:r>
                      <w:fldChar w:fldCharType="begin"/>
                    </w:r>
                    <w:r>
                      <w:instrText xml:space="preserve"> PAGE  \* MERGEFORMAT </w:instrText>
                    </w:r>
                    <w:r>
                      <w:fldChar w:fldCharType="separate"/>
                    </w:r>
                    <w:r>
                      <w:t>46</w:t>
                    </w:r>
                    <w:r>
                      <w:fldChar w:fldCharType="end"/>
                    </w:r>
                  </w:p>
                </w:txbxContent>
              </v:textbox>
            </v:shape>
          </w:pict>
        </mc:Fallback>
      </mc:AlternateContent>
    </w:r>
  </w:p>
  <w:p w14:paraId="3DA79313">
    <w:pPr>
      <w:pStyle w:val="2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10B37">
    <w:pPr>
      <w:pStyle w:val="25"/>
      <w:ind w:right="360"/>
      <w:jc w:val="both"/>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8531EF8">
                          <w:pPr>
                            <w:pStyle w:val="25"/>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NJQgnIAQAAmQMAAA4AAAAAAAAAAQAgAAAAHgEAAGRycy9lMm9Eb2Mu&#10;eG1sUEsFBgAAAAAGAAYAWQEAAFgFAAAAAA==&#10;">
              <v:fill on="f" focussize="0,0"/>
              <v:stroke on="f"/>
              <v:imagedata o:title=""/>
              <o:lock v:ext="edit" aspectratio="f"/>
              <v:textbox inset="0mm,0mm,0mm,0mm" style="mso-fit-shape-to-text:t;">
                <w:txbxContent>
                  <w:p w14:paraId="18531EF8">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50212">
    <w:pPr>
      <w:pStyle w:val="25"/>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D1BCE2">
                          <w:pPr>
                            <w:pStyle w:val="2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0FD1BCE2">
                    <w:pPr>
                      <w:pStyle w:val="25"/>
                    </w:pPr>
                    <w:r>
                      <w:fldChar w:fldCharType="begin"/>
                    </w:r>
                    <w:r>
                      <w:instrText xml:space="preserve"> PAGE  \* MERGEFORMAT </w:instrText>
                    </w:r>
                    <w:r>
                      <w:fldChar w:fldCharType="separate"/>
                    </w:r>
                    <w:r>
                      <w:t>0</w:t>
                    </w:r>
                    <w:r>
                      <w:fldChar w:fldCharType="end"/>
                    </w:r>
                  </w:p>
                </w:txbxContent>
              </v:textbox>
            </v:shape>
          </w:pict>
        </mc:Fallback>
      </mc:AlternateContent>
    </w:r>
  </w:p>
  <w:p w14:paraId="1419F92C">
    <w:pPr>
      <w:pStyle w:val="2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71F632">
    <w:pPr>
      <w:pStyle w:val="25"/>
      <w:framePr w:wrap="around" w:vAnchor="text" w:hAnchor="margin" w:xAlign="center" w:y="1"/>
      <w:rPr>
        <w:rStyle w:val="42"/>
      </w:rPr>
    </w:pPr>
    <w:r>
      <w:fldChar w:fldCharType="begin"/>
    </w:r>
    <w:r>
      <w:rPr>
        <w:rStyle w:val="42"/>
      </w:rPr>
      <w:instrText xml:space="preserve">PAGE  </w:instrText>
    </w:r>
    <w:r>
      <w:fldChar w:fldCharType="end"/>
    </w:r>
  </w:p>
  <w:p w14:paraId="1E353442">
    <w:pPr>
      <w:pStyle w:val="2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A042F">
    <w:pPr>
      <w:pStyle w:val="26"/>
      <w:pBdr>
        <w:bottom w:val="none" w:color="auto" w:sz="0" w:space="0"/>
      </w:pBdr>
      <w:tabs>
        <w:tab w:val="center" w:pos="0"/>
        <w:tab w:val="left" w:pos="8306"/>
        <w:tab w:val="clear" w:pos="4153"/>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F3A07">
    <w:pPr>
      <w:pStyle w:val="26"/>
      <w:pBdr>
        <w:bottom w:val="none" w:color="auto" w:sz="0" w:space="0"/>
      </w:pBdr>
      <w:tabs>
        <w:tab w:val="center" w:pos="0"/>
        <w:tab w:val="left" w:pos="8306"/>
        <w:tab w:val="clear" w:pos="415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C601917"/>
    <w:multiLevelType w:val="singleLevel"/>
    <w:tmpl w:val="4C601917"/>
    <w:lvl w:ilvl="0" w:tentative="0">
      <w:start w:val="1"/>
      <w:numFmt w:val="decimal"/>
      <w:suff w:val="nothing"/>
      <w:lvlText w:val="（%1）"/>
      <w:lvlJc w:val="left"/>
    </w:lvl>
  </w:abstractNum>
  <w:abstractNum w:abstractNumId="1">
    <w:nsid w:val="5FABD14B"/>
    <w:multiLevelType w:val="singleLevel"/>
    <w:tmpl w:val="5FABD14B"/>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4"/>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105"/>
  <w:drawingGridVerticalSpacing w:val="331"/>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AwMGM5NzNkMGFmZjdmNjdmOTliN2YyNmZmOTBjMmUifQ=="/>
    <w:docVar w:name="KSO_WPS_MARK_KEY" w:val="34a85f2c-7737-46bb-95af-ad2512184d9f"/>
  </w:docVars>
  <w:rsids>
    <w:rsidRoot w:val="08171363"/>
    <w:rsid w:val="0000096C"/>
    <w:rsid w:val="00000CDB"/>
    <w:rsid w:val="00001CDA"/>
    <w:rsid w:val="00004344"/>
    <w:rsid w:val="00005909"/>
    <w:rsid w:val="000207D5"/>
    <w:rsid w:val="00022127"/>
    <w:rsid w:val="00024E82"/>
    <w:rsid w:val="00027659"/>
    <w:rsid w:val="00030800"/>
    <w:rsid w:val="00031652"/>
    <w:rsid w:val="00034A7D"/>
    <w:rsid w:val="00035197"/>
    <w:rsid w:val="00035F9C"/>
    <w:rsid w:val="000401CD"/>
    <w:rsid w:val="000404B0"/>
    <w:rsid w:val="0004235B"/>
    <w:rsid w:val="00044EDB"/>
    <w:rsid w:val="00051641"/>
    <w:rsid w:val="00054304"/>
    <w:rsid w:val="000553BC"/>
    <w:rsid w:val="00056551"/>
    <w:rsid w:val="0006218D"/>
    <w:rsid w:val="00063F24"/>
    <w:rsid w:val="00065AF0"/>
    <w:rsid w:val="00066EA9"/>
    <w:rsid w:val="00066FE1"/>
    <w:rsid w:val="00074D5F"/>
    <w:rsid w:val="00076A60"/>
    <w:rsid w:val="00077BF5"/>
    <w:rsid w:val="00081789"/>
    <w:rsid w:val="00085A0D"/>
    <w:rsid w:val="00092A54"/>
    <w:rsid w:val="00092F65"/>
    <w:rsid w:val="0009317E"/>
    <w:rsid w:val="00093B18"/>
    <w:rsid w:val="000946EB"/>
    <w:rsid w:val="00094E84"/>
    <w:rsid w:val="000A6432"/>
    <w:rsid w:val="000A7A4B"/>
    <w:rsid w:val="000B5A03"/>
    <w:rsid w:val="000B7B3B"/>
    <w:rsid w:val="000C1DCC"/>
    <w:rsid w:val="000C302E"/>
    <w:rsid w:val="000C5D44"/>
    <w:rsid w:val="000D5F48"/>
    <w:rsid w:val="000D7284"/>
    <w:rsid w:val="000E6783"/>
    <w:rsid w:val="000F1BBE"/>
    <w:rsid w:val="001031E7"/>
    <w:rsid w:val="00104245"/>
    <w:rsid w:val="001108AC"/>
    <w:rsid w:val="00110A97"/>
    <w:rsid w:val="00110DD2"/>
    <w:rsid w:val="00111240"/>
    <w:rsid w:val="0011187C"/>
    <w:rsid w:val="00116FC9"/>
    <w:rsid w:val="00120C46"/>
    <w:rsid w:val="001251B9"/>
    <w:rsid w:val="00125837"/>
    <w:rsid w:val="001306A8"/>
    <w:rsid w:val="00140B14"/>
    <w:rsid w:val="00140CE8"/>
    <w:rsid w:val="00141619"/>
    <w:rsid w:val="00143DA6"/>
    <w:rsid w:val="00151CEE"/>
    <w:rsid w:val="0015209C"/>
    <w:rsid w:val="001551E7"/>
    <w:rsid w:val="001552B2"/>
    <w:rsid w:val="00155890"/>
    <w:rsid w:val="00170AA7"/>
    <w:rsid w:val="00173852"/>
    <w:rsid w:val="00174F9B"/>
    <w:rsid w:val="00177D95"/>
    <w:rsid w:val="00181460"/>
    <w:rsid w:val="00182C28"/>
    <w:rsid w:val="00190F4C"/>
    <w:rsid w:val="00193D49"/>
    <w:rsid w:val="0019577E"/>
    <w:rsid w:val="001B1366"/>
    <w:rsid w:val="001B2BDE"/>
    <w:rsid w:val="001B2FAE"/>
    <w:rsid w:val="001C097E"/>
    <w:rsid w:val="001C2516"/>
    <w:rsid w:val="001C2E44"/>
    <w:rsid w:val="001D047F"/>
    <w:rsid w:val="001D758B"/>
    <w:rsid w:val="001E0216"/>
    <w:rsid w:val="001E0590"/>
    <w:rsid w:val="001E3E3A"/>
    <w:rsid w:val="001E484E"/>
    <w:rsid w:val="001E4E53"/>
    <w:rsid w:val="001E6153"/>
    <w:rsid w:val="001E6C5D"/>
    <w:rsid w:val="001E7AB6"/>
    <w:rsid w:val="001F330A"/>
    <w:rsid w:val="001F4D3C"/>
    <w:rsid w:val="001F6F77"/>
    <w:rsid w:val="00201770"/>
    <w:rsid w:val="00202F39"/>
    <w:rsid w:val="00204164"/>
    <w:rsid w:val="00204F25"/>
    <w:rsid w:val="00205999"/>
    <w:rsid w:val="00207350"/>
    <w:rsid w:val="00207DB7"/>
    <w:rsid w:val="00213B47"/>
    <w:rsid w:val="00221909"/>
    <w:rsid w:val="002230A4"/>
    <w:rsid w:val="0022698C"/>
    <w:rsid w:val="00227913"/>
    <w:rsid w:val="00231EAB"/>
    <w:rsid w:val="00232E04"/>
    <w:rsid w:val="00236055"/>
    <w:rsid w:val="00236B7D"/>
    <w:rsid w:val="00241686"/>
    <w:rsid w:val="00242C6C"/>
    <w:rsid w:val="00244627"/>
    <w:rsid w:val="002563B4"/>
    <w:rsid w:val="0025753A"/>
    <w:rsid w:val="00262C01"/>
    <w:rsid w:val="002738BD"/>
    <w:rsid w:val="0027629D"/>
    <w:rsid w:val="00281099"/>
    <w:rsid w:val="002867CF"/>
    <w:rsid w:val="00293976"/>
    <w:rsid w:val="00297271"/>
    <w:rsid w:val="002B3400"/>
    <w:rsid w:val="002B4610"/>
    <w:rsid w:val="002C0483"/>
    <w:rsid w:val="002C1328"/>
    <w:rsid w:val="002C2756"/>
    <w:rsid w:val="002C27F2"/>
    <w:rsid w:val="002C38A0"/>
    <w:rsid w:val="002C7DD7"/>
    <w:rsid w:val="002D0079"/>
    <w:rsid w:val="002D05BB"/>
    <w:rsid w:val="002D2EF2"/>
    <w:rsid w:val="002D5E57"/>
    <w:rsid w:val="002E0A18"/>
    <w:rsid w:val="002E6BA4"/>
    <w:rsid w:val="002E7EA0"/>
    <w:rsid w:val="002F320A"/>
    <w:rsid w:val="002F55FD"/>
    <w:rsid w:val="002F667D"/>
    <w:rsid w:val="003014B1"/>
    <w:rsid w:val="003051FD"/>
    <w:rsid w:val="00305816"/>
    <w:rsid w:val="00315EB2"/>
    <w:rsid w:val="003162D6"/>
    <w:rsid w:val="00316994"/>
    <w:rsid w:val="0031699F"/>
    <w:rsid w:val="00320B19"/>
    <w:rsid w:val="00322C10"/>
    <w:rsid w:val="00327461"/>
    <w:rsid w:val="00330EE9"/>
    <w:rsid w:val="003331F5"/>
    <w:rsid w:val="00337A9F"/>
    <w:rsid w:val="00344631"/>
    <w:rsid w:val="00346976"/>
    <w:rsid w:val="00347950"/>
    <w:rsid w:val="00350024"/>
    <w:rsid w:val="00353905"/>
    <w:rsid w:val="00355191"/>
    <w:rsid w:val="00366E54"/>
    <w:rsid w:val="0037075A"/>
    <w:rsid w:val="00371C87"/>
    <w:rsid w:val="00380673"/>
    <w:rsid w:val="003809BA"/>
    <w:rsid w:val="00384EB6"/>
    <w:rsid w:val="003868E3"/>
    <w:rsid w:val="0039417D"/>
    <w:rsid w:val="003A3917"/>
    <w:rsid w:val="003A622A"/>
    <w:rsid w:val="003B031E"/>
    <w:rsid w:val="003B31F1"/>
    <w:rsid w:val="003B38DA"/>
    <w:rsid w:val="003B7C9A"/>
    <w:rsid w:val="003C027A"/>
    <w:rsid w:val="003C393F"/>
    <w:rsid w:val="003D3465"/>
    <w:rsid w:val="003D478D"/>
    <w:rsid w:val="003D7400"/>
    <w:rsid w:val="003E0AD4"/>
    <w:rsid w:val="003E1425"/>
    <w:rsid w:val="003E64C1"/>
    <w:rsid w:val="003F1067"/>
    <w:rsid w:val="003F1F9C"/>
    <w:rsid w:val="003F7B0D"/>
    <w:rsid w:val="004029ED"/>
    <w:rsid w:val="00403AA3"/>
    <w:rsid w:val="0040651A"/>
    <w:rsid w:val="00431C3B"/>
    <w:rsid w:val="00435268"/>
    <w:rsid w:val="0044023A"/>
    <w:rsid w:val="004437ED"/>
    <w:rsid w:val="00443922"/>
    <w:rsid w:val="0044600A"/>
    <w:rsid w:val="00447BDE"/>
    <w:rsid w:val="00450ADB"/>
    <w:rsid w:val="00452102"/>
    <w:rsid w:val="004531C4"/>
    <w:rsid w:val="00455C16"/>
    <w:rsid w:val="0046694A"/>
    <w:rsid w:val="0046760D"/>
    <w:rsid w:val="00467833"/>
    <w:rsid w:val="00474447"/>
    <w:rsid w:val="004771BA"/>
    <w:rsid w:val="004820E2"/>
    <w:rsid w:val="004853B6"/>
    <w:rsid w:val="004861BA"/>
    <w:rsid w:val="00486E44"/>
    <w:rsid w:val="0049027F"/>
    <w:rsid w:val="004925A4"/>
    <w:rsid w:val="004929AD"/>
    <w:rsid w:val="004A0443"/>
    <w:rsid w:val="004A0E38"/>
    <w:rsid w:val="004A5F2A"/>
    <w:rsid w:val="004A6736"/>
    <w:rsid w:val="004B49D2"/>
    <w:rsid w:val="004C5B3E"/>
    <w:rsid w:val="004C75A0"/>
    <w:rsid w:val="004D5AF4"/>
    <w:rsid w:val="004D6E99"/>
    <w:rsid w:val="004E126C"/>
    <w:rsid w:val="004F5BCD"/>
    <w:rsid w:val="004F68CF"/>
    <w:rsid w:val="005033B8"/>
    <w:rsid w:val="00503A40"/>
    <w:rsid w:val="00506840"/>
    <w:rsid w:val="00511A25"/>
    <w:rsid w:val="00516FAA"/>
    <w:rsid w:val="00517D40"/>
    <w:rsid w:val="00520861"/>
    <w:rsid w:val="00521880"/>
    <w:rsid w:val="00525C35"/>
    <w:rsid w:val="005279FB"/>
    <w:rsid w:val="00532BF5"/>
    <w:rsid w:val="0053541C"/>
    <w:rsid w:val="005458AD"/>
    <w:rsid w:val="0054778A"/>
    <w:rsid w:val="0055409E"/>
    <w:rsid w:val="00554A36"/>
    <w:rsid w:val="00562514"/>
    <w:rsid w:val="00564C6D"/>
    <w:rsid w:val="005707EB"/>
    <w:rsid w:val="00570DF9"/>
    <w:rsid w:val="005739CF"/>
    <w:rsid w:val="00576E04"/>
    <w:rsid w:val="0057733C"/>
    <w:rsid w:val="00581AC2"/>
    <w:rsid w:val="00583AC0"/>
    <w:rsid w:val="00584BFC"/>
    <w:rsid w:val="005873D0"/>
    <w:rsid w:val="005917A6"/>
    <w:rsid w:val="005932B6"/>
    <w:rsid w:val="00596F89"/>
    <w:rsid w:val="005B53A3"/>
    <w:rsid w:val="005C06FA"/>
    <w:rsid w:val="005C5049"/>
    <w:rsid w:val="005D54D6"/>
    <w:rsid w:val="005D6CCE"/>
    <w:rsid w:val="005E671C"/>
    <w:rsid w:val="005F6F86"/>
    <w:rsid w:val="00600743"/>
    <w:rsid w:val="006048A4"/>
    <w:rsid w:val="00605362"/>
    <w:rsid w:val="006064F7"/>
    <w:rsid w:val="006068F0"/>
    <w:rsid w:val="00606C3B"/>
    <w:rsid w:val="00622C28"/>
    <w:rsid w:val="00626CA8"/>
    <w:rsid w:val="006271A0"/>
    <w:rsid w:val="006301C4"/>
    <w:rsid w:val="00630567"/>
    <w:rsid w:val="00631BAB"/>
    <w:rsid w:val="006324D3"/>
    <w:rsid w:val="00636B69"/>
    <w:rsid w:val="006406A8"/>
    <w:rsid w:val="00640B4E"/>
    <w:rsid w:val="00641D5B"/>
    <w:rsid w:val="00644AAD"/>
    <w:rsid w:val="00647270"/>
    <w:rsid w:val="0065223B"/>
    <w:rsid w:val="00653CDE"/>
    <w:rsid w:val="00656442"/>
    <w:rsid w:val="00661DA0"/>
    <w:rsid w:val="006632E6"/>
    <w:rsid w:val="0066542F"/>
    <w:rsid w:val="00670E85"/>
    <w:rsid w:val="0067703D"/>
    <w:rsid w:val="00677CAF"/>
    <w:rsid w:val="006831E3"/>
    <w:rsid w:val="006867BB"/>
    <w:rsid w:val="00691B1A"/>
    <w:rsid w:val="00695425"/>
    <w:rsid w:val="006A101B"/>
    <w:rsid w:val="006A6DC8"/>
    <w:rsid w:val="006C015A"/>
    <w:rsid w:val="006C2360"/>
    <w:rsid w:val="006C55A9"/>
    <w:rsid w:val="006C5999"/>
    <w:rsid w:val="006D0A1B"/>
    <w:rsid w:val="006D6A62"/>
    <w:rsid w:val="006E4D05"/>
    <w:rsid w:val="006F0015"/>
    <w:rsid w:val="00707FF2"/>
    <w:rsid w:val="00712AF4"/>
    <w:rsid w:val="00715456"/>
    <w:rsid w:val="00717D53"/>
    <w:rsid w:val="0072351B"/>
    <w:rsid w:val="00730FBB"/>
    <w:rsid w:val="0073261C"/>
    <w:rsid w:val="00736625"/>
    <w:rsid w:val="00744B4B"/>
    <w:rsid w:val="00745BFF"/>
    <w:rsid w:val="0074683F"/>
    <w:rsid w:val="007549ED"/>
    <w:rsid w:val="0075643C"/>
    <w:rsid w:val="00756DD1"/>
    <w:rsid w:val="00757B36"/>
    <w:rsid w:val="00761289"/>
    <w:rsid w:val="00761EA6"/>
    <w:rsid w:val="00767154"/>
    <w:rsid w:val="007728DC"/>
    <w:rsid w:val="00773B6C"/>
    <w:rsid w:val="00773FEE"/>
    <w:rsid w:val="00781DF2"/>
    <w:rsid w:val="00790B95"/>
    <w:rsid w:val="007937A3"/>
    <w:rsid w:val="007B4684"/>
    <w:rsid w:val="007C09EA"/>
    <w:rsid w:val="007C2309"/>
    <w:rsid w:val="007C3B9F"/>
    <w:rsid w:val="007C4D61"/>
    <w:rsid w:val="007D5273"/>
    <w:rsid w:val="007D6581"/>
    <w:rsid w:val="007D6EBC"/>
    <w:rsid w:val="007F0A33"/>
    <w:rsid w:val="007F1D2B"/>
    <w:rsid w:val="007F4D7D"/>
    <w:rsid w:val="007F717F"/>
    <w:rsid w:val="00817450"/>
    <w:rsid w:val="008176CE"/>
    <w:rsid w:val="008204EB"/>
    <w:rsid w:val="008232D5"/>
    <w:rsid w:val="00823F88"/>
    <w:rsid w:val="0082700E"/>
    <w:rsid w:val="008300D6"/>
    <w:rsid w:val="00843D45"/>
    <w:rsid w:val="00852105"/>
    <w:rsid w:val="0085544C"/>
    <w:rsid w:val="008604A4"/>
    <w:rsid w:val="008606F1"/>
    <w:rsid w:val="00860D9E"/>
    <w:rsid w:val="00862516"/>
    <w:rsid w:val="0086784A"/>
    <w:rsid w:val="008811BB"/>
    <w:rsid w:val="00884C48"/>
    <w:rsid w:val="0089747C"/>
    <w:rsid w:val="008974F2"/>
    <w:rsid w:val="008A2903"/>
    <w:rsid w:val="008A6ED3"/>
    <w:rsid w:val="008A7438"/>
    <w:rsid w:val="008C3744"/>
    <w:rsid w:val="008C4798"/>
    <w:rsid w:val="008D3FFB"/>
    <w:rsid w:val="008D43F8"/>
    <w:rsid w:val="008D5DE5"/>
    <w:rsid w:val="008D7AB4"/>
    <w:rsid w:val="008E268A"/>
    <w:rsid w:val="008E3451"/>
    <w:rsid w:val="008E53FF"/>
    <w:rsid w:val="00904A9B"/>
    <w:rsid w:val="00905884"/>
    <w:rsid w:val="00920D6C"/>
    <w:rsid w:val="009276D5"/>
    <w:rsid w:val="0093775E"/>
    <w:rsid w:val="00942D58"/>
    <w:rsid w:val="00942FDE"/>
    <w:rsid w:val="00952863"/>
    <w:rsid w:val="009528FA"/>
    <w:rsid w:val="0096166D"/>
    <w:rsid w:val="00986C7E"/>
    <w:rsid w:val="009911B9"/>
    <w:rsid w:val="009924D4"/>
    <w:rsid w:val="009961B0"/>
    <w:rsid w:val="009963BC"/>
    <w:rsid w:val="009A6C00"/>
    <w:rsid w:val="009B644A"/>
    <w:rsid w:val="009B67C7"/>
    <w:rsid w:val="009C3D9F"/>
    <w:rsid w:val="009C60E6"/>
    <w:rsid w:val="009D594D"/>
    <w:rsid w:val="009D5E30"/>
    <w:rsid w:val="009D64B0"/>
    <w:rsid w:val="009D78FE"/>
    <w:rsid w:val="009E0DF2"/>
    <w:rsid w:val="009E2765"/>
    <w:rsid w:val="009E2C4C"/>
    <w:rsid w:val="009E509B"/>
    <w:rsid w:val="009E5F55"/>
    <w:rsid w:val="009F48CE"/>
    <w:rsid w:val="009F5431"/>
    <w:rsid w:val="009F5C57"/>
    <w:rsid w:val="00A079C6"/>
    <w:rsid w:val="00A11791"/>
    <w:rsid w:val="00A15437"/>
    <w:rsid w:val="00A207B9"/>
    <w:rsid w:val="00A317A2"/>
    <w:rsid w:val="00A31C07"/>
    <w:rsid w:val="00A31E32"/>
    <w:rsid w:val="00A35D90"/>
    <w:rsid w:val="00A36574"/>
    <w:rsid w:val="00A37DDB"/>
    <w:rsid w:val="00A37ECC"/>
    <w:rsid w:val="00A41DC7"/>
    <w:rsid w:val="00A4364F"/>
    <w:rsid w:val="00A5424F"/>
    <w:rsid w:val="00A54EBE"/>
    <w:rsid w:val="00A56CB5"/>
    <w:rsid w:val="00A64717"/>
    <w:rsid w:val="00A748C9"/>
    <w:rsid w:val="00A77398"/>
    <w:rsid w:val="00A80C51"/>
    <w:rsid w:val="00A81EDF"/>
    <w:rsid w:val="00A83A62"/>
    <w:rsid w:val="00A929CC"/>
    <w:rsid w:val="00A9536F"/>
    <w:rsid w:val="00A95495"/>
    <w:rsid w:val="00A955F2"/>
    <w:rsid w:val="00A975B7"/>
    <w:rsid w:val="00AA0FBE"/>
    <w:rsid w:val="00AA4479"/>
    <w:rsid w:val="00AA48D1"/>
    <w:rsid w:val="00AB7E31"/>
    <w:rsid w:val="00AC1E51"/>
    <w:rsid w:val="00AD2F5B"/>
    <w:rsid w:val="00AD464B"/>
    <w:rsid w:val="00AD6A4F"/>
    <w:rsid w:val="00AD7E81"/>
    <w:rsid w:val="00AE0FF5"/>
    <w:rsid w:val="00AE127D"/>
    <w:rsid w:val="00AF12E5"/>
    <w:rsid w:val="00AF1624"/>
    <w:rsid w:val="00AF7D70"/>
    <w:rsid w:val="00B017FE"/>
    <w:rsid w:val="00B05D04"/>
    <w:rsid w:val="00B17E63"/>
    <w:rsid w:val="00B17F7F"/>
    <w:rsid w:val="00B20869"/>
    <w:rsid w:val="00B211ED"/>
    <w:rsid w:val="00B319D0"/>
    <w:rsid w:val="00B31F82"/>
    <w:rsid w:val="00B33AE6"/>
    <w:rsid w:val="00B33B3B"/>
    <w:rsid w:val="00B52B37"/>
    <w:rsid w:val="00B548FD"/>
    <w:rsid w:val="00B556FB"/>
    <w:rsid w:val="00B56361"/>
    <w:rsid w:val="00B61746"/>
    <w:rsid w:val="00B62005"/>
    <w:rsid w:val="00B67234"/>
    <w:rsid w:val="00B67934"/>
    <w:rsid w:val="00B76FFB"/>
    <w:rsid w:val="00B7795B"/>
    <w:rsid w:val="00B77961"/>
    <w:rsid w:val="00B803FE"/>
    <w:rsid w:val="00B84C74"/>
    <w:rsid w:val="00B94CF1"/>
    <w:rsid w:val="00BA2379"/>
    <w:rsid w:val="00BA6F13"/>
    <w:rsid w:val="00BB3A8E"/>
    <w:rsid w:val="00BB5CD0"/>
    <w:rsid w:val="00BB7111"/>
    <w:rsid w:val="00BC0690"/>
    <w:rsid w:val="00BC2A7B"/>
    <w:rsid w:val="00BC4D83"/>
    <w:rsid w:val="00BC6D1F"/>
    <w:rsid w:val="00BD1CD3"/>
    <w:rsid w:val="00BE0F5B"/>
    <w:rsid w:val="00BE242C"/>
    <w:rsid w:val="00BF061C"/>
    <w:rsid w:val="00BF2DE4"/>
    <w:rsid w:val="00BF4E4B"/>
    <w:rsid w:val="00BF7045"/>
    <w:rsid w:val="00C03881"/>
    <w:rsid w:val="00C03EC3"/>
    <w:rsid w:val="00C051BA"/>
    <w:rsid w:val="00C052AB"/>
    <w:rsid w:val="00C114D9"/>
    <w:rsid w:val="00C115C2"/>
    <w:rsid w:val="00C12A33"/>
    <w:rsid w:val="00C20A8B"/>
    <w:rsid w:val="00C234FA"/>
    <w:rsid w:val="00C31DD3"/>
    <w:rsid w:val="00C32BEA"/>
    <w:rsid w:val="00C3405B"/>
    <w:rsid w:val="00C510B7"/>
    <w:rsid w:val="00C5115E"/>
    <w:rsid w:val="00C54574"/>
    <w:rsid w:val="00C67F26"/>
    <w:rsid w:val="00C72985"/>
    <w:rsid w:val="00C73607"/>
    <w:rsid w:val="00C7554B"/>
    <w:rsid w:val="00C7749B"/>
    <w:rsid w:val="00C806B6"/>
    <w:rsid w:val="00C82DE7"/>
    <w:rsid w:val="00C90F87"/>
    <w:rsid w:val="00C91EA9"/>
    <w:rsid w:val="00CB10A1"/>
    <w:rsid w:val="00CB1671"/>
    <w:rsid w:val="00CB3128"/>
    <w:rsid w:val="00CB582D"/>
    <w:rsid w:val="00CB63FC"/>
    <w:rsid w:val="00CB78F3"/>
    <w:rsid w:val="00CC1E96"/>
    <w:rsid w:val="00CC7527"/>
    <w:rsid w:val="00CD60E2"/>
    <w:rsid w:val="00CD79F0"/>
    <w:rsid w:val="00CE0705"/>
    <w:rsid w:val="00CF37DE"/>
    <w:rsid w:val="00CF45D0"/>
    <w:rsid w:val="00CF4883"/>
    <w:rsid w:val="00CF6FCC"/>
    <w:rsid w:val="00D06972"/>
    <w:rsid w:val="00D21461"/>
    <w:rsid w:val="00D22BE5"/>
    <w:rsid w:val="00D30B85"/>
    <w:rsid w:val="00D37A63"/>
    <w:rsid w:val="00D44310"/>
    <w:rsid w:val="00D44681"/>
    <w:rsid w:val="00D44B33"/>
    <w:rsid w:val="00D536B1"/>
    <w:rsid w:val="00D556A1"/>
    <w:rsid w:val="00D563C2"/>
    <w:rsid w:val="00D57164"/>
    <w:rsid w:val="00D57281"/>
    <w:rsid w:val="00D65967"/>
    <w:rsid w:val="00D732AF"/>
    <w:rsid w:val="00D777F1"/>
    <w:rsid w:val="00D8185B"/>
    <w:rsid w:val="00D8194A"/>
    <w:rsid w:val="00D82F3E"/>
    <w:rsid w:val="00D969A3"/>
    <w:rsid w:val="00DA584A"/>
    <w:rsid w:val="00DB6895"/>
    <w:rsid w:val="00DC4C07"/>
    <w:rsid w:val="00DC7AB8"/>
    <w:rsid w:val="00DD525D"/>
    <w:rsid w:val="00DD5508"/>
    <w:rsid w:val="00DE0E0D"/>
    <w:rsid w:val="00DE1C4D"/>
    <w:rsid w:val="00DE5E63"/>
    <w:rsid w:val="00DE675A"/>
    <w:rsid w:val="00E135DB"/>
    <w:rsid w:val="00E1452E"/>
    <w:rsid w:val="00E235C9"/>
    <w:rsid w:val="00E375E1"/>
    <w:rsid w:val="00E40A3B"/>
    <w:rsid w:val="00E42CD9"/>
    <w:rsid w:val="00E431DF"/>
    <w:rsid w:val="00E54657"/>
    <w:rsid w:val="00E6697F"/>
    <w:rsid w:val="00E74681"/>
    <w:rsid w:val="00E77CF4"/>
    <w:rsid w:val="00E8042B"/>
    <w:rsid w:val="00E820A0"/>
    <w:rsid w:val="00E9217F"/>
    <w:rsid w:val="00E9496E"/>
    <w:rsid w:val="00E95E2C"/>
    <w:rsid w:val="00E96765"/>
    <w:rsid w:val="00E97D09"/>
    <w:rsid w:val="00EA009B"/>
    <w:rsid w:val="00EA04B7"/>
    <w:rsid w:val="00EA0937"/>
    <w:rsid w:val="00EA7723"/>
    <w:rsid w:val="00EB17F3"/>
    <w:rsid w:val="00EB28CA"/>
    <w:rsid w:val="00EB57D6"/>
    <w:rsid w:val="00EC5445"/>
    <w:rsid w:val="00EE1688"/>
    <w:rsid w:val="00EE23CC"/>
    <w:rsid w:val="00EF36D5"/>
    <w:rsid w:val="00EF3F63"/>
    <w:rsid w:val="00EF4C13"/>
    <w:rsid w:val="00EF6EEB"/>
    <w:rsid w:val="00F02CB5"/>
    <w:rsid w:val="00F072C2"/>
    <w:rsid w:val="00F07DE8"/>
    <w:rsid w:val="00F07F4C"/>
    <w:rsid w:val="00F1066F"/>
    <w:rsid w:val="00F21207"/>
    <w:rsid w:val="00F5110A"/>
    <w:rsid w:val="00F52FF2"/>
    <w:rsid w:val="00F53FD4"/>
    <w:rsid w:val="00F56BEA"/>
    <w:rsid w:val="00F72D89"/>
    <w:rsid w:val="00F74F31"/>
    <w:rsid w:val="00F95FE2"/>
    <w:rsid w:val="00FA0D4F"/>
    <w:rsid w:val="00FA3C12"/>
    <w:rsid w:val="00FB02D1"/>
    <w:rsid w:val="00FB3A1E"/>
    <w:rsid w:val="00FB3C91"/>
    <w:rsid w:val="00FB4DCC"/>
    <w:rsid w:val="00FB6647"/>
    <w:rsid w:val="00FD3F1A"/>
    <w:rsid w:val="00FD442A"/>
    <w:rsid w:val="00FD6406"/>
    <w:rsid w:val="00FD72DA"/>
    <w:rsid w:val="00FE5FE9"/>
    <w:rsid w:val="00FE7D94"/>
    <w:rsid w:val="00FF0F02"/>
    <w:rsid w:val="00FF7F1F"/>
    <w:rsid w:val="01773477"/>
    <w:rsid w:val="0273010D"/>
    <w:rsid w:val="030571A0"/>
    <w:rsid w:val="0454399B"/>
    <w:rsid w:val="049360A4"/>
    <w:rsid w:val="04FC07BA"/>
    <w:rsid w:val="05C21244"/>
    <w:rsid w:val="064029FC"/>
    <w:rsid w:val="078B0F5C"/>
    <w:rsid w:val="07B83C8D"/>
    <w:rsid w:val="07C025C7"/>
    <w:rsid w:val="07F46FDB"/>
    <w:rsid w:val="08171363"/>
    <w:rsid w:val="08AB2AB1"/>
    <w:rsid w:val="09CD219B"/>
    <w:rsid w:val="09E42488"/>
    <w:rsid w:val="09ED576F"/>
    <w:rsid w:val="0A2A0535"/>
    <w:rsid w:val="0D116C13"/>
    <w:rsid w:val="10525806"/>
    <w:rsid w:val="10670755"/>
    <w:rsid w:val="14583CD7"/>
    <w:rsid w:val="148126CD"/>
    <w:rsid w:val="14DE2927"/>
    <w:rsid w:val="168503A9"/>
    <w:rsid w:val="16C90EF1"/>
    <w:rsid w:val="17281EC0"/>
    <w:rsid w:val="181E6DC2"/>
    <w:rsid w:val="1953639C"/>
    <w:rsid w:val="1A167B3A"/>
    <w:rsid w:val="1C202209"/>
    <w:rsid w:val="1FD746B4"/>
    <w:rsid w:val="216750D4"/>
    <w:rsid w:val="22557C1D"/>
    <w:rsid w:val="226B7889"/>
    <w:rsid w:val="22E33BF0"/>
    <w:rsid w:val="23897365"/>
    <w:rsid w:val="23B858BF"/>
    <w:rsid w:val="23C120FD"/>
    <w:rsid w:val="243D3F18"/>
    <w:rsid w:val="245B3C6C"/>
    <w:rsid w:val="25100723"/>
    <w:rsid w:val="25AD0C5F"/>
    <w:rsid w:val="26931E56"/>
    <w:rsid w:val="28A736BD"/>
    <w:rsid w:val="2A5176CA"/>
    <w:rsid w:val="2AD92D72"/>
    <w:rsid w:val="2D102879"/>
    <w:rsid w:val="2F162065"/>
    <w:rsid w:val="2F7B20F9"/>
    <w:rsid w:val="314865E7"/>
    <w:rsid w:val="32422B29"/>
    <w:rsid w:val="35A74912"/>
    <w:rsid w:val="35CB5EC9"/>
    <w:rsid w:val="38E65C15"/>
    <w:rsid w:val="39A35D51"/>
    <w:rsid w:val="3B1359D3"/>
    <w:rsid w:val="3BB80F8B"/>
    <w:rsid w:val="3BCE327C"/>
    <w:rsid w:val="3C345451"/>
    <w:rsid w:val="3E9D7E49"/>
    <w:rsid w:val="402107A3"/>
    <w:rsid w:val="430317C0"/>
    <w:rsid w:val="44CA4BFA"/>
    <w:rsid w:val="475A67D9"/>
    <w:rsid w:val="4B8D6ED7"/>
    <w:rsid w:val="4D083EE4"/>
    <w:rsid w:val="4D792F09"/>
    <w:rsid w:val="4E9B7A20"/>
    <w:rsid w:val="504970E8"/>
    <w:rsid w:val="51D05F5C"/>
    <w:rsid w:val="54F7F469"/>
    <w:rsid w:val="562F308A"/>
    <w:rsid w:val="56901E7C"/>
    <w:rsid w:val="589E5842"/>
    <w:rsid w:val="59476CE1"/>
    <w:rsid w:val="5981360E"/>
    <w:rsid w:val="599A26EE"/>
    <w:rsid w:val="5D373670"/>
    <w:rsid w:val="5E911FD2"/>
    <w:rsid w:val="5F891239"/>
    <w:rsid w:val="5FBB5A03"/>
    <w:rsid w:val="611449CF"/>
    <w:rsid w:val="62771C70"/>
    <w:rsid w:val="62A02B74"/>
    <w:rsid w:val="63DF45AD"/>
    <w:rsid w:val="65164566"/>
    <w:rsid w:val="675B5AF4"/>
    <w:rsid w:val="69814D1C"/>
    <w:rsid w:val="6C6E7C95"/>
    <w:rsid w:val="6E7042BE"/>
    <w:rsid w:val="6ECF7BC3"/>
    <w:rsid w:val="6FA86B63"/>
    <w:rsid w:val="717F3BC0"/>
    <w:rsid w:val="73A04113"/>
    <w:rsid w:val="75457F23"/>
    <w:rsid w:val="760477CC"/>
    <w:rsid w:val="796F6888"/>
    <w:rsid w:val="7CA64A0C"/>
    <w:rsid w:val="7CB93960"/>
    <w:rsid w:val="7D174734"/>
    <w:rsid w:val="7DF7A1B5"/>
    <w:rsid w:val="7E8A580B"/>
    <w:rsid w:val="7EBD33CD"/>
    <w:rsid w:val="7F19500C"/>
    <w:rsid w:val="7F797C95"/>
    <w:rsid w:val="99F31EBA"/>
    <w:rsid w:val="B5FF3FD2"/>
    <w:rsid w:val="D556ED8A"/>
    <w:rsid w:val="E6DEEDEF"/>
    <w:rsid w:val="F65D4E9A"/>
    <w:rsid w:val="F8FEE162"/>
    <w:rsid w:val="FEBF8EC9"/>
    <w:rsid w:val="FFDC38A8"/>
    <w:rsid w:val="FFF335C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qFormat="1" w:unhideWhenUsed="0" w:uiPriority="99"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qFormat="1" w:uiPriority="99"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8"/>
    <w:qFormat/>
    <w:uiPriority w:val="0"/>
    <w:pPr>
      <w:keepNext/>
      <w:keepLines/>
      <w:spacing w:before="340" w:beforeLines="0" w:after="330" w:afterLines="0" w:line="576" w:lineRule="auto"/>
      <w:outlineLvl w:val="0"/>
    </w:pPr>
    <w:rPr>
      <w:b/>
      <w:bCs/>
      <w:kern w:val="44"/>
      <w:sz w:val="44"/>
      <w:szCs w:val="44"/>
    </w:rPr>
  </w:style>
  <w:style w:type="paragraph" w:styleId="4">
    <w:name w:val="heading 2"/>
    <w:basedOn w:val="1"/>
    <w:next w:val="1"/>
    <w:link w:val="65"/>
    <w:qFormat/>
    <w:uiPriority w:val="0"/>
    <w:pPr>
      <w:keepNext/>
      <w:keepLines/>
      <w:spacing w:before="260" w:beforeLines="0" w:after="260" w:afterLines="0" w:line="413" w:lineRule="auto"/>
      <w:outlineLvl w:val="1"/>
    </w:pPr>
    <w:rPr>
      <w:rFonts w:ascii="Arial" w:hAnsi="Arial" w:eastAsia="黑体"/>
      <w:b/>
      <w:bCs/>
      <w:sz w:val="32"/>
      <w:szCs w:val="32"/>
    </w:rPr>
  </w:style>
  <w:style w:type="paragraph" w:styleId="5">
    <w:name w:val="heading 3"/>
    <w:basedOn w:val="1"/>
    <w:next w:val="1"/>
    <w:link w:val="50"/>
    <w:qFormat/>
    <w:uiPriority w:val="0"/>
    <w:pPr>
      <w:keepNext/>
      <w:keepLines/>
      <w:spacing w:line="600" w:lineRule="exact"/>
      <w:ind w:firstLine="643" w:firstLineChars="200"/>
      <w:outlineLvl w:val="2"/>
    </w:pPr>
    <w:rPr>
      <w:b/>
      <w:bCs/>
      <w:sz w:val="32"/>
      <w:szCs w:val="32"/>
    </w:rPr>
  </w:style>
  <w:style w:type="paragraph" w:styleId="6">
    <w:name w:val="heading 4"/>
    <w:basedOn w:val="1"/>
    <w:next w:val="1"/>
    <w:link w:val="51"/>
    <w:qFormat/>
    <w:uiPriority w:val="0"/>
    <w:pPr>
      <w:tabs>
        <w:tab w:val="left" w:pos="2155"/>
      </w:tabs>
      <w:adjustRightInd w:val="0"/>
      <w:spacing w:before="120" w:beforeLines="0" w:line="360" w:lineRule="auto"/>
      <w:ind w:left="2155" w:hanging="1078"/>
      <w:textAlignment w:val="baseline"/>
      <w:outlineLvl w:val="3"/>
    </w:pPr>
    <w:rPr>
      <w:rFonts w:ascii="Arial" w:eastAsia="黑体"/>
      <w:kern w:val="0"/>
      <w:sz w:val="28"/>
      <w:szCs w:val="20"/>
    </w:rPr>
  </w:style>
  <w:style w:type="paragraph" w:styleId="7">
    <w:name w:val="heading 5"/>
    <w:basedOn w:val="1"/>
    <w:next w:val="1"/>
    <w:link w:val="52"/>
    <w:qFormat/>
    <w:uiPriority w:val="0"/>
    <w:pPr>
      <w:keepNext/>
      <w:keepLines/>
      <w:spacing w:before="280" w:after="290" w:line="376" w:lineRule="auto"/>
      <w:outlineLvl w:val="4"/>
    </w:pPr>
    <w:rPr>
      <w:b/>
      <w:bCs/>
      <w:sz w:val="28"/>
      <w:szCs w:val="28"/>
    </w:rPr>
  </w:style>
  <w:style w:type="character" w:default="1" w:styleId="41">
    <w:name w:val="Default Paragraph Font"/>
    <w:semiHidden/>
    <w:qFormat/>
    <w:uiPriority w:val="0"/>
  </w:style>
  <w:style w:type="table" w:default="1" w:styleId="39">
    <w:name w:val="Normal Table"/>
    <w:semiHidden/>
    <w:qFormat/>
    <w:uiPriority w:val="0"/>
    <w:tblPr>
      <w:tblCellMar>
        <w:top w:w="0" w:type="dxa"/>
        <w:left w:w="108" w:type="dxa"/>
        <w:bottom w:w="0" w:type="dxa"/>
        <w:right w:w="108" w:type="dxa"/>
      </w:tblCellMar>
    </w:tblPr>
  </w:style>
  <w:style w:type="paragraph" w:styleId="2">
    <w:name w:val="Body Text"/>
    <w:basedOn w:val="1"/>
    <w:link w:val="56"/>
    <w:qFormat/>
    <w:uiPriority w:val="0"/>
    <w:pPr>
      <w:spacing w:after="120"/>
    </w:pPr>
  </w:style>
  <w:style w:type="paragraph" w:styleId="8">
    <w:name w:val="toc 7"/>
    <w:basedOn w:val="1"/>
    <w:next w:val="1"/>
    <w:qFormat/>
    <w:uiPriority w:val="0"/>
    <w:pPr>
      <w:jc w:val="left"/>
    </w:pPr>
    <w:rPr>
      <w:rFonts w:ascii="Calibri" w:hAnsi="Calibri"/>
      <w:sz w:val="22"/>
      <w:szCs w:val="22"/>
    </w:rPr>
  </w:style>
  <w:style w:type="paragraph" w:styleId="9">
    <w:name w:val="index 8"/>
    <w:basedOn w:val="1"/>
    <w:next w:val="1"/>
    <w:semiHidden/>
    <w:qFormat/>
    <w:uiPriority w:val="99"/>
    <w:pPr>
      <w:adjustRightInd w:val="0"/>
      <w:spacing w:line="360" w:lineRule="atLeast"/>
      <w:ind w:left="2940"/>
      <w:textAlignment w:val="baseline"/>
    </w:pPr>
  </w:style>
  <w:style w:type="paragraph" w:styleId="10">
    <w:name w:val="Normal Indent"/>
    <w:basedOn w:val="1"/>
    <w:qFormat/>
    <w:uiPriority w:val="0"/>
    <w:pPr>
      <w:ind w:firstLine="420"/>
    </w:pPr>
    <w:rPr>
      <w:szCs w:val="20"/>
    </w:rPr>
  </w:style>
  <w:style w:type="paragraph" w:styleId="11">
    <w:name w:val="caption"/>
    <w:basedOn w:val="1"/>
    <w:next w:val="1"/>
    <w:qFormat/>
    <w:uiPriority w:val="0"/>
    <w:pPr>
      <w:spacing w:before="152" w:after="160"/>
    </w:pPr>
    <w:rPr>
      <w:rFonts w:ascii="Arial" w:hAnsi="Arial" w:eastAsia="黑体" w:cs="Arial"/>
      <w:sz w:val="20"/>
      <w:szCs w:val="20"/>
    </w:rPr>
  </w:style>
  <w:style w:type="paragraph" w:styleId="12">
    <w:name w:val="Document Map"/>
    <w:basedOn w:val="1"/>
    <w:link w:val="53"/>
    <w:qFormat/>
    <w:uiPriority w:val="0"/>
    <w:rPr>
      <w:rFonts w:ascii="宋体"/>
      <w:sz w:val="18"/>
      <w:szCs w:val="18"/>
    </w:rPr>
  </w:style>
  <w:style w:type="paragraph" w:styleId="13">
    <w:name w:val="annotation text"/>
    <w:basedOn w:val="1"/>
    <w:link w:val="54"/>
    <w:qFormat/>
    <w:uiPriority w:val="0"/>
    <w:pPr>
      <w:jc w:val="left"/>
    </w:pPr>
  </w:style>
  <w:style w:type="paragraph" w:styleId="14">
    <w:name w:val="index 6"/>
    <w:basedOn w:val="1"/>
    <w:next w:val="1"/>
    <w:qFormat/>
    <w:uiPriority w:val="0"/>
    <w:pPr>
      <w:ind w:left="2100"/>
    </w:pPr>
    <w:rPr>
      <w:rFonts w:ascii="Times New Roman" w:hAnsi="Times New Roman"/>
    </w:rPr>
  </w:style>
  <w:style w:type="paragraph" w:styleId="15">
    <w:name w:val="Body Text 3"/>
    <w:basedOn w:val="1"/>
    <w:link w:val="55"/>
    <w:qFormat/>
    <w:uiPriority w:val="0"/>
    <w:pPr>
      <w:spacing w:after="120"/>
    </w:pPr>
    <w:rPr>
      <w:sz w:val="16"/>
      <w:szCs w:val="16"/>
    </w:rPr>
  </w:style>
  <w:style w:type="paragraph" w:styleId="16">
    <w:name w:val="Body Text Indent"/>
    <w:basedOn w:val="1"/>
    <w:link w:val="57"/>
    <w:qFormat/>
    <w:uiPriority w:val="0"/>
    <w:pPr>
      <w:spacing w:line="200" w:lineRule="exact"/>
      <w:ind w:firstLine="301"/>
    </w:pPr>
    <w:rPr>
      <w:rFonts w:ascii="宋体" w:hAnsi="Courier New"/>
      <w:spacing w:val="-4"/>
      <w:sz w:val="18"/>
      <w:szCs w:val="20"/>
    </w:rPr>
  </w:style>
  <w:style w:type="paragraph" w:styleId="17">
    <w:name w:val="Block Text"/>
    <w:basedOn w:val="1"/>
    <w:unhideWhenUsed/>
    <w:qFormat/>
    <w:uiPriority w:val="99"/>
    <w:pPr>
      <w:spacing w:after="120"/>
      <w:ind w:left="1440" w:leftChars="700" w:right="1440" w:rightChars="700"/>
    </w:pPr>
    <w:rPr>
      <w:rFonts w:ascii="Times New Roman" w:hAnsi="Times New Roman" w:eastAsia="宋体" w:cs="Times New Roman"/>
    </w:rPr>
  </w:style>
  <w:style w:type="paragraph" w:styleId="18">
    <w:name w:val="toc 5"/>
    <w:basedOn w:val="1"/>
    <w:next w:val="1"/>
    <w:qFormat/>
    <w:uiPriority w:val="0"/>
    <w:pPr>
      <w:jc w:val="left"/>
    </w:pPr>
    <w:rPr>
      <w:rFonts w:ascii="Calibri" w:hAnsi="Calibri"/>
      <w:sz w:val="22"/>
      <w:szCs w:val="22"/>
    </w:rPr>
  </w:style>
  <w:style w:type="paragraph" w:styleId="19">
    <w:name w:val="toc 3"/>
    <w:basedOn w:val="1"/>
    <w:next w:val="1"/>
    <w:qFormat/>
    <w:uiPriority w:val="0"/>
    <w:pPr>
      <w:jc w:val="left"/>
    </w:pPr>
    <w:rPr>
      <w:rFonts w:ascii="Calibri" w:hAnsi="Calibri"/>
      <w:smallCaps/>
      <w:sz w:val="22"/>
      <w:szCs w:val="22"/>
    </w:rPr>
  </w:style>
  <w:style w:type="paragraph" w:styleId="20">
    <w:name w:val="Plain Text"/>
    <w:basedOn w:val="1"/>
    <w:next w:val="9"/>
    <w:link w:val="58"/>
    <w:qFormat/>
    <w:uiPriority w:val="0"/>
    <w:rPr>
      <w:rFonts w:ascii="宋体" w:hAnsi="Courier New"/>
      <w:szCs w:val="20"/>
    </w:rPr>
  </w:style>
  <w:style w:type="paragraph" w:styleId="21">
    <w:name w:val="toc 8"/>
    <w:basedOn w:val="1"/>
    <w:next w:val="1"/>
    <w:qFormat/>
    <w:uiPriority w:val="0"/>
    <w:pPr>
      <w:jc w:val="left"/>
    </w:pPr>
    <w:rPr>
      <w:rFonts w:ascii="Calibri" w:hAnsi="Calibri"/>
      <w:sz w:val="22"/>
      <w:szCs w:val="22"/>
    </w:rPr>
  </w:style>
  <w:style w:type="paragraph" w:styleId="22">
    <w:name w:val="Date"/>
    <w:basedOn w:val="1"/>
    <w:next w:val="1"/>
    <w:link w:val="59"/>
    <w:qFormat/>
    <w:uiPriority w:val="0"/>
    <w:pPr>
      <w:ind w:left="100" w:leftChars="2500"/>
    </w:pPr>
  </w:style>
  <w:style w:type="paragraph" w:styleId="23">
    <w:name w:val="Body Text Indent 2"/>
    <w:basedOn w:val="1"/>
    <w:link w:val="60"/>
    <w:qFormat/>
    <w:uiPriority w:val="0"/>
    <w:pPr>
      <w:spacing w:after="120" w:afterLines="0" w:line="480" w:lineRule="auto"/>
      <w:ind w:left="420" w:leftChars="200"/>
    </w:pPr>
  </w:style>
  <w:style w:type="paragraph" w:styleId="24">
    <w:name w:val="Balloon Text"/>
    <w:basedOn w:val="1"/>
    <w:link w:val="61"/>
    <w:qFormat/>
    <w:uiPriority w:val="0"/>
    <w:rPr>
      <w:sz w:val="18"/>
      <w:szCs w:val="18"/>
    </w:rPr>
  </w:style>
  <w:style w:type="paragraph" w:styleId="25">
    <w:name w:val="footer"/>
    <w:basedOn w:val="1"/>
    <w:link w:val="62"/>
    <w:unhideWhenUsed/>
    <w:qFormat/>
    <w:uiPriority w:val="99"/>
    <w:pPr>
      <w:tabs>
        <w:tab w:val="center" w:pos="4153"/>
        <w:tab w:val="right" w:pos="8306"/>
      </w:tabs>
      <w:snapToGrid w:val="0"/>
      <w:jc w:val="left"/>
    </w:pPr>
    <w:rPr>
      <w:sz w:val="18"/>
      <w:szCs w:val="18"/>
    </w:rPr>
  </w:style>
  <w:style w:type="paragraph" w:styleId="26">
    <w:name w:val="header"/>
    <w:basedOn w:val="1"/>
    <w:link w:val="63"/>
    <w:qFormat/>
    <w:uiPriority w:val="0"/>
    <w:pPr>
      <w:pBdr>
        <w:bottom w:val="single" w:color="auto" w:sz="6" w:space="1"/>
      </w:pBdr>
      <w:tabs>
        <w:tab w:val="center" w:pos="4153"/>
        <w:tab w:val="right" w:pos="8306"/>
      </w:tabs>
      <w:snapToGrid w:val="0"/>
      <w:jc w:val="center"/>
    </w:pPr>
    <w:rPr>
      <w:sz w:val="18"/>
      <w:szCs w:val="18"/>
    </w:rPr>
  </w:style>
  <w:style w:type="paragraph" w:styleId="27">
    <w:name w:val="toc 1"/>
    <w:basedOn w:val="1"/>
    <w:next w:val="1"/>
    <w:qFormat/>
    <w:uiPriority w:val="0"/>
    <w:pPr>
      <w:spacing w:before="360" w:after="360"/>
      <w:jc w:val="left"/>
    </w:pPr>
    <w:rPr>
      <w:rFonts w:ascii="Calibri" w:hAnsi="Calibri"/>
      <w:b/>
      <w:bCs/>
      <w:caps/>
      <w:sz w:val="22"/>
      <w:szCs w:val="22"/>
      <w:u w:val="single"/>
    </w:rPr>
  </w:style>
  <w:style w:type="paragraph" w:styleId="28">
    <w:name w:val="toc 4"/>
    <w:basedOn w:val="1"/>
    <w:next w:val="1"/>
    <w:qFormat/>
    <w:uiPriority w:val="0"/>
    <w:pPr>
      <w:jc w:val="left"/>
    </w:pPr>
    <w:rPr>
      <w:rFonts w:ascii="Calibri" w:hAnsi="Calibri"/>
      <w:sz w:val="22"/>
      <w:szCs w:val="22"/>
    </w:rPr>
  </w:style>
  <w:style w:type="paragraph" w:styleId="29">
    <w:name w:val="List"/>
    <w:basedOn w:val="1"/>
    <w:qFormat/>
    <w:uiPriority w:val="0"/>
    <w:pPr>
      <w:ind w:left="200" w:hanging="200" w:hangingChars="200"/>
    </w:pPr>
    <w:rPr>
      <w:sz w:val="28"/>
    </w:rPr>
  </w:style>
  <w:style w:type="paragraph" w:styleId="30">
    <w:name w:val="toc 6"/>
    <w:basedOn w:val="1"/>
    <w:next w:val="1"/>
    <w:qFormat/>
    <w:uiPriority w:val="0"/>
    <w:pPr>
      <w:jc w:val="left"/>
    </w:pPr>
    <w:rPr>
      <w:rFonts w:ascii="Calibri" w:hAnsi="Calibri"/>
      <w:sz w:val="22"/>
      <w:szCs w:val="22"/>
    </w:rPr>
  </w:style>
  <w:style w:type="paragraph" w:styleId="31">
    <w:name w:val="toc 2"/>
    <w:basedOn w:val="1"/>
    <w:next w:val="1"/>
    <w:qFormat/>
    <w:uiPriority w:val="0"/>
    <w:pPr>
      <w:jc w:val="left"/>
    </w:pPr>
    <w:rPr>
      <w:rFonts w:ascii="Calibri" w:hAnsi="Calibri"/>
      <w:b/>
      <w:bCs/>
      <w:smallCaps/>
      <w:sz w:val="22"/>
      <w:szCs w:val="22"/>
    </w:rPr>
  </w:style>
  <w:style w:type="paragraph" w:styleId="32">
    <w:name w:val="toc 9"/>
    <w:basedOn w:val="1"/>
    <w:next w:val="1"/>
    <w:qFormat/>
    <w:uiPriority w:val="0"/>
    <w:pPr>
      <w:jc w:val="left"/>
    </w:pPr>
    <w:rPr>
      <w:rFonts w:ascii="Calibri" w:hAnsi="Calibri"/>
      <w:sz w:val="22"/>
      <w:szCs w:val="22"/>
    </w:rPr>
  </w:style>
  <w:style w:type="paragraph" w:styleId="33">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34">
    <w:name w:val="index 1"/>
    <w:basedOn w:val="1"/>
    <w:next w:val="1"/>
    <w:semiHidden/>
    <w:qFormat/>
    <w:uiPriority w:val="0"/>
    <w:pPr>
      <w:spacing w:line="400" w:lineRule="exact"/>
      <w:ind w:firstLine="420" w:firstLineChars="200"/>
    </w:pPr>
    <w:rPr>
      <w:rFonts w:ascii="宋体" w:hAnsi="Courier New"/>
      <w:b/>
      <w:szCs w:val="20"/>
    </w:rPr>
  </w:style>
  <w:style w:type="paragraph" w:styleId="35">
    <w:name w:val="Title"/>
    <w:basedOn w:val="1"/>
    <w:next w:val="1"/>
    <w:qFormat/>
    <w:uiPriority w:val="0"/>
    <w:pPr>
      <w:widowControl w:val="0"/>
      <w:spacing w:before="240" w:after="60"/>
      <w:jc w:val="center"/>
      <w:outlineLvl w:val="0"/>
    </w:pPr>
    <w:rPr>
      <w:rFonts w:ascii="Arial" w:hAnsi="Arial" w:eastAsia="宋体" w:cs="Arial"/>
      <w:b/>
      <w:bCs/>
      <w:kern w:val="2"/>
      <w:sz w:val="32"/>
      <w:szCs w:val="32"/>
      <w:lang w:val="en-US" w:eastAsia="zh-CN" w:bidi="ar-SA"/>
    </w:rPr>
  </w:style>
  <w:style w:type="paragraph" w:styleId="36">
    <w:name w:val="annotation subject"/>
    <w:basedOn w:val="13"/>
    <w:next w:val="13"/>
    <w:link w:val="64"/>
    <w:qFormat/>
    <w:uiPriority w:val="0"/>
    <w:rPr>
      <w:b/>
      <w:bCs/>
    </w:rPr>
  </w:style>
  <w:style w:type="paragraph" w:styleId="37">
    <w:name w:val="Body Text First Indent"/>
    <w:basedOn w:val="2"/>
    <w:qFormat/>
    <w:uiPriority w:val="0"/>
    <w:pPr>
      <w:wordWrap w:val="0"/>
      <w:topLinePunct/>
      <w:spacing w:after="0" w:line="600" w:lineRule="exact"/>
      <w:ind w:firstLine="880" w:firstLineChars="200"/>
    </w:pPr>
  </w:style>
  <w:style w:type="paragraph" w:styleId="38">
    <w:name w:val="Body Text First Indent 2"/>
    <w:basedOn w:val="16"/>
    <w:qFormat/>
    <w:uiPriority w:val="0"/>
    <w:pPr>
      <w:spacing w:line="600" w:lineRule="exact"/>
      <w:ind w:firstLine="200" w:firstLineChars="200"/>
      <w:jc w:val="both"/>
    </w:pPr>
    <w:rPr>
      <w:rFonts w:ascii="Times New Roman" w:hAnsi="Times New Roman" w:eastAsia="仿宋_GB2312" w:cs="Times New Roman"/>
      <w:kern w:val="2"/>
      <w:sz w:val="32"/>
      <w:szCs w:val="21"/>
      <w:lang w:val="en-US" w:eastAsia="zh-CN" w:bidi="ar-SA"/>
    </w:rPr>
  </w:style>
  <w:style w:type="table" w:styleId="40">
    <w:name w:val="Table Grid"/>
    <w:basedOn w:val="3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page number"/>
    <w:qFormat/>
    <w:uiPriority w:val="0"/>
  </w:style>
  <w:style w:type="character" w:styleId="43">
    <w:name w:val="FollowedHyperlink"/>
    <w:qFormat/>
    <w:uiPriority w:val="0"/>
    <w:rPr>
      <w:color w:val="800080"/>
      <w:u w:val="single"/>
    </w:rPr>
  </w:style>
  <w:style w:type="character" w:styleId="44">
    <w:name w:val="Hyperlink"/>
    <w:qFormat/>
    <w:uiPriority w:val="0"/>
    <w:rPr>
      <w:color w:val="0000FF"/>
      <w:u w:val="single"/>
    </w:rPr>
  </w:style>
  <w:style w:type="character" w:styleId="45">
    <w:name w:val="annotation reference"/>
    <w:qFormat/>
    <w:uiPriority w:val="0"/>
    <w:rPr>
      <w:sz w:val="21"/>
      <w:szCs w:val="21"/>
    </w:rPr>
  </w:style>
  <w:style w:type="paragraph" w:customStyle="1" w:styleId="46">
    <w:name w:val="BodyText1I2"/>
    <w:basedOn w:val="47"/>
    <w:qFormat/>
    <w:uiPriority w:val="0"/>
    <w:pPr>
      <w:ind w:firstLine="420"/>
    </w:pPr>
  </w:style>
  <w:style w:type="paragraph" w:customStyle="1" w:styleId="47">
    <w:name w:val="BodyTextIndent"/>
    <w:basedOn w:val="1"/>
    <w:qFormat/>
    <w:uiPriority w:val="0"/>
    <w:pPr>
      <w:spacing w:after="120"/>
      <w:ind w:left="420" w:leftChars="200"/>
      <w:textAlignment w:val="baseline"/>
    </w:pPr>
  </w:style>
  <w:style w:type="character" w:customStyle="1" w:styleId="48">
    <w:name w:val="标题 1 字符1"/>
    <w:link w:val="3"/>
    <w:qFormat/>
    <w:uiPriority w:val="0"/>
    <w:rPr>
      <w:b/>
      <w:bCs/>
      <w:kern w:val="44"/>
      <w:sz w:val="44"/>
      <w:szCs w:val="44"/>
    </w:rPr>
  </w:style>
  <w:style w:type="character" w:customStyle="1" w:styleId="49">
    <w:name w:val="标题 2 字符1"/>
    <w:link w:val="4"/>
    <w:qFormat/>
    <w:uiPriority w:val="0"/>
    <w:rPr>
      <w:rFonts w:ascii="Arial" w:hAnsi="Arial" w:eastAsia="黑体"/>
      <w:b/>
      <w:bCs/>
      <w:kern w:val="2"/>
      <w:sz w:val="32"/>
      <w:szCs w:val="32"/>
    </w:rPr>
  </w:style>
  <w:style w:type="character" w:customStyle="1" w:styleId="50">
    <w:name w:val="标题 3 字符1"/>
    <w:link w:val="5"/>
    <w:qFormat/>
    <w:uiPriority w:val="0"/>
    <w:rPr>
      <w:b/>
      <w:bCs/>
      <w:kern w:val="2"/>
      <w:sz w:val="32"/>
      <w:szCs w:val="32"/>
    </w:rPr>
  </w:style>
  <w:style w:type="character" w:customStyle="1" w:styleId="51">
    <w:name w:val="标题 4 字符1"/>
    <w:link w:val="6"/>
    <w:qFormat/>
    <w:uiPriority w:val="0"/>
    <w:rPr>
      <w:rFonts w:ascii="Arial" w:eastAsia="黑体"/>
      <w:sz w:val="28"/>
    </w:rPr>
  </w:style>
  <w:style w:type="character" w:customStyle="1" w:styleId="52">
    <w:name w:val="标题 5 字符1"/>
    <w:link w:val="7"/>
    <w:qFormat/>
    <w:uiPriority w:val="9"/>
    <w:rPr>
      <w:b/>
      <w:bCs/>
      <w:kern w:val="2"/>
      <w:sz w:val="28"/>
      <w:szCs w:val="28"/>
    </w:rPr>
  </w:style>
  <w:style w:type="character" w:customStyle="1" w:styleId="53">
    <w:name w:val="文档结构图 字符1"/>
    <w:link w:val="12"/>
    <w:qFormat/>
    <w:uiPriority w:val="0"/>
    <w:rPr>
      <w:rFonts w:ascii="宋体"/>
      <w:kern w:val="2"/>
      <w:sz w:val="18"/>
      <w:szCs w:val="18"/>
    </w:rPr>
  </w:style>
  <w:style w:type="character" w:customStyle="1" w:styleId="54">
    <w:name w:val="批注文字 字符2"/>
    <w:link w:val="13"/>
    <w:qFormat/>
    <w:uiPriority w:val="0"/>
    <w:rPr>
      <w:kern w:val="2"/>
      <w:sz w:val="21"/>
      <w:szCs w:val="24"/>
    </w:rPr>
  </w:style>
  <w:style w:type="character" w:customStyle="1" w:styleId="55">
    <w:name w:val="正文文本 3 字符1"/>
    <w:link w:val="15"/>
    <w:qFormat/>
    <w:uiPriority w:val="99"/>
    <w:rPr>
      <w:kern w:val="2"/>
      <w:sz w:val="16"/>
      <w:szCs w:val="16"/>
    </w:rPr>
  </w:style>
  <w:style w:type="character" w:customStyle="1" w:styleId="56">
    <w:name w:val="正文文本 字符1"/>
    <w:link w:val="2"/>
    <w:qFormat/>
    <w:uiPriority w:val="99"/>
    <w:rPr>
      <w:kern w:val="2"/>
      <w:sz w:val="21"/>
      <w:szCs w:val="24"/>
    </w:rPr>
  </w:style>
  <w:style w:type="character" w:customStyle="1" w:styleId="57">
    <w:name w:val="正文文本缩进 字符1"/>
    <w:link w:val="16"/>
    <w:qFormat/>
    <w:uiPriority w:val="0"/>
    <w:rPr>
      <w:rFonts w:ascii="宋体" w:hAnsi="Courier New" w:eastAsia="宋体"/>
      <w:spacing w:val="-4"/>
      <w:kern w:val="2"/>
      <w:sz w:val="18"/>
      <w:lang w:val="en-US" w:eastAsia="zh-CN" w:bidi="ar-SA"/>
    </w:rPr>
  </w:style>
  <w:style w:type="character" w:customStyle="1" w:styleId="58">
    <w:name w:val="纯文本 字符3"/>
    <w:link w:val="20"/>
    <w:qFormat/>
    <w:uiPriority w:val="0"/>
    <w:rPr>
      <w:rFonts w:ascii="宋体" w:hAnsi="Courier New" w:eastAsia="宋体"/>
      <w:kern w:val="2"/>
      <w:sz w:val="21"/>
      <w:lang w:val="en-US" w:eastAsia="zh-CN" w:bidi="ar-SA"/>
    </w:rPr>
  </w:style>
  <w:style w:type="character" w:customStyle="1" w:styleId="59">
    <w:name w:val="日期 字符1"/>
    <w:link w:val="22"/>
    <w:qFormat/>
    <w:uiPriority w:val="0"/>
    <w:rPr>
      <w:kern w:val="2"/>
      <w:sz w:val="21"/>
      <w:szCs w:val="24"/>
    </w:rPr>
  </w:style>
  <w:style w:type="character" w:customStyle="1" w:styleId="60">
    <w:name w:val="正文文本缩进 2 字符1"/>
    <w:link w:val="23"/>
    <w:qFormat/>
    <w:uiPriority w:val="0"/>
    <w:rPr>
      <w:kern w:val="2"/>
      <w:sz w:val="21"/>
      <w:szCs w:val="24"/>
    </w:rPr>
  </w:style>
  <w:style w:type="character" w:customStyle="1" w:styleId="61">
    <w:name w:val="批注框文本 字符1"/>
    <w:link w:val="24"/>
    <w:qFormat/>
    <w:uiPriority w:val="0"/>
    <w:rPr>
      <w:kern w:val="2"/>
      <w:sz w:val="18"/>
      <w:szCs w:val="18"/>
    </w:rPr>
  </w:style>
  <w:style w:type="character" w:customStyle="1" w:styleId="62">
    <w:name w:val="页脚 字符2"/>
    <w:link w:val="25"/>
    <w:qFormat/>
    <w:uiPriority w:val="99"/>
    <w:rPr>
      <w:kern w:val="2"/>
      <w:sz w:val="18"/>
      <w:szCs w:val="18"/>
    </w:rPr>
  </w:style>
  <w:style w:type="character" w:customStyle="1" w:styleId="63">
    <w:name w:val="页眉 字符2"/>
    <w:link w:val="26"/>
    <w:qFormat/>
    <w:uiPriority w:val="99"/>
    <w:rPr>
      <w:kern w:val="2"/>
      <w:sz w:val="18"/>
      <w:szCs w:val="18"/>
    </w:rPr>
  </w:style>
  <w:style w:type="character" w:customStyle="1" w:styleId="64">
    <w:name w:val="批注主题 字符1"/>
    <w:link w:val="36"/>
    <w:qFormat/>
    <w:uiPriority w:val="99"/>
    <w:rPr>
      <w:b/>
      <w:bCs/>
      <w:kern w:val="2"/>
      <w:sz w:val="21"/>
      <w:szCs w:val="24"/>
    </w:rPr>
  </w:style>
  <w:style w:type="character" w:customStyle="1" w:styleId="65">
    <w:name w:val="标题 2 字符2"/>
    <w:link w:val="4"/>
    <w:qFormat/>
    <w:uiPriority w:val="0"/>
    <w:rPr>
      <w:rFonts w:ascii="Arial" w:hAnsi="Arial" w:eastAsia="黑体" w:cs="Times New Roman"/>
      <w:b/>
      <w:bCs/>
      <w:sz w:val="32"/>
      <w:szCs w:val="32"/>
    </w:rPr>
  </w:style>
  <w:style w:type="character" w:customStyle="1" w:styleId="66">
    <w:name w:val="页眉 字符"/>
    <w:qFormat/>
    <w:uiPriority w:val="99"/>
    <w:rPr>
      <w:rFonts w:ascii="Times New Roman" w:hAnsi="Times New Roman"/>
      <w:kern w:val="2"/>
      <w:sz w:val="18"/>
      <w:szCs w:val="18"/>
    </w:rPr>
  </w:style>
  <w:style w:type="character" w:customStyle="1" w:styleId="67">
    <w:name w:val="Char Char1"/>
    <w:qFormat/>
    <w:uiPriority w:val="0"/>
    <w:rPr>
      <w:rFonts w:ascii="宋体" w:hAnsi="Courier New" w:eastAsia="宋体"/>
      <w:kern w:val="2"/>
      <w:sz w:val="21"/>
      <w:lang w:val="en-US" w:eastAsia="zh-CN" w:bidi="ar-SA"/>
    </w:rPr>
  </w:style>
  <w:style w:type="character" w:customStyle="1" w:styleId="68">
    <w:name w:val="纯文本 字符2"/>
    <w:qFormat/>
    <w:uiPriority w:val="0"/>
    <w:rPr>
      <w:rFonts w:ascii="宋体" w:hAnsi="Courier New" w:eastAsia="宋体" w:cs="Courier New"/>
      <w:szCs w:val="21"/>
    </w:rPr>
  </w:style>
  <w:style w:type="character" w:customStyle="1" w:styleId="69">
    <w:name w:val="正文文本_"/>
    <w:link w:val="70"/>
    <w:qFormat/>
    <w:uiPriority w:val="0"/>
    <w:rPr>
      <w:rFonts w:ascii="MingLiU" w:hAnsi="MingLiU" w:eastAsia="MingLiU" w:cs="MingLiU"/>
      <w:spacing w:val="9"/>
      <w:sz w:val="19"/>
      <w:szCs w:val="19"/>
      <w:shd w:val="clear" w:color="auto" w:fill="FFFFFF"/>
    </w:rPr>
  </w:style>
  <w:style w:type="paragraph" w:customStyle="1" w:styleId="70">
    <w:name w:val="正文文本1"/>
    <w:basedOn w:val="1"/>
    <w:link w:val="69"/>
    <w:qFormat/>
    <w:uiPriority w:val="0"/>
    <w:pPr>
      <w:shd w:val="clear" w:color="auto" w:fill="FFFFFF"/>
      <w:spacing w:line="302" w:lineRule="exact"/>
      <w:ind w:firstLine="460"/>
      <w:jc w:val="left"/>
    </w:pPr>
    <w:rPr>
      <w:rFonts w:ascii="MingLiU" w:hAnsi="MingLiU" w:eastAsia="MingLiU"/>
      <w:spacing w:val="9"/>
      <w:kern w:val="0"/>
      <w:sz w:val="19"/>
      <w:szCs w:val="19"/>
    </w:rPr>
  </w:style>
  <w:style w:type="character" w:customStyle="1" w:styleId="71">
    <w:name w:val="纯文本 Char1"/>
    <w:link w:val="72"/>
    <w:qFormat/>
    <w:uiPriority w:val="0"/>
    <w:rPr>
      <w:rFonts w:ascii="宋体" w:hAnsi="Courier New" w:eastAsia="宋体"/>
      <w:kern w:val="2"/>
      <w:sz w:val="21"/>
      <w:lang w:val="en-US" w:eastAsia="zh-CN" w:bidi="ar-SA"/>
    </w:rPr>
  </w:style>
  <w:style w:type="paragraph" w:customStyle="1" w:styleId="72">
    <w:name w:val="纯文本1"/>
    <w:basedOn w:val="1"/>
    <w:link w:val="71"/>
    <w:qFormat/>
    <w:uiPriority w:val="0"/>
    <w:rPr>
      <w:rFonts w:ascii="宋体" w:hAnsi="Courier New"/>
      <w:szCs w:val="20"/>
    </w:rPr>
  </w:style>
  <w:style w:type="character" w:customStyle="1" w:styleId="73">
    <w:name w:val="正文文本 + 10 pt"/>
    <w:qFormat/>
    <w:uiPriority w:val="0"/>
    <w:rPr>
      <w:rFonts w:ascii="MingLiU" w:hAnsi="MingLiU" w:eastAsia="MingLiU" w:cs="MingLiU"/>
      <w:color w:val="000000"/>
      <w:spacing w:val="8"/>
      <w:w w:val="100"/>
      <w:position w:val="0"/>
      <w:sz w:val="20"/>
      <w:szCs w:val="20"/>
      <w:shd w:val="clear" w:color="auto" w:fill="FFFFFF"/>
      <w:lang w:val="zh-TW"/>
    </w:rPr>
  </w:style>
  <w:style w:type="character" w:customStyle="1" w:styleId="74">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75">
    <w:name w:val="页脚 字符"/>
    <w:qFormat/>
    <w:uiPriority w:val="99"/>
    <w:rPr>
      <w:sz w:val="18"/>
      <w:szCs w:val="18"/>
    </w:rPr>
  </w:style>
  <w:style w:type="character" w:customStyle="1" w:styleId="76">
    <w:name w:val="批注文字 字符1"/>
    <w:qFormat/>
    <w:uiPriority w:val="0"/>
    <w:rPr>
      <w:rFonts w:ascii="Times New Roman" w:hAnsi="Times New Roman"/>
      <w:kern w:val="2"/>
      <w:sz w:val="21"/>
      <w:szCs w:val="24"/>
    </w:rPr>
  </w:style>
  <w:style w:type="character" w:customStyle="1" w:styleId="77">
    <w:name w:val="正文2 Char Char"/>
    <w:link w:val="78"/>
    <w:qFormat/>
    <w:uiPriority w:val="0"/>
    <w:rPr>
      <w:kern w:val="2"/>
      <w:sz w:val="24"/>
    </w:rPr>
  </w:style>
  <w:style w:type="paragraph" w:customStyle="1" w:styleId="78">
    <w:name w:val="正文2"/>
    <w:basedOn w:val="1"/>
    <w:link w:val="77"/>
    <w:qFormat/>
    <w:uiPriority w:val="0"/>
    <w:pPr>
      <w:adjustRightInd w:val="0"/>
      <w:spacing w:before="156" w:line="360" w:lineRule="auto"/>
      <w:ind w:firstLine="510" w:firstLineChars="200"/>
    </w:pPr>
    <w:rPr>
      <w:sz w:val="24"/>
      <w:szCs w:val="20"/>
    </w:rPr>
  </w:style>
  <w:style w:type="character" w:customStyle="1" w:styleId="79">
    <w:name w:val="纯文本 Char_0"/>
    <w:link w:val="80"/>
    <w:qFormat/>
    <w:uiPriority w:val="0"/>
    <w:rPr>
      <w:rFonts w:ascii="宋体" w:hAnsi="Courier New"/>
      <w:kern w:val="2"/>
      <w:sz w:val="21"/>
      <w:szCs w:val="21"/>
    </w:rPr>
  </w:style>
  <w:style w:type="paragraph" w:customStyle="1" w:styleId="80">
    <w:name w:val="纯文本_0_0"/>
    <w:basedOn w:val="1"/>
    <w:link w:val="79"/>
    <w:qFormat/>
    <w:uiPriority w:val="0"/>
    <w:rPr>
      <w:rFonts w:ascii="宋体" w:hAnsi="Courier New"/>
      <w:szCs w:val="21"/>
    </w:rPr>
  </w:style>
  <w:style w:type="character" w:customStyle="1" w:styleId="81">
    <w:name w:val="批注文字 Char1"/>
    <w:qFormat/>
    <w:uiPriority w:val="0"/>
    <w:rPr>
      <w:rFonts w:ascii="Times New Roman" w:hAnsi="Times New Roman"/>
      <w:kern w:val="2"/>
      <w:sz w:val="21"/>
      <w:szCs w:val="24"/>
    </w:rPr>
  </w:style>
  <w:style w:type="paragraph" w:styleId="82">
    <w:name w:val="List Paragraph"/>
    <w:basedOn w:val="1"/>
    <w:qFormat/>
    <w:uiPriority w:val="34"/>
    <w:pPr>
      <w:ind w:firstLine="420" w:firstLineChars="200"/>
    </w:pPr>
  </w:style>
  <w:style w:type="paragraph" w:customStyle="1" w:styleId="83">
    <w:name w:val="Char Char Char1 Char Char Char Char Char Char Char"/>
    <w:basedOn w:val="1"/>
    <w:qFormat/>
    <w:uiPriority w:val="0"/>
  </w:style>
  <w:style w:type="paragraph" w:customStyle="1" w:styleId="84">
    <w:name w:val="Char Char Char"/>
    <w:basedOn w:val="1"/>
    <w:qFormat/>
    <w:uiPriority w:val="0"/>
    <w:rPr>
      <w:szCs w:val="20"/>
    </w:rPr>
  </w:style>
  <w:style w:type="paragraph" w:customStyle="1" w:styleId="85">
    <w:name w:val=" Char Char Char Char Char Char Char Char Char Char Char Char"/>
    <w:basedOn w:val="1"/>
    <w:qFormat/>
    <w:uiPriority w:val="0"/>
    <w:pPr>
      <w:widowControl/>
      <w:spacing w:after="160" w:afterLines="0" w:line="240" w:lineRule="exact"/>
      <w:jc w:val="left"/>
    </w:pPr>
  </w:style>
  <w:style w:type="paragraph" w:customStyle="1" w:styleId="86">
    <w:name w:val="列出段落1"/>
    <w:basedOn w:val="1"/>
    <w:qFormat/>
    <w:uiPriority w:val="34"/>
    <w:pPr>
      <w:spacing w:before="100" w:beforeAutospacing="1" w:after="100" w:afterAutospacing="1" w:line="360" w:lineRule="auto"/>
      <w:ind w:firstLine="420" w:firstLineChars="200"/>
    </w:pPr>
  </w:style>
  <w:style w:type="paragraph" w:customStyle="1" w:styleId="87">
    <w:name w:val="_Style 85"/>
    <w:basedOn w:val="3"/>
    <w:next w:val="1"/>
    <w:qFormat/>
    <w:uiPriority w:val="39"/>
    <w:pPr>
      <w:widowControl/>
      <w:spacing w:before="480" w:after="0" w:line="276" w:lineRule="auto"/>
      <w:jc w:val="left"/>
      <w:outlineLvl w:val="9"/>
    </w:pPr>
    <w:rPr>
      <w:rFonts w:ascii="Cambria" w:hAnsi="Cambria" w:eastAsia="宋体" w:cs="Times New Roman"/>
      <w:color w:val="365F91"/>
      <w:kern w:val="0"/>
      <w:sz w:val="28"/>
      <w:szCs w:val="28"/>
      <w:lang w:val="en-US" w:eastAsia="zh-CN"/>
    </w:rPr>
  </w:style>
  <w:style w:type="paragraph" w:customStyle="1" w:styleId="88">
    <w:name w:val="样式 标题 2 + 非加粗 首行缩进:  2 字符"/>
    <w:basedOn w:val="4"/>
    <w:qFormat/>
    <w:uiPriority w:val="0"/>
    <w:pPr>
      <w:spacing w:before="0" w:beforeLines="0" w:after="0" w:afterLines="0" w:line="600" w:lineRule="exact"/>
      <w:ind w:firstLine="640" w:firstLineChars="200"/>
      <w:jc w:val="left"/>
    </w:pPr>
    <w:rPr>
      <w:rFonts w:cs="宋体"/>
      <w:b w:val="0"/>
      <w:bCs w:val="0"/>
      <w:szCs w:val="20"/>
    </w:rPr>
  </w:style>
  <w:style w:type="paragraph" w:customStyle="1" w:styleId="89">
    <w:name w:val="Table Paragraph"/>
    <w:basedOn w:val="1"/>
    <w:qFormat/>
    <w:uiPriority w:val="1"/>
    <w:pPr>
      <w:jc w:val="left"/>
    </w:pPr>
    <w:rPr>
      <w:rFonts w:ascii="Calibri" w:hAnsi="Calibri"/>
      <w:kern w:val="0"/>
      <w:sz w:val="22"/>
      <w:szCs w:val="22"/>
      <w:lang w:eastAsia="en-US"/>
    </w:rPr>
  </w:style>
  <w:style w:type="paragraph" w:customStyle="1" w:styleId="90">
    <w:name w:val=" Char"/>
    <w:basedOn w:val="1"/>
    <w:qFormat/>
    <w:uiPriority w:val="0"/>
    <w:rPr>
      <w:szCs w:val="21"/>
    </w:rPr>
  </w:style>
  <w:style w:type="paragraph" w:customStyle="1" w:styleId="91">
    <w:name w:val="Char Char Char Char Char Char Char"/>
    <w:basedOn w:val="1"/>
    <w:qFormat/>
    <w:uiPriority w:val="0"/>
  </w:style>
  <w:style w:type="paragraph" w:customStyle="1" w:styleId="92">
    <w:name w:val=" Char Char Char Char Char Char Char"/>
    <w:basedOn w:val="1"/>
    <w:qFormat/>
    <w:uiPriority w:val="0"/>
  </w:style>
  <w:style w:type="paragraph" w:customStyle="1" w:styleId="93">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94">
    <w:name w:val="Char Char Char Char Char Char Char Char Char Char Char Char"/>
    <w:basedOn w:val="1"/>
    <w:qFormat/>
    <w:uiPriority w:val="0"/>
    <w:pPr>
      <w:widowControl/>
      <w:spacing w:after="160" w:afterLines="0" w:line="240" w:lineRule="exact"/>
      <w:jc w:val="left"/>
    </w:pPr>
  </w:style>
  <w:style w:type="paragraph" w:customStyle="1" w:styleId="95">
    <w:name w:val="表格文字"/>
    <w:basedOn w:val="16"/>
    <w:next w:val="2"/>
    <w:qFormat/>
    <w:uiPriority w:val="0"/>
    <w:pPr>
      <w:adjustRightInd w:val="0"/>
      <w:spacing w:line="420" w:lineRule="atLeast"/>
      <w:jc w:val="left"/>
      <w:textAlignment w:val="baseline"/>
    </w:pPr>
    <w:rPr>
      <w:kern w:val="0"/>
    </w:rPr>
  </w:style>
  <w:style w:type="paragraph" w:customStyle="1" w:styleId="96">
    <w:name w:val="_Style 94"/>
    <w:qFormat/>
    <w:uiPriority w:val="0"/>
    <w:rPr>
      <w:rFonts w:ascii="Times New Roman" w:hAnsi="Times New Roman" w:eastAsia="宋体" w:cs="Times New Roman"/>
      <w:kern w:val="2"/>
      <w:sz w:val="21"/>
      <w:szCs w:val="24"/>
      <w:lang w:val="en-US" w:eastAsia="zh-CN" w:bidi="ar-SA"/>
    </w:rPr>
  </w:style>
  <w:style w:type="paragraph" w:customStyle="1" w:styleId="97">
    <w:name w:val="正文段"/>
    <w:basedOn w:val="1"/>
    <w:qFormat/>
    <w:uiPriority w:val="0"/>
    <w:pPr>
      <w:widowControl/>
      <w:snapToGrid w:val="0"/>
      <w:spacing w:after="156" w:afterLines="50"/>
      <w:ind w:firstLine="200" w:firstLineChars="200"/>
    </w:pPr>
    <w:rPr>
      <w:kern w:val="0"/>
      <w:sz w:val="24"/>
      <w:szCs w:val="20"/>
    </w:rPr>
  </w:style>
  <w:style w:type="paragraph" w:customStyle="1" w:styleId="98">
    <w:name w:val="Char Char Char Char"/>
    <w:basedOn w:val="1"/>
    <w:qFormat/>
    <w:uiPriority w:val="0"/>
    <w:pPr>
      <w:widowControl/>
      <w:spacing w:after="160" w:afterLines="0" w:line="240" w:lineRule="exact"/>
      <w:jc w:val="left"/>
    </w:pPr>
  </w:style>
  <w:style w:type="paragraph" w:customStyle="1" w:styleId="99">
    <w:name w:val="Char"/>
    <w:basedOn w:val="1"/>
    <w:qFormat/>
    <w:uiPriority w:val="0"/>
  </w:style>
  <w:style w:type="paragraph" w:customStyle="1" w:styleId="100">
    <w:name w:val=" Char Char Char Char"/>
    <w:basedOn w:val="1"/>
    <w:qFormat/>
    <w:uiPriority w:val="0"/>
    <w:pPr>
      <w:widowControl/>
      <w:spacing w:after="160" w:afterLines="0" w:line="240" w:lineRule="exact"/>
      <w:jc w:val="left"/>
    </w:pPr>
  </w:style>
  <w:style w:type="paragraph" w:customStyle="1" w:styleId="101">
    <w:name w:val="样式 标题 1 + 居中 段前: 0 磅 段后: 0 磅 行距: 固定值 30 磅"/>
    <w:basedOn w:val="3"/>
    <w:qFormat/>
    <w:uiPriority w:val="0"/>
    <w:pPr>
      <w:spacing w:before="0" w:beforeLines="0" w:after="0" w:afterLines="0" w:line="600" w:lineRule="exact"/>
      <w:jc w:val="center"/>
    </w:pPr>
    <w:rPr>
      <w:rFonts w:cs="宋体"/>
      <w:szCs w:val="20"/>
    </w:rPr>
  </w:style>
  <w:style w:type="paragraph" w:customStyle="1" w:styleId="102">
    <w:name w:val="正文缩进1"/>
    <w:basedOn w:val="1"/>
    <w:next w:val="16"/>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103">
    <w:name w:val="p0"/>
    <w:basedOn w:val="1"/>
    <w:qFormat/>
    <w:uiPriority w:val="0"/>
    <w:pPr>
      <w:widowControl/>
    </w:pPr>
    <w:rPr>
      <w:kern w:val="0"/>
      <w:szCs w:val="21"/>
    </w:rPr>
  </w:style>
  <w:style w:type="paragraph" w:customStyle="1" w:styleId="104">
    <w:name w:val="默认段落字体 Para Char Char Char Char Char Char Char Char Char1 Char Char Char Char"/>
    <w:basedOn w:val="1"/>
    <w:qFormat/>
    <w:uiPriority w:val="0"/>
    <w:rPr>
      <w:rFonts w:ascii="Tahoma" w:hAnsi="Tahoma"/>
      <w:sz w:val="24"/>
      <w:szCs w:val="20"/>
    </w:rPr>
  </w:style>
  <w:style w:type="character" w:customStyle="1" w:styleId="105">
    <w:name w:val="正文文本 字符"/>
    <w:qFormat/>
    <w:uiPriority w:val="99"/>
    <w:rPr>
      <w:kern w:val="2"/>
      <w:sz w:val="21"/>
      <w:szCs w:val="24"/>
    </w:rPr>
  </w:style>
  <w:style w:type="character" w:customStyle="1" w:styleId="106">
    <w:name w:val="纯文本 字符"/>
    <w:qFormat/>
    <w:uiPriority w:val="0"/>
    <w:rPr>
      <w:rFonts w:ascii="宋体" w:hAnsi="Courier New"/>
      <w:kern w:val="2"/>
      <w:sz w:val="21"/>
    </w:rPr>
  </w:style>
  <w:style w:type="character" w:customStyle="1" w:styleId="107">
    <w:name w:val="标题 1 字符"/>
    <w:qFormat/>
    <w:uiPriority w:val="0"/>
    <w:rPr>
      <w:b/>
      <w:bCs/>
      <w:kern w:val="44"/>
      <w:sz w:val="44"/>
      <w:szCs w:val="44"/>
    </w:rPr>
  </w:style>
  <w:style w:type="character" w:customStyle="1" w:styleId="108">
    <w:name w:val="标题 2 字符"/>
    <w:qFormat/>
    <w:uiPriority w:val="0"/>
    <w:rPr>
      <w:rFonts w:ascii="Arial" w:hAnsi="Arial" w:eastAsia="黑体"/>
      <w:b/>
      <w:bCs/>
      <w:kern w:val="2"/>
      <w:sz w:val="32"/>
      <w:szCs w:val="32"/>
    </w:rPr>
  </w:style>
  <w:style w:type="character" w:customStyle="1" w:styleId="109">
    <w:name w:val="标题 3 字符"/>
    <w:qFormat/>
    <w:uiPriority w:val="0"/>
    <w:rPr>
      <w:b/>
      <w:bCs/>
      <w:kern w:val="2"/>
      <w:sz w:val="32"/>
      <w:szCs w:val="32"/>
    </w:rPr>
  </w:style>
  <w:style w:type="character" w:customStyle="1" w:styleId="110">
    <w:name w:val="标题 4 字符"/>
    <w:qFormat/>
    <w:uiPriority w:val="0"/>
    <w:rPr>
      <w:rFonts w:ascii="Arial" w:eastAsia="黑体"/>
      <w:sz w:val="28"/>
    </w:rPr>
  </w:style>
  <w:style w:type="character" w:customStyle="1" w:styleId="111">
    <w:name w:val="标题 5 字符"/>
    <w:qFormat/>
    <w:uiPriority w:val="9"/>
    <w:rPr>
      <w:b/>
      <w:bCs/>
      <w:kern w:val="2"/>
      <w:sz w:val="28"/>
      <w:szCs w:val="28"/>
    </w:rPr>
  </w:style>
  <w:style w:type="character" w:customStyle="1" w:styleId="112">
    <w:name w:val="文档结构图 字符"/>
    <w:qFormat/>
    <w:uiPriority w:val="0"/>
    <w:rPr>
      <w:rFonts w:ascii="宋体"/>
      <w:kern w:val="2"/>
      <w:sz w:val="18"/>
      <w:szCs w:val="18"/>
    </w:rPr>
  </w:style>
  <w:style w:type="character" w:customStyle="1" w:styleId="113">
    <w:name w:val="批注文字 字符"/>
    <w:qFormat/>
    <w:uiPriority w:val="0"/>
    <w:rPr>
      <w:kern w:val="2"/>
      <w:sz w:val="21"/>
      <w:szCs w:val="24"/>
    </w:rPr>
  </w:style>
  <w:style w:type="character" w:customStyle="1" w:styleId="114">
    <w:name w:val="正文文本 3 字符"/>
    <w:qFormat/>
    <w:uiPriority w:val="99"/>
    <w:rPr>
      <w:kern w:val="2"/>
      <w:sz w:val="16"/>
      <w:szCs w:val="16"/>
    </w:rPr>
  </w:style>
  <w:style w:type="character" w:customStyle="1" w:styleId="115">
    <w:name w:val="正文文本缩进 字符"/>
    <w:qFormat/>
    <w:uiPriority w:val="0"/>
    <w:rPr>
      <w:rFonts w:ascii="宋体" w:hAnsi="Courier New"/>
      <w:spacing w:val="-4"/>
      <w:kern w:val="2"/>
      <w:sz w:val="18"/>
    </w:rPr>
  </w:style>
  <w:style w:type="character" w:customStyle="1" w:styleId="116">
    <w:name w:val="日期 字符"/>
    <w:qFormat/>
    <w:uiPriority w:val="0"/>
    <w:rPr>
      <w:kern w:val="2"/>
      <w:sz w:val="21"/>
      <w:szCs w:val="24"/>
    </w:rPr>
  </w:style>
  <w:style w:type="character" w:customStyle="1" w:styleId="117">
    <w:name w:val="正文文本缩进 2 字符"/>
    <w:qFormat/>
    <w:uiPriority w:val="0"/>
    <w:rPr>
      <w:kern w:val="2"/>
      <w:sz w:val="21"/>
      <w:szCs w:val="24"/>
    </w:rPr>
  </w:style>
  <w:style w:type="character" w:customStyle="1" w:styleId="118">
    <w:name w:val="批注框文本 字符"/>
    <w:qFormat/>
    <w:uiPriority w:val="0"/>
    <w:rPr>
      <w:kern w:val="2"/>
      <w:sz w:val="18"/>
      <w:szCs w:val="18"/>
    </w:rPr>
  </w:style>
  <w:style w:type="character" w:customStyle="1" w:styleId="119">
    <w:name w:val="页脚 字符1"/>
    <w:qFormat/>
    <w:uiPriority w:val="99"/>
    <w:rPr>
      <w:kern w:val="2"/>
      <w:sz w:val="18"/>
      <w:szCs w:val="18"/>
    </w:rPr>
  </w:style>
  <w:style w:type="character" w:customStyle="1" w:styleId="120">
    <w:name w:val="页眉 字符1"/>
    <w:qFormat/>
    <w:uiPriority w:val="99"/>
    <w:rPr>
      <w:kern w:val="2"/>
      <w:sz w:val="18"/>
      <w:szCs w:val="18"/>
    </w:rPr>
  </w:style>
  <w:style w:type="character" w:customStyle="1" w:styleId="121">
    <w:name w:val="批注主题 字符"/>
    <w:qFormat/>
    <w:uiPriority w:val="99"/>
    <w:rPr>
      <w:b/>
      <w:bCs/>
      <w:kern w:val="2"/>
      <w:sz w:val="21"/>
      <w:szCs w:val="24"/>
    </w:rPr>
  </w:style>
  <w:style w:type="paragraph" w:customStyle="1" w:styleId="122">
    <w:name w:val="_Style 117"/>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23">
    <w:name w:val="纯文本 字符1"/>
    <w:semiHidden/>
    <w:qFormat/>
    <w:locked/>
    <w:uiPriority w:val="0"/>
    <w:rPr>
      <w:rFonts w:ascii="宋体" w:hAnsi="Courier New"/>
      <w:kern w:val="2"/>
      <w:sz w:val="21"/>
    </w:rPr>
  </w:style>
  <w:style w:type="paragraph" w:customStyle="1" w:styleId="124">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125">
    <w:name w:val="Table Text"/>
    <w:basedOn w:val="1"/>
    <w:semiHidden/>
    <w:qFormat/>
    <w:uiPriority w:val="0"/>
    <w:pPr>
      <w:widowControl/>
      <w:kinsoku w:val="0"/>
      <w:autoSpaceDE w:val="0"/>
      <w:autoSpaceDN w:val="0"/>
      <w:adjustRightInd w:val="0"/>
      <w:snapToGrid w:val="0"/>
      <w:jc w:val="left"/>
      <w:textAlignment w:val="baseline"/>
    </w:pPr>
    <w:rPr>
      <w:rFonts w:ascii="宋体" w:hAnsi="宋体" w:cs="宋体"/>
      <w:color w:val="000000"/>
      <w:kern w:val="0"/>
      <w:szCs w:val="21"/>
    </w:rPr>
  </w:style>
  <w:style w:type="paragraph" w:customStyle="1" w:styleId="126">
    <w:name w:val="Default"/>
    <w:basedOn w:val="72"/>
    <w:next w:val="14"/>
    <w:qFormat/>
    <w:uiPriority w:val="0"/>
    <w:pPr>
      <w:widowControl w:val="0"/>
      <w:autoSpaceDE w:val="0"/>
      <w:autoSpaceDN w:val="0"/>
      <w:adjustRightInd w:val="0"/>
    </w:pPr>
    <w:rPr>
      <w:rFonts w:hint="eastAsia" w:ascii="方正仿宋_GBK" w:hAnsi="方正仿宋_GBK" w:eastAsia="方正仿宋_GBK"/>
      <w:color w:val="000000"/>
      <w:sz w:val="24"/>
      <w:lang w:val="en-US" w:eastAsia="zh-CN" w:bidi="ar-SA"/>
    </w:rPr>
  </w:style>
  <w:style w:type="paragraph" w:customStyle="1" w:styleId="127">
    <w:name w:val="Legal_L2"/>
    <w:basedOn w:val="1"/>
    <w:qFormat/>
    <w:uiPriority w:val="0"/>
    <w:pPr>
      <w:widowControl/>
      <w:spacing w:after="240" w:line="259" w:lineRule="auto"/>
      <w:jc w:val="left"/>
      <w:outlineLvl w:val="1"/>
    </w:pPr>
    <w:rPr>
      <w:kern w:val="0"/>
      <w:sz w:val="24"/>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header" Target="header2.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Users/langzhengyi/Library/Containers/com.kingsoft.wpsoffice.mac/Data/C:\Users\langzhengyi\Library\Containers\com.kingsoft.wpsoffice.mac\Data\C:\home\inspur\C:\home\inspur\192.168.200.66\4&#37096;&#20849;&#20139;1\2025&#24180;&#25307;&#26631;&#39033;&#30446;\11&#26376;\&#20840;&#21306;&#38750;&#27861;&#22534;&#23384;&#12289;&#36716;&#31227;&#28041;&#37325;&#22266;&#20307;&#24223;&#29289;&#21361;&#38505;&#29305;&#24615;&#37492;&#21035;&#21450;&#27745;&#26579;&#37322;&#25918;&#33021;&#21147;&#35780;&#20272;&#39033;&#30446;\&#65288;1117&#25307;&#26631;&#25991;&#20214;&#65289;12.&#20840;&#21306;&#38750;&#27861;&#22534;&#23384;&#12289;&#36716;&#31227;&#28041;&#37325;&#22266;&#20307;&#24223;&#29289;&#21361;&#38505;&#29305;&#24615;&#37492;&#21035;&#21450;&#27745;&#26579;&#37322;&#25918;&#33021;&#21147;&#35780;&#20272;&#39033;&#30446;.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（1117招标文件）12.全区非法堆存、转移涉重固体废物危险特性鉴别及污染释放能力评估项目.dotx</Template>
  <Pages>87</Pages>
  <Words>51198</Words>
  <Characters>53973</Characters>
  <Lines>396</Lines>
  <Paragraphs>111</Paragraphs>
  <TotalTime>3</TotalTime>
  <ScaleCrop>false</ScaleCrop>
  <LinksUpToDate>false</LinksUpToDate>
  <CharactersWithSpaces>60576</CharactersWithSpaces>
  <Application>WPS Office_12.1.24709.24709_F1E327BC-269C-435d-A152-05C5408002CA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2025-11-19T19:43:00Z</dcterms:created>
  <dc:creator>黄艳颀</dc:creator>
  <cp:lastModifiedBy>黄艳颀</cp:lastModifiedBy>
  <dcterms:modified xsi:type="dcterms:W3CDTF">2026-02-09T22:37:46Z</dcterms:modified>
  <dc:title>南财采管〔2012〕3号</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2052-12.1.24709.24709</vt:lpwstr>
  </property>
  <property fmtid="{D5CDD505-2E9C-101B-9397-08002B2CF9AE}" pid="3" name="ICV">
    <vt:lpwstr>B201C9ECBECC7B4D3AF189693B6FCA35_43</vt:lpwstr>
  </property>
  <property fmtid="{D5CDD505-2E9C-101B-9397-08002B2CF9AE}" pid="4" name="KSOTemplateDocerSaveRecord">
    <vt:lpwstr>eyJoZGlkIjoiODAxZjZkNTliNTYyYmJmZDhkZTRkYWM0MGVjZGI1ODgiLCJ1c2VySWQiOiIxNjY1NTAzNDkwIn0=</vt:lpwstr>
  </property>
</Properties>
</file>